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252.00000000000003" w:lineRule="auto"/>
        <w:ind w:left="0" w:firstLine="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INFORME DE ORGANIZACIONES DE LA</w:t>
      </w:r>
    </w:p>
    <w:p w:rsidR="00000000" w:rsidDel="00000000" w:rsidP="00000000" w:rsidRDefault="00000000" w:rsidRPr="00000000" w14:paraId="00000002">
      <w:pPr>
        <w:spacing w:line="252.00000000000003" w:lineRule="auto"/>
        <w:ind w:left="0" w:firstLine="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SOCIEDAD CIVIL EN MATERIA DE ACCESO A LA JUSTICIA, DERECHOS ECONÓMICOS, SOCIALES Y CULTURALES Y ENFERMEDADES CRÓNICAS NO TRANSMISIBLES </w:t>
      </w:r>
    </w:p>
    <w:p w:rsidR="00000000" w:rsidDel="00000000" w:rsidP="00000000" w:rsidRDefault="00000000" w:rsidRPr="00000000" w14:paraId="00000003">
      <w:pPr>
        <w:spacing w:line="252.00000000000003" w:lineRule="auto"/>
        <w:ind w:left="0" w:firstLine="0"/>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4">
      <w:pPr>
        <w:spacing w:line="252.00000000000003" w:lineRule="auto"/>
        <w:ind w:left="0" w:firstLine="0"/>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5">
      <w:pPr>
        <w:spacing w:line="252.00000000000003" w:lineRule="auto"/>
        <w:ind w:left="0" w:firstLine="0"/>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6">
      <w:pPr>
        <w:spacing w:line="252.00000000000003" w:lineRule="auto"/>
        <w:ind w:left="0" w:firstLine="0"/>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7">
      <w:pPr>
        <w:spacing w:line="252.00000000000003" w:lineRule="auto"/>
        <w:ind w:left="0" w:firstLine="0"/>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8">
      <w:pPr>
        <w:spacing w:line="252.00000000000003" w:lineRule="auto"/>
        <w:ind w:left="0" w:firstLine="0"/>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9">
      <w:pPr>
        <w:spacing w:line="252.00000000000003" w:lineRule="auto"/>
        <w:ind w:left="0" w:firstLine="0"/>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A">
      <w:pPr>
        <w:spacing w:line="252.00000000000003" w:lineRule="auto"/>
        <w:ind w:left="0" w:firstLine="0"/>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B">
      <w:pPr>
        <w:spacing w:line="252.00000000000003" w:lineRule="auto"/>
        <w:ind w:left="0" w:firstLine="0"/>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C">
      <w:pPr>
        <w:spacing w:line="252.00000000000003" w:lineRule="auto"/>
        <w:ind w:left="0" w:firstLine="0"/>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D">
      <w:pPr>
        <w:spacing w:line="252.00000000000003" w:lineRule="auto"/>
        <w:ind w:left="0" w:firstLine="0"/>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E">
      <w:pPr>
        <w:spacing w:line="252.00000000000003" w:lineRule="auto"/>
        <w:ind w:left="0" w:firstLine="0"/>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F">
      <w:pPr>
        <w:spacing w:line="252.00000000000003" w:lineRule="auto"/>
        <w:ind w:left="0" w:firstLine="0"/>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0">
      <w:pPr>
        <w:spacing w:line="252.00000000000003" w:lineRule="auto"/>
        <w:ind w:left="0" w:firstLine="0"/>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1">
      <w:pPr>
        <w:spacing w:line="252.00000000000003" w:lineRule="auto"/>
        <w:ind w:left="0" w:firstLine="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COMITÉ DE DERECHOS ECONÓMICOS, SOCIALES</w:t>
      </w:r>
    </w:p>
    <w:p w:rsidR="00000000" w:rsidDel="00000000" w:rsidP="00000000" w:rsidRDefault="00000000" w:rsidRPr="00000000" w14:paraId="00000012">
      <w:pPr>
        <w:spacing w:line="252.00000000000003" w:lineRule="auto"/>
        <w:ind w:left="0" w:firstLine="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Y CULTURALES DE LAS NACIONES UNIDAS</w:t>
      </w:r>
    </w:p>
    <w:p w:rsidR="00000000" w:rsidDel="00000000" w:rsidP="00000000" w:rsidRDefault="00000000" w:rsidRPr="00000000" w14:paraId="00000013">
      <w:pPr>
        <w:spacing w:line="252.00000000000003" w:lineRule="auto"/>
        <w:ind w:left="0" w:firstLine="0"/>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4">
      <w:pPr>
        <w:spacing w:line="252.00000000000003" w:lineRule="auto"/>
        <w:ind w:left="0" w:firstLine="0"/>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5">
      <w:pPr>
        <w:spacing w:line="252.00000000000003" w:lineRule="auto"/>
        <w:ind w:left="0" w:firstLine="0"/>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6">
      <w:pPr>
        <w:spacing w:line="252.00000000000003" w:lineRule="auto"/>
        <w:ind w:left="0" w:firstLine="0"/>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7">
      <w:pPr>
        <w:spacing w:line="252.00000000000003" w:lineRule="auto"/>
        <w:ind w:left="0" w:firstLine="0"/>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8">
      <w:pPr>
        <w:spacing w:line="252.00000000000003" w:lineRule="auto"/>
        <w:ind w:left="0" w:firstLine="0"/>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9">
      <w:pPr>
        <w:spacing w:line="252.00000000000003" w:lineRule="auto"/>
        <w:ind w:left="0" w:firstLine="0"/>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A">
      <w:pPr>
        <w:spacing w:line="252.00000000000003" w:lineRule="auto"/>
        <w:ind w:left="0" w:firstLine="0"/>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B">
      <w:pPr>
        <w:spacing w:line="252.00000000000003" w:lineRule="auto"/>
        <w:ind w:left="0" w:firstLine="0"/>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C">
      <w:pPr>
        <w:spacing w:line="252.00000000000003" w:lineRule="auto"/>
        <w:ind w:left="0" w:firstLine="0"/>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D">
      <w:pPr>
        <w:spacing w:line="252.00000000000003" w:lineRule="auto"/>
        <w:ind w:left="0" w:firstLine="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EXAMEN DE COLOMBIA</w:t>
      </w:r>
    </w:p>
    <w:p w:rsidR="00000000" w:rsidDel="00000000" w:rsidP="00000000" w:rsidRDefault="00000000" w:rsidRPr="00000000" w14:paraId="0000001E">
      <w:pPr>
        <w:spacing w:line="252.00000000000003" w:lineRule="auto"/>
        <w:ind w:left="0" w:firstLine="0"/>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F">
      <w:pPr>
        <w:spacing w:line="252.00000000000003" w:lineRule="auto"/>
        <w:ind w:left="0" w:firstLine="0"/>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0">
      <w:pPr>
        <w:spacing w:line="252.00000000000003" w:lineRule="auto"/>
        <w:ind w:left="0" w:firstLine="0"/>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1">
      <w:pPr>
        <w:spacing w:line="252.00000000000003" w:lineRule="auto"/>
        <w:ind w:left="0" w:firstLine="0"/>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2">
      <w:pPr>
        <w:spacing w:line="252.00000000000003" w:lineRule="auto"/>
        <w:ind w:left="0" w:firstLine="0"/>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3">
      <w:pPr>
        <w:spacing w:line="252.00000000000003" w:lineRule="auto"/>
        <w:ind w:left="0" w:firstLine="0"/>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4">
      <w:pPr>
        <w:spacing w:line="252.00000000000003" w:lineRule="auto"/>
        <w:ind w:left="0" w:firstLine="0"/>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5">
      <w:pPr>
        <w:spacing w:line="252.00000000000003" w:lineRule="auto"/>
        <w:ind w:left="0" w:firstLine="0"/>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6">
      <w:pPr>
        <w:spacing w:line="252.00000000000003" w:lineRule="auto"/>
        <w:ind w:left="0" w:firstLine="0"/>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7">
      <w:pPr>
        <w:spacing w:line="252.00000000000003" w:lineRule="auto"/>
        <w:ind w:left="0" w:firstLine="0"/>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8">
      <w:pPr>
        <w:spacing w:line="252.00000000000003" w:lineRule="auto"/>
        <w:ind w:left="0" w:firstLine="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AGOSTO DE 2023</w:t>
      </w:r>
    </w:p>
    <w:p w:rsidR="00000000" w:rsidDel="00000000" w:rsidP="00000000" w:rsidRDefault="00000000" w:rsidRPr="00000000" w14:paraId="00000029">
      <w:pPr>
        <w:spacing w:line="252.00000000000003" w:lineRule="auto"/>
        <w:ind w:left="0" w:firstLine="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BOGOTÁ, COLOMBIA</w:t>
      </w:r>
    </w:p>
    <w:p w:rsidR="00000000" w:rsidDel="00000000" w:rsidP="00000000" w:rsidRDefault="00000000" w:rsidRPr="00000000" w14:paraId="0000002A">
      <w:pPr>
        <w:spacing w:line="252.00000000000003"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B">
      <w:pPr>
        <w:spacing w:line="252.00000000000003"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C">
      <w:pPr>
        <w:spacing w:line="252.00000000000003"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D">
      <w:pPr>
        <w:spacing w:line="252.00000000000003"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E">
      <w:pPr>
        <w:spacing w:line="252.00000000000003"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F">
      <w:pPr>
        <w:spacing w:line="252.00000000000003" w:lineRule="auto"/>
        <w:ind w:left="0" w:firstLine="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Contenido </w:t>
      </w:r>
    </w:p>
    <w:p w:rsidR="00000000" w:rsidDel="00000000" w:rsidP="00000000" w:rsidRDefault="00000000" w:rsidRPr="00000000" w14:paraId="00000030">
      <w:pPr>
        <w:spacing w:line="252.00000000000003" w:lineRule="auto"/>
        <w:ind w:left="0" w:firstLine="0"/>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31">
      <w:pPr>
        <w:spacing w:line="252.00000000000003" w:lineRule="auto"/>
        <w:ind w:left="0" w:firstLine="0"/>
        <w:jc w:val="both"/>
        <w:rPr>
          <w:rFonts w:ascii="Times New Roman" w:cs="Times New Roman" w:eastAsia="Times New Roman" w:hAnsi="Times New Roman"/>
          <w:b w:val="1"/>
          <w:sz w:val="24"/>
          <w:szCs w:val="24"/>
        </w:rPr>
      </w:pPr>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032">
          <w:pPr>
            <w:widowControl w:val="0"/>
            <w:tabs>
              <w:tab w:val="right" w:leader="dot" w:pos="12000"/>
            </w:tabs>
            <w:spacing w:before="60" w:line="240" w:lineRule="auto"/>
            <w:rPr>
              <w:rFonts w:ascii="Arial" w:cs="Arial" w:eastAsia="Arial" w:hAnsi="Arial"/>
              <w:b w:val="1"/>
              <w:i w:val="0"/>
              <w:smallCaps w:val="0"/>
              <w:strike w:val="0"/>
              <w:color w:val="000000"/>
              <w:sz w:val="22"/>
              <w:szCs w:val="22"/>
              <w:u w:val="none"/>
              <w:shd w:fill="auto" w:val="clear"/>
              <w:vertAlign w:val="baseline"/>
            </w:rPr>
          </w:pPr>
          <w:r w:rsidDel="00000000" w:rsidR="00000000" w:rsidRPr="00000000">
            <w:fldChar w:fldCharType="begin"/>
            <w:instrText xml:space="preserve"> TOC \h \u \z \t "Heading 1,1,Heading 2,2,Heading 3,3,Heading 4,4,Heading 5,5,Heading 6,6,"</w:instrText>
            <w:fldChar w:fldCharType="separate"/>
          </w:r>
          <w:hyperlink w:anchor="_2l198263ov2q">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I. Introducción</w:t>
              <w:tab/>
              <w:t xml:space="preserve">3</w:t>
            </w:r>
          </w:hyperlink>
          <w:r w:rsidDel="00000000" w:rsidR="00000000" w:rsidRPr="00000000">
            <w:rPr>
              <w:rtl w:val="0"/>
            </w:rPr>
          </w:r>
        </w:p>
        <w:p w:rsidR="00000000" w:rsidDel="00000000" w:rsidP="00000000" w:rsidRDefault="00000000" w:rsidRPr="00000000" w14:paraId="00000033">
          <w:pPr>
            <w:widowControl w:val="0"/>
            <w:tabs>
              <w:tab w:val="right" w:leader="dot" w:pos="12000"/>
            </w:tabs>
            <w:spacing w:before="60" w:line="240" w:lineRule="auto"/>
            <w:rPr>
              <w:rFonts w:ascii="Arial" w:cs="Arial" w:eastAsia="Arial" w:hAnsi="Arial"/>
              <w:b w:val="1"/>
              <w:i w:val="0"/>
              <w:smallCaps w:val="0"/>
              <w:strike w:val="0"/>
              <w:color w:val="000000"/>
              <w:sz w:val="22"/>
              <w:szCs w:val="22"/>
              <w:u w:val="none"/>
              <w:shd w:fill="auto" w:val="clear"/>
              <w:vertAlign w:val="baseline"/>
            </w:rPr>
          </w:pPr>
          <w:hyperlink w:anchor="_sm76f3xntuoc">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II. Obligaciones generales de respeto y garantía en materia derecho al acceso a la justicia en conexión con la protección a los DESC</w:t>
              <w:tab/>
              <w:t xml:space="preserve">3</w:t>
            </w:r>
          </w:hyperlink>
          <w:r w:rsidDel="00000000" w:rsidR="00000000" w:rsidRPr="00000000">
            <w:rPr>
              <w:rtl w:val="0"/>
            </w:rPr>
          </w:r>
        </w:p>
        <w:p w:rsidR="00000000" w:rsidDel="00000000" w:rsidP="00000000" w:rsidRDefault="00000000" w:rsidRPr="00000000" w14:paraId="00000034">
          <w:pPr>
            <w:widowControl w:val="0"/>
            <w:tabs>
              <w:tab w:val="right" w:leader="dot"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yn0dyws6rz0a">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Sentencia T-025 de 2004</w:t>
              <w:tab/>
              <w:t xml:space="preserve">6</w:t>
            </w:r>
          </w:hyperlink>
          <w:r w:rsidDel="00000000" w:rsidR="00000000" w:rsidRPr="00000000">
            <w:rPr>
              <w:rtl w:val="0"/>
            </w:rPr>
          </w:r>
        </w:p>
        <w:p w:rsidR="00000000" w:rsidDel="00000000" w:rsidP="00000000" w:rsidRDefault="00000000" w:rsidRPr="00000000" w14:paraId="00000035">
          <w:pPr>
            <w:widowControl w:val="0"/>
            <w:tabs>
              <w:tab w:val="right" w:leader="dot"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8wab4rkw79p8">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 Sentencia T-760 de 2008</w:t>
              <w:tab/>
              <w:t xml:space="preserve">7</w:t>
            </w:r>
          </w:hyperlink>
          <w:r w:rsidDel="00000000" w:rsidR="00000000" w:rsidRPr="00000000">
            <w:rPr>
              <w:rtl w:val="0"/>
            </w:rPr>
          </w:r>
        </w:p>
        <w:p w:rsidR="00000000" w:rsidDel="00000000" w:rsidP="00000000" w:rsidRDefault="00000000" w:rsidRPr="00000000" w14:paraId="00000036">
          <w:pPr>
            <w:widowControl w:val="0"/>
            <w:tabs>
              <w:tab w:val="right" w:leader="dot"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pxmp1c5nqz46">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 Sentencias T-388 de 2013, T-762 de 2015 y SU-122 de 2022</w:t>
              <w:tab/>
              <w:t xml:space="preserve">9</w:t>
            </w:r>
          </w:hyperlink>
          <w:r w:rsidDel="00000000" w:rsidR="00000000" w:rsidRPr="00000000">
            <w:rPr>
              <w:rtl w:val="0"/>
            </w:rPr>
          </w:r>
        </w:p>
        <w:p w:rsidR="00000000" w:rsidDel="00000000" w:rsidP="00000000" w:rsidRDefault="00000000" w:rsidRPr="00000000" w14:paraId="00000037">
          <w:pPr>
            <w:widowControl w:val="0"/>
            <w:tabs>
              <w:tab w:val="right" w:leader="dot"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cgqz2twfzbw">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 Sentencia T-302 de 2017</w:t>
              <w:tab/>
              <w:t xml:space="preserve">10</w:t>
            </w:r>
          </w:hyperlink>
          <w:r w:rsidDel="00000000" w:rsidR="00000000" w:rsidRPr="00000000">
            <w:rPr>
              <w:rtl w:val="0"/>
            </w:rPr>
          </w:r>
        </w:p>
        <w:p w:rsidR="00000000" w:rsidDel="00000000" w:rsidP="00000000" w:rsidRDefault="00000000" w:rsidRPr="00000000" w14:paraId="00000038">
          <w:pPr>
            <w:widowControl w:val="0"/>
            <w:tabs>
              <w:tab w:val="right" w:leader="dot"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vy6ndmw39hk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 Recomendamos que el Comité pregunte al gobierno de Colombia</w:t>
              <w:tab/>
              <w:t xml:space="preserve">12</w:t>
            </w:r>
          </w:hyperlink>
          <w:r w:rsidDel="00000000" w:rsidR="00000000" w:rsidRPr="00000000">
            <w:rPr>
              <w:rtl w:val="0"/>
            </w:rPr>
          </w:r>
        </w:p>
        <w:p w:rsidR="00000000" w:rsidDel="00000000" w:rsidP="00000000" w:rsidRDefault="00000000" w:rsidRPr="00000000" w14:paraId="00000039">
          <w:pPr>
            <w:widowControl w:val="0"/>
            <w:tabs>
              <w:tab w:val="right" w:leader="dot" w:pos="12000"/>
            </w:tabs>
            <w:spacing w:before="60" w:line="240" w:lineRule="auto"/>
            <w:rPr>
              <w:rFonts w:ascii="Arial" w:cs="Arial" w:eastAsia="Arial" w:hAnsi="Arial"/>
              <w:b w:val="1"/>
              <w:i w:val="0"/>
              <w:smallCaps w:val="0"/>
              <w:strike w:val="0"/>
              <w:color w:val="000000"/>
              <w:sz w:val="22"/>
              <w:szCs w:val="22"/>
              <w:u w:val="none"/>
              <w:shd w:fill="auto" w:val="clear"/>
              <w:vertAlign w:val="baseline"/>
            </w:rPr>
          </w:pPr>
          <w:hyperlink w:anchor="_v12lxcd44nqj">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III. Obligaciones generales de respeto y garantía en materia de DESC y ECN</w:t>
              <w:tab/>
              <w:t xml:space="preserve">13</w:t>
            </w:r>
          </w:hyperlink>
          <w:r w:rsidDel="00000000" w:rsidR="00000000" w:rsidRPr="00000000">
            <w:rPr>
              <w:rtl w:val="0"/>
            </w:rPr>
          </w:r>
        </w:p>
        <w:p w:rsidR="00000000" w:rsidDel="00000000" w:rsidP="00000000" w:rsidRDefault="00000000" w:rsidRPr="00000000" w14:paraId="0000003A">
          <w:pPr>
            <w:widowControl w:val="0"/>
            <w:tabs>
              <w:tab w:val="right" w:leader="dot"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yd4u9vweo453">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Panorama alimentario en Colombia</w:t>
              <w:tab/>
              <w:t xml:space="preserve">14</w:t>
            </w:r>
          </w:hyperlink>
          <w:r w:rsidDel="00000000" w:rsidR="00000000" w:rsidRPr="00000000">
            <w:rPr>
              <w:rtl w:val="0"/>
            </w:rPr>
          </w:r>
        </w:p>
        <w:p w:rsidR="00000000" w:rsidDel="00000000" w:rsidP="00000000" w:rsidRDefault="00000000" w:rsidRPr="00000000" w14:paraId="0000003B">
          <w:pPr>
            <w:widowControl w:val="0"/>
            <w:tabs>
              <w:tab w:val="right" w:leader="dot"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7lxix6mhsdte">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 Medidas regulatorias orientadas a la reducción de factores de riesgo de enfermedades crónicas no transmisibles particularmente de la obesidad</w:t>
              <w:tab/>
              <w:t xml:space="preserve">15</w:t>
            </w:r>
          </w:hyperlink>
          <w:r w:rsidDel="00000000" w:rsidR="00000000" w:rsidRPr="00000000">
            <w:rPr>
              <w:rtl w:val="0"/>
            </w:rPr>
          </w:r>
        </w:p>
        <w:p w:rsidR="00000000" w:rsidDel="00000000" w:rsidP="00000000" w:rsidRDefault="00000000" w:rsidRPr="00000000" w14:paraId="0000003C">
          <w:pPr>
            <w:widowControl w:val="0"/>
            <w:tabs>
              <w:tab w:val="right" w:leader="dot"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wr59oq40u7qc">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 Medidas orientadas a mitigar la inseguridad alimentaria en regiones de alto riesgo: situación de La Guajira</w:t>
              <w:tab/>
              <w:t xml:space="preserve">15</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3D">
      <w:pPr>
        <w:pStyle w:val="Subtitle"/>
        <w:spacing w:line="252.00000000000003" w:lineRule="auto"/>
        <w:ind w:left="0" w:firstLine="0"/>
        <w:jc w:val="both"/>
        <w:rPr>
          <w:rFonts w:ascii="Times New Roman" w:cs="Times New Roman" w:eastAsia="Times New Roman" w:hAnsi="Times New Roman"/>
          <w:sz w:val="24"/>
          <w:szCs w:val="24"/>
        </w:rPr>
      </w:pPr>
      <w:bookmarkStart w:colFirst="0" w:colLast="0" w:name="_dsas367c4uiz" w:id="0"/>
      <w:bookmarkEnd w:id="0"/>
      <w:r w:rsidDel="00000000" w:rsidR="00000000" w:rsidRPr="00000000">
        <w:rPr>
          <w:rtl w:val="0"/>
        </w:rPr>
      </w:r>
    </w:p>
    <w:p w:rsidR="00000000" w:rsidDel="00000000" w:rsidP="00000000" w:rsidRDefault="00000000" w:rsidRPr="00000000" w14:paraId="0000003E">
      <w:pPr>
        <w:spacing w:after="240" w:before="24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F">
      <w:pPr>
        <w:spacing w:after="240" w:before="24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0">
      <w:pPr>
        <w:spacing w:after="240" w:before="24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1">
      <w:pPr>
        <w:spacing w:after="240" w:before="24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2">
      <w:pPr>
        <w:spacing w:after="240" w:before="24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3">
      <w:pPr>
        <w:spacing w:after="240" w:before="24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4">
      <w:pPr>
        <w:spacing w:after="240" w:before="24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5">
      <w:pPr>
        <w:spacing w:after="240" w:before="24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B">
      <w:pPr>
        <w:pStyle w:val="Heading1"/>
        <w:numPr>
          <w:ilvl w:val="0"/>
          <w:numId w:val="5"/>
        </w:numPr>
        <w:ind w:left="720" w:hanging="360"/>
        <w:rPr>
          <w:b w:val="1"/>
        </w:rPr>
      </w:pPr>
      <w:bookmarkStart w:colFirst="0" w:colLast="0" w:name="_2l198263ov2q" w:id="1"/>
      <w:bookmarkEnd w:id="1"/>
      <w:r w:rsidDel="00000000" w:rsidR="00000000" w:rsidRPr="00000000">
        <w:rPr>
          <w:rFonts w:ascii="Times New Roman" w:cs="Times New Roman" w:eastAsia="Times New Roman" w:hAnsi="Times New Roman"/>
          <w:b w:val="1"/>
          <w:sz w:val="24"/>
          <w:szCs w:val="24"/>
          <w:rtl w:val="0"/>
        </w:rPr>
        <w:t xml:space="preserve">Introducción </w:t>
      </w:r>
      <w:r w:rsidDel="00000000" w:rsidR="00000000" w:rsidRPr="00000000">
        <w:rPr>
          <w:rtl w:val="0"/>
        </w:rPr>
      </w:r>
    </w:p>
    <w:p w:rsidR="00000000" w:rsidDel="00000000" w:rsidP="00000000" w:rsidRDefault="00000000" w:rsidRPr="00000000" w14:paraId="0000004C">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Atendiendo la próxima revisión que el Comité de Derechos Económicos, Sociales y Culturales (en adelante Comité DESC) hará al estado Colombiano en relación al cumplimiento de las obligaciones establecidas en el Pacto Internacional de Derechos Económicos, Sociales y Culturales (en adelante PIDESC), e</w:t>
      </w:r>
      <w:r w:rsidDel="00000000" w:rsidR="00000000" w:rsidRPr="00000000">
        <w:rPr>
          <w:rFonts w:ascii="Times New Roman" w:cs="Times New Roman" w:eastAsia="Times New Roman" w:hAnsi="Times New Roman"/>
          <w:sz w:val="24"/>
          <w:szCs w:val="24"/>
          <w:rtl w:val="0"/>
        </w:rPr>
        <w:t xml:space="preserve">l presente informe busca documentar las principales limitaciones que encuentra </w:t>
      </w:r>
      <w:r w:rsidDel="00000000" w:rsidR="00000000" w:rsidRPr="00000000">
        <w:rPr>
          <w:rFonts w:ascii="Times New Roman" w:cs="Times New Roman" w:eastAsia="Times New Roman" w:hAnsi="Times New Roman"/>
          <w:sz w:val="24"/>
          <w:szCs w:val="24"/>
          <w:rtl w:val="0"/>
        </w:rPr>
        <w:t xml:space="preserve">Colombia</w:t>
      </w:r>
      <w:r w:rsidDel="00000000" w:rsidR="00000000" w:rsidRPr="00000000">
        <w:rPr>
          <w:rFonts w:ascii="Times New Roman" w:cs="Times New Roman" w:eastAsia="Times New Roman" w:hAnsi="Times New Roman"/>
          <w:sz w:val="24"/>
          <w:szCs w:val="24"/>
          <w:rtl w:val="0"/>
        </w:rPr>
        <w:t xml:space="preserve"> para la efectiva garantía del derecho al acceso a la justicia en relación con la protección de los derechos económicos sociales y culturales (en adelante DESC), así como con el incumplimiento en las obligaciones estatales relacionadas con la garantía de los derechos a la alimentación y la salud y el deber estatal de prevenir el doble borde de malnutrición.</w:t>
      </w:r>
    </w:p>
    <w:p w:rsidR="00000000" w:rsidDel="00000000" w:rsidP="00000000" w:rsidRDefault="00000000" w:rsidRPr="00000000" w14:paraId="0000004D">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E">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Para ello, las siguientes secciones presentarán las dificultades en el acceso a la justicia ante violaciones generalizadas y estructurales de DESCA, principalmente, de aquellas sentencias estructurales emitidas por la Corte Constitucional de Colombia que, en su momento, representaron un avance importante para la protección de estos derechos (Sección II). Posteriormente, se realizará un análisis sobre el derecho a la alimentación en Colombia y algunas preguntas orientadas a determinar las acciones del estado para prevenir el doble borde de malnutrición (Sección III). En cada una de estas secciones se incluirá una lista de preguntas sugeridas al Comité en relación a la actuación y/o omisión del estado. </w:t>
      </w:r>
    </w:p>
    <w:p w:rsidR="00000000" w:rsidDel="00000000" w:rsidP="00000000" w:rsidRDefault="00000000" w:rsidRPr="00000000" w14:paraId="0000004F">
      <w:pPr>
        <w:pStyle w:val="Heading1"/>
        <w:numPr>
          <w:ilvl w:val="0"/>
          <w:numId w:val="5"/>
        </w:numPr>
        <w:spacing w:line="252.00000000000003" w:lineRule="auto"/>
        <w:ind w:left="720" w:hanging="360"/>
        <w:jc w:val="both"/>
        <w:rPr>
          <w:b w:val="1"/>
        </w:rPr>
      </w:pPr>
      <w:bookmarkStart w:colFirst="0" w:colLast="0" w:name="_sm76f3xntuoc" w:id="2"/>
      <w:bookmarkEnd w:id="2"/>
      <w:r w:rsidDel="00000000" w:rsidR="00000000" w:rsidRPr="00000000">
        <w:rPr>
          <w:rFonts w:ascii="Times New Roman" w:cs="Times New Roman" w:eastAsia="Times New Roman" w:hAnsi="Times New Roman"/>
          <w:b w:val="1"/>
          <w:sz w:val="24"/>
          <w:szCs w:val="24"/>
          <w:rtl w:val="0"/>
        </w:rPr>
        <w:t xml:space="preserve">Obligaciones generales de respeto y garantía en materia del derecho al acceso a la justicia en conexión con la protección a los DESC</w:t>
      </w:r>
    </w:p>
    <w:p w:rsidR="00000000" w:rsidDel="00000000" w:rsidP="00000000" w:rsidRDefault="00000000" w:rsidRPr="00000000" w14:paraId="00000050">
      <w:pPr>
        <w:ind w:left="720" w:firstLine="0"/>
        <w:rPr/>
      </w:pPr>
      <w:r w:rsidDel="00000000" w:rsidR="00000000" w:rsidRPr="00000000">
        <w:rPr>
          <w:rtl w:val="0"/>
        </w:rPr>
      </w:r>
    </w:p>
    <w:p w:rsidR="00000000" w:rsidDel="00000000" w:rsidP="00000000" w:rsidRDefault="00000000" w:rsidRPr="00000000" w14:paraId="00000051">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El artículo 2 del PIDESC establece que los Estados parte se comprometen a adoptar medidas, tanto por separado como mediante la asistencia y la cooperación internacionales, especialmente económicas y técnicas, para lograr progresivamente, por todos los medios apropiados -inclusive la adopción de medidas legislativas-, la plena efectividad de los derechos </w:t>
      </w:r>
      <w:r w:rsidDel="00000000" w:rsidR="00000000" w:rsidRPr="00000000">
        <w:rPr>
          <w:rFonts w:ascii="Times New Roman" w:cs="Times New Roman" w:eastAsia="Times New Roman" w:hAnsi="Times New Roman"/>
          <w:sz w:val="24"/>
          <w:szCs w:val="24"/>
          <w:rtl w:val="0"/>
        </w:rPr>
        <w:t xml:space="preserve">reconocidos</w:t>
      </w:r>
      <w:r w:rsidDel="00000000" w:rsidR="00000000" w:rsidRPr="00000000">
        <w:rPr>
          <w:rFonts w:ascii="Times New Roman" w:cs="Times New Roman" w:eastAsia="Times New Roman" w:hAnsi="Times New Roman"/>
          <w:sz w:val="24"/>
          <w:szCs w:val="24"/>
          <w:rtl w:val="0"/>
        </w:rPr>
        <w:t xml:space="preserve">. Con el fin de ampliar la interpretación de este artículo, el Comité DESC ha destacado en su Observación General No. 3 que “entre las medidas que cabría considerar apropiadas, además de las legislativas, está la de ofrecer recursos judiciales en lo que respecta a derechos que, de acuerdo con el sistema jurídico nacional, puedan considerarse justiciables.”</w:t>
      </w:r>
      <w:r w:rsidDel="00000000" w:rsidR="00000000" w:rsidRPr="00000000">
        <w:rPr>
          <w:rFonts w:ascii="Times New Roman" w:cs="Times New Roman" w:eastAsia="Times New Roman" w:hAnsi="Times New Roman"/>
          <w:sz w:val="24"/>
          <w:szCs w:val="24"/>
          <w:vertAlign w:val="superscript"/>
        </w:rPr>
        <w:footnoteReference w:customMarkFollows="0" w:id="0"/>
      </w:r>
      <w:r w:rsidDel="00000000" w:rsidR="00000000" w:rsidRPr="00000000">
        <w:rPr>
          <w:rFonts w:ascii="Times New Roman" w:cs="Times New Roman" w:eastAsia="Times New Roman" w:hAnsi="Times New Roman"/>
          <w:sz w:val="24"/>
          <w:szCs w:val="24"/>
          <w:rtl w:val="0"/>
        </w:rPr>
        <w:t xml:space="preserve"> De hecho, reconoce el Comité que “el disfrute de los derechos reconocidos, sin discriminación, se fomentará a menudo de manera apropiada, en parte mediante la provisión de recursos judiciales.”</w:t>
      </w:r>
      <w:r w:rsidDel="00000000" w:rsidR="00000000" w:rsidRPr="00000000">
        <w:rPr>
          <w:rFonts w:ascii="Times New Roman" w:cs="Times New Roman" w:eastAsia="Times New Roman" w:hAnsi="Times New Roman"/>
          <w:sz w:val="24"/>
          <w:szCs w:val="24"/>
          <w:vertAlign w:val="superscript"/>
        </w:rPr>
        <w:footnoteReference w:customMarkFollows="0" w:id="1"/>
      </w:r>
      <w:r w:rsidDel="00000000" w:rsidR="00000000" w:rsidRPr="00000000">
        <w:rPr>
          <w:rFonts w:ascii="Times New Roman" w:cs="Times New Roman" w:eastAsia="Times New Roman" w:hAnsi="Times New Roman"/>
          <w:sz w:val="24"/>
          <w:szCs w:val="24"/>
          <w:rtl w:val="0"/>
        </w:rPr>
        <w:t xml:space="preserve"> Esta interpretación a favor del reconocimiento de un recurso judicial para los DESC también ha sido reconocida en la Observación General No. 9 al señalarse que “las normas del Pacto han de ser reconocidas en el ordenamiento jurídico interno a través de los medios adecuados” lo que implica que “las personas individuales o los grupos agraviados han de disponer de medios adecuados de reparación o de recurso, y se han de establecer mecanismos adecuados para garantizar la responsabilidad de los gobiernos.”</w:t>
      </w:r>
      <w:r w:rsidDel="00000000" w:rsidR="00000000" w:rsidRPr="00000000">
        <w:rPr>
          <w:rFonts w:ascii="Times New Roman" w:cs="Times New Roman" w:eastAsia="Times New Roman" w:hAnsi="Times New Roman"/>
          <w:sz w:val="24"/>
          <w:szCs w:val="24"/>
          <w:vertAlign w:val="superscript"/>
        </w:rPr>
        <w:footnoteReference w:customMarkFollows="0" w:id="2"/>
      </w:r>
      <w:r w:rsidDel="00000000" w:rsidR="00000000" w:rsidRPr="00000000">
        <w:rPr>
          <w:rtl w:val="0"/>
        </w:rPr>
      </w:r>
    </w:p>
    <w:p w:rsidR="00000000" w:rsidDel="00000000" w:rsidP="00000000" w:rsidRDefault="00000000" w:rsidRPr="00000000" w14:paraId="00000052">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3">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 el ámbito doméstico, el acceso a la justicia está reconocido como un derecho fundamental en Colombia en virtud de la Constitución Política, artículo 229, el cual establece que: “Se garantiza el derecho de toda persona para acceder a la administración de justicia.”</w:t>
      </w:r>
      <w:r w:rsidDel="00000000" w:rsidR="00000000" w:rsidRPr="00000000">
        <w:rPr>
          <w:rFonts w:ascii="Times New Roman" w:cs="Times New Roman" w:eastAsia="Times New Roman" w:hAnsi="Times New Roman"/>
          <w:sz w:val="24"/>
          <w:szCs w:val="24"/>
          <w:vertAlign w:val="superscript"/>
        </w:rPr>
        <w:footnoteReference w:customMarkFollows="0" w:id="3"/>
      </w:r>
      <w:r w:rsidDel="00000000" w:rsidR="00000000" w:rsidRPr="00000000">
        <w:rPr>
          <w:rFonts w:ascii="Times New Roman" w:cs="Times New Roman" w:eastAsia="Times New Roman" w:hAnsi="Times New Roman"/>
          <w:sz w:val="24"/>
          <w:szCs w:val="24"/>
          <w:rtl w:val="0"/>
        </w:rPr>
        <w:t xml:space="preserve"> Con el fin de proteger los derechos fundamentales, la Constitución estableció un mecanismo denominado ‘Acción de Tutela’ que permite la protección de los derechos fundamentales de los individuos cuando estos resultan vulnerados o amenazados ya sea por acción u omisión. Dentro de los derechos fundamentales que protege esta acción están, no solo aquellos identificados ‘fundamentales’ -incluidos en el capítulo 1 de la Constitución-, como el derecho a presentar peticiones a las autoridades y al debido proceso, sino también aquellos derechos de índole económica, social, cultural e incluso ambiental - identificados en los capítulos 2 y 3-, como el derecho a la salud, la educación, la alimentación de los niños, entre otros. Este instrumento ha permitido resolver de manera ágil y eficaz vulneraciones a los derechos fundamentales. Es decir, el sistema judicial en Colombia garantiza, al menos ‘en el papel’, los instrumentos jurídicos relacionados con el acceso a la justicia en la protección de los DESC. </w:t>
      </w:r>
    </w:p>
    <w:p w:rsidR="00000000" w:rsidDel="00000000" w:rsidP="00000000" w:rsidRDefault="00000000" w:rsidRPr="00000000" w14:paraId="00000054">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5">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Es más, la jurisprudencia de la Corte Constitucional Colombiana -órgano supremo encargado de la vigilancia de la Constitución y quien puede revisar las acciones de tutela- ha sido sensible al hecho de que muchas de esas violaciones pueden suceder de manera generalizada (afectando a un grupo amplio de personas y no solo a un caso aislado) y obedecen a fallos sistémicos o estructurales (no son solo el resultado de la acción o inacción de un funcionario sino que obedecen a la ausencia de coordinación entre las </w:t>
      </w:r>
      <w:r w:rsidDel="00000000" w:rsidR="00000000" w:rsidRPr="00000000">
        <w:rPr>
          <w:rFonts w:ascii="Times New Roman" w:cs="Times New Roman" w:eastAsia="Times New Roman" w:hAnsi="Times New Roman"/>
          <w:sz w:val="24"/>
          <w:szCs w:val="24"/>
          <w:rtl w:val="0"/>
        </w:rPr>
        <w:t xml:space="preserve">distintas entidades estatales</w:t>
      </w:r>
      <w:r w:rsidDel="00000000" w:rsidR="00000000" w:rsidRPr="00000000">
        <w:rPr>
          <w:rFonts w:ascii="Times New Roman" w:cs="Times New Roman" w:eastAsia="Times New Roman" w:hAnsi="Times New Roman"/>
          <w:sz w:val="24"/>
          <w:szCs w:val="24"/>
          <w:rtl w:val="0"/>
        </w:rPr>
        <w:t xml:space="preserve">). Incluso, es posible que, en estas situaciones convergen distintos tipos de violaciones fruto de décadas de inacción estatal. En estos casos, la Corte ha emitido ‘sentencias estructurales’ caracterizadas por  incluir órdenes complejas que usualmente resultan en un llamado a las distintas instituciones públicas para que realicen un trabajo conjunto y armónico para superar la situación de vulneración. </w:t>
      </w:r>
    </w:p>
    <w:p w:rsidR="00000000" w:rsidDel="00000000" w:rsidP="00000000" w:rsidRDefault="00000000" w:rsidRPr="00000000" w14:paraId="00000056">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7">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 varias de estas sentencias estructurales la Corte Constitucional ha recurrido a la figura del “Estado de Cosas Inconstitucional -ECI-”.</w:t>
      </w:r>
      <w:r w:rsidDel="00000000" w:rsidR="00000000" w:rsidRPr="00000000">
        <w:rPr>
          <w:rFonts w:ascii="Times New Roman" w:cs="Times New Roman" w:eastAsia="Times New Roman" w:hAnsi="Times New Roman"/>
          <w:sz w:val="24"/>
          <w:szCs w:val="24"/>
          <w:vertAlign w:val="superscript"/>
        </w:rPr>
        <w:footnoteReference w:customMarkFollows="0" w:id="4"/>
      </w:r>
      <w:r w:rsidDel="00000000" w:rsidR="00000000" w:rsidRPr="00000000">
        <w:rPr>
          <w:rFonts w:ascii="Times New Roman" w:cs="Times New Roman" w:eastAsia="Times New Roman" w:hAnsi="Times New Roman"/>
          <w:sz w:val="24"/>
          <w:szCs w:val="24"/>
          <w:rtl w:val="0"/>
        </w:rPr>
        <w:t xml:space="preserve"> En estos casos la Corte ordena a distintas autoridades públicas a poner en marcha todos los medios para que trabajen de manera conjunta y armónica a fin de superar esta situación. Aunque estas sentencias son excepcionales en la doctrina constitucional, se trata de decisiones que buscan ir más allá del caso concreto para proveer una solución estructural a una problemática compleja. </w:t>
      </w:r>
    </w:p>
    <w:p w:rsidR="00000000" w:rsidDel="00000000" w:rsidP="00000000" w:rsidRDefault="00000000" w:rsidRPr="00000000" w14:paraId="00000058">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9">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Es importante reconocer que el hecho de que estas decisiones sean protectoras de los derechos en ‘el papel’ no implica que –por sí mismas– garanticen la realización de los derechos en la práctica. </w:t>
      </w:r>
      <w:r w:rsidDel="00000000" w:rsidR="00000000" w:rsidRPr="00000000">
        <w:rPr>
          <w:rFonts w:ascii="Times New Roman" w:cs="Times New Roman" w:eastAsia="Times New Roman" w:hAnsi="Times New Roman"/>
          <w:sz w:val="24"/>
          <w:szCs w:val="24"/>
          <w:rtl w:val="0"/>
        </w:rPr>
        <w:t xml:space="preserve">A pesar de que distintos autores han reconocido efectos positivos de estas sentencias y, en general, los grupos afectados las recogen como un avance</w:t>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sz w:val="24"/>
          <w:szCs w:val="24"/>
          <w:vertAlign w:val="superscript"/>
        </w:rPr>
        <w:footnoteReference w:customMarkFollows="0" w:id="5"/>
      </w:r>
      <w:r w:rsidDel="00000000" w:rsidR="00000000" w:rsidRPr="00000000">
        <w:rPr>
          <w:rFonts w:ascii="Times New Roman" w:cs="Times New Roman" w:eastAsia="Times New Roman" w:hAnsi="Times New Roman"/>
          <w:sz w:val="24"/>
          <w:szCs w:val="24"/>
          <w:rtl w:val="0"/>
        </w:rPr>
        <w:t xml:space="preserve"> varias de estas sentencias estructurales o de ECI muestran </w:t>
      </w:r>
      <w:r w:rsidDel="00000000" w:rsidR="00000000" w:rsidRPr="00000000">
        <w:rPr>
          <w:rFonts w:ascii="Times New Roman" w:cs="Times New Roman" w:eastAsia="Times New Roman" w:hAnsi="Times New Roman"/>
          <w:sz w:val="24"/>
          <w:szCs w:val="24"/>
          <w:rtl w:val="0"/>
        </w:rPr>
        <w:t xml:space="preserve">retrasos</w:t>
      </w:r>
      <w:r w:rsidDel="00000000" w:rsidR="00000000" w:rsidRPr="00000000">
        <w:rPr>
          <w:rFonts w:ascii="Times New Roman" w:cs="Times New Roman" w:eastAsia="Times New Roman" w:hAnsi="Times New Roman"/>
          <w:sz w:val="24"/>
          <w:szCs w:val="24"/>
          <w:rtl w:val="0"/>
        </w:rPr>
        <w:t xml:space="preserve"> persistentes en su implementación (algunas incluso luego de 19 años de haber sido expedidas) lo que, en últimas, se traduce en un retardo al acceso efectivo a la justicia por parte, especialmente, de grupos vulnerables. </w:t>
      </w:r>
      <w:r w:rsidDel="00000000" w:rsidR="00000000" w:rsidRPr="00000000">
        <w:rPr>
          <w:rFonts w:ascii="Times New Roman" w:cs="Times New Roman" w:eastAsia="Times New Roman" w:hAnsi="Times New Roman"/>
          <w:sz w:val="24"/>
          <w:szCs w:val="24"/>
          <w:rtl w:val="0"/>
        </w:rPr>
        <w:t xml:space="preserve">Un sistema de justicia poco eficaz </w:t>
      </w:r>
      <w:r w:rsidDel="00000000" w:rsidR="00000000" w:rsidRPr="00000000">
        <w:rPr>
          <w:rFonts w:ascii="Times New Roman" w:cs="Times New Roman" w:eastAsia="Times New Roman" w:hAnsi="Times New Roman"/>
          <w:sz w:val="24"/>
          <w:szCs w:val="24"/>
          <w:rtl w:val="0"/>
        </w:rPr>
        <w:t xml:space="preserve">no solo no soluciona las violaciones sino que también puede recrudecer las situaciones de violencia y abandono, y minar la confianza en las instituciones y en los procedimientos </w:t>
      </w:r>
      <w:r w:rsidDel="00000000" w:rsidR="00000000" w:rsidRPr="00000000">
        <w:rPr>
          <w:rFonts w:ascii="Times New Roman" w:cs="Times New Roman" w:eastAsia="Times New Roman" w:hAnsi="Times New Roman"/>
          <w:sz w:val="24"/>
          <w:szCs w:val="24"/>
          <w:rtl w:val="0"/>
        </w:rPr>
        <w:t xml:space="preserve">judiciales</w:t>
      </w:r>
      <w:r w:rsidDel="00000000" w:rsidR="00000000" w:rsidRPr="00000000">
        <w:rPr>
          <w:rFonts w:ascii="Times New Roman" w:cs="Times New Roman" w:eastAsia="Times New Roman" w:hAnsi="Times New Roman"/>
          <w:sz w:val="24"/>
          <w:szCs w:val="24"/>
          <w:rtl w:val="0"/>
        </w:rPr>
        <w:t xml:space="preserve">. Garantizar la igualdad de acceso a la justicia para grupos vulnerables o en condición de vulnerabilidad -en particular personas que habitan zonas rurales, niños, personas en las prisiones, etc- es fundamental para asegurar la protección plena de los derechos económicos, sociales y culturales.</w:t>
      </w:r>
    </w:p>
    <w:p w:rsidR="00000000" w:rsidDel="00000000" w:rsidP="00000000" w:rsidRDefault="00000000" w:rsidRPr="00000000" w14:paraId="0000005A">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B">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continuación presentaremos algunas sentencias proferidas por la Corte Constitucional en las cuales protege los derechos económicos, sociales y culturales de poblaciones vulnerables o en situaciones de violación masiva y generalizada de derechos, y ordena una serie de medidas estructurales que, en teoría, buscan solucionar la situación, pero que, a la fecha no han sido completamente implementadas. Los casos escogidos obedecen a casos relacionados principalmente con: i) violaciones generalizadas y estructurales a la protección de derechos económicos, sociales y culturales en Colombia; ii) son casos donde el retraso en su cumplimiento ha sido más prolongado y; iii) son casos donde las organizaciones firmantes han participado en su implementación y por lo cual disponemos de más información. </w:t>
      </w:r>
    </w:p>
    <w:p w:rsidR="00000000" w:rsidDel="00000000" w:rsidP="00000000" w:rsidRDefault="00000000" w:rsidRPr="00000000" w14:paraId="0000005C">
      <w:pPr>
        <w:pStyle w:val="Heading2"/>
        <w:numPr>
          <w:ilvl w:val="0"/>
          <w:numId w:val="1"/>
        </w:numPr>
        <w:spacing w:line="252.00000000000003" w:lineRule="auto"/>
        <w:ind w:left="720" w:hanging="360"/>
        <w:jc w:val="both"/>
        <w:rPr>
          <w:b w:val="0"/>
          <w:sz w:val="24"/>
          <w:szCs w:val="24"/>
        </w:rPr>
      </w:pPr>
      <w:bookmarkStart w:colFirst="0" w:colLast="0" w:name="_yn0dyws6rz0a" w:id="3"/>
      <w:bookmarkEnd w:id="3"/>
      <w:r w:rsidDel="00000000" w:rsidR="00000000" w:rsidRPr="00000000">
        <w:rPr>
          <w:rFonts w:ascii="Times New Roman" w:cs="Times New Roman" w:eastAsia="Times New Roman" w:hAnsi="Times New Roman"/>
          <w:i w:val="1"/>
          <w:sz w:val="24"/>
          <w:szCs w:val="24"/>
          <w:rtl w:val="0"/>
        </w:rPr>
        <w:t xml:space="preserve">Sentencia T-025 de 2004</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tl w:val="0"/>
        </w:rPr>
      </w:r>
    </w:p>
    <w:p w:rsidR="00000000" w:rsidDel="00000000" w:rsidP="00000000" w:rsidRDefault="00000000" w:rsidRPr="00000000" w14:paraId="0000005D">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El 22 de enero de 2004 la Corte Constitucional profirió la Sentencia T-025, mediante la cual declaró la existencia de un Estado de Cosas Inconstitucional -ECI-, debido a la vulneración sistemática y masiva (de derechos), producto del incumplimiento estatal en su obligación constitucional de garantizar los derechos de las personas víctimas de desplazamiento forzado a causa del conflicto armado interno, y de protegerlas en su vida, honra y bienes. Entre los derechos que la Corte observa mayormente vulnerados, están el derecho a la vida digna, a la integridad personal, a la igualdad, de petición, al trabajo, a la salud, a la seguridad social, a la educación, al mínimo vital y a la protección especial debida a las personas de la tercera edad, a mujeres cabeza de familia y a los niños y niñas. </w:t>
      </w:r>
    </w:p>
    <w:p w:rsidR="00000000" w:rsidDel="00000000" w:rsidP="00000000" w:rsidRDefault="00000000" w:rsidRPr="00000000" w14:paraId="0000005E">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F">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 Sentencia T-025 del 2004 establece varios componentes que deben ser evaluados para garantizar los derechos de la población desplazada. Estos componentes de la política pública, incluyen: registro, ayuda humanitaria, política de tierras, vivienda, generación de ingresos, salud, educación, atención psicosocial, participación y representación política, seguridad y protección, enfoque diferencial, coordinación interinstitucional, financiamiento y presupuesto, y seguimiento y evaluación.</w:t>
      </w:r>
      <w:r w:rsidDel="00000000" w:rsidR="00000000" w:rsidRPr="00000000">
        <w:rPr>
          <w:rFonts w:ascii="Times New Roman" w:cs="Times New Roman" w:eastAsia="Times New Roman" w:hAnsi="Times New Roman"/>
          <w:sz w:val="24"/>
          <w:szCs w:val="24"/>
          <w:vertAlign w:val="superscript"/>
        </w:rPr>
        <w:footnoteReference w:customMarkFollows="0" w:id="6"/>
      </w:r>
      <w:r w:rsidDel="00000000" w:rsidR="00000000" w:rsidRPr="00000000">
        <w:rPr>
          <w:rtl w:val="0"/>
        </w:rPr>
      </w:r>
    </w:p>
    <w:p w:rsidR="00000000" w:rsidDel="00000000" w:rsidP="00000000" w:rsidRDefault="00000000" w:rsidRPr="00000000" w14:paraId="00000060">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1">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 el 2009, la Corte creó una Sala Especial de Seguimiento a la Sentencia T-025, la cual estableció umbrales temporales para evaluar las mediciones del Gobierno y la Contraloría General de la República sobre el nivel de goce efectivo de los derechos de la población en situación de desplazamiento. Conforme a esto, el Auto 373 de 2016 concluyó que el ECI persistía debido a la presencia de falencias estructurales en la respuesta institucional.</w:t>
      </w:r>
    </w:p>
    <w:p w:rsidR="00000000" w:rsidDel="00000000" w:rsidP="00000000" w:rsidRDefault="00000000" w:rsidRPr="00000000" w14:paraId="00000062">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3">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Aun</w:t>
      </w:r>
      <w:r w:rsidDel="00000000" w:rsidR="00000000" w:rsidRPr="00000000">
        <w:rPr>
          <w:rFonts w:ascii="Times New Roman" w:cs="Times New Roman" w:eastAsia="Times New Roman" w:hAnsi="Times New Roman"/>
          <w:sz w:val="24"/>
          <w:szCs w:val="24"/>
          <w:rtl w:val="0"/>
        </w:rPr>
        <w:t xml:space="preserve">que se pueden relacionar diversas acciones enfocadas en acoger los lineamientos dados por la Corte en materia de seguimiento a la sentencia T-025, lo cierto es que aún no es posible mostrar resultados palpables que permitan, en el corto y mediano plazo, constatar que el ECI, </w:t>
      </w:r>
      <w:r w:rsidDel="00000000" w:rsidR="00000000" w:rsidRPr="00000000">
        <w:rPr>
          <w:rFonts w:ascii="Times New Roman" w:cs="Times New Roman" w:eastAsia="Times New Roman" w:hAnsi="Times New Roman"/>
          <w:sz w:val="24"/>
          <w:szCs w:val="24"/>
          <w:rtl w:val="0"/>
        </w:rPr>
        <w:t xml:space="preserve">se encuentra en vías de ser superado. Al respecto, el Auto 373 de 2016 señala que los principales rezagos en aras de la superación del ECI se encuentran en </w:t>
      </w:r>
      <w:r w:rsidDel="00000000" w:rsidR="00000000" w:rsidRPr="00000000">
        <w:rPr>
          <w:rFonts w:ascii="Times New Roman" w:cs="Times New Roman" w:eastAsia="Times New Roman" w:hAnsi="Times New Roman"/>
          <w:sz w:val="24"/>
          <w:szCs w:val="24"/>
          <w:rtl w:val="0"/>
        </w:rPr>
        <w:t xml:space="preserve">la falta de acceso a la justicia y la seguridad jurídica, la falta de acceso a servicios básicos como la educación, especialmente en zonas rurales y de difícil acceso, la persistencia de zonas apartadas y de difícil acceso en el país, en algunos casos con restricciones a la movilidad, en las cuales se han identificado crisis recurrentes y tasas altas de recepción de población desplazada que no puede acceder a la ayuda humanitaria, enfrentando con ello situaciones de inseguridad alimentaria. Asimismo, el Auto señala como un problema mayor la falta de acceso a la tierra y la vivienda, lo que dificulta la reintegración económica y social de las personas desplazadas. En el mismo orden, la falta de protección y atención efectiva por parte de las autoridades encargadas de la atención de la población desplazada es otro punto crítico que no se ha resuelto.</w:t>
      </w:r>
      <w:r w:rsidDel="00000000" w:rsidR="00000000" w:rsidRPr="00000000">
        <w:rPr>
          <w:rFonts w:ascii="Times New Roman" w:cs="Times New Roman" w:eastAsia="Times New Roman" w:hAnsi="Times New Roman"/>
          <w:sz w:val="24"/>
          <w:szCs w:val="24"/>
          <w:vertAlign w:val="superscript"/>
        </w:rPr>
        <w:footnoteReference w:customMarkFollows="0" w:id="7"/>
      </w:r>
      <w:r w:rsidDel="00000000" w:rsidR="00000000" w:rsidRPr="00000000">
        <w:rPr>
          <w:rtl w:val="0"/>
        </w:rPr>
      </w:r>
    </w:p>
    <w:p w:rsidR="00000000" w:rsidDel="00000000" w:rsidP="00000000" w:rsidRDefault="00000000" w:rsidRPr="00000000" w14:paraId="00000064">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5">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Finalmente, a través del Auto 373 de 2016</w:t>
      </w:r>
      <w:r w:rsidDel="00000000" w:rsidR="00000000" w:rsidRPr="00000000">
        <w:rPr>
          <w:rFonts w:ascii="Times New Roman" w:cs="Times New Roman" w:eastAsia="Times New Roman" w:hAnsi="Times New Roman"/>
          <w:sz w:val="24"/>
          <w:szCs w:val="24"/>
          <w:vertAlign w:val="superscript"/>
        </w:rPr>
        <w:footnoteReference w:customMarkFollows="0" w:id="8"/>
      </w:r>
      <w:r w:rsidDel="00000000" w:rsidR="00000000" w:rsidRPr="00000000">
        <w:rPr>
          <w:rFonts w:ascii="Times New Roman" w:cs="Times New Roman" w:eastAsia="Times New Roman" w:hAnsi="Times New Roman"/>
          <w:sz w:val="24"/>
          <w:szCs w:val="24"/>
          <w:rtl w:val="0"/>
        </w:rPr>
        <w:t xml:space="preserve">, la Corte recomienda fortalecer la capacidad institucional y el presupuesto destinado a la atención de la población desplazada, garantizar la participación efectiva de la población desplazada en la toma de decisiones que afectan sus derechos, mejorar la coordinación interinstitucional y la articulación entre los diferentes niveles de gobierno, garantizar la protección y seguridad de la población desplazada, mejorar la calidad y la cobertura de los servicios de atención a la población desplazada, y fortalecer los mecanismos de seguimiento y evaluación de la política pública para la atención a la población desplazada.</w:t>
      </w:r>
      <w:r w:rsidDel="00000000" w:rsidR="00000000" w:rsidRPr="00000000">
        <w:rPr>
          <w:rtl w:val="0"/>
        </w:rPr>
      </w:r>
    </w:p>
    <w:p w:rsidR="00000000" w:rsidDel="00000000" w:rsidP="00000000" w:rsidRDefault="00000000" w:rsidRPr="00000000" w14:paraId="00000066">
      <w:pPr>
        <w:pStyle w:val="Heading2"/>
        <w:numPr>
          <w:ilvl w:val="0"/>
          <w:numId w:val="1"/>
        </w:numPr>
        <w:spacing w:line="252.00000000000003" w:lineRule="auto"/>
        <w:ind w:left="720" w:hanging="360"/>
        <w:jc w:val="both"/>
        <w:rPr>
          <w:b w:val="0"/>
          <w:sz w:val="24"/>
          <w:szCs w:val="24"/>
        </w:rPr>
      </w:pPr>
      <w:bookmarkStart w:colFirst="0" w:colLast="0" w:name="_8wab4rkw79p8" w:id="4"/>
      <w:bookmarkEnd w:id="4"/>
      <w:r w:rsidDel="00000000" w:rsidR="00000000" w:rsidRPr="00000000">
        <w:rPr>
          <w:rFonts w:ascii="Times New Roman" w:cs="Times New Roman" w:eastAsia="Times New Roman" w:hAnsi="Times New Roman"/>
          <w:i w:val="1"/>
          <w:sz w:val="24"/>
          <w:szCs w:val="24"/>
          <w:rtl w:val="0"/>
        </w:rPr>
        <w:t xml:space="preserve">Sentencia T-760 de 2008</w:t>
      </w:r>
      <w:r w:rsidDel="00000000" w:rsidR="00000000" w:rsidRPr="00000000">
        <w:rPr>
          <w:rtl w:val="0"/>
        </w:rPr>
      </w:r>
    </w:p>
    <w:p w:rsidR="00000000" w:rsidDel="00000000" w:rsidP="00000000" w:rsidRDefault="00000000" w:rsidRPr="00000000" w14:paraId="00000067">
      <w:pPr>
        <w:spacing w:line="252.00000000000003"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 julio de 2008 la Corte emitió la sentencia T-760 de 2008 en la cual, luego de un análisis estructural de la crisis en el acceso a la salud, impartió un conjunto de órdenes generales encaminadas a conjurar las fallas de regulación </w:t>
      </w:r>
      <w:r w:rsidDel="00000000" w:rsidR="00000000" w:rsidRPr="00000000">
        <w:rPr>
          <w:rFonts w:ascii="Times New Roman" w:cs="Times New Roman" w:eastAsia="Times New Roman" w:hAnsi="Times New Roman"/>
          <w:sz w:val="24"/>
          <w:szCs w:val="24"/>
          <w:rtl w:val="0"/>
        </w:rPr>
        <w:t xml:space="preserve">respecto a los planes de beneficios, Plan Obligatorio en Salud - POS, la sostenibilidad financiera, el flujo de recursos de sistema y la cobertura del mismo</w:t>
      </w:r>
      <w:r w:rsidDel="00000000" w:rsidR="00000000" w:rsidRPr="00000000">
        <w:rPr>
          <w:rFonts w:ascii="Times New Roman" w:cs="Times New Roman" w:eastAsia="Times New Roman" w:hAnsi="Times New Roman"/>
          <w:sz w:val="24"/>
          <w:szCs w:val="24"/>
          <w:rtl w:val="0"/>
        </w:rPr>
        <w:t xml:space="preserve">. La Corte tuvo como punto de partida un enfoque de derechos y la insistencia en procesos participativos que legitimaran estos cambios. Asimismo, dicha intervención tuvo como objetivo impulsar la equidad, asegurar el adecuado funcionamiento del sistema y reducir la huída al litigio como último recurso para lograr el acceso a la salud.</w:t>
      </w:r>
    </w:p>
    <w:p w:rsidR="00000000" w:rsidDel="00000000" w:rsidP="00000000" w:rsidRDefault="00000000" w:rsidRPr="00000000" w14:paraId="00000068">
      <w:pPr>
        <w:spacing w:line="252.00000000000003"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9">
      <w:pPr>
        <w:spacing w:line="252.00000000000003"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 T-760 de 2008 recoge 22 tutelas que se seleccionaron para ilustrar los problemas sistémicos en la supervisión y la regulación del sistema de salud que habían conducido al uso excesivo de la tutela. La sentencia, además de resolver las 22 tutelas, exige una transformación del sistema de salud en su totalidad. Aunque la Corte no declara técnicamente la existencia de una ECI,  si afirma la necesidad de aplicar un enfoque estructural teniendo en cuenta que “los órganos responsables de lo que podría denominarse genéricamente la regulación del sistema de salud no han adoptado decisiones que les garanticen a las personas su derecho a la salud sin tener que acudir a la acción de tutela”.</w:t>
      </w:r>
      <w:r w:rsidDel="00000000" w:rsidR="00000000" w:rsidRPr="00000000">
        <w:rPr>
          <w:rFonts w:ascii="Times New Roman" w:cs="Times New Roman" w:eastAsia="Times New Roman" w:hAnsi="Times New Roman"/>
          <w:sz w:val="24"/>
          <w:szCs w:val="24"/>
          <w:vertAlign w:val="superscript"/>
        </w:rPr>
        <w:footnoteReference w:customMarkFollows="0" w:id="9"/>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6A">
      <w:pPr>
        <w:spacing w:line="252.00000000000003"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B">
      <w:pPr>
        <w:spacing w:line="252.00000000000003"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Visto en términos formales, podría decirse que los efectos instrumentales directos de la sentencia T-760 habrían sido importantes teniendo en cuenta que el plan de beneficios fue unificado y actualizado.</w:t>
      </w:r>
      <w:r w:rsidDel="00000000" w:rsidR="00000000" w:rsidRPr="00000000">
        <w:rPr>
          <w:rFonts w:ascii="Times New Roman" w:cs="Times New Roman" w:eastAsia="Times New Roman" w:hAnsi="Times New Roman"/>
          <w:sz w:val="24"/>
          <w:szCs w:val="24"/>
          <w:vertAlign w:val="superscript"/>
        </w:rPr>
        <w:footnoteReference w:customMarkFollows="0" w:id="10"/>
      </w:r>
      <w:r w:rsidDel="00000000" w:rsidR="00000000" w:rsidRPr="00000000">
        <w:rPr>
          <w:rFonts w:ascii="Times New Roman" w:cs="Times New Roman" w:eastAsia="Times New Roman" w:hAnsi="Times New Roman"/>
          <w:sz w:val="24"/>
          <w:szCs w:val="24"/>
          <w:rtl w:val="0"/>
        </w:rPr>
        <w:t xml:space="preserve"> Sin embargo, las críticas hechas por la misma Corte evidencian que la eficacia de las medidas emitidas ha sido incompleta pues, por mencionar una variable, el número de tutelas en salud aunque </w:t>
      </w:r>
      <w:r w:rsidDel="00000000" w:rsidR="00000000" w:rsidRPr="00000000">
        <w:rPr>
          <w:rFonts w:ascii="Times New Roman" w:cs="Times New Roman" w:eastAsia="Times New Roman" w:hAnsi="Times New Roman"/>
          <w:sz w:val="24"/>
          <w:szCs w:val="24"/>
          <w:rtl w:val="0"/>
        </w:rPr>
        <w:t xml:space="preserve">ha ido disminuyendo considerablemente –aún más teniendo en cuenta la pandemia por COVID-19–, sigue siendo una cifra alta</w:t>
      </w:r>
      <w:r w:rsidDel="00000000" w:rsidR="00000000" w:rsidRPr="00000000">
        <w:rPr>
          <w:rFonts w:ascii="Times New Roman" w:cs="Times New Roman" w:eastAsia="Times New Roman" w:hAnsi="Times New Roman"/>
          <w:sz w:val="24"/>
          <w:szCs w:val="24"/>
          <w:rtl w:val="0"/>
        </w:rPr>
        <w:t xml:space="preserve">. Lo anterior se refleja en que, por ejemplo, el promedio mensual de tutelas en salud corresponde aproximadamente a un tercio del promedio mensual total de tutelas en Colombia, al menos en 2020 (Ver Tabla 1).</w:t>
      </w:r>
    </w:p>
    <w:p w:rsidR="00000000" w:rsidDel="00000000" w:rsidP="00000000" w:rsidRDefault="00000000" w:rsidRPr="00000000" w14:paraId="0000006C">
      <w:pPr>
        <w:spacing w:line="252.00000000000003"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D">
      <w:pPr>
        <w:spacing w:line="252.00000000000003"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 la sentencia, la Corte subrayó que los procesos de ejecución de la sentencia que no tuvieran en cuenta la participación ciudadana, la rendición de cuentas y la transparencia eran inaceptables. Además, según la Corte, la participación debería crear un ambiente de confianza y seguridad, que facilitase el compromiso del público y por consiguiente la ejecución de las nuevas políticas públicas.</w:t>
      </w:r>
      <w:r w:rsidDel="00000000" w:rsidR="00000000" w:rsidRPr="00000000">
        <w:rPr>
          <w:rFonts w:ascii="Times New Roman" w:cs="Times New Roman" w:eastAsia="Times New Roman" w:hAnsi="Times New Roman"/>
          <w:sz w:val="24"/>
          <w:szCs w:val="24"/>
          <w:vertAlign w:val="superscript"/>
        </w:rPr>
        <w:footnoteReference w:customMarkFollows="0" w:id="11"/>
      </w:r>
      <w:r w:rsidDel="00000000" w:rsidR="00000000" w:rsidRPr="00000000">
        <w:rPr>
          <w:rFonts w:ascii="Times New Roman" w:cs="Times New Roman" w:eastAsia="Times New Roman" w:hAnsi="Times New Roman"/>
          <w:sz w:val="24"/>
          <w:szCs w:val="24"/>
          <w:rtl w:val="0"/>
        </w:rPr>
        <w:t xml:space="preserve"> El incumplimiento de varias de sus órdenes estructurales al respecto, como la escasa participación de poblaciones vulnerables en el seguimiento y la elaboración de planes de acción y diálogos institucionales,</w:t>
      </w:r>
      <w:r w:rsidDel="00000000" w:rsidR="00000000" w:rsidRPr="00000000">
        <w:rPr>
          <w:rFonts w:ascii="Times New Roman" w:cs="Times New Roman" w:eastAsia="Times New Roman" w:hAnsi="Times New Roman"/>
          <w:sz w:val="24"/>
          <w:szCs w:val="24"/>
          <w:vertAlign w:val="superscript"/>
        </w:rPr>
        <w:footnoteReference w:customMarkFollows="0" w:id="12"/>
      </w:r>
      <w:r w:rsidDel="00000000" w:rsidR="00000000" w:rsidRPr="00000000">
        <w:rPr>
          <w:rFonts w:ascii="Times New Roman" w:cs="Times New Roman" w:eastAsia="Times New Roman" w:hAnsi="Times New Roman"/>
          <w:sz w:val="24"/>
          <w:szCs w:val="24"/>
          <w:rtl w:val="0"/>
        </w:rPr>
        <w:t xml:space="preserve"> ha puesto de manifiesto los retos que tiene promover una mayor igualdad en el área de salud mediante los tribunales en Colombia, donde el contexto sociopolítico dificulta enormemente la posibilidad de un diálogo público transparente sobre el alcance y significado del derecho a la salud. </w:t>
      </w:r>
    </w:p>
    <w:p w:rsidR="00000000" w:rsidDel="00000000" w:rsidP="00000000" w:rsidRDefault="00000000" w:rsidRPr="00000000" w14:paraId="0000006E">
      <w:pPr>
        <w:spacing w:line="252.00000000000003"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F">
      <w:pPr>
        <w:spacing w:line="252.00000000000003"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Tabla 1: Participación de las tutelas en salud período 1999-2020* </w:t>
      </w:r>
    </w:p>
    <w:p w:rsidR="00000000" w:rsidDel="00000000" w:rsidP="00000000" w:rsidRDefault="00000000" w:rsidRPr="00000000" w14:paraId="00000070">
      <w:pPr>
        <w:spacing w:line="252.00000000000003"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5157788" cy="5029271"/>
            <wp:effectExtent b="0" l="0" r="0" t="0"/>
            <wp:docPr id="1" name="image3.png"/>
            <a:graphic>
              <a:graphicData uri="http://schemas.openxmlformats.org/drawingml/2006/picture">
                <pic:pic>
                  <pic:nvPicPr>
                    <pic:cNvPr id="0" name="image3.png"/>
                    <pic:cNvPicPr preferRelativeResize="0"/>
                  </pic:nvPicPr>
                  <pic:blipFill>
                    <a:blip r:embed="rId7"/>
                    <a:srcRect b="0" l="0" r="0" t="0"/>
                    <a:stretch>
                      <a:fillRect/>
                    </a:stretch>
                  </pic:blipFill>
                  <pic:spPr>
                    <a:xfrm>
                      <a:off x="0" y="0"/>
                      <a:ext cx="5157788" cy="5029271"/>
                    </a:xfrm>
                    <a:prstGeom prst="rect"/>
                    <a:ln/>
                  </pic:spPr>
                </pic:pic>
              </a:graphicData>
            </a:graphic>
          </wp:inline>
        </w:drawing>
      </w:r>
      <w:r w:rsidDel="00000000" w:rsidR="00000000" w:rsidRPr="00000000">
        <w:rPr>
          <w:rtl w:val="0"/>
        </w:rPr>
      </w:r>
    </w:p>
    <w:p w:rsidR="00000000" w:rsidDel="00000000" w:rsidP="00000000" w:rsidRDefault="00000000" w:rsidRPr="00000000" w14:paraId="00000071">
      <w:pPr>
        <w:spacing w:line="252.00000000000003"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Fuente: Defensoría del Pueblo (2021). Informe La tutela y los derechos a la salud y a la seguridad social. *9 meses de 2020</w:t>
      </w:r>
      <w:r w:rsidDel="00000000" w:rsidR="00000000" w:rsidRPr="00000000">
        <w:rPr>
          <w:rFonts w:ascii="Times New Roman" w:cs="Times New Roman" w:eastAsia="Times New Roman" w:hAnsi="Times New Roman"/>
          <w:sz w:val="20"/>
          <w:szCs w:val="20"/>
          <w:vertAlign w:val="superscript"/>
        </w:rPr>
        <w:footnoteReference w:customMarkFollows="0" w:id="13"/>
      </w:r>
      <w:r w:rsidDel="00000000" w:rsidR="00000000" w:rsidRPr="00000000">
        <w:rPr>
          <w:rtl w:val="0"/>
        </w:rPr>
      </w:r>
    </w:p>
    <w:p w:rsidR="00000000" w:rsidDel="00000000" w:rsidP="00000000" w:rsidRDefault="00000000" w:rsidRPr="00000000" w14:paraId="00000072">
      <w:pPr>
        <w:spacing w:line="252.00000000000003"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3">
      <w:pPr>
        <w:pStyle w:val="Heading2"/>
        <w:numPr>
          <w:ilvl w:val="0"/>
          <w:numId w:val="1"/>
        </w:numPr>
        <w:spacing w:line="252.00000000000003" w:lineRule="auto"/>
        <w:ind w:left="720" w:hanging="360"/>
        <w:jc w:val="both"/>
        <w:rPr>
          <w:b w:val="0"/>
          <w:sz w:val="24"/>
          <w:szCs w:val="24"/>
        </w:rPr>
      </w:pPr>
      <w:bookmarkStart w:colFirst="0" w:colLast="0" w:name="_pxmp1c5nqz46" w:id="5"/>
      <w:bookmarkEnd w:id="5"/>
      <w:r w:rsidDel="00000000" w:rsidR="00000000" w:rsidRPr="00000000">
        <w:rPr>
          <w:rFonts w:ascii="Times New Roman" w:cs="Times New Roman" w:eastAsia="Times New Roman" w:hAnsi="Times New Roman"/>
          <w:i w:val="1"/>
          <w:sz w:val="24"/>
          <w:szCs w:val="24"/>
          <w:rtl w:val="0"/>
        </w:rPr>
        <w:t xml:space="preserve">Sentencias T-388 de 2013</w:t>
      </w:r>
      <w:r w:rsidDel="00000000" w:rsidR="00000000" w:rsidRPr="00000000">
        <w:rPr>
          <w:rFonts w:ascii="Times New Roman" w:cs="Times New Roman" w:eastAsia="Times New Roman" w:hAnsi="Times New Roman"/>
          <w:i w:val="1"/>
          <w:sz w:val="24"/>
          <w:szCs w:val="24"/>
          <w:rtl w:val="0"/>
        </w:rPr>
        <w:t xml:space="preserve">, T-762 de 2015 y SU-122 de 2022</w:t>
      </w:r>
      <w:r w:rsidDel="00000000" w:rsidR="00000000" w:rsidRPr="00000000">
        <w:rPr>
          <w:rtl w:val="0"/>
        </w:rPr>
      </w:r>
    </w:p>
    <w:p w:rsidR="00000000" w:rsidDel="00000000" w:rsidP="00000000" w:rsidRDefault="00000000" w:rsidRPr="00000000" w14:paraId="00000074">
      <w:pPr>
        <w:spacing w:line="252.00000000000003"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Mediante la sentencia T-388 de 2013, la Corte Constitucional establece que en el Sistema Penitenciario y Carcelario de Colombia existe un ECI, caracterizado por una reiterada y sistemática vulneración de diversos derechos fundamentales de las personas privadas de la libertad en la que tienen injerencia diversas autoridades. Si bien la Corte reconoce la existencia de una situación que requiere de intervenciones de carácter estructural, esta se diferenció del ECI declarado por la sentencia T-153 de 1998, la cual se centró en la ampliación de cupos del sistema penitenciario. </w:t>
      </w:r>
    </w:p>
    <w:p w:rsidR="00000000" w:rsidDel="00000000" w:rsidP="00000000" w:rsidRDefault="00000000" w:rsidRPr="00000000" w14:paraId="00000075">
      <w:pPr>
        <w:spacing w:line="252.00000000000003"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6">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 este mismo sentido, este </w:t>
      </w:r>
      <w:r w:rsidDel="00000000" w:rsidR="00000000" w:rsidRPr="00000000">
        <w:rPr>
          <w:rFonts w:ascii="Times New Roman" w:cs="Times New Roman" w:eastAsia="Times New Roman" w:hAnsi="Times New Roman"/>
          <w:sz w:val="24"/>
          <w:szCs w:val="24"/>
          <w:rtl w:val="0"/>
        </w:rPr>
        <w:t xml:space="preserve">ECI se consideró diferente al de 1998</w:t>
      </w:r>
      <w:r w:rsidDel="00000000" w:rsidR="00000000" w:rsidRPr="00000000">
        <w:rPr>
          <w:rFonts w:ascii="Times New Roman" w:cs="Times New Roman" w:eastAsia="Times New Roman" w:hAnsi="Times New Roman"/>
          <w:sz w:val="24"/>
          <w:szCs w:val="24"/>
          <w:rtl w:val="0"/>
        </w:rPr>
        <w:t xml:space="preserve">, pues el primero tuvo su causa en el abandono del Gobierno Nacional por la falta de inversión en el sistema penitenciario. Así, luego de inversiones importantes en la ampliación de cupos (que durante la década del 2000 casi llegó a triplicar la capacidad del sistema), la Corte encontró que el hacinamiento y otras vulneraciones de derechos se derivaron en 2013 por desbalances en la política criminal que llevaron al uso excesivo del encarcelamiento, lo cual llevó a que esta política fuera formulada de forma contraria a la Constitución Política.</w:t>
      </w:r>
      <w:r w:rsidDel="00000000" w:rsidR="00000000" w:rsidRPr="00000000">
        <w:rPr>
          <w:rFonts w:ascii="Times New Roman" w:cs="Times New Roman" w:eastAsia="Times New Roman" w:hAnsi="Times New Roman"/>
          <w:sz w:val="24"/>
          <w:szCs w:val="24"/>
          <w:vertAlign w:val="superscript"/>
        </w:rPr>
        <w:footnoteReference w:customMarkFollows="0" w:id="14"/>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77">
      <w:pPr>
        <w:spacing w:line="252.00000000000003"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8">
      <w:pPr>
        <w:spacing w:line="252.00000000000003"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Aunque el Estado ha adoptado algunas acciones para superar el ECI, estas se centraron principalmente en la ampliación de cupos, lo cual ha tenido un impacto bajo para superar la vulneración de derechos fundamentales –más aún cuando el Estado ha sido reticente a reformar la política criminal y ha optado por seguir adoptando reformas que aumentan el encarcelamiento.</w:t>
      </w:r>
      <w:r w:rsidDel="00000000" w:rsidR="00000000" w:rsidRPr="00000000">
        <w:rPr>
          <w:rFonts w:ascii="Times New Roman" w:cs="Times New Roman" w:eastAsia="Times New Roman" w:hAnsi="Times New Roman"/>
          <w:sz w:val="24"/>
          <w:szCs w:val="24"/>
          <w:vertAlign w:val="superscript"/>
        </w:rPr>
        <w:footnoteReference w:customMarkFollows="0" w:id="15"/>
      </w:r>
      <w:r w:rsidDel="00000000" w:rsidR="00000000" w:rsidRPr="00000000">
        <w:rPr>
          <w:rFonts w:ascii="Times New Roman" w:cs="Times New Roman" w:eastAsia="Times New Roman" w:hAnsi="Times New Roman"/>
          <w:sz w:val="24"/>
          <w:szCs w:val="24"/>
          <w:rtl w:val="0"/>
        </w:rPr>
        <w:t xml:space="preserve"> Posteriormente, debido a medidas deficientes adoptadas por el Gobierno Nacional durante la pandemia de Covid-19,</w:t>
      </w:r>
      <w:r w:rsidDel="00000000" w:rsidR="00000000" w:rsidRPr="00000000">
        <w:rPr>
          <w:rFonts w:ascii="Times New Roman" w:cs="Times New Roman" w:eastAsia="Times New Roman" w:hAnsi="Times New Roman"/>
          <w:sz w:val="24"/>
          <w:szCs w:val="24"/>
          <w:vertAlign w:val="superscript"/>
        </w:rPr>
        <w:footnoteReference w:customMarkFollows="0" w:id="16"/>
      </w:r>
      <w:r w:rsidDel="00000000" w:rsidR="00000000" w:rsidRPr="00000000">
        <w:rPr>
          <w:rFonts w:ascii="Times New Roman" w:cs="Times New Roman" w:eastAsia="Times New Roman" w:hAnsi="Times New Roman"/>
          <w:sz w:val="24"/>
          <w:szCs w:val="24"/>
          <w:rtl w:val="0"/>
        </w:rPr>
        <w:t xml:space="preserve"> el hacinamiento fue trasladado a estaciones de policía y unidades de reacción inmediata (conocidos como centros de detención transitoria), lo que llevó a la extensión del ECI a estos centros por la sentencia SU-122 de 2022.</w:t>
      </w:r>
      <w:r w:rsidDel="00000000" w:rsidR="00000000" w:rsidRPr="00000000">
        <w:rPr>
          <w:rFonts w:ascii="Times New Roman" w:cs="Times New Roman" w:eastAsia="Times New Roman" w:hAnsi="Times New Roman"/>
          <w:sz w:val="24"/>
          <w:szCs w:val="24"/>
          <w:vertAlign w:val="superscript"/>
        </w:rPr>
        <w:footnoteReference w:customMarkFollows="0" w:id="17"/>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79">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A">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 Sala Especial de </w:t>
      </w:r>
      <w:r w:rsidDel="00000000" w:rsidR="00000000" w:rsidRPr="00000000">
        <w:rPr>
          <w:rFonts w:ascii="Times New Roman" w:cs="Times New Roman" w:eastAsia="Times New Roman" w:hAnsi="Times New Roman"/>
          <w:sz w:val="24"/>
          <w:szCs w:val="24"/>
          <w:rtl w:val="0"/>
        </w:rPr>
        <w:t xml:space="preserve">Seguimiento al Estado de Cosas Inconstitucional Penitenciario y Carcelario, y en Centros de Detención Transitoria, en el Auto 066 de 2023</w:t>
      </w:r>
      <w:r w:rsidDel="00000000" w:rsidR="00000000" w:rsidRPr="00000000">
        <w:rPr>
          <w:rFonts w:ascii="Times New Roman" w:cs="Times New Roman" w:eastAsia="Times New Roman" w:hAnsi="Times New Roman"/>
          <w:sz w:val="24"/>
          <w:szCs w:val="24"/>
          <w:vertAlign w:val="superscript"/>
        </w:rPr>
        <w:footnoteReference w:customMarkFollows="0" w:id="18"/>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sz w:val="24"/>
          <w:szCs w:val="24"/>
          <w:rtl w:val="0"/>
        </w:rPr>
        <w:t xml:space="preserve"> destaca que el hacinamiento, la obsolescencia y antigüedad de la infraestructura penitenciaria y carcelaria, a pesar del incremento de los recursos, persisten. A esto se suman los problemas en materia de cupos, así como las deficiencias para garantizar la protección efectiva de los derechos fundamentales de las personas privadas de la libertad. La Sala tiene registrado que, con corte a diciembre de 2022, existe una capacidad en los Establecimientos de Reclusión de Orden Nacional - ERON para 81.175 personas y hay  98.469 personas. Esto significa una sobrepoblación de 17.321 personas, lo que representa un hacinamiento global del 21,34%.</w:t>
      </w:r>
      <w:r w:rsidDel="00000000" w:rsidR="00000000" w:rsidRPr="00000000">
        <w:rPr>
          <w:rFonts w:ascii="Times New Roman" w:cs="Times New Roman" w:eastAsia="Times New Roman" w:hAnsi="Times New Roman"/>
          <w:sz w:val="24"/>
          <w:szCs w:val="24"/>
          <w:vertAlign w:val="superscript"/>
        </w:rPr>
        <w:footnoteReference w:customMarkFollows="0" w:id="19"/>
      </w:r>
      <w:r w:rsidDel="00000000" w:rsidR="00000000" w:rsidRPr="00000000">
        <w:rPr>
          <w:rFonts w:ascii="Times New Roman" w:cs="Times New Roman" w:eastAsia="Times New Roman" w:hAnsi="Times New Roman"/>
          <w:sz w:val="24"/>
          <w:szCs w:val="24"/>
          <w:rtl w:val="0"/>
        </w:rPr>
        <w:t xml:space="preserve"> Sin embargo, los niveles de hacinamiento presentes en las estaciones de policía y unidades de reacción inmediata son aún peores: según datos de la Policía Nacional reportados por la Comisión de Seguimiento de la Sociedad Civil a la Sentencia T-388 de 2013, existen centros de detención transitoria con niveles de hacinamiento superiores al 1000%.</w:t>
      </w:r>
      <w:r w:rsidDel="00000000" w:rsidR="00000000" w:rsidRPr="00000000">
        <w:rPr>
          <w:rFonts w:ascii="Times New Roman" w:cs="Times New Roman" w:eastAsia="Times New Roman" w:hAnsi="Times New Roman"/>
          <w:sz w:val="24"/>
          <w:szCs w:val="24"/>
          <w:vertAlign w:val="superscript"/>
        </w:rPr>
        <w:footnoteReference w:customMarkFollows="0" w:id="20"/>
      </w:r>
      <w:r w:rsidDel="00000000" w:rsidR="00000000" w:rsidRPr="00000000">
        <w:rPr>
          <w:rtl w:val="0"/>
        </w:rPr>
      </w:r>
    </w:p>
    <w:p w:rsidR="00000000" w:rsidDel="00000000" w:rsidP="00000000" w:rsidRDefault="00000000" w:rsidRPr="00000000" w14:paraId="0000007B">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C">
      <w:pPr>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rtl w:val="0"/>
        </w:rPr>
        <w:t xml:space="preserve">También se solicita al Gobierno Nacional que informe a la Corte Constitucional acerca de las acciones que ha adelantado o planea adelantar de manera articulada con las entidades territoriales, encaminadas a la superación del ECI.</w:t>
      </w:r>
      <w:r w:rsidDel="00000000" w:rsidR="00000000" w:rsidRPr="00000000">
        <w:rPr>
          <w:rFonts w:ascii="Times New Roman" w:cs="Times New Roman" w:eastAsia="Times New Roman" w:hAnsi="Times New Roman"/>
          <w:sz w:val="24"/>
          <w:szCs w:val="24"/>
          <w:vertAlign w:val="superscript"/>
        </w:rPr>
        <w:footnoteReference w:customMarkFollows="0" w:id="21"/>
      </w:r>
      <w:r w:rsidDel="00000000" w:rsidR="00000000" w:rsidRPr="00000000">
        <w:rPr>
          <w:rFonts w:ascii="Times New Roman" w:cs="Times New Roman" w:eastAsia="Times New Roman" w:hAnsi="Times New Roman"/>
          <w:sz w:val="24"/>
          <w:szCs w:val="24"/>
          <w:rtl w:val="0"/>
        </w:rPr>
        <w:t xml:space="preserve"> De igual forma, se proponen algunas recomendaciones específicas, como la implementación de un tratamiento penal diferenciado para la resocialización, no reincidencia y proyecto de vida digna, y la generación de una estrategia articulada para atender la población sindicada y garantizar la prestación de los servicios de salud y alimentación, entre otras</w:t>
      </w:r>
      <w:r w:rsidDel="00000000" w:rsidR="00000000" w:rsidRPr="00000000">
        <w:rPr>
          <w:rFonts w:ascii="Times New Roman" w:cs="Times New Roman" w:eastAsia="Times New Roman" w:hAnsi="Times New Roman"/>
          <w:sz w:val="24"/>
          <w:szCs w:val="24"/>
          <w:highlight w:val="white"/>
          <w:rtl w:val="0"/>
        </w:rPr>
        <w:t xml:space="preserve">. </w:t>
      </w:r>
    </w:p>
    <w:p w:rsidR="00000000" w:rsidDel="00000000" w:rsidP="00000000" w:rsidRDefault="00000000" w:rsidRPr="00000000" w14:paraId="0000007D">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E">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w:t>
      </w:r>
      <w:r w:rsidDel="00000000" w:rsidR="00000000" w:rsidRPr="00000000">
        <w:rPr>
          <w:rFonts w:ascii="Times New Roman" w:cs="Times New Roman" w:eastAsia="Times New Roman" w:hAnsi="Times New Roman"/>
          <w:sz w:val="24"/>
          <w:szCs w:val="24"/>
          <w:rtl w:val="0"/>
        </w:rPr>
        <w:t xml:space="preserve">as órdenes complejas proferidas por la Corte</w:t>
      </w:r>
      <w:r w:rsidDel="00000000" w:rsidR="00000000" w:rsidRPr="00000000">
        <w:rPr>
          <w:rFonts w:ascii="Times New Roman" w:cs="Times New Roman" w:eastAsia="Times New Roman" w:hAnsi="Times New Roman"/>
          <w:sz w:val="24"/>
          <w:szCs w:val="24"/>
          <w:rtl w:val="0"/>
        </w:rPr>
        <w:t xml:space="preserve"> no se han cumplido porque persisten una serie de bloqueos </w:t>
      </w:r>
      <w:r w:rsidDel="00000000" w:rsidR="00000000" w:rsidRPr="00000000">
        <w:rPr>
          <w:rFonts w:ascii="Times New Roman" w:cs="Times New Roman" w:eastAsia="Times New Roman" w:hAnsi="Times New Roman"/>
          <w:sz w:val="24"/>
          <w:szCs w:val="24"/>
          <w:rtl w:val="0"/>
        </w:rPr>
        <w:t xml:space="preserve">institucionales de tipo político, de capacidades y de fallas burocráticas, que evidencian múltiples resistencias que impiden la adopción de reformas estructurales –entre ellas, la reforma estructural de la política criminal. Así, las inercias en la formulación de esta política ha llevado a que no se materialicen medidas que mejoren la satisfacción de los derechos de las personas  recluidas.</w:t>
      </w:r>
      <w:r w:rsidDel="00000000" w:rsidR="00000000" w:rsidRPr="00000000">
        <w:rPr>
          <w:rFonts w:ascii="Times New Roman" w:cs="Times New Roman" w:eastAsia="Times New Roman" w:hAnsi="Times New Roman"/>
          <w:sz w:val="24"/>
          <w:szCs w:val="24"/>
          <w:vertAlign w:val="superscript"/>
        </w:rPr>
        <w:footnoteReference w:customMarkFollows="0" w:id="22"/>
      </w:r>
      <w:r w:rsidDel="00000000" w:rsidR="00000000" w:rsidRPr="00000000">
        <w:rPr>
          <w:rtl w:val="0"/>
        </w:rPr>
      </w:r>
    </w:p>
    <w:p w:rsidR="00000000" w:rsidDel="00000000" w:rsidP="00000000" w:rsidRDefault="00000000" w:rsidRPr="00000000" w14:paraId="0000007F">
      <w:pPr>
        <w:pStyle w:val="Heading2"/>
        <w:numPr>
          <w:ilvl w:val="0"/>
          <w:numId w:val="1"/>
        </w:numPr>
        <w:spacing w:line="252.00000000000003" w:lineRule="auto"/>
        <w:ind w:left="720" w:hanging="360"/>
        <w:jc w:val="both"/>
        <w:rPr>
          <w:b w:val="0"/>
          <w:sz w:val="24"/>
          <w:szCs w:val="24"/>
        </w:rPr>
      </w:pPr>
      <w:bookmarkStart w:colFirst="0" w:colLast="0" w:name="_cgqz2twfzbw" w:id="6"/>
      <w:bookmarkEnd w:id="6"/>
      <w:r w:rsidDel="00000000" w:rsidR="00000000" w:rsidRPr="00000000">
        <w:rPr>
          <w:rFonts w:ascii="Times New Roman" w:cs="Times New Roman" w:eastAsia="Times New Roman" w:hAnsi="Times New Roman"/>
          <w:i w:val="1"/>
          <w:sz w:val="24"/>
          <w:szCs w:val="24"/>
          <w:rtl w:val="0"/>
        </w:rPr>
        <w:t xml:space="preserve">Sentencia T-302 de 2017</w:t>
      </w:r>
      <w:r w:rsidDel="00000000" w:rsidR="00000000" w:rsidRPr="00000000">
        <w:rPr>
          <w:rtl w:val="0"/>
        </w:rPr>
      </w:r>
    </w:p>
    <w:p w:rsidR="00000000" w:rsidDel="00000000" w:rsidP="00000000" w:rsidRDefault="00000000" w:rsidRPr="00000000" w14:paraId="00000080">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El 8 de mayo de 2017 se dio a conocer la Sentencia T-302, una </w:t>
      </w:r>
      <w:r w:rsidDel="00000000" w:rsidR="00000000" w:rsidRPr="00000000">
        <w:rPr>
          <w:rFonts w:ascii="Times New Roman" w:cs="Times New Roman" w:eastAsia="Times New Roman" w:hAnsi="Times New Roman"/>
          <w:sz w:val="24"/>
          <w:szCs w:val="24"/>
          <w:rtl w:val="0"/>
        </w:rPr>
        <w:t xml:space="preserve">resolución </w:t>
      </w:r>
      <w:r w:rsidDel="00000000" w:rsidR="00000000" w:rsidRPr="00000000">
        <w:rPr>
          <w:rFonts w:ascii="Times New Roman" w:cs="Times New Roman" w:eastAsia="Times New Roman" w:hAnsi="Times New Roman"/>
          <w:sz w:val="24"/>
          <w:szCs w:val="24"/>
          <w:rtl w:val="0"/>
        </w:rPr>
        <w:t xml:space="preserve">jurídica</w:t>
      </w:r>
      <w:r w:rsidDel="00000000" w:rsidR="00000000" w:rsidRPr="00000000">
        <w:rPr>
          <w:rFonts w:ascii="Times New Roman" w:cs="Times New Roman" w:eastAsia="Times New Roman" w:hAnsi="Times New Roman"/>
          <w:sz w:val="24"/>
          <w:szCs w:val="24"/>
          <w:rtl w:val="0"/>
        </w:rPr>
        <w:t xml:space="preserve"> que declaró el  ECI en La Guajira</w:t>
      </w:r>
      <w:r w:rsidDel="00000000" w:rsidR="00000000" w:rsidRPr="00000000">
        <w:rPr>
          <w:rFonts w:ascii="Times New Roman" w:cs="Times New Roman" w:eastAsia="Times New Roman" w:hAnsi="Times New Roman"/>
          <w:sz w:val="24"/>
          <w:szCs w:val="24"/>
          <w:rtl w:val="0"/>
        </w:rPr>
        <w:t xml:space="preserve">, debido a la violación masiva, sistemática y generalizada de los derechos de los niños y niñas </w:t>
      </w:r>
      <w:r w:rsidDel="00000000" w:rsidR="00000000" w:rsidRPr="00000000">
        <w:rPr>
          <w:rFonts w:ascii="Times New Roman" w:cs="Times New Roman" w:eastAsia="Times New Roman" w:hAnsi="Times New Roman"/>
          <w:sz w:val="24"/>
          <w:szCs w:val="24"/>
          <w:rtl w:val="0"/>
        </w:rPr>
        <w:t xml:space="preserve">Way</w:t>
      </w:r>
      <w:r w:rsidDel="00000000" w:rsidR="00000000" w:rsidRPr="00000000">
        <w:rPr>
          <w:rFonts w:ascii="Times New Roman" w:cs="Times New Roman" w:eastAsia="Times New Roman" w:hAnsi="Times New Roman"/>
          <w:sz w:val="24"/>
          <w:szCs w:val="24"/>
          <w:rtl w:val="0"/>
        </w:rPr>
        <w:t xml:space="preserve">úu a la alimentación, el agua y la salud, entre otros como la participación y la consulta previa</w:t>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sz w:val="24"/>
          <w:szCs w:val="24"/>
          <w:vertAlign w:val="superscript"/>
        </w:rPr>
        <w:footnoteReference w:customMarkFollows="0" w:id="23"/>
      </w:r>
      <w:r w:rsidDel="00000000" w:rsidR="00000000" w:rsidRPr="00000000">
        <w:rPr>
          <w:rFonts w:ascii="Times New Roman" w:cs="Times New Roman" w:eastAsia="Times New Roman" w:hAnsi="Times New Roman"/>
          <w:sz w:val="24"/>
          <w:szCs w:val="24"/>
          <w:rtl w:val="0"/>
        </w:rPr>
        <w:t xml:space="preserve"> Esta situación se manifestó en la alarmante muerte de más de 4 mil niños en los últimos 8 años, a causa de enfermedades relacionadas con la desnutrición.</w:t>
      </w:r>
    </w:p>
    <w:p w:rsidR="00000000" w:rsidDel="00000000" w:rsidP="00000000" w:rsidRDefault="00000000" w:rsidRPr="00000000" w14:paraId="00000081">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2">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 Sentencia T-302 de 2017 exigió la implementación de un plan de acción en un plazo de 6 meses para preservar la vida y la integridad de los niños y niñas de las comunidades Wayúu en los municipios de Uribia, Manaure, Riohacha y Maicao en el departamento de La Guajira. El Comité de Veeduría a la Sentencia, continúa monitoreando la situación con visitas de campo a las comunidades afectadas. El Comité identificó la urgente necesidad de adoptar medidas específicas, dado el carácter de emergencia de la situación. Estas medidas incluyeron: 1) Garantizar la disponibilidad, accesibilidad y calidad de los servicios de salud en las comunidades mencionadas, abordando la desnutrición infantil y enfermedades prevenibles; 2) Tomar medidas inmediatas para proporcionar a las comunidades afectadas acceso a agua potable y salubre, de forma sostenible y suficiente para su subsistencia; 3) Asegurar la disponibilidad de alimentos adecuados en cantidad y calidad para satisfacer las necesidades alimentarias, respetando su pertinencia cultural y estableciendo mecanismos para la identificación y atención temprana de casos de desnutrición; 4) Mejorar la movilidad de las comunidades afectadas.</w:t>
      </w:r>
      <w:r w:rsidDel="00000000" w:rsidR="00000000" w:rsidRPr="00000000">
        <w:rPr>
          <w:rFonts w:ascii="Times New Roman" w:cs="Times New Roman" w:eastAsia="Times New Roman" w:hAnsi="Times New Roman"/>
          <w:sz w:val="24"/>
          <w:szCs w:val="24"/>
          <w:vertAlign w:val="superscript"/>
        </w:rPr>
        <w:footnoteReference w:customMarkFollows="0" w:id="24"/>
      </w:r>
      <w:r w:rsidDel="00000000" w:rsidR="00000000" w:rsidRPr="00000000">
        <w:rPr>
          <w:rtl w:val="0"/>
        </w:rPr>
      </w:r>
    </w:p>
    <w:p w:rsidR="00000000" w:rsidDel="00000000" w:rsidP="00000000" w:rsidRDefault="00000000" w:rsidRPr="00000000" w14:paraId="00000083">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4">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El A</w:t>
      </w:r>
      <w:r w:rsidDel="00000000" w:rsidR="00000000" w:rsidRPr="00000000">
        <w:rPr>
          <w:rFonts w:ascii="Times New Roman" w:cs="Times New Roman" w:eastAsia="Times New Roman" w:hAnsi="Times New Roman"/>
          <w:sz w:val="24"/>
          <w:szCs w:val="24"/>
          <w:rtl w:val="0"/>
        </w:rPr>
        <w:t xml:space="preserve">uto 696 de 2022</w:t>
      </w:r>
      <w:r w:rsidDel="00000000" w:rsidR="00000000" w:rsidRPr="00000000">
        <w:rPr>
          <w:rFonts w:ascii="Times New Roman" w:cs="Times New Roman" w:eastAsia="Times New Roman" w:hAnsi="Times New Roman"/>
          <w:sz w:val="24"/>
          <w:szCs w:val="24"/>
          <w:vertAlign w:val="superscript"/>
        </w:rPr>
        <w:footnoteReference w:customMarkFollows="0" w:id="25"/>
      </w:r>
      <w:r w:rsidDel="00000000" w:rsidR="00000000" w:rsidRPr="00000000">
        <w:rPr>
          <w:rFonts w:ascii="Times New Roman" w:cs="Times New Roman" w:eastAsia="Times New Roman" w:hAnsi="Times New Roman"/>
          <w:sz w:val="24"/>
          <w:szCs w:val="24"/>
          <w:rtl w:val="0"/>
        </w:rPr>
        <w:t xml:space="preserve"> ordena a las entidades nacionales y locales involucradas en la sentencia a crear un Plan Provisional de Acción con medidas concretas para garantizar los derechos de los niños y niñas Wayúu afectados por la desnutrición. La Corte les da a las </w:t>
      </w:r>
      <w:r w:rsidDel="00000000" w:rsidR="00000000" w:rsidRPr="00000000">
        <w:rPr>
          <w:rFonts w:ascii="Times New Roman" w:cs="Times New Roman" w:eastAsia="Times New Roman" w:hAnsi="Times New Roman"/>
          <w:sz w:val="24"/>
          <w:szCs w:val="24"/>
          <w:rtl w:val="0"/>
        </w:rPr>
        <w:t xml:space="preserve">autoridades </w:t>
      </w:r>
      <w:r w:rsidDel="00000000" w:rsidR="00000000" w:rsidRPr="00000000">
        <w:rPr>
          <w:rFonts w:ascii="Times New Roman" w:cs="Times New Roman" w:eastAsia="Times New Roman" w:hAnsi="Times New Roman"/>
          <w:sz w:val="24"/>
          <w:szCs w:val="24"/>
          <w:rtl w:val="0"/>
        </w:rPr>
        <w:t xml:space="preserve">accionadas en la sentencia un plazo de dos meses para crear ese Plan y aclara que las medidas que incluya deben implementarse en menos de un año. </w:t>
      </w:r>
    </w:p>
    <w:p w:rsidR="00000000" w:rsidDel="00000000" w:rsidP="00000000" w:rsidRDefault="00000000" w:rsidRPr="00000000" w14:paraId="0000008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6">
      <w:pPr>
        <w:jc w:val="both"/>
        <w:rPr>
          <w:rFonts w:ascii="Times New Roman" w:cs="Times New Roman" w:eastAsia="Times New Roman" w:hAnsi="Times New Roman"/>
          <w:color w:val="373d3f"/>
          <w:sz w:val="24"/>
          <w:szCs w:val="24"/>
        </w:rPr>
      </w:pPr>
      <w:r w:rsidDel="00000000" w:rsidR="00000000" w:rsidRPr="00000000">
        <w:rPr>
          <w:rFonts w:ascii="Times New Roman" w:cs="Times New Roman" w:eastAsia="Times New Roman" w:hAnsi="Times New Roman"/>
          <w:sz w:val="24"/>
          <w:szCs w:val="24"/>
          <w:rtl w:val="0"/>
        </w:rPr>
        <w:t xml:space="preserve">La Corte tomó esta decisión como medida luego de concluir que, aunque existen avances en la implementación de la Sentencia, </w:t>
      </w:r>
      <w:r w:rsidDel="00000000" w:rsidR="00000000" w:rsidRPr="00000000">
        <w:rPr>
          <w:rFonts w:ascii="Times New Roman" w:cs="Times New Roman" w:eastAsia="Times New Roman" w:hAnsi="Times New Roman"/>
          <w:sz w:val="24"/>
          <w:szCs w:val="24"/>
          <w:rtl w:val="0"/>
        </w:rPr>
        <w:t xml:space="preserve">a cinco años de su expedición</w:t>
      </w:r>
      <w:r w:rsidDel="00000000" w:rsidR="00000000" w:rsidRPr="00000000">
        <w:rPr>
          <w:rFonts w:ascii="Times New Roman" w:cs="Times New Roman" w:eastAsia="Times New Roman" w:hAnsi="Times New Roman"/>
          <w:sz w:val="24"/>
          <w:szCs w:val="24"/>
          <w:rtl w:val="0"/>
        </w:rPr>
        <w:t xml:space="preserve"> estos han sido “insuficientes e inefectivos al incumplir los tiempos establecidos y no mostrar avances sustanciales”.</w:t>
      </w:r>
      <w:r w:rsidDel="00000000" w:rsidR="00000000" w:rsidRPr="00000000">
        <w:rPr>
          <w:rFonts w:ascii="Times New Roman" w:cs="Times New Roman" w:eastAsia="Times New Roman" w:hAnsi="Times New Roman"/>
          <w:sz w:val="24"/>
          <w:szCs w:val="24"/>
          <w:vertAlign w:val="superscript"/>
        </w:rPr>
        <w:footnoteReference w:customMarkFollows="0" w:id="26"/>
      </w:r>
      <w:r w:rsidDel="00000000" w:rsidR="00000000" w:rsidRPr="00000000">
        <w:rPr>
          <w:rFonts w:ascii="Times New Roman" w:cs="Times New Roman" w:eastAsia="Times New Roman" w:hAnsi="Times New Roman"/>
          <w:sz w:val="24"/>
          <w:szCs w:val="24"/>
          <w:rtl w:val="0"/>
        </w:rPr>
        <w:t xml:space="preserve"> Para ello se basaron en distintas pruebas: la visita a la zona en el marco de una inspección judicial, una sesión técnica virtual, solicitudes de información a las entidades responsables e informes de expertos y expertas.</w:t>
      </w:r>
      <w:r w:rsidDel="00000000" w:rsidR="00000000" w:rsidRPr="00000000">
        <w:rPr>
          <w:rtl w:val="0"/>
        </w:rPr>
      </w:r>
    </w:p>
    <w:p w:rsidR="00000000" w:rsidDel="00000000" w:rsidP="00000000" w:rsidRDefault="00000000" w:rsidRPr="00000000" w14:paraId="00000087">
      <w:pPr>
        <w:jc w:val="both"/>
        <w:rPr>
          <w:rFonts w:ascii="Times New Roman" w:cs="Times New Roman" w:eastAsia="Times New Roman" w:hAnsi="Times New Roman"/>
          <w:color w:val="373d3f"/>
          <w:sz w:val="24"/>
          <w:szCs w:val="24"/>
        </w:rPr>
      </w:pPr>
      <w:r w:rsidDel="00000000" w:rsidR="00000000" w:rsidRPr="00000000">
        <w:rPr>
          <w:rtl w:val="0"/>
        </w:rPr>
      </w:r>
    </w:p>
    <w:p w:rsidR="00000000" w:rsidDel="00000000" w:rsidP="00000000" w:rsidRDefault="00000000" w:rsidRPr="00000000" w14:paraId="00000088">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373d3f"/>
          <w:sz w:val="24"/>
          <w:szCs w:val="24"/>
          <w:rtl w:val="0"/>
        </w:rPr>
        <w:t xml:space="preserve">La </w:t>
      </w:r>
      <w:r w:rsidDel="00000000" w:rsidR="00000000" w:rsidRPr="00000000">
        <w:rPr>
          <w:rFonts w:ascii="Times New Roman" w:cs="Times New Roman" w:eastAsia="Times New Roman" w:hAnsi="Times New Roman"/>
          <w:sz w:val="24"/>
          <w:szCs w:val="24"/>
          <w:rtl w:val="0"/>
        </w:rPr>
        <w:t xml:space="preserve"> Sala de Seguimiento a la sentencia T-302 del 2017, recientemente en el Auto 1290 de 2023, decidió no aprobar el Plan de Acción presentado por las diferentes entidades del gobierno accionadas en la sentencia</w:t>
      </w:r>
      <w:r w:rsidDel="00000000" w:rsidR="00000000" w:rsidRPr="00000000">
        <w:rPr>
          <w:rFonts w:ascii="Times New Roman" w:cs="Times New Roman" w:eastAsia="Times New Roman" w:hAnsi="Times New Roman"/>
          <w:sz w:val="24"/>
          <w:szCs w:val="24"/>
          <w:vertAlign w:val="superscript"/>
        </w:rPr>
        <w:footnoteReference w:customMarkFollows="0" w:id="27"/>
      </w:r>
      <w:r w:rsidDel="00000000" w:rsidR="00000000" w:rsidRPr="00000000">
        <w:rPr>
          <w:rFonts w:ascii="Times New Roman" w:cs="Times New Roman" w:eastAsia="Times New Roman" w:hAnsi="Times New Roman"/>
          <w:sz w:val="24"/>
          <w:szCs w:val="24"/>
          <w:rtl w:val="0"/>
        </w:rPr>
        <w:t xml:space="preserve">. Esto debido a que, entre otras razones, la estrategia propuesta por los gobiernos departamentales y nacionales reflejan una falta de articulación en el desarrollo de las medidas, lo cual ha traído como resultado el reporte de reuniones que carecen de propuestas concretas, así como un vacío en los mecanismos de seguimiento y control de los recursos asignados para asegurar la garantía de los derechos accionados. Así, las políticas que se han venido ejecutando hasta el momento han demostrado ser insuficientes para atender la crisis humanitaria en el departamento. </w:t>
      </w:r>
    </w:p>
    <w:p w:rsidR="00000000" w:rsidDel="00000000" w:rsidP="00000000" w:rsidRDefault="00000000" w:rsidRPr="00000000" w14:paraId="00000089">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A">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 Fundación Caminos de Identidad FUCAI, organización encargada de la Veeduría a la Sentencia T-302,</w:t>
      </w:r>
      <w:r w:rsidDel="00000000" w:rsidR="00000000" w:rsidRPr="00000000">
        <w:rPr>
          <w:rFonts w:ascii="Times New Roman" w:cs="Times New Roman" w:eastAsia="Times New Roman" w:hAnsi="Times New Roman"/>
          <w:sz w:val="24"/>
          <w:szCs w:val="24"/>
          <w:vertAlign w:val="superscript"/>
        </w:rPr>
        <w:footnoteReference w:customMarkFollows="0" w:id="28"/>
      </w:r>
      <w:r w:rsidDel="00000000" w:rsidR="00000000" w:rsidRPr="00000000">
        <w:rPr>
          <w:rFonts w:ascii="Times New Roman" w:cs="Times New Roman" w:eastAsia="Times New Roman" w:hAnsi="Times New Roman"/>
          <w:sz w:val="24"/>
          <w:szCs w:val="24"/>
          <w:rtl w:val="0"/>
        </w:rPr>
        <w:t xml:space="preserve"> junto con demás organizaciones aliadas en territorio, continúan exigiendo al gobierno nacional de turno y al Estado que trabaje de manera más coordinada con los gobiernos locales para avanzar en el cumplimiento de la sentencia, enfocándose especialmente en el acceso a agua potable y la seguridad alimentaria, aspectos que todavía no se han garantizado para las familias Wayúu en los municipios de Riohacha, Uribia, Manaure y Maicao.</w:t>
      </w:r>
      <w:r w:rsidDel="00000000" w:rsidR="00000000" w:rsidRPr="00000000">
        <w:rPr>
          <w:rFonts w:ascii="Times New Roman" w:cs="Times New Roman" w:eastAsia="Times New Roman" w:hAnsi="Times New Roman"/>
          <w:sz w:val="24"/>
          <w:szCs w:val="24"/>
          <w:vertAlign w:val="superscript"/>
        </w:rPr>
        <w:footnoteReference w:customMarkFollows="0" w:id="29"/>
      </w:r>
      <w:r w:rsidDel="00000000" w:rsidR="00000000" w:rsidRPr="00000000">
        <w:rPr>
          <w:rtl w:val="0"/>
        </w:rPr>
      </w:r>
    </w:p>
    <w:p w:rsidR="00000000" w:rsidDel="00000000" w:rsidP="00000000" w:rsidRDefault="00000000" w:rsidRPr="00000000" w14:paraId="0000008B">
      <w:pPr>
        <w:pStyle w:val="Heading2"/>
        <w:numPr>
          <w:ilvl w:val="0"/>
          <w:numId w:val="1"/>
        </w:numPr>
        <w:spacing w:line="252.00000000000003" w:lineRule="auto"/>
        <w:ind w:left="720" w:hanging="360"/>
        <w:jc w:val="both"/>
        <w:rPr>
          <w:b w:val="0"/>
          <w:sz w:val="24"/>
          <w:szCs w:val="24"/>
        </w:rPr>
      </w:pPr>
      <w:bookmarkStart w:colFirst="0" w:colLast="0" w:name="_vy6ndmw39hkk" w:id="7"/>
      <w:bookmarkEnd w:id="7"/>
      <w:r w:rsidDel="00000000" w:rsidR="00000000" w:rsidRPr="00000000">
        <w:rPr>
          <w:rFonts w:ascii="Times New Roman" w:cs="Times New Roman" w:eastAsia="Times New Roman" w:hAnsi="Times New Roman"/>
          <w:i w:val="1"/>
          <w:sz w:val="24"/>
          <w:szCs w:val="24"/>
          <w:rtl w:val="0"/>
        </w:rPr>
        <w:t xml:space="preserve">Recomendamos que el Comité pregunte al gobierno de Colombia</w:t>
      </w:r>
    </w:p>
    <w:p w:rsidR="00000000" w:rsidDel="00000000" w:rsidP="00000000" w:rsidRDefault="00000000" w:rsidRPr="00000000" w14:paraId="0000008C">
      <w:pPr>
        <w:spacing w:line="252.00000000000003"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D">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Sobre el cumplimiento específico de estas decisiones:</w:t>
      </w:r>
    </w:p>
    <w:p w:rsidR="00000000" w:rsidDel="00000000" w:rsidP="00000000" w:rsidRDefault="00000000" w:rsidRPr="00000000" w14:paraId="0000008E">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F">
      <w:pPr>
        <w:numPr>
          <w:ilvl w:val="0"/>
          <w:numId w:val="3"/>
        </w:numPr>
        <w:ind w:left="283.46456692913375" w:hanging="30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¿Cuáles son las medidas y programas que está diseñando o ejecutando el Gobierno para lograr la superación del ECI relacionado con poblaciones desplazadas? </w:t>
      </w:r>
    </w:p>
    <w:p w:rsidR="00000000" w:rsidDel="00000000" w:rsidP="00000000" w:rsidRDefault="00000000" w:rsidRPr="00000000" w14:paraId="00000090">
      <w:pPr>
        <w:numPr>
          <w:ilvl w:val="0"/>
          <w:numId w:val="3"/>
        </w:numPr>
        <w:ind w:left="283.46456692913375" w:hanging="30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Ante la falta de acceso efectivo al derecho a la salud en Colombia, ¿el Gobierno colombiano ha diseñado y ejecutado programas con el objetivo de reconocer, caracterizar y garantizar el acceso a este derecho sin recurrir a la vía judicial (acción de tutela)?</w:t>
      </w:r>
    </w:p>
    <w:p w:rsidR="00000000" w:rsidDel="00000000" w:rsidP="00000000" w:rsidRDefault="00000000" w:rsidRPr="00000000" w14:paraId="00000091">
      <w:pPr>
        <w:numPr>
          <w:ilvl w:val="0"/>
          <w:numId w:val="3"/>
        </w:numPr>
        <w:ind w:left="283.46456692913375" w:hanging="30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¿Cuál o cuáles deben ser las medidas de carácter inmediato que podrían restaurar el déficit de derechos de los reclusos, actualmente sometidos a condiciones de reclusión degradantes e inhumanas relacionadas con el hacinamiento carcelario? </w:t>
      </w:r>
    </w:p>
    <w:p w:rsidR="00000000" w:rsidDel="00000000" w:rsidP="00000000" w:rsidRDefault="00000000" w:rsidRPr="00000000" w14:paraId="00000092">
      <w:pPr>
        <w:numPr>
          <w:ilvl w:val="0"/>
          <w:numId w:val="3"/>
        </w:numPr>
        <w:ind w:left="283.46456692913375" w:hanging="30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¿Cuáles son las medidas de carácter urgente que se están implementando para garantizar el cumplimiento de los mínimos constitucionales en relación con agua potable, salud y alimentación en La Guajira? </w:t>
      </w:r>
    </w:p>
    <w:p w:rsidR="00000000" w:rsidDel="00000000" w:rsidP="00000000" w:rsidRDefault="00000000" w:rsidRPr="00000000" w14:paraId="00000093">
      <w:pPr>
        <w:numPr>
          <w:ilvl w:val="0"/>
          <w:numId w:val="3"/>
        </w:numPr>
        <w:ind w:left="283.46456692913375" w:hanging="30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¿Cómo se está articulando el aparato del Estado nacional y departamental para garantizar el cumplimiento de las medidas solicitadas por la Corte Constitucional? </w:t>
      </w:r>
    </w:p>
    <w:p w:rsidR="00000000" w:rsidDel="00000000" w:rsidP="00000000" w:rsidRDefault="00000000" w:rsidRPr="00000000" w14:paraId="00000094">
      <w:pPr>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5">
      <w:pPr>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Sobre el cumplimiento general de las sentencias estructurales:</w:t>
      </w:r>
    </w:p>
    <w:p w:rsidR="00000000" w:rsidDel="00000000" w:rsidP="00000000" w:rsidRDefault="00000000" w:rsidRPr="00000000" w14:paraId="00000096">
      <w:pPr>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7">
      <w:pPr>
        <w:numPr>
          <w:ilvl w:val="0"/>
          <w:numId w:val="3"/>
        </w:numPr>
        <w:ind w:left="283.46456692913375" w:hanging="283.46456692913375"/>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¿Qué medidas ha adoptado el gobierno para asegurar que las medidas ordenadas por la Corte en las sentencias mencionadas realmente se traduzcan en políticas públicas sustentables en el corto, mediano y largo plazo?</w:t>
      </w:r>
    </w:p>
    <w:p w:rsidR="00000000" w:rsidDel="00000000" w:rsidP="00000000" w:rsidRDefault="00000000" w:rsidRPr="00000000" w14:paraId="00000098">
      <w:pPr>
        <w:numPr>
          <w:ilvl w:val="0"/>
          <w:numId w:val="3"/>
        </w:numPr>
        <w:ind w:left="283.46456692913375" w:hanging="283.46456692913375"/>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¿Cuáles han sido las estrategias y lineamientos de articulación interinstitucional promovidas por el gobierno para lograr el cumplimiento de las órdenes establecidas en los ECI proferidos por la Corte y en general en sus sentencias estructurales? </w:t>
      </w:r>
    </w:p>
    <w:p w:rsidR="00000000" w:rsidDel="00000000" w:rsidP="00000000" w:rsidRDefault="00000000" w:rsidRPr="00000000" w14:paraId="00000099">
      <w:pPr>
        <w:numPr>
          <w:ilvl w:val="0"/>
          <w:numId w:val="3"/>
        </w:numPr>
        <w:ind w:left="283.46456692913375" w:hanging="283.46456692913375"/>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¿Qué medidas ha adoptado el gobierno para asegurar que las medidas ordenadas por la Corte Constitucional en sus sentencias estructurales incluyan financiación a nivel territorial y nacional de manera que los gastos de implementación de estas sentencias estén soportadas en el corto, mediano y largo plazo?  </w:t>
      </w:r>
    </w:p>
    <w:p w:rsidR="00000000" w:rsidDel="00000000" w:rsidP="00000000" w:rsidRDefault="00000000" w:rsidRPr="00000000" w14:paraId="0000009A">
      <w:pPr>
        <w:numPr>
          <w:ilvl w:val="0"/>
          <w:numId w:val="3"/>
        </w:numPr>
        <w:ind w:left="283.46456692913375" w:hanging="283.46456692913375"/>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 qué manera el Estado contempla generar o mejorar los </w:t>
      </w:r>
      <w:r w:rsidDel="00000000" w:rsidR="00000000" w:rsidRPr="00000000">
        <w:rPr>
          <w:rFonts w:ascii="Times New Roman" w:cs="Times New Roman" w:eastAsia="Times New Roman" w:hAnsi="Times New Roman"/>
          <w:sz w:val="24"/>
          <w:szCs w:val="24"/>
          <w:rtl w:val="0"/>
        </w:rPr>
        <w:t xml:space="preserve">sistemas de información e indicadores de seguimiento pertinentes que permitan tomar decisiones basadas en evidencia empírica</w:t>
      </w:r>
      <w:r w:rsidDel="00000000" w:rsidR="00000000" w:rsidRPr="00000000">
        <w:rPr>
          <w:rFonts w:ascii="Times New Roman" w:cs="Times New Roman" w:eastAsia="Times New Roman" w:hAnsi="Times New Roman"/>
          <w:sz w:val="24"/>
          <w:szCs w:val="24"/>
          <w:rtl w:val="0"/>
        </w:rPr>
        <w:t xml:space="preserve">, para atender a la garantía del acceso a la justicia de poblaciones vulnerables (desplazados, privados de la libertad, población indígena y con situaciones de salud </w:t>
      </w:r>
      <w:r w:rsidDel="00000000" w:rsidR="00000000" w:rsidRPr="00000000">
        <w:rPr>
          <w:rFonts w:ascii="Times New Roman" w:cs="Times New Roman" w:eastAsia="Times New Roman" w:hAnsi="Times New Roman"/>
          <w:sz w:val="24"/>
          <w:szCs w:val="24"/>
          <w:rtl w:val="0"/>
        </w:rPr>
        <w:t xml:space="preserve">identificadas</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9B">
      <w:pPr>
        <w:numPr>
          <w:ilvl w:val="0"/>
          <w:numId w:val="3"/>
        </w:numPr>
        <w:ind w:left="283.46456692913375" w:hanging="283.46456692913375"/>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¿Cuáles son los mecanismos de rendición de cuentas y las instituciones responsables establecidas por el gobierno para hacer seguimiento a la superación de los ECI? </w:t>
      </w:r>
    </w:p>
    <w:p w:rsidR="00000000" w:rsidDel="00000000" w:rsidP="00000000" w:rsidRDefault="00000000" w:rsidRPr="00000000" w14:paraId="0000009C">
      <w:pPr>
        <w:numPr>
          <w:ilvl w:val="0"/>
          <w:numId w:val="3"/>
        </w:numPr>
        <w:spacing w:line="252.00000000000003" w:lineRule="auto"/>
        <w:ind w:left="283.46456692913375" w:hanging="283.46456692913375"/>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¿Cuáles son los planes o estrategias de promoción que ha adoptado el gobierno para asegurar que las comunidades afectadas por estas decisiones ECI conozcan y participen en la implementación de las mencionadas sentencias? ¿Cómo mejorar y garantizar dicha participación?</w:t>
      </w:r>
    </w:p>
    <w:p w:rsidR="00000000" w:rsidDel="00000000" w:rsidP="00000000" w:rsidRDefault="00000000" w:rsidRPr="00000000" w14:paraId="0000009D">
      <w:pPr>
        <w:numPr>
          <w:ilvl w:val="0"/>
          <w:numId w:val="3"/>
        </w:numPr>
        <w:spacing w:after="0" w:afterAutospacing="0" w:line="252.00000000000003" w:lineRule="auto"/>
        <w:ind w:left="283.46456692913375" w:hanging="283.46456692913375"/>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¿Qué medidas ha adoptado el gobierno para asegurar que las instituciones de control establecidas constitucionalmente –en particular la Defensoría del Pueblo, la Procuraduría General de la Nación y la Contraloría General de la República– tengan un rol en el seguimiento en la implementación de estas sentencias y trabajen coordinadamente con los diferentes Ministerios involucrados? </w:t>
        <w:br w:type="textWrapping"/>
      </w:r>
      <w:r w:rsidDel="00000000" w:rsidR="00000000" w:rsidRPr="00000000">
        <w:rPr>
          <w:rtl w:val="0"/>
        </w:rPr>
      </w:r>
    </w:p>
    <w:p w:rsidR="00000000" w:rsidDel="00000000" w:rsidP="00000000" w:rsidRDefault="00000000" w:rsidRPr="00000000" w14:paraId="0000009E">
      <w:pPr>
        <w:pStyle w:val="Heading1"/>
        <w:numPr>
          <w:ilvl w:val="0"/>
          <w:numId w:val="5"/>
        </w:numPr>
        <w:spacing w:before="0" w:beforeAutospacing="0" w:line="252.00000000000003" w:lineRule="auto"/>
        <w:ind w:left="720" w:hanging="360"/>
        <w:jc w:val="both"/>
        <w:rPr>
          <w:b w:val="1"/>
        </w:rPr>
      </w:pPr>
      <w:bookmarkStart w:colFirst="0" w:colLast="0" w:name="_v12lxcd44nqj" w:id="8"/>
      <w:bookmarkEnd w:id="8"/>
      <w:r w:rsidDel="00000000" w:rsidR="00000000" w:rsidRPr="00000000">
        <w:rPr>
          <w:rFonts w:ascii="Times New Roman" w:cs="Times New Roman" w:eastAsia="Times New Roman" w:hAnsi="Times New Roman"/>
          <w:b w:val="1"/>
          <w:sz w:val="24"/>
          <w:szCs w:val="24"/>
          <w:rtl w:val="0"/>
        </w:rPr>
        <w:t xml:space="preserve">Obligaciones generales de respeto y garantía en materia de DESC y ECN</w:t>
      </w:r>
    </w:p>
    <w:p w:rsidR="00000000" w:rsidDel="00000000" w:rsidP="00000000" w:rsidRDefault="00000000" w:rsidRPr="00000000" w14:paraId="0000009F">
      <w:pPr>
        <w:spacing w:after="240" w:before="24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El derecho humano a la alimentación adecuada se desarrolla en el artículo 11 del PIDESC</w:t>
      </w:r>
      <w:r w:rsidDel="00000000" w:rsidR="00000000" w:rsidRPr="00000000">
        <w:rPr>
          <w:rFonts w:ascii="Times New Roman" w:cs="Times New Roman" w:eastAsia="Times New Roman" w:hAnsi="Times New Roman"/>
          <w:sz w:val="24"/>
          <w:szCs w:val="24"/>
          <w:vertAlign w:val="superscript"/>
        </w:rPr>
        <w:footnoteReference w:customMarkFollows="0" w:id="30"/>
      </w:r>
      <w:r w:rsidDel="00000000" w:rsidR="00000000" w:rsidRPr="00000000">
        <w:rPr>
          <w:rFonts w:ascii="Times New Roman" w:cs="Times New Roman" w:eastAsia="Times New Roman" w:hAnsi="Times New Roman"/>
          <w:sz w:val="24"/>
          <w:szCs w:val="24"/>
          <w:rtl w:val="0"/>
        </w:rPr>
        <w:t xml:space="preserve">. En este marco, el Comité DESC, en su Observación General N° 12</w:t>
      </w:r>
      <w:r w:rsidDel="00000000" w:rsidR="00000000" w:rsidRPr="00000000">
        <w:rPr>
          <w:rFonts w:ascii="Times New Roman" w:cs="Times New Roman" w:eastAsia="Times New Roman" w:hAnsi="Times New Roman"/>
          <w:sz w:val="24"/>
          <w:szCs w:val="24"/>
          <w:vertAlign w:val="superscript"/>
        </w:rPr>
        <w:footnoteReference w:customMarkFollows="0" w:id="31"/>
      </w:r>
      <w:r w:rsidDel="00000000" w:rsidR="00000000" w:rsidRPr="00000000">
        <w:rPr>
          <w:rFonts w:ascii="Times New Roman" w:cs="Times New Roman" w:eastAsia="Times New Roman" w:hAnsi="Times New Roman"/>
          <w:sz w:val="24"/>
          <w:szCs w:val="24"/>
          <w:rtl w:val="0"/>
        </w:rPr>
        <w:t xml:space="preserve">, delimita el contenido y el alcance del derecho a alimentación adecuada, describiendo los presupuestos jurídicos que engloban el derecho y las obligaciones a cargo del Estado para su correcta garantía. Así, la alimentación adecuada impone tres niveles de obligaciones a los Estados Parte: respetar, proteger y garantizar el derecho a la alimentación de la población que se encuentra bajo su jurisdicción. </w:t>
      </w:r>
    </w:p>
    <w:p w:rsidR="00000000" w:rsidDel="00000000" w:rsidP="00000000" w:rsidRDefault="00000000" w:rsidRPr="00000000" w14:paraId="000000A0">
      <w:pPr>
        <w:shd w:fill="ffffff" w:val="clear"/>
        <w:spacing w:after="200" w:before="20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 otra parte, el Comité DESC en su Observación General No. 14 señala que el derecho a la salud</w:t>
      </w:r>
      <w:r w:rsidDel="00000000" w:rsidR="00000000" w:rsidRPr="00000000">
        <w:rPr>
          <w:rFonts w:ascii="Times New Roman" w:cs="Times New Roman" w:eastAsia="Times New Roman" w:hAnsi="Times New Roman"/>
          <w:sz w:val="24"/>
          <w:szCs w:val="24"/>
          <w:vertAlign w:val="superscript"/>
        </w:rPr>
        <w:footnoteReference w:customMarkFollows="0" w:id="32"/>
      </w:r>
      <w:r w:rsidDel="00000000" w:rsidR="00000000" w:rsidRPr="00000000">
        <w:rPr>
          <w:rFonts w:ascii="Times New Roman" w:cs="Times New Roman" w:eastAsia="Times New Roman" w:hAnsi="Times New Roman"/>
          <w:sz w:val="24"/>
          <w:szCs w:val="24"/>
          <w:rtl w:val="0"/>
        </w:rPr>
        <w:t xml:space="preserve"> implica que el derecho a la salud no se limita a la garantía de acceso y de atención, sino que abarca otros factores socioeconómicos tales como la alimentación, la nutrición, una vivienda digna y el acceso al agua potable, todos los cuales permiten que las personas puedan gozar de un estado de completo bienestar físico, mental y social.</w:t>
      </w:r>
    </w:p>
    <w:p w:rsidR="00000000" w:rsidDel="00000000" w:rsidP="00000000" w:rsidRDefault="00000000" w:rsidRPr="00000000" w14:paraId="000000A1">
      <w:pPr>
        <w:widowControl w:val="0"/>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 cuanto se refiere al derecho a la salud y la alimentación, en su informe de 2014 el ex relator especial sobre el derecho a la salud, Anand Grover</w:t>
      </w:r>
      <w:r w:rsidDel="00000000" w:rsidR="00000000" w:rsidRPr="00000000">
        <w:rPr>
          <w:rFonts w:ascii="Times New Roman" w:cs="Times New Roman" w:eastAsia="Times New Roman" w:hAnsi="Times New Roman"/>
          <w:sz w:val="24"/>
          <w:szCs w:val="24"/>
          <w:vertAlign w:val="superscript"/>
        </w:rPr>
        <w:footnoteReference w:customMarkFollows="0" w:id="33"/>
      </w:r>
      <w:r w:rsidDel="00000000" w:rsidR="00000000" w:rsidRPr="00000000">
        <w:rPr>
          <w:rFonts w:ascii="Times New Roman" w:cs="Times New Roman" w:eastAsia="Times New Roman" w:hAnsi="Times New Roman"/>
          <w:sz w:val="24"/>
          <w:szCs w:val="24"/>
          <w:rtl w:val="0"/>
        </w:rPr>
        <w:t xml:space="preserve">, se refirió a la amenaza que representan los alimentos poco saludables y las enfermedades no transmisibles para el goce efectivo del derecho humano a la salud. En este informe, el relator resaltó la necesidad de reparar la ausencia de políticas estatales integrales como </w:t>
      </w:r>
      <w:r w:rsidDel="00000000" w:rsidR="00000000" w:rsidRPr="00000000">
        <w:rPr>
          <w:rFonts w:ascii="Times New Roman" w:cs="Times New Roman" w:eastAsia="Times New Roman" w:hAnsi="Times New Roman"/>
          <w:sz w:val="24"/>
          <w:szCs w:val="24"/>
          <w:rtl w:val="0"/>
        </w:rPr>
        <w:t xml:space="preserve">el etiquetado</w:t>
      </w:r>
      <w:r w:rsidDel="00000000" w:rsidR="00000000" w:rsidRPr="00000000">
        <w:rPr>
          <w:rFonts w:ascii="Times New Roman" w:cs="Times New Roman" w:eastAsia="Times New Roman" w:hAnsi="Times New Roman"/>
          <w:sz w:val="24"/>
          <w:szCs w:val="24"/>
          <w:rtl w:val="0"/>
        </w:rPr>
        <w:t xml:space="preserve"> frontal de advertencia, la regulación de publicidad dirigida a niños y niñas, el impuesto a las bebidas ultraprocesadas y la implementación de entornos escolares saludables, para que los consumidores puedan adoptar decisiones informadas de alimentación y autocuidado de la salud</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tl w:val="0"/>
        </w:rPr>
      </w:r>
    </w:p>
    <w:p w:rsidR="00000000" w:rsidDel="00000000" w:rsidP="00000000" w:rsidRDefault="00000000" w:rsidRPr="00000000" w14:paraId="000000A2">
      <w:pPr>
        <w:widowControl w:val="0"/>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3">
      <w:pPr>
        <w:widowControl w:val="0"/>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Seguidamente, la Relatora Especial sobre el derecho a la alimentación en su informe del 2016 menciona que la malnutrición engloba la desnutrición, la carencia de micronutrientes y las enfermedades relacionadas con la ingestión excesiva de alimentos y el desequilibrio nutricional, así la desnutrición es consecuencia de consumir escasos nutrientes esenciales, bien por ingerir una cantidad insuficiente de alimentos, bien por padecer repetidas enfermedades infecciosas.</w:t>
      </w:r>
      <w:r w:rsidDel="00000000" w:rsidR="00000000" w:rsidRPr="00000000">
        <w:rPr>
          <w:rFonts w:ascii="Times New Roman" w:cs="Times New Roman" w:eastAsia="Times New Roman" w:hAnsi="Times New Roman"/>
          <w:sz w:val="24"/>
          <w:szCs w:val="24"/>
          <w:vertAlign w:val="superscript"/>
        </w:rPr>
        <w:footnoteReference w:customMarkFollows="0" w:id="34"/>
      </w:r>
      <w:r w:rsidDel="00000000" w:rsidR="00000000" w:rsidRPr="00000000">
        <w:rPr>
          <w:rFonts w:ascii="Times New Roman" w:cs="Times New Roman" w:eastAsia="Times New Roman" w:hAnsi="Times New Roman"/>
          <w:sz w:val="24"/>
          <w:szCs w:val="24"/>
          <w:rtl w:val="0"/>
        </w:rPr>
        <w:t xml:space="preserve"> Esto es lo que en otros espacios se ha denominado como la “doble carga de la malnutrición”, es decir, la existencia simultánea de fenómenos como la desnutrición y la obesidad. </w:t>
      </w:r>
      <w:r w:rsidDel="00000000" w:rsidR="00000000" w:rsidRPr="00000000">
        <w:rPr>
          <w:rFonts w:ascii="Times New Roman" w:cs="Times New Roman" w:eastAsia="Times New Roman" w:hAnsi="Times New Roman"/>
          <w:sz w:val="24"/>
          <w:szCs w:val="24"/>
          <w:rtl w:val="0"/>
        </w:rPr>
        <w:t xml:space="preserve">Estas dos condiciones pueden coexistir no sólo en el mismo país y la misma región, sino en el mismo grupo familiar e, incluso, en la misma persona. </w:t>
      </w:r>
      <w:r w:rsidDel="00000000" w:rsidR="00000000" w:rsidRPr="00000000">
        <w:rPr>
          <w:rtl w:val="0"/>
        </w:rPr>
      </w:r>
    </w:p>
    <w:p w:rsidR="00000000" w:rsidDel="00000000" w:rsidP="00000000" w:rsidRDefault="00000000" w:rsidRPr="00000000" w14:paraId="000000A4">
      <w:pPr>
        <w:pStyle w:val="Heading2"/>
        <w:widowControl w:val="0"/>
        <w:numPr>
          <w:ilvl w:val="0"/>
          <w:numId w:val="4"/>
        </w:numPr>
        <w:spacing w:line="240" w:lineRule="auto"/>
        <w:ind w:left="720" w:hanging="360"/>
        <w:jc w:val="both"/>
        <w:rPr>
          <w:rFonts w:ascii="Times New Roman" w:cs="Times New Roman" w:eastAsia="Times New Roman" w:hAnsi="Times New Roman"/>
          <w:i w:val="1"/>
          <w:sz w:val="24"/>
          <w:szCs w:val="24"/>
        </w:rPr>
      </w:pPr>
      <w:bookmarkStart w:colFirst="0" w:colLast="0" w:name="_yd4u9vweo453" w:id="9"/>
      <w:bookmarkEnd w:id="9"/>
      <w:r w:rsidDel="00000000" w:rsidR="00000000" w:rsidRPr="00000000">
        <w:rPr>
          <w:rFonts w:ascii="Times New Roman" w:cs="Times New Roman" w:eastAsia="Times New Roman" w:hAnsi="Times New Roman"/>
          <w:i w:val="1"/>
          <w:sz w:val="24"/>
          <w:szCs w:val="24"/>
          <w:rtl w:val="0"/>
        </w:rPr>
        <w:t xml:space="preserve">Panorama alimentario en Colombia </w:t>
      </w:r>
    </w:p>
    <w:p w:rsidR="00000000" w:rsidDel="00000000" w:rsidP="00000000" w:rsidRDefault="00000000" w:rsidRPr="00000000" w14:paraId="000000A5">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 el país, los Niños, Niñas y Adolescentes (NNA) están especialmente expuestos a esta doble carga. Los datos de malnutrición relacionados con factores que aumentan el riesgo de sufrir sobrepeso u obesidad y por tanto que potencian el padecimiento de enfermedades crónicas no transmisibles así lo confirman. La última Encuesta Nacional de Situación Nutricional en Colombia del 2015 que encontró un incremento sustancial en la obesidad, de 500% frente a las cifras de la primera encuesta en 2005, donde un 4,3% de niños en edades escolares (niños entre los 5 y los 12 años) padecían de sobrepeso, esta cifra pasó al 18,8% en 2010, y luego a un 24,4% para el 2015. </w:t>
      </w:r>
    </w:p>
    <w:p w:rsidR="00000000" w:rsidDel="00000000" w:rsidP="00000000" w:rsidRDefault="00000000" w:rsidRPr="00000000" w14:paraId="000000A6">
      <w:pP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7">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lo anterior, se le suma que las cifras reveladas por el Departamento Administrativo Nacional de Estadística (DANE) en su Encuesta Nacional de Calidad de Vida muestran datos alarmantes en materia de malnutrición en Colombia. Según la entidad “la prevalencia de inseguridad alimentaria moderada o grave en los hogares del país fue del 28,1%. Es decir, 28 de cada 100 hogares tuvieron que disminuir la cantidad y calidad de los alimentos consumidos, al menos una vez durante los últimos 12 meses, debido a falta de dinero y otros recursos”. De la misma manera, señala el DANE que a nivel departamental la inseguridad alimentaria oscila en un rango de 59,7% de inseguridad alimentaria moderada o grave en el departamento más afectado, La Guajira, y un 14,6% en el departamento menos afectado.  </w:t>
      </w:r>
    </w:p>
    <w:p w:rsidR="00000000" w:rsidDel="00000000" w:rsidP="00000000" w:rsidRDefault="00000000" w:rsidRPr="00000000" w14:paraId="000000A8">
      <w:pP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9">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Finalmente, resulta importante destacar la dificultad de establecer un panorama claro en materia nutricional para el país ya que Colombia no cuenta con datos estadísticos oficiales actualizados. La Encuesta Nacional de Situación Nutricional, -que es una encuesta cuatrianual que </w:t>
      </w:r>
      <w:r w:rsidDel="00000000" w:rsidR="00000000" w:rsidRPr="00000000">
        <w:rPr>
          <w:rFonts w:ascii="Times New Roman" w:cs="Times New Roman" w:eastAsia="Times New Roman" w:hAnsi="Times New Roman"/>
          <w:sz w:val="24"/>
          <w:szCs w:val="24"/>
          <w:rtl w:val="0"/>
        </w:rPr>
        <w:t xml:space="preserve">permite obtener datos integrales sobre las distintas variables de la malnutrición (obesidad, sobrepeso, hambre oculta y desnutrición) con una diferenciación por edad, sexo, genero, etnia, entre otros-, </w:t>
      </w:r>
      <w:r w:rsidDel="00000000" w:rsidR="00000000" w:rsidRPr="00000000">
        <w:rPr>
          <w:rFonts w:ascii="Times New Roman" w:cs="Times New Roman" w:eastAsia="Times New Roman" w:hAnsi="Times New Roman"/>
          <w:sz w:val="24"/>
          <w:szCs w:val="24"/>
          <w:rtl w:val="0"/>
        </w:rPr>
        <w:t xml:space="preserve">tiene tres años de retraso, en principio justificados por la pandemia, pero que superan en este momento los propios estimados que había presentado el Instituo Colombiano de Bienestar Familiar (</w:t>
      </w:r>
      <w:r w:rsidDel="00000000" w:rsidR="00000000" w:rsidRPr="00000000">
        <w:rPr>
          <w:rFonts w:ascii="Times New Roman" w:cs="Times New Roman" w:eastAsia="Times New Roman" w:hAnsi="Times New Roman"/>
          <w:sz w:val="24"/>
          <w:szCs w:val="24"/>
          <w:rtl w:val="0"/>
        </w:rPr>
        <w:t xml:space="preserve">ICBF</w:t>
      </w:r>
      <w:r w:rsidDel="00000000" w:rsidR="00000000" w:rsidRPr="00000000">
        <w:rPr>
          <w:rFonts w:ascii="Times New Roman" w:cs="Times New Roman" w:eastAsia="Times New Roman" w:hAnsi="Times New Roman"/>
          <w:sz w:val="24"/>
          <w:szCs w:val="24"/>
          <w:rtl w:val="0"/>
        </w:rPr>
        <w:t xml:space="preserve">), entidad encargada de la presentación de estas cifras. Este instrumento, tiene dentro de sus indicadores un estudio de la malnutrición desde una perspectiva integral que permitiría a los tomadores de decisiones diseñar políticas públicas más conducentes y apropiadas. </w:t>
      </w:r>
    </w:p>
    <w:p w:rsidR="00000000" w:rsidDel="00000000" w:rsidP="00000000" w:rsidRDefault="00000000" w:rsidRPr="00000000" w14:paraId="000000AA">
      <w:pPr>
        <w:pStyle w:val="Heading2"/>
        <w:numPr>
          <w:ilvl w:val="0"/>
          <w:numId w:val="4"/>
        </w:numPr>
        <w:spacing w:line="240" w:lineRule="auto"/>
        <w:ind w:left="720" w:hanging="360"/>
        <w:jc w:val="both"/>
        <w:rPr>
          <w:rFonts w:ascii="Times New Roman" w:cs="Times New Roman" w:eastAsia="Times New Roman" w:hAnsi="Times New Roman"/>
          <w:i w:val="1"/>
          <w:sz w:val="24"/>
          <w:szCs w:val="24"/>
        </w:rPr>
      </w:pPr>
      <w:bookmarkStart w:colFirst="0" w:colLast="0" w:name="_7lxix6mhsdte" w:id="10"/>
      <w:bookmarkEnd w:id="10"/>
      <w:r w:rsidDel="00000000" w:rsidR="00000000" w:rsidRPr="00000000">
        <w:rPr>
          <w:rFonts w:ascii="Times New Roman" w:cs="Times New Roman" w:eastAsia="Times New Roman" w:hAnsi="Times New Roman"/>
          <w:i w:val="1"/>
          <w:sz w:val="24"/>
          <w:szCs w:val="24"/>
          <w:rtl w:val="0"/>
        </w:rPr>
        <w:t xml:space="preserve">Medidas regulatorias orientadas a la reducción de factores de riesgo de enfermedades crónicas no transmisibles particularmente de la obesidad </w:t>
      </w:r>
      <w:r w:rsidDel="00000000" w:rsidR="00000000" w:rsidRPr="00000000">
        <w:rPr>
          <w:rtl w:val="0"/>
        </w:rPr>
      </w:r>
    </w:p>
    <w:p w:rsidR="00000000" w:rsidDel="00000000" w:rsidP="00000000" w:rsidRDefault="00000000" w:rsidRPr="00000000" w14:paraId="000000AB">
      <w:pPr>
        <w:shd w:fill="ffffff" w:val="clear"/>
        <w:spacing w:after="288"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 aras de atender la situación antes descrita y prevenir el incremento de la obesidad, en el 2021, luego de más de cinco años de amplia deliberación social y política, se promulgó </w:t>
      </w:r>
      <w:hyperlink r:id="rId8">
        <w:r w:rsidDel="00000000" w:rsidR="00000000" w:rsidRPr="00000000">
          <w:rPr>
            <w:rFonts w:ascii="Times New Roman" w:cs="Times New Roman" w:eastAsia="Times New Roman" w:hAnsi="Times New Roman"/>
            <w:sz w:val="24"/>
            <w:szCs w:val="24"/>
            <w:rtl w:val="0"/>
          </w:rPr>
          <w:t xml:space="preserve">la “Ley Comida Chatarra”</w:t>
        </w:r>
      </w:hyperlink>
      <w:r w:rsidDel="00000000" w:rsidR="00000000" w:rsidRPr="00000000">
        <w:rPr>
          <w:rFonts w:ascii="Times New Roman" w:cs="Times New Roman" w:eastAsia="Times New Roman" w:hAnsi="Times New Roman"/>
          <w:sz w:val="24"/>
          <w:szCs w:val="24"/>
          <w:rtl w:val="0"/>
        </w:rPr>
        <w:t xml:space="preserve">. Seguidamente, el Ministerio de Salud y Protección Social expidió la</w:t>
      </w:r>
      <w:hyperlink r:id="rId9">
        <w:r w:rsidDel="00000000" w:rsidR="00000000" w:rsidRPr="00000000">
          <w:rPr>
            <w:rFonts w:ascii="Times New Roman" w:cs="Times New Roman" w:eastAsia="Times New Roman" w:hAnsi="Times New Roman"/>
            <w:sz w:val="24"/>
            <w:szCs w:val="24"/>
            <w:rtl w:val="0"/>
          </w:rPr>
          <w:t xml:space="preserve"> Resolución 2492 de 2022</w:t>
        </w:r>
      </w:hyperlink>
      <w:r w:rsidDel="00000000" w:rsidR="00000000" w:rsidRPr="00000000">
        <w:rPr>
          <w:rFonts w:ascii="Times New Roman" w:cs="Times New Roman" w:eastAsia="Times New Roman" w:hAnsi="Times New Roman"/>
          <w:sz w:val="24"/>
          <w:szCs w:val="24"/>
          <w:rtl w:val="0"/>
        </w:rPr>
        <w:t xml:space="preserve">. En particular, la Resolución establece </w:t>
      </w:r>
      <w:r w:rsidDel="00000000" w:rsidR="00000000" w:rsidRPr="00000000">
        <w:rPr>
          <w:rFonts w:ascii="Times New Roman" w:cs="Times New Roman" w:eastAsia="Times New Roman" w:hAnsi="Times New Roman"/>
          <w:b w:val="1"/>
          <w:sz w:val="24"/>
          <w:szCs w:val="24"/>
          <w:rtl w:val="0"/>
        </w:rPr>
        <w:t xml:space="preserve">un modelo de etiquetado frontal de advertencia octagonal</w:t>
      </w:r>
      <w:r w:rsidDel="00000000" w:rsidR="00000000" w:rsidRPr="00000000">
        <w:rPr>
          <w:rFonts w:ascii="Times New Roman" w:cs="Times New Roman" w:eastAsia="Times New Roman" w:hAnsi="Times New Roman"/>
          <w:sz w:val="24"/>
          <w:szCs w:val="24"/>
          <w:rtl w:val="0"/>
        </w:rPr>
        <w:t xml:space="preserve">, modifica el contenido del etiquetado que hasta el momento se tenía en Colombia, los límites de nutrientes necesarios para que un producto cuente con etiquetado, y prohíbe que concurran un etiquetado de advertencia con declaraciones de propiedades nutricionales y en salud</w:t>
      </w:r>
      <w:r w:rsidDel="00000000" w:rsidR="00000000" w:rsidRPr="00000000">
        <w:rPr>
          <w:rFonts w:ascii="Times New Roman" w:cs="Times New Roman" w:eastAsia="Times New Roman" w:hAnsi="Times New Roman"/>
          <w:sz w:val="24"/>
          <w:szCs w:val="24"/>
          <w:vertAlign w:val="superscript"/>
        </w:rPr>
        <w:footnoteReference w:customMarkFollows="0" w:id="35"/>
      </w:r>
      <w:r w:rsidDel="00000000" w:rsidR="00000000" w:rsidRPr="00000000">
        <w:rPr>
          <w:rtl w:val="0"/>
        </w:rPr>
      </w:r>
    </w:p>
    <w:p w:rsidR="00000000" w:rsidDel="00000000" w:rsidP="00000000" w:rsidRDefault="00000000" w:rsidRPr="00000000" w14:paraId="000000AC">
      <w:pPr>
        <w:shd w:fill="ffffff" w:val="clear"/>
        <w:spacing w:after="288"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 otra parte, en la reforma tributaria del 2023, fue aprobado un </w:t>
      </w:r>
      <w:r w:rsidDel="00000000" w:rsidR="00000000" w:rsidRPr="00000000">
        <w:rPr>
          <w:rFonts w:ascii="Times New Roman" w:cs="Times New Roman" w:eastAsia="Times New Roman" w:hAnsi="Times New Roman"/>
          <w:b w:val="1"/>
          <w:sz w:val="24"/>
          <w:szCs w:val="24"/>
          <w:rtl w:val="0"/>
        </w:rPr>
        <w:t xml:space="preserve">impuesto a las bebidas ultraprocesadas </w:t>
      </w:r>
      <w:r w:rsidDel="00000000" w:rsidR="00000000" w:rsidRPr="00000000">
        <w:rPr>
          <w:rFonts w:ascii="Times New Roman" w:cs="Times New Roman" w:eastAsia="Times New Roman" w:hAnsi="Times New Roman"/>
          <w:sz w:val="24"/>
          <w:szCs w:val="24"/>
          <w:rtl w:val="0"/>
        </w:rPr>
        <w:t xml:space="preserve">como una forma de reducir las externalidades negativas asociadas al consumo de estos productos. Así, aunque fue un hecho histórico, celebrado y apoyado por la sociedad civil que por fin el Congreso de la República incluyera este impuesto, existen aspectos problemáticos en su diseño: la base gravable es por gramos de azúcar y la tarifa aumenta el precio desde los 6 gramos, es decir, aquellas bebidas ultraprocesadas que tengan menos de 6 gramos de azúcar tienen un impuesto cero. Entonces, siendo el objetivo del impuesto un descenso en el consumo de bebidas ultraprocesadas por aumento del precio, el impuesto no es ideal, pues no existe un incentivo a la disminución del consumo de aquellas que tengan menos de 6 gramos de azúcar. </w:t>
      </w:r>
    </w:p>
    <w:p w:rsidR="00000000" w:rsidDel="00000000" w:rsidP="00000000" w:rsidRDefault="00000000" w:rsidRPr="00000000" w14:paraId="000000AD">
      <w:pPr>
        <w:pStyle w:val="Heading2"/>
        <w:numPr>
          <w:ilvl w:val="0"/>
          <w:numId w:val="4"/>
        </w:numPr>
        <w:shd w:fill="ffffff" w:val="clear"/>
        <w:spacing w:after="288" w:line="240" w:lineRule="auto"/>
        <w:ind w:left="720" w:hanging="360"/>
        <w:jc w:val="both"/>
        <w:rPr>
          <w:rFonts w:ascii="Times New Roman" w:cs="Times New Roman" w:eastAsia="Times New Roman" w:hAnsi="Times New Roman"/>
          <w:i w:val="1"/>
          <w:sz w:val="24"/>
          <w:szCs w:val="24"/>
        </w:rPr>
      </w:pPr>
      <w:bookmarkStart w:colFirst="0" w:colLast="0" w:name="_wr59oq40u7qc" w:id="11"/>
      <w:bookmarkEnd w:id="11"/>
      <w:r w:rsidDel="00000000" w:rsidR="00000000" w:rsidRPr="00000000">
        <w:rPr>
          <w:rFonts w:ascii="Times New Roman" w:cs="Times New Roman" w:eastAsia="Times New Roman" w:hAnsi="Times New Roman"/>
          <w:i w:val="1"/>
          <w:sz w:val="24"/>
          <w:szCs w:val="24"/>
          <w:rtl w:val="0"/>
        </w:rPr>
        <w:t xml:space="preserve">Medidas orientadas a mitigar la i</w:t>
      </w:r>
      <w:r w:rsidDel="00000000" w:rsidR="00000000" w:rsidRPr="00000000">
        <w:rPr>
          <w:rFonts w:ascii="Times New Roman" w:cs="Times New Roman" w:eastAsia="Times New Roman" w:hAnsi="Times New Roman"/>
          <w:i w:val="1"/>
          <w:sz w:val="24"/>
          <w:szCs w:val="24"/>
          <w:rtl w:val="0"/>
        </w:rPr>
        <w:t xml:space="preserve">nseguridad alimentaria en regiones de alto riesgo: situación de La Guajira</w:t>
      </w:r>
    </w:p>
    <w:p w:rsidR="00000000" w:rsidDel="00000000" w:rsidP="00000000" w:rsidRDefault="00000000" w:rsidRPr="00000000" w14:paraId="000000AE">
      <w:pPr>
        <w:spacing w:line="240" w:lineRule="auto"/>
        <w:jc w:val="both"/>
        <w:rPr>
          <w:rFonts w:ascii="Times New Roman" w:cs="Times New Roman" w:eastAsia="Times New Roman" w:hAnsi="Times New Roman"/>
          <w:sz w:val="24"/>
          <w:szCs w:val="24"/>
          <w:vertAlign w:val="superscript"/>
        </w:rPr>
      </w:pPr>
      <w:r w:rsidDel="00000000" w:rsidR="00000000" w:rsidRPr="00000000">
        <w:rPr>
          <w:rFonts w:ascii="Times New Roman" w:cs="Times New Roman" w:eastAsia="Times New Roman" w:hAnsi="Times New Roman"/>
          <w:sz w:val="24"/>
          <w:szCs w:val="24"/>
          <w:rtl w:val="0"/>
        </w:rPr>
        <w:t xml:space="preserve">Como vimos </w:t>
      </w:r>
      <w:r w:rsidDel="00000000" w:rsidR="00000000" w:rsidRPr="00000000">
        <w:rPr>
          <w:rFonts w:ascii="Times New Roman" w:cs="Times New Roman" w:eastAsia="Times New Roman" w:hAnsi="Times New Roman"/>
          <w:sz w:val="24"/>
          <w:szCs w:val="24"/>
          <w:rtl w:val="0"/>
        </w:rPr>
        <w:t xml:space="preserve">la sentencia T-302 de 2017 busca proteger la correcta garantía del derecho a la alimentación adecuada en La Guajira, teniendo en cuenta que este departamento se encuentra inmerso en una grave crisis humanitaria</w:t>
      </w:r>
      <w:r w:rsidDel="00000000" w:rsidR="00000000" w:rsidRPr="00000000">
        <w:rPr>
          <w:rFonts w:ascii="Times New Roman" w:cs="Times New Roman" w:eastAsia="Times New Roman" w:hAnsi="Times New Roman"/>
          <w:sz w:val="24"/>
          <w:szCs w:val="24"/>
          <w:vertAlign w:val="superscript"/>
        </w:rPr>
        <w:footnoteReference w:customMarkFollows="0" w:id="36"/>
      </w:r>
      <w:r w:rsidDel="00000000" w:rsidR="00000000" w:rsidRPr="00000000">
        <w:rPr>
          <w:rFonts w:ascii="Times New Roman" w:cs="Times New Roman" w:eastAsia="Times New Roman" w:hAnsi="Times New Roman"/>
          <w:sz w:val="24"/>
          <w:szCs w:val="24"/>
          <w:rtl w:val="0"/>
        </w:rPr>
        <w:t xml:space="preserve">. Esto se concreta en la falta de acceso y disponibilidad de alimentación tanto adecuada como nutritiva, obstáculos para acceder a agua potable de calidad y, finalmente, en mayores índices de muertes por desnutrición en este territorio, que afecta de manera desproporcionada a la primera infancia, a las mujeres y a los adultos mayores que se autoreconocen como </w:t>
      </w:r>
      <w:r w:rsidDel="00000000" w:rsidR="00000000" w:rsidRPr="00000000">
        <w:rPr>
          <w:rFonts w:ascii="Times New Roman" w:cs="Times New Roman" w:eastAsia="Times New Roman" w:hAnsi="Times New Roman"/>
          <w:sz w:val="24"/>
          <w:szCs w:val="24"/>
          <w:rtl w:val="0"/>
        </w:rPr>
        <w:t xml:space="preserve">Wayúu</w:t>
      </w:r>
      <w:r w:rsidDel="00000000" w:rsidR="00000000" w:rsidRPr="00000000">
        <w:rPr>
          <w:rFonts w:ascii="Times New Roman" w:cs="Times New Roman" w:eastAsia="Times New Roman" w:hAnsi="Times New Roman"/>
          <w:sz w:val="24"/>
          <w:szCs w:val="24"/>
          <w:rtl w:val="0"/>
        </w:rPr>
        <w:t xml:space="preserve">. Para el 2022 la tasa de  mortalidad por desnutrición en menores de 5 años en La Guajira era 8,9 veces la tasa nacional.</w:t>
      </w:r>
      <w:r w:rsidDel="00000000" w:rsidR="00000000" w:rsidRPr="00000000">
        <w:rPr>
          <w:rFonts w:ascii="Times New Roman" w:cs="Times New Roman" w:eastAsia="Times New Roman" w:hAnsi="Times New Roman"/>
          <w:sz w:val="24"/>
          <w:szCs w:val="24"/>
          <w:vertAlign w:val="superscript"/>
        </w:rPr>
        <w:footnoteReference w:customMarkFollows="0" w:id="37"/>
      </w:r>
      <w:r w:rsidDel="00000000" w:rsidR="00000000" w:rsidRPr="00000000">
        <w:rPr>
          <w:rtl w:val="0"/>
        </w:rPr>
      </w:r>
    </w:p>
    <w:p w:rsidR="00000000" w:rsidDel="00000000" w:rsidP="00000000" w:rsidRDefault="00000000" w:rsidRPr="00000000" w14:paraId="000000AF">
      <w:pP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0">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El aumento significativo en las tasa de defunciones asociadas a desnutrición, desencadenó un esfuerzo institucional para atender esta emergencia, que de acuerdo a lo que reflejan los datos y los relatos de las comunidades que hacen vida en el territorio, sigue siendo insuficiente para resolver la situación, tendiendo más bien al deterioro aún más profundo de la situación</w:t>
      </w:r>
      <w:r w:rsidDel="00000000" w:rsidR="00000000" w:rsidRPr="00000000">
        <w:rPr>
          <w:rFonts w:ascii="Times New Roman" w:cs="Times New Roman" w:eastAsia="Times New Roman" w:hAnsi="Times New Roman"/>
          <w:sz w:val="24"/>
          <w:szCs w:val="24"/>
          <w:vertAlign w:val="superscript"/>
        </w:rPr>
        <w:footnoteReference w:customMarkFollows="0" w:id="38"/>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B1">
      <w:pP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2">
      <w:pPr>
        <w:spacing w:line="240" w:lineRule="auto"/>
        <w:jc w:val="both"/>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Recomendamos que el Comité pregunte al gobierno de Colombia</w:t>
      </w:r>
    </w:p>
    <w:p w:rsidR="00000000" w:rsidDel="00000000" w:rsidP="00000000" w:rsidRDefault="00000000" w:rsidRPr="00000000" w14:paraId="000000B3">
      <w:pPr>
        <w:spacing w:line="240" w:lineRule="auto"/>
        <w:jc w:val="both"/>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00B4">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 cuanto a la falta de datos oficiales:</w:t>
      </w:r>
    </w:p>
    <w:p w:rsidR="00000000" w:rsidDel="00000000" w:rsidP="00000000" w:rsidRDefault="00000000" w:rsidRPr="00000000" w14:paraId="000000B5">
      <w:pP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6">
      <w:pPr>
        <w:numPr>
          <w:ilvl w:val="0"/>
          <w:numId w:val="2"/>
        </w:numPr>
        <w:spacing w:line="252.00000000000003" w:lineRule="auto"/>
        <w:ind w:left="425.19685039370086"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Teniendo en cuenta la falta de datos oficiales sobre obesidad, sobrepeso y hambre oculta en el país. ¿Cuáles son las medidas que ha adoptado el gobierno para garantizar que existen cifras actualizadas y desagregadas sobre la situación nutricional en el país? En concreto, ¿cuál es el estado actual de la Encuesta Nacional de Situación Nutricional? </w:t>
      </w:r>
    </w:p>
    <w:p w:rsidR="00000000" w:rsidDel="00000000" w:rsidP="00000000" w:rsidRDefault="00000000" w:rsidRPr="00000000" w14:paraId="000000B7">
      <w:pPr>
        <w:numPr>
          <w:ilvl w:val="0"/>
          <w:numId w:val="2"/>
        </w:numPr>
        <w:spacing w:line="252.00000000000003" w:lineRule="auto"/>
        <w:ind w:left="425.19685039370086"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¿Qué medidas de seguimiento está tomando el gobierno para medir el efecto de la implementación de las medidas regulatorias en favor de la salud pública, particularmente de las leyes que establecen un etiquetado frontal de advertencia y un impuesto a los productos comestibles y bebibles ultraprocesados? </w:t>
      </w:r>
    </w:p>
    <w:p w:rsidR="00000000" w:rsidDel="00000000" w:rsidP="00000000" w:rsidRDefault="00000000" w:rsidRPr="00000000" w14:paraId="000000B8">
      <w:pPr>
        <w:numPr>
          <w:ilvl w:val="0"/>
          <w:numId w:val="2"/>
        </w:numPr>
        <w:spacing w:line="252.00000000000003" w:lineRule="auto"/>
        <w:ind w:left="425.19685039370086"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¿Qué medidas está tomando el gobierno para asegurar la vigilancia y el control de la correcta implementación del etiquetado y el impuesto  a los productos comestibles y bebibles ultraprocesados?</w:t>
      </w:r>
    </w:p>
    <w:p w:rsidR="00000000" w:rsidDel="00000000" w:rsidP="00000000" w:rsidRDefault="00000000" w:rsidRPr="00000000" w14:paraId="000000B9">
      <w:pPr>
        <w:spacing w:line="252.00000000000003"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A">
      <w:pPr>
        <w:spacing w:line="252.00000000000003"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 relación a la garantía del derecho humano a la alimentación: </w:t>
      </w:r>
    </w:p>
    <w:p w:rsidR="00000000" w:rsidDel="00000000" w:rsidP="00000000" w:rsidRDefault="00000000" w:rsidRPr="00000000" w14:paraId="000000BB">
      <w:pPr>
        <w:spacing w:line="252.00000000000003"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C">
      <w:pPr>
        <w:numPr>
          <w:ilvl w:val="0"/>
          <w:numId w:val="2"/>
        </w:numPr>
        <w:spacing w:line="252.00000000000003" w:lineRule="auto"/>
        <w:ind w:left="425.19685039370086"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¿Cuáles son las medidas en corto, mediano y largo plazo que tomará el gobierno para atender la creciente crisis alimentaria en el país? </w:t>
      </w:r>
    </w:p>
    <w:p w:rsidR="00000000" w:rsidDel="00000000" w:rsidP="00000000" w:rsidRDefault="00000000" w:rsidRPr="00000000" w14:paraId="000000BD">
      <w:pPr>
        <w:numPr>
          <w:ilvl w:val="0"/>
          <w:numId w:val="2"/>
        </w:numPr>
        <w:spacing w:line="252.00000000000003" w:lineRule="auto"/>
        <w:ind w:left="425.19685039370086"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¿Qué medidas está tomando el gobierno para garantizar una alimentación adecuada y nutritiva a los niños, niñas y adolescentes en el ambiente escolar? </w:t>
      </w:r>
    </w:p>
    <w:p w:rsidR="00000000" w:rsidDel="00000000" w:rsidP="00000000" w:rsidRDefault="00000000" w:rsidRPr="00000000" w14:paraId="000000BE">
      <w:pPr>
        <w:spacing w:line="252.00000000000003"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F">
      <w:pPr>
        <w:spacing w:line="252.00000000000003"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 relación a la crisis alimentaria: </w:t>
      </w:r>
    </w:p>
    <w:p w:rsidR="00000000" w:rsidDel="00000000" w:rsidP="00000000" w:rsidRDefault="00000000" w:rsidRPr="00000000" w14:paraId="000000C0">
      <w:pPr>
        <w:spacing w:line="252.00000000000003"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1">
      <w:pPr>
        <w:numPr>
          <w:ilvl w:val="0"/>
          <w:numId w:val="2"/>
        </w:numPr>
        <w:spacing w:line="252.00000000000003" w:lineRule="auto"/>
        <w:ind w:left="425.19685039370086"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¿Cuáles medidas están siendo dirigidas a garantizar la soberanía alimentaria de la población indígena de La Guajira? </w:t>
      </w:r>
    </w:p>
    <w:p w:rsidR="00000000" w:rsidDel="00000000" w:rsidP="00000000" w:rsidRDefault="00000000" w:rsidRPr="00000000" w14:paraId="000000C2">
      <w:pPr>
        <w:numPr>
          <w:ilvl w:val="0"/>
          <w:numId w:val="2"/>
        </w:numPr>
        <w:spacing w:line="252.00000000000003" w:lineRule="auto"/>
        <w:ind w:left="425.19685039370086"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¿Cuáles medidas está tomando el gobierno para cumplir con las medidas cautelares dictadas por la CIDH en favor de la población Wayúu? </w:t>
      </w:r>
    </w:p>
    <w:p w:rsidR="00000000" w:rsidDel="00000000" w:rsidP="00000000" w:rsidRDefault="00000000" w:rsidRPr="00000000" w14:paraId="000000C3">
      <w:pPr>
        <w:numPr>
          <w:ilvl w:val="0"/>
          <w:numId w:val="2"/>
        </w:numPr>
        <w:spacing w:line="252.00000000000003" w:lineRule="auto"/>
        <w:ind w:left="425.19685039370086"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¿Cómo el Estado está garantizando la recuperación de aquellos niños y niñas diagnosticados con desnutrición? </w:t>
      </w:r>
    </w:p>
    <w:p w:rsidR="00000000" w:rsidDel="00000000" w:rsidP="00000000" w:rsidRDefault="00000000" w:rsidRPr="00000000" w14:paraId="000000C4">
      <w:pPr>
        <w:spacing w:line="252.00000000000003" w:lineRule="auto"/>
        <w:ind w:left="0" w:firstLine="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IV. Organizaciones que firman el presente informe</w:t>
      </w:r>
    </w:p>
    <w:p w:rsidR="00000000" w:rsidDel="00000000" w:rsidP="00000000" w:rsidRDefault="00000000" w:rsidRPr="00000000" w14:paraId="000000C5">
      <w:pPr>
        <w:spacing w:line="252.00000000000003"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6">
      <w:pPr>
        <w:spacing w:line="252.00000000000003"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7">
      <w:pPr>
        <w:spacing w:line="252.00000000000003"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2419350" cy="838200"/>
            <wp:effectExtent b="0" l="0" r="0" t="0"/>
            <wp:docPr id="3" name="image1.png"/>
            <a:graphic>
              <a:graphicData uri="http://schemas.openxmlformats.org/drawingml/2006/picture">
                <pic:pic>
                  <pic:nvPicPr>
                    <pic:cNvPr id="0" name="image1.png"/>
                    <pic:cNvPicPr preferRelativeResize="0"/>
                  </pic:nvPicPr>
                  <pic:blipFill>
                    <a:blip r:embed="rId10"/>
                    <a:srcRect b="0" l="0" r="0" t="0"/>
                    <a:stretch>
                      <a:fillRect/>
                    </a:stretch>
                  </pic:blipFill>
                  <pic:spPr>
                    <a:xfrm>
                      <a:off x="0" y="0"/>
                      <a:ext cx="2419350" cy="838200"/>
                    </a:xfrm>
                    <a:prstGeom prst="rect"/>
                    <a:ln/>
                  </pic:spPr>
                </pic:pic>
              </a:graphicData>
            </a:graphic>
          </wp:inline>
        </w:drawing>
      </w:r>
      <w:r w:rsidDel="00000000" w:rsidR="00000000" w:rsidRPr="00000000">
        <w:rPr>
          <w:rFonts w:ascii="Times New Roman" w:cs="Times New Roman" w:eastAsia="Times New Roman" w:hAnsi="Times New Roman"/>
          <w:sz w:val="24"/>
          <w:szCs w:val="24"/>
        </w:rPr>
        <w:drawing>
          <wp:inline distB="114300" distT="114300" distL="114300" distR="114300">
            <wp:extent cx="2705100" cy="876300"/>
            <wp:effectExtent b="0" l="0" r="0" t="0"/>
            <wp:docPr id="2" name="image2.png"/>
            <a:graphic>
              <a:graphicData uri="http://schemas.openxmlformats.org/drawingml/2006/picture">
                <pic:pic>
                  <pic:nvPicPr>
                    <pic:cNvPr id="0" name="image2.png"/>
                    <pic:cNvPicPr preferRelativeResize="0"/>
                  </pic:nvPicPr>
                  <pic:blipFill>
                    <a:blip r:embed="rId11"/>
                    <a:srcRect b="0" l="0" r="0" t="0"/>
                    <a:stretch>
                      <a:fillRect/>
                    </a:stretch>
                  </pic:blipFill>
                  <pic:spPr>
                    <a:xfrm>
                      <a:off x="0" y="0"/>
                      <a:ext cx="2705100" cy="876300"/>
                    </a:xfrm>
                    <a:prstGeom prst="rect"/>
                    <a:ln/>
                  </pic:spPr>
                </pic:pic>
              </a:graphicData>
            </a:graphic>
          </wp:inline>
        </w:drawing>
      </w:r>
      <w:r w:rsidDel="00000000" w:rsidR="00000000" w:rsidRPr="00000000">
        <w:rPr>
          <w:rtl w:val="0"/>
        </w:rPr>
      </w:r>
    </w:p>
    <w:p w:rsidR="00000000" w:rsidDel="00000000" w:rsidP="00000000" w:rsidRDefault="00000000" w:rsidRPr="00000000" w14:paraId="000000C8">
      <w:pPr>
        <w:spacing w:line="252.00000000000003"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9">
      <w:pPr>
        <w:spacing w:line="252.00000000000003"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A">
      <w:pPr>
        <w:spacing w:line="252.00000000000003"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B">
      <w:pPr>
        <w:spacing w:line="252.00000000000003"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C">
      <w:pPr>
        <w:spacing w:line="252.00000000000003"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El </w:t>
      </w:r>
      <w:r w:rsidDel="00000000" w:rsidR="00000000" w:rsidRPr="00000000">
        <w:rPr>
          <w:rFonts w:ascii="Times New Roman" w:cs="Times New Roman" w:eastAsia="Times New Roman" w:hAnsi="Times New Roman"/>
          <w:b w:val="1"/>
          <w:sz w:val="24"/>
          <w:szCs w:val="24"/>
          <w:rtl w:val="0"/>
        </w:rPr>
        <w:t xml:space="preserve">Centro de estudios de Derecho, Justicia y Sociedad (DEJUSTICIA)</w:t>
      </w:r>
      <w:r w:rsidDel="00000000" w:rsidR="00000000" w:rsidRPr="00000000">
        <w:rPr>
          <w:rFonts w:ascii="Times New Roman" w:cs="Times New Roman" w:eastAsia="Times New Roman" w:hAnsi="Times New Roman"/>
          <w:sz w:val="24"/>
          <w:szCs w:val="24"/>
          <w:rtl w:val="0"/>
        </w:rPr>
        <w:t xml:space="preserve"> e</w:t>
      </w:r>
      <w:r w:rsidDel="00000000" w:rsidR="00000000" w:rsidRPr="00000000">
        <w:rPr>
          <w:rFonts w:ascii="Times New Roman" w:cs="Times New Roman" w:eastAsia="Times New Roman" w:hAnsi="Times New Roman"/>
          <w:sz w:val="24"/>
          <w:szCs w:val="24"/>
          <w:rtl w:val="0"/>
        </w:rPr>
        <w:t xml:space="preserve">s un centro de estudios jurídicos y sociales localizado en Bogotá, Colombia. Nos dedicamos al fortalecimiento del Estado de Derecho y a la promoción de los derechos humanos en Colombia y en el Sur Global. </w:t>
      </w:r>
    </w:p>
    <w:p w:rsidR="00000000" w:rsidDel="00000000" w:rsidP="00000000" w:rsidRDefault="00000000" w:rsidRPr="00000000" w14:paraId="000000CD">
      <w:pPr>
        <w:spacing w:line="252.00000000000003"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E">
      <w:pPr>
        <w:spacing w:line="252.00000000000003"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 </w:t>
      </w:r>
      <w:r w:rsidDel="00000000" w:rsidR="00000000" w:rsidRPr="00000000">
        <w:rPr>
          <w:rFonts w:ascii="Times New Roman" w:cs="Times New Roman" w:eastAsia="Times New Roman" w:hAnsi="Times New Roman"/>
          <w:b w:val="1"/>
          <w:sz w:val="24"/>
          <w:szCs w:val="24"/>
          <w:rtl w:val="0"/>
        </w:rPr>
        <w:t xml:space="preserve">Red-DESC</w:t>
      </w:r>
      <w:r w:rsidDel="00000000" w:rsidR="00000000" w:rsidRPr="00000000">
        <w:rPr>
          <w:rFonts w:ascii="Times New Roman" w:cs="Times New Roman" w:eastAsia="Times New Roman" w:hAnsi="Times New Roman"/>
          <w:sz w:val="24"/>
          <w:szCs w:val="24"/>
          <w:rtl w:val="0"/>
        </w:rPr>
        <w:t xml:space="preserve"> es una iniciativa de colaboración de más de 230 miembros organizacionales y 50 individuales en más de 75 países que trabajan para lograr la justicia social a través de los derechos humanos. </w:t>
      </w:r>
      <w:r w:rsidDel="00000000" w:rsidR="00000000" w:rsidRPr="00000000">
        <w:rPr>
          <w:rtl w:val="0"/>
        </w:rPr>
      </w:r>
    </w:p>
    <w:sectPr>
      <w:footerReference r:id="rId12" w:type="default"/>
      <w:footerReference r:id="rId13" w:type="first"/>
      <w:pgSz w:h="16834" w:w="11909" w:orient="portrait"/>
      <w:pgMar w:bottom="1440" w:top="1440" w:left="1440" w:right="1440" w:header="720.0000000000001" w:footer="720.0000000000001"/>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E2">
    <w:pPr>
      <w:jc w:val="right"/>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Pr>
      <w:fldChar w:fldCharType="begin"/>
      <w:instrText xml:space="preserve">PAGE</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E3">
    <w:pPr>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3">
    <w:p w:rsidR="00000000" w:rsidDel="00000000" w:rsidP="00000000" w:rsidRDefault="00000000" w:rsidRPr="00000000" w14:paraId="000000CF">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Constitución Nacional. (1991). Asamblea Nacional Constituyente. Bogotá, Colombia: Imprenta Nacional.</w:t>
      </w:r>
    </w:p>
  </w:footnote>
  <w:footnote w:id="9">
    <w:p w:rsidR="00000000" w:rsidDel="00000000" w:rsidP="00000000" w:rsidRDefault="00000000" w:rsidRPr="00000000" w14:paraId="000000D0">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Corte Constitucional. Sentencia T-760/2008</w:t>
      </w:r>
    </w:p>
  </w:footnote>
  <w:footnote w:id="10">
    <w:p w:rsidR="00000000" w:rsidDel="00000000" w:rsidP="00000000" w:rsidRDefault="00000000" w:rsidRPr="00000000" w14:paraId="000000D1">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w:t>
      </w:r>
      <w:r w:rsidDel="00000000" w:rsidR="00000000" w:rsidRPr="00000000">
        <w:rPr>
          <w:sz w:val="18"/>
          <w:szCs w:val="18"/>
          <w:rtl w:val="0"/>
        </w:rPr>
        <w:t xml:space="preserve">Parra Vera, Ó &amp; Yamín, A. (2013). La Sentencia T-760 de 2008, su implementación e impacto: Retos y oportunidades para la justicia dialógica . </w:t>
      </w:r>
      <w:r w:rsidDel="00000000" w:rsidR="00000000" w:rsidRPr="00000000">
        <w:rPr>
          <w:sz w:val="18"/>
          <w:szCs w:val="18"/>
          <w:rtl w:val="0"/>
        </w:rPr>
        <w:t xml:space="preserve">Tratado de Derecho a la salud</w:t>
      </w:r>
      <w:r w:rsidDel="00000000" w:rsidR="00000000" w:rsidRPr="00000000">
        <w:rPr>
          <w:sz w:val="18"/>
          <w:szCs w:val="18"/>
          <w:rtl w:val="0"/>
        </w:rPr>
        <w:t xml:space="preserve">, 2591-2649. </w:t>
      </w:r>
      <w:hyperlink r:id="rId1">
        <w:r w:rsidDel="00000000" w:rsidR="00000000" w:rsidRPr="00000000">
          <w:rPr>
            <w:color w:val="1155cc"/>
            <w:sz w:val="18"/>
            <w:szCs w:val="18"/>
            <w:u w:val="single"/>
            <w:rtl w:val="0"/>
          </w:rPr>
          <w:t xml:space="preserve">http://biblioteca.corteidh.or.cr/tablas/r32458.pdf</w:t>
        </w:r>
      </w:hyperlink>
      <w:r w:rsidDel="00000000" w:rsidR="00000000" w:rsidRPr="00000000">
        <w:rPr>
          <w:sz w:val="18"/>
          <w:szCs w:val="18"/>
          <w:rtl w:val="0"/>
        </w:rPr>
        <w:t xml:space="preserve"> </w:t>
      </w:r>
      <w:r w:rsidDel="00000000" w:rsidR="00000000" w:rsidRPr="00000000">
        <w:rPr>
          <w:rtl w:val="0"/>
        </w:rPr>
      </w:r>
    </w:p>
  </w:footnote>
  <w:footnote w:id="18">
    <w:p w:rsidR="00000000" w:rsidDel="00000000" w:rsidP="00000000" w:rsidRDefault="00000000" w:rsidRPr="00000000" w14:paraId="000000D2">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Corte Constitucional. Auto 066 de 2023</w:t>
      </w:r>
    </w:p>
  </w:footnote>
  <w:footnote w:id="21">
    <w:p w:rsidR="00000000" w:rsidDel="00000000" w:rsidP="00000000" w:rsidRDefault="00000000" w:rsidRPr="00000000" w14:paraId="000000D3">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Ibid, pár 2. </w:t>
      </w:r>
    </w:p>
  </w:footnote>
  <w:footnote w:id="23">
    <w:p w:rsidR="00000000" w:rsidDel="00000000" w:rsidP="00000000" w:rsidRDefault="00000000" w:rsidRPr="00000000" w14:paraId="000000D4">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Corte Constitucional. Sentencia T-302.</w:t>
      </w:r>
    </w:p>
  </w:footnote>
  <w:footnote w:id="24">
    <w:p w:rsidR="00000000" w:rsidDel="00000000" w:rsidP="00000000" w:rsidRDefault="00000000" w:rsidRPr="00000000" w14:paraId="000000D5">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Veeduría Ciudadana para la Implementación de La Sentencia T-302 de 2017. (2021). II Informe de Seguimiento y Verificación 2020 -2021. Recuperado de: </w:t>
      </w:r>
      <w:hyperlink r:id="rId2">
        <w:r w:rsidDel="00000000" w:rsidR="00000000" w:rsidRPr="00000000">
          <w:rPr>
            <w:color w:val="1155cc"/>
            <w:sz w:val="18"/>
            <w:szCs w:val="18"/>
            <w:u w:val="single"/>
            <w:rtl w:val="0"/>
          </w:rPr>
          <w:t xml:space="preserve">https://drive.google.com/file/d/1WFgKr3NBiISJoTMTGP8x2YJEX-YrWlcC/view</w:t>
        </w:r>
      </w:hyperlink>
      <w:r w:rsidDel="00000000" w:rsidR="00000000" w:rsidRPr="00000000">
        <w:rPr>
          <w:sz w:val="18"/>
          <w:szCs w:val="18"/>
          <w:rtl w:val="0"/>
        </w:rPr>
        <w:t xml:space="preserve"> </w:t>
      </w:r>
    </w:p>
  </w:footnote>
  <w:footnote w:id="29">
    <w:p w:rsidR="00000000" w:rsidDel="00000000" w:rsidP="00000000" w:rsidRDefault="00000000" w:rsidRPr="00000000" w14:paraId="000000D6">
      <w:pPr>
        <w:spacing w:line="240" w:lineRule="auto"/>
        <w:rPr>
          <w:b w:val="1"/>
          <w:color w:val="444444"/>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Martínez, B. (2023). Se cumplen cinco años de la sentencia T-302 y aún no se supera el estado de cosas inconstitucionales. Recuperado de: https://www.tuuputchika.com/2022/05/09/se-cumplen-cinco-anos-de-la-sentencia-t-302-y-aun-no-se-supera-el-estado-de-cosas-inconstitucionales/</w:t>
      </w:r>
      <w:r w:rsidDel="00000000" w:rsidR="00000000" w:rsidRPr="00000000">
        <w:rPr>
          <w:rtl w:val="0"/>
        </w:rPr>
      </w:r>
    </w:p>
    <w:p w:rsidR="00000000" w:rsidDel="00000000" w:rsidP="00000000" w:rsidRDefault="00000000" w:rsidRPr="00000000" w14:paraId="000000D7">
      <w:pPr>
        <w:spacing w:line="240" w:lineRule="auto"/>
        <w:rPr>
          <w:sz w:val="20"/>
          <w:szCs w:val="20"/>
        </w:rPr>
      </w:pPr>
      <w:r w:rsidDel="00000000" w:rsidR="00000000" w:rsidRPr="00000000">
        <w:rPr>
          <w:rtl w:val="0"/>
        </w:rPr>
      </w:r>
    </w:p>
  </w:footnote>
  <w:footnote w:id="28">
    <w:p w:rsidR="00000000" w:rsidDel="00000000" w:rsidP="00000000" w:rsidRDefault="00000000" w:rsidRPr="00000000" w14:paraId="000000D8">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Fucai. (2023). https://www.fucaicolombia.org/artculos/artculosentencia</w:t>
      </w:r>
    </w:p>
  </w:footnote>
  <w:footnote w:id="25">
    <w:p w:rsidR="00000000" w:rsidDel="00000000" w:rsidP="00000000" w:rsidRDefault="00000000" w:rsidRPr="00000000" w14:paraId="000000D9">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Corte Constitucional. Auto 696 de 2022.</w:t>
      </w:r>
    </w:p>
  </w:footnote>
  <w:footnote w:id="26">
    <w:p w:rsidR="00000000" w:rsidDel="00000000" w:rsidP="00000000" w:rsidRDefault="00000000" w:rsidRPr="00000000" w14:paraId="000000DA">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Dejusticia. (2023). </w:t>
      </w:r>
      <w:r w:rsidDel="00000000" w:rsidR="00000000" w:rsidRPr="00000000">
        <w:rPr>
          <w:sz w:val="18"/>
          <w:szCs w:val="18"/>
          <w:rtl w:val="0"/>
        </w:rPr>
        <w:t xml:space="preserve">5 años del Estado de Cosas Inconstitucional en La Guajira: ¿qué ha cambiado?. Recuperado de: https://www.dejusticia.org/5-anos-del-estado-de-cosas-inconstitucional-en-la-guajira-que-ha-cambiado/</w:t>
      </w:r>
      <w:r w:rsidDel="00000000" w:rsidR="00000000" w:rsidRPr="00000000">
        <w:rPr>
          <w:rtl w:val="0"/>
        </w:rPr>
      </w:r>
    </w:p>
  </w:footnote>
  <w:footnote w:id="27">
    <w:p w:rsidR="00000000" w:rsidDel="00000000" w:rsidP="00000000" w:rsidRDefault="00000000" w:rsidRPr="00000000" w14:paraId="000000DB">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Corte Constitucio</w:t>
      </w:r>
      <w:r w:rsidDel="00000000" w:rsidR="00000000" w:rsidRPr="00000000">
        <w:rPr>
          <w:sz w:val="18"/>
          <w:szCs w:val="18"/>
          <w:rtl w:val="0"/>
        </w:rPr>
        <w:t xml:space="preserve">nal</w:t>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sz w:val="18"/>
          <w:szCs w:val="18"/>
          <w:rtl w:val="0"/>
        </w:rPr>
        <w:t xml:space="preserve">Auto 1290 de 2023.</w:t>
      </w:r>
      <w:r w:rsidDel="00000000" w:rsidR="00000000" w:rsidRPr="00000000">
        <w:rPr>
          <w:rtl w:val="0"/>
        </w:rPr>
      </w:r>
    </w:p>
  </w:footnote>
  <w:footnote w:id="30">
    <w:p w:rsidR="00000000" w:rsidDel="00000000" w:rsidP="00000000" w:rsidRDefault="00000000" w:rsidRPr="00000000" w14:paraId="000000DC">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Asamblea General de las Naciones Unidas. (1966). Pacto Internacional de Derechos Económicos, Sociales y Culturales. Art 2. Recuperado de</w:t>
      </w:r>
      <w:hyperlink r:id="rId3">
        <w:r w:rsidDel="00000000" w:rsidR="00000000" w:rsidRPr="00000000">
          <w:rPr>
            <w:sz w:val="18"/>
            <w:szCs w:val="18"/>
            <w:rtl w:val="0"/>
          </w:rPr>
          <w:t xml:space="preserve"> https://www.ohchr.org/SP/ProfessionalInterest/Pages/CESCR.aspx</w:t>
        </w:r>
      </w:hyperlink>
      <w:r w:rsidDel="00000000" w:rsidR="00000000" w:rsidRPr="00000000">
        <w:rPr>
          <w:sz w:val="18"/>
          <w:szCs w:val="18"/>
          <w:rtl w:val="0"/>
        </w:rPr>
        <w:t xml:space="preserve"> </w:t>
      </w:r>
    </w:p>
  </w:footnote>
  <w:footnote w:id="31">
    <w:p w:rsidR="00000000" w:rsidDel="00000000" w:rsidP="00000000" w:rsidRDefault="00000000" w:rsidRPr="00000000" w14:paraId="000000DD">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Comité de Derechos Económicos, Sociales y Culturales de las Naciones Unidas (1999) El derecho a una alimentación adecuada (art. 11). 12 de mayo de 1999.</w:t>
      </w:r>
    </w:p>
  </w:footnote>
  <w:footnote w:id="32">
    <w:p w:rsidR="00000000" w:rsidDel="00000000" w:rsidP="00000000" w:rsidRDefault="00000000" w:rsidRPr="00000000" w14:paraId="000000DE">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Comité de Derechos Económicos, Sociales y Culturales de las Naciones Unidas (2000) El derecho al disfrute del más alto nivel posible de salud (artículo 12 del Pacto Internacional de Derechos Económicos, Sociales y Culturales) 11 de agosto de 2000. </w:t>
      </w:r>
    </w:p>
  </w:footnote>
  <w:footnote w:id="33">
    <w:p w:rsidR="00000000" w:rsidDel="00000000" w:rsidP="00000000" w:rsidRDefault="00000000" w:rsidRPr="00000000" w14:paraId="000000DF">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w:t>
      </w:r>
      <w:r w:rsidDel="00000000" w:rsidR="00000000" w:rsidRPr="00000000">
        <w:rPr>
          <w:sz w:val="18"/>
          <w:szCs w:val="18"/>
          <w:rtl w:val="0"/>
        </w:rPr>
        <w:t xml:space="preserve">Grover, A. (2014). Informe del Relator Especial de Naciones Unidas sobre el derecho de toda persona al disfrute del más alto nivel posible de salud física y mental - Los alimentos poco saludables, las enfermedades no transmisibles y el derecho a la salud. A/HRC/26/31.1 de abril del 2014. </w:t>
      </w:r>
      <w:r w:rsidDel="00000000" w:rsidR="00000000" w:rsidRPr="00000000">
        <w:rPr>
          <w:rtl w:val="0"/>
        </w:rPr>
      </w:r>
    </w:p>
  </w:footnote>
  <w:footnote w:id="36">
    <w:p w:rsidR="00000000" w:rsidDel="00000000" w:rsidP="00000000" w:rsidRDefault="00000000" w:rsidRPr="00000000" w14:paraId="000000E0">
      <w:pPr>
        <w:spacing w:line="240" w:lineRule="auto"/>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rtl w:val="0"/>
        </w:rPr>
        <w:t xml:space="preserve"> CIDH. Medidas Cautelares 2015. </w:t>
      </w:r>
    </w:p>
  </w:footnote>
  <w:footnote w:id="37">
    <w:p w:rsidR="00000000" w:rsidDel="00000000" w:rsidP="00000000" w:rsidRDefault="00000000" w:rsidRPr="00000000" w14:paraId="000000E1">
      <w:pPr>
        <w:spacing w:line="240" w:lineRule="auto"/>
        <w:jc w:val="both"/>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DANE. Boletín técnico. (2023). Disponible en: https://www.dane.gov.co/files/investigaciones/poblacion/bt_estadisticasvitales_defunciones_IVtrim_2022pr.pdf</w:t>
      </w:r>
      <w:r w:rsidDel="00000000" w:rsidR="00000000" w:rsidRPr="00000000">
        <w:rPr>
          <w:rtl w:val="0"/>
        </w:rPr>
      </w:r>
    </w:p>
  </w:footnote>
  <w:footnote w:id="22">
    <w:p w:rsidR="00000000" w:rsidDel="00000000" w:rsidP="00000000" w:rsidRDefault="00000000" w:rsidRPr="00000000" w14:paraId="000000E4">
      <w:pPr>
        <w:spacing w:line="240" w:lineRule="auto"/>
        <w:jc w:val="both"/>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w:t>
      </w:r>
      <w:r w:rsidDel="00000000" w:rsidR="00000000" w:rsidRPr="00000000">
        <w:rPr>
          <w:sz w:val="18"/>
          <w:szCs w:val="18"/>
          <w:rtl w:val="0"/>
        </w:rPr>
        <w:t xml:space="preserve">Olarte Rincón, D. M. (2021). Decisión judicial y situación carcelaria en Colombia: la encrucijada de los fallos estructurales. Estudios de Derecho, 78(171), e9. DOI:</w:t>
      </w:r>
      <w:hyperlink r:id="rId4">
        <w:r w:rsidDel="00000000" w:rsidR="00000000" w:rsidRPr="00000000">
          <w:rPr>
            <w:sz w:val="18"/>
            <w:szCs w:val="18"/>
            <w:rtl w:val="0"/>
          </w:rPr>
          <w:t xml:space="preserve"> </w:t>
        </w:r>
      </w:hyperlink>
      <w:hyperlink r:id="rId5">
        <w:r w:rsidDel="00000000" w:rsidR="00000000" w:rsidRPr="00000000">
          <w:rPr>
            <w:sz w:val="18"/>
            <w:szCs w:val="18"/>
            <w:rtl w:val="0"/>
          </w:rPr>
          <w:t xml:space="preserve">https://doi.org/10.17533/udea.esde.v78n171a09</w:t>
        </w:r>
      </w:hyperlink>
      <w:r w:rsidDel="00000000" w:rsidR="00000000" w:rsidRPr="00000000">
        <w:rPr>
          <w:sz w:val="18"/>
          <w:szCs w:val="18"/>
          <w:rtl w:val="0"/>
        </w:rPr>
        <w:t xml:space="preserve">.</w:t>
      </w:r>
      <w:r w:rsidDel="00000000" w:rsidR="00000000" w:rsidRPr="00000000">
        <w:rPr>
          <w:rtl w:val="0"/>
        </w:rPr>
      </w:r>
    </w:p>
  </w:footnote>
  <w:footnote w:id="34">
    <w:p w:rsidR="00000000" w:rsidDel="00000000" w:rsidP="00000000" w:rsidRDefault="00000000" w:rsidRPr="00000000" w14:paraId="000000E5">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Elver, H. (2016). Informe provisional de la Relatora Especial sobre el derecho a la alimentación - “Derecho a la alimentación”. A/71/282. 3 de agosto de 2016. </w:t>
      </w:r>
    </w:p>
  </w:footnote>
  <w:footnote w:id="15">
    <w:p w:rsidR="00000000" w:rsidDel="00000000" w:rsidP="00000000" w:rsidRDefault="00000000" w:rsidRPr="00000000" w14:paraId="000000E6">
      <w:pPr>
        <w:spacing w:line="240" w:lineRule="auto"/>
        <w:jc w:val="both"/>
        <w:rPr>
          <w:b w:val="1"/>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La evolución del estado de cosas inconstitucional en materia carcelaria se puede consultar en detalle en los informes elaborados por la Comisión de Seguimiento de la Sociedad Civil a la Sentencia T-388 de 2013. Ver en: </w:t>
      </w:r>
      <w:hyperlink r:id="rId6">
        <w:r w:rsidDel="00000000" w:rsidR="00000000" w:rsidRPr="00000000">
          <w:rPr>
            <w:color w:val="1155cc"/>
            <w:sz w:val="18"/>
            <w:szCs w:val="18"/>
            <w:u w:val="single"/>
            <w:rtl w:val="0"/>
          </w:rPr>
          <w:t xml:space="preserve">https://www.uexternado.edu.co/centro-de-investigacion-en-politica-criminal/informes/</w:t>
        </w:r>
      </w:hyperlink>
      <w:r w:rsidDel="00000000" w:rsidR="00000000" w:rsidRPr="00000000">
        <w:rPr>
          <w:b w:val="1"/>
          <w:sz w:val="18"/>
          <w:szCs w:val="18"/>
          <w:rtl w:val="0"/>
        </w:rPr>
        <w:t xml:space="preserve"> </w:t>
      </w:r>
    </w:p>
  </w:footnote>
  <w:footnote w:id="16">
    <w:p w:rsidR="00000000" w:rsidDel="00000000" w:rsidP="00000000" w:rsidRDefault="00000000" w:rsidRPr="00000000" w14:paraId="000000E7">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Presidencia de la República. Decreto Legislativo 546 de 2020.</w:t>
      </w:r>
    </w:p>
  </w:footnote>
  <w:footnote w:id="14">
    <w:p w:rsidR="00000000" w:rsidDel="00000000" w:rsidP="00000000" w:rsidRDefault="00000000" w:rsidRPr="00000000" w14:paraId="000000E8">
      <w:pPr>
        <w:spacing w:line="240" w:lineRule="auto"/>
        <w:jc w:val="both"/>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Hernández, J. S. (2020). La paradoja punitiva: las medidas alternativas al encarcelamiento y la política criminal inflacionaria en Colombia. Editorial Dejusticia. </w:t>
      </w:r>
    </w:p>
  </w:footnote>
  <w:footnote w:id="2">
    <w:p w:rsidR="00000000" w:rsidDel="00000000" w:rsidP="00000000" w:rsidRDefault="00000000" w:rsidRPr="00000000" w14:paraId="000000E9">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Comité de Derechos Económicos, Sociales y Culturales, Naciones Unidas, Observación General 9, 3 de diciembre de 1998, par. 2.</w:t>
      </w:r>
    </w:p>
  </w:footnote>
  <w:footnote w:id="19">
    <w:p w:rsidR="00000000" w:rsidDel="00000000" w:rsidP="00000000" w:rsidRDefault="00000000" w:rsidRPr="00000000" w14:paraId="000000EA">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Ibid, pár 62. </w:t>
      </w:r>
    </w:p>
  </w:footnote>
  <w:footnote w:id="20">
    <w:p w:rsidR="00000000" w:rsidDel="00000000" w:rsidP="00000000" w:rsidRDefault="00000000" w:rsidRPr="00000000" w14:paraId="000000EB">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Comisión de Seguimiento de la Sociedad Civil a la Sentencia T-388 de 2013 (2023). Intervención en procesos de tutela T-9.107.751, T-9.109.680 y T-9.123.120. Ver en: </w:t>
      </w:r>
      <w:r w:rsidDel="00000000" w:rsidR="00000000" w:rsidRPr="00000000">
        <w:rPr>
          <w:color w:val="1155cc"/>
          <w:sz w:val="18"/>
          <w:szCs w:val="18"/>
          <w:u w:val="single"/>
          <w:rtl w:val="0"/>
        </w:rPr>
        <w:t xml:space="preserve">https://www.dejusticia.org/wp-content/uploads/2023/06/CSST-388-Intervencion-tutela-CDTs.pdf</w:t>
      </w:r>
      <w:r w:rsidDel="00000000" w:rsidR="00000000" w:rsidRPr="00000000">
        <w:rPr>
          <w:sz w:val="18"/>
          <w:szCs w:val="18"/>
          <w:rtl w:val="0"/>
        </w:rPr>
        <w:t xml:space="preserve">.</w:t>
      </w:r>
      <w:r w:rsidDel="00000000" w:rsidR="00000000" w:rsidRPr="00000000">
        <w:rPr>
          <w:sz w:val="18"/>
          <w:szCs w:val="18"/>
          <w:rtl w:val="0"/>
        </w:rPr>
        <w:t xml:space="preserve"> </w:t>
      </w:r>
    </w:p>
  </w:footnote>
  <w:footnote w:id="17">
    <w:p w:rsidR="00000000" w:rsidDel="00000000" w:rsidP="00000000" w:rsidRDefault="00000000" w:rsidRPr="00000000" w14:paraId="000000EC">
      <w:pPr>
        <w:spacing w:line="240" w:lineRule="auto"/>
        <w:jc w:val="both"/>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Comisión de Seguimiento de la Sociedad Civil a la Sentencia T-388 de 2013 (2023). Intervención en procesos de tutela T-9.107.751, T-9.109.680 y T-9.123.120. Ver en: </w:t>
      </w:r>
      <w:r w:rsidDel="00000000" w:rsidR="00000000" w:rsidRPr="00000000">
        <w:rPr>
          <w:color w:val="1155cc"/>
          <w:sz w:val="18"/>
          <w:szCs w:val="18"/>
          <w:u w:val="single"/>
          <w:rtl w:val="0"/>
        </w:rPr>
        <w:t xml:space="preserve">https://www.dejusticia.org/wp-content/uploads/2023/06/CSST-388-Intervencion-tutela-CDTs.pdf</w:t>
      </w:r>
      <w:r w:rsidDel="00000000" w:rsidR="00000000" w:rsidRPr="00000000">
        <w:rPr>
          <w:sz w:val="18"/>
          <w:szCs w:val="18"/>
          <w:rtl w:val="0"/>
        </w:rPr>
        <w:t xml:space="preserve">.   </w:t>
      </w:r>
    </w:p>
  </w:footnote>
  <w:footnote w:id="6">
    <w:p w:rsidR="00000000" w:rsidDel="00000000" w:rsidP="00000000" w:rsidRDefault="00000000" w:rsidRPr="00000000" w14:paraId="000000ED">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Corte Constitucional. Auto 373 de 2016. </w:t>
      </w:r>
    </w:p>
  </w:footnote>
  <w:footnote w:id="7">
    <w:p w:rsidR="00000000" w:rsidDel="00000000" w:rsidP="00000000" w:rsidRDefault="00000000" w:rsidRPr="00000000" w14:paraId="000000EE">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Corte Constitucional. Auto 373 de 2016, pág 227. </w:t>
      </w:r>
    </w:p>
  </w:footnote>
  <w:footnote w:id="13">
    <w:p w:rsidR="00000000" w:rsidDel="00000000" w:rsidP="00000000" w:rsidRDefault="00000000" w:rsidRPr="00000000" w14:paraId="000000EF">
      <w:pPr>
        <w:spacing w:line="240" w:lineRule="auto"/>
        <w:jc w:val="both"/>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w:t>
      </w:r>
      <w:r w:rsidDel="00000000" w:rsidR="00000000" w:rsidRPr="00000000">
        <w:rPr>
          <w:sz w:val="18"/>
          <w:szCs w:val="18"/>
          <w:rtl w:val="0"/>
        </w:rPr>
        <w:t xml:space="preserve">Defensoría del Pueblo (2021). Informe La tutela y los derechos a la salud y a la seguridad social. Recuperado de: </w:t>
      </w:r>
      <w:hyperlink r:id="rId7">
        <w:r w:rsidDel="00000000" w:rsidR="00000000" w:rsidRPr="00000000">
          <w:rPr>
            <w:sz w:val="18"/>
            <w:szCs w:val="18"/>
            <w:rtl w:val="0"/>
          </w:rPr>
          <w:t xml:space="preserve">https://web.archive.org/web/20220204142410/https:/www.defensoria.gov.co/es/nube/comunicados/10613/Diariamente-se-presentan-cerca-de-250-tutelas-reclamando-el-derecho-a-la-salud-tutelas-Defensor%C3%ADa-informe.htm</w:t>
        </w:r>
      </w:hyperlink>
      <w:r w:rsidDel="00000000" w:rsidR="00000000" w:rsidRPr="00000000">
        <w:rPr>
          <w:sz w:val="18"/>
          <w:szCs w:val="18"/>
          <w:rtl w:val="0"/>
        </w:rPr>
        <w:t xml:space="preserve"> </w:t>
      </w:r>
      <w:r w:rsidDel="00000000" w:rsidR="00000000" w:rsidRPr="00000000">
        <w:rPr>
          <w:rtl w:val="0"/>
        </w:rPr>
      </w:r>
    </w:p>
  </w:footnote>
  <w:footnote w:id="8">
    <w:p w:rsidR="00000000" w:rsidDel="00000000" w:rsidP="00000000" w:rsidRDefault="00000000" w:rsidRPr="00000000" w14:paraId="000000F0">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Corte Constitucional. Auto 373 de 2016, pág 300. </w:t>
      </w:r>
    </w:p>
  </w:footnote>
  <w:footnote w:id="35">
    <w:p w:rsidR="00000000" w:rsidDel="00000000" w:rsidP="00000000" w:rsidRDefault="00000000" w:rsidRPr="00000000" w14:paraId="000000F1">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Ministerio de Salud, Resolución 2492 </w:t>
      </w:r>
      <w:hyperlink r:id="rId8">
        <w:r w:rsidDel="00000000" w:rsidR="00000000" w:rsidRPr="00000000">
          <w:rPr>
            <w:color w:val="1155cc"/>
            <w:sz w:val="18"/>
            <w:szCs w:val="18"/>
            <w:u w:val="single"/>
            <w:rtl w:val="0"/>
          </w:rPr>
          <w:t xml:space="preserve">https://www.minsalud.gov.co/Normatividad_Nuevo/Resoluci%C3%B3n%20No.%202492de%202022.pdf</w:t>
        </w:r>
      </w:hyperlink>
      <w:r w:rsidDel="00000000" w:rsidR="00000000" w:rsidRPr="00000000">
        <w:rPr>
          <w:sz w:val="18"/>
          <w:szCs w:val="18"/>
          <w:rtl w:val="0"/>
        </w:rPr>
        <w:t xml:space="preserve"> </w:t>
      </w:r>
    </w:p>
  </w:footnote>
  <w:footnote w:id="38">
    <w:p w:rsidR="00000000" w:rsidDel="00000000" w:rsidP="00000000" w:rsidRDefault="00000000" w:rsidRPr="00000000" w14:paraId="000000F2">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Dejusticia. (2021)  Informe técnico de Dejusticia en el marco de la inspección judicial realizada por la Corte Constitucional el 24 de septiembre del año en curso en cumplimiento de la sentencia T- 302 de 2017. </w:t>
      </w:r>
      <w:hyperlink r:id="rId9">
        <w:r w:rsidDel="00000000" w:rsidR="00000000" w:rsidRPr="00000000">
          <w:rPr>
            <w:color w:val="1155cc"/>
            <w:sz w:val="18"/>
            <w:szCs w:val="18"/>
            <w:u w:val="single"/>
            <w:rtl w:val="0"/>
          </w:rPr>
          <w:t xml:space="preserve">https://www.dejusticia.org/wp-content/uploads/2021/11/Informe-Inspeccion-Judicial-T302-2017.pdf</w:t>
        </w:r>
      </w:hyperlink>
      <w:r w:rsidDel="00000000" w:rsidR="00000000" w:rsidRPr="00000000">
        <w:rPr>
          <w:sz w:val="18"/>
          <w:szCs w:val="18"/>
          <w:rtl w:val="0"/>
        </w:rPr>
        <w:t xml:space="preserve"> </w:t>
      </w:r>
    </w:p>
  </w:footnote>
  <w:footnote w:id="0">
    <w:p w:rsidR="00000000" w:rsidDel="00000000" w:rsidP="00000000" w:rsidRDefault="00000000" w:rsidRPr="00000000" w14:paraId="000000F3">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18"/>
          <w:szCs w:val="18"/>
          <w:rtl w:val="0"/>
        </w:rPr>
        <w:t xml:space="preserve">Comité de Derechos Económicos, Sociales y Culturales, Naciones Unidas, Observación General 3, 14 de diciembre de 1990, par 5.</w:t>
      </w:r>
      <w:r w:rsidDel="00000000" w:rsidR="00000000" w:rsidRPr="00000000">
        <w:rPr>
          <w:rtl w:val="0"/>
        </w:rPr>
      </w:r>
    </w:p>
  </w:footnote>
  <w:footnote w:id="1">
    <w:p w:rsidR="00000000" w:rsidDel="00000000" w:rsidP="00000000" w:rsidRDefault="00000000" w:rsidRPr="00000000" w14:paraId="000000F4">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18"/>
          <w:szCs w:val="18"/>
          <w:rtl w:val="0"/>
        </w:rPr>
        <w:t xml:space="preserve">Idem</w:t>
      </w:r>
      <w:r w:rsidDel="00000000" w:rsidR="00000000" w:rsidRPr="00000000">
        <w:rPr>
          <w:sz w:val="20"/>
          <w:szCs w:val="20"/>
          <w:rtl w:val="0"/>
        </w:rPr>
        <w:t xml:space="preserve">.</w:t>
      </w:r>
    </w:p>
  </w:footnote>
  <w:footnote w:id="4">
    <w:p w:rsidR="00000000" w:rsidDel="00000000" w:rsidP="00000000" w:rsidRDefault="00000000" w:rsidRPr="00000000" w14:paraId="000000F5">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De acuerdo a la jurisprudencia constitucional  los requisitos para declarar una ECI son: “(i) la vulneración masiva y generalizada de varios derechos constitucionales que afecta a un número significativo de personas; (ii) la prolongada omisión de las autoridades en el cumplimiento de sus obligaciones para garantizar los derechos; (ii) la adopción de prácticas inconstitucionales, como la incorporación de la acción de tutela como parte del procedimiento para garantizar el derecho conculcado; (iii) la no expedición de medidas legislativas, administrativas o presupuestales necesarias para evitar la vulneración de los derechos; (iv) la existencia de un problema social cuya solución compromete la intervención de varias entidades, requiere la adopción de un conjunto complejo y coordinado de acciones y exige un nivel de recursos que demanda un esfuerzo presupuestal adicional importante; (v) si todas las personas afectadas por el mismo problema acudieran a la acción de tutela para obtener la protección de sus derechos, se produciría una mayor congestión judicial.”  Sentencia T-025 de 2004, M. P. Manuel José Cepeda Espinosa.</w:t>
      </w:r>
    </w:p>
  </w:footnote>
  <w:footnote w:id="5">
    <w:p w:rsidR="00000000" w:rsidDel="00000000" w:rsidP="00000000" w:rsidRDefault="00000000" w:rsidRPr="00000000" w14:paraId="000000F6">
      <w:pPr>
        <w:spacing w:line="240" w:lineRule="auto"/>
        <w:rPr>
          <w:sz w:val="18"/>
          <w:szCs w:val="18"/>
          <w:highlight w:val="yellow"/>
        </w:rPr>
      </w:pPr>
      <w:r w:rsidDel="00000000" w:rsidR="00000000" w:rsidRPr="00000000">
        <w:rPr>
          <w:rStyle w:val="FootnoteReference"/>
          <w:vertAlign w:val="superscript"/>
        </w:rPr>
        <w:footnoteRef/>
      </w:r>
      <w:r w:rsidDel="00000000" w:rsidR="00000000" w:rsidRPr="00000000">
        <w:rPr>
          <w:sz w:val="18"/>
          <w:szCs w:val="18"/>
          <w:rtl w:val="0"/>
        </w:rPr>
        <w:t xml:space="preserve"> Sobre los efectos directos, indirectos, materiales y simbólicos de estas sentencias ver: Rodríguez-Garavito, C &amp; Rodriguez-Franco, D. (2015) Radical Deprivation on Trial. The Impact of Judicial Activism on Socioeconomic Rights in the Global South. Cambridge.  </w:t>
      </w:r>
      <w:r w:rsidDel="00000000" w:rsidR="00000000" w:rsidRPr="00000000">
        <w:rPr>
          <w:rtl w:val="0"/>
        </w:rPr>
      </w:r>
    </w:p>
  </w:footnote>
  <w:footnote w:id="11">
    <w:p w:rsidR="00000000" w:rsidDel="00000000" w:rsidP="00000000" w:rsidRDefault="00000000" w:rsidRPr="00000000" w14:paraId="000000F7">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Parra Vera, Ó &amp; Yamín, A. (2013). La Sentencia T-760 de 2008, su implementación e impacto: Retos y oportunidades para la justicia dialógica . Tratado de Derecho a la salud, 2591-2649. </w:t>
      </w:r>
      <w:hyperlink r:id="rId10">
        <w:r w:rsidDel="00000000" w:rsidR="00000000" w:rsidRPr="00000000">
          <w:rPr>
            <w:color w:val="1155cc"/>
            <w:sz w:val="18"/>
            <w:szCs w:val="18"/>
            <w:u w:val="single"/>
            <w:rtl w:val="0"/>
          </w:rPr>
          <w:t xml:space="preserve">http://biblioteca.corteidh.or.cr/tablas/r32458.pdf</w:t>
        </w:r>
      </w:hyperlink>
      <w:r w:rsidDel="00000000" w:rsidR="00000000" w:rsidRPr="00000000">
        <w:rPr>
          <w:sz w:val="18"/>
          <w:szCs w:val="18"/>
          <w:rtl w:val="0"/>
        </w:rPr>
        <w:t xml:space="preserve"> </w:t>
      </w:r>
    </w:p>
  </w:footnote>
  <w:footnote w:id="12">
    <w:p w:rsidR="00000000" w:rsidDel="00000000" w:rsidP="00000000" w:rsidRDefault="00000000" w:rsidRPr="00000000" w14:paraId="000000F8">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Ibid, pág, 2648</w:t>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upperLetter"/>
      <w:lvlText w:val="%1."/>
      <w:lvlJc w:val="left"/>
      <w:pPr>
        <w:ind w:left="720" w:hanging="360"/>
      </w:pPr>
      <w:rPr>
        <w:rFonts w:ascii="Times New Roman" w:cs="Times New Roman" w:eastAsia="Times New Roman" w:hAnsi="Times New Roman"/>
        <w:b w:val="1"/>
        <w:i w:val="1"/>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lvl w:ilvl="0">
      <w:start w:val="1"/>
      <w:numFmt w:val="upperRoman"/>
      <w:lvlText w:val="%1."/>
      <w:lvlJc w:val="right"/>
      <w:pPr>
        <w:ind w:left="720" w:hanging="360"/>
      </w:pPr>
      <w:rPr>
        <w:rFonts w:ascii="Times New Roman" w:cs="Times New Roman" w:eastAsia="Times New Roman" w:hAnsi="Times New Roman"/>
        <w:b w:val="0"/>
        <w:color w:val="000000"/>
        <w:sz w:val="24"/>
        <w:szCs w:val="24"/>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s"/>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image" Target="media/image2.png"/><Relationship Id="rId10" Type="http://schemas.openxmlformats.org/officeDocument/2006/relationships/image" Target="media/image1.png"/><Relationship Id="rId13" Type="http://schemas.openxmlformats.org/officeDocument/2006/relationships/footer" Target="footer2.xml"/><Relationship Id="rId12" Type="http://schemas.openxmlformats.org/officeDocument/2006/relationships/footer" Target="foot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www.minsalud.gov.co/Normatividad_Nuevo/Resoluci%C3%B3n%20No.%202492de%202022.pdf" TargetMode="Externa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image" Target="media/image3.png"/><Relationship Id="rId8" Type="http://schemas.openxmlformats.org/officeDocument/2006/relationships/hyperlink" Target="https://www.dejusticia.org/tenemos-ley-pero-aun-no-tenemos-etiquetado/#:~:text=El%2016%20de%20junio%20de,o%20empacados%20para%20consumo%20humano%E2%80%9D."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biblioteca.corteidh.or.cr/tablas/r32458.pdf" TargetMode="External"/><Relationship Id="rId2" Type="http://schemas.openxmlformats.org/officeDocument/2006/relationships/hyperlink" Target="https://drive.google.com/file/d/1WFgKr3NBiISJoTMTGP8x2YJEX-YrWlcC/view" TargetMode="External"/><Relationship Id="rId3" Type="http://schemas.openxmlformats.org/officeDocument/2006/relationships/hyperlink" Target="https://www.ohchr.org/SP/ProfessionalInterest/Pages/CESCR.aspx" TargetMode="External"/><Relationship Id="rId4" Type="http://schemas.openxmlformats.org/officeDocument/2006/relationships/hyperlink" Target="https://doi.org/10.17533/udea.esde.v78n171a09" TargetMode="External"/><Relationship Id="rId10" Type="http://schemas.openxmlformats.org/officeDocument/2006/relationships/hyperlink" Target="http://biblioteca.corteidh.or.cr/tablas/r32458.pdf" TargetMode="External"/><Relationship Id="rId9" Type="http://schemas.openxmlformats.org/officeDocument/2006/relationships/hyperlink" Target="https://www.dejusticia.org/wp-content/uploads/2021/11/Informe-Inspeccion-Judicial-T302-2017.pdf" TargetMode="External"/><Relationship Id="rId5" Type="http://schemas.openxmlformats.org/officeDocument/2006/relationships/hyperlink" Target="https://doi.org/10.17533/udea.esde.v78n171a09" TargetMode="External"/><Relationship Id="rId6" Type="http://schemas.openxmlformats.org/officeDocument/2006/relationships/hyperlink" Target="https://www.uexternado.edu.co/centro-de-investigacion-en-politica-criminal/informes/" TargetMode="External"/><Relationship Id="rId7" Type="http://schemas.openxmlformats.org/officeDocument/2006/relationships/hyperlink" Target="https://web.archive.org/web/20220204142410/https:/www.defensoria.gov.co/es/nube/comunicados/10613/Diariamente-se-presentan-cerca-de-250-tutelas-reclamando-el-derecho-a-la-salud-tutelas-Defensor%C3%ADa-informe.htm" TargetMode="External"/><Relationship Id="rId8" Type="http://schemas.openxmlformats.org/officeDocument/2006/relationships/hyperlink" Target="https://www.minsalud.gov.co/Normatividad_Nuevo/Resoluci%C3%B3n%20No.%202492de%202022.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