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0C5A5" w14:textId="77777777" w:rsidR="00FD0921" w:rsidRPr="00FD0921" w:rsidRDefault="00FD0921" w:rsidP="00FD0921">
      <w:pPr>
        <w:bidi w:val="0"/>
        <w:spacing w:before="100" w:beforeAutospacing="1" w:after="100" w:afterAutospacing="1" w:line="240" w:lineRule="auto"/>
        <w:jc w:val="both"/>
        <w:outlineLvl w:val="0"/>
        <w:rPr>
          <w:rFonts w:ascii="Times New Roman" w:eastAsia="Times New Roman" w:hAnsi="Times New Roman" w:cs="Times New Roman"/>
          <w:b/>
          <w:bCs/>
          <w:kern w:val="36"/>
          <w:sz w:val="48"/>
          <w:szCs w:val="48"/>
          <w14:ligatures w14:val="none"/>
        </w:rPr>
      </w:pPr>
      <w:r w:rsidRPr="00FD0921">
        <w:rPr>
          <w:rFonts w:ascii="Times New Roman" w:eastAsia="Times New Roman" w:hAnsi="Times New Roman" w:cs="Times New Roman"/>
          <w:b/>
          <w:bCs/>
          <w:kern w:val="36"/>
          <w:sz w:val="48"/>
          <w:szCs w:val="48"/>
          <w14:ligatures w14:val="none"/>
        </w:rPr>
        <w:t>Committee on the Elimination of Racial Discrimination (CERD)</w:t>
      </w:r>
    </w:p>
    <w:p w14:paraId="5A3B4A05" w14:textId="77777777" w:rsidR="00FD0921" w:rsidRPr="00FD0921" w:rsidRDefault="00FD0921" w:rsidP="00FD0921">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FD0921">
        <w:rPr>
          <w:rFonts w:ascii="Times New Roman" w:eastAsia="Times New Roman" w:hAnsi="Times New Roman" w:cs="Times New Roman"/>
          <w:b/>
          <w:bCs/>
          <w:kern w:val="0"/>
          <w:sz w:val="36"/>
          <w:szCs w:val="36"/>
          <w14:ligatures w14:val="none"/>
        </w:rPr>
        <w:t>117th Session – States Parties Review</w:t>
      </w:r>
    </w:p>
    <w:p w14:paraId="2F937E0E" w14:textId="77777777" w:rsidR="00FD0921" w:rsidRPr="00FD0921" w:rsidRDefault="00FD0921" w:rsidP="00FD0921">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D0921">
        <w:rPr>
          <w:rFonts w:ascii="Times New Roman" w:eastAsia="Times New Roman" w:hAnsi="Times New Roman" w:cs="Times New Roman"/>
          <w:b/>
          <w:bCs/>
          <w:kern w:val="0"/>
          <w:sz w:val="27"/>
          <w:szCs w:val="27"/>
          <w14:ligatures w14:val="none"/>
        </w:rPr>
        <w:t>Alternative Report on Serbia (Focused, High-Impact Submission)</w:t>
      </w:r>
    </w:p>
    <w:p w14:paraId="4857A991" w14:textId="52B6216C" w:rsidR="00FD0921" w:rsidRPr="00FD0921" w:rsidRDefault="00FD0921" w:rsidP="00FD0921">
      <w:pPr>
        <w:bidi w:val="0"/>
        <w:spacing w:before="100" w:beforeAutospacing="1" w:after="100" w:afterAutospacing="1" w:line="240" w:lineRule="auto"/>
        <w:rPr>
          <w:rFonts w:ascii="Times New Roman" w:eastAsia="Times New Roman" w:hAnsi="Times New Roman" w:cs="Times New Roman"/>
          <w:kern w:val="0"/>
          <w:lang w:val="fr-FR"/>
          <w14:ligatures w14:val="none"/>
        </w:rPr>
      </w:pPr>
      <w:proofErr w:type="spellStart"/>
      <w:r w:rsidRPr="00FD0921">
        <w:rPr>
          <w:rFonts w:ascii="Times New Roman" w:eastAsia="Times New Roman" w:hAnsi="Times New Roman" w:cs="Times New Roman"/>
          <w:b/>
          <w:bCs/>
          <w:kern w:val="0"/>
          <w:lang w:val="fr-FR"/>
          <w14:ligatures w14:val="none"/>
        </w:rPr>
        <w:t>Submitted</w:t>
      </w:r>
      <w:proofErr w:type="spellEnd"/>
      <w:r w:rsidRPr="00FD0921">
        <w:rPr>
          <w:rFonts w:ascii="Times New Roman" w:eastAsia="Times New Roman" w:hAnsi="Times New Roman" w:cs="Times New Roman"/>
          <w:b/>
          <w:bCs/>
          <w:kern w:val="0"/>
          <w:lang w:val="fr-FR"/>
          <w14:ligatures w14:val="none"/>
        </w:rPr>
        <w:t xml:space="preserve"> </w:t>
      </w:r>
      <w:proofErr w:type="gramStart"/>
      <w:r w:rsidRPr="00FD0921">
        <w:rPr>
          <w:rFonts w:ascii="Times New Roman" w:eastAsia="Times New Roman" w:hAnsi="Times New Roman" w:cs="Times New Roman"/>
          <w:b/>
          <w:bCs/>
          <w:kern w:val="0"/>
          <w:lang w:val="fr-FR"/>
          <w14:ligatures w14:val="none"/>
        </w:rPr>
        <w:t>by:</w:t>
      </w:r>
      <w:proofErr w:type="gramEnd"/>
      <w:r w:rsidRPr="00FD0921">
        <w:rPr>
          <w:rFonts w:ascii="Times New Roman" w:eastAsia="Times New Roman" w:hAnsi="Times New Roman" w:cs="Times New Roman"/>
          <w:kern w:val="0"/>
          <w:lang w:val="fr-FR"/>
          <w14:ligatures w14:val="none"/>
        </w:rPr>
        <w:br/>
      </w:r>
      <w:r w:rsidRPr="00FD0921">
        <w:rPr>
          <w:rFonts w:ascii="Times New Roman" w:eastAsia="Times New Roman" w:hAnsi="Times New Roman" w:cs="Times New Roman"/>
          <w:b/>
          <w:bCs/>
          <w:kern w:val="0"/>
          <w:lang w:val="fr-FR"/>
          <w14:ligatures w14:val="none"/>
        </w:rPr>
        <w:t>Alliance internationale pour la défense des droits et des libertés (AIDL)</w:t>
      </w:r>
    </w:p>
    <w:p w14:paraId="4C0F4466" w14:textId="77777777" w:rsidR="00FD0921" w:rsidRDefault="00FD0921" w:rsidP="00FD0921">
      <w:pPr>
        <w:bidi w:val="0"/>
        <w:spacing w:before="100" w:beforeAutospacing="1" w:after="100" w:afterAutospacing="1" w:line="240" w:lineRule="auto"/>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Contact:</w:t>
      </w:r>
      <w:r w:rsidRPr="00FD0921">
        <w:rPr>
          <w:rFonts w:ascii="Times New Roman" w:eastAsia="Times New Roman" w:hAnsi="Times New Roman" w:cs="Times New Roman"/>
          <w:kern w:val="0"/>
          <w14:ligatures w14:val="none"/>
        </w:rPr>
        <w:t xml:space="preserve"> </w:t>
      </w:r>
      <w:hyperlink r:id="rId5" w:history="1">
        <w:r w:rsidRPr="00FD0921">
          <w:rPr>
            <w:rFonts w:ascii="Times New Roman" w:eastAsia="Times New Roman" w:hAnsi="Times New Roman" w:cs="Times New Roman"/>
            <w:color w:val="0000FF"/>
            <w:kern w:val="0"/>
            <w:u w:val="single"/>
            <w14:ligatures w14:val="none"/>
          </w:rPr>
          <w:t>AIDL@AIDL.EU</w:t>
        </w:r>
      </w:hyperlink>
      <w:r w:rsidRPr="00FD0921">
        <w:rPr>
          <w:rFonts w:ascii="Times New Roman" w:eastAsia="Times New Roman" w:hAnsi="Times New Roman" w:cs="Times New Roman"/>
          <w:kern w:val="0"/>
          <w14:ligatures w14:val="none"/>
        </w:rPr>
        <w:t xml:space="preserve"> | </w:t>
      </w:r>
      <w:hyperlink r:id="rId6" w:history="1">
        <w:r w:rsidRPr="00FD0921">
          <w:rPr>
            <w:rFonts w:ascii="Times New Roman" w:eastAsia="Times New Roman" w:hAnsi="Times New Roman" w:cs="Times New Roman"/>
            <w:color w:val="0000FF"/>
            <w:kern w:val="0"/>
            <w:u w:val="single"/>
            <w14:ligatures w14:val="none"/>
          </w:rPr>
          <w:t>www.aidl.eu</w:t>
        </w:r>
      </w:hyperlink>
      <w:r w:rsidRPr="00FD0921">
        <w:rPr>
          <w:rFonts w:ascii="Times New Roman" w:eastAsia="Times New Roman" w:hAnsi="Times New Roman" w:cs="Times New Roman"/>
          <w:kern w:val="0"/>
          <w14:ligatures w14:val="none"/>
        </w:rPr>
        <w:br/>
      </w:r>
      <w:r w:rsidRPr="00FD0921">
        <w:rPr>
          <w:rFonts w:ascii="Times New Roman" w:eastAsia="Times New Roman" w:hAnsi="Times New Roman" w:cs="Times New Roman"/>
          <w:b/>
          <w:bCs/>
          <w:kern w:val="0"/>
          <w14:ligatures w14:val="none"/>
        </w:rPr>
        <w:t>Date:</w:t>
      </w:r>
      <w:r w:rsidRPr="00FD0921">
        <w:rPr>
          <w:rFonts w:ascii="Times New Roman" w:eastAsia="Times New Roman" w:hAnsi="Times New Roman" w:cs="Times New Roman"/>
          <w:kern w:val="0"/>
          <w14:ligatures w14:val="none"/>
        </w:rPr>
        <w:t xml:space="preserve"> January 2026</w:t>
      </w:r>
      <w:r w:rsidRPr="00FD0921">
        <w:rPr>
          <w:rFonts w:ascii="Times New Roman" w:eastAsia="Times New Roman" w:hAnsi="Times New Roman" w:cs="Times New Roman"/>
          <w:kern w:val="0"/>
          <w14:ligatures w14:val="none"/>
        </w:rPr>
        <w:br/>
      </w:r>
      <w:r w:rsidRPr="00FD0921">
        <w:rPr>
          <w:rFonts w:ascii="Times New Roman" w:eastAsia="Times New Roman" w:hAnsi="Times New Roman" w:cs="Times New Roman"/>
          <w:b/>
          <w:bCs/>
          <w:kern w:val="0"/>
          <w14:ligatures w14:val="none"/>
        </w:rPr>
        <w:t>Submission type:</w:t>
      </w:r>
      <w:r w:rsidRPr="00FD0921">
        <w:rPr>
          <w:rFonts w:ascii="Times New Roman" w:eastAsia="Times New Roman" w:hAnsi="Times New Roman" w:cs="Times New Roman"/>
          <w:kern w:val="0"/>
          <w14:ligatures w14:val="none"/>
        </w:rPr>
        <w:t xml:space="preserve"> </w:t>
      </w:r>
    </w:p>
    <w:p w14:paraId="6610E848" w14:textId="302D11C3" w:rsidR="00FD0921" w:rsidRPr="00FD0921" w:rsidRDefault="00FD0921" w:rsidP="00FD0921">
      <w:pPr>
        <w:bidi w:val="0"/>
        <w:spacing w:before="100" w:beforeAutospacing="1" w:after="100" w:afterAutospacing="1" w:line="240" w:lineRule="auto"/>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Civil Society Alternative Report (States parties review)</w:t>
      </w:r>
    </w:p>
    <w:p w14:paraId="2B97C6AA" w14:textId="77777777" w:rsidR="00FD0921" w:rsidRPr="00FD0921" w:rsidRDefault="00FD0921" w:rsidP="00FD0921">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FD0921">
        <w:rPr>
          <w:rFonts w:ascii="Times New Roman" w:eastAsia="Times New Roman" w:hAnsi="Times New Roman" w:cs="Times New Roman"/>
          <w:b/>
          <w:bCs/>
          <w:kern w:val="0"/>
          <w:sz w:val="36"/>
          <w:szCs w:val="36"/>
          <w14:ligatures w14:val="none"/>
        </w:rPr>
        <w:t>1. Executive Summary</w:t>
      </w:r>
    </w:p>
    <w:p w14:paraId="78AD2C8A" w14:textId="77777777"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This alternative report is submitted to assist CERD in its review of Serbia’s compliance with the International Convention on the Elimination of All Forms of Racial Discrimination (ICERD).</w:t>
      </w:r>
    </w:p>
    <w:p w14:paraId="2692A099" w14:textId="18B09436"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AIDL’s position is clear: </w:t>
      </w:r>
      <w:r w:rsidRPr="00FD0921">
        <w:rPr>
          <w:rFonts w:ascii="Times New Roman" w:eastAsia="Times New Roman" w:hAnsi="Times New Roman" w:cs="Times New Roman"/>
          <w:b/>
          <w:bCs/>
          <w:kern w:val="0"/>
          <w14:ligatures w14:val="none"/>
        </w:rPr>
        <w:t>racial and ethnic discrimination in Serbia remains structural and entrenched</w:t>
      </w:r>
      <w:r w:rsidRPr="00FD0921">
        <w:rPr>
          <w:rFonts w:ascii="Times New Roman" w:eastAsia="Times New Roman" w:hAnsi="Times New Roman" w:cs="Times New Roman"/>
          <w:kern w:val="0"/>
          <w14:ligatures w14:val="none"/>
        </w:rPr>
        <w:t xml:space="preserve">, and the State’s response remains </w:t>
      </w:r>
      <w:r w:rsidRPr="00FD0921">
        <w:rPr>
          <w:rFonts w:ascii="Times New Roman" w:eastAsia="Times New Roman" w:hAnsi="Times New Roman" w:cs="Times New Roman"/>
          <w:b/>
          <w:bCs/>
          <w:kern w:val="0"/>
          <w14:ligatures w14:val="none"/>
        </w:rPr>
        <w:t>inadequate, inconsistently enforced, and outcome-poor</w:t>
      </w:r>
      <w:r w:rsidRPr="00FD0921">
        <w:rPr>
          <w:rFonts w:ascii="Times New Roman" w:eastAsia="Times New Roman" w:hAnsi="Times New Roman" w:cs="Times New Roman"/>
          <w:kern w:val="0"/>
          <w14:ligatures w14:val="none"/>
        </w:rPr>
        <w:t xml:space="preserve">. Serbia continues to demonstrate a persistent gap between formal legal commitments and the lived reality of affected groups, especially </w:t>
      </w:r>
      <w:r w:rsidRPr="00FD0921">
        <w:rPr>
          <w:rFonts w:ascii="Times New Roman" w:eastAsia="Times New Roman" w:hAnsi="Times New Roman" w:cs="Times New Roman"/>
          <w:b/>
          <w:bCs/>
          <w:kern w:val="0"/>
          <w14:ligatures w14:val="none"/>
        </w:rPr>
        <w:t>Roma</w:t>
      </w:r>
      <w:r w:rsidRPr="00FD0921">
        <w:rPr>
          <w:rFonts w:ascii="Times New Roman" w:eastAsia="Times New Roman" w:hAnsi="Times New Roman" w:cs="Times New Roman"/>
          <w:kern w:val="0"/>
          <w14:ligatures w14:val="none"/>
        </w:rPr>
        <w:t xml:space="preserve">, and, in increasingly visible ways, </w:t>
      </w:r>
      <w:r w:rsidRPr="00FD0921">
        <w:rPr>
          <w:rFonts w:ascii="Times New Roman" w:eastAsia="Times New Roman" w:hAnsi="Times New Roman" w:cs="Times New Roman"/>
          <w:b/>
          <w:bCs/>
          <w:kern w:val="0"/>
          <w14:ligatures w14:val="none"/>
        </w:rPr>
        <w:t>migrants, refugees, and asylum seekers</w:t>
      </w:r>
      <w:r w:rsidRPr="00FD0921">
        <w:rPr>
          <w:rFonts w:ascii="Times New Roman" w:eastAsia="Times New Roman" w:hAnsi="Times New Roman" w:cs="Times New Roman"/>
          <w:kern w:val="0"/>
          <w14:ligatures w14:val="none"/>
        </w:rPr>
        <w:t xml:space="preserve">, who face heightened exposure to xenophobia and discriminatory treatment. This is compounded by weak hate speech and hate crime enforcement, underreporting, limited disaggregated data, and insufficient remedy and victim protection mechanisms. </w:t>
      </w:r>
    </w:p>
    <w:p w14:paraId="2B28E27C" w14:textId="55E35ED7"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AIDL urges the Committee to adopt </w:t>
      </w:r>
      <w:r w:rsidRPr="00FD0921">
        <w:rPr>
          <w:rFonts w:ascii="Times New Roman" w:eastAsia="Times New Roman" w:hAnsi="Times New Roman" w:cs="Times New Roman"/>
          <w:b/>
          <w:bCs/>
          <w:kern w:val="0"/>
          <w14:ligatures w14:val="none"/>
        </w:rPr>
        <w:t>measurable, time-bound, enforcement-oriented</w:t>
      </w:r>
      <w:r w:rsidRPr="00FD0921">
        <w:rPr>
          <w:rFonts w:ascii="Times New Roman" w:eastAsia="Times New Roman" w:hAnsi="Times New Roman" w:cs="Times New Roman"/>
          <w:kern w:val="0"/>
          <w14:ligatures w14:val="none"/>
        </w:rPr>
        <w:t xml:space="preserve"> concluding observations, and to require Serbia to present </w:t>
      </w:r>
      <w:r w:rsidRPr="00FD0921">
        <w:rPr>
          <w:rFonts w:ascii="Times New Roman" w:eastAsia="Times New Roman" w:hAnsi="Times New Roman" w:cs="Times New Roman"/>
          <w:b/>
          <w:bCs/>
          <w:kern w:val="0"/>
          <w14:ligatures w14:val="none"/>
        </w:rPr>
        <w:t>disaggregated data and proof of results</w:t>
      </w:r>
      <w:r w:rsidRPr="00FD0921">
        <w:rPr>
          <w:rFonts w:ascii="Times New Roman" w:eastAsia="Times New Roman" w:hAnsi="Times New Roman" w:cs="Times New Roman"/>
          <w:kern w:val="0"/>
          <w14:ligatures w14:val="none"/>
        </w:rPr>
        <w:t>, not general declarations.</w:t>
      </w:r>
    </w:p>
    <w:p w14:paraId="5A856ECF" w14:textId="77777777" w:rsidR="00FD0921" w:rsidRPr="00FD0921" w:rsidRDefault="00FD0921" w:rsidP="00FD0921">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FD0921">
        <w:rPr>
          <w:rFonts w:ascii="Times New Roman" w:eastAsia="Times New Roman" w:hAnsi="Times New Roman" w:cs="Times New Roman"/>
          <w:b/>
          <w:bCs/>
          <w:kern w:val="0"/>
          <w:sz w:val="36"/>
          <w:szCs w:val="36"/>
          <w14:ligatures w14:val="none"/>
        </w:rPr>
        <w:t>2. Methodology and Standard Applied</w:t>
      </w:r>
    </w:p>
    <w:p w14:paraId="4BF8EB24" w14:textId="77777777"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This report is based on authoritative monitoring and documentation, including:</w:t>
      </w:r>
    </w:p>
    <w:p w14:paraId="2761AC28" w14:textId="0086CAF1" w:rsidR="00FD0921" w:rsidRPr="00FD0921" w:rsidRDefault="00FD0921" w:rsidP="00FD0921">
      <w:pPr>
        <w:numPr>
          <w:ilvl w:val="0"/>
          <w:numId w:val="28"/>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Council of Europe ECRI monitoring (latest cycle), </w:t>
      </w:r>
    </w:p>
    <w:p w14:paraId="69163978" w14:textId="0BC393E1" w:rsidR="00FD0921" w:rsidRPr="00FD0921" w:rsidRDefault="00FD0921" w:rsidP="00FD0921">
      <w:pPr>
        <w:numPr>
          <w:ilvl w:val="0"/>
          <w:numId w:val="28"/>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CERD’s prior concluding observations on Serbia, </w:t>
      </w:r>
    </w:p>
    <w:p w14:paraId="14A7A09D" w14:textId="0ECD25F3" w:rsidR="00FD0921" w:rsidRPr="00FD0921" w:rsidRDefault="00FD0921" w:rsidP="00FD0921">
      <w:pPr>
        <w:numPr>
          <w:ilvl w:val="0"/>
          <w:numId w:val="28"/>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UNHCR and asylum system reporting relevant to protection context and vulnerabilities of displaced persons, </w:t>
      </w:r>
    </w:p>
    <w:p w14:paraId="7DC96FB6" w14:textId="6F3591E6" w:rsidR="00FD0921" w:rsidRPr="00FD0921" w:rsidRDefault="00FD0921" w:rsidP="00FD0921">
      <w:pPr>
        <w:numPr>
          <w:ilvl w:val="0"/>
          <w:numId w:val="28"/>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Credible regional reporting on border practices and pushbacks affecting people moving through the Western Balkans, including Serbia-related routes and impacts. </w:t>
      </w:r>
    </w:p>
    <w:p w14:paraId="3F5363DD" w14:textId="0FD27ED2"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AIDL applies a compliance test aligned with ICERD: where discrimination patterns are persistent and well-documented, the State must demonstrate prevention, enforcement, investigation, sanctions, and effective remedies.</w:t>
      </w:r>
    </w:p>
    <w:p w14:paraId="7D2AE169" w14:textId="77777777" w:rsidR="00FD0921" w:rsidRPr="00FD0921" w:rsidRDefault="00FD0921" w:rsidP="00FD0921">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FD0921">
        <w:rPr>
          <w:rFonts w:ascii="Times New Roman" w:eastAsia="Times New Roman" w:hAnsi="Times New Roman" w:cs="Times New Roman"/>
          <w:b/>
          <w:bCs/>
          <w:kern w:val="0"/>
          <w:sz w:val="36"/>
          <w:szCs w:val="36"/>
          <w14:ligatures w14:val="none"/>
        </w:rPr>
        <w:lastRenderedPageBreak/>
        <w:t>3. Core Areas of Concern</w:t>
      </w:r>
    </w:p>
    <w:p w14:paraId="711667F6" w14:textId="77777777" w:rsidR="00FD0921" w:rsidRPr="00FD0921" w:rsidRDefault="00FD0921" w:rsidP="00FD0921">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FD0921">
        <w:rPr>
          <w:rFonts w:ascii="Times New Roman" w:eastAsia="Times New Roman" w:hAnsi="Times New Roman" w:cs="Times New Roman"/>
          <w:b/>
          <w:bCs/>
          <w:kern w:val="0"/>
          <w:sz w:val="27"/>
          <w:szCs w:val="27"/>
          <w14:ligatures w14:val="none"/>
        </w:rPr>
        <w:t>A. Roma: Structural Discrimination, Segregation, and Social Exclusion</w:t>
      </w:r>
    </w:p>
    <w:p w14:paraId="039F3B16" w14:textId="77777777"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ICERD arts. 2, 3, 5, 6</w:t>
      </w:r>
    </w:p>
    <w:p w14:paraId="0EAA7211" w14:textId="1957F5F7"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Roma communities continue to face severe, multi-sector discrimination that is best understood as </w:t>
      </w:r>
      <w:r w:rsidRPr="00FD0921">
        <w:rPr>
          <w:rFonts w:ascii="Times New Roman" w:eastAsia="Times New Roman" w:hAnsi="Times New Roman" w:cs="Times New Roman"/>
          <w:b/>
          <w:bCs/>
          <w:kern w:val="0"/>
          <w14:ligatures w14:val="none"/>
        </w:rPr>
        <w:t>structural exclusion</w:t>
      </w:r>
      <w:r w:rsidRPr="00FD0921">
        <w:rPr>
          <w:rFonts w:ascii="Times New Roman" w:eastAsia="Times New Roman" w:hAnsi="Times New Roman" w:cs="Times New Roman"/>
          <w:kern w:val="0"/>
          <w14:ligatures w14:val="none"/>
        </w:rPr>
        <w:t xml:space="preserve">, not isolated misconduct. ECRI identifies persistent issues affecting Roma inclusion, including continuing concerns despite certain legislative and policy steps. </w:t>
      </w:r>
    </w:p>
    <w:p w14:paraId="3BE6BD0F" w14:textId="77777777"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AIDL highlights four high-risk domains:</w:t>
      </w:r>
    </w:p>
    <w:p w14:paraId="1DEFBBD9" w14:textId="5E83B6A2" w:rsidR="00FD0921" w:rsidRPr="00FD0921" w:rsidRDefault="00FD0921" w:rsidP="00FD0921">
      <w:pPr>
        <w:numPr>
          <w:ilvl w:val="0"/>
          <w:numId w:val="29"/>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Housing and access to services:</w:t>
      </w:r>
      <w:r w:rsidRPr="00FD0921">
        <w:rPr>
          <w:rFonts w:ascii="Times New Roman" w:eastAsia="Times New Roman" w:hAnsi="Times New Roman" w:cs="Times New Roman"/>
          <w:kern w:val="0"/>
          <w14:ligatures w14:val="none"/>
        </w:rPr>
        <w:t xml:space="preserve"> Roma remain disproportionately exposed to inadequate housing conditions and barriers to equal access to municipal services and legal security. </w:t>
      </w:r>
    </w:p>
    <w:p w14:paraId="11062DAE" w14:textId="7E023DA3" w:rsidR="00FD0921" w:rsidRPr="00FD0921" w:rsidRDefault="00FD0921" w:rsidP="00FD0921">
      <w:pPr>
        <w:numPr>
          <w:ilvl w:val="0"/>
          <w:numId w:val="29"/>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Education inequality and segregation risks:</w:t>
      </w:r>
      <w:r w:rsidRPr="00FD0921">
        <w:rPr>
          <w:rFonts w:ascii="Times New Roman" w:eastAsia="Times New Roman" w:hAnsi="Times New Roman" w:cs="Times New Roman"/>
          <w:kern w:val="0"/>
          <w14:ligatures w14:val="none"/>
        </w:rPr>
        <w:t xml:space="preserve"> Roma children remain vulnerable to de facto separation and unequal outcomes, with long-standing concerns documented by monitoring and research. </w:t>
      </w:r>
    </w:p>
    <w:p w14:paraId="35132861" w14:textId="37039FC9" w:rsidR="00FD0921" w:rsidRPr="00FD0921" w:rsidRDefault="00FD0921" w:rsidP="00FD0921">
      <w:pPr>
        <w:numPr>
          <w:ilvl w:val="0"/>
          <w:numId w:val="29"/>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Employment and economic exclusion:</w:t>
      </w:r>
      <w:r w:rsidRPr="00FD0921">
        <w:rPr>
          <w:rFonts w:ascii="Times New Roman" w:eastAsia="Times New Roman" w:hAnsi="Times New Roman" w:cs="Times New Roman"/>
          <w:kern w:val="0"/>
          <w14:ligatures w14:val="none"/>
        </w:rPr>
        <w:t xml:space="preserve"> Persistent barriers to decent work and equal treatment sustain intergenerational poverty and marginalization. </w:t>
      </w:r>
    </w:p>
    <w:p w14:paraId="3B00E59C" w14:textId="2115A861" w:rsidR="00FD0921" w:rsidRPr="00FD0921" w:rsidRDefault="00FD0921" w:rsidP="00FD0921">
      <w:pPr>
        <w:numPr>
          <w:ilvl w:val="0"/>
          <w:numId w:val="29"/>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Access to remedies:</w:t>
      </w:r>
      <w:r w:rsidRPr="00FD0921">
        <w:rPr>
          <w:rFonts w:ascii="Times New Roman" w:eastAsia="Times New Roman" w:hAnsi="Times New Roman" w:cs="Times New Roman"/>
          <w:kern w:val="0"/>
          <w14:ligatures w14:val="none"/>
        </w:rPr>
        <w:t xml:space="preserve"> Victims often face practical barriers to complaints and redress, including limited trust, limited legal support, and uneven enforcement. </w:t>
      </w:r>
    </w:p>
    <w:p w14:paraId="2CF2B18F" w14:textId="5136ED09"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AIDL assessment:</w:t>
      </w:r>
      <w:r w:rsidRPr="00FD0921">
        <w:rPr>
          <w:rFonts w:ascii="Times New Roman" w:eastAsia="Times New Roman" w:hAnsi="Times New Roman" w:cs="Times New Roman"/>
          <w:kern w:val="0"/>
          <w14:ligatures w14:val="none"/>
        </w:rPr>
        <w:t xml:space="preserve"> Serbia’s current approach remains over-reliant on strategies and action plans, while </w:t>
      </w:r>
      <w:r w:rsidRPr="00FD0921">
        <w:rPr>
          <w:rFonts w:ascii="Times New Roman" w:eastAsia="Times New Roman" w:hAnsi="Times New Roman" w:cs="Times New Roman"/>
          <w:b/>
          <w:bCs/>
          <w:kern w:val="0"/>
          <w14:ligatures w14:val="none"/>
        </w:rPr>
        <w:t>measurable structural outcomes remain insufficient</w:t>
      </w:r>
      <w:r w:rsidRPr="00FD0921">
        <w:rPr>
          <w:rFonts w:ascii="Times New Roman" w:eastAsia="Times New Roman" w:hAnsi="Times New Roman" w:cs="Times New Roman"/>
          <w:kern w:val="0"/>
          <w14:ligatures w14:val="none"/>
        </w:rPr>
        <w:t>.</w:t>
      </w:r>
    </w:p>
    <w:p w14:paraId="75929430" w14:textId="77777777" w:rsidR="00FD0921" w:rsidRPr="00FD0921" w:rsidRDefault="00FD0921" w:rsidP="00FD0921">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FD0921">
        <w:rPr>
          <w:rFonts w:ascii="Times New Roman" w:eastAsia="Times New Roman" w:hAnsi="Times New Roman" w:cs="Times New Roman"/>
          <w:b/>
          <w:bCs/>
          <w:kern w:val="0"/>
          <w:sz w:val="27"/>
          <w:szCs w:val="27"/>
          <w14:ligatures w14:val="none"/>
        </w:rPr>
        <w:t>B. Hate Speech and Hate Crime: Weak Enforcement, Underreporting, and Impunity Risk</w:t>
      </w:r>
    </w:p>
    <w:p w14:paraId="134BDC18" w14:textId="77777777"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ICERD art. 4 and art. 6</w:t>
      </w:r>
    </w:p>
    <w:p w14:paraId="60473280" w14:textId="781C7C00" w:rsidR="00FD0921" w:rsidRPr="00FD0921" w:rsidRDefault="00FD0921" w:rsidP="00FD0921">
      <w:pPr>
        <w:bidi w:val="0"/>
        <w:spacing w:before="100" w:beforeAutospacing="1" w:after="100" w:afterAutospacing="1" w:line="240" w:lineRule="auto"/>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CERD previously expressed concern about hate speech being underreported and the lack of comprehensive statistics. </w:t>
      </w:r>
      <w:r w:rsidRPr="00FD0921">
        <w:rPr>
          <w:rFonts w:ascii="Times New Roman" w:eastAsia="Times New Roman" w:hAnsi="Times New Roman" w:cs="Times New Roman"/>
          <w:kern w:val="0"/>
          <w14:ligatures w14:val="none"/>
        </w:rPr>
        <w:br/>
        <w:t xml:space="preserve">ECRI has also addressed intolerance and related enforcement gaps across its monitoring. </w:t>
      </w:r>
    </w:p>
    <w:p w14:paraId="266931AB" w14:textId="77777777"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AIDL’s assessment is direct:</w:t>
      </w:r>
      <w:r w:rsidRPr="00FD0921">
        <w:rPr>
          <w:rFonts w:ascii="Times New Roman" w:eastAsia="Times New Roman" w:hAnsi="Times New Roman" w:cs="Times New Roman"/>
          <w:kern w:val="0"/>
          <w14:ligatures w14:val="none"/>
        </w:rPr>
        <w:t xml:space="preserve"> where hate speech and racially motivated offences are not met with consistent investigation, prosecution, sanctions, and victim protection, the result is </w:t>
      </w:r>
      <w:r w:rsidRPr="00FD0921">
        <w:rPr>
          <w:rFonts w:ascii="Times New Roman" w:eastAsia="Times New Roman" w:hAnsi="Times New Roman" w:cs="Times New Roman"/>
          <w:b/>
          <w:bCs/>
          <w:kern w:val="0"/>
          <w14:ligatures w14:val="none"/>
        </w:rPr>
        <w:t>functional impunity</w:t>
      </w:r>
      <w:r w:rsidRPr="00FD0921">
        <w:rPr>
          <w:rFonts w:ascii="Times New Roman" w:eastAsia="Times New Roman" w:hAnsi="Times New Roman" w:cs="Times New Roman"/>
          <w:kern w:val="0"/>
          <w14:ligatures w14:val="none"/>
        </w:rPr>
        <w:t>, which accelerates normalization and repetition.</w:t>
      </w:r>
    </w:p>
    <w:p w14:paraId="2CA32671" w14:textId="77777777"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The Committee should treat enforcement as a deliverable, requiring Serbia to demonstrate year-on-year outcomes in:</w:t>
      </w:r>
    </w:p>
    <w:p w14:paraId="0A06952C" w14:textId="77777777" w:rsidR="00FD0921" w:rsidRPr="00FD0921" w:rsidRDefault="00FD0921" w:rsidP="00FD0921">
      <w:pPr>
        <w:numPr>
          <w:ilvl w:val="0"/>
          <w:numId w:val="30"/>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registration of hate incidents,</w:t>
      </w:r>
    </w:p>
    <w:p w14:paraId="39955D7A" w14:textId="77777777" w:rsidR="00FD0921" w:rsidRPr="00FD0921" w:rsidRDefault="00FD0921" w:rsidP="00FD0921">
      <w:pPr>
        <w:numPr>
          <w:ilvl w:val="0"/>
          <w:numId w:val="30"/>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hate motive identification,</w:t>
      </w:r>
    </w:p>
    <w:p w14:paraId="322FD668" w14:textId="77777777" w:rsidR="00FD0921" w:rsidRPr="00FD0921" w:rsidRDefault="00FD0921" w:rsidP="00FD0921">
      <w:pPr>
        <w:numPr>
          <w:ilvl w:val="0"/>
          <w:numId w:val="30"/>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prosecutions and convictions,</w:t>
      </w:r>
    </w:p>
    <w:p w14:paraId="70411963" w14:textId="77777777" w:rsidR="00FD0921" w:rsidRPr="00FD0921" w:rsidRDefault="00FD0921" w:rsidP="00FD0921">
      <w:pPr>
        <w:numPr>
          <w:ilvl w:val="0"/>
          <w:numId w:val="30"/>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sanctions that deter,</w:t>
      </w:r>
    </w:p>
    <w:p w14:paraId="6E0D133B" w14:textId="2B88F191" w:rsidR="00FD0921" w:rsidRDefault="00FD0921" w:rsidP="00FD0921">
      <w:pPr>
        <w:numPr>
          <w:ilvl w:val="0"/>
          <w:numId w:val="30"/>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and remedies (including compensation and support).</w:t>
      </w:r>
    </w:p>
    <w:p w14:paraId="24E29EC6" w14:textId="77777777"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p>
    <w:p w14:paraId="06A7C0F6" w14:textId="77777777" w:rsidR="00FD0921" w:rsidRPr="00FD0921" w:rsidRDefault="00FD0921" w:rsidP="00FD0921">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FD0921">
        <w:rPr>
          <w:rFonts w:ascii="Times New Roman" w:eastAsia="Times New Roman" w:hAnsi="Times New Roman" w:cs="Times New Roman"/>
          <w:b/>
          <w:bCs/>
          <w:kern w:val="0"/>
          <w:sz w:val="27"/>
          <w:szCs w:val="27"/>
          <w14:ligatures w14:val="none"/>
        </w:rPr>
        <w:lastRenderedPageBreak/>
        <w:t>C. Migrants, Refugees, and Asylum Seekers: Xenophobia Risk and Discriminatory Treatment in Practice</w:t>
      </w:r>
    </w:p>
    <w:p w14:paraId="6CA26106" w14:textId="77777777"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ICERD arts. 2, 5, 6</w:t>
      </w:r>
    </w:p>
    <w:p w14:paraId="2C712435" w14:textId="30A4906B" w:rsidR="00FD0921" w:rsidRPr="00FD0921" w:rsidRDefault="00FD0921" w:rsidP="00FD0921">
      <w:pPr>
        <w:bidi w:val="0"/>
        <w:spacing w:before="100" w:beforeAutospacing="1" w:after="100" w:afterAutospacing="1" w:line="240" w:lineRule="auto"/>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Serbia remains a relevant transit and host context for asylum seekers and refugees, as reflected in UNHCR reporting and system monitoring. </w:t>
      </w:r>
      <w:r w:rsidRPr="00FD0921">
        <w:rPr>
          <w:rFonts w:ascii="Times New Roman" w:eastAsia="Times New Roman" w:hAnsi="Times New Roman" w:cs="Times New Roman"/>
          <w:kern w:val="0"/>
          <w14:ligatures w14:val="none"/>
        </w:rPr>
        <w:br/>
        <w:t>In this environment, discrimination risks are elevated by hostile narratives and by regional border practices that expose people on the move to serious harm.</w:t>
      </w:r>
    </w:p>
    <w:p w14:paraId="0B86D701" w14:textId="34452C44"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AIDL draws the Committee’s attention to persistent documentation that pushbacks at Europe’s borders remain a systemic practice, which human rights reporting links to serious protection risks. </w:t>
      </w:r>
    </w:p>
    <w:p w14:paraId="5AA1C286" w14:textId="4EBC292D"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AIDL’s position:</w:t>
      </w:r>
      <w:r w:rsidRPr="00FD0921">
        <w:rPr>
          <w:rFonts w:ascii="Times New Roman" w:eastAsia="Times New Roman" w:hAnsi="Times New Roman" w:cs="Times New Roman"/>
          <w:kern w:val="0"/>
          <w14:ligatures w14:val="none"/>
        </w:rPr>
        <w:t xml:space="preserve"> Serbia must demonstrate that border governance, policing, and reception practices do not result in discriminatory treatment, abuse, or denial of effective protection, and that victims have accessible complaint channels and remedies.</w:t>
      </w:r>
    </w:p>
    <w:p w14:paraId="0AB0812C" w14:textId="77777777" w:rsidR="00FD0921" w:rsidRPr="00FD0921" w:rsidRDefault="00FD0921" w:rsidP="00FD0921">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FD0921">
        <w:rPr>
          <w:rFonts w:ascii="Times New Roman" w:eastAsia="Times New Roman" w:hAnsi="Times New Roman" w:cs="Times New Roman"/>
          <w:b/>
          <w:bCs/>
          <w:kern w:val="0"/>
          <w:sz w:val="27"/>
          <w:szCs w:val="27"/>
          <w14:ligatures w14:val="none"/>
        </w:rPr>
        <w:t>D. Implementation Architecture: Institutions Without Results</w:t>
      </w:r>
    </w:p>
    <w:p w14:paraId="30583D71" w14:textId="77777777"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ICERD arts. 2 and 6</w:t>
      </w:r>
    </w:p>
    <w:p w14:paraId="4439E454" w14:textId="2BF1958D"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Serbia has formal frameworks, but CERD’s concern must be whether these frameworks produce results for victims. The decisive failure indicator is consistent: limited disaggregated data, weak transparency on outcomes, low trust in remedies, and uneven enforcement capacity. </w:t>
      </w:r>
    </w:p>
    <w:p w14:paraId="243BEEAE" w14:textId="075E4EBD"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AIDL assessment:</w:t>
      </w:r>
      <w:r w:rsidRPr="00FD0921">
        <w:rPr>
          <w:rFonts w:ascii="Times New Roman" w:eastAsia="Times New Roman" w:hAnsi="Times New Roman" w:cs="Times New Roman"/>
          <w:kern w:val="0"/>
          <w14:ligatures w14:val="none"/>
        </w:rPr>
        <w:t xml:space="preserve"> without mandatory outcome reporting and robust remedial pathways, Serbia’s compliance remains performative rather than effective.</w:t>
      </w:r>
    </w:p>
    <w:p w14:paraId="2A40605B" w14:textId="77777777" w:rsidR="00FD0921" w:rsidRPr="00FD0921" w:rsidRDefault="00FD0921" w:rsidP="00FD0921">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FD0921">
        <w:rPr>
          <w:rFonts w:ascii="Times New Roman" w:eastAsia="Times New Roman" w:hAnsi="Times New Roman" w:cs="Times New Roman"/>
          <w:b/>
          <w:bCs/>
          <w:kern w:val="0"/>
          <w:sz w:val="36"/>
          <w:szCs w:val="36"/>
          <w14:ligatures w14:val="none"/>
        </w:rPr>
        <w:t>4. Priority Questions for CERD (Evidence-Forcing)</w:t>
      </w:r>
    </w:p>
    <w:p w14:paraId="02BD400E" w14:textId="77777777"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AIDL recommends CERD request Serbia to provide the following, </w:t>
      </w:r>
      <w:r w:rsidRPr="00FD0921">
        <w:rPr>
          <w:rFonts w:ascii="Times New Roman" w:eastAsia="Times New Roman" w:hAnsi="Times New Roman" w:cs="Times New Roman"/>
          <w:b/>
          <w:bCs/>
          <w:kern w:val="0"/>
          <w14:ligatures w14:val="none"/>
        </w:rPr>
        <w:t>with disaggregation</w:t>
      </w:r>
      <w:r w:rsidRPr="00FD0921">
        <w:rPr>
          <w:rFonts w:ascii="Times New Roman" w:eastAsia="Times New Roman" w:hAnsi="Times New Roman" w:cs="Times New Roman"/>
          <w:kern w:val="0"/>
          <w14:ligatures w14:val="none"/>
        </w:rPr>
        <w:t xml:space="preserve"> (gender, age, region, and ethnicity where appropriate and safe), and </w:t>
      </w:r>
      <w:r w:rsidRPr="00FD0921">
        <w:rPr>
          <w:rFonts w:ascii="Times New Roman" w:eastAsia="Times New Roman" w:hAnsi="Times New Roman" w:cs="Times New Roman"/>
          <w:b/>
          <w:bCs/>
          <w:kern w:val="0"/>
          <w14:ligatures w14:val="none"/>
        </w:rPr>
        <w:t>time-bound commitments</w:t>
      </w:r>
      <w:r w:rsidRPr="00FD0921">
        <w:rPr>
          <w:rFonts w:ascii="Times New Roman" w:eastAsia="Times New Roman" w:hAnsi="Times New Roman" w:cs="Times New Roman"/>
          <w:kern w:val="0"/>
          <w14:ligatures w14:val="none"/>
        </w:rPr>
        <w:t>:</w:t>
      </w:r>
    </w:p>
    <w:p w14:paraId="314F0705" w14:textId="77777777" w:rsidR="00FD0921" w:rsidRPr="00FD0921" w:rsidRDefault="00FD0921" w:rsidP="00FD0921">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FD0921">
        <w:rPr>
          <w:rFonts w:ascii="Times New Roman" w:eastAsia="Times New Roman" w:hAnsi="Times New Roman" w:cs="Times New Roman"/>
          <w:b/>
          <w:bCs/>
          <w:kern w:val="0"/>
          <w:sz w:val="27"/>
          <w:szCs w:val="27"/>
          <w14:ligatures w14:val="none"/>
        </w:rPr>
        <w:t>Roma equality and anti-segregation</w:t>
      </w:r>
    </w:p>
    <w:p w14:paraId="3FCD0B8F" w14:textId="2C6CE625" w:rsidR="00FD0921" w:rsidRPr="00FD0921" w:rsidRDefault="00FD0921" w:rsidP="00FD0921">
      <w:pPr>
        <w:numPr>
          <w:ilvl w:val="0"/>
          <w:numId w:val="3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Provide current data on Roma housing adequacy, access to water and sanitation, legal security of tenure, and safeguards against forced evictions, including remedies and outcomes. </w:t>
      </w:r>
    </w:p>
    <w:p w14:paraId="38413508" w14:textId="77D14FBC" w:rsidR="00FD0921" w:rsidRPr="00FD0921" w:rsidRDefault="00FD0921" w:rsidP="00FD0921">
      <w:pPr>
        <w:numPr>
          <w:ilvl w:val="0"/>
          <w:numId w:val="3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Provide data on school segregation indicators affecting Roma children, drop-out rates, and concrete anti-segregation measures, including enforcement mechanisms and evaluation results. </w:t>
      </w:r>
    </w:p>
    <w:p w14:paraId="389C43B5" w14:textId="2B837772" w:rsidR="00FD0921" w:rsidRPr="00FD0921" w:rsidRDefault="00FD0921" w:rsidP="00FD0921">
      <w:pPr>
        <w:numPr>
          <w:ilvl w:val="0"/>
          <w:numId w:val="31"/>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Provide evidence of Roma inclusion outcomes in employment and public services, including complaint statistics and decisions in discrimination cases.</w:t>
      </w:r>
    </w:p>
    <w:p w14:paraId="5DDE3B63" w14:textId="77777777" w:rsidR="00FD0921" w:rsidRPr="00FD0921" w:rsidRDefault="00FD0921" w:rsidP="00FD0921">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FD0921">
        <w:rPr>
          <w:rFonts w:ascii="Times New Roman" w:eastAsia="Times New Roman" w:hAnsi="Times New Roman" w:cs="Times New Roman"/>
          <w:b/>
          <w:bCs/>
          <w:kern w:val="0"/>
          <w:sz w:val="27"/>
          <w:szCs w:val="27"/>
          <w14:ligatures w14:val="none"/>
        </w:rPr>
        <w:t>Hate speech and hate crime</w:t>
      </w:r>
    </w:p>
    <w:p w14:paraId="5BF7119A" w14:textId="64E6343B" w:rsidR="00FD0921" w:rsidRPr="00FD0921" w:rsidRDefault="00FD0921" w:rsidP="00FD0921">
      <w:pPr>
        <w:numPr>
          <w:ilvl w:val="0"/>
          <w:numId w:val="32"/>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Provide comprehensive statistics over the last five years on hate speech and hate crimes, including investigations, prosecutions, convictions, sanctions, and victim remedies, and explain how hate motive is identified and recorded. </w:t>
      </w:r>
    </w:p>
    <w:p w14:paraId="5C72FD29" w14:textId="77777777" w:rsidR="00FD0921" w:rsidRPr="00FD0921" w:rsidRDefault="00FD0921" w:rsidP="00FD0921">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FD0921">
        <w:rPr>
          <w:rFonts w:ascii="Times New Roman" w:eastAsia="Times New Roman" w:hAnsi="Times New Roman" w:cs="Times New Roman"/>
          <w:b/>
          <w:bCs/>
          <w:kern w:val="0"/>
          <w:sz w:val="27"/>
          <w:szCs w:val="27"/>
          <w14:ligatures w14:val="none"/>
        </w:rPr>
        <w:lastRenderedPageBreak/>
        <w:t>Migrants, refugees, and asylum seekers</w:t>
      </w:r>
    </w:p>
    <w:p w14:paraId="4266E530" w14:textId="59EA3D8F" w:rsidR="00FD0921" w:rsidRPr="00FD0921" w:rsidRDefault="00FD0921" w:rsidP="00FD0921">
      <w:pPr>
        <w:numPr>
          <w:ilvl w:val="0"/>
          <w:numId w:val="3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Provide data on reception conditions and access to legal aid, healthcare, complaint mechanisms, and protection for asylum seekers and refugees, including measures against xenophobia and discrimination. </w:t>
      </w:r>
    </w:p>
    <w:p w14:paraId="00732D5F" w14:textId="757B3440" w:rsidR="00FD0921" w:rsidRPr="00FD0921" w:rsidRDefault="00FD0921" w:rsidP="00FD0921">
      <w:pPr>
        <w:numPr>
          <w:ilvl w:val="0"/>
          <w:numId w:val="33"/>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Explain measures to prevent discriminatory treatment by law enforcement and border authorities, and provide data on complaints and outcomes relating to abuse allegations affecting people on the move.</w:t>
      </w:r>
    </w:p>
    <w:p w14:paraId="5DA03B33" w14:textId="77777777" w:rsidR="00FD0921" w:rsidRPr="00FD0921" w:rsidRDefault="00FD0921" w:rsidP="00FD0921">
      <w:pPr>
        <w:bidi w:val="0"/>
        <w:spacing w:before="100" w:beforeAutospacing="1" w:after="100" w:afterAutospacing="1" w:line="240" w:lineRule="auto"/>
        <w:jc w:val="both"/>
        <w:outlineLvl w:val="2"/>
        <w:rPr>
          <w:rFonts w:ascii="Times New Roman" w:eastAsia="Times New Roman" w:hAnsi="Times New Roman" w:cs="Times New Roman"/>
          <w:b/>
          <w:bCs/>
          <w:kern w:val="0"/>
          <w:sz w:val="27"/>
          <w:szCs w:val="27"/>
          <w14:ligatures w14:val="none"/>
        </w:rPr>
      </w:pPr>
      <w:r w:rsidRPr="00FD0921">
        <w:rPr>
          <w:rFonts w:ascii="Times New Roman" w:eastAsia="Times New Roman" w:hAnsi="Times New Roman" w:cs="Times New Roman"/>
          <w:b/>
          <w:bCs/>
          <w:kern w:val="0"/>
          <w:sz w:val="27"/>
          <w:szCs w:val="27"/>
          <w14:ligatures w14:val="none"/>
        </w:rPr>
        <w:t>Remedies and institutional effectiveness</w:t>
      </w:r>
    </w:p>
    <w:p w14:paraId="51B7941A" w14:textId="03018593" w:rsidR="00FD0921" w:rsidRPr="00FD0921" w:rsidRDefault="00FD0921" w:rsidP="00FD0921">
      <w:pPr>
        <w:numPr>
          <w:ilvl w:val="0"/>
          <w:numId w:val="34"/>
        </w:numPr>
        <w:bidi w:val="0"/>
        <w:spacing w:before="100" w:beforeAutospacing="1" w:after="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 xml:space="preserve">Provide outcome data on discrimination complaints handled by equality bodies and courts, including timelines, remedies granted, compensation, and enforcement of decisions. </w:t>
      </w:r>
    </w:p>
    <w:p w14:paraId="0AB97773" w14:textId="77777777" w:rsidR="00FD0921" w:rsidRPr="00FD0921" w:rsidRDefault="00FD0921" w:rsidP="00FD0921">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FD0921">
        <w:rPr>
          <w:rFonts w:ascii="Times New Roman" w:eastAsia="Times New Roman" w:hAnsi="Times New Roman" w:cs="Times New Roman"/>
          <w:b/>
          <w:bCs/>
          <w:kern w:val="0"/>
          <w:sz w:val="36"/>
          <w:szCs w:val="36"/>
          <w14:ligatures w14:val="none"/>
        </w:rPr>
        <w:t>5. Targeted Recommendations (Short, Measurable, Enforceable)</w:t>
      </w:r>
    </w:p>
    <w:p w14:paraId="08282DA1" w14:textId="77777777"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AIDL urges CERD to recommend that Serbia:</w:t>
      </w:r>
    </w:p>
    <w:p w14:paraId="086B2B78" w14:textId="08E3818E" w:rsidR="00FD0921" w:rsidRPr="00FD0921" w:rsidRDefault="00FD0921" w:rsidP="00FD0921">
      <w:pPr>
        <w:numPr>
          <w:ilvl w:val="0"/>
          <w:numId w:val="3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Adopt a binding anti-segregation framework for Roma</w:t>
      </w:r>
      <w:r w:rsidRPr="00FD0921">
        <w:rPr>
          <w:rFonts w:ascii="Times New Roman" w:eastAsia="Times New Roman" w:hAnsi="Times New Roman" w:cs="Times New Roman"/>
          <w:kern w:val="0"/>
          <w14:ligatures w14:val="none"/>
        </w:rPr>
        <w:t xml:space="preserve"> in housing and education with measurable indicators, annual public reporting, and independent evaluation. </w:t>
      </w:r>
    </w:p>
    <w:p w14:paraId="126F53FE" w14:textId="4187F75D" w:rsidR="00FD0921" w:rsidRPr="00FD0921" w:rsidRDefault="00FD0921" w:rsidP="00FD0921">
      <w:pPr>
        <w:numPr>
          <w:ilvl w:val="0"/>
          <w:numId w:val="3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Guarantee Roma housing rights</w:t>
      </w:r>
      <w:r w:rsidRPr="00FD0921">
        <w:rPr>
          <w:rFonts w:ascii="Times New Roman" w:eastAsia="Times New Roman" w:hAnsi="Times New Roman" w:cs="Times New Roman"/>
          <w:kern w:val="0"/>
          <w14:ligatures w14:val="none"/>
        </w:rPr>
        <w:t xml:space="preserve"> through equal access to services, legalization pathways where relevant, and strict safeguards and remedies against evictions or discriminatory relocation. </w:t>
      </w:r>
    </w:p>
    <w:p w14:paraId="53F5EFFE" w14:textId="3071FE20" w:rsidR="00FD0921" w:rsidRPr="00FD0921" w:rsidRDefault="00FD0921" w:rsidP="00FD0921">
      <w:pPr>
        <w:numPr>
          <w:ilvl w:val="0"/>
          <w:numId w:val="3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Deliver enforcement outcomes on hate speech and hate crime</w:t>
      </w:r>
      <w:r w:rsidRPr="00FD0921">
        <w:rPr>
          <w:rFonts w:ascii="Times New Roman" w:eastAsia="Times New Roman" w:hAnsi="Times New Roman" w:cs="Times New Roman"/>
          <w:kern w:val="0"/>
          <w14:ligatures w14:val="none"/>
        </w:rPr>
        <w:t xml:space="preserve">, including comprehensive statistics, consistent prosecution where warranted, sanctions that deter, and victim protection and remedy. </w:t>
      </w:r>
    </w:p>
    <w:p w14:paraId="1D04D05F" w14:textId="2118947D" w:rsidR="00FD0921" w:rsidRPr="00FD0921" w:rsidRDefault="00FD0921" w:rsidP="00FD0921">
      <w:pPr>
        <w:numPr>
          <w:ilvl w:val="0"/>
          <w:numId w:val="3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Ensure non-discriminatory protection for migrants, refugees, and asylum seekers</w:t>
      </w:r>
      <w:r w:rsidRPr="00FD0921">
        <w:rPr>
          <w:rFonts w:ascii="Times New Roman" w:eastAsia="Times New Roman" w:hAnsi="Times New Roman" w:cs="Times New Roman"/>
          <w:kern w:val="0"/>
          <w14:ligatures w14:val="none"/>
        </w:rPr>
        <w:t xml:space="preserve">, including safe reception standards, access to legal aid and complaints, and accountability for abuse allegations connected to border and policing practices. </w:t>
      </w:r>
    </w:p>
    <w:p w14:paraId="5CBA91F8" w14:textId="6C6DFBFE" w:rsidR="00FD0921" w:rsidRPr="00FD0921" w:rsidRDefault="00FD0921" w:rsidP="00FD0921">
      <w:pPr>
        <w:numPr>
          <w:ilvl w:val="0"/>
          <w:numId w:val="35"/>
        </w:num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b/>
          <w:bCs/>
          <w:kern w:val="0"/>
          <w14:ligatures w14:val="none"/>
        </w:rPr>
        <w:t>Strengthen effective remedies under article 6</w:t>
      </w:r>
      <w:r w:rsidRPr="00FD0921">
        <w:rPr>
          <w:rFonts w:ascii="Times New Roman" w:eastAsia="Times New Roman" w:hAnsi="Times New Roman" w:cs="Times New Roman"/>
          <w:kern w:val="0"/>
          <w14:ligatures w14:val="none"/>
        </w:rPr>
        <w:t xml:space="preserve">, including accessible legal aid, protection against reprisals, and enforceable compensation where discrimination is established. </w:t>
      </w:r>
    </w:p>
    <w:p w14:paraId="7C7EBF8A" w14:textId="526923D4" w:rsidR="00FD0921" w:rsidRPr="00FD0921" w:rsidRDefault="00FD0921" w:rsidP="00FD0921">
      <w:pPr>
        <w:bidi w:val="0"/>
        <w:spacing w:after="0" w:line="240" w:lineRule="auto"/>
        <w:jc w:val="both"/>
        <w:rPr>
          <w:rFonts w:ascii="Times New Roman" w:eastAsia="Times New Roman" w:hAnsi="Times New Roman" w:cs="Times New Roman"/>
          <w:kern w:val="0"/>
          <w14:ligatures w14:val="none"/>
        </w:rPr>
      </w:pPr>
    </w:p>
    <w:p w14:paraId="25871948" w14:textId="77777777" w:rsidR="00FD0921" w:rsidRPr="00FD0921" w:rsidRDefault="00FD0921" w:rsidP="00FD0921">
      <w:pPr>
        <w:bidi w:val="0"/>
        <w:spacing w:before="100" w:beforeAutospacing="1" w:after="100" w:afterAutospacing="1" w:line="240" w:lineRule="auto"/>
        <w:jc w:val="both"/>
        <w:outlineLvl w:val="1"/>
        <w:rPr>
          <w:rFonts w:ascii="Times New Roman" w:eastAsia="Times New Roman" w:hAnsi="Times New Roman" w:cs="Times New Roman"/>
          <w:b/>
          <w:bCs/>
          <w:kern w:val="0"/>
          <w:sz w:val="36"/>
          <w:szCs w:val="36"/>
          <w14:ligatures w14:val="none"/>
        </w:rPr>
      </w:pPr>
      <w:r w:rsidRPr="00FD0921">
        <w:rPr>
          <w:rFonts w:ascii="Times New Roman" w:eastAsia="Times New Roman" w:hAnsi="Times New Roman" w:cs="Times New Roman"/>
          <w:b/>
          <w:bCs/>
          <w:kern w:val="0"/>
          <w:sz w:val="36"/>
          <w:szCs w:val="36"/>
          <w14:ligatures w14:val="none"/>
        </w:rPr>
        <w:t>6. Concluding Statement</w:t>
      </w:r>
    </w:p>
    <w:p w14:paraId="4B025FAE" w14:textId="31AC0DCE" w:rsidR="00FD0921" w:rsidRPr="00FD0921" w:rsidRDefault="00FD0921" w:rsidP="00FD0921">
      <w:pPr>
        <w:bidi w:val="0"/>
        <w:spacing w:before="100" w:beforeAutospacing="1" w:after="100" w:afterAutospacing="1" w:line="240" w:lineRule="auto"/>
        <w:jc w:val="both"/>
        <w:rPr>
          <w:rFonts w:ascii="Times New Roman" w:eastAsia="Times New Roman" w:hAnsi="Times New Roman" w:cs="Times New Roman"/>
          <w:kern w:val="0"/>
          <w14:ligatures w14:val="none"/>
        </w:rPr>
      </w:pPr>
      <w:r w:rsidRPr="00FD0921">
        <w:rPr>
          <w:rFonts w:ascii="Times New Roman" w:eastAsia="Times New Roman" w:hAnsi="Times New Roman" w:cs="Times New Roman"/>
          <w:kern w:val="0"/>
          <w14:ligatures w14:val="none"/>
        </w:rPr>
        <w:t>Serbia’s compliance cannot be assessed on the existence of laws and strategies alone. CERD should require Serbia to demonstrate, with verified data and enforceable measures, that discrimination against Roma is being dismantled in practice, hate speech and hate crime are prosecuted effectively, and migrants and asylum seekers are protected from xenophobia and discriminatory treatment with accessible remedies.</w:t>
      </w:r>
    </w:p>
    <w:p w14:paraId="341746A1" w14:textId="1F234DF9" w:rsidR="007142EA" w:rsidRPr="00FD0921" w:rsidRDefault="007142EA" w:rsidP="00FD0921">
      <w:pPr>
        <w:jc w:val="both"/>
        <w:rPr>
          <w:rFonts w:hint="cs"/>
          <w:rtl/>
        </w:rPr>
      </w:pPr>
    </w:p>
    <w:sectPr w:rsidR="007142EA" w:rsidRPr="00FD0921" w:rsidSect="00FD0921">
      <w:pgSz w:w="11906" w:h="16838"/>
      <w:pgMar w:top="993" w:right="1133" w:bottom="1135" w:left="1418"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46CED"/>
    <w:multiLevelType w:val="multilevel"/>
    <w:tmpl w:val="15E0B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6921DB"/>
    <w:multiLevelType w:val="multilevel"/>
    <w:tmpl w:val="EF46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B6F03"/>
    <w:multiLevelType w:val="multilevel"/>
    <w:tmpl w:val="48F68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D17B2"/>
    <w:multiLevelType w:val="multilevel"/>
    <w:tmpl w:val="8886FE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A7410D"/>
    <w:multiLevelType w:val="multilevel"/>
    <w:tmpl w:val="9BA81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040B0F"/>
    <w:multiLevelType w:val="multilevel"/>
    <w:tmpl w:val="F6D02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E0364"/>
    <w:multiLevelType w:val="multilevel"/>
    <w:tmpl w:val="6F408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312866"/>
    <w:multiLevelType w:val="multilevel"/>
    <w:tmpl w:val="F23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5D2DB4"/>
    <w:multiLevelType w:val="multilevel"/>
    <w:tmpl w:val="1A08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277707"/>
    <w:multiLevelType w:val="multilevel"/>
    <w:tmpl w:val="46BE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E97FCE"/>
    <w:multiLevelType w:val="multilevel"/>
    <w:tmpl w:val="B736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2E587F"/>
    <w:multiLevelType w:val="multilevel"/>
    <w:tmpl w:val="7EB6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3E6B29"/>
    <w:multiLevelType w:val="multilevel"/>
    <w:tmpl w:val="B8900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A25ABF"/>
    <w:multiLevelType w:val="multilevel"/>
    <w:tmpl w:val="26B2F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0B008D"/>
    <w:multiLevelType w:val="multilevel"/>
    <w:tmpl w:val="7EAE6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AA33F3"/>
    <w:multiLevelType w:val="multilevel"/>
    <w:tmpl w:val="7178A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1E6818"/>
    <w:multiLevelType w:val="multilevel"/>
    <w:tmpl w:val="44525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627957"/>
    <w:multiLevelType w:val="multilevel"/>
    <w:tmpl w:val="A43C13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6B6256"/>
    <w:multiLevelType w:val="multilevel"/>
    <w:tmpl w:val="AAEA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E1480C"/>
    <w:multiLevelType w:val="multilevel"/>
    <w:tmpl w:val="6CFA2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401176"/>
    <w:multiLevelType w:val="multilevel"/>
    <w:tmpl w:val="43A20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127A76"/>
    <w:multiLevelType w:val="multilevel"/>
    <w:tmpl w:val="C512C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5128D7"/>
    <w:multiLevelType w:val="multilevel"/>
    <w:tmpl w:val="D00E4B8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C60821"/>
    <w:multiLevelType w:val="multilevel"/>
    <w:tmpl w:val="0A84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7C452C"/>
    <w:multiLevelType w:val="multilevel"/>
    <w:tmpl w:val="EC7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0F5028"/>
    <w:multiLevelType w:val="multilevel"/>
    <w:tmpl w:val="3C862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DC0EFF"/>
    <w:multiLevelType w:val="multilevel"/>
    <w:tmpl w:val="DBEEF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677DCF"/>
    <w:multiLevelType w:val="multilevel"/>
    <w:tmpl w:val="9AF0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9D322C"/>
    <w:multiLevelType w:val="multilevel"/>
    <w:tmpl w:val="02E4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9565A4"/>
    <w:multiLevelType w:val="multilevel"/>
    <w:tmpl w:val="2EB41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B66863"/>
    <w:multiLevelType w:val="multilevel"/>
    <w:tmpl w:val="DA34A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C8067B"/>
    <w:multiLevelType w:val="multilevel"/>
    <w:tmpl w:val="99D2A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E05DA0"/>
    <w:multiLevelType w:val="multilevel"/>
    <w:tmpl w:val="17265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8982AA3"/>
    <w:multiLevelType w:val="multilevel"/>
    <w:tmpl w:val="F4AAA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597E36"/>
    <w:multiLevelType w:val="multilevel"/>
    <w:tmpl w:val="582CF1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9041704">
    <w:abstractNumId w:val="25"/>
  </w:num>
  <w:num w:numId="2" w16cid:durableId="778337087">
    <w:abstractNumId w:val="28"/>
  </w:num>
  <w:num w:numId="3" w16cid:durableId="113670822">
    <w:abstractNumId w:val="31"/>
  </w:num>
  <w:num w:numId="4" w16cid:durableId="31156994">
    <w:abstractNumId w:val="2"/>
  </w:num>
  <w:num w:numId="5" w16cid:durableId="798111680">
    <w:abstractNumId w:val="1"/>
  </w:num>
  <w:num w:numId="6" w16cid:durableId="366493120">
    <w:abstractNumId w:val="5"/>
  </w:num>
  <w:num w:numId="7" w16cid:durableId="693309723">
    <w:abstractNumId w:val="12"/>
  </w:num>
  <w:num w:numId="8" w16cid:durableId="1190296017">
    <w:abstractNumId w:val="27"/>
  </w:num>
  <w:num w:numId="9" w16cid:durableId="2033988484">
    <w:abstractNumId w:val="9"/>
  </w:num>
  <w:num w:numId="10" w16cid:durableId="356974919">
    <w:abstractNumId w:val="3"/>
  </w:num>
  <w:num w:numId="11" w16cid:durableId="617026886">
    <w:abstractNumId w:val="18"/>
  </w:num>
  <w:num w:numId="12" w16cid:durableId="1279604833">
    <w:abstractNumId w:val="26"/>
  </w:num>
  <w:num w:numId="13" w16cid:durableId="1998849284">
    <w:abstractNumId w:val="4"/>
  </w:num>
  <w:num w:numId="14" w16cid:durableId="990141076">
    <w:abstractNumId w:val="6"/>
  </w:num>
  <w:num w:numId="15" w16cid:durableId="1168714505">
    <w:abstractNumId w:val="15"/>
  </w:num>
  <w:num w:numId="16" w16cid:durableId="433522421">
    <w:abstractNumId w:val="16"/>
  </w:num>
  <w:num w:numId="17" w16cid:durableId="687567097">
    <w:abstractNumId w:val="7"/>
  </w:num>
  <w:num w:numId="18" w16cid:durableId="537200598">
    <w:abstractNumId w:val="24"/>
  </w:num>
  <w:num w:numId="19" w16cid:durableId="52513173">
    <w:abstractNumId w:val="23"/>
  </w:num>
  <w:num w:numId="20" w16cid:durableId="940262377">
    <w:abstractNumId w:val="10"/>
  </w:num>
  <w:num w:numId="21" w16cid:durableId="280772896">
    <w:abstractNumId w:val="33"/>
  </w:num>
  <w:num w:numId="22" w16cid:durableId="608660124">
    <w:abstractNumId w:val="13"/>
  </w:num>
  <w:num w:numId="23" w16cid:durableId="1045522500">
    <w:abstractNumId w:val="14"/>
  </w:num>
  <w:num w:numId="24" w16cid:durableId="703406957">
    <w:abstractNumId w:val="19"/>
  </w:num>
  <w:num w:numId="25" w16cid:durableId="499974222">
    <w:abstractNumId w:val="0"/>
  </w:num>
  <w:num w:numId="26" w16cid:durableId="896668856">
    <w:abstractNumId w:val="30"/>
  </w:num>
  <w:num w:numId="27" w16cid:durableId="284118385">
    <w:abstractNumId w:val="8"/>
  </w:num>
  <w:num w:numId="28" w16cid:durableId="1977295896">
    <w:abstractNumId w:val="21"/>
  </w:num>
  <w:num w:numId="29" w16cid:durableId="688796599">
    <w:abstractNumId w:val="29"/>
  </w:num>
  <w:num w:numId="30" w16cid:durableId="855313136">
    <w:abstractNumId w:val="11"/>
  </w:num>
  <w:num w:numId="31" w16cid:durableId="60563592">
    <w:abstractNumId w:val="20"/>
  </w:num>
  <w:num w:numId="32" w16cid:durableId="1770850664">
    <w:abstractNumId w:val="17"/>
  </w:num>
  <w:num w:numId="33" w16cid:durableId="1385713030">
    <w:abstractNumId w:val="34"/>
  </w:num>
  <w:num w:numId="34" w16cid:durableId="1515537391">
    <w:abstractNumId w:val="22"/>
  </w:num>
  <w:num w:numId="35" w16cid:durableId="145158519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2EA"/>
    <w:rsid w:val="000A36A1"/>
    <w:rsid w:val="00265417"/>
    <w:rsid w:val="00312D97"/>
    <w:rsid w:val="007142EA"/>
    <w:rsid w:val="00825B48"/>
    <w:rsid w:val="00AD3D4E"/>
    <w:rsid w:val="00FD09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CB04A"/>
  <w15:chartTrackingRefBased/>
  <w15:docId w15:val="{C222C5BD-7213-46C0-9D2D-8070AAC50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142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7142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7142EA"/>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142EA"/>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142EA"/>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142E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142E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142E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142E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142EA"/>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7142E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7142EA"/>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142EA"/>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142EA"/>
    <w:rPr>
      <w:rFonts w:eastAsiaTheme="majorEastAsia" w:cstheme="majorBidi"/>
      <w:color w:val="2F5496" w:themeColor="accent1" w:themeShade="BF"/>
    </w:rPr>
  </w:style>
  <w:style w:type="character" w:customStyle="1" w:styleId="6Char">
    <w:name w:val="عنوان 6 Char"/>
    <w:basedOn w:val="a0"/>
    <w:link w:val="6"/>
    <w:uiPriority w:val="9"/>
    <w:semiHidden/>
    <w:rsid w:val="007142EA"/>
    <w:rPr>
      <w:rFonts w:eastAsiaTheme="majorEastAsia" w:cstheme="majorBidi"/>
      <w:i/>
      <w:iCs/>
      <w:color w:val="595959" w:themeColor="text1" w:themeTint="A6"/>
    </w:rPr>
  </w:style>
  <w:style w:type="character" w:customStyle="1" w:styleId="7Char">
    <w:name w:val="عنوان 7 Char"/>
    <w:basedOn w:val="a0"/>
    <w:link w:val="7"/>
    <w:uiPriority w:val="9"/>
    <w:semiHidden/>
    <w:rsid w:val="007142EA"/>
    <w:rPr>
      <w:rFonts w:eastAsiaTheme="majorEastAsia" w:cstheme="majorBidi"/>
      <w:color w:val="595959" w:themeColor="text1" w:themeTint="A6"/>
    </w:rPr>
  </w:style>
  <w:style w:type="character" w:customStyle="1" w:styleId="8Char">
    <w:name w:val="عنوان 8 Char"/>
    <w:basedOn w:val="a0"/>
    <w:link w:val="8"/>
    <w:uiPriority w:val="9"/>
    <w:semiHidden/>
    <w:rsid w:val="007142EA"/>
    <w:rPr>
      <w:rFonts w:eastAsiaTheme="majorEastAsia" w:cstheme="majorBidi"/>
      <w:i/>
      <w:iCs/>
      <w:color w:val="272727" w:themeColor="text1" w:themeTint="D8"/>
    </w:rPr>
  </w:style>
  <w:style w:type="character" w:customStyle="1" w:styleId="9Char">
    <w:name w:val="عنوان 9 Char"/>
    <w:basedOn w:val="a0"/>
    <w:link w:val="9"/>
    <w:uiPriority w:val="9"/>
    <w:semiHidden/>
    <w:rsid w:val="007142EA"/>
    <w:rPr>
      <w:rFonts w:eastAsiaTheme="majorEastAsia" w:cstheme="majorBidi"/>
      <w:color w:val="272727" w:themeColor="text1" w:themeTint="D8"/>
    </w:rPr>
  </w:style>
  <w:style w:type="paragraph" w:styleId="a3">
    <w:name w:val="Title"/>
    <w:basedOn w:val="a"/>
    <w:next w:val="a"/>
    <w:link w:val="Char"/>
    <w:uiPriority w:val="10"/>
    <w:qFormat/>
    <w:rsid w:val="007142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142E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142EA"/>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142E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142EA"/>
    <w:pPr>
      <w:spacing w:before="160"/>
      <w:jc w:val="center"/>
    </w:pPr>
    <w:rPr>
      <w:i/>
      <w:iCs/>
      <w:color w:val="404040" w:themeColor="text1" w:themeTint="BF"/>
    </w:rPr>
  </w:style>
  <w:style w:type="character" w:customStyle="1" w:styleId="Char1">
    <w:name w:val="اقتباس Char"/>
    <w:basedOn w:val="a0"/>
    <w:link w:val="a5"/>
    <w:uiPriority w:val="29"/>
    <w:rsid w:val="007142EA"/>
    <w:rPr>
      <w:i/>
      <w:iCs/>
      <w:color w:val="404040" w:themeColor="text1" w:themeTint="BF"/>
    </w:rPr>
  </w:style>
  <w:style w:type="paragraph" w:styleId="a6">
    <w:name w:val="List Paragraph"/>
    <w:basedOn w:val="a"/>
    <w:uiPriority w:val="34"/>
    <w:qFormat/>
    <w:rsid w:val="007142EA"/>
    <w:pPr>
      <w:ind w:left="720"/>
      <w:contextualSpacing/>
    </w:pPr>
  </w:style>
  <w:style w:type="character" w:styleId="a7">
    <w:name w:val="Intense Emphasis"/>
    <w:basedOn w:val="a0"/>
    <w:uiPriority w:val="21"/>
    <w:qFormat/>
    <w:rsid w:val="007142EA"/>
    <w:rPr>
      <w:i/>
      <w:iCs/>
      <w:color w:val="2F5496" w:themeColor="accent1" w:themeShade="BF"/>
    </w:rPr>
  </w:style>
  <w:style w:type="paragraph" w:styleId="a8">
    <w:name w:val="Intense Quote"/>
    <w:basedOn w:val="a"/>
    <w:next w:val="a"/>
    <w:link w:val="Char2"/>
    <w:uiPriority w:val="30"/>
    <w:qFormat/>
    <w:rsid w:val="007142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142EA"/>
    <w:rPr>
      <w:i/>
      <w:iCs/>
      <w:color w:val="2F5496" w:themeColor="accent1" w:themeShade="BF"/>
    </w:rPr>
  </w:style>
  <w:style w:type="character" w:styleId="a9">
    <w:name w:val="Intense Reference"/>
    <w:basedOn w:val="a0"/>
    <w:uiPriority w:val="32"/>
    <w:qFormat/>
    <w:rsid w:val="007142EA"/>
    <w:rPr>
      <w:b/>
      <w:bCs/>
      <w:smallCaps/>
      <w:color w:val="2F5496" w:themeColor="accent1" w:themeShade="BF"/>
      <w:spacing w:val="5"/>
    </w:rPr>
  </w:style>
  <w:style w:type="paragraph" w:styleId="aa">
    <w:name w:val="No Spacing"/>
    <w:uiPriority w:val="1"/>
    <w:qFormat/>
    <w:rsid w:val="00FD0921"/>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idl.eu/" TargetMode="External"/><Relationship Id="rId5" Type="http://schemas.openxmlformats.org/officeDocument/2006/relationships/hyperlink" Target="mailto:AIDL@AIDL.EU"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1323</Words>
  <Characters>7544</Characters>
  <Application>Microsoft Office Word</Application>
  <DocSecurity>0</DocSecurity>
  <Lines>62</Lines>
  <Paragraphs>17</Paragraphs>
  <ScaleCrop>false</ScaleCrop>
  <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ALLIANCE INTERNATIONALE AIDL</dc:creator>
  <cp:keywords/>
  <dc:description/>
  <cp:lastModifiedBy>ALLIANCE INTERNATIONALE AIDL</cp:lastModifiedBy>
  <cp:revision>3</cp:revision>
  <dcterms:created xsi:type="dcterms:W3CDTF">2026-01-18T13:12:00Z</dcterms:created>
  <dcterms:modified xsi:type="dcterms:W3CDTF">2026-01-18T14:36:00Z</dcterms:modified>
</cp:coreProperties>
</file>