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9E" w:rsidRDefault="0060529E">
      <w:pPr>
        <w:pStyle w:val="BodyA"/>
        <w:spacing w:after="0" w:line="240" w:lineRule="auto"/>
      </w:pPr>
      <w:bookmarkStart w:id="0" w:name="_Hlk99561979"/>
      <w:bookmarkStart w:id="1" w:name="_GoBack"/>
      <w:bookmarkEnd w:id="1"/>
    </w:p>
    <w:p w:rsidR="0060529E" w:rsidRDefault="00AD1DC6">
      <w:pPr>
        <w:pStyle w:val="BodyA"/>
        <w:spacing w:after="0" w:line="240" w:lineRule="auto"/>
        <w:jc w:val="right"/>
      </w:pPr>
      <w:r>
        <w:rPr>
          <w:rFonts w:ascii="Times New Roman" w:hAnsi="Times New Roman"/>
          <w:b/>
          <w:bCs/>
          <w:noProof/>
          <w:sz w:val="32"/>
          <w:szCs w:val="32"/>
          <w:lang w:val="en-GB"/>
        </w:rPr>
        <w:drawing>
          <wp:inline distT="0" distB="0" distL="0" distR="0">
            <wp:extent cx="1694815" cy="153035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7">
                      <a:extLst/>
                    </a:blip>
                    <a:stretch>
                      <a:fillRect/>
                    </a:stretch>
                  </pic:blipFill>
                  <pic:spPr>
                    <a:xfrm>
                      <a:off x="0" y="0"/>
                      <a:ext cx="1694815" cy="1530350"/>
                    </a:xfrm>
                    <a:prstGeom prst="rect">
                      <a:avLst/>
                    </a:prstGeom>
                    <a:ln w="12700" cap="flat">
                      <a:noFill/>
                      <a:miter lim="400000"/>
                    </a:ln>
                    <a:effectLst/>
                  </pic:spPr>
                </pic:pic>
              </a:graphicData>
            </a:graphic>
          </wp:inline>
        </w:drawing>
      </w:r>
      <w:r>
        <w:rPr>
          <w:b/>
          <w:bCs/>
          <w:sz w:val="32"/>
          <w:szCs w:val="32"/>
        </w:rPr>
        <w:t xml:space="preserve">                </w:t>
      </w:r>
      <w:r>
        <w:rPr>
          <w:rFonts w:ascii="Times New Roman" w:eastAsia="Times New Roman" w:hAnsi="Times New Roman" w:cs="Times New Roman"/>
          <w:b/>
          <w:bCs/>
          <w:noProof/>
          <w:sz w:val="32"/>
          <w:szCs w:val="32"/>
          <w:lang w:val="en-GB"/>
        </w:rPr>
        <w:drawing>
          <wp:inline distT="0" distB="0" distL="0" distR="0">
            <wp:extent cx="2828925" cy="1731645"/>
            <wp:effectExtent l="0" t="0" r="0" b="0"/>
            <wp:docPr id="1073741826" name="officeArt object" descr="Picture 3"/>
            <wp:cNvGraphicFramePr/>
            <a:graphic xmlns:a="http://schemas.openxmlformats.org/drawingml/2006/main">
              <a:graphicData uri="http://schemas.openxmlformats.org/drawingml/2006/picture">
                <pic:pic xmlns:pic="http://schemas.openxmlformats.org/drawingml/2006/picture">
                  <pic:nvPicPr>
                    <pic:cNvPr id="1073741826" name="Picture 3" descr="Picture 3"/>
                    <pic:cNvPicPr>
                      <a:picLocks noChangeAspect="1"/>
                    </pic:cNvPicPr>
                  </pic:nvPicPr>
                  <pic:blipFill>
                    <a:blip r:embed="rId8">
                      <a:extLst/>
                    </a:blip>
                    <a:stretch>
                      <a:fillRect/>
                    </a:stretch>
                  </pic:blipFill>
                  <pic:spPr>
                    <a:xfrm>
                      <a:off x="0" y="0"/>
                      <a:ext cx="2828925" cy="1731645"/>
                    </a:xfrm>
                    <a:prstGeom prst="rect">
                      <a:avLst/>
                    </a:prstGeom>
                    <a:ln w="12700" cap="flat">
                      <a:noFill/>
                      <a:miter lim="400000"/>
                    </a:ln>
                    <a:effectLst/>
                  </pic:spPr>
                </pic:pic>
              </a:graphicData>
            </a:graphic>
          </wp:inline>
        </w:drawing>
      </w:r>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AD1DC6">
      <w:pPr>
        <w:pStyle w:val="BodyA"/>
        <w:spacing w:after="0" w:line="240" w:lineRule="auto"/>
        <w:jc w:val="both"/>
      </w:pPr>
      <w:r>
        <w:rPr>
          <w:b/>
          <w:bCs/>
          <w:sz w:val="32"/>
          <w:szCs w:val="32"/>
        </w:rPr>
        <w:t>ALTERNATIVE REPORT IN RESPONSE TO THE THIRD PERIODIC REPORT BY KENYA TO THE COMMITTEE AGAINST TORTURE AND OTHER CRUEL, INHUMAN OR DEGRADING TREATMENT OR PUNISHMENT (2014-2020)</w:t>
      </w:r>
    </w:p>
    <w:p w:rsidR="0060529E" w:rsidRDefault="0060529E">
      <w:pPr>
        <w:pStyle w:val="BodyA"/>
        <w:spacing w:after="0" w:line="240" w:lineRule="auto"/>
      </w:pPr>
    </w:p>
    <w:p w:rsidR="0060529E" w:rsidRDefault="00AD1DC6">
      <w:pPr>
        <w:pStyle w:val="BodyA"/>
        <w:spacing w:after="0" w:line="240" w:lineRule="auto"/>
      </w:pPr>
      <w:r>
        <w:rPr>
          <w:b/>
          <w:bCs/>
          <w:sz w:val="28"/>
          <w:szCs w:val="28"/>
        </w:rPr>
        <w:t>Prepared by:</w:t>
      </w:r>
    </w:p>
    <w:p w:rsidR="0060529E" w:rsidRDefault="0060529E">
      <w:pPr>
        <w:pStyle w:val="BodyA"/>
        <w:spacing w:after="0" w:line="240" w:lineRule="auto"/>
      </w:pPr>
    </w:p>
    <w:p w:rsidR="0060529E" w:rsidRDefault="00AD1DC6">
      <w:pPr>
        <w:pStyle w:val="BodyA"/>
        <w:spacing w:after="0" w:line="240" w:lineRule="auto"/>
      </w:pPr>
      <w:r>
        <w:rPr>
          <w:b/>
          <w:bCs/>
          <w:sz w:val="28"/>
          <w:szCs w:val="28"/>
        </w:rPr>
        <w:t>Solidarity Centre</w:t>
      </w:r>
    </w:p>
    <w:p w:rsidR="0060529E" w:rsidRDefault="0060529E">
      <w:pPr>
        <w:pStyle w:val="BodyA"/>
        <w:spacing w:after="0" w:line="240" w:lineRule="auto"/>
      </w:pPr>
    </w:p>
    <w:p w:rsidR="0060529E" w:rsidRDefault="00AD1DC6">
      <w:pPr>
        <w:pStyle w:val="BodyA"/>
        <w:spacing w:after="0" w:line="240" w:lineRule="auto"/>
      </w:pPr>
      <w:r>
        <w:rPr>
          <w:b/>
          <w:bCs/>
          <w:sz w:val="28"/>
          <w:szCs w:val="28"/>
        </w:rPr>
        <w:t xml:space="preserve">Africa End Sexual Harassment Initiative (AESHI) </w:t>
      </w:r>
    </w:p>
    <w:p w:rsidR="0060529E" w:rsidRDefault="0060529E">
      <w:pPr>
        <w:pStyle w:val="BodyA"/>
        <w:spacing w:after="0" w:line="240" w:lineRule="auto"/>
      </w:pPr>
    </w:p>
    <w:p w:rsidR="0060529E" w:rsidRDefault="00AD1DC6">
      <w:pPr>
        <w:pStyle w:val="BodyA"/>
        <w:spacing w:after="0" w:line="240" w:lineRule="auto"/>
      </w:pPr>
      <w:r>
        <w:rPr>
          <w:b/>
          <w:bCs/>
          <w:sz w:val="24"/>
          <w:szCs w:val="24"/>
        </w:rPr>
        <w:t>with the support of:</w:t>
      </w:r>
    </w:p>
    <w:p w:rsidR="0060529E" w:rsidRDefault="0060529E">
      <w:pPr>
        <w:pStyle w:val="BodyA"/>
        <w:spacing w:after="0" w:line="240" w:lineRule="auto"/>
      </w:pPr>
    </w:p>
    <w:p w:rsidR="0060529E" w:rsidRDefault="00AD1DC6">
      <w:pPr>
        <w:pStyle w:val="BodyA"/>
        <w:spacing w:after="0" w:line="240" w:lineRule="auto"/>
      </w:pPr>
      <w:r>
        <w:rPr>
          <w:b/>
          <w:bCs/>
          <w:sz w:val="28"/>
          <w:szCs w:val="28"/>
        </w:rPr>
        <w:t>Kenya Unions of Domestic Hotels Educational Institutions and Hospitals &amp; Allied Workers (KUDHEIHA)</w:t>
      </w:r>
    </w:p>
    <w:p w:rsidR="0060529E" w:rsidRDefault="0060529E">
      <w:pPr>
        <w:pStyle w:val="BodyA"/>
        <w:spacing w:after="0" w:line="240" w:lineRule="auto"/>
      </w:pPr>
    </w:p>
    <w:p w:rsidR="0060529E" w:rsidRDefault="00AD1DC6">
      <w:pPr>
        <w:pStyle w:val="BodyA"/>
        <w:spacing w:after="0" w:line="240" w:lineRule="auto"/>
      </w:pPr>
      <w:r>
        <w:rPr>
          <w:b/>
          <w:bCs/>
          <w:sz w:val="28"/>
          <w:szCs w:val="28"/>
        </w:rPr>
        <w:t xml:space="preserve">Central Organization of Trade Unions (COTU) </w:t>
      </w:r>
    </w:p>
    <w:p w:rsidR="0060529E" w:rsidRDefault="0060529E">
      <w:pPr>
        <w:pStyle w:val="BodyA"/>
        <w:spacing w:after="0" w:line="240" w:lineRule="auto"/>
      </w:pPr>
    </w:p>
    <w:p w:rsidR="0060529E" w:rsidRDefault="00AD1DC6">
      <w:pPr>
        <w:pStyle w:val="BodyA"/>
        <w:spacing w:after="0" w:line="240" w:lineRule="auto"/>
      </w:pPr>
      <w:r>
        <w:rPr>
          <w:b/>
          <w:bCs/>
          <w:sz w:val="28"/>
          <w:szCs w:val="28"/>
        </w:rPr>
        <w:t>Albinism Society of Kenya</w:t>
      </w:r>
    </w:p>
    <w:p w:rsidR="0060529E" w:rsidRDefault="0060529E">
      <w:pPr>
        <w:pStyle w:val="BodyA"/>
        <w:spacing w:after="0" w:line="240" w:lineRule="auto"/>
      </w:pPr>
    </w:p>
    <w:p w:rsidR="0060529E" w:rsidRDefault="00AD1DC6">
      <w:pPr>
        <w:pStyle w:val="BodyA"/>
        <w:spacing w:after="0" w:line="240" w:lineRule="auto"/>
      </w:pPr>
      <w:r>
        <w:rPr>
          <w:b/>
          <w:bCs/>
          <w:sz w:val="28"/>
          <w:szCs w:val="28"/>
        </w:rPr>
        <w:t>Flone Initi</w:t>
      </w:r>
      <w:r>
        <w:rPr>
          <w:b/>
          <w:bCs/>
          <w:sz w:val="28"/>
          <w:szCs w:val="28"/>
        </w:rPr>
        <w:t>ative</w:t>
      </w:r>
    </w:p>
    <w:p w:rsidR="0060529E" w:rsidRDefault="0060529E">
      <w:pPr>
        <w:pStyle w:val="BodyA"/>
        <w:spacing w:after="0" w:line="240" w:lineRule="auto"/>
      </w:pPr>
    </w:p>
    <w:p w:rsidR="0060529E" w:rsidRDefault="00AD1DC6">
      <w:pPr>
        <w:pStyle w:val="BodyA"/>
        <w:spacing w:after="0" w:line="240" w:lineRule="auto"/>
      </w:pPr>
      <w:r>
        <w:rPr>
          <w:b/>
          <w:bCs/>
          <w:sz w:val="28"/>
          <w:szCs w:val="28"/>
        </w:rPr>
        <w:t>Chuka University Faculty of Law Advocacy Clinic</w:t>
      </w:r>
    </w:p>
    <w:p w:rsidR="0060529E" w:rsidRDefault="0060529E">
      <w:pPr>
        <w:pStyle w:val="BodyA"/>
        <w:spacing w:after="0" w:line="240" w:lineRule="auto"/>
      </w:pPr>
    </w:p>
    <w:p w:rsidR="0060529E" w:rsidRDefault="00AD1DC6">
      <w:pPr>
        <w:pStyle w:val="BodyA"/>
        <w:spacing w:after="0" w:line="240" w:lineRule="auto"/>
      </w:pPr>
      <w:r>
        <w:rPr>
          <w:b/>
          <w:bCs/>
          <w:sz w:val="28"/>
          <w:szCs w:val="28"/>
        </w:rPr>
        <w:t>Political Feminism Working Group</w:t>
      </w:r>
    </w:p>
    <w:p w:rsidR="0060529E" w:rsidRDefault="00AD1DC6">
      <w:pPr>
        <w:pStyle w:val="BodyA"/>
        <w:keepNext/>
        <w:keepLines/>
        <w:jc w:val="both"/>
        <w:outlineLvl w:val="0"/>
      </w:pPr>
      <w:r>
        <w:rPr>
          <w:b/>
          <w:bCs/>
        </w:rPr>
        <w:t> </w:t>
      </w:r>
      <w:bookmarkEnd w:id="0"/>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60529E">
      <w:pPr>
        <w:pStyle w:val="BodyA"/>
        <w:spacing w:after="0" w:line="240" w:lineRule="auto"/>
        <w:jc w:val="both"/>
      </w:pPr>
    </w:p>
    <w:p w:rsidR="0060529E" w:rsidRDefault="00AD1DC6">
      <w:pPr>
        <w:pStyle w:val="BodyA"/>
        <w:spacing w:after="0" w:line="240" w:lineRule="auto"/>
        <w:jc w:val="both"/>
      </w:pPr>
      <w:r>
        <w:rPr>
          <w:b/>
          <w:bCs/>
          <w:sz w:val="24"/>
          <w:szCs w:val="24"/>
        </w:rPr>
        <w:t>Introduction</w:t>
      </w:r>
    </w:p>
    <w:p w:rsidR="0060529E" w:rsidRDefault="00AD1DC6">
      <w:pPr>
        <w:pStyle w:val="BodyA"/>
        <w:spacing w:after="0" w:line="240" w:lineRule="auto"/>
        <w:jc w:val="both"/>
      </w:pPr>
      <w:r>
        <w:rPr>
          <w:rFonts w:ascii="Times New Roman" w:hAnsi="Times New Roman"/>
          <w:sz w:val="24"/>
          <w:szCs w:val="24"/>
        </w:rPr>
        <w:t xml:space="preserve">This alternate report argues that Kenya falls short of fulfilling its obligations under the United Nations Convention against Torture (CAT) with </w:t>
      </w:r>
      <w:r>
        <w:rPr>
          <w:rFonts w:ascii="Times New Roman" w:hAnsi="Times New Roman"/>
          <w:sz w:val="24"/>
          <w:szCs w:val="24"/>
        </w:rPr>
        <w:t>respect to the prevention, prosecution and punishment of Gender-based Violence and Harassment (GBVH) in the World of Work. GBVH is prevalent in the domestic work sector and rooted in long-standing systems of intersectional discrimination on the basis of ra</w:t>
      </w:r>
      <w:r>
        <w:rPr>
          <w:rFonts w:ascii="Times New Roman" w:hAnsi="Times New Roman"/>
          <w:sz w:val="24"/>
          <w:szCs w:val="24"/>
        </w:rPr>
        <w:t>ce, class and gender. The historic and, to some extent, current lack of adequate regulation of domestic work arguably constitutes a form of structural discrimination, which renders sector specific needs invisible.</w:t>
      </w:r>
    </w:p>
    <w:p w:rsidR="0060529E" w:rsidRDefault="0060529E">
      <w:pPr>
        <w:pStyle w:val="BodyA"/>
        <w:spacing w:after="0" w:line="240" w:lineRule="auto"/>
        <w:jc w:val="both"/>
      </w:pPr>
    </w:p>
    <w:p w:rsidR="0060529E" w:rsidRDefault="00AD1DC6">
      <w:pPr>
        <w:pStyle w:val="BodyA"/>
        <w:spacing w:after="0" w:line="240" w:lineRule="auto"/>
        <w:jc w:val="both"/>
      </w:pPr>
      <w:r>
        <w:rPr>
          <w:rFonts w:ascii="Times New Roman" w:hAnsi="Times New Roman"/>
          <w:sz w:val="24"/>
          <w:szCs w:val="24"/>
        </w:rPr>
        <w:t>Historically, the 2008 report of former S</w:t>
      </w:r>
      <w:r>
        <w:rPr>
          <w:rFonts w:ascii="Times New Roman" w:hAnsi="Times New Roman"/>
          <w:sz w:val="24"/>
          <w:szCs w:val="24"/>
        </w:rPr>
        <w:t>pecial Rapporteur Manfred Nowak began to articulate a gendered conception of torture with reference to the then emerging national global norms on violence against women, including those classifying rape in certain circumstances as acts of torture.</w:t>
      </w:r>
      <w:r>
        <w:rPr>
          <w:rFonts w:ascii="Times New Roman" w:eastAsia="Times New Roman" w:hAnsi="Times New Roman" w:cs="Times New Roman"/>
          <w:sz w:val="24"/>
          <w:szCs w:val="24"/>
          <w:vertAlign w:val="superscript"/>
        </w:rPr>
        <w:footnoteReference w:id="2"/>
      </w:r>
      <w:r>
        <w:rPr>
          <w:rFonts w:ascii="Times New Roman" w:hAnsi="Times New Roman"/>
          <w:sz w:val="24"/>
          <w:szCs w:val="24"/>
        </w:rPr>
        <w:t xml:space="preserve"> We woul</w:t>
      </w:r>
      <w:r>
        <w:rPr>
          <w:rFonts w:ascii="Times New Roman" w:hAnsi="Times New Roman"/>
          <w:sz w:val="24"/>
          <w:szCs w:val="24"/>
        </w:rPr>
        <w:t>d argue, that the passage in 2019 of ILO Convention 190 on Violence and Harassment at Work, including gender-based violence at work, which applies to all workers in both formal and informal economies, represents a critical normative milestone; and that the</w:t>
      </w:r>
      <w:r>
        <w:rPr>
          <w:rFonts w:ascii="Times New Roman" w:hAnsi="Times New Roman"/>
          <w:sz w:val="24"/>
          <w:szCs w:val="24"/>
        </w:rPr>
        <w:t xml:space="preserve"> committee should interpret its provisions on torture and ill-treatment in the world of work, in light of this new standard.</w:t>
      </w:r>
    </w:p>
    <w:p w:rsidR="0060529E" w:rsidRDefault="0060529E">
      <w:pPr>
        <w:pStyle w:val="BodyA"/>
        <w:spacing w:after="0" w:line="240" w:lineRule="auto"/>
        <w:jc w:val="both"/>
      </w:pPr>
    </w:p>
    <w:p w:rsidR="0060529E" w:rsidRDefault="00AD1DC6">
      <w:pPr>
        <w:pStyle w:val="BodyA"/>
        <w:spacing w:after="0" w:line="240" w:lineRule="auto"/>
        <w:jc w:val="both"/>
      </w:pPr>
      <w:r>
        <w:rPr>
          <w:rFonts w:ascii="Times New Roman" w:hAnsi="Times New Roman"/>
          <w:sz w:val="24"/>
          <w:szCs w:val="24"/>
        </w:rPr>
        <w:t xml:space="preserve">Kenyan stakeholders have previously identified the factors rendering workers vulnerable to exploitation and forms of gender-based </w:t>
      </w:r>
      <w:r>
        <w:rPr>
          <w:rFonts w:ascii="Times New Roman" w:hAnsi="Times New Roman"/>
          <w:sz w:val="24"/>
          <w:szCs w:val="24"/>
        </w:rPr>
        <w:t>violence, which include:  widespread, but under-reported sexual harassment, with women being the majority of victims; a low level of awareness of labour rights among workers (mostly women in low income or low skilled jobs) and employers; the absence of eff</w:t>
      </w:r>
      <w:r>
        <w:rPr>
          <w:rFonts w:ascii="Times New Roman" w:hAnsi="Times New Roman"/>
          <w:sz w:val="24"/>
          <w:szCs w:val="24"/>
        </w:rPr>
        <w:t>ective regulation of recruitment agencies for migrant workers; no publicly available statistics disaggregated by sex and other vulnerabilities that could be useful in addressing sex and other forms of discrimination in the workplace; and, the absence of ef</w:t>
      </w:r>
      <w:r>
        <w:rPr>
          <w:rFonts w:ascii="Times New Roman" w:hAnsi="Times New Roman"/>
          <w:sz w:val="24"/>
          <w:szCs w:val="24"/>
        </w:rPr>
        <w:t>fective remedies for victims of labour-related grievances, coupled with a  weak enforcement mechanism, including an inadequate number of state labour inspectors and ineffective operational level grievance mechanisms.</w:t>
      </w:r>
      <w:r>
        <w:rPr>
          <w:rFonts w:ascii="Times New Roman" w:eastAsia="Times New Roman" w:hAnsi="Times New Roman" w:cs="Times New Roman"/>
          <w:sz w:val="24"/>
          <w:szCs w:val="24"/>
          <w:vertAlign w:val="superscript"/>
        </w:rPr>
        <w:footnoteReference w:id="3"/>
      </w:r>
    </w:p>
    <w:p w:rsidR="0060529E" w:rsidRDefault="0060529E">
      <w:pPr>
        <w:pStyle w:val="BodyA"/>
        <w:spacing w:after="0" w:line="240" w:lineRule="auto"/>
        <w:ind w:left="360"/>
        <w:jc w:val="both"/>
      </w:pPr>
    </w:p>
    <w:p w:rsidR="0060529E" w:rsidRDefault="00AD1DC6">
      <w:pPr>
        <w:pStyle w:val="BodyA"/>
        <w:spacing w:after="0" w:line="240" w:lineRule="auto"/>
        <w:jc w:val="both"/>
      </w:pPr>
      <w:r>
        <w:rPr>
          <w:rStyle w:val="None"/>
          <w:rFonts w:ascii="Times New Roman" w:hAnsi="Times New Roman"/>
          <w:sz w:val="24"/>
          <w:szCs w:val="24"/>
        </w:rPr>
        <w:t xml:space="preserve">This report focuses on domestic </w:t>
      </w:r>
      <w:r>
        <w:rPr>
          <w:rStyle w:val="None"/>
          <w:rFonts w:ascii="Times New Roman" w:hAnsi="Times New Roman"/>
          <w:sz w:val="24"/>
          <w:szCs w:val="24"/>
        </w:rPr>
        <w:t>workers for multiple reasons; they face a greater risk of multiple forms of discrimination and structural marginalization. They are predominately from poor economic backgrounds in the rural areas, and they usually migrate from their villages to the urban c</w:t>
      </w:r>
      <w:r>
        <w:rPr>
          <w:rStyle w:val="None"/>
          <w:rFonts w:ascii="Times New Roman" w:hAnsi="Times New Roman"/>
          <w:sz w:val="24"/>
          <w:szCs w:val="24"/>
        </w:rPr>
        <w:t>entres.</w:t>
      </w:r>
      <w:r>
        <w:rPr>
          <w:rStyle w:val="None"/>
          <w:rFonts w:ascii="Times New Roman" w:eastAsia="Times New Roman" w:hAnsi="Times New Roman" w:cs="Times New Roman"/>
          <w:sz w:val="24"/>
          <w:szCs w:val="24"/>
          <w:vertAlign w:val="superscript"/>
        </w:rPr>
        <w:footnoteReference w:id="4"/>
      </w:r>
      <w:r>
        <w:rPr>
          <w:rStyle w:val="None"/>
          <w:rFonts w:ascii="Times New Roman" w:hAnsi="Times New Roman"/>
          <w:sz w:val="24"/>
          <w:szCs w:val="24"/>
        </w:rPr>
        <w:t xml:space="preserve"> Statistics show that Kenya has more than two million domestic workers out of a population of more than 15 million persons employed in the informal sector,</w:t>
      </w:r>
      <w:r>
        <w:rPr>
          <w:rStyle w:val="None"/>
          <w:rFonts w:ascii="Times New Roman" w:eastAsia="Times New Roman" w:hAnsi="Times New Roman" w:cs="Times New Roman"/>
          <w:sz w:val="24"/>
          <w:szCs w:val="24"/>
          <w:vertAlign w:val="superscript"/>
        </w:rPr>
        <w:footnoteReference w:id="5"/>
      </w:r>
      <w:r>
        <w:rPr>
          <w:rStyle w:val="None"/>
          <w:rFonts w:ascii="Times New Roman" w:hAnsi="Times New Roman"/>
          <w:sz w:val="24"/>
          <w:szCs w:val="24"/>
        </w:rPr>
        <w:t xml:space="preserve"> making them a quantitatively significant sector. Domestic work also has a strong gender dim</w:t>
      </w:r>
      <w:r>
        <w:rPr>
          <w:rStyle w:val="None"/>
          <w:rFonts w:ascii="Times New Roman" w:hAnsi="Times New Roman"/>
          <w:sz w:val="24"/>
          <w:szCs w:val="24"/>
        </w:rPr>
        <w:t xml:space="preserve">ension; the practice of hiring </w:t>
      </w:r>
      <w:r>
        <w:rPr>
          <w:rStyle w:val="None"/>
          <w:rFonts w:ascii="Times New Roman" w:hAnsi="Times New Roman"/>
          <w:sz w:val="24"/>
          <w:szCs w:val="24"/>
        </w:rPr>
        <w:lastRenderedPageBreak/>
        <w:t xml:space="preserve">women for domestic work in Kenya is both historically and currently rooted in its social structure. More specifically, Oxfam research shows that the employment of girls is part of a wider social structure </w:t>
      </w:r>
      <w:r>
        <w:rPr>
          <w:rStyle w:val="None"/>
          <w:rFonts w:ascii="Times New Roman" w:hAnsi="Times New Roman"/>
          <w:sz w:val="24"/>
          <w:szCs w:val="24"/>
        </w:rPr>
        <w:t>“</w:t>
      </w:r>
      <w:r>
        <w:rPr>
          <w:rStyle w:val="None"/>
          <w:rFonts w:ascii="Times New Roman" w:hAnsi="Times New Roman"/>
          <w:sz w:val="24"/>
          <w:szCs w:val="24"/>
        </w:rPr>
        <w:t>institutionalizing</w:t>
      </w:r>
      <w:r>
        <w:rPr>
          <w:rStyle w:val="None"/>
          <w:rFonts w:ascii="Times New Roman" w:hAnsi="Times New Roman"/>
          <w:sz w:val="24"/>
          <w:szCs w:val="24"/>
        </w:rPr>
        <w:t>”</w:t>
      </w:r>
      <w:r>
        <w:rPr>
          <w:rStyle w:val="None"/>
          <w:rFonts w:ascii="Times New Roman" w:hAnsi="Times New Roman"/>
          <w:sz w:val="24"/>
          <w:szCs w:val="24"/>
        </w:rPr>
        <w:t xml:space="preserve"> </w:t>
      </w:r>
      <w:r>
        <w:rPr>
          <w:rStyle w:val="None"/>
          <w:rFonts w:ascii="Times New Roman" w:hAnsi="Times New Roman"/>
          <w:sz w:val="24"/>
          <w:szCs w:val="24"/>
        </w:rPr>
        <w:t>violence against women.</w:t>
      </w:r>
      <w:r>
        <w:rPr>
          <w:rStyle w:val="None"/>
          <w:rFonts w:ascii="Times New Roman" w:eastAsia="Times New Roman" w:hAnsi="Times New Roman" w:cs="Times New Roman"/>
          <w:sz w:val="24"/>
          <w:szCs w:val="24"/>
          <w:vertAlign w:val="superscript"/>
        </w:rPr>
        <w:footnoteReference w:id="6"/>
      </w:r>
      <w:r>
        <w:rPr>
          <w:rStyle w:val="None"/>
          <w:rFonts w:ascii="Times New Roman" w:hAnsi="Times New Roman"/>
          <w:sz w:val="24"/>
          <w:szCs w:val="24"/>
        </w:rPr>
        <w:t xml:space="preserve">  Domestic workers are isolated in homes; and economically dependent, rendering it difficult to voluntarily leave employment and creating legitimate concerns regarding their safety.</w:t>
      </w:r>
    </w:p>
    <w:p w:rsidR="0060529E" w:rsidRDefault="0060529E">
      <w:pPr>
        <w:pStyle w:val="BodyA"/>
        <w:spacing w:after="0" w:line="240" w:lineRule="auto"/>
        <w:jc w:val="both"/>
      </w:pPr>
    </w:p>
    <w:p w:rsidR="0060529E" w:rsidRDefault="00AD1DC6">
      <w:pPr>
        <w:pStyle w:val="BodyA"/>
        <w:numPr>
          <w:ilvl w:val="0"/>
          <w:numId w:val="2"/>
        </w:numPr>
        <w:spacing w:after="0" w:line="240" w:lineRule="auto"/>
        <w:jc w:val="both"/>
        <w:rPr>
          <w:rFonts w:ascii="Times New Roman" w:hAnsi="Times New Roman"/>
          <w:b/>
          <w:bCs/>
          <w:sz w:val="24"/>
          <w:szCs w:val="24"/>
        </w:rPr>
      </w:pPr>
      <w:r>
        <w:rPr>
          <w:rFonts w:ascii="Times New Roman" w:hAnsi="Times New Roman"/>
          <w:b/>
          <w:bCs/>
          <w:sz w:val="24"/>
          <w:szCs w:val="24"/>
        </w:rPr>
        <w:t>DEFINITIONS UNDER ARTICLE 1 OF CAT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Article 1 of</w:t>
      </w:r>
      <w:r>
        <w:rPr>
          <w:rStyle w:val="None"/>
          <w:rFonts w:ascii="Times New Roman" w:hAnsi="Times New Roman"/>
          <w:sz w:val="24"/>
          <w:szCs w:val="24"/>
        </w:rPr>
        <w:t xml:space="preserve"> the CAT states that, </w:t>
      </w:r>
      <w:r>
        <w:rPr>
          <w:rStyle w:val="None"/>
          <w:rFonts w:ascii="Times New Roman" w:hAnsi="Times New Roman"/>
          <w:sz w:val="24"/>
          <w:szCs w:val="24"/>
        </w:rPr>
        <w:t>“</w:t>
      </w:r>
      <w:r>
        <w:rPr>
          <w:rStyle w:val="None"/>
          <w:rFonts w:ascii="Times New Roman" w:hAnsi="Times New Roman"/>
          <w:sz w:val="24"/>
          <w:szCs w:val="24"/>
        </w:rPr>
        <w:t xml:space="preserve">the term </w:t>
      </w:r>
      <w:r>
        <w:rPr>
          <w:rStyle w:val="None"/>
          <w:rFonts w:ascii="Times New Roman" w:hAnsi="Times New Roman"/>
          <w:sz w:val="24"/>
          <w:szCs w:val="24"/>
        </w:rPr>
        <w:t>‘</w:t>
      </w:r>
      <w:r>
        <w:rPr>
          <w:rStyle w:val="None"/>
          <w:rFonts w:ascii="Times New Roman" w:hAnsi="Times New Roman"/>
          <w:sz w:val="24"/>
          <w:szCs w:val="24"/>
        </w:rPr>
        <w:t>torture</w:t>
      </w:r>
      <w:r>
        <w:rPr>
          <w:rStyle w:val="None"/>
          <w:rFonts w:ascii="Times New Roman" w:hAnsi="Times New Roman"/>
          <w:sz w:val="24"/>
          <w:szCs w:val="24"/>
        </w:rPr>
        <w:t xml:space="preserve">’ </w:t>
      </w:r>
      <w:r>
        <w:rPr>
          <w:rStyle w:val="None"/>
          <w:rFonts w:ascii="Times New Roman" w:hAnsi="Times New Roman"/>
          <w:sz w:val="24"/>
          <w:szCs w:val="24"/>
        </w:rPr>
        <w:t xml:space="preserve">means any act by which severe pain or suffering, whether physical or mental, is intentionally inflicted on a person for such purposes as obtaining from him or a third person information or a confession. </w:t>
      </w:r>
      <w:r>
        <w:rPr>
          <w:rStyle w:val="None"/>
          <w:rFonts w:ascii="Times New Roman" w:hAnsi="Times New Roman"/>
          <w:sz w:val="24"/>
          <w:szCs w:val="24"/>
        </w:rPr>
        <w:t xml:space="preserve">… </w:t>
      </w:r>
      <w:r>
        <w:rPr>
          <w:rStyle w:val="None"/>
          <w:rFonts w:ascii="Times New Roman" w:hAnsi="Times New Roman"/>
          <w:sz w:val="24"/>
          <w:szCs w:val="24"/>
        </w:rPr>
        <w:t>or for an</w:t>
      </w:r>
      <w:r>
        <w:rPr>
          <w:rStyle w:val="None"/>
          <w:rFonts w:ascii="Times New Roman" w:hAnsi="Times New Roman"/>
          <w:sz w:val="24"/>
          <w:szCs w:val="24"/>
        </w:rPr>
        <w:t>y reason based on discrimination of any kind, when such pain or suffering is inflicted by or at the instigation of or with the consent or acquiesce of a public official or other person acting in an official capacity</w:t>
      </w:r>
      <w:r>
        <w:rPr>
          <w:rStyle w:val="None"/>
          <w:rFonts w:ascii="Times New Roman" w:hAnsi="Times New Roman"/>
          <w:sz w:val="24"/>
          <w:szCs w:val="24"/>
        </w:rPr>
        <w:t xml:space="preserve">…” </w:t>
      </w:r>
      <w:r>
        <w:rPr>
          <w:rStyle w:val="None"/>
          <w:rFonts w:ascii="Times New Roman" w:hAnsi="Times New Roman"/>
          <w:sz w:val="24"/>
          <w:szCs w:val="24"/>
        </w:rPr>
        <w:t>The core elements in this definition a</w:t>
      </w:r>
      <w:r>
        <w:rPr>
          <w:rStyle w:val="None"/>
          <w:rFonts w:ascii="Times New Roman" w:hAnsi="Times New Roman"/>
          <w:sz w:val="24"/>
          <w:szCs w:val="24"/>
        </w:rPr>
        <w:t>re (1) nature of the act must inflict severe pain or suffering, which includes physical or mental suffering</w:t>
      </w:r>
      <w:bookmarkStart w:id="2" w:name="_Hlk99549726"/>
      <w:r>
        <w:rPr>
          <w:rStyle w:val="None"/>
          <w:rFonts w:ascii="Times New Roman" w:hAnsi="Times New Roman"/>
          <w:sz w:val="24"/>
          <w:szCs w:val="24"/>
        </w:rPr>
        <w:t xml:space="preserve">; (2) intention of the perpetrator; </w:t>
      </w:r>
      <w:bookmarkEnd w:id="2"/>
      <w:r>
        <w:rPr>
          <w:rStyle w:val="None"/>
          <w:rFonts w:ascii="Times New Roman" w:hAnsi="Times New Roman"/>
          <w:sz w:val="24"/>
          <w:szCs w:val="24"/>
        </w:rPr>
        <w:t xml:space="preserve">(3) purpose of the conduct, be it coercion, intimidation or </w:t>
      </w:r>
      <w:r>
        <w:rPr>
          <w:rStyle w:val="None"/>
          <w:rFonts w:ascii="Times New Roman" w:hAnsi="Times New Roman"/>
          <w:sz w:val="24"/>
          <w:szCs w:val="24"/>
        </w:rPr>
        <w:t>“</w:t>
      </w:r>
      <w:r>
        <w:rPr>
          <w:rStyle w:val="None"/>
          <w:rFonts w:ascii="Times New Roman" w:hAnsi="Times New Roman"/>
          <w:sz w:val="24"/>
          <w:szCs w:val="24"/>
        </w:rPr>
        <w:t>based on discrimination of any kind</w:t>
      </w:r>
      <w:r>
        <w:rPr>
          <w:rStyle w:val="None"/>
          <w:rFonts w:ascii="Times New Roman" w:hAnsi="Times New Roman"/>
          <w:sz w:val="24"/>
          <w:szCs w:val="24"/>
        </w:rPr>
        <w:t>”</w:t>
      </w:r>
      <w:r>
        <w:rPr>
          <w:rStyle w:val="None"/>
          <w:rFonts w:ascii="Times New Roman" w:hAnsi="Times New Roman"/>
          <w:sz w:val="24"/>
          <w:szCs w:val="24"/>
        </w:rPr>
        <w:t>; and (4) involv</w:t>
      </w:r>
      <w:r>
        <w:rPr>
          <w:rStyle w:val="None"/>
          <w:rFonts w:ascii="Times New Roman" w:hAnsi="Times New Roman"/>
          <w:sz w:val="24"/>
          <w:szCs w:val="24"/>
        </w:rPr>
        <w:t xml:space="preserve">ement of a public official.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1.1</w:t>
      </w:r>
      <w:r>
        <w:rPr>
          <w:rStyle w:val="None"/>
          <w:rFonts w:ascii="Times New Roman" w:hAnsi="Times New Roman"/>
          <w:sz w:val="24"/>
          <w:szCs w:val="24"/>
        </w:rPr>
        <w:tab/>
        <w:t>Gendered Torture</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While these definitions most obviously relate to torture within the context of state detention, in 2008, Manfred Nowak, the former Special Rapporteur on Torture, addressed the gender dimensions of torture</w:t>
      </w:r>
      <w:r>
        <w:rPr>
          <w:rStyle w:val="None"/>
          <w:rFonts w:ascii="Times New Roman" w:hAnsi="Times New Roman"/>
          <w:sz w:val="24"/>
          <w:szCs w:val="24"/>
        </w:rPr>
        <w:t>, arguing in favor of adding the element of powerlessness.</w:t>
      </w:r>
      <w:r>
        <w:rPr>
          <w:rStyle w:val="None"/>
          <w:rFonts w:ascii="Times New Roman" w:eastAsia="Times New Roman" w:hAnsi="Times New Roman" w:cs="Times New Roman"/>
          <w:sz w:val="24"/>
          <w:szCs w:val="24"/>
          <w:vertAlign w:val="superscript"/>
        </w:rPr>
        <w:footnoteReference w:id="7"/>
      </w:r>
      <w:r>
        <w:rPr>
          <w:rStyle w:val="None"/>
          <w:rFonts w:ascii="Times New Roman" w:hAnsi="Times New Roman"/>
          <w:sz w:val="24"/>
          <w:szCs w:val="24"/>
        </w:rPr>
        <w:t xml:space="preserve">  In his report the SR explains his aim </w:t>
      </w:r>
      <w:r>
        <w:rPr>
          <w:rStyle w:val="None"/>
          <w:rFonts w:ascii="Times New Roman" w:hAnsi="Times New Roman"/>
          <w:sz w:val="24"/>
          <w:szCs w:val="24"/>
        </w:rPr>
        <w:t>“</w:t>
      </w:r>
      <w:r>
        <w:rPr>
          <w:rStyle w:val="None"/>
          <w:rFonts w:ascii="Times New Roman" w:hAnsi="Times New Roman"/>
          <w:sz w:val="24"/>
          <w:szCs w:val="24"/>
        </w:rPr>
        <w:t>to ensure that the torture protection framework is applied in a gender-inclusive manner with a view to strengthening the protection of women from torture.</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8"/>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numPr>
          <w:ilvl w:val="0"/>
          <w:numId w:val="4"/>
        </w:numPr>
        <w:spacing w:after="0" w:line="240" w:lineRule="auto"/>
        <w:jc w:val="both"/>
        <w:rPr>
          <w:rFonts w:ascii="Times New Roman" w:hAnsi="Times New Roman"/>
          <w:b/>
          <w:bCs/>
          <w:sz w:val="24"/>
          <w:szCs w:val="24"/>
        </w:rPr>
      </w:pPr>
      <w:r>
        <w:rPr>
          <w:rFonts w:ascii="Times New Roman" w:hAnsi="Times New Roman"/>
          <w:b/>
          <w:bCs/>
          <w:sz w:val="24"/>
          <w:szCs w:val="24"/>
        </w:rPr>
        <w:t>Torture: Infliction of Severe Pain or Suffering</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In terms of Article 1, for an Act to constitute torture it must </w:t>
      </w:r>
      <w:r>
        <w:rPr>
          <w:rStyle w:val="None"/>
          <w:rFonts w:ascii="Times New Roman" w:hAnsi="Times New Roman"/>
          <w:sz w:val="24"/>
          <w:szCs w:val="24"/>
        </w:rPr>
        <w:t>“</w:t>
      </w:r>
      <w:r>
        <w:rPr>
          <w:rStyle w:val="None"/>
          <w:rFonts w:ascii="Times New Roman" w:hAnsi="Times New Roman"/>
          <w:sz w:val="24"/>
          <w:szCs w:val="24"/>
        </w:rPr>
        <w:t>inflict severe pain or suffering whether physical or mental.</w:t>
      </w:r>
      <w:r>
        <w:rPr>
          <w:rStyle w:val="None"/>
          <w:rFonts w:ascii="Times New Roman" w:hAnsi="Times New Roman"/>
          <w:sz w:val="24"/>
          <w:szCs w:val="24"/>
        </w:rPr>
        <w:t xml:space="preserve">” </w:t>
      </w:r>
      <w:r>
        <w:rPr>
          <w:rStyle w:val="None"/>
          <w:rFonts w:ascii="Times New Roman" w:hAnsi="Times New Roman"/>
          <w:sz w:val="24"/>
          <w:szCs w:val="24"/>
        </w:rPr>
        <w:t xml:space="preserve">While, under article 16, states are obliged to prevent </w:t>
      </w:r>
      <w:r>
        <w:rPr>
          <w:rStyle w:val="None"/>
          <w:rFonts w:ascii="Times New Roman" w:hAnsi="Times New Roman"/>
          <w:sz w:val="24"/>
          <w:szCs w:val="24"/>
        </w:rPr>
        <w:t>“</w:t>
      </w:r>
      <w:r>
        <w:rPr>
          <w:rStyle w:val="None"/>
          <w:rFonts w:ascii="Times New Roman" w:hAnsi="Times New Roman"/>
          <w:sz w:val="24"/>
          <w:szCs w:val="24"/>
        </w:rPr>
        <w:t xml:space="preserve">acts of </w:t>
      </w:r>
      <w:bookmarkStart w:id="3" w:name="_Hlk99641238"/>
      <w:r>
        <w:rPr>
          <w:rStyle w:val="None"/>
          <w:rFonts w:ascii="Times New Roman" w:hAnsi="Times New Roman"/>
          <w:sz w:val="24"/>
          <w:szCs w:val="24"/>
        </w:rPr>
        <w:t xml:space="preserve">cruel, </w:t>
      </w:r>
      <w:r>
        <w:rPr>
          <w:rStyle w:val="None"/>
          <w:rFonts w:ascii="Times New Roman" w:hAnsi="Times New Roman"/>
          <w:sz w:val="24"/>
          <w:szCs w:val="24"/>
        </w:rPr>
        <w:t>inhuman or degrading treatment</w:t>
      </w:r>
      <w:bookmarkEnd w:id="3"/>
      <w:r>
        <w:rPr>
          <w:rStyle w:val="None"/>
          <w:rFonts w:ascii="Times New Roman" w:hAnsi="Times New Roman"/>
          <w:sz w:val="24"/>
          <w:szCs w:val="24"/>
        </w:rPr>
        <w:t xml:space="preserve"> which do not amount to torture</w:t>
      </w:r>
      <w:r>
        <w:rPr>
          <w:rStyle w:val="None"/>
          <w:rFonts w:ascii="Times New Roman" w:hAnsi="Times New Roman"/>
          <w:sz w:val="24"/>
          <w:szCs w:val="24"/>
        </w:rPr>
        <w:t>”</w:t>
      </w:r>
      <w:r>
        <w:rPr>
          <w:rStyle w:val="None"/>
          <w:rFonts w:ascii="Times New Roman" w:hAnsi="Times New Roman"/>
          <w:sz w:val="24"/>
          <w:szCs w:val="24"/>
        </w:rPr>
        <w:t xml:space="preserve">.  However, neither of these sections list those acts which would meet the threshold of torture or cruel, inhumane and degrading treatment.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According to the SR, the relationship between the tw</w:t>
      </w:r>
      <w:r>
        <w:rPr>
          <w:rStyle w:val="None"/>
          <w:rFonts w:ascii="Times New Roman" w:hAnsi="Times New Roman"/>
          <w:sz w:val="24"/>
          <w:szCs w:val="24"/>
        </w:rPr>
        <w:t xml:space="preserve">o is intertwined, and ill-treatment in certain circumstances may amount to torture; depending on factors such as </w:t>
      </w:r>
      <w:r>
        <w:rPr>
          <w:rStyle w:val="None"/>
          <w:rFonts w:ascii="Times New Roman" w:hAnsi="Times New Roman"/>
          <w:sz w:val="24"/>
          <w:szCs w:val="24"/>
        </w:rPr>
        <w:t>“</w:t>
      </w:r>
      <w:r>
        <w:rPr>
          <w:rStyle w:val="None"/>
          <w:rFonts w:ascii="Times New Roman" w:hAnsi="Times New Roman"/>
          <w:sz w:val="24"/>
          <w:szCs w:val="24"/>
        </w:rPr>
        <w:t>the purpose of the conduct, the intention of the perpetrator and the situation of the victim, such as the victim</w:t>
      </w:r>
      <w:r>
        <w:rPr>
          <w:rStyle w:val="None"/>
          <w:rFonts w:ascii="Times New Roman" w:hAnsi="Times New Roman"/>
          <w:sz w:val="24"/>
          <w:szCs w:val="24"/>
        </w:rPr>
        <w:t>’</w:t>
      </w:r>
      <w:r>
        <w:rPr>
          <w:rStyle w:val="None"/>
          <w:rFonts w:ascii="Times New Roman" w:hAnsi="Times New Roman"/>
          <w:sz w:val="24"/>
          <w:szCs w:val="24"/>
        </w:rPr>
        <w:t>s vulnerability and powerless</w:t>
      </w:r>
      <w:r>
        <w:rPr>
          <w:rStyle w:val="None"/>
          <w:rFonts w:ascii="Times New Roman" w:hAnsi="Times New Roman"/>
          <w:sz w:val="24"/>
          <w:szCs w:val="24"/>
        </w:rPr>
        <w:t>ness.</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9"/>
      </w:r>
      <w:r>
        <w:rPr>
          <w:rStyle w:val="None"/>
          <w:rFonts w:ascii="Times New Roman" w:hAnsi="Times New Roman"/>
          <w:sz w:val="24"/>
          <w:szCs w:val="24"/>
        </w:rPr>
        <w:t xml:space="preserve"> </w:t>
      </w:r>
      <w:r>
        <w:rPr>
          <w:rStyle w:val="None"/>
          <w:rFonts w:ascii="Times New Roman" w:hAnsi="Times New Roman"/>
          <w:sz w:val="24"/>
          <w:szCs w:val="24"/>
        </w:rPr>
        <w:t xml:space="preserve">He explains that cruel, inhumane and degrading treatment, </w:t>
      </w:r>
      <w:r>
        <w:rPr>
          <w:rStyle w:val="None"/>
          <w:rFonts w:ascii="Times New Roman" w:hAnsi="Times New Roman"/>
          <w:sz w:val="24"/>
          <w:szCs w:val="24"/>
        </w:rPr>
        <w:t>“</w:t>
      </w:r>
      <w:r>
        <w:rPr>
          <w:rStyle w:val="None"/>
          <w:rFonts w:ascii="Times New Roman" w:hAnsi="Times New Roman"/>
          <w:sz w:val="24"/>
          <w:szCs w:val="24"/>
        </w:rPr>
        <w:t>can amount to torture if the state fails to act with due diligence.</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0"/>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Although there is no closed list of conduct that amounts to torture, the former SR referring to regional and international jurisprudence, finds that custodial violence and rape carried out with the consent/acquiescence of public officials constitute tortur</w:t>
      </w:r>
      <w:r>
        <w:rPr>
          <w:rStyle w:val="None"/>
          <w:rFonts w:ascii="Times New Roman" w:hAnsi="Times New Roman"/>
          <w:sz w:val="24"/>
          <w:szCs w:val="24"/>
        </w:rPr>
        <w:t xml:space="preserve">e, as does corporal punishment. </w:t>
      </w:r>
      <w:r>
        <w:rPr>
          <w:rStyle w:val="None"/>
          <w:rFonts w:ascii="Times New Roman" w:eastAsia="Times New Roman" w:hAnsi="Times New Roman" w:cs="Times New Roman"/>
          <w:sz w:val="24"/>
          <w:szCs w:val="24"/>
          <w:vertAlign w:val="superscript"/>
        </w:rPr>
        <w:footnoteReference w:id="11"/>
      </w:r>
      <w:r>
        <w:rPr>
          <w:rStyle w:val="None"/>
          <w:rFonts w:ascii="Times New Roman" w:hAnsi="Times New Roman"/>
          <w:sz w:val="24"/>
          <w:szCs w:val="24"/>
        </w:rPr>
        <w:t xml:space="preserve">In the private sphere, forms of violence that may constitute torture or cruel, inhuman and degrading treatment, may include domestic violence, female genital mutilation and human trafficking which are largely still </w:t>
      </w:r>
      <w:r>
        <w:rPr>
          <w:rStyle w:val="None"/>
          <w:rFonts w:ascii="Times New Roman" w:hAnsi="Times New Roman"/>
          <w:sz w:val="24"/>
          <w:szCs w:val="24"/>
        </w:rPr>
        <w:t>‘</w:t>
      </w:r>
      <w:r>
        <w:rPr>
          <w:rStyle w:val="None"/>
          <w:rFonts w:ascii="Times New Roman" w:hAnsi="Times New Roman"/>
          <w:sz w:val="24"/>
          <w:szCs w:val="24"/>
        </w:rPr>
        <w:t>trivial</w:t>
      </w:r>
      <w:r>
        <w:rPr>
          <w:rStyle w:val="None"/>
          <w:rFonts w:ascii="Times New Roman" w:hAnsi="Times New Roman"/>
          <w:sz w:val="24"/>
          <w:szCs w:val="24"/>
        </w:rPr>
        <w:t>ized</w:t>
      </w:r>
      <w:r>
        <w:rPr>
          <w:rStyle w:val="None"/>
          <w:rFonts w:ascii="Times New Roman" w:hAnsi="Times New Roman"/>
          <w:sz w:val="24"/>
          <w:szCs w:val="24"/>
        </w:rPr>
        <w:t xml:space="preserve">’ </w:t>
      </w:r>
      <w:r>
        <w:rPr>
          <w:rStyle w:val="None"/>
          <w:rFonts w:ascii="Times New Roman" w:hAnsi="Times New Roman"/>
          <w:sz w:val="24"/>
          <w:szCs w:val="24"/>
        </w:rPr>
        <w:t xml:space="preserve">in comparison with </w:t>
      </w:r>
      <w:r>
        <w:rPr>
          <w:rStyle w:val="None"/>
          <w:rFonts w:ascii="Times New Roman" w:hAnsi="Times New Roman"/>
          <w:sz w:val="24"/>
          <w:szCs w:val="24"/>
        </w:rPr>
        <w:t>“</w:t>
      </w:r>
      <w:r>
        <w:rPr>
          <w:rStyle w:val="None"/>
          <w:rFonts w:ascii="Times New Roman" w:hAnsi="Times New Roman"/>
          <w:sz w:val="24"/>
          <w:szCs w:val="24"/>
        </w:rPr>
        <w:t>classic torture</w:t>
      </w:r>
      <w:r>
        <w:rPr>
          <w:rStyle w:val="None"/>
          <w:rFonts w:ascii="Times New Roman" w:hAnsi="Times New Roman"/>
          <w:sz w:val="24"/>
          <w:szCs w:val="24"/>
        </w:rPr>
        <w: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2"/>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According to the former SR</w:t>
      </w:r>
      <w:r>
        <w:rPr>
          <w:rStyle w:val="None"/>
          <w:rFonts w:ascii="Times New Roman" w:hAnsi="Times New Roman"/>
          <w:sz w:val="24"/>
          <w:szCs w:val="24"/>
        </w:rPr>
        <w:t>’</w:t>
      </w:r>
      <w:r>
        <w:rPr>
          <w:rStyle w:val="None"/>
          <w:rFonts w:ascii="Times New Roman" w:hAnsi="Times New Roman"/>
          <w:sz w:val="24"/>
          <w:szCs w:val="24"/>
        </w:rPr>
        <w:t>s report, in context of private violence, the element of powerlessness and total control one person exercises over another is frequently analogous to a state detention situation. Pow</w:t>
      </w:r>
      <w:r>
        <w:rPr>
          <w:rStyle w:val="None"/>
          <w:rFonts w:ascii="Times New Roman" w:hAnsi="Times New Roman"/>
          <w:sz w:val="24"/>
          <w:szCs w:val="24"/>
        </w:rPr>
        <w:t xml:space="preserve">erlessness, in this context, can be a result of physical circumstances, where a victim cannot escape; or rape, </w:t>
      </w:r>
      <w:r>
        <w:rPr>
          <w:rStyle w:val="None"/>
          <w:rFonts w:ascii="Times New Roman" w:hAnsi="Times New Roman"/>
          <w:sz w:val="24"/>
          <w:szCs w:val="24"/>
        </w:rPr>
        <w:t>“</w:t>
      </w:r>
      <w:r>
        <w:rPr>
          <w:rStyle w:val="None"/>
          <w:rFonts w:ascii="Times New Roman" w:hAnsi="Times New Roman"/>
          <w:sz w:val="24"/>
          <w:szCs w:val="24"/>
        </w:rPr>
        <w:t>which is an extreme expression of  this power relation</w:t>
      </w:r>
      <w:r>
        <w:rPr>
          <w:rStyle w:val="None"/>
          <w:rFonts w:ascii="Times New Roman" w:hAnsi="Times New Roman"/>
          <w:sz w:val="24"/>
          <w:szCs w:val="24"/>
        </w:rPr>
        <w: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3"/>
      </w:r>
      <w:r>
        <w:rPr>
          <w:rStyle w:val="None"/>
          <w:rFonts w:ascii="Times New Roman" w:hAnsi="Times New Roman"/>
          <w:sz w:val="24"/>
          <w:szCs w:val="24"/>
        </w:rPr>
        <w:t xml:space="preserve"> and  also takes into account identity-based factors that contribute to vulnerability.</w:t>
      </w:r>
      <w:r>
        <w:rPr>
          <w:rStyle w:val="None"/>
          <w:rFonts w:ascii="Times New Roman" w:eastAsia="Times New Roman" w:hAnsi="Times New Roman" w:cs="Times New Roman"/>
          <w:sz w:val="24"/>
          <w:szCs w:val="24"/>
          <w:vertAlign w:val="superscript"/>
        </w:rPr>
        <w:footnoteReference w:id="14"/>
      </w:r>
      <w:r>
        <w:rPr>
          <w:rStyle w:val="None"/>
          <w:rFonts w:ascii="Times New Roman" w:hAnsi="Times New Roman"/>
          <w:sz w:val="24"/>
          <w:szCs w:val="24"/>
        </w:rPr>
        <w:t xml:space="preserve"> The SR has recognized that while  the existence of contracts between traffickers and their employers might imply consent, this </w:t>
      </w:r>
      <w:r>
        <w:rPr>
          <w:rStyle w:val="None"/>
          <w:rFonts w:ascii="Times New Roman" w:hAnsi="Times New Roman"/>
          <w:sz w:val="24"/>
          <w:szCs w:val="24"/>
        </w:rPr>
        <w:t>“</w:t>
      </w:r>
      <w:r>
        <w:rPr>
          <w:rStyle w:val="None"/>
          <w:rFonts w:ascii="Times New Roman" w:hAnsi="Times New Roman"/>
          <w:sz w:val="24"/>
          <w:szCs w:val="24"/>
        </w:rPr>
        <w:t>initial consent becomes meaningless once the element of powerlessness is fulfilled.</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5"/>
      </w:r>
    </w:p>
    <w:p w:rsidR="0060529E" w:rsidRDefault="0060529E">
      <w:pPr>
        <w:pStyle w:val="BodyA"/>
        <w:spacing w:after="0" w:line="240" w:lineRule="auto"/>
        <w:jc w:val="both"/>
      </w:pPr>
    </w:p>
    <w:p w:rsidR="0060529E" w:rsidRDefault="00AD1DC6">
      <w:pPr>
        <w:pStyle w:val="BodyA"/>
      </w:pPr>
      <w:r>
        <w:rPr>
          <w:rStyle w:val="None"/>
          <w:rFonts w:ascii="Times New Roman" w:hAnsi="Times New Roman"/>
          <w:sz w:val="24"/>
          <w:szCs w:val="24"/>
        </w:rPr>
        <w:t xml:space="preserve">Gender-based violence and harassment in </w:t>
      </w:r>
      <w:r>
        <w:rPr>
          <w:rStyle w:val="None"/>
          <w:rFonts w:ascii="Times New Roman" w:hAnsi="Times New Roman"/>
          <w:sz w:val="24"/>
          <w:szCs w:val="24"/>
        </w:rPr>
        <w:t>the informal economy, particularly in domestic work, reflects many of the same features of powerlessness and absence of control articulated by the former Special Rapporteur in his 2008 report.  Domestic workers are largely poor, uneducated migrants from ru</w:t>
      </w:r>
      <w:r>
        <w:rPr>
          <w:rStyle w:val="None"/>
          <w:rFonts w:ascii="Times New Roman" w:hAnsi="Times New Roman"/>
          <w:sz w:val="24"/>
          <w:szCs w:val="24"/>
        </w:rPr>
        <w:t>ral to urban areas, as well as extended members of families with scant financial resources. Many of the issues underlying human trafficking and domestic violence as well as culturally sanctioned violence, are also manifest in the domestic work sector.</w:t>
      </w:r>
    </w:p>
    <w:p w:rsidR="0060529E" w:rsidRDefault="00AD1DC6">
      <w:pPr>
        <w:pStyle w:val="BodyA"/>
        <w:spacing w:after="0" w:line="240" w:lineRule="auto"/>
        <w:jc w:val="both"/>
      </w:pPr>
      <w:r>
        <w:rPr>
          <w:rStyle w:val="None"/>
          <w:rFonts w:ascii="Times New Roman" w:hAnsi="Times New Roman"/>
          <w:sz w:val="24"/>
          <w:szCs w:val="24"/>
        </w:rPr>
        <w:t>Dome</w:t>
      </w:r>
      <w:r>
        <w:rPr>
          <w:rStyle w:val="None"/>
          <w:rFonts w:ascii="Times New Roman" w:hAnsi="Times New Roman"/>
          <w:sz w:val="24"/>
          <w:szCs w:val="24"/>
        </w:rPr>
        <w:t>stic workers in Kenya work in private homes, in environments characterized by vulnerability to abuse and exploitation, and framed by the different forms of powerlessness articulated by the former SR.  They are frequently subject to verbal abuse, insults, l</w:t>
      </w:r>
      <w:r>
        <w:rPr>
          <w:rStyle w:val="None"/>
          <w:rFonts w:ascii="Times New Roman" w:hAnsi="Times New Roman"/>
          <w:sz w:val="24"/>
          <w:szCs w:val="24"/>
        </w:rPr>
        <w:t xml:space="preserve">ong working hours, limited or no rest, sexual abuse, exposure to hazardous work and lack of privacy.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That such abuse often culminates in violence, and even death, can be seen in the recent case in February 2022, of a Kenyan domestic worker who was kille</w:t>
      </w:r>
      <w:r>
        <w:rPr>
          <w:rStyle w:val="None"/>
          <w:rFonts w:ascii="Times New Roman" w:hAnsi="Times New Roman"/>
          <w:sz w:val="24"/>
          <w:szCs w:val="24"/>
        </w:rPr>
        <w:t xml:space="preserve">d by her employer at the house where she worked, after being accused of theft. In this particular case, </w:t>
      </w:r>
      <w:r>
        <w:rPr>
          <w:rStyle w:val="None"/>
          <w:rFonts w:ascii="Times New Roman" w:hAnsi="Times New Roman"/>
          <w:sz w:val="24"/>
          <w:szCs w:val="24"/>
        </w:rPr>
        <w:t>“</w:t>
      </w:r>
      <w:r>
        <w:rPr>
          <w:rStyle w:val="None"/>
          <w:rFonts w:ascii="Times New Roman" w:hAnsi="Times New Roman"/>
          <w:sz w:val="24"/>
          <w:szCs w:val="24"/>
        </w:rPr>
        <w:t>the daughter worked as a domestic worker in a neighbor</w:t>
      </w:r>
      <w:r>
        <w:rPr>
          <w:rStyle w:val="None"/>
          <w:rFonts w:ascii="Times New Roman" w:hAnsi="Times New Roman"/>
          <w:sz w:val="24"/>
          <w:szCs w:val="24"/>
        </w:rPr>
        <w:t>’</w:t>
      </w:r>
      <w:r>
        <w:rPr>
          <w:rStyle w:val="None"/>
          <w:rFonts w:ascii="Times New Roman" w:hAnsi="Times New Roman"/>
          <w:sz w:val="24"/>
          <w:szCs w:val="24"/>
        </w:rPr>
        <w:t>s house</w:t>
      </w:r>
      <w:r>
        <w:rPr>
          <w:rStyle w:val="None"/>
          <w:rFonts w:ascii="Times New Roman" w:hAnsi="Times New Roman"/>
          <w:sz w:val="24"/>
          <w:szCs w:val="24"/>
        </w:rPr>
        <w:t xml:space="preserve">” </w:t>
      </w:r>
      <w:r>
        <w:rPr>
          <w:rStyle w:val="None"/>
          <w:rFonts w:ascii="Times New Roman" w:hAnsi="Times New Roman"/>
          <w:sz w:val="24"/>
          <w:szCs w:val="24"/>
        </w:rPr>
        <w:t xml:space="preserve">and was suspected of theft, and her family believe she was </w:t>
      </w:r>
      <w:r>
        <w:rPr>
          <w:rStyle w:val="None"/>
          <w:rFonts w:ascii="Times New Roman" w:hAnsi="Times New Roman"/>
          <w:sz w:val="24"/>
          <w:szCs w:val="24"/>
        </w:rPr>
        <w:t>“</w:t>
      </w:r>
      <w:r>
        <w:rPr>
          <w:rStyle w:val="None"/>
          <w:rFonts w:ascii="Times New Roman" w:hAnsi="Times New Roman"/>
          <w:sz w:val="24"/>
          <w:szCs w:val="24"/>
        </w:rPr>
        <w:t>beaten to death as a result</w:t>
      </w:r>
      <w:r>
        <w:rPr>
          <w:rStyle w:val="None"/>
          <w:rFonts w:ascii="Times New Roman" w:hAnsi="Times New Roman"/>
          <w:sz w:val="24"/>
          <w:szCs w:val="24"/>
        </w:rPr>
        <w: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6"/>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 newspaper article reporting the incident,  concludes that </w:t>
      </w:r>
      <w:r>
        <w:rPr>
          <w:rStyle w:val="None"/>
          <w:rFonts w:ascii="Times New Roman" w:hAnsi="Times New Roman"/>
          <w:sz w:val="24"/>
          <w:szCs w:val="24"/>
        </w:rPr>
        <w:t>“</w:t>
      </w:r>
      <w:hyperlink r:id="rId9" w:history="1">
        <w:r>
          <w:rPr>
            <w:rStyle w:val="Hyperlink2"/>
            <w:rFonts w:eastAsia="Calibri"/>
          </w:rPr>
          <w:t>cases of domestic violence</w:t>
        </w:r>
      </w:hyperlink>
      <w:r>
        <w:rPr>
          <w:rStyle w:val="None"/>
          <w:rFonts w:ascii="Times New Roman" w:hAnsi="Times New Roman"/>
          <w:sz w:val="24"/>
          <w:szCs w:val="24"/>
        </w:rPr>
        <w:t> </w:t>
      </w:r>
      <w:r>
        <w:rPr>
          <w:rStyle w:val="None"/>
          <w:rFonts w:ascii="Times New Roman" w:hAnsi="Times New Roman"/>
          <w:sz w:val="24"/>
          <w:szCs w:val="24"/>
        </w:rPr>
        <w:t xml:space="preserve">have </w:t>
      </w:r>
      <w:r>
        <w:rPr>
          <w:rStyle w:val="None"/>
          <w:rFonts w:ascii="Times New Roman" w:hAnsi="Times New Roman"/>
          <w:sz w:val="24"/>
          <w:szCs w:val="24"/>
        </w:rPr>
        <w:t>been on the rise countrywide with experts blaming the rising cost of living as the main cause.</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17"/>
      </w:r>
      <w:r>
        <w:rPr>
          <w:rStyle w:val="None"/>
          <w:rFonts w:ascii="Times New Roman" w:hAnsi="Times New Roman"/>
          <w:sz w:val="24"/>
          <w:szCs w:val="24"/>
        </w:rPr>
        <w:t xml:space="preserve"> This comment reveals the confusion between domestic violence, which applies to domestic relationships, and gender-based violence and harassment of domestic worker in private homes, which  is a matter of worker rights and  employment law, not family law. W</w:t>
      </w:r>
      <w:r>
        <w:rPr>
          <w:rStyle w:val="None"/>
          <w:rFonts w:ascii="Times New Roman" w:hAnsi="Times New Roman"/>
          <w:sz w:val="24"/>
          <w:szCs w:val="24"/>
        </w:rPr>
        <w:t>ith significant consequence, the lines between family member and employee, are frequently blurred.</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This blurring of distinctions between family members and employees, can be attributed to a number of reasons, including  the gendered nature of a form of wo</w:t>
      </w:r>
      <w:r>
        <w:rPr>
          <w:rStyle w:val="None"/>
          <w:rFonts w:ascii="Times New Roman" w:hAnsi="Times New Roman"/>
          <w:sz w:val="24"/>
          <w:szCs w:val="24"/>
        </w:rPr>
        <w:t xml:space="preserve">rk in a private home which was historically unpaid and performed by female family members,  and also because  domestic work is linked to systems of familliage </w:t>
      </w:r>
      <w:r>
        <w:rPr>
          <w:rStyle w:val="None"/>
          <w:rFonts w:ascii="Times New Roman" w:hAnsi="Times New Roman"/>
          <w:sz w:val="24"/>
          <w:szCs w:val="24"/>
        </w:rPr>
        <w:t xml:space="preserve">– </w:t>
      </w:r>
      <w:r>
        <w:rPr>
          <w:rStyle w:val="None"/>
          <w:rFonts w:ascii="Times New Roman" w:hAnsi="Times New Roman"/>
          <w:sz w:val="24"/>
          <w:szCs w:val="24"/>
        </w:rPr>
        <w:t>where girls are often kept out of school and at  home or sent to other families or relatives to</w:t>
      </w:r>
      <w:r>
        <w:rPr>
          <w:rStyle w:val="None"/>
          <w:rFonts w:ascii="Times New Roman" w:hAnsi="Times New Roman"/>
          <w:sz w:val="24"/>
          <w:szCs w:val="24"/>
        </w:rPr>
        <w:t xml:space="preserve"> help with housework or babysitting.</w:t>
      </w:r>
      <w:r>
        <w:rPr>
          <w:rStyle w:val="None"/>
          <w:rFonts w:ascii="Times New Roman" w:eastAsia="Times New Roman" w:hAnsi="Times New Roman" w:cs="Times New Roman"/>
          <w:sz w:val="24"/>
          <w:szCs w:val="24"/>
          <w:vertAlign w:val="superscript"/>
        </w:rPr>
        <w:footnoteReference w:id="18"/>
      </w:r>
      <w:r>
        <w:rPr>
          <w:rStyle w:val="None"/>
          <w:rFonts w:ascii="Times New Roman" w:hAnsi="Times New Roman"/>
          <w:sz w:val="24"/>
          <w:szCs w:val="24"/>
        </w:rPr>
        <w:t xml:space="preserve"> According to Oxfam, </w:t>
      </w:r>
      <w:r>
        <w:rPr>
          <w:rStyle w:val="None"/>
          <w:rFonts w:ascii="Times New Roman" w:hAnsi="Times New Roman"/>
          <w:sz w:val="24"/>
          <w:szCs w:val="24"/>
        </w:rPr>
        <w:t>“</w:t>
      </w:r>
      <w:r>
        <w:rPr>
          <w:rStyle w:val="None"/>
          <w:rFonts w:ascii="Times New Roman" w:hAnsi="Times New Roman"/>
          <w:sz w:val="24"/>
          <w:szCs w:val="24"/>
        </w:rPr>
        <w:t>the employment of girls is in fact part of a wider social structure, which has institutionalized violence against women, and in which the poorest survive through exploiting the labor of their own c</w:t>
      </w:r>
      <w:r>
        <w:rPr>
          <w:rStyle w:val="None"/>
          <w:rFonts w:ascii="Times New Roman" w:hAnsi="Times New Roman"/>
          <w:sz w:val="24"/>
          <w:szCs w:val="24"/>
        </w:rPr>
        <w:t>hildren.</w:t>
      </w:r>
      <w:r>
        <w:rPr>
          <w:rStyle w:val="None"/>
          <w:rFonts w:ascii="Times New Roman" w:eastAsia="Times New Roman" w:hAnsi="Times New Roman" w:cs="Times New Roman"/>
          <w:sz w:val="24"/>
          <w:szCs w:val="24"/>
          <w:vertAlign w:val="superscript"/>
        </w:rPr>
        <w:footnoteReference w:id="19"/>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 One organization called, </w:t>
      </w:r>
      <w:r>
        <w:rPr>
          <w:rStyle w:val="None"/>
          <w:rFonts w:ascii="Times New Roman" w:hAnsi="Times New Roman"/>
          <w:sz w:val="24"/>
          <w:szCs w:val="24"/>
        </w:rPr>
        <w:t>“</w:t>
      </w:r>
      <w:r>
        <w:rPr>
          <w:rStyle w:val="None"/>
          <w:rFonts w:ascii="Times New Roman" w:hAnsi="Times New Roman"/>
          <w:sz w:val="24"/>
          <w:szCs w:val="24"/>
        </w:rPr>
        <w:t>Stop the Traffik</w:t>
      </w:r>
      <w:r>
        <w:rPr>
          <w:rStyle w:val="None"/>
          <w:rFonts w:ascii="Times New Roman" w:hAnsi="Times New Roman"/>
          <w:sz w:val="24"/>
          <w:szCs w:val="24"/>
        </w:rPr>
        <w:t xml:space="preserve">” </w:t>
      </w:r>
      <w:r>
        <w:rPr>
          <w:rStyle w:val="None"/>
          <w:rFonts w:ascii="Times New Roman" w:hAnsi="Times New Roman"/>
          <w:sz w:val="24"/>
          <w:szCs w:val="24"/>
        </w:rPr>
        <w:t xml:space="preserve">describes </w:t>
      </w:r>
      <w:r>
        <w:rPr>
          <w:rStyle w:val="None"/>
          <w:rFonts w:ascii="Times New Roman" w:hAnsi="Times New Roman"/>
          <w:sz w:val="24"/>
          <w:szCs w:val="24"/>
        </w:rPr>
        <w:t>“</w:t>
      </w:r>
      <w:r>
        <w:rPr>
          <w:rStyle w:val="None"/>
          <w:rFonts w:ascii="Times New Roman" w:hAnsi="Times New Roman"/>
          <w:sz w:val="24"/>
          <w:szCs w:val="24"/>
        </w:rPr>
        <w:t xml:space="preserve">boys and girls are forced to work and vulnerable to exploitation and sexual abuse. They are unable to leave the house in which they are exploited and receive no wages for cooking, cleaning </w:t>
      </w:r>
      <w:r>
        <w:rPr>
          <w:rStyle w:val="None"/>
          <w:rFonts w:ascii="Times New Roman" w:hAnsi="Times New Roman"/>
          <w:sz w:val="24"/>
          <w:szCs w:val="24"/>
        </w:rPr>
        <w:t>or child-minding duties. This type of exploitation is hard to spot as victims are hidden from the public</w:t>
      </w:r>
      <w:r>
        <w:rPr>
          <w:rStyle w:val="None"/>
          <w:rFonts w:ascii="Times New Roman" w:hAnsi="Times New Roman"/>
          <w:sz w:val="24"/>
          <w:szCs w:val="24"/>
        </w:rPr>
        <w: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20"/>
      </w:r>
      <w:r>
        <w:rPr>
          <w:rStyle w:val="None"/>
          <w:rFonts w:ascii="Times New Roman" w:hAnsi="Times New Roman"/>
          <w:sz w:val="24"/>
          <w:szCs w:val="24"/>
        </w:rPr>
        <w:t xml:space="preserve"> According to Khudieha, a domestic worker trade union in Kenya, domestic workers are frequently locked in these homes, unable to freely leave.</w:t>
      </w:r>
      <w:r>
        <w:rPr>
          <w:rStyle w:val="None"/>
          <w:rFonts w:ascii="Times New Roman" w:eastAsia="Times New Roman" w:hAnsi="Times New Roman" w:cs="Times New Roman"/>
          <w:sz w:val="24"/>
          <w:szCs w:val="24"/>
          <w:vertAlign w:val="superscript"/>
        </w:rPr>
        <w:footnoteReference w:id="21"/>
      </w:r>
      <w:r>
        <w:rPr>
          <w:rStyle w:val="None"/>
          <w:rFonts w:ascii="Times New Roman" w:hAnsi="Times New Roman"/>
          <w:sz w:val="24"/>
          <w:szCs w:val="24"/>
        </w:rPr>
        <w:t xml:space="preserve">  In t</w:t>
      </w:r>
      <w:r>
        <w:rPr>
          <w:rStyle w:val="None"/>
          <w:rFonts w:ascii="Times New Roman" w:hAnsi="Times New Roman"/>
          <w:sz w:val="24"/>
          <w:szCs w:val="24"/>
        </w:rPr>
        <w:t xml:space="preserve">hese cases, the </w:t>
      </w:r>
      <w:r>
        <w:rPr>
          <w:rStyle w:val="None"/>
          <w:rFonts w:ascii="Times New Roman" w:hAnsi="Times New Roman"/>
          <w:sz w:val="24"/>
          <w:szCs w:val="24"/>
        </w:rPr>
        <w:t>“</w:t>
      </w:r>
      <w:r>
        <w:rPr>
          <w:rStyle w:val="None"/>
          <w:rFonts w:ascii="Times New Roman" w:hAnsi="Times New Roman"/>
          <w:sz w:val="24"/>
          <w:szCs w:val="24"/>
        </w:rPr>
        <w:t>privacy</w:t>
      </w:r>
      <w:r>
        <w:rPr>
          <w:rStyle w:val="None"/>
          <w:rFonts w:ascii="Times New Roman" w:hAnsi="Times New Roman"/>
          <w:sz w:val="24"/>
          <w:szCs w:val="24"/>
        </w:rPr>
        <w:t xml:space="preserve">” </w:t>
      </w:r>
      <w:r>
        <w:rPr>
          <w:rStyle w:val="None"/>
          <w:rFonts w:ascii="Times New Roman" w:hAnsi="Times New Roman"/>
          <w:sz w:val="24"/>
          <w:szCs w:val="24"/>
        </w:rPr>
        <w:t>rights of employers in their homes, serves as a justification for the exclusion of trade unionists and even labour inspectors from accessing these workers.</w:t>
      </w:r>
      <w:r>
        <w:rPr>
          <w:rStyle w:val="None"/>
          <w:rFonts w:ascii="Times New Roman" w:eastAsia="Times New Roman" w:hAnsi="Times New Roman" w:cs="Times New Roman"/>
          <w:sz w:val="24"/>
          <w:szCs w:val="24"/>
          <w:vertAlign w:val="superscript"/>
        </w:rPr>
        <w:footnoteReference w:id="22"/>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 2021 article on sexual abuse of domestic workers by employers conducte</w:t>
      </w:r>
      <w:r>
        <w:rPr>
          <w:rStyle w:val="None"/>
          <w:rFonts w:ascii="Times New Roman" w:hAnsi="Times New Roman"/>
          <w:sz w:val="24"/>
          <w:szCs w:val="24"/>
        </w:rPr>
        <w:t>d at a shelter in Kenya, describes the types of abuse taking place in the sector. One 20-year-old domestic worker interviewed was raped by her employer, which resulted in pregnancy.  She was dismissed from her job and went to live with a cousin.</w:t>
      </w:r>
      <w:r>
        <w:rPr>
          <w:rStyle w:val="None"/>
          <w:rFonts w:ascii="Times New Roman" w:eastAsia="Times New Roman" w:hAnsi="Times New Roman" w:cs="Times New Roman"/>
          <w:sz w:val="24"/>
          <w:szCs w:val="24"/>
          <w:vertAlign w:val="superscript"/>
        </w:rPr>
        <w:footnoteReference w:id="23"/>
      </w:r>
      <w:r>
        <w:rPr>
          <w:rStyle w:val="None"/>
          <w:rFonts w:ascii="Times New Roman" w:hAnsi="Times New Roman"/>
          <w:sz w:val="24"/>
          <w:szCs w:val="24"/>
        </w:rPr>
        <w:t xml:space="preserve"> According</w:t>
      </w:r>
      <w:r>
        <w:rPr>
          <w:rStyle w:val="None"/>
          <w:rFonts w:ascii="Times New Roman" w:hAnsi="Times New Roman"/>
          <w:sz w:val="24"/>
          <w:szCs w:val="24"/>
        </w:rPr>
        <w:t xml:space="preserve"> to the interviewer, few domestic workers will disclose rape by an employer, since they fear reprisals including being killed by the perpetrators. According to Khudeiha, even those who do not fear similar reprisals, absorb the harassment and violence becau</w:t>
      </w:r>
      <w:r>
        <w:rPr>
          <w:rStyle w:val="None"/>
          <w:rFonts w:ascii="Times New Roman" w:hAnsi="Times New Roman"/>
          <w:sz w:val="24"/>
          <w:szCs w:val="24"/>
        </w:rPr>
        <w:t>se of desperate economic circumstances, and the almost complete absence of alternatives.</w:t>
      </w:r>
      <w:r>
        <w:rPr>
          <w:rStyle w:val="None"/>
          <w:rFonts w:ascii="Times New Roman" w:eastAsia="Times New Roman" w:hAnsi="Times New Roman" w:cs="Times New Roman"/>
          <w:sz w:val="24"/>
          <w:szCs w:val="24"/>
          <w:vertAlign w:val="superscript"/>
        </w:rPr>
        <w:footnoteReference w:id="24"/>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 understanding that that dependency and degrees of control distinguish slavery from servitude and </w:t>
      </w:r>
      <w:r>
        <w:rPr>
          <w:rStyle w:val="None"/>
          <w:rFonts w:ascii="Times New Roman" w:hAnsi="Times New Roman"/>
          <w:sz w:val="24"/>
          <w:szCs w:val="24"/>
        </w:rPr>
        <w:t>“</w:t>
      </w:r>
      <w:r>
        <w:rPr>
          <w:rStyle w:val="None"/>
          <w:rFonts w:ascii="Times New Roman" w:hAnsi="Times New Roman"/>
          <w:sz w:val="24"/>
          <w:szCs w:val="24"/>
        </w:rPr>
        <w:t>can be created by economic factors, lack of freedom of movement</w:t>
      </w:r>
      <w:r>
        <w:rPr>
          <w:rStyle w:val="None"/>
          <w:rFonts w:ascii="Times New Roman" w:hAnsi="Times New Roman"/>
          <w:sz w:val="24"/>
          <w:szCs w:val="24"/>
        </w:rPr>
        <w:t xml:space="preserve"> and physical and psychological abuse,</w:t>
      </w:r>
      <w:r>
        <w:rPr>
          <w:rStyle w:val="None"/>
          <w:rFonts w:ascii="Times New Roman" w:hAnsi="Times New Roman"/>
          <w:sz w:val="24"/>
          <w:szCs w:val="24"/>
        </w:rPr>
        <w:t xml:space="preserve">” </w:t>
      </w:r>
      <w:r>
        <w:rPr>
          <w:rStyle w:val="None"/>
          <w:rFonts w:ascii="Times New Roman" w:hAnsi="Times New Roman"/>
          <w:sz w:val="24"/>
          <w:szCs w:val="24"/>
        </w:rPr>
        <w:t>was set out succinctly by the former SR on Contemporary forms of Slavery. According to her report, Domestic work is undervalued, informal and invisible, which leads to poor working conditions and to vulnerabilities w</w:t>
      </w:r>
      <w:r>
        <w:rPr>
          <w:rStyle w:val="None"/>
          <w:rFonts w:ascii="Times New Roman" w:hAnsi="Times New Roman"/>
          <w:sz w:val="24"/>
          <w:szCs w:val="24"/>
        </w:rPr>
        <w:t xml:space="preserve">hich are higher than in other forms of informal employment. </w:t>
      </w:r>
      <w:r>
        <w:rPr>
          <w:rStyle w:val="None"/>
          <w:rFonts w:ascii="Times New Roman" w:hAnsi="Times New Roman"/>
          <w:sz w:val="24"/>
          <w:szCs w:val="24"/>
          <w:vertAlign w:val="superscript"/>
        </w:rPr>
        <w:t xml:space="preserve">19  </w:t>
      </w:r>
      <w:r>
        <w:rPr>
          <w:rStyle w:val="None"/>
          <w:rFonts w:ascii="Times New Roman" w:hAnsi="Times New Roman"/>
          <w:sz w:val="24"/>
          <w:szCs w:val="24"/>
        </w:rPr>
        <w:t xml:space="preserve">She writes that in the migrant work context, domestic work is considered </w:t>
      </w:r>
      <w:r>
        <w:rPr>
          <w:rStyle w:val="None"/>
          <w:rFonts w:ascii="Times New Roman" w:hAnsi="Times New Roman"/>
          <w:sz w:val="24"/>
          <w:szCs w:val="24"/>
        </w:rPr>
        <w:t>“</w:t>
      </w:r>
      <w:r>
        <w:rPr>
          <w:rStyle w:val="None"/>
          <w:rFonts w:ascii="Times New Roman" w:hAnsi="Times New Roman"/>
          <w:sz w:val="24"/>
          <w:szCs w:val="24"/>
        </w:rPr>
        <w:t>unskilled</w:t>
      </w:r>
      <w:r>
        <w:rPr>
          <w:rStyle w:val="None"/>
          <w:rFonts w:ascii="Times New Roman" w:hAnsi="Times New Roman"/>
          <w:sz w:val="24"/>
          <w:szCs w:val="24"/>
        </w:rPr>
        <w:t xml:space="preserve">” </w:t>
      </w:r>
      <w:r>
        <w:rPr>
          <w:rStyle w:val="None"/>
          <w:rFonts w:ascii="Times New Roman" w:hAnsi="Times New Roman"/>
          <w:sz w:val="24"/>
          <w:szCs w:val="24"/>
        </w:rPr>
        <w:t>work, despite that fact that many migrant domestic workers are educated and highly skilled.</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25"/>
      </w:r>
    </w:p>
    <w:p w:rsidR="0060529E" w:rsidRDefault="0060529E">
      <w:pPr>
        <w:pStyle w:val="BodyA"/>
        <w:spacing w:after="0" w:line="240" w:lineRule="auto"/>
        <w:jc w:val="both"/>
      </w:pPr>
    </w:p>
    <w:p w:rsidR="0060529E" w:rsidRDefault="00AD1DC6">
      <w:pPr>
        <w:pStyle w:val="BodyA"/>
        <w:jc w:val="both"/>
      </w:pPr>
      <w:r>
        <w:rPr>
          <w:rStyle w:val="None"/>
          <w:rFonts w:ascii="Times New Roman" w:hAnsi="Times New Roman"/>
          <w:sz w:val="24"/>
          <w:szCs w:val="24"/>
        </w:rPr>
        <w:t>These desper</w:t>
      </w:r>
      <w:r>
        <w:rPr>
          <w:rStyle w:val="None"/>
          <w:rFonts w:ascii="Times New Roman" w:hAnsi="Times New Roman"/>
          <w:sz w:val="24"/>
          <w:szCs w:val="24"/>
        </w:rPr>
        <w:t>ate economic circumstances were exacerbated by the COVID-19 pandemic. Reports show that some domestic workers were declared redundant as their services were no longer required by their employees; whilst other domestic workers found themselves locked into t</w:t>
      </w:r>
      <w:r>
        <w:rPr>
          <w:rStyle w:val="None"/>
          <w:rFonts w:ascii="Times New Roman" w:hAnsi="Times New Roman"/>
          <w:sz w:val="24"/>
          <w:szCs w:val="24"/>
        </w:rPr>
        <w:t>heir employers</w:t>
      </w:r>
      <w:r>
        <w:rPr>
          <w:rStyle w:val="None"/>
          <w:rFonts w:ascii="Times New Roman" w:hAnsi="Times New Roman"/>
          <w:sz w:val="24"/>
          <w:szCs w:val="24"/>
        </w:rPr>
        <w:t xml:space="preserve">’ </w:t>
      </w:r>
      <w:r>
        <w:rPr>
          <w:rStyle w:val="None"/>
          <w:rFonts w:ascii="Times New Roman" w:hAnsi="Times New Roman"/>
          <w:sz w:val="24"/>
          <w:szCs w:val="24"/>
        </w:rPr>
        <w:t xml:space="preserve">home, unable to return to even visit their own families. Those that remained at work faced high risk of contracting the virus. </w:t>
      </w:r>
      <w:r>
        <w:rPr>
          <w:rStyle w:val="None"/>
          <w:rFonts w:ascii="Times New Roman" w:eastAsia="Times New Roman" w:hAnsi="Times New Roman" w:cs="Times New Roman"/>
          <w:sz w:val="24"/>
          <w:szCs w:val="24"/>
          <w:vertAlign w:val="superscript"/>
        </w:rPr>
        <w:footnoteReference w:id="26"/>
      </w:r>
      <w:r>
        <w:rPr>
          <w:rStyle w:val="None"/>
          <w:rFonts w:ascii="Times New Roman" w:hAnsi="Times New Roman"/>
          <w:sz w:val="24"/>
          <w:szCs w:val="24"/>
        </w:rPr>
        <w:t xml:space="preserve"> Although the government of Kenya put in place several measures to mitigate the social and economic impact of COVID-19, the measures were largely aimed at cushioning formally employed workers and businesses to the exclusion of workers in the informal econo</w:t>
      </w:r>
      <w:r>
        <w:rPr>
          <w:rStyle w:val="None"/>
          <w:rFonts w:ascii="Times New Roman" w:hAnsi="Times New Roman"/>
          <w:sz w:val="24"/>
          <w:szCs w:val="24"/>
        </w:rPr>
        <w:t xml:space="preserve">my. </w:t>
      </w:r>
      <w:r>
        <w:rPr>
          <w:rStyle w:val="None"/>
          <w:rFonts w:ascii="Times New Roman" w:eastAsia="Times New Roman" w:hAnsi="Times New Roman" w:cs="Times New Roman"/>
          <w:sz w:val="24"/>
          <w:szCs w:val="24"/>
          <w:vertAlign w:val="superscript"/>
        </w:rPr>
        <w:footnoteReference w:id="27"/>
      </w:r>
      <w:r>
        <w:rPr>
          <w:rStyle w:val="None"/>
          <w:rFonts w:ascii="Times New Roman" w:hAnsi="Times New Roman"/>
          <w:sz w:val="24"/>
          <w:szCs w:val="24"/>
        </w:rPr>
        <w:t xml:space="preserve"> </w:t>
      </w:r>
    </w:p>
    <w:p w:rsidR="0060529E" w:rsidRDefault="00AD1DC6">
      <w:pPr>
        <w:pStyle w:val="BodyA"/>
        <w:spacing w:after="0" w:line="240" w:lineRule="auto"/>
        <w:jc w:val="both"/>
      </w:pPr>
      <w:r>
        <w:rPr>
          <w:rStyle w:val="None"/>
          <w:rFonts w:ascii="Times New Roman" w:hAnsi="Times New Roman"/>
          <w:sz w:val="24"/>
          <w:szCs w:val="24"/>
        </w:rPr>
        <w:t>In Kenya, it is perhaps the transnational migrant domestic worker issue that is most visible. Approximately 57,000 to 100,000 workers from Kenya travel to Arab states to work as domestic workers, for more than what they could earn at home.</w:t>
      </w:r>
      <w:r>
        <w:rPr>
          <w:rStyle w:val="None"/>
          <w:rFonts w:ascii="Times New Roman" w:eastAsia="Times New Roman" w:hAnsi="Times New Roman" w:cs="Times New Roman"/>
          <w:sz w:val="24"/>
          <w:szCs w:val="24"/>
          <w:vertAlign w:val="superscript"/>
        </w:rPr>
        <w:footnoteReference w:id="28"/>
      </w:r>
      <w:r>
        <w:rPr>
          <w:rStyle w:val="None"/>
          <w:rFonts w:ascii="Times New Roman" w:hAnsi="Times New Roman"/>
          <w:sz w:val="24"/>
          <w:szCs w:val="24"/>
        </w:rPr>
        <w:t xml:space="preserve"> Yet these workers are subject to the kafala system which makes a domestic workers legal status dependent on her employer </w:t>
      </w:r>
      <w:r>
        <w:rPr>
          <w:rStyle w:val="None"/>
          <w:rFonts w:ascii="Times New Roman" w:hAnsi="Times New Roman"/>
          <w:sz w:val="24"/>
          <w:szCs w:val="24"/>
        </w:rPr>
        <w:t xml:space="preserve">– </w:t>
      </w:r>
      <w:r>
        <w:rPr>
          <w:rStyle w:val="None"/>
          <w:rFonts w:ascii="Times New Roman" w:hAnsi="Times New Roman"/>
          <w:sz w:val="24"/>
          <w:szCs w:val="24"/>
        </w:rPr>
        <w:t xml:space="preserve">she cannot change jobs, leave a workplace or freely enter and exit the host country - and puts her </w:t>
      </w:r>
      <w:r>
        <w:rPr>
          <w:rStyle w:val="None"/>
          <w:rFonts w:ascii="Times New Roman" w:hAnsi="Times New Roman"/>
          <w:sz w:val="24"/>
          <w:szCs w:val="24"/>
        </w:rPr>
        <w:t>“</w:t>
      </w:r>
      <w:r>
        <w:rPr>
          <w:rStyle w:val="None"/>
          <w:rFonts w:ascii="Times New Roman" w:hAnsi="Times New Roman"/>
          <w:sz w:val="24"/>
          <w:szCs w:val="24"/>
        </w:rPr>
        <w:t>at risk of labor trafficking, ph</w:t>
      </w:r>
      <w:r>
        <w:rPr>
          <w:rStyle w:val="None"/>
          <w:rFonts w:ascii="Times New Roman" w:hAnsi="Times New Roman"/>
          <w:sz w:val="24"/>
          <w:szCs w:val="24"/>
        </w:rPr>
        <w:t>ysical, mental, and sexual abuse</w:t>
      </w:r>
      <w:r>
        <w:rPr>
          <w:rStyle w:val="None"/>
          <w:rFonts w:ascii="Times New Roman" w:hAnsi="Times New Roman"/>
          <w:sz w:val="24"/>
          <w:szCs w:val="24"/>
        </w:rPr>
        <w:t>”</w:t>
      </w:r>
      <w:r>
        <w:rPr>
          <w:rStyle w:val="None"/>
          <w:rFonts w:ascii="Times New Roman" w:hAnsi="Times New Roman"/>
          <w:sz w:val="24"/>
          <w:szCs w:val="24"/>
        </w:rPr>
        <w:t xml:space="preserve">. </w:t>
      </w:r>
      <w:r>
        <w:rPr>
          <w:rStyle w:val="None"/>
          <w:rFonts w:ascii="Times New Roman" w:eastAsia="Times New Roman" w:hAnsi="Times New Roman" w:cs="Times New Roman"/>
          <w:sz w:val="24"/>
          <w:szCs w:val="24"/>
          <w:vertAlign w:val="superscript"/>
        </w:rPr>
        <w:footnoteReference w:id="29"/>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Migrant domestic workers are often excluded from labor legislation in these destination countries. As a result, their protection is left to the discretion or good will of their employer, which is frequently absent.  </w:t>
      </w:r>
      <w:r>
        <w:rPr>
          <w:rStyle w:val="None"/>
          <w:rFonts w:ascii="Times New Roman" w:eastAsia="Times New Roman" w:hAnsi="Times New Roman" w:cs="Times New Roman"/>
          <w:sz w:val="24"/>
          <w:szCs w:val="24"/>
          <w:vertAlign w:val="superscript"/>
        </w:rPr>
        <w:footnoteReference w:id="30"/>
      </w:r>
      <w:r>
        <w:rPr>
          <w:rStyle w:val="None"/>
          <w:rFonts w:ascii="Times New Roman" w:hAnsi="Times New Roman"/>
          <w:sz w:val="24"/>
          <w:szCs w:val="24"/>
        </w:rPr>
        <w:t xml:space="preserve"> </w:t>
      </w:r>
      <w:r>
        <w:rPr>
          <w:rStyle w:val="None"/>
          <w:rFonts w:ascii="Times New Roman" w:hAnsi="Times New Roman"/>
          <w:sz w:val="24"/>
          <w:szCs w:val="24"/>
        </w:rPr>
        <w:t xml:space="preserve"> One Kenyan domestic worker, Ms Feith Shimila, reported that she was told by her employers in Saudi Arabia, </w:t>
      </w:r>
      <w:r>
        <w:rPr>
          <w:rStyle w:val="None"/>
          <w:rFonts w:ascii="Times New Roman" w:hAnsi="Times New Roman"/>
          <w:sz w:val="24"/>
          <w:szCs w:val="24"/>
        </w:rPr>
        <w:t>“</w:t>
      </w:r>
      <w:r>
        <w:rPr>
          <w:rStyle w:val="None"/>
          <w:rFonts w:ascii="Times New Roman" w:hAnsi="Times New Roman"/>
          <w:sz w:val="24"/>
          <w:szCs w:val="24"/>
        </w:rPr>
        <w:t>in Kenya, I bought you. And now you are in my house, you will do what I want.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31"/>
      </w:r>
      <w:r>
        <w:rPr>
          <w:rStyle w:val="None"/>
          <w:rFonts w:ascii="Times New Roman" w:hAnsi="Times New Roman"/>
          <w:sz w:val="24"/>
          <w:szCs w:val="24"/>
        </w:rPr>
        <w:t xml:space="preserve"> She reports experiencing racist comments, physical violence, includ</w:t>
      </w:r>
      <w:r>
        <w:rPr>
          <w:rStyle w:val="None"/>
          <w:rFonts w:ascii="Times New Roman" w:hAnsi="Times New Roman"/>
          <w:sz w:val="24"/>
          <w:szCs w:val="24"/>
        </w:rPr>
        <w:t>ing being burned with boiling water and death threats, all while enduring 18-hour workdays for the sum of $240/month.</w:t>
      </w:r>
      <w:r>
        <w:rPr>
          <w:rStyle w:val="None"/>
          <w:rFonts w:ascii="Times New Roman" w:eastAsia="Times New Roman" w:hAnsi="Times New Roman" w:cs="Times New Roman"/>
          <w:sz w:val="24"/>
          <w:szCs w:val="24"/>
          <w:vertAlign w:val="superscript"/>
        </w:rPr>
        <w:footnoteReference w:id="32"/>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The McGill International Review (2021) describes migrant domestic worker abuse as ranging from withheld wages and food, to verbal, sexua</w:t>
      </w:r>
      <w:r>
        <w:rPr>
          <w:rStyle w:val="None"/>
          <w:rFonts w:ascii="Times New Roman" w:hAnsi="Times New Roman"/>
          <w:sz w:val="24"/>
          <w:szCs w:val="24"/>
        </w:rPr>
        <w:t>l and physical abuse, and frequently employees are locked in homes in situations akin to modern day slavery. They report there have been cases of domestic workers committing suicide or dying as a result of injuring themselves during attempts to escape; and</w:t>
      </w:r>
      <w:r>
        <w:rPr>
          <w:rStyle w:val="None"/>
          <w:rFonts w:ascii="Times New Roman" w:hAnsi="Times New Roman"/>
          <w:sz w:val="24"/>
          <w:szCs w:val="24"/>
        </w:rPr>
        <w:t xml:space="preserve"> of assaults of these workers on public streets.</w:t>
      </w:r>
      <w:r>
        <w:rPr>
          <w:rStyle w:val="None"/>
          <w:rFonts w:ascii="Times New Roman" w:eastAsia="Times New Roman" w:hAnsi="Times New Roman" w:cs="Times New Roman"/>
          <w:sz w:val="24"/>
          <w:szCs w:val="24"/>
          <w:vertAlign w:val="superscript"/>
        </w:rPr>
        <w:footnoteReference w:id="33"/>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In 2017, Kenya negotiated a trade deal with Saudi Arabia, Qatar and UAE, which created new rights for migrant domestic workers, including through vetting recruitment agencies and monitoring nationals work</w:t>
      </w:r>
      <w:r>
        <w:rPr>
          <w:rStyle w:val="None"/>
          <w:rFonts w:ascii="Times New Roman" w:hAnsi="Times New Roman"/>
          <w:sz w:val="24"/>
          <w:szCs w:val="24"/>
        </w:rPr>
        <w:t>ing abroad, as well as prescribing minimum wage with housing and food.</w:t>
      </w:r>
      <w:r>
        <w:rPr>
          <w:rStyle w:val="None"/>
          <w:rFonts w:ascii="Times New Roman" w:eastAsia="Times New Roman" w:hAnsi="Times New Roman" w:cs="Times New Roman"/>
          <w:sz w:val="24"/>
          <w:szCs w:val="24"/>
          <w:vertAlign w:val="superscript"/>
        </w:rPr>
        <w:footnoteReference w:id="34"/>
      </w:r>
      <w:r>
        <w:rPr>
          <w:rStyle w:val="None"/>
          <w:rFonts w:ascii="Times New Roman" w:hAnsi="Times New Roman"/>
          <w:sz w:val="24"/>
          <w:szCs w:val="24"/>
        </w:rPr>
        <w:t xml:space="preserve"> These bi-lateral agreements have been criticized for not being subject to public participation or stakeholder validation, before being signed.  In fact, the 2017 agreement, only began </w:t>
      </w:r>
      <w:r>
        <w:rPr>
          <w:rStyle w:val="None"/>
          <w:rFonts w:ascii="Times New Roman" w:hAnsi="Times New Roman"/>
          <w:sz w:val="24"/>
          <w:szCs w:val="24"/>
        </w:rPr>
        <w:t>being released to the public in the last week of March 2022. It is imperative that issues of torture and ill treatment are fully addressed in these agreements, and that embassies in receiving countries are willing and able to respond to both prevent and as</w:t>
      </w:r>
      <w:r>
        <w:rPr>
          <w:rStyle w:val="None"/>
          <w:rFonts w:ascii="Times New Roman" w:hAnsi="Times New Roman"/>
          <w:sz w:val="24"/>
          <w:szCs w:val="24"/>
        </w:rPr>
        <w:t>sist with redress in these circumstances.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Yet, the number of deaths of migrant domestic workers abroad, has continued to increase. According to Global Issues (2022), in 2019, three deaths were reported to the Kenya embassy in Riyadh, Saudi Arabia; in 2020</w:t>
      </w:r>
      <w:r>
        <w:rPr>
          <w:rStyle w:val="None"/>
          <w:rFonts w:ascii="Times New Roman" w:hAnsi="Times New Roman"/>
          <w:sz w:val="24"/>
          <w:szCs w:val="24"/>
        </w:rPr>
        <w:t>, 48 deaths were reported and, as of September 2021, 41 deaths were reported.</w:t>
      </w:r>
      <w:r>
        <w:rPr>
          <w:rStyle w:val="None"/>
          <w:rFonts w:ascii="Times New Roman" w:eastAsia="Times New Roman" w:hAnsi="Times New Roman" w:cs="Times New Roman"/>
          <w:sz w:val="24"/>
          <w:szCs w:val="24"/>
          <w:vertAlign w:val="superscript"/>
        </w:rPr>
        <w:footnoteReference w:id="35"/>
      </w:r>
      <w:r>
        <w:rPr>
          <w:rStyle w:val="None"/>
          <w:rFonts w:ascii="Times New Roman" w:hAnsi="Times New Roman"/>
          <w:sz w:val="24"/>
          <w:szCs w:val="24"/>
        </w:rPr>
        <w:t xml:space="preserve"> According to Kenya</w:t>
      </w:r>
      <w:r>
        <w:rPr>
          <w:rStyle w:val="None"/>
          <w:rFonts w:ascii="Times New Roman" w:hAnsi="Times New Roman"/>
          <w:sz w:val="24"/>
          <w:szCs w:val="24"/>
        </w:rPr>
        <w:t>’</w:t>
      </w:r>
      <w:r>
        <w:rPr>
          <w:rStyle w:val="None"/>
          <w:rFonts w:ascii="Times New Roman" w:hAnsi="Times New Roman"/>
          <w:sz w:val="24"/>
          <w:szCs w:val="24"/>
        </w:rPr>
        <w:t>s foreign ministry, 89 Kenyans, most of whom were domestic workers have died in Saudi Arabia in the last two years.</w:t>
      </w:r>
      <w:r>
        <w:rPr>
          <w:rStyle w:val="None"/>
          <w:rFonts w:ascii="Times New Roman" w:eastAsia="Times New Roman" w:hAnsi="Times New Roman" w:cs="Times New Roman"/>
          <w:sz w:val="24"/>
          <w:szCs w:val="24"/>
          <w:vertAlign w:val="superscript"/>
        </w:rPr>
        <w:footnoteReference w:id="36"/>
      </w:r>
      <w:r>
        <w:rPr>
          <w:rStyle w:val="None"/>
          <w:rFonts w:ascii="Times New Roman" w:hAnsi="Times New Roman"/>
          <w:sz w:val="24"/>
          <w:szCs w:val="24"/>
        </w:rPr>
        <w:t>Covid worsened this situation forcing dome</w:t>
      </w:r>
      <w:r>
        <w:rPr>
          <w:rStyle w:val="None"/>
          <w:rFonts w:ascii="Times New Roman" w:hAnsi="Times New Roman"/>
          <w:sz w:val="24"/>
          <w:szCs w:val="24"/>
        </w:rPr>
        <w:t xml:space="preserve">stic workers  </w:t>
      </w:r>
      <w:r>
        <w:rPr>
          <w:rStyle w:val="None"/>
          <w:rFonts w:ascii="Times New Roman" w:hAnsi="Times New Roman"/>
          <w:sz w:val="24"/>
          <w:szCs w:val="24"/>
        </w:rPr>
        <w:t>“</w:t>
      </w:r>
      <w:r>
        <w:rPr>
          <w:rStyle w:val="None"/>
          <w:rFonts w:ascii="Times New Roman" w:hAnsi="Times New Roman"/>
          <w:sz w:val="24"/>
          <w:szCs w:val="24"/>
        </w:rPr>
        <w:t>to work</w:t>
      </w:r>
      <w:r>
        <w:rPr>
          <w:rStyle w:val="None"/>
          <w:rFonts w:ascii="Times New Roman" w:hAnsi="Times New Roman"/>
          <w:sz w:val="24"/>
          <w:szCs w:val="24"/>
        </w:rPr>
        <w:t> </w:t>
      </w:r>
      <w:r>
        <w:rPr>
          <w:rStyle w:val="None"/>
          <w:rFonts w:ascii="Times New Roman" w:hAnsi="Times New Roman"/>
          <w:sz w:val="24"/>
          <w:szCs w:val="24"/>
        </w:rPr>
        <w:t>up to 21 hours a day without rest and no day off, provided little food, underpaid, delayed, or withheld their wages, restricted communication with their families, confiscated their passports, and physically or sexually abused them</w:t>
      </w:r>
      <w:r>
        <w:rPr>
          <w:rStyle w:val="None"/>
          <w:rFonts w:ascii="Times New Roman" w:hAnsi="Times New Roman"/>
          <w:sz w:val="24"/>
          <w:szCs w:val="24"/>
        </w:rPr>
        <w:t>”</w:t>
      </w:r>
      <w:r>
        <w:rPr>
          <w:rStyle w:val="None"/>
          <w:rFonts w:ascii="Times New Roman" w:hAnsi="Times New Roman"/>
          <w:sz w:val="24"/>
          <w:szCs w:val="24"/>
        </w:rPr>
        <w:t>.</w:t>
      </w:r>
      <w:r>
        <w:rPr>
          <w:rStyle w:val="None"/>
          <w:rFonts w:ascii="Times New Roman" w:hAnsi="Times New Roman"/>
          <w:sz w:val="24"/>
          <w:szCs w:val="24"/>
        </w:rPr>
        <w:t> </w:t>
      </w:r>
      <w:r>
        <w:rPr>
          <w:rStyle w:val="None"/>
          <w:rFonts w:ascii="Times New Roman" w:eastAsia="Times New Roman" w:hAnsi="Times New Roman" w:cs="Times New Roman"/>
          <w:sz w:val="24"/>
          <w:szCs w:val="24"/>
          <w:vertAlign w:val="superscript"/>
        </w:rPr>
        <w:footnoteReference w:id="37"/>
      </w:r>
    </w:p>
    <w:p w:rsidR="0060529E" w:rsidRDefault="0060529E">
      <w:pPr>
        <w:pStyle w:val="BodyA"/>
        <w:spacing w:after="0" w:line="240" w:lineRule="auto"/>
        <w:jc w:val="both"/>
      </w:pPr>
    </w:p>
    <w:p w:rsidR="0060529E" w:rsidRDefault="00AD1DC6">
      <w:pPr>
        <w:pStyle w:val="BodyA"/>
        <w:numPr>
          <w:ilvl w:val="0"/>
          <w:numId w:val="4"/>
        </w:numPr>
        <w:spacing w:after="0" w:line="240" w:lineRule="auto"/>
        <w:jc w:val="both"/>
        <w:rPr>
          <w:rFonts w:ascii="Times New Roman" w:hAnsi="Times New Roman"/>
          <w:b/>
          <w:bCs/>
          <w:i/>
          <w:iCs/>
          <w:sz w:val="24"/>
          <w:szCs w:val="24"/>
        </w:rPr>
      </w:pPr>
      <w:r>
        <w:rPr>
          <w:rFonts w:ascii="Times New Roman" w:hAnsi="Times New Roman"/>
          <w:b/>
          <w:bCs/>
          <w:i/>
          <w:iCs/>
          <w:sz w:val="24"/>
          <w:szCs w:val="24"/>
        </w:rPr>
        <w:t xml:space="preserve">Elements (2) and (3) intention of the perpetrator and purpose of the conduct: </w:t>
      </w:r>
    </w:p>
    <w:p w:rsidR="0060529E" w:rsidRDefault="0060529E">
      <w:pPr>
        <w:pStyle w:val="BodyA"/>
        <w:spacing w:after="0" w:line="240" w:lineRule="auto"/>
        <w:ind w:left="1080"/>
        <w:jc w:val="both"/>
      </w:pPr>
    </w:p>
    <w:p w:rsidR="0060529E" w:rsidRDefault="00AD1DC6">
      <w:pPr>
        <w:pStyle w:val="BodyA"/>
        <w:spacing w:after="0" w:line="240" w:lineRule="auto"/>
        <w:jc w:val="both"/>
      </w:pPr>
      <w:r>
        <w:rPr>
          <w:rStyle w:val="None"/>
          <w:rFonts w:ascii="Times New Roman" w:hAnsi="Times New Roman"/>
          <w:sz w:val="24"/>
          <w:szCs w:val="24"/>
        </w:rPr>
        <w:t>According to the SR the purpose element is automatically fulfilled if the acts can be shown to be gender specific.</w:t>
      </w:r>
      <w:r>
        <w:rPr>
          <w:rStyle w:val="None"/>
          <w:rFonts w:ascii="Times New Roman" w:eastAsia="Times New Roman" w:hAnsi="Times New Roman" w:cs="Times New Roman"/>
          <w:sz w:val="24"/>
          <w:szCs w:val="24"/>
          <w:vertAlign w:val="superscript"/>
        </w:rPr>
        <w:footnoteReference w:id="38"/>
      </w:r>
      <w:r>
        <w:rPr>
          <w:rStyle w:val="None"/>
          <w:rFonts w:ascii="Times New Roman" w:hAnsi="Times New Roman"/>
          <w:sz w:val="24"/>
          <w:szCs w:val="24"/>
        </w:rPr>
        <w:t xml:space="preserve"> Further intent can be implied from the purpose of the Act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39"/>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Domestic work is clearly gendered work in Kenya, and includes a range of tasks which include cooking, cleaning, laundry, childcare, elderly care and other household duties. There are an estimated 350,000 child domestic workers in Kenya, the majority of</w:t>
      </w:r>
      <w:r>
        <w:rPr>
          <w:rStyle w:val="None"/>
          <w:rFonts w:ascii="Times New Roman" w:hAnsi="Times New Roman"/>
          <w:sz w:val="24"/>
          <w:szCs w:val="24"/>
        </w:rPr>
        <w:t xml:space="preserve"> whom are girls between the ages of 16 and 18 years of age.</w:t>
      </w:r>
      <w:r>
        <w:rPr>
          <w:rStyle w:val="None"/>
          <w:rFonts w:ascii="Times New Roman" w:eastAsia="Times New Roman" w:hAnsi="Times New Roman" w:cs="Times New Roman"/>
          <w:sz w:val="24"/>
          <w:szCs w:val="24"/>
          <w:vertAlign w:val="superscript"/>
        </w:rPr>
        <w:footnoteReference w:id="40"/>
      </w:r>
      <w:r>
        <w:rPr>
          <w:rStyle w:val="None"/>
          <w:rFonts w:ascii="Times New Roman" w:hAnsi="Times New Roman"/>
          <w:sz w:val="24"/>
          <w:szCs w:val="24"/>
        </w:rPr>
        <w:t xml:space="preserve"> Studies have shown that most of the child domestic workers in the urban areas come from the impoverished zones of Kenya: Northeastern, Nyanza, Eastern Coast and the Western.</w:t>
      </w:r>
      <w:r>
        <w:rPr>
          <w:rStyle w:val="None"/>
          <w:rFonts w:ascii="Times New Roman" w:eastAsia="Times New Roman" w:hAnsi="Times New Roman" w:cs="Times New Roman"/>
          <w:sz w:val="24"/>
          <w:szCs w:val="24"/>
          <w:vertAlign w:val="superscript"/>
        </w:rPr>
        <w:footnoteReference w:id="41"/>
      </w:r>
      <w:r>
        <w:rPr>
          <w:rStyle w:val="None"/>
          <w:rFonts w:ascii="Times New Roman" w:hAnsi="Times New Roman"/>
          <w:sz w:val="24"/>
          <w:szCs w:val="24"/>
        </w:rPr>
        <w:t xml:space="preserve">  The practice of hir</w:t>
      </w:r>
      <w:r>
        <w:rPr>
          <w:rStyle w:val="None"/>
          <w:rFonts w:ascii="Times New Roman" w:hAnsi="Times New Roman"/>
          <w:sz w:val="24"/>
          <w:szCs w:val="24"/>
        </w:rPr>
        <w:t xml:space="preserve">ing women for domestic work in Kenya is strongly rooted in its social structure. More specifically, research shows that the employment of girls is part of a wider social structure that has institutionalized violence against women and exploits the labor of </w:t>
      </w:r>
      <w:r>
        <w:rPr>
          <w:rStyle w:val="None"/>
          <w:rFonts w:ascii="Times New Roman" w:hAnsi="Times New Roman"/>
          <w:sz w:val="24"/>
          <w:szCs w:val="24"/>
        </w:rPr>
        <w:t xml:space="preserve">children. </w:t>
      </w:r>
      <w:r>
        <w:rPr>
          <w:rStyle w:val="None"/>
          <w:rFonts w:ascii="Times New Roman" w:eastAsia="Times New Roman" w:hAnsi="Times New Roman" w:cs="Times New Roman"/>
          <w:sz w:val="24"/>
          <w:szCs w:val="24"/>
          <w:vertAlign w:val="superscript"/>
        </w:rPr>
        <w:footnoteReference w:id="42"/>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numPr>
          <w:ilvl w:val="0"/>
          <w:numId w:val="4"/>
        </w:numPr>
        <w:spacing w:after="0" w:line="240" w:lineRule="auto"/>
        <w:jc w:val="both"/>
        <w:rPr>
          <w:rFonts w:ascii="Times New Roman" w:hAnsi="Times New Roman"/>
          <w:b/>
          <w:bCs/>
          <w:i/>
          <w:iCs/>
          <w:sz w:val="24"/>
          <w:szCs w:val="24"/>
        </w:rPr>
      </w:pPr>
      <w:r>
        <w:rPr>
          <w:rFonts w:ascii="Times New Roman" w:hAnsi="Times New Roman"/>
          <w:b/>
          <w:bCs/>
          <w:i/>
          <w:iCs/>
          <w:sz w:val="24"/>
          <w:szCs w:val="24"/>
        </w:rPr>
        <w:t>Public Official: State Responsibility for Private Conduct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 Special Rapporteur makes clear that while Article 1 refers to </w:t>
      </w:r>
      <w:r>
        <w:rPr>
          <w:rStyle w:val="None"/>
          <w:rFonts w:ascii="Times New Roman" w:hAnsi="Times New Roman"/>
          <w:sz w:val="24"/>
          <w:szCs w:val="24"/>
        </w:rPr>
        <w:t>“</w:t>
      </w:r>
      <w:r>
        <w:rPr>
          <w:rStyle w:val="None"/>
          <w:rFonts w:ascii="Times New Roman" w:hAnsi="Times New Roman"/>
          <w:sz w:val="24"/>
          <w:szCs w:val="24"/>
        </w:rPr>
        <w:t>the consent or acquiescence of a public official</w:t>
      </w:r>
      <w:r>
        <w:rPr>
          <w:rStyle w:val="None"/>
          <w:rFonts w:ascii="Times New Roman" w:hAnsi="Times New Roman"/>
          <w:sz w:val="24"/>
          <w:szCs w:val="24"/>
        </w:rPr>
        <w:t xml:space="preserve">” </w:t>
      </w:r>
      <w:r>
        <w:rPr>
          <w:rStyle w:val="None"/>
          <w:rFonts w:ascii="Times New Roman" w:hAnsi="Times New Roman"/>
          <w:sz w:val="24"/>
          <w:szCs w:val="24"/>
        </w:rPr>
        <w:t xml:space="preserve">this should not limit the application of CAT to state conduct but must be understood </w:t>
      </w:r>
      <w:r>
        <w:rPr>
          <w:rStyle w:val="None"/>
          <w:rFonts w:ascii="Times New Roman" w:hAnsi="Times New Roman"/>
          <w:sz w:val="24"/>
          <w:szCs w:val="24"/>
        </w:rPr>
        <w:t>“</w:t>
      </w:r>
      <w:r>
        <w:rPr>
          <w:rStyle w:val="None"/>
          <w:rFonts w:ascii="Times New Roman" w:hAnsi="Times New Roman"/>
          <w:sz w:val="24"/>
          <w:szCs w:val="24"/>
        </w:rPr>
        <w:t>to include State failure to protect persons within its jurisdiction from torture and ill-treatment committed b</w:t>
      </w:r>
      <w:r>
        <w:rPr>
          <w:rStyle w:val="None"/>
          <w:rFonts w:ascii="Times New Roman" w:hAnsi="Times New Roman"/>
          <w:sz w:val="24"/>
          <w:szCs w:val="24"/>
          <w:lang w:val="it-IT"/>
        </w:rPr>
        <w:t>y private individuals.</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43"/>
      </w:r>
      <w:r>
        <w:rPr>
          <w:rStyle w:val="None"/>
          <w:rFonts w:ascii="Times New Roman" w:hAnsi="Times New Roman"/>
          <w:sz w:val="24"/>
          <w:szCs w:val="24"/>
        </w:rPr>
        <w:t xml:space="preserve"> Significantly, the former SR explai</w:t>
      </w:r>
      <w:r>
        <w:rPr>
          <w:rStyle w:val="None"/>
          <w:rFonts w:ascii="Times New Roman" w:hAnsi="Times New Roman"/>
          <w:sz w:val="24"/>
          <w:szCs w:val="24"/>
        </w:rPr>
        <w:t xml:space="preserve">ned that </w:t>
      </w:r>
      <w:r>
        <w:rPr>
          <w:rStyle w:val="None"/>
          <w:rFonts w:ascii="Times New Roman" w:hAnsi="Times New Roman"/>
          <w:sz w:val="24"/>
          <w:szCs w:val="24"/>
        </w:rPr>
        <w:t>“</w:t>
      </w:r>
      <w:r>
        <w:rPr>
          <w:rStyle w:val="None"/>
          <w:rFonts w:ascii="Times New Roman" w:hAnsi="Times New Roman"/>
          <w:sz w:val="24"/>
          <w:szCs w:val="24"/>
        </w:rPr>
        <w:t xml:space="preserve">Article 1 of CAT should be seen as reinforcing-and reinforced by </w:t>
      </w:r>
      <w:r>
        <w:rPr>
          <w:rStyle w:val="None"/>
          <w:rFonts w:ascii="Times New Roman" w:hAnsi="Times New Roman"/>
          <w:sz w:val="24"/>
          <w:szCs w:val="24"/>
        </w:rPr>
        <w:t xml:space="preserve">– </w:t>
      </w:r>
      <w:r>
        <w:rPr>
          <w:rStyle w:val="None"/>
          <w:rFonts w:ascii="Times New Roman" w:hAnsi="Times New Roman"/>
          <w:sz w:val="24"/>
          <w:szCs w:val="24"/>
        </w:rPr>
        <w:t>the Declaration on the Elimination of Violence against Women adopted by the General Assembly in resolution 48/104.</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44"/>
      </w:r>
      <w:r>
        <w:rPr>
          <w:rStyle w:val="None"/>
          <w:rFonts w:ascii="Times New Roman" w:hAnsi="Times New Roman"/>
          <w:sz w:val="24"/>
          <w:szCs w:val="24"/>
        </w:rPr>
        <w:t xml:space="preserve"> In this regard the Declaration requires states to exercise due</w:t>
      </w:r>
      <w:r>
        <w:rPr>
          <w:rStyle w:val="None"/>
          <w:rFonts w:ascii="Times New Roman" w:hAnsi="Times New Roman"/>
          <w:sz w:val="24"/>
          <w:szCs w:val="24"/>
        </w:rPr>
        <w:t xml:space="preserve"> diligence to prevent, investigate and, in accordance with national legislation, punish acts of violence women, whether those acts are perpetrated by the State or private person</w:t>
      </w:r>
      <w:r>
        <w:rPr>
          <w:rStyle w:val="None"/>
          <w:rFonts w:ascii="Times New Roman" w:hAnsi="Times New Roman"/>
          <w:sz w:val="24"/>
          <w:szCs w:val="24"/>
          <w:lang w:val="pt-PT"/>
        </w:rPr>
        <w:t>s.</w:t>
      </w:r>
      <w:r>
        <w:rPr>
          <w:rStyle w:val="None"/>
          <w:rFonts w:ascii="Times New Roman" w:hAnsi="Times New Roman"/>
          <w:sz w:val="24"/>
          <w:szCs w:val="24"/>
          <w:lang w:val="pt-PT"/>
        </w:rPr>
        <w:t>”</w:t>
      </w:r>
      <w:r>
        <w:rPr>
          <w:rStyle w:val="None"/>
          <w:rFonts w:ascii="Times New Roman" w:hAnsi="Times New Roman"/>
          <w:sz w:val="24"/>
          <w:szCs w:val="24"/>
        </w:rPr>
        <w:t xml:space="preserve">  </w:t>
      </w:r>
      <w:r>
        <w:rPr>
          <w:rStyle w:val="None"/>
          <w:rFonts w:ascii="Times New Roman" w:eastAsia="Times New Roman" w:hAnsi="Times New Roman" w:cs="Times New Roman"/>
          <w:sz w:val="24"/>
          <w:szCs w:val="24"/>
          <w:vertAlign w:val="superscript"/>
        </w:rPr>
        <w:footnoteReference w:id="45"/>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In 2019, the ILO passed Convention 190 on Violence and Harassment at wo</w:t>
      </w:r>
      <w:r>
        <w:rPr>
          <w:rStyle w:val="None"/>
          <w:rFonts w:ascii="Times New Roman" w:hAnsi="Times New Roman"/>
          <w:sz w:val="24"/>
          <w:szCs w:val="24"/>
        </w:rPr>
        <w:t>rk, which recognized that everyone has the right to be free from violence and harassment at work, including gender-based violence and harassment. In the same way, the former SR understood that ill-treatment and torture are intertwined, and ill-treatment ca</w:t>
      </w:r>
      <w:r>
        <w:rPr>
          <w:rStyle w:val="None"/>
          <w:rFonts w:ascii="Times New Roman" w:hAnsi="Times New Roman"/>
          <w:sz w:val="24"/>
          <w:szCs w:val="24"/>
        </w:rPr>
        <w:t>n lead to torture; C190 is based on the premise that sexual harassment and gender-based violence occur on a continuum, with harassment frequently culminating in violence.  Article 5 of C190 requires each member to ensure that domestic workers enjoy protect</w:t>
      </w:r>
      <w:r>
        <w:rPr>
          <w:rStyle w:val="None"/>
          <w:rFonts w:ascii="Times New Roman" w:hAnsi="Times New Roman"/>
          <w:sz w:val="24"/>
          <w:szCs w:val="24"/>
        </w:rPr>
        <w:t>ion against all forms of abuse, harassment and violence. Para 7 of ILO Recommendation 201 also requires states to establish complaint mechanics for domestic workers to report incidence of harassment and violence and to ensure that these complaints are inve</w:t>
      </w:r>
      <w:r>
        <w:rPr>
          <w:rStyle w:val="None"/>
          <w:rFonts w:ascii="Times New Roman" w:hAnsi="Times New Roman"/>
          <w:sz w:val="24"/>
          <w:szCs w:val="24"/>
        </w:rPr>
        <w:t>stigated and prosecuted as appropriate.</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In much the same way the former SR interpreted CAT in light of the Beijing Declaration on GBV, the Committee should now also interpret CAT in light of the norms entrenched in C190 on the right to be free from all fo</w:t>
      </w:r>
      <w:r>
        <w:rPr>
          <w:rStyle w:val="None"/>
          <w:rFonts w:ascii="Times New Roman" w:hAnsi="Times New Roman"/>
          <w:sz w:val="24"/>
          <w:szCs w:val="24"/>
        </w:rPr>
        <w:t xml:space="preserve">rms of violence and harassment at work, that amount to </w:t>
      </w:r>
      <w:r>
        <w:rPr>
          <w:rStyle w:val="None"/>
          <w:rFonts w:ascii="Times New Roman" w:hAnsi="Times New Roman"/>
          <w:sz w:val="24"/>
          <w:szCs w:val="24"/>
        </w:rPr>
        <w:t>“</w:t>
      </w:r>
      <w:r>
        <w:rPr>
          <w:rStyle w:val="None"/>
          <w:rFonts w:ascii="Times New Roman" w:hAnsi="Times New Roman"/>
          <w:sz w:val="24"/>
          <w:szCs w:val="24"/>
        </w:rPr>
        <w:t>torture</w:t>
      </w:r>
      <w:r>
        <w:rPr>
          <w:rStyle w:val="None"/>
          <w:rFonts w:ascii="Times New Roman" w:hAnsi="Times New Roman"/>
          <w:sz w:val="24"/>
          <w:szCs w:val="24"/>
        </w:rPr>
        <w:t xml:space="preserve">” </w:t>
      </w:r>
      <w:r>
        <w:rPr>
          <w:rStyle w:val="None"/>
          <w:rFonts w:ascii="Times New Roman" w:hAnsi="Times New Roman"/>
          <w:sz w:val="24"/>
          <w:szCs w:val="24"/>
        </w:rPr>
        <w:t>under CAT.</w:t>
      </w:r>
    </w:p>
    <w:p w:rsidR="0060529E" w:rsidRDefault="0060529E">
      <w:pPr>
        <w:pStyle w:val="BodyA"/>
        <w:spacing w:after="0" w:line="240" w:lineRule="auto"/>
        <w:jc w:val="both"/>
      </w:pPr>
    </w:p>
    <w:p w:rsidR="0060529E" w:rsidRDefault="00AD1DC6">
      <w:pPr>
        <w:pStyle w:val="BodyA"/>
        <w:numPr>
          <w:ilvl w:val="0"/>
          <w:numId w:val="4"/>
        </w:numPr>
        <w:spacing w:after="0" w:line="240" w:lineRule="auto"/>
        <w:jc w:val="both"/>
        <w:rPr>
          <w:rFonts w:ascii="Times New Roman" w:hAnsi="Times New Roman"/>
          <w:b/>
          <w:bCs/>
          <w:sz w:val="24"/>
          <w:szCs w:val="24"/>
        </w:rPr>
      </w:pPr>
      <w:r>
        <w:rPr>
          <w:rFonts w:ascii="Times New Roman" w:hAnsi="Times New Roman"/>
          <w:b/>
          <w:bCs/>
          <w:sz w:val="24"/>
          <w:szCs w:val="24"/>
        </w:rPr>
        <w:t>Non-discrimination</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In terms of the General Comment 2, the principle of non-discrimination is fundamental to the interpretation of the Convention. </w:t>
      </w:r>
      <w:r>
        <w:rPr>
          <w:rStyle w:val="None"/>
          <w:rFonts w:ascii="Times New Roman" w:eastAsia="Times New Roman" w:hAnsi="Times New Roman" w:cs="Times New Roman"/>
          <w:sz w:val="24"/>
          <w:szCs w:val="24"/>
          <w:vertAlign w:val="superscript"/>
        </w:rPr>
        <w:footnoteReference w:id="46"/>
      </w:r>
      <w:r>
        <w:rPr>
          <w:rStyle w:val="None"/>
          <w:rFonts w:ascii="Times New Roman" w:hAnsi="Times New Roman"/>
          <w:sz w:val="24"/>
          <w:szCs w:val="24"/>
        </w:rPr>
        <w:t xml:space="preserve"> In this regard, </w:t>
      </w:r>
      <w:r>
        <w:rPr>
          <w:rStyle w:val="None"/>
          <w:rFonts w:ascii="Times New Roman" w:hAnsi="Times New Roman"/>
          <w:sz w:val="24"/>
          <w:szCs w:val="24"/>
        </w:rPr>
        <w:t>“</w:t>
      </w:r>
      <w:r>
        <w:rPr>
          <w:rStyle w:val="None"/>
          <w:rFonts w:ascii="Times New Roman" w:hAnsi="Times New Roman"/>
          <w:sz w:val="24"/>
          <w:szCs w:val="24"/>
        </w:rPr>
        <w:t>state parties</w:t>
      </w:r>
      <w:r>
        <w:rPr>
          <w:rStyle w:val="None"/>
          <w:rFonts w:ascii="Times New Roman" w:hAnsi="Times New Roman"/>
          <w:sz w:val="24"/>
          <w:szCs w:val="24"/>
        </w:rPr>
        <w:t xml:space="preserve"> must ensure that insofar as the obligations, arising under the Convention are concerned, their laws are in practice applied to all persons, regardless of race, color, ethnicity, age, religious belief or affiliation</w:t>
      </w:r>
      <w:r>
        <w:rPr>
          <w:rStyle w:val="None"/>
          <w:rFonts w:ascii="Times New Roman" w:hAnsi="Times New Roman"/>
          <w:sz w:val="24"/>
          <w:szCs w:val="24"/>
        </w:rPr>
        <w:t>…</w:t>
      </w:r>
      <w:r>
        <w:rPr>
          <w:rStyle w:val="None"/>
          <w:rFonts w:ascii="Times New Roman" w:hAnsi="Times New Roman"/>
          <w:sz w:val="24"/>
          <w:szCs w:val="24"/>
        </w:rPr>
        <w:t>national or social origin, gender, sexua</w:t>
      </w:r>
      <w:r>
        <w:rPr>
          <w:rStyle w:val="None"/>
          <w:rFonts w:ascii="Times New Roman" w:hAnsi="Times New Roman"/>
          <w:sz w:val="24"/>
          <w:szCs w:val="24"/>
        </w:rPr>
        <w:t>l orientation</w:t>
      </w:r>
      <w:r>
        <w:rPr>
          <w:rStyle w:val="None"/>
          <w:rFonts w:ascii="Times New Roman" w:hAnsi="Times New Roman"/>
          <w:sz w:val="24"/>
          <w:szCs w:val="24"/>
        </w:rPr>
        <w:t>…</w:t>
      </w:r>
      <w:r>
        <w:rPr>
          <w:rStyle w:val="None"/>
          <w:rFonts w:ascii="Times New Roman" w:hAnsi="Times New Roman"/>
          <w:sz w:val="24"/>
          <w:szCs w:val="24"/>
        </w:rPr>
        <w:t>economic or indigenous status</w:t>
      </w:r>
      <w:r>
        <w:rPr>
          <w:rStyle w:val="None"/>
          <w:rFonts w:ascii="Times New Roman" w:hAnsi="Times New Roman"/>
          <w:sz w:val="24"/>
          <w:szCs w:val="24"/>
        </w:rPr>
        <w:t xml:space="preserve">…” </w:t>
      </w:r>
      <w:r>
        <w:rPr>
          <w:rStyle w:val="None"/>
          <w:rFonts w:ascii="Times New Roman" w:hAnsi="Times New Roman"/>
          <w:sz w:val="24"/>
          <w:szCs w:val="24"/>
        </w:rPr>
        <w:t xml:space="preserve">Further, </w:t>
      </w:r>
      <w:r>
        <w:rPr>
          <w:rStyle w:val="None"/>
          <w:rFonts w:ascii="Times New Roman" w:hAnsi="Times New Roman"/>
          <w:sz w:val="24"/>
          <w:szCs w:val="24"/>
        </w:rPr>
        <w:t>“</w:t>
      </w:r>
      <w:r>
        <w:rPr>
          <w:rStyle w:val="None"/>
          <w:rFonts w:ascii="Times New Roman" w:hAnsi="Times New Roman"/>
          <w:sz w:val="24"/>
          <w:szCs w:val="24"/>
        </w:rPr>
        <w:t xml:space="preserve">state parties should </w:t>
      </w:r>
      <w:r>
        <w:rPr>
          <w:rStyle w:val="None"/>
          <w:rFonts w:ascii="Times New Roman" w:hAnsi="Times New Roman"/>
          <w:sz w:val="24"/>
          <w:szCs w:val="24"/>
        </w:rPr>
        <w:t>“</w:t>
      </w:r>
      <w:r>
        <w:rPr>
          <w:rStyle w:val="None"/>
          <w:rFonts w:ascii="Times New Roman" w:hAnsi="Times New Roman"/>
          <w:sz w:val="24"/>
          <w:szCs w:val="24"/>
        </w:rPr>
        <w:t>ensure the protection of members of groups especially at risk of being tortured, by fully prosecuting and punishing all acts of violence and abuse against these individuals and e</w:t>
      </w:r>
      <w:r>
        <w:rPr>
          <w:rStyle w:val="None"/>
          <w:rFonts w:ascii="Times New Roman" w:hAnsi="Times New Roman"/>
          <w:sz w:val="24"/>
          <w:szCs w:val="24"/>
        </w:rPr>
        <w:t>nsuring implementation of either positive measure of prevention and protection</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47"/>
      </w:r>
      <w:r>
        <w:rPr>
          <w:rStyle w:val="None"/>
          <w:rFonts w:ascii="Times New Roman" w:hAnsi="Times New Roman"/>
          <w:sz w:val="24"/>
          <w:szCs w:val="24"/>
        </w:rPr>
        <w:t xml:space="preserve"> The GC recognizes </w:t>
      </w:r>
      <w:r>
        <w:rPr>
          <w:rStyle w:val="None"/>
          <w:rFonts w:ascii="Times New Roman" w:hAnsi="Times New Roman"/>
          <w:sz w:val="24"/>
          <w:szCs w:val="24"/>
        </w:rPr>
        <w:t>“</w:t>
      </w:r>
      <w:r>
        <w:rPr>
          <w:rStyle w:val="None"/>
          <w:rFonts w:ascii="Times New Roman" w:hAnsi="Times New Roman"/>
          <w:sz w:val="24"/>
          <w:szCs w:val="24"/>
        </w:rPr>
        <w:t>the contexts in which females are at risk include deprivation of liberty</w:t>
      </w:r>
      <w:r>
        <w:rPr>
          <w:rStyle w:val="None"/>
          <w:rFonts w:ascii="Times New Roman" w:hAnsi="Times New Roman"/>
          <w:sz w:val="24"/>
          <w:szCs w:val="24"/>
        </w:rPr>
        <w:t>…</w:t>
      </w:r>
      <w:r>
        <w:rPr>
          <w:rStyle w:val="None"/>
          <w:rFonts w:ascii="Times New Roman" w:hAnsi="Times New Roman"/>
          <w:sz w:val="24"/>
          <w:szCs w:val="24"/>
        </w:rPr>
        <w:t>and violence by private actors in communities and homes.</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48"/>
      </w:r>
    </w:p>
    <w:p w:rsidR="0060529E" w:rsidRDefault="0060529E">
      <w:pPr>
        <w:pStyle w:val="BodyA"/>
        <w:spacing w:after="0" w:line="240" w:lineRule="auto"/>
        <w:jc w:val="both"/>
      </w:pPr>
    </w:p>
    <w:p w:rsidR="0060529E" w:rsidRDefault="00AD1DC6">
      <w:pPr>
        <w:pStyle w:val="BodyA"/>
        <w:jc w:val="both"/>
      </w:pPr>
      <w:r>
        <w:rPr>
          <w:rStyle w:val="None"/>
          <w:rFonts w:ascii="Times New Roman" w:hAnsi="Times New Roman"/>
          <w:sz w:val="24"/>
          <w:szCs w:val="24"/>
        </w:rPr>
        <w:t>Indeed, domestic worke</w:t>
      </w:r>
      <w:r>
        <w:rPr>
          <w:rStyle w:val="None"/>
          <w:rFonts w:ascii="Times New Roman" w:hAnsi="Times New Roman"/>
          <w:sz w:val="24"/>
          <w:szCs w:val="24"/>
        </w:rPr>
        <w:t>rs come from groups that are particularly vulnerable to violence and harassment. They are spread out mostly in the cities and urban centers.  Although there are many women, men, boys and girls involved in the sector, domestic work has remained invisible as</w:t>
      </w:r>
      <w:r>
        <w:rPr>
          <w:rStyle w:val="None"/>
          <w:rFonts w:ascii="Times New Roman" w:hAnsi="Times New Roman"/>
          <w:sz w:val="24"/>
          <w:szCs w:val="24"/>
        </w:rPr>
        <w:t xml:space="preserve"> an employment sector.</w:t>
      </w:r>
      <w:r>
        <w:rPr>
          <w:rStyle w:val="None"/>
          <w:rFonts w:ascii="Times New Roman" w:eastAsia="Times New Roman" w:hAnsi="Times New Roman" w:cs="Times New Roman"/>
          <w:sz w:val="24"/>
          <w:szCs w:val="24"/>
          <w:vertAlign w:val="superscript"/>
        </w:rPr>
        <w:footnoteReference w:id="49"/>
      </w:r>
      <w:r>
        <w:rPr>
          <w:rStyle w:val="None"/>
          <w:rFonts w:ascii="Times New Roman" w:hAnsi="Times New Roman"/>
          <w:sz w:val="24"/>
          <w:szCs w:val="24"/>
        </w:rPr>
        <w:t xml:space="preserve"> They are predominately from poor economic backgrounds in the rural areas, and they usually migrate from their villages to the urban centers.</w:t>
      </w:r>
      <w:r>
        <w:rPr>
          <w:rStyle w:val="None"/>
          <w:rFonts w:ascii="Times New Roman" w:eastAsia="Times New Roman" w:hAnsi="Times New Roman" w:cs="Times New Roman"/>
          <w:sz w:val="24"/>
          <w:szCs w:val="24"/>
          <w:vertAlign w:val="superscript"/>
        </w:rPr>
        <w:footnoteReference w:id="50"/>
      </w:r>
      <w:r>
        <w:rPr>
          <w:rStyle w:val="None"/>
          <w:rFonts w:ascii="Times New Roman" w:hAnsi="Times New Roman"/>
          <w:sz w:val="24"/>
          <w:szCs w:val="24"/>
        </w:rPr>
        <w:t xml:space="preserve"> </w:t>
      </w:r>
    </w:p>
    <w:p w:rsidR="0060529E" w:rsidRDefault="00AD1DC6">
      <w:pPr>
        <w:pStyle w:val="BodyA"/>
        <w:jc w:val="both"/>
      </w:pPr>
      <w:r>
        <w:rPr>
          <w:rStyle w:val="None"/>
          <w:rFonts w:ascii="Times New Roman" w:hAnsi="Times New Roman"/>
          <w:sz w:val="24"/>
          <w:szCs w:val="24"/>
        </w:rPr>
        <w:t>Of relevance to provisions on non-discrimination, are people with albinism in Kenya</w:t>
      </w:r>
      <w:r>
        <w:rPr>
          <w:rStyle w:val="None"/>
          <w:rFonts w:ascii="Times New Roman" w:eastAsia="Times New Roman" w:hAnsi="Times New Roman" w:cs="Times New Roman"/>
          <w:sz w:val="24"/>
          <w:szCs w:val="24"/>
          <w:vertAlign w:val="superscript"/>
        </w:rPr>
        <w:footnoteReference w:id="51"/>
      </w:r>
      <w:r>
        <w:rPr>
          <w:rStyle w:val="None"/>
          <w:rFonts w:ascii="Times New Roman" w:hAnsi="Times New Roman"/>
          <w:sz w:val="24"/>
          <w:szCs w:val="24"/>
        </w:rPr>
        <w:t xml:space="preserve"> who </w:t>
      </w:r>
      <w:r>
        <w:rPr>
          <w:rStyle w:val="None"/>
          <w:rFonts w:ascii="Times New Roman" w:hAnsi="Times New Roman"/>
          <w:sz w:val="24"/>
          <w:szCs w:val="24"/>
        </w:rPr>
        <w:t>have historically suffered multiple forms of discrimination leaving them vulnerable to socio-economic exclusion and ritual attacks which can constitute cruel, inhuman and degrading treatment as well as torture. Kenya was commended by the UN Independent Exp</w:t>
      </w:r>
      <w:r>
        <w:rPr>
          <w:rStyle w:val="None"/>
          <w:rFonts w:ascii="Times New Roman" w:hAnsi="Times New Roman"/>
          <w:sz w:val="24"/>
          <w:szCs w:val="24"/>
        </w:rPr>
        <w:t>ert on the Enjoyment of Human Rights by Persons with Albinism</w:t>
      </w:r>
      <w:r>
        <w:rPr>
          <w:rStyle w:val="None"/>
          <w:rFonts w:ascii="Times New Roman" w:eastAsia="Times New Roman" w:hAnsi="Times New Roman" w:cs="Times New Roman"/>
          <w:sz w:val="24"/>
          <w:szCs w:val="24"/>
          <w:vertAlign w:val="superscript"/>
        </w:rPr>
        <w:footnoteReference w:id="52"/>
      </w:r>
      <w:r>
        <w:rPr>
          <w:rStyle w:val="None"/>
          <w:rFonts w:ascii="Times New Roman" w:hAnsi="Times New Roman"/>
          <w:sz w:val="24"/>
          <w:szCs w:val="24"/>
        </w:rPr>
        <w:t xml:space="preserve"> in 2018 for adopting specific measures including an annual budget to address some of the challenges faced by people with albinism.</w:t>
      </w:r>
      <w:r>
        <w:rPr>
          <w:rStyle w:val="None"/>
          <w:rFonts w:ascii="Times New Roman" w:eastAsia="Times New Roman" w:hAnsi="Times New Roman" w:cs="Times New Roman"/>
          <w:sz w:val="24"/>
          <w:szCs w:val="24"/>
          <w:vertAlign w:val="superscript"/>
        </w:rPr>
        <w:footnoteReference w:id="53"/>
      </w:r>
      <w:r>
        <w:rPr>
          <w:rStyle w:val="None"/>
          <w:rFonts w:ascii="Times New Roman" w:hAnsi="Times New Roman"/>
          <w:sz w:val="24"/>
          <w:szCs w:val="24"/>
        </w:rPr>
        <w:t xml:space="preserve"> However, further special measures must be undertaken to ensur</w:t>
      </w:r>
      <w:r>
        <w:rPr>
          <w:rStyle w:val="None"/>
          <w:rFonts w:ascii="Times New Roman" w:hAnsi="Times New Roman"/>
          <w:sz w:val="24"/>
          <w:szCs w:val="24"/>
        </w:rPr>
        <w:t>e that persons with albinism have equal opportunities in the work environment given that visual impairment and skin sensitivity means certain working conditions can be harmful to their health and psychological wellbeing.</w:t>
      </w:r>
      <w:r>
        <w:rPr>
          <w:rStyle w:val="None"/>
          <w:rFonts w:ascii="Times New Roman" w:eastAsia="Times New Roman" w:hAnsi="Times New Roman" w:cs="Times New Roman"/>
          <w:sz w:val="24"/>
          <w:szCs w:val="24"/>
          <w:vertAlign w:val="superscript"/>
        </w:rPr>
        <w:footnoteReference w:id="54"/>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numPr>
          <w:ilvl w:val="0"/>
          <w:numId w:val="5"/>
        </w:numPr>
        <w:spacing w:after="0" w:line="240" w:lineRule="auto"/>
        <w:jc w:val="both"/>
        <w:rPr>
          <w:rFonts w:ascii="Times New Roman" w:hAnsi="Times New Roman"/>
          <w:b/>
          <w:bCs/>
          <w:sz w:val="24"/>
          <w:szCs w:val="24"/>
        </w:rPr>
      </w:pPr>
      <w:r>
        <w:rPr>
          <w:rFonts w:ascii="Times New Roman" w:hAnsi="Times New Roman"/>
          <w:b/>
          <w:bCs/>
          <w:sz w:val="24"/>
          <w:szCs w:val="24"/>
        </w:rPr>
        <w:t xml:space="preserve">Article Two: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Under Article 2, </w:t>
      </w:r>
      <w:r>
        <w:rPr>
          <w:rStyle w:val="None"/>
          <w:rFonts w:ascii="Times New Roman" w:hAnsi="Times New Roman"/>
          <w:sz w:val="24"/>
          <w:szCs w:val="24"/>
        </w:rPr>
        <w:t>Kenya has an obligation to protect all people from torture or from any cruel, inhuman, or degrading treatment or punishment. This obliges states to take actions that will reinforce the prohibition against torture through legislative, administrative, judici</w:t>
      </w:r>
      <w:r>
        <w:rPr>
          <w:rStyle w:val="None"/>
          <w:rFonts w:ascii="Times New Roman" w:hAnsi="Times New Roman"/>
          <w:sz w:val="24"/>
          <w:szCs w:val="24"/>
        </w:rPr>
        <w:t>al or other actions that must be effective in preventing it.</w:t>
      </w:r>
      <w:r>
        <w:rPr>
          <w:rStyle w:val="None"/>
          <w:rFonts w:ascii="Times New Roman" w:eastAsia="Times New Roman" w:hAnsi="Times New Roman" w:cs="Times New Roman"/>
          <w:sz w:val="24"/>
          <w:szCs w:val="24"/>
          <w:vertAlign w:val="superscript"/>
        </w:rPr>
        <w:footnoteReference w:id="55"/>
      </w:r>
      <w:r>
        <w:rPr>
          <w:rStyle w:val="None"/>
          <w:rFonts w:ascii="Times New Roman" w:hAnsi="Times New Roman"/>
          <w:sz w:val="24"/>
          <w:szCs w:val="24"/>
        </w:rPr>
        <w:t xml:space="preserve">According to the General Comment 2,  the state is complicit and bears responsibility, </w:t>
      </w:r>
      <w:r>
        <w:rPr>
          <w:rStyle w:val="None"/>
          <w:rFonts w:ascii="Times New Roman" w:hAnsi="Times New Roman"/>
          <w:sz w:val="24"/>
          <w:szCs w:val="24"/>
        </w:rPr>
        <w:t>“</w:t>
      </w:r>
      <w:r>
        <w:rPr>
          <w:rStyle w:val="None"/>
          <w:rFonts w:ascii="Times New Roman" w:hAnsi="Times New Roman"/>
          <w:sz w:val="24"/>
          <w:szCs w:val="24"/>
        </w:rPr>
        <w:t>in situations where the state authorities know or have reasonable grounds to believe that acts of torture ar</w:t>
      </w:r>
      <w:r>
        <w:rPr>
          <w:rStyle w:val="None"/>
          <w:rFonts w:ascii="Times New Roman" w:hAnsi="Times New Roman"/>
          <w:sz w:val="24"/>
          <w:szCs w:val="24"/>
        </w:rPr>
        <w:t>e being committed by private actors, and they fail to exercise due diligence to prevent, investigate, prosecute and punish such non-state officials or private actors consistently with the Convention.</w:t>
      </w:r>
      <w:r>
        <w:rPr>
          <w:rStyle w:val="None"/>
          <w:rFonts w:ascii="Times New Roman" w:hAnsi="Times New Roman"/>
          <w:sz w:val="24"/>
          <w:szCs w:val="24"/>
        </w:rPr>
        <w:t xml:space="preserve">” </w:t>
      </w:r>
      <w:r>
        <w:rPr>
          <w:rStyle w:val="None"/>
          <w:rFonts w:ascii="Times New Roman" w:eastAsia="Times New Roman" w:hAnsi="Times New Roman" w:cs="Times New Roman"/>
          <w:sz w:val="24"/>
          <w:szCs w:val="24"/>
          <w:vertAlign w:val="superscript"/>
        </w:rPr>
        <w:footnoteReference w:id="56"/>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In this regard, the former SR considered that state</w:t>
      </w:r>
      <w:r>
        <w:rPr>
          <w:rStyle w:val="None"/>
          <w:rFonts w:ascii="Times New Roman" w:hAnsi="Times New Roman"/>
          <w:sz w:val="24"/>
          <w:szCs w:val="24"/>
        </w:rPr>
        <w:t xml:space="preserve">s </w:t>
      </w:r>
      <w:r>
        <w:rPr>
          <w:rStyle w:val="None"/>
          <w:rFonts w:ascii="Times New Roman" w:hAnsi="Times New Roman"/>
          <w:sz w:val="24"/>
          <w:szCs w:val="24"/>
        </w:rPr>
        <w:t>“</w:t>
      </w:r>
      <w:r>
        <w:rPr>
          <w:rStyle w:val="None"/>
          <w:rFonts w:ascii="Times New Roman" w:hAnsi="Times New Roman"/>
          <w:sz w:val="24"/>
          <w:szCs w:val="24"/>
        </w:rPr>
        <w:t>should be held accountable for complicity in violence against women wherever they create and implement discriminatory laws that may trap women in abusive circumstances</w:t>
      </w:r>
      <w:r>
        <w:rPr>
          <w:rStyle w:val="None"/>
          <w:rFonts w:ascii="Times New Roman" w:hAnsi="Times New Roman"/>
          <w:sz w:val="24"/>
          <w:szCs w:val="24"/>
        </w:rPr>
        <w:t>…</w:t>
      </w:r>
      <w:r>
        <w:rPr>
          <w:rStyle w:val="None"/>
          <w:rFonts w:ascii="Times New Roman" w:hAnsi="Times New Roman"/>
          <w:sz w:val="24"/>
          <w:szCs w:val="24"/>
        </w:rPr>
        <w:t>or if they fail to provide adequate protection against any form of torture and ill-tr</w:t>
      </w:r>
      <w:r>
        <w:rPr>
          <w:rStyle w:val="None"/>
          <w:rFonts w:ascii="Times New Roman" w:hAnsi="Times New Roman"/>
          <w:sz w:val="24"/>
          <w:szCs w:val="24"/>
        </w:rPr>
        <w:t>eatment at home.</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57"/>
      </w:r>
      <w:r>
        <w:rPr>
          <w:rStyle w:val="None"/>
          <w:rFonts w:ascii="Times New Roman" w:hAnsi="Times New Roman"/>
          <w:sz w:val="24"/>
          <w:szCs w:val="24"/>
        </w:rPr>
        <w:t xml:space="preserve"> Further, even where there are national laws in place, due diligence, requires that non-enforcement and trivialization, can fall foul of due diligence obligations. </w:t>
      </w:r>
      <w:r>
        <w:rPr>
          <w:rStyle w:val="None"/>
          <w:rFonts w:ascii="Times New Roman" w:eastAsia="Times New Roman" w:hAnsi="Times New Roman" w:cs="Times New Roman"/>
          <w:sz w:val="24"/>
          <w:szCs w:val="24"/>
          <w:vertAlign w:val="superscript"/>
        </w:rPr>
        <w:footnoteReference w:id="58"/>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Of  particular relevance  to migrant domestic workers, para 19 of Gener</w:t>
      </w:r>
      <w:r>
        <w:rPr>
          <w:rStyle w:val="None"/>
          <w:rFonts w:ascii="Times New Roman" w:hAnsi="Times New Roman"/>
          <w:sz w:val="24"/>
          <w:szCs w:val="24"/>
        </w:rPr>
        <w:t xml:space="preserve">al Comment 2 sets out that, </w:t>
      </w:r>
      <w:r>
        <w:rPr>
          <w:rStyle w:val="None"/>
          <w:rFonts w:ascii="Times New Roman" w:hAnsi="Times New Roman"/>
          <w:sz w:val="24"/>
          <w:szCs w:val="24"/>
        </w:rPr>
        <w:t>“</w:t>
      </w:r>
      <w:r>
        <w:rPr>
          <w:rStyle w:val="None"/>
          <w:rFonts w:ascii="Times New Roman" w:hAnsi="Times New Roman"/>
          <w:sz w:val="24"/>
          <w:szCs w:val="24"/>
        </w:rPr>
        <w:t>if a person is transferred or sent to the custody or control of an individual or institution known to have engaged in torture or ill-treatment, or has not implemented adequate safeguards, the state is responsible, and its offic</w:t>
      </w:r>
      <w:r>
        <w:rPr>
          <w:rStyle w:val="None"/>
          <w:rFonts w:ascii="Times New Roman" w:hAnsi="Times New Roman"/>
          <w:sz w:val="24"/>
          <w:szCs w:val="24"/>
        </w:rPr>
        <w:t>ials subject to punishment for ordering, permitting or participating in this transfer contrary to the state</w:t>
      </w:r>
      <w:r>
        <w:rPr>
          <w:rStyle w:val="None"/>
          <w:rFonts w:ascii="Times New Roman" w:hAnsi="Times New Roman"/>
          <w:sz w:val="24"/>
          <w:szCs w:val="24"/>
        </w:rPr>
        <w:t>’</w:t>
      </w:r>
      <w:r>
        <w:rPr>
          <w:rStyle w:val="None"/>
          <w:rFonts w:ascii="Times New Roman" w:hAnsi="Times New Roman"/>
          <w:sz w:val="24"/>
          <w:szCs w:val="24"/>
        </w:rPr>
        <w:t>s obligation to take effective measures to prevent torture under article 2, paragraph 1.</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59"/>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b/>
          <w:bCs/>
          <w:sz w:val="24"/>
          <w:szCs w:val="24"/>
        </w:rPr>
        <w:t>2.1</w:t>
      </w:r>
      <w:r>
        <w:rPr>
          <w:rStyle w:val="None"/>
          <w:rFonts w:ascii="Times New Roman" w:hAnsi="Times New Roman"/>
          <w:b/>
          <w:bCs/>
          <w:sz w:val="24"/>
          <w:szCs w:val="24"/>
        </w:rPr>
        <w:tab/>
        <w:t xml:space="preserve">Kenyan Legal Framework: Due Diligence and Domestic </w:t>
      </w:r>
      <w:r>
        <w:rPr>
          <w:rStyle w:val="None"/>
          <w:rFonts w:ascii="Times New Roman" w:hAnsi="Times New Roman"/>
          <w:b/>
          <w:bCs/>
          <w:sz w:val="24"/>
          <w:szCs w:val="24"/>
        </w:rPr>
        <w:t>Workers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Kenya is a signatory to several international instruments that provide for human rights to domestic workers.</w:t>
      </w:r>
      <w:r>
        <w:rPr>
          <w:rStyle w:val="None"/>
          <w:rFonts w:ascii="Times New Roman" w:eastAsia="Times New Roman" w:hAnsi="Times New Roman" w:cs="Times New Roman"/>
          <w:sz w:val="24"/>
          <w:szCs w:val="24"/>
          <w:vertAlign w:val="superscript"/>
        </w:rPr>
        <w:footnoteReference w:id="60"/>
      </w:r>
      <w:r>
        <w:rPr>
          <w:rStyle w:val="None"/>
          <w:rFonts w:ascii="Times New Roman" w:hAnsi="Times New Roman"/>
          <w:sz w:val="24"/>
          <w:szCs w:val="24"/>
        </w:rPr>
        <w:t xml:space="preserve"> However, it has yet to ratify the Domestic Workers Convention, 2011 (No.189) and the Violence and Harassment Convention, 2019 (No.190). T</w:t>
      </w:r>
      <w:r>
        <w:rPr>
          <w:rStyle w:val="None"/>
          <w:rFonts w:ascii="Times New Roman" w:hAnsi="Times New Roman"/>
          <w:sz w:val="24"/>
          <w:szCs w:val="24"/>
        </w:rPr>
        <w:t>he Courts have held that the Employment Act 2007 applies to domestic workers and that even without ratification of Convention 189, the minimum labor standards defined under the Convention are already part of the law of Kenya. However, ratification serves t</w:t>
      </w:r>
      <w:r>
        <w:rPr>
          <w:rStyle w:val="None"/>
          <w:rFonts w:ascii="Times New Roman" w:hAnsi="Times New Roman"/>
          <w:sz w:val="24"/>
          <w:szCs w:val="24"/>
        </w:rPr>
        <w:t>o clarify and expand the existing minimum standards and rights of domestic workers and is a necessary component of fulfilling due diligence obligations.</w:t>
      </w:r>
      <w:r>
        <w:rPr>
          <w:rStyle w:val="None"/>
          <w:rFonts w:ascii="Times New Roman" w:eastAsia="Times New Roman" w:hAnsi="Times New Roman" w:cs="Times New Roman"/>
          <w:sz w:val="24"/>
          <w:szCs w:val="24"/>
          <w:vertAlign w:val="superscript"/>
        </w:rPr>
        <w:footnoteReference w:id="61"/>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At a national level, the Constitution of Kenya (2010) establishes a constitutional democracy in whic</w:t>
      </w:r>
      <w:r>
        <w:rPr>
          <w:rStyle w:val="None"/>
          <w:rFonts w:ascii="Times New Roman" w:hAnsi="Times New Roman"/>
          <w:sz w:val="24"/>
          <w:szCs w:val="24"/>
        </w:rPr>
        <w:t>h the constitution is the supreme law of the land.</w:t>
      </w:r>
      <w:r>
        <w:rPr>
          <w:rStyle w:val="None"/>
          <w:rFonts w:ascii="Times New Roman" w:eastAsia="Times New Roman" w:hAnsi="Times New Roman" w:cs="Times New Roman"/>
          <w:sz w:val="24"/>
          <w:szCs w:val="24"/>
          <w:vertAlign w:val="superscript"/>
        </w:rPr>
        <w:footnoteReference w:id="62"/>
      </w:r>
      <w:r>
        <w:rPr>
          <w:rStyle w:val="None"/>
          <w:rFonts w:ascii="Times New Roman" w:hAnsi="Times New Roman"/>
          <w:sz w:val="24"/>
          <w:szCs w:val="24"/>
        </w:rPr>
        <w:t xml:space="preserve"> More specifically the Constitution provides that any law, including customary law, that is inconsistent with it shall be void of inconsistency.</w:t>
      </w:r>
      <w:r>
        <w:rPr>
          <w:rStyle w:val="None"/>
          <w:rFonts w:ascii="Times New Roman" w:eastAsia="Times New Roman" w:hAnsi="Times New Roman" w:cs="Times New Roman"/>
          <w:sz w:val="24"/>
          <w:szCs w:val="24"/>
          <w:vertAlign w:val="superscript"/>
        </w:rPr>
        <w:footnoteReference w:id="63"/>
      </w:r>
      <w:r>
        <w:rPr>
          <w:rStyle w:val="None"/>
          <w:rFonts w:ascii="Times New Roman" w:hAnsi="Times New Roman"/>
          <w:sz w:val="24"/>
          <w:szCs w:val="24"/>
        </w:rPr>
        <w:t xml:space="preserve"> Furthermore, the general rules of international law form pa</w:t>
      </w:r>
      <w:r>
        <w:rPr>
          <w:rStyle w:val="None"/>
          <w:rFonts w:ascii="Times New Roman" w:hAnsi="Times New Roman"/>
          <w:sz w:val="24"/>
          <w:szCs w:val="24"/>
        </w:rPr>
        <w:t>rt of Kenyan law and any treaty or convention ratified by Kenya forms part of the law of Kenya.</w:t>
      </w:r>
      <w:r>
        <w:rPr>
          <w:rStyle w:val="None"/>
          <w:rFonts w:ascii="Times New Roman" w:eastAsia="Times New Roman" w:hAnsi="Times New Roman" w:cs="Times New Roman"/>
          <w:sz w:val="24"/>
          <w:szCs w:val="24"/>
          <w:vertAlign w:val="superscript"/>
        </w:rPr>
        <w:footnoteReference w:id="64"/>
      </w:r>
      <w:r>
        <w:rPr>
          <w:rStyle w:val="None"/>
          <w:rFonts w:ascii="Times New Roman" w:hAnsi="Times New Roman"/>
          <w:sz w:val="24"/>
          <w:szCs w:val="24"/>
        </w:rPr>
        <w:t xml:space="preserve"> This implies that any action in contravention of a ratified treaty or convention can be subject to constitutional scrutiny. More specifically, the Constitution</w:t>
      </w:r>
      <w:r>
        <w:rPr>
          <w:rStyle w:val="None"/>
          <w:rFonts w:ascii="Times New Roman" w:hAnsi="Times New Roman"/>
          <w:sz w:val="24"/>
          <w:szCs w:val="24"/>
        </w:rPr>
        <w:t xml:space="preserve"> obliges state organs and public officers to address the needs of vulnerable groups within society. These include women, older members of society, persons with disabilities, children, youths, members of minority or marginalized communities and members of p</w:t>
      </w:r>
      <w:r>
        <w:rPr>
          <w:rStyle w:val="None"/>
          <w:rFonts w:ascii="Times New Roman" w:hAnsi="Times New Roman"/>
          <w:sz w:val="24"/>
          <w:szCs w:val="24"/>
        </w:rPr>
        <w:t xml:space="preserve">articular ethnic, religious or cultural communities. </w:t>
      </w:r>
      <w:r>
        <w:rPr>
          <w:rStyle w:val="None"/>
          <w:rFonts w:ascii="Times New Roman" w:eastAsia="Times New Roman" w:hAnsi="Times New Roman" w:cs="Times New Roman"/>
          <w:sz w:val="24"/>
          <w:szCs w:val="24"/>
          <w:vertAlign w:val="superscript"/>
        </w:rPr>
        <w:footnoteReference w:id="65"/>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Kenya has passed the Prevention of Torture Act</w:t>
      </w:r>
      <w:r>
        <w:rPr>
          <w:rStyle w:val="None"/>
          <w:rFonts w:ascii="Times New Roman" w:eastAsia="Times New Roman" w:hAnsi="Times New Roman" w:cs="Times New Roman"/>
          <w:sz w:val="24"/>
          <w:szCs w:val="24"/>
          <w:vertAlign w:val="superscript"/>
        </w:rPr>
        <w:footnoteReference w:id="66"/>
      </w:r>
      <w:r>
        <w:rPr>
          <w:rStyle w:val="None"/>
          <w:rFonts w:ascii="Times New Roman" w:hAnsi="Times New Roman"/>
          <w:sz w:val="24"/>
          <w:szCs w:val="24"/>
        </w:rPr>
        <w:t xml:space="preserve"> which defines cruel, inhuman and degrading treatment or punishment along the lines of the CAT definition. The definition does not, however address tortu</w:t>
      </w:r>
      <w:r>
        <w:rPr>
          <w:rStyle w:val="None"/>
          <w:rFonts w:ascii="Times New Roman" w:hAnsi="Times New Roman"/>
          <w:sz w:val="24"/>
          <w:szCs w:val="24"/>
        </w:rPr>
        <w:t xml:space="preserve">re committed by private persons or non-state actors. In the Counter-Trafficking in Persons Act, </w:t>
      </w:r>
      <w:r>
        <w:rPr>
          <w:rStyle w:val="None"/>
          <w:rFonts w:ascii="Times New Roman" w:eastAsia="Times New Roman" w:hAnsi="Times New Roman" w:cs="Times New Roman"/>
          <w:sz w:val="24"/>
          <w:szCs w:val="24"/>
          <w:vertAlign w:val="superscript"/>
        </w:rPr>
        <w:footnoteReference w:id="67"/>
      </w:r>
      <w:r>
        <w:rPr>
          <w:rStyle w:val="None"/>
          <w:rFonts w:ascii="Times New Roman" w:hAnsi="Times New Roman"/>
          <w:sz w:val="24"/>
          <w:szCs w:val="24"/>
        </w:rPr>
        <w:t xml:space="preserve"> it frames the crime of trafficking in persons within the context of labour and sexual exploitation as </w:t>
      </w:r>
      <w:r>
        <w:rPr>
          <w:rStyle w:val="None"/>
          <w:rFonts w:ascii="Times New Roman" w:hAnsi="Times New Roman"/>
          <w:sz w:val="24"/>
          <w:szCs w:val="24"/>
        </w:rPr>
        <w:t>“</w:t>
      </w:r>
      <w:r>
        <w:rPr>
          <w:rStyle w:val="None"/>
          <w:rFonts w:ascii="Times New Roman" w:hAnsi="Times New Roman"/>
          <w:sz w:val="24"/>
          <w:szCs w:val="24"/>
        </w:rPr>
        <w:t>exploitation,</w:t>
      </w:r>
      <w:r>
        <w:rPr>
          <w:rStyle w:val="None"/>
          <w:rFonts w:ascii="Times New Roman" w:hAnsi="Times New Roman"/>
          <w:sz w:val="24"/>
          <w:szCs w:val="24"/>
        </w:rPr>
        <w:t xml:space="preserve">” </w:t>
      </w:r>
      <w:r>
        <w:rPr>
          <w:rStyle w:val="None"/>
          <w:rFonts w:ascii="Times New Roman" w:hAnsi="Times New Roman"/>
          <w:sz w:val="24"/>
          <w:szCs w:val="24"/>
        </w:rPr>
        <w:t>but does not include a definition of tor</w:t>
      </w:r>
      <w:r>
        <w:rPr>
          <w:rStyle w:val="None"/>
          <w:rFonts w:ascii="Times New Roman" w:hAnsi="Times New Roman"/>
          <w:sz w:val="24"/>
          <w:szCs w:val="24"/>
        </w:rPr>
        <w:t>ture.  While the Children Act of Kenya</w:t>
      </w:r>
      <w:r>
        <w:rPr>
          <w:rStyle w:val="None"/>
          <w:rFonts w:ascii="Times New Roman" w:eastAsia="Times New Roman" w:hAnsi="Times New Roman" w:cs="Times New Roman"/>
          <w:sz w:val="24"/>
          <w:szCs w:val="24"/>
          <w:vertAlign w:val="superscript"/>
        </w:rPr>
        <w:footnoteReference w:id="68"/>
      </w:r>
      <w:r>
        <w:rPr>
          <w:rStyle w:val="None"/>
          <w:rFonts w:ascii="Times New Roman" w:hAnsi="Times New Roman"/>
          <w:sz w:val="24"/>
          <w:szCs w:val="24"/>
        </w:rPr>
        <w:t xml:space="preserve"> commits itself to the principle that </w:t>
      </w:r>
      <w:r>
        <w:rPr>
          <w:rStyle w:val="None"/>
          <w:rFonts w:ascii="Times New Roman" w:hAnsi="Times New Roman"/>
          <w:sz w:val="24"/>
          <w:szCs w:val="24"/>
        </w:rPr>
        <w:t>“</w:t>
      </w:r>
      <w:r>
        <w:rPr>
          <w:rStyle w:val="None"/>
          <w:rFonts w:ascii="Times New Roman" w:hAnsi="Times New Roman"/>
          <w:sz w:val="24"/>
          <w:szCs w:val="24"/>
        </w:rPr>
        <w:t>no child shall be subjected to torture, of cruel treatment or punishment, unlawful arrest or liberty, deprivation of liberty.</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69"/>
      </w:r>
      <w:r>
        <w:rPr>
          <w:rStyle w:val="None"/>
          <w:rFonts w:ascii="Times New Roman" w:hAnsi="Times New Roman"/>
          <w:sz w:val="24"/>
          <w:szCs w:val="24"/>
        </w:rPr>
        <w:t xml:space="preserve"> Anomalously, economic exploitation</w:t>
      </w:r>
      <w:r>
        <w:rPr>
          <w:rStyle w:val="None"/>
          <w:rFonts w:ascii="Times New Roman" w:eastAsia="Times New Roman" w:hAnsi="Times New Roman" w:cs="Times New Roman"/>
          <w:sz w:val="24"/>
          <w:szCs w:val="24"/>
          <w:vertAlign w:val="superscript"/>
        </w:rPr>
        <w:footnoteReference w:id="70"/>
      </w:r>
      <w:r>
        <w:rPr>
          <w:rStyle w:val="None"/>
          <w:rFonts w:ascii="Times New Roman" w:hAnsi="Times New Roman"/>
          <w:sz w:val="24"/>
          <w:szCs w:val="24"/>
        </w:rPr>
        <w:t xml:space="preserve"> is addressed u</w:t>
      </w:r>
      <w:r>
        <w:rPr>
          <w:rStyle w:val="None"/>
          <w:rFonts w:ascii="Times New Roman" w:hAnsi="Times New Roman"/>
          <w:sz w:val="24"/>
          <w:szCs w:val="24"/>
        </w:rPr>
        <w:t>nder the Act, but it is done without expressly forbidding child labour. Domestic work in Kenya is regulated under the general labour laws which regulate all other workers.</w:t>
      </w:r>
      <w:r>
        <w:rPr>
          <w:rStyle w:val="None"/>
          <w:rFonts w:ascii="Times New Roman" w:eastAsia="Times New Roman" w:hAnsi="Times New Roman" w:cs="Times New Roman"/>
          <w:sz w:val="24"/>
          <w:szCs w:val="24"/>
          <w:vertAlign w:val="superscript"/>
        </w:rPr>
        <w:footnoteReference w:id="71"/>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numPr>
          <w:ilvl w:val="0"/>
          <w:numId w:val="7"/>
        </w:numPr>
        <w:spacing w:after="0" w:line="240" w:lineRule="auto"/>
        <w:jc w:val="both"/>
        <w:rPr>
          <w:rFonts w:ascii="Times New Roman" w:hAnsi="Times New Roman"/>
          <w:b/>
          <w:bCs/>
          <w:sz w:val="24"/>
          <w:szCs w:val="24"/>
        </w:rPr>
      </w:pPr>
      <w:r>
        <w:rPr>
          <w:rFonts w:ascii="Times New Roman" w:hAnsi="Times New Roman"/>
          <w:b/>
          <w:bCs/>
          <w:sz w:val="24"/>
          <w:szCs w:val="24"/>
        </w:rPr>
        <w:t>The Employment Act: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The Employment Act is the main substantive law on employment</w:t>
      </w:r>
      <w:r>
        <w:rPr>
          <w:rStyle w:val="None"/>
          <w:rFonts w:ascii="Times New Roman" w:hAnsi="Times New Roman"/>
          <w:sz w:val="24"/>
          <w:szCs w:val="24"/>
        </w:rPr>
        <w:t xml:space="preserve"> in Kenya. The Act defines the fundamental rights of employees and establishes the basic conditions of employment.  The Employment Act enunciates the principles enshrined in the Constitution as well as several international labor law instruments which incl</w:t>
      </w:r>
      <w:r>
        <w:rPr>
          <w:rStyle w:val="None"/>
          <w:rFonts w:ascii="Times New Roman" w:hAnsi="Times New Roman"/>
          <w:sz w:val="24"/>
          <w:szCs w:val="24"/>
        </w:rPr>
        <w:t>ude the prohibition against forced labor,</w:t>
      </w:r>
      <w:r>
        <w:rPr>
          <w:rStyle w:val="None"/>
          <w:rFonts w:ascii="Times New Roman" w:eastAsia="Times New Roman" w:hAnsi="Times New Roman" w:cs="Times New Roman"/>
          <w:sz w:val="24"/>
          <w:szCs w:val="24"/>
          <w:vertAlign w:val="superscript"/>
        </w:rPr>
        <w:footnoteReference w:id="72"/>
      </w:r>
      <w:r>
        <w:rPr>
          <w:rStyle w:val="None"/>
          <w:rFonts w:ascii="Times New Roman" w:hAnsi="Times New Roman"/>
          <w:sz w:val="24"/>
          <w:szCs w:val="24"/>
        </w:rPr>
        <w:t xml:space="preserve"> elimination of discrimination and promotion of equality,</w:t>
      </w:r>
      <w:r>
        <w:rPr>
          <w:rStyle w:val="None"/>
          <w:rFonts w:ascii="Times New Roman" w:eastAsia="Times New Roman" w:hAnsi="Times New Roman" w:cs="Times New Roman"/>
          <w:sz w:val="24"/>
          <w:szCs w:val="24"/>
          <w:vertAlign w:val="superscript"/>
        </w:rPr>
        <w:footnoteReference w:id="73"/>
      </w:r>
      <w:r>
        <w:rPr>
          <w:rStyle w:val="None"/>
          <w:rFonts w:ascii="Times New Roman" w:hAnsi="Times New Roman"/>
          <w:sz w:val="24"/>
          <w:szCs w:val="24"/>
        </w:rPr>
        <w:t>and the protection against sexual harassment.</w:t>
      </w:r>
      <w:r>
        <w:rPr>
          <w:rStyle w:val="None"/>
          <w:rFonts w:ascii="Times New Roman" w:eastAsia="Times New Roman" w:hAnsi="Times New Roman" w:cs="Times New Roman"/>
          <w:sz w:val="24"/>
          <w:szCs w:val="24"/>
          <w:vertAlign w:val="superscript"/>
        </w:rPr>
        <w:footnoteReference w:id="74"/>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In terms of its scope and application, the Act applies to employees and employers under a contract of servi</w:t>
      </w:r>
      <w:r>
        <w:rPr>
          <w:rStyle w:val="None"/>
          <w:rFonts w:ascii="Times New Roman" w:hAnsi="Times New Roman"/>
          <w:sz w:val="24"/>
          <w:szCs w:val="24"/>
        </w:rPr>
        <w:t>ce.</w:t>
      </w:r>
      <w:r>
        <w:rPr>
          <w:rStyle w:val="None"/>
          <w:rFonts w:ascii="Times New Roman" w:eastAsia="Times New Roman" w:hAnsi="Times New Roman" w:cs="Times New Roman"/>
          <w:sz w:val="24"/>
          <w:szCs w:val="24"/>
          <w:vertAlign w:val="superscript"/>
        </w:rPr>
        <w:footnoteReference w:id="75"/>
      </w:r>
      <w:r>
        <w:rPr>
          <w:rStyle w:val="None"/>
          <w:rFonts w:ascii="Times New Roman" w:hAnsi="Times New Roman"/>
          <w:sz w:val="24"/>
          <w:szCs w:val="24"/>
        </w:rPr>
        <w:t xml:space="preserve"> The law recognizes both oral and written contracts.</w:t>
      </w:r>
      <w:r>
        <w:rPr>
          <w:rStyle w:val="None"/>
          <w:rFonts w:ascii="Times New Roman" w:eastAsia="Times New Roman" w:hAnsi="Times New Roman" w:cs="Times New Roman"/>
          <w:sz w:val="24"/>
          <w:szCs w:val="24"/>
          <w:vertAlign w:val="superscript"/>
        </w:rPr>
        <w:footnoteReference w:id="76"/>
      </w:r>
      <w:r>
        <w:rPr>
          <w:rStyle w:val="None"/>
          <w:rFonts w:ascii="Times New Roman" w:hAnsi="Times New Roman"/>
          <w:sz w:val="24"/>
          <w:szCs w:val="24"/>
        </w:rPr>
        <w:t xml:space="preserve"> Significantly, the law requires the employer to draft a written contract of service with the particulars of employment and for the employee to append their signature or thumbprint. The employment Ac</w:t>
      </w:r>
      <w:r>
        <w:rPr>
          <w:rStyle w:val="None"/>
          <w:rFonts w:ascii="Times New Roman" w:hAnsi="Times New Roman"/>
          <w:sz w:val="24"/>
          <w:szCs w:val="24"/>
        </w:rPr>
        <w:t>t further regulates the payment of wages,</w:t>
      </w:r>
      <w:r>
        <w:rPr>
          <w:rStyle w:val="None"/>
          <w:rFonts w:ascii="Times New Roman" w:eastAsia="Times New Roman" w:hAnsi="Times New Roman" w:cs="Times New Roman"/>
          <w:sz w:val="24"/>
          <w:szCs w:val="24"/>
          <w:vertAlign w:val="superscript"/>
        </w:rPr>
        <w:footnoteReference w:id="77"/>
      </w:r>
      <w:r>
        <w:rPr>
          <w:rStyle w:val="None"/>
          <w:rFonts w:ascii="Times New Roman" w:hAnsi="Times New Roman"/>
          <w:sz w:val="24"/>
          <w:szCs w:val="24"/>
        </w:rPr>
        <w:t xml:space="preserve"> annual leave, </w:t>
      </w:r>
      <w:r>
        <w:rPr>
          <w:rStyle w:val="None"/>
          <w:rFonts w:ascii="Times New Roman" w:eastAsia="Times New Roman" w:hAnsi="Times New Roman" w:cs="Times New Roman"/>
          <w:sz w:val="24"/>
          <w:szCs w:val="24"/>
          <w:vertAlign w:val="superscript"/>
        </w:rPr>
        <w:footnoteReference w:id="78"/>
      </w:r>
      <w:r>
        <w:rPr>
          <w:rStyle w:val="None"/>
          <w:rFonts w:ascii="Times New Roman" w:hAnsi="Times New Roman"/>
          <w:sz w:val="24"/>
          <w:szCs w:val="24"/>
        </w:rPr>
        <w:t xml:space="preserve"> maternity leave, </w:t>
      </w:r>
      <w:r>
        <w:rPr>
          <w:rStyle w:val="None"/>
          <w:rFonts w:ascii="Times New Roman" w:eastAsia="Times New Roman" w:hAnsi="Times New Roman" w:cs="Times New Roman"/>
          <w:sz w:val="24"/>
          <w:szCs w:val="24"/>
          <w:vertAlign w:val="superscript"/>
        </w:rPr>
        <w:footnoteReference w:id="79"/>
      </w:r>
      <w:r>
        <w:rPr>
          <w:rStyle w:val="None"/>
          <w:rFonts w:ascii="Times New Roman" w:hAnsi="Times New Roman"/>
          <w:sz w:val="24"/>
          <w:szCs w:val="24"/>
        </w:rPr>
        <w:t xml:space="preserve"> sick leave, </w:t>
      </w:r>
      <w:r>
        <w:rPr>
          <w:rStyle w:val="None"/>
          <w:rFonts w:ascii="Times New Roman" w:eastAsia="Times New Roman" w:hAnsi="Times New Roman" w:cs="Times New Roman"/>
          <w:sz w:val="24"/>
          <w:szCs w:val="24"/>
          <w:vertAlign w:val="superscript"/>
        </w:rPr>
        <w:footnoteReference w:id="80"/>
      </w:r>
      <w:r>
        <w:rPr>
          <w:rStyle w:val="None"/>
          <w:rFonts w:ascii="Times New Roman" w:hAnsi="Times New Roman"/>
          <w:sz w:val="24"/>
          <w:szCs w:val="24"/>
        </w:rPr>
        <w:t xml:space="preserve"> and hours of work,</w:t>
      </w:r>
      <w:r>
        <w:rPr>
          <w:rStyle w:val="None"/>
          <w:rFonts w:ascii="Times New Roman" w:eastAsia="Times New Roman" w:hAnsi="Times New Roman" w:cs="Times New Roman"/>
          <w:sz w:val="24"/>
          <w:szCs w:val="24"/>
          <w:vertAlign w:val="superscript"/>
        </w:rPr>
        <w:footnoteReference w:id="81"/>
      </w:r>
      <w:r>
        <w:rPr>
          <w:rStyle w:val="None"/>
          <w:rFonts w:ascii="Times New Roman" w:hAnsi="Times New Roman"/>
          <w:sz w:val="24"/>
          <w:szCs w:val="24"/>
        </w:rPr>
        <w:t xml:space="preserve"> amongst other regulations.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 Act does not explicitly define domestic work, and there are no provisions addressed specifically to that sector or context. Section 3, dealing with application, determines that the act does not apply to </w:t>
      </w:r>
      <w:r>
        <w:rPr>
          <w:rStyle w:val="None"/>
          <w:rFonts w:ascii="Times New Roman" w:hAnsi="Times New Roman"/>
          <w:sz w:val="24"/>
          <w:szCs w:val="24"/>
        </w:rPr>
        <w:t>“</w:t>
      </w:r>
      <w:r>
        <w:rPr>
          <w:rStyle w:val="None"/>
          <w:rFonts w:ascii="Times New Roman" w:hAnsi="Times New Roman"/>
          <w:sz w:val="24"/>
          <w:szCs w:val="24"/>
        </w:rPr>
        <w:t>the employer</w:t>
      </w:r>
      <w:r>
        <w:rPr>
          <w:rStyle w:val="None"/>
          <w:rFonts w:ascii="Times New Roman" w:hAnsi="Times New Roman"/>
          <w:sz w:val="24"/>
          <w:szCs w:val="24"/>
        </w:rPr>
        <w:t>’</w:t>
      </w:r>
      <w:r>
        <w:rPr>
          <w:rStyle w:val="None"/>
          <w:rFonts w:ascii="Times New Roman" w:hAnsi="Times New Roman"/>
          <w:sz w:val="24"/>
          <w:szCs w:val="24"/>
        </w:rPr>
        <w:t>s dependents where the dependents a</w:t>
      </w:r>
      <w:r>
        <w:rPr>
          <w:rStyle w:val="None"/>
          <w:rFonts w:ascii="Times New Roman" w:hAnsi="Times New Roman"/>
          <w:sz w:val="24"/>
          <w:szCs w:val="24"/>
        </w:rPr>
        <w:t>re the only employees the family undertaking.</w:t>
      </w:r>
      <w:r>
        <w:rPr>
          <w:rStyle w:val="None"/>
          <w:rFonts w:ascii="Times New Roman" w:hAnsi="Times New Roman"/>
          <w:sz w:val="24"/>
          <w:szCs w:val="24"/>
        </w:rPr>
        <w:t xml:space="preserve">” </w:t>
      </w:r>
      <w:r>
        <w:rPr>
          <w:rStyle w:val="None"/>
          <w:rFonts w:ascii="Times New Roman" w:hAnsi="Times New Roman"/>
          <w:sz w:val="24"/>
          <w:szCs w:val="24"/>
        </w:rPr>
        <w:t xml:space="preserve">Significantly this means that family members working as domestic workers in a home where they are </w:t>
      </w:r>
      <w:r>
        <w:rPr>
          <w:rStyle w:val="None"/>
          <w:rFonts w:ascii="Times New Roman" w:hAnsi="Times New Roman"/>
          <w:sz w:val="24"/>
          <w:szCs w:val="24"/>
        </w:rPr>
        <w:t>“</w:t>
      </w:r>
      <w:r>
        <w:rPr>
          <w:rStyle w:val="None"/>
          <w:rFonts w:ascii="Times New Roman" w:hAnsi="Times New Roman"/>
          <w:sz w:val="24"/>
          <w:szCs w:val="24"/>
        </w:rPr>
        <w:t>dependent</w:t>
      </w:r>
      <w:r>
        <w:rPr>
          <w:rStyle w:val="None"/>
          <w:rFonts w:ascii="Times New Roman" w:hAnsi="Times New Roman"/>
          <w:sz w:val="24"/>
          <w:szCs w:val="24"/>
        </w:rPr>
        <w:t xml:space="preserve">” </w:t>
      </w:r>
      <w:r>
        <w:rPr>
          <w:rStyle w:val="None"/>
          <w:rFonts w:ascii="Times New Roman" w:hAnsi="Times New Roman"/>
          <w:sz w:val="24"/>
          <w:szCs w:val="24"/>
        </w:rPr>
        <w:t>would not be covered by any of the protections in the Act. ILO C189 on Domestic Work does not count</w:t>
      </w:r>
      <w:r>
        <w:rPr>
          <w:rStyle w:val="None"/>
          <w:rFonts w:ascii="Times New Roman" w:hAnsi="Times New Roman"/>
          <w:sz w:val="24"/>
          <w:szCs w:val="24"/>
        </w:rPr>
        <w:t>enance these preclusions.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While section 5 of the Employment At prohibits both direct and indirect discrimination by an employer against an employee, Section 6 addresses sexual harassment, and sets out that an employee is harassed </w:t>
      </w:r>
      <w:r>
        <w:rPr>
          <w:rStyle w:val="None"/>
          <w:rFonts w:ascii="Times New Roman" w:hAnsi="Times New Roman"/>
          <w:sz w:val="24"/>
          <w:szCs w:val="24"/>
        </w:rPr>
        <w:t>“</w:t>
      </w:r>
      <w:r>
        <w:rPr>
          <w:rStyle w:val="None"/>
          <w:rFonts w:ascii="Times New Roman" w:hAnsi="Times New Roman"/>
          <w:sz w:val="24"/>
          <w:szCs w:val="24"/>
        </w:rPr>
        <w:t>if the employer of the e</w:t>
      </w:r>
      <w:r>
        <w:rPr>
          <w:rStyle w:val="None"/>
          <w:rFonts w:ascii="Times New Roman" w:hAnsi="Times New Roman"/>
          <w:sz w:val="24"/>
          <w:szCs w:val="24"/>
        </w:rPr>
        <w:t>mployee or a representative of that employer or a co-worker- (a) directly or indirectly requests sexual intercourse, sexual contact and or any other form of sexual activity that contains either a promise of preferential treatment or a threat of detrimental</w:t>
      </w:r>
      <w:r>
        <w:rPr>
          <w:rStyle w:val="None"/>
          <w:rFonts w:ascii="Times New Roman" w:hAnsi="Times New Roman"/>
          <w:sz w:val="24"/>
          <w:szCs w:val="24"/>
        </w:rPr>
        <w:t xml:space="preserve"> treatment or about the future or present employment status of the employee; or uses language or visual material of a sexual nature, or shows physical behavior of a sexual nature that is unwelcome or offensive and has a detrimental impact on the employee. </w:t>
      </w:r>
      <w:r>
        <w:rPr>
          <w:rStyle w:val="None"/>
          <w:rFonts w:ascii="Times New Roman" w:hAnsi="Times New Roman"/>
          <w:sz w:val="24"/>
          <w:szCs w:val="24"/>
        </w:rPr>
        <w:t>While section 5 places the onus on the employer to rebut allegations of discrimination, the reverse onus provision is not found in section 6 on sexual harassment.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Subsection (2) and (3) require an employer who employs twenty or more employees, to, after c</w:t>
      </w:r>
      <w:r>
        <w:rPr>
          <w:rStyle w:val="None"/>
          <w:rFonts w:ascii="Times New Roman" w:hAnsi="Times New Roman"/>
          <w:sz w:val="24"/>
          <w:szCs w:val="24"/>
        </w:rPr>
        <w:t>onsultation with the employees/ representatives, issue a policy statement on sexual harassment, which includes the definition of harassment; a statement that every employee is entitled to employment that is free from  sexual harassment; that the employer s</w:t>
      </w:r>
      <w:r>
        <w:rPr>
          <w:rStyle w:val="None"/>
          <w:rFonts w:ascii="Times New Roman" w:hAnsi="Times New Roman"/>
          <w:sz w:val="24"/>
          <w:szCs w:val="24"/>
        </w:rPr>
        <w:t>hall take steps to ensure that no employee is subject to sexual harassment; and will take disciplinary measures against alleged harassers; explaining the ways which complaints can be brought; and guaranteeing a degree of confidentiality. The section also r</w:t>
      </w:r>
      <w:r>
        <w:rPr>
          <w:rStyle w:val="None"/>
          <w:rFonts w:ascii="Times New Roman" w:hAnsi="Times New Roman"/>
          <w:sz w:val="24"/>
          <w:szCs w:val="24"/>
        </w:rPr>
        <w:t>equires an employer to make this policy known to third parties dealing with the business.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These provisions fall short of obligations to effectively prevent sexual harassment and gender-based violence at work which amount to ill-treatment and torture under</w:t>
      </w:r>
      <w:r>
        <w:rPr>
          <w:rStyle w:val="None"/>
          <w:rFonts w:ascii="Times New Roman" w:hAnsi="Times New Roman"/>
          <w:sz w:val="24"/>
          <w:szCs w:val="24"/>
        </w:rPr>
        <w:t xml:space="preserve"> CAT in a number of crucial respects.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First, the definition of sexual harassment as relating to conduct of a sexual nature is unduly narrow, and does not capture gender-based harassment, which would include gender-motivated conduct that is not necessarily</w:t>
      </w:r>
      <w:r>
        <w:rPr>
          <w:rStyle w:val="None"/>
          <w:rFonts w:ascii="Times New Roman" w:hAnsi="Times New Roman"/>
          <w:sz w:val="24"/>
          <w:szCs w:val="24"/>
        </w:rPr>
        <w:t xml:space="preserve"> sexual, but that is equally unwelcome. Under C190, gender-based violence and harassment is defined as </w:t>
      </w:r>
      <w:r>
        <w:rPr>
          <w:rStyle w:val="None"/>
          <w:rFonts w:ascii="Times New Roman" w:hAnsi="Times New Roman"/>
          <w:sz w:val="24"/>
          <w:szCs w:val="24"/>
        </w:rPr>
        <w:t>“</w:t>
      </w:r>
      <w:r>
        <w:rPr>
          <w:rStyle w:val="None"/>
          <w:rFonts w:ascii="Times New Roman" w:hAnsi="Times New Roman"/>
          <w:sz w:val="24"/>
          <w:szCs w:val="24"/>
        </w:rPr>
        <w:t>violence and harassment directed at persons because of their sex or gender or affecting persons of a particular sex or gender disproportionately.</w:t>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Sec</w:t>
      </w:r>
      <w:r>
        <w:rPr>
          <w:rStyle w:val="None"/>
          <w:rFonts w:ascii="Times New Roman" w:hAnsi="Times New Roman"/>
          <w:sz w:val="24"/>
          <w:szCs w:val="24"/>
        </w:rPr>
        <w:t>ondly, in the situation where domestic workers are dependent family members, they would not be covered by any of the provisions on non-discrimination and sexual harassment, since they are entirely excluded from the protection of the Act.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Thirdly, since mo</w:t>
      </w:r>
      <w:r>
        <w:rPr>
          <w:rStyle w:val="None"/>
          <w:rFonts w:ascii="Times New Roman" w:hAnsi="Times New Roman"/>
          <w:sz w:val="24"/>
          <w:szCs w:val="24"/>
        </w:rPr>
        <w:t xml:space="preserve">st private employers of domestic workers employ under twenty workers, they would not be bound at all with respect to provisions to prevent sexual harassment by issuing a policy statement, which includes a definition of what sexual harassment entails, that </w:t>
      </w:r>
      <w:r>
        <w:rPr>
          <w:rStyle w:val="None"/>
          <w:rFonts w:ascii="Times New Roman" w:hAnsi="Times New Roman"/>
          <w:sz w:val="24"/>
          <w:szCs w:val="24"/>
        </w:rPr>
        <w:t>there is a right to an environment free of sexual harassment and explaining the complaint mechanisms available to the domestic worker. This exclusion means that domestic workers are explicitly excluded from one of the most critical mechanisms for preventio</w:t>
      </w:r>
      <w:r>
        <w:rPr>
          <w:rStyle w:val="None"/>
          <w:rFonts w:ascii="Times New Roman" w:hAnsi="Times New Roman"/>
          <w:sz w:val="24"/>
          <w:szCs w:val="24"/>
        </w:rPr>
        <w:t xml:space="preserve">n and protection under the Employment Act.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These provisions would similarly fall short of requirements under C190 on Violence and Harassment, which make clear that the obligation to adopt laws and regulations to define and prohibit violence and harassmen</w:t>
      </w:r>
      <w:r>
        <w:rPr>
          <w:rStyle w:val="None"/>
          <w:rFonts w:ascii="Times New Roman" w:hAnsi="Times New Roman"/>
          <w:sz w:val="24"/>
          <w:szCs w:val="24"/>
        </w:rPr>
        <w:t>t, including GBVH, apply to all workers and sectors, including domestic workers. Article 9 obliges states to adopt laws and regulations requiring employers to take appropriate steps commensurate with their degree of control to prevent violence and harassme</w:t>
      </w:r>
      <w:r>
        <w:rPr>
          <w:rStyle w:val="None"/>
          <w:rFonts w:ascii="Times New Roman" w:hAnsi="Times New Roman"/>
          <w:sz w:val="24"/>
          <w:szCs w:val="24"/>
        </w:rPr>
        <w:t>nt in the world of work, which includes adopting workplace policies, identifying hazards and risks and provide information and training. These provisions are not limited to the formal sector or urban areas.</w:t>
      </w:r>
      <w:r>
        <w:rPr>
          <w:rStyle w:val="None"/>
          <w:rFonts w:ascii="Times New Roman" w:eastAsia="Times New Roman" w:hAnsi="Times New Roman" w:cs="Times New Roman"/>
          <w:sz w:val="24"/>
          <w:szCs w:val="24"/>
          <w:vertAlign w:val="superscript"/>
        </w:rPr>
        <w:footnoteReference w:id="82"/>
      </w:r>
    </w:p>
    <w:p w:rsidR="0060529E" w:rsidRDefault="0060529E">
      <w:pPr>
        <w:pStyle w:val="BodyA"/>
        <w:spacing w:after="0" w:line="240" w:lineRule="auto"/>
        <w:jc w:val="both"/>
      </w:pPr>
    </w:p>
    <w:p w:rsidR="0060529E" w:rsidRDefault="00AD1DC6">
      <w:pPr>
        <w:pStyle w:val="BodyA"/>
        <w:numPr>
          <w:ilvl w:val="0"/>
          <w:numId w:val="7"/>
        </w:numPr>
        <w:spacing w:after="0" w:line="240" w:lineRule="auto"/>
        <w:jc w:val="both"/>
        <w:rPr>
          <w:rFonts w:ascii="Times New Roman" w:hAnsi="Times New Roman"/>
          <w:b/>
          <w:bCs/>
          <w:sz w:val="24"/>
          <w:szCs w:val="24"/>
        </w:rPr>
      </w:pPr>
      <w:r>
        <w:rPr>
          <w:rFonts w:ascii="Times New Roman" w:hAnsi="Times New Roman"/>
          <w:b/>
          <w:bCs/>
          <w:sz w:val="24"/>
          <w:szCs w:val="24"/>
        </w:rPr>
        <w:t>Sexual Offences Act: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Under Section 23 of the S</w:t>
      </w:r>
      <w:r>
        <w:rPr>
          <w:rStyle w:val="None"/>
          <w:rFonts w:ascii="Times New Roman" w:hAnsi="Times New Roman"/>
          <w:sz w:val="24"/>
          <w:szCs w:val="24"/>
        </w:rPr>
        <w:t xml:space="preserve">exual Offences Act of 2006, </w:t>
      </w:r>
      <w:r>
        <w:rPr>
          <w:rStyle w:val="None"/>
          <w:rFonts w:ascii="Times New Roman" w:hAnsi="Times New Roman"/>
          <w:sz w:val="24"/>
          <w:szCs w:val="24"/>
        </w:rPr>
        <w:t>“</w:t>
      </w:r>
      <w:r>
        <w:rPr>
          <w:rStyle w:val="None"/>
          <w:rFonts w:ascii="Times New Roman" w:hAnsi="Times New Roman"/>
          <w:sz w:val="24"/>
          <w:szCs w:val="24"/>
        </w:rPr>
        <w:t>any person, who being in a position of authority or holding a public office, who persistently makes any sexual advances or requests which he or she knows, or has reasonable grounds to know, are unwelcome, is guilty of the offen</w:t>
      </w:r>
      <w:r>
        <w:rPr>
          <w:rStyle w:val="None"/>
          <w:rFonts w:ascii="Times New Roman" w:hAnsi="Times New Roman"/>
          <w:sz w:val="24"/>
          <w:szCs w:val="24"/>
        </w:rPr>
        <w:t>ce of sexual harassment and shall be liable to imprisonment for a term of not less than three years or to a fine of. Not less than one hundred thousand shilling or both</w:t>
      </w:r>
      <w:r>
        <w:rPr>
          <w:rStyle w:val="None"/>
          <w:rFonts w:ascii="Times New Roman" w:hAnsi="Times New Roman"/>
          <w:sz w:val="24"/>
          <w:szCs w:val="24"/>
        </w:rPr>
        <w:t>”</w:t>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However (2) of the section, places an onus on the victim to prove that (a) that th</w:t>
      </w:r>
      <w:r>
        <w:rPr>
          <w:rStyle w:val="None"/>
          <w:rFonts w:ascii="Times New Roman" w:hAnsi="Times New Roman"/>
          <w:sz w:val="24"/>
          <w:szCs w:val="24"/>
        </w:rPr>
        <w:t>e submission or rejection of the sexual advances or requests would be used as a basis for employment or as a decision relevant to the career of the alleged victim; (b) that the sexual advances or requests by the perpetrator have the effect of interfering w</w:t>
      </w:r>
      <w:r>
        <w:rPr>
          <w:rStyle w:val="None"/>
          <w:rFonts w:ascii="Times New Roman" w:hAnsi="Times New Roman"/>
          <w:sz w:val="24"/>
          <w:szCs w:val="24"/>
        </w:rPr>
        <w:t>ith the alleged victim</w:t>
      </w:r>
      <w:r>
        <w:rPr>
          <w:rStyle w:val="None"/>
          <w:rFonts w:ascii="Times New Roman" w:hAnsi="Times New Roman"/>
          <w:sz w:val="24"/>
          <w:szCs w:val="24"/>
        </w:rPr>
        <w:t>’</w:t>
      </w:r>
      <w:r>
        <w:rPr>
          <w:rStyle w:val="None"/>
          <w:rFonts w:ascii="Times New Roman" w:hAnsi="Times New Roman"/>
          <w:sz w:val="24"/>
          <w:szCs w:val="24"/>
        </w:rPr>
        <w:t>s work; educational performance or have created an offensive working or learning environment; or (c) from a public officer.</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Consequently, under the Sexual Offences Act, sexual harassment is a criminal offence, only when perpetrated </w:t>
      </w:r>
      <w:r>
        <w:rPr>
          <w:rStyle w:val="None"/>
          <w:rFonts w:ascii="Times New Roman" w:hAnsi="Times New Roman"/>
          <w:sz w:val="24"/>
          <w:szCs w:val="24"/>
        </w:rPr>
        <w:t>by someone in position of authority; when such conduct is persistent; when he/she has reasonable grounds to know it is unwelcomed. Significantly, it is the victim who bears the onus of proving that there was a work-related quid pro quo, or the advances hav</w:t>
      </w:r>
      <w:r>
        <w:rPr>
          <w:rStyle w:val="None"/>
          <w:rFonts w:ascii="Times New Roman" w:hAnsi="Times New Roman"/>
          <w:sz w:val="24"/>
          <w:szCs w:val="24"/>
        </w:rPr>
        <w:t xml:space="preserve">e had the effect of interfering with their work.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These prerequisites and limitations undermine the ability of victims of gender-based violence and harassment from obtaining a remedy where the conduct is not persistent or culturally sanctioned, such that </w:t>
      </w:r>
      <w:r>
        <w:rPr>
          <w:rStyle w:val="None"/>
          <w:rFonts w:ascii="Times New Roman" w:hAnsi="Times New Roman"/>
          <w:sz w:val="24"/>
          <w:szCs w:val="24"/>
        </w:rPr>
        <w:t>it would not be considered unreasonable. It also would not protect domestic workers working in a home, where the harassment or violence emanates from a family member that is not in a position of power. For example, in a private home, it might be the childr</w:t>
      </w:r>
      <w:r>
        <w:rPr>
          <w:rStyle w:val="None"/>
          <w:rFonts w:ascii="Times New Roman" w:hAnsi="Times New Roman"/>
          <w:sz w:val="24"/>
          <w:szCs w:val="24"/>
        </w:rPr>
        <w:t>en of the employer who are perpetrators of such offences.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Similarly, these provisions would not satisfy the obligations under C190 on Violence and harassment, which recognize all forms of violence and harassment, including that occurring from third partie</w:t>
      </w:r>
      <w:r>
        <w:rPr>
          <w:rStyle w:val="None"/>
          <w:rFonts w:ascii="Times New Roman" w:hAnsi="Times New Roman"/>
          <w:sz w:val="24"/>
          <w:szCs w:val="24"/>
        </w:rPr>
        <w:t xml:space="preserve">s, and that which is in the form of a single incident or recurrent </w:t>
      </w:r>
      <w:r>
        <w:rPr>
          <w:rStyle w:val="None"/>
          <w:rFonts w:ascii="Times New Roman" w:hAnsi="Times New Roman"/>
          <w:sz w:val="24"/>
          <w:szCs w:val="24"/>
        </w:rPr>
        <w:t>“</w:t>
      </w:r>
      <w:r>
        <w:rPr>
          <w:rStyle w:val="None"/>
          <w:rFonts w:ascii="Times New Roman" w:hAnsi="Times New Roman"/>
          <w:sz w:val="24"/>
          <w:szCs w:val="24"/>
        </w:rPr>
        <w:t>that result in or are likely to result in physical, psychological, sexual or economic harm, and includes gender-based violence and harassment.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83"/>
      </w:r>
      <w:r>
        <w:rPr>
          <w:rStyle w:val="None"/>
          <w:rFonts w:ascii="Times New Roman" w:hAnsi="Times New Roman"/>
          <w:sz w:val="24"/>
          <w:szCs w:val="24"/>
        </w:rPr>
        <w:t xml:space="preserve"> Under C190 it is </w:t>
      </w:r>
      <w:r>
        <w:rPr>
          <w:rStyle w:val="None"/>
          <w:rFonts w:ascii="Times New Roman" w:hAnsi="Times New Roman"/>
          <w:sz w:val="24"/>
          <w:szCs w:val="24"/>
        </w:rPr>
        <w:t>“</w:t>
      </w:r>
      <w:r>
        <w:rPr>
          <w:rStyle w:val="None"/>
          <w:rFonts w:ascii="Times New Roman" w:hAnsi="Times New Roman"/>
          <w:sz w:val="24"/>
          <w:szCs w:val="24"/>
        </w:rPr>
        <w:t>unacceptable conduct</w:t>
      </w:r>
      <w:r>
        <w:rPr>
          <w:rStyle w:val="None"/>
          <w:rFonts w:ascii="Times New Roman" w:hAnsi="Times New Roman"/>
          <w:sz w:val="24"/>
          <w:szCs w:val="24"/>
        </w:rPr>
        <w:t xml:space="preserve">” </w:t>
      </w:r>
      <w:r>
        <w:rPr>
          <w:rStyle w:val="None"/>
          <w:rFonts w:ascii="Times New Roman" w:hAnsi="Times New Roman"/>
          <w:sz w:val="24"/>
          <w:szCs w:val="24"/>
        </w:rPr>
        <w:t>tha</w:t>
      </w:r>
      <w:r>
        <w:rPr>
          <w:rStyle w:val="None"/>
          <w:rFonts w:ascii="Times New Roman" w:hAnsi="Times New Roman"/>
          <w:sz w:val="24"/>
          <w:szCs w:val="24"/>
        </w:rPr>
        <w:t xml:space="preserve">t is impugned, rather than a reasonable belief that it was not unwanted as set out in the Sexual Offences Act. Under Section 16 (e) of Recommendation 206 on Violence and Harassment, the shifting of the burden of proof, is appropriate, in proceedings other </w:t>
      </w:r>
      <w:r>
        <w:rPr>
          <w:rStyle w:val="None"/>
          <w:rFonts w:ascii="Times New Roman" w:hAnsi="Times New Roman"/>
          <w:sz w:val="24"/>
          <w:szCs w:val="24"/>
        </w:rPr>
        <w:t>than criminal proceedings.</w:t>
      </w:r>
    </w:p>
    <w:p w:rsidR="0060529E" w:rsidRDefault="0060529E">
      <w:pPr>
        <w:pStyle w:val="BodyA"/>
        <w:keepNext/>
        <w:keepLines/>
        <w:spacing w:after="0" w:line="240" w:lineRule="auto"/>
        <w:jc w:val="both"/>
        <w:outlineLvl w:val="1"/>
      </w:pPr>
    </w:p>
    <w:p w:rsidR="0060529E" w:rsidRDefault="00AD1DC6">
      <w:pPr>
        <w:pStyle w:val="BodyA"/>
        <w:keepNext/>
        <w:keepLines/>
        <w:numPr>
          <w:ilvl w:val="0"/>
          <w:numId w:val="8"/>
        </w:numPr>
        <w:spacing w:after="0" w:line="240" w:lineRule="auto"/>
        <w:jc w:val="both"/>
        <w:outlineLvl w:val="1"/>
        <w:rPr>
          <w:rFonts w:ascii="Times New Roman" w:hAnsi="Times New Roman"/>
          <w:b/>
          <w:bCs/>
          <w:sz w:val="24"/>
          <w:szCs w:val="24"/>
        </w:rPr>
      </w:pPr>
      <w:r>
        <w:rPr>
          <w:rFonts w:ascii="Times New Roman" w:hAnsi="Times New Roman"/>
          <w:b/>
          <w:bCs/>
          <w:sz w:val="24"/>
          <w:szCs w:val="24"/>
        </w:rPr>
        <w:t xml:space="preserve">Protection, </w:t>
      </w:r>
      <w:r>
        <w:rPr>
          <w:rStyle w:val="None"/>
          <w:rFonts w:ascii="Times New Roman" w:hAnsi="Times New Roman"/>
          <w:b/>
          <w:bCs/>
          <w:sz w:val="24"/>
          <w:szCs w:val="24"/>
          <w:u w:color="2F5496"/>
        </w:rPr>
        <w:t xml:space="preserve">Enforcement and on the ground realities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Domestic workers in Kenya face several challenges. Most domestic workers work longer than the legally required working hours (8 hours), have no social security, are paid less than the minimum wage levels and some have been sexually harassed. </w:t>
      </w:r>
      <w:r>
        <w:rPr>
          <w:rStyle w:val="None"/>
          <w:rFonts w:ascii="Times New Roman" w:eastAsia="Times New Roman" w:hAnsi="Times New Roman" w:cs="Times New Roman"/>
          <w:sz w:val="24"/>
          <w:szCs w:val="24"/>
          <w:vertAlign w:val="superscript"/>
        </w:rPr>
        <w:footnoteReference w:id="84"/>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The trade u</w:t>
      </w:r>
      <w:r>
        <w:rPr>
          <w:rStyle w:val="None"/>
          <w:rFonts w:ascii="Times New Roman" w:hAnsi="Times New Roman"/>
          <w:sz w:val="24"/>
          <w:szCs w:val="24"/>
        </w:rPr>
        <w:t>nion of domestic workers, the Kenya Union of Domestic, Hotels, Education Institution and Hospital workers (KUDHEIHA), has played a critical role in organizing and representing domestic workers since its inception in 1951.</w:t>
      </w:r>
      <w:r>
        <w:rPr>
          <w:rStyle w:val="None"/>
          <w:rFonts w:ascii="Times New Roman" w:eastAsia="Times New Roman" w:hAnsi="Times New Roman" w:cs="Times New Roman"/>
          <w:sz w:val="24"/>
          <w:szCs w:val="24"/>
          <w:vertAlign w:val="superscript"/>
        </w:rPr>
        <w:footnoteReference w:id="85"/>
      </w:r>
      <w:r>
        <w:rPr>
          <w:rStyle w:val="None"/>
          <w:rFonts w:ascii="Times New Roman" w:hAnsi="Times New Roman"/>
          <w:sz w:val="24"/>
          <w:szCs w:val="24"/>
        </w:rPr>
        <w:t xml:space="preserve"> Legal proceedings involving domes</w:t>
      </w:r>
      <w:r>
        <w:rPr>
          <w:rStyle w:val="None"/>
          <w:rFonts w:ascii="Times New Roman" w:hAnsi="Times New Roman"/>
          <w:sz w:val="24"/>
          <w:szCs w:val="24"/>
        </w:rPr>
        <w:t>tic workers have been instituted in the Employment and Labour Relations Court on behalf of domestic workers by KUDHEIHA, or nongovernmental organizations such as Kituo cha Sheria ( a legal aid center) and in some cases, domestic workers in person.</w:t>
      </w:r>
      <w:r>
        <w:rPr>
          <w:rStyle w:val="None"/>
          <w:rFonts w:ascii="Times New Roman" w:eastAsia="Times New Roman" w:hAnsi="Times New Roman" w:cs="Times New Roman"/>
          <w:sz w:val="24"/>
          <w:szCs w:val="24"/>
          <w:vertAlign w:val="superscript"/>
        </w:rPr>
        <w:footnoteReference w:id="86"/>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Howev</w:t>
      </w:r>
      <w:r>
        <w:rPr>
          <w:rStyle w:val="None"/>
          <w:rFonts w:ascii="Times New Roman" w:hAnsi="Times New Roman"/>
          <w:sz w:val="24"/>
          <w:szCs w:val="24"/>
        </w:rPr>
        <w:t xml:space="preserve">er, KUDHEIHA report the severe difficulty in talking to or accessing domestic workers in their workplaces. They report being met with locked doors, or a reminder that they are on private property, which they are precluded from entering without the consent </w:t>
      </w:r>
      <w:r>
        <w:rPr>
          <w:rStyle w:val="None"/>
          <w:rFonts w:ascii="Times New Roman" w:hAnsi="Times New Roman"/>
          <w:sz w:val="24"/>
          <w:szCs w:val="24"/>
        </w:rPr>
        <w:t>of the owner.</w:t>
      </w:r>
      <w:r>
        <w:rPr>
          <w:rStyle w:val="None"/>
          <w:rFonts w:ascii="Times New Roman" w:eastAsia="Times New Roman" w:hAnsi="Times New Roman" w:cs="Times New Roman"/>
          <w:sz w:val="24"/>
          <w:szCs w:val="24"/>
          <w:vertAlign w:val="superscript"/>
        </w:rPr>
        <w:footnoteReference w:id="87"/>
      </w:r>
      <w:r>
        <w:rPr>
          <w:rStyle w:val="None"/>
          <w:rFonts w:ascii="Times New Roman" w:hAnsi="Times New Roman"/>
          <w:sz w:val="24"/>
          <w:szCs w:val="24"/>
        </w:rPr>
        <w:t xml:space="preserve">  Although under Article 50 of the Employment Act, there are no particular provisions with respect to labor inspection in private homes,</w:t>
      </w:r>
      <w:r>
        <w:rPr>
          <w:rStyle w:val="None"/>
          <w:rFonts w:ascii="Times New Roman" w:eastAsia="Times New Roman" w:hAnsi="Times New Roman" w:cs="Times New Roman"/>
          <w:sz w:val="24"/>
          <w:szCs w:val="24"/>
          <w:vertAlign w:val="superscript"/>
        </w:rPr>
        <w:footnoteReference w:id="88"/>
      </w:r>
      <w:r>
        <w:rPr>
          <w:rStyle w:val="None"/>
          <w:rFonts w:ascii="Times New Roman" w:hAnsi="Times New Roman"/>
          <w:sz w:val="24"/>
          <w:szCs w:val="24"/>
        </w:rPr>
        <w:t xml:space="preserve"> according to KUHDEIHA, labor inspectors face similar difficulty in inspecting private homes, and can onl</w:t>
      </w:r>
      <w:r>
        <w:rPr>
          <w:rStyle w:val="None"/>
          <w:rFonts w:ascii="Times New Roman" w:hAnsi="Times New Roman"/>
          <w:sz w:val="24"/>
          <w:szCs w:val="24"/>
        </w:rPr>
        <w:t>y access them with a court order or the consent of the owner of the home. This renders domestic workers almost entirely outside of the reach of the law.</w:t>
      </w:r>
      <w:r>
        <w:rPr>
          <w:rStyle w:val="None"/>
          <w:rFonts w:ascii="Times New Roman" w:eastAsia="Times New Roman" w:hAnsi="Times New Roman" w:cs="Times New Roman"/>
          <w:sz w:val="24"/>
          <w:szCs w:val="24"/>
          <w:vertAlign w:val="superscript"/>
        </w:rPr>
        <w:footnoteReference w:id="89"/>
      </w:r>
      <w:r>
        <w:rPr>
          <w:rStyle w:val="None"/>
          <w:rFonts w:ascii="Times New Roman" w:hAnsi="Times New Roman"/>
          <w:sz w:val="24"/>
          <w:szCs w:val="24"/>
        </w:rPr>
        <w:t xml:space="preserve">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However, in some cases, domestic workers have managed to obtain access to courts and even redress. I</w:t>
      </w:r>
      <w:r>
        <w:rPr>
          <w:rStyle w:val="None"/>
          <w:rFonts w:ascii="Times New Roman" w:hAnsi="Times New Roman"/>
          <w:sz w:val="24"/>
          <w:szCs w:val="24"/>
        </w:rPr>
        <w:t xml:space="preserve">n the case of </w:t>
      </w:r>
      <w:r>
        <w:rPr>
          <w:rStyle w:val="None"/>
          <w:rFonts w:ascii="Times New Roman" w:hAnsi="Times New Roman"/>
          <w:i/>
          <w:iCs/>
          <w:sz w:val="24"/>
          <w:szCs w:val="24"/>
        </w:rPr>
        <w:t xml:space="preserve">Robai Musiuzi </w:t>
      </w:r>
      <w:r>
        <w:rPr>
          <w:rStyle w:val="None"/>
          <w:rFonts w:ascii="Times New Roman" w:hAnsi="Times New Roman"/>
          <w:sz w:val="24"/>
          <w:szCs w:val="24"/>
        </w:rPr>
        <w:t>and</w:t>
      </w:r>
      <w:r>
        <w:rPr>
          <w:rStyle w:val="None"/>
          <w:rFonts w:ascii="Times New Roman" w:hAnsi="Times New Roman"/>
          <w:i/>
          <w:iCs/>
          <w:sz w:val="24"/>
          <w:szCs w:val="24"/>
        </w:rPr>
        <w:t xml:space="preserve"> Mohammed Safelor Khan</w:t>
      </w:r>
      <w:r>
        <w:rPr>
          <w:rStyle w:val="None"/>
          <w:rFonts w:ascii="Times New Roman" w:hAnsi="Times New Roman"/>
          <w:sz w:val="24"/>
          <w:szCs w:val="24"/>
        </w:rPr>
        <w:t xml:space="preserve"> Case No. 267 of 2012 [2013], the domestic worker had been employed since 2007. She had no written contract, her duties were ad hoc and included taking care of the respondent</w:t>
      </w:r>
      <w:r>
        <w:rPr>
          <w:rStyle w:val="None"/>
          <w:rFonts w:ascii="Times New Roman" w:hAnsi="Times New Roman"/>
          <w:sz w:val="24"/>
          <w:szCs w:val="24"/>
        </w:rPr>
        <w:t>’</w:t>
      </w:r>
      <w:r>
        <w:rPr>
          <w:rStyle w:val="None"/>
          <w:rFonts w:ascii="Times New Roman" w:hAnsi="Times New Roman"/>
          <w:sz w:val="24"/>
          <w:szCs w:val="24"/>
        </w:rPr>
        <w:t>s children for a specified s</w:t>
      </w:r>
      <w:r>
        <w:rPr>
          <w:rStyle w:val="None"/>
          <w:rFonts w:ascii="Times New Roman" w:hAnsi="Times New Roman"/>
          <w:sz w:val="24"/>
          <w:szCs w:val="24"/>
        </w:rPr>
        <w:t>alary. Her employment was abruptly terminated. The court recognized that verbal contracts conferred rights and were applicable under the Employment Act. The court further held that employers should, at the earliest time possible, have oral contracts reduce</w:t>
      </w:r>
      <w:r>
        <w:rPr>
          <w:rStyle w:val="None"/>
          <w:rFonts w:ascii="Times New Roman" w:hAnsi="Times New Roman"/>
          <w:sz w:val="24"/>
          <w:szCs w:val="24"/>
        </w:rPr>
        <w:t xml:space="preserve">d to written form. The court held that the termination of employment was unfair, and that the domestic worker was entitled to all benefits entitled to an employee. In the case of </w:t>
      </w:r>
      <w:r>
        <w:rPr>
          <w:rStyle w:val="None"/>
          <w:rFonts w:ascii="Times New Roman" w:hAnsi="Times New Roman"/>
          <w:b/>
          <w:bCs/>
          <w:i/>
          <w:iCs/>
          <w:sz w:val="24"/>
          <w:szCs w:val="24"/>
        </w:rPr>
        <w:t>KUDHEIHA v Fatima Mohammed</w:t>
      </w:r>
      <w:r>
        <w:rPr>
          <w:rStyle w:val="None"/>
          <w:rFonts w:ascii="Times New Roman" w:hAnsi="Times New Roman"/>
          <w:sz w:val="24"/>
          <w:szCs w:val="24"/>
        </w:rPr>
        <w:t xml:space="preserve"> </w:t>
      </w:r>
      <w:r>
        <w:rPr>
          <w:rStyle w:val="None"/>
          <w:rFonts w:ascii="Times New Roman" w:eastAsia="Times New Roman" w:hAnsi="Times New Roman" w:cs="Times New Roman"/>
          <w:sz w:val="24"/>
          <w:szCs w:val="24"/>
          <w:vertAlign w:val="superscript"/>
        </w:rPr>
        <w:footnoteReference w:id="90"/>
      </w:r>
      <w:r>
        <w:rPr>
          <w:rStyle w:val="None"/>
          <w:rFonts w:ascii="Times New Roman" w:hAnsi="Times New Roman"/>
          <w:sz w:val="24"/>
          <w:szCs w:val="24"/>
        </w:rPr>
        <w:t xml:space="preserve"> the court held that non-issuance of advance noti</w:t>
      </w:r>
      <w:r>
        <w:rPr>
          <w:rStyle w:val="None"/>
          <w:rFonts w:ascii="Times New Roman" w:hAnsi="Times New Roman"/>
          <w:sz w:val="24"/>
          <w:szCs w:val="24"/>
        </w:rPr>
        <w:t>ce of termination constituted an unfair labor practice.</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As highlighted above, sexual harassment is highly prevalent amongst domestic workers. The courts have adjudicated several cases relating to sexual harassment of domestic workers. In </w:t>
      </w:r>
      <w:r>
        <w:rPr>
          <w:rStyle w:val="None"/>
          <w:rFonts w:ascii="Times New Roman" w:hAnsi="Times New Roman"/>
          <w:b/>
          <w:bCs/>
          <w:i/>
          <w:iCs/>
          <w:sz w:val="24"/>
          <w:szCs w:val="24"/>
        </w:rPr>
        <w:t>LMM v SV &amp; DIT LT</w:t>
      </w:r>
      <w:r>
        <w:rPr>
          <w:rStyle w:val="None"/>
          <w:rFonts w:ascii="Times New Roman" w:hAnsi="Times New Roman"/>
          <w:b/>
          <w:bCs/>
          <w:i/>
          <w:iCs/>
          <w:sz w:val="24"/>
          <w:szCs w:val="24"/>
        </w:rPr>
        <w:t>D</w:t>
      </w:r>
      <w:r>
        <w:rPr>
          <w:rStyle w:val="None"/>
          <w:rFonts w:ascii="Times New Roman" w:eastAsia="Times New Roman" w:hAnsi="Times New Roman" w:cs="Times New Roman"/>
          <w:sz w:val="24"/>
          <w:szCs w:val="24"/>
          <w:vertAlign w:val="superscript"/>
        </w:rPr>
        <w:footnoteReference w:id="91"/>
      </w:r>
      <w:r>
        <w:rPr>
          <w:rStyle w:val="None"/>
          <w:rFonts w:ascii="Times New Roman" w:hAnsi="Times New Roman"/>
          <w:sz w:val="24"/>
          <w:szCs w:val="24"/>
        </w:rPr>
        <w:t>, a domestic worker was sexually harassed by her employer. The employee alleged that the employer made advances at her and when she refused, he terminated her employment. Although the court dismissed the sexual harassment claim on the basis that the clai</w:t>
      </w:r>
      <w:r>
        <w:rPr>
          <w:rStyle w:val="None"/>
          <w:rFonts w:ascii="Times New Roman" w:hAnsi="Times New Roman"/>
          <w:sz w:val="24"/>
          <w:szCs w:val="24"/>
        </w:rPr>
        <w:t>mant failed to prove sexual harassment, the court held that the termination of employment was procedurally unfair and ordered that the employer pays damages.</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Unlike the </w:t>
      </w:r>
      <w:r>
        <w:rPr>
          <w:rStyle w:val="None"/>
          <w:rFonts w:ascii="Times New Roman" w:hAnsi="Times New Roman"/>
          <w:b/>
          <w:bCs/>
          <w:i/>
          <w:iCs/>
          <w:sz w:val="24"/>
          <w:szCs w:val="24"/>
        </w:rPr>
        <w:t xml:space="preserve">LMM v SV&amp; DIT </w:t>
      </w:r>
      <w:r>
        <w:rPr>
          <w:rStyle w:val="None"/>
          <w:rFonts w:ascii="Times New Roman" w:hAnsi="Times New Roman"/>
          <w:sz w:val="24"/>
          <w:szCs w:val="24"/>
        </w:rPr>
        <w:t>case where the court rejected the domestic worker</w:t>
      </w:r>
      <w:r>
        <w:rPr>
          <w:rStyle w:val="None"/>
          <w:rFonts w:ascii="Times New Roman" w:hAnsi="Times New Roman"/>
          <w:sz w:val="24"/>
          <w:szCs w:val="24"/>
        </w:rPr>
        <w:t>’</w:t>
      </w:r>
      <w:r>
        <w:rPr>
          <w:rStyle w:val="None"/>
          <w:rFonts w:ascii="Times New Roman" w:hAnsi="Times New Roman"/>
          <w:sz w:val="24"/>
          <w:szCs w:val="24"/>
        </w:rPr>
        <w:t>s allegations of sexua</w:t>
      </w:r>
      <w:r>
        <w:rPr>
          <w:rStyle w:val="None"/>
          <w:rFonts w:ascii="Times New Roman" w:hAnsi="Times New Roman"/>
          <w:sz w:val="24"/>
          <w:szCs w:val="24"/>
        </w:rPr>
        <w:t>l harassment</w:t>
      </w:r>
      <w:r>
        <w:rPr>
          <w:rStyle w:val="None"/>
          <w:rFonts w:ascii="Times New Roman" w:hAnsi="Times New Roman"/>
          <w:b/>
          <w:bCs/>
          <w:i/>
          <w:iCs/>
          <w:sz w:val="24"/>
          <w:szCs w:val="24"/>
          <w:lang w:val="de-DE"/>
        </w:rPr>
        <w:t xml:space="preserve"> </w:t>
      </w:r>
      <w:r>
        <w:rPr>
          <w:rStyle w:val="None"/>
          <w:rFonts w:ascii="Times New Roman" w:hAnsi="Times New Roman"/>
          <w:sz w:val="24"/>
          <w:szCs w:val="24"/>
          <w:lang w:val="de-DE"/>
        </w:rPr>
        <w:t>in</w:t>
      </w:r>
      <w:r>
        <w:rPr>
          <w:rStyle w:val="None"/>
          <w:rFonts w:ascii="Times New Roman" w:hAnsi="Times New Roman"/>
          <w:b/>
          <w:bCs/>
          <w:i/>
          <w:iCs/>
          <w:sz w:val="24"/>
          <w:szCs w:val="24"/>
          <w:lang w:val="de-DE"/>
        </w:rPr>
        <w:t xml:space="preserve"> NML v Peter Petrausch,</w:t>
      </w:r>
      <w:r>
        <w:rPr>
          <w:rStyle w:val="None"/>
          <w:rFonts w:ascii="Times New Roman" w:eastAsia="Times New Roman" w:hAnsi="Times New Roman" w:cs="Times New Roman"/>
          <w:sz w:val="24"/>
          <w:szCs w:val="24"/>
          <w:vertAlign w:val="superscript"/>
        </w:rPr>
        <w:footnoteReference w:id="92"/>
      </w:r>
      <w:r>
        <w:rPr>
          <w:rStyle w:val="None"/>
          <w:rFonts w:ascii="Times New Roman" w:hAnsi="Times New Roman"/>
          <w:sz w:val="24"/>
          <w:szCs w:val="24"/>
        </w:rPr>
        <w:t xml:space="preserve"> the court accepted the evidence that the domestic worker had been sexually abused and harassed. In reaching its decision, the Court relied on section 6 of the Employment Act which prohibits sexual harassment. Citing P.O v Board of Trustees AF and two othe</w:t>
      </w:r>
      <w:r>
        <w:rPr>
          <w:rStyle w:val="None"/>
          <w:rFonts w:ascii="Times New Roman" w:hAnsi="Times New Roman"/>
          <w:sz w:val="24"/>
          <w:szCs w:val="24"/>
        </w:rPr>
        <w:t>rs, the court held that gender-based violence is the most prevalent human rights violation in the world. It violates many of the fundamental rights articulated in the Universal Declaration on the Elimination of Violence against women and ILO Convention 111</w:t>
      </w:r>
      <w:r>
        <w:rPr>
          <w:rStyle w:val="None"/>
          <w:rFonts w:ascii="Times New Roman" w:hAnsi="Times New Roman"/>
          <w:sz w:val="24"/>
          <w:szCs w:val="24"/>
        </w:rPr>
        <w:t>. The court further relied on the rights enshrined under section 27 of the constitution which guarantee the right to equality and freedom of all persons, section 28 which ensures the right to dignity and section 29 which guarantees the right not to be subj</w:t>
      </w:r>
      <w:r>
        <w:rPr>
          <w:rStyle w:val="None"/>
          <w:rFonts w:ascii="Times New Roman" w:hAnsi="Times New Roman"/>
          <w:sz w:val="24"/>
          <w:szCs w:val="24"/>
        </w:rPr>
        <w:t>ected to any forms of violence from either public or private sources. The court further relied on Convention 189.</w:t>
      </w:r>
    </w:p>
    <w:p w:rsidR="0060529E" w:rsidRDefault="0060529E">
      <w:pPr>
        <w:pStyle w:val="BodyA"/>
        <w:spacing w:after="0" w:line="240" w:lineRule="auto"/>
        <w:jc w:val="both"/>
      </w:pPr>
    </w:p>
    <w:p w:rsidR="0060529E" w:rsidRDefault="00AD1DC6">
      <w:pPr>
        <w:pStyle w:val="BodyA"/>
        <w:numPr>
          <w:ilvl w:val="0"/>
          <w:numId w:val="2"/>
        </w:numPr>
        <w:spacing w:after="0" w:line="240" w:lineRule="auto"/>
        <w:jc w:val="both"/>
        <w:rPr>
          <w:rFonts w:ascii="Times New Roman" w:hAnsi="Times New Roman"/>
          <w:sz w:val="24"/>
          <w:szCs w:val="24"/>
        </w:rPr>
      </w:pPr>
      <w:r>
        <w:rPr>
          <w:rStyle w:val="None"/>
          <w:rFonts w:ascii="Times New Roman" w:hAnsi="Times New Roman"/>
          <w:b/>
          <w:bCs/>
          <w:sz w:val="24"/>
          <w:szCs w:val="24"/>
        </w:rPr>
        <w:t xml:space="preserve">Conclusion: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The legal framework in place does not fully satisfy the due diligence requirements of CAT; the Employment Act does not protect </w:t>
      </w:r>
      <w:r>
        <w:rPr>
          <w:rStyle w:val="None"/>
          <w:rFonts w:ascii="Times New Roman" w:hAnsi="Times New Roman"/>
          <w:sz w:val="24"/>
          <w:szCs w:val="24"/>
        </w:rPr>
        <w:t>domestic workers who are family members and does not adequately protect domestic workers who are employed in private homes particularly with respect to prevention of ill-treatment and torture. Moreover, migrant domestic workers face severe ill-treatment an</w:t>
      </w:r>
      <w:r>
        <w:rPr>
          <w:rStyle w:val="None"/>
          <w:rFonts w:ascii="Times New Roman" w:hAnsi="Times New Roman"/>
          <w:sz w:val="24"/>
          <w:szCs w:val="24"/>
        </w:rPr>
        <w:t>d sometimes even death, with minimal protections from Kenya. These gaps amount to a failure to prevent and protect victims from gender-based violence, as set out by the CAT Committee.  In view of the marginalized status of domestic workers, and that they a</w:t>
      </w:r>
      <w:r>
        <w:rPr>
          <w:rStyle w:val="None"/>
          <w:rFonts w:ascii="Times New Roman" w:hAnsi="Times New Roman"/>
          <w:sz w:val="24"/>
          <w:szCs w:val="24"/>
        </w:rPr>
        <w:t xml:space="preserve">re at particular risk of torture, given their isolation and frequent powerlessness, Kenya should be adopting </w:t>
      </w:r>
      <w:r>
        <w:rPr>
          <w:rStyle w:val="None"/>
          <w:rFonts w:ascii="Times New Roman" w:hAnsi="Times New Roman"/>
          <w:sz w:val="24"/>
          <w:szCs w:val="24"/>
        </w:rPr>
        <w:t>“</w:t>
      </w:r>
      <w:r>
        <w:rPr>
          <w:rStyle w:val="None"/>
          <w:rFonts w:ascii="Times New Roman" w:hAnsi="Times New Roman"/>
          <w:sz w:val="24"/>
          <w:szCs w:val="24"/>
        </w:rPr>
        <w:t>positive</w:t>
      </w:r>
      <w:r>
        <w:rPr>
          <w:rStyle w:val="None"/>
          <w:rFonts w:ascii="Times New Roman" w:hAnsi="Times New Roman"/>
          <w:sz w:val="24"/>
          <w:szCs w:val="24"/>
        </w:rPr>
        <w:t xml:space="preserve">” </w:t>
      </w:r>
      <w:r>
        <w:rPr>
          <w:rStyle w:val="None"/>
          <w:rFonts w:ascii="Times New Roman" w:hAnsi="Times New Roman"/>
          <w:sz w:val="24"/>
          <w:szCs w:val="24"/>
        </w:rPr>
        <w:t>measures to ensure they are protected from violence and abuse, rather than excluding them from crucial preventative provisions in the Em</w:t>
      </w:r>
      <w:r>
        <w:rPr>
          <w:rStyle w:val="None"/>
          <w:rFonts w:ascii="Times New Roman" w:hAnsi="Times New Roman"/>
          <w:sz w:val="24"/>
          <w:szCs w:val="24"/>
        </w:rPr>
        <w:t>ployment Act.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 xml:space="preserve">It must however be recognized that the courts have indeed gone a long way in the promotion and protection of human rights for domestic workers.  The fact that the courts are willing to recognize ILO conventions not ratified as being part of </w:t>
      </w:r>
      <w:r>
        <w:rPr>
          <w:rStyle w:val="None"/>
          <w:rFonts w:ascii="Times New Roman" w:hAnsi="Times New Roman"/>
          <w:sz w:val="24"/>
          <w:szCs w:val="24"/>
        </w:rPr>
        <w:t>the Kenyan law is highly commendable. However, there is a need to ratify ILO conventions relevant to domestic work especially Convention 189 and Convention 190</w:t>
      </w:r>
      <w:r>
        <w:rPr>
          <w:rStyle w:val="None"/>
          <w:rFonts w:ascii="Times New Roman" w:hAnsi="Times New Roman"/>
          <w:b/>
          <w:bCs/>
          <w:sz w:val="24"/>
          <w:szCs w:val="24"/>
        </w:rPr>
        <w:t>.</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sz w:val="24"/>
          <w:szCs w:val="24"/>
        </w:rPr>
        <w:t>Furthermore, there is a need to enact specific laws to regulate domestic work to ensure that t</w:t>
      </w:r>
      <w:r>
        <w:rPr>
          <w:rStyle w:val="None"/>
          <w:rFonts w:ascii="Times New Roman" w:hAnsi="Times New Roman"/>
          <w:sz w:val="24"/>
          <w:szCs w:val="24"/>
        </w:rPr>
        <w:t xml:space="preserve">he unique characteristics of domestic work are addressed within a specific regulatory framework. Frequently the inclusion of domestic work in generalized labour law without taking into account the particularities of the sector, render many critical rights </w:t>
      </w:r>
      <w:r>
        <w:rPr>
          <w:rStyle w:val="None"/>
          <w:rFonts w:ascii="Times New Roman" w:hAnsi="Times New Roman"/>
          <w:sz w:val="24"/>
          <w:szCs w:val="24"/>
        </w:rPr>
        <w:t xml:space="preserve">– </w:t>
      </w:r>
      <w:r>
        <w:rPr>
          <w:rStyle w:val="None"/>
          <w:rFonts w:ascii="Times New Roman" w:hAnsi="Times New Roman"/>
          <w:sz w:val="24"/>
          <w:szCs w:val="24"/>
        </w:rPr>
        <w:t xml:space="preserve">including to a large extent labour inspection </w:t>
      </w:r>
      <w:r>
        <w:rPr>
          <w:rStyle w:val="None"/>
          <w:rFonts w:ascii="Times New Roman" w:hAnsi="Times New Roman"/>
          <w:sz w:val="24"/>
          <w:szCs w:val="24"/>
        </w:rPr>
        <w:t xml:space="preserve">– </w:t>
      </w:r>
      <w:r>
        <w:rPr>
          <w:rStyle w:val="None"/>
          <w:rFonts w:ascii="Times New Roman" w:hAnsi="Times New Roman"/>
          <w:sz w:val="24"/>
          <w:szCs w:val="24"/>
        </w:rPr>
        <w:t>unenforceable. Although the recently revamped Wages Council regulating minimum wages for domestic workers provides a first phase towards the enactment of specific laws for domestic workers, there is need to</w:t>
      </w:r>
      <w:r>
        <w:rPr>
          <w:rStyle w:val="None"/>
          <w:rFonts w:ascii="Times New Roman" w:hAnsi="Times New Roman"/>
          <w:sz w:val="24"/>
          <w:szCs w:val="24"/>
        </w:rPr>
        <w:t xml:space="preserve"> enact regulations covering terms and conditions of employment which take into account the unique aspects of domestic work. </w:t>
      </w:r>
    </w:p>
    <w:p w:rsidR="0060529E" w:rsidRDefault="0060529E">
      <w:pPr>
        <w:pStyle w:val="BodyA"/>
        <w:spacing w:after="0" w:line="240" w:lineRule="auto"/>
        <w:jc w:val="both"/>
      </w:pPr>
    </w:p>
    <w:p w:rsidR="0060529E" w:rsidRDefault="00AD1DC6">
      <w:pPr>
        <w:pStyle w:val="BodyA"/>
        <w:spacing w:after="0" w:line="240" w:lineRule="auto"/>
        <w:jc w:val="both"/>
      </w:pPr>
      <w:r>
        <w:rPr>
          <w:rStyle w:val="None"/>
          <w:rFonts w:ascii="Times New Roman" w:hAnsi="Times New Roman"/>
          <w:b/>
          <w:bCs/>
          <w:sz w:val="24"/>
          <w:szCs w:val="24"/>
        </w:rPr>
        <w:t>Recommendation:</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Kenya should ratify ILO Convention189 on Domestic Work and Convention 190 on Violence and Harassment at Work, in </w:t>
      </w:r>
      <w:r>
        <w:rPr>
          <w:rFonts w:ascii="Times New Roman" w:hAnsi="Times New Roman"/>
          <w:sz w:val="24"/>
          <w:szCs w:val="24"/>
        </w:rPr>
        <w:t>order to prevent violence and harassment including gender-based violence and harassment at work in the domestic work sector that amounts to ill-treatment or torture.</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That Kenya should pass sector specific regulation that addresses the particularity of dom</w:t>
      </w:r>
      <w:r>
        <w:rPr>
          <w:rFonts w:ascii="Times New Roman" w:hAnsi="Times New Roman"/>
          <w:sz w:val="24"/>
          <w:szCs w:val="24"/>
        </w:rPr>
        <w:t>estic work.</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That the Employment Act should be amended to address the absence of any mechanisms to prevent sexual harassment in houses employing under 20 people: and the resultant absence of any employment policy, complaint mechanism or statement on the ri</w:t>
      </w:r>
      <w:r>
        <w:rPr>
          <w:rFonts w:ascii="Times New Roman" w:hAnsi="Times New Roman"/>
          <w:sz w:val="24"/>
          <w:szCs w:val="24"/>
        </w:rPr>
        <w:t>ght to be free from sexual harassment. The onus in cases of sexual harassment should be on the employer and not the employee. Similarly, the complete exclusion of dependent family members from the protections in the Employment Act, leave them vulnerable to</w:t>
      </w:r>
      <w:r>
        <w:rPr>
          <w:rFonts w:ascii="Times New Roman" w:hAnsi="Times New Roman"/>
          <w:sz w:val="24"/>
          <w:szCs w:val="24"/>
        </w:rPr>
        <w:t xml:space="preserve"> ill-treatment and torture at work. Further the narrow definition of sexual harassment with exclusive reference to sexual conduct, leaves gender-based harassment that could fall within the ambit of CAT, unaddressed.</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The restrictions in the Sexual Offences</w:t>
      </w:r>
      <w:r>
        <w:rPr>
          <w:rFonts w:ascii="Times New Roman" w:hAnsi="Times New Roman"/>
          <w:sz w:val="24"/>
          <w:szCs w:val="24"/>
        </w:rPr>
        <w:t xml:space="preserve"> Act should be amended to reverse the burden of proof from the victim of the offence; that the offence need not necessarily be persistent or carried out by a person in authority. Sexual offences that amount to cruel, inhuman or degrading treatment or tortu</w:t>
      </w:r>
      <w:r>
        <w:rPr>
          <w:rFonts w:ascii="Times New Roman" w:hAnsi="Times New Roman"/>
          <w:sz w:val="24"/>
          <w:szCs w:val="24"/>
        </w:rPr>
        <w:t>re should be prohibited regardless of belief in whether or not they were welcome.</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Provision should be made for labor inspectors to enter private homes for the purposes of inspection without prior warning or warrant. </w:t>
      </w:r>
      <w:r>
        <w:rPr>
          <w:rStyle w:val="None"/>
          <w:rFonts w:ascii="Times New Roman" w:eastAsia="Times New Roman" w:hAnsi="Times New Roman" w:cs="Times New Roman"/>
          <w:sz w:val="24"/>
          <w:szCs w:val="24"/>
          <w:vertAlign w:val="superscript"/>
        </w:rPr>
        <w:footnoteReference w:id="93"/>
      </w:r>
      <w:r>
        <w:rPr>
          <w:rFonts w:ascii="Times New Roman" w:hAnsi="Times New Roman"/>
          <w:sz w:val="24"/>
          <w:szCs w:val="24"/>
        </w:rPr>
        <w:t>The labour inspectorate should be adeq</w:t>
      </w:r>
      <w:r>
        <w:rPr>
          <w:rFonts w:ascii="Times New Roman" w:hAnsi="Times New Roman"/>
          <w:sz w:val="24"/>
          <w:szCs w:val="24"/>
        </w:rPr>
        <w:t>uately resourced and trained to do so effectively.</w:t>
      </w:r>
    </w:p>
    <w:p w:rsidR="0060529E" w:rsidRDefault="0060529E">
      <w:pPr>
        <w:pStyle w:val="BodyA"/>
        <w:spacing w:after="0" w:line="240" w:lineRule="auto"/>
        <w:jc w:val="both"/>
      </w:pPr>
    </w:p>
    <w:p w:rsidR="0060529E" w:rsidRDefault="00AD1DC6">
      <w:pPr>
        <w:pStyle w:val="BodyA"/>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Kenya must put in place greater protections to ensure that migrant domestic workers traveling abroad for work are adequately protected from ill-treatment and torture in foreign countries that do not </w:t>
      </w:r>
      <w:r>
        <w:rPr>
          <w:rFonts w:ascii="Times New Roman" w:hAnsi="Times New Roman"/>
          <w:sz w:val="24"/>
          <w:szCs w:val="24"/>
        </w:rPr>
        <w:t>protect domestic worker rights. In this regard, GC No 2 makes clear that if a person is transferred or sent to the custody or control of an individual or institution known to have engaged in torture and ill-treatment, or has not implemented adequate safegu</w:t>
      </w:r>
      <w:r>
        <w:rPr>
          <w:rFonts w:ascii="Times New Roman" w:hAnsi="Times New Roman"/>
          <w:sz w:val="24"/>
          <w:szCs w:val="24"/>
        </w:rPr>
        <w:t>ards, the state is responsible for failing to take effective measures to prevent torture.</w:t>
      </w:r>
    </w:p>
    <w:sectPr w:rsidR="0060529E">
      <w:head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D1DC6">
      <w:r>
        <w:separator/>
      </w:r>
    </w:p>
  </w:endnote>
  <w:endnote w:type="continuationSeparator" w:id="0">
    <w:p w:rsidR="00000000" w:rsidRDefault="00AD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29E" w:rsidRDefault="00AD1DC6">
      <w:r>
        <w:separator/>
      </w:r>
    </w:p>
  </w:footnote>
  <w:footnote w:type="continuationSeparator" w:id="0">
    <w:p w:rsidR="0060529E" w:rsidRDefault="00AD1DC6">
      <w:r>
        <w:continuationSeparator/>
      </w:r>
    </w:p>
  </w:footnote>
  <w:footnote w:type="continuationNotice" w:id="1">
    <w:p w:rsidR="0060529E" w:rsidRDefault="0060529E"/>
  </w:footnote>
  <w:footnote w:id="2">
    <w:p w:rsidR="0060529E" w:rsidRDefault="00AD1DC6">
      <w:pPr>
        <w:pStyle w:val="FootnoteText"/>
      </w:pPr>
      <w:r>
        <w:rPr>
          <w:rFonts w:ascii="Times New Roman" w:eastAsia="Times New Roman" w:hAnsi="Times New Roman" w:cs="Times New Roman"/>
          <w:sz w:val="24"/>
          <w:szCs w:val="24"/>
          <w:vertAlign w:val="superscript"/>
        </w:rPr>
        <w:footnoteRef/>
      </w:r>
      <w:r>
        <w:rPr>
          <w:rFonts w:ascii="Times New Roman" w:hAnsi="Times New Roman"/>
        </w:rPr>
        <w:t>UN Human Rights Council,</w:t>
      </w:r>
      <w:r>
        <w:rPr>
          <w:rFonts w:ascii="Times New Roman" w:hAnsi="Times New Roman"/>
        </w:rPr>
        <w:t> </w:t>
      </w:r>
      <w:r>
        <w:rPr>
          <w:rFonts w:ascii="Times New Roman" w:hAnsi="Times New Roman"/>
          <w:i/>
          <w:iCs/>
        </w:rPr>
        <w:t xml:space="preserve">Promotion and protection of all human rights, </w:t>
      </w:r>
      <w:r>
        <w:rPr>
          <w:rFonts w:ascii="Times New Roman" w:hAnsi="Times New Roman"/>
          <w:i/>
          <w:iCs/>
        </w:rPr>
        <w:t>civil, political, economic, social and cultural rights, including the right to development: report of the Special Rapporteur on Torture and Other Cruel, Inhuman or Degrading Treatment or Punishment, Manfred Nowak</w:t>
      </w:r>
      <w:r>
        <w:rPr>
          <w:rFonts w:ascii="Times New Roman" w:hAnsi="Times New Roman"/>
        </w:rPr>
        <w:t>, 15 January 2008,</w:t>
      </w:r>
      <w:r>
        <w:rPr>
          <w:rFonts w:ascii="Times New Roman" w:hAnsi="Times New Roman"/>
        </w:rPr>
        <w:t> </w:t>
      </w:r>
      <w:r>
        <w:rPr>
          <w:rFonts w:ascii="Times New Roman" w:hAnsi="Times New Roman"/>
        </w:rPr>
        <w:t>A/HRC/7/3,</w:t>
      </w:r>
      <w:r>
        <w:rPr>
          <w:rFonts w:ascii="Times New Roman" w:hAnsi="Times New Roman"/>
        </w:rPr>
        <w:t> </w:t>
      </w:r>
      <w:r>
        <w:rPr>
          <w:rFonts w:ascii="Times New Roman" w:hAnsi="Times New Roman"/>
        </w:rPr>
        <w:t xml:space="preserve">available at: </w:t>
      </w:r>
      <w:r>
        <w:rPr>
          <w:rFonts w:ascii="Times New Roman" w:hAnsi="Times New Roman"/>
        </w:rPr>
        <w:t>https://www.refworld.org/docid/47c2c5452.html</w:t>
      </w:r>
      <w:r>
        <w:rPr>
          <w:rFonts w:ascii="Times New Roman" w:hAnsi="Times New Roman"/>
        </w:rPr>
        <w:t> </w:t>
      </w:r>
      <w:r>
        <w:rPr>
          <w:rFonts w:ascii="Times New Roman" w:hAnsi="Times New Roman"/>
        </w:rPr>
        <w:t>[accessed 30 March 2022] at para 26</w:t>
      </w:r>
    </w:p>
  </w:footnote>
  <w:footnote w:id="3">
    <w:p w:rsidR="0060529E" w:rsidRDefault="00AD1DC6">
      <w:pPr>
        <w:pStyle w:val="FootnoteText"/>
      </w:pPr>
      <w:r>
        <w:rPr>
          <w:rFonts w:ascii="Times New Roman" w:eastAsia="Times New Roman" w:hAnsi="Times New Roman" w:cs="Times New Roman"/>
          <w:sz w:val="24"/>
          <w:szCs w:val="24"/>
          <w:vertAlign w:val="superscript"/>
        </w:rPr>
        <w:footnoteRef/>
      </w:r>
      <w:r>
        <w:rPr>
          <w:rFonts w:ascii="Times New Roman" w:hAnsi="Times New Roman"/>
        </w:rPr>
        <w:t xml:space="preserve"> National Actions Plans on Business and Human Rights</w:t>
      </w:r>
      <w:r>
        <w:rPr>
          <w:rFonts w:ascii="Times New Roman" w:hAnsi="Times New Roman"/>
        </w:rPr>
        <w:t xml:space="preserve">’ </w:t>
      </w:r>
      <w:r>
        <w:rPr>
          <w:rFonts w:ascii="Times New Roman" w:hAnsi="Times New Roman"/>
        </w:rPr>
        <w:t xml:space="preserve">available at </w:t>
      </w:r>
      <w:hyperlink r:id="rId1" w:history="1">
        <w:r>
          <w:rPr>
            <w:rStyle w:val="Hyperlink0"/>
            <w:rFonts w:eastAsia="Calibri"/>
          </w:rPr>
          <w:t>www.https://globalnaps.or</w:t>
        </w:r>
        <w:r>
          <w:rPr>
            <w:rStyle w:val="Hyperlink0"/>
            <w:rFonts w:eastAsia="Calibri"/>
          </w:rPr>
          <w:t>g/country-issue/workers-rights-kenya/</w:t>
        </w:r>
      </w:hyperlink>
      <w:r>
        <w:rPr>
          <w:rStyle w:val="None"/>
          <w:rFonts w:ascii="Times New Roman" w:hAnsi="Times New Roman"/>
        </w:rPr>
        <w:t xml:space="preserve"> </w:t>
      </w:r>
    </w:p>
  </w:footnote>
  <w:footnote w:id="4">
    <w:p w:rsidR="0060529E" w:rsidRDefault="00AD1DC6">
      <w:pPr>
        <w:pStyle w:val="BodyAA"/>
        <w:spacing w:before="0" w:after="0" w:line="276"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Global Alliance Traffic in the Women "Kenya: Empowering Domestic Workers through community advocacy and Training Services"</w:t>
      </w:r>
    </w:p>
  </w:footnote>
  <w:footnote w:id="5">
    <w:p w:rsidR="0060529E" w:rsidRDefault="00AD1DC6">
      <w:pPr>
        <w:pStyle w:val="BodyAA"/>
        <w:spacing w:before="0" w:after="0" w:line="276"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 xml:space="preserve">George Owidhi </w:t>
      </w:r>
      <w:r>
        <w:rPr>
          <w:rStyle w:val="None"/>
          <w:rFonts w:ascii="Times New Roman" w:hAnsi="Times New Roman"/>
          <w:sz w:val="20"/>
          <w:szCs w:val="20"/>
        </w:rPr>
        <w:t>“</w:t>
      </w:r>
      <w:r>
        <w:rPr>
          <w:rStyle w:val="None"/>
          <w:rFonts w:ascii="Times New Roman" w:hAnsi="Times New Roman"/>
          <w:sz w:val="20"/>
          <w:szCs w:val="20"/>
        </w:rPr>
        <w:t>Analysis of working conditions and wages of domestic workers in Kenya</w:t>
      </w:r>
      <w:r>
        <w:rPr>
          <w:rStyle w:val="None"/>
          <w:rFonts w:ascii="Times New Roman" w:hAnsi="Times New Roman"/>
          <w:sz w:val="20"/>
          <w:szCs w:val="20"/>
        </w:rPr>
        <w:t xml:space="preserve">”  </w:t>
      </w:r>
      <w:r>
        <w:rPr>
          <w:rStyle w:val="None"/>
          <w:rFonts w:ascii="Times New Roman" w:hAnsi="Times New Roman"/>
          <w:sz w:val="20"/>
          <w:szCs w:val="20"/>
        </w:rPr>
        <w:t xml:space="preserve">2017 Central Organisation of Trade Unions, Kenya Available at </w:t>
      </w:r>
      <w:hyperlink r:id="rId2" w:history="1">
        <w:r>
          <w:rPr>
            <w:rStyle w:val="Hyperlink1"/>
            <w:rFonts w:eastAsia="Calibri"/>
          </w:rPr>
          <w:t>https://alrei.org/education/analysis-of-working-condition</w:t>
        </w:r>
        <w:r>
          <w:rPr>
            <w:rStyle w:val="Hyperlink1"/>
            <w:rFonts w:eastAsia="Calibri"/>
          </w:rPr>
          <w:t>s-and-wages-of-domestic-workers-in-kenya-by-george-owidhi-economist</w:t>
        </w:r>
      </w:hyperlink>
      <w:r>
        <w:rPr>
          <w:rStyle w:val="None"/>
          <w:rFonts w:ascii="Times New Roman" w:hAnsi="Times New Roman"/>
          <w:color w:val="4472C4"/>
          <w:sz w:val="20"/>
          <w:szCs w:val="20"/>
          <w:u w:color="4472C4"/>
        </w:rPr>
        <w:t xml:space="preserve"> </w:t>
      </w:r>
      <w:r>
        <w:rPr>
          <w:rStyle w:val="None"/>
          <w:rFonts w:ascii="Times New Roman" w:hAnsi="Times New Roman"/>
          <w:sz w:val="20"/>
          <w:szCs w:val="20"/>
        </w:rPr>
        <w:t xml:space="preserve">Accessed 5 August 2021. </w:t>
      </w:r>
    </w:p>
  </w:footnote>
  <w:footnote w:id="6">
    <w:p w:rsidR="0060529E" w:rsidRDefault="00AD1DC6">
      <w:pPr>
        <w:pStyle w:val="FootnoteText"/>
      </w:pPr>
      <w:r>
        <w:rPr>
          <w:rStyle w:val="None"/>
          <w:rFonts w:ascii="Times New Roman" w:eastAsia="Times New Roman" w:hAnsi="Times New Roman" w:cs="Times New Roman"/>
          <w:sz w:val="24"/>
          <w:szCs w:val="24"/>
          <w:vertAlign w:val="superscript"/>
        </w:rPr>
        <w:footnoteRef/>
      </w:r>
      <w:r>
        <w:t xml:space="preserve"> Oxfam, http://www.hartford-hwp.com/archives/36/182.html.</w:t>
      </w:r>
    </w:p>
  </w:footnote>
  <w:footnote w:id="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UN Human Rights Council,</w:t>
      </w:r>
      <w:r>
        <w:rPr>
          <w:rStyle w:val="None"/>
          <w:rFonts w:ascii="Times New Roman" w:hAnsi="Times New Roman"/>
        </w:rPr>
        <w:t> </w:t>
      </w:r>
      <w:r>
        <w:rPr>
          <w:rStyle w:val="None"/>
          <w:rFonts w:ascii="Times New Roman" w:hAnsi="Times New Roman"/>
          <w:i/>
          <w:iCs/>
        </w:rPr>
        <w:t xml:space="preserve">Promotion and protection of all human rights, civil, political, economic, </w:t>
      </w:r>
      <w:r>
        <w:rPr>
          <w:rStyle w:val="None"/>
          <w:rFonts w:ascii="Times New Roman" w:hAnsi="Times New Roman"/>
          <w:i/>
          <w:iCs/>
        </w:rPr>
        <w:t>social and cultural rights, including the right to development: report of the Special Rapporteur on Torture and Other Cruel, Inhuman or Degrading Treatment or Punishment, Manfred Nowak</w:t>
      </w:r>
      <w:r>
        <w:rPr>
          <w:rStyle w:val="None"/>
          <w:rFonts w:ascii="Times New Roman" w:hAnsi="Times New Roman"/>
        </w:rPr>
        <w:t>, 15 January 2008,</w:t>
      </w:r>
      <w:r>
        <w:rPr>
          <w:rStyle w:val="None"/>
          <w:rFonts w:ascii="Times New Roman" w:hAnsi="Times New Roman"/>
        </w:rPr>
        <w:t> </w:t>
      </w:r>
      <w:r>
        <w:rPr>
          <w:rStyle w:val="None"/>
          <w:rFonts w:ascii="Times New Roman" w:hAnsi="Times New Roman"/>
        </w:rPr>
        <w:t>A/HRC/7/3,</w:t>
      </w:r>
      <w:r>
        <w:rPr>
          <w:rStyle w:val="None"/>
          <w:rFonts w:ascii="Times New Roman" w:hAnsi="Times New Roman"/>
        </w:rPr>
        <w:t> </w:t>
      </w:r>
      <w:r>
        <w:rPr>
          <w:rStyle w:val="None"/>
          <w:rFonts w:ascii="Times New Roman" w:hAnsi="Times New Roman"/>
        </w:rPr>
        <w:t>available at: https://www.refworld.org/doc</w:t>
      </w:r>
      <w:r>
        <w:rPr>
          <w:rStyle w:val="None"/>
          <w:rFonts w:ascii="Times New Roman" w:hAnsi="Times New Roman"/>
        </w:rPr>
        <w:t>id/47c2c5452.html</w:t>
      </w:r>
      <w:r>
        <w:rPr>
          <w:rStyle w:val="None"/>
          <w:rFonts w:ascii="Times New Roman" w:hAnsi="Times New Roman"/>
        </w:rPr>
        <w:t> </w:t>
      </w:r>
      <w:r>
        <w:rPr>
          <w:rStyle w:val="None"/>
          <w:rFonts w:ascii="Times New Roman" w:hAnsi="Times New Roman"/>
        </w:rPr>
        <w:t>[accessed 30 March 2022] Para 25</w:t>
      </w:r>
    </w:p>
  </w:footnote>
  <w:footnote w:id="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w:t>
      </w:r>
      <w:hyperlink r:id="rId3" w:history="1">
        <w:r>
          <w:rPr>
            <w:rStyle w:val="Hyperlink0"/>
            <w:rFonts w:eastAsia="Calibri"/>
          </w:rPr>
          <w:t>https://redress.org/wp-content/uploads/2018/10/REDRESS-Guide-to-UNCAT-2018.pdf</w:t>
        </w:r>
      </w:hyperlink>
      <w:r>
        <w:rPr>
          <w:rStyle w:val="None"/>
          <w:rFonts w:ascii="Times New Roman" w:hAnsi="Times New Roman"/>
        </w:rPr>
        <w:t xml:space="preserve"> , </w:t>
      </w:r>
      <w:r>
        <w:rPr>
          <w:rStyle w:val="None"/>
          <w:rFonts w:ascii="Times New Roman" w:hAnsi="Times New Roman"/>
        </w:rPr>
        <w:t>“</w:t>
      </w:r>
      <w:r>
        <w:rPr>
          <w:rStyle w:val="None"/>
          <w:rFonts w:ascii="Times New Roman" w:hAnsi="Times New Roman"/>
        </w:rPr>
        <w:t>For some human rights</w:t>
      </w:r>
      <w:r>
        <w:rPr>
          <w:rStyle w:val="None"/>
          <w:rFonts w:ascii="Times New Roman" w:hAnsi="Times New Roman"/>
        </w:rPr>
        <w:t xml:space="preserve"> mechanisms the difference between torture and ill-treatment is based on the severity of the treatment.</w:t>
      </w:r>
      <w:r>
        <w:rPr>
          <w:rStyle w:val="None"/>
          <w:rFonts w:ascii="Times New Roman" w:hAnsi="Times New Roman"/>
        </w:rPr>
        <w:t>”</w:t>
      </w:r>
    </w:p>
  </w:footnote>
  <w:footnote w:id="10">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with respect to </w:t>
      </w:r>
      <w:r>
        <w:rPr>
          <w:rStyle w:val="None"/>
          <w:rFonts w:ascii="Times New Roman" w:hAnsi="Times New Roman"/>
        </w:rPr>
        <w:t>“</w:t>
      </w:r>
      <w:r>
        <w:rPr>
          <w:rStyle w:val="None"/>
          <w:rFonts w:ascii="Times New Roman" w:hAnsi="Times New Roman"/>
        </w:rPr>
        <w:t>intimate partner violence</w:t>
      </w:r>
      <w:r>
        <w:rPr>
          <w:rStyle w:val="None"/>
          <w:rFonts w:ascii="Times New Roman" w:hAnsi="Times New Roman"/>
        </w:rPr>
        <w:t>”</w:t>
      </w:r>
      <w:r>
        <w:rPr>
          <w:rStyle w:val="None"/>
          <w:rFonts w:ascii="Times New Roman" w:hAnsi="Times New Roman"/>
        </w:rPr>
        <w:t xml:space="preserve">, violence is </w:t>
      </w:r>
      <w:r>
        <w:rPr>
          <w:rStyle w:val="None"/>
          <w:rFonts w:ascii="Times New Roman" w:hAnsi="Times New Roman"/>
        </w:rPr>
        <w:t>“</w:t>
      </w:r>
      <w:r>
        <w:rPr>
          <w:rStyle w:val="None"/>
          <w:rFonts w:ascii="Times New Roman" w:hAnsi="Times New Roman"/>
        </w:rPr>
        <w:t>usually accompanied by insults, varied forms of humiliation and threats to ki</w:t>
      </w:r>
      <w:r>
        <w:rPr>
          <w:rStyle w:val="None"/>
          <w:rFonts w:ascii="Times New Roman" w:hAnsi="Times New Roman"/>
        </w:rPr>
        <w:t>ll or harm the victim or her family members</w:t>
      </w:r>
      <w:r>
        <w:rPr>
          <w:rStyle w:val="None"/>
          <w:rFonts w:ascii="Times New Roman" w:hAnsi="Times New Roman"/>
        </w:rPr>
        <w:t>…</w:t>
      </w:r>
      <w:r>
        <w:rPr>
          <w:rStyle w:val="None"/>
          <w:rFonts w:ascii="Times New Roman" w:hAnsi="Times New Roman"/>
        </w:rPr>
        <w:t>(it) tends to escalate over time, sometimes resulting in death or leaving women</w:t>
      </w:r>
      <w:r>
        <w:rPr>
          <w:rStyle w:val="None"/>
          <w:rFonts w:ascii="Times New Roman" w:hAnsi="Times New Roman"/>
        </w:rPr>
        <w:t>’</w:t>
      </w:r>
      <w:r>
        <w:rPr>
          <w:rStyle w:val="None"/>
          <w:rFonts w:ascii="Times New Roman" w:hAnsi="Times New Roman"/>
        </w:rPr>
        <w:t>s bodies mutilated or permanently disfigured</w:t>
      </w:r>
      <w:r>
        <w:rPr>
          <w:rStyle w:val="None"/>
          <w:rFonts w:ascii="Times New Roman" w:hAnsi="Times New Roman"/>
        </w:rPr>
        <w:t>’</w:t>
      </w:r>
      <w:r>
        <w:rPr>
          <w:rStyle w:val="None"/>
          <w:rFonts w:ascii="Times New Roman" w:hAnsi="Times New Roman"/>
        </w:rPr>
        <w:t xml:space="preserve">. According to SR, battered women suffer post-traumatic stress disorder, much like </w:t>
      </w:r>
      <w:r>
        <w:rPr>
          <w:rStyle w:val="None"/>
          <w:rFonts w:ascii="Times New Roman" w:hAnsi="Times New Roman"/>
        </w:rPr>
        <w:t>victims of official torture; and both types of victims</w:t>
      </w:r>
      <w:r>
        <w:rPr>
          <w:rStyle w:val="None"/>
          <w:rFonts w:ascii="Times New Roman" w:hAnsi="Times New Roman"/>
        </w:rPr>
        <w:t xml:space="preserve">’ </w:t>
      </w:r>
      <w:r>
        <w:rPr>
          <w:rStyle w:val="None"/>
          <w:rFonts w:ascii="Times New Roman" w:hAnsi="Times New Roman"/>
        </w:rPr>
        <w:t xml:space="preserve">experience powerlessness and submission, </w:t>
      </w:r>
      <w:r>
        <w:rPr>
          <w:rStyle w:val="None"/>
          <w:rFonts w:ascii="Times New Roman" w:hAnsi="Times New Roman"/>
        </w:rPr>
        <w:t>‘</w:t>
      </w:r>
      <w:r>
        <w:rPr>
          <w:rStyle w:val="None"/>
          <w:rFonts w:ascii="Times New Roman" w:hAnsi="Times New Roman"/>
        </w:rPr>
        <w:t>and destroy his/her capacity for resistance and autonomy with the ultimate aim of achieving total control</w:t>
      </w:r>
      <w:r>
        <w:rPr>
          <w:rStyle w:val="None"/>
          <w:rFonts w:ascii="Times New Roman" w:hAnsi="Times New Roman"/>
        </w:rPr>
        <w:t>’</w:t>
      </w:r>
      <w:r>
        <w:rPr>
          <w:rStyle w:val="None"/>
          <w:rFonts w:ascii="Times New Roman" w:hAnsi="Times New Roman"/>
        </w:rPr>
        <w:t>. For some human rights mechanisms the difference be</w:t>
      </w:r>
      <w:r>
        <w:rPr>
          <w:rStyle w:val="None"/>
          <w:rFonts w:ascii="Times New Roman" w:hAnsi="Times New Roman"/>
        </w:rPr>
        <w:t>tween torture and ill-treatment is based on the severity of the treatment.</w:t>
      </w:r>
      <w:r>
        <w:rPr>
          <w:rStyle w:val="None"/>
          <w:rFonts w:ascii="Times New Roman" w:hAnsi="Times New Roman"/>
        </w:rPr>
        <w:t>”</w:t>
      </w:r>
    </w:p>
  </w:footnote>
  <w:footnote w:id="11">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at Para 35</w:t>
      </w:r>
    </w:p>
  </w:footnote>
  <w:footnote w:id="12">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Para 44</w:t>
      </w:r>
    </w:p>
  </w:footnote>
  <w:footnote w:id="1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at 28.</w:t>
      </w:r>
    </w:p>
  </w:footnote>
  <w:footnote w:id="14">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Significantly, and accordingly, </w:t>
      </w:r>
      <w:r>
        <w:rPr>
          <w:rStyle w:val="None"/>
          <w:rFonts w:ascii="Times New Roman" w:hAnsi="Times New Roman"/>
          <w:i/>
          <w:iCs/>
        </w:rPr>
        <w:t>“</w:t>
      </w:r>
      <w:r>
        <w:rPr>
          <w:rStyle w:val="None"/>
          <w:rFonts w:ascii="Times New Roman" w:hAnsi="Times New Roman"/>
          <w:i/>
          <w:iCs/>
        </w:rPr>
        <w:t>a society's indifference to or even support for the subordina</w:t>
      </w:r>
      <w:r>
        <w:rPr>
          <w:rStyle w:val="None"/>
          <w:rFonts w:ascii="Times New Roman" w:hAnsi="Times New Roman"/>
          <w:i/>
          <w:iCs/>
        </w:rPr>
        <w:t>te status of women, together with the existence of discriminatory laws and a pattern of state failure to punish perpetrators and protect victims, create the conditions under which women may subject to systematic physical and mental suffering, despite their</w:t>
      </w:r>
      <w:r>
        <w:rPr>
          <w:rStyle w:val="None"/>
          <w:rFonts w:ascii="Times New Roman" w:hAnsi="Times New Roman"/>
          <w:i/>
          <w:iCs/>
        </w:rPr>
        <w:t xml:space="preserve"> apparent freedom to resist</w:t>
      </w:r>
      <w:r>
        <w:rPr>
          <w:rStyle w:val="None"/>
          <w:rFonts w:ascii="Times New Roman" w:hAnsi="Times New Roman"/>
          <w:i/>
          <w:iCs/>
        </w:rPr>
        <w:t>”</w:t>
      </w:r>
      <w:r>
        <w:rPr>
          <w:rStyle w:val="None"/>
          <w:rFonts w:ascii="Times New Roman" w:hAnsi="Times New Roman"/>
          <w:i/>
          <w:iCs/>
        </w:rPr>
        <w:t>.</w:t>
      </w:r>
    </w:p>
  </w:footnote>
  <w:footnote w:id="15">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16">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https://www.kenyans.co.ke/news/72828-father-househelp-murdered-employers-home-recounts-chilling-last-moments</w:t>
      </w:r>
    </w:p>
  </w:footnote>
  <w:footnote w:id="1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w:t>
      </w:r>
      <w:hyperlink r:id="rId4" w:history="1">
        <w:r>
          <w:rPr>
            <w:rStyle w:val="Hyperlink0"/>
            <w:rFonts w:eastAsia="Calibri"/>
          </w:rPr>
          <w:t>Cases of domestic violence</w:t>
        </w:r>
      </w:hyperlink>
      <w:r>
        <w:rPr>
          <w:rStyle w:val="None"/>
          <w:rFonts w:ascii="Times New Roman" w:hAnsi="Times New Roman"/>
        </w:rPr>
        <w:t> </w:t>
      </w:r>
      <w:r>
        <w:rPr>
          <w:rStyle w:val="None"/>
          <w:rFonts w:ascii="Times New Roman" w:hAnsi="Times New Roman"/>
        </w:rPr>
        <w:t>have been on the rise country</w:t>
      </w:r>
      <w:r>
        <w:rPr>
          <w:rStyle w:val="None"/>
          <w:rFonts w:ascii="Times New Roman" w:hAnsi="Times New Roman"/>
        </w:rPr>
        <w:t>wide with experts blaming the rising cost of living as the main cause.</w:t>
      </w:r>
    </w:p>
  </w:footnote>
  <w:footnote w:id="1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http://www.hartford-hwp.com/archives/36/182.html</w:t>
      </w:r>
    </w:p>
  </w:footnote>
  <w:footnote w:id="1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20">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https://www.stopthetraffik.org/intelligence/kenya/</w:t>
      </w:r>
    </w:p>
  </w:footnote>
  <w:footnote w:id="21">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Interview Khudheia, March 30, 2022.</w:t>
      </w:r>
    </w:p>
  </w:footnote>
  <w:footnote w:id="22">
    <w:p w:rsidR="0060529E" w:rsidRDefault="00AD1DC6">
      <w:pPr>
        <w:pStyle w:val="FootnoteText"/>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2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ttps://nation.africa/kenya/new</w:t>
      </w:r>
      <w:r>
        <w:rPr>
          <w:rStyle w:val="None"/>
          <w:rFonts w:ascii="Times New Roman" w:hAnsi="Times New Roman"/>
        </w:rPr>
        <w:t>s/gender/the-life-of-domestic-workers-amid-sexual-abuse-by-employers-3662456?view=htmlamp</w:t>
      </w:r>
    </w:p>
  </w:footnote>
  <w:footnote w:id="24">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Interview Khudeiha, 30 March 2022. Domestic Workers report being told by employers when they complain of abuse, </w:t>
      </w:r>
      <w:r>
        <w:rPr>
          <w:rStyle w:val="None"/>
          <w:rFonts w:ascii="Times New Roman" w:hAnsi="Times New Roman"/>
        </w:rPr>
        <w:t>“</w:t>
      </w:r>
      <w:r>
        <w:rPr>
          <w:rStyle w:val="None"/>
          <w:rFonts w:ascii="Times New Roman" w:hAnsi="Times New Roman"/>
        </w:rPr>
        <w:t>I will replace you.</w:t>
      </w:r>
      <w:r>
        <w:rPr>
          <w:rStyle w:val="None"/>
          <w:rFonts w:ascii="Times New Roman" w:hAnsi="Times New Roman"/>
        </w:rPr>
        <w:t>”</w:t>
      </w:r>
    </w:p>
  </w:footnote>
  <w:footnote w:id="25">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https://documents-dds-ny.un.org/doc/UNDOC/GEN/G18/235/72/PDF/G1823572.pdf?OpenElement</w:t>
      </w:r>
    </w:p>
  </w:footnote>
  <w:footnote w:id="26">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lang w:val="da-DK"/>
        </w:rPr>
        <w:t xml:space="preserve"> Jacob Omolo </w:t>
      </w:r>
      <w:r>
        <w:rPr>
          <w:rStyle w:val="None"/>
          <w:rFonts w:ascii="Times New Roman" w:hAnsi="Times New Roman"/>
          <w:sz w:val="20"/>
          <w:szCs w:val="20"/>
        </w:rPr>
        <w:t>“</w:t>
      </w:r>
      <w:r>
        <w:rPr>
          <w:rStyle w:val="None"/>
          <w:rFonts w:ascii="Times New Roman" w:hAnsi="Times New Roman"/>
          <w:sz w:val="20"/>
          <w:szCs w:val="20"/>
        </w:rPr>
        <w:t>How the Pandemic is affecting the informal sector in Kenya</w:t>
      </w:r>
      <w:r>
        <w:rPr>
          <w:rStyle w:val="None"/>
          <w:rFonts w:ascii="Times New Roman" w:hAnsi="Times New Roman"/>
          <w:sz w:val="20"/>
          <w:szCs w:val="20"/>
        </w:rPr>
        <w:t xml:space="preserve">” </w:t>
      </w:r>
      <w:r>
        <w:rPr>
          <w:rStyle w:val="None"/>
          <w:rFonts w:ascii="Times New Roman" w:hAnsi="Times New Roman"/>
          <w:sz w:val="20"/>
          <w:szCs w:val="20"/>
        </w:rPr>
        <w:t>2020 FES.</w:t>
      </w:r>
    </w:p>
  </w:footnote>
  <w:footnote w:id="27">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lang w:val="da-DK"/>
        </w:rPr>
        <w:footnoteRef/>
      </w:r>
      <w:r>
        <w:rPr>
          <w:rStyle w:val="None"/>
          <w:rFonts w:ascii="Times New Roman" w:hAnsi="Times New Roman"/>
          <w:sz w:val="20"/>
          <w:szCs w:val="20"/>
          <w:vertAlign w:val="superscript"/>
          <w:lang w:val="da-DK"/>
        </w:rPr>
        <w:t xml:space="preserve"> </w:t>
      </w:r>
      <w:r>
        <w:rPr>
          <w:rStyle w:val="None"/>
          <w:rFonts w:ascii="Times New Roman" w:hAnsi="Times New Roman"/>
          <w:sz w:val="20"/>
          <w:szCs w:val="20"/>
          <w:lang w:val="da-DK"/>
        </w:rPr>
        <w:t>Id.</w:t>
      </w:r>
    </w:p>
  </w:footnote>
  <w:footnote w:id="2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https://www.mironline.ca/modern-day-slavery-under-the-guise-of-domestic-work-the-plight-of-kenyan-workers-in-the-middle-east/ </w:t>
      </w:r>
      <w:hyperlink r:id="rId5" w:history="1">
        <w:r>
          <w:rPr>
            <w:rStyle w:val="Hyperlink0"/>
            <w:rFonts w:eastAsia="Calibri"/>
          </w:rPr>
          <w:t>https://www.reuters.com/article/us-kenya-women-saudi/kenyan-families-tormented-over-maids-mysterious-deaths-in-saudi-arabia-idUSKBN2IE150</w:t>
        </w:r>
      </w:hyperlink>
      <w:r>
        <w:rPr>
          <w:rStyle w:val="None"/>
          <w:rFonts w:ascii="Times New Roman" w:hAnsi="Times New Roman"/>
        </w:rPr>
        <w:t>. For a case study on a Kenyan domestic worker in United States facing similar challenges, see:</w:t>
      </w:r>
      <w:r>
        <w:rPr>
          <w:rStyle w:val="None"/>
          <w:rFonts w:ascii="Times New Roman" w:hAnsi="Times New Roman"/>
        </w:rPr>
        <w:t xml:space="preserve"> https://www.wnycstudios.org/podcasts/takeaway/segments/domestic-workers-fight-fair-pay</w:t>
      </w:r>
    </w:p>
  </w:footnote>
  <w:footnote w:id="2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30">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https://www.mironline.ca/modern-day-slavery-under-the-guise-of-domestic-work-the-plight-of-kenyan-workers-in-the-middle-east/</w:t>
      </w:r>
      <w:r>
        <w:rPr>
          <w:rStyle w:val="None"/>
          <w:rFonts w:ascii="Times New Roman" w:hAnsi="Times New Roman"/>
        </w:rPr>
        <w:t xml:space="preserve"> </w:t>
      </w:r>
      <w:r>
        <w:rPr>
          <w:rStyle w:val="None"/>
          <w:rFonts w:ascii="Times New Roman" w:hAnsi="Times New Roman"/>
        </w:rPr>
        <w:t>According to the International Lab</w:t>
      </w:r>
      <w:r>
        <w:rPr>
          <w:rStyle w:val="None"/>
          <w:rFonts w:ascii="Times New Roman" w:hAnsi="Times New Roman"/>
        </w:rPr>
        <w:t xml:space="preserve">or Organization, the </w:t>
      </w:r>
      <w:r>
        <w:rPr>
          <w:rStyle w:val="None"/>
          <w:rFonts w:ascii="Times New Roman" w:hAnsi="Times New Roman"/>
        </w:rPr>
        <w:t>“</w:t>
      </w:r>
      <w:r>
        <w:rPr>
          <w:rStyle w:val="None"/>
          <w:rFonts w:ascii="Times New Roman" w:hAnsi="Times New Roman"/>
        </w:rPr>
        <w:t>informal, unregulated and isolated nature of [this] work</w:t>
      </w:r>
      <w:r>
        <w:rPr>
          <w:rStyle w:val="None"/>
          <w:rFonts w:ascii="Times New Roman" w:hAnsi="Times New Roman"/>
        </w:rPr>
        <w:t xml:space="preserve">” </w:t>
      </w:r>
      <w:r>
        <w:rPr>
          <w:rStyle w:val="None"/>
          <w:rFonts w:ascii="Times New Roman" w:hAnsi="Times New Roman"/>
        </w:rPr>
        <w:t>makes domestic workers vulnerable to abuse and often leaves them stranded in foreign countries with little help and no escape.</w:t>
      </w:r>
      <w:r>
        <w:rPr>
          <w:rStyle w:val="None"/>
          <w:rFonts w:ascii="Times New Roman" w:hAnsi="Times New Roman"/>
        </w:rPr>
        <w:t> “</w:t>
      </w:r>
    </w:p>
  </w:footnote>
  <w:footnote w:id="31">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w:t>
      </w:r>
      <w:hyperlink r:id="rId6" w:history="1">
        <w:r>
          <w:rPr>
            <w:rStyle w:val="Hyperlink0"/>
            <w:rFonts w:eastAsia="Calibri"/>
          </w:rPr>
          <w:t>https://www.haaretz.com/middle-east-news/.premium.HIGHLIGHT-the-saudis-treat-us-like-animals-1.10594142</w:t>
        </w:r>
      </w:hyperlink>
      <w:r>
        <w:rPr>
          <w:rStyle w:val="None"/>
          <w:rFonts w:ascii="Times New Roman" w:hAnsi="Times New Roman"/>
        </w:rPr>
        <w:t>. The authors of this submission spoke to Ms Shimilia.</w:t>
      </w:r>
    </w:p>
  </w:footnote>
  <w:footnote w:id="32">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https://www.haaretz.com/middle-east-news/.premium.HIGHLIGHT-the-saudis-treat-us-like-animals-1.10594142</w:t>
      </w:r>
    </w:p>
  </w:footnote>
  <w:footnote w:id="3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34">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35">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https://www.globalissues.org/news/2022/01/14/29818</w:t>
      </w:r>
    </w:p>
  </w:footnote>
  <w:footnote w:id="36">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https://www.voanews.com/a/kenya-saudi-arabia-domestic-workers-deaths/6244368.html</w:t>
      </w:r>
    </w:p>
  </w:footnote>
  <w:footnote w:id="3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w:t>
      </w:r>
      <w:r>
        <w:rPr>
          <w:rStyle w:val="None"/>
          <w:rFonts w:ascii="Times New Roman" w:hAnsi="Times New Roman"/>
        </w:rPr>
        <w:t>Id</w:t>
      </w:r>
    </w:p>
  </w:footnote>
  <w:footnote w:id="3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6, para 30.</w:t>
      </w:r>
    </w:p>
  </w:footnote>
  <w:footnote w:id="3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6, para 30.</w:t>
      </w:r>
    </w:p>
  </w:footnote>
  <w:footnote w:id="40">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ILO Observation (CEAR)- adopted 2020, published 109th ILC Session (2021) on Worst Forms of Child Labour Convention, 1999) (No.182). </w:t>
      </w:r>
    </w:p>
  </w:footnote>
  <w:footnote w:id="41">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IDay-Kenya, palm and Dr Pacificah F. Okemwa ``Report on Survey: Domestic Wor</w:t>
      </w:r>
      <w:r>
        <w:rPr>
          <w:rStyle w:val="None"/>
          <w:rFonts w:ascii="Times New Roman" w:hAnsi="Times New Roman"/>
          <w:sz w:val="20"/>
          <w:szCs w:val="20"/>
        </w:rPr>
        <w:t>kers in Kenya (2015).</w:t>
      </w:r>
    </w:p>
  </w:footnote>
  <w:footnote w:id="42">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lang w:val="de-DE"/>
        </w:rPr>
        <w:t xml:space="preserve"> Mary Mzungu </w:t>
      </w:r>
      <w:r>
        <w:rPr>
          <w:rStyle w:val="None"/>
          <w:rFonts w:ascii="Times New Roman" w:hAnsi="Times New Roman"/>
          <w:sz w:val="20"/>
          <w:szCs w:val="20"/>
        </w:rPr>
        <w:t>“</w:t>
      </w:r>
      <w:r>
        <w:rPr>
          <w:rStyle w:val="None"/>
          <w:rFonts w:ascii="Times New Roman" w:hAnsi="Times New Roman"/>
          <w:sz w:val="20"/>
          <w:szCs w:val="20"/>
        </w:rPr>
        <w:t>Girl domestic workers in Kenya</w:t>
      </w:r>
      <w:r>
        <w:rPr>
          <w:rStyle w:val="None"/>
          <w:rFonts w:ascii="Times New Roman" w:hAnsi="Times New Roman"/>
          <w:sz w:val="20"/>
          <w:szCs w:val="20"/>
        </w:rPr>
        <w:t xml:space="preserve">” </w:t>
      </w:r>
      <w:r>
        <w:rPr>
          <w:rStyle w:val="None"/>
          <w:rFonts w:ascii="Times New Roman" w:hAnsi="Times New Roman"/>
          <w:sz w:val="20"/>
          <w:szCs w:val="20"/>
        </w:rPr>
        <w:t>Links Oxfam's newsletter on Gender, March 1999.</w:t>
      </w:r>
    </w:p>
  </w:footnote>
  <w:footnote w:id="4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6, para 31. In this regard, particular election cycles make clear that workers can be subjected to acts of violence from both state</w:t>
      </w:r>
      <w:r>
        <w:rPr>
          <w:rStyle w:val="None"/>
          <w:rFonts w:ascii="Times New Roman" w:hAnsi="Times New Roman"/>
        </w:rPr>
        <w:t xml:space="preserve"> and non-state actors which arguably can amount to torture. For example, a contested presidential election in Kenya triggered violence which led to the physical and sexual assault of tea plantation workers based at the Unilever plantation in Kericho county</w:t>
      </w:r>
      <w:r>
        <w:rPr>
          <w:rStyle w:val="None"/>
          <w:rFonts w:ascii="Times New Roman" w:hAnsi="Times New Roman"/>
        </w:rPr>
        <w:t>. The violence was meted out against Kisii ethnic minorities with at least 11 workers being killed in the attacks and hundreds more being assaulted and raped. The decision of a UK judge that the Unilever</w:t>
      </w:r>
      <w:r>
        <w:rPr>
          <w:rStyle w:val="None"/>
          <w:rFonts w:ascii="Times New Roman" w:hAnsi="Times New Roman"/>
        </w:rPr>
        <w:t>’</w:t>
      </w:r>
      <w:r>
        <w:rPr>
          <w:rStyle w:val="None"/>
          <w:rFonts w:ascii="Times New Roman" w:hAnsi="Times New Roman"/>
        </w:rPr>
        <w:t>s London headquarters could not be held liable for t</w:t>
      </w:r>
      <w:r>
        <w:rPr>
          <w:rStyle w:val="None"/>
          <w:rFonts w:ascii="Times New Roman" w:hAnsi="Times New Roman"/>
        </w:rPr>
        <w:t xml:space="preserve">he failures of its Kenyan subsidiary led to almost 218 workers filing a complaint with the UN Working Group on Business and Human Rights as well as the UN Special Rapporteur on Extreme Poverty and Human Rights. The complaint alleges that Unilever breached </w:t>
      </w:r>
      <w:r>
        <w:rPr>
          <w:rStyle w:val="None"/>
          <w:rFonts w:ascii="Times New Roman" w:hAnsi="Times New Roman"/>
        </w:rPr>
        <w:t>its commitment to the UN Guiding Principles on Business and Human Rights under which companies have a responsibility to remediate and mitigate adverse human rights impacts to which they have contributed or are directly linked. .See https://www.business-hum</w:t>
      </w:r>
      <w:r>
        <w:rPr>
          <w:rStyle w:val="None"/>
          <w:rFonts w:ascii="Times New Roman" w:hAnsi="Times New Roman"/>
        </w:rPr>
        <w:t>anrights.org/en/latest-news/kenya-workers-continue-to-demand-compensation-from-unilever-following-its-alleged-failure-to-protect-workers-from-ethnic-violence-on-kericho-tea-plantation-in-2007-incl-company-response/</w:t>
      </w:r>
    </w:p>
  </w:footnote>
  <w:footnote w:id="44">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para 31. He cites a commi</w:t>
      </w:r>
      <w:r>
        <w:rPr>
          <w:rStyle w:val="None"/>
          <w:rFonts w:ascii="Times New Roman" w:hAnsi="Times New Roman"/>
        </w:rPr>
        <w:t xml:space="preserve">ttee decision finding that Committee against Torture indicated that </w:t>
      </w:r>
      <w:r>
        <w:rPr>
          <w:rStyle w:val="None"/>
          <w:rFonts w:ascii="Times New Roman" w:hAnsi="Times New Roman"/>
        </w:rPr>
        <w:t>“</w:t>
      </w:r>
      <w:r>
        <w:rPr>
          <w:rStyle w:val="None"/>
          <w:rFonts w:ascii="Times New Roman" w:hAnsi="Times New Roman"/>
        </w:rPr>
        <w:t xml:space="preserve">Since the failure of the State to exercise due diligence to intervene to stop, sanction and provide remedies to victims of torture facilitates and enables non-State actors to commit acts </w:t>
      </w:r>
      <w:r>
        <w:rPr>
          <w:rStyle w:val="None"/>
          <w:rFonts w:ascii="Times New Roman" w:hAnsi="Times New Roman"/>
        </w:rPr>
        <w:t>impermissible under the Convention with impunity, the State</w:t>
      </w:r>
      <w:r>
        <w:rPr>
          <w:rStyle w:val="None"/>
          <w:rFonts w:ascii="Times New Roman" w:hAnsi="Times New Roman"/>
        </w:rPr>
        <w:t>’</w:t>
      </w:r>
      <w:r>
        <w:rPr>
          <w:rStyle w:val="None"/>
          <w:rFonts w:ascii="Times New Roman" w:hAnsi="Times New Roman"/>
        </w:rPr>
        <w:t>s indifference or inaction provides a form of encouragement and/or de facto permission</w:t>
      </w:r>
      <w:r>
        <w:rPr>
          <w:rStyle w:val="None"/>
          <w:rFonts w:ascii="Times New Roman" w:hAnsi="Times New Roman"/>
        </w:rPr>
        <w:t>”</w:t>
      </w:r>
    </w:p>
  </w:footnote>
  <w:footnote w:id="45">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Para 4</w:t>
      </w:r>
      <w:r>
        <w:rPr>
          <w:rStyle w:val="None"/>
          <w:rFonts w:ascii="Times New Roman" w:hAnsi="Times New Roman"/>
        </w:rPr>
        <w:t xml:space="preserve">© </w:t>
      </w:r>
      <w:r>
        <w:rPr>
          <w:rStyle w:val="None"/>
          <w:rFonts w:ascii="Times New Roman" w:hAnsi="Times New Roman"/>
        </w:rPr>
        <w:t>of the Declaration, cited supra 3, at para 33.</w:t>
      </w:r>
    </w:p>
  </w:footnote>
  <w:footnote w:id="46">
    <w:p w:rsidR="0060529E" w:rsidRDefault="00AD1DC6">
      <w:pPr>
        <w:pStyle w:val="FootnoteText"/>
      </w:pPr>
      <w:r>
        <w:rPr>
          <w:rStyle w:val="None"/>
          <w:rFonts w:ascii="Times New Roman" w:eastAsia="Times New Roman" w:hAnsi="Times New Roman" w:cs="Times New Roman"/>
          <w:sz w:val="24"/>
          <w:szCs w:val="24"/>
          <w:vertAlign w:val="superscript"/>
        </w:rPr>
        <w:footnoteRef/>
      </w:r>
      <w:r>
        <w:t xml:space="preserve"> </w:t>
      </w:r>
      <w:r>
        <w:rPr>
          <w:rStyle w:val="None"/>
          <w:rFonts w:ascii="Times New Roman" w:hAnsi="Times New Roman"/>
        </w:rPr>
        <w:t xml:space="preserve">Committee Against Torture, General Comment No.2, </w:t>
      </w:r>
      <w:r>
        <w:rPr>
          <w:rStyle w:val="None"/>
          <w:rFonts w:ascii="Times New Roman" w:hAnsi="Times New Roman"/>
        </w:rPr>
        <w:t>Implementation of article 2 by state parties CAAT/C/GC/2 (24 January 2008)</w:t>
      </w:r>
    </w:p>
  </w:footnote>
  <w:footnote w:id="4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Id, Para 21</w:t>
      </w:r>
    </w:p>
  </w:footnote>
  <w:footnote w:id="4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 Para 22</w:t>
      </w:r>
    </w:p>
  </w:footnote>
  <w:footnote w:id="49">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I Day-Kenya, palm and Dr Pacificah F. Okemwa "Report on Survey: Domestic Workers in Kenya (2015)</w:t>
      </w:r>
    </w:p>
  </w:footnote>
  <w:footnote w:id="50">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Global Alliance Traffic in the Women "Kenya: Empoweri</w:t>
      </w:r>
      <w:r>
        <w:rPr>
          <w:rStyle w:val="None"/>
          <w:rFonts w:ascii="Times New Roman" w:hAnsi="Times New Roman"/>
          <w:sz w:val="20"/>
          <w:szCs w:val="20"/>
        </w:rPr>
        <w:t>ng Domestic Workers through community advocacy and Training Services"</w:t>
      </w:r>
    </w:p>
  </w:footnote>
  <w:footnote w:id="51">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Albinism Society of Kenya, Available at </w:t>
      </w:r>
      <w:hyperlink r:id="rId7" w:history="1">
        <w:r>
          <w:rPr>
            <w:rStyle w:val="Hyperlink0"/>
            <w:rFonts w:eastAsia="Calibri"/>
          </w:rPr>
          <w:t>https://albinismsocietyofkenya.org/</w:t>
        </w:r>
      </w:hyperlink>
      <w:r>
        <w:rPr>
          <w:rStyle w:val="None"/>
          <w:rFonts w:ascii="Times New Roman" w:hAnsi="Times New Roman"/>
        </w:rPr>
        <w:t xml:space="preserve"> </w:t>
      </w:r>
    </w:p>
  </w:footnote>
  <w:footnote w:id="52">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Ms. Ikponwosa Ero (Nigeria) was designated in June 2015 as the first UN Independent Expert on the enjoyment of human rights by persons with albinism. Her mandate ended in August 2021.</w:t>
      </w:r>
    </w:p>
  </w:footnote>
  <w:footnote w:id="5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Persons with albinism: Kenya on the way to becoming regional champio</w:t>
      </w:r>
      <w:r>
        <w:rPr>
          <w:rStyle w:val="None"/>
          <w:rFonts w:ascii="Times New Roman" w:hAnsi="Times New Roman"/>
        </w:rPr>
        <w:t xml:space="preserve">n, Available at </w:t>
      </w:r>
      <w:hyperlink r:id="rId8" w:history="1">
        <w:r>
          <w:rPr>
            <w:rStyle w:val="Hyperlink0"/>
            <w:rFonts w:eastAsia="Calibri"/>
          </w:rPr>
          <w:t>https://www.ohchr.org/en/press-releases/2018/09/persons-albinism-kenya-way-becoming-regional-champion?La</w:t>
        </w:r>
        <w:r>
          <w:rPr>
            <w:rStyle w:val="Hyperlink0"/>
            <w:rFonts w:eastAsia="Calibri"/>
          </w:rPr>
          <w:t>ngID=E&amp;NewsID=23570</w:t>
        </w:r>
      </w:hyperlink>
      <w:r>
        <w:rPr>
          <w:rStyle w:val="None"/>
          <w:rFonts w:ascii="Times New Roman" w:hAnsi="Times New Roman"/>
        </w:rPr>
        <w:t xml:space="preserve"> </w:t>
      </w:r>
    </w:p>
  </w:footnote>
  <w:footnote w:id="54">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The Human Rights of Persons with Albinism in Kenya submitted to the UN Office of the High Commissioner for Human Rights RE: Universal Period Review State under Review: Kenya, June 30, 2014.</w:t>
      </w:r>
    </w:p>
  </w:footnote>
  <w:footnote w:id="55">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General Comment 2. Further see former </w:t>
      </w:r>
      <w:r>
        <w:rPr>
          <w:rStyle w:val="None"/>
          <w:rFonts w:ascii="Times New Roman" w:hAnsi="Times New Roman"/>
        </w:rPr>
        <w:t xml:space="preserve">SR report, Supra note 6, SR Report, which provides that </w:t>
      </w:r>
      <w:r>
        <w:rPr>
          <w:rStyle w:val="None"/>
          <w:rFonts w:ascii="Times New Roman" w:hAnsi="Times New Roman"/>
        </w:rPr>
        <w:t>“</w:t>
      </w:r>
      <w:r>
        <w:rPr>
          <w:rStyle w:val="None"/>
          <w:rFonts w:ascii="Times New Roman" w:hAnsi="Times New Roman"/>
        </w:rPr>
        <w:t>the obligation to prevent ill-treatment in practice overlaps with and is congruent with the obligation to prevent torture</w:t>
      </w:r>
      <w:r>
        <w:rPr>
          <w:rStyle w:val="None"/>
          <w:rFonts w:ascii="Times New Roman" w:hAnsi="Times New Roman"/>
        </w:rPr>
        <w:t>”</w:t>
      </w:r>
      <w:r>
        <w:rPr>
          <w:rStyle w:val="None"/>
          <w:rFonts w:ascii="Times New Roman" w:hAnsi="Times New Roman"/>
        </w:rPr>
        <w:t xml:space="preserve">.   since </w:t>
      </w:r>
      <w:r>
        <w:rPr>
          <w:rStyle w:val="None"/>
          <w:rFonts w:ascii="Times New Roman" w:hAnsi="Times New Roman"/>
        </w:rPr>
        <w:t>“</w:t>
      </w:r>
      <w:r>
        <w:rPr>
          <w:rStyle w:val="None"/>
          <w:rFonts w:ascii="Times New Roman" w:hAnsi="Times New Roman"/>
        </w:rPr>
        <w:t>in practice the definitional threshold between ill treatment and t</w:t>
      </w:r>
      <w:r>
        <w:rPr>
          <w:rStyle w:val="None"/>
          <w:rFonts w:ascii="Times New Roman" w:hAnsi="Times New Roman"/>
        </w:rPr>
        <w:t>orture is not clear.</w:t>
      </w:r>
      <w:r>
        <w:rPr>
          <w:rStyle w:val="None"/>
          <w:rFonts w:ascii="Times New Roman" w:hAnsi="Times New Roman"/>
        </w:rPr>
        <w:t xml:space="preserve">” </w:t>
      </w:r>
      <w:r>
        <w:rPr>
          <w:rStyle w:val="None"/>
          <w:rFonts w:ascii="Times New Roman" w:hAnsi="Times New Roman"/>
        </w:rPr>
        <w:t xml:space="preserve">According to the General Comment 2, </w:t>
      </w:r>
      <w:r>
        <w:rPr>
          <w:rStyle w:val="None"/>
          <w:rFonts w:ascii="Times New Roman" w:hAnsi="Times New Roman"/>
        </w:rPr>
        <w:t>“</w:t>
      </w:r>
      <w:r>
        <w:rPr>
          <w:rStyle w:val="None"/>
          <w:rFonts w:ascii="Times New Roman" w:hAnsi="Times New Roman"/>
        </w:rPr>
        <w:t>conditions that give rise to ill-treatment frequently facilitate torture</w:t>
      </w:r>
      <w:r>
        <w:rPr>
          <w:rStyle w:val="None"/>
          <w:rFonts w:ascii="Times New Roman" w:hAnsi="Times New Roman"/>
        </w:rPr>
        <w:t>”</w:t>
      </w:r>
      <w:r>
        <w:rPr>
          <w:rStyle w:val="None"/>
          <w:rFonts w:ascii="Times New Roman" w:hAnsi="Times New Roman"/>
        </w:rPr>
        <w:t xml:space="preserve">. Accordingly, the prohibition on ill-treatment is similarly non-derogable under the Convention, and measures required to </w:t>
      </w:r>
      <w:r>
        <w:rPr>
          <w:rStyle w:val="None"/>
          <w:rFonts w:ascii="Times New Roman" w:hAnsi="Times New Roman"/>
        </w:rPr>
        <w:t>prevent torture must also be applied to prevent ill treatment</w:t>
      </w:r>
      <w:r>
        <w:rPr>
          <w:rStyle w:val="None"/>
          <w:rFonts w:ascii="Times New Roman" w:hAnsi="Times New Roman"/>
        </w:rPr>
        <w:t>”</w:t>
      </w:r>
      <w:r>
        <w:rPr>
          <w:rStyle w:val="None"/>
          <w:rFonts w:ascii="Times New Roman" w:hAnsi="Times New Roman"/>
        </w:rPr>
        <w:t xml:space="preserve">.  As a result, </w:t>
      </w:r>
      <w:r>
        <w:rPr>
          <w:rStyle w:val="None"/>
          <w:rFonts w:ascii="Times New Roman" w:hAnsi="Times New Roman"/>
        </w:rPr>
        <w:t>“</w:t>
      </w:r>
      <w:r>
        <w:rPr>
          <w:rStyle w:val="None"/>
          <w:rFonts w:ascii="Times New Roman" w:hAnsi="Times New Roman"/>
        </w:rPr>
        <w:t>state parties are obliged to eliminate any legal or other obstacles that impede the eradication of torture and ill-treatment</w:t>
      </w:r>
      <w:r>
        <w:rPr>
          <w:rStyle w:val="None"/>
          <w:rFonts w:ascii="Times New Roman" w:hAnsi="Times New Roman"/>
        </w:rPr>
        <w:t>”</w:t>
      </w:r>
      <w:r>
        <w:rPr>
          <w:rStyle w:val="None"/>
          <w:rFonts w:ascii="Times New Roman" w:hAnsi="Times New Roman"/>
        </w:rPr>
        <w:t xml:space="preserve">.  </w:t>
      </w:r>
    </w:p>
  </w:footnote>
  <w:footnote w:id="56">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p Para 18.</w:t>
      </w:r>
    </w:p>
  </w:footnote>
  <w:footnote w:id="5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para </w:t>
      </w:r>
      <w:r>
        <w:rPr>
          <w:rStyle w:val="None"/>
          <w:rFonts w:ascii="Times New Roman" w:hAnsi="Times New Roman"/>
        </w:rPr>
        <w:t>36.</w:t>
      </w:r>
    </w:p>
  </w:footnote>
  <w:footnote w:id="5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Supra note 6.  The SR has found that state acquiescence, in domestic violence can take many forms, some of which are subtle, such as civil laws that restrict divorce or inheritance rights or custody, </w:t>
      </w:r>
      <w:r>
        <w:rPr>
          <w:rStyle w:val="None"/>
          <w:rFonts w:ascii="Times New Roman" w:hAnsi="Times New Roman"/>
        </w:rPr>
        <w:t>“</w:t>
      </w:r>
      <w:r>
        <w:rPr>
          <w:rStyle w:val="None"/>
          <w:rFonts w:ascii="Times New Roman" w:hAnsi="Times New Roman"/>
        </w:rPr>
        <w:t>all serve to make women dependent upon men and li</w:t>
      </w:r>
      <w:r>
        <w:rPr>
          <w:rStyle w:val="None"/>
          <w:rFonts w:ascii="Times New Roman" w:hAnsi="Times New Roman"/>
        </w:rPr>
        <w:t>mit their ability to leave a violent situation.</w:t>
      </w:r>
      <w:r>
        <w:rPr>
          <w:rStyle w:val="None"/>
          <w:rFonts w:ascii="Times New Roman" w:hAnsi="Times New Roman"/>
        </w:rPr>
        <w:t>”</w:t>
      </w:r>
    </w:p>
  </w:footnote>
  <w:footnote w:id="5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General Comment, 2.</w:t>
      </w:r>
    </w:p>
  </w:footnote>
  <w:footnote w:id="60">
    <w:p w:rsidR="0060529E" w:rsidRDefault="00AD1DC6">
      <w:pPr>
        <w:pStyle w:val="BodyA"/>
        <w:spacing w:after="0" w:line="240" w:lineRule="auto"/>
        <w:jc w:val="both"/>
        <w:rPr>
          <w:rStyle w:val="None"/>
          <w:rFonts w:ascii="Times New Roman" w:eastAsia="Times New Roman" w:hAnsi="Times New Roman" w:cs="Times New Roman"/>
          <w:sz w:val="20"/>
          <w:szCs w:val="20"/>
        </w:rPr>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These include the Universal Declaration of Human Rights (UDHR), the International Covenant on Economic, Social and Cultural Rights (ICESCR) the Convention on the Elimination of Discri</w:t>
      </w:r>
      <w:r>
        <w:rPr>
          <w:rStyle w:val="None"/>
          <w:rFonts w:ascii="Times New Roman" w:hAnsi="Times New Roman"/>
          <w:sz w:val="20"/>
          <w:szCs w:val="20"/>
        </w:rPr>
        <w:t xml:space="preserve">mination Against Women (CEDAW) and the Convention on the Rights to the Child (CRC). </w:t>
      </w:r>
    </w:p>
    <w:p w:rsidR="0060529E" w:rsidRDefault="00AD1DC6">
      <w:pPr>
        <w:pStyle w:val="BodyA"/>
        <w:spacing w:after="0" w:line="240" w:lineRule="auto"/>
        <w:jc w:val="both"/>
      </w:pPr>
      <w:r>
        <w:rPr>
          <w:rStyle w:val="None"/>
          <w:rFonts w:ascii="Times New Roman" w:hAnsi="Times New Roman"/>
          <w:sz w:val="20"/>
          <w:szCs w:val="20"/>
        </w:rPr>
        <w:t>Kenya is also a member of the International Labour Organization. Under this membership, it is bound to respect the ILO Declaration of Philadelphia, 1944 which affirms that</w:t>
      </w:r>
      <w:r>
        <w:rPr>
          <w:rStyle w:val="None"/>
          <w:rFonts w:ascii="Times New Roman" w:hAnsi="Times New Roman"/>
          <w:sz w:val="20"/>
          <w:szCs w:val="20"/>
        </w:rPr>
        <w:t xml:space="preserve"> </w:t>
      </w:r>
      <w:r>
        <w:rPr>
          <w:rStyle w:val="None"/>
          <w:rFonts w:ascii="Times New Roman" w:hAnsi="Times New Roman"/>
          <w:sz w:val="20"/>
          <w:szCs w:val="20"/>
        </w:rPr>
        <w:t>“</w:t>
      </w:r>
      <w:r>
        <w:rPr>
          <w:rStyle w:val="None"/>
          <w:rFonts w:ascii="Times New Roman" w:hAnsi="Times New Roman"/>
          <w:sz w:val="20"/>
          <w:szCs w:val="20"/>
        </w:rPr>
        <w:t>all human beings, irrespective of race, creed or sex, have the right to pursue both their material well-being and their spiritual development in conditions of freedom and dignity, of economic security and equal opportunity</w:t>
      </w:r>
      <w:r>
        <w:rPr>
          <w:rStyle w:val="None"/>
          <w:rFonts w:ascii="Times New Roman" w:hAnsi="Times New Roman"/>
          <w:sz w:val="20"/>
          <w:szCs w:val="20"/>
        </w:rPr>
        <w:t>”</w:t>
      </w:r>
      <w:r>
        <w:rPr>
          <w:rStyle w:val="None"/>
          <w:rFonts w:ascii="Times New Roman" w:hAnsi="Times New Roman"/>
          <w:sz w:val="20"/>
          <w:szCs w:val="20"/>
        </w:rPr>
        <w:t>. Kenya has also ratified sever</w:t>
      </w:r>
      <w:r>
        <w:rPr>
          <w:rStyle w:val="None"/>
          <w:rFonts w:ascii="Times New Roman" w:hAnsi="Times New Roman"/>
          <w:sz w:val="20"/>
          <w:szCs w:val="20"/>
        </w:rPr>
        <w:t>al key International Labour Organization (ILO) conventions including the eight ILO fundamental conventions. More significantly, Kenya has ratified the ILO Convention on Discrimination (Employment and Occupational) Convention, 1958 (No.111) which provides a</w:t>
      </w:r>
      <w:r>
        <w:rPr>
          <w:rStyle w:val="None"/>
          <w:rFonts w:ascii="Times New Roman" w:hAnsi="Times New Roman"/>
          <w:sz w:val="20"/>
          <w:szCs w:val="20"/>
        </w:rPr>
        <w:t xml:space="preserve"> framework to address discrimination and sexual harassment in the workplace. Besides being a signatory to the international instruments, Kenya is also a signatory to several regional protocols and instruments including the African Charter on Human and Peop</w:t>
      </w:r>
      <w:r>
        <w:rPr>
          <w:rStyle w:val="None"/>
          <w:rFonts w:ascii="Times New Roman" w:hAnsi="Times New Roman"/>
          <w:sz w:val="20"/>
          <w:szCs w:val="20"/>
        </w:rPr>
        <w:t>le</w:t>
      </w:r>
      <w:r>
        <w:rPr>
          <w:rStyle w:val="None"/>
          <w:rFonts w:ascii="Times New Roman" w:hAnsi="Times New Roman"/>
          <w:sz w:val="20"/>
          <w:szCs w:val="20"/>
        </w:rPr>
        <w:t>’</w:t>
      </w:r>
      <w:r>
        <w:rPr>
          <w:rStyle w:val="None"/>
          <w:rFonts w:ascii="Times New Roman" w:hAnsi="Times New Roman"/>
          <w:sz w:val="20"/>
          <w:szCs w:val="20"/>
        </w:rPr>
        <w:t xml:space="preserve">s Rights ACHPR and the Rights of Women (2003). </w:t>
      </w:r>
    </w:p>
  </w:footnote>
  <w:footnote w:id="61">
    <w:p w:rsidR="0060529E" w:rsidRDefault="00AD1DC6">
      <w:pPr>
        <w:pStyle w:val="BodyA"/>
        <w:spacing w:after="0" w:line="240" w:lineRule="auto"/>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Mebo Ambogo Lundu v Moses Nderitu</w:t>
      </w:r>
      <w:r>
        <w:rPr>
          <w:rStyle w:val="None"/>
          <w:rFonts w:ascii="Times New Roman" w:hAnsi="Times New Roman"/>
          <w:sz w:val="20"/>
          <w:szCs w:val="20"/>
          <w:lang w:val="pt-PT"/>
        </w:rPr>
        <w:t xml:space="preserve"> [2014] eKLR para 7. </w:t>
      </w:r>
    </w:p>
  </w:footnote>
  <w:footnote w:id="62">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Article 2 of the Constitution of Kenya, 2010. </w:t>
      </w:r>
    </w:p>
  </w:footnote>
  <w:footnote w:id="63">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 xml:space="preserve">Article 2 (4) of the Constitution. </w:t>
      </w:r>
    </w:p>
  </w:footnote>
  <w:footnote w:id="64">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Article 2(5) and 2(6)</w:t>
      </w:r>
    </w:p>
  </w:footnote>
  <w:footnote w:id="65">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 xml:space="preserve">Article 21 (3) of the Constitution </w:t>
      </w:r>
      <w:r>
        <w:rPr>
          <w:rStyle w:val="None"/>
          <w:rFonts w:ascii="Times New Roman" w:hAnsi="Times New Roman"/>
          <w:sz w:val="20"/>
          <w:szCs w:val="20"/>
        </w:rPr>
        <w:t xml:space="preserve">of Kenya, 2010. </w:t>
      </w:r>
    </w:p>
  </w:footnote>
  <w:footnote w:id="66">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Act No. 12 of 2017,</w:t>
      </w:r>
      <w:r>
        <w:rPr>
          <w:rStyle w:val="None"/>
          <w:rFonts w:ascii="Times New Roman" w:hAnsi="Times New Roman"/>
        </w:rPr>
        <w:t xml:space="preserve"> </w:t>
      </w:r>
      <w:r>
        <w:rPr>
          <w:rStyle w:val="None"/>
          <w:rFonts w:ascii="Times New Roman" w:hAnsi="Times New Roman"/>
        </w:rPr>
        <w:t xml:space="preserve">it includes </w:t>
      </w:r>
      <w:r>
        <w:rPr>
          <w:rStyle w:val="None"/>
          <w:rFonts w:ascii="Times New Roman" w:hAnsi="Times New Roman"/>
        </w:rPr>
        <w:t>‘</w:t>
      </w:r>
      <w:r>
        <w:rPr>
          <w:rStyle w:val="None"/>
          <w:rFonts w:ascii="Times New Roman" w:hAnsi="Times New Roman"/>
        </w:rPr>
        <w:t>a deliberate and aggravated treatment or punishment not amounting to torture, inflicted by a public officer or a person acting on behalf of a public officer against a person under their custody</w:t>
      </w:r>
      <w:r>
        <w:rPr>
          <w:rStyle w:val="None"/>
          <w:rFonts w:ascii="Times New Roman" w:hAnsi="Times New Roman"/>
        </w:rPr>
        <w:t xml:space="preserve"> </w:t>
      </w:r>
      <w:r>
        <w:rPr>
          <w:rStyle w:val="None"/>
          <w:rFonts w:ascii="Times New Roman" w:hAnsi="Times New Roman"/>
        </w:rPr>
        <w:t xml:space="preserve">causing </w:t>
      </w:r>
      <w:r>
        <w:rPr>
          <w:rStyle w:val="None"/>
          <w:rFonts w:ascii="Times New Roman" w:hAnsi="Times New Roman"/>
        </w:rPr>
        <w:t>suffering, gross humiliation or degradation to the person.</w:t>
      </w:r>
      <w:r>
        <w:rPr>
          <w:rStyle w:val="None"/>
          <w:rFonts w:ascii="Times New Roman" w:hAnsi="Times New Roman"/>
        </w:rPr>
        <w:t xml:space="preserve">’ </w:t>
      </w:r>
    </w:p>
  </w:footnote>
  <w:footnote w:id="6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Counter Trafficking in Persons Act, Chapter 61(No 8 of 2010).</w:t>
      </w:r>
    </w:p>
  </w:footnote>
  <w:footnote w:id="6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Children</w:t>
      </w:r>
      <w:r>
        <w:rPr>
          <w:rStyle w:val="None"/>
          <w:rFonts w:ascii="Times New Roman" w:hAnsi="Times New Roman"/>
        </w:rPr>
        <w:t>’</w:t>
      </w:r>
      <w:r>
        <w:rPr>
          <w:rStyle w:val="None"/>
          <w:rFonts w:ascii="Times New Roman" w:hAnsi="Times New Roman"/>
        </w:rPr>
        <w:t xml:space="preserve">s Act of Kenya, chapter 141, No 8 of 2001, entered into force on 4th January 2002, revised edition 2010 </w:t>
      </w:r>
    </w:p>
  </w:footnote>
  <w:footnote w:id="6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Section 18, C</w:t>
      </w:r>
      <w:r>
        <w:rPr>
          <w:rStyle w:val="None"/>
          <w:rFonts w:ascii="Times New Roman" w:hAnsi="Times New Roman"/>
        </w:rPr>
        <w:t>hildren</w:t>
      </w:r>
      <w:r>
        <w:rPr>
          <w:rStyle w:val="None"/>
          <w:rFonts w:ascii="Times New Roman" w:hAnsi="Times New Roman"/>
        </w:rPr>
        <w:t>’</w:t>
      </w:r>
      <w:r>
        <w:rPr>
          <w:rStyle w:val="None"/>
          <w:rFonts w:ascii="Times New Roman" w:hAnsi="Times New Roman"/>
        </w:rPr>
        <w:t>s Act of Kenya, ibid.</w:t>
      </w:r>
    </w:p>
  </w:footnote>
  <w:footnote w:id="70">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Section 10.</w:t>
      </w:r>
    </w:p>
  </w:footnote>
  <w:footnote w:id="71">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The Employment Act, 2007; the Labour Relations Act, 2007; the Occupational Safety and Health Act, 2007; the Work Injury Benefits Act, 2007; and the Labour Institution Act, 2007</w:t>
      </w:r>
    </w:p>
  </w:footnote>
  <w:footnote w:id="72">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 4 of the Employment Act</w:t>
      </w:r>
      <w:r>
        <w:rPr>
          <w:rStyle w:val="None"/>
          <w:rFonts w:ascii="Times New Roman" w:hAnsi="Times New Roman"/>
          <w:sz w:val="20"/>
          <w:szCs w:val="20"/>
        </w:rPr>
        <w:t>.</w:t>
      </w:r>
    </w:p>
  </w:footnote>
  <w:footnote w:id="73">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 5 of the Employment Act.</w:t>
      </w:r>
    </w:p>
  </w:footnote>
  <w:footnote w:id="74">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Section 6 of the Employment Act.</w:t>
      </w:r>
    </w:p>
  </w:footnote>
  <w:footnote w:id="75">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 3 of the Employment Act.</w:t>
      </w:r>
    </w:p>
  </w:footnote>
  <w:footnote w:id="76">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 8 of the Employment Act.</w:t>
      </w:r>
    </w:p>
  </w:footnote>
  <w:footnote w:id="77">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Part 14 of the Employment Act.</w:t>
      </w:r>
    </w:p>
  </w:footnote>
  <w:footnote w:id="78">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Section 28 of the Employment Act.</w:t>
      </w:r>
    </w:p>
  </w:footnote>
  <w:footnote w:id="79">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 29 of the Employment Act.</w:t>
      </w:r>
    </w:p>
  </w:footnote>
  <w:footnote w:id="80">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vertAlign w:val="superscript"/>
        </w:rPr>
        <w:t xml:space="preserve"> </w:t>
      </w:r>
      <w:r>
        <w:rPr>
          <w:rStyle w:val="None"/>
          <w:rFonts w:ascii="Times New Roman" w:hAnsi="Times New Roman"/>
          <w:sz w:val="20"/>
          <w:szCs w:val="20"/>
        </w:rPr>
        <w:t>Section</w:t>
      </w:r>
      <w:r>
        <w:rPr>
          <w:rStyle w:val="None"/>
          <w:rFonts w:ascii="Times New Roman" w:hAnsi="Times New Roman"/>
          <w:sz w:val="20"/>
          <w:szCs w:val="20"/>
        </w:rPr>
        <w:t xml:space="preserve"> 30 of the Employment Act.</w:t>
      </w:r>
    </w:p>
  </w:footnote>
  <w:footnote w:id="81">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Section 27 of the Employment Act.</w:t>
      </w:r>
    </w:p>
  </w:footnote>
  <w:footnote w:id="82">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There are comparative examples of countries, including India the Sexual Harassment of Women at Workplace Act, which includes domestic workers, and Denmark</w:t>
      </w:r>
      <w:r>
        <w:rPr>
          <w:rStyle w:val="None"/>
          <w:rFonts w:ascii="Times New Roman" w:hAnsi="Times New Roman"/>
        </w:rPr>
        <w:t>’</w:t>
      </w:r>
      <w:r>
        <w:rPr>
          <w:rStyle w:val="None"/>
          <w:rFonts w:ascii="Times New Roman" w:hAnsi="Times New Roman"/>
        </w:rPr>
        <w:t>s 2020 Executive Order on psychosoci</w:t>
      </w:r>
      <w:r>
        <w:rPr>
          <w:rStyle w:val="None"/>
          <w:rFonts w:ascii="Times New Roman" w:hAnsi="Times New Roman"/>
        </w:rPr>
        <w:t xml:space="preserve">al working environment, which specifically includes </w:t>
      </w:r>
      <w:r>
        <w:rPr>
          <w:rStyle w:val="None"/>
          <w:rFonts w:ascii="Times New Roman" w:hAnsi="Times New Roman"/>
        </w:rPr>
        <w:t>“</w:t>
      </w:r>
      <w:r>
        <w:rPr>
          <w:rStyle w:val="None"/>
          <w:rFonts w:ascii="Times New Roman" w:hAnsi="Times New Roman"/>
        </w:rPr>
        <w:t>work in the employer</w:t>
      </w:r>
      <w:r>
        <w:rPr>
          <w:rStyle w:val="None"/>
          <w:rFonts w:ascii="Times New Roman" w:hAnsi="Times New Roman"/>
        </w:rPr>
        <w:t>’</w:t>
      </w:r>
      <w:r>
        <w:rPr>
          <w:rStyle w:val="None"/>
          <w:rFonts w:ascii="Times New Roman" w:hAnsi="Times New Roman"/>
        </w:rPr>
        <w:t>s private household</w:t>
      </w:r>
      <w:r>
        <w:rPr>
          <w:rStyle w:val="None"/>
          <w:rFonts w:ascii="Times New Roman" w:hAnsi="Times New Roman"/>
        </w:rPr>
        <w:t>”</w:t>
      </w:r>
      <w:r>
        <w:rPr>
          <w:rStyle w:val="None"/>
          <w:rFonts w:ascii="Times New Roman" w:hAnsi="Times New Roman"/>
        </w:rPr>
        <w:t>, and covers sexual harassment, bullying and work-related violence. Section 8(b) -(C) of C190 requires specific measures be adopted for sectors, occupations and w</w:t>
      </w:r>
      <w:r>
        <w:rPr>
          <w:rStyle w:val="None"/>
          <w:rFonts w:ascii="Times New Roman" w:hAnsi="Times New Roman"/>
        </w:rPr>
        <w:t xml:space="preserve">ork arrangements, where workers are more exposed to violence and harassment, including domestic work. </w:t>
      </w:r>
    </w:p>
  </w:footnote>
  <w:footnote w:id="8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Article 1 of C190</w:t>
      </w:r>
    </w:p>
  </w:footnote>
  <w:footnote w:id="84">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George Owidhi </w:t>
      </w:r>
      <w:r>
        <w:rPr>
          <w:rStyle w:val="None"/>
          <w:rFonts w:ascii="Times New Roman" w:hAnsi="Times New Roman"/>
          <w:sz w:val="20"/>
          <w:szCs w:val="20"/>
        </w:rPr>
        <w:t>“</w:t>
      </w:r>
      <w:r>
        <w:rPr>
          <w:rStyle w:val="None"/>
          <w:rFonts w:ascii="Times New Roman" w:hAnsi="Times New Roman"/>
          <w:sz w:val="20"/>
          <w:szCs w:val="20"/>
        </w:rPr>
        <w:t>Analysis of working conditions and wages of domestic workers in Kenya</w:t>
      </w:r>
      <w:r>
        <w:rPr>
          <w:rStyle w:val="None"/>
          <w:rFonts w:ascii="Times New Roman" w:hAnsi="Times New Roman"/>
          <w:sz w:val="20"/>
          <w:szCs w:val="20"/>
        </w:rPr>
        <w:t xml:space="preserve">” </w:t>
      </w:r>
      <w:r>
        <w:rPr>
          <w:rStyle w:val="None"/>
          <w:rFonts w:ascii="Times New Roman" w:hAnsi="Times New Roman"/>
          <w:sz w:val="20"/>
          <w:szCs w:val="20"/>
        </w:rPr>
        <w:t>Central Organisation of Trade Unions.</w:t>
      </w:r>
    </w:p>
  </w:footnote>
  <w:footnote w:id="85">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lang w:val="it-IT"/>
        </w:rPr>
        <w:t xml:space="preserve"> Jacqu</w:t>
      </w:r>
      <w:r>
        <w:rPr>
          <w:rStyle w:val="None"/>
          <w:rFonts w:ascii="Times New Roman" w:hAnsi="Times New Roman"/>
          <w:sz w:val="20"/>
          <w:szCs w:val="20"/>
          <w:lang w:val="it-IT"/>
        </w:rPr>
        <w:t xml:space="preserve">eline Wambui Wamai </w:t>
      </w:r>
      <w:r>
        <w:rPr>
          <w:rStyle w:val="None"/>
          <w:rFonts w:ascii="Times New Roman" w:hAnsi="Times New Roman"/>
          <w:sz w:val="20"/>
          <w:szCs w:val="20"/>
        </w:rPr>
        <w:t>“</w:t>
      </w:r>
      <w:r>
        <w:rPr>
          <w:rStyle w:val="None"/>
          <w:rFonts w:ascii="Times New Roman" w:hAnsi="Times New Roman"/>
          <w:sz w:val="20"/>
          <w:szCs w:val="20"/>
        </w:rPr>
        <w:t>Formalizing domestic service sector in Kenya: A review of the legal framework</w:t>
      </w:r>
      <w:r>
        <w:rPr>
          <w:rStyle w:val="None"/>
          <w:rFonts w:ascii="Times New Roman" w:hAnsi="Times New Roman"/>
          <w:sz w:val="20"/>
          <w:szCs w:val="20"/>
        </w:rPr>
        <w:t xml:space="preserve">” </w:t>
      </w:r>
      <w:r>
        <w:rPr>
          <w:rStyle w:val="None"/>
          <w:rFonts w:ascii="Times New Roman" w:hAnsi="Times New Roman"/>
          <w:sz w:val="20"/>
          <w:szCs w:val="20"/>
        </w:rPr>
        <w:t>Master</w:t>
      </w:r>
      <w:r>
        <w:rPr>
          <w:rStyle w:val="None"/>
          <w:rFonts w:ascii="Times New Roman" w:hAnsi="Times New Roman"/>
          <w:sz w:val="20"/>
          <w:szCs w:val="20"/>
        </w:rPr>
        <w:t>’</w:t>
      </w:r>
      <w:r>
        <w:rPr>
          <w:rStyle w:val="None"/>
          <w:rFonts w:ascii="Times New Roman" w:hAnsi="Times New Roman"/>
          <w:sz w:val="20"/>
          <w:szCs w:val="20"/>
        </w:rPr>
        <w:t>s Thesis Berlin school of Economics and Law Institute Management Berlin (LIMB) 2017</w:t>
      </w:r>
    </w:p>
  </w:footnote>
  <w:footnote w:id="86">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lang w:val="it-IT"/>
        </w:rPr>
        <w:t xml:space="preserve"> Id.</w:t>
      </w:r>
      <w:r>
        <w:rPr>
          <w:rStyle w:val="None"/>
          <w:rFonts w:ascii="Times New Roman" w:hAnsi="Times New Roman"/>
          <w:sz w:val="20"/>
          <w:szCs w:val="20"/>
        </w:rPr>
        <w:t xml:space="preserve"> </w:t>
      </w:r>
    </w:p>
  </w:footnote>
  <w:footnote w:id="87">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Interview KUDHEIHA, March 30, 2022.</w:t>
      </w:r>
    </w:p>
  </w:footnote>
  <w:footnote w:id="88">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They can </w:t>
      </w:r>
      <w:r>
        <w:rPr>
          <w:rStyle w:val="None"/>
          <w:rFonts w:ascii="Times New Roman" w:hAnsi="Times New Roman"/>
        </w:rPr>
        <w:t xml:space="preserve">“ </w:t>
      </w:r>
      <w:r>
        <w:rPr>
          <w:rStyle w:val="None"/>
          <w:rFonts w:ascii="Times New Roman" w:hAnsi="Times New Roman"/>
        </w:rPr>
        <w:t>enter, i</w:t>
      </w:r>
      <w:r>
        <w:rPr>
          <w:rStyle w:val="None"/>
          <w:rFonts w:ascii="Times New Roman" w:hAnsi="Times New Roman"/>
        </w:rPr>
        <w:t>nspect and examine at all reasonable times by day and night any land or building or other structure whether permanent or temporary on or in which he has reasonable ground for believing that an employee is living, residing or employed, and may make such inq</w:t>
      </w:r>
      <w:r>
        <w:rPr>
          <w:rStyle w:val="None"/>
          <w:rFonts w:ascii="Times New Roman" w:hAnsi="Times New Roman"/>
        </w:rPr>
        <w:t>uiries and inspection or examination as may be necessary to enable him to determine whether the provisions of this Act are being complied with;</w:t>
      </w:r>
    </w:p>
  </w:footnote>
  <w:footnote w:id="89">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Interview KUDHEIHA, March 30, 2022.</w:t>
      </w:r>
    </w:p>
  </w:footnote>
  <w:footnote w:id="90">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lang w:val="nl-NL"/>
        </w:rPr>
        <w:footnoteRef/>
      </w:r>
      <w:r>
        <w:rPr>
          <w:rStyle w:val="None"/>
          <w:rFonts w:ascii="Times New Roman" w:hAnsi="Times New Roman"/>
          <w:sz w:val="20"/>
          <w:szCs w:val="20"/>
          <w:lang w:val="nl-NL"/>
        </w:rPr>
        <w:t xml:space="preserve"> Fatima Mohammed (No. 1035 of 2012)</w:t>
      </w:r>
    </w:p>
  </w:footnote>
  <w:footnote w:id="91">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ERLC Cause No: 648 of 2015.</w:t>
      </w:r>
    </w:p>
  </w:footnote>
  <w:footnote w:id="92">
    <w:p w:rsidR="0060529E" w:rsidRDefault="00AD1DC6">
      <w:pPr>
        <w:pStyle w:val="BodyAA"/>
        <w:spacing w:before="0"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EKLR Cause No: 441 of 2013. </w:t>
      </w:r>
    </w:p>
  </w:footnote>
  <w:footnote w:id="93">
    <w:p w:rsidR="0060529E" w:rsidRDefault="00AD1DC6">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This has been recognized by the ECOSOC Committee in interpreting the International Covenant on Economic, Social and Cultural Rights.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29E" w:rsidRDefault="00AD1DC6">
    <w:pPr>
      <w:pStyle w:val="Header"/>
      <w:tabs>
        <w:tab w:val="clear" w:pos="9360"/>
        <w:tab w:val="right" w:pos="9340"/>
      </w:tabs>
    </w:pPr>
    <w:r>
      <w:fldChar w:fldCharType="begin"/>
    </w:r>
    <w:r>
      <w:instrText xml:space="preserve"> PAGE </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110A9"/>
    <w:multiLevelType w:val="hybridMultilevel"/>
    <w:tmpl w:val="AD0E83B4"/>
    <w:styleLink w:val="ImportedStyle4"/>
    <w:lvl w:ilvl="0" w:tplc="1682CC60">
      <w:start w:val="1"/>
      <w:numFmt w:val="low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19E2603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0E43D1E">
      <w:start w:val="1"/>
      <w:numFmt w:val="lowerRoman"/>
      <w:lvlText w:val="%3."/>
      <w:lvlJc w:val="left"/>
      <w:pPr>
        <w:ind w:left="216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3" w:tplc="FEE0A18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116F38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668D874">
      <w:start w:val="1"/>
      <w:numFmt w:val="lowerRoman"/>
      <w:lvlText w:val="%6."/>
      <w:lvlJc w:val="left"/>
      <w:pPr>
        <w:ind w:left="432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6" w:tplc="7FB0076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5FEEBF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9EF4E2">
      <w:start w:val="1"/>
      <w:numFmt w:val="lowerRoman"/>
      <w:lvlText w:val="%9."/>
      <w:lvlJc w:val="left"/>
      <w:pPr>
        <w:ind w:left="6480" w:hanging="32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069463D"/>
    <w:multiLevelType w:val="multilevel"/>
    <w:tmpl w:val="D278BD26"/>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48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48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80" w:hanging="1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480" w:hanging="1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5B08C3"/>
    <w:multiLevelType w:val="hybridMultilevel"/>
    <w:tmpl w:val="898A0D62"/>
    <w:numStyleLink w:val="ImportedStyle5"/>
  </w:abstractNum>
  <w:abstractNum w:abstractNumId="3" w15:restartNumberingAfterBreak="0">
    <w:nsid w:val="15255A98"/>
    <w:multiLevelType w:val="hybridMultilevel"/>
    <w:tmpl w:val="AD0E83B4"/>
    <w:numStyleLink w:val="ImportedStyle4"/>
  </w:abstractNum>
  <w:abstractNum w:abstractNumId="4" w15:restartNumberingAfterBreak="0">
    <w:nsid w:val="44B5085C"/>
    <w:multiLevelType w:val="hybridMultilevel"/>
    <w:tmpl w:val="3072CAF2"/>
    <w:numStyleLink w:val="ImportedStyle3"/>
  </w:abstractNum>
  <w:abstractNum w:abstractNumId="5" w15:restartNumberingAfterBreak="0">
    <w:nsid w:val="7373412E"/>
    <w:multiLevelType w:val="hybridMultilevel"/>
    <w:tmpl w:val="898A0D62"/>
    <w:styleLink w:val="ImportedStyle5"/>
    <w:lvl w:ilvl="0" w:tplc="E8CC72F2">
      <w:start w:val="1"/>
      <w:numFmt w:val="bullet"/>
      <w:lvlText w:val="·"/>
      <w:lvlJc w:val="left"/>
      <w:pPr>
        <w:ind w:left="4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4BC5CF0">
      <w:start w:val="1"/>
      <w:numFmt w:val="bullet"/>
      <w:lvlText w:val="o"/>
      <w:lvlJc w:val="left"/>
      <w:pPr>
        <w:ind w:left="11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9042E22">
      <w:start w:val="1"/>
      <w:numFmt w:val="bullet"/>
      <w:lvlText w:val="▪"/>
      <w:lvlJc w:val="left"/>
      <w:pPr>
        <w:ind w:left="18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66F09C">
      <w:start w:val="1"/>
      <w:numFmt w:val="bullet"/>
      <w:lvlText w:val="·"/>
      <w:lvlJc w:val="left"/>
      <w:pPr>
        <w:ind w:left="25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312B532">
      <w:start w:val="1"/>
      <w:numFmt w:val="bullet"/>
      <w:lvlText w:val="o"/>
      <w:lvlJc w:val="left"/>
      <w:pPr>
        <w:ind w:left="33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A48654">
      <w:start w:val="1"/>
      <w:numFmt w:val="bullet"/>
      <w:lvlText w:val="▪"/>
      <w:lvlJc w:val="left"/>
      <w:pPr>
        <w:ind w:left="40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00D55A">
      <w:start w:val="1"/>
      <w:numFmt w:val="bullet"/>
      <w:lvlText w:val="·"/>
      <w:lvlJc w:val="left"/>
      <w:pPr>
        <w:ind w:left="47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67AA9DC">
      <w:start w:val="1"/>
      <w:numFmt w:val="bullet"/>
      <w:lvlText w:val="o"/>
      <w:lvlJc w:val="left"/>
      <w:pPr>
        <w:ind w:left="5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F005424">
      <w:start w:val="1"/>
      <w:numFmt w:val="bullet"/>
      <w:lvlText w:val="▪"/>
      <w:lvlJc w:val="left"/>
      <w:pPr>
        <w:ind w:left="61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73625DE"/>
    <w:multiLevelType w:val="multilevel"/>
    <w:tmpl w:val="D278BD26"/>
    <w:numStyleLink w:val="ImportedStyle2"/>
  </w:abstractNum>
  <w:abstractNum w:abstractNumId="7" w15:restartNumberingAfterBreak="0">
    <w:nsid w:val="7A706309"/>
    <w:multiLevelType w:val="hybridMultilevel"/>
    <w:tmpl w:val="3072CAF2"/>
    <w:styleLink w:val="ImportedStyle3"/>
    <w:lvl w:ilvl="0" w:tplc="5E64B592">
      <w:start w:val="1"/>
      <w:numFmt w:val="low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537AD71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6C4AFD2">
      <w:start w:val="1"/>
      <w:numFmt w:val="lowerRoman"/>
      <w:lvlText w:val="%3."/>
      <w:lvlJc w:val="left"/>
      <w:pPr>
        <w:ind w:left="216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3" w:tplc="800E334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2B4A35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000010">
      <w:start w:val="1"/>
      <w:numFmt w:val="lowerRoman"/>
      <w:lvlText w:val="%6."/>
      <w:lvlJc w:val="left"/>
      <w:pPr>
        <w:ind w:left="4320" w:hanging="321"/>
      </w:pPr>
      <w:rPr>
        <w:rFonts w:hAnsi="Arial Unicode MS"/>
        <w:b/>
        <w:bCs/>
        <w:caps w:val="0"/>
        <w:smallCaps w:val="0"/>
        <w:strike w:val="0"/>
        <w:dstrike w:val="0"/>
        <w:outline w:val="0"/>
        <w:emboss w:val="0"/>
        <w:imprint w:val="0"/>
        <w:spacing w:val="0"/>
        <w:w w:val="100"/>
        <w:kern w:val="0"/>
        <w:position w:val="0"/>
        <w:highlight w:val="none"/>
        <w:vertAlign w:val="baseline"/>
      </w:rPr>
    </w:lvl>
    <w:lvl w:ilvl="6" w:tplc="B4F6AED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497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C5888274">
      <w:start w:val="1"/>
      <w:numFmt w:val="lowerRoman"/>
      <w:lvlText w:val="%9."/>
      <w:lvlJc w:val="left"/>
      <w:pPr>
        <w:ind w:left="6480" w:hanging="321"/>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6"/>
  </w:num>
  <w:num w:numId="3">
    <w:abstractNumId w:val="7"/>
  </w:num>
  <w:num w:numId="4">
    <w:abstractNumId w:val="4"/>
  </w:num>
  <w:num w:numId="5">
    <w:abstractNumId w:val="6"/>
    <w:lvlOverride w:ilvl="0">
      <w:startOverride w:val="2"/>
    </w:lvlOverride>
  </w:num>
  <w:num w:numId="6">
    <w:abstractNumId w:val="0"/>
  </w:num>
  <w:num w:numId="7">
    <w:abstractNumId w:val="3"/>
  </w:num>
  <w:num w:numId="8">
    <w:abstractNumId w:val="6"/>
    <w:lvlOverride w:ilvl="0">
      <w:startOverride w:val="3"/>
    </w:lvlOverride>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29E"/>
    <w:rsid w:val="0060529E"/>
    <w:rsid w:val="00AD1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8B5375-7C4E-4B32-BEBE-642713E55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styleId="FootnoteText">
    <w:name w:val="footnote text"/>
    <w:rPr>
      <w:rFonts w:ascii="Calibri" w:eastAsia="Calibri" w:hAnsi="Calibri" w:cs="Calibri"/>
      <w:color w:val="000000"/>
      <w:u w:color="000000"/>
      <w:lang w:val="en-US"/>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color w:val="0000FF"/>
      <w:u w:val="single" w:color="0000FF"/>
    </w:rPr>
  </w:style>
  <w:style w:type="paragraph" w:customStyle="1" w:styleId="BodyAA">
    <w:name w:val="Body A A"/>
    <w:pPr>
      <w:spacing w:before="240" w:after="160" w:line="259" w:lineRule="auto"/>
      <w:jc w:val="both"/>
    </w:pPr>
    <w:rPr>
      <w:rFonts w:ascii="Calibri" w:eastAsia="Calibri" w:hAnsi="Calibri" w:cs="Calibri"/>
      <w:color w:val="000000"/>
      <w:sz w:val="22"/>
      <w:szCs w:val="22"/>
      <w:u w:color="000000"/>
      <w:lang w:val="en-US"/>
    </w:rPr>
  </w:style>
  <w:style w:type="character" w:customStyle="1" w:styleId="Hyperlink1">
    <w:name w:val="Hyperlink.1"/>
    <w:basedOn w:val="None"/>
    <w:rPr>
      <w:rFonts w:ascii="Times New Roman" w:eastAsia="Times New Roman" w:hAnsi="Times New Roman" w:cs="Times New Roman"/>
      <w:color w:val="4472C4"/>
      <w:sz w:val="20"/>
      <w:szCs w:val="20"/>
      <w:u w:val="single" w:color="4472C4"/>
    </w:rPr>
  </w:style>
  <w:style w:type="numbering" w:customStyle="1" w:styleId="ImportedStyle2">
    <w:name w:val="Imported Style 2"/>
    <w:pPr>
      <w:numPr>
        <w:numId w:val="1"/>
      </w:numPr>
    </w:pPr>
  </w:style>
  <w:style w:type="numbering" w:customStyle="1" w:styleId="ImportedStyle3">
    <w:name w:val="Imported Style 3"/>
    <w:pPr>
      <w:numPr>
        <w:numId w:val="3"/>
      </w:numPr>
    </w:pPr>
  </w:style>
  <w:style w:type="character" w:customStyle="1" w:styleId="Hyperlink2">
    <w:name w:val="Hyperlink.2"/>
    <w:basedOn w:val="None"/>
    <w:rPr>
      <w:rFonts w:ascii="Times New Roman" w:eastAsia="Times New Roman" w:hAnsi="Times New Roman" w:cs="Times New Roman"/>
      <w:i/>
      <w:iCs/>
      <w:color w:val="000000"/>
      <w:sz w:val="24"/>
      <w:szCs w:val="24"/>
      <w:u w:val="none" w:color="000000"/>
    </w:rPr>
  </w:style>
  <w:style w:type="numbering" w:customStyle="1" w:styleId="ImportedStyle4">
    <w:name w:val="Imported Style 4"/>
    <w:pPr>
      <w:numPr>
        <w:numId w:val="6"/>
      </w:numPr>
    </w:pPr>
  </w:style>
  <w:style w:type="numbering" w:customStyle="1" w:styleId="ImportedStyle5">
    <w:name w:val="Imported Style 5"/>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enyans.co.ke/node/68338"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press-releases/2018/09/persons-albinism-kenya-way-becoming-regional-champion?LangID=E&amp;NewsID=23570" TargetMode="External"/><Relationship Id="rId3" Type="http://schemas.openxmlformats.org/officeDocument/2006/relationships/hyperlink" Target="https://redress.org/wp-content/uploads/2018/10/REDRESS-Guide-to-UNCAT-2018.pdf" TargetMode="External"/><Relationship Id="rId7" Type="http://schemas.openxmlformats.org/officeDocument/2006/relationships/hyperlink" Target="https://albinismsocietyofkenya.org/" TargetMode="External"/><Relationship Id="rId2" Type="http://schemas.openxmlformats.org/officeDocument/2006/relationships/hyperlink" Target="https://alrei.org/education/analysis-of-working-conditions-and-wages-of-domestic-workers-in-kenya-by-george-owidhi-economist" TargetMode="External"/><Relationship Id="rId1" Type="http://schemas.openxmlformats.org/officeDocument/2006/relationships/hyperlink" Target="http://www.https//globalnaps.org/country-issue/workers-rights-kenya/" TargetMode="External"/><Relationship Id="rId6" Type="http://schemas.openxmlformats.org/officeDocument/2006/relationships/hyperlink" Target="https://www.haaretz.com/middle-east-news/.premium.HIGHLIGHT-the-saudis-treat-us-like-animals-1.10594142" TargetMode="External"/><Relationship Id="rId5" Type="http://schemas.openxmlformats.org/officeDocument/2006/relationships/hyperlink" Target="https://www.reuters.com/article/us-kenya-women-saudi/kenyan-families-tormented-over-maids-mysterious-deaths-in-saudi-arabia-idUSKBN2IE150" TargetMode="External"/><Relationship Id="rId4" Type="http://schemas.openxmlformats.org/officeDocument/2006/relationships/hyperlink" Target="https://www.kenyans.co.ke/node/68338"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A5914C-3B37-45E3-B496-7920709AE5DC}"/>
</file>

<file path=customXml/itemProps2.xml><?xml version="1.0" encoding="utf-8"?>
<ds:datastoreItem xmlns:ds="http://schemas.openxmlformats.org/officeDocument/2006/customXml" ds:itemID="{DCDB992F-751D-42C6-B3E0-C26CF970E755}"/>
</file>

<file path=customXml/itemProps3.xml><?xml version="1.0" encoding="utf-8"?>
<ds:datastoreItem xmlns:ds="http://schemas.openxmlformats.org/officeDocument/2006/customXml" ds:itemID="{55A56D70-9205-4332-A74D-13C6D2F06E19}"/>
</file>

<file path=docProps/app.xml><?xml version="1.0" encoding="utf-8"?>
<Properties xmlns="http://schemas.openxmlformats.org/officeDocument/2006/extended-properties" xmlns:vt="http://schemas.openxmlformats.org/officeDocument/2006/docPropsVTypes">
  <Template>Normal.dotm</Template>
  <TotalTime>1</TotalTime>
  <Pages>18</Pages>
  <Words>6189</Words>
  <Characters>35280</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HAMDAN Youssef</dc:creator>
  <cp:lastModifiedBy>Youssef Hamdan</cp:lastModifiedBy>
  <cp:revision>2</cp:revision>
  <dcterms:created xsi:type="dcterms:W3CDTF">2022-04-05T15:31:00Z</dcterms:created>
  <dcterms:modified xsi:type="dcterms:W3CDTF">2022-04-05T15:31:00Z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