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BDD" w:rsidRPr="00F76EAE" w:rsidRDefault="00424BDD" w:rsidP="00424BDD">
      <w:pPr>
        <w:jc w:val="center"/>
        <w:rPr>
          <w:rFonts w:asciiTheme="majorHAnsi" w:hAnsiTheme="majorHAnsi"/>
          <w:b/>
          <w:bCs/>
        </w:rPr>
      </w:pPr>
      <w:r w:rsidRPr="00F76EAE">
        <w:rPr>
          <w:rFonts w:ascii="Times New Roman" w:eastAsia="Calibri" w:hAnsi="Times New Roman"/>
          <w:b/>
          <w:noProof/>
          <w:color w:val="000000"/>
        </w:rPr>
        <w:drawing>
          <wp:inline distT="0" distB="0" distL="0" distR="0">
            <wp:extent cx="1633220" cy="1633220"/>
            <wp:effectExtent l="0" t="0" r="0" b="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 up of a sign&#10;&#10;Description automatically generated"/>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33220" cy="1633220"/>
                    </a:xfrm>
                    <a:prstGeom prst="rect">
                      <a:avLst/>
                    </a:prstGeom>
                    <a:noFill/>
                    <a:ln>
                      <a:noFill/>
                    </a:ln>
                  </pic:spPr>
                </pic:pic>
              </a:graphicData>
            </a:graphic>
          </wp:inline>
        </w:drawing>
      </w:r>
    </w:p>
    <w:p w:rsidR="00424BDD" w:rsidRPr="00F76EAE" w:rsidRDefault="00424BDD" w:rsidP="00424BDD">
      <w:pPr>
        <w:jc w:val="center"/>
        <w:rPr>
          <w:rFonts w:asciiTheme="majorHAnsi" w:hAnsiTheme="majorHAnsi"/>
          <w:b/>
          <w:bCs/>
        </w:rPr>
      </w:pPr>
    </w:p>
    <w:p w:rsidR="00424BDD" w:rsidRPr="00F76EAE" w:rsidRDefault="00424BDD" w:rsidP="00424BDD">
      <w:pPr>
        <w:jc w:val="center"/>
        <w:rPr>
          <w:rFonts w:asciiTheme="majorHAnsi" w:hAnsiTheme="majorHAnsi"/>
          <w:b/>
          <w:bCs/>
        </w:rPr>
      </w:pPr>
    </w:p>
    <w:p w:rsidR="00424BDD" w:rsidRPr="00F76EAE" w:rsidRDefault="00424BDD" w:rsidP="00424BDD">
      <w:pPr>
        <w:jc w:val="center"/>
        <w:rPr>
          <w:rFonts w:asciiTheme="majorHAnsi" w:hAnsiTheme="majorHAnsi"/>
          <w:b/>
          <w:bCs/>
        </w:rPr>
      </w:pPr>
      <w:r w:rsidRPr="00F76EAE">
        <w:rPr>
          <w:rFonts w:asciiTheme="majorHAnsi" w:hAnsiTheme="majorHAnsi"/>
          <w:b/>
          <w:bCs/>
        </w:rPr>
        <w:t>SEXUAL AND REPRODUCTIVE HEALTH AND RIGHTS IN GEORGIA</w:t>
      </w:r>
    </w:p>
    <w:p w:rsidR="00424BDD" w:rsidRPr="00F76EAE" w:rsidRDefault="00424BDD" w:rsidP="00424BDD">
      <w:pPr>
        <w:jc w:val="center"/>
        <w:rPr>
          <w:rFonts w:asciiTheme="majorHAnsi" w:hAnsiTheme="majorHAnsi"/>
          <w:b/>
          <w:bCs/>
        </w:rPr>
      </w:pPr>
      <w:r w:rsidRPr="00F76EAE">
        <w:rPr>
          <w:rFonts w:asciiTheme="majorHAnsi" w:hAnsiTheme="majorHAnsi"/>
          <w:b/>
          <w:bCs/>
        </w:rPr>
        <w:t>SHADOW REPORT</w:t>
      </w:r>
    </w:p>
    <w:p w:rsidR="00424BDD" w:rsidRPr="00F76EAE" w:rsidRDefault="00424BDD" w:rsidP="00424BDD">
      <w:pPr>
        <w:jc w:val="center"/>
        <w:rPr>
          <w:rFonts w:asciiTheme="majorHAnsi" w:hAnsiTheme="majorHAnsi"/>
          <w:b/>
          <w:bCs/>
        </w:rPr>
      </w:pPr>
    </w:p>
    <w:p w:rsidR="00424BDD" w:rsidRPr="00F76EAE" w:rsidRDefault="00424BDD" w:rsidP="00424BDD">
      <w:pPr>
        <w:jc w:val="center"/>
        <w:rPr>
          <w:rFonts w:asciiTheme="majorHAnsi" w:hAnsiTheme="majorHAnsi"/>
          <w:b/>
          <w:bCs/>
        </w:rPr>
      </w:pPr>
      <w:r w:rsidRPr="00F76EAE">
        <w:t>Responding to the 6</w:t>
      </w:r>
      <w:r w:rsidRPr="00F76EAE">
        <w:rPr>
          <w:vertAlign w:val="superscript"/>
        </w:rPr>
        <w:t xml:space="preserve">th </w:t>
      </w:r>
      <w:r w:rsidRPr="00F76EAE">
        <w:t>Periodic State Report of Georgia</w:t>
      </w:r>
    </w:p>
    <w:p w:rsidR="00424BDD" w:rsidRPr="00F76EAE" w:rsidRDefault="00424BDD" w:rsidP="00424BDD">
      <w:pPr>
        <w:jc w:val="center"/>
      </w:pPr>
      <w:r w:rsidRPr="00F76EAE">
        <w:t>To be presented to the United Nations Committee on the Elimination of Discrimination against Women (CEDAW)</w:t>
      </w:r>
    </w:p>
    <w:p w:rsidR="00424BDD" w:rsidRPr="00F76EAE" w:rsidRDefault="00424BDD" w:rsidP="00424BDD">
      <w:pPr>
        <w:jc w:val="center"/>
      </w:pPr>
    </w:p>
    <w:p w:rsidR="00424BDD" w:rsidRPr="00F76EAE" w:rsidRDefault="00424BDD" w:rsidP="00424BDD">
      <w:pPr>
        <w:jc w:val="center"/>
        <w:rPr>
          <w:rFonts w:ascii="Sylfaen" w:hAnsi="Sylfaen"/>
          <w:b/>
        </w:rPr>
      </w:pPr>
      <w:r w:rsidRPr="00F76EAE">
        <w:rPr>
          <w:rFonts w:ascii="Sylfaen" w:hAnsi="Sylfaen"/>
          <w:b/>
        </w:rPr>
        <w:t>The report is prepared by the Association “HERA-XXI”</w:t>
      </w:r>
    </w:p>
    <w:p w:rsidR="00424BDD" w:rsidRPr="00F76EAE" w:rsidRDefault="00424BDD" w:rsidP="00424BDD">
      <w:pPr>
        <w:jc w:val="center"/>
        <w:rPr>
          <w:rFonts w:ascii="Sylfaen" w:hAnsi="Sylfaen"/>
          <w:b/>
        </w:rPr>
      </w:pPr>
    </w:p>
    <w:p w:rsidR="00424BDD" w:rsidRPr="00F76EAE" w:rsidRDefault="00424BDD" w:rsidP="00424BDD">
      <w:pPr>
        <w:jc w:val="center"/>
        <w:rPr>
          <w:rFonts w:ascii="Sylfaen" w:hAnsi="Sylfaen"/>
          <w:b/>
        </w:rPr>
      </w:pPr>
    </w:p>
    <w:p w:rsidR="00424BDD" w:rsidRPr="00F76EAE" w:rsidRDefault="00424BDD" w:rsidP="00424BDD">
      <w:pPr>
        <w:jc w:val="center"/>
        <w:rPr>
          <w:rFonts w:ascii="Sylfaen" w:hAnsi="Sylfaen"/>
          <w:b/>
        </w:rPr>
      </w:pPr>
    </w:p>
    <w:p w:rsidR="00424BDD" w:rsidRPr="00F76EAE" w:rsidRDefault="00424BDD" w:rsidP="00424BDD">
      <w:pPr>
        <w:jc w:val="center"/>
        <w:rPr>
          <w:rFonts w:ascii="Sylfaen" w:hAnsi="Sylfaen"/>
          <w:b/>
        </w:rPr>
      </w:pPr>
    </w:p>
    <w:p w:rsidR="00424BDD" w:rsidRPr="00F76EAE" w:rsidRDefault="00424BDD" w:rsidP="00424BDD">
      <w:pPr>
        <w:jc w:val="center"/>
        <w:rPr>
          <w:rFonts w:ascii="Sylfaen" w:hAnsi="Sylfaen"/>
          <w:b/>
        </w:rPr>
      </w:pPr>
    </w:p>
    <w:p w:rsidR="00424BDD" w:rsidRPr="00F76EAE" w:rsidRDefault="00424BDD" w:rsidP="00424BDD">
      <w:pPr>
        <w:jc w:val="center"/>
        <w:rPr>
          <w:rFonts w:ascii="Sylfaen" w:hAnsi="Sylfaen"/>
          <w:b/>
        </w:rPr>
      </w:pPr>
    </w:p>
    <w:p w:rsidR="00424BDD" w:rsidRPr="00F76EAE" w:rsidRDefault="00424BDD" w:rsidP="00424BDD">
      <w:pPr>
        <w:jc w:val="center"/>
        <w:rPr>
          <w:rFonts w:ascii="Sylfaen" w:hAnsi="Sylfaen"/>
          <w:b/>
        </w:rPr>
      </w:pPr>
    </w:p>
    <w:p w:rsidR="00424BDD" w:rsidRPr="00F76EAE" w:rsidRDefault="00424BDD" w:rsidP="00424BDD">
      <w:pPr>
        <w:jc w:val="center"/>
        <w:rPr>
          <w:rFonts w:ascii="Sylfaen" w:hAnsi="Sylfaen"/>
          <w:b/>
        </w:rPr>
      </w:pPr>
    </w:p>
    <w:p w:rsidR="00424BDD" w:rsidRPr="00F76EAE" w:rsidRDefault="00424BDD" w:rsidP="00424BDD">
      <w:pPr>
        <w:jc w:val="center"/>
        <w:rPr>
          <w:rFonts w:asciiTheme="majorHAnsi" w:hAnsiTheme="majorHAnsi"/>
          <w:b/>
          <w:bCs/>
        </w:rPr>
      </w:pPr>
      <w:r w:rsidRPr="00F76EAE">
        <w:rPr>
          <w:rFonts w:ascii="Sylfaen" w:hAnsi="Sylfaen"/>
          <w:b/>
        </w:rPr>
        <w:t>June 2021</w:t>
      </w:r>
    </w:p>
    <w:sdt>
      <w:sdtPr>
        <w:rPr>
          <w:rFonts w:ascii="Calibri" w:eastAsia="Times New Roman" w:hAnsi="Calibri" w:cs="Times New Roman"/>
          <w:color w:val="auto"/>
          <w:sz w:val="22"/>
          <w:szCs w:val="22"/>
        </w:rPr>
        <w:id w:val="-578742022"/>
        <w:docPartObj>
          <w:docPartGallery w:val="Table of Contents"/>
          <w:docPartUnique/>
        </w:docPartObj>
      </w:sdtPr>
      <w:sdtEndPr>
        <w:rPr>
          <w:b/>
          <w:bCs/>
          <w:noProof/>
        </w:rPr>
      </w:sdtEndPr>
      <w:sdtContent>
        <w:p w:rsidR="00424BDD" w:rsidRPr="00F76EAE" w:rsidRDefault="00424BDD" w:rsidP="00424BDD">
          <w:pPr>
            <w:pStyle w:val="TOCHeading"/>
            <w:rPr>
              <w:sz w:val="22"/>
              <w:szCs w:val="22"/>
            </w:rPr>
          </w:pPr>
          <w:r w:rsidRPr="00F76EAE">
            <w:rPr>
              <w:sz w:val="22"/>
              <w:szCs w:val="22"/>
            </w:rPr>
            <w:t>Table of Contents</w:t>
          </w:r>
        </w:p>
        <w:p w:rsidR="00424BDD" w:rsidRPr="00F76EAE" w:rsidRDefault="00424BDD" w:rsidP="00424BDD"/>
        <w:p w:rsidR="00424BDD" w:rsidRDefault="00424BDD" w:rsidP="00424BDD">
          <w:pPr>
            <w:pStyle w:val="TOC1"/>
            <w:tabs>
              <w:tab w:val="right" w:leader="dot" w:pos="9350"/>
            </w:tabs>
            <w:rPr>
              <w:rFonts w:asciiTheme="minorHAnsi" w:eastAsiaTheme="minorEastAsia" w:hAnsiTheme="minorHAnsi" w:cstheme="minorBidi"/>
              <w:noProof/>
            </w:rPr>
          </w:pPr>
          <w:r w:rsidRPr="003568D3">
            <w:fldChar w:fldCharType="begin"/>
          </w:r>
          <w:r w:rsidRPr="00F76EAE">
            <w:instrText xml:space="preserve"> TOC \o "1-3" \h \z \u </w:instrText>
          </w:r>
          <w:r w:rsidRPr="003568D3">
            <w:fldChar w:fldCharType="separate"/>
          </w:r>
          <w:hyperlink w:anchor="_Toc74528053" w:history="1">
            <w:r w:rsidRPr="00945215">
              <w:rPr>
                <w:rStyle w:val="Hyperlink"/>
                <w:noProof/>
              </w:rPr>
              <w:t>Abbreviations</w:t>
            </w:r>
            <w:r>
              <w:rPr>
                <w:noProof/>
                <w:webHidden/>
              </w:rPr>
              <w:tab/>
            </w:r>
            <w:r>
              <w:rPr>
                <w:noProof/>
                <w:webHidden/>
              </w:rPr>
              <w:fldChar w:fldCharType="begin"/>
            </w:r>
            <w:r>
              <w:rPr>
                <w:noProof/>
                <w:webHidden/>
              </w:rPr>
              <w:instrText xml:space="preserve"> PAGEREF _Toc74528053 \h </w:instrText>
            </w:r>
            <w:r>
              <w:rPr>
                <w:noProof/>
                <w:webHidden/>
              </w:rPr>
            </w:r>
            <w:r>
              <w:rPr>
                <w:noProof/>
                <w:webHidden/>
              </w:rPr>
              <w:fldChar w:fldCharType="separate"/>
            </w:r>
            <w:r>
              <w:rPr>
                <w:noProof/>
                <w:webHidden/>
              </w:rPr>
              <w:t>3</w:t>
            </w:r>
            <w:r>
              <w:rPr>
                <w:noProof/>
                <w:webHidden/>
              </w:rPr>
              <w:fldChar w:fldCharType="end"/>
            </w:r>
          </w:hyperlink>
        </w:p>
        <w:p w:rsidR="00424BDD" w:rsidRDefault="00424BDD" w:rsidP="00424BDD">
          <w:pPr>
            <w:pStyle w:val="TOC1"/>
            <w:tabs>
              <w:tab w:val="right" w:leader="dot" w:pos="9350"/>
            </w:tabs>
            <w:rPr>
              <w:rFonts w:asciiTheme="minorHAnsi" w:eastAsiaTheme="minorEastAsia" w:hAnsiTheme="minorHAnsi" w:cstheme="minorBidi"/>
              <w:noProof/>
            </w:rPr>
          </w:pPr>
          <w:hyperlink w:anchor="_Toc74528054" w:history="1">
            <w:r w:rsidRPr="00945215">
              <w:rPr>
                <w:rStyle w:val="Hyperlink"/>
                <w:noProof/>
              </w:rPr>
              <w:t>About the organization</w:t>
            </w:r>
            <w:r>
              <w:rPr>
                <w:noProof/>
                <w:webHidden/>
              </w:rPr>
              <w:tab/>
            </w:r>
            <w:r>
              <w:rPr>
                <w:noProof/>
                <w:webHidden/>
              </w:rPr>
              <w:fldChar w:fldCharType="begin"/>
            </w:r>
            <w:r>
              <w:rPr>
                <w:noProof/>
                <w:webHidden/>
              </w:rPr>
              <w:instrText xml:space="preserve"> PAGEREF _Toc74528054 \h </w:instrText>
            </w:r>
            <w:r>
              <w:rPr>
                <w:noProof/>
                <w:webHidden/>
              </w:rPr>
            </w:r>
            <w:r>
              <w:rPr>
                <w:noProof/>
                <w:webHidden/>
              </w:rPr>
              <w:fldChar w:fldCharType="separate"/>
            </w:r>
            <w:r>
              <w:rPr>
                <w:noProof/>
                <w:webHidden/>
              </w:rPr>
              <w:t>4</w:t>
            </w:r>
            <w:r>
              <w:rPr>
                <w:noProof/>
                <w:webHidden/>
              </w:rPr>
              <w:fldChar w:fldCharType="end"/>
            </w:r>
          </w:hyperlink>
        </w:p>
        <w:p w:rsidR="00424BDD" w:rsidRDefault="00424BDD" w:rsidP="00424BDD">
          <w:pPr>
            <w:pStyle w:val="TOC1"/>
            <w:tabs>
              <w:tab w:val="right" w:leader="dot" w:pos="9350"/>
            </w:tabs>
            <w:rPr>
              <w:rFonts w:asciiTheme="minorHAnsi" w:eastAsiaTheme="minorEastAsia" w:hAnsiTheme="minorHAnsi" w:cstheme="minorBidi"/>
              <w:noProof/>
            </w:rPr>
          </w:pPr>
          <w:hyperlink w:anchor="_Toc74528055" w:history="1">
            <w:r w:rsidRPr="00945215">
              <w:rPr>
                <w:rStyle w:val="Hyperlink"/>
                <w:noProof/>
              </w:rPr>
              <w:t>Introduction and General Methodology</w:t>
            </w:r>
            <w:r>
              <w:rPr>
                <w:noProof/>
                <w:webHidden/>
              </w:rPr>
              <w:tab/>
            </w:r>
            <w:r>
              <w:rPr>
                <w:noProof/>
                <w:webHidden/>
              </w:rPr>
              <w:fldChar w:fldCharType="begin"/>
            </w:r>
            <w:r>
              <w:rPr>
                <w:noProof/>
                <w:webHidden/>
              </w:rPr>
              <w:instrText xml:space="preserve"> PAGEREF _Toc74528055 \h </w:instrText>
            </w:r>
            <w:r>
              <w:rPr>
                <w:noProof/>
                <w:webHidden/>
              </w:rPr>
            </w:r>
            <w:r>
              <w:rPr>
                <w:noProof/>
                <w:webHidden/>
              </w:rPr>
              <w:fldChar w:fldCharType="separate"/>
            </w:r>
            <w:r>
              <w:rPr>
                <w:noProof/>
                <w:webHidden/>
              </w:rPr>
              <w:t>4</w:t>
            </w:r>
            <w:r>
              <w:rPr>
                <w:noProof/>
                <w:webHidden/>
              </w:rPr>
              <w:fldChar w:fldCharType="end"/>
            </w:r>
          </w:hyperlink>
        </w:p>
        <w:p w:rsidR="00424BDD" w:rsidRDefault="00424BDD" w:rsidP="00424BDD">
          <w:pPr>
            <w:pStyle w:val="TOC1"/>
            <w:tabs>
              <w:tab w:val="right" w:leader="dot" w:pos="9350"/>
            </w:tabs>
            <w:rPr>
              <w:rFonts w:asciiTheme="minorHAnsi" w:eastAsiaTheme="minorEastAsia" w:hAnsiTheme="minorHAnsi" w:cstheme="minorBidi"/>
              <w:noProof/>
            </w:rPr>
          </w:pPr>
          <w:hyperlink w:anchor="_Toc74528056" w:history="1">
            <w:r w:rsidRPr="00945215">
              <w:rPr>
                <w:rStyle w:val="Hyperlink"/>
                <w:noProof/>
              </w:rPr>
              <w:t>Executive Summary</w:t>
            </w:r>
            <w:r>
              <w:rPr>
                <w:noProof/>
                <w:webHidden/>
              </w:rPr>
              <w:tab/>
            </w:r>
            <w:r>
              <w:rPr>
                <w:noProof/>
                <w:webHidden/>
              </w:rPr>
              <w:fldChar w:fldCharType="begin"/>
            </w:r>
            <w:r>
              <w:rPr>
                <w:noProof/>
                <w:webHidden/>
              </w:rPr>
              <w:instrText xml:space="preserve"> PAGEREF _Toc74528056 \h </w:instrText>
            </w:r>
            <w:r>
              <w:rPr>
                <w:noProof/>
                <w:webHidden/>
              </w:rPr>
            </w:r>
            <w:r>
              <w:rPr>
                <w:noProof/>
                <w:webHidden/>
              </w:rPr>
              <w:fldChar w:fldCharType="separate"/>
            </w:r>
            <w:r>
              <w:rPr>
                <w:noProof/>
                <w:webHidden/>
              </w:rPr>
              <w:t>4</w:t>
            </w:r>
            <w:r>
              <w:rPr>
                <w:noProof/>
                <w:webHidden/>
              </w:rPr>
              <w:fldChar w:fldCharType="end"/>
            </w:r>
          </w:hyperlink>
        </w:p>
        <w:p w:rsidR="00424BDD" w:rsidRDefault="00424BDD" w:rsidP="00424BDD">
          <w:pPr>
            <w:pStyle w:val="TOC1"/>
            <w:tabs>
              <w:tab w:val="right" w:leader="dot" w:pos="9350"/>
            </w:tabs>
            <w:rPr>
              <w:rFonts w:asciiTheme="minorHAnsi" w:eastAsiaTheme="minorEastAsia" w:hAnsiTheme="minorHAnsi" w:cstheme="minorBidi"/>
              <w:noProof/>
            </w:rPr>
          </w:pPr>
          <w:hyperlink w:anchor="_Toc74528057" w:history="1">
            <w:r w:rsidRPr="00945215">
              <w:rPr>
                <w:rStyle w:val="Hyperlink"/>
                <w:noProof/>
              </w:rPr>
              <w:t>Paragraphs 26 and 27 – Education (Article 10)</w:t>
            </w:r>
            <w:r>
              <w:rPr>
                <w:noProof/>
                <w:webHidden/>
              </w:rPr>
              <w:tab/>
            </w:r>
            <w:r>
              <w:rPr>
                <w:noProof/>
                <w:webHidden/>
              </w:rPr>
              <w:fldChar w:fldCharType="begin"/>
            </w:r>
            <w:r>
              <w:rPr>
                <w:noProof/>
                <w:webHidden/>
              </w:rPr>
              <w:instrText xml:space="preserve"> PAGEREF _Toc74528057 \h </w:instrText>
            </w:r>
            <w:r>
              <w:rPr>
                <w:noProof/>
                <w:webHidden/>
              </w:rPr>
            </w:r>
            <w:r>
              <w:rPr>
                <w:noProof/>
                <w:webHidden/>
              </w:rPr>
              <w:fldChar w:fldCharType="separate"/>
            </w:r>
            <w:r>
              <w:rPr>
                <w:noProof/>
                <w:webHidden/>
              </w:rPr>
              <w:t>5</w:t>
            </w:r>
            <w:r>
              <w:rPr>
                <w:noProof/>
                <w:webHidden/>
              </w:rPr>
              <w:fldChar w:fldCharType="end"/>
            </w:r>
          </w:hyperlink>
        </w:p>
        <w:p w:rsidR="00424BDD" w:rsidRDefault="00424BDD" w:rsidP="00424BDD">
          <w:pPr>
            <w:pStyle w:val="TOC2"/>
            <w:tabs>
              <w:tab w:val="right" w:leader="dot" w:pos="9350"/>
            </w:tabs>
            <w:rPr>
              <w:rFonts w:asciiTheme="minorHAnsi" w:eastAsiaTheme="minorEastAsia" w:hAnsiTheme="minorHAnsi" w:cstheme="minorBidi"/>
              <w:noProof/>
            </w:rPr>
          </w:pPr>
          <w:hyperlink w:anchor="_Toc74528058" w:history="1">
            <w:r w:rsidRPr="00945215">
              <w:rPr>
                <w:rStyle w:val="Hyperlink"/>
                <w:noProof/>
              </w:rPr>
              <w:t>Recommendations:</w:t>
            </w:r>
            <w:r>
              <w:rPr>
                <w:noProof/>
                <w:webHidden/>
              </w:rPr>
              <w:tab/>
            </w:r>
            <w:r>
              <w:rPr>
                <w:noProof/>
                <w:webHidden/>
              </w:rPr>
              <w:fldChar w:fldCharType="begin"/>
            </w:r>
            <w:r>
              <w:rPr>
                <w:noProof/>
                <w:webHidden/>
              </w:rPr>
              <w:instrText xml:space="preserve"> PAGEREF _Toc74528058 \h </w:instrText>
            </w:r>
            <w:r>
              <w:rPr>
                <w:noProof/>
                <w:webHidden/>
              </w:rPr>
            </w:r>
            <w:r>
              <w:rPr>
                <w:noProof/>
                <w:webHidden/>
              </w:rPr>
              <w:fldChar w:fldCharType="separate"/>
            </w:r>
            <w:r>
              <w:rPr>
                <w:noProof/>
                <w:webHidden/>
              </w:rPr>
              <w:t>5</w:t>
            </w:r>
            <w:r>
              <w:rPr>
                <w:noProof/>
                <w:webHidden/>
              </w:rPr>
              <w:fldChar w:fldCharType="end"/>
            </w:r>
          </w:hyperlink>
        </w:p>
        <w:p w:rsidR="00424BDD" w:rsidRDefault="00424BDD" w:rsidP="00424BDD">
          <w:pPr>
            <w:pStyle w:val="TOC1"/>
            <w:tabs>
              <w:tab w:val="right" w:leader="dot" w:pos="9350"/>
            </w:tabs>
            <w:rPr>
              <w:rFonts w:asciiTheme="minorHAnsi" w:eastAsiaTheme="minorEastAsia" w:hAnsiTheme="minorHAnsi" w:cstheme="minorBidi"/>
              <w:noProof/>
            </w:rPr>
          </w:pPr>
          <w:hyperlink w:anchor="_Toc74528059" w:history="1">
            <w:r w:rsidRPr="00945215">
              <w:rPr>
                <w:rStyle w:val="Hyperlink"/>
                <w:noProof/>
              </w:rPr>
              <w:t>Paragraphs 30 and 31 – Health (Article 12)</w:t>
            </w:r>
            <w:r>
              <w:rPr>
                <w:noProof/>
                <w:webHidden/>
              </w:rPr>
              <w:tab/>
            </w:r>
            <w:r>
              <w:rPr>
                <w:noProof/>
                <w:webHidden/>
              </w:rPr>
              <w:fldChar w:fldCharType="begin"/>
            </w:r>
            <w:r>
              <w:rPr>
                <w:noProof/>
                <w:webHidden/>
              </w:rPr>
              <w:instrText xml:space="preserve"> PAGEREF _Toc74528059 \h </w:instrText>
            </w:r>
            <w:r>
              <w:rPr>
                <w:noProof/>
                <w:webHidden/>
              </w:rPr>
            </w:r>
            <w:r>
              <w:rPr>
                <w:noProof/>
                <w:webHidden/>
              </w:rPr>
              <w:fldChar w:fldCharType="separate"/>
            </w:r>
            <w:r>
              <w:rPr>
                <w:noProof/>
                <w:webHidden/>
              </w:rPr>
              <w:t>5</w:t>
            </w:r>
            <w:r>
              <w:rPr>
                <w:noProof/>
                <w:webHidden/>
              </w:rPr>
              <w:fldChar w:fldCharType="end"/>
            </w:r>
          </w:hyperlink>
        </w:p>
        <w:p w:rsidR="00424BDD" w:rsidRDefault="00424BDD" w:rsidP="00424BDD">
          <w:pPr>
            <w:pStyle w:val="TOC2"/>
            <w:tabs>
              <w:tab w:val="right" w:leader="dot" w:pos="9350"/>
            </w:tabs>
            <w:rPr>
              <w:rFonts w:asciiTheme="minorHAnsi" w:eastAsiaTheme="minorEastAsia" w:hAnsiTheme="minorHAnsi" w:cstheme="minorBidi"/>
              <w:noProof/>
            </w:rPr>
          </w:pPr>
          <w:hyperlink w:anchor="_Toc74528060" w:history="1">
            <w:r w:rsidRPr="00945215">
              <w:rPr>
                <w:rStyle w:val="Hyperlink"/>
                <w:rFonts w:eastAsia="Calibri"/>
                <w:i/>
                <w:iCs/>
                <w:noProof/>
              </w:rPr>
              <w:t>Family planning</w:t>
            </w:r>
            <w:r>
              <w:rPr>
                <w:noProof/>
                <w:webHidden/>
              </w:rPr>
              <w:tab/>
            </w:r>
            <w:r>
              <w:rPr>
                <w:noProof/>
                <w:webHidden/>
              </w:rPr>
              <w:fldChar w:fldCharType="begin"/>
            </w:r>
            <w:r>
              <w:rPr>
                <w:noProof/>
                <w:webHidden/>
              </w:rPr>
              <w:instrText xml:space="preserve"> PAGEREF _Toc74528060 \h </w:instrText>
            </w:r>
            <w:r>
              <w:rPr>
                <w:noProof/>
                <w:webHidden/>
              </w:rPr>
            </w:r>
            <w:r>
              <w:rPr>
                <w:noProof/>
                <w:webHidden/>
              </w:rPr>
              <w:fldChar w:fldCharType="separate"/>
            </w:r>
            <w:r>
              <w:rPr>
                <w:noProof/>
                <w:webHidden/>
              </w:rPr>
              <w:t>6</w:t>
            </w:r>
            <w:r>
              <w:rPr>
                <w:noProof/>
                <w:webHidden/>
              </w:rPr>
              <w:fldChar w:fldCharType="end"/>
            </w:r>
          </w:hyperlink>
        </w:p>
        <w:p w:rsidR="00424BDD" w:rsidRDefault="00424BDD" w:rsidP="00424BDD">
          <w:pPr>
            <w:pStyle w:val="TOC2"/>
            <w:tabs>
              <w:tab w:val="right" w:leader="dot" w:pos="9350"/>
            </w:tabs>
            <w:rPr>
              <w:rFonts w:asciiTheme="minorHAnsi" w:eastAsiaTheme="minorEastAsia" w:hAnsiTheme="minorHAnsi" w:cstheme="minorBidi"/>
              <w:noProof/>
            </w:rPr>
          </w:pPr>
          <w:hyperlink w:anchor="_Toc74528061" w:history="1">
            <w:r w:rsidRPr="00945215">
              <w:rPr>
                <w:rStyle w:val="Hyperlink"/>
                <w:i/>
                <w:iCs/>
                <w:noProof/>
              </w:rPr>
              <w:t>Access to Safe Abortion</w:t>
            </w:r>
            <w:r>
              <w:rPr>
                <w:noProof/>
                <w:webHidden/>
              </w:rPr>
              <w:tab/>
            </w:r>
            <w:r>
              <w:rPr>
                <w:noProof/>
                <w:webHidden/>
              </w:rPr>
              <w:fldChar w:fldCharType="begin"/>
            </w:r>
            <w:r>
              <w:rPr>
                <w:noProof/>
                <w:webHidden/>
              </w:rPr>
              <w:instrText xml:space="preserve"> PAGEREF _Toc74528061 \h </w:instrText>
            </w:r>
            <w:r>
              <w:rPr>
                <w:noProof/>
                <w:webHidden/>
              </w:rPr>
            </w:r>
            <w:r>
              <w:rPr>
                <w:noProof/>
                <w:webHidden/>
              </w:rPr>
              <w:fldChar w:fldCharType="separate"/>
            </w:r>
            <w:r>
              <w:rPr>
                <w:noProof/>
                <w:webHidden/>
              </w:rPr>
              <w:t>7</w:t>
            </w:r>
            <w:r>
              <w:rPr>
                <w:noProof/>
                <w:webHidden/>
              </w:rPr>
              <w:fldChar w:fldCharType="end"/>
            </w:r>
          </w:hyperlink>
        </w:p>
        <w:p w:rsidR="00424BDD" w:rsidRDefault="00424BDD" w:rsidP="00424BDD">
          <w:pPr>
            <w:pStyle w:val="TOC2"/>
            <w:tabs>
              <w:tab w:val="right" w:leader="dot" w:pos="9350"/>
            </w:tabs>
            <w:rPr>
              <w:rFonts w:asciiTheme="minorHAnsi" w:eastAsiaTheme="minorEastAsia" w:hAnsiTheme="minorHAnsi" w:cstheme="minorBidi"/>
              <w:noProof/>
            </w:rPr>
          </w:pPr>
          <w:hyperlink w:anchor="_Toc74528062" w:history="1">
            <w:r w:rsidRPr="00945215">
              <w:rPr>
                <w:rStyle w:val="Hyperlink"/>
                <w:noProof/>
              </w:rPr>
              <w:t>Recommendations:</w:t>
            </w:r>
            <w:r>
              <w:rPr>
                <w:noProof/>
                <w:webHidden/>
              </w:rPr>
              <w:tab/>
            </w:r>
            <w:r>
              <w:rPr>
                <w:noProof/>
                <w:webHidden/>
              </w:rPr>
              <w:fldChar w:fldCharType="begin"/>
            </w:r>
            <w:r>
              <w:rPr>
                <w:noProof/>
                <w:webHidden/>
              </w:rPr>
              <w:instrText xml:space="preserve"> PAGEREF _Toc74528062 \h </w:instrText>
            </w:r>
            <w:r>
              <w:rPr>
                <w:noProof/>
                <w:webHidden/>
              </w:rPr>
            </w:r>
            <w:r>
              <w:rPr>
                <w:noProof/>
                <w:webHidden/>
              </w:rPr>
              <w:fldChar w:fldCharType="separate"/>
            </w:r>
            <w:r>
              <w:rPr>
                <w:noProof/>
                <w:webHidden/>
              </w:rPr>
              <w:t>8</w:t>
            </w:r>
            <w:r>
              <w:rPr>
                <w:noProof/>
                <w:webHidden/>
              </w:rPr>
              <w:fldChar w:fldCharType="end"/>
            </w:r>
          </w:hyperlink>
        </w:p>
        <w:p w:rsidR="00424BDD" w:rsidRDefault="00424BDD" w:rsidP="00424BDD">
          <w:pPr>
            <w:pStyle w:val="TOC1"/>
            <w:tabs>
              <w:tab w:val="right" w:leader="dot" w:pos="9350"/>
            </w:tabs>
            <w:rPr>
              <w:rFonts w:asciiTheme="minorHAnsi" w:eastAsiaTheme="minorEastAsia" w:hAnsiTheme="minorHAnsi" w:cstheme="minorBidi"/>
              <w:noProof/>
            </w:rPr>
          </w:pPr>
          <w:hyperlink w:anchor="_Toc74528063" w:history="1">
            <w:r w:rsidRPr="00945215">
              <w:rPr>
                <w:rStyle w:val="Hyperlink"/>
                <w:noProof/>
              </w:rPr>
              <w:t>Paragraphs 32-34 Rural women and girls (Article 14) &amp; Paragraph 34 and 35 - Disadvantaged groups of women</w:t>
            </w:r>
            <w:r>
              <w:rPr>
                <w:noProof/>
                <w:webHidden/>
              </w:rPr>
              <w:tab/>
            </w:r>
            <w:r>
              <w:rPr>
                <w:noProof/>
                <w:webHidden/>
              </w:rPr>
              <w:fldChar w:fldCharType="begin"/>
            </w:r>
            <w:r>
              <w:rPr>
                <w:noProof/>
                <w:webHidden/>
              </w:rPr>
              <w:instrText xml:space="preserve"> PAGEREF _Toc74528063 \h </w:instrText>
            </w:r>
            <w:r>
              <w:rPr>
                <w:noProof/>
                <w:webHidden/>
              </w:rPr>
            </w:r>
            <w:r>
              <w:rPr>
                <w:noProof/>
                <w:webHidden/>
              </w:rPr>
              <w:fldChar w:fldCharType="separate"/>
            </w:r>
            <w:r>
              <w:rPr>
                <w:noProof/>
                <w:webHidden/>
              </w:rPr>
              <w:t>8</w:t>
            </w:r>
            <w:r>
              <w:rPr>
                <w:noProof/>
                <w:webHidden/>
              </w:rPr>
              <w:fldChar w:fldCharType="end"/>
            </w:r>
          </w:hyperlink>
        </w:p>
        <w:p w:rsidR="00424BDD" w:rsidRDefault="00424BDD" w:rsidP="00424BDD">
          <w:pPr>
            <w:pStyle w:val="TOC2"/>
            <w:tabs>
              <w:tab w:val="right" w:leader="dot" w:pos="9350"/>
            </w:tabs>
            <w:rPr>
              <w:rFonts w:asciiTheme="minorHAnsi" w:eastAsiaTheme="minorEastAsia" w:hAnsiTheme="minorHAnsi" w:cstheme="minorBidi"/>
              <w:noProof/>
            </w:rPr>
          </w:pPr>
          <w:hyperlink w:anchor="_Toc74528064" w:history="1">
            <w:r w:rsidRPr="00945215">
              <w:rPr>
                <w:rStyle w:val="Hyperlink"/>
                <w:i/>
                <w:iCs/>
                <w:noProof/>
              </w:rPr>
              <w:t>Rural women and girls</w:t>
            </w:r>
            <w:r>
              <w:rPr>
                <w:noProof/>
                <w:webHidden/>
              </w:rPr>
              <w:tab/>
            </w:r>
            <w:r>
              <w:rPr>
                <w:noProof/>
                <w:webHidden/>
              </w:rPr>
              <w:fldChar w:fldCharType="begin"/>
            </w:r>
            <w:r>
              <w:rPr>
                <w:noProof/>
                <w:webHidden/>
              </w:rPr>
              <w:instrText xml:space="preserve"> PAGEREF _Toc74528064 \h </w:instrText>
            </w:r>
            <w:r>
              <w:rPr>
                <w:noProof/>
                <w:webHidden/>
              </w:rPr>
            </w:r>
            <w:r>
              <w:rPr>
                <w:noProof/>
                <w:webHidden/>
              </w:rPr>
              <w:fldChar w:fldCharType="separate"/>
            </w:r>
            <w:r>
              <w:rPr>
                <w:noProof/>
                <w:webHidden/>
              </w:rPr>
              <w:t>8</w:t>
            </w:r>
            <w:r>
              <w:rPr>
                <w:noProof/>
                <w:webHidden/>
              </w:rPr>
              <w:fldChar w:fldCharType="end"/>
            </w:r>
          </w:hyperlink>
        </w:p>
        <w:p w:rsidR="00424BDD" w:rsidRDefault="00424BDD" w:rsidP="00424BDD">
          <w:pPr>
            <w:pStyle w:val="TOC2"/>
            <w:tabs>
              <w:tab w:val="right" w:leader="dot" w:pos="9350"/>
            </w:tabs>
            <w:rPr>
              <w:rFonts w:asciiTheme="minorHAnsi" w:eastAsiaTheme="minorEastAsia" w:hAnsiTheme="minorHAnsi" w:cstheme="minorBidi"/>
              <w:noProof/>
            </w:rPr>
          </w:pPr>
          <w:hyperlink w:anchor="_Toc74528065" w:history="1">
            <w:r w:rsidRPr="00945215">
              <w:rPr>
                <w:rStyle w:val="Hyperlink"/>
                <w:i/>
                <w:iCs/>
                <w:noProof/>
              </w:rPr>
              <w:t>IDP Women and girls</w:t>
            </w:r>
            <w:r>
              <w:rPr>
                <w:noProof/>
                <w:webHidden/>
              </w:rPr>
              <w:tab/>
            </w:r>
            <w:r>
              <w:rPr>
                <w:noProof/>
                <w:webHidden/>
              </w:rPr>
              <w:fldChar w:fldCharType="begin"/>
            </w:r>
            <w:r>
              <w:rPr>
                <w:noProof/>
                <w:webHidden/>
              </w:rPr>
              <w:instrText xml:space="preserve"> PAGEREF _Toc74528065 \h </w:instrText>
            </w:r>
            <w:r>
              <w:rPr>
                <w:noProof/>
                <w:webHidden/>
              </w:rPr>
            </w:r>
            <w:r>
              <w:rPr>
                <w:noProof/>
                <w:webHidden/>
              </w:rPr>
              <w:fldChar w:fldCharType="separate"/>
            </w:r>
            <w:r>
              <w:rPr>
                <w:noProof/>
                <w:webHidden/>
              </w:rPr>
              <w:t>9</w:t>
            </w:r>
            <w:r>
              <w:rPr>
                <w:noProof/>
                <w:webHidden/>
              </w:rPr>
              <w:fldChar w:fldCharType="end"/>
            </w:r>
          </w:hyperlink>
        </w:p>
        <w:p w:rsidR="00424BDD" w:rsidRDefault="00424BDD" w:rsidP="00424BDD">
          <w:pPr>
            <w:pStyle w:val="TOC2"/>
            <w:tabs>
              <w:tab w:val="right" w:leader="dot" w:pos="9350"/>
            </w:tabs>
            <w:rPr>
              <w:rFonts w:asciiTheme="minorHAnsi" w:eastAsiaTheme="minorEastAsia" w:hAnsiTheme="minorHAnsi" w:cstheme="minorBidi"/>
              <w:noProof/>
            </w:rPr>
          </w:pPr>
          <w:hyperlink w:anchor="_Toc74528066" w:history="1">
            <w:r w:rsidRPr="00945215">
              <w:rPr>
                <w:rStyle w:val="Hyperlink"/>
                <w:rFonts w:eastAsia="Calibri"/>
                <w:i/>
                <w:iCs/>
                <w:noProof/>
              </w:rPr>
              <w:t>Older women</w:t>
            </w:r>
            <w:r>
              <w:rPr>
                <w:noProof/>
                <w:webHidden/>
              </w:rPr>
              <w:tab/>
            </w:r>
            <w:r>
              <w:rPr>
                <w:noProof/>
                <w:webHidden/>
              </w:rPr>
              <w:fldChar w:fldCharType="begin"/>
            </w:r>
            <w:r>
              <w:rPr>
                <w:noProof/>
                <w:webHidden/>
              </w:rPr>
              <w:instrText xml:space="preserve"> PAGEREF _Toc74528066 \h </w:instrText>
            </w:r>
            <w:r>
              <w:rPr>
                <w:noProof/>
                <w:webHidden/>
              </w:rPr>
            </w:r>
            <w:r>
              <w:rPr>
                <w:noProof/>
                <w:webHidden/>
              </w:rPr>
              <w:fldChar w:fldCharType="separate"/>
            </w:r>
            <w:r>
              <w:rPr>
                <w:noProof/>
                <w:webHidden/>
              </w:rPr>
              <w:t>9</w:t>
            </w:r>
            <w:r>
              <w:rPr>
                <w:noProof/>
                <w:webHidden/>
              </w:rPr>
              <w:fldChar w:fldCharType="end"/>
            </w:r>
          </w:hyperlink>
        </w:p>
        <w:p w:rsidR="00424BDD" w:rsidRDefault="00424BDD" w:rsidP="00424BDD">
          <w:pPr>
            <w:pStyle w:val="TOC2"/>
            <w:tabs>
              <w:tab w:val="right" w:leader="dot" w:pos="9350"/>
            </w:tabs>
            <w:rPr>
              <w:rFonts w:asciiTheme="minorHAnsi" w:eastAsiaTheme="minorEastAsia" w:hAnsiTheme="minorHAnsi" w:cstheme="minorBidi"/>
              <w:noProof/>
            </w:rPr>
          </w:pPr>
          <w:hyperlink w:anchor="_Toc74528067" w:history="1">
            <w:r w:rsidRPr="00945215">
              <w:rPr>
                <w:rStyle w:val="Hyperlink"/>
                <w:rFonts w:eastAsia="Calibri"/>
                <w:i/>
                <w:iCs/>
                <w:noProof/>
              </w:rPr>
              <w:t>Women/girls with disabilities</w:t>
            </w:r>
            <w:r>
              <w:rPr>
                <w:noProof/>
                <w:webHidden/>
              </w:rPr>
              <w:tab/>
            </w:r>
            <w:r>
              <w:rPr>
                <w:noProof/>
                <w:webHidden/>
              </w:rPr>
              <w:fldChar w:fldCharType="begin"/>
            </w:r>
            <w:r>
              <w:rPr>
                <w:noProof/>
                <w:webHidden/>
              </w:rPr>
              <w:instrText xml:space="preserve"> PAGEREF _Toc74528067 \h </w:instrText>
            </w:r>
            <w:r>
              <w:rPr>
                <w:noProof/>
                <w:webHidden/>
              </w:rPr>
            </w:r>
            <w:r>
              <w:rPr>
                <w:noProof/>
                <w:webHidden/>
              </w:rPr>
              <w:fldChar w:fldCharType="separate"/>
            </w:r>
            <w:r>
              <w:rPr>
                <w:noProof/>
                <w:webHidden/>
              </w:rPr>
              <w:t>10</w:t>
            </w:r>
            <w:r>
              <w:rPr>
                <w:noProof/>
                <w:webHidden/>
              </w:rPr>
              <w:fldChar w:fldCharType="end"/>
            </w:r>
          </w:hyperlink>
        </w:p>
        <w:p w:rsidR="00424BDD" w:rsidRDefault="00424BDD" w:rsidP="00424BDD">
          <w:pPr>
            <w:pStyle w:val="TOC2"/>
            <w:tabs>
              <w:tab w:val="right" w:leader="dot" w:pos="9350"/>
            </w:tabs>
            <w:rPr>
              <w:rFonts w:asciiTheme="minorHAnsi" w:eastAsiaTheme="minorEastAsia" w:hAnsiTheme="minorHAnsi" w:cstheme="minorBidi"/>
              <w:noProof/>
            </w:rPr>
          </w:pPr>
          <w:hyperlink w:anchor="_Toc74528068" w:history="1">
            <w:r w:rsidRPr="00945215">
              <w:rPr>
                <w:rStyle w:val="Hyperlink"/>
                <w:noProof/>
              </w:rPr>
              <w:t>Recommendations:</w:t>
            </w:r>
            <w:r>
              <w:rPr>
                <w:noProof/>
                <w:webHidden/>
              </w:rPr>
              <w:tab/>
            </w:r>
            <w:r>
              <w:rPr>
                <w:noProof/>
                <w:webHidden/>
              </w:rPr>
              <w:fldChar w:fldCharType="begin"/>
            </w:r>
            <w:r>
              <w:rPr>
                <w:noProof/>
                <w:webHidden/>
              </w:rPr>
              <w:instrText xml:space="preserve"> PAGEREF _Toc74528068 \h </w:instrText>
            </w:r>
            <w:r>
              <w:rPr>
                <w:noProof/>
                <w:webHidden/>
              </w:rPr>
            </w:r>
            <w:r>
              <w:rPr>
                <w:noProof/>
                <w:webHidden/>
              </w:rPr>
              <w:fldChar w:fldCharType="separate"/>
            </w:r>
            <w:r>
              <w:rPr>
                <w:noProof/>
                <w:webHidden/>
              </w:rPr>
              <w:t>10</w:t>
            </w:r>
            <w:r>
              <w:rPr>
                <w:noProof/>
                <w:webHidden/>
              </w:rPr>
              <w:fldChar w:fldCharType="end"/>
            </w:r>
          </w:hyperlink>
        </w:p>
        <w:p w:rsidR="00424BDD" w:rsidRPr="00F76EAE" w:rsidRDefault="00424BDD" w:rsidP="00424BDD">
          <w:r w:rsidRPr="00F76EAE">
            <w:rPr>
              <w:b/>
              <w:bCs/>
              <w:noProof/>
            </w:rPr>
            <w:fldChar w:fldCharType="end"/>
          </w:r>
        </w:p>
      </w:sdtContent>
    </w:sdt>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p>
    <w:p w:rsidR="00424BDD" w:rsidRPr="004D7CA6" w:rsidRDefault="00424BDD" w:rsidP="00424BDD">
      <w:pPr>
        <w:pStyle w:val="Heading1"/>
        <w:rPr>
          <w:sz w:val="24"/>
          <w:szCs w:val="24"/>
        </w:rPr>
      </w:pPr>
      <w:bookmarkStart w:id="0" w:name="_Toc74223727"/>
      <w:bookmarkStart w:id="1" w:name="_Toc74528053"/>
      <w:r w:rsidRPr="004D7CA6">
        <w:rPr>
          <w:sz w:val="24"/>
          <w:szCs w:val="24"/>
        </w:rPr>
        <w:lastRenderedPageBreak/>
        <w:t>Abbreviations</w:t>
      </w:r>
      <w:bookmarkEnd w:id="0"/>
      <w:bookmarkEnd w:id="1"/>
    </w:p>
    <w:tbl>
      <w:tblPr>
        <w:tblStyle w:val="TableGrid"/>
        <w:tblW w:w="0" w:type="auto"/>
        <w:tblLook w:val="04A0"/>
      </w:tblPr>
      <w:tblGrid>
        <w:gridCol w:w="4675"/>
        <w:gridCol w:w="4675"/>
      </w:tblGrid>
      <w:tr w:rsidR="00424BDD" w:rsidTr="00032E89">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ABL</w:t>
            </w:r>
          </w:p>
        </w:tc>
        <w:tc>
          <w:tcPr>
            <w:tcW w:w="4675" w:type="dxa"/>
          </w:tcPr>
          <w:p w:rsidR="00424BDD" w:rsidRPr="004D7CA6" w:rsidRDefault="00424BDD" w:rsidP="00032E89">
            <w:pPr>
              <w:rPr>
                <w:rFonts w:asciiTheme="majorHAnsi" w:eastAsia="Calibri" w:hAnsiTheme="majorHAnsi" w:cs="Calibri Light"/>
              </w:rPr>
            </w:pPr>
            <w:r w:rsidRPr="00F76EAE">
              <w:rPr>
                <w:rFonts w:asciiTheme="majorHAnsi" w:eastAsia="Calibri" w:hAnsiTheme="majorHAnsi" w:cs="Calibri Light"/>
              </w:rPr>
              <w:t>Administrative Boundary Line</w:t>
            </w:r>
          </w:p>
        </w:tc>
      </w:tr>
      <w:tr w:rsidR="00424BDD" w:rsidTr="00032E89">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CEDAW</w:t>
            </w:r>
          </w:p>
        </w:tc>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Convention on the Elimination of All Forms of Discrimination Against Women</w:t>
            </w:r>
          </w:p>
        </w:tc>
      </w:tr>
      <w:tr w:rsidR="00424BDD" w:rsidTr="00032E89">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FP</w:t>
            </w:r>
          </w:p>
        </w:tc>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Family planning</w:t>
            </w:r>
          </w:p>
        </w:tc>
      </w:tr>
      <w:tr w:rsidR="00424BDD" w:rsidTr="00032E89">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IDP</w:t>
            </w:r>
          </w:p>
        </w:tc>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Internally displaced people</w:t>
            </w:r>
          </w:p>
        </w:tc>
      </w:tr>
      <w:tr w:rsidR="00424BDD" w:rsidTr="00032E89">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IPPF</w:t>
            </w:r>
          </w:p>
        </w:tc>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International Planned Parenthood Federation</w:t>
            </w:r>
          </w:p>
        </w:tc>
      </w:tr>
      <w:tr w:rsidR="00424BDD" w:rsidTr="00032E89">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PAS</w:t>
            </w:r>
          </w:p>
        </w:tc>
        <w:tc>
          <w:tcPr>
            <w:tcW w:w="4675" w:type="dxa"/>
          </w:tcPr>
          <w:p w:rsidR="00424BDD" w:rsidRPr="004D7CA6" w:rsidRDefault="00424BDD" w:rsidP="00032E89">
            <w:pPr>
              <w:rPr>
                <w:rFonts w:asciiTheme="majorHAnsi" w:eastAsia="Calibri" w:hAnsiTheme="majorHAnsi" w:cs="Calibri Light"/>
              </w:rPr>
            </w:pPr>
            <w:r>
              <w:rPr>
                <w:rFonts w:asciiTheme="majorHAnsi" w:eastAsia="Calibri" w:hAnsiTheme="majorHAnsi" w:cs="Calibri Light"/>
              </w:rPr>
              <w:t>P</w:t>
            </w:r>
            <w:r w:rsidRPr="00F76EAE">
              <w:rPr>
                <w:rFonts w:asciiTheme="majorHAnsi" w:eastAsia="Calibri" w:hAnsiTheme="majorHAnsi" w:cs="Calibri Light"/>
              </w:rPr>
              <w:t>ost-abortion syndrome</w:t>
            </w:r>
          </w:p>
        </w:tc>
      </w:tr>
      <w:tr w:rsidR="00424BDD" w:rsidTr="00032E89">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SRHR</w:t>
            </w:r>
          </w:p>
        </w:tc>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Sexual and Reproductive Health and Rights</w:t>
            </w:r>
          </w:p>
        </w:tc>
      </w:tr>
      <w:tr w:rsidR="00424BDD" w:rsidTr="00032E89">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SRH</w:t>
            </w:r>
          </w:p>
        </w:tc>
        <w:tc>
          <w:tcPr>
            <w:tcW w:w="4675" w:type="dxa"/>
          </w:tcPr>
          <w:p w:rsidR="00424BDD" w:rsidRPr="004D7CA6" w:rsidRDefault="00424BDD" w:rsidP="00032E89">
            <w:pPr>
              <w:rPr>
                <w:rFonts w:asciiTheme="majorHAnsi" w:eastAsia="Calibri" w:hAnsiTheme="majorHAnsi" w:cs="Calibri Light"/>
              </w:rPr>
            </w:pPr>
            <w:r w:rsidRPr="004D7CA6">
              <w:rPr>
                <w:rFonts w:asciiTheme="majorHAnsi" w:eastAsia="Calibri" w:hAnsiTheme="majorHAnsi" w:cs="Calibri Light"/>
              </w:rPr>
              <w:t>Sexual and Reproductive Health</w:t>
            </w:r>
          </w:p>
        </w:tc>
      </w:tr>
    </w:tbl>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Default="00424BDD" w:rsidP="00424BDD"/>
    <w:p w:rsidR="00424BDD" w:rsidRPr="00CD6979" w:rsidRDefault="00424BDD" w:rsidP="00424BDD"/>
    <w:p w:rsidR="00424BDD" w:rsidRPr="004D7CA6" w:rsidRDefault="00424BDD" w:rsidP="00424BDD">
      <w:pPr>
        <w:pStyle w:val="Heading1"/>
        <w:rPr>
          <w:sz w:val="24"/>
          <w:szCs w:val="24"/>
        </w:rPr>
      </w:pPr>
      <w:bookmarkStart w:id="2" w:name="_Toc74528054"/>
      <w:r w:rsidRPr="004D7CA6">
        <w:rPr>
          <w:sz w:val="24"/>
          <w:szCs w:val="24"/>
        </w:rPr>
        <w:lastRenderedPageBreak/>
        <w:t>About the organization</w:t>
      </w:r>
      <w:bookmarkEnd w:id="2"/>
    </w:p>
    <w:p w:rsidR="00424BDD" w:rsidRPr="00F76EAE" w:rsidRDefault="00424BDD" w:rsidP="00424BDD">
      <w:pPr>
        <w:spacing w:after="0"/>
        <w:rPr>
          <w:rFonts w:asciiTheme="majorHAnsi" w:hAnsiTheme="majorHAnsi"/>
        </w:rPr>
      </w:pPr>
    </w:p>
    <w:p w:rsidR="00424BDD" w:rsidRPr="00F76EAE" w:rsidRDefault="00424BDD" w:rsidP="00424BDD">
      <w:pPr>
        <w:spacing w:after="0"/>
        <w:jc w:val="both"/>
        <w:rPr>
          <w:rFonts w:asciiTheme="majorHAnsi" w:hAnsiTheme="majorHAnsi"/>
        </w:rPr>
      </w:pPr>
      <w:r w:rsidRPr="00F76EAE">
        <w:rPr>
          <w:rFonts w:asciiTheme="majorHAnsi" w:hAnsiTheme="majorHAnsi"/>
        </w:rPr>
        <w:t xml:space="preserve">The following report was prepared by the Association “HERA-XXI” focusing on Sexual and Reproductive Health and Rights (SRHR) issues in Georgia. Association “HERA‐XXI” as a member association of the International Planned Parenthood Federation (IPPF) European Network in Georgia actively advocates on SRHR issues since 1998. </w:t>
      </w:r>
    </w:p>
    <w:p w:rsidR="00424BDD" w:rsidRPr="00F76EAE" w:rsidRDefault="00424BDD" w:rsidP="00424BDD">
      <w:pPr>
        <w:spacing w:after="0"/>
        <w:jc w:val="both"/>
        <w:rPr>
          <w:rFonts w:asciiTheme="majorHAnsi" w:hAnsiTheme="majorHAnsi"/>
        </w:rPr>
      </w:pPr>
      <w:r w:rsidRPr="00F76EAE">
        <w:rPr>
          <w:rFonts w:asciiTheme="majorHAnsi" w:hAnsiTheme="majorHAnsi"/>
        </w:rPr>
        <w:t xml:space="preserve">The organization has participated in the previous fourth and fifth periodic review of Georgia and provided information on SRHR issues to the CEDAW committee in 2014. </w:t>
      </w:r>
      <w:r w:rsidRPr="00F76EAE">
        <w:rPr>
          <w:rStyle w:val="FootnoteReference"/>
          <w:rFonts w:asciiTheme="majorHAnsi" w:hAnsiTheme="majorHAnsi"/>
        </w:rPr>
        <w:footnoteReference w:id="2"/>
      </w:r>
    </w:p>
    <w:p w:rsidR="00424BDD" w:rsidRPr="00F76EAE" w:rsidRDefault="00424BDD" w:rsidP="00424BDD">
      <w:pPr>
        <w:spacing w:after="0"/>
        <w:rPr>
          <w:rFonts w:asciiTheme="majorHAnsi" w:hAnsiTheme="majorHAnsi"/>
        </w:rPr>
      </w:pPr>
    </w:p>
    <w:p w:rsidR="00424BDD" w:rsidRPr="004D7CA6" w:rsidRDefault="00424BDD" w:rsidP="00424BDD">
      <w:pPr>
        <w:pStyle w:val="Heading1"/>
        <w:rPr>
          <w:sz w:val="24"/>
          <w:szCs w:val="24"/>
        </w:rPr>
      </w:pPr>
      <w:bookmarkStart w:id="3" w:name="_Toc74528055"/>
      <w:r w:rsidRPr="004D7CA6">
        <w:rPr>
          <w:sz w:val="24"/>
          <w:szCs w:val="24"/>
        </w:rPr>
        <w:t>Introduction and General Methodology</w:t>
      </w:r>
      <w:bookmarkEnd w:id="3"/>
    </w:p>
    <w:p w:rsidR="00424BDD" w:rsidRPr="00F76EAE" w:rsidRDefault="00424BDD" w:rsidP="00424BDD">
      <w:pPr>
        <w:spacing w:after="0"/>
        <w:jc w:val="both"/>
        <w:rPr>
          <w:rFonts w:asciiTheme="majorHAnsi" w:hAnsiTheme="majorHAnsi"/>
        </w:rPr>
      </w:pPr>
    </w:p>
    <w:p w:rsidR="00424BDD" w:rsidRPr="00F76EAE" w:rsidRDefault="00424BDD" w:rsidP="00424BDD">
      <w:pPr>
        <w:pStyle w:val="Content"/>
        <w:spacing w:line="240" w:lineRule="auto"/>
        <w:jc w:val="both"/>
        <w:rPr>
          <w:rFonts w:asciiTheme="majorHAnsi" w:eastAsia="Times New Roman" w:hAnsiTheme="majorHAnsi"/>
          <w:color w:val="auto"/>
          <w:sz w:val="22"/>
        </w:rPr>
      </w:pPr>
      <w:r w:rsidRPr="00F76EAE">
        <w:rPr>
          <w:rFonts w:asciiTheme="majorHAnsi" w:eastAsia="Times New Roman" w:hAnsiTheme="majorHAnsi"/>
          <w:color w:val="auto"/>
          <w:sz w:val="22"/>
        </w:rPr>
        <w:t>This report responds to the 6</w:t>
      </w:r>
      <w:r w:rsidRPr="00F76EAE">
        <w:rPr>
          <w:rFonts w:asciiTheme="majorHAnsi" w:eastAsia="Times New Roman" w:hAnsiTheme="majorHAnsi"/>
          <w:color w:val="auto"/>
          <w:sz w:val="22"/>
          <w:vertAlign w:val="superscript"/>
        </w:rPr>
        <w:t xml:space="preserve">th </w:t>
      </w:r>
      <w:r w:rsidRPr="00F76EAE">
        <w:rPr>
          <w:rFonts w:asciiTheme="majorHAnsi" w:eastAsia="Times New Roman" w:hAnsiTheme="majorHAnsi"/>
          <w:color w:val="auto"/>
          <w:sz w:val="22"/>
        </w:rPr>
        <w:t>Periodic State Report</w:t>
      </w:r>
      <w:r w:rsidRPr="00F76EAE">
        <w:rPr>
          <w:rStyle w:val="FootnoteReference"/>
          <w:rFonts w:asciiTheme="majorHAnsi" w:eastAsia="Times New Roman" w:hAnsiTheme="majorHAnsi"/>
          <w:color w:val="auto"/>
          <w:sz w:val="22"/>
        </w:rPr>
        <w:footnoteReference w:id="3"/>
      </w:r>
      <w:r w:rsidRPr="00F76EAE">
        <w:rPr>
          <w:rFonts w:asciiTheme="majorHAnsi" w:eastAsia="Times New Roman" w:hAnsiTheme="majorHAnsi"/>
          <w:color w:val="auto"/>
          <w:sz w:val="22"/>
        </w:rPr>
        <w:t xml:space="preserve"> of Georgia submitted to the CEDAW Committee in April 2019, which is designed by the paragraph given by the concluding observations on the combined fourth and fifth periodic reports of Georgia.</w:t>
      </w:r>
      <w:r w:rsidRPr="00F76EAE">
        <w:rPr>
          <w:rStyle w:val="FootnoteReference"/>
          <w:rFonts w:asciiTheme="majorHAnsi" w:eastAsia="Times New Roman" w:hAnsiTheme="majorHAnsi"/>
          <w:color w:val="auto"/>
          <w:sz w:val="22"/>
        </w:rPr>
        <w:footnoteReference w:id="4"/>
      </w:r>
      <w:r w:rsidRPr="00F76EAE">
        <w:rPr>
          <w:rFonts w:asciiTheme="majorHAnsi" w:eastAsia="Times New Roman" w:hAnsiTheme="majorHAnsi"/>
          <w:color w:val="auto"/>
          <w:sz w:val="22"/>
        </w:rPr>
        <w:t xml:space="preserve">  It also considers the implementation status of the CEDAW Article 10, Article 12, and Article 14 in the specific research focus on Sexual and Reproductive Health and Rights Issues.</w:t>
      </w:r>
      <w:r>
        <w:rPr>
          <w:rFonts w:asciiTheme="majorHAnsi" w:eastAsia="Times New Roman" w:hAnsiTheme="majorHAnsi"/>
          <w:color w:val="auto"/>
          <w:sz w:val="22"/>
        </w:rPr>
        <w:t xml:space="preserve"> </w:t>
      </w:r>
      <w:r w:rsidRPr="00CD6979">
        <w:rPr>
          <w:rFonts w:asciiTheme="majorHAnsi" w:eastAsia="Times New Roman" w:hAnsiTheme="majorHAnsi"/>
          <w:color w:val="auto"/>
          <w:sz w:val="22"/>
        </w:rPr>
        <w:t>The report separately discusses the specific issues of the disadvantaged groups of women on SRHR.</w:t>
      </w:r>
    </w:p>
    <w:p w:rsidR="00424BDD" w:rsidRPr="00F76EAE" w:rsidRDefault="00424BDD" w:rsidP="00424BDD">
      <w:pPr>
        <w:pStyle w:val="Content"/>
        <w:spacing w:line="240" w:lineRule="auto"/>
        <w:jc w:val="both"/>
        <w:rPr>
          <w:rFonts w:asciiTheme="majorHAnsi" w:eastAsia="Times New Roman" w:hAnsiTheme="majorHAnsi"/>
          <w:color w:val="auto"/>
          <w:sz w:val="22"/>
        </w:rPr>
      </w:pPr>
    </w:p>
    <w:p w:rsidR="00424BDD" w:rsidRPr="00F76EAE" w:rsidRDefault="00424BDD" w:rsidP="00424BDD">
      <w:pPr>
        <w:spacing w:after="0"/>
        <w:rPr>
          <w:rFonts w:asciiTheme="majorHAnsi" w:hAnsiTheme="majorHAnsi"/>
        </w:rPr>
      </w:pPr>
      <w:r w:rsidRPr="00F76EAE">
        <w:rPr>
          <w:rFonts w:asciiTheme="majorHAnsi" w:hAnsiTheme="majorHAnsi"/>
        </w:rPr>
        <w:t>The shadow report is based on the research and program data of the Association HERA-XXI and other non-governmental organizations, statistics provided by state institutions, national policy documents and other secondary sources.</w:t>
      </w:r>
    </w:p>
    <w:p w:rsidR="00424BDD" w:rsidRPr="00F76EAE" w:rsidRDefault="00424BDD" w:rsidP="00424BDD">
      <w:pPr>
        <w:spacing w:after="0"/>
        <w:rPr>
          <w:rFonts w:asciiTheme="majorHAnsi" w:hAnsiTheme="majorHAnsi"/>
        </w:rPr>
      </w:pPr>
    </w:p>
    <w:p w:rsidR="00424BDD" w:rsidRPr="004D7CA6" w:rsidRDefault="00424BDD" w:rsidP="00424BDD">
      <w:pPr>
        <w:pStyle w:val="Heading1"/>
        <w:rPr>
          <w:sz w:val="24"/>
          <w:szCs w:val="24"/>
        </w:rPr>
      </w:pPr>
      <w:bookmarkStart w:id="4" w:name="_Toc74528056"/>
      <w:r w:rsidRPr="004D7CA6">
        <w:rPr>
          <w:sz w:val="24"/>
          <w:szCs w:val="24"/>
        </w:rPr>
        <w:t>Executive Summary</w:t>
      </w:r>
      <w:bookmarkEnd w:id="4"/>
    </w:p>
    <w:p w:rsidR="00424BDD" w:rsidRPr="00F76EAE" w:rsidRDefault="00424BDD" w:rsidP="00424BDD">
      <w:pPr>
        <w:spacing w:after="0"/>
        <w:rPr>
          <w:rFonts w:asciiTheme="majorHAnsi" w:hAnsiTheme="majorHAnsi"/>
        </w:rPr>
      </w:pPr>
    </w:p>
    <w:p w:rsidR="00424BDD" w:rsidRPr="00F76EAE" w:rsidRDefault="00424BDD" w:rsidP="00424BDD">
      <w:pPr>
        <w:spacing w:after="0"/>
        <w:rPr>
          <w:rFonts w:asciiTheme="majorHAnsi" w:hAnsiTheme="majorHAnsi"/>
        </w:rPr>
      </w:pPr>
      <w:r w:rsidRPr="00F76EAE">
        <w:rPr>
          <w:rFonts w:asciiTheme="majorHAnsi" w:hAnsiTheme="majorHAnsi"/>
        </w:rPr>
        <w:t>Despite existing national and international protection mechanisms</w:t>
      </w:r>
      <w:r>
        <w:rPr>
          <w:rStyle w:val="FootnoteReference"/>
          <w:rFonts w:asciiTheme="majorHAnsi" w:hAnsiTheme="majorHAnsi"/>
        </w:rPr>
        <w:footnoteReference w:id="5"/>
      </w:r>
      <w:r w:rsidRPr="00F76EAE">
        <w:rPr>
          <w:rFonts w:asciiTheme="majorHAnsi" w:hAnsiTheme="majorHAnsi"/>
        </w:rPr>
        <w:t xml:space="preserve"> access to Sexual and Reproductive Health (SRH) services and information, remains very limited in Georgia. Women and girls still face daily experiences of stigma, discrimination and exclusion, denial of SRH services, and violations of their fundamental rights to bodily autonomy, bodily integrity, and the attainment of the highest standard of health.</w:t>
      </w:r>
    </w:p>
    <w:p w:rsidR="00424BDD" w:rsidRPr="00F76EAE" w:rsidRDefault="00424BDD" w:rsidP="00424BDD">
      <w:pPr>
        <w:spacing w:after="0"/>
        <w:jc w:val="both"/>
        <w:rPr>
          <w:rFonts w:asciiTheme="majorHAnsi" w:hAnsiTheme="majorHAnsi"/>
        </w:rPr>
      </w:pPr>
    </w:p>
    <w:p w:rsidR="00424BDD" w:rsidRPr="00F76EAE" w:rsidRDefault="00424BDD" w:rsidP="00424BDD">
      <w:pPr>
        <w:spacing w:after="0"/>
        <w:jc w:val="both"/>
        <w:rPr>
          <w:rFonts w:asciiTheme="majorHAnsi" w:hAnsiTheme="majorHAnsi"/>
        </w:rPr>
      </w:pPr>
      <w:r w:rsidRPr="00F76EAE">
        <w:rPr>
          <w:rFonts w:asciiTheme="majorHAnsi" w:hAnsiTheme="majorHAnsi"/>
        </w:rPr>
        <w:t xml:space="preserve">Since the fourth and fifth periodic review, the Government of Georgia took some essential steps to develop relevant policies on </w:t>
      </w:r>
      <w:r>
        <w:rPr>
          <w:rFonts w:asciiTheme="majorHAnsi" w:hAnsiTheme="majorHAnsi"/>
        </w:rPr>
        <w:t>SRH</w:t>
      </w:r>
      <w:r w:rsidRPr="00F76EAE">
        <w:rPr>
          <w:rFonts w:asciiTheme="majorHAnsi" w:hAnsiTheme="majorHAnsi"/>
        </w:rPr>
        <w:t>. However, the failure to allocate sufficient financial resources, lack of capacity of health systems especially primary healthcare system significantly hinders the implementation of those policies.</w:t>
      </w:r>
    </w:p>
    <w:p w:rsidR="00424BDD" w:rsidRPr="00F76EAE" w:rsidRDefault="00424BDD" w:rsidP="00424BDD">
      <w:pPr>
        <w:spacing w:after="0"/>
        <w:jc w:val="both"/>
        <w:rPr>
          <w:rFonts w:asciiTheme="majorHAnsi" w:hAnsiTheme="majorHAnsi"/>
        </w:rPr>
      </w:pPr>
    </w:p>
    <w:p w:rsidR="00424BDD" w:rsidRPr="004D7CA6" w:rsidRDefault="00424BDD" w:rsidP="00424BDD">
      <w:pPr>
        <w:pStyle w:val="Heading1"/>
        <w:rPr>
          <w:sz w:val="24"/>
          <w:szCs w:val="24"/>
        </w:rPr>
      </w:pPr>
      <w:bookmarkStart w:id="5" w:name="_Toc74528057"/>
      <w:r w:rsidRPr="004D7CA6">
        <w:rPr>
          <w:sz w:val="24"/>
          <w:szCs w:val="24"/>
        </w:rPr>
        <w:lastRenderedPageBreak/>
        <w:t>Paragraphs 26 and 27 – Education (Article 10)</w:t>
      </w:r>
      <w:bookmarkEnd w:id="5"/>
    </w:p>
    <w:p w:rsidR="00424BDD" w:rsidRPr="00F76EAE" w:rsidRDefault="00424BDD" w:rsidP="00424BDD">
      <w:pPr>
        <w:pStyle w:val="NormalWeb"/>
        <w:numPr>
          <w:ilvl w:val="0"/>
          <w:numId w:val="1"/>
        </w:numPr>
        <w:spacing w:before="240" w:after="240"/>
        <w:ind w:right="-180"/>
        <w:jc w:val="both"/>
        <w:rPr>
          <w:rFonts w:asciiTheme="majorHAnsi" w:hAnsiTheme="majorHAnsi"/>
          <w:sz w:val="22"/>
          <w:szCs w:val="22"/>
        </w:rPr>
      </w:pPr>
      <w:r w:rsidRPr="00F76EAE">
        <w:rPr>
          <w:rFonts w:asciiTheme="majorHAnsi" w:hAnsiTheme="majorHAnsi"/>
          <w:sz w:val="22"/>
          <w:szCs w:val="22"/>
        </w:rPr>
        <w:t>CEDAW concluding observations of July 2014 highlighted the absence of age appropriate</w:t>
      </w:r>
      <w:r>
        <w:rPr>
          <w:rFonts w:asciiTheme="majorHAnsi" w:hAnsiTheme="majorHAnsi"/>
          <w:sz w:val="22"/>
          <w:szCs w:val="22"/>
          <w:lang w:val="ka-GE"/>
        </w:rPr>
        <w:t xml:space="preserve"> </w:t>
      </w:r>
      <w:r>
        <w:rPr>
          <w:rFonts w:asciiTheme="majorHAnsi" w:hAnsiTheme="majorHAnsi"/>
          <w:sz w:val="22"/>
          <w:szCs w:val="22"/>
        </w:rPr>
        <w:t>SRH</w:t>
      </w:r>
      <w:r w:rsidRPr="00F76EAE">
        <w:rPr>
          <w:rFonts w:asciiTheme="majorHAnsi" w:hAnsiTheme="majorHAnsi"/>
          <w:sz w:val="22"/>
          <w:szCs w:val="22"/>
        </w:rPr>
        <w:t xml:space="preserve"> education</w:t>
      </w:r>
      <w:r>
        <w:rPr>
          <w:rFonts w:asciiTheme="majorHAnsi" w:hAnsiTheme="majorHAnsi"/>
          <w:sz w:val="22"/>
          <w:szCs w:val="22"/>
        </w:rPr>
        <w:t xml:space="preserve">. </w:t>
      </w:r>
      <w:r>
        <w:rPr>
          <w:rStyle w:val="FootnoteReference"/>
          <w:rFonts w:asciiTheme="majorHAnsi" w:hAnsiTheme="majorHAnsi"/>
          <w:sz w:val="22"/>
          <w:szCs w:val="22"/>
        </w:rPr>
        <w:footnoteReference w:id="6"/>
      </w:r>
      <w:r w:rsidRPr="00F76EAE">
        <w:rPr>
          <w:rFonts w:asciiTheme="majorHAnsi" w:hAnsiTheme="majorHAnsi"/>
          <w:sz w:val="22"/>
          <w:szCs w:val="22"/>
        </w:rPr>
        <w:t>Unfortunately, the Government does not provide any sort of information on the progress of this specific recommendation in its sixth periodic report, which indicates the low level of prioritization of these issues.</w:t>
      </w:r>
    </w:p>
    <w:p w:rsidR="00424BDD" w:rsidRPr="00F76EAE" w:rsidRDefault="00424BDD" w:rsidP="00424BDD">
      <w:pPr>
        <w:pStyle w:val="NormalWeb"/>
        <w:numPr>
          <w:ilvl w:val="0"/>
          <w:numId w:val="1"/>
        </w:numPr>
        <w:spacing w:before="240" w:after="240"/>
        <w:ind w:right="-180"/>
        <w:jc w:val="both"/>
        <w:rPr>
          <w:rFonts w:asciiTheme="majorHAnsi" w:hAnsiTheme="majorHAnsi"/>
          <w:sz w:val="22"/>
          <w:szCs w:val="22"/>
        </w:rPr>
      </w:pPr>
      <w:r w:rsidRPr="00F76EAE">
        <w:rPr>
          <w:rFonts w:asciiTheme="majorHAnsi" w:hAnsiTheme="majorHAnsi"/>
          <w:sz w:val="22"/>
          <w:szCs w:val="22"/>
        </w:rPr>
        <w:t>Gender equality issues and reproductive health education are covered to some extent, but insufficiently in the curricula of primary and secondary education subjects in Georgia. The civic education</w:t>
      </w:r>
      <w:r>
        <w:rPr>
          <w:rFonts w:asciiTheme="majorHAnsi" w:hAnsiTheme="majorHAnsi"/>
          <w:sz w:val="22"/>
          <w:szCs w:val="22"/>
          <w:lang w:val="ka-GE"/>
        </w:rPr>
        <w:t xml:space="preserve"> </w:t>
      </w:r>
      <w:r w:rsidRPr="00F76EAE">
        <w:rPr>
          <w:rFonts w:asciiTheme="majorHAnsi" w:hAnsiTheme="majorHAnsi"/>
          <w:sz w:val="22"/>
          <w:szCs w:val="22"/>
        </w:rPr>
        <w:t>curriculum in selected grades of primary and secondary schools covers</w:t>
      </w:r>
      <w:r>
        <w:rPr>
          <w:rFonts w:asciiTheme="majorHAnsi" w:hAnsiTheme="majorHAnsi"/>
          <w:sz w:val="22"/>
          <w:szCs w:val="22"/>
        </w:rPr>
        <w:t xml:space="preserve"> </w:t>
      </w:r>
      <w:r w:rsidRPr="00F76EAE">
        <w:rPr>
          <w:rFonts w:asciiTheme="majorHAnsi" w:hAnsiTheme="majorHAnsi"/>
          <w:sz w:val="22"/>
          <w:szCs w:val="22"/>
        </w:rPr>
        <w:t xml:space="preserve">the issues such as: human rights, tolerance and equality, though avoiding any mention of the word “gender” </w:t>
      </w:r>
      <w:r w:rsidRPr="00F76EAE">
        <w:rPr>
          <w:sz w:val="22"/>
          <w:szCs w:val="22"/>
          <w:vertAlign w:val="superscript"/>
        </w:rPr>
        <w:footnoteReference w:id="7"/>
      </w:r>
      <w:r w:rsidRPr="00F76EAE">
        <w:rPr>
          <w:rFonts w:asciiTheme="majorHAnsi" w:hAnsiTheme="majorHAnsi"/>
          <w:sz w:val="22"/>
          <w:szCs w:val="22"/>
        </w:rPr>
        <w:t xml:space="preserve"> and the curriculum of biology which was revised according to the WHO and UNESCO standards still doesn’t comply fully with the guidelines.</w:t>
      </w:r>
    </w:p>
    <w:p w:rsidR="00424BDD" w:rsidRPr="00F76EAE" w:rsidRDefault="00424BDD" w:rsidP="00424BDD">
      <w:pPr>
        <w:pStyle w:val="NormalWeb"/>
        <w:numPr>
          <w:ilvl w:val="0"/>
          <w:numId w:val="1"/>
        </w:numPr>
        <w:spacing w:before="240" w:after="240"/>
        <w:ind w:right="-180"/>
        <w:jc w:val="both"/>
        <w:rPr>
          <w:rFonts w:asciiTheme="majorHAnsi" w:hAnsiTheme="majorHAnsi"/>
          <w:sz w:val="22"/>
          <w:szCs w:val="22"/>
        </w:rPr>
      </w:pPr>
      <w:r w:rsidRPr="00F76EAE">
        <w:rPr>
          <w:rFonts w:asciiTheme="majorHAnsi" w:hAnsiTheme="majorHAnsi"/>
          <w:sz w:val="22"/>
          <w:szCs w:val="22"/>
        </w:rPr>
        <w:t>Despite new reform of education system 2018-2023 implies a comprehensive approach to all areas of education and ensures creation of a unified education system by 2023,there is still no implementation of SRHR education related aspects of the reform.</w:t>
      </w:r>
      <w:r w:rsidRPr="00F76EAE">
        <w:rPr>
          <w:rStyle w:val="FootnoteReference"/>
          <w:rFonts w:asciiTheme="majorHAnsi" w:eastAsia="MS Mincho" w:hAnsiTheme="majorHAnsi"/>
          <w:sz w:val="22"/>
          <w:szCs w:val="22"/>
        </w:rPr>
        <w:footnoteReference w:id="8"/>
      </w:r>
    </w:p>
    <w:p w:rsidR="00424BDD" w:rsidRPr="00F76EAE" w:rsidRDefault="00424BDD" w:rsidP="00424BDD">
      <w:pPr>
        <w:pStyle w:val="NormalWeb"/>
        <w:numPr>
          <w:ilvl w:val="0"/>
          <w:numId w:val="1"/>
        </w:numPr>
        <w:spacing w:before="240" w:after="240"/>
        <w:ind w:right="-180"/>
        <w:jc w:val="both"/>
        <w:rPr>
          <w:rFonts w:asciiTheme="majorHAnsi" w:hAnsiTheme="majorHAnsi"/>
          <w:sz w:val="22"/>
          <w:szCs w:val="22"/>
        </w:rPr>
      </w:pPr>
      <w:r>
        <w:rPr>
          <w:rFonts w:asciiTheme="majorHAnsi" w:hAnsiTheme="majorHAnsi"/>
          <w:sz w:val="22"/>
          <w:szCs w:val="22"/>
        </w:rPr>
        <w:t>Studies show that</w:t>
      </w:r>
      <w:r>
        <w:rPr>
          <w:rFonts w:asciiTheme="majorHAnsi" w:hAnsiTheme="majorHAnsi"/>
          <w:sz w:val="22"/>
          <w:szCs w:val="22"/>
          <w:lang w:val="ka-GE"/>
        </w:rPr>
        <w:t xml:space="preserve"> </w:t>
      </w:r>
      <w:r w:rsidRPr="00F76EAE">
        <w:rPr>
          <w:rFonts w:asciiTheme="majorHAnsi" w:hAnsiTheme="majorHAnsi"/>
          <w:sz w:val="22"/>
          <w:szCs w:val="22"/>
        </w:rPr>
        <w:t>teachers have the readiness, but they significantly lack specific capacity and skills to deliver age-appropriate sexuality education in school-based</w:t>
      </w:r>
      <w:r>
        <w:rPr>
          <w:rFonts w:asciiTheme="majorHAnsi" w:hAnsiTheme="majorHAnsi"/>
          <w:sz w:val="22"/>
          <w:szCs w:val="22"/>
        </w:rPr>
        <w:t xml:space="preserve"> </w:t>
      </w:r>
      <w:r w:rsidRPr="00F76EAE">
        <w:rPr>
          <w:rFonts w:asciiTheme="majorHAnsi" w:hAnsiTheme="majorHAnsi"/>
          <w:sz w:val="22"/>
          <w:szCs w:val="22"/>
        </w:rPr>
        <w:t>settings especially in regions.</w:t>
      </w:r>
      <w:r w:rsidRPr="00F76EAE">
        <w:rPr>
          <w:rStyle w:val="FootnoteReference"/>
          <w:rFonts w:asciiTheme="majorHAnsi" w:eastAsia="MS Mincho" w:hAnsiTheme="majorHAnsi"/>
          <w:sz w:val="22"/>
          <w:szCs w:val="22"/>
        </w:rPr>
        <w:footnoteReference w:id="9"/>
      </w:r>
    </w:p>
    <w:p w:rsidR="00424BDD" w:rsidRPr="00F76EAE" w:rsidRDefault="00424BDD" w:rsidP="00424BDD">
      <w:pPr>
        <w:pStyle w:val="NormalWeb"/>
        <w:numPr>
          <w:ilvl w:val="0"/>
          <w:numId w:val="1"/>
        </w:numPr>
        <w:spacing w:before="240" w:after="240"/>
        <w:ind w:right="-180"/>
        <w:jc w:val="both"/>
        <w:rPr>
          <w:rFonts w:asciiTheme="majorHAnsi" w:hAnsiTheme="majorHAnsi"/>
          <w:sz w:val="22"/>
          <w:szCs w:val="22"/>
        </w:rPr>
      </w:pPr>
      <w:r w:rsidRPr="00F76EAE">
        <w:rPr>
          <w:rFonts w:asciiTheme="majorHAnsi" w:hAnsiTheme="majorHAnsi"/>
          <w:sz w:val="22"/>
          <w:szCs w:val="22"/>
        </w:rPr>
        <w:t xml:space="preserve">Lack of political will and conservative attitudes among decision-makers are key challenges for the integration of sexuality education in the formal education system of Georgia. </w:t>
      </w:r>
    </w:p>
    <w:p w:rsidR="00424BDD" w:rsidRPr="00F76EAE" w:rsidRDefault="00424BDD" w:rsidP="00424BDD">
      <w:pPr>
        <w:pStyle w:val="Heading2"/>
        <w:rPr>
          <w:sz w:val="22"/>
          <w:szCs w:val="22"/>
        </w:rPr>
      </w:pPr>
      <w:bookmarkStart w:id="6" w:name="_Toc74528058"/>
      <w:r w:rsidRPr="00F76EAE">
        <w:rPr>
          <w:sz w:val="22"/>
          <w:szCs w:val="22"/>
        </w:rPr>
        <w:t>Recommendations:</w:t>
      </w:r>
      <w:bookmarkEnd w:id="6"/>
    </w:p>
    <w:p w:rsidR="00424BDD" w:rsidRPr="00F76EAE" w:rsidRDefault="00424BDD" w:rsidP="00424BDD">
      <w:pPr>
        <w:pStyle w:val="ListParagraph"/>
        <w:numPr>
          <w:ilvl w:val="0"/>
          <w:numId w:val="4"/>
        </w:numPr>
        <w:spacing w:after="160" w:line="256" w:lineRule="auto"/>
        <w:ind w:right="-180"/>
        <w:jc w:val="both"/>
        <w:rPr>
          <w:rFonts w:asciiTheme="majorHAnsi" w:hAnsiTheme="majorHAnsi"/>
          <w:i/>
          <w:iCs/>
        </w:rPr>
      </w:pPr>
      <w:r w:rsidRPr="00F76EAE">
        <w:rPr>
          <w:rFonts w:asciiTheme="majorHAnsi" w:hAnsiTheme="majorHAnsi"/>
          <w:i/>
          <w:iCs/>
        </w:rPr>
        <w:t>Integrate and implement age-appropriate comprehensive sexuality education in the general education system at all levels, as recommended by the UNESCO guidelines.</w:t>
      </w:r>
    </w:p>
    <w:p w:rsidR="00424BDD" w:rsidRPr="009E0587" w:rsidRDefault="00424BDD" w:rsidP="00424BDD">
      <w:pPr>
        <w:pStyle w:val="ListParagraph"/>
        <w:numPr>
          <w:ilvl w:val="0"/>
          <w:numId w:val="4"/>
        </w:numPr>
        <w:spacing w:after="160" w:line="256" w:lineRule="auto"/>
        <w:ind w:right="-180"/>
        <w:jc w:val="both"/>
        <w:rPr>
          <w:rFonts w:asciiTheme="majorHAnsi" w:hAnsiTheme="majorHAnsi"/>
        </w:rPr>
      </w:pPr>
      <w:r w:rsidRPr="00F76EAE">
        <w:rPr>
          <w:rFonts w:asciiTheme="majorHAnsi" w:hAnsiTheme="majorHAnsi"/>
          <w:i/>
          <w:iCs/>
        </w:rPr>
        <w:t xml:space="preserve">Develop training programs for teachers, which include all seven modules on </w:t>
      </w:r>
      <w:r>
        <w:rPr>
          <w:rFonts w:asciiTheme="majorHAnsi" w:hAnsiTheme="majorHAnsi"/>
          <w:i/>
          <w:iCs/>
        </w:rPr>
        <w:t>SRHR</w:t>
      </w:r>
      <w:r w:rsidRPr="00F76EAE">
        <w:rPr>
          <w:rFonts w:asciiTheme="majorHAnsi" w:hAnsiTheme="majorHAnsi"/>
          <w:i/>
          <w:iCs/>
        </w:rPr>
        <w:t>, gender equality and girls’ rights to education and family planning according to UNESCO’s guidance</w:t>
      </w:r>
      <w:r>
        <w:rPr>
          <w:rFonts w:asciiTheme="majorHAnsi" w:hAnsiTheme="majorHAnsi"/>
          <w:i/>
          <w:iCs/>
          <w:lang w:val="ka-GE"/>
        </w:rPr>
        <w:t>.</w:t>
      </w:r>
    </w:p>
    <w:p w:rsidR="00424BDD" w:rsidRPr="00F76EAE" w:rsidRDefault="00424BDD" w:rsidP="00424BDD">
      <w:pPr>
        <w:pStyle w:val="ListParagraph"/>
        <w:numPr>
          <w:ilvl w:val="0"/>
          <w:numId w:val="4"/>
        </w:numPr>
        <w:spacing w:after="160" w:line="256" w:lineRule="auto"/>
        <w:ind w:right="-180"/>
        <w:jc w:val="both"/>
        <w:rPr>
          <w:rFonts w:asciiTheme="majorHAnsi" w:hAnsiTheme="majorHAnsi"/>
        </w:rPr>
      </w:pPr>
      <w:r>
        <w:rPr>
          <w:rFonts w:asciiTheme="majorHAnsi" w:hAnsiTheme="majorHAnsi"/>
          <w:i/>
          <w:iCs/>
        </w:rPr>
        <w:t>Develop evidence based efficient mechanism on CSE integration in formal education system</w:t>
      </w:r>
      <w:r w:rsidRPr="00D13443">
        <w:rPr>
          <w:rFonts w:asciiTheme="majorHAnsi" w:hAnsiTheme="majorHAnsi"/>
          <w:i/>
          <w:iCs/>
        </w:rPr>
        <w:t xml:space="preserve"> </w:t>
      </w:r>
      <w:r>
        <w:rPr>
          <w:rFonts w:asciiTheme="majorHAnsi" w:hAnsiTheme="majorHAnsi"/>
          <w:i/>
          <w:iCs/>
        </w:rPr>
        <w:t>through strengthening collaboration among policymakers, executive, legislative bodies, academic institutions and civil society.</w:t>
      </w:r>
    </w:p>
    <w:p w:rsidR="00424BDD" w:rsidRPr="004D7CA6" w:rsidRDefault="00424BDD" w:rsidP="00424BDD">
      <w:pPr>
        <w:pStyle w:val="Heading1"/>
        <w:rPr>
          <w:sz w:val="24"/>
          <w:szCs w:val="24"/>
        </w:rPr>
      </w:pPr>
      <w:bookmarkStart w:id="7" w:name="_Toc74528059"/>
      <w:r w:rsidRPr="004D7CA6">
        <w:rPr>
          <w:sz w:val="24"/>
          <w:szCs w:val="24"/>
        </w:rPr>
        <w:t>Paragraphs 30 and 31 – Health (Article 12)</w:t>
      </w:r>
      <w:bookmarkEnd w:id="7"/>
    </w:p>
    <w:p w:rsidR="00424BDD" w:rsidRPr="00F76EAE" w:rsidRDefault="00424BDD" w:rsidP="00424BDD">
      <w:pPr>
        <w:pStyle w:val="ListParagraph"/>
        <w:numPr>
          <w:ilvl w:val="0"/>
          <w:numId w:val="1"/>
        </w:numPr>
        <w:tabs>
          <w:tab w:val="left" w:pos="-450"/>
        </w:tabs>
        <w:autoSpaceDE w:val="0"/>
        <w:autoSpaceDN w:val="0"/>
        <w:adjustRightInd w:val="0"/>
        <w:spacing w:after="0" w:line="240" w:lineRule="auto"/>
        <w:ind w:right="-180"/>
        <w:jc w:val="both"/>
        <w:rPr>
          <w:rFonts w:asciiTheme="majorHAnsi" w:hAnsiTheme="majorHAnsi" w:cs="Calibri Light"/>
        </w:rPr>
      </w:pPr>
      <w:r w:rsidRPr="00F76EAE">
        <w:rPr>
          <w:rFonts w:asciiTheme="majorHAnsi" w:hAnsiTheme="majorHAnsi"/>
        </w:rPr>
        <w:t xml:space="preserve">In response to the CEDAW recommendation, </w:t>
      </w:r>
      <w:r w:rsidRPr="00F76EAE">
        <w:rPr>
          <w:rStyle w:val="FootnoteReference"/>
          <w:rFonts w:asciiTheme="majorHAnsi" w:hAnsiTheme="majorHAnsi"/>
        </w:rPr>
        <w:footnoteReference w:id="10"/>
      </w:r>
      <w:r w:rsidRPr="00F76EAE">
        <w:rPr>
          <w:rFonts w:asciiTheme="majorHAnsi" w:hAnsiTheme="majorHAnsi"/>
        </w:rPr>
        <w:t xml:space="preserve">Georgia took some essential steps in developing the relevant policies on SRH. Among them should be mentioned the Maternal and Newborn Health strategy for 2017‐2030 </w:t>
      </w:r>
      <w:r w:rsidRPr="00F76EAE">
        <w:rPr>
          <w:rStyle w:val="FootnoteReference"/>
          <w:rFonts w:asciiTheme="majorHAnsi" w:hAnsiTheme="majorHAnsi"/>
        </w:rPr>
        <w:footnoteReference w:id="11"/>
      </w:r>
      <w:r w:rsidRPr="00F76EAE">
        <w:rPr>
          <w:rFonts w:asciiTheme="majorHAnsi" w:hAnsiTheme="majorHAnsi"/>
        </w:rPr>
        <w:t>and its Action Plan.</w:t>
      </w:r>
    </w:p>
    <w:p w:rsidR="00424BDD" w:rsidRPr="00F76EAE" w:rsidRDefault="00424BDD" w:rsidP="00424BDD">
      <w:pPr>
        <w:pStyle w:val="ListParagraph"/>
        <w:numPr>
          <w:ilvl w:val="0"/>
          <w:numId w:val="1"/>
        </w:numPr>
        <w:tabs>
          <w:tab w:val="left" w:pos="-450"/>
        </w:tabs>
        <w:autoSpaceDE w:val="0"/>
        <w:autoSpaceDN w:val="0"/>
        <w:adjustRightInd w:val="0"/>
        <w:spacing w:after="0" w:line="240" w:lineRule="auto"/>
        <w:ind w:right="-180"/>
        <w:jc w:val="both"/>
        <w:rPr>
          <w:rFonts w:asciiTheme="majorHAnsi" w:hAnsiTheme="majorHAnsi"/>
        </w:rPr>
      </w:pPr>
      <w:r w:rsidRPr="00F76EAE">
        <w:rPr>
          <w:rFonts w:asciiTheme="majorHAnsi" w:hAnsiTheme="majorHAnsi"/>
        </w:rPr>
        <w:t>Despite the strategy</w:t>
      </w:r>
      <w:r>
        <w:rPr>
          <w:rFonts w:asciiTheme="majorHAnsi" w:hAnsiTheme="majorHAnsi"/>
          <w:lang w:val="ka-GE"/>
        </w:rPr>
        <w:t xml:space="preserve"> </w:t>
      </w:r>
      <w:r w:rsidRPr="00F76EAE">
        <w:rPr>
          <w:rFonts w:asciiTheme="majorHAnsi" w:hAnsiTheme="majorHAnsi"/>
        </w:rPr>
        <w:t>include integration of contraception and youth-friendly SRH services in universal health coverage, the state has no budget allocated to ensure implementation of the plan, and the service packages of State programs or private insurance companies do not cover such services. The State also does not include contraceptives on the list of medications that are part of State health care programs.</w:t>
      </w:r>
    </w:p>
    <w:p w:rsidR="00424BDD" w:rsidRPr="00F76EAE" w:rsidRDefault="00424BDD" w:rsidP="00424BDD">
      <w:pPr>
        <w:pStyle w:val="ListParagraph"/>
        <w:numPr>
          <w:ilvl w:val="0"/>
          <w:numId w:val="1"/>
        </w:numPr>
        <w:tabs>
          <w:tab w:val="left" w:pos="-450"/>
        </w:tabs>
        <w:autoSpaceDE w:val="0"/>
        <w:autoSpaceDN w:val="0"/>
        <w:adjustRightInd w:val="0"/>
        <w:spacing w:after="0" w:line="240" w:lineRule="auto"/>
        <w:ind w:right="-180"/>
        <w:jc w:val="both"/>
        <w:rPr>
          <w:rFonts w:asciiTheme="majorHAnsi" w:hAnsiTheme="majorHAnsi"/>
        </w:rPr>
      </w:pPr>
      <w:r w:rsidRPr="00F76EAE">
        <w:rPr>
          <w:rFonts w:asciiTheme="majorHAnsi" w:hAnsiTheme="majorHAnsi"/>
        </w:rPr>
        <w:lastRenderedPageBreak/>
        <w:t>A lot of challenges revealed during the COVID-19 crisis in Georgia’s health system regarding the SRHR issues</w:t>
      </w:r>
      <w:r>
        <w:rPr>
          <w:rFonts w:asciiTheme="majorHAnsi" w:hAnsiTheme="majorHAnsi"/>
          <w:lang w:val="ka-GE"/>
        </w:rPr>
        <w:t xml:space="preserve"> </w:t>
      </w:r>
      <w:r>
        <w:rPr>
          <w:rFonts w:asciiTheme="majorHAnsi" w:hAnsiTheme="majorHAnsi"/>
        </w:rPr>
        <w:t>i</w:t>
      </w:r>
      <w:r w:rsidRPr="00F76EAE">
        <w:rPr>
          <w:rFonts w:asciiTheme="majorHAnsi" w:hAnsiTheme="majorHAnsi"/>
        </w:rPr>
        <w:t>ncluding the weak capacity</w:t>
      </w:r>
      <w:r>
        <w:rPr>
          <w:rFonts w:asciiTheme="majorHAnsi" w:hAnsiTheme="majorHAnsi"/>
        </w:rPr>
        <w:t xml:space="preserve"> of the system</w:t>
      </w:r>
      <w:r w:rsidRPr="00F76EAE">
        <w:rPr>
          <w:rFonts w:asciiTheme="majorHAnsi" w:hAnsiTheme="majorHAnsi"/>
        </w:rPr>
        <w:t xml:space="preserve"> to protect people during a major healthcare crisis. Pandemic aggravated existing affordability and accessibility barriers on SRH services.</w:t>
      </w:r>
      <w:r w:rsidRPr="00F76EAE">
        <w:rPr>
          <w:rStyle w:val="FootnoteReference"/>
          <w:rFonts w:asciiTheme="majorHAnsi" w:hAnsiTheme="majorHAnsi"/>
        </w:rPr>
        <w:footnoteReference w:id="12"/>
      </w:r>
    </w:p>
    <w:p w:rsidR="00424BDD" w:rsidRPr="00F76EAE" w:rsidRDefault="00424BDD" w:rsidP="00424BDD">
      <w:pPr>
        <w:tabs>
          <w:tab w:val="left" w:pos="810"/>
        </w:tabs>
        <w:autoSpaceDE w:val="0"/>
        <w:autoSpaceDN w:val="0"/>
        <w:adjustRightInd w:val="0"/>
        <w:spacing w:after="0" w:line="240" w:lineRule="auto"/>
        <w:ind w:right="-180"/>
        <w:jc w:val="both"/>
        <w:rPr>
          <w:rFonts w:asciiTheme="majorHAnsi" w:eastAsia="Calibri" w:hAnsiTheme="majorHAnsi" w:cs="Calibri Light"/>
          <w:b/>
          <w:i/>
          <w:iCs/>
        </w:rPr>
      </w:pPr>
    </w:p>
    <w:p w:rsidR="00424BDD" w:rsidRPr="00F76EAE" w:rsidRDefault="00424BDD" w:rsidP="00424BDD">
      <w:pPr>
        <w:pStyle w:val="Heading2"/>
        <w:rPr>
          <w:rFonts w:eastAsia="Calibri"/>
          <w:i/>
          <w:iCs/>
          <w:sz w:val="22"/>
          <w:szCs w:val="22"/>
        </w:rPr>
      </w:pPr>
      <w:bookmarkStart w:id="8" w:name="_Toc74528060"/>
      <w:r w:rsidRPr="00F76EAE">
        <w:rPr>
          <w:rFonts w:eastAsia="Calibri"/>
          <w:i/>
          <w:iCs/>
          <w:sz w:val="22"/>
          <w:szCs w:val="22"/>
        </w:rPr>
        <w:t>Family planning</w:t>
      </w:r>
      <w:bookmarkEnd w:id="8"/>
    </w:p>
    <w:p w:rsidR="00424BDD" w:rsidRPr="00F76EAE" w:rsidRDefault="00424BDD" w:rsidP="00424BDD"/>
    <w:p w:rsidR="00424BDD" w:rsidRPr="00F76EAE" w:rsidRDefault="00424BDD" w:rsidP="00424BDD">
      <w:pPr>
        <w:pStyle w:val="ListParagraph"/>
        <w:numPr>
          <w:ilvl w:val="0"/>
          <w:numId w:val="1"/>
        </w:numPr>
      </w:pPr>
      <w:r w:rsidRPr="00F76EAE">
        <w:rPr>
          <w:rFonts w:asciiTheme="majorHAnsi" w:hAnsiTheme="majorHAnsi"/>
        </w:rPr>
        <w:t>The development of family planning services, as well as raising the level of sex and reproductive education and awareness, initially was considered as one of the important components of the action plan for the promotion of maternal and newborn health of Georgia for 2017-2019, but no significant progress has been made in this direction.</w:t>
      </w:r>
      <w:r w:rsidRPr="00F76EAE">
        <w:rPr>
          <w:rStyle w:val="FootnoteReference"/>
        </w:rPr>
        <w:footnoteReference w:id="13"/>
      </w:r>
    </w:p>
    <w:p w:rsidR="00424BDD" w:rsidRPr="00F76EAE" w:rsidRDefault="00424BDD" w:rsidP="00424BDD">
      <w:pPr>
        <w:pStyle w:val="ListParagraph"/>
        <w:numPr>
          <w:ilvl w:val="0"/>
          <w:numId w:val="1"/>
        </w:numPr>
        <w:rPr>
          <w:rFonts w:asciiTheme="majorHAnsi" w:hAnsiTheme="majorHAnsi"/>
        </w:rPr>
      </w:pPr>
      <w:r w:rsidRPr="00F76EAE">
        <w:rPr>
          <w:rFonts w:asciiTheme="majorHAnsi" w:hAnsiTheme="majorHAnsi"/>
        </w:rPr>
        <w:t xml:space="preserve">Low level of </w:t>
      </w:r>
      <w:r>
        <w:rPr>
          <w:rFonts w:asciiTheme="majorHAnsi" w:hAnsiTheme="majorHAnsi"/>
        </w:rPr>
        <w:t>SRH</w:t>
      </w:r>
      <w:r w:rsidRPr="00F76EAE">
        <w:rPr>
          <w:rFonts w:asciiTheme="majorHAnsi" w:hAnsiTheme="majorHAnsi"/>
        </w:rPr>
        <w:t xml:space="preserve"> information and education; fears, myths and misconceptions about modern methods of contraception; unavailability, low readiness and inaccessibility of quality family planning services are the key obstacles to family planning usage in Georgia. Family planning services are not fully integrated into primary health care services and are unsystematically undertaken as part of the duties of different specialists.</w:t>
      </w:r>
    </w:p>
    <w:p w:rsidR="00424BDD" w:rsidRPr="00F76EAE" w:rsidRDefault="00424BDD" w:rsidP="00424BDD">
      <w:pPr>
        <w:pStyle w:val="ListParagraph"/>
        <w:numPr>
          <w:ilvl w:val="0"/>
          <w:numId w:val="1"/>
        </w:numPr>
        <w:rPr>
          <w:rFonts w:asciiTheme="majorHAnsi" w:hAnsiTheme="majorHAnsi"/>
        </w:rPr>
      </w:pPr>
      <w:r w:rsidRPr="00F76EAE">
        <w:rPr>
          <w:rFonts w:asciiTheme="majorHAnsi" w:hAnsiTheme="majorHAnsi"/>
        </w:rPr>
        <w:t>The absence of relevant indicators on SRHR at the primary healthcare level for all groups of the population during the whole life-cycle, approaches focused on the dissemination of information on family planning and contraceptives by the State creates significant barriers to accessing services</w:t>
      </w:r>
      <w:r w:rsidRPr="00F76EAE">
        <w:rPr>
          <w:rFonts w:asciiTheme="majorHAnsi" w:eastAsia="Calibri" w:hAnsiTheme="majorHAnsi" w:cs="Calibri Light"/>
        </w:rPr>
        <w:t>.</w:t>
      </w:r>
      <w:r w:rsidRPr="00F76EAE">
        <w:rPr>
          <w:rStyle w:val="FootnoteReference"/>
          <w:rFonts w:asciiTheme="majorHAnsi" w:eastAsia="Calibri" w:hAnsiTheme="majorHAnsi" w:cs="Calibri Light"/>
        </w:rPr>
        <w:footnoteReference w:id="14"/>
      </w:r>
    </w:p>
    <w:p w:rsidR="00424BDD" w:rsidRPr="00F76EAE" w:rsidRDefault="00424BDD" w:rsidP="00424BDD">
      <w:pPr>
        <w:pStyle w:val="ListParagraph"/>
        <w:numPr>
          <w:ilvl w:val="0"/>
          <w:numId w:val="1"/>
        </w:numPr>
        <w:rPr>
          <w:rFonts w:asciiTheme="majorHAnsi" w:hAnsiTheme="majorHAnsi"/>
        </w:rPr>
      </w:pPr>
      <w:r w:rsidRPr="00F76EAE">
        <w:rPr>
          <w:rFonts w:asciiTheme="majorHAnsi" w:hAnsiTheme="majorHAnsi"/>
        </w:rPr>
        <w:t xml:space="preserve">The government of Georgia failed to implement concluding observation of CEDAW regarding </w:t>
      </w:r>
      <w:r>
        <w:rPr>
          <w:rFonts w:asciiTheme="majorHAnsi" w:hAnsiTheme="majorHAnsi"/>
        </w:rPr>
        <w:t>e</w:t>
      </w:r>
      <w:r w:rsidRPr="00F76EAE">
        <w:rPr>
          <w:rFonts w:asciiTheme="majorHAnsi" w:hAnsiTheme="majorHAnsi"/>
        </w:rPr>
        <w:t xml:space="preserve">nsuring access by adolescent girls and young women to </w:t>
      </w:r>
      <w:r>
        <w:rPr>
          <w:rFonts w:asciiTheme="majorHAnsi" w:hAnsiTheme="majorHAnsi"/>
        </w:rPr>
        <w:t xml:space="preserve">SRH </w:t>
      </w:r>
      <w:r w:rsidRPr="00F76EAE">
        <w:rPr>
          <w:rFonts w:asciiTheme="majorHAnsi" w:hAnsiTheme="majorHAnsi"/>
        </w:rPr>
        <w:t>services</w:t>
      </w:r>
      <w:r>
        <w:rPr>
          <w:rFonts w:asciiTheme="majorHAnsi" w:hAnsiTheme="majorHAnsi"/>
        </w:rPr>
        <w:t xml:space="preserve">. </w:t>
      </w:r>
      <w:r w:rsidRPr="00F76EAE">
        <w:rPr>
          <w:rFonts w:asciiTheme="majorHAnsi" w:hAnsiTheme="majorHAnsi"/>
        </w:rPr>
        <w:t>Despite progress in fulfilling adjusted SDG indicator 3.7.2: Adolescent birth rate</w:t>
      </w:r>
      <w:r>
        <w:rPr>
          <w:rFonts w:asciiTheme="majorHAnsi" w:hAnsiTheme="majorHAnsi"/>
        </w:rPr>
        <w:t xml:space="preserve"> </w:t>
      </w:r>
      <w:r w:rsidRPr="00F76EAE">
        <w:rPr>
          <w:rFonts w:asciiTheme="majorHAnsi" w:hAnsiTheme="majorHAnsi"/>
        </w:rPr>
        <w:t>per 1,000 women decrease</w:t>
      </w:r>
      <w:r>
        <w:rPr>
          <w:rFonts w:asciiTheme="majorHAnsi" w:hAnsiTheme="majorHAnsi"/>
        </w:rPr>
        <w:t>d</w:t>
      </w:r>
      <w:r w:rsidRPr="00F76EAE">
        <w:rPr>
          <w:rFonts w:asciiTheme="majorHAnsi" w:hAnsiTheme="majorHAnsi"/>
        </w:rPr>
        <w:t xml:space="preserve"> by 40% by 2019 compared to 2010, it is still one of the highest rate in European region.</w:t>
      </w:r>
    </w:p>
    <w:p w:rsidR="00424BDD" w:rsidRPr="00F76EAE" w:rsidRDefault="00424BDD" w:rsidP="00424BDD">
      <w:pPr>
        <w:pStyle w:val="ListParagraph"/>
        <w:numPr>
          <w:ilvl w:val="0"/>
          <w:numId w:val="1"/>
        </w:numPr>
        <w:rPr>
          <w:rFonts w:asciiTheme="majorHAnsi" w:hAnsiTheme="majorHAnsi"/>
        </w:rPr>
      </w:pPr>
      <w:r w:rsidRPr="00F76EAE">
        <w:rPr>
          <w:rFonts w:asciiTheme="majorHAnsi" w:eastAsia="Calibri" w:hAnsiTheme="majorHAnsi" w:cs="Calibri Light"/>
        </w:rPr>
        <w:t>Due</w:t>
      </w:r>
      <w:r w:rsidRPr="00F76EAE">
        <w:rPr>
          <w:rFonts w:asciiTheme="majorHAnsi" w:hAnsiTheme="majorHAnsi"/>
        </w:rPr>
        <w:t xml:space="preserve"> to the lack of youth-friendly health-care services, adolescents</w:t>
      </w:r>
      <w:r>
        <w:rPr>
          <w:rFonts w:asciiTheme="majorHAnsi" w:hAnsiTheme="majorHAnsi"/>
        </w:rPr>
        <w:t xml:space="preserve"> and girls</w:t>
      </w:r>
      <w:r w:rsidRPr="00F76EAE">
        <w:rPr>
          <w:rFonts w:asciiTheme="majorHAnsi" w:hAnsiTheme="majorHAnsi"/>
        </w:rPr>
        <w:t xml:space="preserve"> do not feel comfortable visiting a health facility to ask for services and concerns about judgmental staff or their privacy. </w:t>
      </w:r>
      <w:r>
        <w:rPr>
          <w:rFonts w:asciiTheme="majorHAnsi" w:hAnsiTheme="majorHAnsi"/>
        </w:rPr>
        <w:t>T</w:t>
      </w:r>
      <w:r w:rsidRPr="00F76EAE">
        <w:rPr>
          <w:rFonts w:asciiTheme="majorHAnsi" w:hAnsiTheme="majorHAnsi"/>
        </w:rPr>
        <w:t xml:space="preserve">hey are even confronted with denial by health facilities to provide certain services because of their age. </w:t>
      </w:r>
    </w:p>
    <w:p w:rsidR="00424BDD" w:rsidRPr="00F76EAE" w:rsidRDefault="00424BDD" w:rsidP="00424BDD">
      <w:pPr>
        <w:pStyle w:val="ListParagraph"/>
        <w:numPr>
          <w:ilvl w:val="0"/>
          <w:numId w:val="1"/>
        </w:numPr>
        <w:rPr>
          <w:rFonts w:asciiTheme="majorHAnsi" w:hAnsiTheme="majorHAnsi"/>
        </w:rPr>
      </w:pPr>
      <w:r w:rsidRPr="00F76EAE">
        <w:rPr>
          <w:rFonts w:asciiTheme="majorHAnsi" w:eastAsia="Calibri" w:hAnsiTheme="majorHAnsi" w:cs="Calibri Light"/>
        </w:rPr>
        <w:t>State doesn’t have communication strategy on SRHR</w:t>
      </w:r>
      <w:r>
        <w:rPr>
          <w:rFonts w:asciiTheme="majorHAnsi" w:eastAsia="Calibri" w:hAnsiTheme="majorHAnsi" w:cs="Calibri Light"/>
        </w:rPr>
        <w:t xml:space="preserve"> with positive messages</w:t>
      </w:r>
      <w:r w:rsidRPr="00F76EAE">
        <w:rPr>
          <w:rFonts w:asciiTheme="majorHAnsi" w:eastAsia="Calibri" w:hAnsiTheme="majorHAnsi" w:cs="Calibri Light"/>
        </w:rPr>
        <w:t xml:space="preserve">, and therefore lack of information, widespread myths and misconceptions on modern methods of contraception cause </w:t>
      </w:r>
      <w:r>
        <w:rPr>
          <w:rFonts w:asciiTheme="majorHAnsi" w:eastAsia="Calibri" w:hAnsiTheme="majorHAnsi" w:cs="Calibri Light"/>
        </w:rPr>
        <w:t>informational vacuum and</w:t>
      </w:r>
      <w:r w:rsidRPr="00F76EAE">
        <w:rPr>
          <w:rFonts w:asciiTheme="majorHAnsi" w:eastAsia="Calibri" w:hAnsiTheme="majorHAnsi" w:cs="Calibri Light"/>
        </w:rPr>
        <w:t xml:space="preserve"> create an additional barrier for women to be protected from unwanted pregnancy.</w:t>
      </w:r>
    </w:p>
    <w:p w:rsidR="00424BDD" w:rsidRPr="00E7540A" w:rsidRDefault="00424BDD" w:rsidP="00424BDD">
      <w:pPr>
        <w:pStyle w:val="ListParagraph"/>
        <w:numPr>
          <w:ilvl w:val="0"/>
          <w:numId w:val="1"/>
        </w:numPr>
        <w:rPr>
          <w:rFonts w:asciiTheme="majorHAnsi" w:eastAsia="Calibri" w:hAnsiTheme="majorHAnsi" w:cs="Calibri Light"/>
        </w:rPr>
      </w:pPr>
      <w:r w:rsidRPr="00F76EAE">
        <w:rPr>
          <w:rFonts w:asciiTheme="majorHAnsi" w:eastAsia="Calibri" w:hAnsiTheme="majorHAnsi" w:cs="Calibri Light"/>
        </w:rPr>
        <w:t>One of the key issues related to high-quality SRH services is a lack of continuous education and knowledge on modern technologies among service providers.  The absence of</w:t>
      </w:r>
      <w:r>
        <w:rPr>
          <w:rFonts w:asciiTheme="majorHAnsi" w:eastAsia="Calibri" w:hAnsiTheme="majorHAnsi" w:cs="Calibri Light"/>
        </w:rPr>
        <w:t xml:space="preserve"> mandatory</w:t>
      </w:r>
      <w:r w:rsidRPr="00F76EAE">
        <w:rPr>
          <w:rFonts w:asciiTheme="majorHAnsi" w:eastAsia="Calibri" w:hAnsiTheme="majorHAnsi" w:cs="Calibri Light"/>
        </w:rPr>
        <w:t xml:space="preserve"> continuing education </w:t>
      </w:r>
      <w:r>
        <w:rPr>
          <w:rFonts w:asciiTheme="majorHAnsi" w:eastAsia="Calibri" w:hAnsiTheme="majorHAnsi" w:cs="Calibri Light"/>
        </w:rPr>
        <w:t xml:space="preserve">system </w:t>
      </w:r>
      <w:r w:rsidRPr="00F76EAE">
        <w:rPr>
          <w:rFonts w:asciiTheme="majorHAnsi" w:eastAsia="Calibri" w:hAnsiTheme="majorHAnsi" w:cs="Calibri Light"/>
        </w:rPr>
        <w:t xml:space="preserve">among medical staff significantly reduces the quality of health services. </w:t>
      </w:r>
      <w:r>
        <w:rPr>
          <w:rFonts w:asciiTheme="majorHAnsi" w:eastAsia="Calibri" w:hAnsiTheme="majorHAnsi" w:cs="Calibri Light"/>
        </w:rPr>
        <w:t>A</w:t>
      </w:r>
      <w:r w:rsidRPr="00D93BAE">
        <w:rPr>
          <w:rFonts w:asciiTheme="majorHAnsi" w:eastAsia="Calibri" w:hAnsiTheme="majorHAnsi" w:cs="Calibri Light"/>
        </w:rPr>
        <w:t>part from the fact that most family doctors</w:t>
      </w:r>
      <w:r>
        <w:rPr>
          <w:rFonts w:asciiTheme="majorHAnsi" w:eastAsia="Calibri" w:hAnsiTheme="majorHAnsi" w:cs="Calibri Light"/>
        </w:rPr>
        <w:t xml:space="preserve"> lack capacity to</w:t>
      </w:r>
      <w:r w:rsidRPr="00D93BAE">
        <w:rPr>
          <w:rFonts w:asciiTheme="majorHAnsi" w:eastAsia="Calibri" w:hAnsiTheme="majorHAnsi" w:cs="Calibri Light"/>
        </w:rPr>
        <w:t xml:space="preserve"> </w:t>
      </w:r>
      <w:r w:rsidRPr="00D93BAE">
        <w:rPr>
          <w:rFonts w:asciiTheme="majorHAnsi" w:eastAsia="Calibri" w:hAnsiTheme="majorHAnsi" w:cs="Calibri Light"/>
        </w:rPr>
        <w:lastRenderedPageBreak/>
        <w:t>provide qualified</w:t>
      </w:r>
      <w:r>
        <w:rPr>
          <w:rFonts w:asciiTheme="majorHAnsi" w:eastAsia="Calibri" w:hAnsiTheme="majorHAnsi" w:cs="Calibri Light"/>
        </w:rPr>
        <w:t xml:space="preserve"> </w:t>
      </w:r>
      <w:r w:rsidRPr="00D23FBB">
        <w:rPr>
          <w:rFonts w:asciiTheme="majorHAnsi" w:eastAsia="Calibri" w:hAnsiTheme="majorHAnsi" w:cs="Calibri Light"/>
        </w:rPr>
        <w:t>services, a large part of the population does not know that such services (family</w:t>
      </w:r>
      <w:r>
        <w:rPr>
          <w:rFonts w:asciiTheme="majorHAnsi" w:eastAsia="Calibri" w:hAnsiTheme="majorHAnsi" w:cs="Calibri Light"/>
        </w:rPr>
        <w:t xml:space="preserve"> </w:t>
      </w:r>
      <w:r w:rsidRPr="00D23FBB">
        <w:rPr>
          <w:rFonts w:asciiTheme="majorHAnsi" w:eastAsia="Calibri" w:hAnsiTheme="majorHAnsi" w:cs="Calibri Light"/>
        </w:rPr>
        <w:t>planning, contraception, etc.) fall within the competence of the family doctor;</w:t>
      </w:r>
      <w:r>
        <w:rPr>
          <w:rStyle w:val="FootnoteReference"/>
          <w:rFonts w:asciiTheme="majorHAnsi" w:eastAsia="Calibri" w:hAnsiTheme="majorHAnsi" w:cs="Calibri Light"/>
        </w:rPr>
        <w:footnoteReference w:id="15"/>
      </w:r>
    </w:p>
    <w:p w:rsidR="00424BDD" w:rsidRPr="00F76EAE" w:rsidRDefault="00424BDD" w:rsidP="00424BDD">
      <w:pPr>
        <w:pStyle w:val="ListParagraph"/>
        <w:numPr>
          <w:ilvl w:val="0"/>
          <w:numId w:val="1"/>
        </w:numPr>
        <w:rPr>
          <w:rFonts w:asciiTheme="majorHAnsi" w:hAnsiTheme="majorHAnsi"/>
        </w:rPr>
      </w:pPr>
      <w:r w:rsidRPr="00F76EAE">
        <w:rPr>
          <w:rFonts w:asciiTheme="majorHAnsi" w:hAnsiTheme="majorHAnsi" w:cstheme="majorHAnsi"/>
        </w:rPr>
        <w:t xml:space="preserve">In Georgia, </w:t>
      </w:r>
      <w:r w:rsidRPr="00F76EAE">
        <w:rPr>
          <w:rFonts w:asciiTheme="majorHAnsi" w:hAnsiTheme="majorHAnsi" w:cstheme="majorHAnsi"/>
          <w:bCs/>
          <w:iCs/>
        </w:rPr>
        <w:t>there is no access to free or subsidized contraceptives since 2015, which creates</w:t>
      </w:r>
      <w:r>
        <w:rPr>
          <w:rFonts w:asciiTheme="majorHAnsi" w:hAnsiTheme="majorHAnsi" w:cstheme="majorHAnsi"/>
          <w:bCs/>
          <w:iCs/>
        </w:rPr>
        <w:t xml:space="preserve"> </w:t>
      </w:r>
      <w:r w:rsidRPr="00F76EAE">
        <w:rPr>
          <w:rFonts w:asciiTheme="majorHAnsi" w:hAnsiTheme="majorHAnsi" w:cstheme="majorHAnsi"/>
          <w:bCs/>
          <w:iCs/>
        </w:rPr>
        <w:t>obstacles for preventing unwanted pregnancies as well as STIs spread</w:t>
      </w:r>
      <w:r w:rsidRPr="00F76EAE">
        <w:rPr>
          <w:rFonts w:asciiTheme="majorHAnsi" w:hAnsiTheme="majorHAnsi" w:cstheme="majorHAnsi"/>
          <w:b/>
          <w:bCs/>
          <w:i/>
          <w:iCs/>
        </w:rPr>
        <w:t xml:space="preserve">. </w:t>
      </w:r>
      <w:r>
        <w:rPr>
          <w:rFonts w:asciiTheme="majorHAnsi" w:hAnsiTheme="majorHAnsi" w:cstheme="majorHAnsi"/>
          <w:b/>
          <w:bCs/>
          <w:i/>
          <w:iCs/>
        </w:rPr>
        <w:t xml:space="preserve">The contraceptives are not covered by Universal Healthcare package as well. </w:t>
      </w:r>
      <w:r w:rsidRPr="00F76EAE">
        <w:rPr>
          <w:rFonts w:asciiTheme="majorHAnsi" w:hAnsiTheme="majorHAnsi" w:cstheme="majorHAnsi"/>
          <w:bCs/>
          <w:iCs/>
        </w:rPr>
        <w:t>Lack of affordability, together with the lack of overall accurate information on effectiveness of modern contraceptive methods also contributes to their low use and high unmet need</w:t>
      </w:r>
      <w:r>
        <w:rPr>
          <w:rFonts w:asciiTheme="majorHAnsi" w:hAnsiTheme="majorHAnsi" w:cstheme="majorHAnsi"/>
          <w:bCs/>
          <w:iCs/>
        </w:rPr>
        <w:t xml:space="preserve"> (23%)</w:t>
      </w:r>
      <w:r w:rsidRPr="00F76EAE">
        <w:rPr>
          <w:rFonts w:asciiTheme="majorHAnsi" w:hAnsiTheme="majorHAnsi" w:cstheme="majorHAnsi"/>
          <w:bCs/>
          <w:iCs/>
        </w:rPr>
        <w:t xml:space="preserve">. </w:t>
      </w:r>
    </w:p>
    <w:p w:rsidR="00424BDD" w:rsidRPr="00F76EAE" w:rsidRDefault="00424BDD" w:rsidP="00424BDD">
      <w:pPr>
        <w:tabs>
          <w:tab w:val="left" w:pos="-360"/>
          <w:tab w:val="left" w:pos="810"/>
        </w:tabs>
        <w:autoSpaceDE w:val="0"/>
        <w:autoSpaceDN w:val="0"/>
        <w:adjustRightInd w:val="0"/>
        <w:spacing w:after="0" w:line="240" w:lineRule="auto"/>
        <w:ind w:right="-180"/>
        <w:jc w:val="both"/>
        <w:rPr>
          <w:rFonts w:asciiTheme="majorHAnsi" w:hAnsiTheme="majorHAnsi" w:cs="Calibri Light"/>
        </w:rPr>
      </w:pPr>
    </w:p>
    <w:p w:rsidR="00424BDD" w:rsidRPr="00F76EAE" w:rsidRDefault="00424BDD" w:rsidP="00424BDD">
      <w:pPr>
        <w:pStyle w:val="Heading2"/>
        <w:rPr>
          <w:i/>
          <w:iCs/>
          <w:sz w:val="22"/>
          <w:szCs w:val="22"/>
        </w:rPr>
      </w:pPr>
      <w:bookmarkStart w:id="9" w:name="_Toc74528061"/>
      <w:r w:rsidRPr="00F76EAE">
        <w:rPr>
          <w:i/>
          <w:iCs/>
          <w:sz w:val="22"/>
          <w:szCs w:val="22"/>
        </w:rPr>
        <w:t>Access to Safe Abortion</w:t>
      </w:r>
      <w:bookmarkEnd w:id="9"/>
    </w:p>
    <w:p w:rsidR="00424BDD" w:rsidRPr="00F76EAE" w:rsidRDefault="00424BDD" w:rsidP="00424BDD">
      <w:pPr>
        <w:pStyle w:val="ListParagraph"/>
        <w:autoSpaceDE w:val="0"/>
        <w:autoSpaceDN w:val="0"/>
        <w:adjustRightInd w:val="0"/>
        <w:spacing w:after="0" w:line="240" w:lineRule="auto"/>
        <w:ind w:left="426" w:right="-180"/>
        <w:rPr>
          <w:rFonts w:asciiTheme="majorHAnsi" w:hAnsiTheme="majorHAnsi" w:cs="Calibri"/>
        </w:rPr>
      </w:pPr>
    </w:p>
    <w:p w:rsidR="00424BDD" w:rsidRPr="00F76EAE" w:rsidRDefault="00424BDD" w:rsidP="00424BDD">
      <w:pPr>
        <w:pStyle w:val="ListParagraph"/>
        <w:numPr>
          <w:ilvl w:val="0"/>
          <w:numId w:val="1"/>
        </w:numPr>
        <w:autoSpaceDE w:val="0"/>
        <w:autoSpaceDN w:val="0"/>
        <w:adjustRightInd w:val="0"/>
        <w:spacing w:after="0" w:line="240" w:lineRule="auto"/>
        <w:ind w:right="-180"/>
        <w:rPr>
          <w:rFonts w:asciiTheme="majorHAnsi" w:hAnsiTheme="majorHAnsi" w:cs="Calibri"/>
        </w:rPr>
      </w:pPr>
      <w:r w:rsidRPr="00F76EAE">
        <w:rPr>
          <w:rFonts w:asciiTheme="majorHAnsi" w:eastAsia="Calibri" w:hAnsiTheme="majorHAnsi" w:cs="Calibri Light"/>
        </w:rPr>
        <w:t xml:space="preserve">Doctors in many clinics refuse to provide abortion services on the grounds of conscientious objection, and do not provide for referral procedures, as it’s obliged according to the governmental protocol.  </w:t>
      </w:r>
      <w:r w:rsidRPr="00F76EAE">
        <w:rPr>
          <w:rStyle w:val="FootnoteReference"/>
          <w:rFonts w:asciiTheme="majorHAnsi" w:eastAsia="Calibri" w:hAnsiTheme="majorHAnsi" w:cs="Calibri Light"/>
        </w:rPr>
        <w:footnoteReference w:id="16"/>
      </w:r>
      <w:r w:rsidRPr="00F76EAE">
        <w:rPr>
          <w:rFonts w:asciiTheme="majorHAnsi" w:eastAsia="Calibri" w:hAnsiTheme="majorHAnsi" w:cs="Calibri Light"/>
        </w:rPr>
        <w:t>In some cases, they refer women seeking abortion services to religious leaders, which lead to intense feelings of grief and self-stigma for women. These conditions contribute to post-abortion syndrome (PAS).</w:t>
      </w:r>
      <w:r w:rsidRPr="00F76EAE">
        <w:rPr>
          <w:rStyle w:val="FootnoteReference"/>
          <w:rFonts w:asciiTheme="majorHAnsi" w:eastAsia="Calibri" w:hAnsiTheme="majorHAnsi" w:cs="Calibri Light"/>
        </w:rPr>
        <w:footnoteReference w:id="17"/>
      </w:r>
    </w:p>
    <w:p w:rsidR="00424BDD" w:rsidRPr="00F76EAE" w:rsidRDefault="00424BDD" w:rsidP="00424BDD">
      <w:pPr>
        <w:pStyle w:val="ListParagraph"/>
        <w:numPr>
          <w:ilvl w:val="0"/>
          <w:numId w:val="1"/>
        </w:numPr>
        <w:autoSpaceDE w:val="0"/>
        <w:autoSpaceDN w:val="0"/>
        <w:adjustRightInd w:val="0"/>
        <w:spacing w:after="0" w:line="240" w:lineRule="auto"/>
        <w:ind w:right="-180"/>
        <w:rPr>
          <w:rFonts w:asciiTheme="majorHAnsi" w:hAnsiTheme="majorHAnsi" w:cs="Calibri"/>
        </w:rPr>
      </w:pPr>
      <w:r w:rsidRPr="00F76EAE">
        <w:rPr>
          <w:rFonts w:asciiTheme="majorHAnsi" w:eastAsia="Calibri" w:hAnsiTheme="majorHAnsi" w:cs="Calibri Light"/>
        </w:rPr>
        <w:t>In 2014, the abortion law was revised to include a new provision on mandatory counselling and a five‐days</w:t>
      </w:r>
      <w:r w:rsidRPr="00F76EAE">
        <w:rPr>
          <w:rStyle w:val="FootnoteReference"/>
          <w:rFonts w:asciiTheme="majorHAnsi" w:eastAsia="Calibri" w:hAnsiTheme="majorHAnsi" w:cs="Calibri Light"/>
        </w:rPr>
        <w:footnoteReference w:id="18"/>
      </w:r>
      <w:r w:rsidRPr="00F76EAE">
        <w:rPr>
          <w:rFonts w:asciiTheme="majorHAnsi" w:eastAsia="Calibri" w:hAnsiTheme="majorHAnsi" w:cs="Calibri Light"/>
        </w:rPr>
        <w:t xml:space="preserve"> waiting period requirement before obtaining an abortion during first 12 weeks of pregnancy.</w:t>
      </w:r>
      <w:r w:rsidRPr="00F76EAE">
        <w:rPr>
          <w:rStyle w:val="FootnoteReference"/>
          <w:rFonts w:asciiTheme="majorHAnsi" w:eastAsia="Calibri" w:hAnsiTheme="majorHAnsi" w:cs="Calibri Light"/>
        </w:rPr>
        <w:footnoteReference w:id="19"/>
      </w:r>
      <w:r w:rsidRPr="00F76EAE">
        <w:rPr>
          <w:rFonts w:asciiTheme="majorHAnsi" w:eastAsia="Calibri" w:hAnsiTheme="majorHAnsi" w:cs="Calibri Light"/>
        </w:rPr>
        <w:t xml:space="preserve"> The amendment contradicts to the WHO recommendation on the removal of the obstacles for accessing the safe abortion</w:t>
      </w:r>
      <w:r w:rsidRPr="00F76EAE">
        <w:rPr>
          <w:rFonts w:asciiTheme="majorHAnsi" w:hAnsiTheme="majorHAnsi" w:cs="Calibri-Light"/>
          <w:color w:val="000000"/>
        </w:rPr>
        <w:t>.</w:t>
      </w:r>
      <w:r w:rsidRPr="00F76EAE">
        <w:rPr>
          <w:rStyle w:val="FootnoteReference"/>
          <w:rFonts w:asciiTheme="majorHAnsi" w:eastAsia="MS Mincho" w:hAnsiTheme="majorHAnsi" w:cs="Calibri-Light"/>
          <w:color w:val="000000"/>
        </w:rPr>
        <w:footnoteReference w:id="20"/>
      </w:r>
      <w:r w:rsidRPr="00F76EAE">
        <w:rPr>
          <w:rFonts w:asciiTheme="majorHAnsi" w:eastAsia="Calibri" w:hAnsiTheme="majorHAnsi" w:cs="Calibri Light"/>
        </w:rPr>
        <w:t>In practice women did not return to the medical facility after the five-days waiting period and instead chose an arbitrary method for termination of the pregnancy and then, with a deteriorating health condition, returned to the original medical facility</w:t>
      </w:r>
      <w:r w:rsidRPr="00F76EAE">
        <w:rPr>
          <w:rFonts w:asciiTheme="majorHAnsi" w:eastAsia="Calibri" w:hAnsiTheme="majorHAnsi" w:cstheme="minorHAnsi"/>
        </w:rPr>
        <w:t>.</w:t>
      </w:r>
      <w:r w:rsidRPr="00F76EAE">
        <w:rPr>
          <w:rStyle w:val="FootnoteReference"/>
          <w:rFonts w:asciiTheme="majorHAnsi" w:eastAsia="Calibri" w:hAnsiTheme="majorHAnsi" w:cstheme="minorHAnsi"/>
        </w:rPr>
        <w:footnoteReference w:id="21"/>
      </w:r>
    </w:p>
    <w:p w:rsidR="00424BDD" w:rsidRPr="00F76EAE" w:rsidRDefault="00424BDD" w:rsidP="00424BDD">
      <w:pPr>
        <w:pStyle w:val="ListParagraph"/>
        <w:numPr>
          <w:ilvl w:val="0"/>
          <w:numId w:val="1"/>
        </w:numPr>
        <w:autoSpaceDE w:val="0"/>
        <w:autoSpaceDN w:val="0"/>
        <w:adjustRightInd w:val="0"/>
        <w:spacing w:after="0" w:line="240" w:lineRule="auto"/>
        <w:ind w:right="-180"/>
        <w:rPr>
          <w:rFonts w:asciiTheme="majorHAnsi" w:eastAsia="Calibri" w:hAnsiTheme="majorHAnsi" w:cs="Calibri Light"/>
        </w:rPr>
      </w:pPr>
      <w:r w:rsidRPr="00F76EAE">
        <w:rPr>
          <w:rFonts w:asciiTheme="majorHAnsi" w:eastAsia="Calibri" w:hAnsiTheme="majorHAnsi" w:cs="Calibri Light"/>
        </w:rPr>
        <w:t xml:space="preserve">Despite officially abortion rate is decreased throughout previous years, usage of contraception has not increased. </w:t>
      </w:r>
      <w:r>
        <w:rPr>
          <w:rFonts w:asciiTheme="majorHAnsi" w:eastAsia="Calibri" w:hAnsiTheme="majorHAnsi" w:cs="Calibri Light"/>
        </w:rPr>
        <w:t>N</w:t>
      </w:r>
      <w:r w:rsidRPr="00F76EAE">
        <w:rPr>
          <w:rFonts w:asciiTheme="majorHAnsi" w:eastAsia="Calibri" w:hAnsiTheme="majorHAnsi" w:cs="Calibri Light"/>
        </w:rPr>
        <w:t>early half of the abortions 12992 (2019)performed in Georgia are registered as spontaneous abortion, such as miscarriages. There has not been any official national-level study on the reasons for the high level of “miscarriages”. Monitoring data shows that cases associated with “miscarriage” are often outcomes such as bleeding from self-inducing abortion efforts with uneven usage of Cytotec (misoprostol).</w:t>
      </w:r>
    </w:p>
    <w:p w:rsidR="00424BDD" w:rsidRPr="00F76EAE" w:rsidRDefault="00424BDD" w:rsidP="00424BDD">
      <w:pPr>
        <w:pStyle w:val="ListParagraph"/>
        <w:numPr>
          <w:ilvl w:val="0"/>
          <w:numId w:val="1"/>
        </w:numPr>
        <w:autoSpaceDE w:val="0"/>
        <w:autoSpaceDN w:val="0"/>
        <w:adjustRightInd w:val="0"/>
        <w:spacing w:after="0" w:line="240" w:lineRule="auto"/>
        <w:ind w:right="-180"/>
        <w:rPr>
          <w:rFonts w:asciiTheme="majorHAnsi" w:eastAsia="Calibri" w:hAnsiTheme="majorHAnsi" w:cs="Calibri Light"/>
        </w:rPr>
      </w:pPr>
      <w:r w:rsidRPr="00F76EAE">
        <w:rPr>
          <w:rFonts w:asciiTheme="majorHAnsi" w:eastAsia="Calibri" w:hAnsiTheme="majorHAnsi" w:cs="Calibri Light"/>
        </w:rPr>
        <w:t xml:space="preserve">The COVID‐19 pandemic restricted access to safe abortion services. </w:t>
      </w:r>
      <w:r>
        <w:rPr>
          <w:rFonts w:asciiTheme="majorHAnsi" w:eastAsia="Calibri" w:hAnsiTheme="majorHAnsi" w:cs="Calibri Light"/>
        </w:rPr>
        <w:t>H</w:t>
      </w:r>
      <w:r w:rsidRPr="00F76EAE">
        <w:rPr>
          <w:rFonts w:asciiTheme="majorHAnsi" w:eastAsia="Calibri" w:hAnsiTheme="majorHAnsi" w:cs="Calibri Light"/>
        </w:rPr>
        <w:t>ealth clinics categorized non-emergency abortion as “elective” or “non-essential”, which further constrained access to abortion care during the emergency</w:t>
      </w:r>
      <w:r w:rsidRPr="00F76EAE">
        <w:t>.</w:t>
      </w:r>
      <w:r w:rsidRPr="00F76EAE">
        <w:rPr>
          <w:rStyle w:val="FootnoteReference"/>
        </w:rPr>
        <w:footnoteReference w:id="22"/>
      </w:r>
    </w:p>
    <w:p w:rsidR="00424BDD" w:rsidRPr="00F76EAE" w:rsidRDefault="00424BDD" w:rsidP="00424BDD">
      <w:pPr>
        <w:ind w:left="426" w:right="-180"/>
        <w:jc w:val="both"/>
        <w:rPr>
          <w:rFonts w:asciiTheme="majorHAnsi" w:hAnsiTheme="majorHAnsi" w:cstheme="minorHAnsi"/>
        </w:rPr>
      </w:pPr>
    </w:p>
    <w:p w:rsidR="00424BDD" w:rsidRPr="00F76EAE" w:rsidRDefault="00424BDD" w:rsidP="00424BDD">
      <w:pPr>
        <w:pStyle w:val="Heading2"/>
        <w:rPr>
          <w:sz w:val="22"/>
          <w:szCs w:val="22"/>
        </w:rPr>
      </w:pPr>
      <w:bookmarkStart w:id="10" w:name="_Toc74528062"/>
      <w:r w:rsidRPr="00F76EAE">
        <w:rPr>
          <w:sz w:val="22"/>
          <w:szCs w:val="22"/>
        </w:rPr>
        <w:t>Recommendations:</w:t>
      </w:r>
      <w:bookmarkEnd w:id="10"/>
    </w:p>
    <w:p w:rsidR="00424BDD" w:rsidRPr="00F76EAE" w:rsidRDefault="00424BDD" w:rsidP="00424BDD"/>
    <w:p w:rsidR="00424BDD" w:rsidRPr="00B61C39" w:rsidRDefault="00424BDD" w:rsidP="00424BDD">
      <w:pPr>
        <w:numPr>
          <w:ilvl w:val="0"/>
          <w:numId w:val="2"/>
        </w:numPr>
        <w:spacing w:after="0" w:line="240" w:lineRule="auto"/>
        <w:ind w:right="-180"/>
        <w:jc w:val="both"/>
        <w:rPr>
          <w:rFonts w:asciiTheme="majorHAnsi" w:hAnsiTheme="majorHAnsi" w:cstheme="majorHAnsi"/>
          <w:i/>
        </w:rPr>
      </w:pPr>
      <w:r w:rsidRPr="00B61C39">
        <w:rPr>
          <w:rFonts w:asciiTheme="majorHAnsi" w:hAnsiTheme="majorHAnsi" w:cstheme="majorHAnsi"/>
          <w:i/>
        </w:rPr>
        <w:lastRenderedPageBreak/>
        <w:t>Develop a national communication strategy and action plan on SRHR</w:t>
      </w:r>
    </w:p>
    <w:p w:rsidR="00424BDD" w:rsidRPr="00F76EAE" w:rsidRDefault="00424BDD" w:rsidP="00424BDD">
      <w:pPr>
        <w:pStyle w:val="ListParagraph"/>
        <w:numPr>
          <w:ilvl w:val="0"/>
          <w:numId w:val="2"/>
        </w:numPr>
        <w:spacing w:after="0"/>
        <w:ind w:right="-180"/>
        <w:contextualSpacing w:val="0"/>
        <w:jc w:val="both"/>
        <w:rPr>
          <w:rFonts w:asciiTheme="majorHAnsi" w:hAnsiTheme="majorHAnsi" w:cstheme="majorHAnsi"/>
          <w:i/>
        </w:rPr>
      </w:pPr>
      <w:r w:rsidRPr="00B61C39">
        <w:rPr>
          <w:rFonts w:asciiTheme="majorHAnsi" w:hAnsiTheme="majorHAnsi" w:cstheme="majorHAnsi"/>
          <w:i/>
        </w:rPr>
        <w:t>Ensure implementation of Maternal and Newborn Health Strategy (2017-2030) regarding the integration of provision of contraceptives and family p</w:t>
      </w:r>
      <w:r w:rsidRPr="00F76EAE">
        <w:rPr>
          <w:rFonts w:asciiTheme="majorHAnsi" w:hAnsiTheme="majorHAnsi" w:cstheme="majorHAnsi"/>
          <w:i/>
        </w:rPr>
        <w:t>lanning counselling, as well as youth-friendly SRH services.</w:t>
      </w:r>
    </w:p>
    <w:p w:rsidR="00424BDD" w:rsidRPr="00B61C39" w:rsidRDefault="00424BDD" w:rsidP="00424BDD">
      <w:pPr>
        <w:pStyle w:val="CommentText"/>
        <w:numPr>
          <w:ilvl w:val="0"/>
          <w:numId w:val="2"/>
        </w:numPr>
        <w:spacing w:after="0"/>
        <w:rPr>
          <w:rFonts w:asciiTheme="majorHAnsi" w:hAnsiTheme="majorHAnsi" w:cstheme="majorHAnsi"/>
          <w:i/>
        </w:rPr>
      </w:pPr>
      <w:r w:rsidRPr="00B61C39">
        <w:rPr>
          <w:rFonts w:asciiTheme="majorHAnsi" w:hAnsiTheme="majorHAnsi" w:cstheme="majorHAnsi"/>
          <w:i/>
          <w:sz w:val="22"/>
          <w:szCs w:val="22"/>
        </w:rPr>
        <w:t xml:space="preserve">Develop mechanism of mandatory accredited continuous education programs for family/village doctors on sexual and reproductive health. </w:t>
      </w:r>
    </w:p>
    <w:p w:rsidR="00424BDD" w:rsidRPr="00B61C39" w:rsidRDefault="00424BDD" w:rsidP="00424BDD">
      <w:pPr>
        <w:pStyle w:val="CommentText"/>
        <w:numPr>
          <w:ilvl w:val="0"/>
          <w:numId w:val="2"/>
        </w:numPr>
        <w:spacing w:after="0"/>
        <w:rPr>
          <w:rFonts w:ascii="Calibri Light" w:eastAsia="Calibri" w:hAnsi="Calibri Light" w:cs="Calibri Light"/>
          <w:i/>
          <w:sz w:val="22"/>
          <w:szCs w:val="22"/>
        </w:rPr>
      </w:pPr>
      <w:r w:rsidRPr="00B61C39">
        <w:rPr>
          <w:rFonts w:ascii="Calibri Light" w:eastAsia="Calibri" w:hAnsi="Calibri Light" w:cs="Calibri Light"/>
          <w:i/>
          <w:sz w:val="22"/>
          <w:szCs w:val="22"/>
        </w:rPr>
        <w:t>Revise article 139 of the law on Health Care to remove mandatory waiting periods for safe abortion.</w:t>
      </w:r>
    </w:p>
    <w:p w:rsidR="00424BDD" w:rsidRPr="00B61C39" w:rsidRDefault="00424BDD" w:rsidP="00424BDD">
      <w:pPr>
        <w:pStyle w:val="CommentText"/>
        <w:numPr>
          <w:ilvl w:val="0"/>
          <w:numId w:val="2"/>
        </w:numPr>
        <w:spacing w:after="0"/>
        <w:rPr>
          <w:rFonts w:ascii="Calibri Light" w:eastAsia="Calibri" w:hAnsi="Calibri Light" w:cs="Calibri Light"/>
          <w:i/>
          <w:sz w:val="22"/>
          <w:szCs w:val="22"/>
        </w:rPr>
      </w:pPr>
      <w:r w:rsidRPr="00B61C39">
        <w:rPr>
          <w:rFonts w:ascii="Calibri Light" w:eastAsia="Calibri" w:hAnsi="Calibri Light" w:cs="Calibri Light"/>
          <w:i/>
          <w:sz w:val="22"/>
          <w:szCs w:val="22"/>
        </w:rPr>
        <w:t>Amend the law on prohibition on abortion advertisements to include mechanism of disaggregating information provision.</w:t>
      </w:r>
    </w:p>
    <w:p w:rsidR="00424BDD" w:rsidRPr="00B61C39" w:rsidRDefault="00424BDD" w:rsidP="00424BDD">
      <w:pPr>
        <w:pStyle w:val="CommentText"/>
        <w:numPr>
          <w:ilvl w:val="0"/>
          <w:numId w:val="2"/>
        </w:numPr>
        <w:spacing w:after="0"/>
        <w:rPr>
          <w:rFonts w:ascii="Calibri Light" w:eastAsia="Calibri" w:hAnsi="Calibri Light" w:cs="Calibri Light"/>
          <w:i/>
          <w:sz w:val="22"/>
          <w:szCs w:val="22"/>
        </w:rPr>
      </w:pPr>
      <w:r w:rsidRPr="00B61C39">
        <w:rPr>
          <w:rFonts w:ascii="Calibri Light" w:eastAsia="Calibri" w:hAnsi="Calibri Light" w:cs="Calibri Light"/>
          <w:i/>
          <w:sz w:val="22"/>
          <w:szCs w:val="22"/>
        </w:rPr>
        <w:t xml:space="preserve">Update existing national guideline on artificial termination of pregnancy in line with WHO recommendations </w:t>
      </w:r>
    </w:p>
    <w:p w:rsidR="00424BDD" w:rsidRPr="00B61C39" w:rsidRDefault="00424BDD" w:rsidP="00424BDD">
      <w:pPr>
        <w:pStyle w:val="ListParagraph"/>
        <w:numPr>
          <w:ilvl w:val="0"/>
          <w:numId w:val="2"/>
        </w:numPr>
        <w:spacing w:after="0" w:line="240" w:lineRule="auto"/>
        <w:ind w:right="-180"/>
        <w:rPr>
          <w:rFonts w:ascii="Calibri Light" w:eastAsia="Calibri" w:hAnsi="Calibri Light" w:cs="Calibri Light"/>
          <w:i/>
        </w:rPr>
      </w:pPr>
      <w:r w:rsidRPr="00B61C39">
        <w:rPr>
          <w:rFonts w:ascii="Calibri Light" w:eastAsia="Calibri" w:hAnsi="Calibri Light" w:cs="Calibri Light"/>
          <w:i/>
        </w:rPr>
        <w:t>Create system of gathering data by the State on the number of providers refusing to perform t</w:t>
      </w:r>
      <w:r>
        <w:rPr>
          <w:rFonts w:ascii="Calibri Light" w:eastAsia="Calibri" w:hAnsi="Calibri Light" w:cs="Calibri Light"/>
          <w:i/>
        </w:rPr>
        <w:t>erminations based on conscience</w:t>
      </w:r>
    </w:p>
    <w:p w:rsidR="00424BDD" w:rsidRPr="00F76EAE" w:rsidRDefault="00424BDD" w:rsidP="00424BDD">
      <w:pPr>
        <w:pStyle w:val="ListParagraph"/>
        <w:numPr>
          <w:ilvl w:val="0"/>
          <w:numId w:val="2"/>
        </w:numPr>
        <w:spacing w:after="0" w:line="240" w:lineRule="auto"/>
        <w:ind w:right="-180"/>
        <w:rPr>
          <w:rFonts w:ascii="Calibri Light" w:eastAsia="Calibri" w:hAnsi="Calibri Light" w:cs="Calibri Light"/>
          <w:i/>
        </w:rPr>
      </w:pPr>
      <w:r w:rsidRPr="00F76EAE">
        <w:rPr>
          <w:rFonts w:asciiTheme="majorHAnsi" w:hAnsiTheme="majorHAnsi"/>
          <w:i/>
        </w:rPr>
        <w:t xml:space="preserve">Allocate budget to integrate psychological support during SRH counselling </w:t>
      </w:r>
      <w:r w:rsidRPr="00F76EAE">
        <w:rPr>
          <w:rFonts w:asciiTheme="majorHAnsi" w:hAnsiTheme="majorHAnsi" w:cstheme="minorHAnsi"/>
          <w:i/>
        </w:rPr>
        <w:t>in the Basic Package of the Universal Health Care Program of Georgia.</w:t>
      </w:r>
    </w:p>
    <w:p w:rsidR="00424BDD" w:rsidRDefault="00424BDD" w:rsidP="00424BDD">
      <w:pPr>
        <w:pStyle w:val="ListParagraph"/>
        <w:numPr>
          <w:ilvl w:val="0"/>
          <w:numId w:val="2"/>
        </w:numPr>
        <w:spacing w:after="0" w:line="240" w:lineRule="auto"/>
        <w:ind w:right="-180"/>
        <w:rPr>
          <w:rFonts w:ascii="Calibri Light" w:eastAsia="Calibri" w:hAnsi="Calibri Light" w:cs="Calibri Light"/>
          <w:i/>
        </w:rPr>
      </w:pPr>
      <w:r>
        <w:rPr>
          <w:rFonts w:ascii="Calibri Light" w:eastAsia="Calibri" w:hAnsi="Calibri Light" w:cs="Calibri Light"/>
          <w:i/>
        </w:rPr>
        <w:t>E</w:t>
      </w:r>
      <w:r w:rsidRPr="00F76EAE">
        <w:rPr>
          <w:rFonts w:ascii="Calibri Light" w:eastAsia="Calibri" w:hAnsi="Calibri Light" w:cs="Calibri Light"/>
          <w:i/>
        </w:rPr>
        <w:t>nsure integration of reproductive health services as essential services in the Emergency Preparedness and Response Plans of the Ministry of Labor, Health and Social Affairs of Georgia.</w:t>
      </w:r>
    </w:p>
    <w:p w:rsidR="00424BDD" w:rsidRPr="00F76EAE" w:rsidRDefault="00424BDD" w:rsidP="00424BDD">
      <w:pPr>
        <w:pStyle w:val="ListParagraph"/>
        <w:spacing w:after="0" w:line="240" w:lineRule="auto"/>
        <w:ind w:right="-180"/>
        <w:rPr>
          <w:rFonts w:ascii="Calibri Light" w:eastAsia="Calibri" w:hAnsi="Calibri Light" w:cs="Calibri Light"/>
          <w:i/>
        </w:rPr>
      </w:pPr>
    </w:p>
    <w:p w:rsidR="00424BDD" w:rsidRPr="0091424C" w:rsidRDefault="00424BDD" w:rsidP="00424BDD">
      <w:pPr>
        <w:pStyle w:val="Heading1"/>
        <w:rPr>
          <w:sz w:val="24"/>
          <w:szCs w:val="24"/>
        </w:rPr>
      </w:pPr>
      <w:bookmarkStart w:id="11" w:name="_Toc74528063"/>
      <w:r w:rsidRPr="0091424C">
        <w:rPr>
          <w:sz w:val="24"/>
          <w:szCs w:val="24"/>
        </w:rPr>
        <w:t>Paragraphs 32-34 Rural women and girls (Article 14)&amp; Paragraph 34 and 35 - Disadvantaged groups of women</w:t>
      </w:r>
      <w:bookmarkEnd w:id="11"/>
    </w:p>
    <w:p w:rsidR="00424BDD" w:rsidRPr="00F76EAE" w:rsidRDefault="00424BDD" w:rsidP="00424BDD"/>
    <w:p w:rsidR="00424BDD" w:rsidRPr="00F76EAE" w:rsidRDefault="00424BDD" w:rsidP="00424BDD">
      <w:pPr>
        <w:pStyle w:val="Heading2"/>
        <w:rPr>
          <w:i/>
          <w:iCs/>
          <w:sz w:val="22"/>
          <w:szCs w:val="22"/>
        </w:rPr>
      </w:pPr>
      <w:bookmarkStart w:id="12" w:name="_Toc74528064"/>
      <w:r w:rsidRPr="00F76EAE">
        <w:rPr>
          <w:i/>
          <w:iCs/>
          <w:sz w:val="22"/>
          <w:szCs w:val="22"/>
        </w:rPr>
        <w:t>Rural women and girls</w:t>
      </w:r>
      <w:bookmarkEnd w:id="12"/>
    </w:p>
    <w:p w:rsidR="00424BDD" w:rsidRPr="00F76EAE" w:rsidRDefault="00424BDD" w:rsidP="00424BDD"/>
    <w:p w:rsidR="00424BDD" w:rsidRPr="00F76EAE" w:rsidRDefault="00424BDD" w:rsidP="00424BDD">
      <w:pPr>
        <w:pStyle w:val="ListParagraph"/>
        <w:numPr>
          <w:ilvl w:val="0"/>
          <w:numId w:val="1"/>
        </w:numPr>
        <w:spacing w:after="160" w:line="256" w:lineRule="auto"/>
        <w:ind w:right="-180"/>
        <w:jc w:val="both"/>
        <w:rPr>
          <w:rFonts w:asciiTheme="majorHAnsi" w:hAnsiTheme="majorHAnsi"/>
        </w:rPr>
      </w:pPr>
      <w:r w:rsidRPr="00F76EAE">
        <w:rPr>
          <w:rFonts w:asciiTheme="majorHAnsi" w:eastAsia="Calibri" w:hAnsiTheme="majorHAnsi" w:cs="Calibri Light"/>
        </w:rPr>
        <w:t>According to HERA-XXI research findings, reproductive services are not readily available in rural areas, and women have to travel long distances to have access to safe abortion.  According to 2018 Georgia MICS survey, 65.6% of rural women age 15-49 years currently married or in union are not using any contraceptive method and 9.2. % are using traditional methods.</w:t>
      </w:r>
    </w:p>
    <w:p w:rsidR="00424BDD" w:rsidRDefault="00424BDD" w:rsidP="00424BDD">
      <w:pPr>
        <w:pStyle w:val="ListParagraph"/>
        <w:rPr>
          <w:rFonts w:asciiTheme="majorHAnsi" w:eastAsia="Calibri" w:hAnsiTheme="majorHAnsi" w:cs="Calibri Light"/>
        </w:rPr>
      </w:pPr>
      <w:r w:rsidRPr="00F76EAE">
        <w:rPr>
          <w:rFonts w:asciiTheme="majorHAnsi" w:eastAsia="Calibri" w:hAnsiTheme="majorHAnsi" w:cs="Calibri Light"/>
        </w:rPr>
        <w:t>Access to abortion services present financial obstacles for women, requiring additional transportation costs and time for many women, especially in rural areas. Lack of affordability for abortions leads to the use of arbitrary methods to terminate a pregnancy that carries significant health risks.</w:t>
      </w:r>
      <w:r w:rsidRPr="00F76EAE">
        <w:rPr>
          <w:rStyle w:val="FootnoteReference"/>
          <w:rFonts w:asciiTheme="majorHAnsi" w:eastAsia="Calibri" w:hAnsiTheme="majorHAnsi" w:cs="Calibri Light"/>
        </w:rPr>
        <w:footnoteReference w:id="23"/>
      </w:r>
    </w:p>
    <w:p w:rsidR="00424BDD" w:rsidRPr="00B25FB9" w:rsidRDefault="00424BDD" w:rsidP="00424BDD">
      <w:pPr>
        <w:pStyle w:val="ListParagraph"/>
        <w:numPr>
          <w:ilvl w:val="0"/>
          <w:numId w:val="1"/>
        </w:numPr>
        <w:rPr>
          <w:i/>
          <w:iCs/>
        </w:rPr>
      </w:pPr>
      <w:r w:rsidRPr="00B25FB9">
        <w:rPr>
          <w:rFonts w:asciiTheme="majorHAnsi" w:hAnsiTheme="majorHAnsi"/>
        </w:rPr>
        <w:t>Local governments lack a coordinating role in the effective delivery of primary health care services on the ground, including raising the level of maternal and newborn health</w:t>
      </w:r>
      <w:r>
        <w:rPr>
          <w:rFonts w:asciiTheme="majorHAnsi" w:hAnsiTheme="majorHAnsi"/>
        </w:rPr>
        <w:t>.</w:t>
      </w:r>
      <w:r w:rsidRPr="00B25FB9">
        <w:rPr>
          <w:rFonts w:asciiTheme="majorHAnsi" w:hAnsiTheme="majorHAnsi"/>
        </w:rPr>
        <w:t xml:space="preserve"> </w:t>
      </w:r>
      <w:r>
        <w:rPr>
          <w:rFonts w:asciiTheme="majorHAnsi" w:hAnsiTheme="majorHAnsi"/>
        </w:rPr>
        <w:t>Li</w:t>
      </w:r>
      <w:r w:rsidRPr="00B25FB9">
        <w:rPr>
          <w:rFonts w:asciiTheme="majorHAnsi" w:hAnsiTheme="majorHAnsi"/>
        </w:rPr>
        <w:t>mited delegation of appropriate rights and responsibilities to local governments hampers integration of primary health care services into municipal services and results in affordability and accessibility barriers of services for rural women considering their needs.</w:t>
      </w:r>
    </w:p>
    <w:p w:rsidR="00424BDD" w:rsidRDefault="00424BDD" w:rsidP="00424BDD">
      <w:pPr>
        <w:pStyle w:val="ListParagraph"/>
        <w:rPr>
          <w:i/>
          <w:iCs/>
        </w:rPr>
      </w:pPr>
      <w:bookmarkStart w:id="13" w:name="_Toc74528065"/>
    </w:p>
    <w:p w:rsidR="00424BDD" w:rsidRPr="00F76EAE" w:rsidRDefault="00424BDD" w:rsidP="00424BDD">
      <w:pPr>
        <w:pStyle w:val="ListParagraph"/>
        <w:rPr>
          <w:i/>
          <w:iCs/>
        </w:rPr>
      </w:pPr>
      <w:r w:rsidRPr="00B25FB9">
        <w:rPr>
          <w:i/>
          <w:iCs/>
        </w:rPr>
        <w:t>IDP Women and girls</w:t>
      </w:r>
      <w:bookmarkEnd w:id="13"/>
    </w:p>
    <w:p w:rsidR="00424BDD" w:rsidRPr="00F76EAE" w:rsidRDefault="00424BDD" w:rsidP="00424BDD"/>
    <w:p w:rsidR="00424BDD" w:rsidRPr="00F76EAE" w:rsidRDefault="00424BDD" w:rsidP="00424BDD">
      <w:pPr>
        <w:pStyle w:val="ListParagraph"/>
        <w:numPr>
          <w:ilvl w:val="0"/>
          <w:numId w:val="1"/>
        </w:numPr>
        <w:spacing w:after="160" w:line="256" w:lineRule="auto"/>
        <w:ind w:right="-180"/>
        <w:jc w:val="both"/>
        <w:rPr>
          <w:rFonts w:asciiTheme="majorHAnsi" w:hAnsiTheme="majorHAnsi"/>
        </w:rPr>
      </w:pPr>
      <w:r w:rsidRPr="00F76EAE">
        <w:rPr>
          <w:rFonts w:asciiTheme="majorHAnsi" w:eastAsia="Calibri" w:hAnsiTheme="majorHAnsi" w:cs="Calibri Light"/>
        </w:rPr>
        <w:t>One of the priority interventions identified</w:t>
      </w:r>
      <w:r>
        <w:rPr>
          <w:rFonts w:asciiTheme="majorHAnsi" w:eastAsia="Calibri" w:hAnsiTheme="majorHAnsi" w:cs="Calibri Light"/>
          <w:lang w:val="ka-GE"/>
        </w:rPr>
        <w:t xml:space="preserve"> </w:t>
      </w:r>
      <w:r w:rsidRPr="00F76EAE">
        <w:rPr>
          <w:rFonts w:asciiTheme="majorHAnsi" w:eastAsia="Calibri" w:hAnsiTheme="majorHAnsi" w:cs="Calibri Light"/>
        </w:rPr>
        <w:t>under the</w:t>
      </w:r>
      <w:r>
        <w:rPr>
          <w:rFonts w:asciiTheme="majorHAnsi" w:eastAsia="Calibri" w:hAnsiTheme="majorHAnsi" w:cs="Calibri Light"/>
          <w:lang w:val="ka-GE"/>
        </w:rPr>
        <w:t xml:space="preserve"> </w:t>
      </w:r>
      <w:r w:rsidRPr="00F76EAE">
        <w:rPr>
          <w:rFonts w:asciiTheme="majorHAnsi" w:eastAsia="Calibri" w:hAnsiTheme="majorHAnsi" w:cs="Calibri Light"/>
        </w:rPr>
        <w:t>Maternal and Newborn Health Strategy (2017-2030) is the development and implementation of a tailor made, culturally-sensitive program to ensure improved undisrupted accessibility and availability of services for under-served groups in their own settings, including Internally Displaced (IDP)Women.</w:t>
      </w:r>
      <w:r w:rsidRPr="00F76EAE">
        <w:rPr>
          <w:rFonts w:asciiTheme="majorHAnsi" w:eastAsia="Calibri" w:hAnsiTheme="majorHAnsi" w:cs="Calibri Light"/>
          <w:vertAlign w:val="superscript"/>
        </w:rPr>
        <w:footnoteReference w:id="24"/>
      </w:r>
      <w:r w:rsidRPr="00F76EAE">
        <w:rPr>
          <w:rFonts w:asciiTheme="majorHAnsi" w:eastAsia="Calibri" w:hAnsiTheme="majorHAnsi" w:cs="Calibri Light"/>
        </w:rPr>
        <w:t xml:space="preserve">However, IDP women and girls living in IDP settlements and along the Administrative Boundary Lines (ABLs) receive almost no information about </w:t>
      </w:r>
      <w:r>
        <w:rPr>
          <w:rFonts w:asciiTheme="majorHAnsi" w:eastAsia="Calibri" w:hAnsiTheme="majorHAnsi" w:cs="Calibri Light"/>
        </w:rPr>
        <w:t>SRHR</w:t>
      </w:r>
      <w:r w:rsidRPr="00F76EAE">
        <w:rPr>
          <w:rFonts w:asciiTheme="majorHAnsi" w:eastAsia="Calibri" w:hAnsiTheme="majorHAnsi" w:cs="Calibri Light"/>
        </w:rPr>
        <w:t xml:space="preserve">. </w:t>
      </w:r>
      <w:r w:rsidRPr="00F76EAE">
        <w:rPr>
          <w:rStyle w:val="FootnoteReference"/>
          <w:rFonts w:asciiTheme="majorHAnsi" w:eastAsia="Calibri" w:hAnsiTheme="majorHAnsi" w:cs="Calibri Light"/>
        </w:rPr>
        <w:footnoteReference w:id="25"/>
      </w:r>
    </w:p>
    <w:p w:rsidR="00424BDD" w:rsidRPr="00F76EAE" w:rsidRDefault="00424BDD" w:rsidP="00424BDD">
      <w:pPr>
        <w:pStyle w:val="ListParagraph"/>
        <w:numPr>
          <w:ilvl w:val="0"/>
          <w:numId w:val="1"/>
        </w:numPr>
        <w:spacing w:after="160" w:line="240" w:lineRule="auto"/>
        <w:ind w:right="-180"/>
        <w:jc w:val="both"/>
        <w:rPr>
          <w:rFonts w:asciiTheme="majorHAnsi" w:eastAsia="Calibri" w:hAnsiTheme="majorHAnsi" w:cs="Calibri Light"/>
        </w:rPr>
      </w:pPr>
      <w:r w:rsidRPr="00F76EAE">
        <w:rPr>
          <w:rFonts w:asciiTheme="majorHAnsi" w:eastAsia="Calibri" w:hAnsiTheme="majorHAnsi" w:cs="Calibri Light"/>
        </w:rPr>
        <w:t>Women in IDP settlements can</w:t>
      </w:r>
      <w:r>
        <w:rPr>
          <w:rFonts w:asciiTheme="majorHAnsi" w:eastAsia="Calibri" w:hAnsiTheme="majorHAnsi" w:cs="Calibri Light"/>
          <w:lang w:val="ka-GE"/>
        </w:rPr>
        <w:t xml:space="preserve"> </w:t>
      </w:r>
      <w:r>
        <w:rPr>
          <w:rFonts w:asciiTheme="majorHAnsi" w:eastAsia="Calibri" w:hAnsiTheme="majorHAnsi" w:cs="Calibri Light"/>
        </w:rPr>
        <w:t>not</w:t>
      </w:r>
      <w:r w:rsidRPr="00F76EAE">
        <w:rPr>
          <w:rFonts w:asciiTheme="majorHAnsi" w:eastAsia="Calibri" w:hAnsiTheme="majorHAnsi" w:cs="Calibri Light"/>
        </w:rPr>
        <w:t xml:space="preserve"> receive gender-specific health services, such as gynaecological examination, either in the settlement or in other cities. They note that sometimes travelling for health services can be problematic. Availability of state-funded psychological services is problematic in all the areas.</w:t>
      </w:r>
      <w:r w:rsidRPr="00F76EAE">
        <w:rPr>
          <w:rStyle w:val="FootnoteReference"/>
          <w:rFonts w:asciiTheme="majorHAnsi" w:eastAsia="Calibri" w:hAnsiTheme="majorHAnsi" w:cs="Calibri Light"/>
        </w:rPr>
        <w:footnoteReference w:id="26"/>
      </w:r>
    </w:p>
    <w:p w:rsidR="00424BDD" w:rsidRPr="00EE5B49" w:rsidRDefault="00424BDD" w:rsidP="00424BDD">
      <w:pPr>
        <w:pStyle w:val="ListParagraph"/>
        <w:numPr>
          <w:ilvl w:val="0"/>
          <w:numId w:val="1"/>
        </w:numPr>
        <w:spacing w:after="160" w:line="240" w:lineRule="auto"/>
        <w:ind w:right="-180"/>
        <w:jc w:val="both"/>
        <w:rPr>
          <w:rFonts w:asciiTheme="majorHAnsi" w:eastAsia="Calibri" w:hAnsiTheme="majorHAnsi" w:cs="Calibri Light"/>
          <w:lang w:val="ka-GE"/>
        </w:rPr>
      </w:pPr>
      <w:r w:rsidRPr="00F76EAE">
        <w:rPr>
          <w:rFonts w:asciiTheme="majorHAnsi" w:eastAsia="Calibri" w:hAnsiTheme="majorHAnsi" w:cs="Calibri Light"/>
        </w:rPr>
        <w:t>Due to lack of private space, young girls in IDP settlements have limited access to SRHR information/services and they often are not able to make an informed decision regarding their sexual life. In addition to this, due to financial affordability, young girls have limited access to menstrual hygiene and contraception products</w:t>
      </w:r>
      <w:r>
        <w:rPr>
          <w:rFonts w:asciiTheme="majorHAnsi" w:eastAsia="Calibri" w:hAnsiTheme="majorHAnsi" w:cs="Calibri Light"/>
          <w:lang w:val="ka-GE"/>
        </w:rPr>
        <w:t xml:space="preserve">. </w:t>
      </w:r>
      <w:r>
        <w:rPr>
          <w:rFonts w:asciiTheme="majorHAnsi" w:eastAsia="Calibri" w:hAnsiTheme="majorHAnsi" w:cs="Calibri Light"/>
        </w:rPr>
        <w:t>The Order of the Minister of Healthcare</w:t>
      </w:r>
      <w:r>
        <w:rPr>
          <w:rStyle w:val="FootnoteReference"/>
          <w:rFonts w:asciiTheme="majorHAnsi" w:eastAsia="Calibri" w:hAnsiTheme="majorHAnsi" w:cs="Calibri Light"/>
        </w:rPr>
        <w:footnoteReference w:id="27"/>
      </w:r>
      <w:r>
        <w:rPr>
          <w:rFonts w:asciiTheme="majorHAnsi" w:eastAsia="Calibri" w:hAnsiTheme="majorHAnsi" w:cs="Calibri Light"/>
        </w:rPr>
        <w:t xml:space="preserve"> limits the choice of beneficiaries to choose only one kind of assistance either living allowance or IDP assistance. Those who choose living allowance lose their IDP status and therefore access to differentiated healthcare and other services which creates additional financial obstacles for IDP women/girls.</w:t>
      </w:r>
    </w:p>
    <w:p w:rsidR="00424BDD" w:rsidRPr="00EE5B49" w:rsidRDefault="00424BDD" w:rsidP="00424BDD">
      <w:pPr>
        <w:pStyle w:val="Heading2"/>
        <w:rPr>
          <w:rFonts w:eastAsia="Calibri" w:cs="Calibri Light"/>
          <w:i/>
          <w:iCs/>
          <w:sz w:val="22"/>
          <w:szCs w:val="22"/>
        </w:rPr>
      </w:pPr>
      <w:bookmarkStart w:id="14" w:name="_Toc74528066"/>
      <w:r w:rsidRPr="00EE5B49">
        <w:rPr>
          <w:rFonts w:eastAsia="Calibri" w:cs="Calibri Light"/>
          <w:i/>
          <w:iCs/>
          <w:sz w:val="22"/>
          <w:szCs w:val="22"/>
        </w:rPr>
        <w:t>Older women</w:t>
      </w:r>
      <w:bookmarkEnd w:id="14"/>
    </w:p>
    <w:p w:rsidR="00424BDD" w:rsidRPr="00EE5B49" w:rsidRDefault="00424BDD" w:rsidP="00424BDD">
      <w:pPr>
        <w:pStyle w:val="Content"/>
        <w:spacing w:line="240" w:lineRule="auto"/>
        <w:ind w:right="-180"/>
        <w:jc w:val="both"/>
        <w:rPr>
          <w:rFonts w:asciiTheme="majorHAnsi" w:eastAsia="Calibri" w:hAnsiTheme="majorHAnsi" w:cs="Calibri Light"/>
          <w:b/>
          <w:bCs/>
          <w:i/>
          <w:iCs/>
          <w:color w:val="auto"/>
          <w:sz w:val="22"/>
        </w:rPr>
      </w:pPr>
    </w:p>
    <w:p w:rsidR="00424BDD" w:rsidRPr="00EE5B49" w:rsidRDefault="00424BDD" w:rsidP="00424BDD">
      <w:pPr>
        <w:pStyle w:val="Content"/>
        <w:numPr>
          <w:ilvl w:val="0"/>
          <w:numId w:val="1"/>
        </w:numPr>
        <w:spacing w:line="240" w:lineRule="auto"/>
        <w:ind w:right="-180"/>
        <w:jc w:val="both"/>
        <w:rPr>
          <w:rFonts w:asciiTheme="majorHAnsi" w:eastAsia="Calibri" w:hAnsiTheme="majorHAnsi" w:cs="Calibri Light"/>
          <w:color w:val="auto"/>
          <w:sz w:val="22"/>
        </w:rPr>
      </w:pPr>
      <w:r w:rsidRPr="00EE5B49">
        <w:rPr>
          <w:rFonts w:asciiTheme="majorHAnsi" w:eastAsia="Calibri" w:hAnsiTheme="majorHAnsi" w:cs="Calibri Light"/>
          <w:color w:val="auto"/>
          <w:sz w:val="22"/>
        </w:rPr>
        <w:t xml:space="preserve">The negative effects of multiple pregnancies and unsafe abortions, inadequate support during pregnancy, at the time of childbirth, and in the postpartum period all contribute to health problems for women in older ages. </w:t>
      </w:r>
    </w:p>
    <w:p w:rsidR="00424BDD" w:rsidRPr="00F76EAE" w:rsidRDefault="00424BDD" w:rsidP="00424BDD">
      <w:pPr>
        <w:pStyle w:val="Content"/>
        <w:numPr>
          <w:ilvl w:val="0"/>
          <w:numId w:val="1"/>
        </w:numPr>
        <w:spacing w:line="240" w:lineRule="auto"/>
        <w:ind w:right="-180"/>
        <w:jc w:val="both"/>
        <w:rPr>
          <w:rFonts w:asciiTheme="majorHAnsi" w:eastAsia="Calibri" w:hAnsiTheme="majorHAnsi" w:cs="Calibri Light"/>
          <w:color w:val="auto"/>
          <w:sz w:val="22"/>
        </w:rPr>
      </w:pPr>
      <w:r w:rsidRPr="00EE5B49">
        <w:rPr>
          <w:rFonts w:asciiTheme="majorHAnsi" w:eastAsia="Calibri" w:hAnsiTheme="majorHAnsi" w:cs="Calibri Light"/>
          <w:color w:val="auto"/>
          <w:sz w:val="22"/>
        </w:rPr>
        <w:t>Despite the life cycle approach to providing health services, includin</w:t>
      </w:r>
      <w:r w:rsidRPr="00EE5B49">
        <w:rPr>
          <w:rFonts w:asciiTheme="majorHAnsi" w:eastAsia="Calibri" w:hAnsiTheme="majorHAnsi" w:cs="Calibri Light"/>
          <w:color w:val="auto"/>
          <w:sz w:val="22"/>
          <w:lang w:val="ka-GE"/>
        </w:rPr>
        <w:t xml:space="preserve">g </w:t>
      </w:r>
      <w:r w:rsidRPr="00EE5B49">
        <w:rPr>
          <w:rFonts w:asciiTheme="majorHAnsi" w:eastAsia="Calibri" w:hAnsiTheme="majorHAnsi" w:cs="Calibri Light"/>
          <w:color w:val="auto"/>
          <w:sz w:val="22"/>
        </w:rPr>
        <w:t>SRH services, refers to providing services throughout the life of a client or user, ensuring that women’s SRH needs are</w:t>
      </w:r>
      <w:r w:rsidRPr="00EE5B49">
        <w:rPr>
          <w:rFonts w:asciiTheme="majorHAnsi" w:eastAsia="Calibri" w:hAnsiTheme="majorHAnsi" w:cs="Calibri Light"/>
          <w:color w:val="auto"/>
          <w:sz w:val="22"/>
          <w:lang w:val="ka-GE"/>
        </w:rPr>
        <w:t xml:space="preserve"> </w:t>
      </w:r>
      <w:r w:rsidRPr="00EE5B49">
        <w:rPr>
          <w:rFonts w:asciiTheme="majorHAnsi" w:eastAsia="Calibri" w:hAnsiTheme="majorHAnsi" w:cs="Calibri Light"/>
          <w:color w:val="auto"/>
          <w:sz w:val="22"/>
        </w:rPr>
        <w:t>addressed throughout their lives, the SRHR needs of women in menopaus</w:t>
      </w:r>
      <w:r w:rsidRPr="00EE5B49">
        <w:rPr>
          <w:rFonts w:asciiTheme="majorHAnsi" w:eastAsia="Calibri" w:hAnsiTheme="majorHAnsi" w:cs="Calibri Light"/>
          <w:color w:val="auto"/>
          <w:sz w:val="22"/>
          <w:lang w:val="ka-GE"/>
        </w:rPr>
        <w:t>e</w:t>
      </w:r>
      <w:r w:rsidRPr="00F76EAE">
        <w:rPr>
          <w:rFonts w:asciiTheme="majorHAnsi" w:eastAsia="Calibri" w:hAnsiTheme="majorHAnsi" w:cs="Calibri Light"/>
          <w:color w:val="auto"/>
          <w:sz w:val="22"/>
        </w:rPr>
        <w:t xml:space="preserve"> and post-menopause period often leave unconsidered by service providers. The competences of family doctor include counseling on menopause and its affects, post-menopausal bleeding but in fact, they rarely provide such counseling and refer women to gynecologists instead which is not covered by Universal Healthcare package. In addition to this, women in menopause and post menopause age often lack information on available affordable healthcare services in primary healthcare level and state funded screening services.</w:t>
      </w:r>
    </w:p>
    <w:p w:rsidR="00424BDD" w:rsidRPr="00F76EAE" w:rsidRDefault="00424BDD" w:rsidP="00424BDD">
      <w:pPr>
        <w:pStyle w:val="Content"/>
        <w:numPr>
          <w:ilvl w:val="0"/>
          <w:numId w:val="1"/>
        </w:numPr>
        <w:spacing w:line="240" w:lineRule="auto"/>
        <w:ind w:right="-180"/>
        <w:jc w:val="both"/>
        <w:rPr>
          <w:rFonts w:asciiTheme="majorHAnsi" w:eastAsia="Calibri" w:hAnsiTheme="majorHAnsi" w:cs="Calibri Light"/>
          <w:color w:val="auto"/>
          <w:sz w:val="22"/>
        </w:rPr>
      </w:pPr>
      <w:r w:rsidRPr="00F76EAE">
        <w:rPr>
          <w:rFonts w:asciiTheme="majorHAnsi" w:eastAsia="Calibri" w:hAnsiTheme="majorHAnsi" w:cs="Calibri Light"/>
          <w:color w:val="auto"/>
          <w:sz w:val="22"/>
        </w:rPr>
        <w:t xml:space="preserve">Despite HPV/breast cancer screenings are available in all regions of Georgia, the main gatekeepers to disseminate information and provide referral are village doctors.  </w:t>
      </w:r>
      <w:r>
        <w:rPr>
          <w:rFonts w:asciiTheme="majorHAnsi" w:eastAsia="Calibri" w:hAnsiTheme="majorHAnsi" w:cs="Calibri Light"/>
          <w:color w:val="auto"/>
          <w:sz w:val="22"/>
        </w:rPr>
        <w:t>T</w:t>
      </w:r>
      <w:r w:rsidRPr="00F76EAE">
        <w:rPr>
          <w:rFonts w:asciiTheme="majorHAnsi" w:eastAsia="Calibri" w:hAnsiTheme="majorHAnsi" w:cs="Calibri Light"/>
          <w:color w:val="auto"/>
          <w:sz w:val="22"/>
        </w:rPr>
        <w:t xml:space="preserve">he majority of </w:t>
      </w:r>
      <w:r>
        <w:rPr>
          <w:rFonts w:asciiTheme="majorHAnsi" w:eastAsia="Calibri" w:hAnsiTheme="majorHAnsi" w:cs="Calibri Light"/>
          <w:color w:val="auto"/>
          <w:sz w:val="22"/>
        </w:rPr>
        <w:t>women</w:t>
      </w:r>
      <w:r w:rsidRPr="00F76EAE">
        <w:rPr>
          <w:rFonts w:asciiTheme="majorHAnsi" w:eastAsia="Calibri" w:hAnsiTheme="majorHAnsi" w:cs="Calibri Light"/>
          <w:color w:val="auto"/>
          <w:sz w:val="22"/>
        </w:rPr>
        <w:t xml:space="preserve"> face significant barriers to access health care services. This is mostly due to financial issue, lack of knowledge on family/village doctor competencies, lack of means for travel to an appropriate health care center and unbearable waiting times. </w:t>
      </w:r>
    </w:p>
    <w:p w:rsidR="00424BDD" w:rsidRPr="00F76EAE" w:rsidRDefault="00424BDD" w:rsidP="00424BDD">
      <w:pPr>
        <w:pStyle w:val="Content"/>
        <w:numPr>
          <w:ilvl w:val="0"/>
          <w:numId w:val="1"/>
        </w:numPr>
        <w:spacing w:line="240" w:lineRule="auto"/>
        <w:ind w:right="-180"/>
        <w:jc w:val="both"/>
        <w:rPr>
          <w:rFonts w:asciiTheme="majorHAnsi" w:eastAsia="Calibri" w:hAnsiTheme="majorHAnsi" w:cs="Calibri Light"/>
          <w:color w:val="auto"/>
          <w:sz w:val="22"/>
        </w:rPr>
      </w:pPr>
      <w:r w:rsidRPr="00F76EAE">
        <w:rPr>
          <w:rFonts w:asciiTheme="majorHAnsi" w:eastAsia="Calibri" w:hAnsiTheme="majorHAnsi" w:cs="Calibri Light"/>
          <w:color w:val="auto"/>
          <w:sz w:val="22"/>
        </w:rPr>
        <w:t xml:space="preserve">Another challenge that limits older people’s access to health care is stereotypes, prejudices and discrimination against people based on their age. The </w:t>
      </w:r>
      <w:r>
        <w:rPr>
          <w:rFonts w:asciiTheme="majorHAnsi" w:eastAsia="Calibri" w:hAnsiTheme="majorHAnsi" w:cs="Calibri Light"/>
          <w:color w:val="auto"/>
          <w:sz w:val="22"/>
        </w:rPr>
        <w:t>SRH</w:t>
      </w:r>
      <w:r w:rsidRPr="00F76EAE">
        <w:rPr>
          <w:rFonts w:asciiTheme="majorHAnsi" w:eastAsia="Calibri" w:hAnsiTheme="majorHAnsi" w:cs="Calibri Light"/>
          <w:color w:val="auto"/>
          <w:sz w:val="22"/>
        </w:rPr>
        <w:t xml:space="preserve"> of older people tend to be </w:t>
      </w:r>
      <w:r w:rsidRPr="00F76EAE">
        <w:rPr>
          <w:rFonts w:asciiTheme="majorHAnsi" w:eastAsia="Calibri" w:hAnsiTheme="majorHAnsi" w:cs="Calibri Light"/>
          <w:color w:val="auto"/>
          <w:sz w:val="22"/>
        </w:rPr>
        <w:lastRenderedPageBreak/>
        <w:t xml:space="preserve">overlooked in society because of the stereotypical belief that older people are no longer sexually active. </w:t>
      </w:r>
    </w:p>
    <w:p w:rsidR="00424BDD" w:rsidRPr="00F76EAE" w:rsidRDefault="00424BDD" w:rsidP="00424BDD">
      <w:pPr>
        <w:pStyle w:val="Content"/>
        <w:spacing w:line="240" w:lineRule="auto"/>
        <w:ind w:left="567" w:right="-180" w:hanging="14"/>
        <w:jc w:val="both"/>
        <w:rPr>
          <w:rFonts w:asciiTheme="majorHAnsi" w:eastAsia="Calibri" w:hAnsiTheme="majorHAnsi" w:cs="Calibri Light"/>
          <w:color w:val="auto"/>
          <w:sz w:val="22"/>
        </w:rPr>
      </w:pPr>
    </w:p>
    <w:p w:rsidR="00424BDD" w:rsidRPr="00F76EAE" w:rsidRDefault="00424BDD" w:rsidP="00424BDD">
      <w:pPr>
        <w:pStyle w:val="Heading2"/>
        <w:rPr>
          <w:rFonts w:eastAsia="Calibri"/>
          <w:i/>
          <w:iCs/>
          <w:sz w:val="22"/>
          <w:szCs w:val="22"/>
        </w:rPr>
      </w:pPr>
      <w:bookmarkStart w:id="15" w:name="_Toc74528067"/>
      <w:r w:rsidRPr="00F76EAE">
        <w:rPr>
          <w:rFonts w:eastAsia="Calibri"/>
          <w:i/>
          <w:iCs/>
          <w:sz w:val="22"/>
          <w:szCs w:val="22"/>
        </w:rPr>
        <w:t>Women/girls with disabilities</w:t>
      </w:r>
      <w:bookmarkEnd w:id="15"/>
    </w:p>
    <w:p w:rsidR="00424BDD" w:rsidRPr="00F76EAE" w:rsidRDefault="00424BDD" w:rsidP="00424BDD">
      <w:pPr>
        <w:pStyle w:val="Content"/>
        <w:spacing w:line="240" w:lineRule="auto"/>
        <w:ind w:left="-270" w:right="-180"/>
        <w:jc w:val="both"/>
        <w:rPr>
          <w:rFonts w:asciiTheme="majorHAnsi" w:eastAsia="Calibri" w:hAnsiTheme="majorHAnsi" w:cs="Calibri Light"/>
          <w:color w:val="auto"/>
          <w:sz w:val="22"/>
        </w:rPr>
      </w:pPr>
    </w:p>
    <w:p w:rsidR="00424BDD" w:rsidRPr="00F76EAE" w:rsidRDefault="00424BDD" w:rsidP="00424BDD">
      <w:pPr>
        <w:pStyle w:val="Content"/>
        <w:numPr>
          <w:ilvl w:val="0"/>
          <w:numId w:val="1"/>
        </w:numPr>
        <w:spacing w:line="240" w:lineRule="auto"/>
        <w:ind w:right="-180"/>
        <w:jc w:val="both"/>
        <w:rPr>
          <w:rFonts w:asciiTheme="majorHAnsi" w:eastAsia="Calibri" w:hAnsiTheme="majorHAnsi" w:cs="Calibri Light"/>
          <w:color w:val="auto"/>
          <w:sz w:val="22"/>
        </w:rPr>
      </w:pPr>
      <w:r w:rsidRPr="00F76EAE">
        <w:rPr>
          <w:rFonts w:asciiTheme="majorHAnsi" w:eastAsia="Calibri" w:hAnsiTheme="majorHAnsi" w:cs="Calibri Light"/>
          <w:color w:val="auto"/>
          <w:sz w:val="22"/>
        </w:rPr>
        <w:t xml:space="preserve">Special issues have women and girls with disabilities who often avoid visiting medical facilities for SRH services until it becomes a health emergency, and it concerns their serious health issues. This is mainly caused by the existing stereotypes, non-confidential environment and unadopted </w:t>
      </w:r>
      <w:r w:rsidRPr="00D23FBB">
        <w:rPr>
          <w:rFonts w:asciiTheme="majorHAnsi" w:eastAsia="Calibri" w:hAnsiTheme="majorHAnsi" w:cs="Calibri Light"/>
          <w:color w:val="auto"/>
          <w:sz w:val="22"/>
          <w:lang w:val="en-GB"/>
        </w:rPr>
        <w:t>gynaecological</w:t>
      </w:r>
      <w:r w:rsidRPr="00F76EAE">
        <w:rPr>
          <w:rFonts w:asciiTheme="majorHAnsi" w:eastAsia="Calibri" w:hAnsiTheme="majorHAnsi" w:cs="Calibri Light"/>
          <w:color w:val="auto"/>
          <w:sz w:val="22"/>
        </w:rPr>
        <w:t xml:space="preserve"> services for the person with special needs. </w:t>
      </w:r>
      <w:r w:rsidRPr="00474066">
        <w:rPr>
          <w:sz w:val="22"/>
          <w:vertAlign w:val="superscript"/>
        </w:rPr>
        <w:footnoteReference w:id="28"/>
      </w:r>
    </w:p>
    <w:p w:rsidR="00424BDD" w:rsidRPr="00F76EAE" w:rsidRDefault="00424BDD" w:rsidP="00424BDD">
      <w:pPr>
        <w:pStyle w:val="Content"/>
        <w:numPr>
          <w:ilvl w:val="0"/>
          <w:numId w:val="1"/>
        </w:numPr>
        <w:spacing w:line="240" w:lineRule="auto"/>
        <w:jc w:val="both"/>
        <w:rPr>
          <w:rFonts w:asciiTheme="majorHAnsi" w:eastAsia="Calibri" w:hAnsiTheme="majorHAnsi" w:cs="Calibri Light"/>
          <w:color w:val="auto"/>
          <w:sz w:val="22"/>
        </w:rPr>
      </w:pPr>
      <w:r w:rsidRPr="00F76EAE">
        <w:rPr>
          <w:rFonts w:asciiTheme="majorHAnsi" w:eastAsia="Calibri" w:hAnsiTheme="majorHAnsi" w:cs="Calibri Light"/>
          <w:color w:val="auto"/>
          <w:sz w:val="22"/>
        </w:rPr>
        <w:t>Unfortunately, the Government does not prioritize the needs of women and girls with disabilities during the development of the State programs, policies or the budget.</w:t>
      </w:r>
    </w:p>
    <w:p w:rsidR="00424BDD" w:rsidRPr="00474066" w:rsidRDefault="00424BDD" w:rsidP="00424BDD">
      <w:pPr>
        <w:pStyle w:val="Content"/>
        <w:numPr>
          <w:ilvl w:val="0"/>
          <w:numId w:val="1"/>
        </w:numPr>
        <w:spacing w:line="240" w:lineRule="auto"/>
        <w:ind w:right="-180"/>
        <w:jc w:val="both"/>
        <w:rPr>
          <w:rFonts w:asciiTheme="majorHAnsi" w:eastAsia="Calibri" w:hAnsiTheme="majorHAnsi" w:cs="Calibri Light"/>
          <w:color w:val="auto"/>
          <w:sz w:val="22"/>
          <w:vertAlign w:val="superscript"/>
        </w:rPr>
      </w:pPr>
      <w:r w:rsidRPr="00F76EAE">
        <w:rPr>
          <w:rFonts w:asciiTheme="majorHAnsi" w:eastAsia="Calibri" w:hAnsiTheme="majorHAnsi" w:cs="Calibri Light"/>
          <w:color w:val="auto"/>
          <w:sz w:val="22"/>
        </w:rPr>
        <w:t>The main obstacles on family planning/contraception services for women with disabilities are that they lack information on SRH services and medical persons lack knowledge on the specificity of the services delivery for the women with disability. This creates a strong barrier in receiving necessary and adequate services.</w:t>
      </w:r>
      <w:r w:rsidRPr="004D7CA6">
        <w:rPr>
          <w:color w:val="auto"/>
          <w:sz w:val="22"/>
          <w:vertAlign w:val="superscript"/>
        </w:rPr>
        <w:footnoteReference w:id="29"/>
      </w:r>
      <w:r w:rsidRPr="00F76EAE">
        <w:rPr>
          <w:rFonts w:asciiTheme="majorHAnsi" w:eastAsia="Calibri" w:hAnsiTheme="majorHAnsi" w:cs="Calibri Light"/>
          <w:color w:val="auto"/>
          <w:sz w:val="22"/>
        </w:rPr>
        <w:t xml:space="preserve"> In Georgia,</w:t>
      </w:r>
      <w:r>
        <w:rPr>
          <w:rFonts w:asciiTheme="majorHAnsi" w:eastAsia="Calibri" w:hAnsiTheme="majorHAnsi" w:cs="Calibri Light"/>
          <w:color w:val="auto"/>
          <w:sz w:val="22"/>
        </w:rPr>
        <w:t xml:space="preserve"> in most cases</w:t>
      </w:r>
      <w:r w:rsidRPr="00F76EAE">
        <w:rPr>
          <w:rFonts w:asciiTheme="majorHAnsi" w:eastAsia="Calibri" w:hAnsiTheme="majorHAnsi" w:cs="Calibri Light"/>
          <w:color w:val="auto"/>
          <w:sz w:val="22"/>
        </w:rPr>
        <w:t xml:space="preserve"> medical facilities are not accessible </w:t>
      </w:r>
      <w:r>
        <w:rPr>
          <w:rFonts w:asciiTheme="majorHAnsi" w:eastAsia="Calibri" w:hAnsiTheme="majorHAnsi" w:cs="Calibri Light"/>
          <w:color w:val="auto"/>
          <w:sz w:val="22"/>
        </w:rPr>
        <w:t>for</w:t>
      </w:r>
      <w:r w:rsidRPr="00F76EAE">
        <w:rPr>
          <w:rFonts w:asciiTheme="majorHAnsi" w:eastAsia="Calibri" w:hAnsiTheme="majorHAnsi" w:cs="Calibri Light"/>
          <w:color w:val="auto"/>
          <w:sz w:val="22"/>
        </w:rPr>
        <w:t xml:space="preserve"> women with physical disabilities. </w:t>
      </w:r>
      <w:r w:rsidRPr="004D7CA6">
        <w:rPr>
          <w:color w:val="auto"/>
          <w:sz w:val="22"/>
          <w:vertAlign w:val="superscript"/>
        </w:rPr>
        <w:footnoteReference w:id="30"/>
      </w:r>
    </w:p>
    <w:p w:rsidR="00424BDD" w:rsidRPr="00F76EAE" w:rsidRDefault="00424BDD" w:rsidP="00424BDD">
      <w:pPr>
        <w:pStyle w:val="Content"/>
        <w:numPr>
          <w:ilvl w:val="0"/>
          <w:numId w:val="1"/>
        </w:numPr>
        <w:spacing w:line="240" w:lineRule="auto"/>
        <w:jc w:val="both"/>
        <w:rPr>
          <w:rFonts w:asciiTheme="majorHAnsi" w:eastAsia="Calibri" w:hAnsiTheme="majorHAnsi" w:cs="Calibri Light"/>
          <w:color w:val="auto"/>
          <w:sz w:val="22"/>
        </w:rPr>
      </w:pPr>
      <w:r w:rsidRPr="00F76EAE">
        <w:rPr>
          <w:rFonts w:asciiTheme="majorHAnsi" w:eastAsia="Calibri" w:hAnsiTheme="majorHAnsi" w:cs="Calibri Light"/>
          <w:color w:val="auto"/>
          <w:sz w:val="22"/>
        </w:rPr>
        <w:t>Unfortunately, medical personal</w:t>
      </w:r>
      <w:r>
        <w:rPr>
          <w:rFonts w:asciiTheme="majorHAnsi" w:eastAsia="Calibri" w:hAnsiTheme="majorHAnsi" w:cs="Calibri Light"/>
          <w:color w:val="auto"/>
          <w:sz w:val="22"/>
        </w:rPr>
        <w:t>s</w:t>
      </w:r>
      <w:r w:rsidRPr="00F76EAE">
        <w:rPr>
          <w:rFonts w:asciiTheme="majorHAnsi" w:eastAsia="Calibri" w:hAnsiTheme="majorHAnsi" w:cs="Calibri Light"/>
          <w:color w:val="auto"/>
          <w:sz w:val="22"/>
        </w:rPr>
        <w:t xml:space="preserve"> often violate rights to privacy during the consultation. Women with physical and intellectual disabilities are often accompanied by relatives</w:t>
      </w:r>
      <w:r>
        <w:rPr>
          <w:rStyle w:val="FootnoteReference"/>
          <w:rFonts w:asciiTheme="majorHAnsi" w:eastAsia="Calibri" w:hAnsiTheme="majorHAnsi" w:cs="Calibri Light"/>
          <w:color w:val="auto"/>
          <w:sz w:val="22"/>
        </w:rPr>
        <w:footnoteReference w:id="31"/>
      </w:r>
      <w:r w:rsidRPr="00F76EAE">
        <w:rPr>
          <w:rFonts w:asciiTheme="majorHAnsi" w:eastAsia="Calibri" w:hAnsiTheme="majorHAnsi" w:cs="Calibri Light"/>
          <w:color w:val="auto"/>
          <w:sz w:val="22"/>
        </w:rPr>
        <w:t xml:space="preserve"> and interviewing the patient in a non-confidential space. It creates an unsafe environment and negatively affects the quality of the services. </w:t>
      </w:r>
      <w:r w:rsidRPr="00474066">
        <w:rPr>
          <w:color w:val="auto"/>
          <w:sz w:val="22"/>
          <w:vertAlign w:val="superscript"/>
        </w:rPr>
        <w:footnoteReference w:id="32"/>
      </w:r>
    </w:p>
    <w:p w:rsidR="00424BDD" w:rsidRPr="00F76EAE" w:rsidRDefault="00424BDD" w:rsidP="00424BDD">
      <w:pPr>
        <w:numPr>
          <w:ilvl w:val="0"/>
          <w:numId w:val="1"/>
        </w:numPr>
        <w:autoSpaceDE w:val="0"/>
        <w:autoSpaceDN w:val="0"/>
        <w:adjustRightInd w:val="0"/>
        <w:spacing w:before="120" w:after="120" w:line="240" w:lineRule="auto"/>
        <w:jc w:val="both"/>
        <w:rPr>
          <w:rFonts w:asciiTheme="majorHAnsi" w:eastAsia="Calibri" w:hAnsiTheme="majorHAnsi" w:cs="Calibri Light"/>
        </w:rPr>
      </w:pPr>
      <w:r w:rsidRPr="00F76EAE">
        <w:rPr>
          <w:rFonts w:asciiTheme="majorHAnsi" w:eastAsia="Calibri" w:hAnsiTheme="majorHAnsi" w:cs="Calibri Light"/>
        </w:rPr>
        <w:t xml:space="preserve">Insufficient funding for mental health services leads to a lack of qualified personnel, appropriate treatment and care in facilities. </w:t>
      </w:r>
    </w:p>
    <w:p w:rsidR="00424BDD" w:rsidRPr="00F76EAE" w:rsidRDefault="00424BDD" w:rsidP="00424BDD">
      <w:pPr>
        <w:pStyle w:val="Content"/>
        <w:spacing w:line="240" w:lineRule="auto"/>
        <w:ind w:left="720" w:right="-180"/>
        <w:jc w:val="both"/>
        <w:rPr>
          <w:rFonts w:asciiTheme="majorHAnsi" w:eastAsia="Calibri" w:hAnsiTheme="majorHAnsi" w:cs="Calibri Light"/>
          <w:color w:val="auto"/>
          <w:sz w:val="22"/>
        </w:rPr>
      </w:pPr>
    </w:p>
    <w:p w:rsidR="00424BDD" w:rsidRPr="00F76EAE" w:rsidRDefault="00424BDD" w:rsidP="00424BDD">
      <w:pPr>
        <w:pStyle w:val="Content"/>
        <w:spacing w:line="240" w:lineRule="auto"/>
        <w:ind w:left="-270" w:right="-180"/>
        <w:jc w:val="both"/>
        <w:rPr>
          <w:rFonts w:asciiTheme="majorHAnsi" w:eastAsia="Calibri" w:hAnsiTheme="majorHAnsi" w:cs="Calibri Light"/>
          <w:color w:val="auto"/>
          <w:sz w:val="22"/>
        </w:rPr>
      </w:pPr>
    </w:p>
    <w:p w:rsidR="00424BDD" w:rsidRPr="00F76EAE" w:rsidRDefault="00424BDD" w:rsidP="00424BDD">
      <w:pPr>
        <w:pStyle w:val="Heading2"/>
        <w:rPr>
          <w:sz w:val="22"/>
          <w:szCs w:val="22"/>
        </w:rPr>
      </w:pPr>
      <w:bookmarkStart w:id="16" w:name="_Toc74528068"/>
      <w:r w:rsidRPr="00F76EAE">
        <w:rPr>
          <w:sz w:val="22"/>
          <w:szCs w:val="22"/>
        </w:rPr>
        <w:t>Recommendations:</w:t>
      </w:r>
      <w:bookmarkEnd w:id="16"/>
    </w:p>
    <w:p w:rsidR="00424BDD" w:rsidRPr="00F76EAE" w:rsidRDefault="00424BDD" w:rsidP="00424BDD">
      <w:pPr>
        <w:pStyle w:val="ListParagraph"/>
        <w:spacing w:after="160" w:line="256" w:lineRule="auto"/>
        <w:ind w:left="-270" w:right="-180"/>
        <w:rPr>
          <w:rFonts w:asciiTheme="majorHAnsi" w:hAnsiTheme="majorHAnsi"/>
        </w:rPr>
      </w:pPr>
    </w:p>
    <w:p w:rsidR="00424BDD" w:rsidRPr="00B25FB9" w:rsidRDefault="00424BDD" w:rsidP="00424BDD">
      <w:pPr>
        <w:pStyle w:val="Default"/>
        <w:numPr>
          <w:ilvl w:val="0"/>
          <w:numId w:val="3"/>
        </w:numPr>
        <w:rPr>
          <w:i/>
        </w:rPr>
      </w:pPr>
      <w:r w:rsidRPr="00B25FB9">
        <w:rPr>
          <w:i/>
        </w:rPr>
        <w:t xml:space="preserve">Revise a </w:t>
      </w:r>
      <w:r w:rsidRPr="00B25FB9">
        <w:rPr>
          <w:i/>
          <w:sz w:val="22"/>
          <w:szCs w:val="22"/>
        </w:rPr>
        <w:t xml:space="preserve">Code on Local Self-Governance to delegate appropriate rights and responsibilities to local governments as an independent institution to develop coordination mechanism of primary health care services as municipal services. </w:t>
      </w:r>
    </w:p>
    <w:p w:rsidR="00424BDD" w:rsidRPr="00F76EAE" w:rsidRDefault="00424BDD" w:rsidP="00424BDD">
      <w:pPr>
        <w:pStyle w:val="ListParagraph"/>
        <w:numPr>
          <w:ilvl w:val="0"/>
          <w:numId w:val="3"/>
        </w:numPr>
        <w:spacing w:after="0" w:line="240" w:lineRule="auto"/>
        <w:ind w:right="-180"/>
        <w:contextualSpacing w:val="0"/>
        <w:jc w:val="both"/>
        <w:rPr>
          <w:rFonts w:asciiTheme="majorHAnsi" w:hAnsiTheme="majorHAnsi" w:cs="Calibri Light"/>
          <w:i/>
        </w:rPr>
      </w:pPr>
      <w:r w:rsidRPr="00F76EAE">
        <w:rPr>
          <w:rFonts w:asciiTheme="majorHAnsi" w:hAnsiTheme="majorHAnsi" w:cs="Calibri Light"/>
          <w:i/>
        </w:rPr>
        <w:t>Include provision of contraception in village doctors’ essential medicine basket.</w:t>
      </w:r>
    </w:p>
    <w:p w:rsidR="00424BDD" w:rsidRPr="00F76EAE" w:rsidRDefault="00424BDD" w:rsidP="00424BDD">
      <w:pPr>
        <w:pStyle w:val="ListParagraph"/>
        <w:numPr>
          <w:ilvl w:val="0"/>
          <w:numId w:val="3"/>
        </w:numPr>
        <w:spacing w:after="0" w:line="240" w:lineRule="auto"/>
        <w:ind w:right="-180"/>
        <w:contextualSpacing w:val="0"/>
        <w:jc w:val="both"/>
        <w:rPr>
          <w:rFonts w:asciiTheme="majorHAnsi" w:hAnsiTheme="majorHAnsi" w:cs="Calibri Light"/>
          <w:i/>
        </w:rPr>
      </w:pPr>
      <w:r>
        <w:rPr>
          <w:rFonts w:asciiTheme="majorHAnsi" w:eastAsia="Calibri" w:hAnsiTheme="majorHAnsi" w:cs="Calibri Light"/>
          <w:i/>
        </w:rPr>
        <w:t>Remove restrictions in using various types of social assistance with IDP status</w:t>
      </w:r>
      <w:r>
        <w:rPr>
          <w:rFonts w:asciiTheme="majorHAnsi" w:eastAsia="Calibri" w:hAnsiTheme="majorHAnsi" w:cs="Calibri Light"/>
          <w:i/>
          <w:lang w:val="ka-GE"/>
        </w:rPr>
        <w:t xml:space="preserve"> </w:t>
      </w:r>
      <w:r>
        <w:rPr>
          <w:rFonts w:asciiTheme="majorHAnsi" w:eastAsia="Calibri" w:hAnsiTheme="majorHAnsi" w:cs="Calibri Light"/>
          <w:i/>
        </w:rPr>
        <w:t>imposed by the order of ministry of healthcare</w:t>
      </w:r>
      <w:r w:rsidRPr="00F76EAE">
        <w:rPr>
          <w:rFonts w:asciiTheme="majorHAnsi" w:eastAsia="Calibri" w:hAnsiTheme="majorHAnsi" w:cs="Calibri Light"/>
          <w:i/>
        </w:rPr>
        <w:t>.</w:t>
      </w:r>
    </w:p>
    <w:p w:rsidR="00424BDD" w:rsidRPr="00F76EAE" w:rsidRDefault="00424BDD" w:rsidP="00424BDD">
      <w:pPr>
        <w:pStyle w:val="ListParagraph"/>
        <w:numPr>
          <w:ilvl w:val="0"/>
          <w:numId w:val="3"/>
        </w:numPr>
        <w:spacing w:after="0" w:line="240" w:lineRule="auto"/>
        <w:ind w:right="-180"/>
        <w:contextualSpacing w:val="0"/>
        <w:jc w:val="both"/>
        <w:rPr>
          <w:rFonts w:asciiTheme="majorHAnsi" w:hAnsiTheme="majorHAnsi" w:cs="Calibri Light"/>
          <w:i/>
        </w:rPr>
      </w:pPr>
      <w:r w:rsidRPr="00F76EAE">
        <w:rPr>
          <w:rFonts w:asciiTheme="majorHAnsi" w:eastAsia="Calibri" w:hAnsiTheme="majorHAnsi" w:cs="Calibri Light"/>
          <w:i/>
        </w:rPr>
        <w:t>Integrate a life cycle approach in service provision at primary healthcare level, considering SRH needs of older women.</w:t>
      </w:r>
    </w:p>
    <w:p w:rsidR="00424BDD" w:rsidRPr="00F76EAE" w:rsidRDefault="00424BDD" w:rsidP="00424BDD">
      <w:pPr>
        <w:pStyle w:val="ListParagraph"/>
        <w:numPr>
          <w:ilvl w:val="0"/>
          <w:numId w:val="3"/>
        </w:numPr>
        <w:spacing w:after="0" w:line="240" w:lineRule="auto"/>
        <w:ind w:right="-180"/>
        <w:contextualSpacing w:val="0"/>
        <w:jc w:val="both"/>
        <w:rPr>
          <w:rFonts w:asciiTheme="majorHAnsi" w:hAnsiTheme="majorHAnsi" w:cs="Calibri Light"/>
          <w:i/>
        </w:rPr>
      </w:pPr>
      <w:r w:rsidRPr="00F76EAE">
        <w:rPr>
          <w:rFonts w:asciiTheme="majorHAnsi" w:eastAsia="Calibri" w:hAnsiTheme="majorHAnsi" w:cs="Calibri Light"/>
          <w:i/>
        </w:rPr>
        <w:t>Provide training to health professionals – family/village doctors for age</w:t>
      </w:r>
      <w:r>
        <w:rPr>
          <w:rFonts w:asciiTheme="majorHAnsi" w:eastAsia="Calibri" w:hAnsiTheme="majorHAnsi" w:cs="Calibri Light"/>
          <w:i/>
          <w:lang w:val="ka-GE"/>
        </w:rPr>
        <w:t>-</w:t>
      </w:r>
      <w:r w:rsidRPr="00F76EAE">
        <w:rPr>
          <w:rFonts w:asciiTheme="majorHAnsi" w:eastAsia="Calibri" w:hAnsiTheme="majorHAnsi" w:cs="Calibri Light"/>
          <w:i/>
        </w:rPr>
        <w:t>friendly health care services to overcome prejudices and stigma.</w:t>
      </w:r>
    </w:p>
    <w:p w:rsidR="00424BDD" w:rsidRPr="00F76EAE" w:rsidRDefault="00424BDD" w:rsidP="00424BDD">
      <w:pPr>
        <w:pStyle w:val="ListParagraph"/>
        <w:numPr>
          <w:ilvl w:val="0"/>
          <w:numId w:val="3"/>
        </w:numPr>
        <w:spacing w:after="0" w:line="240" w:lineRule="auto"/>
        <w:ind w:right="-180"/>
        <w:contextualSpacing w:val="0"/>
        <w:jc w:val="both"/>
        <w:rPr>
          <w:rFonts w:asciiTheme="majorHAnsi" w:hAnsiTheme="majorHAnsi" w:cs="Calibri Light"/>
          <w:i/>
        </w:rPr>
      </w:pPr>
      <w:r w:rsidRPr="00F76EAE">
        <w:rPr>
          <w:rFonts w:asciiTheme="majorHAnsi" w:eastAsia="Calibri" w:hAnsiTheme="majorHAnsi" w:cs="Calibri Light"/>
          <w:i/>
        </w:rPr>
        <w:t>Acknowledge diversity within and among older populations and make sure that policies and interventions take into consideration the needs of vulnerable groups among older people: women, people living alone and in residential care settings, those living with HIV, people living in rural areas, LGBTI communities, people from</w:t>
      </w:r>
      <w:r>
        <w:rPr>
          <w:rFonts w:asciiTheme="majorHAnsi" w:eastAsia="Calibri" w:hAnsiTheme="majorHAnsi" w:cs="Calibri Light"/>
          <w:i/>
          <w:lang w:val="ka-GE"/>
        </w:rPr>
        <w:t xml:space="preserve"> </w:t>
      </w:r>
      <w:r w:rsidRPr="00F76EAE">
        <w:rPr>
          <w:rFonts w:asciiTheme="majorHAnsi" w:eastAsia="Calibri" w:hAnsiTheme="majorHAnsi" w:cs="Calibri Light"/>
          <w:i/>
        </w:rPr>
        <w:t>under</w:t>
      </w:r>
      <w:r w:rsidRPr="00F76EAE">
        <w:rPr>
          <w:rFonts w:ascii="Cambria Math" w:eastAsia="Calibri" w:hAnsi="Cambria Math" w:cs="Cambria Math"/>
          <w:i/>
        </w:rPr>
        <w:t>‑</w:t>
      </w:r>
      <w:r w:rsidRPr="00F76EAE">
        <w:rPr>
          <w:rFonts w:asciiTheme="majorHAnsi" w:eastAsia="Calibri" w:hAnsiTheme="majorHAnsi" w:cs="Calibri Light"/>
          <w:i/>
        </w:rPr>
        <w:t>served ethnic groups and migrants</w:t>
      </w:r>
      <w:r>
        <w:rPr>
          <w:rFonts w:asciiTheme="majorHAnsi" w:eastAsia="Calibri" w:hAnsiTheme="majorHAnsi" w:cs="Calibri Light"/>
          <w:i/>
        </w:rPr>
        <w:t>.</w:t>
      </w:r>
    </w:p>
    <w:p w:rsidR="00424BDD" w:rsidRPr="00F76EAE" w:rsidRDefault="00424BDD" w:rsidP="00424BDD">
      <w:pPr>
        <w:pStyle w:val="ListParagraph"/>
        <w:numPr>
          <w:ilvl w:val="0"/>
          <w:numId w:val="3"/>
        </w:numPr>
        <w:tabs>
          <w:tab w:val="left" w:pos="6840"/>
        </w:tabs>
        <w:spacing w:after="0" w:line="240" w:lineRule="auto"/>
        <w:ind w:right="-180"/>
        <w:contextualSpacing w:val="0"/>
        <w:jc w:val="both"/>
        <w:rPr>
          <w:rFonts w:asciiTheme="majorHAnsi" w:hAnsiTheme="majorHAnsi" w:cs="Calibri Light"/>
          <w:i/>
        </w:rPr>
      </w:pPr>
      <w:r w:rsidRPr="00F76EAE">
        <w:rPr>
          <w:rFonts w:asciiTheme="majorHAnsi" w:hAnsiTheme="majorHAnsi"/>
          <w:i/>
        </w:rPr>
        <w:lastRenderedPageBreak/>
        <w:t xml:space="preserve">Integrate the needs, experiences and </w:t>
      </w:r>
      <w:r>
        <w:rPr>
          <w:rFonts w:asciiTheme="majorHAnsi" w:hAnsiTheme="majorHAnsi"/>
          <w:i/>
        </w:rPr>
        <w:t xml:space="preserve">ensure </w:t>
      </w:r>
      <w:r w:rsidRPr="00F76EAE">
        <w:rPr>
          <w:rFonts w:asciiTheme="majorHAnsi" w:hAnsiTheme="majorHAnsi"/>
          <w:i/>
        </w:rPr>
        <w:t>meaningful participation of women and girls with disabilities in the development, implementation, and monitoring and evaluation of existing and forthcoming State policies and programs of the Ministry of Labour, Health and Social Affairs​</w:t>
      </w:r>
      <w:r w:rsidRPr="00F76EAE">
        <w:rPr>
          <w:rFonts w:asciiTheme="majorHAnsi" w:hAnsiTheme="majorHAnsi" w:cs="Sylfaen"/>
          <w:i/>
        </w:rPr>
        <w:t>.</w:t>
      </w:r>
    </w:p>
    <w:p w:rsidR="00424BDD" w:rsidRPr="00F76EAE" w:rsidRDefault="00424BDD" w:rsidP="00424BDD">
      <w:pPr>
        <w:pStyle w:val="ListParagraph"/>
        <w:numPr>
          <w:ilvl w:val="0"/>
          <w:numId w:val="3"/>
        </w:numPr>
        <w:tabs>
          <w:tab w:val="left" w:pos="6840"/>
        </w:tabs>
        <w:spacing w:after="0" w:line="240" w:lineRule="auto"/>
        <w:ind w:right="-180"/>
        <w:contextualSpacing w:val="0"/>
        <w:jc w:val="both"/>
        <w:rPr>
          <w:rFonts w:asciiTheme="majorHAnsi" w:hAnsiTheme="majorHAnsi" w:cs="Calibri Light"/>
          <w:i/>
        </w:rPr>
      </w:pPr>
      <w:r w:rsidRPr="00F76EAE">
        <w:rPr>
          <w:rFonts w:asciiTheme="majorHAnsi" w:hAnsiTheme="majorHAnsi"/>
          <w:i/>
        </w:rPr>
        <w:t xml:space="preserve"> Adapt healthcare facilities’ infrastructure and capacity to accommodate women with disabilities.</w:t>
      </w:r>
      <w:r>
        <w:rPr>
          <w:rFonts w:asciiTheme="majorHAnsi" w:hAnsiTheme="majorHAnsi"/>
          <w:i/>
          <w:lang w:val="ka-GE"/>
        </w:rPr>
        <w:t xml:space="preserve"> </w:t>
      </w:r>
    </w:p>
    <w:p w:rsidR="00424BDD" w:rsidRPr="00F76EAE" w:rsidRDefault="00424BDD" w:rsidP="00424BDD">
      <w:pPr>
        <w:tabs>
          <w:tab w:val="left" w:pos="6840"/>
        </w:tabs>
        <w:ind w:right="-180"/>
        <w:jc w:val="both"/>
        <w:rPr>
          <w:rFonts w:asciiTheme="majorHAnsi" w:hAnsiTheme="majorHAnsi" w:cstheme="majorHAnsi"/>
          <w:bCs/>
          <w:iCs/>
        </w:rPr>
      </w:pPr>
    </w:p>
    <w:p w:rsidR="00801536" w:rsidRDefault="00801536"/>
    <w:sectPr w:rsidR="00801536" w:rsidSect="0080153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7BB4" w:rsidRDefault="001B7BB4" w:rsidP="00424BDD">
      <w:pPr>
        <w:spacing w:after="0" w:line="240" w:lineRule="auto"/>
      </w:pPr>
      <w:r>
        <w:separator/>
      </w:r>
    </w:p>
  </w:endnote>
  <w:endnote w:type="continuationSeparator" w:id="1">
    <w:p w:rsidR="001B7BB4" w:rsidRDefault="001B7BB4" w:rsidP="00424B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PG Arial">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Gothic">
    <w:altName w:val="游ゴシック"/>
    <w:panose1 w:val="020B04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Light">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7BB4" w:rsidRDefault="001B7BB4" w:rsidP="00424BDD">
      <w:pPr>
        <w:spacing w:after="0" w:line="240" w:lineRule="auto"/>
      </w:pPr>
      <w:r>
        <w:separator/>
      </w:r>
    </w:p>
  </w:footnote>
  <w:footnote w:type="continuationSeparator" w:id="1">
    <w:p w:rsidR="001B7BB4" w:rsidRDefault="001B7BB4" w:rsidP="00424BDD">
      <w:pPr>
        <w:spacing w:after="0" w:line="240" w:lineRule="auto"/>
      </w:pPr>
      <w:r>
        <w:continuationSeparator/>
      </w:r>
    </w:p>
  </w:footnote>
  <w:footnote w:id="2">
    <w:p w:rsidR="00424BDD" w:rsidRPr="00E857BA" w:rsidRDefault="00424BDD" w:rsidP="00424BDD">
      <w:pPr>
        <w:pStyle w:val="FootnoteText"/>
        <w:rPr>
          <w:rFonts w:ascii="Sylfaen" w:eastAsia="Yu Gothic" w:hAnsi="Sylfaen"/>
          <w:sz w:val="16"/>
          <w:szCs w:val="16"/>
        </w:rPr>
      </w:pPr>
      <w:r w:rsidRPr="00E857BA">
        <w:rPr>
          <w:rStyle w:val="FootnoteReference"/>
          <w:rFonts w:ascii="Sylfaen" w:eastAsia="Yu Gothic" w:hAnsi="Sylfaen"/>
          <w:sz w:val="16"/>
          <w:szCs w:val="16"/>
        </w:rPr>
        <w:footnoteRef/>
      </w:r>
      <w:r w:rsidRPr="00E857BA">
        <w:rPr>
          <w:rFonts w:ascii="Sylfaen" w:eastAsia="Yu Gothic" w:hAnsi="Sylfaen"/>
          <w:sz w:val="16"/>
          <w:szCs w:val="16"/>
        </w:rPr>
        <w:t xml:space="preserve">  Alternative report To the United Nations Committee on the Elimination of Discrimination against Women (CEDAW) Concerning women’s rights and gender issues in Georgia. Available at: </w:t>
      </w:r>
      <w:hyperlink r:id="rId1" w:history="1">
        <w:r w:rsidRPr="00E857BA">
          <w:rPr>
            <w:rStyle w:val="Hyperlink"/>
            <w:rFonts w:ascii="Sylfaen" w:eastAsia="Yu Gothic" w:hAnsi="Sylfaen"/>
            <w:sz w:val="16"/>
            <w:szCs w:val="16"/>
          </w:rPr>
          <w:t>https://tbinternet.ohchr.org/Treaties/CEDAW/Shared%20Documents/GEO/INT_CEDAW_NGO_GEO_17610_E.pdf</w:t>
        </w:r>
      </w:hyperlink>
    </w:p>
  </w:footnote>
  <w:footnote w:id="3">
    <w:p w:rsidR="00424BDD" w:rsidRDefault="00424BDD" w:rsidP="00424BDD">
      <w:pPr>
        <w:pStyle w:val="FootnoteText"/>
      </w:pPr>
      <w:r>
        <w:rPr>
          <w:rStyle w:val="FootnoteReference"/>
        </w:rPr>
        <w:footnoteRef/>
      </w:r>
      <w:r w:rsidRPr="00E857BA">
        <w:rPr>
          <w:rFonts w:ascii="Sylfaen" w:eastAsia="Yu Gothic" w:hAnsi="Sylfaen" w:cs="Segoe UI"/>
          <w:color w:val="000000"/>
          <w:sz w:val="16"/>
          <w:szCs w:val="16"/>
          <w:shd w:val="clear" w:color="auto" w:fill="FFFFFF"/>
        </w:rPr>
        <w:t xml:space="preserve">CEDAW/C/GEO/6. Available at: </w:t>
      </w:r>
      <w:hyperlink r:id="rId2" w:history="1">
        <w:r w:rsidRPr="00E857BA">
          <w:rPr>
            <w:rStyle w:val="Hyperlink"/>
            <w:rFonts w:ascii="Sylfaen" w:eastAsia="Yu Gothic" w:hAnsi="Sylfaen" w:cs="Segoe UI"/>
            <w:sz w:val="16"/>
            <w:szCs w:val="16"/>
            <w:shd w:val="clear" w:color="auto" w:fill="FFFFFF"/>
          </w:rPr>
          <w:t>https://tbinternet.ohchr.org/_layouts/15/treatybodyexternal/Download.aspx?symbolno=CEDAW%2fC%2fGEO%2f6&amp;Lang=en</w:t>
        </w:r>
      </w:hyperlink>
    </w:p>
  </w:footnote>
  <w:footnote w:id="4">
    <w:p w:rsidR="00424BDD" w:rsidRDefault="00424BDD" w:rsidP="00424BDD">
      <w:pPr>
        <w:pStyle w:val="FootnoteText"/>
      </w:pPr>
      <w:r>
        <w:rPr>
          <w:rStyle w:val="FootnoteReference"/>
        </w:rPr>
        <w:footnoteRef/>
      </w:r>
      <w:r w:rsidRPr="00EC5138">
        <w:rPr>
          <w:rFonts w:ascii="Sylfaen" w:eastAsia="Yu Gothic" w:hAnsi="Sylfaen"/>
          <w:sz w:val="16"/>
          <w:szCs w:val="16"/>
        </w:rPr>
        <w:t xml:space="preserve">CEDAW/C/GEO/CO/4-5. Available at: </w:t>
      </w:r>
      <w:hyperlink r:id="rId3" w:history="1">
        <w:r w:rsidRPr="00EC5138">
          <w:rPr>
            <w:rStyle w:val="Hyperlink"/>
            <w:rFonts w:ascii="Sylfaen" w:eastAsia="Yu Gothic" w:hAnsi="Sylfaen" w:cs="Segoe UI"/>
            <w:sz w:val="16"/>
            <w:szCs w:val="16"/>
            <w:shd w:val="clear" w:color="auto" w:fill="FFFFFF"/>
          </w:rPr>
          <w:t>https://tbinternet.ohchr.org/_layouts/15/treatybodyexternal/Download.aspx?symbolno=CEDAW%2fC%2fGEO%2fCO%2f4-5&amp;Lang=en</w:t>
        </w:r>
      </w:hyperlink>
    </w:p>
  </w:footnote>
  <w:footnote w:id="5">
    <w:p w:rsidR="00424BDD" w:rsidRDefault="00424BDD" w:rsidP="00424BDD">
      <w:pPr>
        <w:pStyle w:val="FootnoteText"/>
      </w:pPr>
      <w:r>
        <w:rPr>
          <w:rStyle w:val="FootnoteReference"/>
        </w:rPr>
        <w:footnoteRef/>
      </w:r>
      <w:r w:rsidRPr="00474066">
        <w:rPr>
          <w:rFonts w:ascii="Sylfaen" w:eastAsia="Yu Gothic" w:hAnsi="Sylfaen"/>
          <w:sz w:val="16"/>
          <w:szCs w:val="16"/>
        </w:rPr>
        <w:t>Including CEDAW, Istanbul Convention, The Beijing Platform for Action, SDGs, CRPD</w:t>
      </w:r>
    </w:p>
  </w:footnote>
  <w:footnote w:id="6">
    <w:p w:rsidR="00424BDD" w:rsidRDefault="00424BDD" w:rsidP="00424BDD">
      <w:pPr>
        <w:pStyle w:val="FootnoteText"/>
      </w:pPr>
      <w:r>
        <w:rPr>
          <w:rStyle w:val="FootnoteReference"/>
        </w:rPr>
        <w:footnoteRef/>
      </w:r>
      <w:r w:rsidRPr="00474066">
        <w:rPr>
          <w:rFonts w:ascii="Times New Roman" w:eastAsia="Yu Gothic" w:hAnsi="Times New Roman"/>
          <w:sz w:val="16"/>
          <w:szCs w:val="16"/>
        </w:rPr>
        <w:t>“Introduce age-appropriate sexual and reproductive health and rights education, including on responsible sexual behavior, at all levels.”</w:t>
      </w:r>
    </w:p>
  </w:footnote>
  <w:footnote w:id="7">
    <w:p w:rsidR="00424BDD" w:rsidRPr="00435572" w:rsidRDefault="00424BDD" w:rsidP="00424BDD">
      <w:pPr>
        <w:pStyle w:val="FootnoteText"/>
        <w:rPr>
          <w:rFonts w:ascii="Times New Roman" w:hAnsi="Times New Roman"/>
        </w:rPr>
      </w:pPr>
      <w:r w:rsidRPr="00435572">
        <w:rPr>
          <w:rStyle w:val="FootnoteReference"/>
          <w:rFonts w:ascii="Times New Roman" w:hAnsi="Times New Roman"/>
        </w:rPr>
        <w:footnoteRef/>
      </w:r>
      <w:r w:rsidRPr="00435572">
        <w:rPr>
          <w:rFonts w:ascii="Times New Roman" w:eastAsia="Yu Gothic" w:hAnsi="Times New Roman"/>
          <w:sz w:val="16"/>
          <w:szCs w:val="16"/>
        </w:rPr>
        <w:t>UNDP and the GEC, Gender Equality in Georgia: Barriers and Recommendations, vol. 2, pp. 64-65</w:t>
      </w:r>
    </w:p>
  </w:footnote>
  <w:footnote w:id="8">
    <w:p w:rsidR="00424BDD" w:rsidRPr="00435572" w:rsidRDefault="00424BDD" w:rsidP="00424BDD">
      <w:pPr>
        <w:pStyle w:val="FootnoteText"/>
        <w:tabs>
          <w:tab w:val="right" w:pos="-142"/>
        </w:tabs>
        <w:ind w:right="-630"/>
        <w:rPr>
          <w:rFonts w:ascii="Times New Roman" w:eastAsia="Yu Gothic" w:hAnsi="Times New Roman"/>
          <w:sz w:val="16"/>
          <w:szCs w:val="16"/>
        </w:rPr>
      </w:pPr>
      <w:r w:rsidRPr="00435572">
        <w:rPr>
          <w:rStyle w:val="FootnoteReference"/>
          <w:rFonts w:ascii="Times New Roman" w:eastAsia="Yu Gothic" w:hAnsi="Times New Roman"/>
          <w:sz w:val="16"/>
          <w:szCs w:val="16"/>
        </w:rPr>
        <w:footnoteRef/>
      </w:r>
      <w:r w:rsidRPr="00435572">
        <w:rPr>
          <w:rFonts w:ascii="Times New Roman" w:eastAsia="Yu Gothic" w:hAnsi="Times New Roman"/>
          <w:sz w:val="16"/>
          <w:szCs w:val="16"/>
        </w:rPr>
        <w:t xml:space="preserve"> OECD Reviews of Evaluation and Assessment in Education: Georgia, 2019, Chapter 1. available at: </w:t>
      </w:r>
      <w:hyperlink r:id="rId4" w:history="1">
        <w:r w:rsidRPr="00435572">
          <w:rPr>
            <w:rStyle w:val="Hyperlink"/>
            <w:rFonts w:ascii="Times New Roman" w:eastAsia="Yu Gothic" w:hAnsi="Times New Roman"/>
            <w:sz w:val="16"/>
            <w:szCs w:val="16"/>
          </w:rPr>
          <w:t>https://www.oecd-ilibrary.org/education/oecd-reviews-of-evaluation-and-assessment-in-education-georgia_94dc370e-en</w:t>
        </w:r>
      </w:hyperlink>
    </w:p>
  </w:footnote>
  <w:footnote w:id="9">
    <w:p w:rsidR="00424BDD" w:rsidRPr="00E857BA" w:rsidRDefault="00424BDD" w:rsidP="00424BDD">
      <w:pPr>
        <w:pStyle w:val="FootnoteText"/>
        <w:tabs>
          <w:tab w:val="right" w:pos="-142"/>
        </w:tabs>
        <w:ind w:right="-630"/>
        <w:rPr>
          <w:rFonts w:ascii="Sylfaen" w:eastAsia="Yu Gothic" w:hAnsi="Sylfaen"/>
          <w:sz w:val="16"/>
          <w:szCs w:val="16"/>
        </w:rPr>
      </w:pPr>
      <w:r w:rsidRPr="00435572">
        <w:rPr>
          <w:rStyle w:val="FootnoteReference"/>
          <w:rFonts w:ascii="Times New Roman" w:eastAsia="Yu Gothic" w:hAnsi="Times New Roman"/>
          <w:sz w:val="16"/>
          <w:szCs w:val="16"/>
        </w:rPr>
        <w:footnoteRef/>
      </w:r>
      <w:r w:rsidRPr="00435572">
        <w:rPr>
          <w:rFonts w:ascii="Times New Roman" w:eastAsia="Yu Gothic" w:hAnsi="Times New Roman"/>
          <w:sz w:val="16"/>
          <w:szCs w:val="16"/>
        </w:rPr>
        <w:t xml:space="preserve"> Sexuality Education in Georgia, 2019, HERA XXI. Policy Brief available at: </w:t>
      </w:r>
      <w:hyperlink r:id="rId5" w:history="1">
        <w:r w:rsidRPr="00435572">
          <w:rPr>
            <w:rStyle w:val="Hyperlink"/>
            <w:rFonts w:ascii="Times New Roman" w:eastAsia="Yu Gothic" w:hAnsi="Times New Roman"/>
            <w:sz w:val="16"/>
            <w:szCs w:val="16"/>
          </w:rPr>
          <w:t>http://hera-youth.ge/wp-content/uploads/2020/12/Checked-Policy-Brief-final-2.pdf</w:t>
        </w:r>
      </w:hyperlink>
    </w:p>
  </w:footnote>
  <w:footnote w:id="10">
    <w:p w:rsidR="00424BDD" w:rsidRDefault="00424BDD" w:rsidP="00424BDD">
      <w:pPr>
        <w:pStyle w:val="FootnoteText"/>
      </w:pPr>
      <w:r>
        <w:rPr>
          <w:rStyle w:val="FootnoteReference"/>
        </w:rPr>
        <w:footnoteRef/>
      </w:r>
      <w:r w:rsidRPr="00D143FC">
        <w:rPr>
          <w:rFonts w:ascii="Times New Roman" w:hAnsi="Times New Roman"/>
          <w:sz w:val="16"/>
          <w:szCs w:val="16"/>
        </w:rPr>
        <w:t>The concluding observation of CEDAW to Georgia recommends state "provide access to family planning services and affordable contraceptive methods, including all modern forms of contraception, especially for women in rural areas" (Paragraph 31, a).</w:t>
      </w:r>
    </w:p>
  </w:footnote>
  <w:footnote w:id="11">
    <w:p w:rsidR="00424BDD" w:rsidRPr="007238C1" w:rsidRDefault="00424BDD" w:rsidP="00424BDD">
      <w:pPr>
        <w:pStyle w:val="FootnoteText"/>
        <w:rPr>
          <w:lang w:val="ka-GE"/>
        </w:rPr>
      </w:pPr>
      <w:r>
        <w:rPr>
          <w:rStyle w:val="FootnoteReference"/>
        </w:rPr>
        <w:footnoteRef/>
      </w:r>
      <w:r>
        <w:rPr>
          <w:rFonts w:ascii="Times New Roman" w:hAnsi="Times New Roman"/>
          <w:sz w:val="16"/>
          <w:szCs w:val="16"/>
        </w:rPr>
        <w:t>The</w:t>
      </w:r>
      <w:r w:rsidRPr="007238C1">
        <w:rPr>
          <w:rFonts w:ascii="Times New Roman" w:hAnsi="Times New Roman"/>
          <w:sz w:val="16"/>
          <w:szCs w:val="16"/>
        </w:rPr>
        <w:t xml:space="preserve"> Maternal and Newborn Health strategy for 2017‐2030 . Available in GEO:  </w:t>
      </w:r>
      <w:hyperlink r:id="rId6" w:history="1">
        <w:r w:rsidRPr="006D7B7D">
          <w:rPr>
            <w:rStyle w:val="Hyperlink"/>
            <w:rFonts w:ascii="Times New Roman" w:eastAsia="Yu Gothic" w:hAnsi="Times New Roman"/>
            <w:sz w:val="16"/>
            <w:szCs w:val="16"/>
          </w:rPr>
          <w:t>http://gov.ge/files/469_62645_237501_459.pdf</w:t>
        </w:r>
      </w:hyperlink>
    </w:p>
  </w:footnote>
  <w:footnote w:id="12">
    <w:p w:rsidR="00424BDD" w:rsidRDefault="00424BDD" w:rsidP="00424BDD">
      <w:pPr>
        <w:pStyle w:val="FootnoteText"/>
      </w:pPr>
      <w:r>
        <w:rPr>
          <w:rStyle w:val="FootnoteReference"/>
        </w:rPr>
        <w:footnoteRef/>
      </w:r>
      <w:r w:rsidRPr="007238C1">
        <w:rPr>
          <w:rFonts w:ascii="Times New Roman" w:hAnsi="Times New Roman"/>
          <w:sz w:val="16"/>
          <w:szCs w:val="16"/>
        </w:rPr>
        <w:t>How COVID-19 Related Isolation Measures Impacted Access to Selected Sexual and Reproductive Health Services in Georgia</w:t>
      </w:r>
      <w:r>
        <w:rPr>
          <w:rFonts w:ascii="Times New Roman" w:hAnsi="Times New Roman"/>
          <w:sz w:val="16"/>
          <w:szCs w:val="16"/>
        </w:rPr>
        <w:t xml:space="preserve">. UNFPA, 2020. Available at: </w:t>
      </w:r>
      <w:hyperlink r:id="rId7" w:history="1">
        <w:r w:rsidRPr="006D7B7D">
          <w:rPr>
            <w:rStyle w:val="Hyperlink"/>
            <w:rFonts w:ascii="Times New Roman" w:hAnsi="Times New Roman"/>
            <w:sz w:val="16"/>
            <w:szCs w:val="16"/>
          </w:rPr>
          <w:t>https://georgia.unfpa.org/sites/default/files/pub-pdf/unfpa-cif_report.pdf</w:t>
        </w:r>
      </w:hyperlink>
    </w:p>
  </w:footnote>
  <w:footnote w:id="13">
    <w:p w:rsidR="00424BDD" w:rsidRPr="00D143FC" w:rsidRDefault="00424BDD" w:rsidP="00424BDD">
      <w:pPr>
        <w:pStyle w:val="FootnoteText"/>
        <w:rPr>
          <w:rFonts w:ascii="Times New Roman" w:hAnsi="Times New Roman"/>
          <w:sz w:val="16"/>
          <w:szCs w:val="16"/>
        </w:rPr>
      </w:pPr>
      <w:r>
        <w:rPr>
          <w:rStyle w:val="FootnoteReference"/>
        </w:rPr>
        <w:footnoteRef/>
      </w:r>
      <w:r w:rsidRPr="00D143FC">
        <w:rPr>
          <w:rFonts w:ascii="Times New Roman" w:hAnsi="Times New Roman"/>
          <w:sz w:val="16"/>
          <w:szCs w:val="16"/>
        </w:rPr>
        <w:t>Evaluation of the action plan for the promotion of maternal and newborn health of Georgia for 2017-2019</w:t>
      </w:r>
      <w:r>
        <w:rPr>
          <w:rFonts w:ascii="Times New Roman" w:hAnsi="Times New Roman"/>
          <w:sz w:val="16"/>
          <w:szCs w:val="16"/>
        </w:rPr>
        <w:t>. Association HERA XXI</w:t>
      </w:r>
    </w:p>
  </w:footnote>
  <w:footnote w:id="14">
    <w:p w:rsidR="00424BDD" w:rsidRPr="00435572" w:rsidRDefault="00424BDD" w:rsidP="00424BDD">
      <w:pPr>
        <w:pStyle w:val="FootnoteText"/>
        <w:ind w:right="90"/>
        <w:rPr>
          <w:rFonts w:ascii="Times New Roman" w:eastAsia="Yu Gothic" w:hAnsi="Times New Roman"/>
          <w:sz w:val="16"/>
          <w:szCs w:val="16"/>
          <w:lang w:val="ka-GE"/>
        </w:rPr>
      </w:pPr>
      <w:r w:rsidRPr="00435572">
        <w:rPr>
          <w:rStyle w:val="FootnoteReference"/>
          <w:rFonts w:ascii="Times New Roman" w:eastAsia="Yu Gothic" w:hAnsi="Times New Roman"/>
          <w:sz w:val="16"/>
          <w:szCs w:val="16"/>
        </w:rPr>
        <w:footnoteRef/>
      </w:r>
      <w:r w:rsidRPr="00435572">
        <w:rPr>
          <w:rFonts w:ascii="Times New Roman" w:eastAsia="Yu Gothic" w:hAnsi="Times New Roman"/>
          <w:sz w:val="16"/>
          <w:szCs w:val="16"/>
        </w:rPr>
        <w:t xml:space="preserve"> HERA XXI, RFSU. Primary Healthcare in Georgia, Analysis of System and Recommendations for Real Changes, 2020. available at: </w:t>
      </w:r>
      <w:hyperlink r:id="rId8" w:history="1">
        <w:r w:rsidRPr="00435572">
          <w:rPr>
            <w:rStyle w:val="Hyperlink"/>
            <w:rFonts w:ascii="Times New Roman" w:eastAsia="Yu Gothic" w:hAnsi="Times New Roman"/>
            <w:sz w:val="16"/>
            <w:szCs w:val="16"/>
          </w:rPr>
          <w:t>http://hera-youth.ge/wp-content/uploads/2021/03/Pirveladi-Jandacva.pdf</w:t>
        </w:r>
      </w:hyperlink>
    </w:p>
  </w:footnote>
  <w:footnote w:id="15">
    <w:p w:rsidR="00424BDD" w:rsidRDefault="00424BDD" w:rsidP="00424BDD">
      <w:pPr>
        <w:pStyle w:val="FootnoteText"/>
      </w:pPr>
      <w:r>
        <w:rPr>
          <w:rStyle w:val="FootnoteReference"/>
        </w:rPr>
        <w:footnoteRef/>
      </w:r>
      <w:r>
        <w:t xml:space="preserve"> </w:t>
      </w:r>
      <w:r w:rsidRPr="00D93BAE">
        <w:t>Evaluation of the action plan for the promotion of maternal and newborn health of Georgia for 2017-2019. Association HERA XXI</w:t>
      </w:r>
    </w:p>
  </w:footnote>
  <w:footnote w:id="16">
    <w:p w:rsidR="00424BDD" w:rsidRPr="007238C1" w:rsidRDefault="00424BDD" w:rsidP="00424BDD">
      <w:pPr>
        <w:pStyle w:val="FootnoteText"/>
        <w:rPr>
          <w:rFonts w:ascii="Times New Roman" w:eastAsia="Yu Gothic" w:hAnsi="Times New Roman"/>
          <w:sz w:val="16"/>
          <w:szCs w:val="16"/>
        </w:rPr>
      </w:pPr>
      <w:r>
        <w:rPr>
          <w:rStyle w:val="FootnoteReference"/>
        </w:rPr>
        <w:footnoteRef/>
      </w:r>
      <w:r w:rsidRPr="007238C1">
        <w:rPr>
          <w:rFonts w:ascii="Times New Roman" w:eastAsia="Yu Gothic" w:hAnsi="Times New Roman"/>
          <w:sz w:val="16"/>
          <w:szCs w:val="16"/>
        </w:rPr>
        <w:t>Protocol "Safe Termination of Pregnancy", approved by the Ministry of Labor and Health of Georgia</w:t>
      </w:r>
    </w:p>
    <w:p w:rsidR="00424BDD" w:rsidRPr="007238C1" w:rsidRDefault="00424BDD" w:rsidP="00424BDD">
      <w:pPr>
        <w:pStyle w:val="FootnoteText"/>
        <w:rPr>
          <w:lang w:val="ka-GE"/>
        </w:rPr>
      </w:pPr>
      <w:r w:rsidRPr="007238C1">
        <w:rPr>
          <w:rFonts w:ascii="Times New Roman" w:eastAsia="Yu Gothic" w:hAnsi="Times New Roman"/>
          <w:sz w:val="16"/>
          <w:szCs w:val="16"/>
        </w:rPr>
        <w:t>And the Minister of Social Protection 2014. By order of 01-182 / o of 28 July</w:t>
      </w:r>
    </w:p>
  </w:footnote>
  <w:footnote w:id="17">
    <w:p w:rsidR="00424BDD" w:rsidRPr="00976072" w:rsidRDefault="00424BDD" w:rsidP="00424BDD">
      <w:pPr>
        <w:pStyle w:val="FootnoteText"/>
        <w:rPr>
          <w:rFonts w:ascii="Times New Roman" w:hAnsi="Times New Roman"/>
          <w:sz w:val="16"/>
          <w:szCs w:val="16"/>
          <w:lang w:val="ka-GE"/>
        </w:rPr>
      </w:pPr>
      <w:r w:rsidRPr="00976072">
        <w:rPr>
          <w:rStyle w:val="FootnoteReference"/>
          <w:rFonts w:ascii="Times New Roman" w:hAnsi="Times New Roman"/>
          <w:sz w:val="16"/>
          <w:szCs w:val="16"/>
        </w:rPr>
        <w:footnoteRef/>
      </w:r>
      <w:r w:rsidRPr="00976072">
        <w:rPr>
          <w:rFonts w:ascii="Times New Roman" w:eastAsia="Yu Gothic" w:hAnsi="Times New Roman"/>
          <w:sz w:val="16"/>
          <w:szCs w:val="16"/>
        </w:rPr>
        <w:t>Barriers to access to safe abortion services in women of reproductive age, 2019, available at</w:t>
      </w:r>
      <w:r w:rsidRPr="00976072">
        <w:rPr>
          <w:rFonts w:ascii="Times New Roman" w:hAnsi="Times New Roman"/>
          <w:sz w:val="16"/>
          <w:szCs w:val="16"/>
        </w:rPr>
        <w:t xml:space="preserve">  : </w:t>
      </w:r>
      <w:hyperlink r:id="rId9" w:history="1">
        <w:r w:rsidRPr="00976072">
          <w:rPr>
            <w:rStyle w:val="Hyperlink"/>
            <w:rFonts w:ascii="Times New Roman" w:hAnsi="Times New Roman"/>
            <w:sz w:val="16"/>
            <w:szCs w:val="16"/>
          </w:rPr>
          <w:t>http://hera-youth.ge/wp-content/uploads/2019/05/Barriers-to-accessing-safe-abortion.pdf</w:t>
        </w:r>
      </w:hyperlink>
    </w:p>
  </w:footnote>
  <w:footnote w:id="18">
    <w:p w:rsidR="00424BDD" w:rsidRPr="00F76EAE" w:rsidRDefault="00424BDD" w:rsidP="00424BDD">
      <w:pPr>
        <w:pStyle w:val="FootnoteText"/>
        <w:rPr>
          <w:rFonts w:ascii="Times New Roman" w:eastAsia="Yu Gothic" w:hAnsi="Times New Roman"/>
          <w:sz w:val="16"/>
          <w:szCs w:val="16"/>
        </w:rPr>
      </w:pPr>
      <w:r w:rsidRPr="00F76EAE">
        <w:rPr>
          <w:rStyle w:val="FootnoteReference"/>
        </w:rPr>
        <w:footnoteRef/>
      </w:r>
      <w:r w:rsidRPr="00F76EAE">
        <w:rPr>
          <w:rFonts w:ascii="Times New Roman" w:eastAsia="Yu Gothic" w:hAnsi="Times New Roman"/>
          <w:sz w:val="16"/>
          <w:szCs w:val="16"/>
        </w:rPr>
        <w:t>Under an order of the Minister of Health, the period can be reduced to three days, if a woman applies for abortion in the 12th week of pregnancy and the term of 12 weeks is expiring.</w:t>
      </w:r>
    </w:p>
  </w:footnote>
  <w:footnote w:id="19">
    <w:p w:rsidR="00424BDD" w:rsidRPr="00F76EAE" w:rsidRDefault="00424BDD" w:rsidP="00424BDD">
      <w:pPr>
        <w:pStyle w:val="FootnoteText"/>
        <w:rPr>
          <w:rFonts w:asciiTheme="minorHAnsi" w:hAnsiTheme="minorHAnsi"/>
          <w:lang w:val="ka-GE"/>
        </w:rPr>
      </w:pPr>
      <w:r w:rsidRPr="00976072">
        <w:rPr>
          <w:rStyle w:val="FootnoteReference"/>
          <w:rFonts w:ascii="Times New Roman" w:hAnsi="Times New Roman"/>
          <w:sz w:val="16"/>
          <w:szCs w:val="16"/>
        </w:rPr>
        <w:footnoteRef/>
      </w:r>
      <w:r w:rsidRPr="00976072">
        <w:rPr>
          <w:rFonts w:ascii="Times New Roman" w:hAnsi="Times New Roman"/>
          <w:sz w:val="16"/>
          <w:szCs w:val="16"/>
        </w:rPr>
        <w:t xml:space="preserve"> Law of Georgia on Health Care, Article 139, 2 b. available at :</w:t>
      </w:r>
      <w:hyperlink r:id="rId10" w:history="1">
        <w:r w:rsidRPr="00976072">
          <w:rPr>
            <w:rStyle w:val="Hyperlink"/>
            <w:rFonts w:ascii="Times New Roman" w:hAnsi="Times New Roman"/>
            <w:sz w:val="16"/>
            <w:szCs w:val="16"/>
          </w:rPr>
          <w:t>https://matsne.gov.ge/en/document/view/29980?publication=37</w:t>
        </w:r>
      </w:hyperlink>
    </w:p>
  </w:footnote>
  <w:footnote w:id="20">
    <w:p w:rsidR="00424BDD" w:rsidRPr="00E857BA" w:rsidRDefault="00424BDD" w:rsidP="00424BDD">
      <w:pPr>
        <w:pStyle w:val="FootnoteText"/>
        <w:ind w:left="567" w:right="-540" w:hanging="567"/>
        <w:rPr>
          <w:rFonts w:ascii="Sylfaen" w:eastAsia="Yu Gothic" w:hAnsi="Sylfaen"/>
          <w:sz w:val="16"/>
          <w:szCs w:val="16"/>
        </w:rPr>
      </w:pPr>
      <w:r w:rsidRPr="00E857BA">
        <w:rPr>
          <w:rStyle w:val="FootnoteReference"/>
          <w:rFonts w:ascii="Sylfaen" w:eastAsia="Yu Gothic" w:hAnsi="Sylfaen"/>
          <w:sz w:val="16"/>
          <w:szCs w:val="16"/>
        </w:rPr>
        <w:footnoteRef/>
      </w:r>
      <w:r w:rsidRPr="00E857BA">
        <w:rPr>
          <w:rFonts w:ascii="Sylfaen" w:eastAsia="Yu Gothic" w:hAnsi="Sylfaen"/>
          <w:sz w:val="16"/>
          <w:szCs w:val="16"/>
        </w:rPr>
        <w:t xml:space="preserve"> WHO, 2012 Safe Abortion Guidance at 96-97</w:t>
      </w:r>
    </w:p>
  </w:footnote>
  <w:footnote w:id="21">
    <w:p w:rsidR="00424BDD" w:rsidRPr="00464B6A" w:rsidRDefault="00424BDD" w:rsidP="00424BDD">
      <w:pPr>
        <w:pStyle w:val="FootnoteText"/>
        <w:ind w:right="-90"/>
        <w:rPr>
          <w:rFonts w:ascii="Sylfaen" w:eastAsia="Yu Gothic" w:hAnsi="Sylfaen"/>
          <w:sz w:val="16"/>
          <w:szCs w:val="16"/>
          <w:lang w:val="ka-GE"/>
        </w:rPr>
      </w:pPr>
      <w:r w:rsidRPr="00E857BA">
        <w:rPr>
          <w:rStyle w:val="FootnoteReference"/>
          <w:rFonts w:ascii="Sylfaen" w:eastAsia="Yu Gothic" w:hAnsi="Sylfaen"/>
          <w:sz w:val="16"/>
          <w:szCs w:val="16"/>
        </w:rPr>
        <w:footnoteRef/>
      </w:r>
      <w:r w:rsidRPr="00E857BA">
        <w:rPr>
          <w:rFonts w:ascii="Sylfaen" w:eastAsia="Yu Gothic" w:hAnsi="Sylfaen"/>
          <w:sz w:val="16"/>
          <w:szCs w:val="16"/>
        </w:rPr>
        <w:t xml:space="preserve"> Barriers to access to safe abortion services in women of reproductive age, 2019, available at : </w:t>
      </w:r>
      <w:hyperlink r:id="rId11" w:history="1">
        <w:r w:rsidRPr="00685CFF">
          <w:rPr>
            <w:rStyle w:val="Hyperlink"/>
            <w:rFonts w:ascii="Sylfaen" w:eastAsia="Yu Gothic" w:hAnsi="Sylfaen"/>
            <w:sz w:val="16"/>
            <w:szCs w:val="16"/>
          </w:rPr>
          <w:t>http://hera-youth.ge/wp-content/uploads/2019/05/Barriers-to-accessing-safe-abortion.pdf</w:t>
        </w:r>
      </w:hyperlink>
    </w:p>
  </w:footnote>
  <w:footnote w:id="22">
    <w:p w:rsidR="00424BDD" w:rsidRDefault="00424BDD" w:rsidP="00424BDD">
      <w:pPr>
        <w:pStyle w:val="FootnoteText"/>
      </w:pPr>
      <w:r>
        <w:rPr>
          <w:rStyle w:val="FootnoteReference"/>
        </w:rPr>
        <w:footnoteRef/>
      </w:r>
      <w:r w:rsidRPr="00584F49">
        <w:rPr>
          <w:rFonts w:ascii="Sylfaen" w:eastAsia="Yu Gothic" w:hAnsi="Sylfaen"/>
          <w:sz w:val="16"/>
          <w:szCs w:val="16"/>
        </w:rPr>
        <w:t>How COVID-19 Related Isolation Measures Impacted Access to Selected Sexual and Reproductive Health Services in Georgia</w:t>
      </w:r>
      <w:r>
        <w:rPr>
          <w:rFonts w:ascii="Sylfaen" w:eastAsia="Yu Gothic" w:hAnsi="Sylfaen"/>
          <w:sz w:val="16"/>
          <w:szCs w:val="16"/>
        </w:rPr>
        <w:t xml:space="preserve">. UNFPA Georgia, 2020. Available at: </w:t>
      </w:r>
      <w:hyperlink r:id="rId12" w:history="1">
        <w:r w:rsidRPr="006D7B7D">
          <w:rPr>
            <w:rStyle w:val="Hyperlink"/>
            <w:rFonts w:ascii="Sylfaen" w:eastAsia="Yu Gothic" w:hAnsi="Sylfaen"/>
            <w:sz w:val="16"/>
            <w:szCs w:val="16"/>
          </w:rPr>
          <w:t>https://georgia.unfpa.org/sites/default/files/pub-pdf/unfpa-cif_report.pdf</w:t>
        </w:r>
      </w:hyperlink>
    </w:p>
  </w:footnote>
  <w:footnote w:id="23">
    <w:p w:rsidR="00424BDD" w:rsidRPr="00E857BA" w:rsidRDefault="00424BDD" w:rsidP="00424BDD">
      <w:pPr>
        <w:pStyle w:val="FootnoteText"/>
        <w:ind w:right="-720"/>
        <w:rPr>
          <w:rFonts w:ascii="Sylfaen" w:eastAsia="Yu Gothic" w:hAnsi="Sylfaen"/>
          <w:sz w:val="16"/>
          <w:szCs w:val="16"/>
        </w:rPr>
      </w:pPr>
      <w:r w:rsidRPr="00E857BA">
        <w:rPr>
          <w:rStyle w:val="FootnoteReference"/>
          <w:rFonts w:ascii="Sylfaen" w:eastAsia="Yu Gothic" w:hAnsi="Sylfaen"/>
          <w:sz w:val="16"/>
          <w:szCs w:val="16"/>
        </w:rPr>
        <w:footnoteRef/>
      </w:r>
      <w:r w:rsidRPr="0091424C">
        <w:rPr>
          <w:rFonts w:ascii="Times New Roman" w:eastAsia="Yu Gothic" w:hAnsi="Times New Roman"/>
          <w:sz w:val="16"/>
          <w:szCs w:val="16"/>
        </w:rPr>
        <w:t>Barriers to access to safe abortion services in women of reproductive age, 2019, available at :</w:t>
      </w:r>
      <w:hyperlink r:id="rId13" w:history="1">
        <w:r w:rsidRPr="0091424C">
          <w:rPr>
            <w:rStyle w:val="Hyperlink"/>
            <w:rFonts w:ascii="Times New Roman" w:hAnsi="Times New Roman"/>
            <w:sz w:val="16"/>
            <w:szCs w:val="16"/>
          </w:rPr>
          <w:t>http://hera-youth.ge/wp-content/uploads/2019/05/Barriers-to-accessing-safe-abortion.pdf</w:t>
        </w:r>
      </w:hyperlink>
    </w:p>
  </w:footnote>
  <w:footnote w:id="24">
    <w:p w:rsidR="00424BDD" w:rsidRPr="00E857BA" w:rsidRDefault="00424BDD" w:rsidP="00424BDD">
      <w:pPr>
        <w:pStyle w:val="FootnoteText"/>
        <w:rPr>
          <w:rFonts w:ascii="Sylfaen" w:eastAsia="Yu Gothic" w:hAnsi="Sylfaen"/>
          <w:sz w:val="16"/>
          <w:szCs w:val="16"/>
        </w:rPr>
      </w:pPr>
      <w:r w:rsidRPr="00E857BA">
        <w:rPr>
          <w:rStyle w:val="FootnoteReference"/>
          <w:rFonts w:ascii="Sylfaen" w:eastAsia="Yu Gothic" w:hAnsi="Sylfaen"/>
          <w:sz w:val="16"/>
          <w:szCs w:val="16"/>
        </w:rPr>
        <w:footnoteRef/>
      </w:r>
      <w:r w:rsidRPr="00E857BA">
        <w:rPr>
          <w:rFonts w:ascii="Sylfaen" w:eastAsia="Yu Gothic" w:hAnsi="Sylfaen"/>
          <w:sz w:val="16"/>
          <w:szCs w:val="16"/>
        </w:rPr>
        <w:t xml:space="preserve"> Georgia Maternal &amp; New-born Health Strategy 2017-2030, P. 18</w:t>
      </w:r>
    </w:p>
  </w:footnote>
  <w:footnote w:id="25">
    <w:p w:rsidR="00424BDD" w:rsidRPr="00E857BA" w:rsidRDefault="00424BDD" w:rsidP="00424BDD">
      <w:pPr>
        <w:pStyle w:val="FootnoteText"/>
        <w:tabs>
          <w:tab w:val="right" w:pos="90"/>
        </w:tabs>
        <w:ind w:right="-450"/>
        <w:rPr>
          <w:rFonts w:ascii="Sylfaen" w:eastAsia="Yu Gothic" w:hAnsi="Sylfaen"/>
          <w:sz w:val="16"/>
          <w:szCs w:val="16"/>
        </w:rPr>
      </w:pPr>
      <w:r w:rsidRPr="00E857BA">
        <w:rPr>
          <w:rStyle w:val="FootnoteReference"/>
          <w:rFonts w:ascii="Sylfaen" w:eastAsia="Yu Gothic" w:hAnsi="Sylfaen"/>
          <w:sz w:val="16"/>
          <w:szCs w:val="16"/>
        </w:rPr>
        <w:footnoteRef/>
      </w:r>
      <w:r w:rsidRPr="00E857BA">
        <w:rPr>
          <w:rFonts w:ascii="Sylfaen" w:eastAsia="Yu Gothic" w:hAnsi="Sylfaen"/>
          <w:sz w:val="16"/>
          <w:szCs w:val="16"/>
        </w:rPr>
        <w:t xml:space="preserve"> Survey of the experiences and needs of girls and women of childbearing age in relation to sexual and gender-based violence, SRH issues, termination of pregnancy and family planning in the neighbouring villages of the occupied territories of ShidaKartli.</w:t>
      </w:r>
    </w:p>
  </w:footnote>
  <w:footnote w:id="26">
    <w:p w:rsidR="00424BDD" w:rsidRPr="00E857BA" w:rsidRDefault="00424BDD" w:rsidP="00424BDD">
      <w:pPr>
        <w:pStyle w:val="FootnoteText"/>
        <w:ind w:right="-270"/>
        <w:rPr>
          <w:rFonts w:ascii="Sylfaen" w:eastAsia="Yu Gothic" w:hAnsi="Sylfaen"/>
          <w:sz w:val="16"/>
          <w:szCs w:val="16"/>
        </w:rPr>
      </w:pPr>
      <w:r w:rsidRPr="00E857BA">
        <w:rPr>
          <w:rStyle w:val="FootnoteReference"/>
          <w:rFonts w:ascii="Sylfaen" w:eastAsia="Yu Gothic" w:hAnsi="Sylfaen"/>
          <w:sz w:val="16"/>
          <w:szCs w:val="16"/>
        </w:rPr>
        <w:footnoteRef/>
      </w:r>
      <w:r w:rsidRPr="00E857BA">
        <w:rPr>
          <w:rFonts w:ascii="Sylfaen" w:eastAsia="Yu Gothic" w:hAnsi="Sylfaen"/>
          <w:sz w:val="16"/>
          <w:szCs w:val="16"/>
        </w:rPr>
        <w:t xml:space="preserve"> Public Defender of Georgia. HUMAN RIGHTS IN THE CONTEXT OF SEXUAL AND REPRODUCTIVE HEALTH AND WELLBEING IN GEORGIA: COUNTRY ASSESSMENT 2018.  available at: </w:t>
      </w:r>
      <w:hyperlink r:id="rId14" w:history="1">
        <w:r w:rsidRPr="009314EF">
          <w:rPr>
            <w:rStyle w:val="Hyperlink"/>
            <w:rFonts w:ascii="Sylfaen" w:eastAsia="Yu Gothic" w:hAnsi="Sylfaen"/>
            <w:sz w:val="16"/>
            <w:szCs w:val="16"/>
          </w:rPr>
          <w:t>https://www.ombudsman.ge/res/docs/2019040211031497196.pdf</w:t>
        </w:r>
      </w:hyperlink>
    </w:p>
  </w:footnote>
  <w:footnote w:id="27">
    <w:p w:rsidR="00424BDD" w:rsidRPr="003A1DE9" w:rsidRDefault="00424BDD" w:rsidP="00424BDD">
      <w:pPr>
        <w:pStyle w:val="FootnoteText"/>
      </w:pPr>
      <w:r>
        <w:rPr>
          <w:rStyle w:val="FootnoteReference"/>
        </w:rPr>
        <w:footnoteRef/>
      </w:r>
      <w:r>
        <w:t xml:space="preserve"> Order N225/</w:t>
      </w:r>
      <w:r>
        <w:rPr>
          <w:lang w:val="ka-GE"/>
        </w:rPr>
        <w:t xml:space="preserve">ნ </w:t>
      </w:r>
      <w:r>
        <w:t xml:space="preserve">avalaible at </w:t>
      </w:r>
      <w:r w:rsidRPr="003A1DE9">
        <w:t>https://www.matsne.gov.ge/ka/document/view/66100?publication=0</w:t>
      </w:r>
    </w:p>
  </w:footnote>
  <w:footnote w:id="28">
    <w:p w:rsidR="00424BDD" w:rsidRPr="00E857BA" w:rsidRDefault="00424BDD" w:rsidP="00424BDD">
      <w:pPr>
        <w:pStyle w:val="FootnoteText"/>
        <w:ind w:left="-270" w:right="-720"/>
        <w:rPr>
          <w:rFonts w:ascii="Sylfaen" w:eastAsia="Yu Gothic" w:hAnsi="Sylfaen"/>
          <w:sz w:val="16"/>
          <w:szCs w:val="16"/>
        </w:rPr>
      </w:pPr>
      <w:r w:rsidRPr="00E857BA">
        <w:rPr>
          <w:rStyle w:val="FootnoteReference"/>
          <w:rFonts w:ascii="Sylfaen" w:eastAsia="Yu Gothic" w:hAnsi="Sylfaen"/>
          <w:sz w:val="16"/>
          <w:szCs w:val="16"/>
        </w:rPr>
        <w:footnoteRef/>
      </w:r>
      <w:r w:rsidRPr="00E857BA">
        <w:rPr>
          <w:rFonts w:ascii="Sylfaen" w:eastAsia="Yu Gothic" w:hAnsi="Sylfaen"/>
          <w:sz w:val="16"/>
          <w:szCs w:val="16"/>
        </w:rPr>
        <w:t>Thematic Inquiry on Accessibility of Healthcare Services for Women and Girls with Disabilities</w:t>
      </w:r>
    </w:p>
  </w:footnote>
  <w:footnote w:id="29">
    <w:p w:rsidR="00424BDD" w:rsidRPr="00E857BA" w:rsidRDefault="00424BDD" w:rsidP="00424BDD">
      <w:pPr>
        <w:pStyle w:val="FootnoteText"/>
        <w:ind w:left="-270" w:right="-720"/>
        <w:rPr>
          <w:rFonts w:ascii="Sylfaen" w:eastAsia="Yu Gothic" w:hAnsi="Sylfaen"/>
          <w:sz w:val="16"/>
          <w:szCs w:val="16"/>
        </w:rPr>
      </w:pPr>
      <w:r w:rsidRPr="00E857BA">
        <w:rPr>
          <w:rStyle w:val="FootnoteReference"/>
          <w:rFonts w:ascii="Sylfaen" w:eastAsia="Yu Gothic" w:hAnsi="Sylfaen"/>
          <w:sz w:val="16"/>
          <w:szCs w:val="16"/>
        </w:rPr>
        <w:footnoteRef/>
      </w:r>
      <w:r w:rsidRPr="00E857BA">
        <w:rPr>
          <w:rFonts w:ascii="Sylfaen" w:eastAsia="Yu Gothic" w:hAnsi="Sylfaen"/>
          <w:sz w:val="16"/>
          <w:szCs w:val="16"/>
        </w:rPr>
        <w:t>“Research on sexual and reproductive health needs and barriers in young people and women with disabilities”,</w:t>
      </w:r>
      <w:r>
        <w:rPr>
          <w:rFonts w:ascii="Sylfaen" w:eastAsia="Yu Gothic" w:hAnsi="Sylfaen"/>
          <w:sz w:val="16"/>
          <w:szCs w:val="16"/>
        </w:rPr>
        <w:t xml:space="preserve"> </w:t>
      </w:r>
      <w:r w:rsidRPr="00E857BA">
        <w:rPr>
          <w:rFonts w:ascii="Sylfaen" w:eastAsia="Yu Gothic" w:hAnsi="Sylfaen"/>
          <w:sz w:val="16"/>
          <w:szCs w:val="16"/>
        </w:rPr>
        <w:t>Association HERA-XXI,2019</w:t>
      </w:r>
      <w:hyperlink r:id="rId15" w:history="1">
        <w:r w:rsidRPr="00E857BA">
          <w:rPr>
            <w:rStyle w:val="Hyperlink"/>
            <w:rFonts w:ascii="Sylfaen" w:eastAsia="Yu Gothic" w:hAnsi="Sylfaen"/>
            <w:sz w:val="16"/>
            <w:szCs w:val="16"/>
          </w:rPr>
          <w:t>http://hera-youth.ge/wp-content/uploads/2020/07/HERA-RESEARCH-REPORT.pdf</w:t>
        </w:r>
      </w:hyperlink>
    </w:p>
  </w:footnote>
  <w:footnote w:id="30">
    <w:p w:rsidR="00424BDD" w:rsidRPr="00E857BA" w:rsidRDefault="00424BDD" w:rsidP="00424BDD">
      <w:pPr>
        <w:pStyle w:val="FootnoteText"/>
        <w:ind w:left="-284" w:right="-720"/>
        <w:rPr>
          <w:rFonts w:ascii="Sylfaen" w:eastAsia="Yu Gothic" w:hAnsi="Sylfaen"/>
          <w:sz w:val="16"/>
          <w:szCs w:val="16"/>
          <w:lang w:val="ka-GE"/>
        </w:rPr>
      </w:pPr>
      <w:r w:rsidRPr="00E857BA">
        <w:rPr>
          <w:rStyle w:val="FootnoteReference"/>
          <w:rFonts w:ascii="Sylfaen" w:eastAsia="Yu Gothic" w:hAnsi="Sylfaen"/>
          <w:sz w:val="16"/>
          <w:szCs w:val="16"/>
        </w:rPr>
        <w:footnoteRef/>
      </w:r>
      <w:r w:rsidRPr="00E857BA">
        <w:rPr>
          <w:rFonts w:ascii="Sylfaen" w:eastAsia="Yu Gothic" w:hAnsi="Sylfaen"/>
          <w:sz w:val="16"/>
          <w:szCs w:val="16"/>
        </w:rPr>
        <w:t xml:space="preserve"> Ibid  </w:t>
      </w:r>
    </w:p>
  </w:footnote>
  <w:footnote w:id="31">
    <w:p w:rsidR="00424BDD" w:rsidRPr="00474066" w:rsidRDefault="00424BDD" w:rsidP="00424BDD">
      <w:pPr>
        <w:pStyle w:val="FootnoteText"/>
        <w:ind w:left="-284"/>
        <w:rPr>
          <w:rFonts w:ascii="Sylfaen" w:eastAsia="Yu Gothic" w:hAnsi="Sylfaen"/>
          <w:sz w:val="16"/>
          <w:szCs w:val="16"/>
        </w:rPr>
      </w:pPr>
      <w:r>
        <w:rPr>
          <w:rStyle w:val="FootnoteReference"/>
        </w:rPr>
        <w:footnoteRef/>
      </w:r>
      <w:r w:rsidRPr="00474066">
        <w:rPr>
          <w:rFonts w:ascii="Sylfaen" w:eastAsia="Yu Gothic" w:hAnsi="Sylfaen"/>
          <w:sz w:val="16"/>
          <w:szCs w:val="16"/>
        </w:rPr>
        <w:t>SRH service providers do not offer interpreter service for women with hearing and speech impairments</w:t>
      </w:r>
    </w:p>
  </w:footnote>
  <w:footnote w:id="32">
    <w:p w:rsidR="00424BDD" w:rsidRDefault="00424BDD" w:rsidP="00424BDD">
      <w:pPr>
        <w:pStyle w:val="FootnoteText"/>
        <w:ind w:left="-284"/>
      </w:pPr>
      <w:r w:rsidRPr="003111B0">
        <w:rPr>
          <w:rStyle w:val="FootnoteReference"/>
          <w:sz w:val="18"/>
          <w:szCs w:val="18"/>
        </w:rPr>
        <w:footnoteRef/>
      </w:r>
      <w:r w:rsidRPr="003111B0">
        <w:rPr>
          <w:rFonts w:ascii="Sylfaen" w:eastAsia="Yu Gothic" w:hAnsi="Sylfaen"/>
          <w:sz w:val="16"/>
          <w:szCs w:val="16"/>
        </w:rPr>
        <w:t>“Research on sexual and reproductive health needs and barriers in young people and women with disabilities”, Association HERA-XXI,2019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54856"/>
    <w:multiLevelType w:val="hybridMultilevel"/>
    <w:tmpl w:val="D57C7EBC"/>
    <w:lvl w:ilvl="0" w:tplc="6F9C412E">
      <w:start w:val="1"/>
      <w:numFmt w:val="lowerLetter"/>
      <w:lvlText w:val="%1)"/>
      <w:lvlJc w:val="left"/>
      <w:pPr>
        <w:ind w:left="720" w:hanging="360"/>
      </w:pPr>
      <w:rPr>
        <w:rFonts w:asciiTheme="majorHAnsi" w:eastAsia="Times New Roman" w:hAnsiTheme="majorHAns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141D15"/>
    <w:multiLevelType w:val="hybridMultilevel"/>
    <w:tmpl w:val="EB50EA5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3D7AD1"/>
    <w:multiLevelType w:val="hybridMultilevel"/>
    <w:tmpl w:val="90FA4548"/>
    <w:lvl w:ilvl="0" w:tplc="37FE9D44">
      <w:start w:val="1"/>
      <w:numFmt w:val="lowerLetter"/>
      <w:lvlText w:val="%1)"/>
      <w:lvlJc w:val="left"/>
      <w:pPr>
        <w:ind w:left="720" w:hanging="360"/>
      </w:pPr>
      <w:rPr>
        <w:rFonts w:asciiTheme="majorHAnsi" w:eastAsia="Times New Roman" w:hAnsiTheme="maj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C21CCC"/>
    <w:multiLevelType w:val="hybridMultilevel"/>
    <w:tmpl w:val="0AD4D0E4"/>
    <w:lvl w:ilvl="0" w:tplc="5CFED992">
      <w:start w:val="1"/>
      <w:numFmt w:val="decimal"/>
      <w:lvlText w:val="%1."/>
      <w:lvlJc w:val="left"/>
      <w:pPr>
        <w:ind w:left="720" w:hanging="360"/>
      </w:pPr>
      <w:rPr>
        <w:rFonts w:ascii="Sylfaen" w:eastAsia="Times New Roman" w:hAnsi="Sylfaen" w:cs="Times New Roman"/>
        <w:color w:val="3C404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24BDD"/>
    <w:rsid w:val="001B7BB4"/>
    <w:rsid w:val="00424BDD"/>
    <w:rsid w:val="008015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BDD"/>
    <w:rPr>
      <w:rFonts w:ascii="Calibri" w:eastAsia="Times New Roman" w:hAnsi="Calibri" w:cs="Times New Roman"/>
    </w:rPr>
  </w:style>
  <w:style w:type="paragraph" w:styleId="Heading1">
    <w:name w:val="heading 1"/>
    <w:basedOn w:val="Normal"/>
    <w:next w:val="Normal"/>
    <w:link w:val="Heading1Char"/>
    <w:uiPriority w:val="9"/>
    <w:qFormat/>
    <w:rsid w:val="00424BDD"/>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unhideWhenUsed/>
    <w:qFormat/>
    <w:rsid w:val="00424BD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BDD"/>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uiPriority w:val="9"/>
    <w:rsid w:val="00424BDD"/>
    <w:rPr>
      <w:rFonts w:asciiTheme="majorHAnsi" w:eastAsiaTheme="majorEastAsia" w:hAnsiTheme="majorHAnsi" w:cstheme="majorBidi"/>
      <w:color w:val="365F91" w:themeColor="accent1" w:themeShade="BF"/>
      <w:sz w:val="26"/>
      <w:szCs w:val="26"/>
    </w:rPr>
  </w:style>
  <w:style w:type="paragraph" w:customStyle="1" w:styleId="Content">
    <w:name w:val="Content"/>
    <w:basedOn w:val="Normal"/>
    <w:link w:val="ContentChar"/>
    <w:qFormat/>
    <w:rsid w:val="00424BDD"/>
    <w:pPr>
      <w:spacing w:after="0"/>
    </w:pPr>
    <w:rPr>
      <w:rFonts w:eastAsia="MS Mincho"/>
      <w:color w:val="082A75"/>
      <w:sz w:val="28"/>
    </w:rPr>
  </w:style>
  <w:style w:type="character" w:customStyle="1" w:styleId="ContentChar">
    <w:name w:val="Content Char"/>
    <w:link w:val="Content"/>
    <w:rsid w:val="00424BDD"/>
    <w:rPr>
      <w:rFonts w:ascii="Calibri" w:eastAsia="MS Mincho" w:hAnsi="Calibri" w:cs="Times New Roman"/>
      <w:color w:val="082A75"/>
      <w:sz w:val="28"/>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Ha,Bullets"/>
    <w:basedOn w:val="Normal"/>
    <w:link w:val="ListParagraphChar"/>
    <w:uiPriority w:val="34"/>
    <w:qFormat/>
    <w:rsid w:val="00424BDD"/>
    <w:pPr>
      <w:ind w:left="720"/>
      <w:contextualSpacing/>
    </w:pPr>
  </w:style>
  <w:style w:type="paragraph" w:styleId="FootnoteText">
    <w:name w:val="footnote text"/>
    <w:aliases w:val="5_G,Footnote Text Char Знак,Знак10 Знак,Footnote Text Char Char Char,single space,footnote text,Текст сноски Знак,Footnote reference,FA Fu,Footnote Text Char Char Char Char Char,Footnote Text Char Char Char Car,Char Char Char,Char,TBSC,fn"/>
    <w:basedOn w:val="Normal"/>
    <w:link w:val="FootnoteTextChar"/>
    <w:uiPriority w:val="99"/>
    <w:unhideWhenUsed/>
    <w:qFormat/>
    <w:rsid w:val="00424BDD"/>
    <w:pPr>
      <w:spacing w:after="0" w:line="240" w:lineRule="auto"/>
    </w:pPr>
    <w:rPr>
      <w:sz w:val="20"/>
      <w:szCs w:val="20"/>
    </w:rPr>
  </w:style>
  <w:style w:type="character" w:customStyle="1" w:styleId="FootnoteTextChar">
    <w:name w:val="Footnote Text Char"/>
    <w:aliases w:val="5_G Char,Footnote Text Char Знак Char,Знак10 Знак Char,Footnote Text Char Char Char Char,single space Char,footnote text Char,Текст сноски Знак Char,Footnote reference Char,FA Fu Char,Footnote Text Char Char Char Char Char Char"/>
    <w:basedOn w:val="DefaultParagraphFont"/>
    <w:link w:val="FootnoteText"/>
    <w:uiPriority w:val="99"/>
    <w:qFormat/>
    <w:rsid w:val="00424BDD"/>
    <w:rPr>
      <w:rFonts w:ascii="Calibri" w:eastAsia="Times New Roman" w:hAnsi="Calibri" w:cs="Times New Roman"/>
      <w:sz w:val="20"/>
      <w:szCs w:val="20"/>
    </w:rPr>
  </w:style>
  <w:style w:type="character" w:styleId="FootnoteReference">
    <w:name w:val="footnote reference"/>
    <w:aliases w:val="4_G,Ref,de nota al pie,ftref Char Char Char,ftref Car Char Char Char Char,Car Car5 Char Char Car Car Char Char Char Char Char Char,ftref,stylish,Footnote Ref,16 Point,BVI fnr,Superscript 6 Point,FNRefe Char Char,BVI fnr Char Char,fr"/>
    <w:basedOn w:val="DefaultParagraphFont"/>
    <w:link w:val="ftrefCharChar"/>
    <w:uiPriority w:val="99"/>
    <w:unhideWhenUsed/>
    <w:qFormat/>
    <w:rsid w:val="00424BDD"/>
    <w:rPr>
      <w:vertAlign w:val="superscript"/>
    </w:rPr>
  </w:style>
  <w:style w:type="paragraph" w:customStyle="1" w:styleId="ftrefCharChar">
    <w:name w:val="ftref Char Char"/>
    <w:aliases w:val="ftref Car Char Char Char,Car Car5 Char Char Car Car Char Char Char Char Char,Footnote Reference.ftref Char.ftref Car Char Char.Car Car5 Char Char Car Car Char Char Char Char Char Char Char Char,callout,Footnotes refss"/>
    <w:basedOn w:val="Normal"/>
    <w:link w:val="FootnoteReference"/>
    <w:uiPriority w:val="99"/>
    <w:rsid w:val="00424BDD"/>
    <w:pPr>
      <w:spacing w:after="160" w:line="240" w:lineRule="exact"/>
      <w:jc w:val="both"/>
    </w:pPr>
    <w:rPr>
      <w:rFonts w:asciiTheme="minorHAnsi" w:eastAsiaTheme="minorHAnsi" w:hAnsiTheme="minorHAnsi" w:cstheme="minorBidi"/>
      <w:vertAlign w:val="superscript"/>
    </w:rPr>
  </w:style>
  <w:style w:type="paragraph" w:styleId="NormalWeb">
    <w:name w:val="Normal (Web)"/>
    <w:basedOn w:val="Normal"/>
    <w:uiPriority w:val="99"/>
    <w:unhideWhenUsed/>
    <w:rsid w:val="00424BDD"/>
    <w:pPr>
      <w:spacing w:before="100" w:beforeAutospacing="1" w:after="100" w:afterAutospacing="1" w:line="240" w:lineRule="auto"/>
    </w:pPr>
    <w:rPr>
      <w:rFonts w:ascii="Times New Roman" w:hAnsi="Times New Roman"/>
      <w:sz w:val="24"/>
      <w:szCs w:val="24"/>
    </w:r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qFormat/>
    <w:locked/>
    <w:rsid w:val="00424BDD"/>
    <w:rPr>
      <w:rFonts w:ascii="Calibri" w:eastAsia="Times New Roman" w:hAnsi="Calibri" w:cs="Times New Roman"/>
    </w:rPr>
  </w:style>
  <w:style w:type="character" w:styleId="Hyperlink">
    <w:name w:val="Hyperlink"/>
    <w:basedOn w:val="DefaultParagraphFont"/>
    <w:uiPriority w:val="99"/>
    <w:unhideWhenUsed/>
    <w:rsid w:val="00424BDD"/>
    <w:rPr>
      <w:color w:val="0000FF" w:themeColor="hyperlink"/>
      <w:u w:val="single"/>
    </w:rPr>
  </w:style>
  <w:style w:type="paragraph" w:styleId="TOCHeading">
    <w:name w:val="TOC Heading"/>
    <w:basedOn w:val="Heading1"/>
    <w:next w:val="Normal"/>
    <w:uiPriority w:val="39"/>
    <w:unhideWhenUsed/>
    <w:qFormat/>
    <w:rsid w:val="00424BDD"/>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 w:type="paragraph" w:styleId="TOC1">
    <w:name w:val="toc 1"/>
    <w:basedOn w:val="Normal"/>
    <w:next w:val="Normal"/>
    <w:autoRedefine/>
    <w:uiPriority w:val="39"/>
    <w:unhideWhenUsed/>
    <w:rsid w:val="00424BDD"/>
    <w:pPr>
      <w:spacing w:after="100"/>
    </w:pPr>
  </w:style>
  <w:style w:type="paragraph" w:styleId="TOC2">
    <w:name w:val="toc 2"/>
    <w:basedOn w:val="Normal"/>
    <w:next w:val="Normal"/>
    <w:autoRedefine/>
    <w:uiPriority w:val="39"/>
    <w:unhideWhenUsed/>
    <w:rsid w:val="00424BDD"/>
    <w:pPr>
      <w:spacing w:after="100"/>
      <w:ind w:left="220"/>
    </w:pPr>
  </w:style>
  <w:style w:type="paragraph" w:styleId="CommentText">
    <w:name w:val="annotation text"/>
    <w:basedOn w:val="Normal"/>
    <w:link w:val="CommentTextChar"/>
    <w:uiPriority w:val="99"/>
    <w:unhideWhenUsed/>
    <w:rsid w:val="00424BDD"/>
    <w:pPr>
      <w:spacing w:line="240" w:lineRule="auto"/>
    </w:pPr>
    <w:rPr>
      <w:sz w:val="20"/>
      <w:szCs w:val="20"/>
    </w:rPr>
  </w:style>
  <w:style w:type="character" w:customStyle="1" w:styleId="CommentTextChar">
    <w:name w:val="Comment Text Char"/>
    <w:basedOn w:val="DefaultParagraphFont"/>
    <w:link w:val="CommentText"/>
    <w:uiPriority w:val="99"/>
    <w:rsid w:val="00424BDD"/>
    <w:rPr>
      <w:rFonts w:ascii="Calibri" w:eastAsia="Times New Roman" w:hAnsi="Calibri" w:cs="Times New Roman"/>
      <w:sz w:val="20"/>
      <w:szCs w:val="20"/>
    </w:rPr>
  </w:style>
  <w:style w:type="paragraph" w:customStyle="1" w:styleId="Default">
    <w:name w:val="Default"/>
    <w:rsid w:val="00424BDD"/>
    <w:pPr>
      <w:autoSpaceDE w:val="0"/>
      <w:autoSpaceDN w:val="0"/>
      <w:adjustRightInd w:val="0"/>
      <w:spacing w:after="0" w:line="240" w:lineRule="auto"/>
    </w:pPr>
    <w:rPr>
      <w:rFonts w:ascii="BPG Arial" w:eastAsia="Times New Roman" w:hAnsi="BPG Arial" w:cs="BPG Arial"/>
      <w:color w:val="000000"/>
      <w:sz w:val="24"/>
      <w:szCs w:val="24"/>
    </w:rPr>
  </w:style>
  <w:style w:type="table" w:styleId="TableGrid">
    <w:name w:val="Table Grid"/>
    <w:basedOn w:val="TableNormal"/>
    <w:uiPriority w:val="39"/>
    <w:rsid w:val="00424BDD"/>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24B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4BD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hera-youth.ge/wp-content/uploads/2021/03/Pirveladi-Jandacva.pdf" TargetMode="External"/><Relationship Id="rId13" Type="http://schemas.openxmlformats.org/officeDocument/2006/relationships/hyperlink" Target="http://hera-youth.ge/wp-content/uploads/2019/05/Barriers-to-accessing-safe-abortion.pdf" TargetMode="External"/><Relationship Id="rId3" Type="http://schemas.openxmlformats.org/officeDocument/2006/relationships/hyperlink" Target="https://tbinternet.ohchr.org/_layouts/15/treatybodyexternal/Download.aspx?symbolno=CEDAW%2fC%2fGEO%2fCO%2f4-5&amp;Lang=en" TargetMode="External"/><Relationship Id="rId7" Type="http://schemas.openxmlformats.org/officeDocument/2006/relationships/hyperlink" Target="https://georgia.unfpa.org/sites/default/files/pub-pdf/unfpa-cif_report.pdf" TargetMode="External"/><Relationship Id="rId12" Type="http://schemas.openxmlformats.org/officeDocument/2006/relationships/hyperlink" Target="https://georgia.unfpa.org/sites/default/files/pub-pdf/unfpa-cif_report.pdf" TargetMode="External"/><Relationship Id="rId2" Type="http://schemas.openxmlformats.org/officeDocument/2006/relationships/hyperlink" Target="https://tbinternet.ohchr.org/_layouts/15/treatybodyexternal/Download.aspx?symbolno=CEDAW%2fC%2fGEO%2f6&amp;Lang=en" TargetMode="External"/><Relationship Id="rId1" Type="http://schemas.openxmlformats.org/officeDocument/2006/relationships/hyperlink" Target="https://tbinternet.ohchr.org/Treaties/CEDAW/Shared%20Documents/GEO/INT_CEDAW_NGO_GEO_17610_E.pdf" TargetMode="External"/><Relationship Id="rId6" Type="http://schemas.openxmlformats.org/officeDocument/2006/relationships/hyperlink" Target="http://gov.ge/files/469_62645_237501_459.pdf" TargetMode="External"/><Relationship Id="rId11" Type="http://schemas.openxmlformats.org/officeDocument/2006/relationships/hyperlink" Target="http://hera-youth.ge/wp-content/uploads/2019/05/Barriers-to-accessing-safe-abortion.pdf" TargetMode="External"/><Relationship Id="rId5" Type="http://schemas.openxmlformats.org/officeDocument/2006/relationships/hyperlink" Target="http://hera-youth.ge/wp-content/uploads/2020/12/Checked-Policy-Brief-final-2.pdf" TargetMode="External"/><Relationship Id="rId15" Type="http://schemas.openxmlformats.org/officeDocument/2006/relationships/hyperlink" Target="http://hera-youth.ge/wp-content/uploads/2020/07/HERA-RESEARCH-REPORT.pdf" TargetMode="External"/><Relationship Id="rId10" Type="http://schemas.openxmlformats.org/officeDocument/2006/relationships/hyperlink" Target="https://matsne.gov.ge/en/document/view/29980?publication=37" TargetMode="External"/><Relationship Id="rId4" Type="http://schemas.openxmlformats.org/officeDocument/2006/relationships/hyperlink" Target="https://www.oecd-ilibrary.org/education/oecd-reviews-of-evaluation-and-assessment-in-education-georgia_94dc370e-en" TargetMode="External"/><Relationship Id="rId9" Type="http://schemas.openxmlformats.org/officeDocument/2006/relationships/hyperlink" Target="http://hera-youth.ge/wp-content/uploads/2019/05/Barriers-to-accessing-safe-abortion.pdf" TargetMode="External"/><Relationship Id="rId14" Type="http://schemas.openxmlformats.org/officeDocument/2006/relationships/hyperlink" Target="https://www.ombudsman.ge/res/docs/201904021103149719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FE2EE3-6C60-4399-B8C5-6091D1BA498F}"/>
</file>

<file path=customXml/itemProps2.xml><?xml version="1.0" encoding="utf-8"?>
<ds:datastoreItem xmlns:ds="http://schemas.openxmlformats.org/officeDocument/2006/customXml" ds:itemID="{13AB91C6-CAF9-448E-911A-DFBD42180E0A}"/>
</file>

<file path=customXml/itemProps3.xml><?xml version="1.0" encoding="utf-8"?>
<ds:datastoreItem xmlns:ds="http://schemas.openxmlformats.org/officeDocument/2006/customXml" ds:itemID="{0D227F30-BCDD-43B1-B750-2FFE41B174EA}"/>
</file>

<file path=docProps/app.xml><?xml version="1.0" encoding="utf-8"?>
<Properties xmlns="http://schemas.openxmlformats.org/officeDocument/2006/extended-properties" xmlns:vt="http://schemas.openxmlformats.org/officeDocument/2006/docPropsVTypes">
  <Template>Normal</Template>
  <TotalTime>1</TotalTime>
  <Pages>11</Pages>
  <Words>3086</Words>
  <Characters>17592</Characters>
  <Application>Microsoft Office Word</Application>
  <DocSecurity>0</DocSecurity>
  <Lines>146</Lines>
  <Paragraphs>41</Paragraphs>
  <ScaleCrop>false</ScaleCrop>
  <Company/>
  <LinksUpToDate>false</LinksUpToDate>
  <CharactersWithSpaces>20637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2021-06-14T13:58:00Z</dcterms:created>
  <dcterms:modified xsi:type="dcterms:W3CDTF">2021-06-14T13:59:00Z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