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4C3028" w:rsidRDefault="004516DB">
      <w:pPr>
        <w:jc w:val="center"/>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t>STATEMENT DELIVERED BY THE GOVERNMENT OF THE KINGDOM OF TONGA AT THE CONSTRUCTIVE DIALOGUE WITH THE COMMITTEE ON THE RIGHTS OF THE CHILD</w:t>
      </w:r>
    </w:p>
    <w:p w14:paraId="00000002" w14:textId="77777777" w:rsidR="004C3028" w:rsidRDefault="004516DB">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Palais des Nations, Geneva, Switzerland</w:t>
      </w:r>
    </w:p>
    <w:p w14:paraId="00000003" w14:textId="77777777" w:rsidR="004C3028" w:rsidRDefault="004516DB">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14th May 2019</w:t>
      </w:r>
    </w:p>
    <w:p w14:paraId="00000004" w14:textId="77777777" w:rsidR="004C3028" w:rsidRDefault="004C3028">
      <w:pPr>
        <w:jc w:val="center"/>
        <w:rPr>
          <w:rFonts w:ascii="Times New Roman" w:eastAsia="Times New Roman" w:hAnsi="Times New Roman" w:cs="Times New Roman"/>
          <w:b/>
          <w:sz w:val="24"/>
          <w:szCs w:val="24"/>
        </w:rPr>
      </w:pPr>
    </w:p>
    <w:p w14:paraId="00000005" w14:textId="77777777" w:rsidR="004C3028" w:rsidRDefault="004516DB">
      <w:pPr>
        <w:jc w:val="right"/>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Check against delivery</w:t>
      </w:r>
    </w:p>
    <w:p w14:paraId="00000006" w14:textId="77777777" w:rsidR="004C3028" w:rsidRDefault="004C3028">
      <w:pPr>
        <w:jc w:val="center"/>
        <w:rPr>
          <w:rFonts w:ascii="Times New Roman" w:eastAsia="Times New Roman" w:hAnsi="Times New Roman" w:cs="Times New Roman"/>
          <w:b/>
          <w:sz w:val="24"/>
          <w:szCs w:val="24"/>
        </w:rPr>
      </w:pPr>
    </w:p>
    <w:p w14:paraId="00000007" w14:textId="77777777" w:rsidR="004C3028" w:rsidRDefault="004C3028">
      <w:pPr>
        <w:jc w:val="center"/>
        <w:rPr>
          <w:rFonts w:ascii="Times New Roman" w:eastAsia="Times New Roman" w:hAnsi="Times New Roman" w:cs="Times New Roman"/>
          <w:b/>
          <w:sz w:val="24"/>
          <w:szCs w:val="24"/>
        </w:rPr>
      </w:pPr>
    </w:p>
    <w:p w14:paraId="00000008" w14:textId="77777777" w:rsidR="004C3028" w:rsidRDefault="004C3028">
      <w:pPr>
        <w:jc w:val="both"/>
        <w:rPr>
          <w:rFonts w:ascii="Times New Roman" w:eastAsia="Times New Roman" w:hAnsi="Times New Roman" w:cs="Times New Roman"/>
          <w:sz w:val="24"/>
          <w:szCs w:val="24"/>
        </w:rPr>
      </w:pPr>
    </w:p>
    <w:p w14:paraId="00000009"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Madame Chair and Committee Members, </w:t>
      </w:r>
    </w:p>
    <w:p w14:paraId="0000000A" w14:textId="77777777" w:rsidR="004C3028" w:rsidRDefault="004C3028">
      <w:pPr>
        <w:jc w:val="both"/>
        <w:rPr>
          <w:rFonts w:ascii="Times New Roman" w:eastAsia="Times New Roman" w:hAnsi="Times New Roman" w:cs="Times New Roman"/>
          <w:sz w:val="24"/>
          <w:szCs w:val="24"/>
        </w:rPr>
      </w:pPr>
    </w:p>
    <w:p w14:paraId="0000000B"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delegation of the Government of the Kingdom Tonga is pleased to appear before the Committee on the Rights of the Child for the first time to present its initial report mandated under Article 44 of the Convention. Tonga is proud to be a member State to this near universally ratified Convention which provides for the rights of children and lays a foundation for them to achieve their full potential in an enabling society. </w:t>
      </w:r>
    </w:p>
    <w:p w14:paraId="0000000C" w14:textId="77777777" w:rsidR="004C3028" w:rsidRDefault="004C3028">
      <w:pPr>
        <w:jc w:val="both"/>
        <w:rPr>
          <w:rFonts w:ascii="Times New Roman" w:eastAsia="Times New Roman" w:hAnsi="Times New Roman" w:cs="Times New Roman"/>
          <w:sz w:val="24"/>
          <w:szCs w:val="24"/>
        </w:rPr>
      </w:pPr>
    </w:p>
    <w:p w14:paraId="0000000D"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I proceed, I would like to introduce the delegation of the Government of the Kingdom of Tonga here on our first constructive dialogue: </w:t>
      </w:r>
    </w:p>
    <w:p w14:paraId="0000000E" w14:textId="77777777" w:rsidR="004C3028" w:rsidRDefault="004C3028">
      <w:pPr>
        <w:jc w:val="both"/>
        <w:rPr>
          <w:rFonts w:ascii="Times New Roman" w:eastAsia="Times New Roman" w:hAnsi="Times New Roman" w:cs="Times New Roman"/>
          <w:sz w:val="24"/>
          <w:szCs w:val="24"/>
        </w:rPr>
      </w:pPr>
    </w:p>
    <w:p w14:paraId="0000000F" w14:textId="6603757F" w:rsidR="004C3028" w:rsidRDefault="004516DB">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Dr. Raelyn ‘Esau, Acting Chief Executive Officer for the Ministry of Education and Training</w:t>
      </w:r>
    </w:p>
    <w:p w14:paraId="00000010" w14:textId="77777777" w:rsidR="004C3028" w:rsidRDefault="004516DB">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Dr. Fotu Fisi’iahi, Chief Executive Officer for the Ministry of Internal Affairs</w:t>
      </w:r>
    </w:p>
    <w:p w14:paraId="00000011" w14:textId="77777777" w:rsidR="004C3028" w:rsidRDefault="004516DB">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 Sione Lolohea, Deputy Government Statistician</w:t>
      </w:r>
    </w:p>
    <w:p w14:paraId="00000012" w14:textId="77777777" w:rsidR="004C3028" w:rsidRDefault="004516DB">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Mrs. Kalolaine Moeaki, Chief Education Officer</w:t>
      </w:r>
    </w:p>
    <w:p w14:paraId="00000013" w14:textId="77777777" w:rsidR="004C3028" w:rsidRDefault="004516DB">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Ms Adi Talanaivini Mafi, Legal Officer, Ministry of Justice</w:t>
      </w:r>
    </w:p>
    <w:p w14:paraId="00000014" w14:textId="77777777" w:rsidR="004C3028" w:rsidRDefault="004C3028">
      <w:pPr>
        <w:ind w:left="720"/>
        <w:rPr>
          <w:rFonts w:ascii="Times New Roman" w:eastAsia="Times New Roman" w:hAnsi="Times New Roman" w:cs="Times New Roman"/>
          <w:sz w:val="24"/>
          <w:szCs w:val="24"/>
        </w:rPr>
      </w:pPr>
    </w:p>
    <w:p w14:paraId="00000015" w14:textId="77777777" w:rsidR="004C3028" w:rsidRDefault="004C3028">
      <w:pPr>
        <w:ind w:left="720"/>
        <w:rPr>
          <w:rFonts w:ascii="Times New Roman" w:eastAsia="Times New Roman" w:hAnsi="Times New Roman" w:cs="Times New Roman"/>
          <w:sz w:val="24"/>
          <w:szCs w:val="24"/>
        </w:rPr>
      </w:pPr>
    </w:p>
    <w:p w14:paraId="00000016"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Madame Chair,</w:t>
      </w:r>
    </w:p>
    <w:p w14:paraId="00000017"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Kingdom of Tonga, is a Constitutional Monarchy under His Majesty King Tupou VI. Tonga was never colonised, and as such, its traditional values and social cultural structures have been preserved. </w:t>
      </w:r>
    </w:p>
    <w:p w14:paraId="00000018" w14:textId="77777777" w:rsidR="004C3028" w:rsidRDefault="004C3028">
      <w:pPr>
        <w:jc w:val="both"/>
        <w:rPr>
          <w:rFonts w:ascii="Times New Roman" w:eastAsia="Times New Roman" w:hAnsi="Times New Roman" w:cs="Times New Roman"/>
          <w:sz w:val="24"/>
          <w:szCs w:val="24"/>
        </w:rPr>
      </w:pPr>
    </w:p>
    <w:p w14:paraId="00000019"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Tonga is a small island Kingdom located in the South Pacific Ocean; 1,100 miles North East of New Zealand and its neighbours are Samoa to the North and Fiji to the North West. The Kingdom of Tonga has 170 islands scattered across 360,700 square kilometres in the central Pacific ocean.  Thirty six (36) islands are inhabited which is a total land area of 670 square kilometres, this accounts for almost 1% of the total terrestrial and marine jurisdiction of Tonga. In the most recent population census in 2016, there were 100, 651 people living in Tonga. 74% of  this live in Tongatapu, 14% in Vava’u, 6% in Ha’apai, 5% in ‘Eua and 1% living in the most northern islands, </w:t>
      </w:r>
      <w:r>
        <w:rPr>
          <w:rFonts w:ascii="Times New Roman" w:eastAsia="Times New Roman" w:hAnsi="Times New Roman" w:cs="Times New Roman"/>
          <w:sz w:val="24"/>
          <w:szCs w:val="24"/>
        </w:rPr>
        <w:lastRenderedPageBreak/>
        <w:t xml:space="preserve">Niuatoputapu and Niuafo’ou.The Tongan Islands group is generally comprised of the three main groups of Tongatapu, Ha’apai and Vava’u. Tongatapu is the main island, where the capital Nuku’alofa is situated and the legal system and its supporting services are based. </w:t>
      </w:r>
    </w:p>
    <w:p w14:paraId="0000001A" w14:textId="77777777" w:rsidR="004C3028" w:rsidRDefault="004C3028">
      <w:pPr>
        <w:jc w:val="both"/>
        <w:rPr>
          <w:rFonts w:ascii="Times New Roman" w:eastAsia="Times New Roman" w:hAnsi="Times New Roman" w:cs="Times New Roman"/>
          <w:sz w:val="24"/>
          <w:szCs w:val="24"/>
        </w:rPr>
      </w:pPr>
    </w:p>
    <w:p w14:paraId="0000001B"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both a small island developing State and a low-lying large ocean State, the human rights of all our people, including our children, are intricately tied to the environment, the land and the sea. This nexus, in the face of climate change and sea-level rise, is a pressing concern which threatens our very existence and therefore exacerbates the risks to which our children and their futures are vulnerable. </w:t>
      </w:r>
    </w:p>
    <w:p w14:paraId="0000001C" w14:textId="77777777" w:rsidR="004C3028" w:rsidRDefault="004516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D" w14:textId="77777777" w:rsidR="004C3028" w:rsidRDefault="004516DB">
      <w:pPr>
        <w:rPr>
          <w:rFonts w:ascii="Times New Roman" w:eastAsia="Times New Roman" w:hAnsi="Times New Roman" w:cs="Times New Roman"/>
          <w:sz w:val="24"/>
          <w:szCs w:val="24"/>
        </w:rPr>
      </w:pPr>
      <w:r>
        <w:rPr>
          <w:rFonts w:ascii="Times New Roman" w:eastAsia="Times New Roman" w:hAnsi="Times New Roman" w:cs="Times New Roman"/>
          <w:sz w:val="24"/>
          <w:szCs w:val="24"/>
        </w:rPr>
        <w:t>Madame Chair,</w:t>
      </w:r>
    </w:p>
    <w:p w14:paraId="0000001E"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Tongan society is structured along kinship lines or extended family. The Tongan child is born into an extended family. The child grows up with the support of the extended family and kinship. </w:t>
      </w:r>
    </w:p>
    <w:p w14:paraId="0000001F" w14:textId="77777777" w:rsidR="004C3028" w:rsidRDefault="004C3028">
      <w:pPr>
        <w:jc w:val="both"/>
        <w:rPr>
          <w:rFonts w:ascii="Times New Roman" w:eastAsia="Times New Roman" w:hAnsi="Times New Roman" w:cs="Times New Roman"/>
          <w:sz w:val="24"/>
          <w:szCs w:val="24"/>
        </w:rPr>
      </w:pPr>
    </w:p>
    <w:p w14:paraId="00000020"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Modern Tonga aligns itself with Christianity since King George Tupou I accepted Christianity and committed Tonga to God. As a reminder, this is engraved in the National Coat of Arms with the motto “God and Tonga are my inheritance”. This foundation of modern Tongan society reinforces the kinship-based structure of Tonga society and sets it apart from the rest of the world. </w:t>
      </w:r>
    </w:p>
    <w:p w14:paraId="00000021" w14:textId="77777777" w:rsidR="004C3028" w:rsidRDefault="004C3028">
      <w:pPr>
        <w:jc w:val="both"/>
        <w:rPr>
          <w:rFonts w:ascii="Times New Roman" w:eastAsia="Times New Roman" w:hAnsi="Times New Roman" w:cs="Times New Roman"/>
          <w:sz w:val="24"/>
          <w:szCs w:val="24"/>
        </w:rPr>
      </w:pPr>
    </w:p>
    <w:p w14:paraId="00000022"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obligations of the father, mother, aunties, uncles, brothers, sisters, grandparents, paternal uncles, maternal aunties, neighbours, village people, minister, church members, district officer, town officer and all relations to care for, counsel, tend and educate the child who grows up in Tonga.</w:t>
      </w:r>
    </w:p>
    <w:p w14:paraId="00000023" w14:textId="77777777" w:rsidR="004C3028" w:rsidRDefault="004C3028">
      <w:pPr>
        <w:rPr>
          <w:rFonts w:ascii="Times New Roman" w:eastAsia="Times New Roman" w:hAnsi="Times New Roman" w:cs="Times New Roman"/>
          <w:sz w:val="24"/>
          <w:szCs w:val="24"/>
        </w:rPr>
      </w:pPr>
    </w:p>
    <w:p w14:paraId="00000024"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vital that a child growing up in Tonga understands that the steadfastness of Tongan society rests upon the balanced allocation of both honorary and service functions. The relatives of the mother are subservient and the father’s kin are accorded honour. </w:t>
      </w:r>
    </w:p>
    <w:p w14:paraId="00000025" w14:textId="77777777" w:rsidR="004C3028" w:rsidRDefault="004516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6"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maintain and conserve the close-knit Tongan kinship, it is vital that the Tongan child be educated to show humility and openness to learning; to upkeep and maintain relationships; to have loyalty, devotion and passion, and to acknowledge and return respect. These moral strands are the pillars which have sustained Tongan kinship since 950 AD. </w:t>
      </w:r>
    </w:p>
    <w:p w14:paraId="00000027" w14:textId="77777777" w:rsidR="004C3028" w:rsidRDefault="004C3028">
      <w:pPr>
        <w:jc w:val="both"/>
        <w:rPr>
          <w:rFonts w:ascii="Times New Roman" w:eastAsia="Times New Roman" w:hAnsi="Times New Roman" w:cs="Times New Roman"/>
          <w:sz w:val="24"/>
          <w:szCs w:val="24"/>
        </w:rPr>
      </w:pPr>
    </w:p>
    <w:p w14:paraId="00000028"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Madame Chair,</w:t>
      </w:r>
    </w:p>
    <w:p w14:paraId="00000029"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present, the children of Tonga enjoy the benefits of living in an extended family where child care is a shared responsibility. Traditional Tongan society provides guidance, responsibility, care and social reintegration for members of the family. The extended family, however, is facing increasing disintegration due to internal and external migration. The challenges arising out of this fragmentation relate to the need for child-care support for pre-compulsory school age children; concern for orphans; conditions of living for children in mental health facilities and in prison; </w:t>
      </w:r>
      <w:r>
        <w:rPr>
          <w:rFonts w:ascii="Times New Roman" w:eastAsia="Times New Roman" w:hAnsi="Times New Roman" w:cs="Times New Roman"/>
          <w:sz w:val="24"/>
          <w:szCs w:val="24"/>
        </w:rPr>
        <w:lastRenderedPageBreak/>
        <w:t>support for counseling and social reintegration and access to, and need for accurate and relevant data. Legislation exists to ensure that parents provide children with the necessities of life.</w:t>
      </w:r>
    </w:p>
    <w:p w14:paraId="0000002A"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Madame Chair,</w:t>
      </w:r>
    </w:p>
    <w:p w14:paraId="0000002B" w14:textId="77777777" w:rsidR="004C3028" w:rsidRDefault="004516DB">
      <w:pPr>
        <w:spacing w:after="30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Tonga acceded to the Convention on the Rights of the Child (CRC) in 1995 and established its National Coordinating Committee on Children in 1997. The Committee’s mandate includes </w:t>
      </w:r>
      <w:r>
        <w:rPr>
          <w:rFonts w:ascii="Times New Roman" w:eastAsia="Times New Roman" w:hAnsi="Times New Roman" w:cs="Times New Roman"/>
          <w:i/>
          <w:sz w:val="24"/>
          <w:szCs w:val="24"/>
        </w:rPr>
        <w:t xml:space="preserve">inter alia </w:t>
      </w:r>
      <w:r>
        <w:rPr>
          <w:rFonts w:ascii="Times New Roman" w:eastAsia="Times New Roman" w:hAnsi="Times New Roman" w:cs="Times New Roman"/>
          <w:sz w:val="24"/>
          <w:szCs w:val="24"/>
        </w:rPr>
        <w:t>the coordination of activities aimed at implementing the Convention in Tonga. Since the ratification of the Convention, the country’s implementation of the Convention has been affected by a multitude of factors including resource constraints (financial and human), social, economic and political factors that have given rise to other competing obligations, affecting overall implementation and reporting obligations.</w:t>
      </w:r>
    </w:p>
    <w:p w14:paraId="0000002C"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2006, the Tonga Government commenced its work on compiling the initial report due in 1997. This was finalised and reviewed by stakeholders. However, political events and replacements of Ministers and CEOs unfortunately sidelined the 2006 draft, which was left unaddressed for almost another 10 years.</w:t>
      </w:r>
    </w:p>
    <w:p w14:paraId="0000002D"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Early in 2015 His Majesty’s Cabinet confirmed that the Ministry under which the Convention would be managed was the Ministry of Education and Training (MET). The outcome has been to complete this initial report for Tonga for the Convention on the Rights of the Child. </w:t>
      </w:r>
    </w:p>
    <w:p w14:paraId="0000002E"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submitted in 2018 builds on the draft Initial Report of Tonga prepared in October 2006, as well as reports submitted to the Committee on the Rights of the Child by other Pacific Islands states and guided by the </w:t>
      </w:r>
      <w:r>
        <w:rPr>
          <w:rFonts w:ascii="Times New Roman" w:eastAsia="Times New Roman" w:hAnsi="Times New Roman" w:cs="Times New Roman"/>
          <w:i/>
          <w:sz w:val="24"/>
          <w:szCs w:val="24"/>
        </w:rPr>
        <w:t xml:space="preserve">“General Guidelines Regarding the Form and Content of Initial Reports to be Submitted by States Parties Under Article 44, Paragraph 1 (a), of the Convention” </w:t>
      </w:r>
      <w:r>
        <w:rPr>
          <w:rFonts w:ascii="Times New Roman" w:eastAsia="Times New Roman" w:hAnsi="Times New Roman" w:cs="Times New Roman"/>
          <w:sz w:val="24"/>
          <w:szCs w:val="24"/>
        </w:rPr>
        <w:t xml:space="preserve">contained in document CRC/C/5. </w:t>
      </w:r>
    </w:p>
    <w:p w14:paraId="0000002F" w14:textId="77777777" w:rsidR="004C3028" w:rsidRDefault="004516DB">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Tonga has faced many challenges in its endeavour to finalise this initial report and is therefore grateful to development partners, in particular the UNICEF Pacific Office for the tremendous support it has provided to enable the finalisation and submission of the report. </w:t>
      </w:r>
    </w:p>
    <w:p w14:paraId="00000030"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Madame Chair</w:t>
      </w:r>
    </w:p>
    <w:p w14:paraId="00000031"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note that a crucial component to realising the objectives of the Convention in Tonga relate to the definition of a child. Different pieces of legislation provide a different definition depending on the circumstance to which it pertains. The Government acknowledges that this inconsistency undermines our ability to properly realise the Convention in Tonga and is working with development partners to address some of these issues. </w:t>
      </w:r>
    </w:p>
    <w:p w14:paraId="00000032"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absence of an uniform definition of a child impacts on the treatment of children who come into conflict with the law. This is particularly the case where the minimum age of criminal responsibility remains at the age of 7, well below the age recommended by this Committee. Tonga is working with development partners to consider the development of a youth diversion scheme which may serve as a basis for a formal juvenile justice system. Although this is still in the discussion phase, it is anticipated that the development of a youth diversion scheme will entail an extensive review of legislation to harmonise the definition of a child in domestic legislation with the Convention. Development partners have expressed a willingness to support with this legislative review. </w:t>
      </w:r>
    </w:p>
    <w:p w14:paraId="00000033"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not providing extensively for the Convention on the Rights of the Child in domestic legislation, the Courts have applied the Convention in several cases involving children. This includes a trend in moving away from sentencing young persons to whipping and the death penalty although it is permitted by law specifically for children under the age of 16 and 15 respectively as well as applying the principle of the best interests of the child in relevant cases. </w:t>
      </w:r>
    </w:p>
    <w:p w14:paraId="00000034"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Whilst several safeguards are in place, it is noted that more needs to be done to fully realise the Convention in Tonga in respect of children in conflict with the law or as victims of crime. Recent developments in legislation and policy, in particular the </w:t>
      </w:r>
      <w:r>
        <w:rPr>
          <w:rFonts w:ascii="Times New Roman" w:eastAsia="Times New Roman" w:hAnsi="Times New Roman" w:cs="Times New Roman"/>
          <w:i/>
          <w:sz w:val="24"/>
          <w:szCs w:val="24"/>
        </w:rPr>
        <w:t xml:space="preserve">Family Protection Act 2013, </w:t>
      </w:r>
      <w:r>
        <w:rPr>
          <w:rFonts w:ascii="Times New Roman" w:eastAsia="Times New Roman" w:hAnsi="Times New Roman" w:cs="Times New Roman"/>
          <w:sz w:val="24"/>
          <w:szCs w:val="24"/>
        </w:rPr>
        <w:t xml:space="preserve">the </w:t>
      </w:r>
      <w:r>
        <w:rPr>
          <w:rFonts w:ascii="Times New Roman" w:eastAsia="Times New Roman" w:hAnsi="Times New Roman" w:cs="Times New Roman"/>
          <w:i/>
          <w:sz w:val="24"/>
          <w:szCs w:val="24"/>
        </w:rPr>
        <w:t xml:space="preserve">Education Act 2013, </w:t>
      </w:r>
      <w:r>
        <w:rPr>
          <w:rFonts w:ascii="Times New Roman" w:eastAsia="Times New Roman" w:hAnsi="Times New Roman" w:cs="Times New Roman"/>
          <w:sz w:val="24"/>
          <w:szCs w:val="24"/>
        </w:rPr>
        <w:t xml:space="preserve">the </w:t>
      </w:r>
      <w:r>
        <w:rPr>
          <w:rFonts w:ascii="Times New Roman" w:eastAsia="Times New Roman" w:hAnsi="Times New Roman" w:cs="Times New Roman"/>
          <w:i/>
          <w:sz w:val="24"/>
          <w:szCs w:val="24"/>
        </w:rPr>
        <w:t xml:space="preserve">Child Protection Policy </w:t>
      </w:r>
      <w:r>
        <w:rPr>
          <w:rFonts w:ascii="Times New Roman" w:eastAsia="Times New Roman" w:hAnsi="Times New Roman" w:cs="Times New Roman"/>
          <w:sz w:val="24"/>
          <w:szCs w:val="24"/>
        </w:rPr>
        <w:t xml:space="preserve">of the Tonga Health Promotion provide children with improved protection from domestic violence and better access to quality universal basic education. Proposed amendments to the </w:t>
      </w:r>
      <w:r>
        <w:rPr>
          <w:rFonts w:ascii="Times New Roman" w:eastAsia="Times New Roman" w:hAnsi="Times New Roman" w:cs="Times New Roman"/>
          <w:i/>
          <w:sz w:val="24"/>
          <w:szCs w:val="24"/>
        </w:rPr>
        <w:t xml:space="preserve">Computer Crimes and Criminal Offences Act, </w:t>
      </w:r>
      <w:r>
        <w:rPr>
          <w:rFonts w:ascii="Times New Roman" w:eastAsia="Times New Roman" w:hAnsi="Times New Roman" w:cs="Times New Roman"/>
          <w:sz w:val="24"/>
          <w:szCs w:val="24"/>
        </w:rPr>
        <w:t xml:space="preserve">pending review of adoption law are some of the direct responses to our obligations under the Convention. These recently proposed amendments, will strengthen our laws and policies to combat sexual exploitation and violence against children through cyberspace and cyber-technologies, including bullying. </w:t>
      </w:r>
    </w:p>
    <w:p w14:paraId="00000035"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Tonga has taken notable legislative measures to ensure that the rights of children provided for in the Convention are implemented effectively in areas affecting children such as health, education and in the domestic environment. National policies such as the Tonga Strategic Development Framework (TSDF II), Tonga National Youth Strategy and a draft Tonga National Policy on Disability Inclusive Development detail courses of action which directly or indirectly impact the children of Tonga in a positive way. Cooperation with international agencies by way of aid, and with Civil Society organisations by way of partnerships on provision of services have been crucial in sustaining our efforts to implement the Convention in certain areas.  </w:t>
      </w:r>
    </w:p>
    <w:p w14:paraId="00000036"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clear that issues relating to the welfare of children as envisaged by the Convention remain compartmentalised within various government ministries and stakeholders. The establishment of a national strategy and a recognised national body is vital if there is to be a clear picture of the status and protection of the rights of the child. A reinvigorated National Coordinating Committee on Children will be instrumental in coordinating implementation efforts in a more integrated manner. </w:t>
      </w:r>
    </w:p>
    <w:p w14:paraId="00000037"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Madame Chair</w:t>
      </w:r>
    </w:p>
    <w:p w14:paraId="00000038"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Tonga remains grateful for the genuine and durable partnerships both domestically and internationally which enable us to continue to make progress to promote and protect the rights of children. These partnerships have positively steered and complemented our efforts to, inter alia, sustain compulsory education of children, increase access to justice and protection by the law in cases of domestic violence, access to civil registration to guarantee the legal identity of an individual from birth and provide access to vaccination and health care services.</w:t>
      </w:r>
    </w:p>
    <w:p w14:paraId="00000039"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Tonga reiterates its sincere commitment to protecting the rights of children. Promoting and protecting the rights of children is contingent on ensuring that an enabling and healthy environment continues to exist where they can thrive holistically to achieve their potential. Together with our committed partners, we will continue to mobilise our efforts to progressively realise the Convention and to ensure a safe and healthy environment in which our children can flourish and no one is left behind.</w:t>
      </w:r>
    </w:p>
    <w:p w14:paraId="0000003A" w14:textId="77777777" w:rsidR="004C3028" w:rsidRDefault="004516DB">
      <w:pPr>
        <w:spacing w:after="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thank you.</w:t>
      </w:r>
    </w:p>
    <w:p w14:paraId="0000003B" w14:textId="77777777" w:rsidR="004C3028" w:rsidRDefault="004C3028">
      <w:pPr>
        <w:spacing w:after="300"/>
        <w:jc w:val="both"/>
        <w:rPr>
          <w:rFonts w:ascii="Times New Roman" w:eastAsia="Times New Roman" w:hAnsi="Times New Roman" w:cs="Times New Roman"/>
          <w:sz w:val="24"/>
          <w:szCs w:val="24"/>
        </w:rPr>
      </w:pPr>
    </w:p>
    <w:p w14:paraId="0000003C" w14:textId="77777777" w:rsidR="004C3028" w:rsidRDefault="004516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D" w14:textId="77777777" w:rsidR="004C3028" w:rsidRDefault="004C3028">
      <w:pPr>
        <w:rPr>
          <w:rFonts w:ascii="Times New Roman" w:eastAsia="Times New Roman" w:hAnsi="Times New Roman" w:cs="Times New Roman"/>
          <w:sz w:val="24"/>
          <w:szCs w:val="24"/>
        </w:rPr>
      </w:pPr>
    </w:p>
    <w:p w14:paraId="0000003E" w14:textId="77777777" w:rsidR="004C3028" w:rsidRDefault="004C3028">
      <w:pPr>
        <w:rPr>
          <w:rFonts w:ascii="Times New Roman" w:eastAsia="Times New Roman" w:hAnsi="Times New Roman" w:cs="Times New Roman"/>
          <w:sz w:val="24"/>
          <w:szCs w:val="24"/>
        </w:rPr>
      </w:pPr>
    </w:p>
    <w:p w14:paraId="0000003F" w14:textId="77777777" w:rsidR="004C3028" w:rsidRDefault="004C3028">
      <w:pPr>
        <w:rPr>
          <w:rFonts w:ascii="Times New Roman" w:eastAsia="Times New Roman" w:hAnsi="Times New Roman" w:cs="Times New Roman"/>
          <w:sz w:val="24"/>
          <w:szCs w:val="24"/>
        </w:rPr>
      </w:pPr>
    </w:p>
    <w:p w14:paraId="00000040" w14:textId="77777777" w:rsidR="004C3028" w:rsidRDefault="004C3028">
      <w:pPr>
        <w:rPr>
          <w:rFonts w:ascii="Times New Roman" w:eastAsia="Times New Roman" w:hAnsi="Times New Roman" w:cs="Times New Roman"/>
          <w:sz w:val="24"/>
          <w:szCs w:val="24"/>
        </w:rPr>
      </w:pPr>
    </w:p>
    <w:p w14:paraId="00000041" w14:textId="77777777" w:rsidR="004C3028" w:rsidRDefault="004C3028">
      <w:pPr>
        <w:rPr>
          <w:rFonts w:ascii="Times New Roman" w:eastAsia="Times New Roman" w:hAnsi="Times New Roman" w:cs="Times New Roman"/>
          <w:sz w:val="24"/>
          <w:szCs w:val="24"/>
        </w:rPr>
      </w:pPr>
    </w:p>
    <w:p w14:paraId="00000042" w14:textId="77777777" w:rsidR="004C3028" w:rsidRDefault="004C3028">
      <w:pPr>
        <w:rPr>
          <w:rFonts w:ascii="Times New Roman" w:eastAsia="Times New Roman" w:hAnsi="Times New Roman" w:cs="Times New Roman"/>
          <w:sz w:val="24"/>
          <w:szCs w:val="24"/>
        </w:rPr>
      </w:pPr>
    </w:p>
    <w:p w14:paraId="00000043" w14:textId="77777777" w:rsidR="004C3028" w:rsidRDefault="004C3028">
      <w:pPr>
        <w:rPr>
          <w:rFonts w:ascii="Times New Roman" w:eastAsia="Times New Roman" w:hAnsi="Times New Roman" w:cs="Times New Roman"/>
          <w:sz w:val="24"/>
          <w:szCs w:val="24"/>
        </w:rPr>
      </w:pPr>
    </w:p>
    <w:p w14:paraId="00000044" w14:textId="77777777" w:rsidR="004C3028" w:rsidRDefault="004C3028">
      <w:pPr>
        <w:rPr>
          <w:rFonts w:ascii="Times New Roman" w:eastAsia="Times New Roman" w:hAnsi="Times New Roman" w:cs="Times New Roman"/>
          <w:sz w:val="24"/>
          <w:szCs w:val="24"/>
        </w:rPr>
      </w:pPr>
    </w:p>
    <w:p w14:paraId="00000045" w14:textId="77777777" w:rsidR="004C3028" w:rsidRDefault="004C3028">
      <w:pPr>
        <w:rPr>
          <w:rFonts w:ascii="Times New Roman" w:eastAsia="Times New Roman" w:hAnsi="Times New Roman" w:cs="Times New Roman"/>
          <w:sz w:val="24"/>
          <w:szCs w:val="24"/>
        </w:rPr>
      </w:pPr>
    </w:p>
    <w:p w14:paraId="00000046" w14:textId="77777777" w:rsidR="004C3028" w:rsidRDefault="004C3028">
      <w:pPr>
        <w:rPr>
          <w:rFonts w:ascii="Times New Roman" w:eastAsia="Times New Roman" w:hAnsi="Times New Roman" w:cs="Times New Roman"/>
          <w:sz w:val="24"/>
          <w:szCs w:val="24"/>
        </w:rPr>
      </w:pPr>
    </w:p>
    <w:p w14:paraId="00000047" w14:textId="77777777" w:rsidR="004C3028" w:rsidRDefault="004516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8" w14:textId="77777777" w:rsidR="004C3028" w:rsidRDefault="004C3028">
      <w:pPr>
        <w:rPr>
          <w:rFonts w:ascii="Times New Roman" w:eastAsia="Times New Roman" w:hAnsi="Times New Roman" w:cs="Times New Roman"/>
          <w:sz w:val="24"/>
          <w:szCs w:val="24"/>
        </w:rPr>
      </w:pPr>
    </w:p>
    <w:p w14:paraId="00000049" w14:textId="77777777" w:rsidR="004C3028" w:rsidRDefault="004C3028">
      <w:pPr>
        <w:rPr>
          <w:rFonts w:ascii="Times New Roman" w:eastAsia="Times New Roman" w:hAnsi="Times New Roman" w:cs="Times New Roman"/>
          <w:sz w:val="24"/>
          <w:szCs w:val="24"/>
        </w:rPr>
      </w:pPr>
    </w:p>
    <w:p w14:paraId="0000004A" w14:textId="77777777" w:rsidR="004C3028" w:rsidRDefault="004516DB">
      <w:pPr>
        <w:rPr>
          <w:rFonts w:ascii="Times New Roman" w:eastAsia="Times New Roman" w:hAnsi="Times New Roman" w:cs="Times New Roman"/>
          <w:sz w:val="24"/>
          <w:szCs w:val="24"/>
        </w:rPr>
      </w:pPr>
      <w:r>
        <w:rPr>
          <w:rFonts w:ascii="Times New Roman" w:eastAsia="Times New Roman" w:hAnsi="Times New Roman" w:cs="Times New Roman"/>
          <w:sz w:val="24"/>
          <w:szCs w:val="24"/>
        </w:rPr>
        <w:t>Closing Remarks</w:t>
      </w:r>
    </w:p>
    <w:p w14:paraId="0000004B" w14:textId="77777777" w:rsidR="004C3028" w:rsidRDefault="004C3028">
      <w:pPr>
        <w:rPr>
          <w:rFonts w:ascii="Times New Roman" w:eastAsia="Times New Roman" w:hAnsi="Times New Roman" w:cs="Times New Roman"/>
          <w:sz w:val="24"/>
          <w:szCs w:val="24"/>
        </w:rPr>
      </w:pPr>
    </w:p>
    <w:p w14:paraId="0000004C" w14:textId="77777777" w:rsidR="004C3028" w:rsidRDefault="00451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Madame Chair and Committee Members, </w:t>
      </w:r>
    </w:p>
    <w:p w14:paraId="0000004D" w14:textId="77777777" w:rsidR="004C3028" w:rsidRDefault="004C3028">
      <w:pPr>
        <w:jc w:val="both"/>
        <w:rPr>
          <w:rFonts w:ascii="Times New Roman" w:eastAsia="Times New Roman" w:hAnsi="Times New Roman" w:cs="Times New Roman"/>
          <w:sz w:val="24"/>
          <w:szCs w:val="24"/>
        </w:rPr>
      </w:pPr>
    </w:p>
    <w:p w14:paraId="0000004E" w14:textId="77777777" w:rsidR="004C3028" w:rsidRDefault="004516DB">
      <w:pPr>
        <w:rPr>
          <w:rFonts w:ascii="Times New Roman" w:eastAsia="Times New Roman" w:hAnsi="Times New Roman" w:cs="Times New Roman"/>
          <w:sz w:val="24"/>
          <w:szCs w:val="24"/>
        </w:rPr>
      </w:pPr>
      <w:r>
        <w:rPr>
          <w:rFonts w:ascii="Times New Roman" w:eastAsia="Times New Roman" w:hAnsi="Times New Roman" w:cs="Times New Roman"/>
          <w:sz w:val="24"/>
          <w:szCs w:val="24"/>
        </w:rPr>
        <w:t>To conclude, Tonga reiterates our sincere commitment to protect the rights of children. Promoting and protecting the rights of children is contingent on ensuring that an enabling and healthy environment continues to exist where they can thrive holistically to achieve their potential. Together with our committed partners, we will continue to strengthen our work on this important issue to ensure a safe and healthy environment for our children where by supporting the United Nations commitment to “Leave no one Behind”</w:t>
      </w:r>
    </w:p>
    <w:p w14:paraId="0000004F" w14:textId="77777777" w:rsidR="004C3028" w:rsidRDefault="004C3028">
      <w:pPr>
        <w:rPr>
          <w:rFonts w:ascii="Times New Roman" w:eastAsia="Times New Roman" w:hAnsi="Times New Roman" w:cs="Times New Roman"/>
          <w:sz w:val="24"/>
          <w:szCs w:val="24"/>
        </w:rPr>
      </w:pPr>
    </w:p>
    <w:p w14:paraId="00000050" w14:textId="77777777" w:rsidR="004C3028" w:rsidRDefault="004516D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I would like to share a common understanding regarding the raising of children in the Tongan Context,  our traditional belief is that </w:t>
      </w:r>
      <w:r>
        <w:rPr>
          <w:rFonts w:ascii="Times New Roman" w:eastAsia="Times New Roman" w:hAnsi="Times New Roman" w:cs="Times New Roman"/>
          <w:b/>
          <w:sz w:val="24"/>
          <w:szCs w:val="24"/>
        </w:rPr>
        <w:t>“It takes a community to educate a child”</w:t>
      </w:r>
      <w:r>
        <w:rPr>
          <w:rFonts w:ascii="Times New Roman" w:eastAsia="Times New Roman" w:hAnsi="Times New Roman" w:cs="Times New Roman"/>
          <w:sz w:val="24"/>
          <w:szCs w:val="24"/>
        </w:rPr>
        <w:t xml:space="preserve">, ensuring that all critical and related parties stand together with the effort to provide the children with what is rightfully theirs, taking all appropriate measures to ensure that the best interest of the child is of high priority. </w:t>
      </w:r>
    </w:p>
    <w:p w14:paraId="00000051" w14:textId="77777777" w:rsidR="004C3028" w:rsidRDefault="004C3028">
      <w:pPr>
        <w:rPr>
          <w:rFonts w:ascii="Times New Roman" w:eastAsia="Times New Roman" w:hAnsi="Times New Roman" w:cs="Times New Roman"/>
          <w:sz w:val="24"/>
          <w:szCs w:val="24"/>
        </w:rPr>
      </w:pPr>
    </w:p>
    <w:p w14:paraId="00000052" w14:textId="77777777" w:rsidR="004C3028" w:rsidRDefault="004516DB">
      <w:pPr>
        <w:rPr>
          <w:rFonts w:ascii="Times New Roman" w:eastAsia="Times New Roman" w:hAnsi="Times New Roman" w:cs="Times New Roman"/>
          <w:sz w:val="24"/>
          <w:szCs w:val="24"/>
        </w:rPr>
      </w:pPr>
      <w:r>
        <w:rPr>
          <w:rFonts w:ascii="Times New Roman" w:eastAsia="Times New Roman" w:hAnsi="Times New Roman" w:cs="Times New Roman"/>
          <w:sz w:val="24"/>
          <w:szCs w:val="24"/>
        </w:rPr>
        <w:t>Lastly, On behalf of the Government of Tonga, I would like to acknowledge the UN’s Committee on the Rights of the Child for the continous work  to highlight and advance the rights of children across the board. I also thank the Committee on behalf of Government  of Tonga for this constructive dialogue, it has given the opportunity for the Government to re-evaluate and obtain a fair assessment on progress, challenges and gaps in the area of the right of the children that need addressing.  .</w:t>
      </w:r>
    </w:p>
    <w:p w14:paraId="00000053" w14:textId="77777777" w:rsidR="004C3028" w:rsidRDefault="004C3028">
      <w:pPr>
        <w:rPr>
          <w:rFonts w:ascii="Times New Roman" w:eastAsia="Times New Roman" w:hAnsi="Times New Roman" w:cs="Times New Roman"/>
          <w:sz w:val="24"/>
          <w:szCs w:val="24"/>
        </w:rPr>
      </w:pPr>
    </w:p>
    <w:p w14:paraId="00000054" w14:textId="77777777" w:rsidR="004C3028" w:rsidRDefault="004516DB">
      <w:pPr>
        <w:rPr>
          <w:rFonts w:ascii="Times New Roman" w:eastAsia="Times New Roman" w:hAnsi="Times New Roman" w:cs="Times New Roman"/>
          <w:sz w:val="24"/>
          <w:szCs w:val="24"/>
        </w:rPr>
      </w:pPr>
      <w:r>
        <w:rPr>
          <w:rFonts w:ascii="Times New Roman" w:eastAsia="Times New Roman" w:hAnsi="Times New Roman" w:cs="Times New Roman"/>
          <w:sz w:val="24"/>
          <w:szCs w:val="24"/>
        </w:rPr>
        <w:t>We also welcome the Committee’s concluding recommendations on Tonga’s initial Report.</w:t>
      </w:r>
    </w:p>
    <w:p w14:paraId="00000055" w14:textId="77777777" w:rsidR="004C3028" w:rsidRDefault="004C3028">
      <w:pPr>
        <w:rPr>
          <w:rFonts w:ascii="Times New Roman" w:eastAsia="Times New Roman" w:hAnsi="Times New Roman" w:cs="Times New Roman"/>
          <w:sz w:val="24"/>
          <w:szCs w:val="24"/>
        </w:rPr>
      </w:pPr>
    </w:p>
    <w:p w14:paraId="00000056" w14:textId="77777777" w:rsidR="004C3028" w:rsidRDefault="004516DB">
      <w:pPr>
        <w:rPr>
          <w:rFonts w:ascii="Times New Roman" w:eastAsia="Times New Roman" w:hAnsi="Times New Roman" w:cs="Times New Roman"/>
          <w:sz w:val="24"/>
          <w:szCs w:val="24"/>
        </w:rPr>
      </w:pPr>
      <w:r>
        <w:rPr>
          <w:rFonts w:ascii="Times New Roman" w:eastAsia="Times New Roman" w:hAnsi="Times New Roman" w:cs="Times New Roman"/>
          <w:sz w:val="24"/>
          <w:szCs w:val="24"/>
        </w:rPr>
        <w:t>Malo ‘Aupito</w:t>
      </w:r>
    </w:p>
    <w:p w14:paraId="00000057" w14:textId="77777777" w:rsidR="004C3028" w:rsidRDefault="004C3028">
      <w:pPr>
        <w:rPr>
          <w:sz w:val="24"/>
          <w:szCs w:val="24"/>
        </w:rPr>
      </w:pPr>
    </w:p>
    <w:p w14:paraId="00000058" w14:textId="77777777" w:rsidR="004C3028" w:rsidRDefault="004C3028">
      <w:pPr>
        <w:rPr>
          <w:rFonts w:ascii="Times New Roman" w:eastAsia="Times New Roman" w:hAnsi="Times New Roman" w:cs="Times New Roman"/>
          <w:sz w:val="24"/>
          <w:szCs w:val="24"/>
        </w:rPr>
      </w:pPr>
    </w:p>
    <w:p w14:paraId="00000059" w14:textId="77777777" w:rsidR="004C3028" w:rsidRDefault="004C3028">
      <w:pPr>
        <w:rPr>
          <w:rFonts w:ascii="Times New Roman" w:eastAsia="Times New Roman" w:hAnsi="Times New Roman" w:cs="Times New Roman"/>
          <w:sz w:val="24"/>
          <w:szCs w:val="24"/>
        </w:rPr>
      </w:pPr>
    </w:p>
    <w:p w14:paraId="0000005A" w14:textId="77777777" w:rsidR="004C3028" w:rsidRDefault="004C3028">
      <w:pPr>
        <w:rPr>
          <w:rFonts w:ascii="Times New Roman" w:eastAsia="Times New Roman" w:hAnsi="Times New Roman" w:cs="Times New Roman"/>
          <w:sz w:val="24"/>
          <w:szCs w:val="24"/>
        </w:rPr>
      </w:pPr>
    </w:p>
    <w:p w14:paraId="0000005B" w14:textId="77777777" w:rsidR="004C3028" w:rsidRDefault="004C3028">
      <w:pPr>
        <w:rPr>
          <w:rFonts w:ascii="Times New Roman" w:eastAsia="Times New Roman" w:hAnsi="Times New Roman" w:cs="Times New Roman"/>
          <w:sz w:val="24"/>
          <w:szCs w:val="24"/>
        </w:rPr>
      </w:pPr>
    </w:p>
    <w:p w14:paraId="0000005C" w14:textId="77777777" w:rsidR="004C3028" w:rsidRDefault="004C3028">
      <w:pPr>
        <w:rPr>
          <w:rFonts w:ascii="Times New Roman" w:eastAsia="Times New Roman" w:hAnsi="Times New Roman" w:cs="Times New Roman"/>
          <w:sz w:val="24"/>
          <w:szCs w:val="24"/>
        </w:rPr>
      </w:pPr>
    </w:p>
    <w:sectPr w:rsidR="004C3028">
      <w:pgSz w:w="12240" w:h="15840"/>
      <w:pgMar w:top="1440" w:right="1440" w:bottom="117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045C8"/>
    <w:multiLevelType w:val="multilevel"/>
    <w:tmpl w:val="87401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028"/>
    <w:rsid w:val="004516DB"/>
    <w:rsid w:val="004C3028"/>
    <w:rsid w:val="00FE7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EED90"/>
  <w15:docId w15:val="{B7FA29FE-0B55-4255-BEB3-65B159DCD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D80A6D-F1B5-4C5A-A3CB-2BDA94FADBD6}"/>
</file>

<file path=customXml/itemProps2.xml><?xml version="1.0" encoding="utf-8"?>
<ds:datastoreItem xmlns:ds="http://schemas.openxmlformats.org/officeDocument/2006/customXml" ds:itemID="{C8EC3996-6E5A-48B2-B5F3-F8F701E49D77}"/>
</file>

<file path=customXml/itemProps3.xml><?xml version="1.0" encoding="utf-8"?>
<ds:datastoreItem xmlns:ds="http://schemas.openxmlformats.org/officeDocument/2006/customXml" ds:itemID="{A4784BBD-98C9-4F1F-B27A-5131B5DD9E42}"/>
</file>

<file path=docProps/app.xml><?xml version="1.0" encoding="utf-8"?>
<Properties xmlns="http://schemas.openxmlformats.org/officeDocument/2006/extended-properties" xmlns:vt="http://schemas.openxmlformats.org/officeDocument/2006/docPropsVTypes">
  <Template>Normal.dotm</Template>
  <TotalTime>0</TotalTime>
  <Pages>7</Pages>
  <Words>2000</Words>
  <Characters>11401</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Kalolaine Moeaki</dc:creator>
  <cp:lastModifiedBy>BOIT James</cp:lastModifiedBy>
  <cp:revision>2</cp:revision>
  <dcterms:created xsi:type="dcterms:W3CDTF">2019-05-21T08:10:00Z</dcterms:created>
  <dcterms:modified xsi:type="dcterms:W3CDTF">2019-05-21T08:10:00Z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