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18C0" w:rsidRPr="00484291" w:rsidRDefault="00C318C0" w:rsidP="00C318C0">
      <w:pPr>
        <w:jc w:val="center"/>
        <w:rPr>
          <w:rFonts w:ascii="Arial Narrow" w:hAnsi="Arial Narrow" w:cstheme="minorHAnsi"/>
          <w:b/>
          <w:sz w:val="22"/>
          <w:szCs w:val="22"/>
        </w:rPr>
      </w:pPr>
      <w:bookmarkStart w:id="0" w:name="_GoBack"/>
      <w:bookmarkEnd w:id="0"/>
      <w:permStart w:id="230824367" w:edGrp="everyone"/>
      <w:permEnd w:id="230824367"/>
      <w:r w:rsidRPr="00484291">
        <w:rPr>
          <w:rFonts w:ascii="Arial Narrow" w:hAnsi="Arial Narrow" w:cstheme="minorHAnsi"/>
          <w:b/>
          <w:sz w:val="22"/>
          <w:szCs w:val="22"/>
        </w:rPr>
        <w:t>Anexo II</w:t>
      </w:r>
      <w:r w:rsidR="00FB0D91" w:rsidRPr="00484291">
        <w:rPr>
          <w:rFonts w:ascii="Arial Narrow" w:hAnsi="Arial Narrow" w:cstheme="minorHAnsi"/>
          <w:b/>
          <w:sz w:val="22"/>
          <w:szCs w:val="22"/>
        </w:rPr>
        <w:t xml:space="preserve"> - Normativa</w:t>
      </w:r>
    </w:p>
    <w:p w:rsidR="00C318C0" w:rsidRPr="00484291" w:rsidRDefault="00C318C0" w:rsidP="005D0324">
      <w:pPr>
        <w:jc w:val="both"/>
        <w:rPr>
          <w:rFonts w:ascii="Arial Narrow" w:hAnsi="Arial Narrow" w:cstheme="minorHAnsi"/>
          <w:b/>
          <w:sz w:val="22"/>
          <w:szCs w:val="22"/>
        </w:rPr>
      </w:pPr>
    </w:p>
    <w:p w:rsidR="00C318C0" w:rsidRPr="00484291" w:rsidRDefault="00C318C0" w:rsidP="005D0324">
      <w:pPr>
        <w:jc w:val="both"/>
        <w:rPr>
          <w:rFonts w:ascii="Arial Narrow" w:hAnsi="Arial Narrow" w:cstheme="minorHAnsi"/>
          <w:b/>
          <w:sz w:val="22"/>
          <w:szCs w:val="22"/>
        </w:rPr>
      </w:pPr>
      <w:r w:rsidRPr="00484291">
        <w:rPr>
          <w:rFonts w:ascii="Arial Narrow" w:hAnsi="Arial Narrow" w:cstheme="minorHAnsi"/>
          <w:b/>
          <w:sz w:val="22"/>
          <w:szCs w:val="22"/>
        </w:rPr>
        <w:t>Apartado 1</w:t>
      </w:r>
      <w:r w:rsidR="00FB0D91" w:rsidRPr="00484291">
        <w:rPr>
          <w:rFonts w:ascii="Arial Narrow" w:hAnsi="Arial Narrow" w:cstheme="minorHAnsi"/>
          <w:b/>
          <w:sz w:val="22"/>
          <w:szCs w:val="22"/>
        </w:rPr>
        <w:t xml:space="preserve"> </w:t>
      </w:r>
      <w:r w:rsidR="00FB0D91" w:rsidRPr="00484291">
        <w:rPr>
          <w:rFonts w:ascii="Arial Narrow" w:hAnsi="Arial Narrow"/>
          <w:b/>
          <w:sz w:val="22"/>
          <w:szCs w:val="22"/>
        </w:rPr>
        <w:t>— Marco legal</w:t>
      </w:r>
      <w:r w:rsidR="00DE2495" w:rsidRPr="00484291">
        <w:rPr>
          <w:rFonts w:ascii="Arial Narrow" w:hAnsi="Arial Narrow"/>
          <w:b/>
          <w:sz w:val="22"/>
          <w:szCs w:val="22"/>
        </w:rPr>
        <w:t xml:space="preserve"> g</w:t>
      </w:r>
      <w:r w:rsidR="00B7293C" w:rsidRPr="00484291">
        <w:rPr>
          <w:rFonts w:ascii="Arial Narrow" w:hAnsi="Arial Narrow"/>
          <w:b/>
          <w:sz w:val="22"/>
          <w:szCs w:val="22"/>
        </w:rPr>
        <w:t>e</w:t>
      </w:r>
      <w:r w:rsidR="00DE2495" w:rsidRPr="00484291">
        <w:rPr>
          <w:rFonts w:ascii="Arial Narrow" w:hAnsi="Arial Narrow"/>
          <w:b/>
          <w:sz w:val="22"/>
          <w:szCs w:val="22"/>
        </w:rPr>
        <w:t>neral</w:t>
      </w:r>
    </w:p>
    <w:p w:rsidR="00C318C0" w:rsidRPr="00484291" w:rsidRDefault="00C318C0" w:rsidP="005D0324">
      <w:pPr>
        <w:jc w:val="both"/>
        <w:rPr>
          <w:rFonts w:ascii="Arial Narrow" w:hAnsi="Arial Narrow" w:cstheme="minorHAnsi"/>
          <w:b/>
          <w:sz w:val="22"/>
          <w:szCs w:val="22"/>
        </w:rPr>
      </w:pPr>
    </w:p>
    <w:p w:rsidR="005D0324" w:rsidRPr="00484291" w:rsidRDefault="005D0324" w:rsidP="005D0324">
      <w:pPr>
        <w:jc w:val="both"/>
        <w:rPr>
          <w:rFonts w:ascii="Arial Narrow" w:hAnsi="Arial Narrow" w:cstheme="minorHAnsi"/>
          <w:b/>
          <w:sz w:val="22"/>
          <w:szCs w:val="22"/>
        </w:rPr>
      </w:pPr>
      <w:r w:rsidRPr="00484291">
        <w:rPr>
          <w:rFonts w:ascii="Arial Narrow" w:hAnsi="Arial Narrow" w:cstheme="minorHAnsi"/>
          <w:b/>
          <w:sz w:val="22"/>
          <w:szCs w:val="22"/>
        </w:rPr>
        <w:t>Leyes</w:t>
      </w:r>
    </w:p>
    <w:p w:rsidR="005D0324" w:rsidRPr="00484291" w:rsidRDefault="005D0324" w:rsidP="005D0324">
      <w:pPr>
        <w:jc w:val="both"/>
        <w:rPr>
          <w:rFonts w:ascii="Arial Narrow" w:hAnsi="Arial Narrow" w:cstheme="minorHAnsi"/>
          <w:sz w:val="22"/>
          <w:szCs w:val="22"/>
        </w:rPr>
      </w:pPr>
    </w:p>
    <w:p w:rsidR="005D0324" w:rsidRPr="00484291" w:rsidRDefault="005D0324" w:rsidP="005D0324">
      <w:pPr>
        <w:jc w:val="both"/>
        <w:rPr>
          <w:rFonts w:ascii="Arial Narrow" w:hAnsi="Arial Narrow" w:cstheme="minorHAnsi"/>
          <w:sz w:val="22"/>
          <w:szCs w:val="22"/>
        </w:rPr>
      </w:pPr>
      <w:r w:rsidRPr="00484291">
        <w:rPr>
          <w:rFonts w:ascii="Arial Narrow" w:hAnsi="Arial Narrow" w:cstheme="minorHAnsi"/>
          <w:sz w:val="22"/>
          <w:szCs w:val="22"/>
        </w:rPr>
        <w:t>Ley 146 de 1994. Convención Internacional sobre la Protección de los Derechos de todos los Trabajadores Migratorios y de sus Familiares.</w:t>
      </w:r>
    </w:p>
    <w:p w:rsidR="005D0324" w:rsidRPr="00484291" w:rsidRDefault="005D0324" w:rsidP="005D0324">
      <w:pPr>
        <w:jc w:val="both"/>
        <w:rPr>
          <w:rFonts w:ascii="Arial Narrow" w:hAnsi="Arial Narrow" w:cstheme="minorHAnsi"/>
          <w:sz w:val="22"/>
          <w:szCs w:val="22"/>
        </w:rPr>
      </w:pPr>
      <w:r w:rsidRPr="00484291">
        <w:rPr>
          <w:rFonts w:ascii="Arial Narrow" w:hAnsi="Arial Narrow" w:cstheme="minorHAnsi"/>
          <w:sz w:val="22"/>
          <w:szCs w:val="22"/>
        </w:rPr>
        <w:t>Ley 1465 de 2011. Crea el Sistema Nacional de Migraciones y se expiden normas para la protección de los colombianos en el exterior.</w:t>
      </w:r>
    </w:p>
    <w:p w:rsidR="005D0324" w:rsidRPr="00484291" w:rsidRDefault="005D0324" w:rsidP="005D0324">
      <w:pPr>
        <w:jc w:val="both"/>
        <w:rPr>
          <w:rFonts w:ascii="Arial Narrow" w:hAnsi="Arial Narrow" w:cstheme="minorHAnsi"/>
          <w:sz w:val="22"/>
          <w:szCs w:val="22"/>
        </w:rPr>
      </w:pPr>
      <w:r w:rsidRPr="00484291">
        <w:rPr>
          <w:rFonts w:ascii="Arial Narrow" w:hAnsi="Arial Narrow" w:cstheme="minorHAnsi"/>
          <w:sz w:val="22"/>
          <w:szCs w:val="22"/>
        </w:rPr>
        <w:t>Ley 1565 de 2012. Incentivos para el retorno de los colombianos residentes en el extranjero.</w:t>
      </w:r>
    </w:p>
    <w:p w:rsidR="005D0324" w:rsidRPr="00484291" w:rsidRDefault="005D0324" w:rsidP="005D0324">
      <w:pPr>
        <w:jc w:val="both"/>
        <w:rPr>
          <w:rFonts w:ascii="Arial Narrow" w:hAnsi="Arial Narrow" w:cstheme="minorHAnsi"/>
          <w:sz w:val="22"/>
          <w:szCs w:val="22"/>
        </w:rPr>
      </w:pPr>
      <w:r w:rsidRPr="00484291">
        <w:rPr>
          <w:rFonts w:ascii="Arial Narrow" w:hAnsi="Arial Narrow" w:cstheme="minorHAnsi"/>
          <w:sz w:val="22"/>
          <w:szCs w:val="22"/>
        </w:rPr>
        <w:t xml:space="preserve"> </w:t>
      </w:r>
    </w:p>
    <w:p w:rsidR="005D0324" w:rsidRPr="00484291" w:rsidRDefault="005D0324" w:rsidP="005D0324">
      <w:pPr>
        <w:jc w:val="both"/>
        <w:rPr>
          <w:rFonts w:ascii="Arial Narrow" w:hAnsi="Arial Narrow" w:cstheme="minorHAnsi"/>
          <w:b/>
          <w:sz w:val="22"/>
          <w:szCs w:val="22"/>
        </w:rPr>
      </w:pPr>
      <w:r w:rsidRPr="00484291">
        <w:rPr>
          <w:rFonts w:ascii="Arial Narrow" w:hAnsi="Arial Narrow" w:cstheme="minorHAnsi"/>
          <w:b/>
          <w:sz w:val="22"/>
          <w:szCs w:val="22"/>
        </w:rPr>
        <w:t>Decretos</w:t>
      </w:r>
    </w:p>
    <w:p w:rsidR="004A71B9" w:rsidRPr="00484291" w:rsidRDefault="004A71B9" w:rsidP="005D0324">
      <w:pPr>
        <w:jc w:val="both"/>
        <w:rPr>
          <w:rFonts w:ascii="Arial Narrow" w:hAnsi="Arial Narrow" w:cstheme="minorHAnsi"/>
          <w:b/>
          <w:sz w:val="22"/>
          <w:szCs w:val="22"/>
        </w:rPr>
      </w:pPr>
    </w:p>
    <w:p w:rsidR="005D0324" w:rsidRPr="00484291" w:rsidRDefault="004A71B9" w:rsidP="005D0324">
      <w:pPr>
        <w:jc w:val="both"/>
        <w:rPr>
          <w:rFonts w:ascii="Arial Narrow" w:hAnsi="Arial Narrow" w:cstheme="minorHAnsi"/>
          <w:sz w:val="22"/>
          <w:szCs w:val="22"/>
        </w:rPr>
      </w:pPr>
      <w:r w:rsidRPr="00484291">
        <w:rPr>
          <w:rFonts w:ascii="Arial Narrow" w:hAnsi="Arial Narrow" w:cstheme="minorHAnsi"/>
          <w:sz w:val="22"/>
          <w:szCs w:val="22"/>
        </w:rPr>
        <w:t>Decreto 46 de 2013, que implementa la Decisión 545 de la Comunidad Andina de Naciones o “</w:t>
      </w:r>
      <w:r w:rsidRPr="00484291">
        <w:rPr>
          <w:rFonts w:ascii="Arial Narrow" w:hAnsi="Arial Narrow" w:cstheme="minorHAnsi"/>
          <w:i/>
          <w:sz w:val="22"/>
          <w:szCs w:val="22"/>
        </w:rPr>
        <w:t>Instrumento Andino de Migración Laboral</w:t>
      </w:r>
      <w:r w:rsidRPr="00484291">
        <w:rPr>
          <w:rFonts w:ascii="Arial Narrow" w:hAnsi="Arial Narrow" w:cstheme="minorHAnsi"/>
          <w:sz w:val="22"/>
          <w:szCs w:val="22"/>
        </w:rPr>
        <w:t xml:space="preserve">”. </w:t>
      </w:r>
    </w:p>
    <w:p w:rsidR="005D0324" w:rsidRPr="00484291" w:rsidRDefault="005D0324" w:rsidP="005D0324">
      <w:pPr>
        <w:jc w:val="both"/>
        <w:rPr>
          <w:rFonts w:ascii="Arial Narrow" w:hAnsi="Arial Narrow" w:cstheme="minorHAnsi"/>
          <w:sz w:val="22"/>
          <w:szCs w:val="22"/>
        </w:rPr>
      </w:pPr>
      <w:r w:rsidRPr="00484291">
        <w:rPr>
          <w:rFonts w:ascii="Arial Narrow" w:hAnsi="Arial Narrow" w:cstheme="minorHAnsi"/>
          <w:sz w:val="22"/>
          <w:szCs w:val="22"/>
        </w:rPr>
        <w:t>Decreto 682 de 2014. Por el cual se establecen mecanismos de protección social para los colombianos migrantes y sus familias en Colombia.</w:t>
      </w:r>
    </w:p>
    <w:p w:rsidR="005D0324" w:rsidRPr="00484291" w:rsidRDefault="005D0324" w:rsidP="005D0324">
      <w:pPr>
        <w:jc w:val="both"/>
        <w:rPr>
          <w:rFonts w:ascii="Arial Narrow" w:hAnsi="Arial Narrow" w:cstheme="minorHAnsi"/>
          <w:sz w:val="22"/>
          <w:szCs w:val="22"/>
        </w:rPr>
      </w:pPr>
      <w:r w:rsidRPr="00484291">
        <w:rPr>
          <w:rFonts w:ascii="Arial Narrow" w:hAnsi="Arial Narrow" w:cstheme="minorHAnsi"/>
          <w:sz w:val="22"/>
          <w:szCs w:val="22"/>
        </w:rPr>
        <w:t xml:space="preserve">Decreto 1067 de 2015. Decreto Único </w:t>
      </w:r>
      <w:r w:rsidR="005F5485">
        <w:rPr>
          <w:rFonts w:ascii="Arial Narrow" w:hAnsi="Arial Narrow" w:cstheme="minorHAnsi"/>
          <w:sz w:val="22"/>
          <w:szCs w:val="22"/>
        </w:rPr>
        <w:t xml:space="preserve">del </w:t>
      </w:r>
      <w:r w:rsidRPr="00484291">
        <w:rPr>
          <w:rFonts w:ascii="Arial Narrow" w:hAnsi="Arial Narrow" w:cstheme="minorHAnsi"/>
          <w:sz w:val="22"/>
          <w:szCs w:val="22"/>
        </w:rPr>
        <w:t xml:space="preserve">Sector Administrativo de Relaciones Exteriores. Compiló todos los decretos reglamentarios relacionados con el sector de Relaciones Exteriores, entre ellos el Decreto 1743 de 2015 sobre el otorgamiento de visas y la Comisión Intersectorial para el </w:t>
      </w:r>
      <w:r w:rsidR="00FB0D91" w:rsidRPr="00484291">
        <w:rPr>
          <w:rFonts w:ascii="Arial Narrow" w:hAnsi="Arial Narrow" w:cstheme="minorHAnsi"/>
          <w:sz w:val="22"/>
          <w:szCs w:val="22"/>
        </w:rPr>
        <w:t>R</w:t>
      </w:r>
      <w:r w:rsidRPr="00484291">
        <w:rPr>
          <w:rFonts w:ascii="Arial Narrow" w:hAnsi="Arial Narrow" w:cstheme="minorHAnsi"/>
          <w:sz w:val="22"/>
          <w:szCs w:val="22"/>
        </w:rPr>
        <w:t>etorno.</w:t>
      </w:r>
    </w:p>
    <w:p w:rsidR="004A71B9" w:rsidRPr="00484291" w:rsidRDefault="004A71B9" w:rsidP="004A71B9">
      <w:pPr>
        <w:jc w:val="both"/>
        <w:rPr>
          <w:rFonts w:ascii="Arial Narrow" w:hAnsi="Arial Narrow" w:cstheme="minorHAnsi"/>
          <w:sz w:val="22"/>
          <w:szCs w:val="22"/>
        </w:rPr>
      </w:pPr>
      <w:r w:rsidRPr="00484291">
        <w:rPr>
          <w:rFonts w:ascii="Arial Narrow" w:hAnsi="Arial Narrow" w:cstheme="minorHAnsi"/>
          <w:sz w:val="22"/>
          <w:szCs w:val="22"/>
        </w:rPr>
        <w:t xml:space="preserve">Decreto 1072 de 2015. Decreto Único Sector Administrativo del Trabajo. Compiló todos los decretos reglamentarios relacionados con el sector trabajo. </w:t>
      </w:r>
    </w:p>
    <w:p w:rsidR="005D0324" w:rsidRPr="00484291" w:rsidRDefault="005D0324" w:rsidP="005D0324">
      <w:pPr>
        <w:jc w:val="both"/>
        <w:rPr>
          <w:rFonts w:ascii="Arial Narrow" w:hAnsi="Arial Narrow" w:cstheme="minorHAnsi"/>
          <w:sz w:val="22"/>
          <w:szCs w:val="22"/>
        </w:rPr>
      </w:pPr>
    </w:p>
    <w:p w:rsidR="005D0324" w:rsidRPr="00484291" w:rsidRDefault="005D0324" w:rsidP="005D0324">
      <w:pPr>
        <w:jc w:val="both"/>
        <w:rPr>
          <w:rFonts w:ascii="Arial Narrow" w:hAnsi="Arial Narrow" w:cstheme="minorHAnsi"/>
          <w:b/>
          <w:sz w:val="22"/>
          <w:szCs w:val="22"/>
        </w:rPr>
      </w:pPr>
      <w:r w:rsidRPr="00484291">
        <w:rPr>
          <w:rFonts w:ascii="Arial Narrow" w:hAnsi="Arial Narrow" w:cstheme="minorHAnsi"/>
          <w:b/>
          <w:sz w:val="22"/>
          <w:szCs w:val="22"/>
        </w:rPr>
        <w:t>Resoluciones</w:t>
      </w:r>
    </w:p>
    <w:p w:rsidR="005D0324" w:rsidRPr="00484291" w:rsidRDefault="005D0324" w:rsidP="005D0324">
      <w:pPr>
        <w:jc w:val="both"/>
        <w:rPr>
          <w:rFonts w:ascii="Arial Narrow" w:hAnsi="Arial Narrow" w:cstheme="minorHAnsi"/>
          <w:sz w:val="22"/>
          <w:szCs w:val="22"/>
        </w:rPr>
      </w:pPr>
    </w:p>
    <w:p w:rsidR="005D0324" w:rsidRPr="00484291" w:rsidRDefault="005D0324" w:rsidP="005D0324">
      <w:pPr>
        <w:jc w:val="both"/>
        <w:rPr>
          <w:rFonts w:ascii="Arial Narrow" w:hAnsi="Arial Narrow" w:cstheme="minorHAnsi"/>
          <w:sz w:val="22"/>
          <w:szCs w:val="22"/>
        </w:rPr>
      </w:pPr>
      <w:r w:rsidRPr="00484291">
        <w:rPr>
          <w:rFonts w:ascii="Arial Narrow" w:hAnsi="Arial Narrow" w:cstheme="minorHAnsi"/>
          <w:sz w:val="22"/>
          <w:szCs w:val="22"/>
        </w:rPr>
        <w:t>Resolución 0425 de 2013, “</w:t>
      </w:r>
      <w:r w:rsidRPr="00484291">
        <w:rPr>
          <w:rFonts w:ascii="Arial Narrow" w:hAnsi="Arial Narrow" w:cstheme="minorHAnsi"/>
          <w:i/>
          <w:sz w:val="22"/>
          <w:szCs w:val="22"/>
        </w:rPr>
        <w:t>Por la cual se crea la Subcomisión de la Comisión Permanente de Concertación de Políticas Salariales y Laborales para el Diálogo Social Tripartito en Gestión Migratoria Laboral</w:t>
      </w:r>
      <w:r w:rsidRPr="00484291">
        <w:rPr>
          <w:rFonts w:ascii="Arial Narrow" w:hAnsi="Arial Narrow" w:cstheme="minorHAnsi"/>
          <w:sz w:val="22"/>
          <w:szCs w:val="22"/>
        </w:rPr>
        <w:t xml:space="preserve">”. </w:t>
      </w:r>
    </w:p>
    <w:p w:rsidR="005D0324" w:rsidRPr="00484291" w:rsidRDefault="005D0324" w:rsidP="005D0324">
      <w:pPr>
        <w:jc w:val="both"/>
        <w:rPr>
          <w:rFonts w:ascii="Arial Narrow" w:hAnsi="Arial Narrow" w:cstheme="minorHAnsi"/>
          <w:sz w:val="22"/>
          <w:szCs w:val="22"/>
        </w:rPr>
      </w:pPr>
      <w:r w:rsidRPr="00484291">
        <w:rPr>
          <w:rFonts w:ascii="Arial Narrow" w:hAnsi="Arial Narrow" w:cstheme="minorHAnsi"/>
          <w:sz w:val="22"/>
          <w:szCs w:val="22"/>
        </w:rPr>
        <w:t>Resolución 1481 de 2014,</w:t>
      </w:r>
      <w:r w:rsidR="008D5937" w:rsidRPr="00484291">
        <w:rPr>
          <w:rFonts w:ascii="Arial Narrow" w:hAnsi="Arial Narrow" w:cstheme="minorHAnsi"/>
          <w:sz w:val="22"/>
          <w:szCs w:val="22"/>
        </w:rPr>
        <w:t xml:space="preserve"> “</w:t>
      </w:r>
      <w:r w:rsidR="008D5937" w:rsidRPr="00484291">
        <w:rPr>
          <w:rFonts w:ascii="Arial Narrow" w:hAnsi="Arial Narrow" w:cstheme="minorHAnsi"/>
          <w:i/>
          <w:sz w:val="22"/>
          <w:szCs w:val="22"/>
        </w:rPr>
        <w:t>Por la cual se establecen los requisitos que las agencias de servicios de gestión y colocación de empleo deben cumplir para reclutar o colocar oferentes de mano de obra en el extranjero</w:t>
      </w:r>
      <w:r w:rsidR="008D5937" w:rsidRPr="00484291">
        <w:rPr>
          <w:rFonts w:ascii="Arial Narrow" w:hAnsi="Arial Narrow" w:cstheme="minorHAnsi"/>
          <w:sz w:val="22"/>
          <w:szCs w:val="22"/>
        </w:rPr>
        <w:t>”.</w:t>
      </w:r>
    </w:p>
    <w:p w:rsidR="00CF5F2F" w:rsidRPr="00484291" w:rsidRDefault="00153D3D">
      <w:pPr>
        <w:rPr>
          <w:rFonts w:ascii="Arial Narrow" w:hAnsi="Arial Narrow"/>
          <w:sz w:val="22"/>
          <w:szCs w:val="22"/>
        </w:rPr>
      </w:pPr>
    </w:p>
    <w:p w:rsidR="009D5EB2" w:rsidRPr="00484291" w:rsidRDefault="00C318C0">
      <w:pPr>
        <w:rPr>
          <w:rFonts w:ascii="Arial Narrow" w:hAnsi="Arial Narrow"/>
          <w:b/>
          <w:sz w:val="22"/>
          <w:szCs w:val="22"/>
        </w:rPr>
      </w:pPr>
      <w:r w:rsidRPr="00484291">
        <w:rPr>
          <w:rFonts w:ascii="Arial Narrow" w:hAnsi="Arial Narrow"/>
          <w:b/>
          <w:sz w:val="22"/>
          <w:szCs w:val="22"/>
        </w:rPr>
        <w:t xml:space="preserve">Aparatado 2 — </w:t>
      </w:r>
      <w:r w:rsidR="009D5EB2" w:rsidRPr="00484291">
        <w:rPr>
          <w:rFonts w:ascii="Arial Narrow" w:hAnsi="Arial Narrow"/>
          <w:b/>
          <w:sz w:val="22"/>
          <w:szCs w:val="22"/>
        </w:rPr>
        <w:t>Fortalecimiento del sistema de inspección</w:t>
      </w:r>
    </w:p>
    <w:p w:rsidR="009D5EB2" w:rsidRPr="00484291" w:rsidRDefault="009D5EB2" w:rsidP="009D5EB2">
      <w:pPr>
        <w:spacing w:before="100" w:beforeAutospacing="1" w:after="100" w:afterAutospacing="1"/>
        <w:jc w:val="both"/>
        <w:rPr>
          <w:rFonts w:ascii="Arial Narrow" w:hAnsi="Arial Narrow"/>
          <w:sz w:val="22"/>
          <w:szCs w:val="22"/>
          <w:lang w:val="es-CO"/>
        </w:rPr>
      </w:pPr>
      <w:r w:rsidRPr="00484291">
        <w:rPr>
          <w:rFonts w:ascii="Arial Narrow" w:hAnsi="Arial Narrow"/>
          <w:sz w:val="22"/>
          <w:szCs w:val="22"/>
          <w:lang w:val="es-CO"/>
        </w:rPr>
        <w:t>El Decreto 4108 de 2011, integra el Sector Administrativo del Trabajo en Colombia y a su vez modifica la estructura, funciones y objetivos del Ministerio del Trabajo</w:t>
      </w:r>
      <w:r w:rsidR="00484291">
        <w:rPr>
          <w:rFonts w:ascii="Arial Narrow" w:hAnsi="Arial Narrow"/>
          <w:sz w:val="22"/>
          <w:szCs w:val="22"/>
          <w:lang w:val="es-CO"/>
        </w:rPr>
        <w:t>.</w:t>
      </w:r>
    </w:p>
    <w:p w:rsidR="009D5EB2" w:rsidRPr="00484291" w:rsidRDefault="009D5EB2" w:rsidP="009D5EB2">
      <w:pPr>
        <w:jc w:val="both"/>
        <w:rPr>
          <w:rFonts w:ascii="Arial Narrow" w:hAnsi="Arial Narrow" w:cs="Arial"/>
          <w:sz w:val="22"/>
          <w:szCs w:val="22"/>
          <w:lang w:val="es-CO"/>
        </w:rPr>
      </w:pPr>
      <w:r w:rsidRPr="00484291">
        <w:rPr>
          <w:rFonts w:ascii="Arial Narrow" w:hAnsi="Arial Narrow" w:cs="Arial"/>
          <w:sz w:val="22"/>
          <w:szCs w:val="22"/>
          <w:lang w:val="es-CO"/>
        </w:rPr>
        <w:t xml:space="preserve">Ley 1610 de 2013, establece la competencia general de inspección, vigilancia y control en materia individual del sector privado y en materia colectiva de los sectores público y privado a los </w:t>
      </w:r>
      <w:r w:rsidR="00484291">
        <w:rPr>
          <w:rFonts w:ascii="Arial Narrow" w:hAnsi="Arial Narrow" w:cs="Arial"/>
          <w:sz w:val="22"/>
          <w:szCs w:val="22"/>
          <w:lang w:val="es-CO"/>
        </w:rPr>
        <w:t>i</w:t>
      </w:r>
      <w:r w:rsidRPr="00484291">
        <w:rPr>
          <w:rFonts w:ascii="Arial Narrow" w:hAnsi="Arial Narrow" w:cs="Arial"/>
          <w:sz w:val="22"/>
          <w:szCs w:val="22"/>
          <w:lang w:val="es-CO"/>
        </w:rPr>
        <w:t xml:space="preserve">nspectores de </w:t>
      </w:r>
      <w:r w:rsidR="00484291">
        <w:rPr>
          <w:rFonts w:ascii="Arial Narrow" w:hAnsi="Arial Narrow" w:cs="Arial"/>
          <w:sz w:val="22"/>
          <w:szCs w:val="22"/>
          <w:lang w:val="es-CO"/>
        </w:rPr>
        <w:t>t</w:t>
      </w:r>
      <w:r w:rsidRPr="00484291">
        <w:rPr>
          <w:rFonts w:ascii="Arial Narrow" w:hAnsi="Arial Narrow" w:cs="Arial"/>
          <w:sz w:val="22"/>
          <w:szCs w:val="22"/>
          <w:lang w:val="es-CO"/>
        </w:rPr>
        <w:t xml:space="preserve">rabajo y </w:t>
      </w:r>
      <w:r w:rsidR="00484291">
        <w:rPr>
          <w:rFonts w:ascii="Arial Narrow" w:hAnsi="Arial Narrow" w:cs="Arial"/>
          <w:sz w:val="22"/>
          <w:szCs w:val="22"/>
          <w:lang w:val="es-CO"/>
        </w:rPr>
        <w:t>s</w:t>
      </w:r>
      <w:r w:rsidRPr="00484291">
        <w:rPr>
          <w:rFonts w:ascii="Arial Narrow" w:hAnsi="Arial Narrow" w:cs="Arial"/>
          <w:sz w:val="22"/>
          <w:szCs w:val="22"/>
          <w:lang w:val="es-CO"/>
        </w:rPr>
        <w:t xml:space="preserve">eguridad </w:t>
      </w:r>
      <w:r w:rsidR="00484291">
        <w:rPr>
          <w:rFonts w:ascii="Arial Narrow" w:hAnsi="Arial Narrow" w:cs="Arial"/>
          <w:sz w:val="22"/>
          <w:szCs w:val="22"/>
          <w:lang w:val="es-CO"/>
        </w:rPr>
        <w:t>s</w:t>
      </w:r>
      <w:r w:rsidRPr="00484291">
        <w:rPr>
          <w:rFonts w:ascii="Arial Narrow" w:hAnsi="Arial Narrow" w:cs="Arial"/>
          <w:sz w:val="22"/>
          <w:szCs w:val="22"/>
          <w:lang w:val="es-CO"/>
        </w:rPr>
        <w:t>ocial.</w:t>
      </w:r>
    </w:p>
    <w:p w:rsidR="009D5EB2" w:rsidRPr="00484291" w:rsidRDefault="009D5EB2" w:rsidP="009D5EB2">
      <w:pPr>
        <w:jc w:val="both"/>
        <w:rPr>
          <w:rFonts w:ascii="Arial Narrow" w:hAnsi="Arial Narrow" w:cs="Arial"/>
          <w:sz w:val="22"/>
          <w:szCs w:val="22"/>
          <w:lang w:val="es-CO"/>
        </w:rPr>
      </w:pPr>
    </w:p>
    <w:p w:rsidR="009D5EB2" w:rsidRPr="00484291" w:rsidRDefault="009D5EB2" w:rsidP="009D5EB2">
      <w:pPr>
        <w:pStyle w:val="Default"/>
        <w:jc w:val="both"/>
        <w:rPr>
          <w:rFonts w:ascii="Arial Narrow" w:hAnsi="Arial Narrow"/>
          <w:sz w:val="22"/>
          <w:szCs w:val="22"/>
        </w:rPr>
      </w:pPr>
      <w:r w:rsidRPr="00484291">
        <w:rPr>
          <w:rFonts w:ascii="Arial Narrow" w:hAnsi="Arial Narrow"/>
          <w:sz w:val="22"/>
          <w:szCs w:val="22"/>
        </w:rPr>
        <w:t>En cuanto al enfoque preventivo en la inspección y las facultades de los inspectores en temas de seguridad y salud en el trabajo</w:t>
      </w:r>
      <w:r w:rsidR="00484291">
        <w:rPr>
          <w:rFonts w:ascii="Arial Narrow" w:hAnsi="Arial Narrow"/>
          <w:sz w:val="22"/>
          <w:szCs w:val="22"/>
        </w:rPr>
        <w:t>:</w:t>
      </w:r>
      <w:r w:rsidRPr="00484291">
        <w:rPr>
          <w:rFonts w:ascii="Arial Narrow" w:hAnsi="Arial Narrow"/>
          <w:sz w:val="22"/>
          <w:szCs w:val="22"/>
        </w:rPr>
        <w:t xml:space="preserve"> </w:t>
      </w:r>
      <w:r w:rsidR="00484291">
        <w:rPr>
          <w:rFonts w:ascii="Arial Narrow" w:hAnsi="Arial Narrow"/>
          <w:sz w:val="22"/>
          <w:szCs w:val="22"/>
        </w:rPr>
        <w:t>e</w:t>
      </w:r>
      <w:r w:rsidRPr="00484291">
        <w:rPr>
          <w:rFonts w:ascii="Arial Narrow" w:hAnsi="Arial Narrow"/>
          <w:sz w:val="22"/>
          <w:szCs w:val="22"/>
        </w:rPr>
        <w:t xml:space="preserve">l Gobierno </w:t>
      </w:r>
      <w:r w:rsidR="00484291">
        <w:rPr>
          <w:rFonts w:ascii="Arial Narrow" w:hAnsi="Arial Narrow"/>
          <w:sz w:val="22"/>
          <w:szCs w:val="22"/>
        </w:rPr>
        <w:t>Nacional</w:t>
      </w:r>
      <w:r w:rsidR="00AF55A7">
        <w:rPr>
          <w:rFonts w:ascii="Arial Narrow" w:hAnsi="Arial Narrow"/>
          <w:sz w:val="22"/>
          <w:szCs w:val="22"/>
        </w:rPr>
        <w:t>,</w:t>
      </w:r>
      <w:r w:rsidRPr="00484291">
        <w:rPr>
          <w:rFonts w:ascii="Arial Narrow" w:hAnsi="Arial Narrow"/>
          <w:sz w:val="22"/>
          <w:szCs w:val="22"/>
        </w:rPr>
        <w:t xml:space="preserve"> a partir de lo establecido en el artículo 3 numeral 1 de la Ley 1610 de 2013</w:t>
      </w:r>
      <w:r w:rsidR="00484291">
        <w:rPr>
          <w:rFonts w:ascii="Arial Narrow" w:hAnsi="Arial Narrow"/>
          <w:sz w:val="22"/>
          <w:szCs w:val="22"/>
        </w:rPr>
        <w:t>,</w:t>
      </w:r>
      <w:r w:rsidRPr="00484291">
        <w:rPr>
          <w:rFonts w:ascii="Arial Narrow" w:hAnsi="Arial Narrow"/>
          <w:sz w:val="22"/>
          <w:szCs w:val="22"/>
        </w:rPr>
        <w:t xml:space="preserve"> que hace referencia a la función preventiva, expidió la Resolución 2143 de 2014</w:t>
      </w:r>
      <w:r w:rsidR="00AF55A7">
        <w:rPr>
          <w:rFonts w:ascii="Arial Narrow" w:hAnsi="Arial Narrow"/>
          <w:sz w:val="22"/>
          <w:szCs w:val="22"/>
        </w:rPr>
        <w:t>,</w:t>
      </w:r>
      <w:r w:rsidRPr="00484291">
        <w:rPr>
          <w:rFonts w:ascii="Arial Narrow" w:hAnsi="Arial Narrow"/>
          <w:sz w:val="22"/>
          <w:szCs w:val="22"/>
        </w:rPr>
        <w:t xml:space="preserve"> la cual asignó a los inspectores de trabajo las funciones específicas como herramienta para acompañar y orientar las visitas preventivas con el fin de mitigar y disminuir la ocurrencia de conflictos y riesgos laborales.</w:t>
      </w:r>
    </w:p>
    <w:p w:rsidR="009D5EB2" w:rsidRPr="00484291" w:rsidRDefault="009D5EB2" w:rsidP="009D5EB2">
      <w:pPr>
        <w:pStyle w:val="Default"/>
        <w:ind w:left="360"/>
        <w:jc w:val="both"/>
        <w:rPr>
          <w:rFonts w:ascii="Arial Narrow" w:hAnsi="Arial Narrow"/>
          <w:sz w:val="22"/>
          <w:szCs w:val="22"/>
        </w:rPr>
      </w:pPr>
    </w:p>
    <w:p w:rsidR="009D5EB2" w:rsidRPr="00484291" w:rsidRDefault="009D5EB2" w:rsidP="009D5EB2">
      <w:pPr>
        <w:shd w:val="clear" w:color="auto" w:fill="FFFFFF" w:themeFill="background1"/>
        <w:jc w:val="both"/>
        <w:rPr>
          <w:rFonts w:ascii="Arial Narrow" w:eastAsia="Calibri" w:hAnsi="Arial Narrow" w:cs="Arial"/>
          <w:iCs/>
          <w:sz w:val="22"/>
          <w:szCs w:val="22"/>
          <w:lang w:val="es-CO"/>
        </w:rPr>
      </w:pPr>
      <w:r w:rsidRPr="00484291">
        <w:rPr>
          <w:rFonts w:ascii="Arial Narrow" w:eastAsia="Calibri" w:hAnsi="Arial Narrow" w:cs="Arial"/>
          <w:iCs/>
          <w:sz w:val="22"/>
          <w:szCs w:val="22"/>
          <w:lang w:val="es-CO"/>
        </w:rPr>
        <w:t>Ley 1562 de 2012, la cual articula el Sistema General de Riesgos Laborales</w:t>
      </w:r>
      <w:r w:rsidR="00AF55A7">
        <w:rPr>
          <w:rFonts w:ascii="Arial Narrow" w:eastAsia="Calibri" w:hAnsi="Arial Narrow" w:cs="Arial"/>
          <w:iCs/>
          <w:sz w:val="22"/>
          <w:szCs w:val="22"/>
          <w:lang w:val="es-CO"/>
        </w:rPr>
        <w:t>,</w:t>
      </w:r>
      <w:r w:rsidRPr="00484291">
        <w:rPr>
          <w:rFonts w:ascii="Arial Narrow" w:eastAsia="Calibri" w:hAnsi="Arial Narrow" w:cs="Arial"/>
          <w:iCs/>
          <w:sz w:val="22"/>
          <w:szCs w:val="22"/>
          <w:lang w:val="es-CO"/>
        </w:rPr>
        <w:t xml:space="preserve"> definid</w:t>
      </w:r>
      <w:r w:rsidR="00AF55A7">
        <w:rPr>
          <w:rFonts w:ascii="Arial Narrow" w:eastAsia="Calibri" w:hAnsi="Arial Narrow" w:cs="Arial"/>
          <w:iCs/>
          <w:sz w:val="22"/>
          <w:szCs w:val="22"/>
          <w:lang w:val="es-CO"/>
        </w:rPr>
        <w:t>o</w:t>
      </w:r>
      <w:r w:rsidRPr="00484291">
        <w:rPr>
          <w:rFonts w:ascii="Arial Narrow" w:eastAsia="Calibri" w:hAnsi="Arial Narrow" w:cs="Arial"/>
          <w:iCs/>
          <w:sz w:val="22"/>
          <w:szCs w:val="22"/>
          <w:lang w:val="es-CO"/>
        </w:rPr>
        <w:t xml:space="preserve"> como el</w:t>
      </w:r>
      <w:r w:rsidRPr="00484291">
        <w:rPr>
          <w:rFonts w:ascii="Arial Narrow" w:eastAsia="Times New Roman" w:hAnsi="Arial Narrow" w:cs="Arial"/>
          <w:sz w:val="22"/>
          <w:szCs w:val="22"/>
          <w:lang w:val="es-CO" w:eastAsia="es-CO"/>
        </w:rPr>
        <w:t xml:space="preserve"> </w:t>
      </w:r>
      <w:r w:rsidRPr="00484291">
        <w:rPr>
          <w:rFonts w:ascii="Arial Narrow" w:eastAsia="Calibri" w:hAnsi="Arial Narrow" w:cs="Arial"/>
          <w:iCs/>
          <w:sz w:val="22"/>
          <w:szCs w:val="22"/>
          <w:lang w:val="es-CO"/>
        </w:rPr>
        <w:t>conjunto de entidades públicas y privadas, normas y procedimientos, destinados a prevenir, proteger y atender a los trabajadores de los efectos de las enfermedades y los accidentes que puedan ocurrirles con ocasión o como consecuencia del trabajo que desarrollan.</w:t>
      </w:r>
    </w:p>
    <w:p w:rsidR="009D5EB2" w:rsidRPr="00484291" w:rsidRDefault="009D5EB2" w:rsidP="009D5EB2">
      <w:pPr>
        <w:shd w:val="clear" w:color="auto" w:fill="FFFFFF" w:themeFill="background1"/>
        <w:jc w:val="both"/>
        <w:rPr>
          <w:rFonts w:ascii="Arial Narrow" w:eastAsia="Calibri" w:hAnsi="Arial Narrow" w:cs="Arial"/>
          <w:iCs/>
          <w:sz w:val="22"/>
          <w:szCs w:val="22"/>
          <w:lang w:val="es-CO"/>
        </w:rPr>
      </w:pPr>
    </w:p>
    <w:p w:rsidR="009D5EB2" w:rsidRPr="00C85D84" w:rsidRDefault="009D5EB2" w:rsidP="009D5EB2">
      <w:pPr>
        <w:jc w:val="both"/>
        <w:rPr>
          <w:rFonts w:ascii="Arial Narrow" w:hAnsi="Arial Narrow" w:cs="Arial"/>
          <w:bCs/>
          <w:sz w:val="22"/>
          <w:szCs w:val="22"/>
          <w:lang w:val="es-CO"/>
        </w:rPr>
      </w:pPr>
      <w:r w:rsidRPr="00C85D84">
        <w:rPr>
          <w:rFonts w:ascii="Arial Narrow" w:hAnsi="Arial Narrow" w:cs="Arial"/>
          <w:bCs/>
          <w:sz w:val="22"/>
          <w:szCs w:val="22"/>
          <w:lang w:val="es-CO"/>
        </w:rPr>
        <w:lastRenderedPageBreak/>
        <w:t>Resolución 2143 del 28 de mayo de 2014</w:t>
      </w:r>
      <w:r w:rsidR="00E40949" w:rsidRPr="00C85D84">
        <w:rPr>
          <w:rFonts w:ascii="Arial Narrow" w:hAnsi="Arial Narrow" w:cs="Arial"/>
          <w:bCs/>
          <w:sz w:val="22"/>
          <w:szCs w:val="22"/>
          <w:lang w:val="es-CO"/>
        </w:rPr>
        <w:t>,</w:t>
      </w:r>
      <w:r w:rsidRPr="00C85D84">
        <w:rPr>
          <w:rFonts w:ascii="Arial Narrow" w:hAnsi="Arial Narrow" w:cs="Arial"/>
          <w:bCs/>
          <w:sz w:val="22"/>
          <w:szCs w:val="22"/>
          <w:lang w:val="es-CO"/>
        </w:rPr>
        <w:t xml:space="preserve"> </w:t>
      </w:r>
      <w:r w:rsidR="00E40949" w:rsidRPr="00C85D84">
        <w:rPr>
          <w:rFonts w:ascii="Arial Narrow" w:hAnsi="Arial Narrow" w:cs="Arial"/>
          <w:bCs/>
          <w:sz w:val="22"/>
          <w:szCs w:val="22"/>
          <w:lang w:val="es-CO"/>
        </w:rPr>
        <w:t>“</w:t>
      </w:r>
      <w:r w:rsidR="00E40949" w:rsidRPr="00C85D84">
        <w:rPr>
          <w:rFonts w:ascii="Arial Narrow" w:hAnsi="Arial Narrow" w:cs="Arial"/>
          <w:i/>
          <w:color w:val="000000"/>
          <w:sz w:val="22"/>
          <w:szCs w:val="22"/>
        </w:rPr>
        <w:t>Por la cual se asignan competencias a las Direcciones Territoriales y Oficinas Especiales e Inspecciones de Trabajo</w:t>
      </w:r>
      <w:r w:rsidR="00E40949" w:rsidRPr="00C85D84">
        <w:rPr>
          <w:rFonts w:ascii="Arial Narrow" w:hAnsi="Arial Narrow" w:cs="Arial"/>
          <w:color w:val="000000"/>
          <w:sz w:val="22"/>
          <w:szCs w:val="22"/>
        </w:rPr>
        <w:t>”</w:t>
      </w:r>
      <w:r w:rsidRPr="00C85D84">
        <w:rPr>
          <w:rFonts w:ascii="Arial Narrow" w:hAnsi="Arial Narrow" w:cs="Arial"/>
          <w:bCs/>
          <w:sz w:val="22"/>
          <w:szCs w:val="22"/>
          <w:lang w:val="es-CO"/>
        </w:rPr>
        <w:t xml:space="preserve">. </w:t>
      </w:r>
    </w:p>
    <w:p w:rsidR="009D5EB2" w:rsidRPr="00C85D84" w:rsidRDefault="009D5EB2" w:rsidP="009D5EB2">
      <w:pPr>
        <w:jc w:val="both"/>
        <w:rPr>
          <w:rFonts w:ascii="Arial Narrow" w:hAnsi="Arial Narrow" w:cs="Arial"/>
          <w:bCs/>
          <w:sz w:val="22"/>
          <w:szCs w:val="22"/>
          <w:lang w:val="es-CO"/>
        </w:rPr>
      </w:pPr>
    </w:p>
    <w:p w:rsidR="009D5EB2" w:rsidRPr="00C85D84" w:rsidRDefault="009D5EB2" w:rsidP="009D5EB2">
      <w:pPr>
        <w:jc w:val="both"/>
        <w:rPr>
          <w:rFonts w:ascii="Arial Narrow" w:hAnsi="Arial Narrow" w:cs="Arial"/>
          <w:bCs/>
          <w:sz w:val="22"/>
          <w:szCs w:val="22"/>
          <w:lang w:val="es-CO"/>
        </w:rPr>
      </w:pPr>
      <w:r w:rsidRPr="00C85D84">
        <w:rPr>
          <w:rFonts w:ascii="Arial Narrow" w:hAnsi="Arial Narrow" w:cs="Arial"/>
          <w:bCs/>
          <w:sz w:val="22"/>
          <w:szCs w:val="22"/>
          <w:lang w:val="es-CO"/>
        </w:rPr>
        <w:t>Resolución 1309 de 2013</w:t>
      </w:r>
      <w:r w:rsidR="00C85D84" w:rsidRPr="00C85D84">
        <w:rPr>
          <w:rFonts w:ascii="Arial Narrow" w:hAnsi="Arial Narrow" w:cs="Arial"/>
          <w:bCs/>
          <w:sz w:val="22"/>
          <w:szCs w:val="22"/>
          <w:lang w:val="es-CO"/>
        </w:rPr>
        <w:t>,</w:t>
      </w:r>
      <w:r w:rsidRPr="00C85D84">
        <w:rPr>
          <w:rFonts w:ascii="Arial Narrow" w:hAnsi="Arial Narrow" w:cs="Arial"/>
          <w:bCs/>
          <w:sz w:val="22"/>
          <w:szCs w:val="22"/>
          <w:lang w:val="es-CO"/>
        </w:rPr>
        <w:t xml:space="preserve"> </w:t>
      </w:r>
      <w:r w:rsidR="00C85D84" w:rsidRPr="00C85D84">
        <w:rPr>
          <w:rFonts w:ascii="Arial Narrow" w:hAnsi="Arial Narrow" w:cs="Arial"/>
          <w:bCs/>
          <w:sz w:val="22"/>
          <w:szCs w:val="22"/>
          <w:lang w:val="es-CO"/>
        </w:rPr>
        <w:t>“</w:t>
      </w:r>
      <w:r w:rsidR="00C85D84" w:rsidRPr="00C85D84">
        <w:rPr>
          <w:rFonts w:ascii="Arial Narrow" w:hAnsi="Arial Narrow"/>
          <w:i/>
          <w:color w:val="000000"/>
          <w:sz w:val="22"/>
          <w:szCs w:val="22"/>
        </w:rPr>
        <w:t>Por la cual se adopta el Manual del Inspector de Trabajo y de la Seguridad Social</w:t>
      </w:r>
      <w:r w:rsidR="00C85D84" w:rsidRPr="00C85D84">
        <w:rPr>
          <w:rFonts w:ascii="Arial Narrow" w:hAnsi="Arial Narrow"/>
          <w:color w:val="000000"/>
          <w:sz w:val="22"/>
          <w:szCs w:val="22"/>
        </w:rPr>
        <w:t>”.</w:t>
      </w:r>
    </w:p>
    <w:p w:rsidR="009D5EB2" w:rsidRPr="00C85D84" w:rsidRDefault="009D5EB2" w:rsidP="009D5EB2">
      <w:pPr>
        <w:jc w:val="both"/>
        <w:rPr>
          <w:rFonts w:ascii="Arial Narrow" w:hAnsi="Arial Narrow" w:cs="Arial"/>
          <w:bCs/>
          <w:sz w:val="22"/>
          <w:szCs w:val="22"/>
          <w:lang w:val="es-CO"/>
        </w:rPr>
      </w:pPr>
    </w:p>
    <w:p w:rsidR="009D5EB2" w:rsidRPr="00C85D84" w:rsidRDefault="009D5EB2" w:rsidP="009D5EB2">
      <w:pPr>
        <w:jc w:val="both"/>
        <w:rPr>
          <w:rFonts w:ascii="Arial Narrow" w:hAnsi="Arial Narrow" w:cs="Arial"/>
          <w:bCs/>
          <w:sz w:val="22"/>
          <w:szCs w:val="22"/>
          <w:lang w:val="es-CO"/>
        </w:rPr>
      </w:pPr>
      <w:r w:rsidRPr="00C85D84">
        <w:rPr>
          <w:rFonts w:ascii="Arial Narrow" w:hAnsi="Arial Narrow" w:cs="Arial"/>
          <w:bCs/>
          <w:sz w:val="22"/>
          <w:szCs w:val="22"/>
          <w:lang w:val="es-CO"/>
        </w:rPr>
        <w:t xml:space="preserve">Resolución 382 del 20 de febrero de 2013, mediante </w:t>
      </w:r>
      <w:r w:rsidR="00A415F7">
        <w:rPr>
          <w:rFonts w:ascii="Arial Narrow" w:hAnsi="Arial Narrow" w:cs="Arial"/>
          <w:bCs/>
          <w:sz w:val="22"/>
          <w:szCs w:val="22"/>
          <w:lang w:val="es-CO"/>
        </w:rPr>
        <w:t>la</w:t>
      </w:r>
      <w:r w:rsidRPr="00C85D84">
        <w:rPr>
          <w:rFonts w:ascii="Arial Narrow" w:hAnsi="Arial Narrow" w:cs="Arial"/>
          <w:bCs/>
          <w:sz w:val="22"/>
          <w:szCs w:val="22"/>
          <w:lang w:val="es-CO"/>
        </w:rPr>
        <w:t xml:space="preserve"> cual se crea la Unidad de Investigaciones Especiales en la Dirección de Inspección, Vigilancia, Control y Gestión Territorial. </w:t>
      </w:r>
    </w:p>
    <w:p w:rsidR="009D5EB2" w:rsidRPr="00C85D84" w:rsidRDefault="009D5EB2" w:rsidP="009D5EB2">
      <w:pPr>
        <w:jc w:val="both"/>
        <w:rPr>
          <w:rFonts w:ascii="Arial Narrow" w:hAnsi="Arial Narrow" w:cs="Arial"/>
          <w:bCs/>
          <w:sz w:val="22"/>
          <w:szCs w:val="22"/>
          <w:lang w:val="es-CO"/>
        </w:rPr>
      </w:pPr>
    </w:p>
    <w:p w:rsidR="009D5EB2" w:rsidRPr="00C85D84" w:rsidRDefault="009D5EB2" w:rsidP="009D5EB2">
      <w:pPr>
        <w:jc w:val="both"/>
        <w:rPr>
          <w:rFonts w:ascii="Arial Narrow" w:hAnsi="Arial Narrow" w:cs="Arial"/>
          <w:bCs/>
          <w:sz w:val="22"/>
          <w:szCs w:val="22"/>
          <w:lang w:val="es-CO"/>
        </w:rPr>
      </w:pPr>
      <w:r w:rsidRPr="00C85D84">
        <w:rPr>
          <w:rFonts w:ascii="Arial Narrow" w:hAnsi="Arial Narrow" w:cs="Arial"/>
          <w:bCs/>
          <w:sz w:val="22"/>
          <w:szCs w:val="22"/>
          <w:lang w:val="es-CO"/>
        </w:rPr>
        <w:t xml:space="preserve">Decreto 34 del 15 de enero 2013, </w:t>
      </w:r>
      <w:r w:rsidR="009E2775">
        <w:rPr>
          <w:rFonts w:ascii="Arial Narrow" w:hAnsi="Arial Narrow" w:cs="Arial"/>
          <w:bCs/>
          <w:sz w:val="22"/>
          <w:szCs w:val="22"/>
          <w:lang w:val="es-CO"/>
        </w:rPr>
        <w:t xml:space="preserve">por </w:t>
      </w:r>
      <w:r w:rsidRPr="00C85D84">
        <w:rPr>
          <w:rFonts w:ascii="Arial Narrow" w:hAnsi="Arial Narrow" w:cs="Arial"/>
          <w:bCs/>
          <w:sz w:val="22"/>
          <w:szCs w:val="22"/>
          <w:lang w:val="es-CO"/>
        </w:rPr>
        <w:t xml:space="preserve">el cual se regula el poder preferente y se establecen garantías para adelantar investigaciones. </w:t>
      </w:r>
    </w:p>
    <w:p w:rsidR="009D5EB2" w:rsidRPr="00484291" w:rsidRDefault="009D5EB2" w:rsidP="009D5EB2">
      <w:pPr>
        <w:shd w:val="clear" w:color="auto" w:fill="FFFFFF" w:themeFill="background1"/>
        <w:jc w:val="both"/>
        <w:rPr>
          <w:rFonts w:ascii="Arial Narrow" w:eastAsia="Calibri" w:hAnsi="Arial Narrow" w:cs="Arial"/>
          <w:iCs/>
          <w:sz w:val="22"/>
          <w:szCs w:val="22"/>
          <w:lang w:val="es-CO"/>
        </w:rPr>
      </w:pPr>
    </w:p>
    <w:p w:rsidR="009D5EB2" w:rsidRPr="00484291" w:rsidRDefault="009D5EB2" w:rsidP="009D5EB2">
      <w:pPr>
        <w:shd w:val="clear" w:color="auto" w:fill="FFFFFF" w:themeFill="background1"/>
        <w:jc w:val="both"/>
        <w:rPr>
          <w:rFonts w:ascii="Arial Narrow" w:eastAsia="Times New Roman" w:hAnsi="Arial Narrow" w:cs="Arial"/>
          <w:sz w:val="22"/>
          <w:szCs w:val="22"/>
          <w:lang w:val="es-CO" w:eastAsia="es-ES"/>
        </w:rPr>
      </w:pPr>
      <w:r w:rsidRPr="00484291">
        <w:rPr>
          <w:rFonts w:ascii="Arial Narrow" w:eastAsia="Times New Roman" w:hAnsi="Arial Narrow" w:cs="Arial"/>
          <w:sz w:val="22"/>
          <w:szCs w:val="22"/>
          <w:lang w:val="es-CO" w:eastAsia="es-CO"/>
        </w:rPr>
        <w:t>Resolución 1867 de 2012</w:t>
      </w:r>
      <w:r w:rsidR="009E2775">
        <w:rPr>
          <w:rFonts w:ascii="Arial Narrow" w:eastAsia="Times New Roman" w:hAnsi="Arial Narrow" w:cs="Arial"/>
          <w:sz w:val="22"/>
          <w:szCs w:val="22"/>
          <w:lang w:val="es-CO" w:eastAsia="es-CO"/>
        </w:rPr>
        <w:t>,</w:t>
      </w:r>
      <w:r w:rsidRPr="00484291">
        <w:rPr>
          <w:rFonts w:ascii="Arial Narrow" w:eastAsia="Times New Roman" w:hAnsi="Arial Narrow" w:cs="Arial"/>
          <w:sz w:val="22"/>
          <w:szCs w:val="22"/>
          <w:lang w:val="es-CO" w:eastAsia="es-CO"/>
        </w:rPr>
        <w:t xml:space="preserve"> que reglamenta las Leyes 23 y 47 de 1967</w:t>
      </w:r>
      <w:r w:rsidR="009E2775">
        <w:rPr>
          <w:rFonts w:ascii="Arial Narrow" w:eastAsia="Times New Roman" w:hAnsi="Arial Narrow" w:cs="Arial"/>
          <w:sz w:val="22"/>
          <w:szCs w:val="22"/>
          <w:lang w:val="es-CO" w:eastAsia="es-CO"/>
        </w:rPr>
        <w:t>,</w:t>
      </w:r>
      <w:r w:rsidRPr="00484291">
        <w:rPr>
          <w:rFonts w:ascii="Arial Narrow" w:eastAsia="Times New Roman" w:hAnsi="Arial Narrow" w:cs="Arial"/>
          <w:sz w:val="22"/>
          <w:szCs w:val="22"/>
          <w:lang w:val="es-CO" w:eastAsia="es-CO"/>
        </w:rPr>
        <w:t xml:space="preserve"> referentes a la garantía de confidencialidad del origen de cualquier queja</w:t>
      </w:r>
      <w:r w:rsidRPr="00484291">
        <w:rPr>
          <w:rFonts w:ascii="Arial Narrow" w:eastAsia="Times New Roman" w:hAnsi="Arial Narrow" w:cs="Arial"/>
          <w:sz w:val="22"/>
          <w:szCs w:val="22"/>
          <w:lang w:val="es-CO" w:eastAsia="es-ES"/>
        </w:rPr>
        <w:t>.</w:t>
      </w:r>
    </w:p>
    <w:p w:rsidR="009D5EB2" w:rsidRPr="00484291" w:rsidRDefault="009D5EB2" w:rsidP="009D5EB2">
      <w:pPr>
        <w:shd w:val="clear" w:color="auto" w:fill="FFFFFF" w:themeFill="background1"/>
        <w:jc w:val="both"/>
        <w:rPr>
          <w:rFonts w:ascii="Arial Narrow" w:eastAsia="Times New Roman" w:hAnsi="Arial Narrow" w:cs="Arial"/>
          <w:sz w:val="22"/>
          <w:szCs w:val="22"/>
          <w:lang w:val="es-CO" w:eastAsia="es-ES"/>
        </w:rPr>
      </w:pPr>
    </w:p>
    <w:p w:rsidR="009D5EB2" w:rsidRPr="00484291" w:rsidRDefault="009D5EB2" w:rsidP="009D5EB2">
      <w:pPr>
        <w:jc w:val="both"/>
        <w:rPr>
          <w:rFonts w:ascii="Arial Narrow" w:hAnsi="Arial Narrow" w:cs="Arial"/>
          <w:bCs/>
          <w:sz w:val="22"/>
          <w:szCs w:val="22"/>
          <w:lang w:val="es-CO"/>
        </w:rPr>
      </w:pPr>
      <w:r w:rsidRPr="00484291">
        <w:rPr>
          <w:rFonts w:ascii="Arial Narrow" w:hAnsi="Arial Narrow" w:cs="Arial"/>
          <w:bCs/>
          <w:sz w:val="22"/>
          <w:szCs w:val="22"/>
          <w:lang w:val="es-CO"/>
        </w:rPr>
        <w:t xml:space="preserve">Decreto 1047 de 2014, por el cual se establecen normas para asegurar la afiliación al Sistema Integral de Seguridad Social de los conductores del servicio público de transporte terrestre automotor individual de pasajeros en vehículos taxi, se reglamentan algunos aspectos del servicio para su operatividad y se dictan otras disposiciones </w:t>
      </w:r>
    </w:p>
    <w:p w:rsidR="009D5EB2" w:rsidRPr="00484291" w:rsidRDefault="009D5EB2" w:rsidP="009D5EB2">
      <w:pPr>
        <w:jc w:val="both"/>
        <w:rPr>
          <w:rFonts w:ascii="Arial Narrow" w:hAnsi="Arial Narrow" w:cs="Arial"/>
          <w:bCs/>
          <w:sz w:val="22"/>
          <w:szCs w:val="22"/>
          <w:lang w:val="es-CO"/>
        </w:rPr>
      </w:pPr>
    </w:p>
    <w:p w:rsidR="009D5EB2" w:rsidRPr="00484291" w:rsidRDefault="009D5EB2" w:rsidP="009D5EB2">
      <w:pPr>
        <w:jc w:val="both"/>
        <w:rPr>
          <w:rFonts w:ascii="Arial Narrow" w:hAnsi="Arial Narrow" w:cs="Arial"/>
          <w:bCs/>
          <w:sz w:val="22"/>
          <w:szCs w:val="22"/>
          <w:lang w:val="es-CO"/>
        </w:rPr>
      </w:pPr>
      <w:r w:rsidRPr="00484291">
        <w:rPr>
          <w:rFonts w:ascii="Arial Narrow" w:hAnsi="Arial Narrow" w:cs="Arial"/>
          <w:bCs/>
          <w:sz w:val="22"/>
          <w:szCs w:val="22"/>
          <w:lang w:val="es-CO"/>
        </w:rPr>
        <w:t xml:space="preserve">Decreto 2025 de 2011, mediante el cual se reglamenta parcialmente la Ley 1233 de 2008 y el artículo 63 de la Ley 1429 de 2010 </w:t>
      </w:r>
    </w:p>
    <w:p w:rsidR="009D5EB2" w:rsidRPr="00484291" w:rsidRDefault="009D5EB2" w:rsidP="009D5EB2">
      <w:pPr>
        <w:jc w:val="both"/>
        <w:rPr>
          <w:rFonts w:ascii="Arial Narrow" w:hAnsi="Arial Narrow" w:cs="Arial"/>
          <w:bCs/>
          <w:sz w:val="22"/>
          <w:szCs w:val="22"/>
          <w:lang w:val="es-CO"/>
        </w:rPr>
      </w:pPr>
    </w:p>
    <w:p w:rsidR="009D5EB2" w:rsidRPr="00484291" w:rsidRDefault="009D5EB2">
      <w:pPr>
        <w:rPr>
          <w:rFonts w:ascii="Arial Narrow" w:hAnsi="Arial Narrow"/>
          <w:sz w:val="22"/>
          <w:szCs w:val="22"/>
          <w:lang w:val="es-CO"/>
        </w:rPr>
      </w:pPr>
    </w:p>
    <w:sectPr w:rsidR="009D5EB2" w:rsidRPr="0048429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uzupCrmu8l+D54Dpnf+3KA7BQtxr5kcnN5VeQOEl8PI/EE4FIDryQymhIcuNI1aiXqNQqEkKI+NNwLMuySk6CQ==" w:salt="ypS1WKxUClpiP7kw8tYhCg=="/>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324"/>
    <w:rsid w:val="000D2470"/>
    <w:rsid w:val="00153D3D"/>
    <w:rsid w:val="001E4475"/>
    <w:rsid w:val="002324D7"/>
    <w:rsid w:val="003176A7"/>
    <w:rsid w:val="00484291"/>
    <w:rsid w:val="004A71B9"/>
    <w:rsid w:val="005B2F3C"/>
    <w:rsid w:val="005D0324"/>
    <w:rsid w:val="005F5485"/>
    <w:rsid w:val="008D5937"/>
    <w:rsid w:val="009D5EB2"/>
    <w:rsid w:val="009E2775"/>
    <w:rsid w:val="00A415F7"/>
    <w:rsid w:val="00AF55A7"/>
    <w:rsid w:val="00B7293C"/>
    <w:rsid w:val="00C318C0"/>
    <w:rsid w:val="00C85D84"/>
    <w:rsid w:val="00CA5C2C"/>
    <w:rsid w:val="00DE2495"/>
    <w:rsid w:val="00E40949"/>
    <w:rsid w:val="00FB0D9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62AFA7-BAEA-4426-B8E1-225B5A00A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324"/>
    <w:pPr>
      <w:spacing w:after="0" w:line="240" w:lineRule="auto"/>
    </w:pPr>
    <w:rPr>
      <w:sz w:val="24"/>
      <w:szCs w:val="24"/>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D5EB2"/>
    <w:pPr>
      <w:autoSpaceDE w:val="0"/>
      <w:autoSpaceDN w:val="0"/>
      <w:adjustRightInd w:val="0"/>
      <w:spacing w:after="0" w:line="240" w:lineRule="auto"/>
    </w:pPr>
    <w:rPr>
      <w:rFonts w:ascii="Arial" w:eastAsia="Arial Unicode MS" w:hAnsi="Arial" w:cs="Arial"/>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BF0D86-B89D-490F-9020-C641223420B7}"/>
</file>

<file path=customXml/itemProps2.xml><?xml version="1.0" encoding="utf-8"?>
<ds:datastoreItem xmlns:ds="http://schemas.openxmlformats.org/officeDocument/2006/customXml" ds:itemID="{2D73B188-6517-4705-BC4D-976BCF3CD558}"/>
</file>

<file path=customXml/itemProps3.xml><?xml version="1.0" encoding="utf-8"?>
<ds:datastoreItem xmlns:ds="http://schemas.openxmlformats.org/officeDocument/2006/customXml" ds:itemID="{BC5869F7-27B9-4788-8B2C-7CD1A21A2E34}"/>
</file>

<file path=docProps/app.xml><?xml version="1.0" encoding="utf-8"?>
<Properties xmlns="http://schemas.openxmlformats.org/officeDocument/2006/extended-properties" xmlns:vt="http://schemas.openxmlformats.org/officeDocument/2006/docPropsVTypes">
  <Template>Normal.dotm</Template>
  <TotalTime>14</TotalTime>
  <Pages>2</Pages>
  <Words>643</Words>
  <Characters>3497</Characters>
  <Application>Microsoft Office Word</Application>
  <DocSecurity>8</DocSecurity>
  <Lines>59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Yesid Bonilla</dc:creator>
  <cp:keywords/>
  <dc:description/>
  <cp:lastModifiedBy>Fleche Isabelle</cp:lastModifiedBy>
  <cp:revision>18</cp:revision>
  <dcterms:created xsi:type="dcterms:W3CDTF">2019-02-19T02:22:00Z</dcterms:created>
  <dcterms:modified xsi:type="dcterms:W3CDTF">2019-03-12T14:07:00Z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