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385C8" w14:textId="77777777" w:rsidR="00315FFB" w:rsidRDefault="00FE6519">
      <w:pPr>
        <w:widowControl w:val="0"/>
        <w:jc w:val="center"/>
        <w:rPr>
          <w:b/>
          <w:i/>
          <w:sz w:val="28"/>
          <w:szCs w:val="28"/>
        </w:rPr>
      </w:pPr>
      <w:r>
        <w:rPr>
          <w:b/>
          <w:sz w:val="22"/>
          <w:szCs w:val="22"/>
        </w:rPr>
        <w:t xml:space="preserve">A Joint Shadow Report </w:t>
      </w:r>
    </w:p>
    <w:p w14:paraId="58B385C9" w14:textId="77777777" w:rsidR="00315FFB" w:rsidRDefault="00FE6519">
      <w:pPr>
        <w:keepNext/>
        <w:keepLines/>
        <w:pBdr>
          <w:top w:val="nil"/>
          <w:left w:val="nil"/>
          <w:bottom w:val="nil"/>
          <w:right w:val="nil"/>
          <w:between w:val="nil"/>
        </w:pBdr>
        <w:tabs>
          <w:tab w:val="right" w:pos="851"/>
        </w:tabs>
        <w:spacing w:before="360" w:after="240"/>
        <w:ind w:left="567" w:right="567"/>
        <w:jc w:val="center"/>
        <w:rPr>
          <w:b/>
          <w:color w:val="000000"/>
          <w:sz w:val="28"/>
          <w:szCs w:val="28"/>
        </w:rPr>
      </w:pPr>
      <w:r>
        <w:rPr>
          <w:b/>
          <w:i/>
          <w:sz w:val="28"/>
          <w:szCs w:val="28"/>
        </w:rPr>
        <w:t>Indonesia’s Migrant Workers Amid Forced Labour and Modern Slavery in Global Supply Chains</w:t>
      </w:r>
    </w:p>
    <w:p w14:paraId="58B385CA" w14:textId="77777777" w:rsidR="00315FFB" w:rsidRDefault="00FE6519">
      <w:pPr>
        <w:widowControl w:val="0"/>
        <w:spacing w:before="569" w:line="229" w:lineRule="auto"/>
        <w:ind w:left="282" w:right="289"/>
        <w:jc w:val="center"/>
        <w:rPr>
          <w:sz w:val="22"/>
          <w:szCs w:val="22"/>
        </w:rPr>
      </w:pPr>
      <w:r>
        <w:rPr>
          <w:sz w:val="22"/>
          <w:szCs w:val="22"/>
        </w:rPr>
        <w:t>RELATED TO THE INDONESIAN GOVERNMENT'S REPORT AND THE COMMITTEE’S LAST RECOMMENDATIONS TO THE UN HUMAN RIGHTS COMMITTEE ON THE PROTECTION OF THE RIGHTS OF ALL MIGRANT WORKERS AND MEMBERS OF THEIR FAMILIES.</w:t>
      </w:r>
    </w:p>
    <w:p w14:paraId="58B385CB" w14:textId="77777777" w:rsidR="00315FFB" w:rsidRDefault="00FE6519">
      <w:pPr>
        <w:widowControl w:val="0"/>
        <w:spacing w:before="1151"/>
        <w:jc w:val="center"/>
        <w:rPr>
          <w:sz w:val="22"/>
          <w:szCs w:val="22"/>
        </w:rPr>
      </w:pPr>
      <w:r>
        <w:rPr>
          <w:sz w:val="22"/>
          <w:szCs w:val="22"/>
        </w:rPr>
        <w:t>41ST SESSION</w:t>
      </w:r>
    </w:p>
    <w:p w14:paraId="58B385CC" w14:textId="77777777" w:rsidR="00315FFB" w:rsidRDefault="00FE6519">
      <w:pPr>
        <w:widowControl w:val="0"/>
        <w:spacing w:before="156"/>
        <w:jc w:val="center"/>
        <w:rPr>
          <w:sz w:val="22"/>
          <w:szCs w:val="22"/>
        </w:rPr>
      </w:pPr>
      <w:r>
        <w:rPr>
          <w:sz w:val="22"/>
          <w:szCs w:val="22"/>
        </w:rPr>
        <w:t xml:space="preserve">GENEVA, SWITZERLAND, DECEMBER 2-3, 2025 </w:t>
      </w:r>
    </w:p>
    <w:p w14:paraId="58B385CD" w14:textId="77777777" w:rsidR="00315FFB" w:rsidRDefault="00FE6519">
      <w:pPr>
        <w:widowControl w:val="0"/>
        <w:spacing w:before="902"/>
        <w:jc w:val="center"/>
        <w:rPr>
          <w:sz w:val="22"/>
          <w:szCs w:val="22"/>
        </w:rPr>
      </w:pPr>
      <w:r>
        <w:rPr>
          <w:sz w:val="22"/>
          <w:szCs w:val="22"/>
        </w:rPr>
        <w:t xml:space="preserve">Presented by: </w:t>
      </w:r>
    </w:p>
    <w:p w14:paraId="58B385CE" w14:textId="77777777" w:rsidR="00315FFB" w:rsidRDefault="00FE6519">
      <w:pPr>
        <w:widowControl w:val="0"/>
        <w:spacing w:before="156" w:line="229" w:lineRule="auto"/>
        <w:ind w:left="168" w:right="161"/>
        <w:jc w:val="center"/>
        <w:rPr>
          <w:sz w:val="22"/>
          <w:szCs w:val="22"/>
        </w:rPr>
      </w:pPr>
      <w:r>
        <w:rPr>
          <w:sz w:val="22"/>
          <w:szCs w:val="22"/>
        </w:rPr>
        <w:t xml:space="preserve">Indonesia’s NGO Coalition for International Human Rights Advocacy (HRWG), </w:t>
      </w:r>
      <w:proofErr w:type="spellStart"/>
      <w:r>
        <w:rPr>
          <w:sz w:val="22"/>
          <w:szCs w:val="22"/>
        </w:rPr>
        <w:t>Jaringan</w:t>
      </w:r>
      <w:proofErr w:type="spellEnd"/>
      <w:r>
        <w:rPr>
          <w:sz w:val="22"/>
          <w:szCs w:val="22"/>
        </w:rPr>
        <w:t xml:space="preserve"> </w:t>
      </w:r>
      <w:proofErr w:type="spellStart"/>
      <w:r>
        <w:rPr>
          <w:sz w:val="22"/>
          <w:szCs w:val="22"/>
        </w:rPr>
        <w:t>Buruh</w:t>
      </w:r>
      <w:proofErr w:type="spellEnd"/>
      <w:r>
        <w:rPr>
          <w:sz w:val="22"/>
          <w:szCs w:val="22"/>
        </w:rPr>
        <w:t xml:space="preserve"> Migran (JBM), Indonesia Ocean Justice Initiative (IOJI), </w:t>
      </w:r>
      <w:proofErr w:type="spellStart"/>
      <w:r>
        <w:rPr>
          <w:sz w:val="22"/>
          <w:szCs w:val="22"/>
        </w:rPr>
        <w:t>Serantau</w:t>
      </w:r>
      <w:proofErr w:type="spellEnd"/>
      <w:r>
        <w:rPr>
          <w:sz w:val="22"/>
          <w:szCs w:val="22"/>
        </w:rPr>
        <w:t xml:space="preserve"> Malaysia, </w:t>
      </w:r>
      <w:proofErr w:type="spellStart"/>
      <w:r>
        <w:rPr>
          <w:sz w:val="22"/>
          <w:szCs w:val="22"/>
        </w:rPr>
        <w:t>Serikat</w:t>
      </w:r>
      <w:proofErr w:type="spellEnd"/>
      <w:r>
        <w:rPr>
          <w:sz w:val="22"/>
          <w:szCs w:val="22"/>
        </w:rPr>
        <w:t xml:space="preserve"> </w:t>
      </w:r>
      <w:proofErr w:type="spellStart"/>
      <w:r>
        <w:rPr>
          <w:sz w:val="22"/>
          <w:szCs w:val="22"/>
        </w:rPr>
        <w:t>Buruh</w:t>
      </w:r>
      <w:proofErr w:type="spellEnd"/>
      <w:r>
        <w:rPr>
          <w:sz w:val="22"/>
          <w:szCs w:val="22"/>
        </w:rPr>
        <w:t xml:space="preserve"> Migran Indonesia (SBMI), </w:t>
      </w:r>
      <w:proofErr w:type="spellStart"/>
      <w:r>
        <w:rPr>
          <w:sz w:val="22"/>
          <w:szCs w:val="22"/>
        </w:rPr>
        <w:t>Solidaritas</w:t>
      </w:r>
      <w:proofErr w:type="spellEnd"/>
      <w:r>
        <w:rPr>
          <w:sz w:val="22"/>
          <w:szCs w:val="22"/>
        </w:rPr>
        <w:t xml:space="preserve"> Perempuan, Sumatera Environmental Initiative (SEI)</w:t>
      </w:r>
    </w:p>
    <w:p w14:paraId="58B385CF" w14:textId="77777777" w:rsidR="00315FFB" w:rsidRDefault="00FE6519">
      <w:pPr>
        <w:widowControl w:val="0"/>
        <w:spacing w:before="165"/>
        <w:jc w:val="center"/>
        <w:rPr>
          <w:sz w:val="22"/>
          <w:szCs w:val="22"/>
        </w:rPr>
      </w:pPr>
      <w:r>
        <w:rPr>
          <w:sz w:val="22"/>
          <w:szCs w:val="22"/>
        </w:rPr>
        <w:t xml:space="preserve">Facilitated by: </w:t>
      </w:r>
    </w:p>
    <w:p w14:paraId="58B385D0" w14:textId="77777777" w:rsidR="00315FFB" w:rsidRDefault="00FE6519">
      <w:pPr>
        <w:widowControl w:val="0"/>
        <w:spacing w:before="156" w:line="519" w:lineRule="auto"/>
        <w:ind w:left="1172" w:right="1193"/>
        <w:jc w:val="center"/>
        <w:rPr>
          <w:sz w:val="22"/>
          <w:szCs w:val="22"/>
        </w:rPr>
      </w:pPr>
      <w:r>
        <w:rPr>
          <w:sz w:val="22"/>
          <w:szCs w:val="22"/>
        </w:rPr>
        <w:t xml:space="preserve">Indonesia's NGO Coalition for International Human Rights Advocacy (HRWG) </w:t>
      </w:r>
    </w:p>
    <w:p w14:paraId="58B385D1" w14:textId="77777777" w:rsidR="00315FFB" w:rsidRDefault="00FE6519">
      <w:pPr>
        <w:widowControl w:val="0"/>
        <w:spacing w:before="156" w:line="519" w:lineRule="auto"/>
        <w:ind w:left="1172" w:right="1193"/>
        <w:jc w:val="center"/>
        <w:rPr>
          <w:b/>
          <w:sz w:val="22"/>
          <w:szCs w:val="22"/>
        </w:rPr>
      </w:pPr>
      <w:r>
        <w:rPr>
          <w:sz w:val="22"/>
          <w:szCs w:val="22"/>
        </w:rPr>
        <w:t>OCTOBER 2025</w:t>
      </w:r>
    </w:p>
    <w:p w14:paraId="58B385D2" w14:textId="77777777" w:rsidR="00315FFB" w:rsidRDefault="00315FFB">
      <w:pPr>
        <w:widowControl w:val="0"/>
        <w:spacing w:before="360" w:after="240" w:line="229" w:lineRule="auto"/>
        <w:ind w:right="560"/>
        <w:jc w:val="both"/>
        <w:rPr>
          <w:b/>
          <w:sz w:val="22"/>
          <w:szCs w:val="22"/>
        </w:rPr>
      </w:pPr>
    </w:p>
    <w:p w14:paraId="58B385D3" w14:textId="77777777" w:rsidR="00315FFB" w:rsidRDefault="00315FFB">
      <w:pPr>
        <w:widowControl w:val="0"/>
        <w:spacing w:before="360" w:after="240" w:line="229" w:lineRule="auto"/>
        <w:ind w:right="560"/>
        <w:jc w:val="both"/>
        <w:rPr>
          <w:b/>
          <w:sz w:val="22"/>
          <w:szCs w:val="22"/>
        </w:rPr>
      </w:pPr>
    </w:p>
    <w:p w14:paraId="58B385D4" w14:textId="77777777" w:rsidR="00315FFB" w:rsidRDefault="00315FFB">
      <w:pPr>
        <w:widowControl w:val="0"/>
        <w:spacing w:before="360" w:after="240" w:line="229" w:lineRule="auto"/>
        <w:ind w:right="560"/>
        <w:jc w:val="both"/>
        <w:rPr>
          <w:b/>
          <w:sz w:val="22"/>
          <w:szCs w:val="22"/>
        </w:rPr>
      </w:pPr>
    </w:p>
    <w:p w14:paraId="58B385D5" w14:textId="77777777" w:rsidR="00315FFB" w:rsidRDefault="00315FFB">
      <w:pPr>
        <w:widowControl w:val="0"/>
        <w:spacing w:before="360" w:after="240" w:line="229" w:lineRule="auto"/>
        <w:ind w:right="560"/>
        <w:jc w:val="both"/>
        <w:rPr>
          <w:b/>
          <w:sz w:val="22"/>
          <w:szCs w:val="22"/>
        </w:rPr>
      </w:pPr>
    </w:p>
    <w:p w14:paraId="58B385D6" w14:textId="77777777" w:rsidR="00315FFB" w:rsidRDefault="00315FFB">
      <w:pPr>
        <w:widowControl w:val="0"/>
        <w:spacing w:before="360" w:after="240" w:line="229" w:lineRule="auto"/>
        <w:ind w:right="560"/>
        <w:jc w:val="both"/>
        <w:rPr>
          <w:b/>
          <w:sz w:val="22"/>
          <w:szCs w:val="22"/>
        </w:rPr>
      </w:pPr>
    </w:p>
    <w:p w14:paraId="2A17C93C" w14:textId="77777777" w:rsidR="002E219C" w:rsidRDefault="002E219C">
      <w:pPr>
        <w:widowControl w:val="0"/>
        <w:spacing w:before="360" w:after="240" w:line="229" w:lineRule="auto"/>
        <w:ind w:right="560"/>
        <w:jc w:val="both"/>
        <w:rPr>
          <w:b/>
          <w:sz w:val="22"/>
          <w:szCs w:val="22"/>
        </w:rPr>
      </w:pPr>
    </w:p>
    <w:p w14:paraId="58B385D7" w14:textId="77777777" w:rsidR="00315FFB" w:rsidRDefault="00FE6519">
      <w:pPr>
        <w:widowControl w:val="0"/>
        <w:spacing w:before="360" w:after="240" w:line="229" w:lineRule="auto"/>
        <w:ind w:right="560"/>
        <w:jc w:val="both"/>
        <w:rPr>
          <w:b/>
          <w:sz w:val="22"/>
          <w:szCs w:val="22"/>
        </w:rPr>
      </w:pPr>
      <w:r>
        <w:rPr>
          <w:b/>
          <w:sz w:val="22"/>
          <w:szCs w:val="22"/>
        </w:rPr>
        <w:t>Executive Summary</w:t>
      </w:r>
    </w:p>
    <w:p w14:paraId="58B385D8" w14:textId="77777777" w:rsidR="00315FFB" w:rsidRDefault="00FE6519">
      <w:pPr>
        <w:widowControl w:val="0"/>
        <w:spacing w:before="240" w:after="240" w:line="228" w:lineRule="auto"/>
        <w:jc w:val="both"/>
        <w:rPr>
          <w:sz w:val="22"/>
          <w:szCs w:val="22"/>
        </w:rPr>
      </w:pPr>
      <w:r>
        <w:rPr>
          <w:sz w:val="22"/>
          <w:szCs w:val="22"/>
        </w:rPr>
        <w:lastRenderedPageBreak/>
        <w:t>This Shadow Report, compiled by a coalition of Indonesian civil society organizations and facilitated by HRWG, exposes a stark divergence between the Indonesian government's claims and the lived realities of migrant workers. Responding to Indonesia's report to the Committee on the Protection of the Rights of All Migrant Workers and Members of Their Families (CMW/C/IDN/QPR/2), this document critically addresses four key areas: (1) legal and institutional frameworks, (2) pre-departure processes and recruitmen</w:t>
      </w:r>
      <w:r>
        <w:rPr>
          <w:sz w:val="22"/>
          <w:szCs w:val="22"/>
        </w:rPr>
        <w:t>t, (3) systemic failures in protection and access to remedies, and (4) escalating vulnerabilities in sea-based migration and forced criminality.</w:t>
      </w:r>
    </w:p>
    <w:p w14:paraId="58B385D9" w14:textId="77777777" w:rsidR="00315FFB" w:rsidRDefault="00FE6519">
      <w:pPr>
        <w:widowControl w:val="0"/>
        <w:spacing w:before="240" w:after="240" w:line="228" w:lineRule="auto"/>
        <w:jc w:val="both"/>
        <w:rPr>
          <w:sz w:val="22"/>
          <w:szCs w:val="22"/>
        </w:rPr>
      </w:pPr>
      <w:r>
        <w:rPr>
          <w:sz w:val="22"/>
          <w:szCs w:val="22"/>
        </w:rPr>
        <w:t>Indonesia remains one of the world’s largest migrant-sending countries, with more than 9 million Indonesian nationals working abroad—predominantly in Malaysia, Saudi Arabia, Hong Kong, Taiwan, Japan, and the Republic of Korea. While remittances continue to contribute significantly to the national economy (approximately US$9.7 billion in 2023, according to Bank Indonesia), the protection of migrant workers remains inconsistent, fragmented, and insufficiently rights-based. Despite the adoption of Law No. 18/2</w:t>
      </w:r>
      <w:r>
        <w:rPr>
          <w:sz w:val="22"/>
          <w:szCs w:val="22"/>
        </w:rPr>
        <w:t xml:space="preserve">017 on the Protection of Indonesian Migrant Workers (UU PPMI), structural gaps persist. </w:t>
      </w:r>
    </w:p>
    <w:p w14:paraId="58B385DA" w14:textId="77777777" w:rsidR="00315FFB" w:rsidRDefault="00FE6519">
      <w:pPr>
        <w:widowControl w:val="0"/>
        <w:spacing w:before="240" w:after="240" w:line="228" w:lineRule="auto"/>
        <w:jc w:val="both"/>
        <w:rPr>
          <w:sz w:val="22"/>
          <w:szCs w:val="22"/>
        </w:rPr>
      </w:pPr>
      <w:r>
        <w:rPr>
          <w:sz w:val="22"/>
          <w:szCs w:val="22"/>
        </w:rPr>
        <w:t>Institutional fragmentation among BP2MI, the Ministry of Manpower, and local governments continues to undermine coherent protection. Local authorities often lack resources and technical capacity to implement migration governance effectively. Moreover, the proposed transformation of BP2MI into the Ministry for the Protection of Migrant Workers (KP2MI) risks reproducing bureaucratic duplication rather than achieving meaningful coordination unless its mandate is rights-based, participatory, and gender-responsi</w:t>
      </w:r>
      <w:r>
        <w:rPr>
          <w:sz w:val="22"/>
          <w:szCs w:val="22"/>
        </w:rPr>
        <w:t>ve.</w:t>
      </w:r>
    </w:p>
    <w:p w14:paraId="58B385DB" w14:textId="77777777" w:rsidR="00315FFB" w:rsidRDefault="00FE6519">
      <w:pPr>
        <w:widowControl w:val="0"/>
        <w:spacing w:before="240" w:after="240" w:line="228" w:lineRule="auto"/>
        <w:jc w:val="both"/>
        <w:rPr>
          <w:sz w:val="22"/>
          <w:szCs w:val="22"/>
        </w:rPr>
      </w:pPr>
      <w:r>
        <w:rPr>
          <w:sz w:val="22"/>
          <w:szCs w:val="22"/>
        </w:rPr>
        <w:t>Unethical and exploitative recruitment practices remain systemic. Recruitment agencies (P3MI) and informal brokers continue to impose illegal placement fees, engage in contract substitution, and provide misleading information to prospective workers, particularly women from rural and low-income backgrounds. Findings from SBMI (2024) indicate that over 60% of migrant workers were unaware of grievance channels before departure, while 33% reported being charged illegal recruitment fees. These practices directly</w:t>
      </w:r>
      <w:r>
        <w:rPr>
          <w:sz w:val="22"/>
          <w:szCs w:val="22"/>
        </w:rPr>
        <w:t xml:space="preserve"> contravene the ILO General Principles and Operational Guidelines for Fair Recruitment (2016) and Indonesia’s obligations under the CMW.</w:t>
      </w:r>
    </w:p>
    <w:p w14:paraId="58B385DC" w14:textId="77777777" w:rsidR="00315FFB" w:rsidRDefault="00FE6519">
      <w:pPr>
        <w:widowControl w:val="0"/>
        <w:spacing w:before="240" w:after="240" w:line="228" w:lineRule="auto"/>
        <w:jc w:val="both"/>
        <w:rPr>
          <w:sz w:val="22"/>
          <w:szCs w:val="22"/>
        </w:rPr>
      </w:pPr>
      <w:r>
        <w:rPr>
          <w:sz w:val="22"/>
          <w:szCs w:val="22"/>
        </w:rPr>
        <w:t xml:space="preserve">Indonesia’s growing involvement in global supply chains, particularly in fisheries, plantation, manufacturing, and domestic care has deepened exposure to forced labour and modern slavery risks. Migrant fishers from Indonesia face severe exploitation, with ILO–EJF (2024) reporting that 80% work more than 16 hours a day and 20% experience conditions consistent with forced labour. </w:t>
      </w:r>
    </w:p>
    <w:p w14:paraId="58B385DD" w14:textId="77777777" w:rsidR="00315FFB" w:rsidRDefault="00315FFB">
      <w:pPr>
        <w:widowControl w:val="0"/>
        <w:spacing w:before="240" w:after="240" w:line="228" w:lineRule="auto"/>
        <w:ind w:left="420"/>
        <w:jc w:val="both"/>
        <w:rPr>
          <w:sz w:val="22"/>
          <w:szCs w:val="22"/>
        </w:rPr>
      </w:pPr>
    </w:p>
    <w:p w14:paraId="58B385DE" w14:textId="77777777" w:rsidR="00315FFB" w:rsidRDefault="00FE6519">
      <w:pPr>
        <w:pStyle w:val="Heading1"/>
        <w:widowControl w:val="0"/>
        <w:spacing w:before="156" w:line="229" w:lineRule="auto"/>
        <w:ind w:left="720" w:right="125"/>
        <w:jc w:val="both"/>
        <w:rPr>
          <w:sz w:val="24"/>
          <w:szCs w:val="24"/>
        </w:rPr>
      </w:pPr>
      <w:bookmarkStart w:id="0" w:name="_heading=h.df9b2itzcvts" w:colFirst="0" w:colLast="0"/>
      <w:bookmarkEnd w:id="0"/>
      <w:r>
        <w:br w:type="page"/>
      </w:r>
    </w:p>
    <w:p w14:paraId="58B385DF" w14:textId="77777777" w:rsidR="00315FFB" w:rsidRDefault="00FE6519">
      <w:pPr>
        <w:pStyle w:val="Heading1"/>
        <w:widowControl w:val="0"/>
        <w:numPr>
          <w:ilvl w:val="0"/>
          <w:numId w:val="7"/>
        </w:numPr>
        <w:spacing w:before="156" w:line="229" w:lineRule="auto"/>
        <w:ind w:right="125"/>
        <w:jc w:val="both"/>
        <w:rPr>
          <w:sz w:val="24"/>
          <w:szCs w:val="24"/>
        </w:rPr>
      </w:pPr>
      <w:bookmarkStart w:id="1" w:name="_heading=h.p84zsa9cyu0x" w:colFirst="0" w:colLast="0"/>
      <w:bookmarkEnd w:id="1"/>
      <w:r>
        <w:rPr>
          <w:sz w:val="24"/>
          <w:szCs w:val="24"/>
        </w:rPr>
        <w:t>Legal and institutional frameworks</w:t>
      </w:r>
    </w:p>
    <w:p w14:paraId="58B385E0" w14:textId="77777777" w:rsidR="00315FFB" w:rsidRDefault="00FE6519">
      <w:pPr>
        <w:ind w:left="708" w:right="567"/>
        <w:jc w:val="both"/>
        <w:rPr>
          <w:b/>
          <w:sz w:val="22"/>
          <w:szCs w:val="22"/>
        </w:rPr>
      </w:pPr>
      <w:r>
        <w:rPr>
          <w:b/>
          <w:sz w:val="22"/>
          <w:szCs w:val="22"/>
        </w:rPr>
        <w:t>Implementation of National Regulation No. 17 of 2018 on The Protection of Indonesian Migrant Worker</w:t>
      </w:r>
    </w:p>
    <w:p w14:paraId="58B385E1" w14:textId="77777777" w:rsidR="00315FFB" w:rsidRDefault="00FE6519">
      <w:pPr>
        <w:numPr>
          <w:ilvl w:val="0"/>
          <w:numId w:val="11"/>
        </w:numPr>
        <w:ind w:left="1275"/>
        <w:jc w:val="both"/>
        <w:rPr>
          <w:sz w:val="22"/>
          <w:szCs w:val="22"/>
        </w:rPr>
      </w:pPr>
      <w:r>
        <w:rPr>
          <w:sz w:val="22"/>
          <w:szCs w:val="22"/>
        </w:rPr>
        <w:t>The third revision of Indonesia’s Law No. 18/2017 on the Protection of Indonesian Migrant Workers (UU PPMI) continues to struggle with institutional fragmentation and weak rights enforcement. While the law was initially intended to strengthen protection by shifting responsibility from private recruitment agencies to the state, in practice, the coordination between BP2MI, the Ministry of Manpower (</w:t>
      </w:r>
      <w:proofErr w:type="spellStart"/>
      <w:r>
        <w:rPr>
          <w:sz w:val="22"/>
          <w:szCs w:val="22"/>
        </w:rPr>
        <w:t>Kemnaker</w:t>
      </w:r>
      <w:proofErr w:type="spellEnd"/>
      <w:r>
        <w:rPr>
          <w:sz w:val="22"/>
          <w:szCs w:val="22"/>
        </w:rPr>
        <w:t xml:space="preserve">), local governments, and foreign service attachés remains poorly integrated. The overlapping mandates and absence of clear accountability mechanisms have resulted in inconsistent service delivery, especially at the subnational level where local authorities lack technical capacity and budget support. </w:t>
      </w:r>
    </w:p>
    <w:p w14:paraId="58B385E2" w14:textId="77777777" w:rsidR="00315FFB" w:rsidRDefault="00FE6519">
      <w:pPr>
        <w:numPr>
          <w:ilvl w:val="0"/>
          <w:numId w:val="11"/>
        </w:numPr>
        <w:ind w:left="1275"/>
        <w:jc w:val="both"/>
        <w:rPr>
          <w:sz w:val="22"/>
          <w:szCs w:val="22"/>
        </w:rPr>
      </w:pPr>
      <w:r>
        <w:rPr>
          <w:sz w:val="22"/>
          <w:szCs w:val="22"/>
        </w:rPr>
        <w:t>According to BP2MI’s 2023 report, only about 40% of planned LTSA do not yet have a digital complaint mechanism or integrated referral system. These findings echo the lessons documented in the advocacy learning report, which notes that rights-based service delivery remains the exception, not the norm, and that migrant workers—especially domestic workers and seafarers—still face systemic barriers to redress and reintegration.</w:t>
      </w:r>
    </w:p>
    <w:p w14:paraId="58B385E3" w14:textId="77777777" w:rsidR="00315FFB" w:rsidRDefault="00FE6519">
      <w:pPr>
        <w:numPr>
          <w:ilvl w:val="0"/>
          <w:numId w:val="11"/>
        </w:numPr>
        <w:ind w:left="1275"/>
        <w:jc w:val="both"/>
        <w:rPr>
          <w:sz w:val="22"/>
          <w:szCs w:val="22"/>
        </w:rPr>
      </w:pPr>
      <w:r>
        <w:rPr>
          <w:sz w:val="22"/>
          <w:szCs w:val="22"/>
        </w:rPr>
        <w:t>We appreciate the Indonesian government's concrete steps in issuing a special law for the protection of Indonesian migrant workers (PMI), namely Law Number 17 of 2018 (the PPMI Law). However, its implementation remains unclear, as evidenced by the lack of issuance of implementing regulations and the suboptimal dissemination to regional authorities.</w:t>
      </w:r>
    </w:p>
    <w:p w14:paraId="58B385E4" w14:textId="77777777" w:rsidR="00315FFB" w:rsidRDefault="00FE6519">
      <w:pPr>
        <w:numPr>
          <w:ilvl w:val="0"/>
          <w:numId w:val="11"/>
        </w:numPr>
        <w:ind w:left="1275"/>
        <w:jc w:val="both"/>
        <w:rPr>
          <w:sz w:val="22"/>
          <w:szCs w:val="22"/>
        </w:rPr>
      </w:pPr>
      <w:r>
        <w:rPr>
          <w:sz w:val="22"/>
          <w:szCs w:val="22"/>
        </w:rPr>
        <w:t>The Indonesian government continues to enforce Minister of Manpower Decree No. 260 of 2015 concerning the Termination and Prohibition of the Placement of Indonesian Migrant Workers with Individual Employers in Middle Eastern Countries, a discriminatory policy against women. Between 2022 and 2024, 75% of the 99 cases advocated for were caused by this policy.</w:t>
      </w:r>
      <w:r>
        <w:rPr>
          <w:sz w:val="22"/>
          <w:szCs w:val="22"/>
          <w:vertAlign w:val="superscript"/>
        </w:rPr>
        <w:footnoteReference w:id="1"/>
      </w:r>
    </w:p>
    <w:p w14:paraId="58B385E5" w14:textId="77777777" w:rsidR="00315FFB" w:rsidRDefault="00FE6519">
      <w:pPr>
        <w:numPr>
          <w:ilvl w:val="0"/>
          <w:numId w:val="11"/>
        </w:numPr>
        <w:ind w:left="1275"/>
        <w:jc w:val="both"/>
        <w:rPr>
          <w:sz w:val="22"/>
          <w:szCs w:val="22"/>
        </w:rPr>
      </w:pPr>
      <w:r>
        <w:rPr>
          <w:sz w:val="22"/>
          <w:szCs w:val="22"/>
        </w:rPr>
        <w:t xml:space="preserve">The implementation of Article 12 concerning social protection in the Agreement between the Governments of Indonesia and Malaysia has not been optimal. A Practical Study by the Migrant Workers Network (JBM) on the Indonesia-Malaysia </w:t>
      </w:r>
      <w:r>
        <w:rPr>
          <w:i/>
          <w:sz w:val="22"/>
          <w:szCs w:val="22"/>
        </w:rPr>
        <w:t xml:space="preserve">MoU </w:t>
      </w:r>
      <w:r>
        <w:rPr>
          <w:sz w:val="22"/>
          <w:szCs w:val="22"/>
        </w:rPr>
        <w:t xml:space="preserve">(2022) found various violations of the protection provisions. 26.3% of migrant workers did not receive free medical treatment when sick, and 36.8% did not receive health insurance certificates to cover medical expenses or work-related accidents. Furthermore, </w:t>
      </w:r>
      <w:proofErr w:type="spellStart"/>
      <w:r>
        <w:rPr>
          <w:sz w:val="22"/>
          <w:szCs w:val="22"/>
        </w:rPr>
        <w:t>Serantau</w:t>
      </w:r>
      <w:proofErr w:type="spellEnd"/>
      <w:r>
        <w:rPr>
          <w:sz w:val="22"/>
          <w:szCs w:val="22"/>
        </w:rPr>
        <w:t xml:space="preserve"> Malaysia also noted the ongoing practice of passport retention, underpayment of wages, excessive working hours, and inhumane working conditions, which clearly violate Articles 25–26 of the Convention.</w:t>
      </w:r>
    </w:p>
    <w:p w14:paraId="58B385E6" w14:textId="77777777" w:rsidR="00315FFB" w:rsidRDefault="00FE6519">
      <w:pPr>
        <w:numPr>
          <w:ilvl w:val="0"/>
          <w:numId w:val="11"/>
        </w:numPr>
        <w:ind w:left="1275"/>
        <w:jc w:val="both"/>
        <w:rPr>
          <w:sz w:val="22"/>
          <w:szCs w:val="22"/>
        </w:rPr>
      </w:pPr>
      <w:r>
        <w:rPr>
          <w:sz w:val="22"/>
          <w:szCs w:val="22"/>
        </w:rPr>
        <w:t>Indonesia Migrant Workers Union (SBMI) Annual Report states that domestic workers were the group with the highest number of cases from 2010 to 2024</w:t>
      </w:r>
      <w:r>
        <w:rPr>
          <w:sz w:val="22"/>
          <w:szCs w:val="22"/>
          <w:vertAlign w:val="superscript"/>
        </w:rPr>
        <w:footnoteReference w:id="2"/>
      </w:r>
      <w:r>
        <w:rPr>
          <w:sz w:val="22"/>
          <w:szCs w:val="22"/>
        </w:rPr>
        <w:t xml:space="preserve">. However, although the Committee on Migrant Workers' Rights in its 2017 </w:t>
      </w:r>
      <w:r>
        <w:rPr>
          <w:i/>
          <w:sz w:val="22"/>
          <w:szCs w:val="22"/>
        </w:rPr>
        <w:t xml:space="preserve">Concluding Observation </w:t>
      </w:r>
      <w:r>
        <w:rPr>
          <w:sz w:val="22"/>
          <w:szCs w:val="22"/>
        </w:rPr>
        <w:t>recommended that Indonesia ratify ILO Conventions No. 189 and No. 181</w:t>
      </w:r>
      <w:r>
        <w:rPr>
          <w:sz w:val="22"/>
          <w:szCs w:val="22"/>
          <w:vertAlign w:val="superscript"/>
        </w:rPr>
        <w:footnoteReference w:id="3"/>
      </w:r>
      <w:r>
        <w:rPr>
          <w:sz w:val="22"/>
          <w:szCs w:val="22"/>
        </w:rPr>
        <w:t>, the Indonesian government had not yet implemented these recommendations by 2025.</w:t>
      </w:r>
    </w:p>
    <w:p w14:paraId="41E53856" w14:textId="77777777" w:rsidR="002E219C" w:rsidRDefault="002E219C" w:rsidP="002E219C">
      <w:pPr>
        <w:ind w:left="1275"/>
        <w:jc w:val="both"/>
        <w:rPr>
          <w:sz w:val="22"/>
          <w:szCs w:val="22"/>
        </w:rPr>
      </w:pPr>
    </w:p>
    <w:p w14:paraId="58B385E7" w14:textId="77777777" w:rsidR="00315FFB" w:rsidRDefault="00315FFB">
      <w:pPr>
        <w:ind w:right="567"/>
        <w:jc w:val="both"/>
        <w:rPr>
          <w:sz w:val="22"/>
          <w:szCs w:val="22"/>
        </w:rPr>
      </w:pPr>
    </w:p>
    <w:p w14:paraId="58B385E8" w14:textId="77777777" w:rsidR="00315FFB" w:rsidRDefault="00FE6519">
      <w:pPr>
        <w:ind w:left="708" w:right="560"/>
        <w:jc w:val="both"/>
        <w:rPr>
          <w:b/>
          <w:sz w:val="22"/>
          <w:szCs w:val="22"/>
        </w:rPr>
      </w:pPr>
      <w:r>
        <w:rPr>
          <w:b/>
          <w:sz w:val="22"/>
          <w:szCs w:val="22"/>
        </w:rPr>
        <w:t>Coordination of policy-making institutions</w:t>
      </w:r>
    </w:p>
    <w:p w14:paraId="58B385E9" w14:textId="77777777" w:rsidR="00315FFB" w:rsidRDefault="00FE6519">
      <w:pPr>
        <w:numPr>
          <w:ilvl w:val="0"/>
          <w:numId w:val="11"/>
        </w:numPr>
        <w:spacing w:before="240"/>
        <w:ind w:left="1275"/>
        <w:jc w:val="both"/>
        <w:rPr>
          <w:sz w:val="22"/>
          <w:szCs w:val="22"/>
        </w:rPr>
      </w:pPr>
      <w:r>
        <w:rPr>
          <w:sz w:val="22"/>
          <w:szCs w:val="22"/>
        </w:rPr>
        <w:t>As previously recommended by the Committee on Migrant Workers, the State party establishes a centralized, comprehensive database covering all aspects of the Convention and ensures that data is collected on the status of migrant workers in the State party. The transformation of the Indonesian Migrant Workers Protection Agency (BP2MI) into the Ministry of Migrant Workers Protection (KP2MI) is expected to strengthen authority and consolidate the placement and protection functions of migrant workers. However, d</w:t>
      </w:r>
      <w:r>
        <w:rPr>
          <w:sz w:val="22"/>
          <w:szCs w:val="22"/>
        </w:rPr>
        <w:t xml:space="preserve">ual authority remains a major obstacle. Overlaps, particularly between the Ministry of Manpower, the previous policymaker, and KP2MI in the supervision and licensing of migrant workers (P3MI), have not been resolved due to incompletely updated derivative regulations </w:t>
      </w:r>
      <w:r>
        <w:rPr>
          <w:sz w:val="22"/>
          <w:szCs w:val="22"/>
          <w:vertAlign w:val="superscript"/>
        </w:rPr>
        <w:footnoteReference w:id="4"/>
      </w:r>
    </w:p>
    <w:p w14:paraId="58B385EA" w14:textId="77777777" w:rsidR="00315FFB" w:rsidRDefault="00FE6519">
      <w:pPr>
        <w:numPr>
          <w:ilvl w:val="0"/>
          <w:numId w:val="11"/>
        </w:numPr>
        <w:ind w:left="1275"/>
        <w:jc w:val="both"/>
        <w:rPr>
          <w:sz w:val="22"/>
          <w:szCs w:val="22"/>
        </w:rPr>
      </w:pPr>
      <w:r>
        <w:rPr>
          <w:sz w:val="22"/>
          <w:szCs w:val="22"/>
        </w:rPr>
        <w:t>Harmonization is a persistent problem, seen in several issues such as the unsynchronized migration document verification process between KP2MI and the Ministry of Immigration, inconsistencies in protection services, and enforcement of violations in illegal placement cases that led to the formation of the Civil Servant Investigation Unit (PPNS) whose mandate is not clearly divided between KP2MI, the Ministry of Manpower, and the Police, resulting in overlapping legal processes. In its 2024 Year-End Notes, th</w:t>
      </w:r>
      <w:r>
        <w:rPr>
          <w:sz w:val="22"/>
          <w:szCs w:val="22"/>
        </w:rPr>
        <w:t>e Indonesian Migrant Workers Union (SBMI) highlighted the failure to implement an integrated single migration data system, as mandated by Law No. 18 of 2017, leading to a lack of synchronization of migrant worker placement data across ministries/agencies and local governments. Furthermore, the JBM, through its review of the KP2MI Data Center (</w:t>
      </w:r>
      <w:proofErr w:type="spellStart"/>
      <w:r>
        <w:rPr>
          <w:sz w:val="22"/>
          <w:szCs w:val="22"/>
        </w:rPr>
        <w:t>Pusdatin</w:t>
      </w:r>
      <w:proofErr w:type="spellEnd"/>
      <w:r>
        <w:rPr>
          <w:sz w:val="22"/>
          <w:szCs w:val="22"/>
        </w:rPr>
        <w:t xml:space="preserve">) data, also found several inaccuracies, such as overlapping case categorizations and errors in regional records, such as the </w:t>
      </w:r>
      <w:proofErr w:type="spellStart"/>
      <w:r>
        <w:rPr>
          <w:sz w:val="22"/>
          <w:szCs w:val="22"/>
        </w:rPr>
        <w:t>Seribu</w:t>
      </w:r>
      <w:proofErr w:type="spellEnd"/>
      <w:r>
        <w:rPr>
          <w:sz w:val="22"/>
          <w:szCs w:val="22"/>
        </w:rPr>
        <w:t xml:space="preserve"> Islands Regency being list</w:t>
      </w:r>
      <w:r>
        <w:rPr>
          <w:sz w:val="22"/>
          <w:szCs w:val="22"/>
        </w:rPr>
        <w:t>ed in West Java province.</w:t>
      </w:r>
    </w:p>
    <w:p w14:paraId="58B385EB" w14:textId="77777777" w:rsidR="00315FFB" w:rsidRDefault="00FE6519">
      <w:pPr>
        <w:numPr>
          <w:ilvl w:val="0"/>
          <w:numId w:val="11"/>
        </w:numPr>
        <w:spacing w:after="240"/>
        <w:ind w:left="1275"/>
        <w:jc w:val="both"/>
        <w:rPr>
          <w:sz w:val="22"/>
          <w:szCs w:val="22"/>
        </w:rPr>
      </w:pPr>
      <w:r>
        <w:rPr>
          <w:sz w:val="22"/>
          <w:szCs w:val="22"/>
        </w:rPr>
        <w:t>Findings from the Indonesian Migrant Workers Union (SBMI)–UNDP show that many regions lack a dedicated budget for the repatriation, training, or reintegration of migrant workers, leaving protection efforts largely undirected and dependent on the initiatives of specific institutions. When Regional Apparatus Organization (APO) funds run out, repatriations often proceed without clear procedures and coordination.</w:t>
      </w:r>
    </w:p>
    <w:p w14:paraId="58B385EC" w14:textId="77777777" w:rsidR="00315FFB" w:rsidRDefault="00FE6519">
      <w:pPr>
        <w:ind w:left="708" w:right="560"/>
        <w:jc w:val="both"/>
        <w:rPr>
          <w:b/>
          <w:sz w:val="22"/>
          <w:szCs w:val="22"/>
        </w:rPr>
      </w:pPr>
      <w:r>
        <w:rPr>
          <w:b/>
          <w:sz w:val="22"/>
          <w:szCs w:val="22"/>
        </w:rPr>
        <w:t>Recommendations</w:t>
      </w:r>
    </w:p>
    <w:p w14:paraId="58B385ED" w14:textId="77777777" w:rsidR="00315FFB" w:rsidRDefault="00FE6519">
      <w:pPr>
        <w:numPr>
          <w:ilvl w:val="0"/>
          <w:numId w:val="6"/>
        </w:numPr>
        <w:ind w:left="1275"/>
        <w:jc w:val="both"/>
        <w:rPr>
          <w:sz w:val="22"/>
          <w:szCs w:val="22"/>
        </w:rPr>
      </w:pPr>
      <w:r>
        <w:rPr>
          <w:sz w:val="22"/>
          <w:szCs w:val="22"/>
        </w:rPr>
        <w:t>The Indonesian government and parliament have to work on limited revisions to the PPMI Law, including only changing the nomenclature from BP2MI to KP2MI and adding regulations related to the protection of human rights defenders, particularly migrant rights defenders. This revision must be carried out with meaningful involvement from migrant workers themselves, unions, and civil society groups involved in migrant worker protection.</w:t>
      </w:r>
    </w:p>
    <w:p w14:paraId="58B385EE" w14:textId="77777777" w:rsidR="00315FFB" w:rsidRDefault="00FE6519">
      <w:pPr>
        <w:numPr>
          <w:ilvl w:val="0"/>
          <w:numId w:val="6"/>
        </w:numPr>
        <w:ind w:left="1275"/>
        <w:jc w:val="both"/>
        <w:rPr>
          <w:sz w:val="22"/>
          <w:szCs w:val="22"/>
        </w:rPr>
      </w:pPr>
      <w:r>
        <w:rPr>
          <w:sz w:val="22"/>
          <w:szCs w:val="22"/>
        </w:rPr>
        <w:t xml:space="preserve">Establish dedicated funding from both central and local budgets must be secured to ensure consistent operations, staffing, and outreach, especially in high-migration regions like NTB, East Java, and Central Java. </w:t>
      </w:r>
    </w:p>
    <w:p w14:paraId="58B385EF" w14:textId="77777777" w:rsidR="00315FFB" w:rsidRDefault="00FE6519">
      <w:pPr>
        <w:numPr>
          <w:ilvl w:val="0"/>
          <w:numId w:val="6"/>
        </w:numPr>
        <w:ind w:left="1275"/>
        <w:jc w:val="both"/>
        <w:rPr>
          <w:sz w:val="22"/>
          <w:szCs w:val="22"/>
        </w:rPr>
      </w:pPr>
      <w:r>
        <w:rPr>
          <w:sz w:val="22"/>
          <w:szCs w:val="22"/>
        </w:rPr>
        <w:t xml:space="preserve">Developing community-based monitoring mechanisms, including partnerships with migrant associations and NGOs should be institutionalized to ensure transparency and social oversight. </w:t>
      </w:r>
    </w:p>
    <w:p w14:paraId="58B385F0" w14:textId="77777777" w:rsidR="00315FFB" w:rsidRDefault="00FE6519">
      <w:pPr>
        <w:numPr>
          <w:ilvl w:val="0"/>
          <w:numId w:val="6"/>
        </w:numPr>
        <w:ind w:left="1275"/>
        <w:jc w:val="both"/>
        <w:rPr>
          <w:sz w:val="22"/>
          <w:szCs w:val="22"/>
        </w:rPr>
      </w:pPr>
      <w:r>
        <w:rPr>
          <w:sz w:val="22"/>
          <w:szCs w:val="22"/>
        </w:rPr>
        <w:t>Indonesia should align KP2MI’s mandate with international standards such as the ILO General Principles and Operational Guidelines for Fair Recruitment (2016) and the UN Guiding Principles on Business and Human Rights, ensuring that migrant workers can access remedies free from discrimination, corruption, or bureaucratic delay.</w:t>
      </w:r>
    </w:p>
    <w:p w14:paraId="58B385F1" w14:textId="77777777" w:rsidR="00315FFB" w:rsidRDefault="00FE6519">
      <w:pPr>
        <w:numPr>
          <w:ilvl w:val="0"/>
          <w:numId w:val="6"/>
        </w:numPr>
        <w:ind w:left="1275"/>
        <w:jc w:val="both"/>
        <w:rPr>
          <w:sz w:val="22"/>
          <w:szCs w:val="22"/>
        </w:rPr>
      </w:pPr>
      <w:r>
        <w:rPr>
          <w:sz w:val="22"/>
          <w:szCs w:val="22"/>
        </w:rPr>
        <w:t>The Indonesian government revoked the Decree of the Minister of Manpower Number 260 of 2015 concerning the Termination and Prohibition of the Placement of Indonesian Migrant Workers with Individual Employers in Middle Eastern Countries.</w:t>
      </w:r>
    </w:p>
    <w:p w14:paraId="58B385F2" w14:textId="77777777" w:rsidR="00315FFB" w:rsidRDefault="00315FFB">
      <w:pPr>
        <w:ind w:right="2"/>
        <w:jc w:val="both"/>
        <w:rPr>
          <w:sz w:val="22"/>
          <w:szCs w:val="22"/>
        </w:rPr>
      </w:pPr>
    </w:p>
    <w:p w14:paraId="58B385F3" w14:textId="77777777" w:rsidR="00315FFB" w:rsidRDefault="00FE6519">
      <w:pPr>
        <w:pStyle w:val="Heading1"/>
        <w:widowControl w:val="0"/>
        <w:numPr>
          <w:ilvl w:val="0"/>
          <w:numId w:val="7"/>
        </w:numPr>
        <w:spacing w:before="156" w:after="0" w:line="229" w:lineRule="auto"/>
        <w:ind w:right="125"/>
        <w:jc w:val="both"/>
        <w:rPr>
          <w:sz w:val="24"/>
          <w:szCs w:val="24"/>
        </w:rPr>
      </w:pPr>
      <w:bookmarkStart w:id="2" w:name="_heading=h.ohwal8pj9taw" w:colFirst="0" w:colLast="0"/>
      <w:bookmarkEnd w:id="2"/>
      <w:r>
        <w:rPr>
          <w:sz w:val="24"/>
          <w:szCs w:val="24"/>
        </w:rPr>
        <w:t>Pre-Departure Processes and Recruitment</w:t>
      </w:r>
    </w:p>
    <w:p w14:paraId="58B385F4" w14:textId="77777777" w:rsidR="00315FFB" w:rsidRDefault="00315FFB">
      <w:pPr>
        <w:widowControl w:val="0"/>
        <w:spacing w:before="156" w:line="229" w:lineRule="auto"/>
        <w:ind w:right="125" w:firstLine="720"/>
        <w:jc w:val="both"/>
        <w:rPr>
          <w:b/>
          <w:sz w:val="22"/>
          <w:szCs w:val="22"/>
        </w:rPr>
      </w:pPr>
    </w:p>
    <w:p w14:paraId="58B385F5" w14:textId="77777777" w:rsidR="00315FFB" w:rsidRDefault="00FE6519">
      <w:pPr>
        <w:widowControl w:val="0"/>
        <w:numPr>
          <w:ilvl w:val="0"/>
          <w:numId w:val="8"/>
        </w:numPr>
        <w:spacing w:line="230" w:lineRule="auto"/>
        <w:ind w:left="1275"/>
        <w:jc w:val="both"/>
      </w:pPr>
      <w:r>
        <w:rPr>
          <w:sz w:val="22"/>
          <w:szCs w:val="22"/>
        </w:rPr>
        <w:t xml:space="preserve">Indonesia’s pre-departure process for migrant workers continues to be undermined by systemic weaknesses that contradict international standards on ethical recruitment and fair migration. Despite the introduction of Law No. 18/2017 and its implementing regulations, recruitment practices remain dominated by private agencies (Perusahaan </w:t>
      </w:r>
      <w:proofErr w:type="spellStart"/>
      <w:r>
        <w:rPr>
          <w:sz w:val="22"/>
          <w:szCs w:val="22"/>
        </w:rPr>
        <w:t>Penempatan</w:t>
      </w:r>
      <w:proofErr w:type="spellEnd"/>
      <w:r>
        <w:rPr>
          <w:sz w:val="22"/>
          <w:szCs w:val="22"/>
        </w:rPr>
        <w:t xml:space="preserve"> </w:t>
      </w:r>
      <w:proofErr w:type="spellStart"/>
      <w:r>
        <w:rPr>
          <w:sz w:val="22"/>
          <w:szCs w:val="22"/>
        </w:rPr>
        <w:t>Pekerja</w:t>
      </w:r>
      <w:proofErr w:type="spellEnd"/>
      <w:r>
        <w:rPr>
          <w:sz w:val="22"/>
          <w:szCs w:val="22"/>
        </w:rPr>
        <w:t xml:space="preserve"> Migran Indonesia – P3MI) and informal brokers (calo), who often charge excessive placement fees and misrepresent working conditions abroad. The report notes that many prospective workers, particularly women from rural areas, are still recruited through informal networks due to the lack of accessible information and slow administrative procedures. This results in widespread contract substitution, wage deductions, and debt bondage. </w:t>
      </w:r>
    </w:p>
    <w:p w14:paraId="58B385F6" w14:textId="77777777" w:rsidR="00315FFB" w:rsidRDefault="00FE6519">
      <w:pPr>
        <w:widowControl w:val="0"/>
        <w:numPr>
          <w:ilvl w:val="0"/>
          <w:numId w:val="8"/>
        </w:numPr>
        <w:spacing w:line="230" w:lineRule="auto"/>
        <w:ind w:left="1275"/>
        <w:jc w:val="both"/>
      </w:pPr>
      <w:r>
        <w:rPr>
          <w:sz w:val="22"/>
          <w:szCs w:val="22"/>
        </w:rPr>
        <w:t xml:space="preserve">The absence of a centralized verification system for job offers and recruitment agencies allows fraudulent intermediaries to operate unchecked. The Integrated Data System (SISKOP2MI) managed by BP2MI remains largely disconnected from village-level information services, making it difficult for prospective migrants to verify recruiters or contracts. </w:t>
      </w:r>
    </w:p>
    <w:p w14:paraId="58B385F7" w14:textId="77777777" w:rsidR="00315FFB" w:rsidRDefault="00FE6519">
      <w:pPr>
        <w:widowControl w:val="0"/>
        <w:numPr>
          <w:ilvl w:val="0"/>
          <w:numId w:val="8"/>
        </w:numPr>
        <w:spacing w:line="230" w:lineRule="auto"/>
        <w:ind w:left="1275"/>
        <w:jc w:val="both"/>
      </w:pPr>
      <w:r>
        <w:rPr>
          <w:sz w:val="22"/>
          <w:szCs w:val="22"/>
        </w:rPr>
        <w:t xml:space="preserve">Pre-departure training and orientation programs are often perfunctory and fail to provide workers with practical knowledge on rights, grievance procedures, or destination-country laws. According to the report’s advocacy learning, more than 60% of returnees surveyed claimed they were not aware of complaint channels before deployment, showing the gap between formal procedures and meaningful empowerment. </w:t>
      </w:r>
    </w:p>
    <w:p w14:paraId="58B385F8" w14:textId="77777777" w:rsidR="00315FFB" w:rsidRDefault="00FE6519">
      <w:pPr>
        <w:widowControl w:val="0"/>
        <w:numPr>
          <w:ilvl w:val="0"/>
          <w:numId w:val="8"/>
        </w:numPr>
        <w:spacing w:line="230" w:lineRule="auto"/>
        <w:ind w:left="1275"/>
        <w:jc w:val="both"/>
        <w:rPr>
          <w:sz w:val="22"/>
          <w:szCs w:val="22"/>
        </w:rPr>
      </w:pPr>
      <w:r>
        <w:rPr>
          <w:sz w:val="22"/>
          <w:szCs w:val="22"/>
        </w:rPr>
        <w:t>The Committee on the Rights of Migrant Workers, in its 2017 Concluding Observation, recommended that the government take further steps to ensure migrant workers' access to information and guidance regarding their rights under the Convention, particularly through pre-placement and pre-departure programs. However, a JBM study of 19 respondents showed that 26.3% of migrant workers were unaware of their rights and obligations before departure, while 42.9% of prospective migrant workers obtained information only</w:t>
      </w:r>
      <w:r>
        <w:rPr>
          <w:sz w:val="22"/>
          <w:szCs w:val="22"/>
        </w:rPr>
        <w:t xml:space="preserve"> from the internet or mass media, rather than from official government sources, particularly local governments. </w:t>
      </w:r>
    </w:p>
    <w:p w14:paraId="58B385F9" w14:textId="77777777" w:rsidR="00315FFB" w:rsidRDefault="00FE6519">
      <w:pPr>
        <w:widowControl w:val="0"/>
        <w:numPr>
          <w:ilvl w:val="0"/>
          <w:numId w:val="8"/>
        </w:numPr>
        <w:spacing w:line="230" w:lineRule="auto"/>
        <w:ind w:left="1275"/>
        <w:jc w:val="both"/>
      </w:pPr>
      <w:r>
        <w:rPr>
          <w:sz w:val="22"/>
          <w:szCs w:val="22"/>
        </w:rPr>
        <w:t>Article 30 PPMI Law paragraph (1) which prohibits the charging of placement fees to migrant workers, however in reality, the data of SBMI (2024) showed that 446 cases of complaints from migrant workers who experienced abuse of vulnerability, fraud, debt bondage, and the imposition of high fees from the pre-departure stage at the village level were recorded. Private recruitment agencies (P3MI</w:t>
      </w:r>
      <w:r>
        <w:t>)</w:t>
      </w:r>
      <w:r>
        <w:rPr>
          <w:sz w:val="22"/>
          <w:szCs w:val="22"/>
        </w:rPr>
        <w:t>, as the main actor and agent for the departure of Indonesian Migrant Workers, remains reluctant to comply with and uphold its commitment to fair recruitment standards and respect for migrant workers' rights. JBM data from the 79th P3MI self-assessment still found 33.3% of violations related to the withdrawal of money from CPMI for recruitment services.</w:t>
      </w:r>
    </w:p>
    <w:p w14:paraId="58B385FA" w14:textId="77777777" w:rsidR="00315FFB" w:rsidRDefault="00FE6519">
      <w:pPr>
        <w:widowControl w:val="0"/>
        <w:numPr>
          <w:ilvl w:val="0"/>
          <w:numId w:val="8"/>
        </w:numPr>
        <w:spacing w:line="230" w:lineRule="auto"/>
        <w:ind w:left="1275"/>
        <w:jc w:val="both"/>
      </w:pPr>
      <w:r>
        <w:rPr>
          <w:sz w:val="22"/>
          <w:szCs w:val="22"/>
        </w:rPr>
        <w:t xml:space="preserve">Indonesia Migrant Workers Union (SBMI) has noted that many Indonesian  private recruitment agencies (P3MI) are involved in fraud, document manipulation, and employment contract violations, yet they face neither strict sanctions nor effective legal accountability mechanisms. Many continue to operate despite being proven to have committed serious violations of migrant workers' rights, including exposing them to forced </w:t>
      </w:r>
      <w:proofErr w:type="spellStart"/>
      <w:r>
        <w:rPr>
          <w:sz w:val="22"/>
          <w:szCs w:val="22"/>
        </w:rPr>
        <w:t>labor</w:t>
      </w:r>
      <w:proofErr w:type="spellEnd"/>
      <w:r>
        <w:rPr>
          <w:sz w:val="22"/>
          <w:szCs w:val="22"/>
        </w:rPr>
        <w:t xml:space="preserve"> and violence in their destination countries.</w:t>
      </w:r>
    </w:p>
    <w:p w14:paraId="58B385FB" w14:textId="77777777" w:rsidR="00315FFB" w:rsidRDefault="00FE6519">
      <w:pPr>
        <w:widowControl w:val="0"/>
        <w:numPr>
          <w:ilvl w:val="0"/>
          <w:numId w:val="8"/>
        </w:numPr>
        <w:spacing w:line="230" w:lineRule="auto"/>
        <w:ind w:left="1275"/>
        <w:jc w:val="both"/>
      </w:pPr>
      <w:r>
        <w:rPr>
          <w:sz w:val="22"/>
          <w:szCs w:val="22"/>
        </w:rPr>
        <w:t xml:space="preserve">The One-Stop Integrated Service (LTSA) managed by </w:t>
      </w:r>
      <w:proofErr w:type="spellStart"/>
      <w:r>
        <w:rPr>
          <w:sz w:val="22"/>
          <w:szCs w:val="22"/>
        </w:rPr>
        <w:t>Kemnaker</w:t>
      </w:r>
      <w:proofErr w:type="spellEnd"/>
      <w:r>
        <w:rPr>
          <w:sz w:val="22"/>
          <w:szCs w:val="22"/>
        </w:rPr>
        <w:t xml:space="preserve"> now KP2MI only serves as a passive administration counter without proactively providing risk information or verifying job openings. JBM also assessed 209 respondents in a study on the effectiveness of the LTSA and concluded that migrant workers' knowledge of the LTSA remains limited. A total of 166 prospective migrant workers (79.4%) were unaware of the LTSA, and only 43 prospective migrant workers (20.6%) were aware of it. Kompas once reported that prospective migrant workers remained confused at </w:t>
      </w:r>
      <w:r>
        <w:rPr>
          <w:sz w:val="22"/>
          <w:szCs w:val="22"/>
        </w:rPr>
        <w:t>the LTSA because officers from relevant agencies (such as the Manpower Office, Immigration, and the Police) were not always on hand.</w:t>
      </w:r>
      <w:r>
        <w:rPr>
          <w:sz w:val="22"/>
          <w:szCs w:val="22"/>
          <w:vertAlign w:val="superscript"/>
        </w:rPr>
        <w:footnoteReference w:id="5"/>
      </w:r>
      <w:r>
        <w:rPr>
          <w:sz w:val="22"/>
          <w:szCs w:val="22"/>
        </w:rPr>
        <w:t xml:space="preserve"> </w:t>
      </w:r>
    </w:p>
    <w:p w14:paraId="58B385FC" w14:textId="77777777" w:rsidR="00315FFB" w:rsidRDefault="00315FFB">
      <w:pPr>
        <w:widowControl w:val="0"/>
        <w:spacing w:line="230" w:lineRule="auto"/>
        <w:ind w:left="1440"/>
        <w:jc w:val="both"/>
        <w:rPr>
          <w:sz w:val="22"/>
          <w:szCs w:val="22"/>
        </w:rPr>
      </w:pPr>
    </w:p>
    <w:p w14:paraId="58B385FD" w14:textId="77777777" w:rsidR="00315FFB" w:rsidRDefault="00FE6519">
      <w:pPr>
        <w:widowControl w:val="0"/>
        <w:spacing w:before="160" w:line="228" w:lineRule="auto"/>
        <w:ind w:left="708" w:right="120"/>
        <w:jc w:val="both"/>
        <w:rPr>
          <w:b/>
          <w:sz w:val="22"/>
          <w:szCs w:val="22"/>
        </w:rPr>
      </w:pPr>
      <w:r>
        <w:rPr>
          <w:b/>
          <w:sz w:val="22"/>
          <w:szCs w:val="22"/>
        </w:rPr>
        <w:t>Recommendations:</w:t>
      </w:r>
    </w:p>
    <w:p w14:paraId="58B385FE" w14:textId="77777777" w:rsidR="00315FFB" w:rsidRDefault="00FE6519">
      <w:pPr>
        <w:widowControl w:val="0"/>
        <w:numPr>
          <w:ilvl w:val="0"/>
          <w:numId w:val="2"/>
        </w:numPr>
        <w:spacing w:line="227" w:lineRule="auto"/>
        <w:ind w:left="1275" w:right="120"/>
        <w:jc w:val="both"/>
        <w:rPr>
          <w:sz w:val="22"/>
          <w:szCs w:val="22"/>
        </w:rPr>
      </w:pPr>
      <w:r>
        <w:rPr>
          <w:sz w:val="22"/>
          <w:szCs w:val="22"/>
        </w:rPr>
        <w:t>Adopt a binding ethical recruitment policy that enforces “employer-pays” principles and prohibits recruitment fees for workers, referencing ILO C-181 and C-190.</w:t>
      </w:r>
    </w:p>
    <w:p w14:paraId="58B385FF" w14:textId="77777777" w:rsidR="00315FFB" w:rsidRDefault="00FE6519">
      <w:pPr>
        <w:widowControl w:val="0"/>
        <w:numPr>
          <w:ilvl w:val="0"/>
          <w:numId w:val="2"/>
        </w:numPr>
        <w:spacing w:line="227" w:lineRule="auto"/>
        <w:ind w:left="1275" w:right="120"/>
        <w:jc w:val="both"/>
        <w:rPr>
          <w:sz w:val="22"/>
          <w:szCs w:val="22"/>
        </w:rPr>
      </w:pPr>
      <w:r>
        <w:rPr>
          <w:sz w:val="22"/>
          <w:szCs w:val="22"/>
        </w:rPr>
        <w:t xml:space="preserve">Digitally integrate recruitment data between BP2MI, local governments, and overseas </w:t>
      </w:r>
      <w:proofErr w:type="spellStart"/>
      <w:r>
        <w:rPr>
          <w:sz w:val="22"/>
          <w:szCs w:val="22"/>
        </w:rPr>
        <w:t>labor</w:t>
      </w:r>
      <w:proofErr w:type="spellEnd"/>
      <w:r>
        <w:rPr>
          <w:sz w:val="22"/>
          <w:szCs w:val="22"/>
        </w:rPr>
        <w:t xml:space="preserve"> attachés to verify job offers, monitor P3MI performance, and detect contract substitution.</w:t>
      </w:r>
    </w:p>
    <w:p w14:paraId="58B38600" w14:textId="77777777" w:rsidR="00315FFB" w:rsidRDefault="00FE6519">
      <w:pPr>
        <w:widowControl w:val="0"/>
        <w:numPr>
          <w:ilvl w:val="0"/>
          <w:numId w:val="2"/>
        </w:numPr>
        <w:spacing w:line="227" w:lineRule="auto"/>
        <w:ind w:left="1275" w:right="120"/>
        <w:jc w:val="both"/>
        <w:rPr>
          <w:sz w:val="22"/>
          <w:szCs w:val="22"/>
        </w:rPr>
      </w:pPr>
      <w:r>
        <w:rPr>
          <w:sz w:val="22"/>
          <w:szCs w:val="22"/>
        </w:rPr>
        <w:t xml:space="preserve">Strengthen village-level outreach and legal literacy by embedding pre-departure information </w:t>
      </w:r>
      <w:proofErr w:type="spellStart"/>
      <w:r>
        <w:rPr>
          <w:sz w:val="22"/>
          <w:szCs w:val="22"/>
        </w:rPr>
        <w:t>centers</w:t>
      </w:r>
      <w:proofErr w:type="spellEnd"/>
      <w:r>
        <w:rPr>
          <w:sz w:val="22"/>
          <w:szCs w:val="22"/>
        </w:rPr>
        <w:t xml:space="preserve"> in migration-prone areas, managed jointly by KP2MI, CSOs, and local cooperatives.</w:t>
      </w:r>
    </w:p>
    <w:p w14:paraId="58B38601" w14:textId="77777777" w:rsidR="00315FFB" w:rsidRDefault="00FE6519">
      <w:pPr>
        <w:widowControl w:val="0"/>
        <w:numPr>
          <w:ilvl w:val="0"/>
          <w:numId w:val="2"/>
        </w:numPr>
        <w:spacing w:line="227" w:lineRule="auto"/>
        <w:ind w:left="1275" w:right="120"/>
        <w:jc w:val="both"/>
        <w:rPr>
          <w:sz w:val="22"/>
          <w:szCs w:val="22"/>
        </w:rPr>
      </w:pPr>
      <w:r>
        <w:rPr>
          <w:sz w:val="22"/>
          <w:szCs w:val="22"/>
        </w:rPr>
        <w:t>Reform pre-departure orientation programs to include modules on workers’ rights, grievance mechanisms, and gender-sensitive protection.</w:t>
      </w:r>
    </w:p>
    <w:p w14:paraId="58B38602" w14:textId="77777777" w:rsidR="00315FFB" w:rsidRDefault="00FE6519">
      <w:pPr>
        <w:widowControl w:val="0"/>
        <w:numPr>
          <w:ilvl w:val="0"/>
          <w:numId w:val="2"/>
        </w:numPr>
        <w:spacing w:line="227" w:lineRule="auto"/>
        <w:ind w:left="1275" w:right="120"/>
        <w:jc w:val="both"/>
        <w:rPr>
          <w:sz w:val="22"/>
          <w:szCs w:val="22"/>
        </w:rPr>
      </w:pPr>
      <w:r>
        <w:rPr>
          <w:sz w:val="22"/>
          <w:szCs w:val="22"/>
        </w:rPr>
        <w:t xml:space="preserve">Adopt a national standard curriculum that is gender-responsive and based on PMI field experience. It must conduct periodic post-PDO evaluations, including through surveys on PMI understanding and tracking of post-placement violations. Involve civil society organizations and </w:t>
      </w:r>
      <w:proofErr w:type="spellStart"/>
      <w:r>
        <w:rPr>
          <w:sz w:val="22"/>
          <w:szCs w:val="22"/>
        </w:rPr>
        <w:t>labor</w:t>
      </w:r>
      <w:proofErr w:type="spellEnd"/>
      <w:r>
        <w:rPr>
          <w:sz w:val="22"/>
          <w:szCs w:val="22"/>
        </w:rPr>
        <w:t xml:space="preserve"> unions in the development and implementation of PDO materials.</w:t>
      </w:r>
    </w:p>
    <w:p w14:paraId="58B38603" w14:textId="77777777" w:rsidR="00315FFB" w:rsidRDefault="00FE6519">
      <w:pPr>
        <w:pStyle w:val="Heading1"/>
        <w:widowControl w:val="0"/>
        <w:numPr>
          <w:ilvl w:val="0"/>
          <w:numId w:val="7"/>
        </w:numPr>
        <w:spacing w:before="156" w:after="0" w:line="229" w:lineRule="auto"/>
        <w:ind w:right="125"/>
        <w:jc w:val="both"/>
        <w:rPr>
          <w:sz w:val="24"/>
          <w:szCs w:val="24"/>
        </w:rPr>
      </w:pPr>
      <w:bookmarkStart w:id="3" w:name="_heading=h.bkydnctjvw22" w:colFirst="0" w:colLast="0"/>
      <w:bookmarkEnd w:id="3"/>
      <w:r>
        <w:rPr>
          <w:sz w:val="24"/>
          <w:szCs w:val="24"/>
        </w:rPr>
        <w:t>Systemic Failures in Protection and Access to Remedies</w:t>
      </w:r>
    </w:p>
    <w:p w14:paraId="58B38604" w14:textId="77777777" w:rsidR="00315FFB" w:rsidRDefault="00FE6519">
      <w:pPr>
        <w:widowControl w:val="0"/>
        <w:numPr>
          <w:ilvl w:val="0"/>
          <w:numId w:val="5"/>
        </w:numPr>
        <w:spacing w:line="229" w:lineRule="auto"/>
        <w:ind w:left="1275"/>
        <w:jc w:val="both"/>
        <w:rPr>
          <w:sz w:val="22"/>
          <w:szCs w:val="22"/>
        </w:rPr>
      </w:pPr>
      <w:r>
        <w:rPr>
          <w:sz w:val="22"/>
          <w:szCs w:val="22"/>
        </w:rPr>
        <w:t xml:space="preserve">KP2MI/BP2MI is the leading institution for the protection, the coordination between national agencies (BP2MI, </w:t>
      </w:r>
      <w:proofErr w:type="spellStart"/>
      <w:r>
        <w:rPr>
          <w:sz w:val="22"/>
          <w:szCs w:val="22"/>
        </w:rPr>
        <w:t>Kemnaker</w:t>
      </w:r>
      <w:proofErr w:type="spellEnd"/>
      <w:r>
        <w:rPr>
          <w:sz w:val="22"/>
          <w:szCs w:val="22"/>
        </w:rPr>
        <w:t xml:space="preserve">, </w:t>
      </w:r>
      <w:proofErr w:type="spellStart"/>
      <w:r>
        <w:rPr>
          <w:sz w:val="22"/>
          <w:szCs w:val="22"/>
        </w:rPr>
        <w:t>Kemlu</w:t>
      </w:r>
      <w:proofErr w:type="spellEnd"/>
      <w:r>
        <w:rPr>
          <w:sz w:val="22"/>
          <w:szCs w:val="22"/>
        </w:rPr>
        <w:t>) and subnational governments is weak, leading to overlapping mandates and delayed service delivery. Local governments are often unaware of their protection responsibilities or lack the resources to act effectively. The decentralized placement system envisioned in the law has not been matched with adequate institutional support or inter-agency referral mechanisms. As a result, many migrant workers, particularly those in high-sending regions like NTB, East Java, and Central Java continue to re</w:t>
      </w:r>
      <w:r>
        <w:rPr>
          <w:sz w:val="22"/>
          <w:szCs w:val="22"/>
        </w:rPr>
        <w:t>ly on informal brokers and unregulated recruiters, increasing their risk of trafficking and forced labour.</w:t>
      </w:r>
    </w:p>
    <w:p w14:paraId="58B38605" w14:textId="77777777" w:rsidR="00315FFB" w:rsidRDefault="00FE6519">
      <w:pPr>
        <w:widowControl w:val="0"/>
        <w:numPr>
          <w:ilvl w:val="0"/>
          <w:numId w:val="5"/>
        </w:numPr>
        <w:spacing w:line="229" w:lineRule="auto"/>
        <w:ind w:left="1275"/>
        <w:jc w:val="both"/>
        <w:rPr>
          <w:sz w:val="22"/>
          <w:szCs w:val="22"/>
        </w:rPr>
      </w:pPr>
      <w:r>
        <w:rPr>
          <w:sz w:val="22"/>
          <w:szCs w:val="22"/>
        </w:rPr>
        <w:t xml:space="preserve">Existing grievance mechanisms for migrant workers remain primarily administrative and lack accessibility, confidentiality, and survivor sensitivity. The BP2MI complaint hotline and online forms are underutilized due to poor outreach and fear of retaliation. Many returnees prefer to seek help through informal networks or NGOs rather than through state institutions. Moreover, grievance redress lacks clear restitution pathways; complaints often end without compensation or legal remedy. </w:t>
      </w:r>
    </w:p>
    <w:p w14:paraId="58B38606" w14:textId="77777777" w:rsidR="00315FFB" w:rsidRDefault="00FE6519">
      <w:pPr>
        <w:widowControl w:val="0"/>
        <w:numPr>
          <w:ilvl w:val="0"/>
          <w:numId w:val="5"/>
        </w:numPr>
        <w:spacing w:line="229" w:lineRule="auto"/>
        <w:ind w:left="1275"/>
        <w:jc w:val="both"/>
        <w:rPr>
          <w:sz w:val="22"/>
          <w:szCs w:val="22"/>
        </w:rPr>
      </w:pPr>
      <w:r>
        <w:rPr>
          <w:sz w:val="22"/>
          <w:szCs w:val="22"/>
        </w:rPr>
        <w:t xml:space="preserve">Despite legal commitments under Law No. 18/2017 and Government Regulation No. 18/2021, Indonesia’s migrant workers continue to face systemic exclusion from comprehensive social protection and social security schemes. Coverage under BPJS </w:t>
      </w:r>
      <w:proofErr w:type="spellStart"/>
      <w:r>
        <w:rPr>
          <w:sz w:val="22"/>
          <w:szCs w:val="22"/>
        </w:rPr>
        <w:t>Ketenagakerjaan</w:t>
      </w:r>
      <w:proofErr w:type="spellEnd"/>
      <w:r>
        <w:rPr>
          <w:sz w:val="22"/>
          <w:szCs w:val="22"/>
        </w:rPr>
        <w:t xml:space="preserve"> (Employment Social Security Agency) remains limited to formal contracts processed through licensed recruitment agencies, leaving thousands of undocumented and irregularly placed workers without access to insurance, workplace injury benefits, or pension schemes. Returnees often face administrative hurdles when claiming benefits due to the absence of bilateral social security agreements with destination countries. Civil society monitoring has also highlighted the lack of coordination between B</w:t>
      </w:r>
      <w:r>
        <w:rPr>
          <w:sz w:val="22"/>
          <w:szCs w:val="22"/>
        </w:rPr>
        <w:t xml:space="preserve">P2MI, BPJS, and overseas labour attachés, resulting in inconsistent </w:t>
      </w:r>
      <w:proofErr w:type="spellStart"/>
      <w:r>
        <w:rPr>
          <w:sz w:val="22"/>
          <w:szCs w:val="22"/>
        </w:rPr>
        <w:t>enrollment</w:t>
      </w:r>
      <w:proofErr w:type="spellEnd"/>
      <w:r>
        <w:rPr>
          <w:sz w:val="22"/>
          <w:szCs w:val="22"/>
        </w:rPr>
        <w:t xml:space="preserve"> and weak data integration.</w:t>
      </w:r>
    </w:p>
    <w:p w14:paraId="58B38607" w14:textId="77777777" w:rsidR="00315FFB" w:rsidRDefault="00FE6519">
      <w:pPr>
        <w:widowControl w:val="0"/>
        <w:numPr>
          <w:ilvl w:val="0"/>
          <w:numId w:val="5"/>
        </w:numPr>
        <w:spacing w:line="229" w:lineRule="auto"/>
        <w:ind w:left="1275"/>
        <w:jc w:val="both"/>
        <w:rPr>
          <w:sz w:val="22"/>
          <w:szCs w:val="22"/>
        </w:rPr>
      </w:pPr>
      <w:r>
        <w:rPr>
          <w:sz w:val="22"/>
          <w:szCs w:val="22"/>
        </w:rPr>
        <w:t xml:space="preserve">LTSA and regional Manpower Offices are not only physically difficult to access but also institutionally inaccessible. According to SBMI records, 13 cases were reported without progress for almost eight months </w:t>
      </w:r>
      <w:r>
        <w:rPr>
          <w:sz w:val="22"/>
          <w:szCs w:val="22"/>
          <w:vertAlign w:val="superscript"/>
        </w:rPr>
        <w:footnoteReference w:id="6"/>
      </w:r>
      <w:r>
        <w:rPr>
          <w:sz w:val="22"/>
          <w:szCs w:val="22"/>
        </w:rPr>
        <w:t xml:space="preserve"> This process demonstrates a lack of intention to restore full justice for victims, transforming the complaints system into merely an evacuation service, rather than a mechanism for law enforcement and rights restoration.</w:t>
      </w:r>
    </w:p>
    <w:p w14:paraId="58B38608" w14:textId="77777777" w:rsidR="00315FFB" w:rsidRDefault="00FE6519">
      <w:pPr>
        <w:widowControl w:val="0"/>
        <w:numPr>
          <w:ilvl w:val="0"/>
          <w:numId w:val="5"/>
        </w:numPr>
        <w:spacing w:line="228" w:lineRule="auto"/>
        <w:ind w:left="1275" w:right="120"/>
        <w:jc w:val="both"/>
        <w:rPr>
          <w:sz w:val="22"/>
          <w:szCs w:val="22"/>
        </w:rPr>
      </w:pPr>
      <w:r>
        <w:rPr>
          <w:sz w:val="22"/>
          <w:szCs w:val="22"/>
        </w:rPr>
        <w:t xml:space="preserve">Based on SBMI documentation from 2025, there were at least 22 reports of migrant worker cases, involving over 108 victims, that were stalled in the investigation and prosecution process (undue delay). Furthermore, there were issues with the restitution process in court. Eleven court decisions, including those involving restitution, assisted by SBMI, have not yet been followed up and executed by the Indonesian Attorney General's Office, </w:t>
      </w:r>
      <w:proofErr w:type="spellStart"/>
      <w:r>
        <w:rPr>
          <w:sz w:val="22"/>
          <w:szCs w:val="22"/>
        </w:rPr>
        <w:t>totaling</w:t>
      </w:r>
      <w:proofErr w:type="spellEnd"/>
      <w:r>
        <w:rPr>
          <w:sz w:val="22"/>
          <w:szCs w:val="22"/>
        </w:rPr>
        <w:t xml:space="preserve"> Rp 4,227,385,259</w:t>
      </w:r>
      <w:r>
        <w:rPr>
          <w:sz w:val="22"/>
          <w:szCs w:val="22"/>
          <w:vertAlign w:val="superscript"/>
        </w:rPr>
        <w:footnoteReference w:id="7"/>
      </w:r>
      <w:r>
        <w:rPr>
          <w:sz w:val="22"/>
          <w:szCs w:val="22"/>
        </w:rPr>
        <w:t xml:space="preserve">. </w:t>
      </w:r>
    </w:p>
    <w:p w14:paraId="58B38609" w14:textId="77777777" w:rsidR="00315FFB" w:rsidRDefault="00FE6519">
      <w:pPr>
        <w:widowControl w:val="0"/>
        <w:numPr>
          <w:ilvl w:val="0"/>
          <w:numId w:val="5"/>
        </w:numPr>
        <w:spacing w:line="229" w:lineRule="auto"/>
        <w:ind w:left="1275"/>
        <w:jc w:val="both"/>
        <w:rPr>
          <w:sz w:val="22"/>
          <w:szCs w:val="22"/>
        </w:rPr>
      </w:pPr>
      <w:r>
        <w:rPr>
          <w:sz w:val="22"/>
          <w:szCs w:val="22"/>
        </w:rPr>
        <w:t>Data from BP2MI (2023) shows that an average of 1,800 complaints are received annually, with the majority coming from the domestic sector and crew members. Online complaint systems like SISKOP2MI still face challenges in terms of responsiveness, transparency, and accessibility for migrant workers' families in rural areas.</w:t>
      </w:r>
    </w:p>
    <w:p w14:paraId="58B3860A" w14:textId="77777777" w:rsidR="00315FFB" w:rsidRDefault="00FE6519">
      <w:pPr>
        <w:widowControl w:val="0"/>
        <w:numPr>
          <w:ilvl w:val="0"/>
          <w:numId w:val="5"/>
        </w:numPr>
        <w:spacing w:line="228" w:lineRule="auto"/>
        <w:ind w:left="1275"/>
        <w:jc w:val="both"/>
        <w:rPr>
          <w:sz w:val="22"/>
          <w:szCs w:val="22"/>
        </w:rPr>
      </w:pPr>
      <w:r>
        <w:rPr>
          <w:sz w:val="22"/>
          <w:szCs w:val="22"/>
        </w:rPr>
        <w:t>Article 42 of the PPMI Law concerning social and economic reintegration has not been properly implemented, making it seem ceremonial. Reintegration programs are often unsustainable and fail to address the real needs of returning migrant workers, often without adequate support.</w:t>
      </w:r>
      <w:r>
        <w:rPr>
          <w:sz w:val="22"/>
          <w:szCs w:val="22"/>
          <w:vertAlign w:val="superscript"/>
        </w:rPr>
        <w:footnoteReference w:id="8"/>
      </w:r>
      <w:r>
        <w:rPr>
          <w:sz w:val="22"/>
          <w:szCs w:val="22"/>
        </w:rPr>
        <w:t xml:space="preserve"> Social reintegration is also often neglected, with returning migrant workers experiencing trauma not receiving adequate psychological recovery services.</w:t>
      </w:r>
    </w:p>
    <w:p w14:paraId="58B3860B" w14:textId="77777777" w:rsidR="00315FFB" w:rsidRDefault="00FE6519">
      <w:pPr>
        <w:widowControl w:val="0"/>
        <w:numPr>
          <w:ilvl w:val="0"/>
          <w:numId w:val="5"/>
        </w:numPr>
        <w:spacing w:after="240" w:line="228" w:lineRule="auto"/>
        <w:ind w:left="1275"/>
        <w:jc w:val="both"/>
        <w:rPr>
          <w:sz w:val="22"/>
          <w:szCs w:val="22"/>
        </w:rPr>
      </w:pPr>
      <w:r>
        <w:rPr>
          <w:sz w:val="22"/>
          <w:szCs w:val="22"/>
        </w:rPr>
        <w:t>The absence of a robust accountability system demonstrates the weak enforcement of the principle of corporate responsibility to respect human rights, as mandated by Law No. 18 of 2017 and the UN principles on business and human rights. Oversight of P3MI has been administrative rather than substantive, thus failing to ensure victim recovery and prevent recurrence of violations.</w:t>
      </w:r>
    </w:p>
    <w:p w14:paraId="58B3860C" w14:textId="77777777" w:rsidR="00315FFB" w:rsidRDefault="00FE6519">
      <w:pPr>
        <w:widowControl w:val="0"/>
        <w:spacing w:before="240" w:after="240" w:line="228" w:lineRule="auto"/>
        <w:ind w:left="708"/>
        <w:jc w:val="both"/>
        <w:rPr>
          <w:b/>
          <w:sz w:val="22"/>
          <w:szCs w:val="22"/>
        </w:rPr>
      </w:pPr>
      <w:r>
        <w:rPr>
          <w:b/>
          <w:sz w:val="22"/>
          <w:szCs w:val="22"/>
        </w:rPr>
        <w:t>Recommendation</w:t>
      </w:r>
    </w:p>
    <w:p w14:paraId="58B3860D" w14:textId="77777777" w:rsidR="00315FFB" w:rsidRDefault="00FE6519">
      <w:pPr>
        <w:widowControl w:val="0"/>
        <w:numPr>
          <w:ilvl w:val="0"/>
          <w:numId w:val="3"/>
        </w:numPr>
        <w:spacing w:before="240" w:line="228" w:lineRule="auto"/>
        <w:jc w:val="both"/>
        <w:rPr>
          <w:sz w:val="22"/>
          <w:szCs w:val="22"/>
        </w:rPr>
      </w:pPr>
      <w:r>
        <w:rPr>
          <w:sz w:val="22"/>
          <w:szCs w:val="22"/>
        </w:rPr>
        <w:t>Establish a National Referral System — Integrate BP2MI, KP2MI, Komnas HAM, LPSK, and civil-society partners under a unified, rights-based referral protocol for migrant worker protection and case management.</w:t>
      </w:r>
    </w:p>
    <w:p w14:paraId="58B3860E" w14:textId="77777777" w:rsidR="00315FFB" w:rsidRDefault="00FE6519">
      <w:pPr>
        <w:widowControl w:val="0"/>
        <w:numPr>
          <w:ilvl w:val="0"/>
          <w:numId w:val="3"/>
        </w:numPr>
        <w:spacing w:line="228" w:lineRule="auto"/>
        <w:jc w:val="both"/>
        <w:rPr>
          <w:sz w:val="22"/>
          <w:szCs w:val="22"/>
        </w:rPr>
      </w:pPr>
      <w:r>
        <w:rPr>
          <w:sz w:val="22"/>
          <w:szCs w:val="22"/>
        </w:rPr>
        <w:t>Institutionalize Community-Based Monitoring,  Formalize partnerships with NGOs and migrant networks for early detection and case reporting, ensuring they have legal standing and access to referral pathways.</w:t>
      </w:r>
    </w:p>
    <w:p w14:paraId="58B3860F" w14:textId="77777777" w:rsidR="00315FFB" w:rsidRDefault="00FE6519">
      <w:pPr>
        <w:widowControl w:val="0"/>
        <w:numPr>
          <w:ilvl w:val="0"/>
          <w:numId w:val="3"/>
        </w:numPr>
        <w:spacing w:line="228" w:lineRule="auto"/>
        <w:jc w:val="both"/>
        <w:rPr>
          <w:sz w:val="22"/>
          <w:szCs w:val="22"/>
        </w:rPr>
      </w:pPr>
      <w:r>
        <w:rPr>
          <w:sz w:val="22"/>
          <w:szCs w:val="22"/>
        </w:rPr>
        <w:t xml:space="preserve">The Government of Indonesia should ensure universal, portable, and gender-responsive social protection for all migrant workers, including those in informal or irregular status, by strengthening BPJS </w:t>
      </w:r>
      <w:proofErr w:type="spellStart"/>
      <w:r>
        <w:rPr>
          <w:sz w:val="22"/>
          <w:szCs w:val="22"/>
        </w:rPr>
        <w:t>Ketenagakerjaan</w:t>
      </w:r>
      <w:proofErr w:type="spellEnd"/>
      <w:r>
        <w:rPr>
          <w:sz w:val="22"/>
          <w:szCs w:val="22"/>
        </w:rPr>
        <w:t xml:space="preserve"> outreach and pre-departure </w:t>
      </w:r>
      <w:proofErr w:type="spellStart"/>
      <w:r>
        <w:rPr>
          <w:sz w:val="22"/>
          <w:szCs w:val="22"/>
        </w:rPr>
        <w:t>enrollment</w:t>
      </w:r>
      <w:proofErr w:type="spellEnd"/>
      <w:r>
        <w:rPr>
          <w:sz w:val="22"/>
          <w:szCs w:val="22"/>
        </w:rPr>
        <w:t xml:space="preserve"> with transparent, accessible claim procedures, and by negotiating bilateral and multilateral social security agreements with key destination countries such as Malaysia, Saudi Arabia, Taiwan, and Hong Kong to guarantee benefit portability and continuity.</w:t>
      </w:r>
    </w:p>
    <w:p w14:paraId="58B38610" w14:textId="77777777" w:rsidR="00315FFB" w:rsidRDefault="00FE6519">
      <w:pPr>
        <w:widowControl w:val="0"/>
        <w:numPr>
          <w:ilvl w:val="0"/>
          <w:numId w:val="3"/>
        </w:numPr>
        <w:spacing w:line="228" w:lineRule="auto"/>
        <w:jc w:val="both"/>
        <w:rPr>
          <w:sz w:val="22"/>
          <w:szCs w:val="22"/>
        </w:rPr>
      </w:pPr>
      <w:r>
        <w:rPr>
          <w:sz w:val="22"/>
          <w:szCs w:val="22"/>
        </w:rPr>
        <w:t>Strengthen and Standardize KP2MI Operations, Ensure all provincial and district KP2MI offices have dedicated budgets, trained staff, and interoperable digital systems connected to BP2MI’s national platform.</w:t>
      </w:r>
    </w:p>
    <w:p w14:paraId="58B38611" w14:textId="77777777" w:rsidR="00315FFB" w:rsidRDefault="00FE6519">
      <w:pPr>
        <w:widowControl w:val="0"/>
        <w:numPr>
          <w:ilvl w:val="0"/>
          <w:numId w:val="3"/>
        </w:numPr>
        <w:spacing w:line="228" w:lineRule="auto"/>
        <w:jc w:val="both"/>
        <w:rPr>
          <w:sz w:val="22"/>
          <w:szCs w:val="22"/>
        </w:rPr>
      </w:pPr>
      <w:r>
        <w:rPr>
          <w:sz w:val="22"/>
          <w:szCs w:val="22"/>
        </w:rPr>
        <w:t>Develop a Survivor-</w:t>
      </w:r>
      <w:proofErr w:type="spellStart"/>
      <w:r>
        <w:rPr>
          <w:sz w:val="22"/>
          <w:szCs w:val="22"/>
        </w:rPr>
        <w:t>Centered</w:t>
      </w:r>
      <w:proofErr w:type="spellEnd"/>
      <w:r>
        <w:rPr>
          <w:sz w:val="22"/>
          <w:szCs w:val="22"/>
        </w:rPr>
        <w:t xml:space="preserve"> Grievance Mechanism, Create confidential, multilingual complaint channels (hotlines, apps, local hubs) with legal aid and psychosocial support, aligned with ILO fair recruitment and UNGP remedy principles.</w:t>
      </w:r>
    </w:p>
    <w:p w14:paraId="58B38612" w14:textId="77777777" w:rsidR="00315FFB" w:rsidRDefault="00FE6519">
      <w:pPr>
        <w:widowControl w:val="0"/>
        <w:numPr>
          <w:ilvl w:val="0"/>
          <w:numId w:val="3"/>
        </w:numPr>
        <w:spacing w:line="228" w:lineRule="auto"/>
        <w:jc w:val="both"/>
        <w:rPr>
          <w:sz w:val="22"/>
          <w:szCs w:val="22"/>
        </w:rPr>
      </w:pPr>
      <w:r>
        <w:rPr>
          <w:sz w:val="22"/>
          <w:szCs w:val="22"/>
        </w:rPr>
        <w:t>Bilateral and Regional Coordination, Negotiate complaint-handling and compensation frameworks with major destination countries (Malaysia, Saudi Arabia, Taiwan) and promote ASEAN-wide grievance referral standards.</w:t>
      </w:r>
    </w:p>
    <w:p w14:paraId="58B38613" w14:textId="77777777" w:rsidR="00315FFB" w:rsidRDefault="00FE6519">
      <w:pPr>
        <w:widowControl w:val="0"/>
        <w:numPr>
          <w:ilvl w:val="0"/>
          <w:numId w:val="3"/>
        </w:numPr>
        <w:spacing w:line="228" w:lineRule="auto"/>
        <w:jc w:val="both"/>
        <w:rPr>
          <w:sz w:val="22"/>
          <w:szCs w:val="22"/>
        </w:rPr>
      </w:pPr>
      <w:r>
        <w:rPr>
          <w:sz w:val="22"/>
          <w:szCs w:val="22"/>
        </w:rPr>
        <w:t>Oversight of P3MI should be substantively expanded to enforce corporate responsibilities for human rights and prevent repeated violations.</w:t>
      </w:r>
    </w:p>
    <w:p w14:paraId="58B38614" w14:textId="77777777" w:rsidR="00315FFB" w:rsidRDefault="00FE6519">
      <w:pPr>
        <w:pStyle w:val="Heading1"/>
        <w:widowControl w:val="0"/>
        <w:numPr>
          <w:ilvl w:val="0"/>
          <w:numId w:val="7"/>
        </w:numPr>
        <w:spacing w:before="156" w:after="0" w:line="229" w:lineRule="auto"/>
        <w:ind w:right="125"/>
        <w:jc w:val="both"/>
        <w:rPr>
          <w:sz w:val="24"/>
          <w:szCs w:val="24"/>
        </w:rPr>
      </w:pPr>
      <w:bookmarkStart w:id="4" w:name="_heading=h.o49bzs4typ9p" w:colFirst="0" w:colLast="0"/>
      <w:bookmarkEnd w:id="4"/>
      <w:r>
        <w:rPr>
          <w:sz w:val="24"/>
          <w:szCs w:val="24"/>
        </w:rPr>
        <w:t>Escalating Vulnerabilities on the Sea-based Migration and Forced Criminality</w:t>
      </w:r>
    </w:p>
    <w:p w14:paraId="58B38615" w14:textId="77777777" w:rsidR="00315FFB" w:rsidRDefault="00FE6519">
      <w:pPr>
        <w:widowControl w:val="0"/>
        <w:numPr>
          <w:ilvl w:val="0"/>
          <w:numId w:val="10"/>
        </w:numPr>
        <w:spacing w:line="228" w:lineRule="auto"/>
        <w:jc w:val="both"/>
        <w:rPr>
          <w:sz w:val="22"/>
          <w:szCs w:val="22"/>
        </w:rPr>
      </w:pPr>
      <w:r>
        <w:rPr>
          <w:sz w:val="22"/>
          <w:szCs w:val="22"/>
        </w:rPr>
        <w:t>Indonesia is one of the largest suppliers of migrant fishers in Asia, with tens of thousands of Indonesian crew members working aboard foreign-flagged vessels across the Pacific and Indian Oceans. Many are employed through private recruitment agencies that often operate with limited oversight. The fisheries sector remains a “3D” job — dirty, dangerous, and difficult — where Indonesian fishers endure long hours, wage deductions, food deprivation, and even physical abuse. Studies by HRWG on Omission of Modern</w:t>
      </w:r>
      <w:r>
        <w:rPr>
          <w:sz w:val="22"/>
          <w:szCs w:val="22"/>
        </w:rPr>
        <w:t xml:space="preserve"> Slavery (2022) exposed the vulnerabilities of this sector while ILO and Environmental Justice Foundation (EJF) in 2024 found that over 80% of surveyed Indonesian fishers reported working more than 16 hours a day, while one in five experienced forced labour indicators, such as withheld wages and confiscated passports. These conditions are exacerbated by debt-based recruitment and the lack of transparent contracts in languages fishers understand, revealing systemic failures in recruitment governance.</w:t>
      </w:r>
    </w:p>
    <w:p w14:paraId="58B38616" w14:textId="77777777" w:rsidR="00315FFB" w:rsidRDefault="00FE6519">
      <w:pPr>
        <w:widowControl w:val="0"/>
        <w:numPr>
          <w:ilvl w:val="0"/>
          <w:numId w:val="10"/>
        </w:numPr>
        <w:spacing w:line="228" w:lineRule="auto"/>
        <w:jc w:val="both"/>
        <w:rPr>
          <w:sz w:val="22"/>
          <w:szCs w:val="22"/>
        </w:rPr>
      </w:pPr>
      <w:r>
        <w:rPr>
          <w:sz w:val="22"/>
          <w:szCs w:val="22"/>
        </w:rPr>
        <w:t xml:space="preserve">Indonesia has endorsed the adoption of ASEAN Declaration on the Placement and Protection of Migrant Fishers (2023) and Its Guidelines (2024) </w:t>
      </w:r>
    </w:p>
    <w:p w14:paraId="58B38617" w14:textId="77777777" w:rsidR="00315FFB" w:rsidRDefault="00FE6519">
      <w:pPr>
        <w:widowControl w:val="0"/>
        <w:numPr>
          <w:ilvl w:val="0"/>
          <w:numId w:val="10"/>
        </w:numPr>
        <w:spacing w:line="228" w:lineRule="auto"/>
        <w:jc w:val="both"/>
        <w:rPr>
          <w:sz w:val="22"/>
          <w:szCs w:val="22"/>
        </w:rPr>
      </w:pPr>
      <w:r>
        <w:rPr>
          <w:sz w:val="22"/>
          <w:szCs w:val="22"/>
        </w:rPr>
        <w:t>The government has issued Government Regulation Number 22 of 2022 concerning protection standards for workers in the maritime sector, in line with the ICRMW and MLC 2006. Constitutional Court Decision Number 127/PUU-XXI/2023 also confirms that Migrant Merchant Vessel Crew and Migrant Fishing Vessel Crew are included in the category of Indonesian Migrant Workers. However, as of the end of 2024, the government has not issued operational and technical regulations, so the ICRMW standards have not been fully imp</w:t>
      </w:r>
      <w:r>
        <w:rPr>
          <w:sz w:val="22"/>
          <w:szCs w:val="22"/>
        </w:rPr>
        <w:t>lemented, especially regarding wage discrimination still experienced by Indonesian crew on foreign-flagged vessels.</w:t>
      </w:r>
    </w:p>
    <w:p w14:paraId="58B38618" w14:textId="77777777" w:rsidR="00315FFB" w:rsidRDefault="00FE6519">
      <w:pPr>
        <w:widowControl w:val="0"/>
        <w:numPr>
          <w:ilvl w:val="0"/>
          <w:numId w:val="10"/>
        </w:numPr>
        <w:spacing w:line="228" w:lineRule="auto"/>
        <w:jc w:val="both"/>
      </w:pPr>
      <w:r>
        <w:rPr>
          <w:sz w:val="22"/>
          <w:szCs w:val="22"/>
        </w:rPr>
        <w:t xml:space="preserve">Based on the 2024 SBMI Year-End Notes, PP No. 22/2022 and </w:t>
      </w:r>
      <w:proofErr w:type="spellStart"/>
      <w:r>
        <w:rPr>
          <w:sz w:val="22"/>
          <w:szCs w:val="22"/>
        </w:rPr>
        <w:t>Permenaker</w:t>
      </w:r>
      <w:proofErr w:type="spellEnd"/>
      <w:r>
        <w:rPr>
          <w:sz w:val="22"/>
          <w:szCs w:val="22"/>
        </w:rPr>
        <w:t xml:space="preserve"> No. 4/2023 concerning PMI social security have not guaranteed real protection for migrant seafarers; the case of SW, a migrant fishing vessel crew who lost two of his fingers due to a work accident on a Taiwanese-flagged vessel, shows that the state has still failed to ensure that medical access and compensation rights for victims are met, even though this regulation, which is touted to have emphasized the importance of protecting migrant workers through the provision of comprehensive social secu</w:t>
      </w:r>
      <w:r>
        <w:rPr>
          <w:sz w:val="22"/>
          <w:szCs w:val="22"/>
        </w:rPr>
        <w:t>rity, has not yet been realized.</w:t>
      </w:r>
    </w:p>
    <w:p w14:paraId="58B38619" w14:textId="77777777" w:rsidR="00315FFB" w:rsidRDefault="00FE6519">
      <w:pPr>
        <w:widowControl w:val="0"/>
        <w:numPr>
          <w:ilvl w:val="0"/>
          <w:numId w:val="10"/>
        </w:numPr>
        <w:spacing w:line="228" w:lineRule="auto"/>
        <w:jc w:val="both"/>
      </w:pPr>
      <w:r>
        <w:rPr>
          <w:sz w:val="22"/>
          <w:szCs w:val="22"/>
        </w:rPr>
        <w:t xml:space="preserve">Oversight of migrant </w:t>
      </w:r>
      <w:proofErr w:type="spellStart"/>
      <w:r>
        <w:rPr>
          <w:sz w:val="22"/>
          <w:szCs w:val="22"/>
        </w:rPr>
        <w:t>migrant</w:t>
      </w:r>
      <w:proofErr w:type="spellEnd"/>
      <w:r>
        <w:rPr>
          <w:sz w:val="22"/>
          <w:szCs w:val="22"/>
        </w:rPr>
        <w:t xml:space="preserve"> worker placement businesses and law enforcement against cases of violations of their rights have not been effectively implemented due to the dual licensing system at the national level. This is due to the absence of a joint oversight mechanism and the lack of integrated data across ministries at the national level for migrant </w:t>
      </w:r>
      <w:proofErr w:type="spellStart"/>
      <w:r>
        <w:rPr>
          <w:sz w:val="22"/>
          <w:szCs w:val="22"/>
        </w:rPr>
        <w:t>migrant</w:t>
      </w:r>
      <w:proofErr w:type="spellEnd"/>
      <w:r>
        <w:rPr>
          <w:sz w:val="22"/>
          <w:szCs w:val="22"/>
        </w:rPr>
        <w:t xml:space="preserve"> worker placement.</w:t>
      </w:r>
      <w:r>
        <w:rPr>
          <w:sz w:val="22"/>
          <w:szCs w:val="22"/>
          <w:vertAlign w:val="superscript"/>
        </w:rPr>
        <w:footnoteReference w:id="9"/>
      </w:r>
      <w:r>
        <w:rPr>
          <w:sz w:val="22"/>
          <w:szCs w:val="22"/>
        </w:rPr>
        <w:t xml:space="preserve"> Between 2010 and 2024, 943 cases of violations of migrant </w:t>
      </w:r>
      <w:proofErr w:type="spellStart"/>
      <w:r>
        <w:rPr>
          <w:sz w:val="22"/>
          <w:szCs w:val="22"/>
        </w:rPr>
        <w:t>migrant</w:t>
      </w:r>
      <w:proofErr w:type="spellEnd"/>
      <w:r>
        <w:rPr>
          <w:sz w:val="22"/>
          <w:szCs w:val="22"/>
        </w:rPr>
        <w:t xml:space="preserve"> worker rights were reported to the Indonesian Migrant Workers Union (SBMI).</w:t>
      </w:r>
    </w:p>
    <w:p w14:paraId="58B3861A" w14:textId="77777777" w:rsidR="00315FFB" w:rsidRDefault="00FE6519">
      <w:pPr>
        <w:widowControl w:val="0"/>
        <w:numPr>
          <w:ilvl w:val="0"/>
          <w:numId w:val="10"/>
        </w:numPr>
        <w:spacing w:line="228" w:lineRule="auto"/>
        <w:jc w:val="both"/>
        <w:rPr>
          <w:sz w:val="22"/>
          <w:szCs w:val="22"/>
        </w:rPr>
      </w:pPr>
      <w:r>
        <w:rPr>
          <w:sz w:val="22"/>
          <w:szCs w:val="22"/>
        </w:rPr>
        <w:t xml:space="preserve">The Indonesian government has not yet monitored the working conditions of Indonesian migrant workers while working on distant </w:t>
      </w:r>
      <w:r>
        <w:rPr>
          <w:i/>
          <w:sz w:val="22"/>
          <w:szCs w:val="22"/>
        </w:rPr>
        <w:t xml:space="preserve">water fishing fleets </w:t>
      </w:r>
      <w:r>
        <w:rPr>
          <w:sz w:val="22"/>
          <w:szCs w:val="22"/>
        </w:rPr>
        <w:t>. This is due to the lack of bilateral cooperation regarding the protection of Indonesian migrant workers, which includes regulations on monitoring and problem-solving mechanisms, with the flag state of the vessel, the port state, and the destination country where the recruitment agency is domiciled. Indonesia has a bilateral agreement regarding the protection of Indonesian migrant workers with South Korea, but its scope is limited to the placement of Indonesian migrant workers in terri</w:t>
      </w:r>
      <w:r>
        <w:rPr>
          <w:sz w:val="22"/>
          <w:szCs w:val="22"/>
        </w:rPr>
        <w:t>torial waters</w:t>
      </w:r>
      <w:r>
        <w:rPr>
          <w:i/>
          <w:sz w:val="22"/>
          <w:szCs w:val="22"/>
        </w:rPr>
        <w:t xml:space="preserve">. </w:t>
      </w:r>
      <w:r>
        <w:rPr>
          <w:sz w:val="22"/>
          <w:szCs w:val="22"/>
        </w:rPr>
        <w:t xml:space="preserve">Furthermore, there is no </w:t>
      </w:r>
      <w:r>
        <w:rPr>
          <w:i/>
          <w:sz w:val="22"/>
          <w:szCs w:val="22"/>
        </w:rPr>
        <w:t xml:space="preserve">implementing agreement </w:t>
      </w:r>
      <w:r>
        <w:rPr>
          <w:sz w:val="22"/>
          <w:szCs w:val="22"/>
        </w:rPr>
        <w:t>to follow up on the bilateral agreement, resulting in the non-implementation of this agreement</w:t>
      </w:r>
      <w:r>
        <w:rPr>
          <w:sz w:val="22"/>
          <w:szCs w:val="22"/>
          <w:vertAlign w:val="superscript"/>
        </w:rPr>
        <w:footnoteReference w:id="10"/>
      </w:r>
      <w:r>
        <w:rPr>
          <w:sz w:val="22"/>
          <w:szCs w:val="22"/>
        </w:rPr>
        <w:t>.</w:t>
      </w:r>
    </w:p>
    <w:p w14:paraId="58B3861B" w14:textId="77777777" w:rsidR="00315FFB" w:rsidRDefault="00FE6519">
      <w:pPr>
        <w:widowControl w:val="0"/>
        <w:numPr>
          <w:ilvl w:val="0"/>
          <w:numId w:val="10"/>
        </w:numPr>
        <w:spacing w:after="240" w:line="228" w:lineRule="auto"/>
        <w:jc w:val="both"/>
        <w:rPr>
          <w:sz w:val="22"/>
          <w:szCs w:val="22"/>
        </w:rPr>
      </w:pPr>
      <w:r>
        <w:rPr>
          <w:sz w:val="22"/>
          <w:szCs w:val="22"/>
        </w:rPr>
        <w:t xml:space="preserve">Gaps in ensuring accountability in the global seafood supply chain persist </w:t>
      </w:r>
      <w:r>
        <w:rPr>
          <w:i/>
          <w:sz w:val="22"/>
          <w:szCs w:val="22"/>
        </w:rPr>
        <w:t xml:space="preserve">due </w:t>
      </w:r>
      <w:r>
        <w:rPr>
          <w:sz w:val="22"/>
          <w:szCs w:val="22"/>
        </w:rPr>
        <w:t xml:space="preserve">to a lack of transparency. Transit countries, flag states, and market countries have not fully fulfilled their responsibilities to prevent forced </w:t>
      </w:r>
      <w:proofErr w:type="spellStart"/>
      <w:r>
        <w:rPr>
          <w:sz w:val="22"/>
          <w:szCs w:val="22"/>
        </w:rPr>
        <w:t>labor</w:t>
      </w:r>
      <w:proofErr w:type="spellEnd"/>
      <w:r>
        <w:rPr>
          <w:sz w:val="22"/>
          <w:szCs w:val="22"/>
        </w:rPr>
        <w:t xml:space="preserve"> and human trafficking affecting Indonesian migrant fishers. </w:t>
      </w:r>
    </w:p>
    <w:p w14:paraId="58B3861C" w14:textId="77777777" w:rsidR="00315FFB" w:rsidRDefault="00FE6519">
      <w:pPr>
        <w:widowControl w:val="0"/>
        <w:spacing w:after="240" w:line="228" w:lineRule="auto"/>
        <w:jc w:val="both"/>
        <w:rPr>
          <w:b/>
          <w:sz w:val="22"/>
          <w:szCs w:val="22"/>
        </w:rPr>
      </w:pPr>
      <w:r>
        <w:rPr>
          <w:b/>
          <w:sz w:val="22"/>
          <w:szCs w:val="22"/>
        </w:rPr>
        <w:tab/>
        <w:t xml:space="preserve">Recommendation </w:t>
      </w:r>
    </w:p>
    <w:p w14:paraId="58B3861D" w14:textId="77777777" w:rsidR="00315FFB" w:rsidRDefault="00FE6519">
      <w:pPr>
        <w:widowControl w:val="0"/>
        <w:numPr>
          <w:ilvl w:val="0"/>
          <w:numId w:val="4"/>
        </w:numPr>
        <w:spacing w:before="240" w:line="228" w:lineRule="auto"/>
        <w:ind w:left="1417"/>
        <w:jc w:val="both"/>
        <w:rPr>
          <w:sz w:val="22"/>
          <w:szCs w:val="22"/>
        </w:rPr>
      </w:pPr>
      <w:r>
        <w:rPr>
          <w:sz w:val="22"/>
          <w:szCs w:val="22"/>
        </w:rPr>
        <w:t>To address these systemic challenges, Indonesia must operationalize a rights-based approach to fisheries governance. This requires ratifying and implementing the ILO Work in Fishing Convention (C-188) and strengthening oversight of private recruitment agencies under ILO Convention (C-181) to ensure ethical recruitment and decent work standards.</w:t>
      </w:r>
    </w:p>
    <w:p w14:paraId="58B3861E" w14:textId="77777777" w:rsidR="00315FFB" w:rsidRDefault="00FE6519">
      <w:pPr>
        <w:widowControl w:val="0"/>
        <w:numPr>
          <w:ilvl w:val="0"/>
          <w:numId w:val="4"/>
        </w:numPr>
        <w:spacing w:line="228" w:lineRule="auto"/>
        <w:ind w:left="1417"/>
        <w:jc w:val="both"/>
        <w:rPr>
          <w:sz w:val="22"/>
          <w:szCs w:val="22"/>
        </w:rPr>
      </w:pPr>
      <w:r>
        <w:rPr>
          <w:sz w:val="22"/>
          <w:szCs w:val="22"/>
        </w:rPr>
        <w:t xml:space="preserve">The government should establish a national referral and complaint mechanism linking KP2MI, Komnas HAM, and the Ministry of Transportation, integrated with ASEAN regional frameworks for monitoring and remedy. Enhanced port-state controls, transparent crew registries, and bilateral agreements with major destination states (e.g., Taiwan, South Korea, Japan) are critical to protecting Indonesian migrant fishers from forced labour. </w:t>
      </w:r>
    </w:p>
    <w:p w14:paraId="58B3861F" w14:textId="77777777" w:rsidR="00315FFB" w:rsidRDefault="00FE6519">
      <w:pPr>
        <w:widowControl w:val="0"/>
        <w:numPr>
          <w:ilvl w:val="0"/>
          <w:numId w:val="4"/>
        </w:numPr>
        <w:spacing w:line="228" w:lineRule="auto"/>
        <w:ind w:left="1417"/>
        <w:jc w:val="both"/>
        <w:rPr>
          <w:sz w:val="22"/>
          <w:szCs w:val="22"/>
        </w:rPr>
      </w:pPr>
      <w:r>
        <w:rPr>
          <w:sz w:val="22"/>
          <w:szCs w:val="22"/>
        </w:rPr>
        <w:t>Indonesia supports ASEAN to push for binding regional labour standards in the fisheries supply chain that uphold both worker welfare and ocean sustainability.</w:t>
      </w:r>
    </w:p>
    <w:p w14:paraId="58B38620" w14:textId="77777777" w:rsidR="00315FFB" w:rsidRDefault="00315FFB">
      <w:pPr>
        <w:widowControl w:val="0"/>
        <w:spacing w:after="240" w:line="228" w:lineRule="auto"/>
        <w:jc w:val="both"/>
        <w:rPr>
          <w:sz w:val="22"/>
          <w:szCs w:val="22"/>
        </w:rPr>
      </w:pPr>
    </w:p>
    <w:p w14:paraId="58B38621" w14:textId="77777777" w:rsidR="00315FFB" w:rsidRDefault="00FE6519">
      <w:pPr>
        <w:widowControl w:val="0"/>
        <w:spacing w:before="240" w:after="240" w:line="228" w:lineRule="auto"/>
        <w:ind w:left="720"/>
        <w:jc w:val="both"/>
        <w:rPr>
          <w:b/>
          <w:sz w:val="22"/>
          <w:szCs w:val="22"/>
        </w:rPr>
      </w:pPr>
      <w:r>
        <w:rPr>
          <w:b/>
          <w:sz w:val="22"/>
          <w:szCs w:val="22"/>
        </w:rPr>
        <w:t>Forced Criminality</w:t>
      </w:r>
    </w:p>
    <w:p w14:paraId="58B38622" w14:textId="77777777" w:rsidR="00315FFB" w:rsidRDefault="00FE6519">
      <w:pPr>
        <w:widowControl w:val="0"/>
        <w:numPr>
          <w:ilvl w:val="0"/>
          <w:numId w:val="9"/>
        </w:numPr>
        <w:spacing w:line="228" w:lineRule="auto"/>
        <w:jc w:val="both"/>
      </w:pPr>
      <w:r>
        <w:rPr>
          <w:sz w:val="22"/>
          <w:szCs w:val="22"/>
        </w:rPr>
        <w:t xml:space="preserve">The Casino Worker and online scam/forced </w:t>
      </w:r>
      <w:proofErr w:type="spellStart"/>
      <w:r>
        <w:rPr>
          <w:sz w:val="22"/>
          <w:szCs w:val="22"/>
        </w:rPr>
        <w:t>labor</w:t>
      </w:r>
      <w:proofErr w:type="spellEnd"/>
      <w:r>
        <w:rPr>
          <w:sz w:val="22"/>
          <w:szCs w:val="22"/>
        </w:rPr>
        <w:t xml:space="preserve"> scam sector, which spread across Cambodia and Myanmar in 2023-2024, recorded 344 cases of migrant workers experiencing forced </w:t>
      </w:r>
      <w:proofErr w:type="spellStart"/>
      <w:r>
        <w:rPr>
          <w:sz w:val="22"/>
          <w:szCs w:val="22"/>
        </w:rPr>
        <w:t>labor</w:t>
      </w:r>
      <w:proofErr w:type="spellEnd"/>
      <w:r>
        <w:rPr>
          <w:sz w:val="22"/>
          <w:szCs w:val="22"/>
          <w:vertAlign w:val="superscript"/>
        </w:rPr>
        <w:footnoteReference w:id="11"/>
      </w:r>
      <w:r>
        <w:rPr>
          <w:sz w:val="22"/>
          <w:szCs w:val="22"/>
        </w:rPr>
        <w:t xml:space="preserve"> . The perpetrators recruited targets through social media. Victims were promised work as computer operators with the lure of a salary of 10-15 million rupiah per month, along with free accommodation. In reality, these Indonesian citizens were forced to commit online fraud using forced </w:t>
      </w:r>
      <w:proofErr w:type="spellStart"/>
      <w:r>
        <w:rPr>
          <w:sz w:val="22"/>
          <w:szCs w:val="22"/>
        </w:rPr>
        <w:t>labor</w:t>
      </w:r>
      <w:proofErr w:type="spellEnd"/>
      <w:r>
        <w:rPr>
          <w:sz w:val="22"/>
          <w:szCs w:val="22"/>
        </w:rPr>
        <w:t>.</w:t>
      </w:r>
    </w:p>
    <w:p w14:paraId="58B38623" w14:textId="77777777" w:rsidR="00315FFB" w:rsidRDefault="00FE6519">
      <w:pPr>
        <w:widowControl w:val="0"/>
        <w:numPr>
          <w:ilvl w:val="0"/>
          <w:numId w:val="9"/>
        </w:numPr>
        <w:spacing w:after="200" w:line="228" w:lineRule="auto"/>
        <w:jc w:val="both"/>
      </w:pPr>
      <w:r>
        <w:rPr>
          <w:sz w:val="22"/>
          <w:szCs w:val="22"/>
        </w:rPr>
        <w:t>Furthermore, a brief report by the Sumatra Environmental Initiative (SEI) also found that the educational sector, particularly job training institutions and vocational schools, often serves as a gateway for recruitment agencies operating without adequate oversight. SEI identified at least 43 victims recruited through educational channels, with the potential for hundreds or even thousands of victims. These agents conduct outreach or direct recruitment at schools under the guise of industrial cooperation or o</w:t>
      </w:r>
      <w:r>
        <w:rPr>
          <w:sz w:val="22"/>
          <w:szCs w:val="22"/>
        </w:rPr>
        <w:t>verseas internship programs. Many students and young graduates are attracted by promises of quick employment opportunities and high salaries on foreign vessels, without understanding the risks and legal procedures involved. The lack of oversight by schools and the absence of verification mechanisms for recruitment companies opens up space for illegal recruitment practices that lead to exploitation.</w:t>
      </w:r>
    </w:p>
    <w:p w14:paraId="58B38624" w14:textId="77777777" w:rsidR="00315FFB" w:rsidRDefault="00FE6519">
      <w:pPr>
        <w:widowControl w:val="0"/>
        <w:spacing w:before="240" w:after="240" w:line="229" w:lineRule="auto"/>
        <w:jc w:val="both"/>
        <w:rPr>
          <w:b/>
          <w:sz w:val="22"/>
          <w:szCs w:val="22"/>
        </w:rPr>
      </w:pPr>
      <w:r>
        <w:rPr>
          <w:b/>
          <w:sz w:val="22"/>
          <w:szCs w:val="22"/>
        </w:rPr>
        <w:t>Recommendation:</w:t>
      </w:r>
    </w:p>
    <w:p w14:paraId="58B38625" w14:textId="77777777" w:rsidR="00315FFB" w:rsidRDefault="00FE6519">
      <w:pPr>
        <w:widowControl w:val="0"/>
        <w:numPr>
          <w:ilvl w:val="0"/>
          <w:numId w:val="1"/>
        </w:numPr>
        <w:spacing w:before="240" w:line="229" w:lineRule="auto"/>
        <w:jc w:val="both"/>
        <w:rPr>
          <w:sz w:val="22"/>
          <w:szCs w:val="22"/>
        </w:rPr>
      </w:pPr>
      <w:r>
        <w:rPr>
          <w:sz w:val="22"/>
          <w:szCs w:val="22"/>
        </w:rPr>
        <w:t xml:space="preserve">The government of Indonesia should strengthen coordination between the Ministry of Manpower, the Ministry of Education, and also law enforcement agencies to combat illegal recruitment and forced </w:t>
      </w:r>
      <w:proofErr w:type="spellStart"/>
      <w:r>
        <w:rPr>
          <w:sz w:val="22"/>
          <w:szCs w:val="22"/>
        </w:rPr>
        <w:t>labor</w:t>
      </w:r>
      <w:proofErr w:type="spellEnd"/>
      <w:r>
        <w:rPr>
          <w:sz w:val="22"/>
          <w:szCs w:val="22"/>
        </w:rPr>
        <w:t xml:space="preserve"> schemes targeting migrant workers and students. </w:t>
      </w:r>
    </w:p>
    <w:p w14:paraId="58B38626" w14:textId="77777777" w:rsidR="00315FFB" w:rsidRDefault="00FE6519">
      <w:pPr>
        <w:widowControl w:val="0"/>
        <w:numPr>
          <w:ilvl w:val="0"/>
          <w:numId w:val="1"/>
        </w:numPr>
        <w:spacing w:line="229" w:lineRule="auto"/>
        <w:jc w:val="both"/>
        <w:rPr>
          <w:sz w:val="22"/>
          <w:szCs w:val="22"/>
        </w:rPr>
      </w:pPr>
      <w:r>
        <w:rPr>
          <w:sz w:val="22"/>
          <w:szCs w:val="22"/>
        </w:rPr>
        <w:t xml:space="preserve">The Government of Indonesia should strengthen cross-border cooperation and digital investigation mechanisms with ASEAN member states to combat trafficking-linked online scamming, ensuring that victims are identified as trafficking survivors rather than offenders, provided with consular assistance, safe repatriation, and psychosocial support, and that perpetrators and recruitment networks are held accountable through coordinated law enforcement action. </w:t>
      </w:r>
    </w:p>
    <w:p w14:paraId="58B38627" w14:textId="77777777" w:rsidR="00315FFB" w:rsidRDefault="00FE6519">
      <w:pPr>
        <w:widowControl w:val="0"/>
        <w:numPr>
          <w:ilvl w:val="0"/>
          <w:numId w:val="1"/>
        </w:numPr>
        <w:spacing w:after="240" w:line="229" w:lineRule="auto"/>
        <w:jc w:val="both"/>
        <w:rPr>
          <w:sz w:val="22"/>
          <w:szCs w:val="22"/>
        </w:rPr>
      </w:pPr>
      <w:r>
        <w:rPr>
          <w:sz w:val="22"/>
          <w:szCs w:val="22"/>
        </w:rPr>
        <w:t>The government of Indonesia should collaborate with Civil Society Organization and Youth Communities for education and campaigns  to expand outreach, provide support, and help detect illegal recruitment early.</w:t>
      </w:r>
      <w:permStart w:id="1080112729" w:edGrp="everyone"/>
      <w:permEnd w:id="1080112729"/>
    </w:p>
    <w:p w14:paraId="58B38628" w14:textId="77777777" w:rsidR="00315FFB" w:rsidRDefault="00315FFB">
      <w:pPr>
        <w:widowControl w:val="0"/>
        <w:spacing w:before="240" w:after="240" w:line="229" w:lineRule="auto"/>
        <w:ind w:left="720"/>
        <w:jc w:val="both"/>
        <w:rPr>
          <w:sz w:val="22"/>
          <w:szCs w:val="22"/>
        </w:rPr>
      </w:pPr>
    </w:p>
    <w:sectPr w:rsidR="00315FFB">
      <w:headerReference w:type="even" r:id="rId11"/>
      <w:footerReference w:type="even" r:id="rId12"/>
      <w:footerReference w:type="default" r:id="rId13"/>
      <w:headerReference w:type="first" r:id="rId14"/>
      <w:footerReference w:type="first" r:id="rId15"/>
      <w:pgSz w:w="11907" w:h="16840"/>
      <w:pgMar w:top="1701" w:right="1557" w:bottom="2268" w:left="1559" w:header="1134" w:footer="170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38633" w14:textId="77777777" w:rsidR="00FE6519" w:rsidRDefault="00FE6519">
      <w:r>
        <w:separator/>
      </w:r>
    </w:p>
  </w:endnote>
  <w:endnote w:type="continuationSeparator" w:id="0">
    <w:p w14:paraId="58B38635" w14:textId="77777777" w:rsidR="00FE6519" w:rsidRDefault="00FE6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pitch w:val="default"/>
    <w:embedRegular r:id="rId1" w:fontKey="{F6EDE6B8-5425-464D-9209-F205A423D395}"/>
  </w:font>
  <w:font w:name="Calibri">
    <w:panose1 w:val="020F0502020204030204"/>
    <w:charset w:val="00"/>
    <w:family w:val="swiss"/>
    <w:pitch w:val="variable"/>
    <w:sig w:usb0="E4002EFF" w:usb1="C200247B" w:usb2="00000009" w:usb3="00000000" w:csb0="000001FF" w:csb1="00000000"/>
    <w:embedRegular r:id="rId2" w:fontKey="{FBCC9532-BBE9-4CF7-9336-2CA8F03BD492}"/>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auto"/>
    <w:pitch w:val="default"/>
    <w:embedRegular r:id="rId3" w:fontKey="{99A703BE-F0D9-487C-BB32-6F31675568FD}"/>
    <w:embedBold r:id="rId4" w:fontKey="{928FD59C-4DBC-4490-B3B6-4976D137FFA6}"/>
    <w:embedItalic r:id="rId5" w:fontKey="{6F621758-5A44-4812-A32B-73E71EB5306F}"/>
  </w:font>
  <w:font w:name="Consolas">
    <w:panose1 w:val="020B0609020204030204"/>
    <w:charset w:val="00"/>
    <w:family w:val="modern"/>
    <w:pitch w:val="fixed"/>
    <w:sig w:usb0="E00006FF" w:usb1="0000FCFF" w:usb2="00000001" w:usb3="00000000" w:csb0="0000019F" w:csb1="00000000"/>
    <w:embedRegular r:id="rId6" w:fontKey="{084A9F18-5867-4F14-B8A3-7CF17307A03B}"/>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7" w:fontKey="{BFE7ADB6-4657-4902-BED8-927B134A109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3862A" w14:textId="77777777" w:rsidR="00315FFB" w:rsidRDefault="00FE6519">
    <w:pPr>
      <w:pBdr>
        <w:top w:val="nil"/>
        <w:left w:val="nil"/>
        <w:bottom w:val="nil"/>
        <w:right w:val="nil"/>
        <w:between w:val="nil"/>
      </w:pBdr>
      <w:tabs>
        <w:tab w:val="right" w:pos="9638"/>
      </w:tabs>
      <w:jc w:val="right"/>
      <w:rPr>
        <w:color w:val="000000"/>
        <w:sz w:val="18"/>
        <w:szCs w:val="18"/>
      </w:rPr>
    </w:pPr>
    <w:r>
      <w:rPr>
        <w:color w:val="000000"/>
        <w:sz w:val="18"/>
        <w:szCs w:val="18"/>
      </w:rPr>
      <w:tab/>
    </w:r>
  </w:p>
  <w:p w14:paraId="58B3862B" w14:textId="2ECF853F" w:rsidR="00315FFB" w:rsidRDefault="00FE6519">
    <w:pPr>
      <w:pBdr>
        <w:top w:val="nil"/>
        <w:left w:val="nil"/>
        <w:bottom w:val="nil"/>
        <w:right w:val="nil"/>
        <w:between w:val="nil"/>
      </w:pBdr>
      <w:tabs>
        <w:tab w:val="right" w:pos="9638"/>
      </w:tabs>
      <w:jc w:val="right"/>
      <w:rPr>
        <w:sz w:val="18"/>
        <w:szCs w:val="18"/>
      </w:rPr>
    </w:pPr>
    <w:r>
      <w:rPr>
        <w:sz w:val="18"/>
        <w:szCs w:val="18"/>
      </w:rPr>
      <w:fldChar w:fldCharType="begin"/>
    </w:r>
    <w:r>
      <w:rPr>
        <w:sz w:val="18"/>
        <w:szCs w:val="18"/>
      </w:rPr>
      <w:instrText>PAGE</w:instrText>
    </w:r>
    <w:r>
      <w:rPr>
        <w:sz w:val="18"/>
        <w:szCs w:val="18"/>
      </w:rPr>
      <w:fldChar w:fldCharType="separate"/>
    </w:r>
    <w:r w:rsidR="002E219C">
      <w:rPr>
        <w:noProof/>
        <w:sz w:val="18"/>
        <w:szCs w:val="18"/>
      </w:rPr>
      <w:t>2</w:t>
    </w:r>
    <w:r>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3862C" w14:textId="17404EE7" w:rsidR="00315FFB" w:rsidRDefault="00FE6519">
    <w:pPr>
      <w:pBdr>
        <w:top w:val="nil"/>
        <w:left w:val="nil"/>
        <w:bottom w:val="nil"/>
        <w:right w:val="nil"/>
        <w:between w:val="nil"/>
      </w:pBdr>
      <w:tabs>
        <w:tab w:val="right" w:pos="9638"/>
      </w:tabs>
      <w:rPr>
        <w:color w:val="000000"/>
        <w:sz w:val="18"/>
        <w:szCs w:val="18"/>
      </w:rPr>
    </w:pPr>
    <w:r>
      <w:rPr>
        <w:color w:val="000000"/>
        <w:sz w:val="16"/>
        <w:szCs w:val="16"/>
      </w:rPr>
      <w:tab/>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2E219C">
      <w:rPr>
        <w:b/>
        <w:noProof/>
        <w:color w:val="000000"/>
        <w:sz w:val="18"/>
        <w:szCs w:val="18"/>
      </w:rPr>
      <w:t>1</w:t>
    </w:r>
    <w:r>
      <w:rPr>
        <w:b/>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3862E" w14:textId="77777777" w:rsidR="00315FFB" w:rsidRDefault="00FE6519">
    <w:pPr>
      <w:jc w:val="right"/>
    </w:pPr>
    <w:r>
      <w:fldChar w:fldCharType="begin"/>
    </w:r>
    <w:r>
      <w:instrText>PAGE</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3862F" w14:textId="77777777" w:rsidR="00FE6519" w:rsidRDefault="00FE6519">
      <w:r>
        <w:separator/>
      </w:r>
    </w:p>
  </w:footnote>
  <w:footnote w:type="continuationSeparator" w:id="0">
    <w:p w14:paraId="58B38631" w14:textId="77777777" w:rsidR="00FE6519" w:rsidRDefault="00FE6519">
      <w:r>
        <w:continuationSeparator/>
      </w:r>
    </w:p>
  </w:footnote>
  <w:footnote w:id="1">
    <w:p w14:paraId="58B3862F" w14:textId="77777777" w:rsidR="00315FFB" w:rsidRDefault="00FE6519">
      <w:r>
        <w:rPr>
          <w:vertAlign w:val="superscript"/>
        </w:rPr>
        <w:footnoteRef/>
      </w:r>
      <w:r>
        <w:t xml:space="preserve"> </w:t>
      </w:r>
      <w:proofErr w:type="spellStart"/>
      <w:r>
        <w:t>Solidaritas</w:t>
      </w:r>
      <w:proofErr w:type="spellEnd"/>
      <w:r>
        <w:t xml:space="preserve"> Perempuan "Women Against Poverty." Annual Report (CATAHU) 2024.</w:t>
      </w:r>
    </w:p>
  </w:footnote>
  <w:footnote w:id="2">
    <w:p w14:paraId="58B38630" w14:textId="77777777" w:rsidR="00315FFB" w:rsidRDefault="00FE6519">
      <w:r>
        <w:rPr>
          <w:vertAlign w:val="superscript"/>
        </w:rPr>
        <w:footnoteRef/>
      </w:r>
      <w:r>
        <w:t xml:space="preserve"> https://sbmi.or.id/catatan-akhir-tahun-2024/</w:t>
      </w:r>
    </w:p>
  </w:footnote>
  <w:footnote w:id="3">
    <w:p w14:paraId="58B38631" w14:textId="77777777" w:rsidR="00315FFB" w:rsidRDefault="00FE6519">
      <w:r>
        <w:rPr>
          <w:vertAlign w:val="superscript"/>
        </w:rPr>
        <w:footnoteRef/>
      </w:r>
      <w:r>
        <w:t>https://www.ohchr.org/en/documents/concluding-observations/cmwcidnco1-committee-protection-rights-all-migrant-workers-and</w:t>
      </w:r>
    </w:p>
  </w:footnote>
  <w:footnote w:id="4">
    <w:p w14:paraId="58B38632" w14:textId="77777777" w:rsidR="00315FFB" w:rsidRDefault="00FE6519">
      <w:r>
        <w:rPr>
          <w:vertAlign w:val="superscript"/>
        </w:rPr>
        <w:footnoteRef/>
      </w:r>
      <w:hyperlink r:id="rId1">
        <w:r>
          <w:rPr>
            <w:rFonts w:ascii="Arial" w:eastAsia="Arial" w:hAnsi="Arial" w:cs="Arial"/>
            <w:color w:val="467886"/>
            <w:u w:val="single"/>
          </w:rPr>
          <w:t>https://www.hukumonline.com/berita/a/beragam-hambatan-dalam-pelindungan-akp-migran-lt64e8756bc319e/?page=2</w:t>
        </w:r>
      </w:hyperlink>
    </w:p>
  </w:footnote>
  <w:footnote w:id="5">
    <w:p w14:paraId="58B38633" w14:textId="77777777" w:rsidR="00315FFB" w:rsidRDefault="00FE6519">
      <w:r>
        <w:rPr>
          <w:vertAlign w:val="superscript"/>
        </w:rPr>
        <w:footnoteRef/>
      </w:r>
      <w:r>
        <w:t xml:space="preserve"> Kompas. (2022, September 5). A Dim Portrait of LTSA, Prospective Migrant Workers Still Receive Half-Hearted Service. from Kompas.id.</w:t>
      </w:r>
    </w:p>
    <w:p w14:paraId="58B38634" w14:textId="77777777" w:rsidR="00315FFB" w:rsidRDefault="00315FFB"/>
  </w:footnote>
  <w:footnote w:id="6">
    <w:p w14:paraId="58B38635" w14:textId="77777777" w:rsidR="00315FFB" w:rsidRDefault="00FE6519">
      <w:r>
        <w:rPr>
          <w:vertAlign w:val="superscript"/>
        </w:rPr>
        <w:footnoteRef/>
      </w:r>
      <w:r>
        <w:t xml:space="preserve"> </w:t>
      </w:r>
      <w:r>
        <w:rPr>
          <w:sz w:val="22"/>
          <w:szCs w:val="22"/>
        </w:rPr>
        <w:t>https://sbmi.or.id/catatan-akhir-tahun-2024/</w:t>
      </w:r>
    </w:p>
  </w:footnote>
  <w:footnote w:id="7">
    <w:p w14:paraId="58B38636" w14:textId="77777777" w:rsidR="00315FFB" w:rsidRDefault="00FE6519">
      <w:r>
        <w:rPr>
          <w:vertAlign w:val="superscript"/>
        </w:rPr>
        <w:footnoteRef/>
      </w:r>
      <w:r>
        <w:t>https://sbmi.or.id/laporan-tppo-2025-sbmi-suara-korban-dan-pendamping-dalam-kasus-tppo-membongkar-realitas-lemahnya-sistem-peradilan-pidana-dan-abainya-aparat-penegak-hukum/</w:t>
      </w:r>
    </w:p>
  </w:footnote>
  <w:footnote w:id="8">
    <w:p w14:paraId="58B38637" w14:textId="77777777" w:rsidR="00315FFB" w:rsidRDefault="00FE6519">
      <w:r>
        <w:rPr>
          <w:vertAlign w:val="superscript"/>
        </w:rPr>
        <w:footnoteRef/>
      </w:r>
      <w:r>
        <w:t xml:space="preserve"> </w:t>
      </w:r>
      <w:r>
        <w:rPr>
          <w:sz w:val="22"/>
          <w:szCs w:val="22"/>
        </w:rPr>
        <w:t>Journal of Indonesian Social Sciences and Humanities (</w:t>
      </w:r>
      <w:proofErr w:type="spellStart"/>
      <w:r>
        <w:rPr>
          <w:sz w:val="22"/>
          <w:szCs w:val="22"/>
        </w:rPr>
        <w:t>Kusumawati</w:t>
      </w:r>
      <w:proofErr w:type="spellEnd"/>
      <w:r>
        <w:rPr>
          <w:sz w:val="22"/>
          <w:szCs w:val="22"/>
        </w:rPr>
        <w:t>, 2021)</w:t>
      </w:r>
    </w:p>
  </w:footnote>
  <w:footnote w:id="9">
    <w:p w14:paraId="58B38638" w14:textId="77777777" w:rsidR="00315FFB" w:rsidRDefault="00FE6519">
      <w:r>
        <w:rPr>
          <w:vertAlign w:val="superscript"/>
        </w:rPr>
        <w:footnoteRef/>
      </w:r>
      <w:hyperlink r:id="rId2">
        <w:r>
          <w:rPr>
            <w:color w:val="1155CC"/>
            <w:sz w:val="22"/>
            <w:szCs w:val="22"/>
            <w:u w:val="single"/>
          </w:rPr>
          <w:t>https://oceanjusticeinitiative.org/publications/?download=true&amp;file-param=2023/12/Urgency+of+Issuance+of+Ministerial+of+Manpower+Regulation+Regarding+Migrant+AKP+Protection.pdf</w:t>
        </w:r>
      </w:hyperlink>
      <w:r>
        <w:rPr>
          <w:sz w:val="22"/>
          <w:szCs w:val="22"/>
        </w:rPr>
        <w:t xml:space="preserve"> </w:t>
      </w:r>
    </w:p>
  </w:footnote>
  <w:footnote w:id="10">
    <w:p w14:paraId="58B38639" w14:textId="77777777" w:rsidR="00315FFB" w:rsidRDefault="00FE6519">
      <w:r>
        <w:rPr>
          <w:vertAlign w:val="superscript"/>
        </w:rPr>
        <w:footnoteRef/>
      </w:r>
      <w:hyperlink r:id="rId3">
        <w:r>
          <w:rPr>
            <w:color w:val="1155CC"/>
            <w:sz w:val="22"/>
            <w:szCs w:val="22"/>
            <w:u w:val="single"/>
          </w:rPr>
          <w:t>https://oceanjusticeinitiative.org/publications/?download=true&amp;file-param=2022/08/Buku%20Laporan%20Potret%20Kerawanan%20Pelaut%20Perikanan.pdf</w:t>
        </w:r>
      </w:hyperlink>
      <w:r>
        <w:rPr>
          <w:sz w:val="22"/>
          <w:szCs w:val="22"/>
        </w:rPr>
        <w:t xml:space="preserve"> </w:t>
      </w:r>
    </w:p>
  </w:footnote>
  <w:footnote w:id="11">
    <w:p w14:paraId="58B3863A" w14:textId="77777777" w:rsidR="00315FFB" w:rsidRDefault="00FE6519">
      <w:r>
        <w:rPr>
          <w:vertAlign w:val="superscript"/>
        </w:rPr>
        <w:footnoteRef/>
      </w:r>
      <w:r>
        <w:t xml:space="preserve"> https://sbmi.or.id/catahu-2023/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38629" w14:textId="77777777" w:rsidR="00315FFB" w:rsidRDefault="00315FF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3862D" w14:textId="77777777" w:rsidR="00315FFB" w:rsidRDefault="00315FFB">
    <w:pPr>
      <w:pBdr>
        <w:top w:val="nil"/>
        <w:left w:val="nil"/>
        <w:bottom w:val="single" w:sz="4" w:space="4" w:color="000000"/>
        <w:right w:val="nil"/>
        <w:between w:val="nil"/>
      </w:pBdr>
      <w:rPr>
        <w:b/>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54186A"/>
    <w:multiLevelType w:val="multilevel"/>
    <w:tmpl w:val="99B894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64772D1"/>
    <w:multiLevelType w:val="multilevel"/>
    <w:tmpl w:val="FB8011C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4E1A05F8"/>
    <w:multiLevelType w:val="multilevel"/>
    <w:tmpl w:val="6E5E70AE"/>
    <w:lvl w:ilvl="0">
      <w:start w:val="1"/>
      <w:numFmt w:val="decimal"/>
      <w:pStyle w:val="Bullet2G"/>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E903537"/>
    <w:multiLevelType w:val="multilevel"/>
    <w:tmpl w:val="6D94368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502148E8"/>
    <w:multiLevelType w:val="multilevel"/>
    <w:tmpl w:val="45B805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0754CAE"/>
    <w:multiLevelType w:val="multilevel"/>
    <w:tmpl w:val="CCDCCFC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534D7918"/>
    <w:multiLevelType w:val="multilevel"/>
    <w:tmpl w:val="D72A1E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49D71C4"/>
    <w:multiLevelType w:val="multilevel"/>
    <w:tmpl w:val="6F1AB09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780D5463"/>
    <w:multiLevelType w:val="multilevel"/>
    <w:tmpl w:val="220CA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83A2613"/>
    <w:multiLevelType w:val="multilevel"/>
    <w:tmpl w:val="BC242B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A1F3D18"/>
    <w:multiLevelType w:val="multilevel"/>
    <w:tmpl w:val="E80804C4"/>
    <w:lvl w:ilvl="0">
      <w:start w:val="1"/>
      <w:numFmt w:val="decimal"/>
      <w:pStyle w:val="Bullet1G"/>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65006384">
    <w:abstractNumId w:val="10"/>
  </w:num>
  <w:num w:numId="2" w16cid:durableId="1019041667">
    <w:abstractNumId w:val="2"/>
  </w:num>
  <w:num w:numId="3" w16cid:durableId="454756946">
    <w:abstractNumId w:val="7"/>
  </w:num>
  <w:num w:numId="4" w16cid:durableId="1320957598">
    <w:abstractNumId w:val="0"/>
  </w:num>
  <w:num w:numId="5" w16cid:durableId="722556327">
    <w:abstractNumId w:val="8"/>
  </w:num>
  <w:num w:numId="6" w16cid:durableId="1061367966">
    <w:abstractNumId w:val="6"/>
  </w:num>
  <w:num w:numId="7" w16cid:durableId="1350788994">
    <w:abstractNumId w:val="4"/>
  </w:num>
  <w:num w:numId="8" w16cid:durableId="397559570">
    <w:abstractNumId w:val="1"/>
  </w:num>
  <w:num w:numId="9" w16cid:durableId="1272324160">
    <w:abstractNumId w:val="3"/>
  </w:num>
  <w:num w:numId="10" w16cid:durableId="371855532">
    <w:abstractNumId w:val="5"/>
  </w:num>
  <w:num w:numId="11" w16cid:durableId="9162805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proofState w:spelling="clean"/>
  <w:documentProtection w:edit="readOnly" w:formatting="1" w:enforcement="1" w:cryptProviderType="rsaAES" w:cryptAlgorithmClass="hash" w:cryptAlgorithmType="typeAny" w:cryptAlgorithmSid="14" w:cryptSpinCount="100000" w:hash="905/f68UiC2DL5UUbrmPxyAI/fqxmhAyYCdlM8Xi4L2PfhsBY9/yq1PXqR/rbhiUMzDydOxXa/LqeU4DbD05Xw==" w:salt="79vHOAQtqHBSviAraFvRq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FFB"/>
    <w:rsid w:val="002C3BB5"/>
    <w:rsid w:val="002E219C"/>
    <w:rsid w:val="00315FFB"/>
    <w:rsid w:val="00F870ED"/>
    <w:rsid w:val="00FE6519"/>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385C8"/>
  <w15:docId w15:val="{FE3E792C-E099-4636-86B0-6E14F5CE6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outlineLvl w:val="1"/>
    </w:pPr>
  </w:style>
  <w:style w:type="paragraph" w:styleId="Heading3">
    <w:name w:val="heading 3"/>
    <w:basedOn w:val="Normal"/>
    <w:next w:val="Normal"/>
    <w:uiPriority w:val="9"/>
    <w:semiHidden/>
    <w:unhideWhenUsed/>
    <w:qFormat/>
    <w:pPr>
      <w:outlineLvl w:val="2"/>
    </w:pPr>
  </w:style>
  <w:style w:type="paragraph" w:styleId="Heading4">
    <w:name w:val="heading 4"/>
    <w:basedOn w:val="Normal"/>
    <w:next w:val="Normal"/>
    <w:uiPriority w:val="9"/>
    <w:semiHidden/>
    <w:unhideWhenUsed/>
    <w:qFormat/>
    <w:pPr>
      <w:outlineLvl w:val="3"/>
    </w:pPr>
  </w:style>
  <w:style w:type="paragraph" w:styleId="Heading5">
    <w:name w:val="heading 5"/>
    <w:basedOn w:val="Normal"/>
    <w:next w:val="Normal"/>
    <w:uiPriority w:val="9"/>
    <w:semiHidden/>
    <w:unhideWhenUsed/>
    <w:qFormat/>
    <w:pPr>
      <w:outlineLvl w:val="4"/>
    </w:pPr>
  </w:style>
  <w:style w:type="paragraph" w:styleId="Heading6">
    <w:name w:val="heading 6"/>
    <w:basedOn w:val="Normal"/>
    <w:next w:val="Normal"/>
    <w:uiPriority w:val="9"/>
    <w:semiHidden/>
    <w:unhideWhenUsed/>
    <w:qFormat/>
    <w:pPr>
      <w:outlineLvl w:val="5"/>
    </w:pPr>
  </w:style>
  <w:style w:type="paragraph" w:styleId="Heading7">
    <w:name w:val="heading 7"/>
    <w:basedOn w:val="Normal"/>
    <w:next w:val="Normal"/>
    <w:pPr>
      <w:ind w:leftChars="-1" w:left="-1" w:hangingChars="1" w:hanging="1"/>
      <w:textDirection w:val="btLr"/>
      <w:textAlignment w:val="top"/>
      <w:outlineLvl w:val="6"/>
    </w:pPr>
    <w:rPr>
      <w:position w:val="-1"/>
      <w:lang w:eastAsia="en-US"/>
    </w:rPr>
  </w:style>
  <w:style w:type="paragraph" w:styleId="Heading8">
    <w:name w:val="heading 8"/>
    <w:basedOn w:val="Normal"/>
    <w:next w:val="Normal"/>
    <w:pPr>
      <w:ind w:leftChars="-1" w:left="-1" w:hangingChars="1" w:hanging="1"/>
      <w:textDirection w:val="btLr"/>
      <w:textAlignment w:val="top"/>
      <w:outlineLvl w:val="7"/>
    </w:pPr>
    <w:rPr>
      <w:position w:val="-1"/>
      <w:lang w:eastAsia="en-US"/>
    </w:rPr>
  </w:style>
  <w:style w:type="paragraph" w:styleId="Heading9">
    <w:name w:val="heading 9"/>
    <w:basedOn w:val="Normal"/>
    <w:next w:val="Normal"/>
    <w:pPr>
      <w:ind w:leftChars="-1" w:left="-1" w:hangingChars="1" w:hanging="1"/>
      <w:textDirection w:val="btLr"/>
      <w:textAlignment w:val="top"/>
      <w:outlineLvl w:val="8"/>
    </w:pPr>
    <w:rPr>
      <w:position w:val="-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100" w:type="dxa"/>
        <w:left w:w="100" w:type="dxa"/>
        <w:bottom w:w="100" w:type="dxa"/>
        <w:right w:w="100" w:type="dxa"/>
      </w:tblCellMar>
    </w:tblPr>
  </w:style>
  <w:style w:type="paragraph" w:customStyle="1" w:styleId="Heading10">
    <w:name w:val="heading 1"/>
    <w:aliases w:val="Table_G"/>
    <w:basedOn w:val="SingleTxtG"/>
    <w:next w:val="SingleTxtG"/>
    <w:pPr>
      <w:spacing w:after="0" w:line="240" w:lineRule="auto"/>
      <w:ind w:right="0"/>
      <w:jc w:val="left"/>
    </w:pPr>
  </w:style>
  <w:style w:type="paragraph" w:customStyle="1" w:styleId="SingleTxtG">
    <w:name w:val="_ Single Txt_G"/>
    <w:basedOn w:val="Normal"/>
    <w:pPr>
      <w:spacing w:after="120" w:line="240" w:lineRule="atLeast"/>
      <w:ind w:leftChars="-1" w:left="1134" w:right="1134" w:hangingChars="1" w:hanging="1"/>
      <w:jc w:val="both"/>
      <w:textDirection w:val="btLr"/>
      <w:textAlignment w:val="top"/>
      <w:outlineLvl w:val="0"/>
    </w:pPr>
    <w:rPr>
      <w:position w:val="-1"/>
      <w:lang w:eastAsia="en-US"/>
    </w:rPr>
  </w:style>
  <w:style w:type="paragraph" w:customStyle="1" w:styleId="HMG">
    <w:name w:val="_ H __M_G"/>
    <w:basedOn w:val="Normal"/>
    <w:next w:val="Normal"/>
    <w:pPr>
      <w:keepNext/>
      <w:keepLines/>
      <w:tabs>
        <w:tab w:val="right" w:pos="851"/>
      </w:tabs>
      <w:spacing w:before="240" w:after="240" w:line="360" w:lineRule="atLeast"/>
      <w:ind w:leftChars="-1" w:left="1134" w:right="1134" w:hangingChars="1" w:hanging="1134"/>
      <w:textDirection w:val="btLr"/>
      <w:textAlignment w:val="top"/>
      <w:outlineLvl w:val="0"/>
    </w:pPr>
    <w:rPr>
      <w:b/>
      <w:position w:val="-1"/>
      <w:sz w:val="34"/>
      <w:lang w:eastAsia="en-US"/>
    </w:rPr>
  </w:style>
  <w:style w:type="paragraph" w:customStyle="1" w:styleId="HChG">
    <w:name w:val="_ H _Ch_G"/>
    <w:basedOn w:val="Normal"/>
    <w:next w:val="Normal"/>
    <w:pPr>
      <w:keepNext/>
      <w:keepLines/>
      <w:tabs>
        <w:tab w:val="right" w:pos="851"/>
      </w:tabs>
      <w:spacing w:before="360" w:after="240" w:line="300" w:lineRule="atLeast"/>
      <w:ind w:leftChars="-1" w:left="1134" w:right="1134" w:hangingChars="1" w:hanging="1134"/>
      <w:textDirection w:val="btLr"/>
      <w:textAlignment w:val="top"/>
      <w:outlineLvl w:val="0"/>
    </w:pPr>
    <w:rPr>
      <w:b/>
      <w:position w:val="-1"/>
      <w:sz w:val="28"/>
      <w:lang w:eastAsia="en-US"/>
    </w:rPr>
  </w:style>
  <w:style w:type="character" w:customStyle="1" w:styleId="FootnoteReference">
    <w:name w:val="footnote reference"/>
    <w:aliases w:val="footnote text,4_G,ftref,referencia nota al pie,BVI fnr,4_Footnote text,Appel note de bas de p.,callout,nota pié di pagina,Fußnotenzeichen DISS,16 Point,Superscript 6 Point,Footnotes refss,Footnote Reference1,Footnote Reference Number"/>
    <w:rPr>
      <w:rFonts w:ascii="Times New Roman" w:hAnsi="Times New Roman"/>
      <w:w w:val="100"/>
      <w:position w:val="-1"/>
      <w:sz w:val="18"/>
      <w:effect w:val="none"/>
      <w:vertAlign w:val="superscript"/>
      <w:cs w:val="0"/>
      <w:em w:val="none"/>
    </w:rPr>
  </w:style>
  <w:style w:type="character" w:customStyle="1" w:styleId="EndnoteReference">
    <w:name w:val="endnote reference"/>
    <w:aliases w:val="1_G"/>
    <w:basedOn w:val="FootnoteReference"/>
    <w:rPr>
      <w:rFonts w:ascii="Times New Roman" w:hAnsi="Times New Roman"/>
      <w:w w:val="100"/>
      <w:position w:val="-1"/>
      <w:sz w:val="18"/>
      <w:effect w:val="none"/>
      <w:vertAlign w:val="superscript"/>
      <w:cs w:val="0"/>
      <w:em w:val="none"/>
    </w:rPr>
  </w:style>
  <w:style w:type="paragraph" w:customStyle="1" w:styleId="Header">
    <w:name w:val="header"/>
    <w:aliases w:val="6_G"/>
    <w:basedOn w:val="Normal"/>
    <w:pPr>
      <w:pBdr>
        <w:bottom w:val="single" w:sz="4" w:space="4" w:color="auto"/>
      </w:pBdr>
      <w:ind w:leftChars="-1" w:left="-1" w:hangingChars="1" w:hanging="1"/>
      <w:textDirection w:val="btLr"/>
      <w:textAlignment w:val="top"/>
      <w:outlineLvl w:val="0"/>
    </w:pPr>
    <w:rPr>
      <w:b/>
      <w:position w:val="-1"/>
      <w:sz w:val="18"/>
      <w:lang w:eastAsia="en-US"/>
    </w:rPr>
  </w:style>
  <w:style w:type="table" w:styleId="TableGrid">
    <w:name w:val="Table Grid"/>
    <w:basedOn w:val="TableNormal"/>
    <w:pPr>
      <w:spacing w:line="240"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Pr>
      <w:color w:val="auto"/>
      <w:w w:val="100"/>
      <w:position w:val="-1"/>
      <w:u w:val="none"/>
      <w:effect w:val="none"/>
      <w:vertAlign w:val="baseline"/>
      <w:cs w:val="0"/>
      <w:em w:val="none"/>
    </w:rPr>
  </w:style>
  <w:style w:type="character" w:styleId="FollowedHyperlink">
    <w:name w:val="FollowedHyperlink"/>
    <w:rPr>
      <w:color w:val="auto"/>
      <w:w w:val="100"/>
      <w:position w:val="-1"/>
      <w:u w:val="none"/>
      <w:effect w:val="none"/>
      <w:vertAlign w:val="baseline"/>
      <w:cs w:val="0"/>
      <w:em w:val="none"/>
    </w:rPr>
  </w:style>
  <w:style w:type="paragraph" w:customStyle="1" w:styleId="SMG">
    <w:name w:val="__S_M_G"/>
    <w:basedOn w:val="Normal"/>
    <w:next w:val="Normal"/>
    <w:pPr>
      <w:keepNext/>
      <w:keepLines/>
      <w:spacing w:before="240" w:after="240" w:line="420" w:lineRule="atLeast"/>
      <w:ind w:leftChars="-1" w:left="1134" w:right="1134" w:hangingChars="1" w:hanging="1"/>
      <w:textDirection w:val="btLr"/>
      <w:textAlignment w:val="top"/>
      <w:outlineLvl w:val="0"/>
    </w:pPr>
    <w:rPr>
      <w:b/>
      <w:position w:val="-1"/>
      <w:sz w:val="40"/>
      <w:lang w:eastAsia="en-US"/>
    </w:rPr>
  </w:style>
  <w:style w:type="paragraph" w:customStyle="1" w:styleId="SLG">
    <w:name w:val="__S_L_G"/>
    <w:basedOn w:val="Normal"/>
    <w:next w:val="Normal"/>
    <w:pPr>
      <w:keepNext/>
      <w:keepLines/>
      <w:spacing w:before="240" w:after="240" w:line="580" w:lineRule="atLeast"/>
      <w:ind w:leftChars="-1" w:left="1134" w:right="1134" w:hangingChars="1" w:hanging="1"/>
      <w:textDirection w:val="btLr"/>
      <w:textAlignment w:val="top"/>
      <w:outlineLvl w:val="0"/>
    </w:pPr>
    <w:rPr>
      <w:b/>
      <w:position w:val="-1"/>
      <w:sz w:val="56"/>
      <w:lang w:eastAsia="en-US"/>
    </w:rPr>
  </w:style>
  <w:style w:type="paragraph" w:customStyle="1" w:styleId="SSG">
    <w:name w:val="__S_S_G"/>
    <w:basedOn w:val="Normal"/>
    <w:next w:val="Normal"/>
    <w:pPr>
      <w:keepNext/>
      <w:keepLines/>
      <w:spacing w:before="240" w:after="240" w:line="300" w:lineRule="atLeast"/>
      <w:ind w:leftChars="-1" w:left="1134" w:right="1134" w:hangingChars="1" w:hanging="1"/>
      <w:textDirection w:val="btLr"/>
      <w:textAlignment w:val="top"/>
      <w:outlineLvl w:val="0"/>
    </w:pPr>
    <w:rPr>
      <w:b/>
      <w:position w:val="-1"/>
      <w:sz w:val="28"/>
      <w:lang w:eastAsia="en-US"/>
    </w:rPr>
  </w:style>
  <w:style w:type="paragraph" w:customStyle="1" w:styleId="FootnoteText">
    <w:name w:val="footnote text"/>
    <w:aliases w:val="footnote text,5_G,Footnote Text Char1,Footnote Text Char Char,FOOTNOTES,fn,single space,single space Char,footnote text Char,ft Char,ft,fn Char Char,fn Char Char Char Char,fn Char Char Char,Footnote Text Char1 Char Cha,ADB,Char,ft Ch"/>
    <w:basedOn w:val="Normal"/>
    <w:pPr>
      <w:tabs>
        <w:tab w:val="right" w:pos="1021"/>
      </w:tabs>
      <w:spacing w:line="220" w:lineRule="atLeast"/>
      <w:ind w:leftChars="-1" w:left="1134" w:right="1134" w:hangingChars="1" w:hanging="1134"/>
      <w:textDirection w:val="btLr"/>
      <w:textAlignment w:val="top"/>
      <w:outlineLvl w:val="0"/>
    </w:pPr>
    <w:rPr>
      <w:position w:val="-1"/>
      <w:sz w:val="18"/>
      <w:lang w:eastAsia="en-US"/>
    </w:rPr>
  </w:style>
  <w:style w:type="paragraph" w:customStyle="1" w:styleId="EndnoteText">
    <w:name w:val="endnote text"/>
    <w:aliases w:val="2_G"/>
    <w:basedOn w:val="FootnoteText"/>
  </w:style>
  <w:style w:type="character" w:customStyle="1" w:styleId="PageNumber">
    <w:name w:val="page number"/>
    <w:aliases w:val="7_G"/>
    <w:rPr>
      <w:rFonts w:ascii="Times New Roman" w:hAnsi="Times New Roman"/>
      <w:b/>
      <w:w w:val="100"/>
      <w:position w:val="-1"/>
      <w:sz w:val="18"/>
      <w:effect w:val="none"/>
      <w:vertAlign w:val="baseline"/>
      <w:cs w:val="0"/>
      <w:em w:val="none"/>
    </w:rPr>
  </w:style>
  <w:style w:type="paragraph" w:customStyle="1" w:styleId="XLargeG">
    <w:name w:val="__XLarge_G"/>
    <w:basedOn w:val="Normal"/>
    <w:next w:val="Normal"/>
    <w:pPr>
      <w:keepNext/>
      <w:keepLines/>
      <w:spacing w:before="240" w:after="240" w:line="420" w:lineRule="atLeast"/>
      <w:ind w:leftChars="-1" w:left="1134" w:right="1134" w:hangingChars="1" w:hanging="1"/>
      <w:textDirection w:val="btLr"/>
      <w:textAlignment w:val="top"/>
      <w:outlineLvl w:val="0"/>
    </w:pPr>
    <w:rPr>
      <w:b/>
      <w:position w:val="-1"/>
      <w:sz w:val="40"/>
      <w:lang w:eastAsia="en-US"/>
    </w:rPr>
  </w:style>
  <w:style w:type="paragraph" w:customStyle="1" w:styleId="Bullet1G">
    <w:name w:val="_Bullet 1_G"/>
    <w:basedOn w:val="Normal"/>
    <w:pPr>
      <w:numPr>
        <w:numId w:val="1"/>
      </w:numPr>
      <w:spacing w:after="120" w:line="240" w:lineRule="atLeast"/>
      <w:ind w:leftChars="-1" w:left="-1" w:right="1134" w:hangingChars="1" w:hanging="1"/>
      <w:jc w:val="both"/>
      <w:textDirection w:val="btLr"/>
      <w:textAlignment w:val="top"/>
      <w:outlineLvl w:val="0"/>
    </w:pPr>
    <w:rPr>
      <w:position w:val="-1"/>
      <w:lang w:eastAsia="en-US"/>
    </w:rPr>
  </w:style>
  <w:style w:type="paragraph" w:customStyle="1" w:styleId="Footer">
    <w:name w:val="footer"/>
    <w:aliases w:val="3_G"/>
    <w:basedOn w:val="Normal"/>
    <w:pPr>
      <w:ind w:leftChars="-1" w:left="-1" w:hangingChars="1" w:hanging="1"/>
      <w:textDirection w:val="btLr"/>
      <w:textAlignment w:val="top"/>
      <w:outlineLvl w:val="0"/>
    </w:pPr>
    <w:rPr>
      <w:position w:val="-1"/>
      <w:sz w:val="16"/>
      <w:lang w:eastAsia="en-US"/>
    </w:rPr>
  </w:style>
  <w:style w:type="paragraph" w:customStyle="1" w:styleId="Bullet2G">
    <w:name w:val="_Bullet 2_G"/>
    <w:basedOn w:val="Normal"/>
    <w:pPr>
      <w:numPr>
        <w:numId w:val="2"/>
      </w:numPr>
      <w:spacing w:after="120" w:line="240" w:lineRule="atLeast"/>
      <w:ind w:leftChars="-1" w:left="-1" w:right="1134" w:hangingChars="1" w:hanging="1"/>
      <w:jc w:val="both"/>
      <w:textDirection w:val="btLr"/>
      <w:textAlignment w:val="top"/>
      <w:outlineLvl w:val="0"/>
    </w:pPr>
    <w:rPr>
      <w:position w:val="-1"/>
      <w:lang w:eastAsia="en-US"/>
    </w:rPr>
  </w:style>
  <w:style w:type="paragraph" w:customStyle="1" w:styleId="H1G">
    <w:name w:val="_ H_1_G"/>
    <w:basedOn w:val="Normal"/>
    <w:next w:val="Normal"/>
    <w:pPr>
      <w:keepNext/>
      <w:keepLines/>
      <w:tabs>
        <w:tab w:val="right" w:pos="851"/>
      </w:tabs>
      <w:spacing w:before="360" w:after="240" w:line="270" w:lineRule="atLeast"/>
      <w:ind w:leftChars="-1" w:left="1134" w:right="1134" w:hangingChars="1" w:hanging="1134"/>
      <w:textDirection w:val="btLr"/>
      <w:textAlignment w:val="top"/>
      <w:outlineLvl w:val="0"/>
    </w:pPr>
    <w:rPr>
      <w:b/>
      <w:position w:val="-1"/>
      <w:sz w:val="24"/>
      <w:lang w:eastAsia="en-US"/>
    </w:rPr>
  </w:style>
  <w:style w:type="paragraph" w:customStyle="1" w:styleId="H23G">
    <w:name w:val="_ H_2/3_G"/>
    <w:basedOn w:val="Normal"/>
    <w:next w:val="Normal"/>
    <w:pPr>
      <w:keepNext/>
      <w:keepLines/>
      <w:tabs>
        <w:tab w:val="right" w:pos="851"/>
      </w:tabs>
      <w:spacing w:before="240" w:after="120" w:line="240" w:lineRule="atLeast"/>
      <w:ind w:leftChars="-1" w:left="1134" w:right="1134" w:hangingChars="1" w:hanging="1134"/>
      <w:textDirection w:val="btLr"/>
      <w:textAlignment w:val="top"/>
      <w:outlineLvl w:val="0"/>
    </w:pPr>
    <w:rPr>
      <w:b/>
      <w:position w:val="-1"/>
      <w:lang w:eastAsia="en-US"/>
    </w:rPr>
  </w:style>
  <w:style w:type="paragraph" w:customStyle="1" w:styleId="H4G">
    <w:name w:val="_ H_4_G"/>
    <w:basedOn w:val="Normal"/>
    <w:next w:val="Normal"/>
    <w:pPr>
      <w:keepNext/>
      <w:keepLines/>
      <w:tabs>
        <w:tab w:val="right" w:pos="851"/>
      </w:tabs>
      <w:spacing w:before="240" w:after="120" w:line="240" w:lineRule="atLeast"/>
      <w:ind w:leftChars="-1" w:left="1134" w:right="1134" w:hangingChars="1" w:hanging="1134"/>
      <w:textDirection w:val="btLr"/>
      <w:textAlignment w:val="top"/>
      <w:outlineLvl w:val="0"/>
    </w:pPr>
    <w:rPr>
      <w:i/>
      <w:position w:val="-1"/>
      <w:lang w:eastAsia="en-US"/>
    </w:rPr>
  </w:style>
  <w:style w:type="paragraph" w:customStyle="1" w:styleId="H56G">
    <w:name w:val="_ H_5/6_G"/>
    <w:basedOn w:val="Normal"/>
    <w:next w:val="Normal"/>
    <w:pPr>
      <w:keepNext/>
      <w:keepLines/>
      <w:tabs>
        <w:tab w:val="right" w:pos="851"/>
      </w:tabs>
      <w:spacing w:before="240" w:after="120" w:line="240" w:lineRule="atLeast"/>
      <w:ind w:leftChars="-1" w:left="1134" w:right="1134" w:hangingChars="1" w:hanging="1134"/>
      <w:textDirection w:val="btLr"/>
      <w:textAlignment w:val="top"/>
      <w:outlineLvl w:val="0"/>
    </w:pPr>
    <w:rPr>
      <w:position w:val="-1"/>
      <w:lang w:eastAsia="en-US"/>
    </w:rPr>
  </w:style>
  <w:style w:type="character" w:customStyle="1" w:styleId="Heading1Char">
    <w:name w:val="Heading 1 Char"/>
    <w:aliases w:val="Table_G Char"/>
    <w:rPr>
      <w:w w:val="100"/>
      <w:position w:val="-1"/>
      <w:effect w:val="none"/>
      <w:vertAlign w:val="baseline"/>
      <w:cs w:val="0"/>
      <w:em w:val="none"/>
      <w:lang w:val="en-GB" w:eastAsia="en-US" w:bidi="ar-SA"/>
    </w:rPr>
  </w:style>
  <w:style w:type="character" w:customStyle="1" w:styleId="Heading2Char">
    <w:name w:val="Heading 2 Char"/>
    <w:rPr>
      <w:w w:val="100"/>
      <w:position w:val="-1"/>
      <w:effect w:val="none"/>
      <w:vertAlign w:val="baseline"/>
      <w:cs w:val="0"/>
      <w:em w:val="none"/>
      <w:lang w:val="en-GB" w:eastAsia="en-US" w:bidi="ar-SA"/>
    </w:rPr>
  </w:style>
  <w:style w:type="character" w:customStyle="1" w:styleId="Heading3Char">
    <w:name w:val="Heading 3 Char"/>
    <w:rPr>
      <w:w w:val="100"/>
      <w:position w:val="-1"/>
      <w:effect w:val="none"/>
      <w:vertAlign w:val="baseline"/>
      <w:cs w:val="0"/>
      <w:em w:val="none"/>
      <w:lang w:val="en-GB" w:eastAsia="en-US" w:bidi="ar-SA"/>
    </w:rPr>
  </w:style>
  <w:style w:type="character" w:styleId="Strong">
    <w:name w:val="Strong"/>
    <w:rPr>
      <w:b/>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val="en-US"/>
    </w:rPr>
  </w:style>
  <w:style w:type="character" w:customStyle="1" w:styleId="SingleTxtGChar">
    <w:name w:val="_ Single Txt_G Char"/>
    <w:rPr>
      <w:w w:val="100"/>
      <w:position w:val="-1"/>
      <w:effect w:val="none"/>
      <w:vertAlign w:val="baseline"/>
      <w:cs w:val="0"/>
      <w:em w:val="none"/>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rPr>
      <w:w w:val="100"/>
      <w:position w:val="-1"/>
      <w:sz w:val="18"/>
      <w:effect w:val="none"/>
      <w:vertAlign w:val="baseline"/>
      <w:cs w:val="0"/>
      <w:em w:val="none"/>
      <w:lang w:val="en-GB" w:eastAsia="en-US" w:bidi="ar-SA"/>
    </w:rPr>
  </w:style>
  <w:style w:type="character" w:customStyle="1" w:styleId="Bulletpoint1Char">
    <w:name w:val="Bulletpoint_1 Char"/>
    <w:rPr>
      <w:w w:val="100"/>
      <w:position w:val="-1"/>
      <w:effect w:val="none"/>
      <w:vertAlign w:val="baseline"/>
      <w:cs w:val="0"/>
      <w:em w:val="none"/>
      <w:lang w:val="en-US" w:bidi="ar-SA"/>
    </w:rPr>
  </w:style>
  <w:style w:type="paragraph" w:customStyle="1" w:styleId="Bulletpoint1">
    <w:name w:val="Bulletpoint_1"/>
    <w:basedOn w:val="Normal"/>
    <w:pPr>
      <w:widowControl w:val="0"/>
      <w:tabs>
        <w:tab w:val="num" w:pos="720"/>
      </w:tabs>
      <w:suppressAutoHyphens/>
      <w:spacing w:after="120"/>
      <w:ind w:leftChars="-1" w:left="720" w:hangingChars="1" w:hanging="360"/>
      <w:jc w:val="both"/>
      <w:textDirection w:val="btLr"/>
      <w:textAlignment w:val="top"/>
      <w:outlineLvl w:val="0"/>
    </w:pPr>
    <w:rPr>
      <w:position w:val="-1"/>
      <w:lang w:val="en-US"/>
    </w:rPr>
  </w:style>
  <w:style w:type="paragraph" w:styleId="ListParagraph">
    <w:name w:val="List Paragraph"/>
    <w:basedOn w:val="Normal"/>
    <w:pPr>
      <w:suppressAutoHyphens/>
      <w:ind w:leftChars="-1" w:left="708" w:hangingChars="1" w:hanging="1"/>
      <w:textDirection w:val="btLr"/>
      <w:textAlignment w:val="top"/>
      <w:outlineLvl w:val="0"/>
    </w:pPr>
    <w:rPr>
      <w:position w:val="-1"/>
      <w:sz w:val="24"/>
      <w:szCs w:val="24"/>
      <w:lang w:val="de-DE" w:eastAsia="de-DE"/>
    </w:rPr>
  </w:style>
  <w:style w:type="character" w:customStyle="1" w:styleId="HChGChar">
    <w:name w:val="_ H _Ch_G Char"/>
    <w:rPr>
      <w:b/>
      <w:w w:val="100"/>
      <w:position w:val="-1"/>
      <w:sz w:val="28"/>
      <w:effect w:val="none"/>
      <w:vertAlign w:val="baseline"/>
      <w:cs w:val="0"/>
      <w:em w:val="none"/>
      <w:lang w:val="en-GB" w:eastAsia="en-US" w:bidi="ar-SA"/>
    </w:rPr>
  </w:style>
  <w:style w:type="character" w:styleId="Emphasis">
    <w:name w:val="Emphasis"/>
    <w:rPr>
      <w:b/>
      <w:bCs/>
      <w:w w:val="100"/>
      <w:position w:val="-1"/>
      <w:effect w:val="none"/>
      <w:vertAlign w:val="baseline"/>
      <w:cs w:val="0"/>
      <w:em w:val="none"/>
    </w:rPr>
  </w:style>
  <w:style w:type="character" w:customStyle="1" w:styleId="st">
    <w:name w:val="st"/>
    <w:rPr>
      <w:w w:val="100"/>
      <w:position w:val="-1"/>
      <w:effect w:val="none"/>
      <w:vertAlign w:val="baseline"/>
      <w:cs w:val="0"/>
      <w:em w:val="none"/>
    </w:rPr>
  </w:style>
  <w:style w:type="character" w:customStyle="1" w:styleId="H1GChar">
    <w:name w:val="_ H_1_G Char"/>
    <w:rPr>
      <w:b/>
      <w:w w:val="100"/>
      <w:position w:val="-1"/>
      <w:sz w:val="24"/>
      <w:effect w:val="none"/>
      <w:vertAlign w:val="baseline"/>
      <w:cs w:val="0"/>
      <w:em w:val="none"/>
      <w:lang w:val="en-GB" w:eastAsia="en-US" w:bidi="ar-SA"/>
    </w:rPr>
  </w:style>
  <w:style w:type="paragraph" w:styleId="BalloonText">
    <w:name w:val="Balloon Text"/>
    <w:basedOn w:val="Normal"/>
    <w:pPr>
      <w:spacing w:line="240" w:lineRule="atLeast"/>
      <w:ind w:leftChars="-1" w:left="-1" w:hangingChars="1" w:hanging="1"/>
      <w:textDirection w:val="btLr"/>
      <w:textAlignment w:val="top"/>
      <w:outlineLvl w:val="0"/>
    </w:pPr>
    <w:rPr>
      <w:rFonts w:ascii="Tahoma" w:hAnsi="Tahoma"/>
      <w:position w:val="-1"/>
      <w:sz w:val="16"/>
      <w:szCs w:val="16"/>
      <w:lang w:eastAsia="en-US"/>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pPr>
      <w:spacing w:line="240" w:lineRule="atLeast"/>
      <w:ind w:leftChars="-1" w:left="-1" w:hangingChars="1" w:hanging="1"/>
      <w:textDirection w:val="btLr"/>
      <w:textAlignment w:val="top"/>
      <w:outlineLvl w:val="0"/>
    </w:pPr>
    <w:rPr>
      <w:position w:val="-1"/>
      <w:lang w:eastAsia="en-US"/>
    </w:rPr>
  </w:style>
  <w:style w:type="character" w:customStyle="1" w:styleId="CommentTextChar">
    <w:name w:val="Comment Text Char"/>
    <w:rPr>
      <w:w w:val="100"/>
      <w:position w:val="-1"/>
      <w:effect w:val="none"/>
      <w:vertAlign w:val="baseline"/>
      <w:cs w:val="0"/>
      <w:em w:val="none"/>
      <w:lang w:eastAsia="en-US"/>
    </w:rPr>
  </w:style>
  <w:style w:type="paragraph" w:styleId="CommentSubject">
    <w:name w:val="annotation subject"/>
    <w:basedOn w:val="CommentText"/>
    <w:next w:val="CommentText"/>
    <w:rPr>
      <w:b/>
      <w:bCs/>
    </w:rPr>
  </w:style>
  <w:style w:type="character" w:customStyle="1" w:styleId="CommentSubjectChar">
    <w:name w:val="Comment Subject Char"/>
    <w:rPr>
      <w:b/>
      <w:bCs/>
      <w:w w:val="100"/>
      <w:position w:val="-1"/>
      <w:effect w:val="none"/>
      <w:vertAlign w:val="baseline"/>
      <w:cs w:val="0"/>
      <w:em w:val="none"/>
      <w:lang w:eastAsia="en-US"/>
    </w:rPr>
  </w:style>
  <w:style w:type="character" w:customStyle="1" w:styleId="HeaderChar">
    <w:name w:val="Header Char"/>
    <w:aliases w:val="6_G Char"/>
    <w:rPr>
      <w:b/>
      <w:w w:val="100"/>
      <w:position w:val="-1"/>
      <w:sz w:val="18"/>
      <w:effect w:val="none"/>
      <w:vertAlign w:val="baseline"/>
      <w:cs w:val="0"/>
      <w:em w:val="none"/>
      <w:lang w:eastAsia="en-US"/>
    </w:rPr>
  </w:style>
  <w:style w:type="character" w:customStyle="1" w:styleId="FooterChar">
    <w:name w:val="Footer Char"/>
    <w:aliases w:val="3_G Char"/>
    <w:rPr>
      <w:w w:val="100"/>
      <w:position w:val="-1"/>
      <w:sz w:val="16"/>
      <w:effect w:val="none"/>
      <w:vertAlign w:val="baseline"/>
      <w:cs w:val="0"/>
      <w:em w:val="none"/>
      <w:lang w:eastAsia="en-US"/>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en-US"/>
    </w:rPr>
  </w:style>
  <w:style w:type="paragraph" w:styleId="DocumentMap">
    <w:name w:val="Document Map"/>
    <w:basedOn w:val="Normal"/>
    <w:pPr>
      <w:suppressAutoHyphens/>
      <w:ind w:leftChars="-1" w:left="-1" w:hangingChars="1" w:hanging="1"/>
      <w:textDirection w:val="btLr"/>
      <w:textAlignment w:val="top"/>
      <w:outlineLvl w:val="0"/>
    </w:pPr>
    <w:rPr>
      <w:rFonts w:ascii="Tahoma" w:eastAsia="Calibri" w:hAnsi="Tahoma"/>
      <w:position w:val="-1"/>
      <w:sz w:val="16"/>
      <w:szCs w:val="16"/>
      <w:lang w:val="en-US"/>
    </w:rPr>
  </w:style>
  <w:style w:type="character" w:customStyle="1" w:styleId="DocumentMapChar">
    <w:name w:val="Document Map Char"/>
    <w:rPr>
      <w:rFonts w:ascii="Tahoma" w:eastAsia="Calibri" w:hAnsi="Tahoma"/>
      <w:w w:val="100"/>
      <w:position w:val="-1"/>
      <w:sz w:val="16"/>
      <w:szCs w:val="16"/>
      <w:effect w:val="none"/>
      <w:vertAlign w:val="baseline"/>
      <w:cs w:val="0"/>
      <w:em w:val="none"/>
      <w:lang w:val="en-US" w:eastAsia="zh-CN"/>
    </w:rPr>
  </w:style>
  <w:style w:type="character" w:customStyle="1" w:styleId="highlight1">
    <w:name w:val="highlight1"/>
    <w:rPr>
      <w:w w:val="100"/>
      <w:position w:val="-1"/>
      <w:effect w:val="none"/>
      <w:shd w:val="clear" w:color="auto" w:fill="FFCC33"/>
      <w:vertAlign w:val="baseline"/>
      <w:cs w:val="0"/>
      <w:em w:val="none"/>
    </w:rPr>
  </w:style>
  <w:style w:type="paragraph" w:styleId="NormalWeb">
    <w:name w:val="Normal (Web)"/>
    <w:basedOn w:val="Normal"/>
    <w:qFormat/>
    <w:pPr>
      <w:suppressAutoHyphens/>
      <w:spacing w:before="100" w:beforeAutospacing="1" w:after="100" w:afterAutospacing="1"/>
      <w:ind w:leftChars="-1" w:left="-1" w:hangingChars="1" w:hanging="1"/>
      <w:textDirection w:val="btLr"/>
      <w:textAlignment w:val="top"/>
      <w:outlineLvl w:val="0"/>
    </w:pPr>
    <w:rPr>
      <w:position w:val="-1"/>
      <w:sz w:val="24"/>
      <w:szCs w:val="24"/>
      <w:lang w:eastAsia="en-GB"/>
    </w:rPr>
  </w:style>
  <w:style w:type="character" w:customStyle="1" w:styleId="hps">
    <w:name w:val="hps"/>
    <w:rPr>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numbering" w:customStyle="1" w:styleId="NoList1">
    <w:name w:val="No List1"/>
    <w:next w:val="NoList"/>
    <w:qFormat/>
  </w:style>
  <w:style w:type="paragraph" w:customStyle="1" w:styleId="ListParagraph1">
    <w:name w:val="List Paragraph1"/>
    <w:basedOn w:val="Normal"/>
    <w:pPr>
      <w:suppressAutoHyphens/>
      <w:ind w:leftChars="-1" w:left="720" w:hangingChars="1" w:hanging="1"/>
      <w:textDirection w:val="btLr"/>
      <w:textAlignment w:val="top"/>
      <w:outlineLvl w:val="0"/>
    </w:pPr>
    <w:rPr>
      <w:position w:val="-1"/>
      <w:sz w:val="24"/>
      <w:szCs w:val="24"/>
      <w:lang w:val="en-US"/>
    </w:rPr>
  </w:style>
  <w:style w:type="character" w:customStyle="1" w:styleId="st1">
    <w:name w:val="st1"/>
    <w:rPr>
      <w:w w:val="100"/>
      <w:position w:val="-1"/>
      <w:effect w:val="none"/>
      <w:vertAlign w:val="baseline"/>
      <w:cs w:val="0"/>
      <w:em w:val="none"/>
    </w:rPr>
  </w:style>
  <w:style w:type="character" w:customStyle="1" w:styleId="apple-style-span">
    <w:name w:val="apple-style-span"/>
    <w:rPr>
      <w:w w:val="100"/>
      <w:position w:val="-1"/>
      <w:effect w:val="none"/>
      <w:vertAlign w:val="baseline"/>
      <w:cs w:val="0"/>
      <w:em w:val="none"/>
    </w:rPr>
  </w:style>
  <w:style w:type="character" w:styleId="HTMLTypewriter">
    <w:name w:val="HTML Typewriter"/>
    <w:qFormat/>
    <w:rPr>
      <w:rFonts w:ascii="Courier New" w:eastAsia="Times New Roman" w:hAnsi="Courier New" w:cs="Courier New"/>
      <w:w w:val="100"/>
      <w:position w:val="-1"/>
      <w:sz w:val="20"/>
      <w:szCs w:val="20"/>
      <w:effect w:val="none"/>
      <w:vertAlign w:val="baseline"/>
      <w:cs w:val="0"/>
      <w:em w:val="none"/>
    </w:rPr>
  </w:style>
  <w:style w:type="character" w:customStyle="1" w:styleId="H23GChar">
    <w:name w:val="_ H_2/3_G Char"/>
    <w:rPr>
      <w:b/>
      <w:w w:val="100"/>
      <w:position w:val="-1"/>
      <w:effect w:val="none"/>
      <w:vertAlign w:val="baseline"/>
      <w:cs w:val="0"/>
      <w:em w:val="none"/>
      <w:lang w:eastAsia="en-US"/>
    </w:rPr>
  </w:style>
  <w:style w:type="character" w:customStyle="1" w:styleId="style41">
    <w:name w:val="style41"/>
    <w:rPr>
      <w:rFonts w:ascii="Georgia" w:hAnsi="Georgia" w:hint="default"/>
      <w:b/>
      <w:bCs/>
      <w:w w:val="100"/>
      <w:position w:val="-1"/>
      <w:sz w:val="27"/>
      <w:szCs w:val="27"/>
      <w:effect w:val="none"/>
      <w:vertAlign w:val="baseline"/>
      <w:cs w:val="0"/>
      <w:em w:val="none"/>
    </w:rPr>
  </w:style>
  <w:style w:type="character" w:customStyle="1" w:styleId="longtext">
    <w:name w:val="long_text"/>
    <w:rPr>
      <w:w w:val="100"/>
      <w:position w:val="-1"/>
      <w:effect w:val="none"/>
      <w:vertAlign w:val="baseline"/>
      <w:cs w:val="0"/>
      <w:em w:val="none"/>
    </w:rPr>
  </w:style>
  <w:style w:type="paragraph" w:styleId="PlainText">
    <w:name w:val="Plain Text"/>
    <w:basedOn w:val="Normal"/>
    <w:qFormat/>
    <w:pPr>
      <w:suppressAutoHyphens/>
      <w:ind w:leftChars="-1" w:left="-1" w:hangingChars="1" w:hanging="1"/>
      <w:textDirection w:val="btLr"/>
      <w:textAlignment w:val="top"/>
      <w:outlineLvl w:val="0"/>
    </w:pPr>
    <w:rPr>
      <w:rFonts w:ascii="Consolas" w:eastAsia="Calibri" w:hAnsi="Consolas"/>
      <w:position w:val="-1"/>
      <w:sz w:val="21"/>
      <w:szCs w:val="21"/>
      <w:lang w:eastAsia="en-US"/>
    </w:rPr>
  </w:style>
  <w:style w:type="character" w:customStyle="1" w:styleId="PlainTextChar">
    <w:name w:val="Plain Text Char"/>
    <w:rPr>
      <w:rFonts w:ascii="Consolas" w:eastAsia="Calibri" w:hAnsi="Consolas"/>
      <w:w w:val="100"/>
      <w:position w:val="-1"/>
      <w:sz w:val="21"/>
      <w:szCs w:val="21"/>
      <w:effect w:val="none"/>
      <w:vertAlign w:val="baseline"/>
      <w:cs w:val="0"/>
      <w:em w:val="none"/>
      <w:lang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Chars="-1" w:left="1267" w:right="1267" w:hangingChars="1" w:hanging="1"/>
      <w:jc w:val="both"/>
      <w:textDirection w:val="btLr"/>
      <w:textAlignment w:val="top"/>
      <w:outlineLvl w:val="0"/>
    </w:pPr>
    <w:rPr>
      <w:spacing w:val="4"/>
      <w:w w:val="103"/>
      <w:kern w:val="14"/>
      <w:position w:val="-1"/>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0">
    <w:name w:val="header"/>
    <w:basedOn w:val="Normal"/>
    <w:link w:val="HeaderChar1"/>
    <w:uiPriority w:val="99"/>
    <w:semiHidden/>
    <w:unhideWhenUsed/>
    <w:rsid w:val="002C3BB5"/>
    <w:pPr>
      <w:tabs>
        <w:tab w:val="center" w:pos="4513"/>
        <w:tab w:val="right" w:pos="9026"/>
      </w:tabs>
    </w:pPr>
  </w:style>
  <w:style w:type="character" w:customStyle="1" w:styleId="HeaderChar1">
    <w:name w:val="Header Char1"/>
    <w:basedOn w:val="DefaultParagraphFont"/>
    <w:link w:val="Header0"/>
    <w:uiPriority w:val="99"/>
    <w:semiHidden/>
    <w:rsid w:val="002C3BB5"/>
  </w:style>
  <w:style w:type="paragraph" w:styleId="Footer0">
    <w:name w:val="footer"/>
    <w:basedOn w:val="Normal"/>
    <w:link w:val="FooterChar1"/>
    <w:uiPriority w:val="99"/>
    <w:semiHidden/>
    <w:unhideWhenUsed/>
    <w:rsid w:val="002C3BB5"/>
    <w:pPr>
      <w:tabs>
        <w:tab w:val="center" w:pos="4513"/>
        <w:tab w:val="right" w:pos="9026"/>
      </w:tabs>
    </w:pPr>
  </w:style>
  <w:style w:type="character" w:customStyle="1" w:styleId="FooterChar1">
    <w:name w:val="Footer Char1"/>
    <w:basedOn w:val="DefaultParagraphFont"/>
    <w:link w:val="Footer0"/>
    <w:uiPriority w:val="99"/>
    <w:semiHidden/>
    <w:rsid w:val="002C3B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oceanjusticeinitiative.org/publications/?download=true&amp;file-param=2022/08/Buku%20Laporan%20Potret%20Kerawanan%20Pelaut%20Perikanan.pdf" TargetMode="External"/><Relationship Id="rId2" Type="http://schemas.openxmlformats.org/officeDocument/2006/relationships/hyperlink" Target="https://oceanjusticeinitiative.org/publications/?download=true&amp;file-param=2023/12/Urgency+of+Issuance+of+Ministerial+of+Manpower+Regulation+Regarding+Migrant+AKP+Protection.pdf" TargetMode="External"/><Relationship Id="rId1" Type="http://schemas.openxmlformats.org/officeDocument/2006/relationships/hyperlink" Target="https://www.hukumonline.com/berita/a/beragam-hambatan-dalam-pelindungan-akp-migran-lt64e8756bc319e/?pag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fd68e2237778f10b8a7b2f87736602b1">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b4011683b41f15f0e2449d767713a6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GIHMQ5yfFoW4e+LM7ZosZwmpBQ==">CgMxLjAyDmguZGY5YjJpdHpjdnRzMg5oLnA4NHpzYTljeXUweDIOaC5vaHdhbDhwajl0YXcyDmguYmt5ZG5jdGp2dzIyMg5oLm80OWJ6czR0eXA5cDgAajEKFHN1Z2dlc3Qud2hzcXBtZGRuaHd0EhlJbmRvbmVzaWEncyBOR08gQ29hbGl0aW9uajEKFHN1Z2dlc3QuZ3djbnF1dTI2MXUyEhlJbmRvbmVzaWEncyBOR08gQ29hbGl0aW9uciExSmpudkx4T1NNT05EdUpWWWdoUUVPMjN4S1ZrX1haZU0=</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2025-11-04T12:10:21+00:00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41491E-9D50-4DA2-909E-7EFA9D86C3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3.xml><?xml version="1.0" encoding="utf-8"?>
<ds:datastoreItem xmlns:ds="http://schemas.openxmlformats.org/officeDocument/2006/customXml" ds:itemID="{387A9124-A409-4765-B6A5-1891447C01E9}">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4.xml><?xml version="1.0" encoding="utf-8"?>
<ds:datastoreItem xmlns:ds="http://schemas.openxmlformats.org/officeDocument/2006/customXml" ds:itemID="{ED1B2CEB-3B21-4243-82A1-B3EAFF05BDD1}">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4299</Words>
  <Characters>24510</Characters>
  <Application>Microsoft Office Word</Application>
  <DocSecurity>8</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default</dc:creator>
  <cp:lastModifiedBy>Isabelle Fleche</cp:lastModifiedBy>
  <cp:revision>3</cp:revision>
  <dcterms:created xsi:type="dcterms:W3CDTF">2018-05-09T08:12:00Z</dcterms:created>
  <dcterms:modified xsi:type="dcterms:W3CDTF">2025-11-10T10:25:00Z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1680707639</vt:i4>
  </property>
  <property fmtid="{D5CDD505-2E9C-101B-9397-08002B2CF9AE}" pid="3" name="PublishingExpirationDate">
    <vt:lpwstr/>
  </property>
  <property fmtid="{D5CDD505-2E9C-101B-9397-08002B2CF9AE}" pid="4" name="PublishingStartDate">
    <vt:lpwstr/>
  </property>
  <property fmtid="{D5CDD505-2E9C-101B-9397-08002B2CF9AE}" pid="5" name="ContentTypeId">
    <vt:lpwstr>0x010100FB4CCA895A17B843B34B7F2324FFA44A</vt:lpwstr>
  </property>
</Properties>
</file>