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40AB00" w14:textId="77777777" w:rsidR="00E62621" w:rsidRPr="00563011" w:rsidRDefault="00E62621" w:rsidP="00DA2E7C">
      <w:pPr>
        <w:ind w:left="-284"/>
        <w:rPr>
          <w:rFonts w:asciiTheme="majorHAnsi" w:hAnsiTheme="majorHAnsi" w:cstheme="majorHAnsi"/>
        </w:rPr>
      </w:pPr>
      <w:bookmarkStart w:id="0" w:name="_GoBack"/>
      <w:bookmarkEnd w:id="0"/>
    </w:p>
    <w:p w14:paraId="69AF3AA5" w14:textId="77777777"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p>
    <w:p w14:paraId="2D009930" w14:textId="77777777"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p>
    <w:p w14:paraId="05F35EBA" w14:textId="0B01920C"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ALTERNATIVE REPORT ON IRELAND (SRP)</w:t>
      </w:r>
    </w:p>
    <w:p w14:paraId="6485B5AC" w14:textId="77777777"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 xml:space="preserve">ADDITIONAL LIST OF ISSUES PRIOR TO REPORTING FOR THE 93rd PRE-SESSION </w:t>
      </w:r>
    </w:p>
    <w:p w14:paraId="789778D9" w14:textId="77777777"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p>
    <w:p w14:paraId="66041637" w14:textId="77777777" w:rsidR="00563011" w:rsidRPr="00563011" w:rsidRDefault="00563011" w:rsidP="00563011">
      <w:pPr>
        <w:spacing w:after="120" w:line="480" w:lineRule="auto"/>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PREPARED BY THE (UK) NATIONAL SECULAR SOCIETY</w:t>
      </w:r>
    </w:p>
    <w:p w14:paraId="45D51FB6"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which has special consultative status with the Economic and Social Council</w:t>
      </w:r>
    </w:p>
    <w:p w14:paraId="1C2E59E4"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393B5253"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33D21378"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AUGUST 2022</w:t>
      </w:r>
    </w:p>
    <w:p w14:paraId="1D41A9DA" w14:textId="77777777" w:rsidR="00563011" w:rsidRPr="00563011" w:rsidRDefault="00563011" w:rsidP="00563011">
      <w:pPr>
        <w:spacing w:after="120"/>
        <w:jc w:val="center"/>
        <w:rPr>
          <w:rFonts w:asciiTheme="majorHAnsi" w:eastAsia="Times New Roman" w:hAnsiTheme="majorHAnsi" w:cstheme="majorHAnsi"/>
          <w:color w:val="000000"/>
          <w:lang w:eastAsia="en-GB"/>
        </w:rPr>
      </w:pPr>
    </w:p>
    <w:p w14:paraId="7B1DE011" w14:textId="77777777" w:rsidR="00563011" w:rsidRPr="00563011" w:rsidRDefault="00563011" w:rsidP="00563011">
      <w:pPr>
        <w:spacing w:after="120"/>
        <w:jc w:val="center"/>
        <w:rPr>
          <w:rFonts w:asciiTheme="majorHAnsi" w:eastAsia="Times New Roman" w:hAnsiTheme="majorHAnsi" w:cstheme="majorHAnsi"/>
          <w:color w:val="000000"/>
          <w:lang w:eastAsia="en-GB"/>
        </w:rPr>
      </w:pPr>
    </w:p>
    <w:p w14:paraId="2E64BA1A" w14:textId="787FC246" w:rsidR="00563011" w:rsidRDefault="00563011" w:rsidP="00563011">
      <w:pPr>
        <w:spacing w:after="120"/>
        <w:jc w:val="center"/>
        <w:rPr>
          <w:rFonts w:asciiTheme="majorHAnsi" w:eastAsia="Times New Roman" w:hAnsiTheme="majorHAnsi" w:cstheme="majorHAnsi"/>
          <w:color w:val="000000"/>
          <w:lang w:eastAsia="en-GB"/>
        </w:rPr>
      </w:pPr>
      <w:r w:rsidRPr="00563011">
        <w:rPr>
          <w:rFonts w:asciiTheme="majorHAnsi" w:eastAsia="Times New Roman" w:hAnsiTheme="majorHAnsi" w:cstheme="majorHAnsi"/>
          <w:color w:val="000000"/>
          <w:lang w:eastAsia="en-GB"/>
        </w:rPr>
        <w:t xml:space="preserve">There is no table of contents as all material relates </w:t>
      </w:r>
    </w:p>
    <w:p w14:paraId="37620AAE" w14:textId="186F1A16" w:rsidR="00563011" w:rsidRPr="00563011" w:rsidRDefault="00563011" w:rsidP="00563011">
      <w:pPr>
        <w:spacing w:after="120"/>
        <w:jc w:val="center"/>
        <w:rPr>
          <w:rFonts w:asciiTheme="majorHAnsi" w:eastAsia="Times New Roman" w:hAnsiTheme="majorHAnsi" w:cstheme="majorHAnsi"/>
          <w:color w:val="000000"/>
          <w:lang w:eastAsia="en-GB"/>
        </w:rPr>
      </w:pPr>
      <w:r w:rsidRPr="00563011">
        <w:rPr>
          <w:rFonts w:asciiTheme="majorHAnsi" w:eastAsia="Times New Roman" w:hAnsiTheme="majorHAnsi" w:cstheme="majorHAnsi"/>
          <w:color w:val="000000"/>
          <w:lang w:eastAsia="en-GB"/>
        </w:rPr>
        <w:t>To cluster 4.</w:t>
      </w:r>
      <w:r>
        <w:rPr>
          <w:rFonts w:asciiTheme="majorHAnsi" w:eastAsia="Times New Roman" w:hAnsiTheme="majorHAnsi" w:cstheme="majorHAnsi"/>
          <w:color w:val="000000"/>
          <w:lang w:eastAsia="en-GB"/>
        </w:rPr>
        <w:t xml:space="preserve"> </w:t>
      </w:r>
      <w:r w:rsidRPr="00563011">
        <w:rPr>
          <w:rFonts w:asciiTheme="majorHAnsi" w:eastAsia="Times New Roman" w:hAnsiTheme="majorHAnsi" w:cstheme="majorHAnsi"/>
          <w:b/>
          <w:color w:val="000000"/>
          <w:lang w:eastAsia="en-GB"/>
        </w:rPr>
        <w:t>Violence against children</w:t>
      </w:r>
    </w:p>
    <w:p w14:paraId="474084DC"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1135C8FC"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576C35F3" w14:textId="77777777" w:rsidR="00563011" w:rsidRPr="00563011" w:rsidRDefault="00563011" w:rsidP="00563011">
      <w:pPr>
        <w:spacing w:after="120"/>
        <w:rPr>
          <w:rFonts w:asciiTheme="majorHAnsi" w:eastAsia="Times New Roman" w:hAnsiTheme="majorHAnsi" w:cstheme="majorHAnsi"/>
          <w:b/>
          <w:color w:val="000000"/>
          <w:lang w:eastAsia="en-GB"/>
        </w:rPr>
      </w:pPr>
    </w:p>
    <w:p w14:paraId="6D5E9346"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6044E920"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p>
    <w:p w14:paraId="0CBF4AE6" w14:textId="77777777" w:rsidR="00563011" w:rsidRPr="00563011" w:rsidRDefault="00563011" w:rsidP="00563011">
      <w:pPr>
        <w:spacing w:after="120"/>
        <w:jc w:val="center"/>
        <w:rPr>
          <w:rFonts w:asciiTheme="majorHAnsi" w:eastAsia="Times New Roman" w:hAnsiTheme="majorHAnsi" w:cstheme="majorHAnsi"/>
          <w:b/>
          <w:color w:val="000000"/>
          <w:lang w:eastAsia="en-GB"/>
        </w:rPr>
      </w:pPr>
      <w:r w:rsidRPr="00563011">
        <w:rPr>
          <w:rFonts w:asciiTheme="majorHAnsi" w:eastAsia="Times New Roman" w:hAnsiTheme="majorHAnsi" w:cstheme="majorHAnsi"/>
          <w:b/>
          <w:color w:val="000000"/>
          <w:lang w:eastAsia="en-GB"/>
        </w:rPr>
        <w:t xml:space="preserve">Contact: </w:t>
      </w:r>
      <w:hyperlink r:id="rId11">
        <w:r w:rsidRPr="00563011">
          <w:rPr>
            <w:rFonts w:asciiTheme="majorHAnsi" w:eastAsia="Times New Roman" w:hAnsiTheme="majorHAnsi" w:cstheme="majorHAnsi"/>
            <w:b/>
            <w:color w:val="0000FF"/>
            <w:u w:val="single"/>
            <w:lang w:eastAsia="en-GB"/>
          </w:rPr>
          <w:t>admin@secularism.org.uk</w:t>
        </w:r>
      </w:hyperlink>
      <w:r w:rsidRPr="00563011">
        <w:rPr>
          <w:rFonts w:asciiTheme="majorHAnsi" w:eastAsia="Times New Roman" w:hAnsiTheme="majorHAnsi" w:cstheme="majorHAnsi"/>
          <w:b/>
          <w:color w:val="000000"/>
          <w:lang w:eastAsia="en-GB"/>
        </w:rPr>
        <w:t xml:space="preserve"> </w:t>
      </w:r>
    </w:p>
    <w:p w14:paraId="4EB064D7" w14:textId="79DB0A9F" w:rsidR="00563011" w:rsidRPr="00563011" w:rsidRDefault="00563011" w:rsidP="00563011">
      <w:pPr>
        <w:spacing w:after="120"/>
        <w:jc w:val="center"/>
        <w:rPr>
          <w:rFonts w:asciiTheme="majorHAnsi" w:eastAsia="Times New Roman" w:hAnsiTheme="majorHAnsi" w:cstheme="majorHAnsi"/>
          <w:color w:val="000000"/>
          <w:lang w:eastAsia="en-GB"/>
        </w:rPr>
      </w:pPr>
      <w:r w:rsidRPr="00563011">
        <w:rPr>
          <w:rFonts w:asciiTheme="majorHAnsi" w:eastAsia="Times New Roman" w:hAnsiTheme="majorHAnsi" w:cstheme="majorHAnsi"/>
          <w:b/>
          <w:color w:val="000000"/>
          <w:lang w:eastAsia="en-GB"/>
        </w:rPr>
        <w:t>Tel: +44 20 7404 3126.</w:t>
      </w:r>
    </w:p>
    <w:p w14:paraId="60195B61" w14:textId="77777777" w:rsidR="00563011" w:rsidRPr="00563011" w:rsidRDefault="00563011" w:rsidP="00563011">
      <w:pPr>
        <w:rPr>
          <w:rFonts w:asciiTheme="majorHAnsi" w:hAnsiTheme="majorHAnsi" w:cstheme="majorHAnsi"/>
        </w:rPr>
      </w:pPr>
    </w:p>
    <w:p w14:paraId="47D378D2" w14:textId="77777777" w:rsidR="00563011" w:rsidRPr="00563011" w:rsidRDefault="00563011" w:rsidP="00563011">
      <w:pPr>
        <w:rPr>
          <w:rFonts w:asciiTheme="majorHAnsi" w:hAnsiTheme="majorHAnsi" w:cstheme="majorHAnsi"/>
        </w:rPr>
      </w:pPr>
    </w:p>
    <w:p w14:paraId="16CEEF4D" w14:textId="77777777" w:rsidR="00563011" w:rsidRPr="00563011" w:rsidRDefault="00563011" w:rsidP="00563011">
      <w:pPr>
        <w:rPr>
          <w:rFonts w:asciiTheme="majorHAnsi" w:hAnsiTheme="majorHAnsi" w:cstheme="majorHAnsi"/>
        </w:rPr>
      </w:pPr>
      <w:r w:rsidRPr="00563011">
        <w:rPr>
          <w:rFonts w:asciiTheme="majorHAnsi" w:hAnsiTheme="majorHAnsi" w:cstheme="majorHAnsi"/>
        </w:rPr>
        <w:br w:type="column"/>
      </w:r>
    </w:p>
    <w:p w14:paraId="1BBF1CBD" w14:textId="77777777" w:rsidR="00563011" w:rsidRPr="00563011" w:rsidRDefault="00563011" w:rsidP="00563011">
      <w:pPr>
        <w:rPr>
          <w:rFonts w:asciiTheme="majorHAnsi" w:hAnsiTheme="majorHAnsi" w:cstheme="majorHAnsi"/>
          <w:b/>
          <w:bCs/>
          <w:u w:val="single"/>
        </w:rPr>
      </w:pPr>
      <w:r w:rsidRPr="00563011">
        <w:rPr>
          <w:rFonts w:asciiTheme="majorHAnsi" w:hAnsiTheme="majorHAnsi" w:cstheme="majorHAnsi"/>
          <w:u w:val="single"/>
        </w:rPr>
        <w:t>Introduction</w:t>
      </w:r>
    </w:p>
    <w:p w14:paraId="0DBE483E" w14:textId="77777777" w:rsidR="00563011" w:rsidRPr="00563011" w:rsidRDefault="00563011" w:rsidP="00563011">
      <w:pPr>
        <w:rPr>
          <w:rFonts w:asciiTheme="majorHAnsi" w:hAnsiTheme="majorHAnsi" w:cstheme="majorHAnsi"/>
        </w:rPr>
      </w:pPr>
      <w:r w:rsidRPr="00563011">
        <w:rPr>
          <w:rFonts w:asciiTheme="majorHAnsi" w:hAnsiTheme="majorHAnsi" w:cstheme="majorHAnsi"/>
        </w:rPr>
        <w:t>This information supplements our alternative report submitted in July 2020. In para 20 we referred to the imminent publication of the Mother and Baby Homes report. It has now been published.</w:t>
      </w:r>
      <w:r w:rsidRPr="00563011">
        <w:rPr>
          <w:rStyle w:val="FootnoteAnchor"/>
          <w:rFonts w:asciiTheme="majorHAnsi" w:hAnsiTheme="majorHAnsi" w:cstheme="majorHAnsi"/>
        </w:rPr>
        <w:footnoteReference w:id="1"/>
      </w:r>
    </w:p>
    <w:p w14:paraId="57E6343C" w14:textId="77777777" w:rsidR="00563011" w:rsidRPr="00563011" w:rsidRDefault="00563011" w:rsidP="00563011">
      <w:pPr>
        <w:rPr>
          <w:rFonts w:asciiTheme="majorHAnsi" w:hAnsiTheme="majorHAnsi" w:cstheme="majorHAnsi"/>
        </w:rPr>
      </w:pPr>
    </w:p>
    <w:p w14:paraId="6CAE6952" w14:textId="77777777" w:rsidR="00563011" w:rsidRDefault="00563011" w:rsidP="00563011">
      <w:pPr>
        <w:rPr>
          <w:rFonts w:asciiTheme="majorHAnsi" w:hAnsiTheme="majorHAnsi" w:cstheme="majorHAnsi"/>
        </w:rPr>
      </w:pPr>
      <w:r w:rsidRPr="00563011">
        <w:rPr>
          <w:rFonts w:asciiTheme="majorHAnsi" w:hAnsiTheme="majorHAnsi" w:cstheme="majorHAnsi"/>
        </w:rPr>
        <w:t xml:space="preserve">On infant mortality it states: “A total of about 9,000 children died [between 1922 and 1998] in the institutions under investigation - about 15% of all the children who were in the institutions. In the years before 1960 mother and baby homes did not save the lives of ‘illegitimate’ children; in fact, they appear to have significantly reduced their prospects of survival. The very high mortality rates were known to local and national authorities at the time and were recorded in official publications.” </w:t>
      </w:r>
    </w:p>
    <w:p w14:paraId="356EC71A" w14:textId="79487B48" w:rsidR="00563011" w:rsidRPr="00563011" w:rsidRDefault="00563011" w:rsidP="00563011">
      <w:pPr>
        <w:rPr>
          <w:rFonts w:asciiTheme="majorHAnsi" w:hAnsiTheme="majorHAnsi" w:cstheme="majorHAnsi"/>
        </w:rPr>
      </w:pPr>
      <w:r w:rsidRPr="00563011">
        <w:rPr>
          <w:rFonts w:asciiTheme="majorHAnsi" w:hAnsiTheme="majorHAnsi" w:cstheme="majorHAnsi"/>
        </w:rPr>
        <w:br/>
        <w:t xml:space="preserve">“No publicity was given to the fact that in some years during the 1930s and 1940s, over 40% of ‘illegitimate’ children were dying before their first birthday in mother and baby homes.” </w:t>
      </w:r>
    </w:p>
    <w:p w14:paraId="75D8FA19" w14:textId="77777777" w:rsidR="00563011" w:rsidRPr="00563011" w:rsidRDefault="00563011" w:rsidP="00563011">
      <w:pPr>
        <w:rPr>
          <w:rFonts w:asciiTheme="majorHAnsi" w:hAnsiTheme="majorHAnsi" w:cstheme="majorHAnsi"/>
        </w:rPr>
      </w:pPr>
    </w:p>
    <w:p w14:paraId="1FFF8021" w14:textId="77777777" w:rsidR="00563011" w:rsidRPr="00563011" w:rsidRDefault="00563011" w:rsidP="00563011">
      <w:pPr>
        <w:rPr>
          <w:rFonts w:asciiTheme="majorHAnsi" w:hAnsiTheme="majorHAnsi" w:cstheme="majorHAnsi"/>
          <w:u w:val="single"/>
        </w:rPr>
      </w:pPr>
      <w:r w:rsidRPr="00563011">
        <w:rPr>
          <w:rFonts w:asciiTheme="majorHAnsi" w:hAnsiTheme="majorHAnsi" w:cstheme="majorHAnsi"/>
          <w:u w:val="single"/>
        </w:rPr>
        <w:t>Reaction to the report</w:t>
      </w:r>
      <w:r w:rsidRPr="00563011">
        <w:rPr>
          <w:rStyle w:val="FootnoteAnchor"/>
          <w:rFonts w:asciiTheme="majorHAnsi" w:hAnsiTheme="majorHAnsi" w:cstheme="majorHAnsi"/>
          <w:u w:val="single"/>
        </w:rPr>
        <w:footnoteReference w:id="2"/>
      </w:r>
      <w:r w:rsidRPr="00563011">
        <w:rPr>
          <w:rFonts w:asciiTheme="majorHAnsi" w:hAnsiTheme="majorHAnsi" w:cstheme="majorHAnsi"/>
          <w:u w:val="single"/>
        </w:rPr>
        <w:t xml:space="preserve"> </w:t>
      </w:r>
    </w:p>
    <w:p w14:paraId="27E32CF5" w14:textId="7A0B6BD7" w:rsidR="00563011" w:rsidRDefault="00563011" w:rsidP="00563011">
      <w:pPr>
        <w:rPr>
          <w:rFonts w:asciiTheme="majorHAnsi" w:hAnsiTheme="majorHAnsi" w:cstheme="majorHAnsi"/>
        </w:rPr>
      </w:pPr>
      <w:r w:rsidRPr="00563011">
        <w:rPr>
          <w:rFonts w:asciiTheme="majorHAnsi" w:hAnsiTheme="majorHAnsi" w:cstheme="majorHAnsi"/>
        </w:rPr>
        <w:t>A survivors’ group, the Coalition of Mother and Baby Home Survivors, described the report as “truly shocking” and a “damning indictment” of both church and state. “We must not overlook the fact that the government and the Roman Catholic Church and Protestant churches ran the homes together hand in glove,” it said in a statement. “They jointly bear responsibility for the ill treatment and abuse and the gross breach of human rights that occurred in the homes.”</w:t>
      </w:r>
    </w:p>
    <w:p w14:paraId="23351D74" w14:textId="77777777" w:rsidR="00563011" w:rsidRPr="00563011" w:rsidRDefault="00563011" w:rsidP="00563011">
      <w:pPr>
        <w:rPr>
          <w:rFonts w:asciiTheme="majorHAnsi" w:hAnsiTheme="majorHAnsi" w:cstheme="majorHAnsi"/>
        </w:rPr>
      </w:pPr>
    </w:p>
    <w:p w14:paraId="51408AF8" w14:textId="75B9DEBC" w:rsidR="00563011" w:rsidRDefault="002113BD" w:rsidP="00563011">
      <w:pPr>
        <w:rPr>
          <w:rFonts w:asciiTheme="majorHAnsi" w:hAnsiTheme="majorHAnsi" w:cstheme="majorHAnsi"/>
        </w:rPr>
      </w:pPr>
      <w:r w:rsidRPr="00563011">
        <w:rPr>
          <w:rFonts w:asciiTheme="majorHAnsi" w:hAnsiTheme="majorHAnsi" w:cstheme="majorHAnsi"/>
        </w:rPr>
        <w:t>However,</w:t>
      </w:r>
      <w:r w:rsidR="00563011" w:rsidRPr="00563011">
        <w:rPr>
          <w:rFonts w:asciiTheme="majorHAnsi" w:hAnsiTheme="majorHAnsi" w:cstheme="majorHAnsi"/>
        </w:rPr>
        <w:t xml:space="preserve"> the coalition described the report as “fundamentally incomplete”, observing that it had ignored an official state policy to force the separation of single mothers and their babies.</w:t>
      </w:r>
    </w:p>
    <w:p w14:paraId="6E3AF7CE" w14:textId="77777777" w:rsidR="00563011" w:rsidRPr="00563011" w:rsidRDefault="00563011" w:rsidP="00563011">
      <w:pPr>
        <w:rPr>
          <w:rFonts w:asciiTheme="majorHAnsi" w:hAnsiTheme="majorHAnsi" w:cstheme="majorHAnsi"/>
        </w:rPr>
      </w:pPr>
    </w:p>
    <w:p w14:paraId="34202F60" w14:textId="674182A9" w:rsidR="00563011" w:rsidRDefault="00563011" w:rsidP="00563011">
      <w:pPr>
        <w:rPr>
          <w:rFonts w:asciiTheme="majorHAnsi" w:hAnsiTheme="majorHAnsi" w:cstheme="majorHAnsi"/>
        </w:rPr>
      </w:pPr>
      <w:r w:rsidRPr="00563011">
        <w:rPr>
          <w:rFonts w:asciiTheme="majorHAnsi" w:hAnsiTheme="majorHAnsi" w:cstheme="majorHAnsi"/>
        </w:rPr>
        <w:t>Another survivors’ group, Irish First Mothers, said the report was a “whitewash” which absolved the churches and state of “any systemic responsibility”.</w:t>
      </w:r>
      <w:r w:rsidRPr="00563011">
        <w:rPr>
          <w:rStyle w:val="FootnoteAnchor"/>
          <w:rFonts w:asciiTheme="majorHAnsi" w:hAnsiTheme="majorHAnsi" w:cstheme="majorHAnsi"/>
        </w:rPr>
        <w:footnoteReference w:id="3"/>
      </w:r>
    </w:p>
    <w:p w14:paraId="573E6BBA" w14:textId="77777777" w:rsidR="00563011" w:rsidRPr="00563011" w:rsidRDefault="00563011" w:rsidP="00563011">
      <w:pPr>
        <w:rPr>
          <w:rFonts w:asciiTheme="majorHAnsi" w:hAnsiTheme="majorHAnsi" w:cstheme="majorHAnsi"/>
        </w:rPr>
      </w:pPr>
    </w:p>
    <w:p w14:paraId="51C64333" w14:textId="77777777" w:rsidR="00563011" w:rsidRPr="00563011" w:rsidRDefault="00563011" w:rsidP="00563011">
      <w:pPr>
        <w:rPr>
          <w:rFonts w:asciiTheme="majorHAnsi" w:hAnsiTheme="majorHAnsi" w:cstheme="majorHAnsi"/>
          <w:u w:val="single"/>
        </w:rPr>
      </w:pPr>
      <w:r w:rsidRPr="00563011">
        <w:rPr>
          <w:rFonts w:asciiTheme="majorHAnsi" w:hAnsiTheme="majorHAnsi" w:cstheme="majorHAnsi"/>
          <w:u w:val="single"/>
        </w:rPr>
        <w:t>Compensation</w:t>
      </w:r>
    </w:p>
    <w:p w14:paraId="3E0CE6C0" w14:textId="77777777" w:rsidR="00563011" w:rsidRPr="00563011" w:rsidRDefault="00563011" w:rsidP="00563011">
      <w:pPr>
        <w:rPr>
          <w:rFonts w:asciiTheme="majorHAnsi" w:hAnsiTheme="majorHAnsi" w:cstheme="majorHAnsi"/>
        </w:rPr>
      </w:pPr>
      <w:r w:rsidRPr="00563011">
        <w:rPr>
          <w:rFonts w:asciiTheme="majorHAnsi" w:hAnsiTheme="majorHAnsi" w:cstheme="majorHAnsi"/>
        </w:rPr>
        <w:t>The State has established a redress scheme. The compensation levels appear to be much lower than a fair assessment of pain and suffering inflicted, and the precondition of receipt of a renunciation of further civil action is unreasonable. If the levels offered had been reasonable, the state would have no need to impose such a condition as no claimant would have any motivation to seek to test the adequacy of compensation in civil action.</w:t>
      </w:r>
    </w:p>
    <w:p w14:paraId="0FFD2AD2" w14:textId="77777777" w:rsidR="00563011" w:rsidRPr="00563011" w:rsidRDefault="00563011" w:rsidP="00563011">
      <w:pPr>
        <w:pStyle w:val="ListParagraph"/>
        <w:rPr>
          <w:rFonts w:asciiTheme="majorHAnsi" w:hAnsiTheme="majorHAnsi" w:cstheme="majorHAnsi"/>
        </w:rPr>
      </w:pPr>
    </w:p>
    <w:p w14:paraId="724FB86C" w14:textId="77777777" w:rsidR="00563011" w:rsidRDefault="00563011" w:rsidP="00563011">
      <w:pPr>
        <w:pStyle w:val="ListParagraph"/>
        <w:rPr>
          <w:rFonts w:asciiTheme="majorHAnsi" w:hAnsiTheme="majorHAnsi" w:cstheme="majorHAnsi"/>
        </w:rPr>
      </w:pPr>
    </w:p>
    <w:p w14:paraId="7E60704F" w14:textId="10B7B2B6" w:rsidR="00563011" w:rsidRPr="00563011" w:rsidRDefault="00563011" w:rsidP="00563011">
      <w:pPr>
        <w:pStyle w:val="ListParagraph"/>
        <w:rPr>
          <w:rFonts w:asciiTheme="majorHAnsi" w:hAnsiTheme="majorHAnsi" w:cstheme="majorHAnsi"/>
        </w:rPr>
      </w:pPr>
      <w:r w:rsidRPr="00563011">
        <w:rPr>
          <w:rFonts w:asciiTheme="majorHAnsi" w:hAnsiTheme="majorHAnsi" w:cstheme="majorHAnsi"/>
        </w:rPr>
        <w:lastRenderedPageBreak/>
        <w:t>We note with concern that</w:t>
      </w:r>
      <w:r w:rsidRPr="00563011">
        <w:rPr>
          <w:rStyle w:val="FootnoteAnchor"/>
          <w:rFonts w:asciiTheme="majorHAnsi" w:hAnsiTheme="majorHAnsi" w:cstheme="majorHAnsi"/>
        </w:rPr>
        <w:footnoteReference w:id="4"/>
      </w:r>
      <w:r w:rsidRPr="00563011">
        <w:rPr>
          <w:rFonts w:asciiTheme="majorHAnsi" w:hAnsiTheme="majorHAnsi" w:cstheme="majorHAnsi"/>
        </w:rPr>
        <w:t>:</w:t>
      </w:r>
    </w:p>
    <w:p w14:paraId="54C1857A" w14:textId="77777777" w:rsidR="00563011" w:rsidRPr="00563011" w:rsidRDefault="00563011" w:rsidP="00563011">
      <w:pPr>
        <w:pStyle w:val="ListParagraph"/>
        <w:numPr>
          <w:ilvl w:val="0"/>
          <w:numId w:val="13"/>
        </w:numPr>
        <w:suppressAutoHyphens/>
        <w:spacing w:after="160" w:line="259" w:lineRule="auto"/>
        <w:rPr>
          <w:rFonts w:asciiTheme="majorHAnsi" w:hAnsiTheme="majorHAnsi" w:cstheme="majorHAnsi"/>
        </w:rPr>
      </w:pPr>
      <w:r w:rsidRPr="00563011">
        <w:rPr>
          <w:rFonts w:asciiTheme="majorHAnsi" w:hAnsiTheme="majorHAnsi" w:cstheme="majorHAnsi"/>
        </w:rPr>
        <w:t>The maximum compensation for mothers who spent time in Mother and Baby Homes is Euros 65,000, and most settlements will be a fraction of that</w:t>
      </w:r>
    </w:p>
    <w:p w14:paraId="1F2A800D" w14:textId="77777777" w:rsidR="00563011" w:rsidRPr="00563011" w:rsidRDefault="00563011" w:rsidP="00563011">
      <w:pPr>
        <w:pStyle w:val="ListParagraph"/>
        <w:numPr>
          <w:ilvl w:val="0"/>
          <w:numId w:val="13"/>
        </w:numPr>
        <w:suppressAutoHyphens/>
        <w:spacing w:after="160" w:line="259" w:lineRule="auto"/>
        <w:rPr>
          <w:rFonts w:asciiTheme="majorHAnsi" w:hAnsiTheme="majorHAnsi" w:cstheme="majorHAnsi"/>
        </w:rPr>
      </w:pPr>
      <w:r w:rsidRPr="00563011">
        <w:rPr>
          <w:rFonts w:asciiTheme="majorHAnsi" w:hAnsiTheme="majorHAnsi" w:cstheme="majorHAnsi"/>
        </w:rPr>
        <w:t>There is no provision for additional compensation for aggravating factors such as being abused or injured</w:t>
      </w:r>
    </w:p>
    <w:p w14:paraId="3C7F2753" w14:textId="77777777" w:rsidR="00563011" w:rsidRPr="00563011" w:rsidRDefault="00563011" w:rsidP="00563011">
      <w:pPr>
        <w:pStyle w:val="ListParagraph"/>
        <w:numPr>
          <w:ilvl w:val="0"/>
          <w:numId w:val="13"/>
        </w:numPr>
        <w:suppressAutoHyphens/>
        <w:spacing w:after="160" w:line="259" w:lineRule="auto"/>
        <w:rPr>
          <w:rFonts w:asciiTheme="majorHAnsi" w:hAnsiTheme="majorHAnsi" w:cstheme="majorHAnsi"/>
        </w:rPr>
      </w:pPr>
      <w:r w:rsidRPr="00563011">
        <w:rPr>
          <w:rFonts w:asciiTheme="majorHAnsi" w:hAnsiTheme="majorHAnsi" w:cstheme="majorHAnsi"/>
        </w:rPr>
        <w:t xml:space="preserve">That anyone who accepts payment [has to] sign a legal </w:t>
      </w:r>
      <w:r w:rsidRPr="002113BD">
        <w:rPr>
          <w:rFonts w:asciiTheme="majorHAnsi" w:hAnsiTheme="majorHAnsi" w:cstheme="majorHAnsi"/>
          <w:color w:val="000000" w:themeColor="text1"/>
        </w:rPr>
        <w:t>waiver”</w:t>
      </w:r>
    </w:p>
    <w:p w14:paraId="75146242" w14:textId="77777777" w:rsidR="00563011" w:rsidRPr="00563011" w:rsidRDefault="00563011" w:rsidP="00563011">
      <w:pPr>
        <w:pStyle w:val="ListParagraph"/>
        <w:numPr>
          <w:ilvl w:val="0"/>
          <w:numId w:val="13"/>
        </w:numPr>
        <w:suppressAutoHyphens/>
        <w:spacing w:after="160" w:line="259" w:lineRule="auto"/>
        <w:rPr>
          <w:rFonts w:asciiTheme="majorHAnsi" w:hAnsiTheme="majorHAnsi" w:cstheme="majorHAnsi"/>
        </w:rPr>
      </w:pPr>
      <w:r w:rsidRPr="00563011">
        <w:rPr>
          <w:rFonts w:asciiTheme="majorHAnsi" w:hAnsiTheme="majorHAnsi" w:cstheme="majorHAnsi"/>
        </w:rPr>
        <w:t>“Children who were in the institutions for less than six months do not receive any compensation despite reports of long-term trauma related to the loss of identity and separation from their mothers.”</w:t>
      </w:r>
      <w:r w:rsidRPr="00563011">
        <w:rPr>
          <w:rStyle w:val="FootnoteAnchor"/>
          <w:rFonts w:asciiTheme="majorHAnsi" w:hAnsiTheme="majorHAnsi" w:cstheme="majorHAnsi"/>
        </w:rPr>
        <w:footnoteReference w:id="5"/>
      </w:r>
      <w:r w:rsidRPr="00563011">
        <w:rPr>
          <w:rFonts w:asciiTheme="majorHAnsi" w:hAnsiTheme="majorHAnsi" w:cstheme="majorHAnsi"/>
        </w:rPr>
        <w:t xml:space="preserve"> This restriction is being subjected to a legal challenge.</w:t>
      </w:r>
    </w:p>
    <w:p w14:paraId="2A0A6647" w14:textId="77777777" w:rsidR="00563011" w:rsidRPr="00563011" w:rsidRDefault="00563011" w:rsidP="00563011">
      <w:pPr>
        <w:rPr>
          <w:rFonts w:asciiTheme="majorHAnsi" w:hAnsiTheme="majorHAnsi" w:cstheme="majorHAnsi"/>
        </w:rPr>
      </w:pPr>
    </w:p>
    <w:p w14:paraId="6C0285A3" w14:textId="7762EBEF" w:rsidR="00563011" w:rsidRDefault="00563011" w:rsidP="00563011">
      <w:pPr>
        <w:rPr>
          <w:rFonts w:asciiTheme="majorHAnsi" w:hAnsiTheme="majorHAnsi" w:cstheme="majorHAnsi"/>
        </w:rPr>
      </w:pPr>
      <w:r w:rsidRPr="00563011">
        <w:rPr>
          <w:rFonts w:asciiTheme="majorHAnsi" w:hAnsiTheme="majorHAnsi" w:cstheme="majorHAnsi"/>
        </w:rPr>
        <w:t>We also note from the Mother and Baby Home Report:</w:t>
      </w:r>
    </w:p>
    <w:p w14:paraId="290234D3" w14:textId="77777777" w:rsidR="00563011" w:rsidRPr="00563011" w:rsidRDefault="00563011" w:rsidP="00563011">
      <w:pPr>
        <w:rPr>
          <w:rFonts w:asciiTheme="majorHAnsi" w:hAnsiTheme="majorHAnsi" w:cstheme="majorHAnsi"/>
        </w:rPr>
      </w:pPr>
    </w:p>
    <w:p w14:paraId="37CDA1DF" w14:textId="54B14603" w:rsidR="00563011" w:rsidRDefault="00563011" w:rsidP="00563011">
      <w:pPr>
        <w:rPr>
          <w:rFonts w:asciiTheme="majorHAnsi" w:hAnsiTheme="majorHAnsi" w:cstheme="majorHAnsi"/>
          <w:i/>
          <w:iCs/>
        </w:rPr>
      </w:pPr>
      <w:r w:rsidRPr="00563011">
        <w:rPr>
          <w:rFonts w:asciiTheme="majorHAnsi" w:hAnsiTheme="majorHAnsi" w:cstheme="majorHAnsi"/>
          <w:i/>
          <w:iCs/>
        </w:rPr>
        <w:t>36.28 As recently as February 2020 the United Nations decided to investigate a complaint from an individual complainant regarding her treatment in Magdalen laundries despite the fact that she had accepted compensation from the Irish State. The State has a right of reply to this complaint. Its initial view that the convention did not apply at the time she was in the laundries between 1964 and 1968 did not prevail and the State must now embark on a full defence.</w:t>
      </w:r>
    </w:p>
    <w:p w14:paraId="2FD7C63F" w14:textId="77777777" w:rsidR="00563011" w:rsidRPr="00563011" w:rsidRDefault="00563011" w:rsidP="00563011">
      <w:pPr>
        <w:rPr>
          <w:rFonts w:asciiTheme="majorHAnsi" w:hAnsiTheme="majorHAnsi" w:cstheme="majorHAnsi"/>
          <w:i/>
          <w:iCs/>
        </w:rPr>
      </w:pPr>
    </w:p>
    <w:p w14:paraId="66C7B1F7" w14:textId="03DD1A9C" w:rsidR="00563011" w:rsidRDefault="00563011" w:rsidP="00563011">
      <w:pPr>
        <w:rPr>
          <w:rFonts w:asciiTheme="majorHAnsi" w:hAnsiTheme="majorHAnsi" w:cstheme="majorHAnsi"/>
          <w:i/>
          <w:iCs/>
        </w:rPr>
      </w:pPr>
      <w:r w:rsidRPr="00563011">
        <w:rPr>
          <w:rFonts w:asciiTheme="majorHAnsi" w:hAnsiTheme="majorHAnsi" w:cstheme="majorHAnsi"/>
          <w:i/>
          <w:iCs/>
        </w:rPr>
        <w:t>36.30 [Re UNCRC] Article 21(d) in conjunction with the Hague Convention requires the states parties to take all appropriate measures to ensure that adoption placements do not result in any improper financial gain for any of the parties involved.</w:t>
      </w:r>
    </w:p>
    <w:p w14:paraId="54527D3B" w14:textId="77777777" w:rsidR="00563011" w:rsidRPr="00563011" w:rsidRDefault="00563011" w:rsidP="00563011">
      <w:pPr>
        <w:rPr>
          <w:rFonts w:asciiTheme="majorHAnsi" w:hAnsiTheme="majorHAnsi" w:cstheme="majorHAnsi"/>
          <w:i/>
          <w:iCs/>
        </w:rPr>
      </w:pPr>
    </w:p>
    <w:p w14:paraId="1603354A" w14:textId="77777777" w:rsidR="00563011" w:rsidRPr="00563011" w:rsidRDefault="00563011" w:rsidP="00563011">
      <w:pPr>
        <w:rPr>
          <w:rFonts w:asciiTheme="majorHAnsi" w:hAnsiTheme="majorHAnsi" w:cstheme="majorHAnsi"/>
          <w:i/>
          <w:iCs/>
        </w:rPr>
      </w:pPr>
      <w:r w:rsidRPr="00563011">
        <w:rPr>
          <w:rFonts w:asciiTheme="majorHAnsi" w:hAnsiTheme="majorHAnsi" w:cstheme="majorHAnsi"/>
          <w:i/>
          <w:iCs/>
        </w:rPr>
        <w:t>[European Convention on Human Rights] Article 13 -Right to an effective remedy: Everyone whose rights and freedoms as set forth in this Convention are violated shall have an effective remedy before a national authority notwithstanding that the violation has been committed by persons acting in an official capacity.</w:t>
      </w:r>
    </w:p>
    <w:p w14:paraId="14200238" w14:textId="77777777" w:rsidR="00563011" w:rsidRPr="00563011" w:rsidRDefault="00563011" w:rsidP="00563011">
      <w:pPr>
        <w:rPr>
          <w:rFonts w:asciiTheme="majorHAnsi" w:hAnsiTheme="majorHAnsi" w:cstheme="majorHAnsi"/>
        </w:rPr>
      </w:pPr>
    </w:p>
    <w:p w14:paraId="2B01E9E0" w14:textId="77777777" w:rsidR="00563011" w:rsidRPr="00563011" w:rsidRDefault="00563011" w:rsidP="00563011">
      <w:pPr>
        <w:rPr>
          <w:rFonts w:asciiTheme="majorHAnsi" w:hAnsiTheme="majorHAnsi" w:cstheme="majorHAnsi"/>
          <w:i/>
          <w:iCs/>
        </w:rPr>
      </w:pPr>
      <w:r w:rsidRPr="00563011">
        <w:rPr>
          <w:rFonts w:asciiTheme="majorHAnsi" w:hAnsiTheme="majorHAnsi" w:cstheme="majorHAnsi"/>
        </w:rPr>
        <w:t xml:space="preserve">On adoption: </w:t>
      </w:r>
      <w:r w:rsidRPr="00563011">
        <w:rPr>
          <w:rFonts w:asciiTheme="majorHAnsi" w:hAnsiTheme="majorHAnsi" w:cstheme="majorHAnsi"/>
          <w:i/>
          <w:iCs/>
        </w:rPr>
        <w:t>“32.299 The legal validity of the [mother’s] surrender was questionable in some instances. It is clear that the DEA was concerned about whether or not it was legally permissible for a mother to surrender her child to someone else. It is doubtful if the agency which received the surrender could accurately claim to be the child’s guardian especially if the mother was contactable; if the mother had effectively abandoned the child, the claim to be the guardian would have been stronger. It is very likely that a mother who had made such a surrender would have had it overturned by the courts if an application had been made.”</w:t>
      </w:r>
    </w:p>
    <w:p w14:paraId="0375ED74" w14:textId="77777777" w:rsidR="00563011" w:rsidRPr="00563011" w:rsidRDefault="00563011" w:rsidP="00563011">
      <w:pPr>
        <w:rPr>
          <w:rFonts w:asciiTheme="majorHAnsi" w:hAnsiTheme="majorHAnsi" w:cstheme="majorHAnsi"/>
        </w:rPr>
      </w:pPr>
    </w:p>
    <w:p w14:paraId="5E231BA8" w14:textId="7B9B20DD" w:rsidR="00563011" w:rsidRDefault="00563011" w:rsidP="00563011">
      <w:pPr>
        <w:rPr>
          <w:rFonts w:asciiTheme="majorHAnsi" w:hAnsiTheme="majorHAnsi" w:cstheme="majorHAnsi"/>
        </w:rPr>
      </w:pPr>
      <w:r w:rsidRPr="00563011">
        <w:rPr>
          <w:rFonts w:asciiTheme="majorHAnsi" w:hAnsiTheme="majorHAnsi" w:cstheme="majorHAnsi"/>
        </w:rPr>
        <w:t>We interpret the above as obliging the State to pay fair compensation, which we do not believe the compensation scheme achieves. Our recommendation suggests an equitable way forward.</w:t>
      </w:r>
    </w:p>
    <w:p w14:paraId="0948B5B9" w14:textId="77777777" w:rsidR="00563011" w:rsidRPr="00563011" w:rsidRDefault="00563011" w:rsidP="00563011">
      <w:pPr>
        <w:rPr>
          <w:rFonts w:asciiTheme="majorHAnsi" w:hAnsiTheme="majorHAnsi" w:cstheme="majorHAnsi"/>
        </w:rPr>
      </w:pPr>
    </w:p>
    <w:p w14:paraId="03E8F5CB" w14:textId="77777777" w:rsidR="00563011" w:rsidRPr="00563011" w:rsidRDefault="00563011" w:rsidP="00563011">
      <w:pPr>
        <w:rPr>
          <w:rFonts w:asciiTheme="majorHAnsi" w:hAnsiTheme="majorHAnsi" w:cstheme="majorHAnsi"/>
          <w:u w:val="single"/>
        </w:rPr>
      </w:pPr>
      <w:r w:rsidRPr="00563011">
        <w:rPr>
          <w:rFonts w:asciiTheme="majorHAnsi" w:hAnsiTheme="majorHAnsi" w:cstheme="majorHAnsi"/>
          <w:u w:val="single"/>
        </w:rPr>
        <w:lastRenderedPageBreak/>
        <w:t>Church contributions to the state for malfeasance, past and future</w:t>
      </w:r>
    </w:p>
    <w:p w14:paraId="1B2A2698" w14:textId="111DC81A" w:rsidR="00563011" w:rsidRDefault="00563011" w:rsidP="00563011">
      <w:pPr>
        <w:rPr>
          <w:rFonts w:asciiTheme="majorHAnsi" w:hAnsiTheme="majorHAnsi" w:cstheme="majorHAnsi"/>
        </w:rPr>
      </w:pPr>
      <w:r w:rsidRPr="00563011">
        <w:rPr>
          <w:rFonts w:asciiTheme="majorHAnsi" w:hAnsiTheme="majorHAnsi" w:cstheme="majorHAnsi"/>
        </w:rPr>
        <w:t xml:space="preserve">The State party announced the compensation scheme in advance of requiring/agreeing any contribution from the churches. We welcome the launch of the compensation scheme before agreement is reached with the churches, as most of the claimants are already aged. Based on previous attempts to extract money from the churches for their misdeeds – this will take a long time. After two decades of seeking to extract a fair share from the churches of the compensation paid out the Irish exchequer remains short of an astonishing sum in the order of half a billion Euros. </w:t>
      </w:r>
    </w:p>
    <w:p w14:paraId="7EAEC08C" w14:textId="77777777" w:rsidR="00563011" w:rsidRPr="00563011" w:rsidRDefault="00563011" w:rsidP="00563011">
      <w:pPr>
        <w:rPr>
          <w:rFonts w:asciiTheme="majorHAnsi" w:hAnsiTheme="majorHAnsi" w:cstheme="majorHAnsi"/>
        </w:rPr>
      </w:pPr>
    </w:p>
    <w:p w14:paraId="3B175163" w14:textId="77777777" w:rsidR="00563011" w:rsidRPr="00563011" w:rsidRDefault="00563011" w:rsidP="00563011">
      <w:pPr>
        <w:rPr>
          <w:rFonts w:asciiTheme="majorHAnsi" w:hAnsiTheme="majorHAnsi" w:cstheme="majorHAnsi"/>
        </w:rPr>
      </w:pPr>
      <w:r w:rsidRPr="00563011">
        <w:rPr>
          <w:rFonts w:asciiTheme="majorHAnsi" w:hAnsiTheme="majorHAnsi" w:cstheme="majorHAnsi"/>
        </w:rPr>
        <w:t>A report in the Irish Times in 2021 about the troubled history of the State’s attempt to recover contributions towards compensation for child sexual abuse in religious settings refers to the</w:t>
      </w:r>
      <w:r w:rsidRPr="00563011">
        <w:rPr>
          <w:rStyle w:val="FootnoteAnchor"/>
          <w:rFonts w:asciiTheme="majorHAnsi" w:hAnsiTheme="majorHAnsi" w:cstheme="majorHAnsi"/>
        </w:rPr>
        <w:footnoteReference w:id="6"/>
      </w:r>
      <w:r w:rsidRPr="00563011">
        <w:rPr>
          <w:rFonts w:asciiTheme="majorHAnsi" w:hAnsiTheme="majorHAnsi" w:cstheme="majorHAnsi"/>
        </w:rPr>
        <w:t xml:space="preserve"> “low €128 million church contribution in the 2002 agreement. Not only were there lengthy delays in the handover of assets, all while redress costs multiplied, but the ultimate combined value of contributions to the State remains far below the levels agreed many years ago. …. The total adjusted offers made by congregations in 2002 and 2009 amount to €436.95 million, of which €239.93 million has been realised to date,” the Department of Education says. “This amounts to approximately 16 per cent of the costs of redress to date, which are estimated to be approximately €1.5 billion.”</w:t>
      </w:r>
    </w:p>
    <w:p w14:paraId="089A1756" w14:textId="3E92500F" w:rsidR="00563011" w:rsidRDefault="00563011" w:rsidP="00563011">
      <w:pPr>
        <w:rPr>
          <w:rFonts w:asciiTheme="majorHAnsi" w:hAnsiTheme="majorHAnsi" w:cstheme="majorHAnsi"/>
        </w:rPr>
      </w:pPr>
      <w:r w:rsidRPr="00563011">
        <w:rPr>
          <w:rFonts w:asciiTheme="majorHAnsi" w:hAnsiTheme="majorHAnsi" w:cstheme="majorHAnsi"/>
        </w:rPr>
        <w:t>Our recommendations seek to suggest a way of obviating a recurrence of these problems.</w:t>
      </w:r>
    </w:p>
    <w:p w14:paraId="0E161549" w14:textId="77777777" w:rsidR="00563011" w:rsidRPr="00563011" w:rsidRDefault="00563011" w:rsidP="00563011">
      <w:pPr>
        <w:rPr>
          <w:rFonts w:asciiTheme="majorHAnsi" w:hAnsiTheme="majorHAnsi" w:cstheme="majorHAnsi"/>
        </w:rPr>
      </w:pPr>
    </w:p>
    <w:p w14:paraId="1A7E05F4" w14:textId="003B5017" w:rsidR="00563011" w:rsidRDefault="00563011" w:rsidP="00563011">
      <w:pPr>
        <w:rPr>
          <w:rFonts w:asciiTheme="majorHAnsi" w:hAnsiTheme="majorHAnsi" w:cstheme="majorHAnsi"/>
        </w:rPr>
      </w:pPr>
      <w:r w:rsidRPr="00563011">
        <w:rPr>
          <w:rFonts w:asciiTheme="majorHAnsi" w:hAnsiTheme="majorHAnsi" w:cstheme="majorHAnsi"/>
        </w:rPr>
        <w:t>While we accept the State bears a heavy burden of complicity with much of the malfeasance described in the report, the Catholic Church’s proscription of contraception – endorsed by the state – and the religiously fuelled misogynistic attitude to unmarried mothers (but not fathers) form the root cause of most of the malfeasance described in the report.</w:t>
      </w:r>
    </w:p>
    <w:p w14:paraId="7E7C292A" w14:textId="77777777" w:rsidR="00563011" w:rsidRPr="00563011" w:rsidRDefault="00563011" w:rsidP="00563011">
      <w:pPr>
        <w:rPr>
          <w:rFonts w:asciiTheme="majorHAnsi" w:hAnsiTheme="majorHAnsi" w:cstheme="majorHAnsi"/>
        </w:rPr>
      </w:pPr>
    </w:p>
    <w:p w14:paraId="6FB70E98" w14:textId="77777777" w:rsidR="00563011" w:rsidRPr="00563011" w:rsidRDefault="00563011" w:rsidP="00563011">
      <w:pPr>
        <w:rPr>
          <w:rFonts w:asciiTheme="majorHAnsi" w:hAnsiTheme="majorHAnsi" w:cstheme="majorHAnsi"/>
          <w:u w:val="single"/>
        </w:rPr>
      </w:pPr>
      <w:r w:rsidRPr="00563011">
        <w:rPr>
          <w:rFonts w:asciiTheme="majorHAnsi" w:hAnsiTheme="majorHAnsi" w:cstheme="majorHAnsi"/>
          <w:u w:val="single"/>
        </w:rPr>
        <w:t>Mandatory reporting of child sexual abuse</w:t>
      </w:r>
    </w:p>
    <w:p w14:paraId="5E3EB802" w14:textId="77777777" w:rsidR="002113BD" w:rsidRDefault="00563011" w:rsidP="00563011">
      <w:pPr>
        <w:rPr>
          <w:rFonts w:asciiTheme="majorHAnsi" w:hAnsiTheme="majorHAnsi" w:cstheme="majorHAnsi"/>
        </w:rPr>
      </w:pPr>
      <w:r w:rsidRPr="00563011">
        <w:rPr>
          <w:rFonts w:asciiTheme="majorHAnsi" w:hAnsiTheme="majorHAnsi" w:cstheme="majorHAnsi"/>
        </w:rPr>
        <w:t xml:space="preserve">We welcome the State party’s introduction of this in the Children First Act 2015, nevertheless we are concerned that there is no statutory sanction for failure to report. </w:t>
      </w:r>
    </w:p>
    <w:p w14:paraId="7A6CB246" w14:textId="77777777" w:rsidR="002113BD" w:rsidRDefault="002113BD" w:rsidP="00563011">
      <w:pPr>
        <w:rPr>
          <w:rFonts w:asciiTheme="majorHAnsi" w:hAnsiTheme="majorHAnsi" w:cstheme="majorHAnsi"/>
        </w:rPr>
      </w:pPr>
    </w:p>
    <w:p w14:paraId="5CB7DCD2" w14:textId="27261126" w:rsidR="00563011" w:rsidRPr="00563011" w:rsidRDefault="00563011" w:rsidP="00563011">
      <w:pPr>
        <w:rPr>
          <w:rFonts w:asciiTheme="majorHAnsi" w:hAnsiTheme="majorHAnsi" w:cstheme="majorHAnsi"/>
        </w:rPr>
      </w:pPr>
      <w:r w:rsidRPr="00563011">
        <w:rPr>
          <w:rFonts w:asciiTheme="majorHAnsi" w:hAnsiTheme="majorHAnsi" w:cstheme="majorHAnsi"/>
        </w:rPr>
        <w:t>We have therefore included as our final recommendation that this be investigated and if appropriate an amendment be proposed to the above Act.</w:t>
      </w:r>
    </w:p>
    <w:p w14:paraId="2EA8D6FB" w14:textId="77777777" w:rsidR="00563011" w:rsidRPr="00563011" w:rsidRDefault="00563011" w:rsidP="00563011">
      <w:pPr>
        <w:rPr>
          <w:rFonts w:asciiTheme="majorHAnsi" w:hAnsiTheme="majorHAnsi" w:cstheme="majorHAnsi"/>
        </w:rPr>
      </w:pPr>
    </w:p>
    <w:p w14:paraId="1E4C1D1F" w14:textId="77777777" w:rsidR="00563011" w:rsidRPr="00563011" w:rsidRDefault="00563011" w:rsidP="00563011">
      <w:pPr>
        <w:rPr>
          <w:rFonts w:asciiTheme="majorHAnsi" w:hAnsiTheme="majorHAnsi" w:cstheme="majorHAnsi"/>
          <w:b/>
          <w:bCs/>
        </w:rPr>
      </w:pPr>
      <w:r w:rsidRPr="00563011">
        <w:rPr>
          <w:rFonts w:asciiTheme="majorHAnsi" w:hAnsiTheme="majorHAnsi" w:cstheme="majorHAnsi"/>
          <w:b/>
          <w:bCs/>
        </w:rPr>
        <w:t>We therefore recommend that the Committee urges the State party:</w:t>
      </w:r>
    </w:p>
    <w:p w14:paraId="6906021B" w14:textId="77777777" w:rsidR="00563011" w:rsidRPr="00563011" w:rsidRDefault="00563011" w:rsidP="00563011">
      <w:pPr>
        <w:rPr>
          <w:rFonts w:asciiTheme="majorHAnsi" w:hAnsiTheme="majorHAnsi" w:cstheme="majorHAnsi"/>
          <w:b/>
          <w:bCs/>
        </w:rPr>
      </w:pPr>
    </w:p>
    <w:p w14:paraId="268BA977" w14:textId="77777777" w:rsidR="00563011" w:rsidRPr="00563011" w:rsidRDefault="00563011" w:rsidP="00563011">
      <w:pPr>
        <w:pStyle w:val="ListParagraph"/>
        <w:numPr>
          <w:ilvl w:val="0"/>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set up an independent judicial body to consider the issues raised by the Mother and Baby Home report. It should be vested with the power to summon witnesses to testify under oath, and with full legal powers of discovery of documents and evidence. The body’s final report must be made public in full and completed within a predetermined reasonable time, sent to the CRC and debated in Parliament. Its remit should be:</w:t>
      </w:r>
    </w:p>
    <w:p w14:paraId="56F10409"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 xml:space="preserve"> to establish what levels of compensation are appropriate, in accordance with the State's civil law and any appropriate obligations under UN </w:t>
      </w:r>
      <w:r w:rsidRPr="00563011">
        <w:rPr>
          <w:rFonts w:asciiTheme="majorHAnsi" w:hAnsiTheme="majorHAnsi" w:cstheme="majorHAnsi"/>
          <w:b/>
          <w:bCs/>
        </w:rPr>
        <w:lastRenderedPageBreak/>
        <w:t>conventions and European law and EU Convention on Human Rights. It should take into account any coercion, unlawful deprivation of liberty, mental distress and adverse consequences in future life.</w:t>
      </w:r>
    </w:p>
    <w:p w14:paraId="7734A3E2"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establish a scale of any additional compensation appropriate where abuse or other factors materially aggravate the complainant’s suffering in the Mother and Baby Homes or as a result of their being there.</w:t>
      </w:r>
    </w:p>
    <w:p w14:paraId="39801468"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consider any appropriate levels of compensation for detentions in these homes lasting less than six months, which we understand do not currently qualify for any compensation.</w:t>
      </w:r>
    </w:p>
    <w:p w14:paraId="019BA4A4"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consider whether compensation should be payable to the families of those who would qualify for compensation had they still been alive, and if so to establish the basis of such compensation and how it should be distributed.</w:t>
      </w:r>
    </w:p>
    <w:p w14:paraId="4B07C64C"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express an opinion on the equity of making compensation conditional on not taking civil action, as is currently required.</w:t>
      </w:r>
    </w:p>
    <w:p w14:paraId="044F3D96"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consider whether interest should, as we believe equity demands, be payable from the period spent in the Mother and Baby Homes to the date of payment of compensation, and if so, the level or criteria for calculating this.</w:t>
      </w:r>
    </w:p>
    <w:p w14:paraId="6EFA589D"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determine criteria for attributing the proportion(s) of compensation payable to victims/survivors due by actors other than the state, for example the churches. These may for example vary by home and by year and should reflect, as far as possible: degrees of culpability, responsibility for levels of suffering and illegality, and if appropriate the levels of each actors’ co-operation with the State inquiry and/or with the body.</w:t>
      </w:r>
    </w:p>
    <w:p w14:paraId="152676EC"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 xml:space="preserve">to investigate the extent of any sums received by actors such as the churches in consideration for any </w:t>
      </w:r>
      <w:r w:rsidRPr="00563011">
        <w:rPr>
          <w:rFonts w:asciiTheme="majorHAnsi" w:hAnsiTheme="majorHAnsi" w:cstheme="majorHAnsi"/>
          <w:b/>
          <w:bCs/>
          <w:i/>
          <w:iCs/>
        </w:rPr>
        <w:t xml:space="preserve">de facto </w:t>
      </w:r>
      <w:r w:rsidRPr="00563011">
        <w:rPr>
          <w:rFonts w:asciiTheme="majorHAnsi" w:hAnsiTheme="majorHAnsi" w:cstheme="majorHAnsi"/>
          <w:b/>
          <w:bCs/>
        </w:rPr>
        <w:t>forced adoptions and to consider the practicalities of such sums being recovered by the state with interest.</w:t>
      </w:r>
    </w:p>
    <w:p w14:paraId="7FAD072F" w14:textId="77777777" w:rsidR="00563011" w:rsidRPr="00563011" w:rsidRDefault="00563011" w:rsidP="00563011">
      <w:pPr>
        <w:pStyle w:val="ListParagraph"/>
        <w:numPr>
          <w:ilvl w:val="1"/>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to propose methods of ensuring that sums due (including historically) by actors such as the churches for past abuse of children or for the above compensation (including any interest) are fully collected for the benefit of the public purse. This will presumably include sequestration of assets which, as far as we can establish, the State has failed so far to resort to.</w:t>
      </w:r>
    </w:p>
    <w:p w14:paraId="2BF992E8" w14:textId="77777777" w:rsidR="00563011" w:rsidRPr="00563011" w:rsidRDefault="00563011" w:rsidP="00563011">
      <w:pPr>
        <w:pStyle w:val="ListParagraph"/>
        <w:ind w:left="1440"/>
        <w:rPr>
          <w:rFonts w:asciiTheme="majorHAnsi" w:hAnsiTheme="majorHAnsi" w:cstheme="majorHAnsi"/>
          <w:b/>
          <w:bCs/>
        </w:rPr>
      </w:pPr>
    </w:p>
    <w:p w14:paraId="20859970" w14:textId="77777777" w:rsidR="00563011" w:rsidRPr="00563011" w:rsidRDefault="00563011" w:rsidP="00563011">
      <w:pPr>
        <w:pStyle w:val="ListParagraph"/>
        <w:numPr>
          <w:ilvl w:val="0"/>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 xml:space="preserve">To formally direct and resource appropriate arms of justice to investigate and pursue all those still alive and reasonably suspected to have committed criminal acts not time-barred in connection with the activities described in the Mother and Baby Homes report. This is likely to include physical assault, offences against the person, maltreatment – even starving and torture -of children, attempted murder, murder, trafficking, unlawful imprisonment, financial offences, and mis-recording or failure to record births and deaths. </w:t>
      </w:r>
      <w:r w:rsidRPr="00563011">
        <w:rPr>
          <w:rFonts w:asciiTheme="majorHAnsi" w:hAnsiTheme="majorHAnsi" w:cstheme="majorHAnsi"/>
          <w:b/>
          <w:bCs/>
        </w:rPr>
        <w:lastRenderedPageBreak/>
        <w:t>Where the law allows, these investigations should also include those in more senior positions who conspired to facilitate criminal acts.</w:t>
      </w:r>
    </w:p>
    <w:p w14:paraId="405C1848" w14:textId="77777777" w:rsidR="00563011" w:rsidRPr="00563011" w:rsidRDefault="00563011" w:rsidP="00563011">
      <w:pPr>
        <w:pStyle w:val="ListParagraph"/>
        <w:numPr>
          <w:ilvl w:val="0"/>
          <w:numId w:val="14"/>
        </w:numPr>
        <w:suppressAutoHyphens/>
        <w:spacing w:after="160" w:line="259" w:lineRule="auto"/>
        <w:rPr>
          <w:rFonts w:asciiTheme="majorHAnsi" w:hAnsiTheme="majorHAnsi" w:cstheme="majorHAnsi"/>
          <w:b/>
          <w:bCs/>
        </w:rPr>
      </w:pPr>
      <w:r w:rsidRPr="00563011">
        <w:rPr>
          <w:rFonts w:asciiTheme="majorHAnsi" w:hAnsiTheme="majorHAnsi" w:cstheme="majorHAnsi"/>
          <w:b/>
          <w:bCs/>
        </w:rPr>
        <w:t xml:space="preserve">To set up a small independent body with appropriate legal expertise to report to Parliament on the results of its investigation of the volume and effectiveness of reporting of child abuse under the provisions of the Children First Act 2015 and its consideration of whether sanctions should be introduced for failure to report, and, if so, how these could best be framed. </w:t>
      </w:r>
    </w:p>
    <w:p w14:paraId="281C5DA5" w14:textId="77777777" w:rsidR="00563011" w:rsidRPr="00563011" w:rsidRDefault="00563011" w:rsidP="00563011">
      <w:pPr>
        <w:rPr>
          <w:rFonts w:asciiTheme="majorHAnsi" w:hAnsiTheme="majorHAnsi" w:cstheme="majorHAnsi"/>
        </w:rPr>
      </w:pPr>
    </w:p>
    <w:p w14:paraId="63415476" w14:textId="412DD984" w:rsidR="00563011" w:rsidRPr="00563011" w:rsidRDefault="00563011" w:rsidP="00563011">
      <w:pPr>
        <w:pBdr>
          <w:bottom w:val="double" w:sz="6" w:space="1" w:color="000000"/>
        </w:pBdr>
        <w:rPr>
          <w:rFonts w:asciiTheme="majorHAnsi" w:hAnsiTheme="majorHAnsi" w:cstheme="majorHAnsi"/>
        </w:rPr>
      </w:pPr>
      <w:r w:rsidRPr="00563011">
        <w:rPr>
          <w:rFonts w:asciiTheme="majorHAnsi" w:hAnsiTheme="majorHAnsi" w:cstheme="majorHAnsi"/>
        </w:rPr>
        <w:t>We note that the above recommendations are dependent on there being the political will to punish those responsible to the extent the law allows and to compensate survivors/victims fairly and for the costs to be borne equitably between the State party and others responsible. We also recognise the constraints arising from the enormity of the sums involved both over the child sexual abuse and the Mother and Baby Homes, but these are a function of the scale of malfeasance. The lower the sum recovered from the other actors, the greater the burden on the public purse. Our hope is that the churches bear a greater and more equitable share of the costs than has been the case in the past and this could fund more generous compensation.</w:t>
      </w:r>
    </w:p>
    <w:p w14:paraId="16FE78E5" w14:textId="3B7097CC" w:rsidR="00563011" w:rsidRPr="00563011" w:rsidRDefault="00563011" w:rsidP="00563011">
      <w:pPr>
        <w:pBdr>
          <w:bottom w:val="double" w:sz="6" w:space="1" w:color="000000"/>
        </w:pBdr>
        <w:rPr>
          <w:rFonts w:asciiTheme="majorHAnsi" w:hAnsiTheme="majorHAnsi" w:cstheme="majorHAnsi"/>
        </w:rPr>
      </w:pPr>
    </w:p>
    <w:p w14:paraId="697C4632" w14:textId="5F9DEB3E" w:rsidR="00563011" w:rsidRPr="00563011" w:rsidRDefault="00563011" w:rsidP="00563011">
      <w:pPr>
        <w:pBdr>
          <w:bottom w:val="double" w:sz="6" w:space="1" w:color="000000"/>
        </w:pBdr>
        <w:rPr>
          <w:rFonts w:asciiTheme="majorHAnsi" w:hAnsiTheme="majorHAnsi" w:cstheme="majorHAnsi"/>
        </w:rPr>
      </w:pPr>
    </w:p>
    <w:p w14:paraId="7F413D6E" w14:textId="04DE9369" w:rsidR="00563011" w:rsidRPr="00563011" w:rsidRDefault="00563011" w:rsidP="00563011">
      <w:pPr>
        <w:pBdr>
          <w:bottom w:val="double" w:sz="6" w:space="1" w:color="000000"/>
        </w:pBdr>
        <w:rPr>
          <w:rFonts w:asciiTheme="majorHAnsi" w:hAnsiTheme="majorHAnsi" w:cstheme="majorHAnsi"/>
        </w:rPr>
      </w:pPr>
    </w:p>
    <w:p w14:paraId="69C9CCBA" w14:textId="7DBFF480" w:rsidR="00563011" w:rsidRPr="00563011" w:rsidRDefault="00563011" w:rsidP="00563011">
      <w:pPr>
        <w:pBdr>
          <w:bottom w:val="double" w:sz="6" w:space="1" w:color="000000"/>
        </w:pBdr>
        <w:rPr>
          <w:rFonts w:asciiTheme="majorHAnsi" w:hAnsiTheme="majorHAnsi" w:cstheme="majorHAnsi"/>
        </w:rPr>
      </w:pPr>
    </w:p>
    <w:p w14:paraId="4813D925" w14:textId="3C7E4A04" w:rsidR="00563011" w:rsidRPr="00563011" w:rsidRDefault="00563011" w:rsidP="00563011">
      <w:pPr>
        <w:pBdr>
          <w:bottom w:val="double" w:sz="6" w:space="1" w:color="000000"/>
        </w:pBdr>
        <w:rPr>
          <w:rFonts w:asciiTheme="majorHAnsi" w:hAnsiTheme="majorHAnsi" w:cstheme="majorHAnsi"/>
        </w:rPr>
      </w:pPr>
    </w:p>
    <w:p w14:paraId="3D98114F" w14:textId="77777777" w:rsidR="009D5DAF" w:rsidRPr="00563011" w:rsidRDefault="009D5DAF" w:rsidP="009D5DAF">
      <w:pPr>
        <w:spacing w:after="120"/>
        <w:ind w:left="-284"/>
        <w:rPr>
          <w:rFonts w:asciiTheme="majorHAnsi" w:hAnsiTheme="majorHAnsi" w:cstheme="majorHAnsi"/>
        </w:rPr>
      </w:pPr>
    </w:p>
    <w:sectPr w:rsidR="009D5DAF" w:rsidRPr="00563011" w:rsidSect="001D5310">
      <w:headerReference w:type="even" r:id="rId12"/>
      <w:headerReference w:type="default" r:id="rId13"/>
      <w:footerReference w:type="even" r:id="rId14"/>
      <w:footerReference w:type="default" r:id="rId15"/>
      <w:headerReference w:type="first" r:id="rId16"/>
      <w:footerReference w:type="first" r:id="rId17"/>
      <w:pgSz w:w="11900" w:h="16840"/>
      <w:pgMar w:top="1451" w:right="1800" w:bottom="1440"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16BA9" w14:textId="77777777" w:rsidR="001908EF" w:rsidRDefault="001908EF" w:rsidP="00A0515C">
      <w:r>
        <w:separator/>
      </w:r>
    </w:p>
  </w:endnote>
  <w:endnote w:type="continuationSeparator" w:id="0">
    <w:p w14:paraId="11F2F89B" w14:textId="77777777" w:rsidR="001908EF" w:rsidRDefault="001908EF"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F7BA0" w14:textId="77777777" w:rsidR="00AD7A08" w:rsidRDefault="00AD7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770F0" w14:textId="77777777" w:rsidR="00AD7A08" w:rsidRDefault="00AD7A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FA6365" w14:textId="77777777" w:rsidR="00DB3795" w:rsidRDefault="00DB3795">
    <w:pPr>
      <w:pStyle w:val="Footer"/>
    </w:pPr>
    <w:r>
      <w:rPr>
        <w:noProof/>
        <w:lang w:eastAsia="en-GB"/>
      </w:rPr>
      <w:drawing>
        <wp:anchor distT="0" distB="0" distL="114300" distR="114300" simplePos="0" relativeHeight="251660288" behindDoc="0" locked="0" layoutInCell="1" allowOverlap="1" wp14:anchorId="17481A1F" wp14:editId="0BF35232">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D16024" w14:textId="77777777" w:rsidR="001908EF" w:rsidRDefault="001908EF" w:rsidP="00A0515C">
      <w:r>
        <w:separator/>
      </w:r>
    </w:p>
  </w:footnote>
  <w:footnote w:type="continuationSeparator" w:id="0">
    <w:p w14:paraId="17AF6568" w14:textId="77777777" w:rsidR="001908EF" w:rsidRDefault="001908EF" w:rsidP="00A0515C">
      <w:r>
        <w:continuationSeparator/>
      </w:r>
    </w:p>
  </w:footnote>
  <w:footnote w:id="1">
    <w:p w14:paraId="5C5224AF" w14:textId="77777777" w:rsidR="00563011" w:rsidRPr="002113BD" w:rsidRDefault="00563011" w:rsidP="00563011">
      <w:pPr>
        <w:pStyle w:val="FootnoteText"/>
        <w:rPr>
          <w:rFonts w:asciiTheme="majorHAnsi" w:hAnsiTheme="majorHAnsi" w:cstheme="majorHAnsi"/>
        </w:rPr>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1">
        <w:r w:rsidRPr="002113BD">
          <w:rPr>
            <w:rStyle w:val="Hyperlink"/>
            <w:rFonts w:asciiTheme="majorHAnsi" w:hAnsiTheme="majorHAnsi" w:cstheme="majorHAnsi"/>
          </w:rPr>
          <w:t>https://assets.gov.ie/118565/107bab7e-45aa-4124-95fd-1460893dbb43.pdf</w:t>
        </w:r>
      </w:hyperlink>
      <w:r w:rsidRPr="002113BD">
        <w:rPr>
          <w:rFonts w:asciiTheme="majorHAnsi" w:hAnsiTheme="majorHAnsi" w:cstheme="majorHAnsi"/>
        </w:rPr>
        <w:t xml:space="preserve">  </w:t>
      </w:r>
    </w:p>
  </w:footnote>
  <w:footnote w:id="2">
    <w:p w14:paraId="5656240A" w14:textId="77777777" w:rsidR="00563011" w:rsidRPr="002113BD" w:rsidRDefault="00563011" w:rsidP="00563011">
      <w:pPr>
        <w:pStyle w:val="FootnoteText"/>
        <w:rPr>
          <w:rFonts w:asciiTheme="majorHAnsi" w:hAnsiTheme="majorHAnsi" w:cstheme="majorHAnsi"/>
        </w:rPr>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2">
        <w:r w:rsidRPr="002113BD">
          <w:rPr>
            <w:rStyle w:val="Hyperlink"/>
            <w:rFonts w:asciiTheme="majorHAnsi" w:hAnsiTheme="majorHAnsi" w:cstheme="majorHAnsi"/>
          </w:rPr>
          <w:t>https://www.irishtimes.com/news/social-affairs/report-a-damning-indictment-of-church-and-state-survivors-group-1.4456565</w:t>
        </w:r>
      </w:hyperlink>
      <w:r w:rsidRPr="002113BD">
        <w:rPr>
          <w:rFonts w:asciiTheme="majorHAnsi" w:hAnsiTheme="majorHAnsi" w:cstheme="majorHAnsi"/>
        </w:rPr>
        <w:t xml:space="preserve"> </w:t>
      </w:r>
    </w:p>
  </w:footnote>
  <w:footnote w:id="3">
    <w:p w14:paraId="41B18500" w14:textId="77777777" w:rsidR="00563011" w:rsidRPr="002113BD" w:rsidRDefault="00563011" w:rsidP="00563011">
      <w:pPr>
        <w:pStyle w:val="FootnoteText"/>
        <w:rPr>
          <w:rFonts w:asciiTheme="majorHAnsi" w:hAnsiTheme="majorHAnsi" w:cstheme="majorHAnsi"/>
          <w:sz w:val="24"/>
          <w:szCs w:val="24"/>
        </w:rPr>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3">
        <w:r w:rsidRPr="002113BD">
          <w:rPr>
            <w:rStyle w:val="Hyperlink"/>
            <w:rFonts w:asciiTheme="majorHAnsi" w:hAnsiTheme="majorHAnsi" w:cstheme="majorHAnsi"/>
          </w:rPr>
          <w:t>https://www.irishtimes.com/news/social-affairs/report-a-damning-indictment-of-church-and-state-survivors-group-1.4456565</w:t>
        </w:r>
      </w:hyperlink>
      <w:r w:rsidRPr="002113BD">
        <w:rPr>
          <w:rFonts w:asciiTheme="majorHAnsi" w:hAnsiTheme="majorHAnsi" w:cstheme="majorHAnsi"/>
          <w:sz w:val="24"/>
          <w:szCs w:val="24"/>
        </w:rPr>
        <w:t xml:space="preserve"> </w:t>
      </w:r>
    </w:p>
  </w:footnote>
  <w:footnote w:id="4">
    <w:p w14:paraId="52482405" w14:textId="77777777" w:rsidR="00563011" w:rsidRPr="002113BD" w:rsidRDefault="00563011" w:rsidP="00563011">
      <w:pPr>
        <w:pStyle w:val="FootnoteText"/>
        <w:rPr>
          <w:rFonts w:asciiTheme="majorHAnsi" w:hAnsiTheme="majorHAnsi" w:cstheme="majorHAnsi"/>
        </w:rPr>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4">
        <w:r w:rsidRPr="002113BD">
          <w:rPr>
            <w:rStyle w:val="Hyperlink"/>
            <w:rFonts w:asciiTheme="majorHAnsi" w:hAnsiTheme="majorHAnsi" w:cstheme="majorHAnsi"/>
          </w:rPr>
          <w:t>https://www.independent.ie/irish-news/news/legal-bid-made-to-remove-restrictions-in-mother-and-baby-homes-redress-scheme-41626786.html</w:t>
        </w:r>
      </w:hyperlink>
      <w:r w:rsidRPr="002113BD">
        <w:rPr>
          <w:rFonts w:asciiTheme="majorHAnsi" w:hAnsiTheme="majorHAnsi" w:cstheme="majorHAnsi"/>
        </w:rPr>
        <w:t xml:space="preserve"> </w:t>
      </w:r>
    </w:p>
  </w:footnote>
  <w:footnote w:id="5">
    <w:p w14:paraId="349AB78C" w14:textId="77777777" w:rsidR="00563011" w:rsidRDefault="00563011" w:rsidP="00563011">
      <w:pPr>
        <w:pStyle w:val="FootnoteText"/>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5">
        <w:r w:rsidRPr="002113BD">
          <w:rPr>
            <w:rStyle w:val="Hyperlink"/>
            <w:rFonts w:asciiTheme="majorHAnsi" w:hAnsiTheme="majorHAnsi" w:cstheme="majorHAnsi"/>
          </w:rPr>
          <w:t>https://www.theirishworld.com/mother-and-baby-homes-2/</w:t>
        </w:r>
      </w:hyperlink>
      <w:r>
        <w:t xml:space="preserve"> </w:t>
      </w:r>
    </w:p>
  </w:footnote>
  <w:footnote w:id="6">
    <w:p w14:paraId="2E8046A2" w14:textId="77777777" w:rsidR="00563011" w:rsidRPr="002113BD" w:rsidRDefault="00563011" w:rsidP="00563011">
      <w:pPr>
        <w:pStyle w:val="FootnoteText"/>
        <w:rPr>
          <w:rFonts w:asciiTheme="majorHAnsi" w:hAnsiTheme="majorHAnsi" w:cstheme="majorHAnsi"/>
        </w:rPr>
      </w:pPr>
      <w:r w:rsidRPr="002113BD">
        <w:rPr>
          <w:rStyle w:val="FootnoteCharacters"/>
          <w:rFonts w:asciiTheme="majorHAnsi" w:hAnsiTheme="majorHAnsi" w:cstheme="majorHAnsi"/>
        </w:rPr>
        <w:footnoteRef/>
      </w:r>
      <w:r w:rsidRPr="002113BD">
        <w:rPr>
          <w:rFonts w:asciiTheme="majorHAnsi" w:hAnsiTheme="majorHAnsi" w:cstheme="majorHAnsi"/>
        </w:rPr>
        <w:t xml:space="preserve"> </w:t>
      </w:r>
      <w:hyperlink r:id="rId6">
        <w:r w:rsidRPr="002113BD">
          <w:rPr>
            <w:rStyle w:val="Hyperlink"/>
            <w:rFonts w:asciiTheme="majorHAnsi" w:hAnsiTheme="majorHAnsi" w:cstheme="majorHAnsi"/>
          </w:rPr>
          <w:t>https://www.irishtimes.com/news/ireland/irish-news/mother-and-baby-homes-government-wants-swift-redress-from-churches-1.4539791</w:t>
        </w:r>
      </w:hyperlink>
      <w:r w:rsidRPr="002113BD">
        <w:rPr>
          <w:rFonts w:asciiTheme="majorHAnsi" w:hAnsiTheme="majorHAnsi" w:cstheme="majorHAns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3EA4B" w14:textId="77777777" w:rsidR="00AD7A08" w:rsidRDefault="00AD7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E656B" w14:textId="77777777" w:rsidR="00AD7A08" w:rsidRDefault="00AD7A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0F6FB" w14:textId="46F81621" w:rsidR="00DB3795" w:rsidRDefault="00F76DDC">
    <w:pPr>
      <w:pStyle w:val="Header"/>
    </w:pPr>
    <w:r>
      <w:rPr>
        <w:noProof/>
        <w:lang w:eastAsia="en-GB"/>
      </w:rPr>
      <w:drawing>
        <wp:anchor distT="0" distB="0" distL="114300" distR="114300" simplePos="0" relativeHeight="251658240" behindDoc="0" locked="0" layoutInCell="1" allowOverlap="1" wp14:anchorId="1A2C82C2" wp14:editId="77DB4A26">
          <wp:simplePos x="0" y="0"/>
          <wp:positionH relativeFrom="page">
            <wp:posOffset>5179695</wp:posOffset>
          </wp:positionH>
          <wp:positionV relativeFrom="page">
            <wp:posOffset>-3643</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1">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DB3795">
      <w:rPr>
        <w:noProof/>
        <w:lang w:eastAsia="en-GB"/>
      </w:rPr>
      <w:drawing>
        <wp:anchor distT="0" distB="0" distL="114300" distR="114300" simplePos="0" relativeHeight="251659264" behindDoc="0" locked="0" layoutInCell="1" allowOverlap="1" wp14:anchorId="5A41DA32" wp14:editId="3675CFBF">
          <wp:simplePos x="0" y="0"/>
          <wp:positionH relativeFrom="page">
            <wp:posOffset>-8255</wp:posOffset>
          </wp:positionH>
          <wp:positionV relativeFrom="page">
            <wp:posOffset>5715</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2">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D6424"/>
    <w:multiLevelType w:val="multilevel"/>
    <w:tmpl w:val="29D05B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6CC2A5D"/>
    <w:multiLevelType w:val="multilevel"/>
    <w:tmpl w:val="D12E4F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F4968"/>
    <w:multiLevelType w:val="multilevel"/>
    <w:tmpl w:val="E174D4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B06787"/>
    <w:multiLevelType w:val="multilevel"/>
    <w:tmpl w:val="09DA42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A56AB7"/>
    <w:multiLevelType w:val="multilevel"/>
    <w:tmpl w:val="81CC0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87732B"/>
    <w:multiLevelType w:val="hybridMultilevel"/>
    <w:tmpl w:val="000AE4F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6" w15:restartNumberingAfterBreak="0">
    <w:nsid w:val="5915353A"/>
    <w:multiLevelType w:val="multilevel"/>
    <w:tmpl w:val="8648F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1A964B5"/>
    <w:multiLevelType w:val="hybridMultilevel"/>
    <w:tmpl w:val="6DFAB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AE1EFD"/>
    <w:multiLevelType w:val="multilevel"/>
    <w:tmpl w:val="EB665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EB64C5"/>
    <w:multiLevelType w:val="multilevel"/>
    <w:tmpl w:val="5672E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7042F2"/>
    <w:multiLevelType w:val="hybridMultilevel"/>
    <w:tmpl w:val="179633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7957AE"/>
    <w:multiLevelType w:val="multilevel"/>
    <w:tmpl w:val="E38C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414398"/>
    <w:multiLevelType w:val="multilevel"/>
    <w:tmpl w:val="CF0EE6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7C08A8"/>
    <w:multiLevelType w:val="multilevel"/>
    <w:tmpl w:val="A138797A"/>
    <w:lvl w:ilvl="0">
      <w:start w:val="1"/>
      <w:numFmt w:val="decimal"/>
      <w:lvlText w:val="%1."/>
      <w:lvlJc w:val="left"/>
      <w:pPr>
        <w:tabs>
          <w:tab w:val="num" w:pos="0"/>
        </w:tabs>
        <w:ind w:left="720"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num>
  <w:num w:numId="2">
    <w:abstractNumId w:val="10"/>
  </w:num>
  <w:num w:numId="3">
    <w:abstractNumId w:val="9"/>
  </w:num>
  <w:num w:numId="4">
    <w:abstractNumId w:val="8"/>
  </w:num>
  <w:num w:numId="5">
    <w:abstractNumId w:val="6"/>
  </w:num>
  <w:num w:numId="6">
    <w:abstractNumId w:val="11"/>
  </w:num>
  <w:num w:numId="7">
    <w:abstractNumId w:val="4"/>
  </w:num>
  <w:num w:numId="8">
    <w:abstractNumId w:val="1"/>
  </w:num>
  <w:num w:numId="9">
    <w:abstractNumId w:val="12"/>
  </w:num>
  <w:num w:numId="10">
    <w:abstractNumId w:val="3"/>
  </w:num>
  <w:num w:numId="11">
    <w:abstractNumId w:val="2"/>
  </w:num>
  <w:num w:numId="12">
    <w:abstractNumId w:val="5"/>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5C"/>
    <w:rsid w:val="000030CE"/>
    <w:rsid w:val="00015518"/>
    <w:rsid w:val="0006038A"/>
    <w:rsid w:val="00075B58"/>
    <w:rsid w:val="00077903"/>
    <w:rsid w:val="00086B57"/>
    <w:rsid w:val="000B6D2A"/>
    <w:rsid w:val="000B7B55"/>
    <w:rsid w:val="00143C18"/>
    <w:rsid w:val="0017755E"/>
    <w:rsid w:val="0018269F"/>
    <w:rsid w:val="001908EF"/>
    <w:rsid w:val="001C5BA9"/>
    <w:rsid w:val="001D5310"/>
    <w:rsid w:val="001D5932"/>
    <w:rsid w:val="00204D84"/>
    <w:rsid w:val="00206D69"/>
    <w:rsid w:val="002113BD"/>
    <w:rsid w:val="002458FF"/>
    <w:rsid w:val="002934A6"/>
    <w:rsid w:val="002F3DCB"/>
    <w:rsid w:val="00342FD8"/>
    <w:rsid w:val="00362BCF"/>
    <w:rsid w:val="003E6923"/>
    <w:rsid w:val="004500EB"/>
    <w:rsid w:val="004C1E60"/>
    <w:rsid w:val="004D1C55"/>
    <w:rsid w:val="00563011"/>
    <w:rsid w:val="005942EF"/>
    <w:rsid w:val="005D6FAD"/>
    <w:rsid w:val="005E0E7E"/>
    <w:rsid w:val="006030B1"/>
    <w:rsid w:val="006370FF"/>
    <w:rsid w:val="006945E7"/>
    <w:rsid w:val="00752C9A"/>
    <w:rsid w:val="007904A2"/>
    <w:rsid w:val="00790869"/>
    <w:rsid w:val="007B17E3"/>
    <w:rsid w:val="007B62C0"/>
    <w:rsid w:val="007E4286"/>
    <w:rsid w:val="008741C9"/>
    <w:rsid w:val="00895AAC"/>
    <w:rsid w:val="008D5346"/>
    <w:rsid w:val="009531C9"/>
    <w:rsid w:val="00986F7C"/>
    <w:rsid w:val="009D3D14"/>
    <w:rsid w:val="009D5DAF"/>
    <w:rsid w:val="009F4524"/>
    <w:rsid w:val="00A0515C"/>
    <w:rsid w:val="00A776AC"/>
    <w:rsid w:val="00A862A4"/>
    <w:rsid w:val="00AD7A08"/>
    <w:rsid w:val="00B376DB"/>
    <w:rsid w:val="00B70A71"/>
    <w:rsid w:val="00BA0EAB"/>
    <w:rsid w:val="00BC6BC9"/>
    <w:rsid w:val="00C12918"/>
    <w:rsid w:val="00C33C34"/>
    <w:rsid w:val="00C51928"/>
    <w:rsid w:val="00C52D91"/>
    <w:rsid w:val="00C5545C"/>
    <w:rsid w:val="00D4238C"/>
    <w:rsid w:val="00D74C9D"/>
    <w:rsid w:val="00DA2E7C"/>
    <w:rsid w:val="00DB3795"/>
    <w:rsid w:val="00DD15F4"/>
    <w:rsid w:val="00E10CF7"/>
    <w:rsid w:val="00E309F2"/>
    <w:rsid w:val="00E62621"/>
    <w:rsid w:val="00EE57F6"/>
    <w:rsid w:val="00F36735"/>
    <w:rsid w:val="00F72BFA"/>
    <w:rsid w:val="00F76DDC"/>
    <w:rsid w:val="00F82855"/>
    <w:rsid w:val="00F84A4B"/>
    <w:rsid w:val="00FB0522"/>
    <w:rsid w:val="00FC0470"/>
    <w:rsid w:val="00FF49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1196E26"/>
  <w14:defaultImageDpi w14:val="300"/>
  <w15:docId w15:val="{169F088A-3ABE-448D-8739-C3A7D3693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9D5DAF"/>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fstedQuote">
    <w:name w:val="Ofsted Quote"/>
    <w:basedOn w:val="Normal"/>
    <w:qFormat/>
    <w:rsid w:val="00D74C9D"/>
    <w:pPr>
      <w:spacing w:after="160" w:line="276" w:lineRule="auto"/>
      <w:ind w:left="113" w:hanging="113"/>
    </w:pPr>
    <w:rPr>
      <w:rFonts w:ascii="Calibri" w:eastAsiaTheme="minorHAnsi" w:hAnsi="Calibri"/>
    </w:rPr>
  </w:style>
  <w:style w:type="paragraph" w:customStyle="1" w:styleId="Gap">
    <w:name w:val="Gap"/>
    <w:basedOn w:val="Normal"/>
    <w:autoRedefine/>
    <w:qFormat/>
    <w:rsid w:val="007B62C0"/>
    <w:rPr>
      <w:rFonts w:ascii="Calibri" w:eastAsia="MS Mincho" w:hAnsi="Calibri" w:cs="Times New Roman"/>
      <w:color w:val="888B8D"/>
      <w:sz w:val="16"/>
      <w:szCs w:val="16"/>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character" w:styleId="Hyperlink">
    <w:name w:val="Hyperlink"/>
    <w:basedOn w:val="DefaultParagraphFont"/>
    <w:uiPriority w:val="99"/>
    <w:unhideWhenUsed/>
    <w:rsid w:val="006370FF"/>
    <w:rPr>
      <w:color w:val="0000FF" w:themeColor="hyperlink"/>
      <w:u w:val="single"/>
    </w:rPr>
  </w:style>
  <w:style w:type="character" w:customStyle="1" w:styleId="UnresolvedMention1">
    <w:name w:val="Unresolved Mention1"/>
    <w:basedOn w:val="DefaultParagraphFont"/>
    <w:uiPriority w:val="99"/>
    <w:semiHidden/>
    <w:unhideWhenUsed/>
    <w:rsid w:val="006370FF"/>
    <w:rPr>
      <w:color w:val="605E5C"/>
      <w:shd w:val="clear" w:color="auto" w:fill="E1DFDD"/>
    </w:rPr>
  </w:style>
  <w:style w:type="paragraph" w:styleId="FootnoteText">
    <w:name w:val="footnote text"/>
    <w:basedOn w:val="Normal"/>
    <w:link w:val="FootnoteTextChar"/>
    <w:uiPriority w:val="99"/>
    <w:semiHidden/>
    <w:unhideWhenUsed/>
    <w:rsid w:val="004C1E60"/>
    <w:rPr>
      <w:sz w:val="20"/>
      <w:szCs w:val="20"/>
    </w:rPr>
  </w:style>
  <w:style w:type="character" w:customStyle="1" w:styleId="FootnoteTextChar">
    <w:name w:val="Footnote Text Char"/>
    <w:basedOn w:val="DefaultParagraphFont"/>
    <w:link w:val="FootnoteText"/>
    <w:uiPriority w:val="99"/>
    <w:semiHidden/>
    <w:qFormat/>
    <w:rsid w:val="004C1E60"/>
    <w:rPr>
      <w:sz w:val="20"/>
      <w:szCs w:val="20"/>
      <w:lang w:val="en-GB"/>
    </w:rPr>
  </w:style>
  <w:style w:type="character" w:styleId="FootnoteReference">
    <w:name w:val="footnote reference"/>
    <w:basedOn w:val="DefaultParagraphFont"/>
    <w:uiPriority w:val="99"/>
    <w:semiHidden/>
    <w:unhideWhenUsed/>
    <w:rsid w:val="004C1E60"/>
    <w:rPr>
      <w:vertAlign w:val="superscript"/>
    </w:rPr>
  </w:style>
  <w:style w:type="paragraph" w:styleId="ListParagraph">
    <w:name w:val="List Paragraph"/>
    <w:basedOn w:val="Normal"/>
    <w:uiPriority w:val="34"/>
    <w:qFormat/>
    <w:rsid w:val="00895AAC"/>
    <w:pPr>
      <w:ind w:left="720"/>
      <w:contextualSpacing/>
    </w:pPr>
  </w:style>
  <w:style w:type="character" w:styleId="CommentReference">
    <w:name w:val="annotation reference"/>
    <w:basedOn w:val="DefaultParagraphFont"/>
    <w:uiPriority w:val="99"/>
    <w:semiHidden/>
    <w:unhideWhenUsed/>
    <w:rsid w:val="00FC0470"/>
    <w:rPr>
      <w:sz w:val="16"/>
      <w:szCs w:val="16"/>
    </w:rPr>
  </w:style>
  <w:style w:type="paragraph" w:styleId="CommentText">
    <w:name w:val="annotation text"/>
    <w:basedOn w:val="Normal"/>
    <w:link w:val="CommentTextChar"/>
    <w:uiPriority w:val="99"/>
    <w:semiHidden/>
    <w:unhideWhenUsed/>
    <w:rsid w:val="00FC0470"/>
    <w:rPr>
      <w:sz w:val="20"/>
      <w:szCs w:val="20"/>
    </w:rPr>
  </w:style>
  <w:style w:type="character" w:customStyle="1" w:styleId="CommentTextChar">
    <w:name w:val="Comment Text Char"/>
    <w:basedOn w:val="DefaultParagraphFont"/>
    <w:link w:val="CommentText"/>
    <w:uiPriority w:val="99"/>
    <w:semiHidden/>
    <w:rsid w:val="00FC0470"/>
    <w:rPr>
      <w:sz w:val="20"/>
      <w:szCs w:val="20"/>
      <w:lang w:val="en-GB"/>
    </w:rPr>
  </w:style>
  <w:style w:type="paragraph" w:styleId="CommentSubject">
    <w:name w:val="annotation subject"/>
    <w:basedOn w:val="CommentText"/>
    <w:next w:val="CommentText"/>
    <w:link w:val="CommentSubjectChar"/>
    <w:uiPriority w:val="99"/>
    <w:semiHidden/>
    <w:unhideWhenUsed/>
    <w:rsid w:val="00FC0470"/>
    <w:rPr>
      <w:b/>
      <w:bCs/>
    </w:rPr>
  </w:style>
  <w:style w:type="character" w:customStyle="1" w:styleId="CommentSubjectChar">
    <w:name w:val="Comment Subject Char"/>
    <w:basedOn w:val="CommentTextChar"/>
    <w:link w:val="CommentSubject"/>
    <w:uiPriority w:val="99"/>
    <w:semiHidden/>
    <w:rsid w:val="00FC0470"/>
    <w:rPr>
      <w:b/>
      <w:bCs/>
      <w:sz w:val="20"/>
      <w:szCs w:val="20"/>
      <w:lang w:val="en-GB"/>
    </w:rPr>
  </w:style>
  <w:style w:type="character" w:styleId="FollowedHyperlink">
    <w:name w:val="FollowedHyperlink"/>
    <w:basedOn w:val="DefaultParagraphFont"/>
    <w:uiPriority w:val="99"/>
    <w:semiHidden/>
    <w:unhideWhenUsed/>
    <w:rsid w:val="004D1C55"/>
    <w:rPr>
      <w:color w:val="800080" w:themeColor="followedHyperlink"/>
      <w:u w:val="single"/>
    </w:rPr>
  </w:style>
  <w:style w:type="character" w:customStyle="1" w:styleId="apple-converted-space">
    <w:name w:val="apple-converted-space"/>
    <w:basedOn w:val="DefaultParagraphFont"/>
    <w:rsid w:val="006030B1"/>
  </w:style>
  <w:style w:type="character" w:customStyle="1" w:styleId="Heading1Char">
    <w:name w:val="Heading 1 Char"/>
    <w:basedOn w:val="DefaultParagraphFont"/>
    <w:link w:val="Heading1"/>
    <w:uiPriority w:val="9"/>
    <w:rsid w:val="009D5DAF"/>
    <w:rPr>
      <w:rFonts w:asciiTheme="majorHAnsi" w:eastAsiaTheme="majorEastAsia" w:hAnsiTheme="majorHAnsi" w:cstheme="majorBidi"/>
      <w:color w:val="365F91" w:themeColor="accent1" w:themeShade="BF"/>
      <w:sz w:val="32"/>
      <w:szCs w:val="32"/>
      <w:lang w:val="en-GB"/>
    </w:rPr>
  </w:style>
  <w:style w:type="character" w:customStyle="1" w:styleId="UnresolvedMention">
    <w:name w:val="Unresolved Mention"/>
    <w:basedOn w:val="DefaultParagraphFont"/>
    <w:uiPriority w:val="99"/>
    <w:semiHidden/>
    <w:unhideWhenUsed/>
    <w:rsid w:val="009D5DAF"/>
    <w:rPr>
      <w:color w:val="605E5C"/>
      <w:shd w:val="clear" w:color="auto" w:fill="E1DFDD"/>
    </w:rPr>
  </w:style>
  <w:style w:type="character" w:customStyle="1" w:styleId="FootnoteCharacters">
    <w:name w:val="Footnote Characters"/>
    <w:basedOn w:val="DefaultParagraphFont"/>
    <w:uiPriority w:val="99"/>
    <w:semiHidden/>
    <w:unhideWhenUsed/>
    <w:qFormat/>
    <w:rsid w:val="00563011"/>
    <w:rPr>
      <w:vertAlign w:val="superscript"/>
    </w:rPr>
  </w:style>
  <w:style w:type="character" w:customStyle="1" w:styleId="FootnoteAnchor">
    <w:name w:val="Footnote Anchor"/>
    <w:rsid w:val="00563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2863">
      <w:bodyDiv w:val="1"/>
      <w:marLeft w:val="0"/>
      <w:marRight w:val="0"/>
      <w:marTop w:val="0"/>
      <w:marBottom w:val="0"/>
      <w:divBdr>
        <w:top w:val="none" w:sz="0" w:space="0" w:color="auto"/>
        <w:left w:val="none" w:sz="0" w:space="0" w:color="auto"/>
        <w:bottom w:val="none" w:sz="0" w:space="0" w:color="auto"/>
        <w:right w:val="none" w:sz="0" w:space="0" w:color="auto"/>
      </w:divBdr>
    </w:div>
    <w:div w:id="99181213">
      <w:bodyDiv w:val="1"/>
      <w:marLeft w:val="0"/>
      <w:marRight w:val="0"/>
      <w:marTop w:val="0"/>
      <w:marBottom w:val="0"/>
      <w:divBdr>
        <w:top w:val="none" w:sz="0" w:space="0" w:color="auto"/>
        <w:left w:val="none" w:sz="0" w:space="0" w:color="auto"/>
        <w:bottom w:val="none" w:sz="0" w:space="0" w:color="auto"/>
        <w:right w:val="none" w:sz="0" w:space="0" w:color="auto"/>
      </w:divBdr>
    </w:div>
    <w:div w:id="104271523">
      <w:bodyDiv w:val="1"/>
      <w:marLeft w:val="0"/>
      <w:marRight w:val="0"/>
      <w:marTop w:val="0"/>
      <w:marBottom w:val="0"/>
      <w:divBdr>
        <w:top w:val="none" w:sz="0" w:space="0" w:color="auto"/>
        <w:left w:val="none" w:sz="0" w:space="0" w:color="auto"/>
        <w:bottom w:val="none" w:sz="0" w:space="0" w:color="auto"/>
        <w:right w:val="none" w:sz="0" w:space="0" w:color="auto"/>
      </w:divBdr>
    </w:div>
    <w:div w:id="337463925">
      <w:bodyDiv w:val="1"/>
      <w:marLeft w:val="0"/>
      <w:marRight w:val="0"/>
      <w:marTop w:val="0"/>
      <w:marBottom w:val="0"/>
      <w:divBdr>
        <w:top w:val="none" w:sz="0" w:space="0" w:color="auto"/>
        <w:left w:val="none" w:sz="0" w:space="0" w:color="auto"/>
        <w:bottom w:val="none" w:sz="0" w:space="0" w:color="auto"/>
        <w:right w:val="none" w:sz="0" w:space="0" w:color="auto"/>
      </w:divBdr>
    </w:div>
    <w:div w:id="445850859">
      <w:bodyDiv w:val="1"/>
      <w:marLeft w:val="0"/>
      <w:marRight w:val="0"/>
      <w:marTop w:val="0"/>
      <w:marBottom w:val="0"/>
      <w:divBdr>
        <w:top w:val="none" w:sz="0" w:space="0" w:color="auto"/>
        <w:left w:val="none" w:sz="0" w:space="0" w:color="auto"/>
        <w:bottom w:val="none" w:sz="0" w:space="0" w:color="auto"/>
        <w:right w:val="none" w:sz="0" w:space="0" w:color="auto"/>
      </w:divBdr>
    </w:div>
    <w:div w:id="487985362">
      <w:bodyDiv w:val="1"/>
      <w:marLeft w:val="0"/>
      <w:marRight w:val="0"/>
      <w:marTop w:val="0"/>
      <w:marBottom w:val="0"/>
      <w:divBdr>
        <w:top w:val="none" w:sz="0" w:space="0" w:color="auto"/>
        <w:left w:val="none" w:sz="0" w:space="0" w:color="auto"/>
        <w:bottom w:val="none" w:sz="0" w:space="0" w:color="auto"/>
        <w:right w:val="none" w:sz="0" w:space="0" w:color="auto"/>
      </w:divBdr>
      <w:divsChild>
        <w:div w:id="1056585089">
          <w:marLeft w:val="0"/>
          <w:marRight w:val="0"/>
          <w:marTop w:val="0"/>
          <w:marBottom w:val="0"/>
          <w:divBdr>
            <w:top w:val="none" w:sz="0" w:space="0" w:color="auto"/>
            <w:left w:val="none" w:sz="0" w:space="0" w:color="auto"/>
            <w:bottom w:val="none" w:sz="0" w:space="0" w:color="auto"/>
            <w:right w:val="none" w:sz="0" w:space="0" w:color="auto"/>
          </w:divBdr>
          <w:divsChild>
            <w:div w:id="533007746">
              <w:marLeft w:val="0"/>
              <w:marRight w:val="0"/>
              <w:marTop w:val="0"/>
              <w:marBottom w:val="0"/>
              <w:divBdr>
                <w:top w:val="none" w:sz="0" w:space="0" w:color="auto"/>
                <w:left w:val="none" w:sz="0" w:space="0" w:color="auto"/>
                <w:bottom w:val="none" w:sz="0" w:space="0" w:color="auto"/>
                <w:right w:val="none" w:sz="0" w:space="0" w:color="auto"/>
              </w:divBdr>
              <w:divsChild>
                <w:div w:id="108665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694884392">
      <w:bodyDiv w:val="1"/>
      <w:marLeft w:val="0"/>
      <w:marRight w:val="0"/>
      <w:marTop w:val="0"/>
      <w:marBottom w:val="0"/>
      <w:divBdr>
        <w:top w:val="none" w:sz="0" w:space="0" w:color="auto"/>
        <w:left w:val="none" w:sz="0" w:space="0" w:color="auto"/>
        <w:bottom w:val="none" w:sz="0" w:space="0" w:color="auto"/>
        <w:right w:val="none" w:sz="0" w:space="0" w:color="auto"/>
      </w:divBdr>
    </w:div>
    <w:div w:id="766582988">
      <w:bodyDiv w:val="1"/>
      <w:marLeft w:val="0"/>
      <w:marRight w:val="0"/>
      <w:marTop w:val="0"/>
      <w:marBottom w:val="0"/>
      <w:divBdr>
        <w:top w:val="none" w:sz="0" w:space="0" w:color="auto"/>
        <w:left w:val="none" w:sz="0" w:space="0" w:color="auto"/>
        <w:bottom w:val="none" w:sz="0" w:space="0" w:color="auto"/>
        <w:right w:val="none" w:sz="0" w:space="0" w:color="auto"/>
      </w:divBdr>
    </w:div>
    <w:div w:id="799227711">
      <w:bodyDiv w:val="1"/>
      <w:marLeft w:val="0"/>
      <w:marRight w:val="0"/>
      <w:marTop w:val="0"/>
      <w:marBottom w:val="0"/>
      <w:divBdr>
        <w:top w:val="none" w:sz="0" w:space="0" w:color="auto"/>
        <w:left w:val="none" w:sz="0" w:space="0" w:color="auto"/>
        <w:bottom w:val="none" w:sz="0" w:space="0" w:color="auto"/>
        <w:right w:val="none" w:sz="0" w:space="0" w:color="auto"/>
      </w:divBdr>
      <w:divsChild>
        <w:div w:id="720518116">
          <w:marLeft w:val="0"/>
          <w:marRight w:val="0"/>
          <w:marTop w:val="0"/>
          <w:marBottom w:val="0"/>
          <w:divBdr>
            <w:top w:val="none" w:sz="0" w:space="0" w:color="auto"/>
            <w:left w:val="none" w:sz="0" w:space="0" w:color="auto"/>
            <w:bottom w:val="none" w:sz="0" w:space="0" w:color="auto"/>
            <w:right w:val="none" w:sz="0" w:space="0" w:color="auto"/>
          </w:divBdr>
          <w:divsChild>
            <w:div w:id="2074811535">
              <w:marLeft w:val="0"/>
              <w:marRight w:val="0"/>
              <w:marTop w:val="0"/>
              <w:marBottom w:val="0"/>
              <w:divBdr>
                <w:top w:val="none" w:sz="0" w:space="0" w:color="auto"/>
                <w:left w:val="none" w:sz="0" w:space="0" w:color="auto"/>
                <w:bottom w:val="none" w:sz="0" w:space="0" w:color="auto"/>
                <w:right w:val="none" w:sz="0" w:space="0" w:color="auto"/>
              </w:divBdr>
              <w:divsChild>
                <w:div w:id="78019045">
                  <w:marLeft w:val="0"/>
                  <w:marRight w:val="0"/>
                  <w:marTop w:val="0"/>
                  <w:marBottom w:val="0"/>
                  <w:divBdr>
                    <w:top w:val="none" w:sz="0" w:space="0" w:color="auto"/>
                    <w:left w:val="none" w:sz="0" w:space="0" w:color="auto"/>
                    <w:bottom w:val="none" w:sz="0" w:space="0" w:color="auto"/>
                    <w:right w:val="none" w:sz="0" w:space="0" w:color="auto"/>
                  </w:divBdr>
                  <w:divsChild>
                    <w:div w:id="121080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995112851">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547330643">
      <w:bodyDiv w:val="1"/>
      <w:marLeft w:val="0"/>
      <w:marRight w:val="0"/>
      <w:marTop w:val="0"/>
      <w:marBottom w:val="0"/>
      <w:divBdr>
        <w:top w:val="none" w:sz="0" w:space="0" w:color="auto"/>
        <w:left w:val="none" w:sz="0" w:space="0" w:color="auto"/>
        <w:bottom w:val="none" w:sz="0" w:space="0" w:color="auto"/>
        <w:right w:val="none" w:sz="0" w:space="0" w:color="auto"/>
      </w:divBdr>
    </w:div>
    <w:div w:id="1565873058">
      <w:bodyDiv w:val="1"/>
      <w:marLeft w:val="0"/>
      <w:marRight w:val="0"/>
      <w:marTop w:val="0"/>
      <w:marBottom w:val="0"/>
      <w:divBdr>
        <w:top w:val="none" w:sz="0" w:space="0" w:color="auto"/>
        <w:left w:val="none" w:sz="0" w:space="0" w:color="auto"/>
        <w:bottom w:val="none" w:sz="0" w:space="0" w:color="auto"/>
        <w:right w:val="none" w:sz="0" w:space="0" w:color="auto"/>
      </w:divBdr>
    </w:div>
    <w:div w:id="1772430142">
      <w:bodyDiv w:val="1"/>
      <w:marLeft w:val="0"/>
      <w:marRight w:val="0"/>
      <w:marTop w:val="0"/>
      <w:marBottom w:val="0"/>
      <w:divBdr>
        <w:top w:val="none" w:sz="0" w:space="0" w:color="auto"/>
        <w:left w:val="none" w:sz="0" w:space="0" w:color="auto"/>
        <w:bottom w:val="none" w:sz="0" w:space="0" w:color="auto"/>
        <w:right w:val="none" w:sz="0" w:space="0" w:color="auto"/>
      </w:divBdr>
      <w:divsChild>
        <w:div w:id="817840038">
          <w:marLeft w:val="0"/>
          <w:marRight w:val="0"/>
          <w:marTop w:val="0"/>
          <w:marBottom w:val="0"/>
          <w:divBdr>
            <w:top w:val="none" w:sz="0" w:space="0" w:color="auto"/>
            <w:left w:val="none" w:sz="0" w:space="0" w:color="auto"/>
            <w:bottom w:val="none" w:sz="0" w:space="0" w:color="auto"/>
            <w:right w:val="none" w:sz="0" w:space="0" w:color="auto"/>
          </w:divBdr>
          <w:divsChild>
            <w:div w:id="1817259760">
              <w:marLeft w:val="0"/>
              <w:marRight w:val="0"/>
              <w:marTop w:val="0"/>
              <w:marBottom w:val="0"/>
              <w:divBdr>
                <w:top w:val="none" w:sz="0" w:space="0" w:color="auto"/>
                <w:left w:val="none" w:sz="0" w:space="0" w:color="auto"/>
                <w:bottom w:val="none" w:sz="0" w:space="0" w:color="auto"/>
                <w:right w:val="none" w:sz="0" w:space="0" w:color="auto"/>
              </w:divBdr>
              <w:divsChild>
                <w:div w:id="1414664663">
                  <w:marLeft w:val="0"/>
                  <w:marRight w:val="0"/>
                  <w:marTop w:val="0"/>
                  <w:marBottom w:val="0"/>
                  <w:divBdr>
                    <w:top w:val="none" w:sz="0" w:space="0" w:color="auto"/>
                    <w:left w:val="none" w:sz="0" w:space="0" w:color="auto"/>
                    <w:bottom w:val="none" w:sz="0" w:space="0" w:color="auto"/>
                    <w:right w:val="none" w:sz="0" w:space="0" w:color="auto"/>
                  </w:divBdr>
                  <w:divsChild>
                    <w:div w:id="1655183294">
                      <w:marLeft w:val="0"/>
                      <w:marRight w:val="0"/>
                      <w:marTop w:val="0"/>
                      <w:marBottom w:val="0"/>
                      <w:divBdr>
                        <w:top w:val="none" w:sz="0" w:space="0" w:color="auto"/>
                        <w:left w:val="none" w:sz="0" w:space="0" w:color="auto"/>
                        <w:bottom w:val="none" w:sz="0" w:space="0" w:color="auto"/>
                        <w:right w:val="none" w:sz="0" w:space="0" w:color="auto"/>
                      </w:divBdr>
                    </w:div>
                  </w:divsChild>
                </w:div>
                <w:div w:id="2052604420">
                  <w:marLeft w:val="0"/>
                  <w:marRight w:val="0"/>
                  <w:marTop w:val="0"/>
                  <w:marBottom w:val="0"/>
                  <w:divBdr>
                    <w:top w:val="none" w:sz="0" w:space="0" w:color="auto"/>
                    <w:left w:val="none" w:sz="0" w:space="0" w:color="auto"/>
                    <w:bottom w:val="none" w:sz="0" w:space="0" w:color="auto"/>
                    <w:right w:val="none" w:sz="0" w:space="0" w:color="auto"/>
                  </w:divBdr>
                  <w:divsChild>
                    <w:div w:id="2140491581">
                      <w:marLeft w:val="0"/>
                      <w:marRight w:val="0"/>
                      <w:marTop w:val="0"/>
                      <w:marBottom w:val="0"/>
                      <w:divBdr>
                        <w:top w:val="none" w:sz="0" w:space="0" w:color="auto"/>
                        <w:left w:val="none" w:sz="0" w:space="0" w:color="auto"/>
                        <w:bottom w:val="none" w:sz="0" w:space="0" w:color="auto"/>
                        <w:right w:val="none" w:sz="0" w:space="0" w:color="auto"/>
                      </w:divBdr>
                    </w:div>
                  </w:divsChild>
                </w:div>
                <w:div w:id="1865827292">
                  <w:marLeft w:val="0"/>
                  <w:marRight w:val="0"/>
                  <w:marTop w:val="0"/>
                  <w:marBottom w:val="0"/>
                  <w:divBdr>
                    <w:top w:val="none" w:sz="0" w:space="0" w:color="auto"/>
                    <w:left w:val="none" w:sz="0" w:space="0" w:color="auto"/>
                    <w:bottom w:val="none" w:sz="0" w:space="0" w:color="auto"/>
                    <w:right w:val="none" w:sz="0" w:space="0" w:color="auto"/>
                  </w:divBdr>
                  <w:divsChild>
                    <w:div w:id="571744319">
                      <w:marLeft w:val="0"/>
                      <w:marRight w:val="0"/>
                      <w:marTop w:val="0"/>
                      <w:marBottom w:val="0"/>
                      <w:divBdr>
                        <w:top w:val="none" w:sz="0" w:space="0" w:color="auto"/>
                        <w:left w:val="none" w:sz="0" w:space="0" w:color="auto"/>
                        <w:bottom w:val="none" w:sz="0" w:space="0" w:color="auto"/>
                        <w:right w:val="none" w:sz="0" w:space="0" w:color="auto"/>
                      </w:divBdr>
                    </w:div>
                    <w:div w:id="754860069">
                      <w:marLeft w:val="0"/>
                      <w:marRight w:val="0"/>
                      <w:marTop w:val="0"/>
                      <w:marBottom w:val="0"/>
                      <w:divBdr>
                        <w:top w:val="none" w:sz="0" w:space="0" w:color="auto"/>
                        <w:left w:val="none" w:sz="0" w:space="0" w:color="auto"/>
                        <w:bottom w:val="none" w:sz="0" w:space="0" w:color="auto"/>
                        <w:right w:val="none" w:sz="0" w:space="0" w:color="auto"/>
                      </w:divBdr>
                    </w:div>
                  </w:divsChild>
                </w:div>
                <w:div w:id="1285581881">
                  <w:marLeft w:val="0"/>
                  <w:marRight w:val="0"/>
                  <w:marTop w:val="0"/>
                  <w:marBottom w:val="0"/>
                  <w:divBdr>
                    <w:top w:val="none" w:sz="0" w:space="0" w:color="auto"/>
                    <w:left w:val="none" w:sz="0" w:space="0" w:color="auto"/>
                    <w:bottom w:val="none" w:sz="0" w:space="0" w:color="auto"/>
                    <w:right w:val="none" w:sz="0" w:space="0" w:color="auto"/>
                  </w:divBdr>
                  <w:divsChild>
                    <w:div w:id="170918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452102">
      <w:bodyDiv w:val="1"/>
      <w:marLeft w:val="0"/>
      <w:marRight w:val="0"/>
      <w:marTop w:val="0"/>
      <w:marBottom w:val="0"/>
      <w:divBdr>
        <w:top w:val="none" w:sz="0" w:space="0" w:color="auto"/>
        <w:left w:val="none" w:sz="0" w:space="0" w:color="auto"/>
        <w:bottom w:val="none" w:sz="0" w:space="0" w:color="auto"/>
        <w:right w:val="none" w:sz="0" w:space="0" w:color="auto"/>
      </w:divBdr>
    </w:div>
    <w:div w:id="2004353635">
      <w:bodyDiv w:val="1"/>
      <w:marLeft w:val="0"/>
      <w:marRight w:val="0"/>
      <w:marTop w:val="0"/>
      <w:marBottom w:val="0"/>
      <w:divBdr>
        <w:top w:val="none" w:sz="0" w:space="0" w:color="auto"/>
        <w:left w:val="none" w:sz="0" w:space="0" w:color="auto"/>
        <w:bottom w:val="none" w:sz="0" w:space="0" w:color="auto"/>
        <w:right w:val="none" w:sz="0" w:space="0" w:color="auto"/>
      </w:divBdr>
      <w:divsChild>
        <w:div w:id="923075404">
          <w:marLeft w:val="0"/>
          <w:marRight w:val="0"/>
          <w:marTop w:val="0"/>
          <w:marBottom w:val="0"/>
          <w:divBdr>
            <w:top w:val="none" w:sz="0" w:space="0" w:color="auto"/>
            <w:left w:val="none" w:sz="0" w:space="0" w:color="auto"/>
            <w:bottom w:val="none" w:sz="0" w:space="0" w:color="auto"/>
            <w:right w:val="none" w:sz="0" w:space="0" w:color="auto"/>
          </w:divBdr>
          <w:divsChild>
            <w:div w:id="122309118">
              <w:marLeft w:val="0"/>
              <w:marRight w:val="0"/>
              <w:marTop w:val="0"/>
              <w:marBottom w:val="0"/>
              <w:divBdr>
                <w:top w:val="none" w:sz="0" w:space="0" w:color="auto"/>
                <w:left w:val="none" w:sz="0" w:space="0" w:color="auto"/>
                <w:bottom w:val="none" w:sz="0" w:space="0" w:color="auto"/>
                <w:right w:val="none" w:sz="0" w:space="0" w:color="auto"/>
              </w:divBdr>
              <w:divsChild>
                <w:div w:id="174522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18605">
      <w:bodyDiv w:val="1"/>
      <w:marLeft w:val="0"/>
      <w:marRight w:val="0"/>
      <w:marTop w:val="0"/>
      <w:marBottom w:val="0"/>
      <w:divBdr>
        <w:top w:val="none" w:sz="0" w:space="0" w:color="auto"/>
        <w:left w:val="none" w:sz="0" w:space="0" w:color="auto"/>
        <w:bottom w:val="none" w:sz="0" w:space="0" w:color="auto"/>
        <w:right w:val="none" w:sz="0" w:space="0" w:color="auto"/>
      </w:divBdr>
      <w:divsChild>
        <w:div w:id="1672172573">
          <w:marLeft w:val="0"/>
          <w:marRight w:val="0"/>
          <w:marTop w:val="0"/>
          <w:marBottom w:val="0"/>
          <w:divBdr>
            <w:top w:val="none" w:sz="0" w:space="0" w:color="auto"/>
            <w:left w:val="none" w:sz="0" w:space="0" w:color="auto"/>
            <w:bottom w:val="none" w:sz="0" w:space="0" w:color="auto"/>
            <w:right w:val="none" w:sz="0" w:space="0" w:color="auto"/>
          </w:divBdr>
          <w:divsChild>
            <w:div w:id="1027482352">
              <w:marLeft w:val="0"/>
              <w:marRight w:val="0"/>
              <w:marTop w:val="0"/>
              <w:marBottom w:val="0"/>
              <w:divBdr>
                <w:top w:val="none" w:sz="0" w:space="0" w:color="auto"/>
                <w:left w:val="none" w:sz="0" w:space="0" w:color="auto"/>
                <w:bottom w:val="none" w:sz="0" w:space="0" w:color="auto"/>
                <w:right w:val="none" w:sz="0" w:space="0" w:color="auto"/>
              </w:divBdr>
              <w:divsChild>
                <w:div w:id="149633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dmin@secularism.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irishtimes.com/news/social-affairs/report-a-damning-indictment-of-church-and-state-survivors-group-1.4456565" TargetMode="External"/><Relationship Id="rId2" Type="http://schemas.openxmlformats.org/officeDocument/2006/relationships/hyperlink" Target="https://www.irishtimes.com/news/social-affairs/report-a-damning-indictment-of-church-and-state-survivors-group-1.4456565" TargetMode="External"/><Relationship Id="rId1" Type="http://schemas.openxmlformats.org/officeDocument/2006/relationships/hyperlink" Target="https://assets.gov.ie/118565/107bab7e-45aa-4124-95fd-1460893dbb43.pdf" TargetMode="External"/><Relationship Id="rId6" Type="http://schemas.openxmlformats.org/officeDocument/2006/relationships/hyperlink" Target="https://www.irishtimes.com/news/ireland/irish-news/mother-and-baby-homes-government-wants-swift-redress-from-churches-1.4539791" TargetMode="External"/><Relationship Id="rId5" Type="http://schemas.openxmlformats.org/officeDocument/2006/relationships/hyperlink" Target="https://www.theirishworld.com/mother-and-baby-homes-2/" TargetMode="External"/><Relationship Id="rId4" Type="http://schemas.openxmlformats.org/officeDocument/2006/relationships/hyperlink" Target="https://www.independent.ie/irish-news/news/legal-bid-made-to-remove-restrictions-in-mother-and-baby-homes-redress-scheme-41626786.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239B2-F815-4B05-BC41-CE65D222BB09}"/>
</file>

<file path=customXml/itemProps2.xml><?xml version="1.0" encoding="utf-8"?>
<ds:datastoreItem xmlns:ds="http://schemas.openxmlformats.org/officeDocument/2006/customXml" ds:itemID="{910936D9-F679-4AD9-B69C-3DDDED9D6C7B}">
  <ds:schemaRefs>
    <ds:schemaRef ds:uri="dfedd4bd-6878-4275-af23-e377f86b008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69b221a-0216-413a-8410-439dfb06457d"/>
    <ds:schemaRef ds:uri="http://www.w3.org/XML/1998/namespace"/>
    <ds:schemaRef ds:uri="http://purl.org/dc/dcmitype/"/>
  </ds:schemaRefs>
</ds:datastoreItem>
</file>

<file path=customXml/itemProps3.xml><?xml version="1.0" encoding="utf-8"?>
<ds:datastoreItem xmlns:ds="http://schemas.openxmlformats.org/officeDocument/2006/customXml" ds:itemID="{FBE48064-29FB-4CAD-B0C0-A4BEA78249E5}">
  <ds:schemaRefs>
    <ds:schemaRef ds:uri="http://schemas.microsoft.com/sharepoint/v3/contenttype/forms"/>
  </ds:schemaRefs>
</ds:datastoreItem>
</file>

<file path=customXml/itemProps4.xml><?xml version="1.0" encoding="utf-8"?>
<ds:datastoreItem xmlns:ds="http://schemas.openxmlformats.org/officeDocument/2006/customXml" ds:itemID="{5B925A03-BD1B-4497-AA4A-5EF28EC78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1784</Words>
  <Characters>10172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11933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BOIT James</cp:lastModifiedBy>
  <cp:revision>2</cp:revision>
  <cp:lastPrinted>2022-08-22T08:37:00Z</cp:lastPrinted>
  <dcterms:created xsi:type="dcterms:W3CDTF">2022-09-27T07:05:00Z</dcterms:created>
  <dcterms:modified xsi:type="dcterms:W3CDTF">2022-09-27T07:05:00Z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