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0AFF20" w14:textId="77777777" w:rsidR="001C34AD" w:rsidRPr="0016238D" w:rsidRDefault="001C34AD" w:rsidP="002901C5">
      <w:pPr>
        <w:jc w:val="both"/>
        <w:rPr>
          <w:rFonts w:ascii="Times New Roman" w:hAnsi="Times New Roman" w:cs="Times New Roman"/>
          <w:b/>
          <w:color w:val="000000" w:themeColor="text1"/>
          <w:sz w:val="48"/>
          <w:szCs w:val="48"/>
        </w:rPr>
      </w:pPr>
      <w:r w:rsidRPr="0016238D">
        <w:rPr>
          <w:rFonts w:ascii="Times New Roman" w:hAnsi="Times New Roman" w:cs="Times New Roman"/>
          <w:b/>
          <w:noProof/>
          <w:color w:val="000000" w:themeColor="text1"/>
          <w:sz w:val="48"/>
          <w:szCs w:val="48"/>
          <w:lang w:eastAsia="es-ES" w:bidi="ar-SA"/>
        </w:rPr>
        <w:drawing>
          <wp:anchor distT="0" distB="0" distL="114300" distR="114300" simplePos="0" relativeHeight="251658240" behindDoc="0" locked="0" layoutInCell="1" allowOverlap="1" wp14:anchorId="17974CC6" wp14:editId="226905F9">
            <wp:simplePos x="1076325" y="895350"/>
            <wp:positionH relativeFrom="margin">
              <wp:align>left</wp:align>
            </wp:positionH>
            <wp:positionV relativeFrom="margin">
              <wp:align>top</wp:align>
            </wp:positionV>
            <wp:extent cx="1695450" cy="1695450"/>
            <wp:effectExtent l="0" t="0" r="0" b="0"/>
            <wp:wrapSquare wrapText="bothSides"/>
            <wp:docPr id="1" name="Imagen 1" descr="E:\amak\CAT JULIO 2023\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mak\CAT JULIO 2023\descarg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anchor>
        </w:drawing>
      </w:r>
    </w:p>
    <w:p w14:paraId="45EA5068" w14:textId="77777777" w:rsidR="001C34AD" w:rsidRPr="0016238D" w:rsidRDefault="001C34AD" w:rsidP="002901C5">
      <w:pPr>
        <w:jc w:val="both"/>
        <w:rPr>
          <w:rFonts w:ascii="Times New Roman" w:hAnsi="Times New Roman" w:cs="Times New Roman"/>
          <w:b/>
          <w:color w:val="000000" w:themeColor="text1"/>
          <w:sz w:val="48"/>
          <w:szCs w:val="48"/>
        </w:rPr>
      </w:pPr>
    </w:p>
    <w:p w14:paraId="491B8132" w14:textId="77777777" w:rsidR="001C34AD" w:rsidRPr="0016238D" w:rsidRDefault="00FF0720" w:rsidP="002901C5">
      <w:pPr>
        <w:shd w:val="clear" w:color="auto" w:fill="FFFFFF"/>
        <w:suppressAutoHyphens w:val="0"/>
        <w:jc w:val="both"/>
        <w:textAlignment w:val="baseline"/>
        <w:outlineLvl w:val="0"/>
        <w:rPr>
          <w:rFonts w:ascii="Times New Roman" w:eastAsia="Times New Roman" w:hAnsi="Times New Roman" w:cs="Times New Roman"/>
          <w:color w:val="222222"/>
          <w:kern w:val="36"/>
          <w:sz w:val="40"/>
          <w:szCs w:val="40"/>
          <w:lang w:eastAsia="es-ES" w:bidi="ar-SA"/>
        </w:rPr>
      </w:pPr>
      <w:hyperlink r:id="rId10" w:tooltip="Agamme" w:history="1">
        <w:proofErr w:type="spellStart"/>
        <w:r w:rsidR="001C34AD" w:rsidRPr="0016238D">
          <w:rPr>
            <w:rFonts w:ascii="Times New Roman" w:eastAsia="Times New Roman" w:hAnsi="Times New Roman" w:cs="Times New Roman"/>
            <w:color w:val="444444"/>
            <w:kern w:val="36"/>
            <w:sz w:val="40"/>
            <w:szCs w:val="40"/>
            <w:bdr w:val="none" w:sz="0" w:space="0" w:color="auto" w:frame="1"/>
            <w:lang w:eastAsia="es-ES" w:bidi="ar-SA"/>
          </w:rPr>
          <w:t>Agamme</w:t>
        </w:r>
        <w:proofErr w:type="spellEnd"/>
      </w:hyperlink>
    </w:p>
    <w:p w14:paraId="3F3825B8" w14:textId="77777777" w:rsidR="001C34AD" w:rsidRPr="0016238D" w:rsidRDefault="001C34AD" w:rsidP="002901C5">
      <w:pPr>
        <w:shd w:val="clear" w:color="auto" w:fill="FFFFFF"/>
        <w:suppressAutoHyphens w:val="0"/>
        <w:spacing w:after="225"/>
        <w:jc w:val="both"/>
        <w:textAlignment w:val="baseline"/>
        <w:rPr>
          <w:rFonts w:ascii="Times New Roman" w:eastAsia="Times New Roman" w:hAnsi="Times New Roman" w:cs="Times New Roman"/>
          <w:color w:val="666666"/>
          <w:kern w:val="0"/>
          <w:sz w:val="22"/>
          <w:szCs w:val="22"/>
          <w:lang w:eastAsia="es-ES" w:bidi="ar-SA"/>
        </w:rPr>
      </w:pPr>
      <w:r w:rsidRPr="0016238D">
        <w:rPr>
          <w:rFonts w:ascii="Times New Roman" w:eastAsia="Times New Roman" w:hAnsi="Times New Roman" w:cs="Times New Roman"/>
          <w:color w:val="666666"/>
          <w:kern w:val="0"/>
          <w:sz w:val="22"/>
          <w:szCs w:val="22"/>
          <w:lang w:eastAsia="es-ES" w:bidi="ar-SA"/>
        </w:rPr>
        <w:t>Asociación galega contra o maltrato a menores</w:t>
      </w:r>
    </w:p>
    <w:p w14:paraId="680BD36A" w14:textId="77777777" w:rsidR="001C34AD" w:rsidRPr="0016238D" w:rsidRDefault="001C34AD" w:rsidP="002901C5">
      <w:pPr>
        <w:jc w:val="both"/>
        <w:rPr>
          <w:rFonts w:ascii="Times New Roman" w:hAnsi="Times New Roman" w:cs="Times New Roman"/>
          <w:b/>
          <w:color w:val="000000" w:themeColor="text1"/>
          <w:sz w:val="48"/>
          <w:szCs w:val="48"/>
        </w:rPr>
      </w:pPr>
    </w:p>
    <w:p w14:paraId="28BA85F7" w14:textId="77777777" w:rsidR="001C34AD" w:rsidRPr="0016238D" w:rsidRDefault="001C34AD" w:rsidP="002901C5">
      <w:pPr>
        <w:jc w:val="both"/>
        <w:rPr>
          <w:rFonts w:ascii="Times New Roman" w:hAnsi="Times New Roman" w:cs="Times New Roman"/>
          <w:b/>
          <w:color w:val="000000" w:themeColor="text1"/>
          <w:sz w:val="48"/>
          <w:szCs w:val="48"/>
        </w:rPr>
      </w:pPr>
    </w:p>
    <w:p w14:paraId="16B22342" w14:textId="77777777" w:rsidR="001C34AD" w:rsidRDefault="001C34AD" w:rsidP="002901C5">
      <w:pPr>
        <w:jc w:val="both"/>
        <w:rPr>
          <w:rFonts w:ascii="Times New Roman" w:hAnsi="Times New Roman" w:cs="Times New Roman"/>
          <w:b/>
          <w:color w:val="000000" w:themeColor="text1"/>
          <w:sz w:val="48"/>
          <w:szCs w:val="48"/>
        </w:rPr>
      </w:pPr>
    </w:p>
    <w:p w14:paraId="4AFF5C3D" w14:textId="77777777" w:rsidR="0016238D" w:rsidRDefault="0016238D" w:rsidP="002901C5">
      <w:pPr>
        <w:jc w:val="both"/>
        <w:rPr>
          <w:rFonts w:ascii="Times New Roman" w:hAnsi="Times New Roman" w:cs="Times New Roman"/>
          <w:b/>
          <w:color w:val="000000" w:themeColor="text1"/>
          <w:sz w:val="48"/>
          <w:szCs w:val="48"/>
        </w:rPr>
      </w:pPr>
    </w:p>
    <w:p w14:paraId="41827204" w14:textId="77777777" w:rsidR="0016238D" w:rsidRPr="0016238D" w:rsidRDefault="0016238D" w:rsidP="002901C5">
      <w:pPr>
        <w:jc w:val="both"/>
        <w:rPr>
          <w:rFonts w:ascii="Times New Roman" w:hAnsi="Times New Roman" w:cs="Times New Roman"/>
          <w:b/>
          <w:color w:val="000000" w:themeColor="text1"/>
          <w:sz w:val="48"/>
          <w:szCs w:val="48"/>
        </w:rPr>
      </w:pPr>
    </w:p>
    <w:p w14:paraId="445CE5D6" w14:textId="77777777" w:rsidR="001C34AD" w:rsidRPr="0016238D" w:rsidRDefault="001C34AD" w:rsidP="00A86BD6">
      <w:pPr>
        <w:jc w:val="center"/>
        <w:rPr>
          <w:rFonts w:ascii="Times New Roman" w:hAnsi="Times New Roman" w:cs="Times New Roman"/>
          <w:b/>
          <w:color w:val="000000" w:themeColor="text1"/>
          <w:sz w:val="48"/>
          <w:szCs w:val="48"/>
        </w:rPr>
      </w:pPr>
      <w:r w:rsidRPr="0016238D">
        <w:rPr>
          <w:rFonts w:ascii="Times New Roman" w:hAnsi="Times New Roman" w:cs="Times New Roman"/>
          <w:b/>
          <w:color w:val="000000" w:themeColor="text1"/>
          <w:sz w:val="48"/>
          <w:szCs w:val="48"/>
        </w:rPr>
        <w:t>Elementos a subrayar referentes a la lista de cuestiones elaborada por el Comité contra la Tortura previas a la presentación del séptimo informe perió</w:t>
      </w:r>
      <w:r w:rsidR="006C04A0" w:rsidRPr="0016238D">
        <w:rPr>
          <w:rFonts w:ascii="Times New Roman" w:hAnsi="Times New Roman" w:cs="Times New Roman"/>
          <w:b/>
          <w:color w:val="000000" w:themeColor="text1"/>
          <w:sz w:val="48"/>
          <w:szCs w:val="48"/>
        </w:rPr>
        <w:t>dico de E</w:t>
      </w:r>
      <w:r w:rsidRPr="0016238D">
        <w:rPr>
          <w:rFonts w:ascii="Times New Roman" w:hAnsi="Times New Roman" w:cs="Times New Roman"/>
          <w:b/>
          <w:color w:val="000000" w:themeColor="text1"/>
          <w:sz w:val="48"/>
          <w:szCs w:val="48"/>
        </w:rPr>
        <w:t>spaña</w:t>
      </w:r>
    </w:p>
    <w:p w14:paraId="3AEA092D" w14:textId="77777777" w:rsidR="001C34AD" w:rsidRPr="0016238D" w:rsidRDefault="001C34AD" w:rsidP="002901C5">
      <w:pPr>
        <w:jc w:val="both"/>
        <w:rPr>
          <w:rFonts w:ascii="Times New Roman" w:hAnsi="Times New Roman" w:cs="Times New Roman"/>
          <w:color w:val="000000" w:themeColor="text1"/>
          <w:sz w:val="22"/>
          <w:szCs w:val="22"/>
        </w:rPr>
      </w:pPr>
    </w:p>
    <w:p w14:paraId="3F6ED34C" w14:textId="77777777" w:rsidR="001C34AD" w:rsidRPr="0016238D" w:rsidRDefault="001C34AD" w:rsidP="002901C5">
      <w:pPr>
        <w:jc w:val="both"/>
        <w:rPr>
          <w:rFonts w:ascii="Times New Roman" w:hAnsi="Times New Roman" w:cs="Times New Roman"/>
          <w:color w:val="000000" w:themeColor="text1"/>
          <w:sz w:val="22"/>
          <w:szCs w:val="22"/>
        </w:rPr>
      </w:pPr>
    </w:p>
    <w:p w14:paraId="19ACDD2F" w14:textId="77777777" w:rsidR="001C34AD" w:rsidRPr="0016238D" w:rsidRDefault="001C34AD" w:rsidP="002901C5">
      <w:pPr>
        <w:jc w:val="both"/>
        <w:rPr>
          <w:rFonts w:ascii="Times New Roman" w:hAnsi="Times New Roman" w:cs="Times New Roman"/>
          <w:color w:val="000000" w:themeColor="text1"/>
          <w:sz w:val="22"/>
          <w:szCs w:val="22"/>
        </w:rPr>
      </w:pPr>
    </w:p>
    <w:p w14:paraId="17AE0DFF" w14:textId="77777777" w:rsidR="001C34AD" w:rsidRPr="0016238D" w:rsidRDefault="001C34AD" w:rsidP="00A86BD6">
      <w:pPr>
        <w:jc w:val="center"/>
        <w:rPr>
          <w:rFonts w:ascii="Times New Roman" w:hAnsi="Times New Roman" w:cs="Times New Roman"/>
          <w:b/>
          <w:color w:val="000000" w:themeColor="text1"/>
          <w:sz w:val="40"/>
          <w:szCs w:val="40"/>
        </w:rPr>
      </w:pPr>
      <w:r w:rsidRPr="0016238D">
        <w:rPr>
          <w:rFonts w:ascii="Times New Roman" w:hAnsi="Times New Roman" w:cs="Times New Roman"/>
          <w:b/>
          <w:bCs/>
          <w:color w:val="000000" w:themeColor="text1"/>
          <w:sz w:val="40"/>
          <w:szCs w:val="40"/>
        </w:rPr>
        <w:t>Junio de 2023</w:t>
      </w:r>
    </w:p>
    <w:p w14:paraId="0B5BB2C7" w14:textId="77777777" w:rsidR="0064620E" w:rsidRPr="0016238D" w:rsidRDefault="0064620E" w:rsidP="002901C5">
      <w:pPr>
        <w:jc w:val="both"/>
        <w:rPr>
          <w:rFonts w:ascii="Times New Roman" w:hAnsi="Times New Roman" w:cs="Times New Roman"/>
        </w:rPr>
      </w:pPr>
    </w:p>
    <w:p w14:paraId="57E6262D" w14:textId="77777777" w:rsidR="00397EE5" w:rsidRPr="0016238D" w:rsidRDefault="00397EE5" w:rsidP="002901C5">
      <w:pPr>
        <w:jc w:val="both"/>
        <w:rPr>
          <w:rFonts w:ascii="Times New Roman" w:hAnsi="Times New Roman" w:cs="Times New Roman"/>
        </w:rPr>
      </w:pPr>
    </w:p>
    <w:p w14:paraId="33537ACB" w14:textId="77777777" w:rsidR="00397EE5" w:rsidRPr="0016238D" w:rsidRDefault="00397EE5" w:rsidP="002901C5">
      <w:pPr>
        <w:jc w:val="both"/>
        <w:rPr>
          <w:rFonts w:ascii="Times New Roman" w:hAnsi="Times New Roman" w:cs="Times New Roman"/>
        </w:rPr>
      </w:pPr>
    </w:p>
    <w:p w14:paraId="249A8D8C" w14:textId="77777777" w:rsidR="00397EE5" w:rsidRPr="0016238D" w:rsidRDefault="00397EE5" w:rsidP="002901C5">
      <w:pPr>
        <w:jc w:val="both"/>
        <w:rPr>
          <w:rFonts w:ascii="Times New Roman" w:hAnsi="Times New Roman" w:cs="Times New Roman"/>
        </w:rPr>
      </w:pPr>
    </w:p>
    <w:p w14:paraId="5834F87E" w14:textId="77777777" w:rsidR="00397EE5" w:rsidRPr="0016238D" w:rsidRDefault="00397EE5" w:rsidP="002901C5">
      <w:pPr>
        <w:jc w:val="both"/>
        <w:rPr>
          <w:rFonts w:ascii="Times New Roman" w:hAnsi="Times New Roman" w:cs="Times New Roman"/>
        </w:rPr>
      </w:pPr>
    </w:p>
    <w:p w14:paraId="032DE24D" w14:textId="77777777" w:rsidR="00397EE5" w:rsidRPr="0016238D" w:rsidRDefault="00397EE5" w:rsidP="002901C5">
      <w:pPr>
        <w:jc w:val="both"/>
        <w:rPr>
          <w:rFonts w:ascii="Times New Roman" w:hAnsi="Times New Roman" w:cs="Times New Roman"/>
        </w:rPr>
      </w:pPr>
    </w:p>
    <w:p w14:paraId="124F665D" w14:textId="77777777" w:rsidR="00397EE5" w:rsidRPr="0016238D" w:rsidRDefault="00397EE5" w:rsidP="002901C5">
      <w:pPr>
        <w:jc w:val="both"/>
        <w:rPr>
          <w:rFonts w:ascii="Times New Roman" w:hAnsi="Times New Roman" w:cs="Times New Roman"/>
        </w:rPr>
      </w:pPr>
    </w:p>
    <w:p w14:paraId="0B16AEB8" w14:textId="77777777" w:rsidR="00397EE5" w:rsidRPr="0016238D" w:rsidRDefault="00397EE5" w:rsidP="002901C5">
      <w:pPr>
        <w:jc w:val="both"/>
        <w:rPr>
          <w:rFonts w:ascii="Times New Roman" w:hAnsi="Times New Roman" w:cs="Times New Roman"/>
        </w:rPr>
      </w:pPr>
    </w:p>
    <w:p w14:paraId="0039846A" w14:textId="77777777" w:rsidR="00397EE5" w:rsidRPr="0016238D" w:rsidRDefault="00397EE5" w:rsidP="002901C5">
      <w:pPr>
        <w:jc w:val="both"/>
        <w:rPr>
          <w:rFonts w:ascii="Times New Roman" w:hAnsi="Times New Roman" w:cs="Times New Roman"/>
        </w:rPr>
      </w:pPr>
    </w:p>
    <w:p w14:paraId="3999997F" w14:textId="77777777" w:rsidR="00397EE5" w:rsidRPr="0016238D" w:rsidRDefault="00397EE5" w:rsidP="002901C5">
      <w:pPr>
        <w:jc w:val="both"/>
        <w:rPr>
          <w:rFonts w:ascii="Times New Roman" w:hAnsi="Times New Roman" w:cs="Times New Roman"/>
        </w:rPr>
      </w:pPr>
    </w:p>
    <w:p w14:paraId="54A25F73" w14:textId="77777777" w:rsidR="00397EE5" w:rsidRPr="0016238D" w:rsidRDefault="00397EE5" w:rsidP="002901C5">
      <w:pPr>
        <w:jc w:val="both"/>
        <w:rPr>
          <w:rFonts w:ascii="Times New Roman" w:hAnsi="Times New Roman" w:cs="Times New Roman"/>
        </w:rPr>
      </w:pPr>
    </w:p>
    <w:p w14:paraId="74349D7C" w14:textId="77777777" w:rsidR="00397EE5" w:rsidRPr="0016238D" w:rsidRDefault="00397EE5" w:rsidP="002901C5">
      <w:pPr>
        <w:jc w:val="both"/>
        <w:rPr>
          <w:rFonts w:ascii="Times New Roman" w:hAnsi="Times New Roman" w:cs="Times New Roman"/>
        </w:rPr>
      </w:pPr>
    </w:p>
    <w:p w14:paraId="218A8EAB" w14:textId="77777777" w:rsidR="00397EE5" w:rsidRPr="0016238D" w:rsidRDefault="00397EE5" w:rsidP="002901C5">
      <w:pPr>
        <w:jc w:val="both"/>
        <w:rPr>
          <w:rFonts w:ascii="Times New Roman" w:hAnsi="Times New Roman" w:cs="Times New Roman"/>
        </w:rPr>
      </w:pPr>
    </w:p>
    <w:p w14:paraId="5B8FE9E5" w14:textId="77777777" w:rsidR="00397EE5" w:rsidRPr="0016238D" w:rsidRDefault="00397EE5" w:rsidP="002901C5">
      <w:pPr>
        <w:jc w:val="both"/>
        <w:rPr>
          <w:rFonts w:ascii="Times New Roman" w:hAnsi="Times New Roman" w:cs="Times New Roman"/>
        </w:rPr>
      </w:pPr>
    </w:p>
    <w:p w14:paraId="3B0CE3BD" w14:textId="77777777" w:rsidR="00397EE5" w:rsidRPr="0016238D" w:rsidRDefault="00397EE5" w:rsidP="002901C5">
      <w:pPr>
        <w:jc w:val="both"/>
        <w:rPr>
          <w:rFonts w:ascii="Times New Roman" w:hAnsi="Times New Roman" w:cs="Times New Roman"/>
        </w:rPr>
      </w:pPr>
    </w:p>
    <w:p w14:paraId="78899290" w14:textId="77777777" w:rsidR="00397EE5" w:rsidRPr="0016238D" w:rsidRDefault="00397EE5" w:rsidP="002901C5">
      <w:pPr>
        <w:jc w:val="both"/>
        <w:rPr>
          <w:rFonts w:ascii="Times New Roman" w:hAnsi="Times New Roman" w:cs="Times New Roman"/>
        </w:rPr>
      </w:pPr>
    </w:p>
    <w:p w14:paraId="50C89466" w14:textId="77777777" w:rsidR="00397EE5" w:rsidRPr="0016238D" w:rsidRDefault="00397EE5" w:rsidP="002901C5">
      <w:pPr>
        <w:jc w:val="both"/>
        <w:rPr>
          <w:rFonts w:ascii="Times New Roman" w:hAnsi="Times New Roman" w:cs="Times New Roman"/>
        </w:rPr>
      </w:pPr>
    </w:p>
    <w:p w14:paraId="39F1F116" w14:textId="77777777" w:rsidR="00397EE5" w:rsidRPr="0016238D" w:rsidRDefault="00397EE5" w:rsidP="002901C5">
      <w:pPr>
        <w:jc w:val="both"/>
        <w:rPr>
          <w:rFonts w:ascii="Times New Roman" w:hAnsi="Times New Roman" w:cs="Times New Roman"/>
        </w:rPr>
      </w:pPr>
    </w:p>
    <w:p w14:paraId="11BA9F47" w14:textId="77777777" w:rsidR="00B12EE9" w:rsidRPr="0016238D" w:rsidRDefault="00B12EE9" w:rsidP="002901C5">
      <w:pPr>
        <w:pStyle w:val="NormalWeb"/>
        <w:shd w:val="clear" w:color="auto" w:fill="FFFFFF"/>
        <w:spacing w:before="0" w:beforeAutospacing="0" w:after="0" w:afterAutospacing="0" w:line="360" w:lineRule="atLeast"/>
        <w:jc w:val="both"/>
        <w:textAlignment w:val="baseline"/>
        <w:rPr>
          <w:rStyle w:val="Textoennegrita"/>
          <w:rFonts w:eastAsia="Arial Unicode MS"/>
          <w:bdr w:val="none" w:sz="0" w:space="0" w:color="auto" w:frame="1"/>
        </w:rPr>
      </w:pPr>
      <w:r w:rsidRPr="0016238D">
        <w:rPr>
          <w:rStyle w:val="Textoennegrita"/>
          <w:rFonts w:eastAsia="Arial Unicode MS"/>
          <w:bdr w:val="none" w:sz="0" w:space="0" w:color="auto" w:frame="1"/>
        </w:rPr>
        <w:lastRenderedPageBreak/>
        <w:t>Introducción</w:t>
      </w:r>
    </w:p>
    <w:p w14:paraId="3F7D28CE" w14:textId="77777777" w:rsidR="00B12EE9" w:rsidRPr="0016238D" w:rsidRDefault="00B12EE9" w:rsidP="002901C5">
      <w:pPr>
        <w:pStyle w:val="NormalWeb"/>
        <w:shd w:val="clear" w:color="auto" w:fill="FFFFFF"/>
        <w:spacing w:before="0" w:beforeAutospacing="0" w:after="0" w:afterAutospacing="0" w:line="360" w:lineRule="atLeast"/>
        <w:jc w:val="both"/>
        <w:textAlignment w:val="baseline"/>
        <w:rPr>
          <w:rStyle w:val="Textoennegrita"/>
          <w:rFonts w:eastAsia="Arial Unicode MS"/>
          <w:bdr w:val="none" w:sz="0" w:space="0" w:color="auto" w:frame="1"/>
        </w:rPr>
      </w:pPr>
    </w:p>
    <w:p w14:paraId="3F9341A6" w14:textId="0BE037B2" w:rsidR="00BE446B" w:rsidRPr="0016238D" w:rsidRDefault="00B12EE9" w:rsidP="002901C5">
      <w:pPr>
        <w:pStyle w:val="NormalWeb"/>
        <w:shd w:val="clear" w:color="auto" w:fill="FFFFFF"/>
        <w:spacing w:before="0" w:beforeAutospacing="0" w:after="0" w:afterAutospacing="0" w:line="360" w:lineRule="atLeast"/>
        <w:jc w:val="both"/>
        <w:textAlignment w:val="baseline"/>
      </w:pPr>
      <w:r w:rsidRPr="0016238D">
        <w:rPr>
          <w:rStyle w:val="Textoennegrita"/>
          <w:rFonts w:eastAsia="Arial Unicode MS"/>
          <w:bdr w:val="none" w:sz="0" w:space="0" w:color="auto" w:frame="1"/>
        </w:rPr>
        <w:t>AGAMME (Asociación Galega contra o Maltrato a Menores)</w:t>
      </w:r>
      <w:r w:rsidRPr="0016238D">
        <w:t xml:space="preserve">, </w:t>
      </w:r>
      <w:r w:rsidR="00BE446B" w:rsidRPr="0016238D">
        <w:t>es una asociación que defiende los derechos de los Niños</w:t>
      </w:r>
      <w:r w:rsidR="00311410">
        <w:t>,</w:t>
      </w:r>
      <w:r w:rsidR="00BE446B" w:rsidRPr="0016238D">
        <w:t xml:space="preserve"> Niñas y Adolescentes</w:t>
      </w:r>
      <w:r w:rsidR="00522923">
        <w:t>, cuya base es</w:t>
      </w:r>
      <w:r w:rsidR="00BE446B" w:rsidRPr="0016238D">
        <w:t xml:space="preserve"> Galicia</w:t>
      </w:r>
      <w:r w:rsidR="00522923">
        <w:t>. No obstante, al igual que otras asociaciones, consideramos que el trabajo en común es necesario para denunciar situaciones de vulneración de derechos y realidades que nos remiten a graves disfunciones estructurales en todo el Estado español</w:t>
      </w:r>
      <w:r w:rsidR="00BE446B" w:rsidRPr="0016238D">
        <w:t>. Así, este informe es el resultado de un trabajo en común que se está llevando a cabo en los últimos tiempos entre asociaciones y particulares (fundamentalmente madres protectoras).</w:t>
      </w:r>
    </w:p>
    <w:p w14:paraId="0F4A5CD7" w14:textId="77777777" w:rsidR="00CE6FC6" w:rsidRPr="0016238D" w:rsidRDefault="00CE6FC6" w:rsidP="002901C5">
      <w:pPr>
        <w:pStyle w:val="NormalWeb"/>
        <w:shd w:val="clear" w:color="auto" w:fill="FFFFFF"/>
        <w:spacing w:before="0" w:beforeAutospacing="0" w:after="0" w:afterAutospacing="0" w:line="360" w:lineRule="atLeast"/>
        <w:jc w:val="both"/>
        <w:textAlignment w:val="baseline"/>
      </w:pPr>
    </w:p>
    <w:p w14:paraId="32D86E49" w14:textId="1AA9A4C1" w:rsidR="00CE6FC6" w:rsidRPr="0016238D" w:rsidRDefault="00CE6FC6" w:rsidP="002901C5">
      <w:pPr>
        <w:pStyle w:val="NormalWeb"/>
        <w:shd w:val="clear" w:color="auto" w:fill="FFFFFF"/>
        <w:spacing w:before="0" w:beforeAutospacing="0" w:after="0" w:afterAutospacing="0" w:line="360" w:lineRule="atLeast"/>
        <w:jc w:val="both"/>
        <w:textAlignment w:val="baseline"/>
      </w:pPr>
      <w:r w:rsidRPr="0016238D">
        <w:t xml:space="preserve">Tomando como partida los </w:t>
      </w:r>
      <w:r w:rsidRPr="00634284">
        <w:t>puntos 5 y 6</w:t>
      </w:r>
      <w:r w:rsidRPr="0016238D">
        <w:t xml:space="preserve"> de la lista de cuestiones para el séptimo informe periódico, en los que ahondaremos en la cuestión de la violencia doméstica y concretamente en las denuncias de abus</w:t>
      </w:r>
      <w:r w:rsidR="00125585">
        <w:t>o sexual infantil intrafamiliar. Estos</w:t>
      </w:r>
      <w:r w:rsidRPr="0016238D">
        <w:t xml:space="preserve"> delito</w:t>
      </w:r>
      <w:r w:rsidR="00125585">
        <w:t>s</w:t>
      </w:r>
      <w:r w:rsidRPr="0016238D">
        <w:t xml:space="preserve"> contra niños, niñas y adolescentes con una alta incidencia en el Estado español pero que sin embargo, no solo queda sin castigo</w:t>
      </w:r>
      <w:r w:rsidR="0016238D" w:rsidRPr="0016238D">
        <w:rPr>
          <w:rStyle w:val="Refdenotaalpie"/>
        </w:rPr>
        <w:footnoteReference w:id="1"/>
      </w:r>
      <w:r w:rsidRPr="0016238D">
        <w:t>, sino que las víctimas de este delito</w:t>
      </w:r>
      <w:r w:rsidR="00634284">
        <w:t>,</w:t>
      </w:r>
      <w:r w:rsidRPr="0016238D">
        <w:t xml:space="preserve"> así como las personas protecto</w:t>
      </w:r>
      <w:r w:rsidR="0016238D" w:rsidRPr="0016238D">
        <w:t>ras de estos Niños</w:t>
      </w:r>
      <w:r w:rsidR="00634284">
        <w:t>,</w:t>
      </w:r>
      <w:r w:rsidR="0016238D" w:rsidRPr="0016238D">
        <w:t xml:space="preserve"> Niñas y Adolescentes (en adelante, NNA) </w:t>
      </w:r>
      <w:r w:rsidRPr="0016238D">
        <w:t xml:space="preserve"> (generalmente madres protectoras) deben sufrir un largo camino </w:t>
      </w:r>
      <w:proofErr w:type="spellStart"/>
      <w:r w:rsidRPr="0016238D">
        <w:t>revictimizador</w:t>
      </w:r>
      <w:proofErr w:type="spellEnd"/>
      <w:r w:rsidRPr="0016238D">
        <w:t xml:space="preserve"> a través de diferentes instituciones (judiciales y de protección social, estatal así como autonómicas), llegando muchas de estas madres a perder la custodia de sus hijos e hijas tras haber denunciado a los padres de este delito.</w:t>
      </w:r>
      <w:r w:rsidR="0016238D" w:rsidRPr="0016238D">
        <w:t xml:space="preserve"> Camino que consideramos está lleno de intervenciones que vulneran artículos de la convención. Intervenciones que suponen un grave p</w:t>
      </w:r>
      <w:r w:rsidR="00311410">
        <w:t>er</w:t>
      </w:r>
      <w:r w:rsidR="0016238D" w:rsidRPr="0016238D">
        <w:t>juicio añadido para estas víctimas y sus figuras protectoras.</w:t>
      </w:r>
    </w:p>
    <w:p w14:paraId="340BB99E" w14:textId="77777777" w:rsidR="00CE6798" w:rsidRPr="0016238D" w:rsidRDefault="00CE6798" w:rsidP="00CE6FC6">
      <w:pPr>
        <w:pStyle w:val="NormalWeb"/>
        <w:shd w:val="clear" w:color="auto" w:fill="FFFFFF"/>
        <w:spacing w:before="0" w:beforeAutospacing="0" w:after="0" w:afterAutospacing="0" w:line="360" w:lineRule="atLeast"/>
        <w:jc w:val="both"/>
        <w:textAlignment w:val="baseline"/>
      </w:pPr>
    </w:p>
    <w:p w14:paraId="40DCA6BC" w14:textId="77777777" w:rsidR="0016238D" w:rsidRPr="0016238D" w:rsidRDefault="0016238D" w:rsidP="00CE6FC6">
      <w:pPr>
        <w:pStyle w:val="NormalWeb"/>
        <w:shd w:val="clear" w:color="auto" w:fill="FFFFFF"/>
        <w:spacing w:before="0" w:beforeAutospacing="0" w:after="0" w:afterAutospacing="0" w:line="360" w:lineRule="atLeast"/>
        <w:jc w:val="both"/>
        <w:textAlignment w:val="baseline"/>
      </w:pPr>
    </w:p>
    <w:p w14:paraId="6BF546F2" w14:textId="77777777" w:rsidR="0016238D" w:rsidRPr="0016238D" w:rsidRDefault="0016238D" w:rsidP="00CE6FC6">
      <w:pPr>
        <w:pStyle w:val="NormalWeb"/>
        <w:shd w:val="clear" w:color="auto" w:fill="FFFFFF"/>
        <w:spacing w:before="0" w:beforeAutospacing="0" w:after="0" w:afterAutospacing="0" w:line="360" w:lineRule="atLeast"/>
        <w:jc w:val="both"/>
        <w:textAlignment w:val="baseline"/>
        <w:rPr>
          <w:b/>
        </w:rPr>
      </w:pPr>
      <w:r w:rsidRPr="0016238D">
        <w:rPr>
          <w:b/>
        </w:rPr>
        <w:t>Violencia institucional y aplicación del Síndrome de Alienación Parental como forma de tortura</w:t>
      </w:r>
    </w:p>
    <w:p w14:paraId="3BAFAB26" w14:textId="77777777" w:rsidR="0016238D" w:rsidRPr="0016238D" w:rsidRDefault="0016238D" w:rsidP="00CE6FC6">
      <w:pPr>
        <w:pStyle w:val="NormalWeb"/>
        <w:shd w:val="clear" w:color="auto" w:fill="FFFFFF"/>
        <w:spacing w:before="0" w:beforeAutospacing="0" w:after="0" w:afterAutospacing="0" w:line="360" w:lineRule="atLeast"/>
        <w:jc w:val="both"/>
        <w:textAlignment w:val="baseline"/>
      </w:pPr>
    </w:p>
    <w:p w14:paraId="5D45A6BF" w14:textId="43C2C9B8" w:rsidR="00CE6FC6" w:rsidRPr="0016238D" w:rsidRDefault="00CE6FC6" w:rsidP="00CE6FC6">
      <w:pPr>
        <w:pStyle w:val="NormalWeb"/>
        <w:shd w:val="clear" w:color="auto" w:fill="FFFFFF"/>
        <w:spacing w:before="0" w:beforeAutospacing="0" w:after="0" w:afterAutospacing="0" w:line="360" w:lineRule="atLeast"/>
        <w:jc w:val="both"/>
        <w:textAlignment w:val="baseline"/>
      </w:pPr>
      <w:r w:rsidRPr="0016238D">
        <w:t xml:space="preserve">Tradicionalmente el ámbito de protección de los </w:t>
      </w:r>
      <w:r w:rsidR="00AB7B42">
        <w:t>NNA</w:t>
      </w:r>
      <w:r w:rsidR="0016238D" w:rsidRPr="0016238D">
        <w:t xml:space="preserve"> </w:t>
      </w:r>
      <w:r w:rsidRPr="0016238D">
        <w:t xml:space="preserve">ha venido siendo el contexto de la Convención de los Derechos de la Infancia y el CDN, si bien </w:t>
      </w:r>
      <w:r w:rsidR="00522923">
        <w:t xml:space="preserve">existen recientes </w:t>
      </w:r>
      <w:r w:rsidRPr="0016238D">
        <w:t xml:space="preserve">informes, declaraciones y comunicaciones al más alto nivel </w:t>
      </w:r>
      <w:r w:rsidR="00522923">
        <w:t>que</w:t>
      </w:r>
      <w:r w:rsidRPr="0016238D">
        <w:t xml:space="preserve"> avala</w:t>
      </w:r>
      <w:r w:rsidR="00522923">
        <w:t>ría</w:t>
      </w:r>
      <w:r w:rsidRPr="0016238D">
        <w:t>n nuestra</w:t>
      </w:r>
      <w:r w:rsidR="00522923">
        <w:t>s</w:t>
      </w:r>
      <w:r w:rsidRPr="0016238D">
        <w:t xml:space="preserve"> denuncia</w:t>
      </w:r>
      <w:r w:rsidR="00522923">
        <w:t>s y</w:t>
      </w:r>
      <w:r w:rsidRPr="0016238D">
        <w:t xml:space="preserve"> muestran el encaje que determinadas situaciones y realidades que viven NNA en el Estado español tienen en la Convención contra la Tortura y Otros Tratos o Penas Crueles, Inhumanos o Degradantes y el CAT. </w:t>
      </w:r>
    </w:p>
    <w:p w14:paraId="541AD456" w14:textId="77777777" w:rsidR="00713818" w:rsidRDefault="00713818" w:rsidP="00713818">
      <w:pPr>
        <w:pStyle w:val="Standard"/>
        <w:rPr>
          <w:rFonts w:ascii="Times New Roman" w:hAnsi="Times New Roman" w:cs="Times New Roman"/>
          <w:i/>
          <w:iCs/>
        </w:rPr>
      </w:pPr>
    </w:p>
    <w:p w14:paraId="2450D71D" w14:textId="77777777" w:rsidR="0016238D" w:rsidRDefault="0016238D" w:rsidP="00713818">
      <w:pPr>
        <w:pStyle w:val="Standard"/>
        <w:rPr>
          <w:rFonts w:ascii="Times New Roman" w:hAnsi="Times New Roman" w:cs="Times New Roman"/>
          <w:i/>
          <w:iCs/>
        </w:rPr>
      </w:pPr>
    </w:p>
    <w:p w14:paraId="4C592E47" w14:textId="77777777" w:rsidR="0016238D" w:rsidRPr="0016238D" w:rsidRDefault="0016238D" w:rsidP="00713818">
      <w:pPr>
        <w:pStyle w:val="Standard"/>
        <w:rPr>
          <w:rFonts w:ascii="Times New Roman" w:hAnsi="Times New Roman" w:cs="Times New Roman"/>
          <w:i/>
          <w:iCs/>
        </w:rPr>
      </w:pPr>
    </w:p>
    <w:p w14:paraId="14514338" w14:textId="77777777" w:rsidR="0016238D" w:rsidRPr="0016238D" w:rsidRDefault="0016238D" w:rsidP="00713818">
      <w:pPr>
        <w:pStyle w:val="Standard"/>
        <w:jc w:val="both"/>
        <w:rPr>
          <w:rFonts w:ascii="Times New Roman" w:eastAsia="Times New Roman" w:hAnsi="Times New Roman" w:cs="Times New Roman"/>
          <w:b/>
          <w:kern w:val="0"/>
          <w:lang w:eastAsia="es-ES" w:bidi="ar-SA"/>
        </w:rPr>
      </w:pPr>
    </w:p>
    <w:p w14:paraId="0C8C84A1" w14:textId="77777777" w:rsidR="0009148F" w:rsidRDefault="00A249C4" w:rsidP="00485230">
      <w:pPr>
        <w:pStyle w:val="NormalWeb"/>
        <w:numPr>
          <w:ilvl w:val="0"/>
          <w:numId w:val="4"/>
        </w:numPr>
        <w:shd w:val="clear" w:color="auto" w:fill="FFFFFF"/>
        <w:spacing w:before="0" w:beforeAutospacing="0" w:after="0" w:afterAutospacing="0" w:line="276" w:lineRule="auto"/>
        <w:jc w:val="both"/>
        <w:textAlignment w:val="baseline"/>
        <w:rPr>
          <w:b/>
        </w:rPr>
      </w:pPr>
      <w:r>
        <w:rPr>
          <w:b/>
        </w:rPr>
        <w:t>SAP el pseudo-</w:t>
      </w:r>
      <w:r w:rsidR="0009148F">
        <w:rPr>
          <w:b/>
        </w:rPr>
        <w:t>síndrome que justifica este maltrato</w:t>
      </w:r>
    </w:p>
    <w:p w14:paraId="05C8BA55" w14:textId="77777777" w:rsidR="007603DD" w:rsidRDefault="007603DD" w:rsidP="00ED5A62">
      <w:pPr>
        <w:pStyle w:val="NormalWeb"/>
        <w:shd w:val="clear" w:color="auto" w:fill="FFFFFF"/>
        <w:spacing w:before="0" w:beforeAutospacing="0" w:after="0" w:afterAutospacing="0" w:line="276" w:lineRule="auto"/>
        <w:jc w:val="both"/>
        <w:textAlignment w:val="baseline"/>
        <w:rPr>
          <w:b/>
        </w:rPr>
      </w:pPr>
    </w:p>
    <w:p w14:paraId="00A0F7F2" w14:textId="39A654CC" w:rsidR="007603DD" w:rsidRDefault="007603DD" w:rsidP="00ED5A62">
      <w:pPr>
        <w:pStyle w:val="NormalWeb"/>
        <w:shd w:val="clear" w:color="auto" w:fill="FFFFFF"/>
        <w:spacing w:before="0" w:beforeAutospacing="0" w:after="0" w:afterAutospacing="0" w:line="276" w:lineRule="auto"/>
        <w:jc w:val="both"/>
        <w:textAlignment w:val="baseline"/>
      </w:pPr>
      <w:r>
        <w:t xml:space="preserve">El </w:t>
      </w:r>
      <w:r w:rsidR="00385BB5">
        <w:t xml:space="preserve">Falso </w:t>
      </w:r>
      <w:r>
        <w:t xml:space="preserve">Síndrome de Alienación Parental, un supuesto síndrome que sin tener base científica y no solo estar prohibido en el ordenamiento español </w:t>
      </w:r>
      <w:r w:rsidR="00385BB5">
        <w:t>(además de estar desmentido por instituciones de renombre como APA o la Asociación Española de Neuropsiquiatría)</w:t>
      </w:r>
      <w:r w:rsidR="00385BB5">
        <w:rPr>
          <w:rStyle w:val="Refdenotaalpie"/>
        </w:rPr>
        <w:footnoteReference w:id="2"/>
      </w:r>
      <w:r w:rsidR="00385BB5">
        <w:t xml:space="preserve"> </w:t>
      </w:r>
      <w:r>
        <w:t>sino que varios organismos de derechos humanos han reiterado una y otra vez que ataca los derechos de niños, niñas y adolescentes (en adelante NNA). Sin embargo, estas instancias siguen denunciando que su aplicación prevalece en España, tanto en los tribunales que juzgan cuestiones de familia, como en los diferentes actores que participan en los procesos de custodia y tienen relación con estos NNA y sus madres.</w:t>
      </w:r>
    </w:p>
    <w:p w14:paraId="3A54A0B5" w14:textId="77777777" w:rsidR="007603DD" w:rsidRDefault="007603DD" w:rsidP="00ED5A62">
      <w:pPr>
        <w:pStyle w:val="NormalWeb"/>
        <w:shd w:val="clear" w:color="auto" w:fill="FFFFFF"/>
        <w:spacing w:before="0" w:beforeAutospacing="0" w:after="0" w:afterAutospacing="0" w:line="276" w:lineRule="auto"/>
        <w:jc w:val="both"/>
        <w:textAlignment w:val="baseline"/>
      </w:pPr>
    </w:p>
    <w:p w14:paraId="5BA61685" w14:textId="58108236" w:rsidR="0009148F" w:rsidRDefault="007603DD" w:rsidP="00485230">
      <w:pPr>
        <w:pStyle w:val="NormalWeb"/>
        <w:shd w:val="clear" w:color="auto" w:fill="FFFFFF"/>
        <w:spacing w:before="0" w:beforeAutospacing="0" w:after="0" w:afterAutospacing="0" w:line="276" w:lineRule="auto"/>
        <w:jc w:val="both"/>
        <w:textAlignment w:val="baseline"/>
      </w:pPr>
      <w:r>
        <w:t>Por recordar brevemente qu</w:t>
      </w:r>
      <w:r w:rsidR="004346EA">
        <w:t>é</w:t>
      </w:r>
      <w:r>
        <w:t xml:space="preserve"> es el </w:t>
      </w:r>
      <w:r w:rsidRPr="0054417F">
        <w:rPr>
          <w:b/>
        </w:rPr>
        <w:t>SAP</w:t>
      </w:r>
      <w:r>
        <w:t xml:space="preserve"> y como lo definía su creador, </w:t>
      </w:r>
      <w:r w:rsidRPr="0054417F">
        <w:rPr>
          <w:b/>
        </w:rPr>
        <w:t>Richard A. Gardner</w:t>
      </w:r>
      <w:r>
        <w:t>, hemos traído a colación alguna de sus justificaciones para la aplicación de esta terapia de la amenaza</w:t>
      </w:r>
      <w:r w:rsidR="0009148F" w:rsidRPr="0016238D">
        <w:rPr>
          <w:rStyle w:val="Refdenotaalpie"/>
        </w:rPr>
        <w:footnoteReference w:id="3"/>
      </w:r>
      <w:r w:rsidR="0009148F" w:rsidRPr="0016238D">
        <w:t>:</w:t>
      </w:r>
    </w:p>
    <w:p w14:paraId="0DBADEA9" w14:textId="77777777" w:rsidR="007603DD" w:rsidRPr="0016238D" w:rsidRDefault="007603DD" w:rsidP="00485230">
      <w:pPr>
        <w:pStyle w:val="NormalWeb"/>
        <w:shd w:val="clear" w:color="auto" w:fill="FFFFFF"/>
        <w:spacing w:before="0" w:beforeAutospacing="0" w:after="0" w:afterAutospacing="0" w:line="276" w:lineRule="auto"/>
        <w:jc w:val="both"/>
        <w:textAlignment w:val="baseline"/>
      </w:pPr>
    </w:p>
    <w:p w14:paraId="54FCB3EA" w14:textId="0DA6B456" w:rsidR="0009148F" w:rsidRDefault="007603DD" w:rsidP="00485230">
      <w:pPr>
        <w:ind w:left="705" w:hanging="705"/>
        <w:jc w:val="both"/>
        <w:rPr>
          <w:rFonts w:ascii="Times New Roman" w:hAnsi="Times New Roman" w:cs="Times New Roman"/>
          <w:i/>
          <w:shd w:val="clear" w:color="auto" w:fill="FFFFFF"/>
        </w:rPr>
      </w:pPr>
      <w:r>
        <w:rPr>
          <w:rFonts w:ascii="Times New Roman" w:hAnsi="Times New Roman" w:cs="Times New Roman"/>
          <w:i/>
          <w:shd w:val="clear" w:color="auto" w:fill="FFFFFF"/>
        </w:rPr>
        <w:tab/>
      </w:r>
      <w:r w:rsidR="0009148F" w:rsidRPr="0016238D">
        <w:rPr>
          <w:rFonts w:ascii="Times New Roman" w:hAnsi="Times New Roman" w:cs="Times New Roman"/>
          <w:i/>
          <w:shd w:val="clear" w:color="auto" w:fill="FFFFFF"/>
        </w:rPr>
        <w:t>El enfoque terapéutico primero debe implicar un grado significativo de manipulación de la gente (por lo general por orden judicial) y estructura antes de que uno pueda sentarse y hablar de modo significativo con las partes </w:t>
      </w:r>
      <w:bookmarkStart w:id="0" w:name="r91"/>
      <w:bookmarkEnd w:id="0"/>
      <w:r w:rsidR="0054417F">
        <w:rPr>
          <w:rFonts w:ascii="Times New Roman" w:hAnsi="Times New Roman" w:cs="Times New Roman"/>
          <w:i/>
          <w:shd w:val="clear" w:color="auto" w:fill="FFFFFF"/>
        </w:rPr>
        <w:t>afectadas</w:t>
      </w:r>
      <w:r w:rsidR="00522923">
        <w:rPr>
          <w:rFonts w:ascii="Times New Roman" w:hAnsi="Times New Roman" w:cs="Times New Roman"/>
          <w:i/>
          <w:shd w:val="clear" w:color="auto" w:fill="FFFFFF"/>
        </w:rPr>
        <w:t>.</w:t>
      </w:r>
    </w:p>
    <w:p w14:paraId="7D8EEC86" w14:textId="77777777" w:rsidR="0054417F" w:rsidRPr="0016238D" w:rsidRDefault="0054417F" w:rsidP="00485230">
      <w:pPr>
        <w:ind w:left="705" w:hanging="705"/>
        <w:jc w:val="both"/>
        <w:rPr>
          <w:rFonts w:ascii="Times New Roman" w:hAnsi="Times New Roman" w:cs="Times New Roman"/>
          <w:i/>
          <w:shd w:val="clear" w:color="auto" w:fill="FFFFFF"/>
        </w:rPr>
      </w:pPr>
    </w:p>
    <w:p w14:paraId="6F14CCAF" w14:textId="77777777" w:rsidR="0009148F" w:rsidRPr="0054417F" w:rsidRDefault="007603DD" w:rsidP="00485230">
      <w:pPr>
        <w:ind w:left="705" w:hanging="705"/>
        <w:jc w:val="both"/>
        <w:rPr>
          <w:rFonts w:ascii="Times New Roman" w:hAnsi="Times New Roman" w:cs="Times New Roman"/>
          <w:i/>
        </w:rPr>
      </w:pPr>
      <w:r>
        <w:rPr>
          <w:rFonts w:ascii="Times New Roman" w:hAnsi="Times New Roman" w:cs="Times New Roman"/>
          <w:i/>
          <w:shd w:val="clear" w:color="auto" w:fill="FFFFFF"/>
        </w:rPr>
        <w:tab/>
      </w:r>
      <w:r w:rsidR="0009148F" w:rsidRPr="0016238D">
        <w:rPr>
          <w:rFonts w:ascii="Times New Roman" w:hAnsi="Times New Roman" w:cs="Times New Roman"/>
          <w:i/>
          <w:shd w:val="clear" w:color="auto" w:fill="FFFFFF"/>
        </w:rPr>
        <w:t>La amenaza de la custodia principal puede también ayudar a tales madres el "</w:t>
      </w:r>
      <w:r w:rsidR="0054417F">
        <w:rPr>
          <w:rFonts w:ascii="Times New Roman" w:hAnsi="Times New Roman" w:cs="Times New Roman"/>
          <w:i/>
          <w:shd w:val="clear" w:color="auto" w:fill="FFFFFF"/>
        </w:rPr>
        <w:t xml:space="preserve">recordarles cooperar" </w:t>
      </w:r>
      <w:r w:rsidR="0054417F" w:rsidRPr="0054417F">
        <w:rPr>
          <w:rFonts w:ascii="Times New Roman" w:hAnsi="Times New Roman" w:cs="Times New Roman"/>
          <w:i/>
        </w:rPr>
        <w:t xml:space="preserve"> </w:t>
      </w:r>
      <w:r w:rsidR="0009148F" w:rsidRPr="0054417F">
        <w:rPr>
          <w:rFonts w:ascii="Times New Roman" w:hAnsi="Times New Roman" w:cs="Times New Roman"/>
          <w:shd w:val="clear" w:color="auto" w:fill="FFFFFF"/>
        </w:rPr>
        <w:t xml:space="preserve">GARDNER, R. A., "Legal and </w:t>
      </w:r>
      <w:proofErr w:type="spellStart"/>
      <w:r w:rsidR="0009148F" w:rsidRPr="0054417F">
        <w:rPr>
          <w:rFonts w:ascii="Times New Roman" w:hAnsi="Times New Roman" w:cs="Times New Roman"/>
          <w:shd w:val="clear" w:color="auto" w:fill="FFFFFF"/>
        </w:rPr>
        <w:t>Psychotherapeutic</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Approaches</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to</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the</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Three</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Types</w:t>
      </w:r>
      <w:proofErr w:type="spellEnd"/>
      <w:r w:rsidR="0009148F" w:rsidRPr="0054417F">
        <w:rPr>
          <w:rFonts w:ascii="Times New Roman" w:hAnsi="Times New Roman" w:cs="Times New Roman"/>
          <w:shd w:val="clear" w:color="auto" w:fill="FFFFFF"/>
        </w:rPr>
        <w:t xml:space="preserve"> of Parental </w:t>
      </w:r>
      <w:proofErr w:type="spellStart"/>
      <w:r w:rsidR="0009148F" w:rsidRPr="0054417F">
        <w:rPr>
          <w:rFonts w:ascii="Times New Roman" w:hAnsi="Times New Roman" w:cs="Times New Roman"/>
          <w:shd w:val="clear" w:color="auto" w:fill="FFFFFF"/>
        </w:rPr>
        <w:t>Alienation</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Syndrome</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Families</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When</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Psychiatry</w:t>
      </w:r>
      <w:proofErr w:type="spellEnd"/>
      <w:r w:rsidR="0009148F" w:rsidRPr="0054417F">
        <w:rPr>
          <w:rFonts w:ascii="Times New Roman" w:hAnsi="Times New Roman" w:cs="Times New Roman"/>
          <w:shd w:val="clear" w:color="auto" w:fill="FFFFFF"/>
        </w:rPr>
        <w:t xml:space="preserve"> and </w:t>
      </w:r>
      <w:proofErr w:type="spellStart"/>
      <w:r w:rsidR="0009148F" w:rsidRPr="0054417F">
        <w:rPr>
          <w:rFonts w:ascii="Times New Roman" w:hAnsi="Times New Roman" w:cs="Times New Roman"/>
          <w:shd w:val="clear" w:color="auto" w:fill="FFFFFF"/>
        </w:rPr>
        <w:t>the</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Law</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Join</w:t>
      </w:r>
      <w:proofErr w:type="spellEnd"/>
      <w:r w:rsidR="0009148F" w:rsidRPr="0054417F">
        <w:rPr>
          <w:rFonts w:ascii="Times New Roman" w:hAnsi="Times New Roman" w:cs="Times New Roman"/>
          <w:shd w:val="clear" w:color="auto" w:fill="FFFFFF"/>
        </w:rPr>
        <w:t xml:space="preserve"> </w:t>
      </w:r>
      <w:proofErr w:type="spellStart"/>
      <w:r w:rsidR="0009148F" w:rsidRPr="0054417F">
        <w:rPr>
          <w:rFonts w:ascii="Times New Roman" w:hAnsi="Times New Roman" w:cs="Times New Roman"/>
          <w:shd w:val="clear" w:color="auto" w:fill="FFFFFF"/>
        </w:rPr>
        <w:t>Forces</w:t>
      </w:r>
      <w:proofErr w:type="spellEnd"/>
      <w:r w:rsidR="0009148F" w:rsidRPr="0054417F">
        <w:rPr>
          <w:rFonts w:ascii="Times New Roman" w:hAnsi="Times New Roman" w:cs="Times New Roman"/>
          <w:shd w:val="clear" w:color="auto" w:fill="FFFFFF"/>
        </w:rPr>
        <w:t>", </w:t>
      </w:r>
      <w:proofErr w:type="spellStart"/>
      <w:r w:rsidR="0009148F" w:rsidRPr="0054417F">
        <w:rPr>
          <w:rFonts w:ascii="Times New Roman" w:hAnsi="Times New Roman" w:cs="Times New Roman"/>
          <w:i/>
          <w:iCs/>
          <w:shd w:val="clear" w:color="auto" w:fill="FFFFFF"/>
        </w:rPr>
        <w:t>Court</w:t>
      </w:r>
      <w:proofErr w:type="spellEnd"/>
      <w:r w:rsidR="0009148F" w:rsidRPr="0054417F">
        <w:rPr>
          <w:rFonts w:ascii="Times New Roman" w:hAnsi="Times New Roman" w:cs="Times New Roman"/>
          <w:i/>
          <w:iCs/>
          <w:shd w:val="clear" w:color="auto" w:fill="FFFFFF"/>
        </w:rPr>
        <w:t xml:space="preserve"> </w:t>
      </w:r>
      <w:proofErr w:type="spellStart"/>
      <w:r w:rsidR="0009148F" w:rsidRPr="0054417F">
        <w:rPr>
          <w:rFonts w:ascii="Times New Roman" w:hAnsi="Times New Roman" w:cs="Times New Roman"/>
          <w:i/>
          <w:iCs/>
          <w:shd w:val="clear" w:color="auto" w:fill="FFFFFF"/>
        </w:rPr>
        <w:t>Review</w:t>
      </w:r>
      <w:proofErr w:type="spellEnd"/>
      <w:r w:rsidR="0009148F" w:rsidRPr="0054417F">
        <w:rPr>
          <w:rFonts w:ascii="Times New Roman" w:hAnsi="Times New Roman" w:cs="Times New Roman"/>
          <w:shd w:val="clear" w:color="auto" w:fill="FFFFFF"/>
        </w:rPr>
        <w:t>, 1991</w:t>
      </w:r>
      <w:r w:rsidR="0009148F" w:rsidRPr="0016238D">
        <w:rPr>
          <w:rFonts w:ascii="Times New Roman" w:hAnsi="Times New Roman" w:cs="Times New Roman"/>
          <w:b/>
          <w:shd w:val="clear" w:color="auto" w:fill="FFFFFF"/>
        </w:rPr>
        <w:t>.</w:t>
      </w:r>
    </w:p>
    <w:p w14:paraId="0BFD4718" w14:textId="77777777" w:rsidR="0054417F" w:rsidRDefault="0054417F" w:rsidP="00485230">
      <w:pPr>
        <w:jc w:val="both"/>
        <w:rPr>
          <w:rFonts w:ascii="Times New Roman" w:hAnsi="Times New Roman" w:cs="Times New Roman"/>
          <w:i/>
          <w:shd w:val="clear" w:color="auto" w:fill="FFFFFF"/>
        </w:rPr>
      </w:pPr>
    </w:p>
    <w:p w14:paraId="0E9D1E64" w14:textId="77777777" w:rsidR="0009148F" w:rsidRPr="0016238D" w:rsidRDefault="0009148F" w:rsidP="00485230">
      <w:pPr>
        <w:ind w:left="705"/>
        <w:jc w:val="both"/>
        <w:rPr>
          <w:rFonts w:ascii="Times New Roman" w:hAnsi="Times New Roman" w:cs="Times New Roman"/>
          <w:i/>
          <w:shd w:val="clear" w:color="auto" w:fill="FFFFFF"/>
          <w:lang w:val="en-US"/>
        </w:rPr>
      </w:pPr>
      <w:r w:rsidRPr="0016238D">
        <w:rPr>
          <w:rFonts w:ascii="Times New Roman" w:hAnsi="Times New Roman" w:cs="Times New Roman"/>
          <w:i/>
          <w:shd w:val="clear" w:color="auto" w:fill="FFFFFF"/>
        </w:rPr>
        <w:t xml:space="preserve">Tales terapeutas deben saber exactamente qué amenazas pueden utilizar para dar apoyo a sus sugerencias, instrucciones, e incluso manipulaciones, yo no vacilo en usar la palabra amenazas. </w:t>
      </w:r>
      <w:r w:rsidRPr="0016238D">
        <w:rPr>
          <w:rFonts w:ascii="Times New Roman" w:hAnsi="Times New Roman" w:cs="Times New Roman"/>
          <w:i/>
          <w:shd w:val="clear" w:color="auto" w:fill="FFFFFF"/>
          <w:lang w:val="en-US"/>
        </w:rPr>
        <w:t xml:space="preserve">La </w:t>
      </w:r>
      <w:proofErr w:type="spellStart"/>
      <w:r w:rsidRPr="0016238D">
        <w:rPr>
          <w:rFonts w:ascii="Times New Roman" w:hAnsi="Times New Roman" w:cs="Times New Roman"/>
          <w:i/>
          <w:shd w:val="clear" w:color="auto" w:fill="FFFFFF"/>
          <w:lang w:val="en-US"/>
        </w:rPr>
        <w:t>vida</w:t>
      </w:r>
      <w:proofErr w:type="spellEnd"/>
      <w:r w:rsidRPr="0016238D">
        <w:rPr>
          <w:rFonts w:ascii="Times New Roman" w:hAnsi="Times New Roman" w:cs="Times New Roman"/>
          <w:i/>
          <w:shd w:val="clear" w:color="auto" w:fill="FFFFFF"/>
          <w:lang w:val="en-US"/>
        </w:rPr>
        <w:t xml:space="preserve"> </w:t>
      </w:r>
      <w:proofErr w:type="spellStart"/>
      <w:r w:rsidRPr="0016238D">
        <w:rPr>
          <w:rFonts w:ascii="Times New Roman" w:hAnsi="Times New Roman" w:cs="Times New Roman"/>
          <w:i/>
          <w:shd w:val="clear" w:color="auto" w:fill="FFFFFF"/>
          <w:lang w:val="en-US"/>
        </w:rPr>
        <w:t>está</w:t>
      </w:r>
      <w:proofErr w:type="spellEnd"/>
      <w:r w:rsidRPr="0016238D">
        <w:rPr>
          <w:rFonts w:ascii="Times New Roman" w:hAnsi="Times New Roman" w:cs="Times New Roman"/>
          <w:i/>
          <w:shd w:val="clear" w:color="auto" w:fill="FFFFFF"/>
          <w:lang w:val="en-US"/>
        </w:rPr>
        <w:t xml:space="preserve"> </w:t>
      </w:r>
      <w:proofErr w:type="spellStart"/>
      <w:r w:rsidRPr="0016238D">
        <w:rPr>
          <w:rFonts w:ascii="Times New Roman" w:hAnsi="Times New Roman" w:cs="Times New Roman"/>
          <w:i/>
          <w:shd w:val="clear" w:color="auto" w:fill="FFFFFF"/>
          <w:lang w:val="en-US"/>
        </w:rPr>
        <w:t>llena</w:t>
      </w:r>
      <w:proofErr w:type="spellEnd"/>
      <w:r w:rsidRPr="0016238D">
        <w:rPr>
          <w:rFonts w:ascii="Times New Roman" w:hAnsi="Times New Roman" w:cs="Times New Roman"/>
          <w:i/>
          <w:shd w:val="clear" w:color="auto" w:fill="FFFFFF"/>
          <w:lang w:val="en-US"/>
        </w:rPr>
        <w:t xml:space="preserve"> de </w:t>
      </w:r>
      <w:bookmarkStart w:id="1" w:name="r97"/>
      <w:bookmarkEnd w:id="1"/>
      <w:proofErr w:type="spellStart"/>
      <w:r w:rsidR="0054417F">
        <w:rPr>
          <w:rFonts w:ascii="Times New Roman" w:hAnsi="Times New Roman" w:cs="Times New Roman"/>
          <w:i/>
          <w:shd w:val="clear" w:color="auto" w:fill="FFFFFF"/>
          <w:lang w:val="en-US"/>
        </w:rPr>
        <w:t>amenazas</w:t>
      </w:r>
      <w:proofErr w:type="spellEnd"/>
      <w:r w:rsidR="0054417F">
        <w:rPr>
          <w:rFonts w:ascii="Times New Roman" w:hAnsi="Times New Roman" w:cs="Times New Roman"/>
          <w:i/>
          <w:shd w:val="clear" w:color="auto" w:fill="FFFFFF"/>
          <w:lang w:val="en-US"/>
        </w:rPr>
        <w:t>"</w:t>
      </w:r>
    </w:p>
    <w:p w14:paraId="3CA39E6C" w14:textId="77777777" w:rsidR="0009148F" w:rsidRDefault="0009148F" w:rsidP="00485230">
      <w:pPr>
        <w:ind w:left="705"/>
        <w:jc w:val="both"/>
        <w:rPr>
          <w:rFonts w:ascii="Times New Roman" w:hAnsi="Times New Roman" w:cs="Times New Roman"/>
          <w:shd w:val="clear" w:color="auto" w:fill="FFFFFF"/>
          <w:lang w:val="en-US"/>
        </w:rPr>
      </w:pPr>
      <w:r w:rsidRPr="0054417F">
        <w:rPr>
          <w:rFonts w:ascii="Times New Roman" w:hAnsi="Times New Roman" w:cs="Times New Roman"/>
          <w:shd w:val="clear" w:color="auto" w:fill="FFFFFF"/>
          <w:lang w:val="en-US"/>
        </w:rPr>
        <w:t>GARDNER, R., A., "Parental Alienation Syndrome vs. Parental Alienation: which Diagnosis Should Evaluators Use in Child-custody Disputes?", </w:t>
      </w:r>
      <w:r w:rsidRPr="0054417F">
        <w:rPr>
          <w:rFonts w:ascii="Times New Roman" w:hAnsi="Times New Roman" w:cs="Times New Roman"/>
          <w:i/>
          <w:iCs/>
          <w:shd w:val="clear" w:color="auto" w:fill="FFFFFF"/>
          <w:lang w:val="en-US"/>
        </w:rPr>
        <w:t>The American Journal of Family Therapy</w:t>
      </w:r>
      <w:r w:rsidRPr="0054417F">
        <w:rPr>
          <w:rFonts w:ascii="Times New Roman" w:hAnsi="Times New Roman" w:cs="Times New Roman"/>
          <w:shd w:val="clear" w:color="auto" w:fill="FFFFFF"/>
          <w:lang w:val="en-US"/>
        </w:rPr>
        <w:t>, 2002.</w:t>
      </w:r>
    </w:p>
    <w:p w14:paraId="6C0162A2" w14:textId="77777777" w:rsidR="0054417F" w:rsidRPr="0054417F" w:rsidRDefault="0054417F" w:rsidP="00485230">
      <w:pPr>
        <w:ind w:left="705"/>
        <w:jc w:val="both"/>
        <w:rPr>
          <w:rFonts w:ascii="Times New Roman" w:hAnsi="Times New Roman" w:cs="Times New Roman"/>
          <w:shd w:val="clear" w:color="auto" w:fill="FFFFFF"/>
          <w:lang w:val="en-US"/>
        </w:rPr>
      </w:pPr>
    </w:p>
    <w:p w14:paraId="0C31D30C" w14:textId="77777777" w:rsidR="00485230" w:rsidRDefault="0009148F" w:rsidP="00485230">
      <w:pPr>
        <w:ind w:left="705"/>
        <w:jc w:val="both"/>
        <w:rPr>
          <w:rFonts w:ascii="Times New Roman" w:hAnsi="Times New Roman" w:cs="Times New Roman"/>
          <w:i/>
          <w:shd w:val="clear" w:color="auto" w:fill="FFFFFF"/>
        </w:rPr>
      </w:pPr>
      <w:r w:rsidRPr="0016238D">
        <w:rPr>
          <w:rFonts w:ascii="Times New Roman" w:hAnsi="Times New Roman" w:cs="Times New Roman"/>
          <w:i/>
          <w:shd w:val="clear" w:color="auto" w:fill="FFFFFF"/>
        </w:rPr>
        <w:t xml:space="preserve">Ellos (los profesionales) deben sentirse cómodos amenazando a padres alienadores así como a los niños de que habrá consecuencias si ellos violan el </w:t>
      </w:r>
      <w:r w:rsidRPr="0016238D">
        <w:rPr>
          <w:rFonts w:ascii="Times New Roman" w:hAnsi="Times New Roman" w:cs="Times New Roman"/>
          <w:i/>
          <w:shd w:val="clear" w:color="auto" w:fill="FFFFFF"/>
        </w:rPr>
        <w:lastRenderedPageBreak/>
        <w:t>programa de visitas ordenado por el juzgado. Tales terapeutas deben sentirse cómodos con enfoques de confrontación, el propósito de los cuales es desprogramar a niños con SAP. Ellos deben reconocer que hacer lo que los niños manifiestan puede no ser sus mejores intereses. Lo que es el mejor interés en los casos de SAP es que los niños sean forzados a visitar al padre alienado. Los terapeutas que no se sientan cómodos con lo que yo llamo "terapia de la amenaza" no debe trabajar con las familias de </w:t>
      </w:r>
      <w:bookmarkStart w:id="2" w:name="r98"/>
      <w:bookmarkEnd w:id="2"/>
      <w:r w:rsidR="00485230">
        <w:rPr>
          <w:rFonts w:ascii="Times New Roman" w:hAnsi="Times New Roman" w:cs="Times New Roman"/>
          <w:i/>
          <w:shd w:val="clear" w:color="auto" w:fill="FFFFFF"/>
        </w:rPr>
        <w:t>SAP."</w:t>
      </w:r>
    </w:p>
    <w:p w14:paraId="6E7A1FF0" w14:textId="77777777" w:rsidR="0009148F" w:rsidRPr="00311410" w:rsidRDefault="0009148F" w:rsidP="00485230">
      <w:pPr>
        <w:ind w:left="705"/>
        <w:jc w:val="both"/>
        <w:rPr>
          <w:rFonts w:ascii="Times New Roman" w:hAnsi="Times New Roman" w:cs="Times New Roman"/>
          <w:i/>
          <w:shd w:val="clear" w:color="auto" w:fill="FFFFFF"/>
          <w:lang w:val="en-US"/>
        </w:rPr>
      </w:pPr>
      <w:r w:rsidRPr="00485230">
        <w:rPr>
          <w:rFonts w:ascii="Times New Roman" w:hAnsi="Times New Roman" w:cs="Times New Roman"/>
          <w:shd w:val="clear" w:color="auto" w:fill="FFFFFF"/>
          <w:lang w:val="en-US"/>
        </w:rPr>
        <w:t>GARDNER, R. A., "Should Courts Order PAS Children to Visit/Reside with the Alienated Parent? A Follow-up Study", </w:t>
      </w:r>
      <w:r w:rsidRPr="00485230">
        <w:rPr>
          <w:rFonts w:ascii="Times New Roman" w:hAnsi="Times New Roman" w:cs="Times New Roman"/>
          <w:i/>
          <w:iCs/>
          <w:shd w:val="clear" w:color="auto" w:fill="FFFFFF"/>
          <w:lang w:val="en-US"/>
        </w:rPr>
        <w:t>The American Journal of Forensic Psychology</w:t>
      </w:r>
      <w:r w:rsidRPr="00485230">
        <w:rPr>
          <w:rFonts w:ascii="Times New Roman" w:hAnsi="Times New Roman" w:cs="Times New Roman"/>
          <w:shd w:val="clear" w:color="auto" w:fill="FFFFFF"/>
          <w:lang w:val="en-US"/>
        </w:rPr>
        <w:t>, 2001.</w:t>
      </w:r>
    </w:p>
    <w:p w14:paraId="5E283D4F" w14:textId="77777777" w:rsidR="0009148F" w:rsidRPr="0016238D" w:rsidRDefault="0009148F" w:rsidP="0009148F">
      <w:pPr>
        <w:rPr>
          <w:rFonts w:ascii="Times New Roman" w:hAnsi="Times New Roman" w:cs="Times New Roman"/>
          <w:shd w:val="clear" w:color="auto" w:fill="FFFFFF"/>
          <w:lang w:val="en-US"/>
        </w:rPr>
      </w:pPr>
    </w:p>
    <w:p w14:paraId="48C4FB1B" w14:textId="14599BA2" w:rsidR="0009148F" w:rsidRDefault="00485230" w:rsidP="0009148F">
      <w:pPr>
        <w:jc w:val="both"/>
        <w:rPr>
          <w:rFonts w:ascii="Times New Roman" w:hAnsi="Times New Roman" w:cs="Times New Roman"/>
          <w:shd w:val="clear" w:color="auto" w:fill="FFFFFF"/>
        </w:rPr>
      </w:pPr>
      <w:r w:rsidRPr="00485230">
        <w:rPr>
          <w:rFonts w:ascii="Times New Roman" w:hAnsi="Times New Roman" w:cs="Times New Roman"/>
          <w:shd w:val="clear" w:color="auto" w:fill="FFFFFF"/>
        </w:rPr>
        <w:t>L</w:t>
      </w:r>
      <w:r w:rsidR="0009148F" w:rsidRPr="0016238D">
        <w:rPr>
          <w:rFonts w:ascii="Times New Roman" w:hAnsi="Times New Roman" w:cs="Times New Roman"/>
          <w:shd w:val="clear" w:color="auto" w:fill="FFFFFF"/>
        </w:rPr>
        <w:t>a terapia de la amenaza</w:t>
      </w:r>
      <w:r w:rsidR="00385BB5">
        <w:rPr>
          <w:rFonts w:ascii="Times New Roman" w:hAnsi="Times New Roman" w:cs="Times New Roman"/>
          <w:shd w:val="clear" w:color="auto" w:fill="FFFFFF"/>
        </w:rPr>
        <w:t xml:space="preserve"> o la </w:t>
      </w:r>
      <w:r w:rsidR="00385BB5">
        <w:t>“</w:t>
      </w:r>
      <w:proofErr w:type="spellStart"/>
      <w:r w:rsidR="00385BB5">
        <w:rPr>
          <w:rFonts w:hint="eastAsia"/>
        </w:rPr>
        <w:t>T</w:t>
      </w:r>
      <w:r w:rsidR="00385BB5">
        <w:t>hreat</w:t>
      </w:r>
      <w:proofErr w:type="spellEnd"/>
      <w:r w:rsidR="00385BB5">
        <w:t xml:space="preserve"> </w:t>
      </w:r>
      <w:proofErr w:type="spellStart"/>
      <w:r w:rsidR="00385BB5">
        <w:t>therapy</w:t>
      </w:r>
      <w:proofErr w:type="spellEnd"/>
      <w:r w:rsidR="00385BB5">
        <w:t>” como la conceptualiza su creador, Richard Gardner,</w:t>
      </w:r>
      <w:r w:rsidR="0009148F" w:rsidRPr="0016238D">
        <w:rPr>
          <w:rFonts w:ascii="Times New Roman" w:hAnsi="Times New Roman" w:cs="Times New Roman"/>
          <w:shd w:val="clear" w:color="auto" w:fill="FFFFFF"/>
        </w:rPr>
        <w:t xml:space="preserve"> se basa en la coacción con el fin de lograr que el niño o la niña dejen de mostrar rechazo hacia el progenitor denunciado. Además, deberemos tener en cuenta que para ello Gardner determina que los profesionales deben actuar sin escuchar a los menores de edad (“</w:t>
      </w:r>
      <w:r w:rsidR="0009148F" w:rsidRPr="0016238D">
        <w:rPr>
          <w:rFonts w:ascii="Times New Roman" w:hAnsi="Times New Roman" w:cs="Times New Roman"/>
          <w:i/>
          <w:shd w:val="clear" w:color="auto" w:fill="FFFFFF"/>
        </w:rPr>
        <w:t xml:space="preserve">hacer lo que los niños manifiestan puede no ser sus mejores intereses”), </w:t>
      </w:r>
      <w:r w:rsidR="0009148F" w:rsidRPr="0016238D">
        <w:rPr>
          <w:rFonts w:ascii="Times New Roman" w:hAnsi="Times New Roman" w:cs="Times New Roman"/>
          <w:shd w:val="clear" w:color="auto" w:fill="FFFFFF"/>
        </w:rPr>
        <w:t>contradiciendo de esta forma la definición del Comité de Derechos del Niño  de NNUU de interés superior del menor y de su derecho a ser escuchados.</w:t>
      </w:r>
    </w:p>
    <w:p w14:paraId="47E21ADE" w14:textId="77777777" w:rsidR="00485230" w:rsidRPr="0016238D" w:rsidRDefault="00485230" w:rsidP="0009148F">
      <w:pPr>
        <w:jc w:val="both"/>
        <w:rPr>
          <w:rFonts w:ascii="Times New Roman" w:hAnsi="Times New Roman" w:cs="Times New Roman"/>
          <w:shd w:val="clear" w:color="auto" w:fill="FFFFFF"/>
        </w:rPr>
      </w:pPr>
    </w:p>
    <w:p w14:paraId="482D8B3E" w14:textId="4F610475" w:rsidR="0009148F" w:rsidRDefault="00485230" w:rsidP="0009148F">
      <w:pPr>
        <w:jc w:val="both"/>
        <w:rPr>
          <w:rFonts w:ascii="Times New Roman" w:hAnsi="Times New Roman" w:cs="Times New Roman"/>
          <w:shd w:val="clear" w:color="auto" w:fill="FFFFFF"/>
        </w:rPr>
      </w:pPr>
      <w:r>
        <w:rPr>
          <w:rFonts w:ascii="Times New Roman" w:hAnsi="Times New Roman" w:cs="Times New Roman"/>
          <w:shd w:val="clear" w:color="auto" w:fill="FFFFFF"/>
        </w:rPr>
        <w:t>Así</w:t>
      </w:r>
      <w:r w:rsidR="0009148F" w:rsidRPr="0016238D">
        <w:rPr>
          <w:rFonts w:ascii="Times New Roman" w:hAnsi="Times New Roman" w:cs="Times New Roman"/>
          <w:shd w:val="clear" w:color="auto" w:fill="FFFFFF"/>
        </w:rPr>
        <w:t xml:space="preserve"> pues</w:t>
      </w:r>
      <w:r>
        <w:rPr>
          <w:rFonts w:ascii="Times New Roman" w:hAnsi="Times New Roman" w:cs="Times New Roman"/>
          <w:shd w:val="clear" w:color="auto" w:fill="FFFFFF"/>
        </w:rPr>
        <w:t>, el SAP</w:t>
      </w:r>
      <w:r w:rsidR="0009148F" w:rsidRPr="0016238D">
        <w:rPr>
          <w:rFonts w:ascii="Times New Roman" w:hAnsi="Times New Roman" w:cs="Times New Roman"/>
          <w:shd w:val="clear" w:color="auto" w:fill="FFFFFF"/>
        </w:rPr>
        <w:t xml:space="preserve"> se ejecuta con intencionalidad y esta intencionalidad está dirigida a obtener algo de la víctima: que el niño deje de rechazar al progenitor, que la madre abandone su pretensión de defender a los hijos e hijas (“</w:t>
      </w:r>
      <w:r w:rsidR="0009148F" w:rsidRPr="0016238D">
        <w:rPr>
          <w:rFonts w:ascii="Times New Roman" w:hAnsi="Times New Roman" w:cs="Times New Roman"/>
          <w:i/>
          <w:shd w:val="clear" w:color="auto" w:fill="FFFFFF"/>
        </w:rPr>
        <w:t xml:space="preserve">ayudar a tales madres el "recordarles cooperar”). </w:t>
      </w:r>
      <w:r w:rsidR="0009148F" w:rsidRPr="0016238D">
        <w:rPr>
          <w:rFonts w:ascii="Times New Roman" w:hAnsi="Times New Roman" w:cs="Times New Roman"/>
          <w:shd w:val="clear" w:color="auto" w:fill="FFFFFF"/>
        </w:rPr>
        <w:t xml:space="preserve">Es decir, se realiza </w:t>
      </w:r>
      <w:r w:rsidR="0009148F" w:rsidRPr="001079FF">
        <w:rPr>
          <w:rFonts w:ascii="Times New Roman" w:hAnsi="Times New Roman" w:cs="Times New Roman"/>
          <w:shd w:val="clear" w:color="auto" w:fill="FFFFFF"/>
        </w:rPr>
        <w:t>con el fin de “intimidad o coaccionar a esa persona o a otras”, cumpliendo plenamente ese requisito enunciado en el primer artículo de la Convención y en el artículo 174 del Código Penal español</w:t>
      </w:r>
      <w:r w:rsidR="0009148F" w:rsidRPr="0016238D">
        <w:rPr>
          <w:rFonts w:ascii="Times New Roman" w:hAnsi="Times New Roman" w:cs="Times New Roman"/>
          <w:shd w:val="clear" w:color="auto" w:fill="FFFFFF"/>
        </w:rPr>
        <w:t xml:space="preserve"> para que un acto sea considerado tortura.</w:t>
      </w:r>
    </w:p>
    <w:p w14:paraId="1643A623" w14:textId="77777777" w:rsidR="00485230" w:rsidRPr="0016238D" w:rsidRDefault="00485230" w:rsidP="0009148F">
      <w:pPr>
        <w:jc w:val="both"/>
        <w:rPr>
          <w:rFonts w:ascii="Times New Roman" w:hAnsi="Times New Roman" w:cs="Times New Roman"/>
          <w:shd w:val="clear" w:color="auto" w:fill="FFFFFF"/>
        </w:rPr>
      </w:pPr>
    </w:p>
    <w:p w14:paraId="3C4953AC" w14:textId="2F697814" w:rsidR="0009148F" w:rsidRDefault="0009148F" w:rsidP="0009148F">
      <w:pPr>
        <w:jc w:val="both"/>
        <w:rPr>
          <w:rFonts w:ascii="Times New Roman" w:hAnsi="Times New Roman" w:cs="Times New Roman"/>
          <w:shd w:val="clear" w:color="auto" w:fill="FFFFFF"/>
        </w:rPr>
      </w:pPr>
      <w:r w:rsidRPr="0016238D">
        <w:rPr>
          <w:rFonts w:ascii="Times New Roman" w:hAnsi="Times New Roman" w:cs="Times New Roman"/>
          <w:shd w:val="clear" w:color="auto" w:fill="FFFFFF"/>
        </w:rPr>
        <w:t>Además encontramos que existe un trato discriminatorio (“basada en cualquier tipo de discriminación”) dado el sesgo de género que se ha encontrado de forma recurrente en su aplicación. Como han dejado claro diversos estudios e informes, entre los que destacamos p</w:t>
      </w:r>
      <w:r w:rsidR="003C4C00">
        <w:rPr>
          <w:rFonts w:ascii="Times New Roman" w:hAnsi="Times New Roman" w:cs="Times New Roman"/>
          <w:shd w:val="clear" w:color="auto" w:fill="FFFFFF"/>
        </w:rPr>
        <w:t xml:space="preserve">or su importancia y por su actualidad los emitidos por </w:t>
      </w:r>
      <w:proofErr w:type="spellStart"/>
      <w:r w:rsidR="003C4C00">
        <w:rPr>
          <w:rFonts w:ascii="Times New Roman" w:hAnsi="Times New Roman" w:cs="Times New Roman"/>
          <w:shd w:val="clear" w:color="auto" w:fill="FFFFFF"/>
        </w:rPr>
        <w:t>Dallam</w:t>
      </w:r>
      <w:proofErr w:type="spellEnd"/>
      <w:r w:rsidR="003C4C00">
        <w:rPr>
          <w:rFonts w:ascii="Times New Roman" w:hAnsi="Times New Roman" w:cs="Times New Roman"/>
          <w:shd w:val="clear" w:color="auto" w:fill="FFFFFF"/>
        </w:rPr>
        <w:t xml:space="preserve"> y </w:t>
      </w:r>
      <w:proofErr w:type="spellStart"/>
      <w:r w:rsidR="003C4C00">
        <w:rPr>
          <w:rFonts w:ascii="Times New Roman" w:hAnsi="Times New Roman" w:cs="Times New Roman"/>
          <w:shd w:val="clear" w:color="auto" w:fill="FFFFFF"/>
        </w:rPr>
        <w:t>Silberg</w:t>
      </w:r>
      <w:proofErr w:type="spellEnd"/>
      <w:r w:rsidR="003C4C00">
        <w:rPr>
          <w:rStyle w:val="Refdenotaalpie"/>
          <w:rFonts w:ascii="Times New Roman" w:hAnsi="Times New Roman" w:cs="Times New Roman"/>
          <w:shd w:val="clear" w:color="auto" w:fill="FFFFFF"/>
        </w:rPr>
        <w:footnoteReference w:id="4"/>
      </w:r>
      <w:r w:rsidR="003C4C00">
        <w:rPr>
          <w:rFonts w:ascii="Times New Roman" w:hAnsi="Times New Roman" w:cs="Times New Roman"/>
          <w:shd w:val="clear" w:color="auto" w:fill="FFFFFF"/>
        </w:rPr>
        <w:t>, así como el</w:t>
      </w:r>
      <w:r w:rsidRPr="0016238D">
        <w:rPr>
          <w:rFonts w:ascii="Times New Roman" w:hAnsi="Times New Roman" w:cs="Times New Roman"/>
          <w:shd w:val="clear" w:color="auto" w:fill="FFFFFF"/>
        </w:rPr>
        <w:t xml:space="preserve"> emitido por la Relatora Especial de Violencia de Género de NNUU</w:t>
      </w:r>
      <w:r w:rsidRPr="0016238D">
        <w:rPr>
          <w:rStyle w:val="Refdenotaalpie"/>
          <w:rFonts w:ascii="Times New Roman" w:hAnsi="Times New Roman" w:cs="Times New Roman"/>
          <w:shd w:val="clear" w:color="auto" w:fill="FFFFFF"/>
        </w:rPr>
        <w:footnoteReference w:id="5"/>
      </w:r>
      <w:r w:rsidRPr="0016238D">
        <w:rPr>
          <w:rFonts w:ascii="Times New Roman" w:hAnsi="Times New Roman" w:cs="Times New Roman"/>
          <w:shd w:val="clear" w:color="auto" w:fill="FFFFFF"/>
        </w:rPr>
        <w:t xml:space="preserve"> (puntos 14, 17, 18 y 19) y el realizado por la Universidad Complutense de Madrid (Apartados III y V), el </w:t>
      </w:r>
      <w:r w:rsidR="006C6B5F">
        <w:rPr>
          <w:rFonts w:ascii="Times New Roman" w:hAnsi="Times New Roman" w:cs="Times New Roman"/>
          <w:shd w:val="clear" w:color="auto" w:fill="FFFFFF"/>
        </w:rPr>
        <w:t>SAP</w:t>
      </w:r>
      <w:r w:rsidRPr="0016238D">
        <w:rPr>
          <w:rFonts w:ascii="Times New Roman" w:hAnsi="Times New Roman" w:cs="Times New Roman"/>
          <w:shd w:val="clear" w:color="auto" w:fill="FFFFFF"/>
        </w:rPr>
        <w:t xml:space="preserve"> y sobre todo su terapia de la amenaza se aplica principalmente a madres que han denunciado conductas violentas por parte de los progenitores de sus hijos.</w:t>
      </w:r>
    </w:p>
    <w:p w14:paraId="641BC7D9" w14:textId="77777777" w:rsidR="00485230" w:rsidRPr="0016238D" w:rsidRDefault="00485230" w:rsidP="0009148F">
      <w:pPr>
        <w:jc w:val="both"/>
        <w:rPr>
          <w:rFonts w:ascii="Times New Roman" w:hAnsi="Times New Roman" w:cs="Times New Roman"/>
          <w:shd w:val="clear" w:color="auto" w:fill="FFFFFF"/>
        </w:rPr>
      </w:pPr>
    </w:p>
    <w:p w14:paraId="18CEABEC" w14:textId="77777777" w:rsidR="0009148F" w:rsidRDefault="0009148F" w:rsidP="0009148F">
      <w:pPr>
        <w:jc w:val="both"/>
        <w:rPr>
          <w:rFonts w:ascii="Times New Roman" w:hAnsi="Times New Roman" w:cs="Times New Roman"/>
          <w:bCs/>
          <w:i/>
        </w:rPr>
      </w:pPr>
      <w:r w:rsidRPr="0016238D">
        <w:rPr>
          <w:rFonts w:ascii="Times New Roman" w:hAnsi="Times New Roman" w:cs="Times New Roman"/>
          <w:shd w:val="clear" w:color="auto" w:fill="FFFFFF"/>
        </w:rPr>
        <w:t xml:space="preserve">Así lo expresa también el Parlamento Europeo en su </w:t>
      </w:r>
      <w:r w:rsidRPr="0016238D">
        <w:rPr>
          <w:rFonts w:ascii="Times New Roman" w:hAnsi="Times New Roman" w:cs="Times New Roman"/>
          <w:i/>
          <w:shd w:val="clear" w:color="auto" w:fill="FFFFFF"/>
        </w:rPr>
        <w:t>Resolución</w:t>
      </w:r>
      <w:r w:rsidRPr="0016238D">
        <w:rPr>
          <w:rFonts w:ascii="Times New Roman" w:hAnsi="Times New Roman" w:cs="Times New Roman"/>
          <w:bCs/>
          <w:i/>
        </w:rPr>
        <w:t xml:space="preserve"> de 6 de octubre de 2021, sobre el impacto de la violencia doméstica y del derecho de custodia en las mujeres y los niños (2019/2166(INI))</w:t>
      </w:r>
    </w:p>
    <w:p w14:paraId="4BA63947" w14:textId="77777777" w:rsidR="00485230" w:rsidRPr="0016238D" w:rsidRDefault="00485230" w:rsidP="0009148F">
      <w:pPr>
        <w:jc w:val="both"/>
        <w:rPr>
          <w:rFonts w:ascii="Times New Roman" w:hAnsi="Times New Roman" w:cs="Times New Roman"/>
          <w:i/>
          <w:shd w:val="clear" w:color="auto" w:fill="FFFFFF"/>
        </w:rPr>
      </w:pPr>
    </w:p>
    <w:p w14:paraId="42F029A4" w14:textId="77777777" w:rsidR="0009148F" w:rsidRPr="0016238D" w:rsidRDefault="0009148F" w:rsidP="00A249C4">
      <w:pPr>
        <w:ind w:left="708"/>
        <w:jc w:val="both"/>
        <w:rPr>
          <w:rFonts w:ascii="Times New Roman" w:hAnsi="Times New Roman" w:cs="Times New Roman"/>
          <w:shd w:val="clear" w:color="auto" w:fill="FFFFFF"/>
        </w:rPr>
      </w:pPr>
      <w:r w:rsidRPr="0016238D">
        <w:rPr>
          <w:rFonts w:ascii="Times New Roman" w:hAnsi="Times New Roman" w:cs="Times New Roman"/>
          <w:i/>
        </w:rPr>
        <w:t xml:space="preserve">41.(...) “Pide a los Estados miembros que efectúen un seguimiento de la </w:t>
      </w:r>
      <w:r w:rsidRPr="0016238D">
        <w:rPr>
          <w:rFonts w:ascii="Times New Roman" w:hAnsi="Times New Roman" w:cs="Times New Roman"/>
          <w:i/>
          <w:u w:val="single"/>
        </w:rPr>
        <w:t>cultura de denigración de la voz de la mujer</w:t>
      </w:r>
      <w:r w:rsidRPr="0016238D">
        <w:rPr>
          <w:rFonts w:ascii="Times New Roman" w:hAnsi="Times New Roman" w:cs="Times New Roman"/>
          <w:i/>
        </w:rPr>
        <w:t xml:space="preserve"> y la combatan; condena el uso, la afirmación y la aceptación de teorías y conceptos no científicos en los asuntos de custodia que </w:t>
      </w:r>
      <w:r w:rsidRPr="0016238D">
        <w:rPr>
          <w:rFonts w:ascii="Times New Roman" w:hAnsi="Times New Roman" w:cs="Times New Roman"/>
          <w:i/>
          <w:u w:val="single"/>
        </w:rPr>
        <w:t xml:space="preserve">castigan a las madres que intentan denunciar casos de maltrato infantil o violencia de género impidiéndoles obtener la custodia o restringiendo </w:t>
      </w:r>
      <w:r w:rsidRPr="0016238D">
        <w:rPr>
          <w:rFonts w:ascii="Times New Roman" w:hAnsi="Times New Roman" w:cs="Times New Roman"/>
          <w:i/>
          <w:u w:val="single"/>
        </w:rPr>
        <w:lastRenderedPageBreak/>
        <w:t>sus derechos parentales</w:t>
      </w:r>
      <w:r w:rsidRPr="0016238D">
        <w:rPr>
          <w:rFonts w:ascii="Times New Roman" w:hAnsi="Times New Roman" w:cs="Times New Roman"/>
          <w:i/>
        </w:rPr>
        <w:t xml:space="preserve">; resalta que el denominado «síndrome de alienación parental» y otros conceptos y términos similares, que se basan generalmente en estereotipos de género, pueden ir en detrimento de las mujeres víctimas de violencia en el marco de la pareja o expareja, al </w:t>
      </w:r>
      <w:r w:rsidRPr="0016238D">
        <w:rPr>
          <w:rFonts w:ascii="Times New Roman" w:hAnsi="Times New Roman" w:cs="Times New Roman"/>
          <w:i/>
          <w:u w:val="single"/>
        </w:rPr>
        <w:t>culpar a la madre del distanciamiento de sus hijos respecto al padre, cuestionar las habilidades parentales de la víctima, ignorar el testimonio de los hijos y los riesgos de violencia a que están expuestos, y poner en peligro los derechos y la seguridad de la madre y los hijos</w:t>
      </w:r>
      <w:r w:rsidRPr="0016238D">
        <w:rPr>
          <w:rFonts w:ascii="Times New Roman" w:hAnsi="Times New Roman" w:cs="Times New Roman"/>
          <w:i/>
        </w:rPr>
        <w:t>;”</w:t>
      </w:r>
    </w:p>
    <w:p w14:paraId="127A520C" w14:textId="77777777" w:rsidR="00A249C4" w:rsidRDefault="00A249C4" w:rsidP="00ED5A62">
      <w:pPr>
        <w:pStyle w:val="NormalWeb"/>
        <w:shd w:val="clear" w:color="auto" w:fill="FFFFFF"/>
        <w:spacing w:before="0" w:beforeAutospacing="0" w:after="0" w:afterAutospacing="0" w:line="276" w:lineRule="auto"/>
        <w:jc w:val="both"/>
        <w:textAlignment w:val="baseline"/>
        <w:rPr>
          <w:rFonts w:eastAsia="Arial Unicode MS"/>
          <w:kern w:val="2"/>
          <w:shd w:val="clear" w:color="auto" w:fill="FFFFFF"/>
          <w:lang w:eastAsia="zh-CN" w:bidi="hi-IN"/>
        </w:rPr>
      </w:pPr>
    </w:p>
    <w:p w14:paraId="1140362E" w14:textId="655DEEB3" w:rsidR="004B07C7" w:rsidRDefault="004B07C7" w:rsidP="00ED5A62">
      <w:pPr>
        <w:pStyle w:val="NormalWeb"/>
        <w:shd w:val="clear" w:color="auto" w:fill="FFFFFF"/>
        <w:spacing w:before="0" w:beforeAutospacing="0" w:after="0" w:afterAutospacing="0" w:line="276" w:lineRule="auto"/>
        <w:jc w:val="both"/>
        <w:textAlignment w:val="baseline"/>
        <w:rPr>
          <w:rFonts w:eastAsia="Arial Unicode MS"/>
          <w:kern w:val="2"/>
          <w:shd w:val="clear" w:color="auto" w:fill="FFFFFF"/>
          <w:lang w:eastAsia="zh-CN" w:bidi="hi-IN"/>
        </w:rPr>
      </w:pPr>
      <w:r>
        <w:rPr>
          <w:rFonts w:eastAsia="Arial Unicode MS"/>
          <w:kern w:val="2"/>
          <w:shd w:val="clear" w:color="auto" w:fill="FFFFFF"/>
          <w:lang w:eastAsia="zh-CN" w:bidi="hi-IN"/>
        </w:rPr>
        <w:t>Lo señalado por el Parlamento Europeo viene siendo denunciado no solo por la sociedad civil española, sino por Organizaciones no Gubernamentales desde hace años:</w:t>
      </w:r>
    </w:p>
    <w:p w14:paraId="4338C0A0" w14:textId="08EFB43E" w:rsidR="004B07C7" w:rsidRPr="004B07C7" w:rsidRDefault="004B07C7" w:rsidP="004B07C7">
      <w:pPr>
        <w:pStyle w:val="NormalWeb"/>
        <w:shd w:val="clear" w:color="auto" w:fill="FFFFFF"/>
        <w:spacing w:before="0" w:beforeAutospacing="0" w:after="0" w:afterAutospacing="0"/>
        <w:ind w:left="708"/>
        <w:jc w:val="both"/>
        <w:textAlignment w:val="baseline"/>
        <w:rPr>
          <w:sz w:val="22"/>
          <w:szCs w:val="22"/>
          <w:shd w:val="clear" w:color="auto" w:fill="FFFFFF"/>
          <w:lang w:bidi="hi-IN"/>
        </w:rPr>
      </w:pPr>
      <w:r w:rsidRPr="004B07C7">
        <w:rPr>
          <w:sz w:val="22"/>
          <w:szCs w:val="22"/>
          <w:shd w:val="clear" w:color="auto" w:fill="FFFFFF"/>
          <w:lang w:bidi="hi-IN"/>
        </w:rPr>
        <w:t xml:space="preserve">Los prejuicios que pueden condicionar muchos de estos procedimientos cuando el acusado o la acusada es alguno de los progenitores y se entrecruzan estos procedimientos con uno por </w:t>
      </w:r>
      <w:proofErr w:type="spellStart"/>
      <w:r w:rsidRPr="004B07C7">
        <w:rPr>
          <w:sz w:val="22"/>
          <w:szCs w:val="22"/>
          <w:shd w:val="clear" w:color="auto" w:fill="FFFFFF"/>
          <w:lang w:bidi="hi-IN"/>
        </w:rPr>
        <w:t>separación</w:t>
      </w:r>
      <w:proofErr w:type="spellEnd"/>
      <w:r w:rsidRPr="004B07C7">
        <w:rPr>
          <w:sz w:val="22"/>
          <w:szCs w:val="22"/>
          <w:shd w:val="clear" w:color="auto" w:fill="FFFFFF"/>
          <w:lang w:bidi="hi-IN"/>
        </w:rPr>
        <w:t xml:space="preserve">, divorcio o nulidad en el </w:t>
      </w:r>
      <w:proofErr w:type="spellStart"/>
      <w:r w:rsidRPr="004B07C7">
        <w:rPr>
          <w:sz w:val="22"/>
          <w:szCs w:val="22"/>
          <w:shd w:val="clear" w:color="auto" w:fill="FFFFFF"/>
          <w:lang w:bidi="hi-IN"/>
        </w:rPr>
        <w:t>ámbito</w:t>
      </w:r>
      <w:proofErr w:type="spellEnd"/>
      <w:r w:rsidRPr="004B07C7">
        <w:rPr>
          <w:sz w:val="22"/>
          <w:szCs w:val="22"/>
          <w:shd w:val="clear" w:color="auto" w:fill="FFFFFF"/>
          <w:lang w:bidi="hi-IN"/>
        </w:rPr>
        <w:t xml:space="preserve"> civil. El trabajo que </w:t>
      </w:r>
      <w:proofErr w:type="spellStart"/>
      <w:r w:rsidRPr="004B07C7">
        <w:rPr>
          <w:sz w:val="22"/>
          <w:szCs w:val="22"/>
          <w:shd w:val="clear" w:color="auto" w:fill="FFFFFF"/>
          <w:lang w:bidi="hi-IN"/>
        </w:rPr>
        <w:t>Save</w:t>
      </w:r>
      <w:proofErr w:type="spellEnd"/>
      <w:r w:rsidRPr="004B07C7">
        <w:rPr>
          <w:sz w:val="22"/>
          <w:szCs w:val="22"/>
          <w:shd w:val="clear" w:color="auto" w:fill="FFFFFF"/>
          <w:lang w:bidi="hi-IN"/>
        </w:rPr>
        <w:t xml:space="preserve"> </w:t>
      </w:r>
      <w:proofErr w:type="spellStart"/>
      <w:r w:rsidRPr="004B07C7">
        <w:rPr>
          <w:sz w:val="22"/>
          <w:szCs w:val="22"/>
          <w:shd w:val="clear" w:color="auto" w:fill="FFFFFF"/>
          <w:lang w:bidi="hi-IN"/>
        </w:rPr>
        <w:t>the</w:t>
      </w:r>
      <w:proofErr w:type="spellEnd"/>
      <w:r w:rsidRPr="004B07C7">
        <w:rPr>
          <w:sz w:val="22"/>
          <w:szCs w:val="22"/>
          <w:shd w:val="clear" w:color="auto" w:fill="FFFFFF"/>
          <w:lang w:bidi="hi-IN"/>
        </w:rPr>
        <w:t xml:space="preserve"> </w:t>
      </w:r>
      <w:proofErr w:type="spellStart"/>
      <w:r w:rsidRPr="004B07C7">
        <w:rPr>
          <w:sz w:val="22"/>
          <w:szCs w:val="22"/>
          <w:shd w:val="clear" w:color="auto" w:fill="FFFFFF"/>
          <w:lang w:bidi="hi-IN"/>
        </w:rPr>
        <w:t>Children</w:t>
      </w:r>
      <w:proofErr w:type="spellEnd"/>
      <w:r w:rsidRPr="004B07C7">
        <w:rPr>
          <w:sz w:val="22"/>
          <w:szCs w:val="22"/>
          <w:shd w:val="clear" w:color="auto" w:fill="FFFFFF"/>
          <w:lang w:bidi="hi-IN"/>
        </w:rPr>
        <w:t xml:space="preserve"> ha realizado analizando la </w:t>
      </w:r>
      <w:proofErr w:type="spellStart"/>
      <w:r w:rsidRPr="004B07C7">
        <w:rPr>
          <w:sz w:val="22"/>
          <w:szCs w:val="22"/>
          <w:shd w:val="clear" w:color="auto" w:fill="FFFFFF"/>
          <w:lang w:bidi="hi-IN"/>
        </w:rPr>
        <w:t>situación</w:t>
      </w:r>
      <w:proofErr w:type="spellEnd"/>
      <w:r w:rsidRPr="004B07C7">
        <w:rPr>
          <w:sz w:val="22"/>
          <w:szCs w:val="22"/>
          <w:shd w:val="clear" w:color="auto" w:fill="FFFFFF"/>
          <w:lang w:bidi="hi-IN"/>
        </w:rPr>
        <w:t xml:space="preserve"> de los hijos y las hijas de mujeres </w:t>
      </w:r>
      <w:proofErr w:type="spellStart"/>
      <w:r w:rsidRPr="004B07C7">
        <w:rPr>
          <w:sz w:val="22"/>
          <w:szCs w:val="22"/>
          <w:shd w:val="clear" w:color="auto" w:fill="FFFFFF"/>
          <w:lang w:bidi="hi-IN"/>
        </w:rPr>
        <w:t>víctimas</w:t>
      </w:r>
      <w:proofErr w:type="spellEnd"/>
      <w:r w:rsidRPr="004B07C7">
        <w:rPr>
          <w:sz w:val="22"/>
          <w:szCs w:val="22"/>
          <w:shd w:val="clear" w:color="auto" w:fill="FFFFFF"/>
          <w:lang w:bidi="hi-IN"/>
        </w:rPr>
        <w:t xml:space="preserve"> de violencia de </w:t>
      </w:r>
      <w:proofErr w:type="spellStart"/>
      <w:r w:rsidRPr="004B07C7">
        <w:rPr>
          <w:sz w:val="22"/>
          <w:szCs w:val="22"/>
          <w:shd w:val="clear" w:color="auto" w:fill="FFFFFF"/>
          <w:lang w:bidi="hi-IN"/>
        </w:rPr>
        <w:t>género</w:t>
      </w:r>
      <w:proofErr w:type="spellEnd"/>
      <w:r w:rsidRPr="004B07C7">
        <w:rPr>
          <w:sz w:val="22"/>
          <w:szCs w:val="22"/>
          <w:shd w:val="clear" w:color="auto" w:fill="FFFFFF"/>
          <w:lang w:bidi="hi-IN"/>
        </w:rPr>
        <w:t xml:space="preserve">, o de </w:t>
      </w:r>
      <w:proofErr w:type="spellStart"/>
      <w:r w:rsidRPr="004B07C7">
        <w:rPr>
          <w:sz w:val="22"/>
          <w:szCs w:val="22"/>
          <w:shd w:val="clear" w:color="auto" w:fill="FFFFFF"/>
          <w:lang w:bidi="hi-IN"/>
        </w:rPr>
        <w:t>niños</w:t>
      </w:r>
      <w:proofErr w:type="spellEnd"/>
      <w:r w:rsidRPr="004B07C7">
        <w:rPr>
          <w:sz w:val="22"/>
          <w:szCs w:val="22"/>
          <w:shd w:val="clear" w:color="auto" w:fill="FFFFFF"/>
          <w:lang w:bidi="hi-IN"/>
        </w:rPr>
        <w:t xml:space="preserve"> y </w:t>
      </w:r>
      <w:proofErr w:type="spellStart"/>
      <w:r w:rsidRPr="004B07C7">
        <w:rPr>
          <w:sz w:val="22"/>
          <w:szCs w:val="22"/>
          <w:shd w:val="clear" w:color="auto" w:fill="FFFFFF"/>
          <w:lang w:bidi="hi-IN"/>
        </w:rPr>
        <w:t>niñas</w:t>
      </w:r>
      <w:proofErr w:type="spellEnd"/>
      <w:r w:rsidRPr="004B07C7">
        <w:rPr>
          <w:sz w:val="22"/>
          <w:szCs w:val="22"/>
          <w:shd w:val="clear" w:color="auto" w:fill="FFFFFF"/>
          <w:lang w:bidi="hi-IN"/>
        </w:rPr>
        <w:t xml:space="preserve"> </w:t>
      </w:r>
      <w:proofErr w:type="spellStart"/>
      <w:r w:rsidRPr="004B07C7">
        <w:rPr>
          <w:sz w:val="22"/>
          <w:szCs w:val="22"/>
          <w:shd w:val="clear" w:color="auto" w:fill="FFFFFF"/>
          <w:lang w:bidi="hi-IN"/>
        </w:rPr>
        <w:t>víctimas</w:t>
      </w:r>
      <w:proofErr w:type="spellEnd"/>
      <w:r w:rsidRPr="004B07C7">
        <w:rPr>
          <w:sz w:val="22"/>
          <w:szCs w:val="22"/>
          <w:shd w:val="clear" w:color="auto" w:fill="FFFFFF"/>
          <w:lang w:bidi="hi-IN"/>
        </w:rPr>
        <w:t xml:space="preserve"> de abuso sexual en el hogar hacen evidentes estos sesgos en muchos casos que en lo que se traducen es en una desconfianza respecto del testimonio del </w:t>
      </w:r>
      <w:proofErr w:type="spellStart"/>
      <w:r w:rsidRPr="004B07C7">
        <w:rPr>
          <w:sz w:val="22"/>
          <w:szCs w:val="22"/>
          <w:shd w:val="clear" w:color="auto" w:fill="FFFFFF"/>
          <w:lang w:bidi="hi-IN"/>
        </w:rPr>
        <w:t>niño</w:t>
      </w:r>
      <w:proofErr w:type="spellEnd"/>
      <w:r w:rsidRPr="004B07C7">
        <w:rPr>
          <w:sz w:val="22"/>
          <w:szCs w:val="22"/>
          <w:shd w:val="clear" w:color="auto" w:fill="FFFFFF"/>
          <w:lang w:bidi="hi-IN"/>
        </w:rPr>
        <w:t xml:space="preserve"> o la </w:t>
      </w:r>
      <w:proofErr w:type="spellStart"/>
      <w:r w:rsidRPr="004B07C7">
        <w:rPr>
          <w:sz w:val="22"/>
          <w:szCs w:val="22"/>
          <w:shd w:val="clear" w:color="auto" w:fill="FFFFFF"/>
          <w:lang w:bidi="hi-IN"/>
        </w:rPr>
        <w:t>niña</w:t>
      </w:r>
      <w:proofErr w:type="spellEnd"/>
      <w:r w:rsidRPr="004B07C7">
        <w:rPr>
          <w:sz w:val="22"/>
          <w:szCs w:val="22"/>
          <w:shd w:val="clear" w:color="auto" w:fill="FFFFFF"/>
          <w:lang w:bidi="hi-IN"/>
        </w:rPr>
        <w:t xml:space="preserve"> y su credibilidad que repercute de manera enormemente negativa en su propio desarrollo y bienestar (</w:t>
      </w:r>
      <w:proofErr w:type="spellStart"/>
      <w:r w:rsidRPr="004B07C7">
        <w:rPr>
          <w:sz w:val="22"/>
          <w:szCs w:val="22"/>
          <w:shd w:val="clear" w:color="auto" w:fill="FFFFFF"/>
          <w:lang w:bidi="hi-IN"/>
        </w:rPr>
        <w:t>Save</w:t>
      </w:r>
      <w:proofErr w:type="spellEnd"/>
      <w:r w:rsidRPr="004B07C7">
        <w:rPr>
          <w:sz w:val="22"/>
          <w:szCs w:val="22"/>
          <w:shd w:val="clear" w:color="auto" w:fill="FFFFFF"/>
          <w:lang w:bidi="hi-IN"/>
        </w:rPr>
        <w:t xml:space="preserve"> </w:t>
      </w:r>
      <w:proofErr w:type="spellStart"/>
      <w:r w:rsidRPr="004B07C7">
        <w:rPr>
          <w:sz w:val="22"/>
          <w:szCs w:val="22"/>
          <w:shd w:val="clear" w:color="auto" w:fill="FFFFFF"/>
          <w:lang w:bidi="hi-IN"/>
        </w:rPr>
        <w:t>the</w:t>
      </w:r>
      <w:proofErr w:type="spellEnd"/>
      <w:r w:rsidRPr="004B07C7">
        <w:rPr>
          <w:sz w:val="22"/>
          <w:szCs w:val="22"/>
          <w:shd w:val="clear" w:color="auto" w:fill="FFFFFF"/>
          <w:lang w:bidi="hi-IN"/>
        </w:rPr>
        <w:t xml:space="preserve"> </w:t>
      </w:r>
      <w:proofErr w:type="spellStart"/>
      <w:r w:rsidRPr="004B07C7">
        <w:rPr>
          <w:sz w:val="22"/>
          <w:szCs w:val="22"/>
          <w:shd w:val="clear" w:color="auto" w:fill="FFFFFF"/>
          <w:lang w:bidi="hi-IN"/>
        </w:rPr>
        <w:t>Children</w:t>
      </w:r>
      <w:proofErr w:type="spellEnd"/>
      <w:r w:rsidRPr="004B07C7">
        <w:rPr>
          <w:sz w:val="22"/>
          <w:szCs w:val="22"/>
          <w:shd w:val="clear" w:color="auto" w:fill="FFFFFF"/>
          <w:lang w:bidi="hi-IN"/>
        </w:rPr>
        <w:t xml:space="preserve">, 2012b, </w:t>
      </w:r>
      <w:proofErr w:type="spellStart"/>
      <w:r w:rsidRPr="004B07C7">
        <w:rPr>
          <w:sz w:val="22"/>
          <w:szCs w:val="22"/>
          <w:shd w:val="clear" w:color="auto" w:fill="FFFFFF"/>
          <w:lang w:bidi="hi-IN"/>
        </w:rPr>
        <w:t>pág</w:t>
      </w:r>
      <w:proofErr w:type="spellEnd"/>
      <w:r w:rsidRPr="004B07C7">
        <w:rPr>
          <w:sz w:val="22"/>
          <w:szCs w:val="22"/>
          <w:shd w:val="clear" w:color="auto" w:fill="FFFFFF"/>
          <w:lang w:bidi="hi-IN"/>
        </w:rPr>
        <w:t>. 85</w:t>
      </w:r>
      <w:r w:rsidR="007E2553">
        <w:rPr>
          <w:rStyle w:val="Refdenotaalpie"/>
          <w:sz w:val="22"/>
          <w:szCs w:val="22"/>
          <w:shd w:val="clear" w:color="auto" w:fill="FFFFFF"/>
          <w:lang w:bidi="hi-IN"/>
        </w:rPr>
        <w:footnoteReference w:id="6"/>
      </w:r>
      <w:r w:rsidRPr="004B07C7">
        <w:rPr>
          <w:sz w:val="22"/>
          <w:szCs w:val="22"/>
          <w:shd w:val="clear" w:color="auto" w:fill="FFFFFF"/>
          <w:lang w:bidi="hi-IN"/>
        </w:rPr>
        <w:t xml:space="preserve">). </w:t>
      </w:r>
    </w:p>
    <w:p w14:paraId="396392C5" w14:textId="77777777" w:rsidR="004B07C7" w:rsidRDefault="004B07C7" w:rsidP="00ED5A62">
      <w:pPr>
        <w:pStyle w:val="NormalWeb"/>
        <w:shd w:val="clear" w:color="auto" w:fill="FFFFFF"/>
        <w:spacing w:before="0" w:beforeAutospacing="0" w:after="0" w:afterAutospacing="0" w:line="276" w:lineRule="auto"/>
        <w:jc w:val="both"/>
        <w:textAlignment w:val="baseline"/>
        <w:rPr>
          <w:rFonts w:eastAsia="Arial Unicode MS"/>
          <w:kern w:val="2"/>
          <w:shd w:val="clear" w:color="auto" w:fill="FFFFFF"/>
          <w:lang w:eastAsia="zh-CN" w:bidi="hi-IN"/>
        </w:rPr>
      </w:pPr>
    </w:p>
    <w:p w14:paraId="79AA4530" w14:textId="4356C6BB" w:rsidR="0009148F" w:rsidRDefault="00485230" w:rsidP="00A249C4">
      <w:pPr>
        <w:pStyle w:val="NormalWeb"/>
        <w:shd w:val="clear" w:color="auto" w:fill="FFFFFF"/>
        <w:spacing w:before="0" w:beforeAutospacing="0" w:after="0" w:afterAutospacing="0" w:line="360" w:lineRule="atLeast"/>
        <w:jc w:val="both"/>
        <w:textAlignment w:val="baseline"/>
        <w:rPr>
          <w:rFonts w:eastAsia="Arial Unicode MS"/>
          <w:kern w:val="2"/>
          <w:shd w:val="clear" w:color="auto" w:fill="FFFFFF"/>
          <w:lang w:eastAsia="zh-CN" w:bidi="hi-IN"/>
        </w:rPr>
      </w:pPr>
      <w:r>
        <w:rPr>
          <w:rFonts w:eastAsia="Arial Unicode MS"/>
          <w:kern w:val="2"/>
          <w:shd w:val="clear" w:color="auto" w:fill="FFFFFF"/>
          <w:lang w:eastAsia="zh-CN" w:bidi="hi-IN"/>
        </w:rPr>
        <w:t>Así pues, contamos por un lado con que en los tribunales españoles la gran mayoría de denuncias por abuso sexual infantil no llegan a juicio (sobreseimiento provisional por falta de pruebas) además de que solo se denuncian una parte. Por lo que tras la falta de condena del delito, los tribunales de familia o civiles que deben decidir sobre la custodia de estos NNA denunciantes, actuarán como si esa denuncia nunca hubiera ocurrido y si muestran reticencias a ir o vivir con el padre, la culpa será de la manipulación ejercida por la madre contra el otro progenitor basándose en teorías falsas como el SAP o, a día de hoy y dado que el término SAP está muy denostado, sus diferentes eufemismos.</w:t>
      </w:r>
      <w:r w:rsidR="008B2E49">
        <w:rPr>
          <w:rFonts w:eastAsia="Arial Unicode MS"/>
          <w:kern w:val="2"/>
          <w:shd w:val="clear" w:color="auto" w:fill="FFFFFF"/>
          <w:lang w:eastAsia="zh-CN" w:bidi="hi-IN"/>
        </w:rPr>
        <w:t xml:space="preserve"> No solo eso, en este tipo de procesos el proceso civil está completamente sometido al proceso penal (cuando los fines de ambos son diferentes: en el caso del penal si se destruye la presunción de inocencia con la carga de la prueba, y en el civil deberá perseguirse el interés superior del menor) hasta el punto de que el proceso civil estará a lo que se resuelva en el proceso penal. Si de este último no resulta condena, se actuará como si hubiera inexistencia de delito por lo que impedirá al terapeuta continuar o iniciar terapia con la víctima NNA de abusos. Son frecuentes las querellas de los padres contra los terapeutas, negándose estos a realizar tratamiento terapéutico al niño o niña.</w:t>
      </w:r>
    </w:p>
    <w:p w14:paraId="4C446E41" w14:textId="01D4ABEA" w:rsidR="004B07C7" w:rsidRPr="004B07C7" w:rsidRDefault="00485230" w:rsidP="004B07C7">
      <w:pPr>
        <w:pStyle w:val="NormalWeb"/>
        <w:shd w:val="clear" w:color="auto" w:fill="FFFFFF"/>
        <w:spacing w:line="360" w:lineRule="atLeast"/>
        <w:jc w:val="both"/>
        <w:textAlignment w:val="baseline"/>
        <w:rPr>
          <w:shd w:val="clear" w:color="auto" w:fill="FFFFFF"/>
        </w:rPr>
      </w:pPr>
      <w:r>
        <w:rPr>
          <w:rFonts w:eastAsia="Arial Unicode MS"/>
          <w:kern w:val="2"/>
          <w:shd w:val="clear" w:color="auto" w:fill="FFFFFF"/>
          <w:lang w:eastAsia="zh-CN" w:bidi="hi-IN"/>
        </w:rPr>
        <w:lastRenderedPageBreak/>
        <w:t xml:space="preserve">Esta argumentación no solo será aplicada por tribunales a la hora de decidir custodias o </w:t>
      </w:r>
      <w:r w:rsidRPr="00A249C4">
        <w:rPr>
          <w:rFonts w:eastAsia="Arial Unicode MS"/>
          <w:kern w:val="2"/>
          <w:shd w:val="clear" w:color="auto" w:fill="FFFFFF"/>
          <w:lang w:eastAsia="zh-CN" w:bidi="hi-IN"/>
        </w:rPr>
        <w:t>regímenes de visita, sino también por los agentes encargados de las intervenciones que se dan en NNA y sus madres en este proceso (subrayando sobre todo el papel fundamental en esta cuestión que juegan equipos psicosociales</w:t>
      </w:r>
      <w:r w:rsidR="004B07C7">
        <w:rPr>
          <w:rFonts w:eastAsia="Arial Unicode MS"/>
          <w:kern w:val="2"/>
          <w:shd w:val="clear" w:color="auto" w:fill="FFFFFF"/>
          <w:lang w:eastAsia="zh-CN" w:bidi="hi-IN"/>
        </w:rPr>
        <w:t>, servicios de protección infantil</w:t>
      </w:r>
      <w:r w:rsidRPr="00A249C4">
        <w:rPr>
          <w:rFonts w:eastAsia="Arial Unicode MS"/>
          <w:kern w:val="2"/>
          <w:shd w:val="clear" w:color="auto" w:fill="FFFFFF"/>
          <w:lang w:eastAsia="zh-CN" w:bidi="hi-IN"/>
        </w:rPr>
        <w:t xml:space="preserve"> y puntos de encuentro familiar por derivación judicial).</w:t>
      </w:r>
      <w:r w:rsidR="004B07C7">
        <w:rPr>
          <w:rFonts w:eastAsia="Arial Unicode MS"/>
          <w:kern w:val="2"/>
          <w:shd w:val="clear" w:color="auto" w:fill="FFFFFF"/>
          <w:lang w:eastAsia="zh-CN" w:bidi="hi-IN"/>
        </w:rPr>
        <w:t xml:space="preserve"> AÑADIDO: Ejemplo de ello es que pese a que el Síndrome de Alienación Parental está prohibido desde la aprobación de la Ley Orgánica 8/2021 de 4 de junio, existen todavía en la actualidad </w:t>
      </w:r>
      <w:r w:rsidR="004B07C7" w:rsidRPr="004B07C7">
        <w:rPr>
          <w:shd w:val="clear" w:color="auto" w:fill="FFFFFF"/>
        </w:rPr>
        <w:t xml:space="preserve">diferentes manuales de obligado cumplimiento </w:t>
      </w:r>
      <w:r w:rsidR="004B07C7">
        <w:rPr>
          <w:shd w:val="clear" w:color="auto" w:fill="FFFFFF"/>
        </w:rPr>
        <w:t>para los</w:t>
      </w:r>
      <w:r w:rsidR="004B07C7" w:rsidRPr="004B07C7">
        <w:rPr>
          <w:shd w:val="clear" w:color="auto" w:fill="FFFFFF"/>
        </w:rPr>
        <w:t xml:space="preserve"> servicios de protección infantil</w:t>
      </w:r>
      <w:r w:rsidR="004B07C7">
        <w:rPr>
          <w:shd w:val="clear" w:color="auto" w:fill="FFFFFF"/>
        </w:rPr>
        <w:t>, donde se recoge expresamente</w:t>
      </w:r>
      <w:r w:rsidR="00BD5330">
        <w:rPr>
          <w:rStyle w:val="Refdenotaalpie"/>
          <w:shd w:val="clear" w:color="auto" w:fill="FFFFFF"/>
        </w:rPr>
        <w:footnoteReference w:id="7"/>
      </w:r>
      <w:r w:rsidR="004B07C7">
        <w:rPr>
          <w:shd w:val="clear" w:color="auto" w:fill="FFFFFF"/>
        </w:rPr>
        <w:t>.</w:t>
      </w:r>
    </w:p>
    <w:p w14:paraId="1D6577C9" w14:textId="7901B2CA" w:rsidR="004B07C7" w:rsidRPr="004B07C7" w:rsidRDefault="004B07C7" w:rsidP="004B07C7">
      <w:pPr>
        <w:pStyle w:val="NormalWeb"/>
        <w:shd w:val="clear" w:color="auto" w:fill="FFFFFF"/>
        <w:spacing w:before="0" w:beforeAutospacing="0" w:after="0" w:afterAutospacing="0" w:line="360" w:lineRule="atLeast"/>
        <w:jc w:val="both"/>
        <w:textAlignment w:val="baseline"/>
        <w:rPr>
          <w:rFonts w:eastAsia="Arial Unicode MS"/>
          <w:kern w:val="2"/>
          <w:shd w:val="clear" w:color="auto" w:fill="FFFFFF"/>
          <w:lang w:eastAsia="zh-CN" w:bidi="hi-IN"/>
        </w:rPr>
      </w:pPr>
      <w:r>
        <w:rPr>
          <w:rFonts w:eastAsia="Arial Unicode MS"/>
          <w:kern w:val="2"/>
          <w:shd w:val="clear" w:color="auto" w:fill="FFFFFF"/>
          <w:lang w:eastAsia="zh-CN" w:bidi="hi-IN"/>
        </w:rPr>
        <w:t xml:space="preserve">Así, como advierten desde asociaciones como la Asociación de Mujeres juezas de España (2020) </w:t>
      </w:r>
      <w:r w:rsidRPr="004B07C7">
        <w:rPr>
          <w:rFonts w:eastAsia="Arial Unicode MS"/>
          <w:kern w:val="2"/>
          <w:shd w:val="clear" w:color="auto" w:fill="FFFFFF"/>
          <w:lang w:eastAsia="zh-CN" w:bidi="hi-IN"/>
        </w:rPr>
        <w:t xml:space="preserve">el SAP es una </w:t>
      </w:r>
      <w:proofErr w:type="spellStart"/>
      <w:r w:rsidRPr="004B07C7">
        <w:rPr>
          <w:rFonts w:eastAsia="Arial Unicode MS"/>
          <w:kern w:val="2"/>
          <w:shd w:val="clear" w:color="auto" w:fill="FFFFFF"/>
          <w:lang w:eastAsia="zh-CN" w:bidi="hi-IN"/>
        </w:rPr>
        <w:t>coacción</w:t>
      </w:r>
      <w:proofErr w:type="spellEnd"/>
      <w:r w:rsidRPr="004B07C7">
        <w:rPr>
          <w:rFonts w:eastAsia="Arial Unicode MS"/>
          <w:kern w:val="2"/>
          <w:shd w:val="clear" w:color="auto" w:fill="FFFFFF"/>
          <w:lang w:eastAsia="zh-CN" w:bidi="hi-IN"/>
        </w:rPr>
        <w:t xml:space="preserve"> eficiente para las mujeres a las que se les aplica, pero </w:t>
      </w:r>
      <w:proofErr w:type="spellStart"/>
      <w:r w:rsidRPr="004B07C7">
        <w:rPr>
          <w:rFonts w:eastAsia="Arial Unicode MS"/>
          <w:kern w:val="2"/>
          <w:shd w:val="clear" w:color="auto" w:fill="FFFFFF"/>
          <w:lang w:eastAsia="zh-CN" w:bidi="hi-IN"/>
        </w:rPr>
        <w:t>también</w:t>
      </w:r>
      <w:proofErr w:type="spellEnd"/>
      <w:r w:rsidRPr="004B07C7">
        <w:rPr>
          <w:rFonts w:eastAsia="Arial Unicode MS"/>
          <w:kern w:val="2"/>
          <w:shd w:val="clear" w:color="auto" w:fill="FFFFFF"/>
          <w:lang w:eastAsia="zh-CN" w:bidi="hi-IN"/>
        </w:rPr>
        <w:t xml:space="preserve"> para </w:t>
      </w:r>
      <w:proofErr w:type="spellStart"/>
      <w:r w:rsidRPr="004B07C7">
        <w:rPr>
          <w:rFonts w:eastAsia="Arial Unicode MS"/>
          <w:kern w:val="2"/>
          <w:shd w:val="clear" w:color="auto" w:fill="FFFFFF"/>
          <w:lang w:eastAsia="zh-CN" w:bidi="hi-IN"/>
        </w:rPr>
        <w:t>aquéllas</w:t>
      </w:r>
      <w:proofErr w:type="spellEnd"/>
      <w:r w:rsidRPr="004B07C7">
        <w:rPr>
          <w:rFonts w:eastAsia="Arial Unicode MS"/>
          <w:kern w:val="2"/>
          <w:shd w:val="clear" w:color="auto" w:fill="FFFFFF"/>
          <w:lang w:eastAsia="zh-CN" w:bidi="hi-IN"/>
        </w:rPr>
        <w:t xml:space="preserve"> que </w:t>
      </w:r>
      <w:proofErr w:type="spellStart"/>
      <w:r w:rsidRPr="004B07C7">
        <w:rPr>
          <w:rFonts w:eastAsia="Arial Unicode MS"/>
          <w:kern w:val="2"/>
          <w:shd w:val="clear" w:color="auto" w:fill="FFFFFF"/>
          <w:lang w:eastAsia="zh-CN" w:bidi="hi-IN"/>
        </w:rPr>
        <w:t>todavía</w:t>
      </w:r>
      <w:proofErr w:type="spellEnd"/>
      <w:r w:rsidRPr="004B07C7">
        <w:rPr>
          <w:rFonts w:eastAsia="Arial Unicode MS"/>
          <w:kern w:val="2"/>
          <w:shd w:val="clear" w:color="auto" w:fill="FFFFFF"/>
          <w:lang w:eastAsia="zh-CN" w:bidi="hi-IN"/>
        </w:rPr>
        <w:t xml:space="preserve"> no han denunciado –porque lo conocen y </w:t>
      </w:r>
      <w:proofErr w:type="spellStart"/>
      <w:r w:rsidRPr="004B07C7">
        <w:rPr>
          <w:rFonts w:eastAsia="Arial Unicode MS"/>
          <w:kern w:val="2"/>
          <w:shd w:val="clear" w:color="auto" w:fill="FFFFFF"/>
          <w:lang w:eastAsia="zh-CN" w:bidi="hi-IN"/>
        </w:rPr>
        <w:t>evitarán</w:t>
      </w:r>
      <w:proofErr w:type="spellEnd"/>
      <w:r w:rsidRPr="004B07C7">
        <w:rPr>
          <w:rFonts w:eastAsia="Arial Unicode MS"/>
          <w:kern w:val="2"/>
          <w:shd w:val="clear" w:color="auto" w:fill="FFFFFF"/>
          <w:lang w:eastAsia="zh-CN" w:bidi="hi-IN"/>
        </w:rPr>
        <w:t xml:space="preserve"> la denuncia, con el fin de no perder las custodias de sus hijas e hijos– (AMJE</w:t>
      </w:r>
      <w:r w:rsidR="00BD5330">
        <w:rPr>
          <w:rFonts w:eastAsia="Arial Unicode MS"/>
          <w:kern w:val="2"/>
          <w:shd w:val="clear" w:color="auto" w:fill="FFFFFF"/>
          <w:lang w:eastAsia="zh-CN" w:bidi="hi-IN"/>
        </w:rPr>
        <w:t xml:space="preserve"> – Asociación de Mujeres Juezas de España</w:t>
      </w:r>
      <w:r w:rsidRPr="004B07C7">
        <w:rPr>
          <w:rFonts w:eastAsia="Arial Unicode MS"/>
          <w:kern w:val="2"/>
          <w:shd w:val="clear" w:color="auto" w:fill="FFFFFF"/>
          <w:lang w:eastAsia="zh-CN" w:bidi="hi-IN"/>
        </w:rPr>
        <w:t>, 2020</w:t>
      </w:r>
      <w:r w:rsidR="00BD5330">
        <w:rPr>
          <w:rStyle w:val="Refdenotaalpie"/>
          <w:rFonts w:eastAsia="Arial Unicode MS"/>
          <w:kern w:val="2"/>
          <w:shd w:val="clear" w:color="auto" w:fill="FFFFFF"/>
          <w:lang w:eastAsia="zh-CN" w:bidi="hi-IN"/>
        </w:rPr>
        <w:footnoteReference w:id="8"/>
      </w:r>
      <w:r w:rsidRPr="004B07C7">
        <w:rPr>
          <w:rFonts w:eastAsia="Arial Unicode MS"/>
          <w:kern w:val="2"/>
          <w:shd w:val="clear" w:color="auto" w:fill="FFFFFF"/>
          <w:lang w:eastAsia="zh-CN" w:bidi="hi-IN"/>
        </w:rPr>
        <w:t xml:space="preserve">). </w:t>
      </w:r>
    </w:p>
    <w:p w14:paraId="57167035" w14:textId="77777777" w:rsidR="00B10977" w:rsidRPr="00A249C4" w:rsidRDefault="00B10977" w:rsidP="00A249C4">
      <w:pPr>
        <w:pStyle w:val="NormalWeb"/>
        <w:shd w:val="clear" w:color="auto" w:fill="FFFFFF"/>
        <w:spacing w:before="0" w:beforeAutospacing="0" w:after="0" w:afterAutospacing="0" w:line="360" w:lineRule="atLeast"/>
        <w:jc w:val="both"/>
        <w:textAlignment w:val="baseline"/>
        <w:rPr>
          <w:rFonts w:eastAsia="Arial Unicode MS"/>
          <w:kern w:val="2"/>
          <w:shd w:val="clear" w:color="auto" w:fill="FFFFFF"/>
          <w:lang w:eastAsia="zh-CN" w:bidi="hi-IN"/>
        </w:rPr>
      </w:pPr>
    </w:p>
    <w:p w14:paraId="12DB8789" w14:textId="7AE2708D" w:rsidR="00B10977" w:rsidRPr="008D6317" w:rsidRDefault="00B10977" w:rsidP="00A249C4">
      <w:pPr>
        <w:shd w:val="clear" w:color="auto" w:fill="FFFFFF"/>
        <w:suppressAutoHyphens w:val="0"/>
        <w:spacing w:line="360" w:lineRule="atLeast"/>
        <w:rPr>
          <w:rFonts w:ascii="Times New Roman" w:eastAsia="Times New Roman" w:hAnsi="Times New Roman" w:cs="Times New Roman"/>
          <w:color w:val="222222"/>
          <w:kern w:val="0"/>
          <w:lang w:eastAsia="es-ES" w:bidi="ar-SA"/>
        </w:rPr>
      </w:pPr>
      <w:r w:rsidRPr="00A249C4">
        <w:rPr>
          <w:rFonts w:ascii="Times New Roman" w:hAnsi="Times New Roman" w:cs="Times New Roman"/>
          <w:shd w:val="clear" w:color="auto" w:fill="FFFFFF"/>
        </w:rPr>
        <w:t xml:space="preserve">Subrayar del mismo modo, que </w:t>
      </w:r>
      <w:r w:rsidR="004B07C7">
        <w:rPr>
          <w:rFonts w:ascii="Times New Roman" w:hAnsi="Times New Roman" w:cs="Times New Roman"/>
          <w:shd w:val="clear" w:color="auto" w:fill="FFFFFF"/>
        </w:rPr>
        <w:t xml:space="preserve"> teniendo la Fiscalía una labor tuitiva del NNA, ONG</w:t>
      </w:r>
      <w:r w:rsidR="00BD5330">
        <w:rPr>
          <w:rStyle w:val="Refdenotaalpie"/>
          <w:rFonts w:ascii="Times New Roman" w:hAnsi="Times New Roman" w:cs="Times New Roman"/>
          <w:shd w:val="clear" w:color="auto" w:fill="FFFFFF"/>
        </w:rPr>
        <w:footnoteReference w:id="9"/>
      </w:r>
      <w:r w:rsidR="004B07C7">
        <w:rPr>
          <w:rFonts w:ascii="Times New Roman" w:hAnsi="Times New Roman" w:cs="Times New Roman"/>
          <w:shd w:val="clear" w:color="auto" w:fill="FFFFFF"/>
        </w:rPr>
        <w:t>s y estudios</w:t>
      </w:r>
      <w:r w:rsidR="00BD5330">
        <w:rPr>
          <w:rStyle w:val="Refdenotaalpie"/>
          <w:rFonts w:ascii="Times New Roman" w:hAnsi="Times New Roman" w:cs="Times New Roman"/>
          <w:shd w:val="clear" w:color="auto" w:fill="FFFFFF"/>
        </w:rPr>
        <w:footnoteReference w:id="10"/>
      </w:r>
      <w:r w:rsidR="004B07C7">
        <w:rPr>
          <w:rFonts w:ascii="Times New Roman" w:hAnsi="Times New Roman" w:cs="Times New Roman"/>
          <w:shd w:val="clear" w:color="auto" w:fill="FFFFFF"/>
        </w:rPr>
        <w:t xml:space="preserve"> refieren no verse cumplida esta función de</w:t>
      </w:r>
      <w:r w:rsidRPr="00A249C4">
        <w:rPr>
          <w:rFonts w:ascii="Times New Roman" w:hAnsi="Times New Roman" w:cs="Times New Roman"/>
          <w:shd w:val="clear" w:color="auto" w:fill="FFFFFF"/>
        </w:rPr>
        <w:t xml:space="preserve"> la Fiscalía</w:t>
      </w:r>
      <w:r w:rsidR="004B07C7">
        <w:rPr>
          <w:rFonts w:ascii="Times New Roman" w:hAnsi="Times New Roman" w:cs="Times New Roman"/>
          <w:shd w:val="clear" w:color="auto" w:fill="FFFFFF"/>
        </w:rPr>
        <w:t xml:space="preserve"> ni en víctimas NNA, ni en víctimas que deciden denunciar una vez son adultas.</w:t>
      </w:r>
      <w:r w:rsidRPr="008D6317">
        <w:rPr>
          <w:rFonts w:ascii="Times New Roman" w:eastAsia="Times New Roman" w:hAnsi="Times New Roman" w:cs="Times New Roman"/>
          <w:color w:val="222222"/>
          <w:kern w:val="0"/>
          <w:lang w:eastAsia="es-ES" w:bidi="ar-SA"/>
        </w:rPr>
        <w:t xml:space="preserve"> </w:t>
      </w:r>
      <w:r w:rsidR="004B07C7">
        <w:rPr>
          <w:rFonts w:ascii="Times New Roman" w:eastAsia="Times New Roman" w:hAnsi="Times New Roman" w:cs="Times New Roman"/>
          <w:color w:val="222222"/>
          <w:kern w:val="0"/>
          <w:lang w:eastAsia="es-ES" w:bidi="ar-SA"/>
        </w:rPr>
        <w:t>S</w:t>
      </w:r>
      <w:r w:rsidRPr="008D6317">
        <w:rPr>
          <w:rFonts w:ascii="Times New Roman" w:eastAsia="Times New Roman" w:hAnsi="Times New Roman" w:cs="Times New Roman"/>
          <w:color w:val="222222"/>
          <w:kern w:val="0"/>
          <w:lang w:eastAsia="es-ES" w:bidi="ar-SA"/>
        </w:rPr>
        <w:t>igu</w:t>
      </w:r>
      <w:r w:rsidR="004B07C7">
        <w:rPr>
          <w:rFonts w:ascii="Times New Roman" w:eastAsia="Times New Roman" w:hAnsi="Times New Roman" w:cs="Times New Roman"/>
          <w:color w:val="222222"/>
          <w:kern w:val="0"/>
          <w:lang w:eastAsia="es-ES" w:bidi="ar-SA"/>
        </w:rPr>
        <w:t>i</w:t>
      </w:r>
      <w:r w:rsidRPr="008D6317">
        <w:rPr>
          <w:rFonts w:ascii="Times New Roman" w:eastAsia="Times New Roman" w:hAnsi="Times New Roman" w:cs="Times New Roman"/>
          <w:color w:val="222222"/>
          <w:kern w:val="0"/>
          <w:lang w:eastAsia="es-ES" w:bidi="ar-SA"/>
        </w:rPr>
        <w:t>e</w:t>
      </w:r>
      <w:r w:rsidR="004B07C7">
        <w:rPr>
          <w:rFonts w:ascii="Times New Roman" w:eastAsia="Times New Roman" w:hAnsi="Times New Roman" w:cs="Times New Roman"/>
          <w:color w:val="222222"/>
          <w:kern w:val="0"/>
          <w:lang w:eastAsia="es-ES" w:bidi="ar-SA"/>
        </w:rPr>
        <w:t>ndo además</w:t>
      </w:r>
      <w:r w:rsidRPr="008D6317">
        <w:rPr>
          <w:rFonts w:ascii="Times New Roman" w:eastAsia="Times New Roman" w:hAnsi="Times New Roman" w:cs="Times New Roman"/>
          <w:color w:val="222222"/>
          <w:kern w:val="0"/>
          <w:lang w:eastAsia="es-ES" w:bidi="ar-SA"/>
        </w:rPr>
        <w:t xml:space="preserve"> vig</w:t>
      </w:r>
      <w:r w:rsidRPr="00A249C4">
        <w:rPr>
          <w:rFonts w:ascii="Times New Roman" w:eastAsia="Times New Roman" w:hAnsi="Times New Roman" w:cs="Times New Roman"/>
          <w:color w:val="222222"/>
          <w:kern w:val="0"/>
          <w:lang w:eastAsia="es-ES" w:bidi="ar-SA"/>
        </w:rPr>
        <w:t>ente la Circular 3/2009 de la Fi</w:t>
      </w:r>
      <w:r w:rsidRPr="008D6317">
        <w:rPr>
          <w:rFonts w:ascii="Times New Roman" w:eastAsia="Times New Roman" w:hAnsi="Times New Roman" w:cs="Times New Roman"/>
          <w:color w:val="222222"/>
          <w:kern w:val="0"/>
          <w:lang w:eastAsia="es-ES" w:bidi="ar-SA"/>
        </w:rPr>
        <w:t>scalía General del Estado en la cual se alienta a los fiscales a aplicar argumentos coinc</w:t>
      </w:r>
      <w:r w:rsidRPr="00A249C4">
        <w:rPr>
          <w:rFonts w:ascii="Times New Roman" w:eastAsia="Times New Roman" w:hAnsi="Times New Roman" w:cs="Times New Roman"/>
          <w:color w:val="222222"/>
          <w:kern w:val="0"/>
          <w:lang w:eastAsia="es-ES" w:bidi="ar-SA"/>
        </w:rPr>
        <w:t>identes con el SAP (Capítulo 9: Valoración de la declaración del testigo menor de edad</w:t>
      </w:r>
      <w:r w:rsidRPr="008D6317">
        <w:rPr>
          <w:rFonts w:ascii="Times New Roman" w:eastAsia="Times New Roman" w:hAnsi="Times New Roman" w:cs="Times New Roman"/>
          <w:color w:val="222222"/>
          <w:kern w:val="0"/>
          <w:lang w:eastAsia="es-ES" w:bidi="ar-SA"/>
        </w:rPr>
        <w:t>).</w:t>
      </w:r>
    </w:p>
    <w:p w14:paraId="0AEB43ED" w14:textId="77777777" w:rsidR="00B10977" w:rsidRDefault="00B10977" w:rsidP="00ED5A62">
      <w:pPr>
        <w:pStyle w:val="NormalWeb"/>
        <w:shd w:val="clear" w:color="auto" w:fill="FFFFFF"/>
        <w:spacing w:before="0" w:beforeAutospacing="0" w:after="0" w:afterAutospacing="0" w:line="276" w:lineRule="auto"/>
        <w:jc w:val="both"/>
        <w:textAlignment w:val="baseline"/>
        <w:rPr>
          <w:rFonts w:eastAsia="Arial Unicode MS"/>
          <w:kern w:val="2"/>
          <w:shd w:val="clear" w:color="auto" w:fill="FFFFFF"/>
          <w:lang w:eastAsia="zh-CN" w:bidi="hi-IN"/>
        </w:rPr>
      </w:pPr>
    </w:p>
    <w:p w14:paraId="7E999490" w14:textId="77777777" w:rsidR="00485230" w:rsidRDefault="00485230" w:rsidP="00ED5A62">
      <w:pPr>
        <w:pStyle w:val="NormalWeb"/>
        <w:shd w:val="clear" w:color="auto" w:fill="FFFFFF"/>
        <w:spacing w:before="0" w:beforeAutospacing="0" w:after="0" w:afterAutospacing="0" w:line="276" w:lineRule="auto"/>
        <w:jc w:val="both"/>
        <w:textAlignment w:val="baseline"/>
        <w:rPr>
          <w:b/>
        </w:rPr>
      </w:pPr>
    </w:p>
    <w:p w14:paraId="64E564BA" w14:textId="77777777" w:rsidR="00ED5A62" w:rsidRDefault="00ED5A62" w:rsidP="00ED5A62">
      <w:pPr>
        <w:pStyle w:val="NormalWeb"/>
        <w:shd w:val="clear" w:color="auto" w:fill="FFFFFF"/>
        <w:spacing w:before="0" w:beforeAutospacing="0" w:after="0" w:afterAutospacing="0" w:line="276" w:lineRule="auto"/>
        <w:jc w:val="both"/>
        <w:textAlignment w:val="baseline"/>
        <w:rPr>
          <w:b/>
        </w:rPr>
      </w:pPr>
      <w:r w:rsidRPr="0013019F">
        <w:rPr>
          <w:b/>
        </w:rPr>
        <w:t xml:space="preserve">Falta de mecanismos de dación de cuentas o </w:t>
      </w:r>
      <w:proofErr w:type="spellStart"/>
      <w:r w:rsidRPr="00522923">
        <w:rPr>
          <w:b/>
          <w:i/>
          <w:iCs/>
        </w:rPr>
        <w:t>accountability</w:t>
      </w:r>
      <w:proofErr w:type="spellEnd"/>
      <w:r w:rsidRPr="0013019F">
        <w:rPr>
          <w:b/>
        </w:rPr>
        <w:t xml:space="preserve"> de estos profesionales</w:t>
      </w:r>
    </w:p>
    <w:p w14:paraId="4F561CB2" w14:textId="77777777" w:rsidR="00ED5A62" w:rsidRDefault="00ED5A62" w:rsidP="00ED5A62">
      <w:pPr>
        <w:pStyle w:val="NormalWeb"/>
        <w:shd w:val="clear" w:color="auto" w:fill="FFFFFF"/>
        <w:spacing w:before="0" w:beforeAutospacing="0" w:after="0" w:afterAutospacing="0" w:line="276" w:lineRule="auto"/>
        <w:jc w:val="both"/>
        <w:textAlignment w:val="baseline"/>
      </w:pPr>
    </w:p>
    <w:p w14:paraId="3597AC6F" w14:textId="77777777" w:rsidR="00ED5A62" w:rsidRPr="00656128" w:rsidRDefault="00ED5A62" w:rsidP="00ED5A62">
      <w:pPr>
        <w:pStyle w:val="NormalWeb"/>
        <w:numPr>
          <w:ilvl w:val="0"/>
          <w:numId w:val="3"/>
        </w:numPr>
        <w:shd w:val="clear" w:color="auto" w:fill="FFFFFF"/>
        <w:spacing w:before="0" w:beforeAutospacing="0" w:after="0" w:afterAutospacing="0" w:line="360" w:lineRule="atLeast"/>
        <w:jc w:val="both"/>
        <w:textAlignment w:val="baseline"/>
        <w:rPr>
          <w:b/>
        </w:rPr>
      </w:pPr>
      <w:r w:rsidRPr="00656128">
        <w:rPr>
          <w:b/>
        </w:rPr>
        <w:t>Psicosociales de los Juzgados</w:t>
      </w:r>
    </w:p>
    <w:p w14:paraId="16BEFB03" w14:textId="77777777" w:rsidR="00C17F9A" w:rsidRDefault="00C17F9A" w:rsidP="00ED5A62">
      <w:pPr>
        <w:pStyle w:val="NormalWeb"/>
        <w:shd w:val="clear" w:color="auto" w:fill="FFFFFF"/>
        <w:spacing w:before="0" w:beforeAutospacing="0" w:after="0" w:afterAutospacing="0" w:line="360" w:lineRule="atLeast"/>
        <w:jc w:val="both"/>
        <w:textAlignment w:val="baseline"/>
      </w:pPr>
    </w:p>
    <w:p w14:paraId="37B07004" w14:textId="572B8357" w:rsidR="00ED5A62" w:rsidRDefault="00C17F9A" w:rsidP="00ED5A62">
      <w:pPr>
        <w:pStyle w:val="NormalWeb"/>
        <w:shd w:val="clear" w:color="auto" w:fill="FFFFFF"/>
        <w:spacing w:before="0" w:beforeAutospacing="0" w:after="0" w:afterAutospacing="0" w:line="360" w:lineRule="atLeast"/>
        <w:jc w:val="both"/>
        <w:textAlignment w:val="baseline"/>
      </w:pPr>
      <w:r>
        <w:t xml:space="preserve">Los equipos psicosociales son quienes realizan evaluaciones y redactan informes que luego servirán de sustento a los jueces y juezas a la hora de tomar una decisión sobre el </w:t>
      </w:r>
      <w:r>
        <w:lastRenderedPageBreak/>
        <w:t>régimen de custodias de los NNA</w:t>
      </w:r>
      <w:r w:rsidR="00BD5330">
        <w:rPr>
          <w:rStyle w:val="Refdenotaalpie"/>
        </w:rPr>
        <w:footnoteReference w:id="11"/>
      </w:r>
      <w:r>
        <w:t>. Sin embargo, estos psicólogos</w:t>
      </w:r>
      <w:r w:rsidR="00522923">
        <w:t>,</w:t>
      </w:r>
      <w:r>
        <w:t xml:space="preserve"> que ejercen una labor tan fundamental</w:t>
      </w:r>
      <w:r w:rsidR="00522923">
        <w:t>,</w:t>
      </w:r>
      <w:r>
        <w:t xml:space="preserve"> no están colegiados aunque para ejercer la psicología en España será condición estar dado de alta en el Colegio de psicólogos y psicólogas.</w:t>
      </w:r>
      <w:r w:rsidR="00ED5A62" w:rsidRPr="0016238D">
        <w:t xml:space="preserve"> </w:t>
      </w:r>
    </w:p>
    <w:p w14:paraId="06C61FB3" w14:textId="77777777" w:rsidR="00C17F9A" w:rsidRPr="0016238D" w:rsidRDefault="00C17F9A" w:rsidP="00ED5A62">
      <w:pPr>
        <w:pStyle w:val="NormalWeb"/>
        <w:shd w:val="clear" w:color="auto" w:fill="FFFFFF"/>
        <w:spacing w:before="0" w:beforeAutospacing="0" w:after="0" w:afterAutospacing="0" w:line="360" w:lineRule="atLeast"/>
        <w:jc w:val="both"/>
        <w:textAlignment w:val="baseline"/>
      </w:pPr>
    </w:p>
    <w:p w14:paraId="79BACC1F"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r w:rsidRPr="0016238D">
        <w:t>Tanto el Valedor do Pobo de Galicia (</w:t>
      </w:r>
      <w:r w:rsidRPr="00522923">
        <w:rPr>
          <w:i/>
          <w:iCs/>
        </w:rPr>
        <w:t>Ombudsman</w:t>
      </w:r>
      <w:r w:rsidRPr="0016238D">
        <w:t xml:space="preserve"> autonómico) como el Defensor del Pueblo español (</w:t>
      </w:r>
      <w:r w:rsidRPr="00A231AF">
        <w:rPr>
          <w:i/>
          <w:iCs/>
        </w:rPr>
        <w:t>Ombudsman</w:t>
      </w:r>
      <w:r w:rsidRPr="0016238D">
        <w:t xml:space="preserve"> español) han realizado investigaciones de oficio con el fin de revisar el funcionamiento y en engarce normativo de los equipos psicosociales adjuntos a los juzgados:</w:t>
      </w:r>
    </w:p>
    <w:p w14:paraId="0E35C703"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40207A68"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r w:rsidRPr="0016238D">
        <w:t xml:space="preserve">El </w:t>
      </w:r>
      <w:r w:rsidRPr="00656128">
        <w:rPr>
          <w:b/>
        </w:rPr>
        <w:t>Valedor do Pobo de Galicia en su informe de 2015</w:t>
      </w:r>
      <w:r w:rsidRPr="0016238D">
        <w:t xml:space="preserve"> llama la atención sobre el vacío legal en que se encuentran dado que "En la normativa vigente no hay referencias a equipos compuestos por un psicólogo y un trabajador social porque la actividad propia de los institutos de medicina legal es, precisamente, la garantía de la intervención de médicos forenses.” Concluye, pues afirmando que “La existencia misma de estos equipos psicosociales no está amparada por ninguna norma con rango de ley, son fruto de la práctica de los juzgados y su funcionamiento es atípico respecto del resto de los peritos judiciales.”</w:t>
      </w:r>
    </w:p>
    <w:p w14:paraId="3904CA17"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07C993D3"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r w:rsidRPr="0016238D">
        <w:t xml:space="preserve">Por otra parte, critica el Valedor las carencias en cuanto a su formación: “Su dictamen  no  puede configurarse como de verdaderos especialistas. Tal como manifestaba el informe de la </w:t>
      </w:r>
      <w:proofErr w:type="spellStart"/>
      <w:r w:rsidRPr="0016238D">
        <w:t>consellería</w:t>
      </w:r>
      <w:proofErr w:type="spellEnd"/>
      <w:r w:rsidRPr="0016238D">
        <w:t>, se trata de personal laboral que se contrata por concurso, entre quienes pertenecen a determinados grupos y categorías. (...) No hay ningún elemento en su selección (excepto, en el caso de los psicólogos, considerar como mérito en el concurso la experiencia/formación forense) que justifique su especialización en una tarea tan extremadamente delicada como es emitir dictámenes sobre la idoneidad de los progenitores para el cuidado y la educación de los hijos en los procesos de familia. Tampoco existe un protocolo o una técnica que permita evaluar la calidad del informe psicosocial. Cada equipo actúa según su criterio profesional."</w:t>
      </w:r>
    </w:p>
    <w:p w14:paraId="5B38B35B"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2945A29F"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r w:rsidRPr="0016238D">
        <w:t xml:space="preserve">En sucesivos informes (2016, </w:t>
      </w:r>
      <w:proofErr w:type="spellStart"/>
      <w:r w:rsidRPr="0016238D">
        <w:t>págs</w:t>
      </w:r>
      <w:proofErr w:type="spellEnd"/>
      <w:r w:rsidRPr="0016238D">
        <w:t xml:space="preserve"> 589 y 590; 201, </w:t>
      </w:r>
      <w:proofErr w:type="spellStart"/>
      <w:r w:rsidRPr="0016238D">
        <w:t>pág</w:t>
      </w:r>
      <w:proofErr w:type="spellEnd"/>
      <w:r w:rsidRPr="0016238D">
        <w:t xml:space="preserve"> 475) el Valedor insiste sobre estos aspectos.</w:t>
      </w:r>
    </w:p>
    <w:p w14:paraId="6F7C6B33"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132981A2" w14:textId="79693B77" w:rsidR="00ED5A62" w:rsidRDefault="00ED5A62" w:rsidP="00ED5A62">
      <w:pPr>
        <w:pStyle w:val="NormalWeb"/>
        <w:shd w:val="clear" w:color="auto" w:fill="FFFFFF"/>
        <w:spacing w:before="0" w:beforeAutospacing="0" w:after="0" w:afterAutospacing="0" w:line="360" w:lineRule="atLeast"/>
        <w:jc w:val="both"/>
        <w:textAlignment w:val="baseline"/>
      </w:pPr>
      <w:r w:rsidRPr="0016238D">
        <w:t>En cuanto al Defensor del Pueblo</w:t>
      </w:r>
      <w:r w:rsidRPr="0016238D">
        <w:rPr>
          <w:rStyle w:val="Refdenotaalpie"/>
        </w:rPr>
        <w:footnoteReference w:id="12"/>
      </w:r>
      <w:r w:rsidRPr="0016238D">
        <w:t xml:space="preserve">, emite en 2021 una Resolución tras el procedimiento abierto de oficio en la que trata dos problemáticas añadidas: el hecho de que no sea </w:t>
      </w:r>
      <w:r w:rsidRPr="0016238D">
        <w:lastRenderedPageBreak/>
        <w:t>obligatorio en todas las Comunidades Autónomas que estos profesionales se encuentren colegiados y la ausencia de protocolos y de procedimiento para que estos equipos puedan ser recusados</w:t>
      </w:r>
      <w:r w:rsidR="00A47C1D">
        <w:rPr>
          <w:rStyle w:val="Refdenotaalpie"/>
        </w:rPr>
        <w:footnoteReference w:id="13"/>
      </w:r>
      <w:r w:rsidRPr="0016238D">
        <w:t>.</w:t>
      </w:r>
    </w:p>
    <w:p w14:paraId="30F346AD" w14:textId="6AF2D417" w:rsidR="004B07C7" w:rsidRDefault="004B07C7" w:rsidP="004B07C7">
      <w:pPr>
        <w:pStyle w:val="NormalWeb"/>
        <w:shd w:val="clear" w:color="auto" w:fill="FFFFFF"/>
        <w:spacing w:before="0" w:beforeAutospacing="0" w:after="0" w:afterAutospacing="0" w:line="360" w:lineRule="atLeast"/>
        <w:jc w:val="both"/>
        <w:textAlignment w:val="baseline"/>
      </w:pPr>
      <w:r>
        <w:t>Se debe mencionar que pese a que el Tribunal Supremo ya señaló</w:t>
      </w:r>
      <w:r w:rsidRPr="004B07C7">
        <w:t xml:space="preserve"> que «la credibilidad del testimonio de la </w:t>
      </w:r>
      <w:proofErr w:type="spellStart"/>
      <w:r w:rsidRPr="004B07C7">
        <w:t>víctima</w:t>
      </w:r>
      <w:proofErr w:type="spellEnd"/>
      <w:r w:rsidRPr="004B07C7">
        <w:t xml:space="preserve"> nunca puede dejarse </w:t>
      </w:r>
      <w:proofErr w:type="spellStart"/>
      <w:r w:rsidRPr="004B07C7">
        <w:t>única</w:t>
      </w:r>
      <w:proofErr w:type="spellEnd"/>
      <w:r w:rsidRPr="004B07C7">
        <w:t xml:space="preserve"> y exclusivamente a la </w:t>
      </w:r>
      <w:proofErr w:type="spellStart"/>
      <w:r w:rsidRPr="004B07C7">
        <w:t>valoración</w:t>
      </w:r>
      <w:proofErr w:type="spellEnd"/>
      <w:r w:rsidRPr="004B07C7">
        <w:t xml:space="preserve"> del perito (...). Los datos que se obtienen de su </w:t>
      </w:r>
      <w:proofErr w:type="spellStart"/>
      <w:r w:rsidRPr="004B07C7">
        <w:t>participación</w:t>
      </w:r>
      <w:proofErr w:type="spellEnd"/>
      <w:r w:rsidRPr="004B07C7">
        <w:t xml:space="preserve"> son siempre de </w:t>
      </w:r>
      <w:proofErr w:type="spellStart"/>
      <w:r w:rsidRPr="004B07C7">
        <w:t>carácter</w:t>
      </w:r>
      <w:proofErr w:type="spellEnd"/>
      <w:r w:rsidRPr="004B07C7">
        <w:t xml:space="preserve"> complementario, claramente secundario en </w:t>
      </w:r>
      <w:proofErr w:type="spellStart"/>
      <w:r w:rsidRPr="004B07C7">
        <w:t>relación</w:t>
      </w:r>
      <w:proofErr w:type="spellEnd"/>
      <w:r w:rsidRPr="004B07C7">
        <w:t xml:space="preserve"> con la </w:t>
      </w:r>
      <w:proofErr w:type="spellStart"/>
      <w:r w:rsidRPr="004B07C7">
        <w:t>declaración</w:t>
      </w:r>
      <w:proofErr w:type="spellEnd"/>
      <w:r w:rsidRPr="004B07C7">
        <w:t xml:space="preserve"> de la </w:t>
      </w:r>
      <w:proofErr w:type="spellStart"/>
      <w:r w:rsidRPr="004B07C7">
        <w:t>víctima</w:t>
      </w:r>
      <w:proofErr w:type="spellEnd"/>
      <w:r w:rsidRPr="004B07C7">
        <w:t xml:space="preserve"> e incluso con otros datos de </w:t>
      </w:r>
      <w:proofErr w:type="spellStart"/>
      <w:r w:rsidRPr="004B07C7">
        <w:t>corroboración</w:t>
      </w:r>
      <w:proofErr w:type="spellEnd"/>
      <w:r w:rsidRPr="004B07C7">
        <w:t xml:space="preserve"> </w:t>
      </w:r>
      <w:proofErr w:type="spellStart"/>
      <w:r w:rsidRPr="004B07C7">
        <w:t>periférica</w:t>
      </w:r>
      <w:proofErr w:type="spellEnd"/>
      <w:r w:rsidRPr="004B07C7">
        <w:t>» (STS 2298/2012, de 26 de marzo de 2012</w:t>
      </w:r>
      <w:r>
        <w:t xml:space="preserve">) pero en la práctica es el único informe que se suele tomar en consideración, pese a que </w:t>
      </w:r>
      <w:proofErr w:type="spellStart"/>
      <w:r>
        <w:t>ONGs</w:t>
      </w:r>
      <w:proofErr w:type="spellEnd"/>
      <w:r>
        <w:t xml:space="preserve"> como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tras investigaciones de estudios de caso, señalan que:</w:t>
      </w:r>
    </w:p>
    <w:p w14:paraId="3A3E664E" w14:textId="77777777" w:rsidR="004B07C7" w:rsidRDefault="004B07C7" w:rsidP="004B07C7">
      <w:pPr>
        <w:pStyle w:val="NormalWeb"/>
        <w:shd w:val="clear" w:color="auto" w:fill="FFFFFF"/>
        <w:spacing w:before="0" w:beforeAutospacing="0" w:after="0" w:afterAutospacing="0" w:line="360" w:lineRule="atLeast"/>
        <w:jc w:val="both"/>
        <w:textAlignment w:val="baseline"/>
      </w:pPr>
    </w:p>
    <w:p w14:paraId="71BF8513" w14:textId="678300ED" w:rsidR="004B07C7" w:rsidRPr="00A47C1D" w:rsidRDefault="004B07C7" w:rsidP="004B07C7">
      <w:pPr>
        <w:pStyle w:val="NormalWeb"/>
        <w:shd w:val="clear" w:color="auto" w:fill="FFFFFF"/>
        <w:spacing w:before="0" w:beforeAutospacing="0" w:after="0" w:afterAutospacing="0"/>
        <w:ind w:left="360"/>
        <w:jc w:val="both"/>
        <w:textAlignment w:val="baseline"/>
        <w:rPr>
          <w:i/>
          <w:sz w:val="22"/>
          <w:szCs w:val="22"/>
        </w:rPr>
      </w:pPr>
      <w:r w:rsidRPr="00A47C1D">
        <w:rPr>
          <w:i/>
          <w:sz w:val="22"/>
          <w:szCs w:val="22"/>
        </w:rPr>
        <w:t xml:space="preserve">La lectura de varios informes psicosociales muestra que no en todos se detalla la </w:t>
      </w:r>
      <w:proofErr w:type="spellStart"/>
      <w:r w:rsidRPr="00A47C1D">
        <w:rPr>
          <w:i/>
          <w:sz w:val="22"/>
          <w:szCs w:val="22"/>
        </w:rPr>
        <w:t>metodología</w:t>
      </w:r>
      <w:proofErr w:type="spellEnd"/>
      <w:r w:rsidRPr="00A47C1D">
        <w:rPr>
          <w:i/>
          <w:sz w:val="22"/>
          <w:szCs w:val="22"/>
        </w:rPr>
        <w:t xml:space="preserve"> empleada, y que incluso los hay que justifican una </w:t>
      </w:r>
      <w:proofErr w:type="spellStart"/>
      <w:r w:rsidRPr="00A47C1D">
        <w:rPr>
          <w:i/>
          <w:sz w:val="22"/>
          <w:szCs w:val="22"/>
        </w:rPr>
        <w:t>valoración</w:t>
      </w:r>
      <w:proofErr w:type="spellEnd"/>
      <w:r w:rsidRPr="00A47C1D">
        <w:rPr>
          <w:i/>
          <w:sz w:val="22"/>
          <w:szCs w:val="22"/>
        </w:rPr>
        <w:t xml:space="preserve"> de credibilidad con criterios no validados por la comunidad </w:t>
      </w:r>
      <w:proofErr w:type="spellStart"/>
      <w:r w:rsidRPr="00A47C1D">
        <w:rPr>
          <w:i/>
          <w:sz w:val="22"/>
          <w:szCs w:val="22"/>
        </w:rPr>
        <w:t>científica</w:t>
      </w:r>
      <w:proofErr w:type="spellEnd"/>
      <w:r w:rsidRPr="00A47C1D">
        <w:rPr>
          <w:i/>
          <w:sz w:val="22"/>
          <w:szCs w:val="22"/>
        </w:rPr>
        <w:t xml:space="preserve"> (</w:t>
      </w:r>
      <w:proofErr w:type="spellStart"/>
      <w:r w:rsidRPr="00A47C1D">
        <w:rPr>
          <w:i/>
          <w:sz w:val="22"/>
          <w:szCs w:val="22"/>
        </w:rPr>
        <w:t>Save</w:t>
      </w:r>
      <w:proofErr w:type="spellEnd"/>
      <w:r w:rsidRPr="00A47C1D">
        <w:rPr>
          <w:i/>
          <w:sz w:val="22"/>
          <w:szCs w:val="22"/>
        </w:rPr>
        <w:t xml:space="preserve"> </w:t>
      </w:r>
      <w:proofErr w:type="spellStart"/>
      <w:r w:rsidRPr="00A47C1D">
        <w:rPr>
          <w:i/>
          <w:sz w:val="22"/>
          <w:szCs w:val="22"/>
        </w:rPr>
        <w:t>the</w:t>
      </w:r>
      <w:proofErr w:type="spellEnd"/>
      <w:r w:rsidRPr="00A47C1D">
        <w:rPr>
          <w:i/>
          <w:sz w:val="22"/>
          <w:szCs w:val="22"/>
        </w:rPr>
        <w:t xml:space="preserve"> </w:t>
      </w:r>
      <w:proofErr w:type="spellStart"/>
      <w:r w:rsidRPr="00A47C1D">
        <w:rPr>
          <w:i/>
          <w:sz w:val="22"/>
          <w:szCs w:val="22"/>
        </w:rPr>
        <w:t>Children</w:t>
      </w:r>
      <w:proofErr w:type="spellEnd"/>
      <w:r w:rsidRPr="00A47C1D">
        <w:rPr>
          <w:i/>
          <w:sz w:val="22"/>
          <w:szCs w:val="22"/>
        </w:rPr>
        <w:t xml:space="preserve">, 2017, </w:t>
      </w:r>
      <w:proofErr w:type="spellStart"/>
      <w:r w:rsidRPr="00A47C1D">
        <w:rPr>
          <w:i/>
          <w:sz w:val="22"/>
          <w:szCs w:val="22"/>
        </w:rPr>
        <w:t>pág</w:t>
      </w:r>
      <w:proofErr w:type="spellEnd"/>
      <w:r w:rsidRPr="00A47C1D">
        <w:rPr>
          <w:i/>
          <w:sz w:val="22"/>
          <w:szCs w:val="22"/>
        </w:rPr>
        <w:t xml:space="preserve">. 102). </w:t>
      </w:r>
    </w:p>
    <w:p w14:paraId="7DF2E973" w14:textId="77777777" w:rsidR="00A47C1D" w:rsidRDefault="00A47C1D" w:rsidP="00ED5A62">
      <w:pPr>
        <w:pStyle w:val="NormalWeb"/>
        <w:shd w:val="clear" w:color="auto" w:fill="FFFFFF"/>
        <w:spacing w:before="0" w:beforeAutospacing="0" w:after="0" w:afterAutospacing="0" w:line="360" w:lineRule="atLeast"/>
        <w:jc w:val="both"/>
        <w:textAlignment w:val="baseline"/>
      </w:pPr>
    </w:p>
    <w:p w14:paraId="71794741" w14:textId="19531E6A" w:rsidR="004B07C7" w:rsidRDefault="004B07C7" w:rsidP="00ED5A62">
      <w:pPr>
        <w:pStyle w:val="NormalWeb"/>
        <w:shd w:val="clear" w:color="auto" w:fill="FFFFFF"/>
        <w:spacing w:before="0" w:beforeAutospacing="0" w:after="0" w:afterAutospacing="0" w:line="360" w:lineRule="atLeast"/>
        <w:jc w:val="both"/>
        <w:textAlignment w:val="baseline"/>
      </w:pPr>
      <w:r>
        <w:t>Aun así, hay casos donde a pesar de dotar de credibilidad a una víctima, el mismo ha sido posteriormente rechazado, alegando que era de interés de una de las partes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2017). Se ha de tomar en consideración que estos equipos participan tanto en los juzgados penales, como en los de civil. Actuando el procedimiento de este segundo juzgado de forma paralela sin suspenderse, pese al “principio de prejudicialidad penal” recogido en la Ley de Enjuiciamiento Civil. Como señalan </w:t>
      </w:r>
      <w:proofErr w:type="spellStart"/>
      <w:r>
        <w:t>ONGs</w:t>
      </w:r>
      <w:proofErr w:type="spellEnd"/>
      <w:r>
        <w:t xml:space="preserve"> como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(2017):</w:t>
      </w:r>
    </w:p>
    <w:p w14:paraId="00BF652E" w14:textId="77777777" w:rsidR="00A47C1D" w:rsidRPr="0016238D" w:rsidRDefault="00A47C1D" w:rsidP="00ED5A62">
      <w:pPr>
        <w:pStyle w:val="NormalWeb"/>
        <w:shd w:val="clear" w:color="auto" w:fill="FFFFFF"/>
        <w:spacing w:before="0" w:beforeAutospacing="0" w:after="0" w:afterAutospacing="0" w:line="360" w:lineRule="atLeast"/>
        <w:jc w:val="both"/>
        <w:textAlignment w:val="baseline"/>
      </w:pPr>
    </w:p>
    <w:p w14:paraId="28513D75" w14:textId="1DD99142" w:rsidR="004B07C7" w:rsidRPr="00A47C1D" w:rsidRDefault="004B07C7" w:rsidP="004B07C7">
      <w:pPr>
        <w:pStyle w:val="NormalWeb"/>
        <w:shd w:val="clear" w:color="auto" w:fill="FFFFFF"/>
        <w:spacing w:before="0" w:beforeAutospacing="0" w:after="0" w:afterAutospacing="0"/>
        <w:ind w:left="360"/>
        <w:jc w:val="both"/>
        <w:textAlignment w:val="baseline"/>
        <w:rPr>
          <w:i/>
          <w:sz w:val="22"/>
          <w:szCs w:val="22"/>
        </w:rPr>
      </w:pPr>
      <w:r w:rsidRPr="00A47C1D">
        <w:rPr>
          <w:i/>
          <w:sz w:val="22"/>
          <w:szCs w:val="22"/>
        </w:rPr>
        <w:t xml:space="preserve">Sin embargo, la mayor parte de las resoluciones de los juzgados de familia, a pesar de haberse iniciado un proceso penal por presuntos abusos sexuales, orientan casi todas sus decisiones a dar </w:t>
      </w:r>
      <w:proofErr w:type="spellStart"/>
      <w:r w:rsidRPr="00A47C1D">
        <w:rPr>
          <w:i/>
          <w:sz w:val="22"/>
          <w:szCs w:val="22"/>
        </w:rPr>
        <w:t>más</w:t>
      </w:r>
      <w:proofErr w:type="spellEnd"/>
      <w:r w:rsidRPr="00A47C1D">
        <w:rPr>
          <w:i/>
          <w:sz w:val="22"/>
          <w:szCs w:val="22"/>
        </w:rPr>
        <w:t xml:space="preserve"> prioridad a la </w:t>
      </w:r>
      <w:proofErr w:type="spellStart"/>
      <w:r w:rsidRPr="00A47C1D">
        <w:rPr>
          <w:i/>
          <w:sz w:val="22"/>
          <w:szCs w:val="22"/>
        </w:rPr>
        <w:t>restauración</w:t>
      </w:r>
      <w:proofErr w:type="spellEnd"/>
      <w:r w:rsidRPr="00A47C1D">
        <w:rPr>
          <w:i/>
          <w:sz w:val="22"/>
          <w:szCs w:val="22"/>
        </w:rPr>
        <w:t xml:space="preserve"> y «</w:t>
      </w:r>
      <w:proofErr w:type="spellStart"/>
      <w:r w:rsidRPr="00A47C1D">
        <w:rPr>
          <w:i/>
          <w:sz w:val="22"/>
          <w:szCs w:val="22"/>
        </w:rPr>
        <w:t>normalización</w:t>
      </w:r>
      <w:proofErr w:type="spellEnd"/>
      <w:r w:rsidRPr="00A47C1D">
        <w:rPr>
          <w:i/>
          <w:sz w:val="22"/>
          <w:szCs w:val="22"/>
        </w:rPr>
        <w:t xml:space="preserve">» de la </w:t>
      </w:r>
      <w:proofErr w:type="spellStart"/>
      <w:r w:rsidRPr="00A47C1D">
        <w:rPr>
          <w:i/>
          <w:sz w:val="22"/>
          <w:szCs w:val="22"/>
        </w:rPr>
        <w:t>relación</w:t>
      </w:r>
      <w:proofErr w:type="spellEnd"/>
      <w:r w:rsidRPr="00A47C1D">
        <w:rPr>
          <w:i/>
          <w:sz w:val="22"/>
          <w:szCs w:val="22"/>
        </w:rPr>
        <w:t xml:space="preserve"> paterno-filial de las </w:t>
      </w:r>
      <w:proofErr w:type="spellStart"/>
      <w:r w:rsidRPr="00A47C1D">
        <w:rPr>
          <w:i/>
          <w:sz w:val="22"/>
          <w:szCs w:val="22"/>
        </w:rPr>
        <w:t>niñas</w:t>
      </w:r>
      <w:proofErr w:type="spellEnd"/>
      <w:r w:rsidRPr="00A47C1D">
        <w:rPr>
          <w:i/>
          <w:sz w:val="22"/>
          <w:szCs w:val="22"/>
        </w:rPr>
        <w:t xml:space="preserve"> y los </w:t>
      </w:r>
      <w:proofErr w:type="spellStart"/>
      <w:r w:rsidRPr="00A47C1D">
        <w:rPr>
          <w:i/>
          <w:sz w:val="22"/>
          <w:szCs w:val="22"/>
        </w:rPr>
        <w:t>niños</w:t>
      </w:r>
      <w:proofErr w:type="spellEnd"/>
      <w:r w:rsidRPr="00A47C1D">
        <w:rPr>
          <w:i/>
          <w:sz w:val="22"/>
          <w:szCs w:val="22"/>
        </w:rPr>
        <w:t xml:space="preserve"> con sus padres denunciados que a la </w:t>
      </w:r>
      <w:proofErr w:type="spellStart"/>
      <w:r w:rsidRPr="00A47C1D">
        <w:rPr>
          <w:i/>
          <w:sz w:val="22"/>
          <w:szCs w:val="22"/>
        </w:rPr>
        <w:t>adopción</w:t>
      </w:r>
      <w:proofErr w:type="spellEnd"/>
      <w:r w:rsidRPr="00A47C1D">
        <w:rPr>
          <w:i/>
          <w:sz w:val="22"/>
          <w:szCs w:val="22"/>
        </w:rPr>
        <w:t xml:space="preserve"> de medidas cautelares de </w:t>
      </w:r>
      <w:proofErr w:type="spellStart"/>
      <w:r w:rsidRPr="00A47C1D">
        <w:rPr>
          <w:i/>
          <w:sz w:val="22"/>
          <w:szCs w:val="22"/>
        </w:rPr>
        <w:t>protección</w:t>
      </w:r>
      <w:proofErr w:type="spellEnd"/>
      <w:r w:rsidRPr="00A47C1D">
        <w:rPr>
          <w:i/>
          <w:sz w:val="22"/>
          <w:szCs w:val="22"/>
        </w:rPr>
        <w:t xml:space="preserve"> de las posibles </w:t>
      </w:r>
      <w:proofErr w:type="spellStart"/>
      <w:r w:rsidRPr="00A47C1D">
        <w:rPr>
          <w:i/>
          <w:sz w:val="22"/>
          <w:szCs w:val="22"/>
        </w:rPr>
        <w:t>víctimas</w:t>
      </w:r>
      <w:proofErr w:type="spellEnd"/>
      <w:r w:rsidRPr="00A47C1D">
        <w:rPr>
          <w:i/>
          <w:sz w:val="22"/>
          <w:szCs w:val="22"/>
        </w:rPr>
        <w:t xml:space="preserve"> (</w:t>
      </w:r>
      <w:proofErr w:type="spellStart"/>
      <w:r w:rsidRPr="00A47C1D">
        <w:rPr>
          <w:i/>
          <w:sz w:val="22"/>
          <w:szCs w:val="22"/>
        </w:rPr>
        <w:t>Save</w:t>
      </w:r>
      <w:proofErr w:type="spellEnd"/>
      <w:r w:rsidRPr="00A47C1D">
        <w:rPr>
          <w:i/>
          <w:sz w:val="22"/>
          <w:szCs w:val="22"/>
        </w:rPr>
        <w:t xml:space="preserve"> </w:t>
      </w:r>
      <w:proofErr w:type="spellStart"/>
      <w:r w:rsidRPr="00A47C1D">
        <w:rPr>
          <w:i/>
          <w:sz w:val="22"/>
          <w:szCs w:val="22"/>
        </w:rPr>
        <w:t>the</w:t>
      </w:r>
      <w:proofErr w:type="spellEnd"/>
      <w:r w:rsidRPr="00A47C1D">
        <w:rPr>
          <w:i/>
          <w:sz w:val="22"/>
          <w:szCs w:val="22"/>
        </w:rPr>
        <w:t xml:space="preserve"> </w:t>
      </w:r>
      <w:proofErr w:type="spellStart"/>
      <w:r w:rsidRPr="00A47C1D">
        <w:rPr>
          <w:i/>
          <w:sz w:val="22"/>
          <w:szCs w:val="22"/>
        </w:rPr>
        <w:t>Children</w:t>
      </w:r>
      <w:proofErr w:type="spellEnd"/>
      <w:r w:rsidRPr="00A47C1D">
        <w:rPr>
          <w:i/>
          <w:sz w:val="22"/>
          <w:szCs w:val="22"/>
        </w:rPr>
        <w:t xml:space="preserve">, 2017, </w:t>
      </w:r>
      <w:proofErr w:type="spellStart"/>
      <w:r w:rsidRPr="00A47C1D">
        <w:rPr>
          <w:i/>
          <w:sz w:val="22"/>
          <w:szCs w:val="22"/>
        </w:rPr>
        <w:t>pág</w:t>
      </w:r>
      <w:proofErr w:type="spellEnd"/>
      <w:r w:rsidRPr="00A47C1D">
        <w:rPr>
          <w:i/>
          <w:sz w:val="22"/>
          <w:szCs w:val="22"/>
        </w:rPr>
        <w:t xml:space="preserve">. 116). </w:t>
      </w:r>
    </w:p>
    <w:p w14:paraId="3A5EF24D" w14:textId="77777777" w:rsidR="00ED5A62" w:rsidRDefault="00ED5A62" w:rsidP="00ED5A62">
      <w:pPr>
        <w:pStyle w:val="NormalWeb"/>
        <w:shd w:val="clear" w:color="auto" w:fill="FFFFFF"/>
        <w:spacing w:before="0" w:beforeAutospacing="0" w:after="0" w:afterAutospacing="0" w:line="276" w:lineRule="auto"/>
        <w:jc w:val="both"/>
        <w:textAlignment w:val="baseline"/>
      </w:pPr>
    </w:p>
    <w:p w14:paraId="678254A1" w14:textId="77777777" w:rsidR="00ED5A62" w:rsidRDefault="00ED5A62" w:rsidP="00ED5A62">
      <w:pPr>
        <w:pStyle w:val="NormalWeb"/>
        <w:shd w:val="clear" w:color="auto" w:fill="FFFFFF"/>
        <w:spacing w:before="0" w:beforeAutospacing="0" w:after="0" w:afterAutospacing="0" w:line="276" w:lineRule="auto"/>
        <w:jc w:val="both"/>
        <w:textAlignment w:val="baseline"/>
        <w:rPr>
          <w:b/>
        </w:rPr>
      </w:pPr>
    </w:p>
    <w:p w14:paraId="0DF58A78" w14:textId="77777777" w:rsidR="00ED5A62" w:rsidRPr="00656128" w:rsidRDefault="00ED5A62" w:rsidP="00ED5A62">
      <w:pPr>
        <w:pStyle w:val="NormalWeb"/>
        <w:numPr>
          <w:ilvl w:val="0"/>
          <w:numId w:val="3"/>
        </w:numPr>
        <w:shd w:val="clear" w:color="auto" w:fill="FFFFFF"/>
        <w:spacing w:before="0" w:beforeAutospacing="0" w:after="0" w:afterAutospacing="0" w:line="276" w:lineRule="auto"/>
        <w:jc w:val="both"/>
        <w:textAlignment w:val="baseline"/>
        <w:rPr>
          <w:b/>
        </w:rPr>
      </w:pPr>
      <w:r w:rsidRPr="00656128">
        <w:rPr>
          <w:b/>
        </w:rPr>
        <w:t>Puntos de Encuentro Familiar</w:t>
      </w:r>
      <w:r w:rsidR="00B10977">
        <w:rPr>
          <w:b/>
        </w:rPr>
        <w:t xml:space="preserve"> </w:t>
      </w:r>
      <w:r w:rsidR="00AA359E">
        <w:rPr>
          <w:b/>
        </w:rPr>
        <w:t>y Coordinadores P</w:t>
      </w:r>
      <w:r w:rsidR="00B10977">
        <w:rPr>
          <w:b/>
        </w:rPr>
        <w:t>arentales.</w:t>
      </w:r>
    </w:p>
    <w:p w14:paraId="1FCDD93D" w14:textId="77777777" w:rsidR="00B10977" w:rsidRDefault="00B10977" w:rsidP="00B10977">
      <w:pPr>
        <w:pStyle w:val="NormalWeb"/>
        <w:shd w:val="clear" w:color="auto" w:fill="FFFFFF"/>
        <w:spacing w:before="0" w:beforeAutospacing="0" w:after="0" w:afterAutospacing="0" w:line="360" w:lineRule="atLeast"/>
        <w:jc w:val="both"/>
        <w:textAlignment w:val="baseline"/>
      </w:pPr>
    </w:p>
    <w:p w14:paraId="3713C31E" w14:textId="77777777" w:rsidR="00ED5A62" w:rsidRDefault="00ED5A62" w:rsidP="00B10977">
      <w:pPr>
        <w:pStyle w:val="NormalWeb"/>
        <w:shd w:val="clear" w:color="auto" w:fill="FFFFFF"/>
        <w:spacing w:before="0" w:beforeAutospacing="0" w:after="0" w:afterAutospacing="0" w:line="360" w:lineRule="atLeast"/>
        <w:jc w:val="both"/>
        <w:textAlignment w:val="baseline"/>
      </w:pPr>
      <w:r>
        <w:t xml:space="preserve">Ya hemos mencionado que el Relator Especial en su informe </w:t>
      </w:r>
      <w:r w:rsidRPr="0013019F">
        <w:t>A/74/148 hablaba de los agentes privados, pero no son privados completamente</w:t>
      </w:r>
      <w:r>
        <w:t xml:space="preserve"> en el caso que nos ocupa, ya que si bien muchos de estos profesionales no son funcionarios propiamente, sí que cumplen una función pública mediante subcontratas tanto del Gobierno central como de los </w:t>
      </w:r>
      <w:r>
        <w:lastRenderedPageBreak/>
        <w:t>gobiernos autonómicos. Es el caso de los Puntos de Encuentro Familiar y muchas de las fundaciones encargadas en “tratar” y “ofrecer terapia” a estos niños y niñas.</w:t>
      </w:r>
    </w:p>
    <w:p w14:paraId="0C311418" w14:textId="77777777" w:rsidR="00ED5A62" w:rsidRDefault="00ED5A62" w:rsidP="00B10977">
      <w:pPr>
        <w:pStyle w:val="NormalWeb"/>
        <w:shd w:val="clear" w:color="auto" w:fill="FFFFFF"/>
        <w:spacing w:before="0" w:beforeAutospacing="0" w:after="0" w:afterAutospacing="0" w:line="360" w:lineRule="atLeast"/>
        <w:jc w:val="both"/>
        <w:textAlignment w:val="baseline"/>
      </w:pPr>
    </w:p>
    <w:p w14:paraId="51DC870D" w14:textId="561A982C" w:rsidR="00ED5A62" w:rsidRDefault="00ED5A62" w:rsidP="00B10977">
      <w:pPr>
        <w:pStyle w:val="NormalWeb"/>
        <w:shd w:val="clear" w:color="auto" w:fill="FFFFFF"/>
        <w:spacing w:before="0" w:beforeAutospacing="0" w:after="0" w:afterAutospacing="0" w:line="360" w:lineRule="atLeast"/>
        <w:jc w:val="both"/>
        <w:textAlignment w:val="baseline"/>
      </w:pPr>
      <w:r>
        <w:t xml:space="preserve">Así pues, son funcionarios a efectos de funciones, pero no lo son a la hora de poder denunciar una actuación irregular que pudieran cometer y a menudo la reclamación pasa por una previa reclamación a la dirección del servicio, con el consecuente temor de las denunciantes a las represalias que pudieran tomarse. Es decir, </w:t>
      </w:r>
      <w:r w:rsidRPr="0016238D">
        <w:t xml:space="preserve">poder denunciar </w:t>
      </w:r>
      <w:r w:rsidR="00CC0293">
        <w:t xml:space="preserve">que </w:t>
      </w:r>
      <w:r w:rsidRPr="0016238D">
        <w:t>esta violencia</w:t>
      </w:r>
      <w:r>
        <w:t xml:space="preserve"> </w:t>
      </w:r>
      <w:r w:rsidR="00694714">
        <w:t xml:space="preserve">que </w:t>
      </w:r>
      <w:r>
        <w:t>a menudo es</w:t>
      </w:r>
      <w:r w:rsidRPr="0016238D">
        <w:t xml:space="preserve"> ejercida contra la infancia y contra las madres a nivel interno es muy difícil y la dación de cuentas, fiscalidad o </w:t>
      </w:r>
      <w:proofErr w:type="spellStart"/>
      <w:r w:rsidRPr="00CC0293">
        <w:rPr>
          <w:i/>
          <w:iCs/>
        </w:rPr>
        <w:t>accountability</w:t>
      </w:r>
      <w:proofErr w:type="spellEnd"/>
      <w:r w:rsidRPr="0016238D">
        <w:t xml:space="preserve"> no está garantizada</w:t>
      </w:r>
      <w:r w:rsidR="00694714">
        <w:t>.</w:t>
      </w:r>
      <w:r>
        <w:t xml:space="preserve"> Además, no se especifica la capacitación y formación necesaria para ejercer esas funciones y adolecen de formación específica y especializada (artículo 10), cuestión esta que se deja en manos de la dirección de cada centro. La protección social en el Estado español (que es a donde son derivadas estas víctimas NNA de abuso sexual) está en una gran parte subcontratada</w:t>
      </w:r>
      <w:r w:rsidR="00A62469">
        <w:t xml:space="preserve"> (llegando a más del 50 % de los servicios)</w:t>
      </w:r>
      <w:r>
        <w:t>. Este es el caso por ejemplo de los Punto</w:t>
      </w:r>
      <w:r w:rsidR="00CC0293">
        <w:t>s</w:t>
      </w:r>
      <w:r>
        <w:t xml:space="preserve"> de Encuentro Familiar de derivación judicial, cuya gestión es llevada a cabo por fundaciones privadas, que forman a sus profesionales a menudo en interferencias parentales y demás eufemismos utilizados para denominar la teoría SAP (síndrome Alienación Parental) que más adelante entraremos más a fondo. No se trata de un miedo fundado dado que los jueces que deban decidir sobre custodia de los y las niñas y cambios en las mismas, se basarán en los informes que realicen estos Puntos de Encuentro sobre cómo se van dando estas visitas, relación paterno-filial y sobre todo, actitud de la madre cuando debe entregar a los niños y niñas al padre. </w:t>
      </w:r>
    </w:p>
    <w:p w14:paraId="655A125B" w14:textId="77777777" w:rsidR="00DB0A31" w:rsidRDefault="00DB0A31" w:rsidP="00B10977">
      <w:pPr>
        <w:pStyle w:val="NormalWeb"/>
        <w:shd w:val="clear" w:color="auto" w:fill="FFFFFF"/>
        <w:spacing w:before="0" w:beforeAutospacing="0" w:after="0" w:afterAutospacing="0" w:line="360" w:lineRule="atLeast"/>
        <w:jc w:val="both"/>
        <w:textAlignment w:val="baseline"/>
      </w:pPr>
    </w:p>
    <w:p w14:paraId="6758D7BC" w14:textId="6F267E0D" w:rsidR="00DB0A31" w:rsidRDefault="005D5F82" w:rsidP="00B10977">
      <w:pPr>
        <w:pStyle w:val="NormalWeb"/>
        <w:shd w:val="clear" w:color="auto" w:fill="FFFFFF"/>
        <w:spacing w:before="0" w:beforeAutospacing="0" w:after="0" w:afterAutospacing="0" w:line="360" w:lineRule="atLeast"/>
        <w:jc w:val="both"/>
        <w:textAlignment w:val="baseline"/>
      </w:pPr>
      <w:r>
        <w:t>No obstante, en gran cantidad de los casos</w:t>
      </w:r>
      <w:r w:rsidR="00DB0A31">
        <w:t xml:space="preserve"> es la madre quien acude al centro para poder ver a sus NNA tras habérsele </w:t>
      </w:r>
      <w:r>
        <w:t>sido retirada</w:t>
      </w:r>
      <w:r w:rsidR="00DB0A31">
        <w:t xml:space="preserve"> la custodia. En estos casos cabe denunciar, que el tiempo de intervención de los Puntos de Encuentro Familiar se alarga en el tiempo, obstaculizando que la madre pueda pasar a otra fase judicial en la que pueda estar con sus hijos fuera de una visita supervisada por el personal del Centro. No ocurre esto, cuando la situación es la contraria y es el padre quien acude a una visita supervisada. En estos casos, se pasa rápidamente a otra fase en la que el padre pueda llevarse fuera del centro a los NNA.</w:t>
      </w:r>
    </w:p>
    <w:p w14:paraId="1435EF9E" w14:textId="77777777" w:rsidR="00B10977" w:rsidRDefault="00B10977" w:rsidP="00B10977">
      <w:pPr>
        <w:pStyle w:val="NormalWeb"/>
        <w:shd w:val="clear" w:color="auto" w:fill="FFFFFF"/>
        <w:spacing w:before="0" w:beforeAutospacing="0" w:after="0" w:afterAutospacing="0" w:line="360" w:lineRule="atLeast"/>
        <w:jc w:val="both"/>
        <w:textAlignment w:val="baseline"/>
      </w:pPr>
    </w:p>
    <w:p w14:paraId="74363778" w14:textId="77777777" w:rsidR="00B10977" w:rsidRPr="008D6317" w:rsidRDefault="00B10977" w:rsidP="00045B21">
      <w:pPr>
        <w:shd w:val="clear" w:color="auto" w:fill="FFFFFF"/>
        <w:suppressAutoHyphens w:val="0"/>
        <w:spacing w:line="360" w:lineRule="atLeast"/>
        <w:jc w:val="both"/>
        <w:rPr>
          <w:rFonts w:ascii="Times New Roman" w:eastAsia="Times New Roman" w:hAnsi="Times New Roman" w:cs="Times New Roman"/>
          <w:color w:val="222222"/>
          <w:kern w:val="0"/>
          <w:lang w:eastAsia="es-ES" w:bidi="ar-SA"/>
        </w:rPr>
      </w:pPr>
      <w:r>
        <w:rPr>
          <w:rFonts w:ascii="Times New Roman" w:eastAsia="Times New Roman" w:hAnsi="Times New Roman" w:cs="Times New Roman"/>
          <w:color w:val="222222"/>
          <w:kern w:val="0"/>
          <w:lang w:eastAsia="es-ES" w:bidi="ar-SA"/>
        </w:rPr>
        <w:t xml:space="preserve">En lo que respecta a los </w:t>
      </w:r>
      <w:r w:rsidRPr="008D6317">
        <w:rPr>
          <w:rFonts w:ascii="Times New Roman" w:eastAsia="Times New Roman" w:hAnsi="Times New Roman" w:cs="Times New Roman"/>
          <w:color w:val="222222"/>
          <w:kern w:val="0"/>
          <w:lang w:eastAsia="es-ES" w:bidi="ar-SA"/>
        </w:rPr>
        <w:t>Coordinadore</w:t>
      </w:r>
      <w:r>
        <w:rPr>
          <w:rFonts w:ascii="Times New Roman" w:eastAsia="Times New Roman" w:hAnsi="Times New Roman" w:cs="Times New Roman"/>
          <w:color w:val="222222"/>
          <w:kern w:val="0"/>
          <w:lang w:eastAsia="es-ES" w:bidi="ar-SA"/>
        </w:rPr>
        <w:t>s parentales, n</w:t>
      </w:r>
      <w:r w:rsidRPr="008D6317">
        <w:rPr>
          <w:rFonts w:ascii="Times New Roman" w:eastAsia="Times New Roman" w:hAnsi="Times New Roman" w:cs="Times New Roman"/>
          <w:color w:val="222222"/>
          <w:kern w:val="0"/>
          <w:lang w:eastAsia="es-ES" w:bidi="ar-SA"/>
        </w:rPr>
        <w:t>o están regulados, con lo que su tipología es variada. Puede tratarse de los propios equipos psicosociales, de asociaciones o profesionales privados. En cualquier caso, se produce la misma situación que en el caso de los Puntos de Encuentro familiar: actúan según lo establecido en la sentencia di</w:t>
      </w:r>
      <w:r>
        <w:rPr>
          <w:rFonts w:ascii="Times New Roman" w:eastAsia="Times New Roman" w:hAnsi="Times New Roman" w:cs="Times New Roman"/>
          <w:color w:val="222222"/>
          <w:kern w:val="0"/>
          <w:lang w:eastAsia="es-ES" w:bidi="ar-SA"/>
        </w:rPr>
        <w:t>ctada por un juzgado o tribunal.</w:t>
      </w:r>
    </w:p>
    <w:p w14:paraId="5EFAE3D6"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5A0382A6" w14:textId="071B748A" w:rsidR="00ED5A62" w:rsidRPr="0016238D" w:rsidRDefault="00045B21" w:rsidP="00ED5A62">
      <w:pPr>
        <w:pStyle w:val="NormalWeb"/>
        <w:shd w:val="clear" w:color="auto" w:fill="FFFFFF"/>
        <w:spacing w:before="0" w:beforeAutospacing="0" w:after="0" w:afterAutospacing="0" w:line="360" w:lineRule="atLeast"/>
        <w:jc w:val="both"/>
        <w:textAlignment w:val="baseline"/>
      </w:pPr>
      <w:r>
        <w:lastRenderedPageBreak/>
        <w:t>Todos ellos serán herramientas que cumplen una función vehicular respecto</w:t>
      </w:r>
      <w:r w:rsidR="00ED5A62" w:rsidRPr="0016238D">
        <w:t xml:space="preserve"> de las sentencias judiciales, se ajusten estas al bienestar de los NNA o no. Si bien están formados por educadoras, psicólogas, etc. su principal función será cumplir el régimen de visitas establecido, obligando a los niños y niñas si es preciso, y realizando informes, que, invariablemente culparán a la madre de las reticencias del niño o niña a la hora de irse con el padre (obviando las denuncias y testimonios realizados por el NNA, que en su camino judicial, terminan casi en la totalidad de los casos, e</w:t>
      </w:r>
      <w:r>
        <w:t>n archivos o absoluciones</w:t>
      </w:r>
      <w:r w:rsidR="00ED5A62" w:rsidRPr="0016238D">
        <w:t xml:space="preserve"> por falta de prue</w:t>
      </w:r>
      <w:r>
        <w:t>bas, al no valorarse el testimonio de los NNA de manera adecuada)</w:t>
      </w:r>
      <w:r w:rsidR="00ED5A62" w:rsidRPr="0016238D">
        <w:t>. Los psicólogos ven compatibles los testimonios y actitudes con haber sido víctima de abuso, pero los tribunales alegan no poder establecer quién es el perpetrador o directamente no queda certificado por no considerarse prueba suficiente el testimonio de niños y niñas, así como los informes emitidos por personal experto, ya que son basados en estos testimonios</w:t>
      </w:r>
      <w:r w:rsidR="00A47C1D">
        <w:t>.</w:t>
      </w:r>
      <w:r w:rsidR="00ED5A62" w:rsidRPr="0016238D">
        <w:t xml:space="preserve"> En este sentido, la Relatora Especial </w:t>
      </w:r>
      <w:proofErr w:type="spellStart"/>
      <w:r w:rsidR="00ED5A62" w:rsidRPr="0016238D">
        <w:t>Reem</w:t>
      </w:r>
      <w:proofErr w:type="spellEnd"/>
      <w:r w:rsidR="00ED5A62" w:rsidRPr="0016238D">
        <w:t xml:space="preserve"> </w:t>
      </w:r>
      <w:proofErr w:type="spellStart"/>
      <w:r w:rsidR="00ED5A62" w:rsidRPr="0016238D">
        <w:t>Alsalem</w:t>
      </w:r>
      <w:proofErr w:type="spellEnd"/>
      <w:r w:rsidR="00ED5A62" w:rsidRPr="0016238D">
        <w:t xml:space="preserve"> </w:t>
      </w:r>
      <w:r w:rsidR="00CC0293">
        <w:t xml:space="preserve">muestra su gran preocupación </w:t>
      </w:r>
      <w:r w:rsidR="00A47C1D">
        <w:t>cuando menciona la</w:t>
      </w:r>
      <w:r w:rsidR="00ED5A62" w:rsidRPr="0016238D">
        <w:t xml:space="preserve"> “obligación de vinculación”</w:t>
      </w:r>
      <w:r w:rsidR="00A47C1D">
        <w:t xml:space="preserve"> (párrafos 12 a 19)</w:t>
      </w:r>
      <w:r w:rsidR="00ED5A62" w:rsidRPr="0016238D">
        <w:t>.</w:t>
      </w:r>
      <w:r w:rsidR="00ED5A62" w:rsidRPr="0016238D">
        <w:rPr>
          <w:rStyle w:val="Refdenotaalpie"/>
        </w:rPr>
        <w:footnoteReference w:id="14"/>
      </w:r>
    </w:p>
    <w:p w14:paraId="53B80873"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5628FE11" w14:textId="77777777" w:rsidR="00ED5A62" w:rsidRPr="0016238D" w:rsidRDefault="00ED5A62" w:rsidP="00ED5A62">
      <w:pPr>
        <w:pStyle w:val="NormalWeb"/>
        <w:shd w:val="clear" w:color="auto" w:fill="FFFFFF"/>
        <w:spacing w:before="0" w:beforeAutospacing="0" w:after="0" w:afterAutospacing="0" w:line="360" w:lineRule="atLeast"/>
        <w:ind w:left="705"/>
        <w:jc w:val="both"/>
        <w:textAlignment w:val="baseline"/>
        <w:rPr>
          <w:i/>
        </w:rPr>
      </w:pPr>
      <w:r w:rsidRPr="0016238D">
        <w:rPr>
          <w:i/>
        </w:rPr>
        <w:t>50. Algunos sistemas imponen al cuidador principal la obligación adicional de facilitar el contacto. Alemania ha incorporado en su legislación la presunción de que el contacto entre ambos progenitores redunda generalmente en el interés superior de los hijos, pero ha agregado una cláusula de buena conducta, según la cual cada progenitor debe abstenerse de realizar actos que perjudiquen la relación del niño con el otro progenitor y debe también promover una actitud positiva hacia el contacto. Sin embargo, esa presunción perjudica a las víctimas de violencia doméstica, ya que toda falta de tolerancia al apego percibida —derivada de la violencia— puede tener consecuencias para la asignación de la custodia. En Grecia, uno de los progenitores está obligado a facilitar y fomentar la comunicación frecuente de los hijos con el otro progenitor —priorizándose así la comunicación sobre la seguridad—, y las madres pueden ser castigadas con severas multas y penas de prisión por no hacerlo. Al parecer, se han impuesto penas similares en Croacia, Islandia, Irlanda y España. En Inglaterra y Gales se introdujo en la legislación una presunción que obliga a los tribunales a considerar que la comunicación entre ambos progenitores después de la separación redunda en el interés superior de los hijos. Hay indicios de que los tribunales inferiores están aplicando ese criterio en casos de violencia doméstica, lo que presiona a las madres para que acepten el contacto.</w:t>
      </w:r>
    </w:p>
    <w:p w14:paraId="7DA7A74A"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23C9CF46"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r w:rsidRPr="0016238D">
        <w:t xml:space="preserve">Es decir, la madre protectora cumple con su obligación de presentar denuncia formal tras conocer el abuso sexual, pero los tribunales entenderán como actuar en protección </w:t>
      </w:r>
      <w:r w:rsidRPr="0016238D">
        <w:lastRenderedPageBreak/>
        <w:t xml:space="preserve">del interés superior del menor, una relación normalizada con el victimario. De no ser así, y en aplicación del </w:t>
      </w:r>
      <w:proofErr w:type="spellStart"/>
      <w:r w:rsidRPr="0016238D">
        <w:t>pseudosíndrome</w:t>
      </w:r>
      <w:proofErr w:type="spellEnd"/>
      <w:r w:rsidRPr="0016238D">
        <w:t xml:space="preserve"> de Alienación parental, se entenderá que si los niños y niñas no quieren ver al padre es por culpa de la manipulación materna, y ésta será castigada. </w:t>
      </w:r>
    </w:p>
    <w:p w14:paraId="102180FB" w14:textId="77777777" w:rsidR="00ED5A62" w:rsidRPr="0016238D" w:rsidRDefault="00ED5A62" w:rsidP="00ED5A62">
      <w:pPr>
        <w:pStyle w:val="NormalWeb"/>
        <w:shd w:val="clear" w:color="auto" w:fill="FFFFFF"/>
        <w:spacing w:before="0" w:beforeAutospacing="0" w:after="0" w:afterAutospacing="0" w:line="360" w:lineRule="atLeast"/>
        <w:jc w:val="both"/>
        <w:textAlignment w:val="baseline"/>
      </w:pPr>
    </w:p>
    <w:p w14:paraId="4A97A460" w14:textId="77777777" w:rsidR="00045B21" w:rsidRDefault="00045B21" w:rsidP="00713818">
      <w:pPr>
        <w:pStyle w:val="Standard"/>
        <w:jc w:val="both"/>
        <w:rPr>
          <w:rFonts w:ascii="Times New Roman" w:eastAsia="Times New Roman" w:hAnsi="Times New Roman" w:cs="Times New Roman"/>
          <w:b/>
          <w:kern w:val="0"/>
          <w:lang w:eastAsia="es-ES" w:bidi="ar-SA"/>
        </w:rPr>
      </w:pPr>
    </w:p>
    <w:p w14:paraId="3689D61C" w14:textId="77777777" w:rsidR="00CE6798" w:rsidRPr="0016238D" w:rsidRDefault="0016238D" w:rsidP="00713818">
      <w:pPr>
        <w:pStyle w:val="Standard"/>
        <w:jc w:val="both"/>
        <w:rPr>
          <w:rFonts w:ascii="Times New Roman" w:eastAsia="Times New Roman" w:hAnsi="Times New Roman" w:cs="Times New Roman"/>
          <w:b/>
          <w:kern w:val="0"/>
          <w:lang w:eastAsia="es-ES" w:bidi="ar-SA"/>
        </w:rPr>
      </w:pPr>
      <w:r w:rsidRPr="0016238D">
        <w:rPr>
          <w:rFonts w:ascii="Times New Roman" w:eastAsia="Times New Roman" w:hAnsi="Times New Roman" w:cs="Times New Roman"/>
          <w:b/>
          <w:kern w:val="0"/>
          <w:lang w:eastAsia="es-ES" w:bidi="ar-SA"/>
        </w:rPr>
        <w:t>La protección de las víctimas de abuso sexual infantil desde la Convención</w:t>
      </w:r>
    </w:p>
    <w:p w14:paraId="60E7C4D7" w14:textId="77777777" w:rsidR="00CE6798" w:rsidRPr="0016238D" w:rsidRDefault="00CE6798" w:rsidP="00713818">
      <w:pPr>
        <w:pStyle w:val="Standard"/>
        <w:jc w:val="both"/>
        <w:rPr>
          <w:rFonts w:ascii="Times New Roman" w:eastAsia="Times New Roman" w:hAnsi="Times New Roman" w:cs="Times New Roman"/>
          <w:kern w:val="0"/>
          <w:lang w:eastAsia="es-ES" w:bidi="ar-SA"/>
        </w:rPr>
      </w:pPr>
    </w:p>
    <w:p w14:paraId="36774FB0" w14:textId="77777777" w:rsidR="00713818" w:rsidRPr="0016238D" w:rsidRDefault="00713818" w:rsidP="0016238D">
      <w:pPr>
        <w:pStyle w:val="Standard"/>
        <w:spacing w:line="360" w:lineRule="atLeast"/>
        <w:jc w:val="both"/>
        <w:rPr>
          <w:rFonts w:ascii="Times New Roman" w:eastAsia="Times New Roman" w:hAnsi="Times New Roman" w:cs="Times New Roman"/>
          <w:kern w:val="0"/>
          <w:lang w:eastAsia="es-ES" w:bidi="ar-SA"/>
        </w:rPr>
      </w:pPr>
      <w:r w:rsidRPr="0016238D">
        <w:rPr>
          <w:rFonts w:ascii="Times New Roman" w:eastAsia="Times New Roman" w:hAnsi="Times New Roman" w:cs="Times New Roman"/>
          <w:kern w:val="0"/>
          <w:lang w:eastAsia="es-ES" w:bidi="ar-SA"/>
        </w:rPr>
        <w:t xml:space="preserve">Así, el </w:t>
      </w:r>
      <w:r w:rsidRPr="0016238D">
        <w:rPr>
          <w:rFonts w:ascii="Times New Roman" w:eastAsia="Times New Roman" w:hAnsi="Times New Roman" w:cs="Times New Roman"/>
          <w:b/>
          <w:kern w:val="0"/>
          <w:lang w:eastAsia="es-ES" w:bidi="ar-SA"/>
        </w:rPr>
        <w:t>Relator Especial sobre la Tortura</w:t>
      </w:r>
      <w:r w:rsidRPr="0016238D">
        <w:rPr>
          <w:rFonts w:ascii="Times New Roman" w:eastAsia="Times New Roman" w:hAnsi="Times New Roman" w:cs="Times New Roman"/>
          <w:kern w:val="0"/>
          <w:lang w:eastAsia="es-ES" w:bidi="ar-SA"/>
        </w:rPr>
        <w:t xml:space="preserve"> aclaró en su informe</w:t>
      </w:r>
      <w:r w:rsidRPr="0016238D">
        <w:rPr>
          <w:rFonts w:ascii="Times New Roman" w:hAnsi="Times New Roman" w:cs="Times New Roman"/>
        </w:rPr>
        <w:footnoteReference w:id="15"/>
      </w:r>
      <w:r w:rsidRPr="0016238D">
        <w:rPr>
          <w:rFonts w:ascii="Times New Roman" w:eastAsia="Times New Roman" w:hAnsi="Times New Roman" w:cs="Times New Roman"/>
          <w:kern w:val="0"/>
          <w:lang w:eastAsia="es-ES" w:bidi="ar-SA"/>
        </w:rPr>
        <w:t xml:space="preserve"> a la Asamblea General que “la violencia doméstica es análoga a los tratos o penas crueles, inhumanos o degradantes y constituye un acto de tortura cuando entraña la imposición intencionada y deliberada o discriminatoria de dolor o sufrimiento grave a una persona indefensa. (…) Los Estados (…) tienen la obligación (…) positiva de realizar una labor eficaz de prevención, protección, intervención, investigación, enjuiciamiento y garantía de medios de reparación a las víctimas frente a los abusos de este tipo c</w:t>
      </w:r>
      <w:r w:rsidR="0012553D" w:rsidRPr="0016238D">
        <w:rPr>
          <w:rFonts w:ascii="Times New Roman" w:eastAsia="Times New Roman" w:hAnsi="Times New Roman" w:cs="Times New Roman"/>
          <w:kern w:val="0"/>
          <w:lang w:eastAsia="es-ES" w:bidi="ar-SA"/>
        </w:rPr>
        <w:t>ometidos por agentes privados”.</w:t>
      </w:r>
    </w:p>
    <w:p w14:paraId="1A38D5C7" w14:textId="77777777" w:rsidR="00713818" w:rsidRPr="0016238D" w:rsidRDefault="00713818" w:rsidP="0016238D">
      <w:pPr>
        <w:pStyle w:val="NormalWeb"/>
        <w:shd w:val="clear" w:color="auto" w:fill="FFFFFF"/>
        <w:spacing w:before="0" w:beforeAutospacing="0" w:after="0" w:afterAutospacing="0" w:line="360" w:lineRule="atLeast"/>
        <w:jc w:val="both"/>
        <w:textAlignment w:val="baseline"/>
      </w:pPr>
    </w:p>
    <w:p w14:paraId="116DE7AC" w14:textId="77777777" w:rsidR="009E1B98" w:rsidRPr="0016238D" w:rsidRDefault="00DA610A" w:rsidP="002901C5">
      <w:pPr>
        <w:pStyle w:val="NormalWeb"/>
        <w:shd w:val="clear" w:color="auto" w:fill="FFFFFF"/>
        <w:spacing w:before="0" w:beforeAutospacing="0" w:after="0" w:afterAutospacing="0" w:line="360" w:lineRule="atLeast"/>
        <w:jc w:val="both"/>
        <w:textAlignment w:val="baseline"/>
      </w:pPr>
      <w:r w:rsidRPr="0016238D">
        <w:t xml:space="preserve">De hecho, queremos hacer especial referencia a la </w:t>
      </w:r>
      <w:r w:rsidRPr="0016238D">
        <w:rPr>
          <w:b/>
        </w:rPr>
        <w:t>Comunicación</w:t>
      </w:r>
      <w:r w:rsidR="009E1B98" w:rsidRPr="0016238D">
        <w:rPr>
          <w:rStyle w:val="Refdenotaalpie"/>
        </w:rPr>
        <w:footnoteReference w:id="16"/>
      </w:r>
      <w:r w:rsidRPr="0016238D">
        <w:t xml:space="preserve"> con fecha 24 de noviembre de 2021</w:t>
      </w:r>
      <w:r w:rsidR="003E2FA8" w:rsidRPr="0016238D">
        <w:rPr>
          <w:rStyle w:val="Refdenotaalpie"/>
        </w:rPr>
        <w:footnoteReference w:id="17"/>
      </w:r>
      <w:r w:rsidRPr="0016238D">
        <w:t xml:space="preserve"> y firmada por </w:t>
      </w:r>
      <w:proofErr w:type="spellStart"/>
      <w:r w:rsidRPr="0016238D">
        <w:rPr>
          <w:b/>
        </w:rPr>
        <w:t>Tlaleng</w:t>
      </w:r>
      <w:proofErr w:type="spellEnd"/>
      <w:r w:rsidRPr="0016238D">
        <w:rPr>
          <w:b/>
        </w:rPr>
        <w:t xml:space="preserve"> </w:t>
      </w:r>
      <w:proofErr w:type="spellStart"/>
      <w:r w:rsidRPr="0016238D">
        <w:rPr>
          <w:b/>
        </w:rPr>
        <w:t>Mofokeng</w:t>
      </w:r>
      <w:proofErr w:type="spellEnd"/>
      <w:r w:rsidRPr="0016238D">
        <w:rPr>
          <w:b/>
        </w:rPr>
        <w:t xml:space="preserve"> Relatora Especial sobre el derecho de toda persona al disfrute del más alto nivel posible de salud física y mental; </w:t>
      </w:r>
      <w:proofErr w:type="spellStart"/>
      <w:r w:rsidRPr="0016238D">
        <w:rPr>
          <w:b/>
        </w:rPr>
        <w:t>Nils</w:t>
      </w:r>
      <w:proofErr w:type="spellEnd"/>
      <w:r w:rsidRPr="0016238D">
        <w:rPr>
          <w:b/>
        </w:rPr>
        <w:t xml:space="preserve"> </w:t>
      </w:r>
      <w:proofErr w:type="spellStart"/>
      <w:r w:rsidRPr="0016238D">
        <w:rPr>
          <w:b/>
        </w:rPr>
        <w:t>Melzer</w:t>
      </w:r>
      <w:proofErr w:type="spellEnd"/>
      <w:r w:rsidRPr="0016238D">
        <w:rPr>
          <w:b/>
        </w:rPr>
        <w:t xml:space="preserve"> Relator Especial sobre la tortura y otros tratos o penas crueles, inhumanos o degradantes; </w:t>
      </w:r>
      <w:proofErr w:type="spellStart"/>
      <w:r w:rsidRPr="0016238D">
        <w:rPr>
          <w:b/>
        </w:rPr>
        <w:t>Reem</w:t>
      </w:r>
      <w:proofErr w:type="spellEnd"/>
      <w:r w:rsidRPr="0016238D">
        <w:rPr>
          <w:b/>
        </w:rPr>
        <w:t xml:space="preserve"> </w:t>
      </w:r>
      <w:proofErr w:type="spellStart"/>
      <w:r w:rsidRPr="0016238D">
        <w:rPr>
          <w:b/>
        </w:rPr>
        <w:t>Alsalem</w:t>
      </w:r>
      <w:proofErr w:type="spellEnd"/>
      <w:r w:rsidRPr="0016238D">
        <w:rPr>
          <w:b/>
        </w:rPr>
        <w:t xml:space="preserve"> Relatora Especial sobre la violencia contra la mujer, sus causas y consecuencias y Melissa </w:t>
      </w:r>
      <w:proofErr w:type="spellStart"/>
      <w:r w:rsidRPr="0016238D">
        <w:rPr>
          <w:b/>
        </w:rPr>
        <w:t>Upreti</w:t>
      </w:r>
      <w:proofErr w:type="spellEnd"/>
      <w:r w:rsidRPr="0016238D">
        <w:rPr>
          <w:b/>
        </w:rPr>
        <w:t xml:space="preserve"> Presidenta-Relatora del Grupo de Trabajo sobre la discriminación contra las mujeres y las niñas</w:t>
      </w:r>
      <w:r w:rsidRPr="0016238D">
        <w:t xml:space="preserve">. Es decir, en un tema como la protección de una niña víctima de abuso sexual infantil por parte de su padre a quien sin embargo los tribunales españoles otorgaron la custodia exclusiva, el Relator Especial sobre la tortura firmó la comunicación enviada a España mostrando su </w:t>
      </w:r>
      <w:r w:rsidR="00CE6798" w:rsidRPr="0016238D">
        <w:t>preocupaci</w:t>
      </w:r>
      <w:r w:rsidR="008F2E5C" w:rsidRPr="0016238D">
        <w:t>ón por este tema.</w:t>
      </w:r>
    </w:p>
    <w:p w14:paraId="405D63B0" w14:textId="77777777" w:rsidR="008F2E5C" w:rsidRPr="0016238D" w:rsidRDefault="008F2E5C" w:rsidP="002901C5">
      <w:pPr>
        <w:pStyle w:val="NormalWeb"/>
        <w:shd w:val="clear" w:color="auto" w:fill="FFFFFF"/>
        <w:spacing w:before="0" w:beforeAutospacing="0" w:after="0" w:afterAutospacing="0" w:line="360" w:lineRule="atLeast"/>
        <w:jc w:val="both"/>
        <w:textAlignment w:val="baseline"/>
      </w:pPr>
    </w:p>
    <w:p w14:paraId="59C6253C" w14:textId="670F1032" w:rsidR="00854968" w:rsidRPr="0016238D" w:rsidRDefault="006E0B95" w:rsidP="002901C5">
      <w:pPr>
        <w:pStyle w:val="NormalWeb"/>
        <w:shd w:val="clear" w:color="auto" w:fill="FFFFFF"/>
        <w:spacing w:before="0" w:beforeAutospacing="0" w:after="0" w:afterAutospacing="0" w:line="360" w:lineRule="atLeast"/>
        <w:jc w:val="both"/>
        <w:textAlignment w:val="baseline"/>
      </w:pPr>
      <w:r w:rsidRPr="0016238D">
        <w:lastRenderedPageBreak/>
        <w:t xml:space="preserve">Así, y considerando que entramos de lleno en una vulneración del </w:t>
      </w:r>
      <w:r w:rsidR="00AB7B42">
        <w:rPr>
          <w:b/>
        </w:rPr>
        <w:t>Artí</w:t>
      </w:r>
      <w:r w:rsidRPr="0016238D">
        <w:rPr>
          <w:b/>
        </w:rPr>
        <w:t>culo 13 de la Convención</w:t>
      </w:r>
      <w:r w:rsidRPr="0016238D">
        <w:t>, recogen el caso concreto de una madre a la que retiran la custodia de su hija, que ha denunciado abusos sexuales por parte del padre pero señalando además que no se trata de un caso aislado. Así, el hecho de denunciar lo que la niña ha relatado se vuelve contra ellas, y esa denuncia es utilizada para castigarlas doblemente, por un lado</w:t>
      </w:r>
      <w:r w:rsidR="007F28C4">
        <w:t>,</w:t>
      </w:r>
      <w:r w:rsidRPr="0016238D">
        <w:t xml:space="preserve"> el crimen queda sin castigo, y por otro, denunciar al padre finaliza con la custodia otorgada al mismo. Se coloca el derecho del padre reivindicando su derecho a estar con la niña, por encima de la seguridad de la misma, y se castiga a la madre prohibiendo o al menos, limitando, el contacto con su hija, a la que pretendió defender al acudir a los tribunales (tal y como le obliga la ley, por otro lado). Los expertos, además de sobre la seguridad de la niña, muestran su honda preocupación por</w:t>
      </w:r>
      <w:r w:rsidR="00CE6FC6" w:rsidRPr="0016238D">
        <w:t xml:space="preserve"> el bienestar de la madre.</w:t>
      </w:r>
      <w:r w:rsidR="009E1B98" w:rsidRPr="0016238D">
        <w:t xml:space="preserve"> </w:t>
      </w:r>
      <w:r w:rsidR="00CE6FC6" w:rsidRPr="0016238D">
        <w:t>En l</w:t>
      </w:r>
      <w:r w:rsidRPr="0016238D">
        <w:t>a nota de prensa publicada</w:t>
      </w:r>
      <w:r w:rsidR="00CE6FC6" w:rsidRPr="0016238D">
        <w:t xml:space="preserve"> por estos expertos</w:t>
      </w:r>
      <w:r w:rsidR="00EB7738" w:rsidRPr="0016238D">
        <w:rPr>
          <w:rStyle w:val="Refdenotaalpie"/>
        </w:rPr>
        <w:footnoteReference w:id="18"/>
      </w:r>
      <w:r w:rsidRPr="0016238D">
        <w:t>, así lo expresaron:</w:t>
      </w:r>
    </w:p>
    <w:p w14:paraId="218F67E2" w14:textId="77777777" w:rsidR="006E0B95" w:rsidRPr="0016238D" w:rsidRDefault="006E0B95" w:rsidP="006E0B95">
      <w:pPr>
        <w:pStyle w:val="NormalWeb"/>
        <w:ind w:left="705"/>
        <w:jc w:val="both"/>
        <w:rPr>
          <w:i/>
        </w:rPr>
      </w:pPr>
      <w:r w:rsidRPr="0016238D">
        <w:t xml:space="preserve"> “</w:t>
      </w:r>
      <w:r w:rsidRPr="0016238D">
        <w:rPr>
          <w:i/>
        </w:rPr>
        <w:t xml:space="preserve">Los menores en España están expuestos a la violencia y los abusos sexuales por un sistema judicial que no les protege de los padres abusivos, </w:t>
      </w:r>
      <w:r w:rsidRPr="00A47C1D">
        <w:rPr>
          <w:i/>
        </w:rPr>
        <w:t>dijeron los expertos. In</w:t>
      </w:r>
      <w:r w:rsidRPr="0016238D">
        <w:rPr>
          <w:i/>
        </w:rPr>
        <w:t>cluso en los casos en los que existen antecedentes de violencia doméstica o pruebas de maltrato, las decisiones judiciales a menudo favorecen a los padres varones, incluso en aquellos casos en los que existen motivos razonables para sospechar que abusan hacia los niños y sus madres.</w:t>
      </w:r>
    </w:p>
    <w:p w14:paraId="159110F6" w14:textId="199C04BB" w:rsidR="00DA610A" w:rsidRPr="0016238D" w:rsidRDefault="006E0B95" w:rsidP="006E0B95">
      <w:pPr>
        <w:pStyle w:val="NormalWeb"/>
        <w:ind w:left="705"/>
        <w:jc w:val="both"/>
        <w:rPr>
          <w:i/>
        </w:rPr>
      </w:pPr>
      <w:r w:rsidRPr="0016238D">
        <w:rPr>
          <w:i/>
        </w:rPr>
        <w:t xml:space="preserve">Los expertos se mostraron especialmente preocupados por </w:t>
      </w:r>
      <w:r w:rsidRPr="00A47C1D">
        <w:rPr>
          <w:i/>
        </w:rPr>
        <w:t>de xxx</w:t>
      </w:r>
      <w:r w:rsidR="00A47C1D">
        <w:rPr>
          <w:i/>
        </w:rPr>
        <w:t xml:space="preserve"> </w:t>
      </w:r>
      <w:r w:rsidR="00A47C1D" w:rsidRPr="00A47C1D">
        <w:t>(aquí mencionan el nombre de pila)</w:t>
      </w:r>
      <w:r w:rsidRPr="00A47C1D">
        <w:t xml:space="preserve"> </w:t>
      </w:r>
      <w:r w:rsidRPr="0016238D">
        <w:rPr>
          <w:i/>
        </w:rPr>
        <w:t>que recientemente perdió la custodia en primera instancia de su hija de 6 años tras ser acusada de obstaculizar la relación entre la niña y su padre. A pesar de los antecedentes de violencia doméstica y de las pruebas que apuntaban a que había cometido abusos sexuales contra su hija durante años, el padre obtuvo la custodia.</w:t>
      </w:r>
    </w:p>
    <w:p w14:paraId="79446842" w14:textId="77777777" w:rsidR="00DA610A" w:rsidRPr="0016238D" w:rsidRDefault="006E0B95" w:rsidP="006E0B95">
      <w:pPr>
        <w:pStyle w:val="NormalWeb"/>
        <w:ind w:left="705"/>
        <w:jc w:val="both"/>
        <w:rPr>
          <w:i/>
        </w:rPr>
      </w:pPr>
      <w:r w:rsidRPr="0016238D">
        <w:rPr>
          <w:i/>
        </w:rPr>
        <w:t xml:space="preserve">(…)  </w:t>
      </w:r>
      <w:r w:rsidR="00DA610A" w:rsidRPr="0016238D">
        <w:rPr>
          <w:i/>
        </w:rPr>
        <w:t>Aunque han seguido de cerca la situación durante casi una década y han compartido sus p</w:t>
      </w:r>
      <w:r w:rsidRPr="0016238D">
        <w:rPr>
          <w:i/>
        </w:rPr>
        <w:t>reocupaciones con el Gobierno, l</w:t>
      </w:r>
      <w:r w:rsidR="00DA610A" w:rsidRPr="0016238D">
        <w:rPr>
          <w:i/>
        </w:rPr>
        <w:t>os expertos siguen recibiendo información de nuevos casos en España de madres que pierden la custodia de sus hijos a manos de padres maltratadores. Acusadas de dificultar el contacto de los padres con sus hijos -fenómeno conocido como "alienación parental"-, estas mujeres han sido castigadas</w:t>
      </w:r>
      <w:r w:rsidR="00DA610A" w:rsidRPr="0016238D">
        <w:rPr>
          <w:rStyle w:val="Refdenotaalpie"/>
          <w:i/>
        </w:rPr>
        <w:footnoteReference w:id="19"/>
      </w:r>
      <w:r w:rsidR="00DA610A" w:rsidRPr="0016238D">
        <w:rPr>
          <w:i/>
        </w:rPr>
        <w:t xml:space="preserve"> por los tribunales en lugar de conseguir la protección de su prole.</w:t>
      </w:r>
    </w:p>
    <w:p w14:paraId="5060A356" w14:textId="77777777" w:rsidR="00DA610A" w:rsidRPr="0016238D" w:rsidRDefault="00DA610A" w:rsidP="006E0B95">
      <w:pPr>
        <w:pStyle w:val="NormalWeb"/>
        <w:ind w:left="705"/>
        <w:jc w:val="both"/>
        <w:rPr>
          <w:i/>
        </w:rPr>
      </w:pPr>
      <w:r w:rsidRPr="0016238D">
        <w:rPr>
          <w:i/>
        </w:rPr>
        <w:lastRenderedPageBreak/>
        <w:t>La teoría de la alienación parental, aunque carece de apoyo científico creíble, refleja la idea de que cuando un niño o niña teme o evita a su padre o madre, se debe a la influencia del otro progenitor, más que a las propias experiencias del niño. Aunque el concepto de alienación parental es teóricamente neutro en cuanto al género, las investigaciones realizadas en España y las opiniones de los expertos que siguen el tema han demostrado que en varios países, entre ellos España, las madres han sido acusadas regularmente de recurrir a la "alienación parental", acusando a los padres de sus hijos erróneamente de cometer abusos contra ellos en los litigios por la custodia.</w:t>
      </w:r>
    </w:p>
    <w:p w14:paraId="266701B8" w14:textId="77777777" w:rsidR="00DA610A" w:rsidRPr="0016238D" w:rsidRDefault="00DA610A" w:rsidP="006E0B95">
      <w:pPr>
        <w:pStyle w:val="NormalWeb"/>
        <w:ind w:left="705"/>
        <w:jc w:val="both"/>
        <w:rPr>
          <w:i/>
        </w:rPr>
      </w:pPr>
      <w:r w:rsidRPr="0016238D">
        <w:rPr>
          <w:i/>
        </w:rPr>
        <w:t>Aunque están prohibidas por la reciente legislación española, las teorías sobre la "alienación parental" parecen seguir desempeñando un papel en las decisiones judiciales en España.</w:t>
      </w:r>
    </w:p>
    <w:p w14:paraId="58B9C3C3" w14:textId="77777777" w:rsidR="00DA610A" w:rsidRPr="0016238D" w:rsidRDefault="00312866" w:rsidP="006E0B95">
      <w:pPr>
        <w:pStyle w:val="NormalWeb"/>
        <w:ind w:left="705"/>
        <w:jc w:val="both"/>
        <w:rPr>
          <w:i/>
        </w:rPr>
      </w:pPr>
      <w:r w:rsidRPr="0016238D">
        <w:rPr>
          <w:i/>
        </w:rPr>
        <w:t>(…)</w:t>
      </w:r>
    </w:p>
    <w:p w14:paraId="6997FA76" w14:textId="77777777" w:rsidR="00DA610A" w:rsidRPr="0016238D" w:rsidRDefault="00DA610A" w:rsidP="006E0B95">
      <w:pPr>
        <w:pStyle w:val="NormalWeb"/>
        <w:ind w:left="705"/>
        <w:jc w:val="both"/>
        <w:rPr>
          <w:i/>
        </w:rPr>
      </w:pPr>
      <w:r w:rsidRPr="0016238D">
        <w:rPr>
          <w:i/>
        </w:rPr>
        <w:t>Guiados por teorías pseudocientíficas y regresivas, como la alienación parental, los tribunales de España y otros países no están garantizando el derecho de los menores a estar libres de violencia ni el derecho de las mujeres a la no discriminación", dijeron los expertos. Esta preocupante tendencia se ha detectado también en otros países de Europa, América Latina y otras regiones.</w:t>
      </w:r>
    </w:p>
    <w:p w14:paraId="06706CEB" w14:textId="77777777" w:rsidR="00312866" w:rsidRPr="0016238D" w:rsidRDefault="00DA610A" w:rsidP="00312866">
      <w:pPr>
        <w:pStyle w:val="NormalWeb"/>
        <w:ind w:left="705"/>
        <w:jc w:val="both"/>
        <w:rPr>
          <w:i/>
        </w:rPr>
      </w:pPr>
      <w:r w:rsidRPr="0016238D">
        <w:rPr>
          <w:i/>
        </w:rPr>
        <w:t>España debe hacer más, para que su legislación sea operativa y para que todos los funcionarios del sistema de justicia apliquen un enfoque sensible al género y centrado en el niño en los casos de custodia de los hijos y de violencia doméstica, además de tomar medidas efectivas para prevenir estos actos de violencia que pueden constituir tratos o penas crueles, inhumanos o degradantes, o incluso tortura", dijeron los expertos. "El Gobierno debe cumplir con su responsabilidad de garantizar que los niños, las niñas y las mujeres puedan vivir y prosperar libres de violencia".</w:t>
      </w:r>
    </w:p>
    <w:p w14:paraId="220F2400" w14:textId="77777777" w:rsidR="008059C7" w:rsidRPr="0016238D" w:rsidRDefault="00CE6FC6" w:rsidP="0013019F">
      <w:pPr>
        <w:pStyle w:val="NormalWeb"/>
        <w:shd w:val="clear" w:color="auto" w:fill="FFFFFF"/>
        <w:spacing w:before="0" w:beforeAutospacing="0" w:after="0" w:afterAutospacing="0" w:line="360" w:lineRule="atLeast"/>
        <w:jc w:val="both"/>
        <w:textAlignment w:val="baseline"/>
      </w:pPr>
      <w:r w:rsidRPr="0016238D">
        <w:t>No es una comunicación aislada, y han sido varias las ocasiones en los que se ha mostrado una gran preocupación por la falta de protección hacia las víctimas de abuso sexual intrafamiliar y la persecución que sufren las madres que denuncian por boca de sus hijos e hijas. Sin embargo, las respuestas obtenidas por el Gobierno, hasta ahora, no han supuesto ningún cambio en este aspecto.</w:t>
      </w:r>
    </w:p>
    <w:p w14:paraId="39E4E96B" w14:textId="77777777" w:rsidR="00CE6798" w:rsidRPr="0016238D" w:rsidRDefault="00CE6798" w:rsidP="0013019F">
      <w:pPr>
        <w:pStyle w:val="NormalWeb"/>
        <w:shd w:val="clear" w:color="auto" w:fill="FFFFFF"/>
        <w:spacing w:before="0" w:beforeAutospacing="0" w:after="0" w:afterAutospacing="0" w:line="360" w:lineRule="atLeast"/>
        <w:jc w:val="both"/>
        <w:textAlignment w:val="baseline"/>
      </w:pPr>
    </w:p>
    <w:p w14:paraId="1DDB8A69" w14:textId="59458278" w:rsidR="008F2E5C" w:rsidRPr="0016238D" w:rsidRDefault="008F2E5C" w:rsidP="0013019F">
      <w:pPr>
        <w:pStyle w:val="NormalWeb"/>
        <w:shd w:val="clear" w:color="auto" w:fill="FFFFFF"/>
        <w:spacing w:before="0" w:beforeAutospacing="0" w:after="0" w:afterAutospacing="0" w:line="360" w:lineRule="atLeast"/>
        <w:jc w:val="both"/>
        <w:textAlignment w:val="baseline"/>
      </w:pPr>
      <w:r w:rsidRPr="0016238D">
        <w:t xml:space="preserve">Si bien es una de las Comunicaciones más contundentes, conviene recordar las otras Comunicaciones enviadas recientemente al Estado español que deben ser también </w:t>
      </w:r>
      <w:r w:rsidR="00CC0293">
        <w:t>examinadas</w:t>
      </w:r>
      <w:r w:rsidRPr="0016238D">
        <w:t>. Merece mención especial también la respuesta del gobierno español a las mismas, no atendiendo a los motivos de preocupación descritos en las comunicaciones:</w:t>
      </w:r>
    </w:p>
    <w:p w14:paraId="0A599E23" w14:textId="77777777" w:rsidR="008F2E5C" w:rsidRPr="0016238D" w:rsidRDefault="008F2E5C" w:rsidP="0013019F">
      <w:pPr>
        <w:pStyle w:val="NormalWeb"/>
        <w:shd w:val="clear" w:color="auto" w:fill="FFFFFF"/>
        <w:spacing w:before="0" w:beforeAutospacing="0" w:after="0" w:afterAutospacing="0" w:line="360" w:lineRule="atLeast"/>
        <w:jc w:val="both"/>
        <w:textAlignment w:val="baseline"/>
      </w:pPr>
    </w:p>
    <w:p w14:paraId="2B145CD6" w14:textId="77777777" w:rsidR="008F2E5C" w:rsidRPr="0016238D" w:rsidRDefault="008F2E5C" w:rsidP="0013019F">
      <w:pPr>
        <w:suppressAutoHyphens w:val="0"/>
        <w:autoSpaceDE w:val="0"/>
        <w:autoSpaceDN w:val="0"/>
        <w:adjustRightInd w:val="0"/>
        <w:spacing w:line="360" w:lineRule="atLeast"/>
        <w:rPr>
          <w:rFonts w:ascii="Times New Roman" w:eastAsiaTheme="minorHAnsi" w:hAnsi="Times New Roman" w:cs="Times New Roman"/>
          <w:kern w:val="0"/>
          <w:sz w:val="22"/>
          <w:szCs w:val="22"/>
          <w:lang w:eastAsia="en-US" w:bidi="ar-SA"/>
        </w:rPr>
      </w:pPr>
      <w:r w:rsidRPr="0016238D">
        <w:rPr>
          <w:rFonts w:ascii="Times New Roman" w:eastAsia="Times New Roman" w:hAnsi="Times New Roman" w:cs="Times New Roman"/>
          <w:b/>
          <w:kern w:val="0"/>
          <w:lang w:eastAsia="es-ES" w:bidi="ar-SA"/>
        </w:rPr>
        <w:lastRenderedPageBreak/>
        <w:t>- Comunicación de 20 de junio de 2019</w:t>
      </w:r>
      <w:r w:rsidRPr="0016238D">
        <w:rPr>
          <w:rStyle w:val="Refdenotaalpie"/>
          <w:rFonts w:ascii="Times New Roman" w:eastAsia="Times New Roman" w:hAnsi="Times New Roman" w:cs="Times New Roman"/>
          <w:b/>
          <w:kern w:val="0"/>
          <w:lang w:eastAsia="es-ES" w:bidi="ar-SA"/>
        </w:rPr>
        <w:footnoteReference w:id="20"/>
      </w:r>
      <w:r w:rsidRPr="0016238D">
        <w:rPr>
          <w:rFonts w:ascii="Times New Roman" w:eastAsia="Times New Roman" w:hAnsi="Times New Roman" w:cs="Times New Roman"/>
          <w:kern w:val="0"/>
          <w:lang w:eastAsia="es-ES" w:bidi="ar-SA"/>
        </w:rPr>
        <w:t xml:space="preserve"> Ref. ESP 5/2019 (emitida de manera conjunta por la Relatora Especial sobre la violencia contra la mujer, sus causas y consecuencias y el Grupo de Trabajo sobre la cuestión de la discriminación contra la mujer en la legislación y en la práctica): sobre información recibida en relación con la promulgación de sentencias judiciales en el país que están basadas en estereotipos y prejuicios de género en casos de mujeres víctimas de delitos sexuales.</w:t>
      </w:r>
    </w:p>
    <w:p w14:paraId="473A5974" w14:textId="77777777" w:rsidR="008F2E5C" w:rsidRPr="0016238D" w:rsidRDefault="008F2E5C" w:rsidP="0013019F">
      <w:pPr>
        <w:suppressAutoHyphens w:val="0"/>
        <w:autoSpaceDE w:val="0"/>
        <w:autoSpaceDN w:val="0"/>
        <w:adjustRightInd w:val="0"/>
        <w:spacing w:line="360" w:lineRule="atLeast"/>
        <w:jc w:val="both"/>
        <w:rPr>
          <w:rFonts w:ascii="Times New Roman" w:eastAsia="Times New Roman" w:hAnsi="Times New Roman" w:cs="Times New Roman"/>
          <w:kern w:val="0"/>
          <w:lang w:eastAsia="es-ES" w:bidi="ar-SA"/>
        </w:rPr>
      </w:pPr>
    </w:p>
    <w:p w14:paraId="24869D92" w14:textId="77777777" w:rsidR="008F2E5C" w:rsidRPr="0016238D" w:rsidRDefault="008F2E5C" w:rsidP="0013019F">
      <w:pPr>
        <w:suppressAutoHyphens w:val="0"/>
        <w:autoSpaceDE w:val="0"/>
        <w:autoSpaceDN w:val="0"/>
        <w:adjustRightInd w:val="0"/>
        <w:spacing w:line="360" w:lineRule="atLeast"/>
        <w:jc w:val="both"/>
        <w:rPr>
          <w:rFonts w:ascii="Times New Roman" w:eastAsia="Times New Roman" w:hAnsi="Times New Roman" w:cs="Times New Roman"/>
          <w:kern w:val="0"/>
          <w:lang w:eastAsia="es-ES" w:bidi="ar-SA"/>
        </w:rPr>
      </w:pPr>
      <w:r w:rsidRPr="0016238D">
        <w:rPr>
          <w:rFonts w:ascii="Times New Roman" w:eastAsia="Times New Roman" w:hAnsi="Times New Roman" w:cs="Times New Roman"/>
          <w:b/>
          <w:kern w:val="0"/>
          <w:lang w:eastAsia="es-ES" w:bidi="ar-SA"/>
        </w:rPr>
        <w:t>- Comunicación de 9 de octubre de 2019</w:t>
      </w:r>
      <w:r w:rsidRPr="0016238D">
        <w:rPr>
          <w:rStyle w:val="Refdenotaalpie"/>
          <w:rFonts w:ascii="Times New Roman" w:eastAsia="Times New Roman" w:hAnsi="Times New Roman" w:cs="Times New Roman"/>
          <w:b/>
          <w:kern w:val="0"/>
          <w:lang w:eastAsia="es-ES" w:bidi="ar-SA"/>
        </w:rPr>
        <w:footnoteReference w:id="21"/>
      </w:r>
      <w:r w:rsidRPr="0016238D">
        <w:rPr>
          <w:rFonts w:ascii="Times New Roman" w:eastAsia="Times New Roman" w:hAnsi="Times New Roman" w:cs="Times New Roman"/>
          <w:kern w:val="0"/>
          <w:lang w:eastAsia="es-ES" w:bidi="ar-SA"/>
        </w:rPr>
        <w:t xml:space="preserve"> Ref. ESP 9/2019 (Comunicación conjunta: Relatora Especial sobre la violencia contra la mujer, sus causas y consecuencias y el Grupo de Trabajo sobre la cuestión de la discriminación contra la mujer en la legislación y en la práctica) sobre Información recibida en relación con el caso de una niña de 7 años que será</w:t>
      </w:r>
      <w:r w:rsidR="00F9150A" w:rsidRPr="0016238D">
        <w:rPr>
          <w:rFonts w:ascii="Times New Roman" w:eastAsia="Times New Roman" w:hAnsi="Times New Roman" w:cs="Times New Roman"/>
          <w:kern w:val="0"/>
          <w:lang w:eastAsia="es-ES" w:bidi="ar-SA"/>
        </w:rPr>
        <w:t xml:space="preserve"> </w:t>
      </w:r>
      <w:r w:rsidRPr="0016238D">
        <w:rPr>
          <w:rFonts w:ascii="Times New Roman" w:eastAsia="Times New Roman" w:hAnsi="Times New Roman" w:cs="Times New Roman"/>
          <w:kern w:val="0"/>
          <w:lang w:eastAsia="es-ES" w:bidi="ar-SA"/>
        </w:rPr>
        <w:t>sometida a una separación forzada de su madre (arrancamiento) por orden del Poder Judicial de España.</w:t>
      </w:r>
    </w:p>
    <w:p w14:paraId="5B57A921" w14:textId="77777777" w:rsidR="008F2E5C" w:rsidRPr="0016238D" w:rsidRDefault="008F2E5C" w:rsidP="0013019F">
      <w:pPr>
        <w:suppressAutoHyphens w:val="0"/>
        <w:autoSpaceDE w:val="0"/>
        <w:autoSpaceDN w:val="0"/>
        <w:adjustRightInd w:val="0"/>
        <w:spacing w:line="360" w:lineRule="atLeast"/>
        <w:jc w:val="both"/>
        <w:rPr>
          <w:rFonts w:ascii="Times New Roman" w:eastAsia="Times New Roman" w:hAnsi="Times New Roman" w:cs="Times New Roman"/>
          <w:kern w:val="0"/>
          <w:lang w:eastAsia="es-ES" w:bidi="ar-SA"/>
        </w:rPr>
      </w:pPr>
    </w:p>
    <w:p w14:paraId="4D002E94" w14:textId="77777777" w:rsidR="008F2E5C" w:rsidRPr="0016238D" w:rsidRDefault="008F2E5C" w:rsidP="0013019F">
      <w:pPr>
        <w:suppressAutoHyphens w:val="0"/>
        <w:autoSpaceDE w:val="0"/>
        <w:autoSpaceDN w:val="0"/>
        <w:adjustRightInd w:val="0"/>
        <w:spacing w:line="360" w:lineRule="atLeast"/>
        <w:jc w:val="both"/>
        <w:rPr>
          <w:rFonts w:ascii="Times New Roman" w:eastAsia="Times New Roman" w:hAnsi="Times New Roman" w:cs="Times New Roman"/>
          <w:kern w:val="0"/>
          <w:lang w:eastAsia="es-ES" w:bidi="ar-SA"/>
        </w:rPr>
      </w:pPr>
      <w:r w:rsidRPr="0016238D">
        <w:rPr>
          <w:rFonts w:ascii="Times New Roman" w:eastAsia="Times New Roman" w:hAnsi="Times New Roman" w:cs="Times New Roman"/>
          <w:kern w:val="0"/>
          <w:lang w:eastAsia="es-ES" w:bidi="ar-SA"/>
        </w:rPr>
        <w:t xml:space="preserve">- </w:t>
      </w:r>
      <w:r w:rsidRPr="0016238D">
        <w:rPr>
          <w:rFonts w:ascii="Times New Roman" w:eastAsia="Times New Roman" w:hAnsi="Times New Roman" w:cs="Times New Roman"/>
          <w:b/>
          <w:kern w:val="0"/>
          <w:lang w:eastAsia="es-ES" w:bidi="ar-SA"/>
        </w:rPr>
        <w:t>Comunicación de 19 de diciembre de 2019</w:t>
      </w:r>
      <w:r w:rsidRPr="0016238D">
        <w:rPr>
          <w:rStyle w:val="Refdenotaalpie"/>
          <w:rFonts w:ascii="Times New Roman" w:eastAsia="Times New Roman" w:hAnsi="Times New Roman" w:cs="Times New Roman"/>
          <w:b/>
          <w:kern w:val="0"/>
          <w:lang w:eastAsia="es-ES" w:bidi="ar-SA"/>
        </w:rPr>
        <w:footnoteReference w:id="22"/>
      </w:r>
      <w:r w:rsidRPr="0016238D">
        <w:rPr>
          <w:rFonts w:ascii="Times New Roman" w:eastAsia="Times New Roman" w:hAnsi="Times New Roman" w:cs="Times New Roman"/>
          <w:b/>
          <w:kern w:val="0"/>
          <w:lang w:eastAsia="es-ES" w:bidi="ar-SA"/>
        </w:rPr>
        <w:t xml:space="preserve"> </w:t>
      </w:r>
      <w:r w:rsidRPr="0016238D">
        <w:rPr>
          <w:rFonts w:ascii="Times New Roman" w:eastAsia="Times New Roman" w:hAnsi="Times New Roman" w:cs="Times New Roman"/>
          <w:kern w:val="0"/>
          <w:lang w:eastAsia="es-ES" w:bidi="ar-SA"/>
        </w:rPr>
        <w:t>Ref. ESP 11/2019 (Comunicación conjunta: Relatora Especial sobre la violencia contra la mujer, sus causas y consecuencias y Grupo de Trabajo sobre la cuestión de la discriminación contra la mujer en la legislación y en la práctica) sobre Información recibida en relación con la sentencia de la Audiencia Provincial de Alicante del 4 de noviembre de 2019 que revoca la orden de alejamiento solicitada por una ciudadana en protección de su hija.</w:t>
      </w:r>
    </w:p>
    <w:p w14:paraId="1B07CA92" w14:textId="77777777" w:rsidR="008F2E5C" w:rsidRPr="0016238D" w:rsidRDefault="008F2E5C" w:rsidP="0013019F">
      <w:pPr>
        <w:suppressAutoHyphens w:val="0"/>
        <w:autoSpaceDE w:val="0"/>
        <w:autoSpaceDN w:val="0"/>
        <w:adjustRightInd w:val="0"/>
        <w:spacing w:line="360" w:lineRule="atLeast"/>
        <w:rPr>
          <w:rFonts w:ascii="Times New Roman" w:eastAsiaTheme="minorHAnsi" w:hAnsi="Times New Roman" w:cs="Times New Roman"/>
          <w:kern w:val="0"/>
          <w:sz w:val="22"/>
          <w:szCs w:val="22"/>
          <w:lang w:eastAsia="en-US" w:bidi="ar-SA"/>
        </w:rPr>
      </w:pPr>
    </w:p>
    <w:p w14:paraId="14F2FE9C" w14:textId="3E84D369" w:rsidR="004A7E02" w:rsidRPr="00AA359E" w:rsidRDefault="008F2E5C" w:rsidP="00AA359E">
      <w:pPr>
        <w:suppressAutoHyphens w:val="0"/>
        <w:autoSpaceDE w:val="0"/>
        <w:autoSpaceDN w:val="0"/>
        <w:adjustRightInd w:val="0"/>
        <w:spacing w:line="360" w:lineRule="atLeast"/>
        <w:jc w:val="both"/>
        <w:rPr>
          <w:rFonts w:ascii="Times New Roman" w:eastAsia="Times New Roman" w:hAnsi="Times New Roman" w:cs="Times New Roman"/>
          <w:kern w:val="0"/>
          <w:lang w:eastAsia="es-ES" w:bidi="ar-SA"/>
        </w:rPr>
      </w:pPr>
      <w:r w:rsidRPr="0016238D">
        <w:rPr>
          <w:rFonts w:ascii="Times New Roman" w:eastAsia="Times New Roman" w:hAnsi="Times New Roman" w:cs="Times New Roman"/>
          <w:kern w:val="0"/>
          <w:lang w:eastAsia="es-ES" w:bidi="ar-SA"/>
        </w:rPr>
        <w:t xml:space="preserve">- </w:t>
      </w:r>
      <w:r w:rsidRPr="0016238D">
        <w:rPr>
          <w:rFonts w:ascii="Times New Roman" w:eastAsia="Times New Roman" w:hAnsi="Times New Roman" w:cs="Times New Roman"/>
          <w:b/>
          <w:kern w:val="0"/>
          <w:lang w:eastAsia="es-ES" w:bidi="ar-SA"/>
        </w:rPr>
        <w:t>Comunicación de 25 de septiembre de 2020</w:t>
      </w:r>
      <w:r w:rsidRPr="0016238D">
        <w:rPr>
          <w:rStyle w:val="Refdenotaalpie"/>
          <w:rFonts w:ascii="Times New Roman" w:eastAsia="Times New Roman" w:hAnsi="Times New Roman" w:cs="Times New Roman"/>
          <w:b/>
          <w:kern w:val="0"/>
          <w:lang w:eastAsia="es-ES" w:bidi="ar-SA"/>
        </w:rPr>
        <w:footnoteReference w:id="23"/>
      </w:r>
      <w:r w:rsidRPr="0016238D">
        <w:rPr>
          <w:rFonts w:ascii="Times New Roman" w:eastAsia="Times New Roman" w:hAnsi="Times New Roman" w:cs="Times New Roman"/>
          <w:b/>
          <w:kern w:val="0"/>
          <w:lang w:eastAsia="es-ES" w:bidi="ar-SA"/>
        </w:rPr>
        <w:t xml:space="preserve"> </w:t>
      </w:r>
      <w:r w:rsidRPr="0016238D">
        <w:rPr>
          <w:rFonts w:ascii="Times New Roman" w:eastAsia="Times New Roman" w:hAnsi="Times New Roman" w:cs="Times New Roman"/>
          <w:kern w:val="0"/>
          <w:lang w:eastAsia="es-ES" w:bidi="ar-SA"/>
        </w:rPr>
        <w:t xml:space="preserve">Ref. ESP 3/2020 </w:t>
      </w:r>
      <w:r w:rsidRPr="00A47C1D">
        <w:rPr>
          <w:rFonts w:ascii="Times New Roman" w:eastAsia="Times New Roman" w:hAnsi="Times New Roman" w:cs="Times New Roman"/>
          <w:kern w:val="0"/>
          <w:lang w:eastAsia="es-ES" w:bidi="ar-SA"/>
        </w:rPr>
        <w:t>(</w:t>
      </w:r>
      <w:r w:rsidRPr="0016238D">
        <w:rPr>
          <w:rFonts w:ascii="Times New Roman" w:eastAsia="Times New Roman" w:hAnsi="Times New Roman" w:cs="Times New Roman"/>
          <w:kern w:val="0"/>
          <w:lang w:eastAsia="es-ES" w:bidi="ar-SA"/>
        </w:rPr>
        <w:t>Comunicación conjunta: Relatora Especial sobre la violencia contra la mujer, sus causas y consecuencias y Grupo de Trabajo sobre la cuestión de la discriminación contra la mujer en la legislación y en la práctica</w:t>
      </w:r>
      <w:r w:rsidR="00A47C1D">
        <w:rPr>
          <w:rFonts w:ascii="Times New Roman" w:eastAsia="Times New Roman" w:hAnsi="Times New Roman" w:cs="Times New Roman"/>
          <w:kern w:val="0"/>
          <w:lang w:eastAsia="es-ES" w:bidi="ar-SA"/>
        </w:rPr>
        <w:t>)</w:t>
      </w:r>
      <w:r w:rsidRPr="0016238D">
        <w:rPr>
          <w:rFonts w:ascii="Times New Roman" w:eastAsia="Times New Roman" w:hAnsi="Times New Roman" w:cs="Times New Roman"/>
          <w:kern w:val="0"/>
          <w:lang w:eastAsia="es-ES" w:bidi="ar-SA"/>
        </w:rPr>
        <w:t xml:space="preserve"> sobre</w:t>
      </w:r>
      <w:r w:rsidR="00C436C2">
        <w:rPr>
          <w:rFonts w:ascii="Times New Roman" w:eastAsia="Times New Roman" w:hAnsi="Times New Roman" w:cs="Times New Roman"/>
          <w:kern w:val="0"/>
          <w:lang w:eastAsia="es-ES" w:bidi="ar-SA"/>
        </w:rPr>
        <w:t>:</w:t>
      </w:r>
      <w:r w:rsidRPr="0016238D">
        <w:rPr>
          <w:rFonts w:ascii="Times New Roman" w:eastAsia="Times New Roman" w:hAnsi="Times New Roman" w:cs="Times New Roman"/>
          <w:kern w:val="0"/>
          <w:lang w:eastAsia="es-ES" w:bidi="ar-SA"/>
        </w:rPr>
        <w:t xml:space="preserve"> Información recibida en relación con el </w:t>
      </w:r>
      <w:r w:rsidRPr="0016238D">
        <w:rPr>
          <w:rFonts w:ascii="Times New Roman" w:eastAsia="Times New Roman" w:hAnsi="Times New Roman" w:cs="Times New Roman"/>
          <w:kern w:val="0"/>
          <w:lang w:eastAsia="es-ES" w:bidi="ar-SA"/>
        </w:rPr>
        <w:lastRenderedPageBreak/>
        <w:t xml:space="preserve">caso de la Sra. Irune </w:t>
      </w:r>
      <w:proofErr w:type="spellStart"/>
      <w:r w:rsidRPr="0016238D">
        <w:rPr>
          <w:rFonts w:ascii="Times New Roman" w:eastAsia="Times New Roman" w:hAnsi="Times New Roman" w:cs="Times New Roman"/>
          <w:kern w:val="0"/>
          <w:lang w:eastAsia="es-ES" w:bidi="ar-SA"/>
        </w:rPr>
        <w:t>Costumero</w:t>
      </w:r>
      <w:proofErr w:type="spellEnd"/>
      <w:r w:rsidRPr="0016238D">
        <w:rPr>
          <w:rFonts w:ascii="Times New Roman" w:eastAsia="Times New Roman" w:hAnsi="Times New Roman" w:cs="Times New Roman"/>
          <w:kern w:val="0"/>
          <w:lang w:eastAsia="es-ES" w:bidi="ar-SA"/>
        </w:rPr>
        <w:t xml:space="preserve"> Estévez y su hija de ocho años. La niña fue sometida a una separación forzada de su madre (arrancamiento) por orden del Poder Judicial de España</w:t>
      </w:r>
      <w:r w:rsidR="00C436C2">
        <w:rPr>
          <w:rFonts w:ascii="Times New Roman" w:eastAsia="Times New Roman" w:hAnsi="Times New Roman" w:cs="Times New Roman"/>
          <w:kern w:val="0"/>
          <w:lang w:eastAsia="es-ES" w:bidi="ar-SA"/>
        </w:rPr>
        <w:t xml:space="preserve"> tras informes de los servicios de protección. Caso significativo </w:t>
      </w:r>
      <w:r w:rsidR="00C436C2">
        <w:t>ya que pese a la prohibición expresa del falso síndrome, la Fiscal del caso señaló que existía</w:t>
      </w:r>
      <w:r w:rsidR="00C436C2">
        <w:rPr>
          <w:rStyle w:val="Refdenotaalpie"/>
          <w:rFonts w:hint="eastAsia"/>
        </w:rPr>
        <w:footnoteReference w:id="24"/>
      </w:r>
      <w:r w:rsidR="00C436C2">
        <w:t>.</w:t>
      </w:r>
    </w:p>
    <w:p w14:paraId="491E69A8" w14:textId="77777777" w:rsidR="004A7E02" w:rsidRDefault="004A7E02" w:rsidP="00CE6798">
      <w:pPr>
        <w:pStyle w:val="NormalWeb"/>
        <w:shd w:val="clear" w:color="auto" w:fill="FFFFFF"/>
        <w:spacing w:before="0" w:beforeAutospacing="0" w:after="0" w:afterAutospacing="0" w:line="276" w:lineRule="auto"/>
        <w:jc w:val="both"/>
        <w:textAlignment w:val="baseline"/>
        <w:rPr>
          <w:b/>
        </w:rPr>
      </w:pPr>
    </w:p>
    <w:p w14:paraId="2EC83AB5" w14:textId="5AAB13ED" w:rsidR="001C2DED" w:rsidRPr="0016238D" w:rsidRDefault="001C2DED" w:rsidP="002901C5">
      <w:pPr>
        <w:pStyle w:val="NormalWeb"/>
        <w:shd w:val="clear" w:color="auto" w:fill="FFFFFF"/>
        <w:spacing w:before="0" w:beforeAutospacing="0" w:after="0" w:afterAutospacing="0" w:line="360" w:lineRule="atLeast"/>
        <w:jc w:val="both"/>
        <w:textAlignment w:val="baseline"/>
      </w:pPr>
      <w:r w:rsidRPr="0016238D">
        <w:t xml:space="preserve">En este sentido debe subrayarse que España es uno de los únicos países donde el SAP (Síndrome de Alienación Parental) está prohibido por ley, sin embargo, y tal y como señalan tanto la relatora </w:t>
      </w:r>
      <w:proofErr w:type="spellStart"/>
      <w:r w:rsidRPr="0016238D">
        <w:t>Reem</w:t>
      </w:r>
      <w:proofErr w:type="spellEnd"/>
      <w:r w:rsidRPr="0016238D">
        <w:t xml:space="preserve"> </w:t>
      </w:r>
      <w:proofErr w:type="spellStart"/>
      <w:r w:rsidRPr="0016238D">
        <w:t>Alsalem</w:t>
      </w:r>
      <w:proofErr w:type="spellEnd"/>
      <w:r w:rsidRPr="0016238D">
        <w:t xml:space="preserve"> como la CEDAW en su último informe, sigue aplicándose. Es decir, está prohibido, pero su uso (el del SAP y sus eufemismos: instrumentalización, preocupación mórbida, etc.) sigue aplicándose tanto a nivel judicial como en informes de psicólogos y peritos de la red pública de protección social en el Estado español. Cada vez menos utilizando el término SAP, por lo denostado, pero sí el argumentario que subyace al mismo</w:t>
      </w:r>
      <w:r w:rsidR="00C436C2">
        <w:t xml:space="preserve"> (tal y como señala la misma relatora, al hablar de SAP y términos similares”)</w:t>
      </w:r>
      <w:r w:rsidRPr="0016238D">
        <w:t>.</w:t>
      </w:r>
    </w:p>
    <w:p w14:paraId="52810214" w14:textId="77777777" w:rsidR="00CE6FC6" w:rsidRPr="0016238D" w:rsidRDefault="00CE6FC6" w:rsidP="002901C5">
      <w:pPr>
        <w:pStyle w:val="NormalWeb"/>
        <w:shd w:val="clear" w:color="auto" w:fill="FFFFFF"/>
        <w:spacing w:before="0" w:beforeAutospacing="0" w:after="0" w:afterAutospacing="0" w:line="360" w:lineRule="atLeast"/>
        <w:jc w:val="both"/>
        <w:textAlignment w:val="baseline"/>
      </w:pPr>
    </w:p>
    <w:p w14:paraId="3A398851" w14:textId="283520F8" w:rsidR="004363E6" w:rsidRPr="0016238D" w:rsidRDefault="004240AE" w:rsidP="002901C5">
      <w:pPr>
        <w:pStyle w:val="NormalWeb"/>
        <w:shd w:val="clear" w:color="auto" w:fill="FFFFFF"/>
        <w:spacing w:before="0" w:beforeAutospacing="0" w:after="0" w:afterAutospacing="0" w:line="360" w:lineRule="atLeast"/>
        <w:jc w:val="both"/>
        <w:textAlignment w:val="baseline"/>
      </w:pPr>
      <w:r w:rsidRPr="0016238D">
        <w:t>Esta insistencia en que el niño o niña denunciante de abuso sexual infantil sea revinculado con el padre, del que ha denunciad</w:t>
      </w:r>
      <w:r w:rsidR="00742FA3">
        <w:t>o</w:t>
      </w:r>
      <w:r w:rsidRPr="0016238D">
        <w:t xml:space="preserve"> sufrir agresiones, supone en muchas ocasiones el traslado del niño o niña denunciante a un centro de acogida hasta que muestre afecto por su padre. Es decir, acusando a la madre de ser la razón de que el niño o niña no desea ir con su padre, le es retirada esta custodia y el niño o niña pasa, de la noche a la mañana y tras pasar por el hecho traumático de relatar lo que ha ocurrido, a vivir en un lugar extraño y separado de su madre, referencia de apego y confianza, a quien puede pasar meses sin volver a ver. En muchas ocasiones, a edades muy tempranas. Todo ello incluso reconociendo que existen indicios suficientes para pensar que la niña ha sido víctima de abusos sexuales, pero considerando siempre a la madre como “instigadora para que el NNA no quiera ir con el padre” y en todo caso, no apta, incluso llegando a afirmar “que debido al testimonio no se encuentra en posición de cuidar de la niña”, </w:t>
      </w:r>
      <w:r w:rsidR="00357F7B" w:rsidRPr="0016238D">
        <w:t>decisiones que suponen un maltrato hacia los NNA denunciantes de abuso sexual infantil intrafamiliar.</w:t>
      </w:r>
    </w:p>
    <w:p w14:paraId="4C2F571A" w14:textId="77777777" w:rsidR="004240AE" w:rsidRPr="0016238D" w:rsidRDefault="004240AE" w:rsidP="002901C5">
      <w:pPr>
        <w:pStyle w:val="NormalWeb"/>
        <w:shd w:val="clear" w:color="auto" w:fill="FFFFFF"/>
        <w:spacing w:before="0" w:beforeAutospacing="0" w:after="0" w:afterAutospacing="0" w:line="360" w:lineRule="atLeast"/>
        <w:jc w:val="both"/>
        <w:textAlignment w:val="baseline"/>
      </w:pPr>
    </w:p>
    <w:p w14:paraId="4F2D6BD1" w14:textId="5F732773" w:rsidR="004363E6" w:rsidRPr="0016238D" w:rsidRDefault="004363E6" w:rsidP="002901C5">
      <w:pPr>
        <w:pStyle w:val="NormalWeb"/>
        <w:shd w:val="clear" w:color="auto" w:fill="FFFFFF"/>
        <w:spacing w:before="0" w:beforeAutospacing="0" w:after="0" w:afterAutospacing="0" w:line="360" w:lineRule="atLeast"/>
        <w:jc w:val="both"/>
        <w:textAlignment w:val="baseline"/>
      </w:pPr>
      <w:r w:rsidRPr="0016238D">
        <w:t>Nos encontramos pues, con la paradoja de que entregar la custodia del niño o niño a aqu</w:t>
      </w:r>
      <w:r w:rsidR="00742FA3">
        <w:t>é</w:t>
      </w:r>
      <w:r w:rsidRPr="0016238D">
        <w:t>l contra el que el NNA ha realizado su testimonio de abuso sexual, responde al interés superior del menor, siempre entendiendo que es la madre malévola la que miente (y existe un archivo de la denuncia penal para corroborar esta tesis, sin reparar en que estos archivos se dan de manera generalizada</w:t>
      </w:r>
      <w:r w:rsidR="00B832EB">
        <w:t xml:space="preserve">, que un caso no sea probado en el ámbito penal no quiere decir que no haya indicios para creer que los hechos se han dado y por </w:t>
      </w:r>
      <w:r w:rsidR="00B832EB">
        <w:lastRenderedPageBreak/>
        <w:t>tanto que la seguridad no queda garantizada. Por lo que se deben incluir medidas de supervisión o protección,</w:t>
      </w:r>
      <w:r w:rsidRPr="0016238D">
        <w:t xml:space="preserve"> tal y como se viene denunciando), revirtiendo el sentido de la convención contra los intereses del NNA y en todo caso, haciendo caso omiso a que el principio de interés superior del menor y haciendo caso omiso a la prohibición de comportamientos compatibles con la tortura de todos funcionario público en el ejercicio de sus funciones.</w:t>
      </w:r>
    </w:p>
    <w:p w14:paraId="1C8E15EE" w14:textId="77777777" w:rsidR="00C9348C" w:rsidRPr="0016238D" w:rsidRDefault="00C9348C" w:rsidP="002901C5">
      <w:pPr>
        <w:pStyle w:val="NormalWeb"/>
        <w:shd w:val="clear" w:color="auto" w:fill="FFFFFF"/>
        <w:spacing w:before="0" w:beforeAutospacing="0" w:after="0" w:afterAutospacing="0" w:line="360" w:lineRule="atLeast"/>
        <w:jc w:val="both"/>
        <w:textAlignment w:val="baseline"/>
      </w:pPr>
    </w:p>
    <w:p w14:paraId="11EC1F9C" w14:textId="77777777" w:rsidR="00C9348C" w:rsidRPr="0016238D" w:rsidRDefault="00C9348C" w:rsidP="00C9348C">
      <w:pPr>
        <w:pStyle w:val="NormalWeb"/>
        <w:shd w:val="clear" w:color="auto" w:fill="FFFFFF"/>
        <w:spacing w:before="0" w:beforeAutospacing="0" w:after="0" w:afterAutospacing="0" w:line="360" w:lineRule="atLeast"/>
        <w:jc w:val="both"/>
        <w:textAlignment w:val="baseline"/>
      </w:pPr>
      <w:r w:rsidRPr="0016238D">
        <w:t>Con la reciente aprobación de la LOPIVI</w:t>
      </w:r>
      <w:r w:rsidRPr="0016238D">
        <w:rPr>
          <w:rStyle w:val="Refdenotaalpie"/>
        </w:rPr>
        <w:footnoteReference w:id="25"/>
      </w:r>
      <w:r w:rsidRPr="0016238D">
        <w:t xml:space="preserve">, </w:t>
      </w:r>
      <w:r w:rsidR="00C90589" w:rsidRPr="0016238D">
        <w:t xml:space="preserve">como se ha dicho, </w:t>
      </w:r>
      <w:r w:rsidRPr="0016238D">
        <w:t>España se sitúa en la vanguardia de la protección de los derechos de los NNA, teniendo que aplaudir muchos aspectos positivos de la misma (au</w:t>
      </w:r>
      <w:r w:rsidR="00CD26D5" w:rsidRPr="0016238D">
        <w:t>nque contiene elementos criticables y mejorables</w:t>
      </w:r>
      <w:r w:rsidRPr="0016238D">
        <w:t xml:space="preserve">). Sin embargo, el maltrato institucional no ha sido un problema legislativo sino más bien de la aplicación que de esas leyes se hace. Así, el mismo informe de </w:t>
      </w:r>
      <w:r w:rsidR="00C90589" w:rsidRPr="0016238D">
        <w:t xml:space="preserve">observaciones finales de la CEDAW de mayo de 2023 señalaba que </w:t>
      </w:r>
      <w:r w:rsidRPr="0016238D">
        <w:t xml:space="preserve"> recoge </w:t>
      </w:r>
      <w:r w:rsidR="00C90589" w:rsidRPr="0016238D">
        <w:t>en su párrafo 42</w:t>
      </w:r>
      <w:r w:rsidRPr="0016238D">
        <w:rPr>
          <w:rStyle w:val="Refdenotaalpie"/>
        </w:rPr>
        <w:footnoteReference w:id="26"/>
      </w:r>
    </w:p>
    <w:p w14:paraId="2A85567A" w14:textId="77777777" w:rsidR="00C90589" w:rsidRPr="0016238D" w:rsidRDefault="00C90589" w:rsidP="00C9348C">
      <w:pPr>
        <w:pStyle w:val="NormalWeb"/>
        <w:shd w:val="clear" w:color="auto" w:fill="FFFFFF"/>
        <w:spacing w:before="0" w:beforeAutospacing="0" w:after="0" w:afterAutospacing="0" w:line="360" w:lineRule="atLeast"/>
        <w:jc w:val="both"/>
        <w:textAlignment w:val="baseline"/>
      </w:pPr>
    </w:p>
    <w:p w14:paraId="58533FA4" w14:textId="77777777" w:rsidR="00C90589" w:rsidRPr="0016238D" w:rsidRDefault="00C90589" w:rsidP="00C90589">
      <w:pPr>
        <w:pStyle w:val="NormalWeb"/>
        <w:shd w:val="clear" w:color="auto" w:fill="FFFFFF"/>
        <w:spacing w:before="0" w:beforeAutospacing="0" w:after="0" w:afterAutospacing="0" w:line="360" w:lineRule="atLeast"/>
        <w:ind w:left="708"/>
        <w:jc w:val="both"/>
        <w:textAlignment w:val="baseline"/>
        <w:rPr>
          <w:lang w:val="en-US"/>
        </w:rPr>
      </w:pPr>
      <w:r w:rsidRPr="0016238D">
        <w:rPr>
          <w:i/>
          <w:lang w:val="en-US"/>
        </w:rPr>
        <w:t>(d)</w:t>
      </w:r>
      <w:r w:rsidRPr="0016238D">
        <w:rPr>
          <w:i/>
          <w:lang w:val="en-US"/>
        </w:rPr>
        <w:tab/>
        <w:t>The ongoing application of the parental alienation syndrome, despite its prohibition by Organic Law 8/2021, when considering the custody of children in case of domestic violence, which may place the mother and the children at risk of domestic violence</w:t>
      </w:r>
      <w:r w:rsidRPr="0016238D">
        <w:rPr>
          <w:lang w:val="en-US"/>
        </w:rPr>
        <w:t xml:space="preserve">. </w:t>
      </w:r>
    </w:p>
    <w:p w14:paraId="0CBD4EB2" w14:textId="77777777" w:rsidR="00C9348C" w:rsidRPr="0016238D" w:rsidRDefault="00C9348C" w:rsidP="002901C5">
      <w:pPr>
        <w:pStyle w:val="NormalWeb"/>
        <w:shd w:val="clear" w:color="auto" w:fill="FFFFFF"/>
        <w:spacing w:before="0" w:beforeAutospacing="0" w:after="0" w:afterAutospacing="0" w:line="360" w:lineRule="atLeast"/>
        <w:jc w:val="both"/>
        <w:textAlignment w:val="baseline"/>
        <w:rPr>
          <w:lang w:val="en-US"/>
        </w:rPr>
      </w:pPr>
    </w:p>
    <w:p w14:paraId="5580CD84" w14:textId="156DFFC1" w:rsidR="00C9348C" w:rsidRPr="0016238D" w:rsidRDefault="00C9348C" w:rsidP="002901C5">
      <w:pPr>
        <w:pStyle w:val="NormalWeb"/>
        <w:shd w:val="clear" w:color="auto" w:fill="FFFFFF"/>
        <w:spacing w:before="0" w:beforeAutospacing="0" w:after="0" w:afterAutospacing="0" w:line="360" w:lineRule="atLeast"/>
        <w:jc w:val="both"/>
        <w:textAlignment w:val="baseline"/>
      </w:pPr>
      <w:r w:rsidRPr="0016238D">
        <w:t xml:space="preserve">Así pues, no se trata de un cambio de legislación, sino de la aplicación </w:t>
      </w:r>
      <w:r w:rsidR="00CC0293">
        <w:t xml:space="preserve">que </w:t>
      </w:r>
      <w:r w:rsidRPr="0016238D">
        <w:t>de la misma se da. Con una práctica pública en este sentido llena de mitos y pseudo síndrom</w:t>
      </w:r>
      <w:r w:rsidR="00CE20B6" w:rsidRPr="0016238D">
        <w:t>es, alejados de la práctica científica</w:t>
      </w:r>
      <w:r w:rsidR="00B832EB">
        <w:t xml:space="preserve"> y normativa de protección a la víctima,</w:t>
      </w:r>
      <w:r w:rsidRPr="0016238D">
        <w:t xml:space="preserve"> prevalece a día de hoy la creencia de que la madre es malvada, los niños mienten y ambos deben ser castigados cuand</w:t>
      </w:r>
      <w:r w:rsidR="00CE20B6" w:rsidRPr="0016238D">
        <w:t>o denuncian al padre de familia: Tal y como señala la Relatora Especial, “</w:t>
      </w:r>
      <w:r w:rsidR="00CE20B6" w:rsidRPr="0016238D">
        <w:rPr>
          <w:i/>
        </w:rPr>
        <w:t>la acusación de alienación parental presenta un componente de género muy elevado y se utiliza con frecuencia contra la madre</w:t>
      </w:r>
      <w:r w:rsidR="00CE20B6" w:rsidRPr="0016238D">
        <w:t>”, “</w:t>
      </w:r>
      <w:r w:rsidR="00CE20B6" w:rsidRPr="0016238D">
        <w:rPr>
          <w:i/>
        </w:rPr>
        <w:t xml:space="preserve">uno de los patrones sexistas del recurso de alienación parental es la caracterización de la madre como un ser vengativo y delirante por su pareja, los tribunales y los testigos periciales. En un gran número de casos, las madres que se oponen al contacto de los hijos con el padre o intentan restringirlo, o que expresan reservas, son consideradas por los evaluadores como </w:t>
      </w:r>
      <w:r w:rsidR="00CE20B6" w:rsidRPr="0016238D">
        <w:rPr>
          <w:i/>
        </w:rPr>
        <w:lastRenderedPageBreak/>
        <w:t>obstructivas o malintencionadas, lo que refleja la tendencia generalizada a culpar a la madre</w:t>
      </w:r>
      <w:r w:rsidR="00CE20B6" w:rsidRPr="0016238D">
        <w:t>”.</w:t>
      </w:r>
      <w:r w:rsidR="00CE20B6" w:rsidRPr="0016238D">
        <w:rPr>
          <w:rStyle w:val="Refdenotaalpie"/>
        </w:rPr>
        <w:footnoteReference w:id="27"/>
      </w:r>
    </w:p>
    <w:p w14:paraId="49592C66" w14:textId="77777777" w:rsidR="00C9348C" w:rsidRPr="0016238D" w:rsidRDefault="00C9348C" w:rsidP="002901C5">
      <w:pPr>
        <w:pStyle w:val="NormalWeb"/>
        <w:shd w:val="clear" w:color="auto" w:fill="FFFFFF"/>
        <w:spacing w:before="0" w:beforeAutospacing="0" w:after="0" w:afterAutospacing="0" w:line="360" w:lineRule="atLeast"/>
        <w:jc w:val="both"/>
        <w:textAlignment w:val="baseline"/>
      </w:pPr>
    </w:p>
    <w:p w14:paraId="7D093106" w14:textId="77777777" w:rsidR="000271FF" w:rsidRPr="0016238D" w:rsidRDefault="000271FF" w:rsidP="000271FF">
      <w:pPr>
        <w:pStyle w:val="NormalWeb"/>
        <w:shd w:val="clear" w:color="auto" w:fill="FFFFFF"/>
        <w:spacing w:before="0" w:beforeAutospacing="0" w:after="0" w:afterAutospacing="0" w:line="360" w:lineRule="atLeast"/>
        <w:jc w:val="both"/>
        <w:textAlignment w:val="baseline"/>
      </w:pPr>
      <w:r w:rsidRPr="0016238D">
        <w:t>En este sentido se pronuncia también el Parlamento Europeo, mediante Resolución de 6 de octubre de 2021, sobre el impacto de la violencia doméstica y del derecho de custodia en las mujeres y los niños (2019/2166(INI))</w:t>
      </w:r>
    </w:p>
    <w:p w14:paraId="64AAA991" w14:textId="6575230F" w:rsidR="000271FF" w:rsidRPr="0016238D" w:rsidRDefault="000271FF" w:rsidP="000271FF">
      <w:pPr>
        <w:pStyle w:val="NormalWeb"/>
        <w:shd w:val="clear" w:color="auto" w:fill="FFFFFF"/>
        <w:spacing w:before="0" w:beforeAutospacing="0" w:after="0" w:afterAutospacing="0" w:line="360" w:lineRule="atLeast"/>
        <w:jc w:val="both"/>
        <w:textAlignment w:val="baseline"/>
      </w:pPr>
      <w:r w:rsidRPr="0016238D">
        <w:t>41.Expresa su preocupación por la repercusión de los estereotipos y los sesgos de género, que dan lugar a respuestas inapropiadas ante la violencia de género contra las mujeres y a una falta de confianza en ellas, en particular en lo que respecta a las presuntas acusaciones falsas de maltrato infantil y violencia doméstica; expresa asimismo su preocupación por</w:t>
      </w:r>
      <w:r w:rsidR="00254604" w:rsidRPr="0016238D">
        <w:t xml:space="preserve"> </w:t>
      </w:r>
      <w:r w:rsidRPr="0016238D">
        <w:t xml:space="preserve">la falta de formación de los jueces, los fiscales y los profesionales del Derecho; destaca la importancia de las medidas dirigidas a combatir los estereotipos de género y los sesgos patriarcales mediante la educación y las campañas de sensibilización; pide a los Estados miembros que efectúen un seguimiento de la cultura de denigración de la voz de la mujer y la combatan; condena el uso, la afirmación y la aceptación de teorías y conceptos no científicos en los asuntos de custodia que castigan a las madres que intentan denunciar casos de maltrato infantil o violencia de género impidiéndoles obtener la custodia o restringiendo sus derechos parentales; resalta que el denominado «síndrome de alienación parental» </w:t>
      </w:r>
      <w:r w:rsidR="00B832EB">
        <w:t>y eufemismos ara referirse al mismo,</w:t>
      </w:r>
      <w:r w:rsidRPr="0016238D">
        <w:t xml:space="preserve"> que se basan generalmente en estereotipos de género, pueden ir en detrimento de las mujeres víctimas de violencia en el marco de la pareja o expareja, al culpar a la madre del distanciamiento de sus hijos respecto al padre, cuestionar las habilidades parentales de la víctima, ignorar el testimonio de los hijos y los riesgos de violencia a que están expuestos, y poner en peligro los derechos y la seguridad de la madre y los hijos; pide a los Estados miembros que no reconozcan el síndrome de alienación parental en su práctica judicial y su legislación y que desalienten o incluso prohíban su uso en procedimientos judiciales, en particular durante las investigaciones para determinar la existencia de violencia</w:t>
      </w:r>
      <w:r w:rsidR="00B832EB">
        <w:t>.</w:t>
      </w:r>
    </w:p>
    <w:p w14:paraId="0237F938" w14:textId="77777777" w:rsidR="004240AE" w:rsidRPr="0016238D" w:rsidRDefault="004240AE" w:rsidP="002901C5">
      <w:pPr>
        <w:pStyle w:val="NormalWeb"/>
        <w:shd w:val="clear" w:color="auto" w:fill="FFFFFF"/>
        <w:spacing w:before="0" w:beforeAutospacing="0" w:after="0" w:afterAutospacing="0" w:line="360" w:lineRule="atLeast"/>
        <w:jc w:val="both"/>
        <w:textAlignment w:val="baseline"/>
      </w:pPr>
    </w:p>
    <w:p w14:paraId="38608F25" w14:textId="77777777" w:rsidR="0009148F" w:rsidRPr="0009148F" w:rsidRDefault="0009148F" w:rsidP="002901C5">
      <w:pPr>
        <w:pStyle w:val="NormalWeb"/>
        <w:shd w:val="clear" w:color="auto" w:fill="FFFFFF"/>
        <w:spacing w:before="0" w:beforeAutospacing="0" w:after="0" w:afterAutospacing="0" w:line="360" w:lineRule="atLeast"/>
        <w:jc w:val="both"/>
        <w:textAlignment w:val="baseline"/>
        <w:rPr>
          <w:b/>
        </w:rPr>
      </w:pPr>
      <w:r w:rsidRPr="0009148F">
        <w:rPr>
          <w:b/>
        </w:rPr>
        <w:t>Los arrancamientos</w:t>
      </w:r>
    </w:p>
    <w:p w14:paraId="6B6041F4" w14:textId="77777777" w:rsidR="0009148F" w:rsidRDefault="0009148F" w:rsidP="002901C5">
      <w:pPr>
        <w:pStyle w:val="NormalWeb"/>
        <w:shd w:val="clear" w:color="auto" w:fill="FFFFFF"/>
        <w:spacing w:before="0" w:beforeAutospacing="0" w:after="0" w:afterAutospacing="0" w:line="360" w:lineRule="atLeast"/>
        <w:jc w:val="both"/>
        <w:textAlignment w:val="baseline"/>
      </w:pPr>
    </w:p>
    <w:p w14:paraId="66CF115E" w14:textId="73C7F71D" w:rsidR="00C73338" w:rsidRPr="0016238D" w:rsidRDefault="004240AE" w:rsidP="002901C5">
      <w:pPr>
        <w:pStyle w:val="NormalWeb"/>
        <w:shd w:val="clear" w:color="auto" w:fill="FFFFFF"/>
        <w:spacing w:before="0" w:beforeAutospacing="0" w:after="0" w:afterAutospacing="0" w:line="360" w:lineRule="atLeast"/>
        <w:jc w:val="both"/>
        <w:textAlignment w:val="baseline"/>
      </w:pPr>
      <w:r w:rsidRPr="0016238D">
        <w:t>Una de las caras más brutales de los cambio de custodia derivados de una denuncia de abuso sexual infantil, que supone una clara vulneración del Convenio es lo que ha venido a llamarse “arrancamientos”</w:t>
      </w:r>
      <w:r w:rsidR="00B43C52" w:rsidRPr="0016238D">
        <w:t xml:space="preserve">. En el completo informe de reciente publicación </w:t>
      </w:r>
      <w:r w:rsidR="00B43C52" w:rsidRPr="0016238D">
        <w:lastRenderedPageBreak/>
        <w:t>“Informe Violencia institucional contra las madres y la infancia</w:t>
      </w:r>
      <w:r w:rsidR="00B832EB">
        <w:rPr>
          <w:rStyle w:val="Refdenotaalpie"/>
        </w:rPr>
        <w:footnoteReference w:id="28"/>
      </w:r>
      <w:r w:rsidR="00B43C52" w:rsidRPr="0016238D">
        <w:t xml:space="preserve">”. Aplicación del falso síndrome de alienación parental en España, promovido y coordinado por la Delegación del Gobierno contra la Violencia de Género y realizado por la Universidad Complutense de Madrid podemos obtener abundante información debidamente contrastada con autos de diferentes juzgados de diferentes instancias del Estado español. En cuanto a los arrancamientos, uno de los aspectos quizá más violentos en cuanto a intervención </w:t>
      </w:r>
      <w:proofErr w:type="spellStart"/>
      <w:r w:rsidR="00B43C52" w:rsidRPr="0016238D">
        <w:t>cohercitiva</w:t>
      </w:r>
      <w:proofErr w:type="spellEnd"/>
      <w:r w:rsidR="00B43C52" w:rsidRPr="0016238D">
        <w:t xml:space="preserve"> contra los deseos de niños, niñas y adolescentes, por ejemplo:</w:t>
      </w:r>
    </w:p>
    <w:p w14:paraId="30DA3A5C" w14:textId="77777777" w:rsidR="00B43C52" w:rsidRPr="0016238D" w:rsidRDefault="00B43C52" w:rsidP="002901C5">
      <w:pPr>
        <w:pStyle w:val="NormalWeb"/>
        <w:shd w:val="clear" w:color="auto" w:fill="FFFFFF"/>
        <w:spacing w:before="0" w:beforeAutospacing="0" w:after="0" w:afterAutospacing="0" w:line="360" w:lineRule="atLeast"/>
        <w:jc w:val="both"/>
        <w:textAlignment w:val="baseline"/>
      </w:pPr>
    </w:p>
    <w:p w14:paraId="3EFDB4E3" w14:textId="53FDC177" w:rsidR="00A807BD" w:rsidRPr="0016238D" w:rsidRDefault="00A807BD" w:rsidP="00E11DB1">
      <w:pPr>
        <w:pStyle w:val="NormalWeb"/>
        <w:shd w:val="clear" w:color="auto" w:fill="FFFFFF"/>
        <w:spacing w:before="0" w:beforeAutospacing="0" w:after="0" w:afterAutospacing="0" w:line="360" w:lineRule="atLeast"/>
        <w:ind w:left="708"/>
        <w:jc w:val="both"/>
        <w:textAlignment w:val="baseline"/>
      </w:pPr>
      <w:r w:rsidRPr="0016238D">
        <w:rPr>
          <w:i/>
        </w:rPr>
        <w:t>El uso del falso SAP con su fuerza de marco interpretativo y transversalidad longitudinal e institucional, se relaciona con el sobreseimiento de denuncias por violencia sexual en el ámbito familiar contra las niñas, niños y adolescentes en el orden jurisdiccional penal, apuntala el cuestionamiento de la madre y de las niñas, niños y adolescentes en el ámbito penal y también en el civil, y sustenta cambios de custodia, arrancamientos y otras medidas de ejecución forzosa en sentencias sobre medidas paternofiliales en civil, así como condenas a las madres por denuncia falsa, daño moral, desobediencia y/o sustracción de menores si el proceso continúa volviendo al régimen penal</w:t>
      </w:r>
      <w:r w:rsidRPr="0016238D">
        <w:t>.</w:t>
      </w:r>
      <w:r w:rsidR="00E11DB1" w:rsidRPr="0016238D">
        <w:t xml:space="preserve"> Pá</w:t>
      </w:r>
      <w:r w:rsidRPr="0016238D">
        <w:t>gina 238</w:t>
      </w:r>
    </w:p>
    <w:p w14:paraId="26113DA9" w14:textId="77777777" w:rsidR="00A807BD" w:rsidRPr="0016238D" w:rsidRDefault="00A807BD" w:rsidP="00A807BD">
      <w:pPr>
        <w:pStyle w:val="NormalWeb"/>
        <w:shd w:val="clear" w:color="auto" w:fill="FFFFFF"/>
        <w:spacing w:before="0" w:beforeAutospacing="0" w:after="0" w:afterAutospacing="0" w:line="360" w:lineRule="atLeast"/>
        <w:jc w:val="both"/>
        <w:textAlignment w:val="baseline"/>
      </w:pPr>
    </w:p>
    <w:p w14:paraId="7E774406" w14:textId="77777777" w:rsidR="00A807BD" w:rsidRPr="0016238D" w:rsidRDefault="00A807BD" w:rsidP="00E11DB1">
      <w:pPr>
        <w:pStyle w:val="NormalWeb"/>
        <w:shd w:val="clear" w:color="auto" w:fill="FFFFFF"/>
        <w:spacing w:before="0" w:beforeAutospacing="0" w:after="0" w:afterAutospacing="0" w:line="360" w:lineRule="atLeast"/>
        <w:ind w:left="708"/>
        <w:jc w:val="both"/>
        <w:textAlignment w:val="baseline"/>
      </w:pPr>
      <w:r w:rsidRPr="0016238D">
        <w:rPr>
          <w:i/>
        </w:rPr>
        <w:t xml:space="preserve">Todo ello tiene consecuencias negativas en las resoluciones sobre las medidas relativas a las custodias o patria potestad, sobre las personas con que las que conviven las niñas, niños o adolescentes (generalmente la madre) y precipita la desprotección de estas/os, toda vez que se establecen custodias compartidas, pérdida de la custodia en favor del progenitor (del padre), limitaciones del contacto y visitas </w:t>
      </w:r>
      <w:r w:rsidR="00E11DB1" w:rsidRPr="0016238D">
        <w:rPr>
          <w:i/>
        </w:rPr>
        <w:t>con la madre o «arrancamientos».</w:t>
      </w:r>
      <w:r w:rsidR="00B43C52" w:rsidRPr="0016238D">
        <w:rPr>
          <w:i/>
        </w:rPr>
        <w:t xml:space="preserve"> </w:t>
      </w:r>
      <w:r w:rsidR="00B43C52" w:rsidRPr="0016238D">
        <w:t>Página 188</w:t>
      </w:r>
    </w:p>
    <w:p w14:paraId="40798CE5" w14:textId="77777777" w:rsidR="00A807BD" w:rsidRPr="0016238D" w:rsidRDefault="00A807BD" w:rsidP="00A807BD">
      <w:pPr>
        <w:pStyle w:val="NormalWeb"/>
        <w:shd w:val="clear" w:color="auto" w:fill="FFFFFF"/>
        <w:spacing w:before="0" w:beforeAutospacing="0" w:after="0" w:afterAutospacing="0" w:line="360" w:lineRule="atLeast"/>
        <w:jc w:val="both"/>
        <w:textAlignment w:val="baseline"/>
        <w:rPr>
          <w:i/>
        </w:rPr>
      </w:pPr>
    </w:p>
    <w:p w14:paraId="121F0AA1" w14:textId="77777777" w:rsidR="00A807BD" w:rsidRPr="0016238D" w:rsidRDefault="00A807BD" w:rsidP="00E11DB1">
      <w:pPr>
        <w:pStyle w:val="NormalWeb"/>
        <w:shd w:val="clear" w:color="auto" w:fill="FFFFFF"/>
        <w:spacing w:before="0" w:beforeAutospacing="0" w:after="0" w:afterAutospacing="0" w:line="360" w:lineRule="atLeast"/>
        <w:ind w:left="708"/>
        <w:jc w:val="both"/>
        <w:textAlignment w:val="baseline"/>
      </w:pPr>
      <w:r w:rsidRPr="0016238D">
        <w:rPr>
          <w:i/>
        </w:rPr>
        <w:t>En la gran mayoría de los casos estudiados (92 %) se han adoptado medidas para la ejecución forzosa de resoluciones contrarias a la voluntad de la niña o el niño23Estas medidas incluyen: amenaza del cambio de custodia en favor del padre habiendo verbalizado el niño o niña su deseo de permanecer con la madre (19 %); «arrancamientos» (65 %); limitación de las visitas con la madre en un punto de encuentro (30 %); ingreso en un centro de menores (7 %).</w:t>
      </w:r>
      <w:r w:rsidRPr="0016238D">
        <w:t xml:space="preserve">  </w:t>
      </w:r>
      <w:r w:rsidR="00E11DB1" w:rsidRPr="0016238D">
        <w:t>Página 141</w:t>
      </w:r>
    </w:p>
    <w:p w14:paraId="4BE7895F" w14:textId="77777777" w:rsidR="00A807BD" w:rsidRPr="0016238D" w:rsidRDefault="00A807BD" w:rsidP="00A807BD">
      <w:pPr>
        <w:pStyle w:val="NormalWeb"/>
        <w:shd w:val="clear" w:color="auto" w:fill="FFFFFF"/>
        <w:spacing w:before="0" w:beforeAutospacing="0" w:after="0" w:afterAutospacing="0" w:line="360" w:lineRule="atLeast"/>
        <w:jc w:val="both"/>
        <w:textAlignment w:val="baseline"/>
      </w:pPr>
    </w:p>
    <w:p w14:paraId="0C8DD4E9" w14:textId="77777777" w:rsidR="00B43C52" w:rsidRPr="0016238D" w:rsidRDefault="00B43C52" w:rsidP="00A807BD">
      <w:pPr>
        <w:pStyle w:val="NormalWeb"/>
        <w:shd w:val="clear" w:color="auto" w:fill="FFFFFF"/>
        <w:spacing w:before="0" w:beforeAutospacing="0" w:after="0" w:afterAutospacing="0" w:line="360" w:lineRule="atLeast"/>
        <w:jc w:val="both"/>
        <w:textAlignment w:val="baseline"/>
      </w:pPr>
      <w:r w:rsidRPr="0016238D">
        <w:t xml:space="preserve">La cuestión de los arrancamientos es recogida también por la asociación </w:t>
      </w:r>
      <w:proofErr w:type="spellStart"/>
      <w:r w:rsidRPr="0016238D">
        <w:t>Save</w:t>
      </w:r>
      <w:proofErr w:type="spellEnd"/>
      <w:r w:rsidRPr="0016238D">
        <w:t xml:space="preserve"> </w:t>
      </w:r>
      <w:proofErr w:type="spellStart"/>
      <w:r w:rsidRPr="0016238D">
        <w:t>the</w:t>
      </w:r>
      <w:proofErr w:type="spellEnd"/>
      <w:r w:rsidRPr="0016238D">
        <w:t xml:space="preserve"> </w:t>
      </w:r>
      <w:proofErr w:type="spellStart"/>
      <w:r w:rsidRPr="0016238D">
        <w:t>Children</w:t>
      </w:r>
      <w:proofErr w:type="spellEnd"/>
      <w:r w:rsidRPr="0016238D">
        <w:rPr>
          <w:rStyle w:val="Refdenotaalpie"/>
          <w:i/>
        </w:rPr>
        <w:footnoteReference w:id="29"/>
      </w:r>
      <w:r w:rsidRPr="0016238D">
        <w:t>:</w:t>
      </w:r>
    </w:p>
    <w:p w14:paraId="382DA87D" w14:textId="77777777" w:rsidR="00A807BD" w:rsidRPr="0016238D" w:rsidRDefault="00A807BD" w:rsidP="00E11DB1">
      <w:pPr>
        <w:pStyle w:val="NormalWeb"/>
        <w:shd w:val="clear" w:color="auto" w:fill="FFFFFF"/>
        <w:spacing w:before="0" w:beforeAutospacing="0" w:after="0" w:afterAutospacing="0" w:line="360" w:lineRule="atLeast"/>
        <w:ind w:left="708"/>
        <w:jc w:val="both"/>
        <w:textAlignment w:val="baseline"/>
      </w:pPr>
      <w:r w:rsidRPr="0016238D">
        <w:rPr>
          <w:i/>
        </w:rPr>
        <w:t xml:space="preserve">La dilación de los procesos judiciales, las condiciones no adaptadas de toma del testimonio, la reiteración del mismo ante distintos operadores, la incredibilidad </w:t>
      </w:r>
      <w:r w:rsidRPr="0016238D">
        <w:rPr>
          <w:i/>
        </w:rPr>
        <w:lastRenderedPageBreak/>
        <w:t xml:space="preserve">reiterada, la declaración frente al presunto agresor, la falta de medidas de protección durante los juicios o su levantamiento apresurado, la adopción de medidas contra la voluntad de las niñas, niños y adolescentes -visitas, medidas de </w:t>
      </w:r>
      <w:proofErr w:type="spellStart"/>
      <w:r w:rsidRPr="0016238D">
        <w:rPr>
          <w:i/>
        </w:rPr>
        <w:t>revinculación</w:t>
      </w:r>
      <w:proofErr w:type="spellEnd"/>
      <w:r w:rsidRPr="0016238D">
        <w:rPr>
          <w:i/>
        </w:rPr>
        <w:t xml:space="preserve"> paterno filial y, finalmente, los cambios de custodia y «arrancamientos”- entre otros, han sido descritos por la literatura especializada</w:t>
      </w:r>
      <w:r w:rsidRPr="0016238D">
        <w:t xml:space="preserve"> </w:t>
      </w:r>
    </w:p>
    <w:p w14:paraId="4AA5A5F1" w14:textId="77777777" w:rsidR="00B50775" w:rsidRPr="0016238D" w:rsidRDefault="00B50775" w:rsidP="00A807BD">
      <w:pPr>
        <w:pStyle w:val="NormalWeb"/>
        <w:shd w:val="clear" w:color="auto" w:fill="FFFFFF"/>
        <w:spacing w:before="0" w:beforeAutospacing="0" w:after="0" w:afterAutospacing="0" w:line="360" w:lineRule="atLeast"/>
        <w:jc w:val="both"/>
        <w:textAlignment w:val="baseline"/>
      </w:pPr>
    </w:p>
    <w:p w14:paraId="4FDBE2EB" w14:textId="77777777" w:rsidR="00C73338" w:rsidRPr="0016238D" w:rsidRDefault="00C73338" w:rsidP="002901C5">
      <w:pPr>
        <w:pStyle w:val="NormalWeb"/>
        <w:shd w:val="clear" w:color="auto" w:fill="FFFFFF"/>
        <w:spacing w:before="0" w:beforeAutospacing="0" w:after="0" w:afterAutospacing="0" w:line="360" w:lineRule="atLeast"/>
        <w:jc w:val="both"/>
        <w:textAlignment w:val="baseline"/>
      </w:pPr>
    </w:p>
    <w:p w14:paraId="419D3F71" w14:textId="77777777" w:rsidR="008D6317" w:rsidRPr="0009148F" w:rsidRDefault="0009148F" w:rsidP="002901C5">
      <w:pPr>
        <w:pStyle w:val="NormalWeb"/>
        <w:shd w:val="clear" w:color="auto" w:fill="FFFFFF"/>
        <w:spacing w:before="0" w:beforeAutospacing="0" w:after="0" w:afterAutospacing="0" w:line="360" w:lineRule="atLeast"/>
        <w:jc w:val="both"/>
        <w:textAlignment w:val="baseline"/>
        <w:rPr>
          <w:b/>
        </w:rPr>
      </w:pPr>
      <w:r w:rsidRPr="0009148F">
        <w:rPr>
          <w:b/>
        </w:rPr>
        <w:t>Daño sufrido. Falta de reconocimiento y reparación</w:t>
      </w:r>
    </w:p>
    <w:p w14:paraId="4897A55F" w14:textId="77777777" w:rsidR="003B5AE1" w:rsidRPr="0016238D" w:rsidRDefault="003B5AE1" w:rsidP="002901C5">
      <w:pPr>
        <w:jc w:val="both"/>
        <w:rPr>
          <w:rFonts w:ascii="Times New Roman" w:hAnsi="Times New Roman" w:cs="Times New Roman"/>
        </w:rPr>
      </w:pPr>
    </w:p>
    <w:p w14:paraId="7CB006BF" w14:textId="77777777" w:rsidR="00027949" w:rsidRDefault="00045B21" w:rsidP="00027949">
      <w:pPr>
        <w:jc w:val="both"/>
        <w:rPr>
          <w:rFonts w:ascii="Times New Roman" w:hAnsi="Times New Roman" w:cs="Times New Roman"/>
          <w:i/>
          <w:color w:val="211D1E"/>
        </w:rPr>
      </w:pPr>
      <w:r>
        <w:rPr>
          <w:rFonts w:ascii="Times New Roman" w:hAnsi="Times New Roman" w:cs="Times New Roman"/>
        </w:rPr>
        <w:t xml:space="preserve">Todo este sistema ocasiona un gran daño tanto en los NNA como en las madres. Aquí debemos recordar la </w:t>
      </w:r>
      <w:r w:rsidR="00027949" w:rsidRPr="0016238D">
        <w:rPr>
          <w:rFonts w:ascii="Times New Roman" w:hAnsi="Times New Roman" w:cs="Times New Roman"/>
          <w:b/>
          <w:bCs/>
          <w:color w:val="211D1E"/>
        </w:rPr>
        <w:t xml:space="preserve">Resolución del Parlamento Europeo, de 6 de octubre de 2021, sobre el impacto de la violencia doméstica y del derecho de custodia en las mujeres y los niños (2019/2166(INI)): </w:t>
      </w:r>
      <w:r w:rsidR="00027949" w:rsidRPr="0016238D">
        <w:rPr>
          <w:rFonts w:ascii="Times New Roman" w:hAnsi="Times New Roman" w:cs="Times New Roman"/>
          <w:bCs/>
          <w:i/>
          <w:color w:val="211D1E"/>
        </w:rPr>
        <w:t xml:space="preserve">“impidiéndoles </w:t>
      </w:r>
      <w:r w:rsidR="00027949" w:rsidRPr="0016238D">
        <w:rPr>
          <w:rFonts w:ascii="Times New Roman" w:hAnsi="Times New Roman" w:cs="Times New Roman"/>
          <w:i/>
          <w:color w:val="211D1E"/>
        </w:rPr>
        <w:t>obtener la custodia o restringiendo sus derechos parentales” y actuando “en detrimento de las mujeres víctimas de violencia en el marco de la pareja o expareja, al culpar a la madre del distanciamiento de sus hijos respecto al padre, cuestionar las habilidades parentales de la víctima, ignorar el testimonio de los hijos y los riesgos de violencia a que están expuestos, y poner en peligro los derechos y la seguridad de la madre y los hijos”.</w:t>
      </w:r>
    </w:p>
    <w:p w14:paraId="07FFDA68" w14:textId="77777777" w:rsidR="00045B21" w:rsidRDefault="00045B21" w:rsidP="00027949">
      <w:pPr>
        <w:jc w:val="both"/>
        <w:rPr>
          <w:rFonts w:ascii="Times New Roman" w:hAnsi="Times New Roman" w:cs="Times New Roman"/>
          <w:i/>
          <w:color w:val="211D1E"/>
        </w:rPr>
      </w:pPr>
    </w:p>
    <w:p w14:paraId="7D6A758F" w14:textId="77777777" w:rsidR="00045B21" w:rsidRPr="00045B21" w:rsidRDefault="00045B21" w:rsidP="00027949">
      <w:pPr>
        <w:jc w:val="both"/>
        <w:rPr>
          <w:rFonts w:ascii="Times New Roman" w:hAnsi="Times New Roman" w:cs="Times New Roman"/>
          <w:color w:val="211D1E"/>
        </w:rPr>
      </w:pPr>
      <w:r>
        <w:rPr>
          <w:rFonts w:ascii="Times New Roman" w:hAnsi="Times New Roman" w:cs="Times New Roman"/>
          <w:color w:val="211D1E"/>
        </w:rPr>
        <w:t xml:space="preserve">Desde el momento de la denuncia, se ponen en marcha mecanismos que abocarán, en el peor de los casos a un arrancamiento, en algunos de los casos a un régimen de custodia compartida con la persona de la que </w:t>
      </w:r>
      <w:r w:rsidR="00EB35BB">
        <w:rPr>
          <w:rFonts w:ascii="Times New Roman" w:hAnsi="Times New Roman" w:cs="Times New Roman"/>
          <w:color w:val="211D1E"/>
        </w:rPr>
        <w:t xml:space="preserve">los NNA </w:t>
      </w:r>
      <w:r>
        <w:rPr>
          <w:rFonts w:ascii="Times New Roman" w:hAnsi="Times New Roman" w:cs="Times New Roman"/>
          <w:color w:val="211D1E"/>
        </w:rPr>
        <w:t>han denunciado sufrir violencia</w:t>
      </w:r>
      <w:r w:rsidR="00EB35BB">
        <w:rPr>
          <w:rFonts w:ascii="Times New Roman" w:hAnsi="Times New Roman" w:cs="Times New Roman"/>
          <w:color w:val="211D1E"/>
        </w:rPr>
        <w:t>, pero en todo caso, comenzará un proceso de maltrato no compatible con la Convención.</w:t>
      </w:r>
    </w:p>
    <w:p w14:paraId="782CEE79" w14:textId="77777777" w:rsidR="00027949" w:rsidRDefault="00027949" w:rsidP="00027949">
      <w:pPr>
        <w:jc w:val="both"/>
        <w:rPr>
          <w:rFonts w:ascii="Times New Roman" w:hAnsi="Times New Roman" w:cs="Times New Roman"/>
          <w:color w:val="211D1E"/>
        </w:rPr>
      </w:pPr>
    </w:p>
    <w:p w14:paraId="6EC59E27" w14:textId="77777777" w:rsidR="00027949" w:rsidRPr="00045B21" w:rsidRDefault="00027949" w:rsidP="00045B21">
      <w:pPr>
        <w:ind w:left="708"/>
        <w:jc w:val="both"/>
        <w:rPr>
          <w:rFonts w:ascii="Times New Roman" w:hAnsi="Times New Roman" w:cs="Times New Roman"/>
          <w:i/>
        </w:rPr>
      </w:pPr>
      <w:r w:rsidRPr="00045B21">
        <w:rPr>
          <w:rFonts w:ascii="Times New Roman" w:hAnsi="Times New Roman" w:cs="Times New Roman"/>
          <w:i/>
        </w:rPr>
        <w:t>23. Cuando se adopta una decisión sobre la custodia favorable al progenitor que alega alienación sin tener suficientemente en cuenta la opinión del niño, este ve mermada su resiliencia y sigue expuesto a sufrir daños duraderos. En esos casos también puede cercenarse el vínculo estable y seguro del niño con el progenitor que era su cuidador principal y no lo maltrat</w:t>
      </w:r>
      <w:r w:rsidR="00045B21" w:rsidRPr="00045B21">
        <w:rPr>
          <w:rFonts w:ascii="Times New Roman" w:hAnsi="Times New Roman" w:cs="Times New Roman"/>
          <w:i/>
        </w:rPr>
        <w:t xml:space="preserve">aba </w:t>
      </w:r>
      <w:r w:rsidRPr="00045B21">
        <w:rPr>
          <w:rFonts w:ascii="Times New Roman" w:hAnsi="Times New Roman" w:cs="Times New Roman"/>
          <w:i/>
        </w:rPr>
        <w:t>(...) Además, en las comunicaciones se señalan casos de servicios policiales de protección de la infancia que han hecho cumplir órdenes de visita y de custodia en casos en los que el niño claramente no deseaba ver a su padre, traumatizando tanto al niño como a la madre.</w:t>
      </w:r>
    </w:p>
    <w:p w14:paraId="2E51244C" w14:textId="77777777" w:rsidR="003B5AE1" w:rsidRPr="00045B21" w:rsidRDefault="003B5AE1" w:rsidP="00027949">
      <w:pPr>
        <w:jc w:val="both"/>
        <w:rPr>
          <w:rFonts w:ascii="Times New Roman" w:hAnsi="Times New Roman" w:cs="Times New Roman"/>
          <w:i/>
        </w:rPr>
      </w:pPr>
    </w:p>
    <w:p w14:paraId="79EA4143" w14:textId="77777777" w:rsidR="00027949" w:rsidRDefault="00027949" w:rsidP="00045B21">
      <w:pPr>
        <w:ind w:left="708"/>
        <w:jc w:val="both"/>
        <w:rPr>
          <w:rFonts w:ascii="Times New Roman" w:hAnsi="Times New Roman" w:cs="Times New Roman"/>
        </w:rPr>
      </w:pPr>
      <w:r w:rsidRPr="00045B21">
        <w:rPr>
          <w:rFonts w:ascii="Times New Roman" w:hAnsi="Times New Roman" w:cs="Times New Roman"/>
          <w:i/>
        </w:rPr>
        <w:t>29. El Convenio Europeo de Derechos Humanos reconoce que la violencia doméstica entra en el ámbito de aplicación de sus artículos 2, 3, 8 y 1475 y que el calificar a la madre de “progenitor no cooperador” o amenazarla con juzgarla por sustracción de menores por negarse a permitir el contacto entre sus hijos y el padre en los casos en que este ha cometido actos de violencia constituye una violación del derecho a la vida familiar, protegido por el artículo 8</w:t>
      </w:r>
      <w:r w:rsidRPr="0016238D">
        <w:rPr>
          <w:rFonts w:ascii="Times New Roman" w:hAnsi="Times New Roman" w:cs="Times New Roman"/>
        </w:rPr>
        <w:t>.</w:t>
      </w:r>
    </w:p>
    <w:p w14:paraId="2AD69663" w14:textId="77777777" w:rsidR="00027949" w:rsidRPr="0016238D" w:rsidRDefault="00027949" w:rsidP="00027949">
      <w:pPr>
        <w:jc w:val="both"/>
        <w:rPr>
          <w:rFonts w:ascii="Times New Roman" w:hAnsi="Times New Roman" w:cs="Times New Roman"/>
          <w:color w:val="000000"/>
          <w:shd w:val="clear" w:color="auto" w:fill="FFFFFF"/>
        </w:rPr>
      </w:pPr>
    </w:p>
    <w:p w14:paraId="05540EF0" w14:textId="77777777" w:rsidR="00027949" w:rsidRDefault="00027949" w:rsidP="00027949">
      <w:pPr>
        <w:jc w:val="both"/>
        <w:rPr>
          <w:rFonts w:ascii="Times New Roman" w:hAnsi="Times New Roman" w:cs="Times New Roman"/>
          <w:color w:val="000000"/>
          <w:shd w:val="clear" w:color="auto" w:fill="FFFFFF"/>
        </w:rPr>
      </w:pPr>
      <w:r w:rsidRPr="0016238D">
        <w:rPr>
          <w:rFonts w:ascii="Times New Roman" w:hAnsi="Times New Roman" w:cs="Times New Roman"/>
          <w:color w:val="000000"/>
          <w:shd w:val="clear" w:color="auto" w:fill="FFFFFF"/>
        </w:rPr>
        <w:t>Psicología Jurídica del Menor y de la Familia. Colección Psicología y Ley. Xunta de Galicia 2005.</w:t>
      </w:r>
    </w:p>
    <w:p w14:paraId="04CDBECB" w14:textId="77777777" w:rsidR="003B5AE1" w:rsidRPr="0016238D" w:rsidRDefault="00045B21" w:rsidP="00027949">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ab/>
      </w:r>
    </w:p>
    <w:p w14:paraId="641D2EA9" w14:textId="63B408DD" w:rsidR="00027949" w:rsidRPr="00045B21" w:rsidRDefault="00027949" w:rsidP="00045B21">
      <w:pPr>
        <w:shd w:val="clear" w:color="auto" w:fill="FFFFFF"/>
        <w:ind w:left="708"/>
        <w:jc w:val="both"/>
        <w:rPr>
          <w:rFonts w:ascii="Times New Roman" w:eastAsia="Times New Roman" w:hAnsi="Times New Roman" w:cs="Times New Roman"/>
          <w:color w:val="222222"/>
          <w:lang w:eastAsia="gl-ES"/>
        </w:rPr>
      </w:pPr>
      <w:r w:rsidRPr="0016238D">
        <w:rPr>
          <w:rFonts w:ascii="Times New Roman" w:eastAsia="Times New Roman" w:hAnsi="Times New Roman" w:cs="Times New Roman"/>
          <w:color w:val="222222"/>
          <w:lang w:eastAsia="gl-ES"/>
        </w:rPr>
        <w:t>Intervención con los hijos: parte importante de la recomendación en la intervención</w:t>
      </w:r>
      <w:r w:rsidR="00634284">
        <w:rPr>
          <w:rFonts w:ascii="Times New Roman" w:eastAsia="Times New Roman" w:hAnsi="Times New Roman" w:cs="Times New Roman"/>
          <w:color w:val="222222"/>
          <w:lang w:eastAsia="gl-ES"/>
        </w:rPr>
        <w:t xml:space="preserve"> </w:t>
      </w:r>
      <w:r w:rsidRPr="0016238D">
        <w:rPr>
          <w:rFonts w:ascii="Times New Roman" w:eastAsia="Times New Roman" w:hAnsi="Times New Roman" w:cs="Times New Roman"/>
          <w:color w:val="222222"/>
          <w:shd w:val="clear" w:color="auto" w:fill="FFFFFF"/>
          <w:lang w:eastAsia="gl-ES"/>
        </w:rPr>
        <w:t xml:space="preserve">con los hijos, se encuentra en la “desprogramación”. Para ello </w:t>
      </w:r>
      <w:r w:rsidRPr="0016238D">
        <w:rPr>
          <w:rFonts w:ascii="Times New Roman" w:eastAsia="Times New Roman" w:hAnsi="Times New Roman" w:cs="Times New Roman"/>
          <w:color w:val="222222"/>
          <w:shd w:val="clear" w:color="auto" w:fill="FFFFFF"/>
          <w:lang w:eastAsia="gl-ES"/>
        </w:rPr>
        <w:lastRenderedPageBreak/>
        <w:t>sugiere no dar credibilidad a sus</w:t>
      </w:r>
      <w:r w:rsidRPr="0016238D">
        <w:rPr>
          <w:rFonts w:ascii="Times New Roman" w:eastAsia="Times New Roman" w:hAnsi="Times New Roman" w:cs="Times New Roman"/>
          <w:color w:val="222222"/>
          <w:lang w:eastAsia="gl-ES"/>
        </w:rPr>
        <w:t xml:space="preserve"> </w:t>
      </w:r>
      <w:r w:rsidRPr="0016238D">
        <w:rPr>
          <w:rFonts w:ascii="Times New Roman" w:eastAsia="Times New Roman" w:hAnsi="Times New Roman" w:cs="Times New Roman"/>
          <w:color w:val="222222"/>
          <w:shd w:val="clear" w:color="auto" w:fill="FFFFFF"/>
          <w:lang w:eastAsia="gl-ES"/>
        </w:rPr>
        <w:t>quejas y lamentos, sino trabajar con ellos la puesta en práctica de proceso de “investigación”</w:t>
      </w:r>
      <w:r w:rsidRPr="0016238D">
        <w:rPr>
          <w:rFonts w:ascii="Times New Roman" w:eastAsia="Times New Roman" w:hAnsi="Times New Roman" w:cs="Times New Roman"/>
          <w:color w:val="222222"/>
          <w:lang w:eastAsia="gl-ES"/>
        </w:rPr>
        <w:t xml:space="preserve"> </w:t>
      </w:r>
      <w:r w:rsidRPr="0016238D">
        <w:rPr>
          <w:rFonts w:ascii="Times New Roman" w:eastAsia="Times New Roman" w:hAnsi="Times New Roman" w:cs="Times New Roman"/>
          <w:color w:val="222222"/>
          <w:shd w:val="clear" w:color="auto" w:fill="FFFFFF"/>
          <w:lang w:eastAsia="gl-ES"/>
        </w:rPr>
        <w:t>basado en evidencias que les permita valorar objetivamente la realidad de la relación con el</w:t>
      </w:r>
      <w:r w:rsidRPr="0016238D">
        <w:rPr>
          <w:rFonts w:ascii="Times New Roman" w:eastAsia="Times New Roman" w:hAnsi="Times New Roman" w:cs="Times New Roman"/>
          <w:color w:val="222222"/>
          <w:lang w:eastAsia="gl-ES"/>
        </w:rPr>
        <w:t xml:space="preserve"> </w:t>
      </w:r>
      <w:r w:rsidRPr="0016238D">
        <w:rPr>
          <w:rFonts w:ascii="Times New Roman" w:eastAsia="Times New Roman" w:hAnsi="Times New Roman" w:cs="Times New Roman"/>
          <w:color w:val="222222"/>
          <w:shd w:val="clear" w:color="auto" w:fill="FFFFFF"/>
          <w:lang w:eastAsia="gl-ES"/>
        </w:rPr>
        <w:t>progenitor “alienado”.”</w:t>
      </w:r>
    </w:p>
    <w:p w14:paraId="4E93FD15" w14:textId="77777777" w:rsidR="0009148F" w:rsidRPr="0016238D" w:rsidRDefault="0009148F" w:rsidP="00027949">
      <w:pPr>
        <w:jc w:val="both"/>
        <w:rPr>
          <w:rFonts w:ascii="Times New Roman" w:eastAsia="Times New Roman" w:hAnsi="Times New Roman" w:cs="Times New Roman"/>
          <w:color w:val="222222"/>
          <w:shd w:val="clear" w:color="auto" w:fill="FFFFFF"/>
          <w:lang w:eastAsia="gl-ES"/>
        </w:rPr>
      </w:pPr>
    </w:p>
    <w:p w14:paraId="1E60F9DB" w14:textId="77777777" w:rsidR="00027949" w:rsidRDefault="00027949" w:rsidP="00027949">
      <w:pPr>
        <w:jc w:val="both"/>
        <w:rPr>
          <w:rFonts w:ascii="Times New Roman" w:eastAsia="Times New Roman" w:hAnsi="Times New Roman" w:cs="Times New Roman"/>
          <w:color w:val="222222"/>
          <w:shd w:val="clear" w:color="auto" w:fill="FFFFFF"/>
          <w:lang w:eastAsia="gl-ES"/>
        </w:rPr>
      </w:pPr>
      <w:r w:rsidRPr="0016238D">
        <w:rPr>
          <w:rFonts w:ascii="Times New Roman" w:eastAsia="Times New Roman" w:hAnsi="Times New Roman" w:cs="Times New Roman"/>
          <w:color w:val="222222"/>
          <w:shd w:val="clear" w:color="auto" w:fill="FFFFFF"/>
          <w:lang w:eastAsia="gl-ES"/>
        </w:rPr>
        <w:t>En consonancia con</w:t>
      </w:r>
      <w:r w:rsidR="00045B21">
        <w:rPr>
          <w:rFonts w:ascii="Times New Roman" w:eastAsia="Times New Roman" w:hAnsi="Times New Roman" w:cs="Times New Roman"/>
          <w:color w:val="222222"/>
          <w:shd w:val="clear" w:color="auto" w:fill="FFFFFF"/>
          <w:lang w:eastAsia="gl-ES"/>
        </w:rPr>
        <w:t xml:space="preserve"> las teorías de Gardner, esta p</w:t>
      </w:r>
      <w:r w:rsidRPr="0016238D">
        <w:rPr>
          <w:rFonts w:ascii="Times New Roman" w:eastAsia="Times New Roman" w:hAnsi="Times New Roman" w:cs="Times New Roman"/>
          <w:color w:val="222222"/>
          <w:shd w:val="clear" w:color="auto" w:fill="FFFFFF"/>
          <w:lang w:eastAsia="gl-ES"/>
        </w:rPr>
        <w:t>ublicación de la Xunta de Galicia invita a los profesionales a desatender el derecho del niño y de la niña a ser escuchados, causando con ello un grave daño sobre sus derechos fundamentales que puede conllevar el ignorar peticiones de auxilio que esos niños o niñas puedan manifestar. En casos extremos, como el de Ángela González Carreño, esta conducta ha conducido al asesinato de los hijos e hijas a manos del progenitor violento.</w:t>
      </w:r>
    </w:p>
    <w:p w14:paraId="095DF744" w14:textId="77777777" w:rsidR="00045B21" w:rsidRDefault="00045B21" w:rsidP="00027949">
      <w:pPr>
        <w:jc w:val="both"/>
        <w:rPr>
          <w:rFonts w:ascii="Times New Roman" w:eastAsia="Times New Roman" w:hAnsi="Times New Roman" w:cs="Times New Roman"/>
          <w:color w:val="222222"/>
          <w:shd w:val="clear" w:color="auto" w:fill="FFFFFF"/>
          <w:lang w:eastAsia="gl-ES"/>
        </w:rPr>
      </w:pPr>
    </w:p>
    <w:p w14:paraId="74E3A1B9" w14:textId="77777777" w:rsidR="00045B21" w:rsidRPr="0016238D" w:rsidRDefault="00045B21" w:rsidP="00045B21">
      <w:pPr>
        <w:pStyle w:val="Default"/>
        <w:jc w:val="both"/>
        <w:rPr>
          <w:b/>
          <w:bCs/>
        </w:rPr>
      </w:pPr>
      <w:r>
        <w:rPr>
          <w:b/>
          <w:bCs/>
        </w:rPr>
        <w:t xml:space="preserve">Tal y como se recoge en las conclusiones y recomendaciones del Informe de la Relatora </w:t>
      </w:r>
      <w:proofErr w:type="spellStart"/>
      <w:r>
        <w:rPr>
          <w:b/>
          <w:bCs/>
        </w:rPr>
        <w:t>Reem</w:t>
      </w:r>
      <w:proofErr w:type="spellEnd"/>
      <w:r>
        <w:rPr>
          <w:b/>
          <w:bCs/>
        </w:rPr>
        <w:t xml:space="preserve"> </w:t>
      </w:r>
      <w:proofErr w:type="spellStart"/>
      <w:r>
        <w:rPr>
          <w:b/>
          <w:bCs/>
        </w:rPr>
        <w:t>Alsalem</w:t>
      </w:r>
      <w:proofErr w:type="spellEnd"/>
      <w:r>
        <w:rPr>
          <w:b/>
          <w:bCs/>
        </w:rPr>
        <w:t xml:space="preserve">, </w:t>
      </w:r>
    </w:p>
    <w:p w14:paraId="5BC034FC" w14:textId="77777777" w:rsidR="00045B21" w:rsidRPr="0016238D" w:rsidRDefault="00045B21" w:rsidP="00045B21">
      <w:pPr>
        <w:pStyle w:val="Default"/>
        <w:jc w:val="both"/>
      </w:pPr>
    </w:p>
    <w:p w14:paraId="77BD8E45" w14:textId="77777777" w:rsidR="00045B21" w:rsidRPr="00045B21" w:rsidRDefault="00045B21" w:rsidP="00045B21">
      <w:pPr>
        <w:ind w:left="708"/>
        <w:jc w:val="both"/>
        <w:rPr>
          <w:rFonts w:ascii="Times New Roman" w:hAnsi="Times New Roman" w:cs="Times New Roman"/>
          <w:bCs/>
          <w:i/>
        </w:rPr>
      </w:pPr>
      <w:r w:rsidRPr="00045B21">
        <w:rPr>
          <w:rFonts w:ascii="Times New Roman" w:hAnsi="Times New Roman" w:cs="Times New Roman"/>
          <w:i/>
        </w:rPr>
        <w:t xml:space="preserve">73. </w:t>
      </w:r>
      <w:r w:rsidRPr="00045B21">
        <w:rPr>
          <w:rFonts w:ascii="Times New Roman" w:hAnsi="Times New Roman" w:cs="Times New Roman"/>
          <w:bCs/>
          <w:i/>
        </w:rPr>
        <w:t xml:space="preserve">Este informe demuestra que el desacreditado y poco científico </w:t>
      </w:r>
      <w:proofErr w:type="spellStart"/>
      <w:r w:rsidRPr="00045B21">
        <w:rPr>
          <w:rFonts w:ascii="Times New Roman" w:hAnsi="Times New Roman" w:cs="Times New Roman"/>
          <w:bCs/>
          <w:i/>
        </w:rPr>
        <w:t>pseudoconcepto</w:t>
      </w:r>
      <w:proofErr w:type="spellEnd"/>
      <w:r w:rsidRPr="00045B21">
        <w:rPr>
          <w:rFonts w:ascii="Times New Roman" w:hAnsi="Times New Roman" w:cs="Times New Roman"/>
          <w:bCs/>
          <w:i/>
        </w:rPr>
        <w:t xml:space="preserve"> de la alienación parental es utilizado en los litigios de derecho de familia por maltratadores como herramienta para continuar con sus abusos y coacciones y para socavar y desacreditar las denuncias de violencia doméstica presentadas por madres que intentan mantener a salvo a sus hijos. También muestra cómo se viola la norma del interés superior del niño al imponer el contacto entre este y uno o ambos progenitores y al priorizarlo, incluso cuando existen pruebas de violencia doméstica. Predominantemente como consecuencia del sesgo de género y de la falta de formación de la judicatura y de acceso de las víctimas a la asistencia jurídica, en ocasiones se otorga la custodia de los hijos a maltratadores a pesar de que existen pruebas de sus abusos físicos en el hogar o sexuales. Las mujeres de grupos marginados de la sociedad corren un mayor riesgo de sufrir tales consecuencias. En el informe se examinan en detalle los problemas sistémicos que crean obstáculos adicionales a la justicia. El personal de la judicatura y los evaluadores deben dejar de intentar buscar unas conductas que no han recibido el apoyo unánime de la disciplina de la psicología y centrarse en los hechos y contextos concretos de cada caso.</w:t>
      </w:r>
    </w:p>
    <w:p w14:paraId="3E07EE65" w14:textId="77777777" w:rsidR="00045B21" w:rsidRPr="00045B21" w:rsidRDefault="00045B21" w:rsidP="00027949">
      <w:pPr>
        <w:jc w:val="both"/>
        <w:rPr>
          <w:rFonts w:ascii="Times New Roman" w:eastAsia="Times New Roman" w:hAnsi="Times New Roman" w:cs="Times New Roman"/>
          <w:i/>
          <w:color w:val="222222"/>
          <w:shd w:val="clear" w:color="auto" w:fill="FFFFFF"/>
          <w:lang w:eastAsia="gl-ES"/>
        </w:rPr>
      </w:pPr>
    </w:p>
    <w:p w14:paraId="51515FF3" w14:textId="77777777" w:rsidR="00027949" w:rsidRPr="0016238D" w:rsidRDefault="00027949" w:rsidP="00027949">
      <w:pPr>
        <w:jc w:val="both"/>
        <w:rPr>
          <w:rFonts w:ascii="Times New Roman" w:eastAsia="Times New Roman" w:hAnsi="Times New Roman" w:cs="Times New Roman"/>
          <w:color w:val="222222"/>
          <w:shd w:val="clear" w:color="auto" w:fill="FFFFFF"/>
          <w:lang w:eastAsia="gl-ES"/>
        </w:rPr>
      </w:pPr>
      <w:r w:rsidRPr="0016238D">
        <w:rPr>
          <w:rFonts w:ascii="Times New Roman" w:eastAsia="Times New Roman" w:hAnsi="Times New Roman" w:cs="Times New Roman"/>
          <w:color w:val="222222"/>
          <w:shd w:val="clear" w:color="auto" w:fill="FFFFFF"/>
          <w:lang w:eastAsia="gl-ES"/>
        </w:rPr>
        <w:t xml:space="preserve"> </w:t>
      </w:r>
    </w:p>
    <w:p w14:paraId="053BCBBB" w14:textId="77777777" w:rsidR="00FD128C" w:rsidRDefault="00FD128C" w:rsidP="002901C5">
      <w:pPr>
        <w:jc w:val="both"/>
        <w:rPr>
          <w:rFonts w:ascii="Times New Roman" w:hAnsi="Times New Roman" w:cs="Times New Roman"/>
          <w:b/>
        </w:rPr>
      </w:pPr>
    </w:p>
    <w:p w14:paraId="39DABD27" w14:textId="262E25D7" w:rsidR="00397EE5" w:rsidRDefault="00FD128C" w:rsidP="002901C5">
      <w:pPr>
        <w:jc w:val="both"/>
        <w:rPr>
          <w:rFonts w:ascii="Times New Roman" w:hAnsi="Times New Roman" w:cs="Times New Roman"/>
          <w:b/>
        </w:rPr>
      </w:pPr>
      <w:r>
        <w:rPr>
          <w:rFonts w:ascii="Times New Roman" w:hAnsi="Times New Roman" w:cs="Times New Roman"/>
          <w:b/>
        </w:rPr>
        <w:t>A modo de conclusión</w:t>
      </w:r>
    </w:p>
    <w:p w14:paraId="2BAF7582" w14:textId="77777777" w:rsidR="00FD128C" w:rsidRPr="00FD128C" w:rsidRDefault="00FD128C" w:rsidP="002901C5">
      <w:pPr>
        <w:jc w:val="both"/>
        <w:rPr>
          <w:rFonts w:ascii="Times New Roman" w:hAnsi="Times New Roman" w:cs="Times New Roman"/>
          <w:b/>
        </w:rPr>
      </w:pPr>
    </w:p>
    <w:p w14:paraId="2043269A" w14:textId="1CD29F0F" w:rsidR="00CC0293" w:rsidRDefault="00CC0293" w:rsidP="002901C5">
      <w:pPr>
        <w:jc w:val="both"/>
        <w:rPr>
          <w:rFonts w:ascii="Times New Roman" w:hAnsi="Times New Roman" w:cs="Times New Roman"/>
        </w:rPr>
      </w:pPr>
      <w:r>
        <w:rPr>
          <w:rFonts w:ascii="Times New Roman" w:hAnsi="Times New Roman" w:cs="Times New Roman"/>
        </w:rPr>
        <w:t>Denunciar los casos de abuso sexual infantil intrafamiliar conlleva graves perjuicios tanto para los NNA víctimas de abuso, como para sus figuras protectoras, generalmente sus madres. Tal y como se ha recogido a lo largo de la exposición, son varios los artículos de la Convención vulnerados en los casos de procedimientos abiertos tras las denuncias presentadas en los casos de agresión sexual contra NNA fundamentalmente en los casos en que el agresor es el padre y la madre protege.</w:t>
      </w:r>
    </w:p>
    <w:p w14:paraId="79DA60C3" w14:textId="77777777" w:rsidR="00CC0293" w:rsidRDefault="00CC0293" w:rsidP="002901C5">
      <w:pPr>
        <w:jc w:val="both"/>
        <w:rPr>
          <w:rFonts w:ascii="Times New Roman" w:hAnsi="Times New Roman" w:cs="Times New Roman"/>
        </w:rPr>
      </w:pPr>
    </w:p>
    <w:p w14:paraId="197EC67A" w14:textId="3B694AEF" w:rsidR="00CC0293" w:rsidRDefault="00CC0293" w:rsidP="002901C5">
      <w:pPr>
        <w:jc w:val="both"/>
        <w:rPr>
          <w:rFonts w:ascii="Times New Roman" w:hAnsi="Times New Roman" w:cs="Times New Roman"/>
        </w:rPr>
      </w:pPr>
      <w:r>
        <w:rPr>
          <w:rFonts w:ascii="Times New Roman" w:hAnsi="Times New Roman" w:cs="Times New Roman"/>
        </w:rPr>
        <w:t>A continuación, y a modo clarificar esta afirmación, se señalan y justifican los artículos vulnerados:</w:t>
      </w:r>
    </w:p>
    <w:p w14:paraId="402B4F9B" w14:textId="35D72EB5" w:rsidR="00CC0293" w:rsidRDefault="00CC0293" w:rsidP="00CC0293">
      <w:pPr>
        <w:pStyle w:val="Prrafodelista"/>
        <w:numPr>
          <w:ilvl w:val="0"/>
          <w:numId w:val="3"/>
        </w:numPr>
        <w:jc w:val="both"/>
        <w:rPr>
          <w:rFonts w:ascii="Times New Roman" w:hAnsi="Times New Roman" w:cs="Times New Roman"/>
        </w:rPr>
      </w:pPr>
      <w:r>
        <w:rPr>
          <w:rFonts w:ascii="Times New Roman" w:hAnsi="Times New Roman" w:cs="Times New Roman"/>
        </w:rPr>
        <w:t xml:space="preserve">Comenzando con el artículo 1 y unido a la obligación de investigación del Estado parte, estos casos no son investigados adecuadamente y los NNA se encuentran en una situación de desprotección, no cabiendo desconocimiento </w:t>
      </w:r>
      <w:r>
        <w:rPr>
          <w:rFonts w:ascii="Times New Roman" w:hAnsi="Times New Roman" w:cs="Times New Roman"/>
        </w:rPr>
        <w:lastRenderedPageBreak/>
        <w:t xml:space="preserve">cuando diversos estamentos internacionales, investigaciones y </w:t>
      </w:r>
      <w:proofErr w:type="spellStart"/>
      <w:r>
        <w:rPr>
          <w:rFonts w:ascii="Times New Roman" w:hAnsi="Times New Roman" w:cs="Times New Roman"/>
        </w:rPr>
        <w:t>ONGs</w:t>
      </w:r>
      <w:proofErr w:type="spellEnd"/>
      <w:r>
        <w:rPr>
          <w:rFonts w:ascii="Times New Roman" w:hAnsi="Times New Roman" w:cs="Times New Roman"/>
        </w:rPr>
        <w:t xml:space="preserve"> que vienen denunciando esta realidad desde hace décadas.</w:t>
      </w:r>
    </w:p>
    <w:p w14:paraId="6DB651C1" w14:textId="7C8140C7" w:rsidR="00D9626B" w:rsidRDefault="00D9626B" w:rsidP="00CC0293">
      <w:pPr>
        <w:pStyle w:val="Prrafodelista"/>
        <w:numPr>
          <w:ilvl w:val="0"/>
          <w:numId w:val="3"/>
        </w:numPr>
        <w:jc w:val="both"/>
        <w:rPr>
          <w:rFonts w:ascii="Times New Roman" w:hAnsi="Times New Roman" w:cs="Times New Roman"/>
        </w:rPr>
      </w:pPr>
      <w:r>
        <w:rPr>
          <w:rFonts w:ascii="Times New Roman" w:hAnsi="Times New Roman" w:cs="Times New Roman"/>
        </w:rPr>
        <w:t xml:space="preserve">Si bien es cierto que unido al artículo 2 se han dado grandes avances a nivel legislativo, desde diferentes relatorías ya se ha señalado que el problema a solucionar no era la normativa, sino la forma en la que esta se venía aplicando. Por ejemplo, y unido al artículo 2.3., no cabe invocar al interés superior del menor para una </w:t>
      </w:r>
      <w:proofErr w:type="spellStart"/>
      <w:r>
        <w:rPr>
          <w:rFonts w:ascii="Times New Roman" w:hAnsi="Times New Roman" w:cs="Times New Roman"/>
        </w:rPr>
        <w:t>revinculación</w:t>
      </w:r>
      <w:proofErr w:type="spellEnd"/>
      <w:r>
        <w:rPr>
          <w:rFonts w:ascii="Times New Roman" w:hAnsi="Times New Roman" w:cs="Times New Roman"/>
        </w:rPr>
        <w:t xml:space="preserve"> paterna, con un procedimiento por agresión sexual contra ese NNA abierto.</w:t>
      </w:r>
    </w:p>
    <w:p w14:paraId="406A9CEB" w14:textId="03A8E20B" w:rsidR="00D9626B" w:rsidRDefault="00D9626B" w:rsidP="00CC0293">
      <w:pPr>
        <w:pStyle w:val="Prrafodelista"/>
        <w:numPr>
          <w:ilvl w:val="0"/>
          <w:numId w:val="3"/>
        </w:numPr>
        <w:jc w:val="both"/>
        <w:rPr>
          <w:rFonts w:ascii="Times New Roman" w:hAnsi="Times New Roman" w:cs="Times New Roman"/>
        </w:rPr>
      </w:pPr>
      <w:r>
        <w:rPr>
          <w:rFonts w:ascii="Times New Roman" w:hAnsi="Times New Roman" w:cs="Times New Roman"/>
        </w:rPr>
        <w:t>De la misma manera, no existe una dación de cuentas cuando estos hechos se dan, como quedó probado en el caso Ángela González Carreño contra España, uniéndolo al artículo 4 de la Convención.</w:t>
      </w:r>
    </w:p>
    <w:p w14:paraId="3B1330BF" w14:textId="7FFBCB42" w:rsidR="00D9626B" w:rsidRDefault="00D9626B" w:rsidP="00CC0293">
      <w:pPr>
        <w:pStyle w:val="Prrafodelista"/>
        <w:numPr>
          <w:ilvl w:val="0"/>
          <w:numId w:val="3"/>
        </w:numPr>
        <w:jc w:val="both"/>
        <w:rPr>
          <w:rFonts w:ascii="Times New Roman" w:hAnsi="Times New Roman" w:cs="Times New Roman"/>
        </w:rPr>
      </w:pPr>
      <w:r>
        <w:rPr>
          <w:rFonts w:ascii="Times New Roman" w:hAnsi="Times New Roman" w:cs="Times New Roman"/>
        </w:rPr>
        <w:t>Esta falta de dación de cuentas está íntimamente relacionada con el artículo 9 y 12 y la falta de investigación (</w:t>
      </w:r>
      <w:r w:rsidR="00FD128C">
        <w:rPr>
          <w:rFonts w:ascii="Times New Roman" w:hAnsi="Times New Roman" w:cs="Times New Roman"/>
        </w:rPr>
        <w:t>inacción por</w:t>
      </w:r>
      <w:r>
        <w:rPr>
          <w:rFonts w:ascii="Times New Roman" w:hAnsi="Times New Roman" w:cs="Times New Roman"/>
        </w:rPr>
        <w:t xml:space="preserve"> de fiscalía y jueces de instrucción) en este tipo de delitos de agresión sexual contra NNA en el ámbito intrafamiliar. Unido este hecho con el artículo 10, ya que la necesidad de formación de todos los agentes que toman parte en estos procedimientos adolecen de la misma a pesar de que esta cuestión es señalada como fundamental por diferente normativa además de la Convención. Los avances dados en este campo son claramente insuficientes.</w:t>
      </w:r>
    </w:p>
    <w:p w14:paraId="367B0EA7" w14:textId="33FC956E" w:rsidR="00D9626B" w:rsidRDefault="00D9626B" w:rsidP="00CC0293">
      <w:pPr>
        <w:pStyle w:val="Prrafodelista"/>
        <w:numPr>
          <w:ilvl w:val="0"/>
          <w:numId w:val="3"/>
        </w:numPr>
        <w:jc w:val="both"/>
        <w:rPr>
          <w:rFonts w:ascii="Times New Roman" w:hAnsi="Times New Roman" w:cs="Times New Roman"/>
        </w:rPr>
      </w:pPr>
      <w:r>
        <w:rPr>
          <w:rFonts w:ascii="Times New Roman" w:hAnsi="Times New Roman" w:cs="Times New Roman"/>
        </w:rPr>
        <w:t>Todo lo mencionado respecto a los Puntos de Encuentro familiar y la posibilidad de presentar quejas por los informes realizados, suponen una vulneración del artículo 13.</w:t>
      </w:r>
    </w:p>
    <w:p w14:paraId="431D06AA" w14:textId="77777777" w:rsidR="00D9626B" w:rsidRDefault="00D9626B" w:rsidP="00D9626B">
      <w:pPr>
        <w:jc w:val="both"/>
        <w:rPr>
          <w:rFonts w:ascii="Times New Roman" w:hAnsi="Times New Roman" w:cs="Times New Roman"/>
        </w:rPr>
      </w:pPr>
    </w:p>
    <w:p w14:paraId="657A1B5F" w14:textId="69524F81" w:rsidR="00D9626B" w:rsidRDefault="00D9626B" w:rsidP="00D9626B">
      <w:pPr>
        <w:jc w:val="both"/>
        <w:rPr>
          <w:rFonts w:ascii="Times New Roman" w:hAnsi="Times New Roman" w:cs="Times New Roman"/>
        </w:rPr>
      </w:pPr>
      <w:r>
        <w:rPr>
          <w:rFonts w:ascii="Times New Roman" w:hAnsi="Times New Roman" w:cs="Times New Roman"/>
        </w:rPr>
        <w:t>Finalmente y respecto al artículo 14, haciendo referencia al derecho de reparación, unido al derecho a la salud y a la vida, es en la práctica imposible cuando este derecho viene condicionado por el permiso del presunto agresor a que estos NNA tengan opción siquiera a recibir una terapia.</w:t>
      </w:r>
    </w:p>
    <w:p w14:paraId="2F29E952" w14:textId="77777777" w:rsidR="00FD128C" w:rsidRDefault="00FD128C" w:rsidP="00D9626B">
      <w:pPr>
        <w:jc w:val="both"/>
        <w:rPr>
          <w:rFonts w:ascii="Times New Roman" w:hAnsi="Times New Roman" w:cs="Times New Roman"/>
        </w:rPr>
      </w:pPr>
    </w:p>
    <w:p w14:paraId="2C22A61C" w14:textId="484B46D4" w:rsidR="00FD128C" w:rsidRDefault="00FD128C" w:rsidP="00D9626B">
      <w:pPr>
        <w:jc w:val="both"/>
        <w:rPr>
          <w:rFonts w:ascii="Times New Roman" w:hAnsi="Times New Roman" w:cs="Times New Roman"/>
        </w:rPr>
      </w:pPr>
      <w:r>
        <w:rPr>
          <w:rFonts w:ascii="Times New Roman" w:hAnsi="Times New Roman" w:cs="Times New Roman"/>
        </w:rPr>
        <w:t>Con todo ello, es necesario:</w:t>
      </w:r>
      <w:bookmarkStart w:id="3" w:name="_GoBack"/>
      <w:bookmarkEnd w:id="3"/>
    </w:p>
    <w:p w14:paraId="77AD338F" w14:textId="25B493B6" w:rsidR="00FD128C" w:rsidRPr="00FD128C" w:rsidRDefault="00FD128C" w:rsidP="00FD128C">
      <w:pPr>
        <w:jc w:val="both"/>
        <w:rPr>
          <w:rFonts w:ascii="Times New Roman" w:hAnsi="Times New Roman" w:cs="Times New Roman"/>
        </w:rPr>
      </w:pPr>
      <w:r w:rsidRPr="00FD128C">
        <w:rPr>
          <w:rFonts w:ascii="Times New Roman" w:hAnsi="Times New Roman" w:cs="Times New Roman"/>
        </w:rPr>
        <w:t xml:space="preserve">1. Mayor concreción </w:t>
      </w:r>
      <w:r>
        <w:rPr>
          <w:rFonts w:ascii="Times New Roman" w:hAnsi="Times New Roman" w:cs="Times New Roman"/>
        </w:rPr>
        <w:t>de la normativa para definir SAP</w:t>
      </w:r>
      <w:r w:rsidRPr="00FD128C">
        <w:rPr>
          <w:rFonts w:ascii="Times New Roman" w:hAnsi="Times New Roman" w:cs="Times New Roman"/>
        </w:rPr>
        <w:t xml:space="preserve">, establecer mecanismos de seguimiento y control y </w:t>
      </w:r>
      <w:r>
        <w:rPr>
          <w:rFonts w:ascii="Times New Roman" w:hAnsi="Times New Roman" w:cs="Times New Roman"/>
        </w:rPr>
        <w:t>debe recogerse un régimen</w:t>
      </w:r>
      <w:r w:rsidRPr="00FD128C">
        <w:rPr>
          <w:rFonts w:ascii="Times New Roman" w:hAnsi="Times New Roman" w:cs="Times New Roman"/>
        </w:rPr>
        <w:t xml:space="preserve"> s</w:t>
      </w:r>
      <w:r>
        <w:rPr>
          <w:rFonts w:ascii="Times New Roman" w:hAnsi="Times New Roman" w:cs="Times New Roman"/>
        </w:rPr>
        <w:t>ancionador en caso de que sea aplicado a pesar de su prohibición</w:t>
      </w:r>
      <w:r w:rsidRPr="00FD128C">
        <w:rPr>
          <w:rFonts w:ascii="Times New Roman" w:hAnsi="Times New Roman" w:cs="Times New Roman"/>
        </w:rPr>
        <w:t>. </w:t>
      </w:r>
    </w:p>
    <w:p w14:paraId="4A9FE26B" w14:textId="77777777" w:rsidR="00FD128C" w:rsidRPr="00FD128C" w:rsidRDefault="00FD128C" w:rsidP="00FD128C">
      <w:pPr>
        <w:jc w:val="both"/>
        <w:rPr>
          <w:rFonts w:ascii="Times New Roman" w:hAnsi="Times New Roman" w:cs="Times New Roman"/>
        </w:rPr>
      </w:pPr>
      <w:r w:rsidRPr="00FD128C">
        <w:rPr>
          <w:rFonts w:ascii="Times New Roman" w:hAnsi="Times New Roman" w:cs="Times New Roman"/>
        </w:rPr>
        <w:t>2. Depuración de responsabilidades por parte de los profesionales que lo han aplicado.</w:t>
      </w:r>
    </w:p>
    <w:p w14:paraId="72BE0B3E" w14:textId="63BDFE56" w:rsidR="00FD128C" w:rsidRPr="00FD128C" w:rsidRDefault="00FD128C" w:rsidP="00FD128C">
      <w:pPr>
        <w:jc w:val="both"/>
        <w:rPr>
          <w:rFonts w:ascii="Times New Roman" w:hAnsi="Times New Roman" w:cs="Times New Roman"/>
        </w:rPr>
      </w:pPr>
      <w:r w:rsidRPr="00FD128C">
        <w:rPr>
          <w:rFonts w:ascii="Times New Roman" w:hAnsi="Times New Roman" w:cs="Times New Roman"/>
        </w:rPr>
        <w:t>3. Proceso de revisión sistemático d</w:t>
      </w:r>
      <w:r>
        <w:rPr>
          <w:rFonts w:ascii="Times New Roman" w:hAnsi="Times New Roman" w:cs="Times New Roman"/>
        </w:rPr>
        <w:t xml:space="preserve">e sentencias basadas en </w:t>
      </w:r>
      <w:proofErr w:type="spellStart"/>
      <w:r>
        <w:rPr>
          <w:rFonts w:ascii="Times New Roman" w:hAnsi="Times New Roman" w:cs="Times New Roman"/>
        </w:rPr>
        <w:t>argumentario</w:t>
      </w:r>
      <w:proofErr w:type="spellEnd"/>
      <w:r>
        <w:rPr>
          <w:rFonts w:ascii="Times New Roman" w:hAnsi="Times New Roman" w:cs="Times New Roman"/>
        </w:rPr>
        <w:t xml:space="preserve"> SAP</w:t>
      </w:r>
      <w:r w:rsidRPr="00FD128C">
        <w:rPr>
          <w:rFonts w:ascii="Times New Roman" w:hAnsi="Times New Roman" w:cs="Times New Roman"/>
        </w:rPr>
        <w:t>, con especial urgencia en aquellos casos en los que las medidas siguen vigentes afectando a menores de edad o a la libertad de madres denunciantes y en aquellos otros que están en vía de tramitación en el momento actual.</w:t>
      </w:r>
    </w:p>
    <w:p w14:paraId="7FC24AB2" w14:textId="61C3B5CF" w:rsidR="00FD128C" w:rsidRPr="00FD128C" w:rsidRDefault="00FD128C" w:rsidP="00FD128C">
      <w:pPr>
        <w:jc w:val="both"/>
        <w:rPr>
          <w:rFonts w:ascii="Times New Roman" w:hAnsi="Times New Roman" w:cs="Times New Roman"/>
        </w:rPr>
      </w:pPr>
      <w:r>
        <w:rPr>
          <w:rFonts w:ascii="Times New Roman" w:hAnsi="Times New Roman" w:cs="Times New Roman"/>
        </w:rPr>
        <w:t>4. Poner en marcha mecanismos dirigidos a la r</w:t>
      </w:r>
      <w:r w:rsidRPr="00FD128C">
        <w:rPr>
          <w:rFonts w:ascii="Times New Roman" w:hAnsi="Times New Roman" w:cs="Times New Roman"/>
        </w:rPr>
        <w:t>eparación a las víctimas.</w:t>
      </w:r>
    </w:p>
    <w:p w14:paraId="75E8BE6F" w14:textId="77777777" w:rsidR="00FD128C" w:rsidRPr="00D9626B" w:rsidRDefault="00FD128C" w:rsidP="00D9626B">
      <w:pPr>
        <w:jc w:val="both"/>
        <w:rPr>
          <w:rFonts w:ascii="Times New Roman" w:hAnsi="Times New Roman" w:cs="Times New Roman"/>
        </w:rPr>
      </w:pPr>
    </w:p>
    <w:p w14:paraId="6959583F" w14:textId="77777777" w:rsidR="00D9626B" w:rsidRDefault="00D9626B" w:rsidP="00D9626B">
      <w:pPr>
        <w:ind w:left="360"/>
        <w:jc w:val="both"/>
        <w:rPr>
          <w:rFonts w:ascii="Times New Roman" w:hAnsi="Times New Roman" w:cs="Times New Roman"/>
        </w:rPr>
      </w:pPr>
    </w:p>
    <w:p w14:paraId="79B1A593" w14:textId="77777777" w:rsidR="00FD128C" w:rsidRPr="00D9626B" w:rsidRDefault="00FD128C" w:rsidP="00D9626B">
      <w:pPr>
        <w:ind w:left="360"/>
        <w:jc w:val="both"/>
        <w:rPr>
          <w:rFonts w:ascii="Times New Roman" w:hAnsi="Times New Roman" w:cs="Times New Roman"/>
        </w:rPr>
      </w:pPr>
    </w:p>
    <w:p w14:paraId="4AEA581D" w14:textId="77777777" w:rsidR="00CC0293" w:rsidRPr="0016238D" w:rsidRDefault="00CC0293" w:rsidP="002901C5">
      <w:pPr>
        <w:jc w:val="both"/>
        <w:rPr>
          <w:rFonts w:ascii="Times New Roman" w:hAnsi="Times New Roman" w:cs="Times New Roman"/>
        </w:rPr>
      </w:pPr>
    </w:p>
    <w:sectPr w:rsidR="00CC0293" w:rsidRPr="0016238D" w:rsidSect="00363E06">
      <w:footerReference w:type="default" r:id="rId11"/>
      <w:headerReference w:type="first" r:id="rId12"/>
      <w:footerReference w:type="first" r:id="rId13"/>
      <w:pgSz w:w="11906" w:h="16838"/>
      <w:pgMar w:top="1417" w:right="1701" w:bottom="1417" w:left="1701" w:header="708" w:footer="31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AC06C6" w14:textId="77777777" w:rsidR="002E1890" w:rsidRDefault="002E1890" w:rsidP="00397EE5">
      <w:r>
        <w:separator/>
      </w:r>
    </w:p>
  </w:endnote>
  <w:endnote w:type="continuationSeparator" w:id="0">
    <w:p w14:paraId="3EABE2D6" w14:textId="77777777" w:rsidR="002E1890" w:rsidRDefault="002E1890" w:rsidP="0039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rebuchetMS">
    <w:altName w:val="Trebuchet MS"/>
    <w:charset w:val="00"/>
    <w:family w:val="swiss"/>
    <w:pitch w:val="variable"/>
    <w:sig w:usb0="00000001"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B4E01" w14:textId="77777777" w:rsidR="008059C7" w:rsidRPr="001C34AD" w:rsidRDefault="008059C7" w:rsidP="008059C7">
    <w:pPr>
      <w:shd w:val="clear" w:color="auto" w:fill="FFFFFF"/>
      <w:suppressAutoHyphens w:val="0"/>
      <w:jc w:val="center"/>
      <w:textAlignment w:val="baseline"/>
      <w:outlineLvl w:val="0"/>
      <w:rPr>
        <w:rFonts w:ascii="Arial" w:eastAsia="Times New Roman" w:hAnsi="Arial" w:cs="Arial"/>
        <w:color w:val="222222"/>
        <w:kern w:val="36"/>
        <w:sz w:val="40"/>
        <w:szCs w:val="40"/>
        <w:lang w:eastAsia="es-ES" w:bidi="ar-SA"/>
      </w:rPr>
    </w:pPr>
    <w:r>
      <w:rPr>
        <w:rFonts w:asciiTheme="minorHAnsi" w:hAnsiTheme="minorHAnsi" w:cstheme="minorHAnsi"/>
        <w:b/>
        <w:noProof/>
        <w:color w:val="000000" w:themeColor="text1"/>
        <w:sz w:val="48"/>
        <w:szCs w:val="48"/>
        <w:lang w:eastAsia="es-ES" w:bidi="ar-SA"/>
      </w:rPr>
      <w:drawing>
        <wp:anchor distT="0" distB="0" distL="114300" distR="114300" simplePos="0" relativeHeight="251659264" behindDoc="0" locked="0" layoutInCell="1" allowOverlap="1" wp14:anchorId="1149CE4F" wp14:editId="577C57EF">
          <wp:simplePos x="0" y="0"/>
          <wp:positionH relativeFrom="margin">
            <wp:posOffset>4834890</wp:posOffset>
          </wp:positionH>
          <wp:positionV relativeFrom="margin">
            <wp:posOffset>8987155</wp:posOffset>
          </wp:positionV>
          <wp:extent cx="533400" cy="533400"/>
          <wp:effectExtent l="0" t="0" r="0" b="0"/>
          <wp:wrapSquare wrapText="bothSides"/>
          <wp:docPr id="2" name="Imagen 2" descr="E:\amak\CAT JULIO 2023\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mak\CAT JULIO 2023\descar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hyperlink r:id="rId2" w:tooltip="Agamme" w:history="1">
      <w:proofErr w:type="spellStart"/>
      <w:r w:rsidRPr="001C34AD">
        <w:rPr>
          <w:rFonts w:ascii="inherit" w:eastAsia="Times New Roman" w:hAnsi="inherit" w:cs="Arial"/>
          <w:color w:val="444444"/>
          <w:kern w:val="36"/>
          <w:sz w:val="40"/>
          <w:szCs w:val="40"/>
          <w:bdr w:val="none" w:sz="0" w:space="0" w:color="auto" w:frame="1"/>
          <w:lang w:eastAsia="es-ES" w:bidi="ar-SA"/>
        </w:rPr>
        <w:t>Agamme</w:t>
      </w:r>
      <w:proofErr w:type="spellEnd"/>
    </w:hyperlink>
  </w:p>
  <w:p w14:paraId="66FC6543" w14:textId="77777777" w:rsidR="00397EE5" w:rsidRPr="00397EE5" w:rsidRDefault="008059C7" w:rsidP="008059C7">
    <w:pPr>
      <w:shd w:val="clear" w:color="auto" w:fill="FFFFFF"/>
      <w:suppressAutoHyphens w:val="0"/>
      <w:spacing w:after="225"/>
      <w:textAlignment w:val="baseline"/>
      <w:rPr>
        <w:rFonts w:ascii="Arial" w:eastAsia="Times New Roman" w:hAnsi="Arial" w:cs="Arial"/>
        <w:color w:val="666666"/>
        <w:kern w:val="0"/>
        <w:sz w:val="22"/>
        <w:szCs w:val="22"/>
        <w:lang w:eastAsia="es-ES" w:bidi="ar-SA"/>
      </w:rPr>
    </w:pPr>
    <w:r>
      <w:rPr>
        <w:rFonts w:ascii="Arial" w:eastAsia="Times New Roman" w:hAnsi="Arial" w:cs="Arial"/>
        <w:color w:val="666666"/>
        <w:kern w:val="0"/>
        <w:sz w:val="22"/>
        <w:szCs w:val="22"/>
        <w:lang w:eastAsia="es-ES" w:bidi="ar-SA"/>
      </w:rPr>
      <w:t xml:space="preserve">                                                  </w:t>
    </w:r>
    <w:r w:rsidR="00397EE5" w:rsidRPr="001C34AD">
      <w:rPr>
        <w:rFonts w:ascii="Arial" w:eastAsia="Times New Roman" w:hAnsi="Arial" w:cs="Arial"/>
        <w:color w:val="666666"/>
        <w:kern w:val="0"/>
        <w:sz w:val="22"/>
        <w:szCs w:val="22"/>
        <w:lang w:eastAsia="es-ES" w:bidi="ar-SA"/>
      </w:rPr>
      <w:t>Asociación galega contra o maltrato a menore</w:t>
    </w:r>
    <w:r w:rsidR="00397EE5">
      <w:rPr>
        <w:rFonts w:ascii="Arial" w:eastAsia="Times New Roman" w:hAnsi="Arial" w:cs="Arial"/>
        <w:color w:val="666666"/>
        <w:kern w:val="0"/>
        <w:sz w:val="22"/>
        <w:szCs w:val="22"/>
        <w:lang w:eastAsia="es-ES" w:bidi="ar-SA"/>
      </w:rPr>
      <w:t>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D47410" w14:textId="77777777" w:rsidR="008059C7" w:rsidRDefault="008059C7">
    <w:pPr>
      <w:pStyle w:val="Piedepgina"/>
    </w:pPr>
  </w:p>
  <w:p w14:paraId="04754F20" w14:textId="77777777" w:rsidR="008059C7" w:rsidRDefault="008059C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0F9C18" w14:textId="77777777" w:rsidR="002E1890" w:rsidRDefault="002E1890" w:rsidP="00397EE5">
      <w:r>
        <w:separator/>
      </w:r>
    </w:p>
  </w:footnote>
  <w:footnote w:type="continuationSeparator" w:id="0">
    <w:p w14:paraId="24CDEA98" w14:textId="77777777" w:rsidR="002E1890" w:rsidRDefault="002E1890" w:rsidP="00397EE5">
      <w:r>
        <w:continuationSeparator/>
      </w:r>
    </w:p>
  </w:footnote>
  <w:footnote w:id="1">
    <w:p w14:paraId="58463E3F" w14:textId="2249D931" w:rsidR="0016238D" w:rsidRDefault="0016238D" w:rsidP="00385BB5">
      <w:pPr>
        <w:pStyle w:val="Textonotapie"/>
        <w:jc w:val="both"/>
      </w:pPr>
      <w:r>
        <w:rPr>
          <w:rStyle w:val="Refdenotaalpie"/>
        </w:rPr>
        <w:footnoteRef/>
      </w:r>
      <w:r>
        <w:t xml:space="preserve"> </w:t>
      </w:r>
      <w:proofErr w:type="spellStart"/>
      <w:r w:rsidR="00385BB5" w:rsidRPr="00385BB5">
        <w:rPr>
          <w:rFonts w:ascii="Book Antiqua" w:hAnsi="Book Antiqua"/>
        </w:rPr>
        <w:t>Save</w:t>
      </w:r>
      <w:proofErr w:type="spellEnd"/>
      <w:r w:rsidR="00385BB5" w:rsidRPr="00385BB5">
        <w:rPr>
          <w:rFonts w:ascii="Book Antiqua" w:hAnsi="Book Antiqua"/>
        </w:rPr>
        <w:t xml:space="preserve"> </w:t>
      </w:r>
      <w:proofErr w:type="spellStart"/>
      <w:r w:rsidR="00385BB5" w:rsidRPr="00385BB5">
        <w:rPr>
          <w:rFonts w:ascii="Book Antiqua" w:hAnsi="Book Antiqua"/>
        </w:rPr>
        <w:t>the</w:t>
      </w:r>
      <w:proofErr w:type="spellEnd"/>
      <w:r w:rsidR="00385BB5" w:rsidRPr="00385BB5">
        <w:rPr>
          <w:rFonts w:ascii="Book Antiqua" w:hAnsi="Book Antiqua"/>
        </w:rPr>
        <w:t xml:space="preserve"> </w:t>
      </w:r>
      <w:proofErr w:type="spellStart"/>
      <w:r w:rsidR="00385BB5" w:rsidRPr="00385BB5">
        <w:rPr>
          <w:rFonts w:ascii="Book Antiqua" w:hAnsi="Book Antiqua"/>
        </w:rPr>
        <w:t>Childre</w:t>
      </w:r>
      <w:r w:rsidR="00385BB5">
        <w:rPr>
          <w:rFonts w:ascii="Book Antiqua" w:hAnsi="Book Antiqua"/>
        </w:rPr>
        <w:t>n</w:t>
      </w:r>
      <w:proofErr w:type="spellEnd"/>
      <w:r w:rsidR="00385BB5" w:rsidRPr="00385BB5">
        <w:rPr>
          <w:rFonts w:ascii="Book Antiqua" w:hAnsi="Book Antiqua"/>
        </w:rPr>
        <w:t>, 2017, ojos que no quieren ver, realiza una estimación utilizando como fuente la memoria de fiscalía, donde se sitúa la media de España en un 72,2 % de sobreseimientos, llegando en comunidades como Navarra (94,9 %) y Aragón (93,3 %) cerca del 100 % de los casos.</w:t>
      </w:r>
    </w:p>
  </w:footnote>
  <w:footnote w:id="2">
    <w:p w14:paraId="3D0FDF04" w14:textId="793C3BDA" w:rsidR="00385BB5" w:rsidRDefault="00385BB5">
      <w:pPr>
        <w:pStyle w:val="Textonotapie"/>
      </w:pPr>
      <w:r>
        <w:rPr>
          <w:rStyle w:val="Refdenotaalpie"/>
          <w:rFonts w:hint="eastAsia"/>
        </w:rPr>
        <w:footnoteRef/>
      </w:r>
      <w:r>
        <w:rPr>
          <w:rFonts w:hint="eastAsia"/>
        </w:rPr>
        <w:t xml:space="preserve"> </w:t>
      </w:r>
      <w:hyperlink r:id="rId1" w:history="1">
        <w:r w:rsidRPr="00FB74FD">
          <w:rPr>
            <w:rStyle w:val="Hipervnculo"/>
            <w:rFonts w:hint="eastAsia"/>
          </w:rPr>
          <w:t>https://scielo.isciii.es/scielo.php?script=sci_arttext&amp;pid=S0211-57352010000300013</w:t>
        </w:r>
      </w:hyperlink>
    </w:p>
  </w:footnote>
  <w:footnote w:id="3">
    <w:p w14:paraId="19CEC93C" w14:textId="77777777" w:rsidR="0009148F" w:rsidRPr="0054417F" w:rsidRDefault="0009148F" w:rsidP="0054417F">
      <w:pPr>
        <w:pStyle w:val="NormalWeb"/>
        <w:shd w:val="clear" w:color="auto" w:fill="FFFFFF"/>
        <w:jc w:val="both"/>
        <w:rPr>
          <w:rFonts w:ascii="Book Antiqua" w:hAnsi="Book Antiqua" w:cstheme="minorHAnsi"/>
          <w:color w:val="000000"/>
          <w:sz w:val="18"/>
          <w:szCs w:val="18"/>
        </w:rPr>
      </w:pPr>
      <w:r w:rsidRPr="0054417F">
        <w:rPr>
          <w:rStyle w:val="Refdenotaalpie"/>
          <w:rFonts w:ascii="Book Antiqua" w:hAnsi="Book Antiqua" w:cstheme="minorHAnsi"/>
          <w:sz w:val="18"/>
          <w:szCs w:val="18"/>
        </w:rPr>
        <w:footnoteRef/>
      </w:r>
      <w:r w:rsidRPr="0054417F">
        <w:rPr>
          <w:rFonts w:ascii="Book Antiqua" w:hAnsi="Book Antiqua" w:cstheme="minorHAnsi"/>
          <w:sz w:val="18"/>
          <w:szCs w:val="18"/>
        </w:rPr>
        <w:t xml:space="preserve"> Citas extraídas de “</w:t>
      </w:r>
      <w:r w:rsidRPr="0054417F">
        <w:rPr>
          <w:rFonts w:ascii="Book Antiqua" w:hAnsi="Book Antiqua" w:cstheme="minorHAnsi"/>
          <w:bCs/>
          <w:color w:val="000000"/>
          <w:sz w:val="18"/>
          <w:szCs w:val="18"/>
        </w:rPr>
        <w:t>La lógica del Síndrome de Alienación Parental de Gardner (SAP): "terapia de la amenaza"”. Antonio Escudero </w:t>
      </w:r>
      <w:r w:rsidRPr="0054417F">
        <w:rPr>
          <w:rFonts w:ascii="Book Antiqua" w:hAnsi="Book Antiqua" w:cstheme="minorHAnsi"/>
          <w:bCs/>
          <w:color w:val="000000"/>
          <w:sz w:val="18"/>
          <w:szCs w:val="18"/>
          <w:vertAlign w:val="superscript"/>
        </w:rPr>
        <w:t>1</w:t>
      </w:r>
      <w:r w:rsidRPr="0054417F">
        <w:rPr>
          <w:rFonts w:ascii="Book Antiqua" w:hAnsi="Book Antiqua" w:cstheme="minorHAnsi"/>
          <w:bCs/>
          <w:color w:val="000000"/>
          <w:sz w:val="18"/>
          <w:szCs w:val="18"/>
        </w:rPr>
        <w:t>, Lola Aguilar </w:t>
      </w:r>
      <w:r w:rsidRPr="0054417F">
        <w:rPr>
          <w:rFonts w:ascii="Book Antiqua" w:hAnsi="Book Antiqua" w:cstheme="minorHAnsi"/>
          <w:bCs/>
          <w:color w:val="000000"/>
          <w:sz w:val="18"/>
          <w:szCs w:val="18"/>
          <w:vertAlign w:val="superscript"/>
        </w:rPr>
        <w:t>2</w:t>
      </w:r>
      <w:r w:rsidRPr="0054417F">
        <w:rPr>
          <w:rFonts w:ascii="Book Antiqua" w:hAnsi="Book Antiqua" w:cstheme="minorHAnsi"/>
          <w:bCs/>
          <w:color w:val="000000"/>
          <w:sz w:val="18"/>
          <w:szCs w:val="18"/>
        </w:rPr>
        <w:t> y Julia de la Cruz </w:t>
      </w:r>
      <w:r w:rsidR="0054417F">
        <w:rPr>
          <w:rFonts w:ascii="Book Antiqua" w:hAnsi="Book Antiqua" w:cstheme="minorHAnsi"/>
          <w:bCs/>
          <w:color w:val="000000"/>
          <w:sz w:val="18"/>
          <w:szCs w:val="18"/>
          <w:vertAlign w:val="superscript"/>
        </w:rPr>
        <w:t>3.</w:t>
      </w:r>
      <w:r w:rsidRPr="0054417F">
        <w:rPr>
          <w:rFonts w:ascii="Book Antiqua" w:hAnsi="Book Antiqua" w:cstheme="minorHAnsi"/>
          <w:color w:val="000000"/>
          <w:sz w:val="18"/>
          <w:szCs w:val="18"/>
        </w:rPr>
        <w:t xml:space="preserve"> Revista de la asociación Española de Neuropsi</w:t>
      </w:r>
      <w:r w:rsidR="0054417F">
        <w:rPr>
          <w:rFonts w:ascii="Book Antiqua" w:hAnsi="Book Antiqua" w:cstheme="minorHAnsi"/>
          <w:color w:val="000000"/>
          <w:sz w:val="18"/>
          <w:szCs w:val="18"/>
        </w:rPr>
        <w:t>quiatría. Vol. 28, nº 2. Madrid</w:t>
      </w:r>
      <w:r w:rsidRPr="0054417F">
        <w:rPr>
          <w:rFonts w:ascii="Book Antiqua" w:hAnsi="Book Antiqua" w:cstheme="minorHAnsi"/>
          <w:color w:val="000000"/>
          <w:sz w:val="18"/>
          <w:szCs w:val="18"/>
        </w:rPr>
        <w:t>, 2008.</w:t>
      </w:r>
    </w:p>
    <w:p w14:paraId="2D0ACE2D" w14:textId="77777777" w:rsidR="0009148F" w:rsidRPr="00522923" w:rsidRDefault="0009148F" w:rsidP="0054417F">
      <w:pPr>
        <w:pStyle w:val="NormalWeb"/>
        <w:shd w:val="clear" w:color="auto" w:fill="FFFFFF"/>
        <w:jc w:val="both"/>
        <w:rPr>
          <w:rFonts w:ascii="Book Antiqua" w:hAnsi="Book Antiqua" w:cstheme="minorHAnsi"/>
          <w:color w:val="000000"/>
          <w:sz w:val="18"/>
          <w:szCs w:val="18"/>
          <w:lang w:val="en-US"/>
        </w:rPr>
      </w:pPr>
      <w:r w:rsidRPr="0054417F">
        <w:rPr>
          <w:rFonts w:ascii="Book Antiqua" w:hAnsi="Book Antiqua" w:cstheme="minorHAnsi"/>
          <w:color w:val="000000"/>
          <w:sz w:val="18"/>
          <w:szCs w:val="18"/>
        </w:rPr>
        <w:t>1 Psiquiatra. Centro de Salud Mental del Distrito de Majadahonda. Madrid;</w:t>
      </w:r>
      <w:r w:rsidRPr="0054417F">
        <w:rPr>
          <w:rFonts w:ascii="Book Antiqua" w:hAnsi="Book Antiqua" w:cstheme="minorHAnsi"/>
          <w:color w:val="000000"/>
          <w:sz w:val="18"/>
          <w:szCs w:val="18"/>
        </w:rPr>
        <w:br/>
        <w:t>2 Médica Pediatra. Directora del Centro de Atención, Recuperación y Reinserción de Mujeres y Niños/as Víctimas de Violencia de Género (C.A.R.R.M.M.). En excedencia SESCAM;</w:t>
      </w:r>
      <w:r w:rsidRPr="0054417F">
        <w:rPr>
          <w:rFonts w:ascii="Book Antiqua" w:hAnsi="Book Antiqua" w:cstheme="minorHAnsi"/>
          <w:color w:val="000000"/>
          <w:sz w:val="18"/>
          <w:szCs w:val="18"/>
        </w:rPr>
        <w:br/>
        <w:t xml:space="preserve">3 Cirujana general. Servicio de Cirugía General del Hospital Universitario Príncipe de Asturias. </w:t>
      </w:r>
      <w:r w:rsidRPr="00522923">
        <w:rPr>
          <w:rFonts w:ascii="Book Antiqua" w:hAnsi="Book Antiqua" w:cstheme="minorHAnsi"/>
          <w:color w:val="000000"/>
          <w:sz w:val="18"/>
          <w:szCs w:val="18"/>
          <w:lang w:val="en-US"/>
        </w:rPr>
        <w:t>Alcalá de Henares. Madrid.</w:t>
      </w:r>
    </w:p>
    <w:p w14:paraId="129463DA" w14:textId="77777777" w:rsidR="0009148F" w:rsidRPr="00522923" w:rsidRDefault="0009148F" w:rsidP="0009148F">
      <w:pPr>
        <w:pStyle w:val="Textonotapie"/>
        <w:rPr>
          <w:lang w:val="en-US"/>
        </w:rPr>
      </w:pPr>
    </w:p>
  </w:footnote>
  <w:footnote w:id="4">
    <w:p w14:paraId="7C306AF5" w14:textId="2985C6A8" w:rsidR="003C4C00" w:rsidRDefault="003C4C00">
      <w:pPr>
        <w:pStyle w:val="Textonotapie"/>
      </w:pPr>
      <w:r>
        <w:rPr>
          <w:rStyle w:val="Refdenotaalpie"/>
          <w:rFonts w:hint="eastAsia"/>
        </w:rPr>
        <w:footnoteRef/>
      </w:r>
      <w:r w:rsidRPr="00522923">
        <w:rPr>
          <w:rFonts w:hint="eastAsia"/>
          <w:lang w:val="en-US"/>
        </w:rPr>
        <w:t xml:space="preserve"> </w:t>
      </w:r>
      <w:r w:rsidRPr="00522923">
        <w:rPr>
          <w:rFonts w:cstheme="minorHAnsi"/>
          <w:bCs/>
          <w:lang w:val="en-US"/>
        </w:rPr>
        <w:t xml:space="preserve">Dallam, Stephanie y Silberg, Joyanna (2006). Myths that place children at risk during custody disputes. </w:t>
      </w:r>
      <w:r w:rsidRPr="003C4C00">
        <w:rPr>
          <w:rFonts w:cstheme="minorHAnsi"/>
          <w:bCs/>
        </w:rPr>
        <w:t xml:space="preserve">Sexual </w:t>
      </w:r>
      <w:proofErr w:type="spellStart"/>
      <w:r w:rsidRPr="003C4C00">
        <w:rPr>
          <w:rFonts w:cstheme="minorHAnsi"/>
          <w:bCs/>
        </w:rPr>
        <w:t>Assault</w:t>
      </w:r>
      <w:proofErr w:type="spellEnd"/>
      <w:r w:rsidRPr="003C4C00">
        <w:rPr>
          <w:rFonts w:cstheme="minorHAnsi"/>
          <w:bCs/>
        </w:rPr>
        <w:t xml:space="preserve"> </w:t>
      </w:r>
      <w:proofErr w:type="spellStart"/>
      <w:r w:rsidRPr="003C4C00">
        <w:rPr>
          <w:rFonts w:cstheme="minorHAnsi"/>
          <w:bCs/>
        </w:rPr>
        <w:t>Report</w:t>
      </w:r>
      <w:proofErr w:type="spellEnd"/>
      <w:r w:rsidRPr="003C4C00">
        <w:rPr>
          <w:rFonts w:cstheme="minorHAnsi"/>
          <w:bCs/>
        </w:rPr>
        <w:t>, 9(3), 33-47. Recuperado de: http://nepajac.org/BMCC/myths.doc</w:t>
      </w:r>
    </w:p>
  </w:footnote>
  <w:footnote w:id="5">
    <w:p w14:paraId="61C74AF4" w14:textId="77777777" w:rsidR="0009148F" w:rsidRPr="00255487" w:rsidRDefault="0009148F" w:rsidP="0009148F">
      <w:pPr>
        <w:pStyle w:val="Default"/>
        <w:rPr>
          <w:rFonts w:asciiTheme="minorHAnsi" w:hAnsiTheme="minorHAnsi" w:cstheme="minorHAnsi"/>
          <w:sz w:val="20"/>
          <w:szCs w:val="20"/>
        </w:rPr>
      </w:pPr>
      <w:r w:rsidRPr="00255487">
        <w:rPr>
          <w:rStyle w:val="Refdenotaalpie"/>
          <w:rFonts w:asciiTheme="minorHAnsi" w:hAnsiTheme="minorHAnsi" w:cstheme="minorHAnsi"/>
        </w:rPr>
        <w:footnoteRef/>
      </w:r>
      <w:r w:rsidRPr="00255487">
        <w:rPr>
          <w:rFonts w:asciiTheme="minorHAnsi" w:hAnsiTheme="minorHAnsi" w:cstheme="minorHAnsi"/>
          <w:sz w:val="20"/>
          <w:szCs w:val="20"/>
        </w:rPr>
        <w:t xml:space="preserve"> </w:t>
      </w:r>
      <w:r w:rsidRPr="00255487">
        <w:rPr>
          <w:rFonts w:asciiTheme="minorHAnsi" w:hAnsiTheme="minorHAnsi" w:cstheme="minorHAnsi"/>
          <w:bCs/>
          <w:sz w:val="20"/>
          <w:szCs w:val="20"/>
        </w:rPr>
        <w:t xml:space="preserve">Custodia, violencia contra las mujeres y violencia contra los niños </w:t>
      </w:r>
    </w:p>
    <w:p w14:paraId="35936BA7" w14:textId="77777777" w:rsidR="0009148F" w:rsidRPr="00255487" w:rsidRDefault="0009148F" w:rsidP="0009148F">
      <w:pPr>
        <w:pStyle w:val="Textonotapie"/>
        <w:rPr>
          <w:rFonts w:cstheme="minorHAnsi"/>
        </w:rPr>
      </w:pPr>
      <w:r w:rsidRPr="00255487">
        <w:rPr>
          <w:rFonts w:cstheme="minorHAnsi"/>
          <w:bCs/>
        </w:rPr>
        <w:t>Informe de la Relatora Especial sobre la violencia contra las mujeres y las niñas, sus causas y consecuencias. Asamblea General de Naciones Unidas, 13 de abril 2023.</w:t>
      </w:r>
    </w:p>
  </w:footnote>
  <w:footnote w:id="6">
    <w:p w14:paraId="10A57405" w14:textId="0296370E" w:rsidR="007E2553" w:rsidRDefault="007E2553" w:rsidP="00BD5330">
      <w:pPr>
        <w:pStyle w:val="NormalWeb"/>
        <w:jc w:val="both"/>
        <w:rPr>
          <w:lang w:eastAsia="es-ES_tradnl"/>
        </w:rPr>
      </w:pPr>
      <w:r>
        <w:rPr>
          <w:rStyle w:val="Refdenotaalpie"/>
          <w:rFonts w:hint="eastAsia"/>
        </w:rPr>
        <w:footnoteRef/>
      </w:r>
      <w:r>
        <w:rPr>
          <w:rFonts w:hint="eastAsia"/>
        </w:rPr>
        <w:t xml:space="preserve"> </w:t>
      </w:r>
      <w:proofErr w:type="spellStart"/>
      <w:r w:rsidRPr="007E2553">
        <w:rPr>
          <w:rFonts w:asciiTheme="minorHAnsi" w:eastAsiaTheme="minorHAnsi" w:hAnsiTheme="minorHAnsi" w:cstheme="minorHAnsi"/>
          <w:bCs/>
          <w:color w:val="000000"/>
          <w:sz w:val="20"/>
          <w:szCs w:val="20"/>
          <w:lang w:eastAsia="en-US"/>
        </w:rPr>
        <w:t>Save</w:t>
      </w:r>
      <w:proofErr w:type="spellEnd"/>
      <w:r w:rsidRPr="007E2553">
        <w:rPr>
          <w:rFonts w:asciiTheme="minorHAnsi" w:eastAsiaTheme="minorHAnsi" w:hAnsiTheme="minorHAnsi" w:cstheme="minorHAnsi"/>
          <w:bCs/>
          <w:color w:val="000000"/>
          <w:sz w:val="20"/>
          <w:szCs w:val="20"/>
          <w:lang w:eastAsia="en-US"/>
        </w:rPr>
        <w:t xml:space="preserve"> </w:t>
      </w:r>
      <w:proofErr w:type="spellStart"/>
      <w:r w:rsidRPr="007E2553">
        <w:rPr>
          <w:rFonts w:asciiTheme="minorHAnsi" w:eastAsiaTheme="minorHAnsi" w:hAnsiTheme="minorHAnsi" w:cstheme="minorHAnsi"/>
          <w:bCs/>
          <w:color w:val="000000"/>
          <w:sz w:val="20"/>
          <w:szCs w:val="20"/>
          <w:lang w:eastAsia="en-US"/>
        </w:rPr>
        <w:t>the</w:t>
      </w:r>
      <w:proofErr w:type="spellEnd"/>
      <w:r w:rsidRPr="007E2553">
        <w:rPr>
          <w:rFonts w:asciiTheme="minorHAnsi" w:eastAsiaTheme="minorHAnsi" w:hAnsiTheme="minorHAnsi" w:cstheme="minorHAnsi"/>
          <w:bCs/>
          <w:color w:val="000000"/>
          <w:sz w:val="20"/>
          <w:szCs w:val="20"/>
          <w:lang w:eastAsia="en-US"/>
        </w:rPr>
        <w:t xml:space="preserve"> </w:t>
      </w:r>
      <w:proofErr w:type="spellStart"/>
      <w:r w:rsidRPr="007E2553">
        <w:rPr>
          <w:rFonts w:asciiTheme="minorHAnsi" w:eastAsiaTheme="minorHAnsi" w:hAnsiTheme="minorHAnsi" w:cstheme="minorHAnsi"/>
          <w:bCs/>
          <w:color w:val="000000"/>
          <w:sz w:val="20"/>
          <w:szCs w:val="20"/>
          <w:lang w:eastAsia="en-US"/>
        </w:rPr>
        <w:t>Children</w:t>
      </w:r>
      <w:proofErr w:type="spellEnd"/>
      <w:r w:rsidRPr="007E2553">
        <w:rPr>
          <w:rFonts w:asciiTheme="minorHAnsi" w:eastAsiaTheme="minorHAnsi" w:hAnsiTheme="minorHAnsi" w:cstheme="minorHAnsi"/>
          <w:bCs/>
          <w:color w:val="000000"/>
          <w:sz w:val="20"/>
          <w:szCs w:val="20"/>
          <w:lang w:eastAsia="en-US"/>
        </w:rPr>
        <w:t xml:space="preserve"> (2012b). Infancia y Justicia: una </w:t>
      </w:r>
      <w:proofErr w:type="spellStart"/>
      <w:r w:rsidRPr="007E2553">
        <w:rPr>
          <w:rFonts w:asciiTheme="minorHAnsi" w:eastAsiaTheme="minorHAnsi" w:hAnsiTheme="minorHAnsi" w:cstheme="minorHAnsi"/>
          <w:bCs/>
          <w:color w:val="000000"/>
          <w:sz w:val="20"/>
          <w:szCs w:val="20"/>
          <w:lang w:eastAsia="en-US"/>
        </w:rPr>
        <w:t>cuestión</w:t>
      </w:r>
      <w:proofErr w:type="spellEnd"/>
      <w:r w:rsidRPr="007E2553">
        <w:rPr>
          <w:rFonts w:asciiTheme="minorHAnsi" w:eastAsiaTheme="minorHAnsi" w:hAnsiTheme="minorHAnsi" w:cstheme="minorHAnsi"/>
          <w:bCs/>
          <w:color w:val="000000"/>
          <w:sz w:val="20"/>
          <w:szCs w:val="20"/>
          <w:lang w:eastAsia="en-US"/>
        </w:rPr>
        <w:t xml:space="preserve"> de derechos. Los </w:t>
      </w:r>
      <w:proofErr w:type="spellStart"/>
      <w:r w:rsidRPr="007E2553">
        <w:rPr>
          <w:rFonts w:asciiTheme="minorHAnsi" w:eastAsiaTheme="minorHAnsi" w:hAnsiTheme="minorHAnsi" w:cstheme="minorHAnsi"/>
          <w:bCs/>
          <w:color w:val="000000"/>
          <w:sz w:val="20"/>
          <w:szCs w:val="20"/>
          <w:lang w:eastAsia="en-US"/>
        </w:rPr>
        <w:t>niños</w:t>
      </w:r>
      <w:proofErr w:type="spellEnd"/>
      <w:r w:rsidRPr="007E2553">
        <w:rPr>
          <w:rFonts w:asciiTheme="minorHAnsi" w:eastAsiaTheme="minorHAnsi" w:hAnsiTheme="minorHAnsi" w:cstheme="minorHAnsi"/>
          <w:bCs/>
          <w:color w:val="000000"/>
          <w:sz w:val="20"/>
          <w:szCs w:val="20"/>
          <w:lang w:eastAsia="en-US"/>
        </w:rPr>
        <w:t xml:space="preserve"> y las </w:t>
      </w:r>
      <w:proofErr w:type="spellStart"/>
      <w:r w:rsidRPr="007E2553">
        <w:rPr>
          <w:rFonts w:asciiTheme="minorHAnsi" w:eastAsiaTheme="minorHAnsi" w:hAnsiTheme="minorHAnsi" w:cstheme="minorHAnsi"/>
          <w:bCs/>
          <w:color w:val="000000"/>
          <w:sz w:val="20"/>
          <w:szCs w:val="20"/>
          <w:lang w:eastAsia="en-US"/>
        </w:rPr>
        <w:t>niñas</w:t>
      </w:r>
      <w:proofErr w:type="spellEnd"/>
      <w:r w:rsidRPr="007E2553">
        <w:rPr>
          <w:rFonts w:asciiTheme="minorHAnsi" w:eastAsiaTheme="minorHAnsi" w:hAnsiTheme="minorHAnsi" w:cstheme="minorHAnsi"/>
          <w:bCs/>
          <w:color w:val="000000"/>
          <w:sz w:val="20"/>
          <w:szCs w:val="20"/>
          <w:lang w:eastAsia="en-US"/>
        </w:rPr>
        <w:t xml:space="preserve"> ante la </w:t>
      </w:r>
      <w:proofErr w:type="spellStart"/>
      <w:r w:rsidRPr="007E2553">
        <w:rPr>
          <w:rFonts w:asciiTheme="minorHAnsi" w:eastAsiaTheme="minorHAnsi" w:hAnsiTheme="minorHAnsi" w:cstheme="minorHAnsi"/>
          <w:bCs/>
          <w:color w:val="000000"/>
          <w:sz w:val="20"/>
          <w:szCs w:val="20"/>
          <w:lang w:eastAsia="en-US"/>
        </w:rPr>
        <w:t>administración</w:t>
      </w:r>
      <w:proofErr w:type="spellEnd"/>
      <w:r w:rsidRPr="007E2553">
        <w:rPr>
          <w:rFonts w:asciiTheme="minorHAnsi" w:eastAsiaTheme="minorHAnsi" w:hAnsiTheme="minorHAnsi" w:cstheme="minorHAnsi"/>
          <w:bCs/>
          <w:color w:val="000000"/>
          <w:sz w:val="20"/>
          <w:szCs w:val="20"/>
          <w:lang w:eastAsia="en-US"/>
        </w:rPr>
        <w:t xml:space="preserve"> de justicia en </w:t>
      </w:r>
      <w:proofErr w:type="spellStart"/>
      <w:r w:rsidRPr="007E2553">
        <w:rPr>
          <w:rFonts w:asciiTheme="minorHAnsi" w:eastAsiaTheme="minorHAnsi" w:hAnsiTheme="minorHAnsi" w:cstheme="minorHAnsi"/>
          <w:bCs/>
          <w:color w:val="000000"/>
          <w:sz w:val="20"/>
          <w:szCs w:val="20"/>
          <w:lang w:eastAsia="en-US"/>
        </w:rPr>
        <w:t>España</w:t>
      </w:r>
      <w:proofErr w:type="spellEnd"/>
      <w:r w:rsidRPr="007E2553">
        <w:rPr>
          <w:rFonts w:asciiTheme="minorHAnsi" w:eastAsiaTheme="minorHAnsi" w:hAnsiTheme="minorHAnsi" w:cstheme="minorHAnsi"/>
          <w:bCs/>
          <w:color w:val="000000"/>
          <w:sz w:val="20"/>
          <w:szCs w:val="20"/>
          <w:lang w:eastAsia="en-US"/>
        </w:rPr>
        <w:t xml:space="preserve">. Madrid: </w:t>
      </w:r>
      <w:proofErr w:type="spellStart"/>
      <w:r w:rsidRPr="007E2553">
        <w:rPr>
          <w:rFonts w:asciiTheme="minorHAnsi" w:eastAsiaTheme="minorHAnsi" w:hAnsiTheme="minorHAnsi" w:cstheme="minorHAnsi"/>
          <w:bCs/>
          <w:color w:val="000000"/>
          <w:sz w:val="20"/>
          <w:szCs w:val="20"/>
          <w:lang w:eastAsia="en-US"/>
        </w:rPr>
        <w:t>Save</w:t>
      </w:r>
      <w:proofErr w:type="spellEnd"/>
      <w:r w:rsidRPr="007E2553">
        <w:rPr>
          <w:rFonts w:asciiTheme="minorHAnsi" w:eastAsiaTheme="minorHAnsi" w:hAnsiTheme="minorHAnsi" w:cstheme="minorHAnsi"/>
          <w:bCs/>
          <w:color w:val="000000"/>
          <w:sz w:val="20"/>
          <w:szCs w:val="20"/>
          <w:lang w:eastAsia="en-US"/>
        </w:rPr>
        <w:t xml:space="preserve"> </w:t>
      </w:r>
      <w:proofErr w:type="spellStart"/>
      <w:r w:rsidRPr="007E2553">
        <w:rPr>
          <w:rFonts w:asciiTheme="minorHAnsi" w:eastAsiaTheme="minorHAnsi" w:hAnsiTheme="minorHAnsi" w:cstheme="minorHAnsi"/>
          <w:bCs/>
          <w:color w:val="000000"/>
          <w:sz w:val="20"/>
          <w:szCs w:val="20"/>
          <w:lang w:eastAsia="en-US"/>
        </w:rPr>
        <w:t>the</w:t>
      </w:r>
      <w:proofErr w:type="spellEnd"/>
      <w:r w:rsidRPr="007E2553">
        <w:rPr>
          <w:rFonts w:asciiTheme="minorHAnsi" w:eastAsiaTheme="minorHAnsi" w:hAnsiTheme="minorHAnsi" w:cstheme="minorHAnsi"/>
          <w:bCs/>
          <w:color w:val="000000"/>
          <w:sz w:val="20"/>
          <w:szCs w:val="20"/>
          <w:lang w:eastAsia="en-US"/>
        </w:rPr>
        <w:t xml:space="preserve"> </w:t>
      </w:r>
      <w:proofErr w:type="spellStart"/>
      <w:r w:rsidRPr="007E2553">
        <w:rPr>
          <w:rFonts w:asciiTheme="minorHAnsi" w:eastAsiaTheme="minorHAnsi" w:hAnsiTheme="minorHAnsi" w:cstheme="minorHAnsi"/>
          <w:bCs/>
          <w:color w:val="000000"/>
          <w:sz w:val="20"/>
          <w:szCs w:val="20"/>
          <w:lang w:eastAsia="en-US"/>
        </w:rPr>
        <w:t>Children</w:t>
      </w:r>
      <w:proofErr w:type="spellEnd"/>
      <w:r w:rsidRPr="007E2553">
        <w:rPr>
          <w:rFonts w:asciiTheme="minorHAnsi" w:eastAsiaTheme="minorHAnsi" w:hAnsiTheme="minorHAnsi" w:cstheme="minorHAnsi"/>
          <w:bCs/>
          <w:color w:val="000000"/>
          <w:sz w:val="20"/>
          <w:szCs w:val="20"/>
          <w:lang w:eastAsia="en-US"/>
        </w:rPr>
        <w:t xml:space="preserve">. Recuperado de: https://www.savethechildren.es/sites/default/files/imce/ </w:t>
      </w:r>
      <w:proofErr w:type="spellStart"/>
      <w:r w:rsidRPr="007E2553">
        <w:rPr>
          <w:rFonts w:asciiTheme="minorHAnsi" w:eastAsiaTheme="minorHAnsi" w:hAnsiTheme="minorHAnsi" w:cstheme="minorHAnsi"/>
          <w:bCs/>
          <w:color w:val="000000"/>
          <w:sz w:val="20"/>
          <w:szCs w:val="20"/>
          <w:lang w:eastAsia="en-US"/>
        </w:rPr>
        <w:t>docs</w:t>
      </w:r>
      <w:proofErr w:type="spellEnd"/>
      <w:r w:rsidRPr="007E2553">
        <w:rPr>
          <w:rFonts w:asciiTheme="minorHAnsi" w:eastAsiaTheme="minorHAnsi" w:hAnsiTheme="minorHAnsi" w:cstheme="minorHAnsi"/>
          <w:bCs/>
          <w:color w:val="000000"/>
          <w:sz w:val="20"/>
          <w:szCs w:val="20"/>
          <w:lang w:eastAsia="en-US"/>
        </w:rPr>
        <w:t>/infancia_y_justicia.pdf</w:t>
      </w:r>
      <w:r>
        <w:rPr>
          <w:rFonts w:asciiTheme="minorHAnsi" w:eastAsiaTheme="minorHAnsi" w:hAnsiTheme="minorHAnsi" w:cstheme="minorHAnsi"/>
          <w:bCs/>
          <w:color w:val="000000"/>
          <w:sz w:val="20"/>
          <w:szCs w:val="20"/>
          <w:lang w:eastAsia="en-US"/>
        </w:rPr>
        <w:t xml:space="preserve"> </w:t>
      </w:r>
      <w:r>
        <w:rPr>
          <w:rFonts w:ascii="TrebuchetMS" w:hAnsi="TrebuchetMS"/>
          <w:color w:val="00A0DD"/>
          <w:sz w:val="30"/>
          <w:szCs w:val="30"/>
        </w:rPr>
        <w:t xml:space="preserve">  </w:t>
      </w:r>
    </w:p>
    <w:p w14:paraId="6EE26764" w14:textId="29BB4727" w:rsidR="007E2553" w:rsidRDefault="007E2553">
      <w:pPr>
        <w:pStyle w:val="Textonotapie"/>
      </w:pPr>
    </w:p>
  </w:footnote>
  <w:footnote w:id="7">
    <w:p w14:paraId="56D3E6A1" w14:textId="6F352DD5" w:rsidR="00BD5330" w:rsidRPr="00BD5330" w:rsidRDefault="00BD5330" w:rsidP="00BD5330">
      <w:pPr>
        <w:pStyle w:val="Textonotapie"/>
      </w:pPr>
      <w:r w:rsidRPr="00BD5330">
        <w:rPr>
          <w:rStyle w:val="Refdenotaalpie"/>
          <w:rFonts w:ascii="Book Antiqua" w:hAnsi="Book Antiqua"/>
          <w:sz w:val="24"/>
          <w:szCs w:val="24"/>
        </w:rPr>
        <w:footnoteRef/>
      </w:r>
      <w:r w:rsidRPr="00BD5330">
        <w:rPr>
          <w:rStyle w:val="Refdenotaalpie"/>
          <w:rFonts w:ascii="Book Antiqua" w:hAnsi="Book Antiqua"/>
          <w:sz w:val="24"/>
          <w:szCs w:val="24"/>
        </w:rPr>
        <w:t xml:space="preserve"> </w:t>
      </w:r>
      <w:r w:rsidRPr="00BD5330">
        <w:t>taxonomía de las necesidades de la infancia, pág. 93:</w:t>
      </w:r>
      <w:r w:rsidRPr="00BD5330">
        <w:rPr>
          <w:rFonts w:hint="eastAsia"/>
        </w:rPr>
        <w:t xml:space="preserve"> </w:t>
      </w:r>
      <w:hyperlink r:id="rId2" w:history="1">
        <w:r w:rsidRPr="00BD5330">
          <w:rPr>
            <w:rFonts w:hint="eastAsia"/>
          </w:rPr>
          <w:t>https://www.euskadi.eus/contenidos/informacion/balora/es_doc/adjuntos/TAXONOMIA_ES.pdf</w:t>
        </w:r>
      </w:hyperlink>
    </w:p>
  </w:footnote>
  <w:footnote w:id="8">
    <w:p w14:paraId="08A0FCF0" w14:textId="7DAA92CC" w:rsidR="00BD5330" w:rsidRPr="00BD5330" w:rsidRDefault="00BD5330" w:rsidP="00BD5330">
      <w:pPr>
        <w:pStyle w:val="Textonotapie"/>
      </w:pPr>
      <w:r w:rsidRPr="00BD5330">
        <w:rPr>
          <w:rFonts w:hint="eastAsia"/>
        </w:rPr>
        <w:footnoteRef/>
      </w:r>
      <w:r w:rsidRPr="00BD5330">
        <w:rPr>
          <w:rFonts w:hint="eastAsia"/>
        </w:rPr>
        <w:t xml:space="preserve"> </w:t>
      </w:r>
      <w:r w:rsidRPr="00BD5330">
        <w:t>Conclusiones de la jornada sobre «</w:t>
      </w:r>
      <w:proofErr w:type="spellStart"/>
      <w:r w:rsidRPr="00BD5330">
        <w:t>análisis</w:t>
      </w:r>
      <w:proofErr w:type="spellEnd"/>
      <w:r w:rsidRPr="00BD5330">
        <w:t xml:space="preserve"> multidisciplinar del </w:t>
      </w:r>
      <w:proofErr w:type="spellStart"/>
      <w:r w:rsidRPr="00BD5330">
        <w:t>denomi</w:t>
      </w:r>
      <w:proofErr w:type="spellEnd"/>
      <w:r w:rsidRPr="00BD5330">
        <w:t xml:space="preserve">- nado </w:t>
      </w:r>
      <w:proofErr w:type="spellStart"/>
      <w:r w:rsidRPr="00BD5330">
        <w:t>síndrome</w:t>
      </w:r>
      <w:proofErr w:type="spellEnd"/>
      <w:r w:rsidRPr="00BD5330">
        <w:t xml:space="preserve"> de </w:t>
      </w:r>
      <w:proofErr w:type="spellStart"/>
      <w:r w:rsidRPr="00BD5330">
        <w:t>alienación</w:t>
      </w:r>
      <w:proofErr w:type="spellEnd"/>
      <w:r w:rsidRPr="00BD5330">
        <w:t xml:space="preserve"> parental». Recuperado de: http://www.mujeresjuezas.es/wp-content/uploads/2020/07/ sindrome-de-alienacion-parental-1.pdf</w:t>
      </w:r>
    </w:p>
  </w:footnote>
  <w:footnote w:id="9">
    <w:p w14:paraId="0C3276CA" w14:textId="76D68787" w:rsidR="00BD5330" w:rsidRPr="00BD5330" w:rsidRDefault="00BD5330" w:rsidP="00BD5330">
      <w:pPr>
        <w:pStyle w:val="Textonotapie"/>
      </w:pPr>
      <w:r w:rsidRPr="00BD5330">
        <w:rPr>
          <w:rFonts w:hint="eastAsia"/>
        </w:rPr>
        <w:footnoteRef/>
      </w:r>
      <w:r w:rsidRPr="00BD5330">
        <w:rPr>
          <w:rFonts w:hint="eastAsia"/>
        </w:rPr>
        <w:t xml:space="preserve"> </w:t>
      </w:r>
      <w:proofErr w:type="spellStart"/>
      <w:r w:rsidRPr="00BD5330">
        <w:t>Save</w:t>
      </w:r>
      <w:proofErr w:type="spellEnd"/>
      <w:r w:rsidRPr="00BD5330">
        <w:t xml:space="preserve"> </w:t>
      </w:r>
      <w:proofErr w:type="spellStart"/>
      <w:r w:rsidRPr="00BD5330">
        <w:t>the</w:t>
      </w:r>
      <w:proofErr w:type="spellEnd"/>
      <w:r w:rsidRPr="00BD5330">
        <w:t xml:space="preserve"> </w:t>
      </w:r>
      <w:proofErr w:type="spellStart"/>
      <w:r w:rsidRPr="00BD5330">
        <w:t>Children</w:t>
      </w:r>
      <w:proofErr w:type="spellEnd"/>
      <w:r w:rsidRPr="00BD5330">
        <w:t xml:space="preserve"> (2012a). La justicia </w:t>
      </w:r>
      <w:proofErr w:type="spellStart"/>
      <w:r w:rsidRPr="00BD5330">
        <w:t>española</w:t>
      </w:r>
      <w:proofErr w:type="spellEnd"/>
      <w:r w:rsidRPr="00BD5330">
        <w:t xml:space="preserve"> frente al abuso sexual infantil en el entorno familiar. Madrid: </w:t>
      </w:r>
      <w:proofErr w:type="spellStart"/>
      <w:r w:rsidRPr="00BD5330">
        <w:t>Save</w:t>
      </w:r>
      <w:proofErr w:type="spellEnd"/>
      <w:r w:rsidRPr="00BD5330">
        <w:t xml:space="preserve"> </w:t>
      </w:r>
      <w:proofErr w:type="spellStart"/>
      <w:r w:rsidRPr="00BD5330">
        <w:t>the</w:t>
      </w:r>
      <w:proofErr w:type="spellEnd"/>
      <w:r w:rsidRPr="00BD5330">
        <w:t xml:space="preserve"> </w:t>
      </w:r>
      <w:proofErr w:type="spellStart"/>
      <w:r w:rsidRPr="00BD5330">
        <w:t>Children</w:t>
      </w:r>
      <w:proofErr w:type="spellEnd"/>
      <w:r w:rsidRPr="00BD5330">
        <w:t>. Recuperado de: https://www.savethechildren.es/sites/default/ files/</w:t>
      </w:r>
      <w:proofErr w:type="spellStart"/>
      <w:r w:rsidRPr="00BD5330">
        <w:t>imce</w:t>
      </w:r>
      <w:proofErr w:type="spellEnd"/>
      <w:r w:rsidRPr="00BD5330">
        <w:t>/</w:t>
      </w:r>
      <w:proofErr w:type="spellStart"/>
      <w:r w:rsidRPr="00BD5330">
        <w:t>docs</w:t>
      </w:r>
      <w:proofErr w:type="spellEnd"/>
      <w:r w:rsidRPr="00BD5330">
        <w:t>/</w:t>
      </w:r>
      <w:proofErr w:type="spellStart"/>
      <w:r w:rsidRPr="00BD5330">
        <w:t>informe_justicia_esp_abuso_sexual_infantil</w:t>
      </w:r>
      <w:proofErr w:type="spellEnd"/>
      <w:r w:rsidRPr="00BD5330">
        <w:t>_ vok-2.pdf</w:t>
      </w:r>
    </w:p>
  </w:footnote>
  <w:footnote w:id="10">
    <w:p w14:paraId="5C04D745" w14:textId="0E405470" w:rsidR="00BD5330" w:rsidRPr="00522923" w:rsidRDefault="00BD5330" w:rsidP="00BD5330">
      <w:pPr>
        <w:pStyle w:val="Textonotapie"/>
        <w:rPr>
          <w:rStyle w:val="Refdenotaalpie"/>
          <w:lang w:val="en-US"/>
        </w:rPr>
      </w:pPr>
      <w:r w:rsidRPr="00BD5330">
        <w:rPr>
          <w:rFonts w:hint="eastAsia"/>
        </w:rPr>
        <w:footnoteRef/>
      </w:r>
      <w:r w:rsidRPr="00BD5330">
        <w:rPr>
          <w:rFonts w:hint="eastAsia"/>
        </w:rPr>
        <w:t xml:space="preserve"> </w:t>
      </w:r>
      <w:r w:rsidRPr="00BD5330">
        <w:t xml:space="preserve">Tamarit, Josep, Abad, Judit y </w:t>
      </w:r>
      <w:proofErr w:type="spellStart"/>
      <w:r w:rsidRPr="00BD5330">
        <w:t>Hernández-Hidalgo</w:t>
      </w:r>
      <w:proofErr w:type="spellEnd"/>
      <w:r w:rsidRPr="00BD5330">
        <w:t xml:space="preserve">, Patricia (2015). Las </w:t>
      </w:r>
      <w:proofErr w:type="spellStart"/>
      <w:r w:rsidRPr="00BD5330">
        <w:t>víctimas</w:t>
      </w:r>
      <w:proofErr w:type="spellEnd"/>
      <w:r w:rsidRPr="00BD5330">
        <w:t xml:space="preserve"> de abuso sexual infantil ante el sistema de justicia penal: estudio sobre sus actitudes, necesidades y experiencia. </w:t>
      </w:r>
      <w:r w:rsidRPr="00522923">
        <w:rPr>
          <w:lang w:val="en-US"/>
        </w:rPr>
        <w:t>Revista de Victimología/Journal of Victimology, (2), 27-54. DOI: https://doi.org/10.12827/RVJV.2.02</w:t>
      </w:r>
    </w:p>
  </w:footnote>
  <w:footnote w:id="11">
    <w:p w14:paraId="2E91FE8C" w14:textId="6110E832" w:rsidR="00BD5330" w:rsidRDefault="00BD5330">
      <w:pPr>
        <w:pStyle w:val="Textonotapie"/>
      </w:pPr>
      <w:r>
        <w:rPr>
          <w:rStyle w:val="Refdenotaalpie"/>
          <w:rFonts w:hint="eastAsia"/>
        </w:rPr>
        <w:footnoteRef/>
      </w:r>
      <w:r>
        <w:rPr>
          <w:rFonts w:hint="eastAsia"/>
        </w:rPr>
        <w:t xml:space="preserve"> P</w:t>
      </w:r>
      <w:r>
        <w:t>ese a que el TS ya manifestó que son informes complementarios a otros que pudieran ser de interés, estos informes se vuelven la base para que un procedimiento pueda seguir en curso o no</w:t>
      </w:r>
    </w:p>
  </w:footnote>
  <w:footnote w:id="12">
    <w:p w14:paraId="7395A68E" w14:textId="77777777" w:rsidR="00ED5A62" w:rsidRPr="000271FF" w:rsidRDefault="00ED5A62" w:rsidP="00ED5A62">
      <w:pPr>
        <w:pStyle w:val="Ttulo2"/>
        <w:shd w:val="clear" w:color="auto" w:fill="FFFFFF"/>
        <w:spacing w:before="0"/>
        <w:jc w:val="both"/>
        <w:rPr>
          <w:color w:val="404040"/>
        </w:rPr>
      </w:pPr>
      <w:r w:rsidRPr="000271FF">
        <w:rPr>
          <w:rStyle w:val="Refdenotaalpie"/>
          <w:color w:val="auto"/>
        </w:rPr>
        <w:footnoteRef/>
      </w:r>
      <w:r w:rsidRPr="000271FF">
        <w:rPr>
          <w:rFonts w:ascii="Book Antiqua" w:eastAsia="Times New Roman" w:hAnsi="Book Antiqua" w:cs="Arial"/>
          <w:b w:val="0"/>
          <w:bCs w:val="0"/>
          <w:color w:val="auto"/>
          <w:kern w:val="0"/>
          <w:sz w:val="20"/>
          <w:szCs w:val="20"/>
          <w:lang w:eastAsia="es-ES" w:bidi="ar-SA"/>
        </w:rPr>
        <w:t>Defensor del Pueblo, Formación continua de los equipos psicosociales en Galicia, https://www.defensordelpueblo.es/resoluciones/equipos-psicosociales-al-servicio-de-la-justicia-21/</w:t>
      </w:r>
    </w:p>
  </w:footnote>
  <w:footnote w:id="13">
    <w:p w14:paraId="551B422F" w14:textId="73FE4D93" w:rsidR="00A47C1D" w:rsidRDefault="00A47C1D">
      <w:pPr>
        <w:pStyle w:val="Textonotapie"/>
      </w:pPr>
      <w:r>
        <w:rPr>
          <w:rStyle w:val="Refdenotaalpie"/>
          <w:rFonts w:hint="eastAsia"/>
        </w:rPr>
        <w:footnoteRef/>
      </w:r>
      <w:r>
        <w:rPr>
          <w:rFonts w:hint="eastAsia"/>
        </w:rPr>
        <w:t xml:space="preserve"> </w:t>
      </w:r>
      <w:r>
        <w:t xml:space="preserve">Señalando informes como el de </w:t>
      </w:r>
      <w:proofErr w:type="spellStart"/>
      <w:r>
        <w:t>Save</w:t>
      </w:r>
      <w:proofErr w:type="spellEnd"/>
      <w:r>
        <w:t xml:space="preserve"> </w:t>
      </w:r>
      <w:proofErr w:type="spellStart"/>
      <w:r>
        <w:t>the</w:t>
      </w:r>
      <w:proofErr w:type="spellEnd"/>
      <w:r>
        <w:t xml:space="preserve"> </w:t>
      </w:r>
      <w:proofErr w:type="spellStart"/>
      <w:proofErr w:type="gramStart"/>
      <w:r>
        <w:t>children</w:t>
      </w:r>
      <w:proofErr w:type="spellEnd"/>
      <w:r>
        <w:t>(</w:t>
      </w:r>
      <w:proofErr w:type="gramEnd"/>
      <w:r>
        <w:t>2012) que las metodologías utilizadas carecen de base científica. Es llamativo que se han dado archivos incluso dando credibilidad a lo expuesto por la víctima, por considerar el tribunal que beneficiaba a una de las partes.</w:t>
      </w:r>
    </w:p>
  </w:footnote>
  <w:footnote w:id="14">
    <w:p w14:paraId="4F237AF7" w14:textId="615D84FE" w:rsidR="00ED5A62" w:rsidRDefault="00ED5A62" w:rsidP="00ED5A62">
      <w:pPr>
        <w:pStyle w:val="Textonotapie"/>
      </w:pPr>
      <w:r>
        <w:rPr>
          <w:rStyle w:val="Refdenotaalpie"/>
        </w:rPr>
        <w:footnoteRef/>
      </w:r>
      <w:r w:rsidR="00A47C1D">
        <w:t xml:space="preserve"> Informe A/HCR/53/36 de la Relatora Especial </w:t>
      </w:r>
      <w:proofErr w:type="spellStart"/>
      <w:r w:rsidR="00A47C1D">
        <w:t>Reem</w:t>
      </w:r>
      <w:proofErr w:type="spellEnd"/>
      <w:r w:rsidR="00A47C1D">
        <w:t xml:space="preserve"> </w:t>
      </w:r>
      <w:proofErr w:type="spellStart"/>
      <w:r w:rsidR="00A47C1D">
        <w:t>Alsalem</w:t>
      </w:r>
      <w:proofErr w:type="spellEnd"/>
      <w:r w:rsidR="00A47C1D">
        <w:t>.</w:t>
      </w:r>
    </w:p>
  </w:footnote>
  <w:footnote w:id="15">
    <w:p w14:paraId="1F31266E" w14:textId="77777777" w:rsidR="00713818" w:rsidRPr="00CC3D62" w:rsidRDefault="00713818" w:rsidP="00CC3D62">
      <w:pPr>
        <w:pStyle w:val="Standard"/>
        <w:jc w:val="both"/>
        <w:rPr>
          <w:rFonts w:ascii="Book Antiqua" w:eastAsia="Times New Roman" w:hAnsi="Book Antiqua" w:cs="Arial"/>
          <w:kern w:val="0"/>
          <w:sz w:val="20"/>
          <w:szCs w:val="20"/>
          <w:lang w:eastAsia="es-ES" w:bidi="ar-SA"/>
        </w:rPr>
      </w:pPr>
      <w:r>
        <w:rPr>
          <w:rStyle w:val="Refdenotaalpie"/>
        </w:rPr>
        <w:footnoteRef/>
      </w:r>
      <w:r>
        <w:t xml:space="preserve"> </w:t>
      </w:r>
      <w:r w:rsidRPr="00CC3D62">
        <w:rPr>
          <w:rFonts w:ascii="Book Antiqua" w:eastAsia="Times New Roman" w:hAnsi="Book Antiqua" w:cs="Arial"/>
          <w:kern w:val="0"/>
          <w:sz w:val="20"/>
          <w:szCs w:val="20"/>
          <w:lang w:eastAsia="es-ES" w:bidi="ar-SA"/>
        </w:rPr>
        <w:t>A/74/148, parágrafo 62</w:t>
      </w:r>
    </w:p>
  </w:footnote>
  <w:footnote w:id="16">
    <w:p w14:paraId="3B9C157D" w14:textId="77777777" w:rsidR="009E1B98" w:rsidRPr="00F9150A" w:rsidRDefault="009E1B98" w:rsidP="00F9150A">
      <w:pPr>
        <w:pStyle w:val="Textonotapie"/>
        <w:jc w:val="both"/>
        <w:rPr>
          <w:rFonts w:ascii="Book Antiqua" w:hAnsi="Book Antiqua"/>
          <w:szCs w:val="20"/>
        </w:rPr>
      </w:pPr>
      <w:r w:rsidRPr="00CC3D62">
        <w:rPr>
          <w:rStyle w:val="Refdenotaalpie"/>
          <w:rFonts w:ascii="Book Antiqua" w:hAnsi="Book Antiqua"/>
          <w:szCs w:val="20"/>
        </w:rPr>
        <w:footnoteRef/>
      </w:r>
      <w:r w:rsidRPr="00CC3D62">
        <w:rPr>
          <w:rFonts w:ascii="Book Antiqua" w:hAnsi="Book Antiqua"/>
          <w:szCs w:val="20"/>
        </w:rPr>
        <w:t xml:space="preserve"> Debemos señalar que la Asociación AMJE Asociación de Mujeres Jueces, emitió con motivo de esta comunicación, emitieron una nota de prensa apoyando la lectura de estos expertos e insistiendo en que a pesar de que el SAP está prohibido, sigo aplicándose en los tribunales españoles</w:t>
      </w:r>
      <w:r w:rsidRPr="00F9150A">
        <w:rPr>
          <w:rFonts w:ascii="Book Antiqua" w:hAnsi="Book Antiqua"/>
          <w:szCs w:val="20"/>
        </w:rPr>
        <w:t>.</w:t>
      </w:r>
    </w:p>
  </w:footnote>
  <w:footnote w:id="17">
    <w:p w14:paraId="6DF139D8" w14:textId="77777777" w:rsidR="003E2FA8" w:rsidRPr="00F9150A" w:rsidRDefault="003E2FA8" w:rsidP="003E2FA8">
      <w:pPr>
        <w:jc w:val="both"/>
        <w:rPr>
          <w:rFonts w:ascii="Book Antiqua" w:hAnsi="Book Antiqua"/>
          <w:sz w:val="20"/>
          <w:szCs w:val="20"/>
        </w:rPr>
      </w:pPr>
      <w:r w:rsidRPr="00F9150A">
        <w:rPr>
          <w:rStyle w:val="Refdenotaalpie"/>
          <w:rFonts w:ascii="Book Antiqua" w:hAnsi="Book Antiqua"/>
          <w:sz w:val="20"/>
          <w:szCs w:val="20"/>
        </w:rPr>
        <w:footnoteRef/>
      </w:r>
      <w:r w:rsidRPr="00F9150A">
        <w:rPr>
          <w:rFonts w:ascii="Book Antiqua" w:hAnsi="Book Antiqua"/>
          <w:sz w:val="20"/>
          <w:szCs w:val="20"/>
        </w:rPr>
        <w:t xml:space="preserve"> </w:t>
      </w:r>
      <w:r w:rsidRPr="00F9150A">
        <w:rPr>
          <w:rFonts w:ascii="Book Antiqua" w:hAnsi="Book Antiqua" w:cs="Arial"/>
          <w:sz w:val="20"/>
          <w:szCs w:val="20"/>
        </w:rPr>
        <w:t>Comunicación con referencia nº AL ESP 6/2021</w:t>
      </w:r>
    </w:p>
    <w:p w14:paraId="5A4500B7" w14:textId="77777777" w:rsidR="00615473" w:rsidRPr="00F9150A" w:rsidRDefault="00FF0720" w:rsidP="00CD26D5">
      <w:pPr>
        <w:pStyle w:val="Textonotapie"/>
        <w:jc w:val="both"/>
        <w:rPr>
          <w:rFonts w:ascii="Book Antiqua" w:hAnsi="Book Antiqua"/>
          <w:szCs w:val="20"/>
        </w:rPr>
      </w:pPr>
      <w:hyperlink r:id="rId3" w:history="1">
        <w:r w:rsidR="003E2FA8" w:rsidRPr="00F9150A">
          <w:rPr>
            <w:rFonts w:ascii="Book Antiqua" w:hAnsi="Book Antiqua"/>
            <w:szCs w:val="20"/>
          </w:rPr>
          <w:t>https://www.ohchr.org/es/2022/01/spanish-courts-must-protect-children-domestic-violence-and-sexual-abuse-say-un-experts</w:t>
        </w:r>
      </w:hyperlink>
    </w:p>
    <w:p w14:paraId="24394007" w14:textId="77777777" w:rsidR="003E2FA8" w:rsidRPr="00615473" w:rsidRDefault="003E2FA8" w:rsidP="00CD26D5">
      <w:pPr>
        <w:pStyle w:val="Textonotapie"/>
        <w:jc w:val="both"/>
        <w:rPr>
          <w:rFonts w:ascii="Book Antiqua" w:hAnsi="Book Antiqua"/>
        </w:rPr>
      </w:pPr>
      <w:r w:rsidRPr="00F9150A">
        <w:rPr>
          <w:rFonts w:ascii="Book Antiqua" w:hAnsi="Book Antiqua"/>
          <w:szCs w:val="20"/>
        </w:rPr>
        <w:t xml:space="preserve">https://spcommreports.ohchr.org/TMResultsBase/DownLoadPublicCommunicationFile?gId=26831; Comunicación firmada por </w:t>
      </w:r>
      <w:proofErr w:type="spellStart"/>
      <w:r w:rsidRPr="00F9150A">
        <w:rPr>
          <w:rFonts w:ascii="Book Antiqua" w:hAnsi="Book Antiqua"/>
          <w:szCs w:val="20"/>
        </w:rPr>
        <w:t>Tlaleng</w:t>
      </w:r>
      <w:proofErr w:type="spellEnd"/>
      <w:r w:rsidRPr="00F9150A">
        <w:rPr>
          <w:rFonts w:ascii="Book Antiqua" w:hAnsi="Book Antiqua"/>
          <w:szCs w:val="20"/>
        </w:rPr>
        <w:t xml:space="preserve"> </w:t>
      </w:r>
      <w:proofErr w:type="spellStart"/>
      <w:r w:rsidRPr="00F9150A">
        <w:rPr>
          <w:rFonts w:ascii="Book Antiqua" w:hAnsi="Book Antiqua"/>
          <w:szCs w:val="20"/>
        </w:rPr>
        <w:t>Mofokeng</w:t>
      </w:r>
      <w:proofErr w:type="spellEnd"/>
      <w:r w:rsidRPr="00F9150A">
        <w:rPr>
          <w:rFonts w:ascii="Book Antiqua" w:hAnsi="Book Antiqua"/>
          <w:szCs w:val="20"/>
        </w:rPr>
        <w:t xml:space="preserve"> Relatora Especial sobre el derecho de toda persona al disfrute del más alto nivel posible de salud física y mental </w:t>
      </w:r>
      <w:proofErr w:type="spellStart"/>
      <w:r w:rsidRPr="00F9150A">
        <w:rPr>
          <w:rFonts w:ascii="Book Antiqua" w:hAnsi="Book Antiqua"/>
          <w:szCs w:val="20"/>
        </w:rPr>
        <w:t>Nils</w:t>
      </w:r>
      <w:proofErr w:type="spellEnd"/>
      <w:r w:rsidRPr="00F9150A">
        <w:rPr>
          <w:rFonts w:ascii="Book Antiqua" w:hAnsi="Book Antiqua"/>
          <w:szCs w:val="20"/>
        </w:rPr>
        <w:t xml:space="preserve"> </w:t>
      </w:r>
      <w:proofErr w:type="spellStart"/>
      <w:r w:rsidRPr="00F9150A">
        <w:rPr>
          <w:rFonts w:ascii="Book Antiqua" w:hAnsi="Book Antiqua"/>
          <w:szCs w:val="20"/>
        </w:rPr>
        <w:t>Melzer</w:t>
      </w:r>
      <w:proofErr w:type="spellEnd"/>
      <w:r w:rsidRPr="00F9150A">
        <w:rPr>
          <w:rFonts w:ascii="Book Antiqua" w:hAnsi="Book Antiqua"/>
          <w:szCs w:val="20"/>
        </w:rPr>
        <w:t xml:space="preserve"> Relator Especial sobre la tortura y otros tratos o penas crueles, inhumanos o degradantes </w:t>
      </w:r>
      <w:proofErr w:type="spellStart"/>
      <w:r w:rsidRPr="00F9150A">
        <w:rPr>
          <w:rFonts w:ascii="Book Antiqua" w:hAnsi="Book Antiqua"/>
          <w:szCs w:val="20"/>
        </w:rPr>
        <w:t>Reem</w:t>
      </w:r>
      <w:proofErr w:type="spellEnd"/>
      <w:r w:rsidRPr="00F9150A">
        <w:rPr>
          <w:rFonts w:ascii="Book Antiqua" w:hAnsi="Book Antiqua"/>
          <w:szCs w:val="20"/>
        </w:rPr>
        <w:t xml:space="preserve"> </w:t>
      </w:r>
      <w:proofErr w:type="spellStart"/>
      <w:r w:rsidRPr="00F9150A">
        <w:rPr>
          <w:rFonts w:ascii="Book Antiqua" w:hAnsi="Book Antiqua"/>
          <w:szCs w:val="20"/>
        </w:rPr>
        <w:t>Alsalem</w:t>
      </w:r>
      <w:proofErr w:type="spellEnd"/>
      <w:r w:rsidRPr="00F9150A">
        <w:rPr>
          <w:rFonts w:ascii="Book Antiqua" w:hAnsi="Book Antiqua"/>
          <w:szCs w:val="20"/>
        </w:rPr>
        <w:t xml:space="preserve"> Relatora Especial sobre la violencia contra la mujer, sus causas y consecuencias Melissa </w:t>
      </w:r>
      <w:proofErr w:type="spellStart"/>
      <w:r w:rsidRPr="00F9150A">
        <w:rPr>
          <w:rFonts w:ascii="Book Antiqua" w:hAnsi="Book Antiqua"/>
          <w:szCs w:val="20"/>
        </w:rPr>
        <w:t>Upreti</w:t>
      </w:r>
      <w:proofErr w:type="spellEnd"/>
      <w:r w:rsidRPr="00F9150A">
        <w:rPr>
          <w:rFonts w:ascii="Book Antiqua" w:hAnsi="Book Antiqua"/>
          <w:szCs w:val="20"/>
        </w:rPr>
        <w:t xml:space="preserve"> Presidenta-Relatora del Grupo</w:t>
      </w:r>
      <w:r w:rsidRPr="005B583B">
        <w:rPr>
          <w:rFonts w:ascii="Book Antiqua" w:hAnsi="Book Antiqua"/>
        </w:rPr>
        <w:t xml:space="preserve"> de Trabajo sobre la discriminación contra las mujeres y las niñas</w:t>
      </w:r>
      <w:r>
        <w:rPr>
          <w:rFonts w:ascii="Book Antiqua" w:hAnsi="Book Antiqua"/>
        </w:rPr>
        <w:t>.</w:t>
      </w:r>
    </w:p>
  </w:footnote>
  <w:footnote w:id="18">
    <w:p w14:paraId="435A1453" w14:textId="77777777" w:rsidR="00EB7738" w:rsidRPr="00525F2B" w:rsidRDefault="00EB7738" w:rsidP="00EB7738">
      <w:pPr>
        <w:pStyle w:val="Textonotapie"/>
        <w:jc w:val="both"/>
        <w:rPr>
          <w:rFonts w:ascii="Book Antiqua" w:hAnsi="Book Antiqua"/>
        </w:rPr>
      </w:pPr>
      <w:r w:rsidRPr="00EB7738">
        <w:rPr>
          <w:rFonts w:ascii="Book Antiqua" w:hAnsi="Book Antiqua"/>
        </w:rPr>
        <w:footnoteRef/>
      </w:r>
      <w:r w:rsidRPr="00EB7738">
        <w:rPr>
          <w:rFonts w:ascii="Book Antiqua" w:hAnsi="Book Antiqua"/>
        </w:rPr>
        <w:t xml:space="preserve"> Nota de prensa: </w:t>
      </w:r>
      <w:hyperlink r:id="rId4" w:history="1">
        <w:r w:rsidRPr="00645750">
          <w:rPr>
            <w:rFonts w:ascii="Book Antiqua" w:hAnsi="Book Antiqua"/>
          </w:rPr>
          <w:t>https://www.ohchr.org/es/pressreleases/2022/02/spain-unexperts-denounce-child-custodydecision-ignores-evidence-sexual</w:t>
        </w:r>
      </w:hyperlink>
      <w:r w:rsidR="00645750">
        <w:rPr>
          <w:rFonts w:ascii="Book Antiqua" w:hAnsi="Book Antiqua"/>
        </w:rPr>
        <w:t xml:space="preserve"> </w:t>
      </w:r>
      <w:r>
        <w:rPr>
          <w:rFonts w:ascii="Book Antiqua" w:hAnsi="Book Antiqua"/>
        </w:rPr>
        <w:t xml:space="preserve"> </w:t>
      </w:r>
      <w:r w:rsidR="00525F2B">
        <w:rPr>
          <w:rFonts w:ascii="Book Antiqua" w:hAnsi="Book Antiqua"/>
        </w:rPr>
        <w:t xml:space="preserve"> </w:t>
      </w:r>
      <w:r w:rsidR="00645750">
        <w:rPr>
          <w:rFonts w:ascii="Book Antiqua" w:hAnsi="Book Antiqua"/>
        </w:rPr>
        <w:t xml:space="preserve"> </w:t>
      </w:r>
    </w:p>
  </w:footnote>
  <w:footnote w:id="19">
    <w:p w14:paraId="71CA8E70" w14:textId="78764712" w:rsidR="00DA610A" w:rsidRDefault="00DA610A" w:rsidP="00DA610A">
      <w:pPr>
        <w:pStyle w:val="Textonotapie"/>
        <w:jc w:val="both"/>
      </w:pPr>
      <w:r>
        <w:rPr>
          <w:rStyle w:val="Refdenotaalpie"/>
        </w:rPr>
        <w:footnoteRef/>
      </w:r>
      <w:r w:rsidRPr="005F3EF7">
        <w:t xml:space="preserve"> </w:t>
      </w:r>
      <w:r w:rsidR="00A47C1D">
        <w:rPr>
          <w:rFonts w:ascii="Book Antiqua" w:hAnsi="Book Antiqua"/>
        </w:rPr>
        <w:t>Informe sombr</w:t>
      </w:r>
      <w:r w:rsidR="00AB7B42">
        <w:rPr>
          <w:rFonts w:ascii="Book Antiqua" w:hAnsi="Book Antiqua"/>
        </w:rPr>
        <w:t xml:space="preserve">a CEDAW: </w:t>
      </w:r>
      <w:r w:rsidR="00A47C1D">
        <w:rPr>
          <w:rFonts w:ascii="Book Antiqua" w:hAnsi="Book Antiqua"/>
        </w:rPr>
        <w:t xml:space="preserve">presentado por </w:t>
      </w:r>
      <w:r w:rsidR="00A47C1D" w:rsidRPr="00A47C1D">
        <w:rPr>
          <w:rFonts w:ascii="Book Antiqua" w:hAnsi="Book Antiqua"/>
        </w:rPr>
        <w:t>20 madres del Estado español.</w:t>
      </w:r>
      <w:r w:rsidRPr="00A47C1D">
        <w:rPr>
          <w:rFonts w:ascii="Book Antiqua" w:hAnsi="Book Antiqua"/>
        </w:rPr>
        <w:t xml:space="preserve"> En todos estos casos, las madres de estos NNA denunciaron abusos por parte del padre (incesto, si bien</w:t>
      </w:r>
      <w:r w:rsidRPr="0065374B">
        <w:rPr>
          <w:rFonts w:ascii="Book Antiqua" w:hAnsi="Book Antiqua"/>
        </w:rPr>
        <w:t xml:space="preserve"> el delito fue  retirado del ordenamiento jurídico español, son muchas las voces que abogan por su recuperación como delito autónomo, al tratarse de un delito con particularidades e implicaciones (penales, sociales, personales, emocionales) que no se dan en ningún otro) tras escuchar el testimonio de abuso sexual de sus hijos e hijas, y tras no llevarse a cabo investigación suficiente ni ser tomado en consideración el testimonio de las víctimas, el padre fue absuelto (o sus casos directamente archivados) y recibieron el castigo de la retirada de la custodia, entregando los niños y niñas a aquellos hombres</w:t>
      </w:r>
      <w:r w:rsidRPr="00B90352">
        <w:rPr>
          <w:rFonts w:ascii="Book Antiqua" w:hAnsi="Book Antiqua"/>
        </w:rPr>
        <w:t xml:space="preserve"> de</w:t>
      </w:r>
      <w:r w:rsidR="007F28C4">
        <w:rPr>
          <w:rFonts w:ascii="Book Antiqua" w:hAnsi="Book Antiqua"/>
        </w:rPr>
        <w:t xml:space="preserve"> </w:t>
      </w:r>
      <w:r w:rsidRPr="00B90352">
        <w:rPr>
          <w:rFonts w:ascii="Book Antiqua" w:hAnsi="Book Antiqua"/>
        </w:rPr>
        <w:t>los que las víctimas habían relatado sufrir abusos.</w:t>
      </w:r>
      <w:r w:rsidR="00B90352" w:rsidRPr="00B90352">
        <w:rPr>
          <w:rFonts w:ascii="Book Antiqua" w:hAnsi="Book Antiqua"/>
        </w:rPr>
        <w:t xml:space="preserve"> </w:t>
      </w:r>
      <w:hyperlink r:id="rId5" w:tgtFrame="_blank" w:history="1">
        <w:r w:rsidR="00B90352" w:rsidRPr="00B90352">
          <w:rPr>
            <w:rStyle w:val="Hipervnculo"/>
            <w:rFonts w:ascii="Book Antiqua" w:hAnsi="Book Antiqua" w:cs="Arial"/>
            <w:color w:val="1155CC"/>
            <w:shd w:val="clear" w:color="auto" w:fill="FFFFFF"/>
          </w:rPr>
          <w:t>https://tbinternet.ohchr.org/_layouts/15/treatybodyexternal/Download.aspx?symbolno=INT%2fCEDAW%2fCSS%2fESP%2f44866&amp;Lang=en</w:t>
        </w:r>
      </w:hyperlink>
    </w:p>
  </w:footnote>
  <w:footnote w:id="20">
    <w:p w14:paraId="02C75A2C" w14:textId="77777777" w:rsidR="008F2E5C" w:rsidRPr="00615473" w:rsidRDefault="008F2E5C" w:rsidP="008F2E5C">
      <w:pPr>
        <w:suppressAutoHyphens w:val="0"/>
        <w:autoSpaceDE w:val="0"/>
        <w:autoSpaceDN w:val="0"/>
        <w:adjustRightInd w:val="0"/>
        <w:rPr>
          <w:rFonts w:ascii="ArialMT" w:eastAsiaTheme="minorHAnsi" w:hAnsi="ArialMT" w:cs="ArialMT"/>
          <w:color w:val="0563C2"/>
          <w:kern w:val="0"/>
          <w:sz w:val="22"/>
          <w:szCs w:val="22"/>
          <w:lang w:eastAsia="en-US" w:bidi="ar-SA"/>
        </w:rPr>
      </w:pPr>
      <w:r w:rsidRPr="00615473">
        <w:rPr>
          <w:rFonts w:ascii="Book Antiqua" w:hAnsi="Book Antiqua" w:cs="Mangal"/>
          <w:sz w:val="20"/>
          <w:szCs w:val="18"/>
        </w:rPr>
        <w:footnoteRef/>
      </w:r>
      <w:r w:rsidRPr="00615473">
        <w:rPr>
          <w:rFonts w:ascii="Book Antiqua" w:hAnsi="Book Antiqua" w:cs="Mangal"/>
          <w:sz w:val="20"/>
          <w:szCs w:val="18"/>
        </w:rPr>
        <w:t xml:space="preserve"> Comunicación que puede leerse en </w:t>
      </w:r>
      <w:hyperlink r:id="rId6" w:history="1">
        <w:r w:rsidRPr="00F0026C">
          <w:rPr>
            <w:rStyle w:val="Hipervnculo"/>
            <w:rFonts w:ascii="Book Antiqua" w:hAnsi="Book Antiqua" w:cs="Mangal"/>
            <w:sz w:val="20"/>
            <w:szCs w:val="18"/>
          </w:rPr>
          <w:t>https://spcommreports.ohchr.org/TMResultsBase/DownLoadPublicCommunicationFile?gId=24662</w:t>
        </w:r>
      </w:hyperlink>
      <w:r>
        <w:rPr>
          <w:rFonts w:ascii="Book Antiqua" w:hAnsi="Book Antiqua" w:cs="Mangal"/>
          <w:sz w:val="20"/>
          <w:szCs w:val="18"/>
        </w:rPr>
        <w:t xml:space="preserve"> </w:t>
      </w:r>
      <w:r w:rsidRPr="00615473">
        <w:rPr>
          <w:rFonts w:ascii="Book Antiqua" w:hAnsi="Book Antiqua" w:cs="Mangal"/>
          <w:sz w:val="20"/>
          <w:szCs w:val="18"/>
        </w:rPr>
        <w:t xml:space="preserve">y la respuesta del gobierno español en el siguiente enlace: </w:t>
      </w:r>
      <w:hyperlink r:id="rId7" w:history="1">
        <w:r w:rsidRPr="00F0026C">
          <w:rPr>
            <w:rStyle w:val="Hipervnculo"/>
            <w:rFonts w:ascii="Book Antiqua" w:hAnsi="Book Antiqua" w:cs="Mangal"/>
            <w:sz w:val="20"/>
            <w:szCs w:val="18"/>
          </w:rPr>
          <w:t>https://spcommreports.ohchr.org/TMResultsBase/DownLoadFile?gId=34832</w:t>
        </w:r>
      </w:hyperlink>
      <w:r>
        <w:rPr>
          <w:rFonts w:ascii="Book Antiqua" w:hAnsi="Book Antiqua" w:cs="Mangal"/>
          <w:sz w:val="20"/>
          <w:szCs w:val="18"/>
        </w:rPr>
        <w:t xml:space="preserve"> </w:t>
      </w:r>
    </w:p>
  </w:footnote>
  <w:footnote w:id="21">
    <w:p w14:paraId="34DB0AA6" w14:textId="77777777" w:rsidR="008F2E5C" w:rsidRDefault="008F2E5C" w:rsidP="008F2E5C">
      <w:pPr>
        <w:pStyle w:val="Textonotapie"/>
        <w:jc w:val="both"/>
        <w:rPr>
          <w:rFonts w:ascii="Book Antiqua" w:hAnsi="Book Antiqua"/>
        </w:rPr>
      </w:pPr>
      <w:r w:rsidRPr="005F3EF7">
        <w:rPr>
          <w:rFonts w:ascii="Book Antiqua" w:hAnsi="Book Antiqua"/>
        </w:rPr>
        <w:footnoteRef/>
      </w:r>
      <w:r w:rsidRPr="005F3EF7">
        <w:rPr>
          <w:rFonts w:ascii="Book Antiqua" w:hAnsi="Book Antiqua"/>
        </w:rPr>
        <w:t xml:space="preserve"> Comunicación que puede leerse en </w:t>
      </w:r>
    </w:p>
    <w:p w14:paraId="523452C7" w14:textId="77777777" w:rsidR="008F2E5C" w:rsidRPr="005F3EF7" w:rsidRDefault="00FF0720" w:rsidP="008F2E5C">
      <w:pPr>
        <w:pStyle w:val="Textonotapie"/>
        <w:jc w:val="both"/>
        <w:rPr>
          <w:rFonts w:ascii="Book Antiqua" w:hAnsi="Book Antiqua"/>
        </w:rPr>
      </w:pPr>
      <w:hyperlink r:id="rId8" w:history="1">
        <w:r w:rsidR="008F2E5C" w:rsidRPr="00F0026C">
          <w:rPr>
            <w:rStyle w:val="Hipervnculo"/>
            <w:rFonts w:ascii="Book Antiqua" w:hAnsi="Book Antiqua"/>
          </w:rPr>
          <w:t>https://spcommreports.ohchr.org/TMResultsBase/DownLoadPublicCommunicationFile?gId=24899</w:t>
        </w:r>
      </w:hyperlink>
      <w:r w:rsidR="008F2E5C">
        <w:rPr>
          <w:rFonts w:ascii="Book Antiqua" w:hAnsi="Book Antiqua"/>
        </w:rPr>
        <w:t xml:space="preserve"> </w:t>
      </w:r>
    </w:p>
    <w:p w14:paraId="3C589048" w14:textId="77777777" w:rsidR="008F2E5C" w:rsidRDefault="008F2E5C" w:rsidP="008F2E5C">
      <w:pPr>
        <w:pStyle w:val="Textonotapie"/>
        <w:jc w:val="both"/>
        <w:rPr>
          <w:rFonts w:ascii="Book Antiqua" w:hAnsi="Book Antiqua"/>
        </w:rPr>
      </w:pPr>
      <w:r w:rsidRPr="005F3EF7">
        <w:rPr>
          <w:rFonts w:ascii="Book Antiqua" w:hAnsi="Book Antiqua"/>
        </w:rPr>
        <w:t xml:space="preserve">Y la respuesta del gobierno español en: </w:t>
      </w:r>
    </w:p>
    <w:p w14:paraId="2CA3FAE4" w14:textId="77777777" w:rsidR="008F2E5C" w:rsidRPr="005F3EF7" w:rsidRDefault="00FF0720" w:rsidP="008F2E5C">
      <w:pPr>
        <w:pStyle w:val="Textonotapie"/>
        <w:jc w:val="both"/>
        <w:rPr>
          <w:rFonts w:ascii="Book Antiqua" w:hAnsi="Book Antiqua"/>
        </w:rPr>
      </w:pPr>
      <w:hyperlink r:id="rId9" w:history="1">
        <w:r w:rsidR="008F2E5C" w:rsidRPr="00F0026C">
          <w:rPr>
            <w:rStyle w:val="Hipervnculo"/>
            <w:rFonts w:ascii="Book Antiqua" w:hAnsi="Book Antiqua"/>
          </w:rPr>
          <w:t>https://spcommreports.ohchr.org/TMResultsBase/DownLoadFile?gId=35154</w:t>
        </w:r>
      </w:hyperlink>
      <w:r w:rsidR="008F2E5C">
        <w:rPr>
          <w:rFonts w:ascii="Book Antiqua" w:hAnsi="Book Antiqua"/>
        </w:rPr>
        <w:t xml:space="preserve"> </w:t>
      </w:r>
    </w:p>
  </w:footnote>
  <w:footnote w:id="22">
    <w:p w14:paraId="29DCC36A" w14:textId="77777777" w:rsidR="008F2E5C" w:rsidRPr="00525F2B" w:rsidRDefault="008F2E5C" w:rsidP="008F2E5C">
      <w:pPr>
        <w:pStyle w:val="Textonotapie"/>
        <w:jc w:val="both"/>
        <w:rPr>
          <w:rFonts w:ascii="Book Antiqua" w:hAnsi="Book Antiqua"/>
        </w:rPr>
      </w:pPr>
      <w:r w:rsidRPr="00525F2B">
        <w:rPr>
          <w:rFonts w:ascii="Book Antiqua" w:hAnsi="Book Antiqua"/>
        </w:rPr>
        <w:footnoteRef/>
      </w:r>
      <w:r w:rsidRPr="00525F2B">
        <w:rPr>
          <w:rFonts w:ascii="Book Antiqua" w:hAnsi="Book Antiqua"/>
        </w:rPr>
        <w:t xml:space="preserve"> Comunicación que puede leerse en</w:t>
      </w:r>
    </w:p>
    <w:p w14:paraId="15417108" w14:textId="77777777" w:rsidR="008F2E5C" w:rsidRPr="00525F2B" w:rsidRDefault="00FF0720" w:rsidP="008F2E5C">
      <w:pPr>
        <w:pStyle w:val="Textonotapie"/>
        <w:jc w:val="both"/>
        <w:rPr>
          <w:rFonts w:ascii="Book Antiqua" w:hAnsi="Book Antiqua"/>
        </w:rPr>
      </w:pPr>
      <w:hyperlink r:id="rId10" w:history="1">
        <w:r w:rsidR="008F2E5C" w:rsidRPr="00F0026C">
          <w:rPr>
            <w:rStyle w:val="Hipervnculo"/>
            <w:rFonts w:ascii="Book Antiqua" w:hAnsi="Book Antiqua"/>
          </w:rPr>
          <w:t>https://spcommreports.ohchr.org/TMResultsBase/DownLoadPublicCommunicationFile?gId=25014</w:t>
        </w:r>
      </w:hyperlink>
      <w:r w:rsidR="008F2E5C">
        <w:rPr>
          <w:rFonts w:ascii="Book Antiqua" w:hAnsi="Book Antiqua"/>
        </w:rPr>
        <w:t xml:space="preserve"> </w:t>
      </w:r>
    </w:p>
    <w:p w14:paraId="0A9A0A3D" w14:textId="77777777" w:rsidR="008F2E5C" w:rsidRDefault="008F2E5C" w:rsidP="008F2E5C">
      <w:pPr>
        <w:pStyle w:val="Textonotapie"/>
        <w:jc w:val="both"/>
        <w:rPr>
          <w:rFonts w:ascii="Book Antiqua" w:hAnsi="Book Antiqua"/>
        </w:rPr>
      </w:pPr>
      <w:r w:rsidRPr="00525F2B">
        <w:rPr>
          <w:rFonts w:ascii="Book Antiqua" w:hAnsi="Book Antiqua"/>
        </w:rPr>
        <w:t xml:space="preserve">Y la respuesta del gobierno español en: </w:t>
      </w:r>
    </w:p>
    <w:p w14:paraId="528780D4" w14:textId="77777777" w:rsidR="008F2E5C" w:rsidRPr="00525F2B" w:rsidRDefault="00FF0720" w:rsidP="008F2E5C">
      <w:pPr>
        <w:pStyle w:val="Textonotapie"/>
        <w:jc w:val="both"/>
        <w:rPr>
          <w:rFonts w:ascii="Book Antiqua" w:hAnsi="Book Antiqua"/>
        </w:rPr>
      </w:pPr>
      <w:hyperlink r:id="rId11" w:history="1">
        <w:r w:rsidR="008F2E5C" w:rsidRPr="00645750">
          <w:rPr>
            <w:rFonts w:ascii="Book Antiqua" w:hAnsi="Book Antiqua"/>
          </w:rPr>
          <w:t>https://spcommreports.ohchr.org/TMResultsBase/DownLoadFile?gId=35155</w:t>
        </w:r>
      </w:hyperlink>
      <w:r w:rsidR="008F2E5C">
        <w:rPr>
          <w:rFonts w:ascii="Book Antiqua" w:hAnsi="Book Antiqua"/>
        </w:rPr>
        <w:t xml:space="preserve">  </w:t>
      </w:r>
    </w:p>
  </w:footnote>
  <w:footnote w:id="23">
    <w:p w14:paraId="33662779" w14:textId="77777777" w:rsidR="008F2E5C" w:rsidRDefault="008F2E5C" w:rsidP="008F2E5C">
      <w:pPr>
        <w:pStyle w:val="Textonotapie"/>
        <w:jc w:val="both"/>
        <w:rPr>
          <w:rFonts w:ascii="Book Antiqua" w:hAnsi="Book Antiqua"/>
        </w:rPr>
      </w:pPr>
      <w:r w:rsidRPr="00645750">
        <w:rPr>
          <w:rFonts w:ascii="Book Antiqua" w:hAnsi="Book Antiqua"/>
        </w:rPr>
        <w:footnoteRef/>
      </w:r>
      <w:r w:rsidRPr="00645750">
        <w:rPr>
          <w:rFonts w:ascii="Book Antiqua" w:hAnsi="Book Antiqua"/>
        </w:rPr>
        <w:t xml:space="preserve"> Comunicación que puede leerse en </w:t>
      </w:r>
    </w:p>
    <w:p w14:paraId="71051A5B" w14:textId="77777777" w:rsidR="008F2E5C" w:rsidRPr="00645750" w:rsidRDefault="00FF0720" w:rsidP="008F2E5C">
      <w:pPr>
        <w:pStyle w:val="Textonotapie"/>
        <w:jc w:val="both"/>
        <w:rPr>
          <w:rFonts w:ascii="Book Antiqua" w:hAnsi="Book Antiqua"/>
        </w:rPr>
      </w:pPr>
      <w:hyperlink r:id="rId12" w:history="1">
        <w:r w:rsidR="008F2E5C" w:rsidRPr="00645750">
          <w:rPr>
            <w:rFonts w:ascii="Book Antiqua" w:hAnsi="Book Antiqua"/>
          </w:rPr>
          <w:t>https://spcommreports.ohchr.org/TMResultsBase/DownLoadPublicCommunicationFile?gId=25553</w:t>
        </w:r>
      </w:hyperlink>
      <w:r w:rsidR="008F2E5C">
        <w:rPr>
          <w:rFonts w:ascii="Book Antiqua" w:hAnsi="Book Antiqua"/>
        </w:rPr>
        <w:t xml:space="preserve">  </w:t>
      </w:r>
    </w:p>
    <w:p w14:paraId="6BD1073F" w14:textId="77777777" w:rsidR="008F2E5C" w:rsidRPr="00645750" w:rsidRDefault="008F2E5C" w:rsidP="008F2E5C">
      <w:pPr>
        <w:pStyle w:val="Textonotapie"/>
        <w:jc w:val="both"/>
        <w:rPr>
          <w:rFonts w:ascii="Book Antiqua" w:hAnsi="Book Antiqua"/>
        </w:rPr>
      </w:pPr>
      <w:r w:rsidRPr="00645750">
        <w:rPr>
          <w:rFonts w:ascii="Book Antiqua" w:hAnsi="Book Antiqua"/>
        </w:rPr>
        <w:t>Y la respuesta del gobierno español en:</w:t>
      </w:r>
    </w:p>
    <w:p w14:paraId="4D0FF532" w14:textId="77777777" w:rsidR="008F2E5C" w:rsidRPr="00645750" w:rsidRDefault="00FF0720" w:rsidP="008F2E5C">
      <w:pPr>
        <w:pStyle w:val="Textonotapie"/>
        <w:jc w:val="both"/>
        <w:rPr>
          <w:rFonts w:ascii="Book Antiqua" w:hAnsi="Book Antiqua"/>
        </w:rPr>
      </w:pPr>
      <w:hyperlink r:id="rId13" w:history="1">
        <w:r w:rsidR="008F2E5C" w:rsidRPr="00F0026C">
          <w:rPr>
            <w:rStyle w:val="Hipervnculo"/>
            <w:rFonts w:ascii="Book Antiqua" w:hAnsi="Book Antiqua"/>
          </w:rPr>
          <w:t>https://spcommreports.ohchr.org/TMResultsBase/DownLoadFile?gId=35811</w:t>
        </w:r>
      </w:hyperlink>
      <w:r w:rsidR="008F2E5C">
        <w:rPr>
          <w:rFonts w:ascii="Book Antiqua" w:hAnsi="Book Antiqua"/>
        </w:rPr>
        <w:t xml:space="preserve"> </w:t>
      </w:r>
    </w:p>
  </w:footnote>
  <w:footnote w:id="24">
    <w:p w14:paraId="08AF2CF4" w14:textId="4A0EF2D4" w:rsidR="00C436C2" w:rsidRDefault="00C436C2">
      <w:pPr>
        <w:pStyle w:val="Textonotapie"/>
      </w:pPr>
      <w:r>
        <w:rPr>
          <w:rStyle w:val="Refdenotaalpie"/>
          <w:rFonts w:hint="eastAsia"/>
        </w:rPr>
        <w:footnoteRef/>
      </w:r>
      <w:r>
        <w:rPr>
          <w:rFonts w:hint="eastAsia"/>
        </w:rPr>
        <w:t xml:space="preserve"> </w:t>
      </w:r>
      <w:r>
        <w:t xml:space="preserve">Caso con gran repercusión en prensa: </w:t>
      </w:r>
      <w:hyperlink r:id="rId14" w:history="1">
        <w:r w:rsidRPr="00FB74FD">
          <w:rPr>
            <w:rStyle w:val="Hipervnculo"/>
            <w:rFonts w:hint="eastAsia"/>
          </w:rPr>
          <w:t>https://www.elsaltodiario.com/sap/fiscal-caso-de-irune-costumero-dice-sap-existe?fbclid=IwAR3HDTV5sbT9cuf03P9wFZOhio_uBmgsLbalcj8SQJQxZ60U_gNKbEJAOjQ</w:t>
        </w:r>
      </w:hyperlink>
      <w:r>
        <w:rPr>
          <w:rFonts w:ascii="Times New Roman" w:eastAsia="Times New Roman" w:hAnsi="Times New Roman" w:cs="Times New Roman"/>
          <w:kern w:val="0"/>
          <w:lang w:eastAsia="es-ES" w:bidi="ar-SA"/>
        </w:rPr>
        <w:t>,</w:t>
      </w:r>
    </w:p>
  </w:footnote>
  <w:footnote w:id="25">
    <w:p w14:paraId="783E5BFF" w14:textId="77777777" w:rsidR="00C9348C" w:rsidRPr="00C90589" w:rsidRDefault="00C9348C" w:rsidP="00C90589">
      <w:pPr>
        <w:pStyle w:val="Textonotapie"/>
        <w:jc w:val="both"/>
        <w:rPr>
          <w:rFonts w:ascii="Book Antiqua" w:hAnsi="Book Antiqua" w:cs="Arial"/>
        </w:rPr>
      </w:pPr>
      <w:r>
        <w:rPr>
          <w:rStyle w:val="Refdenotaalpie"/>
        </w:rPr>
        <w:footnoteRef/>
      </w:r>
      <w:r w:rsidRPr="00A63A3D">
        <w:t xml:space="preserve"> </w:t>
      </w:r>
      <w:r w:rsidRPr="00C90589">
        <w:rPr>
          <w:rFonts w:ascii="Book Antiqua" w:hAnsi="Book Antiqua"/>
        </w:rPr>
        <w:t>LOPIVI: Ley Orgánica 8/2021, de 4 de junio, de protección integral a la infancia y la adolescencia frente a la violencia.</w:t>
      </w:r>
      <w:r w:rsidR="00C90589" w:rsidRPr="00C90589">
        <w:rPr>
          <w:rFonts w:ascii="Book Antiqua" w:hAnsi="Book Antiqua"/>
        </w:rPr>
        <w:t xml:space="preserve"> En su artículo</w:t>
      </w:r>
      <w:r w:rsidR="00C90589" w:rsidRPr="00C90589">
        <w:rPr>
          <w:rFonts w:ascii="Book Antiqua" w:hAnsi="Book Antiqua" w:cs="Arial"/>
        </w:rPr>
        <w:t xml:space="preserve"> 11.</w:t>
      </w:r>
      <w:r w:rsidR="00C90589" w:rsidRPr="00C90589">
        <w:rPr>
          <w:rFonts w:ascii="Book Antiqua" w:hAnsi="Book Antiqua"/>
        </w:rPr>
        <w:t>3.señala que: Los poderes públicos tomarán las medidas necesarias para impedir que planteamientos teóricos o criterios sin aval científico que presuman interferencia o manipulación adulta, como el llamado síndrome de alienación parental, puedan ser tomados en consideración</w:t>
      </w:r>
    </w:p>
  </w:footnote>
  <w:footnote w:id="26">
    <w:p w14:paraId="0B5C47DE" w14:textId="77777777" w:rsidR="00C9348C" w:rsidRPr="00A63A3D" w:rsidRDefault="00C9348C" w:rsidP="00F9150A">
      <w:pPr>
        <w:pStyle w:val="Textonotapie"/>
        <w:spacing w:line="276" w:lineRule="auto"/>
        <w:jc w:val="both"/>
        <w:rPr>
          <w:rFonts w:ascii="Book Antiqua" w:hAnsi="Book Antiqua"/>
          <w:lang w:val="en-US"/>
        </w:rPr>
      </w:pPr>
      <w:r w:rsidRPr="00C90589">
        <w:rPr>
          <w:rStyle w:val="Refdenotaalpie"/>
          <w:rFonts w:ascii="Book Antiqua" w:hAnsi="Book Antiqua"/>
        </w:rPr>
        <w:footnoteRef/>
      </w:r>
      <w:r w:rsidRPr="00C90589">
        <w:rPr>
          <w:rFonts w:ascii="Book Antiqua" w:hAnsi="Book Antiqua"/>
          <w:lang w:val="en-US"/>
        </w:rPr>
        <w:t xml:space="preserve"> CEDAW/C/ESP/CO/9 Committee on the Elimination of Discrimination against Women. Concluding observations on the ninth periodic report of Spain (Adopted by the Committee at its eighty-</w:t>
      </w:r>
      <w:r w:rsidR="00C90589" w:rsidRPr="00C90589">
        <w:rPr>
          <w:rFonts w:ascii="Book Antiqua" w:hAnsi="Book Antiqua"/>
          <w:lang w:val="en-US"/>
        </w:rPr>
        <w:t>fifth session, 8-26 May 2023).</w:t>
      </w:r>
    </w:p>
  </w:footnote>
  <w:footnote w:id="27">
    <w:p w14:paraId="6E3DB76F" w14:textId="5C31F021" w:rsidR="00CE20B6" w:rsidRPr="00522923" w:rsidRDefault="00CE20B6" w:rsidP="00F9150A">
      <w:pPr>
        <w:pStyle w:val="Textonotapie"/>
        <w:jc w:val="both"/>
        <w:rPr>
          <w:lang w:val="en-US"/>
        </w:rPr>
      </w:pPr>
      <w:r>
        <w:rPr>
          <w:rStyle w:val="Refdenotaalpie"/>
        </w:rPr>
        <w:footnoteRef/>
      </w:r>
      <w:r>
        <w:t xml:space="preserve"> </w:t>
      </w:r>
      <w:r w:rsidRPr="00A807BD">
        <w:rPr>
          <w:rFonts w:ascii="Book Antiqua" w:hAnsi="Book Antiqua"/>
        </w:rPr>
        <w:t>A/HRC/53/36, Custodia, violencia contra las mujeres y violencia contra los niños. Informe de la Relatora Especial sobre la violencia contra las muj</w:t>
      </w:r>
      <w:r w:rsidR="00634284">
        <w:rPr>
          <w:rFonts w:ascii="Book Antiqua" w:hAnsi="Book Antiqua"/>
        </w:rPr>
        <w:t>e</w:t>
      </w:r>
      <w:r w:rsidRPr="00A807BD">
        <w:rPr>
          <w:rFonts w:ascii="Book Antiqua" w:hAnsi="Book Antiqua"/>
        </w:rPr>
        <w:t xml:space="preserve">res y las niñas, sus causas y consecuencias. </w:t>
      </w:r>
      <w:r w:rsidRPr="00522923">
        <w:rPr>
          <w:rFonts w:ascii="Book Antiqua" w:hAnsi="Book Antiqua"/>
          <w:lang w:val="en-US"/>
        </w:rPr>
        <w:t>Reem Alsalem. Párrafo 13</w:t>
      </w:r>
      <w:r w:rsidRPr="00522923">
        <w:rPr>
          <w:lang w:val="en-US"/>
        </w:rPr>
        <w:t>.</w:t>
      </w:r>
    </w:p>
  </w:footnote>
  <w:footnote w:id="28">
    <w:p w14:paraId="596005A6" w14:textId="6CCABBEF" w:rsidR="00B832EB" w:rsidRPr="00522923" w:rsidRDefault="00B832EB">
      <w:pPr>
        <w:pStyle w:val="Textonotapie"/>
        <w:rPr>
          <w:lang w:val="en-US"/>
        </w:rPr>
      </w:pPr>
      <w:r>
        <w:rPr>
          <w:rStyle w:val="Refdenotaalpie"/>
          <w:rFonts w:hint="eastAsia"/>
        </w:rPr>
        <w:footnoteRef/>
      </w:r>
      <w:r w:rsidRPr="00522923">
        <w:rPr>
          <w:rFonts w:hint="eastAsia"/>
          <w:lang w:val="en-US"/>
        </w:rPr>
        <w:t>https://violenciagenero.igualdad.gob.es/violenciaEnCifras/estudios/investigaciones/2022/estudios/violencia_alineacion_parental.htm</w:t>
      </w:r>
    </w:p>
  </w:footnote>
  <w:footnote w:id="29">
    <w:p w14:paraId="7F58DA34" w14:textId="77777777" w:rsidR="00B43C52" w:rsidRDefault="00B43C52" w:rsidP="00B43C52">
      <w:pPr>
        <w:pStyle w:val="NormalWeb"/>
        <w:shd w:val="clear" w:color="auto" w:fill="FFFFFF"/>
        <w:spacing w:before="0" w:beforeAutospacing="0" w:after="0" w:afterAutospacing="0"/>
        <w:jc w:val="both"/>
        <w:textAlignment w:val="baseline"/>
      </w:pPr>
      <w:r w:rsidRPr="00E11DB1">
        <w:rPr>
          <w:rFonts w:ascii="Book Antiqua" w:eastAsia="Arial Unicode MS" w:hAnsi="Book Antiqua" w:cs="Mangal"/>
          <w:kern w:val="2"/>
          <w:sz w:val="20"/>
          <w:szCs w:val="18"/>
          <w:lang w:eastAsia="zh-CN" w:bidi="hi-IN"/>
        </w:rPr>
        <w:footnoteRef/>
      </w:r>
      <w:r w:rsidRPr="00E11DB1">
        <w:rPr>
          <w:rFonts w:ascii="Book Antiqua" w:eastAsia="Arial Unicode MS" w:hAnsi="Book Antiqua" w:cs="Mangal"/>
          <w:kern w:val="2"/>
          <w:sz w:val="20"/>
          <w:szCs w:val="18"/>
          <w:lang w:eastAsia="zh-CN" w:bidi="hi-IN"/>
        </w:rPr>
        <w:t xml:space="preserve"> Gutiérrez de Piñeres, Coronel y Pérez </w:t>
      </w:r>
      <w:proofErr w:type="spellStart"/>
      <w:r w:rsidRPr="00E11DB1">
        <w:rPr>
          <w:rFonts w:ascii="Book Antiqua" w:eastAsia="Arial Unicode MS" w:hAnsi="Book Antiqua" w:cs="Mangal"/>
          <w:kern w:val="2"/>
          <w:sz w:val="20"/>
          <w:szCs w:val="18"/>
          <w:lang w:eastAsia="zh-CN" w:bidi="hi-IN"/>
        </w:rPr>
        <w:t>o</w:t>
      </w:r>
      <w:r>
        <w:rPr>
          <w:rFonts w:ascii="Book Antiqua" w:eastAsia="Arial Unicode MS" w:hAnsi="Book Antiqua" w:cs="Mangal"/>
          <w:kern w:val="2"/>
          <w:sz w:val="20"/>
          <w:szCs w:val="18"/>
          <w:lang w:eastAsia="zh-CN" w:bidi="hi-IN"/>
        </w:rPr>
        <w:t>p</w:t>
      </w:r>
      <w:proofErr w:type="spellEnd"/>
      <w:r>
        <w:rPr>
          <w:rFonts w:ascii="Book Antiqua" w:eastAsia="Arial Unicode MS" w:hAnsi="Book Antiqua" w:cs="Mangal"/>
          <w:kern w:val="2"/>
          <w:sz w:val="20"/>
          <w:szCs w:val="18"/>
          <w:lang w:eastAsia="zh-CN" w:bidi="hi-IN"/>
        </w:rPr>
        <w:t xml:space="preserve">. cit.; </w:t>
      </w:r>
      <w:proofErr w:type="spellStart"/>
      <w:r>
        <w:rPr>
          <w:rFonts w:ascii="Book Antiqua" w:eastAsia="Arial Unicode MS" w:hAnsi="Book Antiqua" w:cs="Mangal"/>
          <w:kern w:val="2"/>
          <w:sz w:val="20"/>
          <w:szCs w:val="18"/>
          <w:lang w:eastAsia="zh-CN" w:bidi="hi-IN"/>
        </w:rPr>
        <w:t>Save</w:t>
      </w:r>
      <w:proofErr w:type="spellEnd"/>
      <w:r>
        <w:rPr>
          <w:rFonts w:ascii="Book Antiqua" w:eastAsia="Arial Unicode MS" w:hAnsi="Book Antiqua" w:cs="Mangal"/>
          <w:kern w:val="2"/>
          <w:sz w:val="20"/>
          <w:szCs w:val="18"/>
          <w:lang w:eastAsia="zh-CN" w:bidi="hi-IN"/>
        </w:rPr>
        <w:t xml:space="preserve"> </w:t>
      </w:r>
      <w:proofErr w:type="spellStart"/>
      <w:r>
        <w:rPr>
          <w:rFonts w:ascii="Book Antiqua" w:eastAsia="Arial Unicode MS" w:hAnsi="Book Antiqua" w:cs="Mangal"/>
          <w:kern w:val="2"/>
          <w:sz w:val="20"/>
          <w:szCs w:val="18"/>
          <w:lang w:eastAsia="zh-CN" w:bidi="hi-IN"/>
        </w:rPr>
        <w:t>the</w:t>
      </w:r>
      <w:proofErr w:type="spellEnd"/>
      <w:r>
        <w:rPr>
          <w:rFonts w:ascii="Book Antiqua" w:eastAsia="Arial Unicode MS" w:hAnsi="Book Antiqua" w:cs="Mangal"/>
          <w:kern w:val="2"/>
          <w:sz w:val="20"/>
          <w:szCs w:val="18"/>
          <w:lang w:eastAsia="zh-CN" w:bidi="hi-IN"/>
        </w:rPr>
        <w:t xml:space="preserve"> </w:t>
      </w:r>
      <w:proofErr w:type="spellStart"/>
      <w:r>
        <w:rPr>
          <w:rFonts w:ascii="Book Antiqua" w:eastAsia="Arial Unicode MS" w:hAnsi="Book Antiqua" w:cs="Mangal"/>
          <w:kern w:val="2"/>
          <w:sz w:val="20"/>
          <w:szCs w:val="18"/>
          <w:lang w:eastAsia="zh-CN" w:bidi="hi-IN"/>
        </w:rPr>
        <w:t>Children</w:t>
      </w:r>
      <w:proofErr w:type="spellEnd"/>
      <w:r>
        <w:rPr>
          <w:rFonts w:ascii="Book Antiqua" w:eastAsia="Arial Unicode MS" w:hAnsi="Book Antiqua" w:cs="Mangal"/>
          <w:kern w:val="2"/>
          <w:sz w:val="20"/>
          <w:szCs w:val="18"/>
          <w:lang w:eastAsia="zh-CN" w:bidi="hi-IN"/>
        </w:rPr>
        <w:t xml:space="preserv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ADC3B9" w14:textId="77777777" w:rsidR="00D112F5" w:rsidRDefault="00D112F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F45912"/>
    <w:multiLevelType w:val="hybridMultilevel"/>
    <w:tmpl w:val="0A560AAC"/>
    <w:lvl w:ilvl="0" w:tplc="3CF627D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2DF096E"/>
    <w:multiLevelType w:val="hybridMultilevel"/>
    <w:tmpl w:val="3EE6879A"/>
    <w:lvl w:ilvl="0" w:tplc="F57A00C8">
      <w:start w:val="29"/>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2841C77"/>
    <w:multiLevelType w:val="hybridMultilevel"/>
    <w:tmpl w:val="882C897E"/>
    <w:lvl w:ilvl="0" w:tplc="85D6E220">
      <w:start w:val="4"/>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5066453"/>
    <w:multiLevelType w:val="hybridMultilevel"/>
    <w:tmpl w:val="70D8AE0E"/>
    <w:lvl w:ilvl="0" w:tplc="51B03A92">
      <w:start w:val="29"/>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024"/>
    <w:rsid w:val="000271FF"/>
    <w:rsid w:val="00027949"/>
    <w:rsid w:val="00045B21"/>
    <w:rsid w:val="00051B12"/>
    <w:rsid w:val="0009148F"/>
    <w:rsid w:val="000A3F83"/>
    <w:rsid w:val="001079FF"/>
    <w:rsid w:val="0012553D"/>
    <w:rsid w:val="00125585"/>
    <w:rsid w:val="0013019F"/>
    <w:rsid w:val="0016238D"/>
    <w:rsid w:val="001768B9"/>
    <w:rsid w:val="001944B6"/>
    <w:rsid w:val="001C2DED"/>
    <w:rsid w:val="001C34AD"/>
    <w:rsid w:val="00201894"/>
    <w:rsid w:val="00254604"/>
    <w:rsid w:val="00284689"/>
    <w:rsid w:val="002901C5"/>
    <w:rsid w:val="002B2E39"/>
    <w:rsid w:val="002E1890"/>
    <w:rsid w:val="00311410"/>
    <w:rsid w:val="00312866"/>
    <w:rsid w:val="00333448"/>
    <w:rsid w:val="003411BF"/>
    <w:rsid w:val="00357F7B"/>
    <w:rsid w:val="00363E06"/>
    <w:rsid w:val="00385BB5"/>
    <w:rsid w:val="00397EE5"/>
    <w:rsid w:val="003B5AE1"/>
    <w:rsid w:val="003C4C00"/>
    <w:rsid w:val="003E2308"/>
    <w:rsid w:val="003E2FA8"/>
    <w:rsid w:val="00421B31"/>
    <w:rsid w:val="00422FEB"/>
    <w:rsid w:val="004240AE"/>
    <w:rsid w:val="004346EA"/>
    <w:rsid w:val="004363E6"/>
    <w:rsid w:val="00485230"/>
    <w:rsid w:val="004A7E02"/>
    <w:rsid w:val="004B07C7"/>
    <w:rsid w:val="00517408"/>
    <w:rsid w:val="00522923"/>
    <w:rsid w:val="00525F2B"/>
    <w:rsid w:val="0054417F"/>
    <w:rsid w:val="005B583B"/>
    <w:rsid w:val="005D5F82"/>
    <w:rsid w:val="005E4457"/>
    <w:rsid w:val="005F3EF7"/>
    <w:rsid w:val="00615473"/>
    <w:rsid w:val="00634284"/>
    <w:rsid w:val="00645750"/>
    <w:rsid w:val="0064620E"/>
    <w:rsid w:val="0065374B"/>
    <w:rsid w:val="00656128"/>
    <w:rsid w:val="00694714"/>
    <w:rsid w:val="006C04A0"/>
    <w:rsid w:val="006C6B5F"/>
    <w:rsid w:val="006E0B95"/>
    <w:rsid w:val="00713818"/>
    <w:rsid w:val="00742FA3"/>
    <w:rsid w:val="007603DD"/>
    <w:rsid w:val="00761B99"/>
    <w:rsid w:val="007A5742"/>
    <w:rsid w:val="007C673F"/>
    <w:rsid w:val="007E2553"/>
    <w:rsid w:val="007F28C4"/>
    <w:rsid w:val="008059C7"/>
    <w:rsid w:val="0081565A"/>
    <w:rsid w:val="00853B80"/>
    <w:rsid w:val="00854968"/>
    <w:rsid w:val="00862E2E"/>
    <w:rsid w:val="008B2E49"/>
    <w:rsid w:val="008D6317"/>
    <w:rsid w:val="008F2E5C"/>
    <w:rsid w:val="00925703"/>
    <w:rsid w:val="00936172"/>
    <w:rsid w:val="0093690D"/>
    <w:rsid w:val="009E1B98"/>
    <w:rsid w:val="00A0452C"/>
    <w:rsid w:val="00A231AF"/>
    <w:rsid w:val="00A249C4"/>
    <w:rsid w:val="00A40CD9"/>
    <w:rsid w:val="00A40D82"/>
    <w:rsid w:val="00A47C1D"/>
    <w:rsid w:val="00A62469"/>
    <w:rsid w:val="00A63A3D"/>
    <w:rsid w:val="00A807BD"/>
    <w:rsid w:val="00A86BD6"/>
    <w:rsid w:val="00AA359E"/>
    <w:rsid w:val="00AB2444"/>
    <w:rsid w:val="00AB7B42"/>
    <w:rsid w:val="00B10977"/>
    <w:rsid w:val="00B12EE9"/>
    <w:rsid w:val="00B43C52"/>
    <w:rsid w:val="00B50775"/>
    <w:rsid w:val="00B66981"/>
    <w:rsid w:val="00B832EB"/>
    <w:rsid w:val="00B90352"/>
    <w:rsid w:val="00BD0065"/>
    <w:rsid w:val="00BD5330"/>
    <w:rsid w:val="00BE446B"/>
    <w:rsid w:val="00C17F9A"/>
    <w:rsid w:val="00C436C2"/>
    <w:rsid w:val="00C46F4D"/>
    <w:rsid w:val="00C73338"/>
    <w:rsid w:val="00C87B08"/>
    <w:rsid w:val="00C90589"/>
    <w:rsid w:val="00C9232F"/>
    <w:rsid w:val="00C9348C"/>
    <w:rsid w:val="00CC0293"/>
    <w:rsid w:val="00CC3D62"/>
    <w:rsid w:val="00CC6024"/>
    <w:rsid w:val="00CD26D5"/>
    <w:rsid w:val="00CE20B6"/>
    <w:rsid w:val="00CE6798"/>
    <w:rsid w:val="00CE6FC6"/>
    <w:rsid w:val="00D112F5"/>
    <w:rsid w:val="00D9626B"/>
    <w:rsid w:val="00DA610A"/>
    <w:rsid w:val="00DB0A31"/>
    <w:rsid w:val="00E11DB1"/>
    <w:rsid w:val="00EB35BB"/>
    <w:rsid w:val="00EB4062"/>
    <w:rsid w:val="00EB7738"/>
    <w:rsid w:val="00ED5A62"/>
    <w:rsid w:val="00F25B53"/>
    <w:rsid w:val="00F9150A"/>
    <w:rsid w:val="00FD128C"/>
    <w:rsid w:val="00FD603B"/>
    <w:rsid w:val="00FE0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2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4AD"/>
    <w:pPr>
      <w:suppressAutoHyphens/>
      <w:spacing w:after="0" w:line="240" w:lineRule="auto"/>
    </w:pPr>
    <w:rPr>
      <w:rFonts w:ascii="Liberation Serif" w:eastAsia="Arial Unicode MS" w:hAnsi="Liberation Serif" w:cs="Arial Unicode MS"/>
      <w:kern w:val="2"/>
      <w:sz w:val="24"/>
      <w:szCs w:val="24"/>
      <w:lang w:eastAsia="zh-CN" w:bidi="hi-IN"/>
    </w:rPr>
  </w:style>
  <w:style w:type="paragraph" w:styleId="Ttulo1">
    <w:name w:val="heading 1"/>
    <w:basedOn w:val="Normal"/>
    <w:link w:val="Ttulo1Car"/>
    <w:uiPriority w:val="9"/>
    <w:qFormat/>
    <w:rsid w:val="001C34AD"/>
    <w:pPr>
      <w:suppressAutoHyphens w:val="0"/>
      <w:spacing w:before="100" w:beforeAutospacing="1" w:after="100" w:afterAutospacing="1"/>
      <w:outlineLvl w:val="0"/>
    </w:pPr>
    <w:rPr>
      <w:rFonts w:ascii="Times New Roman" w:eastAsia="Times New Roman" w:hAnsi="Times New Roman" w:cs="Times New Roman"/>
      <w:b/>
      <w:bCs/>
      <w:kern w:val="36"/>
      <w:sz w:val="48"/>
      <w:szCs w:val="48"/>
      <w:lang w:eastAsia="es-ES" w:bidi="ar-SA"/>
    </w:rPr>
  </w:style>
  <w:style w:type="paragraph" w:styleId="Ttulo2">
    <w:name w:val="heading 2"/>
    <w:basedOn w:val="Normal"/>
    <w:next w:val="Normal"/>
    <w:link w:val="Ttulo2Car"/>
    <w:uiPriority w:val="9"/>
    <w:unhideWhenUsed/>
    <w:qFormat/>
    <w:rsid w:val="000271FF"/>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C34AD"/>
    <w:rPr>
      <w:rFonts w:ascii="Tahoma" w:hAnsi="Tahoma" w:cs="Mangal"/>
      <w:sz w:val="16"/>
      <w:szCs w:val="14"/>
    </w:rPr>
  </w:style>
  <w:style w:type="character" w:customStyle="1" w:styleId="TextodegloboCar">
    <w:name w:val="Texto de globo Car"/>
    <w:basedOn w:val="Fuentedeprrafopredeter"/>
    <w:link w:val="Textodeglobo"/>
    <w:uiPriority w:val="99"/>
    <w:semiHidden/>
    <w:rsid w:val="001C34AD"/>
    <w:rPr>
      <w:rFonts w:ascii="Tahoma" w:eastAsia="Arial Unicode MS" w:hAnsi="Tahoma" w:cs="Mangal"/>
      <w:kern w:val="2"/>
      <w:sz w:val="16"/>
      <w:szCs w:val="14"/>
      <w:lang w:eastAsia="zh-CN" w:bidi="hi-IN"/>
    </w:rPr>
  </w:style>
  <w:style w:type="character" w:customStyle="1" w:styleId="Ttulo1Car">
    <w:name w:val="Título 1 Car"/>
    <w:basedOn w:val="Fuentedeprrafopredeter"/>
    <w:link w:val="Ttulo1"/>
    <w:uiPriority w:val="9"/>
    <w:rsid w:val="001C34AD"/>
    <w:rPr>
      <w:rFonts w:ascii="Times New Roman" w:eastAsia="Times New Roman" w:hAnsi="Times New Roman" w:cs="Times New Roman"/>
      <w:b/>
      <w:bCs/>
      <w:kern w:val="36"/>
      <w:sz w:val="48"/>
      <w:szCs w:val="48"/>
      <w:lang w:eastAsia="es-ES"/>
    </w:rPr>
  </w:style>
  <w:style w:type="character" w:styleId="Hipervnculo">
    <w:name w:val="Hyperlink"/>
    <w:basedOn w:val="Fuentedeprrafopredeter"/>
    <w:uiPriority w:val="99"/>
    <w:unhideWhenUsed/>
    <w:rsid w:val="001C34AD"/>
    <w:rPr>
      <w:color w:val="0000FF"/>
      <w:u w:val="single"/>
    </w:rPr>
  </w:style>
  <w:style w:type="paragraph" w:styleId="NormalWeb">
    <w:name w:val="Normal (Web)"/>
    <w:basedOn w:val="Normal"/>
    <w:uiPriority w:val="99"/>
    <w:unhideWhenUsed/>
    <w:rsid w:val="001C34AD"/>
    <w:pPr>
      <w:suppressAutoHyphens w:val="0"/>
      <w:spacing w:before="100" w:beforeAutospacing="1" w:after="100" w:afterAutospacing="1"/>
    </w:pPr>
    <w:rPr>
      <w:rFonts w:ascii="Times New Roman" w:eastAsia="Times New Roman" w:hAnsi="Times New Roman" w:cs="Times New Roman"/>
      <w:kern w:val="0"/>
      <w:lang w:eastAsia="es-ES" w:bidi="ar-SA"/>
    </w:rPr>
  </w:style>
  <w:style w:type="paragraph" w:styleId="Encabezado">
    <w:name w:val="header"/>
    <w:basedOn w:val="Normal"/>
    <w:link w:val="EncabezadoCar"/>
    <w:uiPriority w:val="99"/>
    <w:unhideWhenUsed/>
    <w:rsid w:val="00397EE5"/>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397EE5"/>
    <w:rPr>
      <w:rFonts w:ascii="Liberation Serif" w:eastAsia="Arial Unicode MS" w:hAnsi="Liberation Serif" w:cs="Mangal"/>
      <w:kern w:val="2"/>
      <w:sz w:val="24"/>
      <w:szCs w:val="21"/>
      <w:lang w:eastAsia="zh-CN" w:bidi="hi-IN"/>
    </w:rPr>
  </w:style>
  <w:style w:type="paragraph" w:styleId="Piedepgina">
    <w:name w:val="footer"/>
    <w:basedOn w:val="Normal"/>
    <w:link w:val="PiedepginaCar"/>
    <w:uiPriority w:val="99"/>
    <w:unhideWhenUsed/>
    <w:rsid w:val="00397EE5"/>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397EE5"/>
    <w:rPr>
      <w:rFonts w:ascii="Liberation Serif" w:eastAsia="Arial Unicode MS" w:hAnsi="Liberation Serif" w:cs="Mangal"/>
      <w:kern w:val="2"/>
      <w:sz w:val="24"/>
      <w:szCs w:val="21"/>
      <w:lang w:eastAsia="zh-CN" w:bidi="hi-IN"/>
    </w:rPr>
  </w:style>
  <w:style w:type="character" w:styleId="Textoennegrita">
    <w:name w:val="Strong"/>
    <w:basedOn w:val="Fuentedeprrafopredeter"/>
    <w:uiPriority w:val="22"/>
    <w:qFormat/>
    <w:rsid w:val="00B12EE9"/>
    <w:rPr>
      <w:b/>
      <w:bCs/>
    </w:rPr>
  </w:style>
  <w:style w:type="paragraph" w:styleId="Textonotapie">
    <w:name w:val="footnote text"/>
    <w:basedOn w:val="Normal"/>
    <w:link w:val="TextonotapieCar"/>
    <w:uiPriority w:val="99"/>
    <w:semiHidden/>
    <w:unhideWhenUsed/>
    <w:rsid w:val="00BD0065"/>
    <w:rPr>
      <w:rFonts w:cs="Mangal"/>
      <w:sz w:val="20"/>
      <w:szCs w:val="18"/>
    </w:rPr>
  </w:style>
  <w:style w:type="character" w:customStyle="1" w:styleId="TextonotapieCar">
    <w:name w:val="Texto nota pie Car"/>
    <w:basedOn w:val="Fuentedeprrafopredeter"/>
    <w:link w:val="Textonotapie"/>
    <w:uiPriority w:val="99"/>
    <w:semiHidden/>
    <w:rsid w:val="00BD0065"/>
    <w:rPr>
      <w:rFonts w:ascii="Liberation Serif" w:eastAsia="Arial Unicode MS" w:hAnsi="Liberation Serif" w:cs="Mangal"/>
      <w:kern w:val="2"/>
      <w:sz w:val="20"/>
      <w:szCs w:val="18"/>
      <w:lang w:eastAsia="zh-CN" w:bidi="hi-IN"/>
    </w:rPr>
  </w:style>
  <w:style w:type="character" w:styleId="Refdenotaalpie">
    <w:name w:val="footnote reference"/>
    <w:basedOn w:val="Fuentedeprrafopredeter"/>
    <w:uiPriority w:val="99"/>
    <w:semiHidden/>
    <w:unhideWhenUsed/>
    <w:rsid w:val="00BD0065"/>
    <w:rPr>
      <w:vertAlign w:val="superscript"/>
    </w:rPr>
  </w:style>
  <w:style w:type="paragraph" w:customStyle="1" w:styleId="Default">
    <w:name w:val="Default"/>
    <w:rsid w:val="00DA61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G">
    <w:name w:val="_ Single Txt_G"/>
    <w:basedOn w:val="Normal"/>
    <w:link w:val="SingleTxtGChar"/>
    <w:qFormat/>
    <w:rsid w:val="00C9058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kern w:val="0"/>
      <w:sz w:val="20"/>
      <w:szCs w:val="20"/>
      <w:lang w:val="en-GB" w:eastAsia="en-US" w:bidi="ar-SA"/>
    </w:rPr>
  </w:style>
  <w:style w:type="character" w:customStyle="1" w:styleId="SingleTxtGChar">
    <w:name w:val="_ Single Txt_G Char"/>
    <w:link w:val="SingleTxtG"/>
    <w:locked/>
    <w:rsid w:val="00C90589"/>
    <w:rPr>
      <w:rFonts w:ascii="Times New Roman" w:hAnsi="Times New Roman" w:cs="Times New Roman"/>
      <w:sz w:val="20"/>
      <w:szCs w:val="20"/>
      <w:lang w:val="en-GB"/>
    </w:rPr>
  </w:style>
  <w:style w:type="character" w:customStyle="1" w:styleId="Ttulo2Car">
    <w:name w:val="Título 2 Car"/>
    <w:basedOn w:val="Fuentedeprrafopredeter"/>
    <w:link w:val="Ttulo2"/>
    <w:uiPriority w:val="9"/>
    <w:rsid w:val="000271FF"/>
    <w:rPr>
      <w:rFonts w:asciiTheme="majorHAnsi" w:eastAsiaTheme="majorEastAsia" w:hAnsiTheme="majorHAnsi" w:cs="Mangal"/>
      <w:b/>
      <w:bCs/>
      <w:color w:val="4F81BD" w:themeColor="accent1"/>
      <w:kern w:val="2"/>
      <w:sz w:val="26"/>
      <w:szCs w:val="23"/>
      <w:lang w:eastAsia="zh-CN" w:bidi="hi-IN"/>
    </w:rPr>
  </w:style>
  <w:style w:type="paragraph" w:customStyle="1" w:styleId="Standard">
    <w:name w:val="Standard"/>
    <w:rsid w:val="00A807BD"/>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Prrafodelista">
    <w:name w:val="List Paragraph"/>
    <w:basedOn w:val="Normal"/>
    <w:uiPriority w:val="34"/>
    <w:qFormat/>
    <w:rsid w:val="005F3EF7"/>
    <w:pPr>
      <w:ind w:left="720"/>
      <w:contextualSpacing/>
    </w:pPr>
    <w:rPr>
      <w:rFonts w:cs="Mangal"/>
      <w:szCs w:val="21"/>
    </w:rPr>
  </w:style>
  <w:style w:type="character" w:styleId="Refdecomentario">
    <w:name w:val="annotation reference"/>
    <w:basedOn w:val="Fuentedeprrafopredeter"/>
    <w:uiPriority w:val="99"/>
    <w:semiHidden/>
    <w:unhideWhenUsed/>
    <w:rsid w:val="00311410"/>
    <w:rPr>
      <w:sz w:val="16"/>
      <w:szCs w:val="16"/>
    </w:rPr>
  </w:style>
  <w:style w:type="paragraph" w:styleId="Textocomentario">
    <w:name w:val="annotation text"/>
    <w:basedOn w:val="Normal"/>
    <w:link w:val="TextocomentarioCar"/>
    <w:uiPriority w:val="99"/>
    <w:semiHidden/>
    <w:unhideWhenUsed/>
    <w:rsid w:val="00311410"/>
    <w:rPr>
      <w:rFonts w:cs="Mangal"/>
      <w:sz w:val="20"/>
      <w:szCs w:val="18"/>
    </w:rPr>
  </w:style>
  <w:style w:type="character" w:customStyle="1" w:styleId="TextocomentarioCar">
    <w:name w:val="Texto comentario Car"/>
    <w:basedOn w:val="Fuentedeprrafopredeter"/>
    <w:link w:val="Textocomentario"/>
    <w:uiPriority w:val="99"/>
    <w:semiHidden/>
    <w:rsid w:val="00311410"/>
    <w:rPr>
      <w:rFonts w:ascii="Liberation Serif" w:eastAsia="Arial Unicode MS" w:hAnsi="Liberation Serif" w:cs="Mangal"/>
      <w:kern w:val="2"/>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311410"/>
    <w:rPr>
      <w:b/>
      <w:bCs/>
    </w:rPr>
  </w:style>
  <w:style w:type="character" w:customStyle="1" w:styleId="AsuntodelcomentarioCar">
    <w:name w:val="Asunto del comentario Car"/>
    <w:basedOn w:val="TextocomentarioCar"/>
    <w:link w:val="Asuntodelcomentario"/>
    <w:uiPriority w:val="99"/>
    <w:semiHidden/>
    <w:rsid w:val="00311410"/>
    <w:rPr>
      <w:rFonts w:ascii="Liberation Serif" w:eastAsia="Arial Unicode MS" w:hAnsi="Liberation Serif" w:cs="Mangal"/>
      <w:b/>
      <w:bCs/>
      <w:kern w:val="2"/>
      <w:sz w:val="20"/>
      <w:szCs w:val="18"/>
      <w:lang w:eastAsia="zh-CN" w:bidi="hi-IN"/>
    </w:rPr>
  </w:style>
  <w:style w:type="character" w:customStyle="1" w:styleId="Mencinsinresolver1">
    <w:name w:val="Mención sin resolver1"/>
    <w:basedOn w:val="Fuentedeprrafopredeter"/>
    <w:uiPriority w:val="99"/>
    <w:semiHidden/>
    <w:unhideWhenUsed/>
    <w:rsid w:val="001079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4AD"/>
    <w:pPr>
      <w:suppressAutoHyphens/>
      <w:spacing w:after="0" w:line="240" w:lineRule="auto"/>
    </w:pPr>
    <w:rPr>
      <w:rFonts w:ascii="Liberation Serif" w:eastAsia="Arial Unicode MS" w:hAnsi="Liberation Serif" w:cs="Arial Unicode MS"/>
      <w:kern w:val="2"/>
      <w:sz w:val="24"/>
      <w:szCs w:val="24"/>
      <w:lang w:eastAsia="zh-CN" w:bidi="hi-IN"/>
    </w:rPr>
  </w:style>
  <w:style w:type="paragraph" w:styleId="Ttulo1">
    <w:name w:val="heading 1"/>
    <w:basedOn w:val="Normal"/>
    <w:link w:val="Ttulo1Car"/>
    <w:uiPriority w:val="9"/>
    <w:qFormat/>
    <w:rsid w:val="001C34AD"/>
    <w:pPr>
      <w:suppressAutoHyphens w:val="0"/>
      <w:spacing w:before="100" w:beforeAutospacing="1" w:after="100" w:afterAutospacing="1"/>
      <w:outlineLvl w:val="0"/>
    </w:pPr>
    <w:rPr>
      <w:rFonts w:ascii="Times New Roman" w:eastAsia="Times New Roman" w:hAnsi="Times New Roman" w:cs="Times New Roman"/>
      <w:b/>
      <w:bCs/>
      <w:kern w:val="36"/>
      <w:sz w:val="48"/>
      <w:szCs w:val="48"/>
      <w:lang w:eastAsia="es-ES" w:bidi="ar-SA"/>
    </w:rPr>
  </w:style>
  <w:style w:type="paragraph" w:styleId="Ttulo2">
    <w:name w:val="heading 2"/>
    <w:basedOn w:val="Normal"/>
    <w:next w:val="Normal"/>
    <w:link w:val="Ttulo2Car"/>
    <w:uiPriority w:val="9"/>
    <w:unhideWhenUsed/>
    <w:qFormat/>
    <w:rsid w:val="000271FF"/>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C34AD"/>
    <w:rPr>
      <w:rFonts w:ascii="Tahoma" w:hAnsi="Tahoma" w:cs="Mangal"/>
      <w:sz w:val="16"/>
      <w:szCs w:val="14"/>
    </w:rPr>
  </w:style>
  <w:style w:type="character" w:customStyle="1" w:styleId="TextodegloboCar">
    <w:name w:val="Texto de globo Car"/>
    <w:basedOn w:val="Fuentedeprrafopredeter"/>
    <w:link w:val="Textodeglobo"/>
    <w:uiPriority w:val="99"/>
    <w:semiHidden/>
    <w:rsid w:val="001C34AD"/>
    <w:rPr>
      <w:rFonts w:ascii="Tahoma" w:eastAsia="Arial Unicode MS" w:hAnsi="Tahoma" w:cs="Mangal"/>
      <w:kern w:val="2"/>
      <w:sz w:val="16"/>
      <w:szCs w:val="14"/>
      <w:lang w:eastAsia="zh-CN" w:bidi="hi-IN"/>
    </w:rPr>
  </w:style>
  <w:style w:type="character" w:customStyle="1" w:styleId="Ttulo1Car">
    <w:name w:val="Título 1 Car"/>
    <w:basedOn w:val="Fuentedeprrafopredeter"/>
    <w:link w:val="Ttulo1"/>
    <w:uiPriority w:val="9"/>
    <w:rsid w:val="001C34AD"/>
    <w:rPr>
      <w:rFonts w:ascii="Times New Roman" w:eastAsia="Times New Roman" w:hAnsi="Times New Roman" w:cs="Times New Roman"/>
      <w:b/>
      <w:bCs/>
      <w:kern w:val="36"/>
      <w:sz w:val="48"/>
      <w:szCs w:val="48"/>
      <w:lang w:eastAsia="es-ES"/>
    </w:rPr>
  </w:style>
  <w:style w:type="character" w:styleId="Hipervnculo">
    <w:name w:val="Hyperlink"/>
    <w:basedOn w:val="Fuentedeprrafopredeter"/>
    <w:uiPriority w:val="99"/>
    <w:unhideWhenUsed/>
    <w:rsid w:val="001C34AD"/>
    <w:rPr>
      <w:color w:val="0000FF"/>
      <w:u w:val="single"/>
    </w:rPr>
  </w:style>
  <w:style w:type="paragraph" w:styleId="NormalWeb">
    <w:name w:val="Normal (Web)"/>
    <w:basedOn w:val="Normal"/>
    <w:uiPriority w:val="99"/>
    <w:unhideWhenUsed/>
    <w:rsid w:val="001C34AD"/>
    <w:pPr>
      <w:suppressAutoHyphens w:val="0"/>
      <w:spacing w:before="100" w:beforeAutospacing="1" w:after="100" w:afterAutospacing="1"/>
    </w:pPr>
    <w:rPr>
      <w:rFonts w:ascii="Times New Roman" w:eastAsia="Times New Roman" w:hAnsi="Times New Roman" w:cs="Times New Roman"/>
      <w:kern w:val="0"/>
      <w:lang w:eastAsia="es-ES" w:bidi="ar-SA"/>
    </w:rPr>
  </w:style>
  <w:style w:type="paragraph" w:styleId="Encabezado">
    <w:name w:val="header"/>
    <w:basedOn w:val="Normal"/>
    <w:link w:val="EncabezadoCar"/>
    <w:uiPriority w:val="99"/>
    <w:unhideWhenUsed/>
    <w:rsid w:val="00397EE5"/>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397EE5"/>
    <w:rPr>
      <w:rFonts w:ascii="Liberation Serif" w:eastAsia="Arial Unicode MS" w:hAnsi="Liberation Serif" w:cs="Mangal"/>
      <w:kern w:val="2"/>
      <w:sz w:val="24"/>
      <w:szCs w:val="21"/>
      <w:lang w:eastAsia="zh-CN" w:bidi="hi-IN"/>
    </w:rPr>
  </w:style>
  <w:style w:type="paragraph" w:styleId="Piedepgina">
    <w:name w:val="footer"/>
    <w:basedOn w:val="Normal"/>
    <w:link w:val="PiedepginaCar"/>
    <w:uiPriority w:val="99"/>
    <w:unhideWhenUsed/>
    <w:rsid w:val="00397EE5"/>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397EE5"/>
    <w:rPr>
      <w:rFonts w:ascii="Liberation Serif" w:eastAsia="Arial Unicode MS" w:hAnsi="Liberation Serif" w:cs="Mangal"/>
      <w:kern w:val="2"/>
      <w:sz w:val="24"/>
      <w:szCs w:val="21"/>
      <w:lang w:eastAsia="zh-CN" w:bidi="hi-IN"/>
    </w:rPr>
  </w:style>
  <w:style w:type="character" w:styleId="Textoennegrita">
    <w:name w:val="Strong"/>
    <w:basedOn w:val="Fuentedeprrafopredeter"/>
    <w:uiPriority w:val="22"/>
    <w:qFormat/>
    <w:rsid w:val="00B12EE9"/>
    <w:rPr>
      <w:b/>
      <w:bCs/>
    </w:rPr>
  </w:style>
  <w:style w:type="paragraph" w:styleId="Textonotapie">
    <w:name w:val="footnote text"/>
    <w:basedOn w:val="Normal"/>
    <w:link w:val="TextonotapieCar"/>
    <w:uiPriority w:val="99"/>
    <w:semiHidden/>
    <w:unhideWhenUsed/>
    <w:rsid w:val="00BD0065"/>
    <w:rPr>
      <w:rFonts w:cs="Mangal"/>
      <w:sz w:val="20"/>
      <w:szCs w:val="18"/>
    </w:rPr>
  </w:style>
  <w:style w:type="character" w:customStyle="1" w:styleId="TextonotapieCar">
    <w:name w:val="Texto nota pie Car"/>
    <w:basedOn w:val="Fuentedeprrafopredeter"/>
    <w:link w:val="Textonotapie"/>
    <w:uiPriority w:val="99"/>
    <w:semiHidden/>
    <w:rsid w:val="00BD0065"/>
    <w:rPr>
      <w:rFonts w:ascii="Liberation Serif" w:eastAsia="Arial Unicode MS" w:hAnsi="Liberation Serif" w:cs="Mangal"/>
      <w:kern w:val="2"/>
      <w:sz w:val="20"/>
      <w:szCs w:val="18"/>
      <w:lang w:eastAsia="zh-CN" w:bidi="hi-IN"/>
    </w:rPr>
  </w:style>
  <w:style w:type="character" w:styleId="Refdenotaalpie">
    <w:name w:val="footnote reference"/>
    <w:basedOn w:val="Fuentedeprrafopredeter"/>
    <w:uiPriority w:val="99"/>
    <w:semiHidden/>
    <w:unhideWhenUsed/>
    <w:rsid w:val="00BD0065"/>
    <w:rPr>
      <w:vertAlign w:val="superscript"/>
    </w:rPr>
  </w:style>
  <w:style w:type="paragraph" w:customStyle="1" w:styleId="Default">
    <w:name w:val="Default"/>
    <w:rsid w:val="00DA61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G">
    <w:name w:val="_ Single Txt_G"/>
    <w:basedOn w:val="Normal"/>
    <w:link w:val="SingleTxtGChar"/>
    <w:qFormat/>
    <w:rsid w:val="00C9058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kern w:val="0"/>
      <w:sz w:val="20"/>
      <w:szCs w:val="20"/>
      <w:lang w:val="en-GB" w:eastAsia="en-US" w:bidi="ar-SA"/>
    </w:rPr>
  </w:style>
  <w:style w:type="character" w:customStyle="1" w:styleId="SingleTxtGChar">
    <w:name w:val="_ Single Txt_G Char"/>
    <w:link w:val="SingleTxtG"/>
    <w:locked/>
    <w:rsid w:val="00C90589"/>
    <w:rPr>
      <w:rFonts w:ascii="Times New Roman" w:hAnsi="Times New Roman" w:cs="Times New Roman"/>
      <w:sz w:val="20"/>
      <w:szCs w:val="20"/>
      <w:lang w:val="en-GB"/>
    </w:rPr>
  </w:style>
  <w:style w:type="character" w:customStyle="1" w:styleId="Ttulo2Car">
    <w:name w:val="Título 2 Car"/>
    <w:basedOn w:val="Fuentedeprrafopredeter"/>
    <w:link w:val="Ttulo2"/>
    <w:uiPriority w:val="9"/>
    <w:rsid w:val="000271FF"/>
    <w:rPr>
      <w:rFonts w:asciiTheme="majorHAnsi" w:eastAsiaTheme="majorEastAsia" w:hAnsiTheme="majorHAnsi" w:cs="Mangal"/>
      <w:b/>
      <w:bCs/>
      <w:color w:val="4F81BD" w:themeColor="accent1"/>
      <w:kern w:val="2"/>
      <w:sz w:val="26"/>
      <w:szCs w:val="23"/>
      <w:lang w:eastAsia="zh-CN" w:bidi="hi-IN"/>
    </w:rPr>
  </w:style>
  <w:style w:type="paragraph" w:customStyle="1" w:styleId="Standard">
    <w:name w:val="Standard"/>
    <w:rsid w:val="00A807BD"/>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Prrafodelista">
    <w:name w:val="List Paragraph"/>
    <w:basedOn w:val="Normal"/>
    <w:uiPriority w:val="34"/>
    <w:qFormat/>
    <w:rsid w:val="005F3EF7"/>
    <w:pPr>
      <w:ind w:left="720"/>
      <w:contextualSpacing/>
    </w:pPr>
    <w:rPr>
      <w:rFonts w:cs="Mangal"/>
      <w:szCs w:val="21"/>
    </w:rPr>
  </w:style>
  <w:style w:type="character" w:styleId="Refdecomentario">
    <w:name w:val="annotation reference"/>
    <w:basedOn w:val="Fuentedeprrafopredeter"/>
    <w:uiPriority w:val="99"/>
    <w:semiHidden/>
    <w:unhideWhenUsed/>
    <w:rsid w:val="00311410"/>
    <w:rPr>
      <w:sz w:val="16"/>
      <w:szCs w:val="16"/>
    </w:rPr>
  </w:style>
  <w:style w:type="paragraph" w:styleId="Textocomentario">
    <w:name w:val="annotation text"/>
    <w:basedOn w:val="Normal"/>
    <w:link w:val="TextocomentarioCar"/>
    <w:uiPriority w:val="99"/>
    <w:semiHidden/>
    <w:unhideWhenUsed/>
    <w:rsid w:val="00311410"/>
    <w:rPr>
      <w:rFonts w:cs="Mangal"/>
      <w:sz w:val="20"/>
      <w:szCs w:val="18"/>
    </w:rPr>
  </w:style>
  <w:style w:type="character" w:customStyle="1" w:styleId="TextocomentarioCar">
    <w:name w:val="Texto comentario Car"/>
    <w:basedOn w:val="Fuentedeprrafopredeter"/>
    <w:link w:val="Textocomentario"/>
    <w:uiPriority w:val="99"/>
    <w:semiHidden/>
    <w:rsid w:val="00311410"/>
    <w:rPr>
      <w:rFonts w:ascii="Liberation Serif" w:eastAsia="Arial Unicode MS" w:hAnsi="Liberation Serif" w:cs="Mangal"/>
      <w:kern w:val="2"/>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311410"/>
    <w:rPr>
      <w:b/>
      <w:bCs/>
    </w:rPr>
  </w:style>
  <w:style w:type="character" w:customStyle="1" w:styleId="AsuntodelcomentarioCar">
    <w:name w:val="Asunto del comentario Car"/>
    <w:basedOn w:val="TextocomentarioCar"/>
    <w:link w:val="Asuntodelcomentario"/>
    <w:uiPriority w:val="99"/>
    <w:semiHidden/>
    <w:rsid w:val="00311410"/>
    <w:rPr>
      <w:rFonts w:ascii="Liberation Serif" w:eastAsia="Arial Unicode MS" w:hAnsi="Liberation Serif" w:cs="Mangal"/>
      <w:b/>
      <w:bCs/>
      <w:kern w:val="2"/>
      <w:sz w:val="20"/>
      <w:szCs w:val="18"/>
      <w:lang w:eastAsia="zh-CN" w:bidi="hi-IN"/>
    </w:rPr>
  </w:style>
  <w:style w:type="character" w:customStyle="1" w:styleId="Mencinsinresolver1">
    <w:name w:val="Mención sin resolver1"/>
    <w:basedOn w:val="Fuentedeprrafopredeter"/>
    <w:uiPriority w:val="99"/>
    <w:semiHidden/>
    <w:unhideWhenUsed/>
    <w:rsid w:val="00107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14359">
      <w:bodyDiv w:val="1"/>
      <w:marLeft w:val="0"/>
      <w:marRight w:val="0"/>
      <w:marTop w:val="0"/>
      <w:marBottom w:val="0"/>
      <w:divBdr>
        <w:top w:val="none" w:sz="0" w:space="0" w:color="auto"/>
        <w:left w:val="none" w:sz="0" w:space="0" w:color="auto"/>
        <w:bottom w:val="none" w:sz="0" w:space="0" w:color="auto"/>
        <w:right w:val="none" w:sz="0" w:space="0" w:color="auto"/>
      </w:divBdr>
      <w:divsChild>
        <w:div w:id="1022508867">
          <w:marLeft w:val="0"/>
          <w:marRight w:val="0"/>
          <w:marTop w:val="0"/>
          <w:marBottom w:val="0"/>
          <w:divBdr>
            <w:top w:val="none" w:sz="0" w:space="0" w:color="auto"/>
            <w:left w:val="none" w:sz="0" w:space="0" w:color="auto"/>
            <w:bottom w:val="none" w:sz="0" w:space="0" w:color="auto"/>
            <w:right w:val="none" w:sz="0" w:space="0" w:color="auto"/>
          </w:divBdr>
          <w:divsChild>
            <w:div w:id="1925529736">
              <w:marLeft w:val="0"/>
              <w:marRight w:val="0"/>
              <w:marTop w:val="0"/>
              <w:marBottom w:val="0"/>
              <w:divBdr>
                <w:top w:val="none" w:sz="0" w:space="0" w:color="auto"/>
                <w:left w:val="none" w:sz="0" w:space="0" w:color="auto"/>
                <w:bottom w:val="none" w:sz="0" w:space="0" w:color="auto"/>
                <w:right w:val="none" w:sz="0" w:space="0" w:color="auto"/>
              </w:divBdr>
              <w:divsChild>
                <w:div w:id="197625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5978">
      <w:bodyDiv w:val="1"/>
      <w:marLeft w:val="0"/>
      <w:marRight w:val="0"/>
      <w:marTop w:val="0"/>
      <w:marBottom w:val="0"/>
      <w:divBdr>
        <w:top w:val="none" w:sz="0" w:space="0" w:color="auto"/>
        <w:left w:val="none" w:sz="0" w:space="0" w:color="auto"/>
        <w:bottom w:val="none" w:sz="0" w:space="0" w:color="auto"/>
        <w:right w:val="none" w:sz="0" w:space="0" w:color="auto"/>
      </w:divBdr>
      <w:divsChild>
        <w:div w:id="1641380879">
          <w:marLeft w:val="0"/>
          <w:marRight w:val="0"/>
          <w:marTop w:val="0"/>
          <w:marBottom w:val="0"/>
          <w:divBdr>
            <w:top w:val="none" w:sz="0" w:space="0" w:color="auto"/>
            <w:left w:val="none" w:sz="0" w:space="0" w:color="auto"/>
            <w:bottom w:val="none" w:sz="0" w:space="0" w:color="auto"/>
            <w:right w:val="none" w:sz="0" w:space="0" w:color="auto"/>
          </w:divBdr>
          <w:divsChild>
            <w:div w:id="1928423200">
              <w:marLeft w:val="0"/>
              <w:marRight w:val="0"/>
              <w:marTop w:val="0"/>
              <w:marBottom w:val="0"/>
              <w:divBdr>
                <w:top w:val="none" w:sz="0" w:space="0" w:color="auto"/>
                <w:left w:val="none" w:sz="0" w:space="0" w:color="auto"/>
                <w:bottom w:val="none" w:sz="0" w:space="0" w:color="auto"/>
                <w:right w:val="none" w:sz="0" w:space="0" w:color="auto"/>
              </w:divBdr>
              <w:divsChild>
                <w:div w:id="61217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91554">
      <w:bodyDiv w:val="1"/>
      <w:marLeft w:val="0"/>
      <w:marRight w:val="0"/>
      <w:marTop w:val="0"/>
      <w:marBottom w:val="0"/>
      <w:divBdr>
        <w:top w:val="none" w:sz="0" w:space="0" w:color="auto"/>
        <w:left w:val="none" w:sz="0" w:space="0" w:color="auto"/>
        <w:bottom w:val="none" w:sz="0" w:space="0" w:color="auto"/>
        <w:right w:val="none" w:sz="0" w:space="0" w:color="auto"/>
      </w:divBdr>
      <w:divsChild>
        <w:div w:id="1280718228">
          <w:marLeft w:val="0"/>
          <w:marRight w:val="0"/>
          <w:marTop w:val="0"/>
          <w:marBottom w:val="0"/>
          <w:divBdr>
            <w:top w:val="none" w:sz="0" w:space="0" w:color="auto"/>
            <w:left w:val="none" w:sz="0" w:space="0" w:color="auto"/>
            <w:bottom w:val="none" w:sz="0" w:space="0" w:color="auto"/>
            <w:right w:val="none" w:sz="0" w:space="0" w:color="auto"/>
          </w:divBdr>
          <w:divsChild>
            <w:div w:id="159665573">
              <w:marLeft w:val="0"/>
              <w:marRight w:val="0"/>
              <w:marTop w:val="0"/>
              <w:marBottom w:val="0"/>
              <w:divBdr>
                <w:top w:val="none" w:sz="0" w:space="0" w:color="auto"/>
                <w:left w:val="none" w:sz="0" w:space="0" w:color="auto"/>
                <w:bottom w:val="none" w:sz="0" w:space="0" w:color="auto"/>
                <w:right w:val="none" w:sz="0" w:space="0" w:color="auto"/>
              </w:divBdr>
              <w:divsChild>
                <w:div w:id="48273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6011">
      <w:bodyDiv w:val="1"/>
      <w:marLeft w:val="0"/>
      <w:marRight w:val="0"/>
      <w:marTop w:val="0"/>
      <w:marBottom w:val="0"/>
      <w:divBdr>
        <w:top w:val="none" w:sz="0" w:space="0" w:color="auto"/>
        <w:left w:val="none" w:sz="0" w:space="0" w:color="auto"/>
        <w:bottom w:val="none" w:sz="0" w:space="0" w:color="auto"/>
        <w:right w:val="none" w:sz="0" w:space="0" w:color="auto"/>
      </w:divBdr>
    </w:div>
    <w:div w:id="503129825">
      <w:bodyDiv w:val="1"/>
      <w:marLeft w:val="0"/>
      <w:marRight w:val="0"/>
      <w:marTop w:val="0"/>
      <w:marBottom w:val="0"/>
      <w:divBdr>
        <w:top w:val="none" w:sz="0" w:space="0" w:color="auto"/>
        <w:left w:val="none" w:sz="0" w:space="0" w:color="auto"/>
        <w:bottom w:val="none" w:sz="0" w:space="0" w:color="auto"/>
        <w:right w:val="none" w:sz="0" w:space="0" w:color="auto"/>
      </w:divBdr>
    </w:div>
    <w:div w:id="517742067">
      <w:bodyDiv w:val="1"/>
      <w:marLeft w:val="0"/>
      <w:marRight w:val="0"/>
      <w:marTop w:val="0"/>
      <w:marBottom w:val="0"/>
      <w:divBdr>
        <w:top w:val="none" w:sz="0" w:space="0" w:color="auto"/>
        <w:left w:val="none" w:sz="0" w:space="0" w:color="auto"/>
        <w:bottom w:val="none" w:sz="0" w:space="0" w:color="auto"/>
        <w:right w:val="none" w:sz="0" w:space="0" w:color="auto"/>
      </w:divBdr>
    </w:div>
    <w:div w:id="528178629">
      <w:bodyDiv w:val="1"/>
      <w:marLeft w:val="0"/>
      <w:marRight w:val="0"/>
      <w:marTop w:val="0"/>
      <w:marBottom w:val="0"/>
      <w:divBdr>
        <w:top w:val="none" w:sz="0" w:space="0" w:color="auto"/>
        <w:left w:val="none" w:sz="0" w:space="0" w:color="auto"/>
        <w:bottom w:val="none" w:sz="0" w:space="0" w:color="auto"/>
        <w:right w:val="none" w:sz="0" w:space="0" w:color="auto"/>
      </w:divBdr>
    </w:div>
    <w:div w:id="625090586">
      <w:bodyDiv w:val="1"/>
      <w:marLeft w:val="0"/>
      <w:marRight w:val="0"/>
      <w:marTop w:val="0"/>
      <w:marBottom w:val="0"/>
      <w:divBdr>
        <w:top w:val="none" w:sz="0" w:space="0" w:color="auto"/>
        <w:left w:val="none" w:sz="0" w:space="0" w:color="auto"/>
        <w:bottom w:val="none" w:sz="0" w:space="0" w:color="auto"/>
        <w:right w:val="none" w:sz="0" w:space="0" w:color="auto"/>
      </w:divBdr>
      <w:divsChild>
        <w:div w:id="1365447992">
          <w:marLeft w:val="0"/>
          <w:marRight w:val="0"/>
          <w:marTop w:val="0"/>
          <w:marBottom w:val="0"/>
          <w:divBdr>
            <w:top w:val="none" w:sz="0" w:space="0" w:color="auto"/>
            <w:left w:val="none" w:sz="0" w:space="0" w:color="auto"/>
            <w:bottom w:val="none" w:sz="0" w:space="0" w:color="auto"/>
            <w:right w:val="none" w:sz="0" w:space="0" w:color="auto"/>
          </w:divBdr>
          <w:divsChild>
            <w:div w:id="2053454657">
              <w:marLeft w:val="0"/>
              <w:marRight w:val="0"/>
              <w:marTop w:val="0"/>
              <w:marBottom w:val="0"/>
              <w:divBdr>
                <w:top w:val="none" w:sz="0" w:space="0" w:color="auto"/>
                <w:left w:val="none" w:sz="0" w:space="0" w:color="auto"/>
                <w:bottom w:val="none" w:sz="0" w:space="0" w:color="auto"/>
                <w:right w:val="none" w:sz="0" w:space="0" w:color="auto"/>
              </w:divBdr>
              <w:divsChild>
                <w:div w:id="155419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170769">
      <w:bodyDiv w:val="1"/>
      <w:marLeft w:val="0"/>
      <w:marRight w:val="0"/>
      <w:marTop w:val="0"/>
      <w:marBottom w:val="0"/>
      <w:divBdr>
        <w:top w:val="none" w:sz="0" w:space="0" w:color="auto"/>
        <w:left w:val="none" w:sz="0" w:space="0" w:color="auto"/>
        <w:bottom w:val="none" w:sz="0" w:space="0" w:color="auto"/>
        <w:right w:val="none" w:sz="0" w:space="0" w:color="auto"/>
      </w:divBdr>
      <w:divsChild>
        <w:div w:id="195118149">
          <w:marLeft w:val="0"/>
          <w:marRight w:val="0"/>
          <w:marTop w:val="0"/>
          <w:marBottom w:val="0"/>
          <w:divBdr>
            <w:top w:val="none" w:sz="0" w:space="0" w:color="auto"/>
            <w:left w:val="none" w:sz="0" w:space="0" w:color="auto"/>
            <w:bottom w:val="none" w:sz="0" w:space="0" w:color="auto"/>
            <w:right w:val="none" w:sz="0" w:space="0" w:color="auto"/>
          </w:divBdr>
          <w:divsChild>
            <w:div w:id="1665281845">
              <w:marLeft w:val="0"/>
              <w:marRight w:val="0"/>
              <w:marTop w:val="0"/>
              <w:marBottom w:val="0"/>
              <w:divBdr>
                <w:top w:val="none" w:sz="0" w:space="0" w:color="auto"/>
                <w:left w:val="none" w:sz="0" w:space="0" w:color="auto"/>
                <w:bottom w:val="none" w:sz="0" w:space="0" w:color="auto"/>
                <w:right w:val="none" w:sz="0" w:space="0" w:color="auto"/>
              </w:divBdr>
              <w:divsChild>
                <w:div w:id="6726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96399">
      <w:bodyDiv w:val="1"/>
      <w:marLeft w:val="0"/>
      <w:marRight w:val="0"/>
      <w:marTop w:val="0"/>
      <w:marBottom w:val="0"/>
      <w:divBdr>
        <w:top w:val="none" w:sz="0" w:space="0" w:color="auto"/>
        <w:left w:val="none" w:sz="0" w:space="0" w:color="auto"/>
        <w:bottom w:val="none" w:sz="0" w:space="0" w:color="auto"/>
        <w:right w:val="none" w:sz="0" w:space="0" w:color="auto"/>
      </w:divBdr>
      <w:divsChild>
        <w:div w:id="493691230">
          <w:marLeft w:val="0"/>
          <w:marRight w:val="0"/>
          <w:marTop w:val="0"/>
          <w:marBottom w:val="0"/>
          <w:divBdr>
            <w:top w:val="none" w:sz="0" w:space="0" w:color="auto"/>
            <w:left w:val="none" w:sz="0" w:space="0" w:color="auto"/>
            <w:bottom w:val="none" w:sz="0" w:space="0" w:color="auto"/>
            <w:right w:val="none" w:sz="0" w:space="0" w:color="auto"/>
          </w:divBdr>
        </w:div>
        <w:div w:id="875700380">
          <w:marLeft w:val="0"/>
          <w:marRight w:val="0"/>
          <w:marTop w:val="0"/>
          <w:marBottom w:val="0"/>
          <w:divBdr>
            <w:top w:val="none" w:sz="0" w:space="0" w:color="auto"/>
            <w:left w:val="none" w:sz="0" w:space="0" w:color="auto"/>
            <w:bottom w:val="none" w:sz="0" w:space="0" w:color="auto"/>
            <w:right w:val="none" w:sz="0" w:space="0" w:color="auto"/>
          </w:divBdr>
        </w:div>
        <w:div w:id="299464110">
          <w:marLeft w:val="0"/>
          <w:marRight w:val="0"/>
          <w:marTop w:val="0"/>
          <w:marBottom w:val="0"/>
          <w:divBdr>
            <w:top w:val="none" w:sz="0" w:space="0" w:color="auto"/>
            <w:left w:val="none" w:sz="0" w:space="0" w:color="auto"/>
            <w:bottom w:val="none" w:sz="0" w:space="0" w:color="auto"/>
            <w:right w:val="none" w:sz="0" w:space="0" w:color="auto"/>
          </w:divBdr>
        </w:div>
        <w:div w:id="772700264">
          <w:marLeft w:val="0"/>
          <w:marRight w:val="0"/>
          <w:marTop w:val="0"/>
          <w:marBottom w:val="0"/>
          <w:divBdr>
            <w:top w:val="none" w:sz="0" w:space="0" w:color="auto"/>
            <w:left w:val="none" w:sz="0" w:space="0" w:color="auto"/>
            <w:bottom w:val="none" w:sz="0" w:space="0" w:color="auto"/>
            <w:right w:val="none" w:sz="0" w:space="0" w:color="auto"/>
          </w:divBdr>
        </w:div>
        <w:div w:id="1819304178">
          <w:marLeft w:val="0"/>
          <w:marRight w:val="0"/>
          <w:marTop w:val="0"/>
          <w:marBottom w:val="0"/>
          <w:divBdr>
            <w:top w:val="none" w:sz="0" w:space="0" w:color="auto"/>
            <w:left w:val="none" w:sz="0" w:space="0" w:color="auto"/>
            <w:bottom w:val="none" w:sz="0" w:space="0" w:color="auto"/>
            <w:right w:val="none" w:sz="0" w:space="0" w:color="auto"/>
          </w:divBdr>
        </w:div>
        <w:div w:id="1446847636">
          <w:marLeft w:val="0"/>
          <w:marRight w:val="0"/>
          <w:marTop w:val="0"/>
          <w:marBottom w:val="0"/>
          <w:divBdr>
            <w:top w:val="none" w:sz="0" w:space="0" w:color="auto"/>
            <w:left w:val="none" w:sz="0" w:space="0" w:color="auto"/>
            <w:bottom w:val="none" w:sz="0" w:space="0" w:color="auto"/>
            <w:right w:val="none" w:sz="0" w:space="0" w:color="auto"/>
          </w:divBdr>
        </w:div>
        <w:div w:id="1146356397">
          <w:marLeft w:val="0"/>
          <w:marRight w:val="0"/>
          <w:marTop w:val="0"/>
          <w:marBottom w:val="0"/>
          <w:divBdr>
            <w:top w:val="none" w:sz="0" w:space="0" w:color="auto"/>
            <w:left w:val="none" w:sz="0" w:space="0" w:color="auto"/>
            <w:bottom w:val="none" w:sz="0" w:space="0" w:color="auto"/>
            <w:right w:val="none" w:sz="0" w:space="0" w:color="auto"/>
          </w:divBdr>
        </w:div>
      </w:divsChild>
    </w:div>
    <w:div w:id="768937776">
      <w:bodyDiv w:val="1"/>
      <w:marLeft w:val="0"/>
      <w:marRight w:val="0"/>
      <w:marTop w:val="0"/>
      <w:marBottom w:val="0"/>
      <w:divBdr>
        <w:top w:val="none" w:sz="0" w:space="0" w:color="auto"/>
        <w:left w:val="none" w:sz="0" w:space="0" w:color="auto"/>
        <w:bottom w:val="none" w:sz="0" w:space="0" w:color="auto"/>
        <w:right w:val="none" w:sz="0" w:space="0" w:color="auto"/>
      </w:divBdr>
    </w:div>
    <w:div w:id="965237685">
      <w:bodyDiv w:val="1"/>
      <w:marLeft w:val="0"/>
      <w:marRight w:val="0"/>
      <w:marTop w:val="0"/>
      <w:marBottom w:val="0"/>
      <w:divBdr>
        <w:top w:val="none" w:sz="0" w:space="0" w:color="auto"/>
        <w:left w:val="none" w:sz="0" w:space="0" w:color="auto"/>
        <w:bottom w:val="none" w:sz="0" w:space="0" w:color="auto"/>
        <w:right w:val="none" w:sz="0" w:space="0" w:color="auto"/>
      </w:divBdr>
      <w:divsChild>
        <w:div w:id="243953763">
          <w:marLeft w:val="0"/>
          <w:marRight w:val="0"/>
          <w:marTop w:val="0"/>
          <w:marBottom w:val="0"/>
          <w:divBdr>
            <w:top w:val="none" w:sz="0" w:space="0" w:color="auto"/>
            <w:left w:val="none" w:sz="0" w:space="0" w:color="auto"/>
            <w:bottom w:val="none" w:sz="0" w:space="0" w:color="auto"/>
            <w:right w:val="none" w:sz="0" w:space="0" w:color="auto"/>
          </w:divBdr>
          <w:divsChild>
            <w:div w:id="329603112">
              <w:marLeft w:val="0"/>
              <w:marRight w:val="0"/>
              <w:marTop w:val="0"/>
              <w:marBottom w:val="0"/>
              <w:divBdr>
                <w:top w:val="none" w:sz="0" w:space="0" w:color="auto"/>
                <w:left w:val="none" w:sz="0" w:space="0" w:color="auto"/>
                <w:bottom w:val="none" w:sz="0" w:space="0" w:color="auto"/>
                <w:right w:val="none" w:sz="0" w:space="0" w:color="auto"/>
              </w:divBdr>
              <w:divsChild>
                <w:div w:id="36695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0137">
      <w:bodyDiv w:val="1"/>
      <w:marLeft w:val="0"/>
      <w:marRight w:val="0"/>
      <w:marTop w:val="0"/>
      <w:marBottom w:val="0"/>
      <w:divBdr>
        <w:top w:val="none" w:sz="0" w:space="0" w:color="auto"/>
        <w:left w:val="none" w:sz="0" w:space="0" w:color="auto"/>
        <w:bottom w:val="none" w:sz="0" w:space="0" w:color="auto"/>
        <w:right w:val="none" w:sz="0" w:space="0" w:color="auto"/>
      </w:divBdr>
      <w:divsChild>
        <w:div w:id="938567308">
          <w:marLeft w:val="0"/>
          <w:marRight w:val="0"/>
          <w:marTop w:val="0"/>
          <w:marBottom w:val="0"/>
          <w:divBdr>
            <w:top w:val="none" w:sz="0" w:space="0" w:color="auto"/>
            <w:left w:val="none" w:sz="0" w:space="0" w:color="auto"/>
            <w:bottom w:val="none" w:sz="0" w:space="0" w:color="auto"/>
            <w:right w:val="none" w:sz="0" w:space="0" w:color="auto"/>
          </w:divBdr>
          <w:divsChild>
            <w:div w:id="1880432250">
              <w:marLeft w:val="0"/>
              <w:marRight w:val="0"/>
              <w:marTop w:val="0"/>
              <w:marBottom w:val="0"/>
              <w:divBdr>
                <w:top w:val="none" w:sz="0" w:space="0" w:color="auto"/>
                <w:left w:val="none" w:sz="0" w:space="0" w:color="auto"/>
                <w:bottom w:val="none" w:sz="0" w:space="0" w:color="auto"/>
                <w:right w:val="none" w:sz="0" w:space="0" w:color="auto"/>
              </w:divBdr>
              <w:divsChild>
                <w:div w:id="7689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022798">
      <w:bodyDiv w:val="1"/>
      <w:marLeft w:val="0"/>
      <w:marRight w:val="0"/>
      <w:marTop w:val="0"/>
      <w:marBottom w:val="0"/>
      <w:divBdr>
        <w:top w:val="none" w:sz="0" w:space="0" w:color="auto"/>
        <w:left w:val="none" w:sz="0" w:space="0" w:color="auto"/>
        <w:bottom w:val="none" w:sz="0" w:space="0" w:color="auto"/>
        <w:right w:val="none" w:sz="0" w:space="0" w:color="auto"/>
      </w:divBdr>
      <w:divsChild>
        <w:div w:id="507645558">
          <w:marLeft w:val="0"/>
          <w:marRight w:val="0"/>
          <w:marTop w:val="0"/>
          <w:marBottom w:val="0"/>
          <w:divBdr>
            <w:top w:val="none" w:sz="0" w:space="0" w:color="auto"/>
            <w:left w:val="none" w:sz="0" w:space="0" w:color="auto"/>
            <w:bottom w:val="none" w:sz="0" w:space="0" w:color="auto"/>
            <w:right w:val="none" w:sz="0" w:space="0" w:color="auto"/>
          </w:divBdr>
          <w:divsChild>
            <w:div w:id="1695420184">
              <w:marLeft w:val="0"/>
              <w:marRight w:val="0"/>
              <w:marTop w:val="0"/>
              <w:marBottom w:val="0"/>
              <w:divBdr>
                <w:top w:val="none" w:sz="0" w:space="0" w:color="auto"/>
                <w:left w:val="none" w:sz="0" w:space="0" w:color="auto"/>
                <w:bottom w:val="none" w:sz="0" w:space="0" w:color="auto"/>
                <w:right w:val="none" w:sz="0" w:space="0" w:color="auto"/>
              </w:divBdr>
              <w:divsChild>
                <w:div w:id="142483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234841">
      <w:bodyDiv w:val="1"/>
      <w:marLeft w:val="0"/>
      <w:marRight w:val="0"/>
      <w:marTop w:val="0"/>
      <w:marBottom w:val="0"/>
      <w:divBdr>
        <w:top w:val="none" w:sz="0" w:space="0" w:color="auto"/>
        <w:left w:val="none" w:sz="0" w:space="0" w:color="auto"/>
        <w:bottom w:val="none" w:sz="0" w:space="0" w:color="auto"/>
        <w:right w:val="none" w:sz="0" w:space="0" w:color="auto"/>
      </w:divBdr>
    </w:div>
    <w:div w:id="1302688753">
      <w:bodyDiv w:val="1"/>
      <w:marLeft w:val="0"/>
      <w:marRight w:val="0"/>
      <w:marTop w:val="0"/>
      <w:marBottom w:val="0"/>
      <w:divBdr>
        <w:top w:val="none" w:sz="0" w:space="0" w:color="auto"/>
        <w:left w:val="none" w:sz="0" w:space="0" w:color="auto"/>
        <w:bottom w:val="none" w:sz="0" w:space="0" w:color="auto"/>
        <w:right w:val="none" w:sz="0" w:space="0" w:color="auto"/>
      </w:divBdr>
      <w:divsChild>
        <w:div w:id="798259836">
          <w:marLeft w:val="0"/>
          <w:marRight w:val="0"/>
          <w:marTop w:val="0"/>
          <w:marBottom w:val="0"/>
          <w:divBdr>
            <w:top w:val="none" w:sz="0" w:space="0" w:color="auto"/>
            <w:left w:val="none" w:sz="0" w:space="0" w:color="auto"/>
            <w:bottom w:val="none" w:sz="0" w:space="0" w:color="auto"/>
            <w:right w:val="none" w:sz="0" w:space="0" w:color="auto"/>
          </w:divBdr>
        </w:div>
        <w:div w:id="465508401">
          <w:marLeft w:val="0"/>
          <w:marRight w:val="0"/>
          <w:marTop w:val="0"/>
          <w:marBottom w:val="0"/>
          <w:divBdr>
            <w:top w:val="none" w:sz="0" w:space="0" w:color="auto"/>
            <w:left w:val="none" w:sz="0" w:space="0" w:color="auto"/>
            <w:bottom w:val="none" w:sz="0" w:space="0" w:color="auto"/>
            <w:right w:val="none" w:sz="0" w:space="0" w:color="auto"/>
          </w:divBdr>
        </w:div>
        <w:div w:id="357782131">
          <w:marLeft w:val="0"/>
          <w:marRight w:val="0"/>
          <w:marTop w:val="0"/>
          <w:marBottom w:val="0"/>
          <w:divBdr>
            <w:top w:val="none" w:sz="0" w:space="0" w:color="auto"/>
            <w:left w:val="none" w:sz="0" w:space="0" w:color="auto"/>
            <w:bottom w:val="none" w:sz="0" w:space="0" w:color="auto"/>
            <w:right w:val="none" w:sz="0" w:space="0" w:color="auto"/>
          </w:divBdr>
        </w:div>
        <w:div w:id="536162102">
          <w:marLeft w:val="0"/>
          <w:marRight w:val="0"/>
          <w:marTop w:val="0"/>
          <w:marBottom w:val="0"/>
          <w:divBdr>
            <w:top w:val="none" w:sz="0" w:space="0" w:color="auto"/>
            <w:left w:val="none" w:sz="0" w:space="0" w:color="auto"/>
            <w:bottom w:val="none" w:sz="0" w:space="0" w:color="auto"/>
            <w:right w:val="none" w:sz="0" w:space="0" w:color="auto"/>
          </w:divBdr>
        </w:div>
      </w:divsChild>
    </w:div>
    <w:div w:id="1336567357">
      <w:bodyDiv w:val="1"/>
      <w:marLeft w:val="0"/>
      <w:marRight w:val="0"/>
      <w:marTop w:val="0"/>
      <w:marBottom w:val="0"/>
      <w:divBdr>
        <w:top w:val="none" w:sz="0" w:space="0" w:color="auto"/>
        <w:left w:val="none" w:sz="0" w:space="0" w:color="auto"/>
        <w:bottom w:val="none" w:sz="0" w:space="0" w:color="auto"/>
        <w:right w:val="none" w:sz="0" w:space="0" w:color="auto"/>
      </w:divBdr>
      <w:divsChild>
        <w:div w:id="1811239419">
          <w:marLeft w:val="0"/>
          <w:marRight w:val="0"/>
          <w:marTop w:val="0"/>
          <w:marBottom w:val="0"/>
          <w:divBdr>
            <w:top w:val="none" w:sz="0" w:space="0" w:color="auto"/>
            <w:left w:val="none" w:sz="0" w:space="0" w:color="auto"/>
            <w:bottom w:val="none" w:sz="0" w:space="0" w:color="auto"/>
            <w:right w:val="none" w:sz="0" w:space="0" w:color="auto"/>
          </w:divBdr>
        </w:div>
        <w:div w:id="780687867">
          <w:marLeft w:val="0"/>
          <w:marRight w:val="0"/>
          <w:marTop w:val="0"/>
          <w:marBottom w:val="0"/>
          <w:divBdr>
            <w:top w:val="none" w:sz="0" w:space="0" w:color="auto"/>
            <w:left w:val="none" w:sz="0" w:space="0" w:color="auto"/>
            <w:bottom w:val="none" w:sz="0" w:space="0" w:color="auto"/>
            <w:right w:val="none" w:sz="0" w:space="0" w:color="auto"/>
          </w:divBdr>
        </w:div>
        <w:div w:id="39138005">
          <w:marLeft w:val="0"/>
          <w:marRight w:val="0"/>
          <w:marTop w:val="0"/>
          <w:marBottom w:val="0"/>
          <w:divBdr>
            <w:top w:val="none" w:sz="0" w:space="0" w:color="auto"/>
            <w:left w:val="none" w:sz="0" w:space="0" w:color="auto"/>
            <w:bottom w:val="none" w:sz="0" w:space="0" w:color="auto"/>
            <w:right w:val="none" w:sz="0" w:space="0" w:color="auto"/>
          </w:divBdr>
        </w:div>
        <w:div w:id="738791927">
          <w:marLeft w:val="0"/>
          <w:marRight w:val="0"/>
          <w:marTop w:val="0"/>
          <w:marBottom w:val="0"/>
          <w:divBdr>
            <w:top w:val="none" w:sz="0" w:space="0" w:color="auto"/>
            <w:left w:val="none" w:sz="0" w:space="0" w:color="auto"/>
            <w:bottom w:val="none" w:sz="0" w:space="0" w:color="auto"/>
            <w:right w:val="none" w:sz="0" w:space="0" w:color="auto"/>
          </w:divBdr>
        </w:div>
        <w:div w:id="746147098">
          <w:marLeft w:val="0"/>
          <w:marRight w:val="0"/>
          <w:marTop w:val="0"/>
          <w:marBottom w:val="0"/>
          <w:divBdr>
            <w:top w:val="none" w:sz="0" w:space="0" w:color="auto"/>
            <w:left w:val="none" w:sz="0" w:space="0" w:color="auto"/>
            <w:bottom w:val="none" w:sz="0" w:space="0" w:color="auto"/>
            <w:right w:val="none" w:sz="0" w:space="0" w:color="auto"/>
          </w:divBdr>
        </w:div>
        <w:div w:id="1836451032">
          <w:marLeft w:val="0"/>
          <w:marRight w:val="0"/>
          <w:marTop w:val="0"/>
          <w:marBottom w:val="0"/>
          <w:divBdr>
            <w:top w:val="none" w:sz="0" w:space="0" w:color="auto"/>
            <w:left w:val="none" w:sz="0" w:space="0" w:color="auto"/>
            <w:bottom w:val="none" w:sz="0" w:space="0" w:color="auto"/>
            <w:right w:val="none" w:sz="0" w:space="0" w:color="auto"/>
          </w:divBdr>
        </w:div>
        <w:div w:id="1678465266">
          <w:marLeft w:val="0"/>
          <w:marRight w:val="0"/>
          <w:marTop w:val="0"/>
          <w:marBottom w:val="0"/>
          <w:divBdr>
            <w:top w:val="none" w:sz="0" w:space="0" w:color="auto"/>
            <w:left w:val="none" w:sz="0" w:space="0" w:color="auto"/>
            <w:bottom w:val="none" w:sz="0" w:space="0" w:color="auto"/>
            <w:right w:val="none" w:sz="0" w:space="0" w:color="auto"/>
          </w:divBdr>
        </w:div>
        <w:div w:id="1666662233">
          <w:marLeft w:val="0"/>
          <w:marRight w:val="0"/>
          <w:marTop w:val="0"/>
          <w:marBottom w:val="0"/>
          <w:divBdr>
            <w:top w:val="none" w:sz="0" w:space="0" w:color="auto"/>
            <w:left w:val="none" w:sz="0" w:space="0" w:color="auto"/>
            <w:bottom w:val="none" w:sz="0" w:space="0" w:color="auto"/>
            <w:right w:val="none" w:sz="0" w:space="0" w:color="auto"/>
          </w:divBdr>
        </w:div>
        <w:div w:id="1611206544">
          <w:marLeft w:val="0"/>
          <w:marRight w:val="0"/>
          <w:marTop w:val="0"/>
          <w:marBottom w:val="0"/>
          <w:divBdr>
            <w:top w:val="none" w:sz="0" w:space="0" w:color="auto"/>
            <w:left w:val="none" w:sz="0" w:space="0" w:color="auto"/>
            <w:bottom w:val="none" w:sz="0" w:space="0" w:color="auto"/>
            <w:right w:val="none" w:sz="0" w:space="0" w:color="auto"/>
          </w:divBdr>
        </w:div>
        <w:div w:id="128255529">
          <w:marLeft w:val="0"/>
          <w:marRight w:val="0"/>
          <w:marTop w:val="0"/>
          <w:marBottom w:val="0"/>
          <w:divBdr>
            <w:top w:val="none" w:sz="0" w:space="0" w:color="auto"/>
            <w:left w:val="none" w:sz="0" w:space="0" w:color="auto"/>
            <w:bottom w:val="none" w:sz="0" w:space="0" w:color="auto"/>
            <w:right w:val="none" w:sz="0" w:space="0" w:color="auto"/>
          </w:divBdr>
        </w:div>
        <w:div w:id="1492911566">
          <w:marLeft w:val="0"/>
          <w:marRight w:val="0"/>
          <w:marTop w:val="0"/>
          <w:marBottom w:val="0"/>
          <w:divBdr>
            <w:top w:val="none" w:sz="0" w:space="0" w:color="auto"/>
            <w:left w:val="none" w:sz="0" w:space="0" w:color="auto"/>
            <w:bottom w:val="none" w:sz="0" w:space="0" w:color="auto"/>
            <w:right w:val="none" w:sz="0" w:space="0" w:color="auto"/>
          </w:divBdr>
        </w:div>
        <w:div w:id="1050375115">
          <w:marLeft w:val="0"/>
          <w:marRight w:val="0"/>
          <w:marTop w:val="0"/>
          <w:marBottom w:val="0"/>
          <w:divBdr>
            <w:top w:val="none" w:sz="0" w:space="0" w:color="auto"/>
            <w:left w:val="none" w:sz="0" w:space="0" w:color="auto"/>
            <w:bottom w:val="none" w:sz="0" w:space="0" w:color="auto"/>
            <w:right w:val="none" w:sz="0" w:space="0" w:color="auto"/>
          </w:divBdr>
        </w:div>
        <w:div w:id="1493638764">
          <w:marLeft w:val="0"/>
          <w:marRight w:val="0"/>
          <w:marTop w:val="0"/>
          <w:marBottom w:val="0"/>
          <w:divBdr>
            <w:top w:val="none" w:sz="0" w:space="0" w:color="auto"/>
            <w:left w:val="none" w:sz="0" w:space="0" w:color="auto"/>
            <w:bottom w:val="none" w:sz="0" w:space="0" w:color="auto"/>
            <w:right w:val="none" w:sz="0" w:space="0" w:color="auto"/>
          </w:divBdr>
        </w:div>
        <w:div w:id="716516489">
          <w:marLeft w:val="0"/>
          <w:marRight w:val="0"/>
          <w:marTop w:val="0"/>
          <w:marBottom w:val="0"/>
          <w:divBdr>
            <w:top w:val="none" w:sz="0" w:space="0" w:color="auto"/>
            <w:left w:val="none" w:sz="0" w:space="0" w:color="auto"/>
            <w:bottom w:val="none" w:sz="0" w:space="0" w:color="auto"/>
            <w:right w:val="none" w:sz="0" w:space="0" w:color="auto"/>
          </w:divBdr>
        </w:div>
        <w:div w:id="717700668">
          <w:marLeft w:val="0"/>
          <w:marRight w:val="0"/>
          <w:marTop w:val="0"/>
          <w:marBottom w:val="0"/>
          <w:divBdr>
            <w:top w:val="none" w:sz="0" w:space="0" w:color="auto"/>
            <w:left w:val="none" w:sz="0" w:space="0" w:color="auto"/>
            <w:bottom w:val="none" w:sz="0" w:space="0" w:color="auto"/>
            <w:right w:val="none" w:sz="0" w:space="0" w:color="auto"/>
          </w:divBdr>
        </w:div>
        <w:div w:id="225535409">
          <w:marLeft w:val="0"/>
          <w:marRight w:val="0"/>
          <w:marTop w:val="0"/>
          <w:marBottom w:val="0"/>
          <w:divBdr>
            <w:top w:val="none" w:sz="0" w:space="0" w:color="auto"/>
            <w:left w:val="none" w:sz="0" w:space="0" w:color="auto"/>
            <w:bottom w:val="none" w:sz="0" w:space="0" w:color="auto"/>
            <w:right w:val="none" w:sz="0" w:space="0" w:color="auto"/>
          </w:divBdr>
        </w:div>
      </w:divsChild>
    </w:div>
    <w:div w:id="1576206542">
      <w:bodyDiv w:val="1"/>
      <w:marLeft w:val="0"/>
      <w:marRight w:val="0"/>
      <w:marTop w:val="0"/>
      <w:marBottom w:val="0"/>
      <w:divBdr>
        <w:top w:val="none" w:sz="0" w:space="0" w:color="auto"/>
        <w:left w:val="none" w:sz="0" w:space="0" w:color="auto"/>
        <w:bottom w:val="none" w:sz="0" w:space="0" w:color="auto"/>
        <w:right w:val="none" w:sz="0" w:space="0" w:color="auto"/>
      </w:divBdr>
      <w:divsChild>
        <w:div w:id="1538857875">
          <w:marLeft w:val="0"/>
          <w:marRight w:val="0"/>
          <w:marTop w:val="0"/>
          <w:marBottom w:val="0"/>
          <w:divBdr>
            <w:top w:val="none" w:sz="0" w:space="0" w:color="auto"/>
            <w:left w:val="none" w:sz="0" w:space="0" w:color="auto"/>
            <w:bottom w:val="none" w:sz="0" w:space="0" w:color="auto"/>
            <w:right w:val="none" w:sz="0" w:space="0" w:color="auto"/>
          </w:divBdr>
          <w:divsChild>
            <w:div w:id="1095595929">
              <w:marLeft w:val="0"/>
              <w:marRight w:val="0"/>
              <w:marTop w:val="0"/>
              <w:marBottom w:val="0"/>
              <w:divBdr>
                <w:top w:val="none" w:sz="0" w:space="0" w:color="auto"/>
                <w:left w:val="none" w:sz="0" w:space="0" w:color="auto"/>
                <w:bottom w:val="none" w:sz="0" w:space="0" w:color="auto"/>
                <w:right w:val="none" w:sz="0" w:space="0" w:color="auto"/>
              </w:divBdr>
              <w:divsChild>
                <w:div w:id="179332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73636">
      <w:bodyDiv w:val="1"/>
      <w:marLeft w:val="0"/>
      <w:marRight w:val="0"/>
      <w:marTop w:val="0"/>
      <w:marBottom w:val="0"/>
      <w:divBdr>
        <w:top w:val="none" w:sz="0" w:space="0" w:color="auto"/>
        <w:left w:val="none" w:sz="0" w:space="0" w:color="auto"/>
        <w:bottom w:val="none" w:sz="0" w:space="0" w:color="auto"/>
        <w:right w:val="none" w:sz="0" w:space="0" w:color="auto"/>
      </w:divBdr>
      <w:divsChild>
        <w:div w:id="1007945651">
          <w:marLeft w:val="0"/>
          <w:marRight w:val="0"/>
          <w:marTop w:val="0"/>
          <w:marBottom w:val="0"/>
          <w:divBdr>
            <w:top w:val="none" w:sz="0" w:space="0" w:color="auto"/>
            <w:left w:val="none" w:sz="0" w:space="0" w:color="auto"/>
            <w:bottom w:val="none" w:sz="0" w:space="0" w:color="auto"/>
            <w:right w:val="none" w:sz="0" w:space="0" w:color="auto"/>
          </w:divBdr>
          <w:divsChild>
            <w:div w:id="1288271812">
              <w:marLeft w:val="0"/>
              <w:marRight w:val="0"/>
              <w:marTop w:val="0"/>
              <w:marBottom w:val="0"/>
              <w:divBdr>
                <w:top w:val="none" w:sz="0" w:space="0" w:color="auto"/>
                <w:left w:val="none" w:sz="0" w:space="0" w:color="auto"/>
                <w:bottom w:val="none" w:sz="0" w:space="0" w:color="auto"/>
                <w:right w:val="none" w:sz="0" w:space="0" w:color="auto"/>
              </w:divBdr>
              <w:divsChild>
                <w:div w:id="103129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113796">
      <w:bodyDiv w:val="1"/>
      <w:marLeft w:val="0"/>
      <w:marRight w:val="0"/>
      <w:marTop w:val="0"/>
      <w:marBottom w:val="0"/>
      <w:divBdr>
        <w:top w:val="none" w:sz="0" w:space="0" w:color="auto"/>
        <w:left w:val="none" w:sz="0" w:space="0" w:color="auto"/>
        <w:bottom w:val="none" w:sz="0" w:space="0" w:color="auto"/>
        <w:right w:val="none" w:sz="0" w:space="0" w:color="auto"/>
      </w:divBdr>
      <w:divsChild>
        <w:div w:id="344403797">
          <w:marLeft w:val="0"/>
          <w:marRight w:val="0"/>
          <w:marTop w:val="0"/>
          <w:marBottom w:val="0"/>
          <w:divBdr>
            <w:top w:val="none" w:sz="0" w:space="0" w:color="auto"/>
            <w:left w:val="none" w:sz="0" w:space="0" w:color="auto"/>
            <w:bottom w:val="none" w:sz="0" w:space="0" w:color="auto"/>
            <w:right w:val="none" w:sz="0" w:space="0" w:color="auto"/>
          </w:divBdr>
        </w:div>
      </w:divsChild>
    </w:div>
    <w:div w:id="1785929283">
      <w:bodyDiv w:val="1"/>
      <w:marLeft w:val="0"/>
      <w:marRight w:val="0"/>
      <w:marTop w:val="0"/>
      <w:marBottom w:val="0"/>
      <w:divBdr>
        <w:top w:val="none" w:sz="0" w:space="0" w:color="auto"/>
        <w:left w:val="none" w:sz="0" w:space="0" w:color="auto"/>
        <w:bottom w:val="none" w:sz="0" w:space="0" w:color="auto"/>
        <w:right w:val="none" w:sz="0" w:space="0" w:color="auto"/>
      </w:divBdr>
      <w:divsChild>
        <w:div w:id="2094203630">
          <w:marLeft w:val="0"/>
          <w:marRight w:val="0"/>
          <w:marTop w:val="0"/>
          <w:marBottom w:val="0"/>
          <w:divBdr>
            <w:top w:val="none" w:sz="0" w:space="0" w:color="auto"/>
            <w:left w:val="none" w:sz="0" w:space="0" w:color="auto"/>
            <w:bottom w:val="none" w:sz="0" w:space="0" w:color="auto"/>
            <w:right w:val="none" w:sz="0" w:space="0" w:color="auto"/>
          </w:divBdr>
          <w:divsChild>
            <w:div w:id="642348847">
              <w:marLeft w:val="0"/>
              <w:marRight w:val="0"/>
              <w:marTop w:val="0"/>
              <w:marBottom w:val="0"/>
              <w:divBdr>
                <w:top w:val="none" w:sz="0" w:space="0" w:color="auto"/>
                <w:left w:val="none" w:sz="0" w:space="0" w:color="auto"/>
                <w:bottom w:val="none" w:sz="0" w:space="0" w:color="auto"/>
                <w:right w:val="none" w:sz="0" w:space="0" w:color="auto"/>
              </w:divBdr>
              <w:divsChild>
                <w:div w:id="31942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15926">
      <w:bodyDiv w:val="1"/>
      <w:marLeft w:val="0"/>
      <w:marRight w:val="0"/>
      <w:marTop w:val="0"/>
      <w:marBottom w:val="0"/>
      <w:divBdr>
        <w:top w:val="none" w:sz="0" w:space="0" w:color="auto"/>
        <w:left w:val="none" w:sz="0" w:space="0" w:color="auto"/>
        <w:bottom w:val="none" w:sz="0" w:space="0" w:color="auto"/>
        <w:right w:val="none" w:sz="0" w:space="0" w:color="auto"/>
      </w:divBdr>
      <w:divsChild>
        <w:div w:id="603348972">
          <w:marLeft w:val="0"/>
          <w:marRight w:val="0"/>
          <w:marTop w:val="0"/>
          <w:marBottom w:val="0"/>
          <w:divBdr>
            <w:top w:val="none" w:sz="0" w:space="0" w:color="auto"/>
            <w:left w:val="none" w:sz="0" w:space="0" w:color="auto"/>
            <w:bottom w:val="none" w:sz="0" w:space="0" w:color="auto"/>
            <w:right w:val="none" w:sz="0" w:space="0" w:color="auto"/>
          </w:divBdr>
          <w:divsChild>
            <w:div w:id="1594362091">
              <w:marLeft w:val="0"/>
              <w:marRight w:val="0"/>
              <w:marTop w:val="0"/>
              <w:marBottom w:val="0"/>
              <w:divBdr>
                <w:top w:val="none" w:sz="0" w:space="0" w:color="auto"/>
                <w:left w:val="none" w:sz="0" w:space="0" w:color="auto"/>
                <w:bottom w:val="none" w:sz="0" w:space="0" w:color="auto"/>
                <w:right w:val="none" w:sz="0" w:space="0" w:color="auto"/>
              </w:divBdr>
              <w:divsChild>
                <w:div w:id="3076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426433">
      <w:bodyDiv w:val="1"/>
      <w:marLeft w:val="0"/>
      <w:marRight w:val="0"/>
      <w:marTop w:val="0"/>
      <w:marBottom w:val="0"/>
      <w:divBdr>
        <w:top w:val="none" w:sz="0" w:space="0" w:color="auto"/>
        <w:left w:val="none" w:sz="0" w:space="0" w:color="auto"/>
        <w:bottom w:val="none" w:sz="0" w:space="0" w:color="auto"/>
        <w:right w:val="none" w:sz="0" w:space="0" w:color="auto"/>
      </w:divBdr>
      <w:divsChild>
        <w:div w:id="1069962703">
          <w:marLeft w:val="0"/>
          <w:marRight w:val="0"/>
          <w:marTop w:val="0"/>
          <w:marBottom w:val="0"/>
          <w:divBdr>
            <w:top w:val="none" w:sz="0" w:space="0" w:color="auto"/>
            <w:left w:val="none" w:sz="0" w:space="0" w:color="auto"/>
            <w:bottom w:val="none" w:sz="0" w:space="0" w:color="auto"/>
            <w:right w:val="none" w:sz="0" w:space="0" w:color="auto"/>
          </w:divBdr>
          <w:divsChild>
            <w:div w:id="1385178353">
              <w:marLeft w:val="0"/>
              <w:marRight w:val="0"/>
              <w:marTop w:val="0"/>
              <w:marBottom w:val="0"/>
              <w:divBdr>
                <w:top w:val="none" w:sz="0" w:space="0" w:color="auto"/>
                <w:left w:val="none" w:sz="0" w:space="0" w:color="auto"/>
                <w:bottom w:val="none" w:sz="0" w:space="0" w:color="auto"/>
                <w:right w:val="none" w:sz="0" w:space="0" w:color="auto"/>
              </w:divBdr>
              <w:divsChild>
                <w:div w:id="347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676668">
      <w:bodyDiv w:val="1"/>
      <w:marLeft w:val="0"/>
      <w:marRight w:val="0"/>
      <w:marTop w:val="0"/>
      <w:marBottom w:val="0"/>
      <w:divBdr>
        <w:top w:val="none" w:sz="0" w:space="0" w:color="auto"/>
        <w:left w:val="none" w:sz="0" w:space="0" w:color="auto"/>
        <w:bottom w:val="none" w:sz="0" w:space="0" w:color="auto"/>
        <w:right w:val="none" w:sz="0" w:space="0" w:color="auto"/>
      </w:divBdr>
      <w:divsChild>
        <w:div w:id="689601711">
          <w:marLeft w:val="0"/>
          <w:marRight w:val="0"/>
          <w:marTop w:val="0"/>
          <w:marBottom w:val="0"/>
          <w:divBdr>
            <w:top w:val="none" w:sz="0" w:space="0" w:color="auto"/>
            <w:left w:val="none" w:sz="0" w:space="0" w:color="auto"/>
            <w:bottom w:val="none" w:sz="0" w:space="0" w:color="auto"/>
            <w:right w:val="none" w:sz="0" w:space="0" w:color="auto"/>
          </w:divBdr>
          <w:divsChild>
            <w:div w:id="852496800">
              <w:marLeft w:val="0"/>
              <w:marRight w:val="0"/>
              <w:marTop w:val="0"/>
              <w:marBottom w:val="0"/>
              <w:divBdr>
                <w:top w:val="none" w:sz="0" w:space="0" w:color="auto"/>
                <w:left w:val="none" w:sz="0" w:space="0" w:color="auto"/>
                <w:bottom w:val="none" w:sz="0" w:space="0" w:color="auto"/>
                <w:right w:val="none" w:sz="0" w:space="0" w:color="auto"/>
              </w:divBdr>
              <w:divsChild>
                <w:div w:id="17834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958224">
      <w:bodyDiv w:val="1"/>
      <w:marLeft w:val="0"/>
      <w:marRight w:val="0"/>
      <w:marTop w:val="0"/>
      <w:marBottom w:val="0"/>
      <w:divBdr>
        <w:top w:val="none" w:sz="0" w:space="0" w:color="auto"/>
        <w:left w:val="none" w:sz="0" w:space="0" w:color="auto"/>
        <w:bottom w:val="none" w:sz="0" w:space="0" w:color="auto"/>
        <w:right w:val="none" w:sz="0" w:space="0" w:color="auto"/>
      </w:divBdr>
    </w:div>
    <w:div w:id="2076120822">
      <w:bodyDiv w:val="1"/>
      <w:marLeft w:val="0"/>
      <w:marRight w:val="0"/>
      <w:marTop w:val="0"/>
      <w:marBottom w:val="0"/>
      <w:divBdr>
        <w:top w:val="none" w:sz="0" w:space="0" w:color="auto"/>
        <w:left w:val="none" w:sz="0" w:space="0" w:color="auto"/>
        <w:bottom w:val="none" w:sz="0" w:space="0" w:color="auto"/>
        <w:right w:val="none" w:sz="0" w:space="0" w:color="auto"/>
      </w:divBdr>
    </w:div>
    <w:div w:id="2139492622">
      <w:bodyDiv w:val="1"/>
      <w:marLeft w:val="0"/>
      <w:marRight w:val="0"/>
      <w:marTop w:val="0"/>
      <w:marBottom w:val="0"/>
      <w:divBdr>
        <w:top w:val="none" w:sz="0" w:space="0" w:color="auto"/>
        <w:left w:val="none" w:sz="0" w:space="0" w:color="auto"/>
        <w:bottom w:val="none" w:sz="0" w:space="0" w:color="auto"/>
        <w:right w:val="none" w:sz="0" w:space="0" w:color="auto"/>
      </w:divBdr>
      <w:divsChild>
        <w:div w:id="2116096968">
          <w:marLeft w:val="0"/>
          <w:marRight w:val="0"/>
          <w:marTop w:val="0"/>
          <w:marBottom w:val="0"/>
          <w:divBdr>
            <w:top w:val="none" w:sz="0" w:space="0" w:color="auto"/>
            <w:left w:val="none" w:sz="0" w:space="0" w:color="auto"/>
            <w:bottom w:val="none" w:sz="0" w:space="0" w:color="auto"/>
            <w:right w:val="none" w:sz="0" w:space="0" w:color="auto"/>
          </w:divBdr>
          <w:divsChild>
            <w:div w:id="329139001">
              <w:marLeft w:val="0"/>
              <w:marRight w:val="0"/>
              <w:marTop w:val="0"/>
              <w:marBottom w:val="0"/>
              <w:divBdr>
                <w:top w:val="none" w:sz="0" w:space="0" w:color="auto"/>
                <w:left w:val="none" w:sz="0" w:space="0" w:color="auto"/>
                <w:bottom w:val="none" w:sz="0" w:space="0" w:color="auto"/>
                <w:right w:val="none" w:sz="0" w:space="0" w:color="auto"/>
              </w:divBdr>
              <w:divsChild>
                <w:div w:id="203719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agamme.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agamme.org/" TargetMode="External"/><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4899" TargetMode="External"/><Relationship Id="rId13" Type="http://schemas.openxmlformats.org/officeDocument/2006/relationships/hyperlink" Target="https://spcommreports.ohchr.org/TMResultsBase/DownLoadFile?gId=35811" TargetMode="External"/><Relationship Id="rId3" Type="http://schemas.openxmlformats.org/officeDocument/2006/relationships/hyperlink" Target="https://www.ohchr.org/es/2022/01/spanish-courts-must-protect-children-domestic-violence-and-sexual-abuse-say-un-experts" TargetMode="External"/><Relationship Id="rId7" Type="http://schemas.openxmlformats.org/officeDocument/2006/relationships/hyperlink" Target="https://spcommreports.ohchr.org/TMResultsBase/DownLoadFile?gId=34832" TargetMode="External"/><Relationship Id="rId12" Type="http://schemas.openxmlformats.org/officeDocument/2006/relationships/hyperlink" Target="https://spcommreports.ohchr.org/TMResultsBase/DownLoadPublicCommunicationFile?gId=25553" TargetMode="External"/><Relationship Id="rId2" Type="http://schemas.openxmlformats.org/officeDocument/2006/relationships/hyperlink" Target="https://www.euskadi.eus/contenidos/informacion/balora/es_doc/adjuntos/TAXONOMIA_ES.pdf" TargetMode="External"/><Relationship Id="rId1" Type="http://schemas.openxmlformats.org/officeDocument/2006/relationships/hyperlink" Target="https://scielo.isciii.es/scielo.php?script=sci_arttext&amp;pid=S0211-57352010000300013" TargetMode="External"/><Relationship Id="rId6" Type="http://schemas.openxmlformats.org/officeDocument/2006/relationships/hyperlink" Target="https://spcommreports.ohchr.org/TMResultsBase/DownLoadPublicCommunicationFile?gId=24662" TargetMode="External"/><Relationship Id="rId11" Type="http://schemas.openxmlformats.org/officeDocument/2006/relationships/hyperlink" Target="https://spcommreports.ohchr.org/TMResultsBase/DownLoadFile?gId=35155" TargetMode="External"/><Relationship Id="rId5" Type="http://schemas.openxmlformats.org/officeDocument/2006/relationships/hyperlink" Target="https://tbinternet.ohchr.org/_layouts/15/treatybodyexternal/Download.aspx?symbolno=INT%2fCEDAW%2fCSS%2fESP%2f44866&amp;Lang=en" TargetMode="External"/><Relationship Id="rId10" Type="http://schemas.openxmlformats.org/officeDocument/2006/relationships/hyperlink" Target="https://spcommreports.ohchr.org/TMResultsBase/DownLoadPublicCommunicationFile?gId=25014" TargetMode="External"/><Relationship Id="rId4" Type="http://schemas.openxmlformats.org/officeDocument/2006/relationships/hyperlink" Target="https://www.ohchr.org/es/pressreleases/2022/02/spain-unexperts-denounce-child-custodydecision-ignores-evidence-sexual" TargetMode="External"/><Relationship Id="rId9" Type="http://schemas.openxmlformats.org/officeDocument/2006/relationships/hyperlink" Target="https://spcommreports.ohchr.org/TMResultsBase/DownLoadFile?gId=35154" TargetMode="External"/><Relationship Id="rId14" Type="http://schemas.openxmlformats.org/officeDocument/2006/relationships/hyperlink" Target="https://www.elsaltodiario.com/sap/fiscal-caso-de-irune-costumero-dice-sap-existe?fbclid=IwAR3HDTV5sbT9cuf03P9wFZOhio_uBmgsLbalcj8SQJQxZ60U_gNKbEJAOjQ"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28CA7-CCD5-4D50-8AF5-AD9D668E8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7552</Words>
  <Characters>41542</Characters>
  <Application>Microsoft Office Word</Application>
  <DocSecurity>0</DocSecurity>
  <Lines>346</Lines>
  <Paragraphs>97</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Agamme</vt:lpstr>
    </vt:vector>
  </TitlesOfParts>
  <Company>Luffi</Company>
  <LinksUpToDate>false</LinksUpToDate>
  <CharactersWithSpaces>48997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Luffi</cp:lastModifiedBy>
  <cp:revision>5</cp:revision>
  <dcterms:created xsi:type="dcterms:W3CDTF">2023-06-12T17:22:00Z</dcterms:created>
  <dcterms:modified xsi:type="dcterms:W3CDTF">2023-06-12T18:35:00Z</dcterms:modified>
</cp:coreProperties>
</file>