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DCB75" w14:textId="40CBF260" w:rsidR="00523859" w:rsidRPr="007F2DE9" w:rsidRDefault="0050102B" w:rsidP="00523859">
      <w:pPr>
        <w:pStyle w:val="NormalWeb"/>
        <w:jc w:val="center"/>
        <w:rPr>
          <w:rFonts w:cs="Times New Roman"/>
        </w:rPr>
      </w:pPr>
      <w:bookmarkStart w:id="0" w:name="parallel_report_access_of_people_2327f0"/>
      <w:r>
        <w:rPr>
          <w:rFonts w:cs="Times New Roman"/>
          <w:b/>
          <w:bCs/>
        </w:rPr>
        <w:t xml:space="preserve"> </w:t>
      </w:r>
      <w:r w:rsidR="00523859" w:rsidRPr="007F2DE9">
        <w:rPr>
          <w:rFonts w:cs="Times New Roman"/>
          <w:b/>
          <w:bCs/>
        </w:rPr>
        <w:t>Committee on Economic, Social and Cultural Rights</w:t>
      </w:r>
    </w:p>
    <w:p w14:paraId="3AA301A6" w14:textId="07266FA3" w:rsidR="00523859" w:rsidRPr="007F2DE9" w:rsidRDefault="00523859" w:rsidP="00523859">
      <w:pPr>
        <w:pStyle w:val="Body"/>
        <w:spacing w:line="276" w:lineRule="auto"/>
        <w:jc w:val="center"/>
        <w:rPr>
          <w:rFonts w:cs="Times New Roman"/>
          <w:b/>
          <w:bCs/>
        </w:rPr>
      </w:pPr>
      <w:r w:rsidRPr="007F2DE9">
        <w:rPr>
          <w:rFonts w:cs="Times New Roman"/>
          <w:b/>
          <w:bCs/>
        </w:rPr>
        <w:t xml:space="preserve">Parallel Submission for </w:t>
      </w:r>
      <w:r w:rsidR="00892FC0" w:rsidRPr="007F2DE9">
        <w:rPr>
          <w:rFonts w:cs="Times New Roman"/>
          <w:b/>
          <w:bCs/>
        </w:rPr>
        <w:t>79</w:t>
      </w:r>
      <w:r w:rsidRPr="007F2DE9">
        <w:rPr>
          <w:rFonts w:cs="Times New Roman"/>
          <w:b/>
          <w:bCs/>
        </w:rPr>
        <w:t xml:space="preserve"> Session, with respect to</w:t>
      </w:r>
      <w:r w:rsidR="00892FC0" w:rsidRPr="007F2DE9">
        <w:rPr>
          <w:rFonts w:cs="Times New Roman"/>
          <w:b/>
          <w:bCs/>
        </w:rPr>
        <w:t xml:space="preserve"> the adoption of the List of Issues for</w:t>
      </w:r>
      <w:r w:rsidRPr="007F2DE9">
        <w:rPr>
          <w:rFonts w:cs="Times New Roman"/>
          <w:b/>
          <w:bCs/>
        </w:rPr>
        <w:t xml:space="preserve"> Kazakhstan</w:t>
      </w:r>
      <w:r w:rsidR="00DA6757">
        <w:rPr>
          <w:rStyle w:val="FootnoteReference"/>
          <w:rFonts w:cs="Times New Roman"/>
          <w:b/>
          <w:bCs/>
        </w:rPr>
        <w:footnoteReference w:id="1"/>
      </w:r>
    </w:p>
    <w:p w14:paraId="30390178" w14:textId="1387490D" w:rsidR="00D55A05" w:rsidRPr="007F2DE9" w:rsidRDefault="003F1238" w:rsidP="003F1238">
      <w:pPr>
        <w:spacing w:before="210" w:after="0" w:line="360" w:lineRule="auto"/>
        <w:jc w:val="center"/>
        <w:rPr>
          <w:rFonts w:ascii="Times New Roman" w:hAnsi="Times New Roman" w:cs="Times New Roman"/>
          <w:sz w:val="24"/>
          <w:szCs w:val="24"/>
        </w:rPr>
      </w:pPr>
      <w:r w:rsidRPr="007F2DE9">
        <w:rPr>
          <w:rFonts w:ascii="Times New Roman" w:eastAsia="inter" w:hAnsi="Times New Roman" w:cs="Times New Roman"/>
          <w:b/>
          <w:color w:val="000000"/>
          <w:sz w:val="24"/>
          <w:szCs w:val="24"/>
        </w:rPr>
        <w:t>Information on a</w:t>
      </w:r>
      <w:r w:rsidR="00C1555A" w:rsidRPr="007F2DE9">
        <w:rPr>
          <w:rFonts w:ascii="Times New Roman" w:eastAsia="inter" w:hAnsi="Times New Roman" w:cs="Times New Roman"/>
          <w:b/>
          <w:color w:val="000000"/>
          <w:sz w:val="24"/>
          <w:szCs w:val="24"/>
        </w:rPr>
        <w:t>ccess of people who use drugs to health care and harm reduction</w:t>
      </w:r>
      <w:bookmarkEnd w:id="0"/>
    </w:p>
    <w:p w14:paraId="3039017A" w14:textId="77777777" w:rsidR="00D55A05" w:rsidRPr="007F2DE9" w:rsidRDefault="00C1555A">
      <w:pPr>
        <w:spacing w:before="315" w:after="105" w:line="360" w:lineRule="auto"/>
        <w:ind w:left="-30"/>
        <w:rPr>
          <w:rFonts w:ascii="Times New Roman" w:hAnsi="Times New Roman" w:cs="Times New Roman"/>
          <w:sz w:val="24"/>
          <w:szCs w:val="24"/>
        </w:rPr>
      </w:pPr>
      <w:bookmarkStart w:id="1" w:name="bm_1_introduction"/>
      <w:r w:rsidRPr="007F2DE9">
        <w:rPr>
          <w:rFonts w:ascii="Times New Roman" w:eastAsia="inter" w:hAnsi="Times New Roman" w:cs="Times New Roman"/>
          <w:b/>
          <w:color w:val="000000"/>
          <w:sz w:val="24"/>
          <w:szCs w:val="24"/>
        </w:rPr>
        <w:t>1. Introduction</w:t>
      </w:r>
      <w:bookmarkEnd w:id="1"/>
    </w:p>
    <w:p w14:paraId="3039017B" w14:textId="6FFE089D"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This submission provides updated information </w:t>
      </w:r>
      <w:proofErr w:type="gramStart"/>
      <w:r w:rsidRPr="007F2DE9">
        <w:rPr>
          <w:rFonts w:ascii="Times New Roman" w:eastAsia="inter" w:hAnsi="Times New Roman" w:cs="Times New Roman"/>
          <w:color w:val="000000"/>
          <w:sz w:val="24"/>
          <w:szCs w:val="24"/>
        </w:rPr>
        <w:t>on the situation of</w:t>
      </w:r>
      <w:proofErr w:type="gramEnd"/>
      <w:r w:rsidRPr="007F2DE9">
        <w:rPr>
          <w:rFonts w:ascii="Times New Roman" w:eastAsia="inter" w:hAnsi="Times New Roman" w:cs="Times New Roman"/>
          <w:color w:val="000000"/>
          <w:sz w:val="24"/>
          <w:szCs w:val="24"/>
        </w:rPr>
        <w:t xml:space="preserve"> people who use drugs in Kazakhstan </w:t>
      </w:r>
      <w:proofErr w:type="gramStart"/>
      <w:r w:rsidRPr="007F2DE9">
        <w:rPr>
          <w:rFonts w:ascii="Times New Roman" w:eastAsia="inter" w:hAnsi="Times New Roman" w:cs="Times New Roman"/>
          <w:color w:val="000000"/>
          <w:sz w:val="24"/>
          <w:szCs w:val="24"/>
        </w:rPr>
        <w:t>in light of</w:t>
      </w:r>
      <w:proofErr w:type="gramEnd"/>
      <w:r w:rsidRPr="007F2DE9">
        <w:rPr>
          <w:rFonts w:ascii="Times New Roman" w:eastAsia="inter" w:hAnsi="Times New Roman" w:cs="Times New Roman"/>
          <w:color w:val="000000"/>
          <w:sz w:val="24"/>
          <w:szCs w:val="24"/>
        </w:rPr>
        <w:t xml:space="preserve"> CESCR’s 2019 concluding observations (paras. 46–47). It focuses on access to harm reduction, opioid agonist therapy (OAT)</w:t>
      </w:r>
      <w:r w:rsidR="00C463AD" w:rsidRPr="007F2DE9">
        <w:rPr>
          <w:rFonts w:ascii="Times New Roman" w:eastAsia="inter" w:hAnsi="Times New Roman" w:cs="Times New Roman"/>
          <w:color w:val="000000"/>
          <w:sz w:val="24"/>
          <w:szCs w:val="24"/>
        </w:rPr>
        <w:t xml:space="preserve"> </w:t>
      </w:r>
      <w:r w:rsidRPr="007F2DE9">
        <w:rPr>
          <w:rFonts w:ascii="Times New Roman" w:eastAsia="inter" w:hAnsi="Times New Roman" w:cs="Times New Roman"/>
          <w:color w:val="000000"/>
          <w:sz w:val="24"/>
          <w:szCs w:val="24"/>
        </w:rPr>
        <w:t>and the impact of criminalization on the right to health and related rights.</w:t>
      </w:r>
    </w:p>
    <w:p w14:paraId="3039017D" w14:textId="738784E4" w:rsidR="00D55A05" w:rsidRPr="007F2DE9" w:rsidRDefault="00C1555A" w:rsidP="003970FC">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Despite the Committee’s clear recommendations to strengthen harm reduction, expand opioid substitution therapy, ensure medical confidentiality and consider decriminalization, the State party has not taken effective measures to implement them. Instead, long‑standing restrictions on OAT access have continued, and new evidence of systemic administrative and legal barriers has emerged.</w:t>
      </w:r>
    </w:p>
    <w:p w14:paraId="3039017E" w14:textId="77777777" w:rsidR="00D55A05" w:rsidRPr="007F2DE9" w:rsidRDefault="00C1555A" w:rsidP="003970FC">
      <w:pPr>
        <w:spacing w:before="315" w:after="105" w:line="360" w:lineRule="auto"/>
        <w:rPr>
          <w:rFonts w:ascii="Times New Roman" w:hAnsi="Times New Roman" w:cs="Times New Roman"/>
          <w:sz w:val="24"/>
          <w:szCs w:val="24"/>
        </w:rPr>
      </w:pPr>
      <w:bookmarkStart w:id="2" w:name="bm_2_lack_of_implementation_of_20_567b17"/>
      <w:r w:rsidRPr="007F2DE9">
        <w:rPr>
          <w:rFonts w:ascii="Times New Roman" w:eastAsia="inter" w:hAnsi="Times New Roman" w:cs="Times New Roman"/>
          <w:b/>
          <w:color w:val="000000"/>
          <w:sz w:val="24"/>
          <w:szCs w:val="24"/>
        </w:rPr>
        <w:t>2. Lack of implementation of 2019 CESCR recommendations</w:t>
      </w:r>
      <w:bookmarkEnd w:id="2"/>
    </w:p>
    <w:p w14:paraId="3039017F" w14:textId="77777777"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In 2019, the Committee urged Kazakhstan to: intensify prevention; strengthen harm reduction; ensure access to health care, psychological support and rehabilitation, including OST; protect confidentiality of medical records; and consider decriminalizing drug use. Since then:</w:t>
      </w:r>
    </w:p>
    <w:p w14:paraId="30390180" w14:textId="01E7C7EC" w:rsidR="00D55A05" w:rsidRPr="007F2DE9" w:rsidRDefault="00C1555A">
      <w:pPr>
        <w:numPr>
          <w:ilvl w:val="0"/>
          <w:numId w:val="1"/>
        </w:numPr>
        <w:spacing w:before="105" w:after="105"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The de facto ban on enrolment of new clients </w:t>
      </w:r>
      <w:proofErr w:type="gramStart"/>
      <w:r w:rsidRPr="007F2DE9">
        <w:rPr>
          <w:rFonts w:ascii="Times New Roman" w:eastAsia="inter" w:hAnsi="Times New Roman" w:cs="Times New Roman"/>
          <w:color w:val="000000"/>
          <w:sz w:val="24"/>
          <w:szCs w:val="24"/>
        </w:rPr>
        <w:t>in</w:t>
      </w:r>
      <w:proofErr w:type="gramEnd"/>
      <w:r w:rsidRPr="007F2DE9">
        <w:rPr>
          <w:rFonts w:ascii="Times New Roman" w:eastAsia="inter" w:hAnsi="Times New Roman" w:cs="Times New Roman"/>
          <w:color w:val="000000"/>
          <w:sz w:val="24"/>
          <w:szCs w:val="24"/>
        </w:rPr>
        <w:t xml:space="preserve"> OAT </w:t>
      </w:r>
      <w:proofErr w:type="spellStart"/>
      <w:r w:rsidRPr="007F2DE9">
        <w:rPr>
          <w:rFonts w:ascii="Times New Roman" w:eastAsia="inter" w:hAnsi="Times New Roman" w:cs="Times New Roman"/>
          <w:color w:val="000000"/>
          <w:sz w:val="24"/>
          <w:szCs w:val="24"/>
        </w:rPr>
        <w:t>programmes</w:t>
      </w:r>
      <w:proofErr w:type="spellEnd"/>
      <w:r w:rsidR="00F47CA5" w:rsidRPr="007F2DE9">
        <w:rPr>
          <w:rFonts w:ascii="Times New Roman" w:eastAsia="inter" w:hAnsi="Times New Roman" w:cs="Times New Roman"/>
          <w:color w:val="000000"/>
          <w:sz w:val="24"/>
          <w:szCs w:val="24"/>
        </w:rPr>
        <w:t xml:space="preserve"> is still in place</w:t>
      </w:r>
      <w:r w:rsidRPr="007F2DE9">
        <w:rPr>
          <w:rFonts w:ascii="Times New Roman" w:eastAsia="inter" w:hAnsi="Times New Roman" w:cs="Times New Roman"/>
          <w:color w:val="000000"/>
          <w:sz w:val="24"/>
          <w:szCs w:val="24"/>
        </w:rPr>
        <w:t>, leading to stagnation or decline in the number of patients in treatment despite documented need.</w:t>
      </w:r>
    </w:p>
    <w:p w14:paraId="30390181" w14:textId="1D5B00C5" w:rsidR="00D55A05" w:rsidRPr="007F2DE9" w:rsidRDefault="006049C6">
      <w:pPr>
        <w:numPr>
          <w:ilvl w:val="0"/>
          <w:numId w:val="1"/>
        </w:numPr>
        <w:spacing w:before="105" w:after="105" w:line="360" w:lineRule="auto"/>
        <w:rPr>
          <w:rFonts w:ascii="Times New Roman" w:hAnsi="Times New Roman" w:cs="Times New Roman"/>
          <w:sz w:val="24"/>
          <w:szCs w:val="24"/>
        </w:rPr>
      </w:pPr>
      <w:r w:rsidRPr="007F2DE9">
        <w:rPr>
          <w:rFonts w:ascii="Times New Roman" w:hAnsi="Times New Roman" w:cs="Times New Roman"/>
          <w:sz w:val="24"/>
          <w:szCs w:val="24"/>
        </w:rPr>
        <w:t xml:space="preserve">No meaningful geographic expansion of OAT services has taken place. </w:t>
      </w:r>
      <w:proofErr w:type="spellStart"/>
      <w:r w:rsidRPr="007F2DE9">
        <w:rPr>
          <w:rFonts w:ascii="Times New Roman" w:hAnsi="Times New Roman" w:cs="Times New Roman"/>
          <w:sz w:val="24"/>
          <w:szCs w:val="24"/>
        </w:rPr>
        <w:t>Programmes</w:t>
      </w:r>
      <w:proofErr w:type="spellEnd"/>
      <w:r w:rsidRPr="007F2DE9">
        <w:rPr>
          <w:rFonts w:ascii="Times New Roman" w:hAnsi="Times New Roman" w:cs="Times New Roman"/>
          <w:sz w:val="24"/>
          <w:szCs w:val="24"/>
        </w:rPr>
        <w:t xml:space="preserve"> operate in only 13 cities (out of 19+ million population), with total coverage of approximately 600–800 patients far below WHO recommendations. For comparison, Kazakhstan has approximately 79,900 people who inject drugs (PWID), with HIV prevalence of 7.6% and Hepatitis C prevalence of 58.6%</w:t>
      </w:r>
      <w:r w:rsidR="00C1555A">
        <w:rPr>
          <w:rStyle w:val="FootnoteReference"/>
          <w:rFonts w:ascii="Times New Roman" w:hAnsi="Times New Roman" w:cs="Times New Roman"/>
          <w:sz w:val="24"/>
          <w:szCs w:val="24"/>
        </w:rPr>
        <w:footnoteReference w:id="2"/>
      </w:r>
      <w:r w:rsidRPr="007F2DE9">
        <w:rPr>
          <w:rFonts w:ascii="Times New Roman" w:hAnsi="Times New Roman" w:cs="Times New Roman"/>
          <w:sz w:val="24"/>
          <w:szCs w:val="24"/>
        </w:rPr>
        <w:t>.</w:t>
      </w:r>
    </w:p>
    <w:p w14:paraId="30390182" w14:textId="77777777" w:rsidR="00D55A05" w:rsidRPr="007F2DE9" w:rsidRDefault="00C1555A">
      <w:pPr>
        <w:numPr>
          <w:ilvl w:val="0"/>
          <w:numId w:val="1"/>
        </w:numPr>
        <w:spacing w:before="105" w:after="105"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lastRenderedPageBreak/>
        <w:t>The State party’s latest periodic report to CESCR presents only data on seizures of illicit substances and law‑enforcement measures, and provides no information on harm reduction, OAT coverage, or health outcomes among people who use drugs.</w:t>
      </w:r>
    </w:p>
    <w:p w14:paraId="30390184" w14:textId="12CAB91A" w:rsidR="00D55A05" w:rsidRPr="007F2DE9" w:rsidRDefault="00C1555A" w:rsidP="00B06B1D">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These omissions and ongoing restrictions demonstrate </w:t>
      </w:r>
      <w:proofErr w:type="gramStart"/>
      <w:r w:rsidRPr="007F2DE9">
        <w:rPr>
          <w:rFonts w:ascii="Times New Roman" w:eastAsia="inter" w:hAnsi="Times New Roman" w:cs="Times New Roman"/>
          <w:color w:val="000000"/>
          <w:sz w:val="24"/>
          <w:szCs w:val="24"/>
        </w:rPr>
        <w:t>a failure</w:t>
      </w:r>
      <w:proofErr w:type="gramEnd"/>
      <w:r w:rsidRPr="007F2DE9">
        <w:rPr>
          <w:rFonts w:ascii="Times New Roman" w:eastAsia="inter" w:hAnsi="Times New Roman" w:cs="Times New Roman"/>
          <w:color w:val="000000"/>
          <w:sz w:val="24"/>
          <w:szCs w:val="24"/>
        </w:rPr>
        <w:t xml:space="preserve"> to give effect to CESCR’s previous recommendations and to fulfil obligations under Article 12 ICESCR (right to the highest attainable standard of physical and mental health), read together with Articles 2(2), 6 and 10.</w:t>
      </w:r>
    </w:p>
    <w:p w14:paraId="30390185" w14:textId="4ED78584" w:rsidR="00D55A05" w:rsidRPr="007F2DE9" w:rsidRDefault="00C1555A">
      <w:pPr>
        <w:spacing w:before="315" w:after="105" w:line="360" w:lineRule="auto"/>
        <w:ind w:left="-30"/>
        <w:rPr>
          <w:rFonts w:ascii="Times New Roman" w:hAnsi="Times New Roman" w:cs="Times New Roman"/>
          <w:sz w:val="24"/>
          <w:szCs w:val="24"/>
        </w:rPr>
      </w:pPr>
      <w:bookmarkStart w:id="3" w:name="bm_3_opioid_agonist_therapy_ongoi_c83491"/>
      <w:r w:rsidRPr="007F2DE9">
        <w:rPr>
          <w:rFonts w:ascii="Times New Roman" w:eastAsia="inter" w:hAnsi="Times New Roman" w:cs="Times New Roman"/>
          <w:b/>
          <w:color w:val="000000"/>
          <w:sz w:val="24"/>
          <w:szCs w:val="24"/>
        </w:rPr>
        <w:t>3. Opioid agonist therapy: ongoing access crisis</w:t>
      </w:r>
      <w:bookmarkEnd w:id="3"/>
      <w:r w:rsidR="00297A29">
        <w:rPr>
          <w:rStyle w:val="FootnoteReference"/>
          <w:rFonts w:ascii="Times New Roman" w:eastAsia="inter" w:hAnsi="Times New Roman" w:cs="Times New Roman"/>
          <w:b/>
          <w:color w:val="000000"/>
          <w:sz w:val="24"/>
          <w:szCs w:val="24"/>
        </w:rPr>
        <w:footnoteReference w:id="3"/>
      </w:r>
    </w:p>
    <w:p w14:paraId="30390186" w14:textId="77777777" w:rsidR="00D55A05" w:rsidRPr="007F2DE9" w:rsidRDefault="00C1555A">
      <w:pPr>
        <w:spacing w:before="315" w:after="105" w:line="360" w:lineRule="auto"/>
        <w:ind w:left="-30"/>
        <w:rPr>
          <w:rFonts w:ascii="Times New Roman" w:hAnsi="Times New Roman" w:cs="Times New Roman"/>
          <w:sz w:val="24"/>
          <w:szCs w:val="24"/>
        </w:rPr>
      </w:pPr>
      <w:bookmarkStart w:id="4" w:name="bm_3_1_de_facto_moratorium_on_new_706e3f"/>
      <w:r w:rsidRPr="007F2DE9">
        <w:rPr>
          <w:rFonts w:ascii="Times New Roman" w:eastAsia="inter" w:hAnsi="Times New Roman" w:cs="Times New Roman"/>
          <w:b/>
          <w:color w:val="000000"/>
          <w:sz w:val="24"/>
          <w:szCs w:val="24"/>
        </w:rPr>
        <w:t>3.1. De facto moratorium on new enrolments</w:t>
      </w:r>
      <w:bookmarkEnd w:id="4"/>
    </w:p>
    <w:p w14:paraId="30390187" w14:textId="418C336D"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Civil society monitoring indicates that a de facto moratorium on accepting new patients to OAT has remained in place nationwide. Decisions by central authorities have effectively prohibited expansion of patient numbers, even where clinical need, infrastructure and trained staff exist. In some regions, doctors report informal instructions not to </w:t>
      </w:r>
      <w:proofErr w:type="spellStart"/>
      <w:r w:rsidRPr="007F2DE9">
        <w:rPr>
          <w:rFonts w:ascii="Times New Roman" w:eastAsia="inter" w:hAnsi="Times New Roman" w:cs="Times New Roman"/>
          <w:color w:val="000000"/>
          <w:sz w:val="24"/>
          <w:szCs w:val="24"/>
        </w:rPr>
        <w:t>enrol</w:t>
      </w:r>
      <w:proofErr w:type="spellEnd"/>
      <w:r w:rsidRPr="007F2DE9">
        <w:rPr>
          <w:rFonts w:ascii="Times New Roman" w:eastAsia="inter" w:hAnsi="Times New Roman" w:cs="Times New Roman"/>
          <w:color w:val="000000"/>
          <w:sz w:val="24"/>
          <w:szCs w:val="24"/>
        </w:rPr>
        <w:t xml:space="preserve"> new clients, and in others health authorities explicitly refuse to approve new places in OAT </w:t>
      </w:r>
      <w:proofErr w:type="spellStart"/>
      <w:r w:rsidRPr="007F2DE9">
        <w:rPr>
          <w:rFonts w:ascii="Times New Roman" w:eastAsia="inter" w:hAnsi="Times New Roman" w:cs="Times New Roman"/>
          <w:color w:val="000000"/>
          <w:sz w:val="24"/>
          <w:szCs w:val="24"/>
        </w:rPr>
        <w:t>programmes</w:t>
      </w:r>
      <w:proofErr w:type="spellEnd"/>
      <w:r w:rsidRPr="007F2DE9">
        <w:rPr>
          <w:rFonts w:ascii="Times New Roman" w:eastAsia="inter" w:hAnsi="Times New Roman" w:cs="Times New Roman"/>
          <w:color w:val="000000"/>
          <w:sz w:val="24"/>
          <w:szCs w:val="24"/>
        </w:rPr>
        <w:t>.</w:t>
      </w:r>
    </w:p>
    <w:p w14:paraId="30390188" w14:textId="5570E4BF"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As a result, total OAT coverage remains extremely low (in the hundreds of patients) in a country of more than 19 million people with an </w:t>
      </w:r>
      <w:r w:rsidR="00A73A8A" w:rsidRPr="007F2DE9">
        <w:rPr>
          <w:rFonts w:ascii="Times New Roman" w:eastAsia="inter" w:hAnsi="Times New Roman" w:cs="Times New Roman"/>
          <w:color w:val="000000"/>
          <w:sz w:val="24"/>
          <w:szCs w:val="24"/>
        </w:rPr>
        <w:t xml:space="preserve">estimated </w:t>
      </w:r>
      <w:r w:rsidRPr="007F2DE9">
        <w:rPr>
          <w:rFonts w:ascii="Times New Roman" w:eastAsia="inter" w:hAnsi="Times New Roman" w:cs="Times New Roman"/>
          <w:color w:val="000000"/>
          <w:sz w:val="24"/>
          <w:szCs w:val="24"/>
        </w:rPr>
        <w:t xml:space="preserve">population of </w:t>
      </w:r>
      <w:r w:rsidR="00A73A8A" w:rsidRPr="007F2DE9">
        <w:rPr>
          <w:rFonts w:ascii="Times New Roman" w:eastAsia="inter" w:hAnsi="Times New Roman" w:cs="Times New Roman"/>
          <w:color w:val="000000"/>
          <w:sz w:val="24"/>
          <w:szCs w:val="24"/>
        </w:rPr>
        <w:t xml:space="preserve">79900 </w:t>
      </w:r>
      <w:r w:rsidRPr="007F2DE9">
        <w:rPr>
          <w:rFonts w:ascii="Times New Roman" w:eastAsia="inter" w:hAnsi="Times New Roman" w:cs="Times New Roman"/>
          <w:color w:val="000000"/>
          <w:sz w:val="24"/>
          <w:szCs w:val="24"/>
        </w:rPr>
        <w:t xml:space="preserve">people who inject </w:t>
      </w:r>
      <w:r w:rsidR="007F2DE9" w:rsidRPr="007F2DE9">
        <w:rPr>
          <w:rFonts w:ascii="Times New Roman" w:eastAsia="inter" w:hAnsi="Times New Roman" w:cs="Times New Roman"/>
          <w:color w:val="000000"/>
          <w:sz w:val="24"/>
          <w:szCs w:val="24"/>
        </w:rPr>
        <w:t>drugs</w:t>
      </w:r>
      <w:r w:rsidRPr="007F2DE9">
        <w:rPr>
          <w:rFonts w:ascii="Times New Roman" w:eastAsia="inter" w:hAnsi="Times New Roman" w:cs="Times New Roman"/>
          <w:color w:val="000000"/>
          <w:sz w:val="24"/>
          <w:szCs w:val="24"/>
        </w:rPr>
        <w:t xml:space="preserve">. The number of operating sites has not increased, and in some </w:t>
      </w:r>
      <w:proofErr w:type="gramStart"/>
      <w:r w:rsidRPr="007F2DE9">
        <w:rPr>
          <w:rFonts w:ascii="Times New Roman" w:eastAsia="inter" w:hAnsi="Times New Roman" w:cs="Times New Roman"/>
          <w:color w:val="000000"/>
          <w:sz w:val="24"/>
          <w:szCs w:val="24"/>
        </w:rPr>
        <w:t>locations</w:t>
      </w:r>
      <w:proofErr w:type="gramEnd"/>
      <w:r w:rsidRPr="007F2DE9">
        <w:rPr>
          <w:rFonts w:ascii="Times New Roman" w:eastAsia="inter" w:hAnsi="Times New Roman" w:cs="Times New Roman"/>
          <w:color w:val="000000"/>
          <w:sz w:val="24"/>
          <w:szCs w:val="24"/>
        </w:rPr>
        <w:t xml:space="preserve"> patient numbers have declined.</w:t>
      </w:r>
    </w:p>
    <w:p w14:paraId="30390189" w14:textId="77777777" w:rsidR="00D55A05" w:rsidRPr="007F2DE9" w:rsidRDefault="00C1555A">
      <w:pPr>
        <w:spacing w:before="315" w:after="105" w:line="360" w:lineRule="auto"/>
        <w:ind w:left="-30"/>
        <w:rPr>
          <w:rFonts w:ascii="Times New Roman" w:hAnsi="Times New Roman" w:cs="Times New Roman"/>
          <w:sz w:val="24"/>
          <w:szCs w:val="24"/>
        </w:rPr>
      </w:pPr>
      <w:bookmarkStart w:id="5" w:name="bm_3_2_arbitrary_administrative_b_7a6503"/>
      <w:r w:rsidRPr="007F2DE9">
        <w:rPr>
          <w:rFonts w:ascii="Times New Roman" w:eastAsia="inter" w:hAnsi="Times New Roman" w:cs="Times New Roman"/>
          <w:b/>
          <w:color w:val="000000"/>
          <w:sz w:val="24"/>
          <w:szCs w:val="24"/>
        </w:rPr>
        <w:t>3.2. Arbitrary administrative barriers and regional practices</w:t>
      </w:r>
      <w:bookmarkEnd w:id="5"/>
    </w:p>
    <w:p w14:paraId="3039018A" w14:textId="77777777"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Even where OAT sites exist, access is further restricted by administrative barriers and inconsistent local practices, including:</w:t>
      </w:r>
    </w:p>
    <w:p w14:paraId="3039018B" w14:textId="5BFBEA2F" w:rsidR="00D55A05" w:rsidRPr="00FD1B01" w:rsidRDefault="00C1555A">
      <w:pPr>
        <w:numPr>
          <w:ilvl w:val="0"/>
          <w:numId w:val="2"/>
        </w:numPr>
        <w:spacing w:before="105" w:after="105" w:line="360" w:lineRule="auto"/>
        <w:rPr>
          <w:rFonts w:ascii="Times New Roman" w:hAnsi="Times New Roman" w:cs="Times New Roman"/>
          <w:sz w:val="24"/>
          <w:szCs w:val="24"/>
        </w:rPr>
      </w:pPr>
      <w:r w:rsidRPr="007F2DE9">
        <w:rPr>
          <w:rFonts w:ascii="Times New Roman" w:eastAsia="inter" w:hAnsi="Times New Roman" w:cs="Times New Roman"/>
          <w:b/>
          <w:color w:val="000000"/>
          <w:sz w:val="24"/>
          <w:szCs w:val="24"/>
        </w:rPr>
        <w:t>Licensing and pharmaceutical documentation problems</w:t>
      </w:r>
      <w:r w:rsidRPr="007F2DE9">
        <w:rPr>
          <w:rFonts w:ascii="Times New Roman" w:eastAsia="inter" w:hAnsi="Times New Roman" w:cs="Times New Roman"/>
          <w:color w:val="000000"/>
          <w:sz w:val="24"/>
          <w:szCs w:val="24"/>
        </w:rPr>
        <w:t xml:space="preserve">: </w:t>
      </w:r>
      <w:r w:rsidR="00C552E1" w:rsidRPr="00C552E1">
        <w:rPr>
          <w:rFonts w:ascii="Times New Roman" w:eastAsia="inter" w:hAnsi="Times New Roman" w:cs="Times New Roman"/>
          <w:color w:val="000000"/>
          <w:sz w:val="24"/>
          <w:szCs w:val="24"/>
        </w:rPr>
        <w:t>In Taraz (</w:t>
      </w:r>
      <w:proofErr w:type="spellStart"/>
      <w:r w:rsidR="00C552E1" w:rsidRPr="00C552E1">
        <w:rPr>
          <w:rFonts w:ascii="Times New Roman" w:eastAsia="inter" w:hAnsi="Times New Roman" w:cs="Times New Roman"/>
          <w:color w:val="000000"/>
          <w:sz w:val="24"/>
          <w:szCs w:val="24"/>
        </w:rPr>
        <w:t>Zhambyl</w:t>
      </w:r>
      <w:proofErr w:type="spellEnd"/>
      <w:r w:rsidR="00C552E1" w:rsidRPr="00C552E1">
        <w:rPr>
          <w:rFonts w:ascii="Times New Roman" w:eastAsia="inter" w:hAnsi="Times New Roman" w:cs="Times New Roman"/>
          <w:color w:val="000000"/>
          <w:sz w:val="24"/>
          <w:szCs w:val="24"/>
        </w:rPr>
        <w:t xml:space="preserve"> region), six patients were left without life‑saving treatment for approximately one month (April–May 2025</w:t>
      </w:r>
      <w:proofErr w:type="gramStart"/>
      <w:r w:rsidR="00C552E1" w:rsidRPr="00C552E1">
        <w:rPr>
          <w:rFonts w:ascii="Times New Roman" w:eastAsia="inter" w:hAnsi="Times New Roman" w:cs="Times New Roman"/>
          <w:color w:val="000000"/>
          <w:sz w:val="24"/>
          <w:szCs w:val="24"/>
        </w:rPr>
        <w:t xml:space="preserve">) </w:t>
      </w:r>
      <w:r w:rsidRPr="007F2DE9">
        <w:rPr>
          <w:rFonts w:ascii="Times New Roman" w:eastAsia="inter" w:hAnsi="Times New Roman" w:cs="Times New Roman"/>
          <w:color w:val="000000"/>
          <w:sz w:val="24"/>
          <w:szCs w:val="24"/>
        </w:rPr>
        <w:t xml:space="preserve"> due</w:t>
      </w:r>
      <w:proofErr w:type="gramEnd"/>
      <w:r w:rsidRPr="007F2DE9">
        <w:rPr>
          <w:rFonts w:ascii="Times New Roman" w:eastAsia="inter" w:hAnsi="Times New Roman" w:cs="Times New Roman"/>
          <w:color w:val="000000"/>
          <w:sz w:val="24"/>
          <w:szCs w:val="24"/>
        </w:rPr>
        <w:t xml:space="preserve"> to delays in issuing </w:t>
      </w:r>
      <w:proofErr w:type="spellStart"/>
      <w:r w:rsidRPr="007F2DE9">
        <w:rPr>
          <w:rFonts w:ascii="Times New Roman" w:eastAsia="inter" w:hAnsi="Times New Roman" w:cs="Times New Roman"/>
          <w:color w:val="000000"/>
          <w:sz w:val="24"/>
          <w:szCs w:val="24"/>
        </w:rPr>
        <w:t>licences</w:t>
      </w:r>
      <w:proofErr w:type="spellEnd"/>
      <w:r w:rsidRPr="007F2DE9">
        <w:rPr>
          <w:rFonts w:ascii="Times New Roman" w:eastAsia="inter" w:hAnsi="Times New Roman" w:cs="Times New Roman"/>
          <w:color w:val="000000"/>
          <w:sz w:val="24"/>
          <w:szCs w:val="24"/>
        </w:rPr>
        <w:t xml:space="preserve"> for handling narcotic medicines; only after intensive advocacy and construction of a separate pharmacy space were services restored.</w:t>
      </w:r>
    </w:p>
    <w:p w14:paraId="4E1D19D5" w14:textId="77777777" w:rsidR="005F0AFA" w:rsidRDefault="00C1555A" w:rsidP="005F0AFA">
      <w:pPr>
        <w:numPr>
          <w:ilvl w:val="0"/>
          <w:numId w:val="2"/>
        </w:numPr>
        <w:spacing w:before="105" w:after="105" w:line="360" w:lineRule="auto"/>
        <w:rPr>
          <w:rFonts w:ascii="Times New Roman" w:hAnsi="Times New Roman" w:cs="Times New Roman"/>
          <w:sz w:val="24"/>
          <w:szCs w:val="24"/>
        </w:rPr>
      </w:pPr>
      <w:r w:rsidRPr="007F2DE9">
        <w:rPr>
          <w:rFonts w:ascii="Times New Roman" w:eastAsia="inter" w:hAnsi="Times New Roman" w:cs="Times New Roman"/>
          <w:b/>
          <w:color w:val="000000"/>
          <w:sz w:val="24"/>
          <w:szCs w:val="24"/>
        </w:rPr>
        <w:t>Bureaucratic refusals and “informal quotas”</w:t>
      </w:r>
      <w:r w:rsidRPr="007F2DE9">
        <w:rPr>
          <w:rFonts w:ascii="Times New Roman" w:eastAsia="inter" w:hAnsi="Times New Roman" w:cs="Times New Roman"/>
          <w:color w:val="000000"/>
          <w:sz w:val="24"/>
          <w:szCs w:val="24"/>
        </w:rPr>
        <w:t>: in several areas</w:t>
      </w:r>
      <w:r w:rsidR="005F0AFA">
        <w:rPr>
          <w:rFonts w:ascii="Times New Roman" w:eastAsia="inter" w:hAnsi="Times New Roman" w:cs="Times New Roman"/>
          <w:color w:val="000000"/>
          <w:sz w:val="24"/>
          <w:szCs w:val="24"/>
        </w:rPr>
        <w:t xml:space="preserve"> (</w:t>
      </w:r>
      <w:r w:rsidR="005F0AFA" w:rsidRPr="005F0AFA">
        <w:rPr>
          <w:rFonts w:ascii="Times New Roman" w:eastAsia="inter" w:hAnsi="Times New Roman" w:cs="Times New Roman"/>
          <w:color w:val="000000"/>
          <w:sz w:val="24"/>
          <w:szCs w:val="24"/>
        </w:rPr>
        <w:t>Abai, Pavlodar, Karaganda, East Kazakhstan</w:t>
      </w:r>
      <w:r w:rsidR="005F0AFA">
        <w:rPr>
          <w:rFonts w:ascii="Times New Roman" w:eastAsia="inter" w:hAnsi="Times New Roman" w:cs="Times New Roman"/>
          <w:color w:val="000000"/>
          <w:sz w:val="24"/>
          <w:szCs w:val="24"/>
        </w:rPr>
        <w:t>)</w:t>
      </w:r>
      <w:r w:rsidRPr="007F2DE9">
        <w:rPr>
          <w:rFonts w:ascii="Times New Roman" w:eastAsia="inter" w:hAnsi="Times New Roman" w:cs="Times New Roman"/>
          <w:color w:val="000000"/>
          <w:sz w:val="24"/>
          <w:szCs w:val="24"/>
        </w:rPr>
        <w:t xml:space="preserve">, health facilities either refuse to </w:t>
      </w:r>
      <w:proofErr w:type="spellStart"/>
      <w:r w:rsidRPr="007F2DE9">
        <w:rPr>
          <w:rFonts w:ascii="Times New Roman" w:eastAsia="inter" w:hAnsi="Times New Roman" w:cs="Times New Roman"/>
          <w:color w:val="000000"/>
          <w:sz w:val="24"/>
          <w:szCs w:val="24"/>
        </w:rPr>
        <w:t>enrol</w:t>
      </w:r>
      <w:proofErr w:type="spellEnd"/>
      <w:r w:rsidRPr="007F2DE9">
        <w:rPr>
          <w:rFonts w:ascii="Times New Roman" w:eastAsia="inter" w:hAnsi="Times New Roman" w:cs="Times New Roman"/>
          <w:color w:val="000000"/>
          <w:sz w:val="24"/>
          <w:szCs w:val="24"/>
        </w:rPr>
        <w:t xml:space="preserve"> new patients or limit </w:t>
      </w:r>
      <w:r w:rsidRPr="007F2DE9">
        <w:rPr>
          <w:rFonts w:ascii="Times New Roman" w:eastAsia="inter" w:hAnsi="Times New Roman" w:cs="Times New Roman"/>
          <w:color w:val="000000"/>
          <w:sz w:val="24"/>
          <w:szCs w:val="24"/>
        </w:rPr>
        <w:lastRenderedPageBreak/>
        <w:t xml:space="preserve">numbers based on non‑clinical considerations (e.g. alleged “overload” of </w:t>
      </w:r>
      <w:proofErr w:type="spellStart"/>
      <w:r w:rsidRPr="007F2DE9">
        <w:rPr>
          <w:rFonts w:ascii="Times New Roman" w:eastAsia="inter" w:hAnsi="Times New Roman" w:cs="Times New Roman"/>
          <w:color w:val="000000"/>
          <w:sz w:val="24"/>
          <w:szCs w:val="24"/>
        </w:rPr>
        <w:t>centres</w:t>
      </w:r>
      <w:proofErr w:type="spellEnd"/>
      <w:r w:rsidRPr="007F2DE9">
        <w:rPr>
          <w:rFonts w:ascii="Times New Roman" w:eastAsia="inter" w:hAnsi="Times New Roman" w:cs="Times New Roman"/>
          <w:color w:val="000000"/>
          <w:sz w:val="24"/>
          <w:szCs w:val="24"/>
        </w:rPr>
        <w:t>, lack of staff, or verbal instructions from regional authorities) rather than clinical need and human‑rights standards.</w:t>
      </w:r>
    </w:p>
    <w:p w14:paraId="0AEDF9E2" w14:textId="1F7B0936" w:rsidR="00C552E1" w:rsidRPr="005F0AFA" w:rsidRDefault="00C552E1" w:rsidP="005F0AFA">
      <w:pPr>
        <w:spacing w:before="105" w:after="105" w:line="360" w:lineRule="auto"/>
        <w:ind w:left="540"/>
        <w:rPr>
          <w:rFonts w:ascii="Times New Roman" w:hAnsi="Times New Roman" w:cs="Times New Roman"/>
          <w:sz w:val="24"/>
          <w:szCs w:val="24"/>
        </w:rPr>
      </w:pPr>
      <w:r w:rsidRPr="005F0AFA">
        <w:rPr>
          <w:rFonts w:ascii="Times New Roman" w:hAnsi="Times New Roman" w:cs="Times New Roman"/>
          <w:i/>
          <w:iCs/>
          <w:sz w:val="24"/>
          <w:szCs w:val="24"/>
        </w:rPr>
        <w:t>Case example: In April 2025 in Abai region, two patients who had just been admitted to OAT were denied continuation of treatment after several days solely because the facility lacked special prescription forms, despite the legal obligation of local health authorities to supply them.</w:t>
      </w:r>
    </w:p>
    <w:p w14:paraId="3039018D" w14:textId="77777777" w:rsidR="00D55A05" w:rsidRPr="00E066DF" w:rsidRDefault="00C1555A">
      <w:pPr>
        <w:numPr>
          <w:ilvl w:val="0"/>
          <w:numId w:val="2"/>
        </w:numPr>
        <w:spacing w:before="105" w:after="105" w:line="360" w:lineRule="auto"/>
        <w:rPr>
          <w:rFonts w:ascii="Times New Roman" w:hAnsi="Times New Roman" w:cs="Times New Roman"/>
          <w:sz w:val="24"/>
          <w:szCs w:val="24"/>
        </w:rPr>
      </w:pPr>
      <w:r w:rsidRPr="007F2DE9">
        <w:rPr>
          <w:rFonts w:ascii="Times New Roman" w:eastAsia="inter" w:hAnsi="Times New Roman" w:cs="Times New Roman"/>
          <w:b/>
          <w:color w:val="000000"/>
          <w:sz w:val="24"/>
          <w:szCs w:val="24"/>
        </w:rPr>
        <w:t>Lack of standardized national protocols for flexible OAT delivery</w:t>
      </w:r>
      <w:r w:rsidRPr="007F2DE9">
        <w:rPr>
          <w:rFonts w:ascii="Times New Roman" w:eastAsia="inter" w:hAnsi="Times New Roman" w:cs="Times New Roman"/>
          <w:color w:val="000000"/>
          <w:sz w:val="24"/>
          <w:szCs w:val="24"/>
        </w:rPr>
        <w:t>: there is still no clear national algorithm for take‑home doses, no registered tablet formulation of methadone in practice, and rigid daily supervised dosing is the norm, making it difficult for employed people, caregivers, or those living far from clinics to maintain treatment.</w:t>
      </w:r>
    </w:p>
    <w:p w14:paraId="3897A488" w14:textId="0AE8B397" w:rsidR="00E066DF" w:rsidRDefault="00E066DF">
      <w:pPr>
        <w:numPr>
          <w:ilvl w:val="0"/>
          <w:numId w:val="2"/>
        </w:numPr>
        <w:spacing w:before="105" w:after="105" w:line="360" w:lineRule="auto"/>
        <w:rPr>
          <w:rFonts w:ascii="Times New Roman" w:hAnsi="Times New Roman" w:cs="Times New Roman"/>
          <w:sz w:val="24"/>
          <w:szCs w:val="24"/>
        </w:rPr>
      </w:pPr>
      <w:r w:rsidRPr="00E066DF">
        <w:rPr>
          <w:rFonts w:ascii="Times New Roman" w:hAnsi="Times New Roman" w:cs="Times New Roman"/>
          <w:b/>
          <w:bCs/>
          <w:sz w:val="24"/>
          <w:szCs w:val="24"/>
        </w:rPr>
        <w:t>Geographical availability</w:t>
      </w:r>
      <w:r>
        <w:rPr>
          <w:rFonts w:ascii="Times New Roman" w:hAnsi="Times New Roman" w:cs="Times New Roman"/>
          <w:b/>
          <w:bCs/>
          <w:sz w:val="24"/>
          <w:szCs w:val="24"/>
        </w:rPr>
        <w:t>:</w:t>
      </w:r>
      <w:r>
        <w:rPr>
          <w:rFonts w:ascii="Times New Roman" w:hAnsi="Times New Roman" w:cs="Times New Roman"/>
          <w:sz w:val="24"/>
          <w:szCs w:val="24"/>
        </w:rPr>
        <w:t xml:space="preserve"> </w:t>
      </w:r>
      <w:r w:rsidRPr="00E066DF">
        <w:rPr>
          <w:rFonts w:ascii="Times New Roman" w:hAnsi="Times New Roman" w:cs="Times New Roman"/>
          <w:sz w:val="24"/>
          <w:szCs w:val="24"/>
        </w:rPr>
        <w:t xml:space="preserve">OAT sites are concentrated in major cities. When </w:t>
      </w:r>
      <w:proofErr w:type="spellStart"/>
      <w:r w:rsidRPr="00E066DF">
        <w:rPr>
          <w:rFonts w:ascii="Times New Roman" w:hAnsi="Times New Roman" w:cs="Times New Roman"/>
          <w:sz w:val="24"/>
          <w:szCs w:val="24"/>
        </w:rPr>
        <w:t>programmes</w:t>
      </w:r>
      <w:proofErr w:type="spellEnd"/>
      <w:r w:rsidRPr="00E066DF">
        <w:rPr>
          <w:rFonts w:ascii="Times New Roman" w:hAnsi="Times New Roman" w:cs="Times New Roman"/>
          <w:sz w:val="24"/>
          <w:szCs w:val="24"/>
        </w:rPr>
        <w:t xml:space="preserve"> close or are relocated, patients lose access. The lack of take‑home options and inflexible dosing schedules make it impossible for patients to relocate for work or family reasons while maintaining treatment continuity, creating a direct barrier to the right to work and family life.</w:t>
      </w:r>
    </w:p>
    <w:p w14:paraId="582C3384" w14:textId="67EBD187" w:rsidR="001D3497" w:rsidRPr="001D3497" w:rsidRDefault="001D3497" w:rsidP="001D3497">
      <w:pPr>
        <w:pStyle w:val="ListParagraph"/>
        <w:spacing w:after="105" w:line="360" w:lineRule="auto"/>
        <w:ind w:left="540"/>
        <w:rPr>
          <w:rFonts w:ascii="Times New Roman" w:eastAsia="inter" w:hAnsi="Times New Roman" w:cs="Times New Roman"/>
          <w:bCs/>
          <w:i/>
          <w:iCs/>
          <w:color w:val="000000"/>
          <w:sz w:val="24"/>
          <w:szCs w:val="24"/>
        </w:rPr>
      </w:pPr>
      <w:r w:rsidRPr="001D3497">
        <w:rPr>
          <w:rFonts w:ascii="Times New Roman" w:eastAsia="inter" w:hAnsi="Times New Roman" w:cs="Times New Roman"/>
          <w:bCs/>
          <w:i/>
          <w:iCs/>
          <w:color w:val="000000"/>
          <w:sz w:val="24"/>
          <w:szCs w:val="24"/>
        </w:rPr>
        <w:t>Case example: "A site in a small town closed down and people had to travel to the big city, spend all day doing it, and had to travel every day, and the issue of work became very difficult."</w:t>
      </w:r>
    </w:p>
    <w:p w14:paraId="3039018F" w14:textId="090A33BA" w:rsidR="00D55A05" w:rsidRPr="007F2DE9" w:rsidRDefault="00C1555A" w:rsidP="00566BA3">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These barriers contradict the State’s duty to ensure availability, accessibility, acceptability and quality of essential health services, and create de facto discrimination against people with opioid dependence.</w:t>
      </w:r>
    </w:p>
    <w:p w14:paraId="30390190" w14:textId="77777777" w:rsidR="00D55A05" w:rsidRPr="007F2DE9" w:rsidRDefault="00C1555A">
      <w:pPr>
        <w:spacing w:before="315" w:after="105" w:line="360" w:lineRule="auto"/>
        <w:ind w:left="-30"/>
        <w:rPr>
          <w:rFonts w:ascii="Times New Roman" w:hAnsi="Times New Roman" w:cs="Times New Roman"/>
          <w:sz w:val="24"/>
          <w:szCs w:val="24"/>
        </w:rPr>
      </w:pPr>
      <w:bookmarkStart w:id="6" w:name="bm_4_violations_of_confidentialit_d77547"/>
      <w:r w:rsidRPr="007F2DE9">
        <w:rPr>
          <w:rFonts w:ascii="Times New Roman" w:eastAsia="inter" w:hAnsi="Times New Roman" w:cs="Times New Roman"/>
          <w:b/>
          <w:color w:val="000000"/>
          <w:sz w:val="24"/>
          <w:szCs w:val="24"/>
        </w:rPr>
        <w:t>4. Violations of confidentiality and the “registry” system</w:t>
      </w:r>
      <w:bookmarkEnd w:id="6"/>
    </w:p>
    <w:p w14:paraId="30390191" w14:textId="77777777" w:rsidR="00D55A05" w:rsidRDefault="00C1555A">
      <w:pPr>
        <w:spacing w:after="210" w:line="360" w:lineRule="auto"/>
        <w:rPr>
          <w:rFonts w:ascii="Times New Roman" w:eastAsia="inter" w:hAnsi="Times New Roman" w:cs="Times New Roman"/>
          <w:color w:val="000000"/>
          <w:sz w:val="24"/>
          <w:szCs w:val="24"/>
        </w:rPr>
      </w:pPr>
      <w:r w:rsidRPr="007F2DE9">
        <w:rPr>
          <w:rFonts w:ascii="Times New Roman" w:eastAsia="inter" w:hAnsi="Times New Roman" w:cs="Times New Roman"/>
          <w:color w:val="000000"/>
          <w:sz w:val="24"/>
          <w:szCs w:val="24"/>
        </w:rPr>
        <w:t>Kazakhstan operates a centralized “registry” of people with substance use diagnoses, including those receiving drug treatment. Being listed on this registry has serious negative consequences: registered individuals are automatically restricted from a wide range of professions and activities, which can last many years or indefinitely.</w:t>
      </w:r>
    </w:p>
    <w:p w14:paraId="27EE57C4" w14:textId="77777777" w:rsidR="00AD5EBF" w:rsidRDefault="00AD5EBF" w:rsidP="00AD5EBF">
      <w:p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Legal framework of discrimination:</w:t>
      </w:r>
    </w:p>
    <w:p w14:paraId="1D52516C" w14:textId="653D7817" w:rsidR="00AD5EBF" w:rsidRPr="00AD5EBF" w:rsidRDefault="00AD5EBF" w:rsidP="00AD5EBF">
      <w:pPr>
        <w:pStyle w:val="ListParagraph"/>
        <w:numPr>
          <w:ilvl w:val="0"/>
          <w:numId w:val="15"/>
        </w:num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lastRenderedPageBreak/>
        <w:t>Individuals with drug addiction listed as a contraindication are prohibited from working in "hazardous professions" (a broad category that includes healthcare, education, law enforcement, transport and food handling).</w:t>
      </w:r>
    </w:p>
    <w:p w14:paraId="62F8C6EC" w14:textId="59F81AD0" w:rsidR="00AD5EBF" w:rsidRPr="00C1555A" w:rsidRDefault="00AD5EBF" w:rsidP="00AD5EBF">
      <w:pPr>
        <w:pStyle w:val="ListParagraph"/>
        <w:numPr>
          <w:ilvl w:val="0"/>
          <w:numId w:val="15"/>
        </w:num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Officially, obtaining a medical certificate from a psychoneurological dispensary is required for work in several areas, but employers often request this certificate even when no legal requirement applies, using it as an employment barrier.</w:t>
      </w:r>
    </w:p>
    <w:p w14:paraId="41D01658" w14:textId="2D213B22" w:rsidR="00AD5EBF" w:rsidRPr="00AD5EBF" w:rsidRDefault="00AD5EBF" w:rsidP="00AD5EBF">
      <w:pPr>
        <w:pStyle w:val="ListParagraph"/>
        <w:numPr>
          <w:ilvl w:val="0"/>
          <w:numId w:val="15"/>
        </w:num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The registry placement thus functions as a permanent employment disqualification in practice, lasting many years or indefinitely, extending far beyond what legal protections would allow.</w:t>
      </w:r>
    </w:p>
    <w:p w14:paraId="412AEE84" w14:textId="77777777" w:rsidR="00AD5EBF" w:rsidRDefault="00AD5EBF" w:rsidP="00AD5EBF">
      <w:p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Impact on rights:</w:t>
      </w:r>
    </w:p>
    <w:p w14:paraId="5A827816" w14:textId="4AD75028" w:rsidR="00AD5EBF" w:rsidRPr="00AD5EBF" w:rsidRDefault="00AD5EBF" w:rsidP="00AD5EBF">
      <w:pPr>
        <w:pStyle w:val="ListParagraph"/>
        <w:numPr>
          <w:ilvl w:val="0"/>
          <w:numId w:val="16"/>
        </w:num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Direct violation of the right to work (Article 6 ICESCR)</w:t>
      </w:r>
    </w:p>
    <w:p w14:paraId="5A45DD13" w14:textId="3C39D9B6" w:rsidR="00AD5EBF" w:rsidRPr="00AD5EBF" w:rsidRDefault="00AD5EBF" w:rsidP="00AD5EBF">
      <w:pPr>
        <w:pStyle w:val="ListParagraph"/>
        <w:numPr>
          <w:ilvl w:val="0"/>
          <w:numId w:val="16"/>
        </w:num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Creates a punitive rather than clinical tool, undermining the right to health (Article 12)</w:t>
      </w:r>
    </w:p>
    <w:p w14:paraId="24E5C833" w14:textId="77777777" w:rsidR="00AD5EBF" w:rsidRDefault="00AD5EBF" w:rsidP="00AD5EBF">
      <w:pPr>
        <w:pStyle w:val="ListParagraph"/>
        <w:numPr>
          <w:ilvl w:val="0"/>
          <w:numId w:val="16"/>
        </w:numPr>
        <w:spacing w:after="210" w:line="360" w:lineRule="auto"/>
        <w:rPr>
          <w:rFonts w:ascii="Times New Roman" w:hAnsi="Times New Roman" w:cs="Times New Roman"/>
          <w:sz w:val="24"/>
          <w:szCs w:val="24"/>
        </w:rPr>
      </w:pPr>
      <w:r w:rsidRPr="00AD5EBF">
        <w:rPr>
          <w:rFonts w:ascii="Times New Roman" w:hAnsi="Times New Roman" w:cs="Times New Roman"/>
          <w:sz w:val="24"/>
          <w:szCs w:val="24"/>
        </w:rPr>
        <w:t>Deters people from seeking treatment, as disclosure means automatic professional restriction</w:t>
      </w:r>
    </w:p>
    <w:p w14:paraId="30390197" w14:textId="359D0397" w:rsidR="00D55A05" w:rsidRPr="007F2DE9" w:rsidRDefault="00C1555A" w:rsidP="00566BA3">
      <w:pPr>
        <w:spacing w:after="210" w:line="360" w:lineRule="auto"/>
        <w:rPr>
          <w:rFonts w:ascii="Times New Roman" w:hAnsi="Times New Roman" w:cs="Times New Roman"/>
          <w:sz w:val="24"/>
          <w:szCs w:val="24"/>
        </w:rPr>
      </w:pPr>
      <w:r w:rsidRPr="00AD5EBF">
        <w:rPr>
          <w:rFonts w:ascii="Times New Roman" w:eastAsia="inter" w:hAnsi="Times New Roman" w:cs="Times New Roman"/>
          <w:color w:val="000000"/>
          <w:sz w:val="24"/>
          <w:szCs w:val="24"/>
        </w:rPr>
        <w:t>The registry system functions as a punitive tool rather than a clinical instrument, directly undermining the right to health, the right to privacy, and the right to work.</w:t>
      </w:r>
    </w:p>
    <w:p w14:paraId="30390198" w14:textId="121BB83A" w:rsidR="00D55A05" w:rsidRPr="007F2DE9" w:rsidRDefault="00C1555A">
      <w:pPr>
        <w:spacing w:before="315" w:after="105" w:line="360" w:lineRule="auto"/>
        <w:ind w:left="-30"/>
        <w:rPr>
          <w:rFonts w:ascii="Times New Roman" w:hAnsi="Times New Roman" w:cs="Times New Roman"/>
          <w:sz w:val="24"/>
          <w:szCs w:val="24"/>
        </w:rPr>
      </w:pPr>
      <w:bookmarkStart w:id="7" w:name="bm_5_criminalization_of_drug_use_583f61"/>
      <w:r w:rsidRPr="007F2DE9">
        <w:rPr>
          <w:rFonts w:ascii="Times New Roman" w:eastAsia="inter" w:hAnsi="Times New Roman" w:cs="Times New Roman"/>
          <w:b/>
          <w:color w:val="000000"/>
          <w:sz w:val="24"/>
          <w:szCs w:val="24"/>
        </w:rPr>
        <w:t>5. Criminalization of drug use and its impact on health</w:t>
      </w:r>
      <w:bookmarkEnd w:id="7"/>
      <w:r w:rsidR="00853AD4">
        <w:rPr>
          <w:rStyle w:val="FootnoteReference"/>
          <w:rFonts w:ascii="Times New Roman" w:eastAsia="inter" w:hAnsi="Times New Roman" w:cs="Times New Roman"/>
          <w:b/>
          <w:color w:val="000000"/>
          <w:sz w:val="24"/>
          <w:szCs w:val="24"/>
        </w:rPr>
        <w:footnoteReference w:id="4"/>
      </w:r>
    </w:p>
    <w:p w14:paraId="30390199" w14:textId="77777777"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The legal framework on drugs continues to criminalize use and possession of small quantities, with sanctions ranging from substantial fines to imprisonment. There has been no clear move towards decriminalization of drug use or reclassification of possession for personal consumption as an administrative or health matter.</w:t>
      </w:r>
    </w:p>
    <w:p w14:paraId="3039019F" w14:textId="130E09FB" w:rsidR="00D55A05" w:rsidRPr="007F2DE9" w:rsidRDefault="00DD7EC0" w:rsidP="002B4530">
      <w:pPr>
        <w:spacing w:after="210" w:line="360" w:lineRule="auto"/>
        <w:rPr>
          <w:rFonts w:ascii="Times New Roman" w:hAnsi="Times New Roman" w:cs="Times New Roman"/>
          <w:sz w:val="24"/>
          <w:szCs w:val="24"/>
        </w:rPr>
      </w:pPr>
      <w:r w:rsidRPr="00DD7EC0">
        <w:rPr>
          <w:rFonts w:ascii="Times New Roman" w:eastAsia="inter" w:hAnsi="Times New Roman" w:cs="Times New Roman"/>
          <w:color w:val="000000"/>
          <w:sz w:val="24"/>
          <w:szCs w:val="24"/>
        </w:rPr>
        <w:t xml:space="preserve">This punitive approach has several consequences. People who use drugs often avoid contact with health and social services, including harm reduction and opioid agonist therapy, because they fear their information could be used against them in criminal proceedings. Those who are registered as drug dependent face additional policing and surveillance, which compounds stigma and discrimination and further deters them from seeking treatment. Criminal records prevent access to employment (Article 6), create barriers to housing (Article 11), and affect child custody decisions, </w:t>
      </w:r>
      <w:r w:rsidRPr="00DD7EC0">
        <w:rPr>
          <w:rFonts w:ascii="Times New Roman" w:eastAsia="inter" w:hAnsi="Times New Roman" w:cs="Times New Roman"/>
          <w:color w:val="000000"/>
          <w:sz w:val="24"/>
          <w:szCs w:val="24"/>
        </w:rPr>
        <w:lastRenderedPageBreak/>
        <w:t>as drug use is grounds for deprivation of parental rights even when a parent is in treatment. Families of people who use drugs experience social and economic harm when breadwinners are prosecuted and incarcerated, affecting their enjoyment of economic, social and cultural rights, including housing, health and education.</w:t>
      </w:r>
      <w:r>
        <w:rPr>
          <w:rFonts w:ascii="Times New Roman" w:eastAsia="inter" w:hAnsi="Times New Roman" w:cs="Times New Roman"/>
          <w:color w:val="000000"/>
          <w:sz w:val="24"/>
          <w:szCs w:val="24"/>
        </w:rPr>
        <w:t xml:space="preserve"> </w:t>
      </w:r>
      <w:r w:rsidR="00C1555A" w:rsidRPr="007F2DE9">
        <w:rPr>
          <w:rFonts w:ascii="Times New Roman" w:eastAsia="inter" w:hAnsi="Times New Roman" w:cs="Times New Roman"/>
          <w:color w:val="000000"/>
          <w:sz w:val="24"/>
          <w:szCs w:val="24"/>
        </w:rPr>
        <w:t>By maintaining a primarily punitive approach instead of a health‑based, rights‑respecting model, Kazakhstan fails to implement CESCR’s recommendation to consider decriminalization and to remove legal obstacles to accessing harm reduction and treatment.</w:t>
      </w:r>
    </w:p>
    <w:p w14:paraId="208F8F23" w14:textId="15FAE2F7" w:rsidR="001D3497" w:rsidRPr="001D3497" w:rsidRDefault="001D3497" w:rsidP="001D3497">
      <w:pPr>
        <w:spacing w:before="315" w:after="105" w:line="360" w:lineRule="auto"/>
        <w:rPr>
          <w:rFonts w:ascii="Times New Roman" w:eastAsia="inter" w:hAnsi="Times New Roman" w:cs="Times New Roman"/>
          <w:b/>
          <w:color w:val="000000"/>
          <w:sz w:val="24"/>
          <w:szCs w:val="24"/>
        </w:rPr>
      </w:pPr>
      <w:bookmarkStart w:id="8" w:name="bm_7_proposed_questions_for_the_l_250170"/>
      <w:r w:rsidRPr="001D3497">
        <w:rPr>
          <w:rFonts w:ascii="Times New Roman" w:eastAsia="inter" w:hAnsi="Times New Roman" w:cs="Times New Roman"/>
          <w:b/>
          <w:color w:val="000000"/>
          <w:sz w:val="24"/>
          <w:szCs w:val="24"/>
        </w:rPr>
        <w:t>6. The Rights of Families, Mothers and Children (Article 10)</w:t>
      </w:r>
      <w:r w:rsidR="007E716B">
        <w:rPr>
          <w:rStyle w:val="FootnoteReference"/>
          <w:rFonts w:ascii="Times New Roman" w:eastAsia="inter" w:hAnsi="Times New Roman" w:cs="Times New Roman"/>
          <w:b/>
          <w:color w:val="000000"/>
          <w:sz w:val="24"/>
          <w:szCs w:val="24"/>
        </w:rPr>
        <w:footnoteReference w:id="5"/>
      </w:r>
    </w:p>
    <w:p w14:paraId="47013FD7" w14:textId="77777777" w:rsidR="007E716B" w:rsidRDefault="007E716B" w:rsidP="001D3497">
      <w:pPr>
        <w:spacing w:before="315" w:after="105" w:line="360" w:lineRule="auto"/>
        <w:ind w:left="-30"/>
        <w:rPr>
          <w:rFonts w:ascii="Times New Roman" w:eastAsia="inter" w:hAnsi="Times New Roman" w:cs="Times New Roman"/>
          <w:bCs/>
          <w:color w:val="000000"/>
          <w:sz w:val="24"/>
          <w:szCs w:val="24"/>
        </w:rPr>
      </w:pPr>
      <w:r w:rsidRPr="007E716B">
        <w:rPr>
          <w:rFonts w:ascii="Times New Roman" w:eastAsia="inter" w:hAnsi="Times New Roman" w:cs="Times New Roman"/>
          <w:bCs/>
          <w:color w:val="000000"/>
          <w:sz w:val="24"/>
          <w:szCs w:val="24"/>
        </w:rPr>
        <w:t>Drug addiction is grounds for deprivation of parental rights, even when a parent is in treatment. Addiction also serves as an exclusion criterion for state</w:t>
      </w:r>
      <w:r w:rsidRPr="007E716B">
        <w:rPr>
          <w:rFonts w:ascii="Times New Roman" w:eastAsia="inter" w:hAnsi="Times New Roman" w:cs="Times New Roman"/>
          <w:bCs/>
          <w:color w:val="000000"/>
          <w:sz w:val="24"/>
          <w:szCs w:val="24"/>
        </w:rPr>
        <w:noBreakHyphen/>
        <w:t xml:space="preserve">sponsored IVF </w:t>
      </w:r>
      <w:proofErr w:type="spellStart"/>
      <w:r w:rsidRPr="007E716B">
        <w:rPr>
          <w:rFonts w:ascii="Times New Roman" w:eastAsia="inter" w:hAnsi="Times New Roman" w:cs="Times New Roman"/>
          <w:bCs/>
          <w:color w:val="000000"/>
          <w:sz w:val="24"/>
          <w:szCs w:val="24"/>
        </w:rPr>
        <w:t>programmes</w:t>
      </w:r>
      <w:proofErr w:type="spellEnd"/>
      <w:r w:rsidRPr="007E716B">
        <w:rPr>
          <w:rFonts w:ascii="Times New Roman" w:eastAsia="inter" w:hAnsi="Times New Roman" w:cs="Times New Roman"/>
          <w:bCs/>
          <w:color w:val="000000"/>
          <w:sz w:val="24"/>
          <w:szCs w:val="24"/>
        </w:rPr>
        <w:t>. Care for mothers who use drugs does not meet their needs, as opioid agonist therapy is not available in maternity hospitals, forcing pregnant women to choose between treatment and childbirth.</w:t>
      </w:r>
    </w:p>
    <w:p w14:paraId="2B212F67" w14:textId="6E2971D7" w:rsidR="001D3497" w:rsidRPr="001D3497" w:rsidRDefault="001D3497" w:rsidP="001D3497">
      <w:pPr>
        <w:spacing w:before="315" w:after="105" w:line="360" w:lineRule="auto"/>
        <w:ind w:left="-30"/>
        <w:rPr>
          <w:rFonts w:ascii="Times New Roman" w:eastAsia="inter" w:hAnsi="Times New Roman" w:cs="Times New Roman"/>
          <w:bCs/>
          <w:i/>
          <w:iCs/>
          <w:color w:val="000000"/>
          <w:sz w:val="24"/>
          <w:szCs w:val="24"/>
        </w:rPr>
      </w:pPr>
      <w:r>
        <w:rPr>
          <w:rFonts w:ascii="Times New Roman" w:eastAsia="inter" w:hAnsi="Times New Roman" w:cs="Times New Roman"/>
          <w:bCs/>
          <w:i/>
          <w:iCs/>
          <w:color w:val="000000"/>
          <w:sz w:val="24"/>
          <w:szCs w:val="24"/>
        </w:rPr>
        <w:t>Case example</w:t>
      </w:r>
      <w:r w:rsidRPr="001D3497">
        <w:rPr>
          <w:rFonts w:ascii="Times New Roman" w:eastAsia="inter" w:hAnsi="Times New Roman" w:cs="Times New Roman"/>
          <w:bCs/>
          <w:i/>
          <w:iCs/>
          <w:color w:val="000000"/>
          <w:sz w:val="24"/>
          <w:szCs w:val="24"/>
        </w:rPr>
        <w:t>: "I am a participant in the opioid substitution therapy program. In early 2017, I gave birth to a healthy daughter in the maternity hospital in Ust‑Kamenogorsk. The next day I had to leave my baby with bystanders... and run through the city to take methadone."</w:t>
      </w:r>
    </w:p>
    <w:p w14:paraId="303901A8" w14:textId="32FCE670" w:rsidR="00D55A05" w:rsidRPr="007F2DE9" w:rsidRDefault="00C1555A" w:rsidP="001D3497">
      <w:pPr>
        <w:spacing w:before="315" w:after="105" w:line="360" w:lineRule="auto"/>
        <w:ind w:left="-30"/>
        <w:rPr>
          <w:rFonts w:ascii="Times New Roman" w:hAnsi="Times New Roman" w:cs="Times New Roman"/>
          <w:sz w:val="24"/>
          <w:szCs w:val="24"/>
        </w:rPr>
      </w:pPr>
      <w:r w:rsidRPr="007F2DE9">
        <w:rPr>
          <w:rFonts w:ascii="Times New Roman" w:eastAsia="inter" w:hAnsi="Times New Roman" w:cs="Times New Roman"/>
          <w:b/>
          <w:color w:val="000000"/>
          <w:sz w:val="24"/>
          <w:szCs w:val="24"/>
        </w:rPr>
        <w:t>7. Proposed questions for the List of Issues</w:t>
      </w:r>
      <w:bookmarkEnd w:id="8"/>
    </w:p>
    <w:p w14:paraId="303901A9" w14:textId="52140C9A" w:rsidR="00D55A05" w:rsidRPr="007F2DE9" w:rsidRDefault="00C1555A">
      <w:p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The submitting organization respectfully suggest that the Committee include the following questions in the List of Issues to Kazakhstan.</w:t>
      </w:r>
    </w:p>
    <w:p w14:paraId="303901AA" w14:textId="77777777" w:rsidR="00D55A05" w:rsidRPr="007F2DE9" w:rsidRDefault="00C1555A">
      <w:pPr>
        <w:spacing w:before="315" w:after="105" w:line="360" w:lineRule="auto"/>
        <w:ind w:left="-30"/>
        <w:rPr>
          <w:rFonts w:ascii="Times New Roman" w:hAnsi="Times New Roman" w:cs="Times New Roman"/>
          <w:sz w:val="24"/>
          <w:szCs w:val="24"/>
        </w:rPr>
      </w:pPr>
      <w:bookmarkStart w:id="9" w:name="bm_7_1_opioid_agonist_therapy_and_35ac41"/>
      <w:r w:rsidRPr="007F2DE9">
        <w:rPr>
          <w:rFonts w:ascii="Times New Roman" w:eastAsia="inter" w:hAnsi="Times New Roman" w:cs="Times New Roman"/>
          <w:b/>
          <w:color w:val="000000"/>
          <w:sz w:val="24"/>
          <w:szCs w:val="24"/>
        </w:rPr>
        <w:t>7.1. Opioid agonist therapy and harm reduction</w:t>
      </w:r>
      <w:bookmarkEnd w:id="9"/>
    </w:p>
    <w:p w14:paraId="303901AB" w14:textId="3612FEC0" w:rsidR="00D55A05" w:rsidRPr="007F2DE9" w:rsidRDefault="00C1555A">
      <w:pPr>
        <w:numPr>
          <w:ilvl w:val="0"/>
          <w:numId w:val="6"/>
        </w:num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Please </w:t>
      </w:r>
      <w:r w:rsidR="00B91E87">
        <w:rPr>
          <w:rFonts w:ascii="Times New Roman" w:eastAsia="inter" w:hAnsi="Times New Roman" w:cs="Times New Roman"/>
          <w:color w:val="000000"/>
          <w:sz w:val="24"/>
          <w:szCs w:val="24"/>
        </w:rPr>
        <w:t>provide information on</w:t>
      </w:r>
      <w:r w:rsidRPr="007F2DE9">
        <w:rPr>
          <w:rFonts w:ascii="Times New Roman" w:eastAsia="inter" w:hAnsi="Times New Roman" w:cs="Times New Roman"/>
          <w:color w:val="000000"/>
          <w:sz w:val="24"/>
          <w:szCs w:val="24"/>
        </w:rPr>
        <w:t xml:space="preserve"> the current legal and policy framework governing opioid agonist therapy (OAT) in Kazakhstan and:</w:t>
      </w:r>
      <w:r w:rsidRPr="007F2DE9">
        <w:rPr>
          <w:rFonts w:ascii="Times New Roman" w:eastAsia="inter" w:hAnsi="Times New Roman" w:cs="Times New Roman"/>
          <w:color w:val="000000"/>
          <w:sz w:val="24"/>
          <w:szCs w:val="24"/>
        </w:rPr>
        <w:br/>
        <w:t>a) indicate whether there is any formal or informal moratorium on enrolling new patients;</w:t>
      </w:r>
      <w:r w:rsidRPr="007F2DE9">
        <w:rPr>
          <w:rFonts w:ascii="Times New Roman" w:eastAsia="inter" w:hAnsi="Times New Roman" w:cs="Times New Roman"/>
          <w:color w:val="000000"/>
          <w:sz w:val="24"/>
          <w:szCs w:val="24"/>
        </w:rPr>
        <w:br/>
        <w:t>c) describe any steps taken since 2019 to expand OAT coverage in line with WHO guidelines, including in rural areas and in prisons</w:t>
      </w:r>
      <w:r w:rsidR="005C3C01" w:rsidRPr="007F2DE9">
        <w:rPr>
          <w:rFonts w:ascii="Times New Roman" w:eastAsia="inter" w:hAnsi="Times New Roman" w:cs="Times New Roman"/>
          <w:color w:val="000000"/>
          <w:sz w:val="24"/>
          <w:szCs w:val="24"/>
        </w:rPr>
        <w:t xml:space="preserve"> and hospitals.</w:t>
      </w:r>
    </w:p>
    <w:p w14:paraId="303901AE" w14:textId="77777777" w:rsidR="00D55A05" w:rsidRPr="007F2DE9" w:rsidRDefault="00C1555A">
      <w:pPr>
        <w:spacing w:before="315" w:after="105" w:line="360" w:lineRule="auto"/>
        <w:ind w:left="-30"/>
        <w:rPr>
          <w:rFonts w:ascii="Times New Roman" w:hAnsi="Times New Roman" w:cs="Times New Roman"/>
          <w:sz w:val="24"/>
          <w:szCs w:val="24"/>
        </w:rPr>
      </w:pPr>
      <w:bookmarkStart w:id="10" w:name="bm_7_2_confidentiality_registry_s_a96c35"/>
      <w:r w:rsidRPr="007F2DE9">
        <w:rPr>
          <w:rFonts w:ascii="Times New Roman" w:eastAsia="inter" w:hAnsi="Times New Roman" w:cs="Times New Roman"/>
          <w:b/>
          <w:color w:val="000000"/>
          <w:sz w:val="24"/>
          <w:szCs w:val="24"/>
        </w:rPr>
        <w:lastRenderedPageBreak/>
        <w:t>7.2. Confidentiality, registry system and right to privacy</w:t>
      </w:r>
      <w:bookmarkEnd w:id="10"/>
    </w:p>
    <w:p w14:paraId="2DC4CAB0" w14:textId="77777777" w:rsidR="00DA6757" w:rsidRDefault="00C1555A" w:rsidP="00DA6757">
      <w:pPr>
        <w:numPr>
          <w:ilvl w:val="0"/>
          <w:numId w:val="13"/>
        </w:num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Please describe in detail the legal basis, scope, and functioning of the registry of people with substance use disorders, </w:t>
      </w:r>
      <w:proofErr w:type="spellStart"/>
      <w:r w:rsidRPr="007F2DE9">
        <w:rPr>
          <w:rFonts w:ascii="Times New Roman" w:eastAsia="inter" w:hAnsi="Times New Roman" w:cs="Times New Roman"/>
          <w:color w:val="000000"/>
          <w:sz w:val="24"/>
          <w:szCs w:val="24"/>
        </w:rPr>
        <w:t>including</w:t>
      </w:r>
      <w:r w:rsidR="00DA6757">
        <w:rPr>
          <w:rFonts w:ascii="Times New Roman" w:eastAsia="inter" w:hAnsi="Times New Roman" w:cs="Times New Roman"/>
          <w:color w:val="000000"/>
          <w:sz w:val="24"/>
          <w:szCs w:val="24"/>
        </w:rPr>
        <w:t>v</w:t>
      </w:r>
      <w:r w:rsidRPr="007F2DE9">
        <w:rPr>
          <w:rFonts w:ascii="Times New Roman" w:eastAsia="inter" w:hAnsi="Times New Roman" w:cs="Times New Roman"/>
          <w:color w:val="000000"/>
          <w:sz w:val="24"/>
          <w:szCs w:val="24"/>
        </w:rPr>
        <w:t>the</w:t>
      </w:r>
      <w:proofErr w:type="spellEnd"/>
      <w:r w:rsidRPr="007F2DE9">
        <w:rPr>
          <w:rFonts w:ascii="Times New Roman" w:eastAsia="inter" w:hAnsi="Times New Roman" w:cs="Times New Roman"/>
          <w:color w:val="000000"/>
          <w:sz w:val="24"/>
          <w:szCs w:val="24"/>
        </w:rPr>
        <w:t xml:space="preserve"> professional and other restrictions that result from being listed</w:t>
      </w:r>
      <w:r w:rsidR="004F3D04" w:rsidRPr="007F2DE9">
        <w:rPr>
          <w:rFonts w:ascii="Times New Roman" w:eastAsia="inter" w:hAnsi="Times New Roman" w:cs="Times New Roman"/>
          <w:color w:val="000000"/>
          <w:sz w:val="24"/>
          <w:szCs w:val="24"/>
        </w:rPr>
        <w:t>.</w:t>
      </w:r>
    </w:p>
    <w:p w14:paraId="315BDBC4" w14:textId="7B765516" w:rsidR="003B6B2D" w:rsidRPr="00DA6757" w:rsidRDefault="003B6B2D" w:rsidP="00DA6757">
      <w:pPr>
        <w:numPr>
          <w:ilvl w:val="0"/>
          <w:numId w:val="13"/>
        </w:numPr>
        <w:spacing w:after="210" w:line="360" w:lineRule="auto"/>
        <w:rPr>
          <w:rFonts w:ascii="Times New Roman" w:hAnsi="Times New Roman" w:cs="Times New Roman"/>
          <w:sz w:val="24"/>
          <w:szCs w:val="24"/>
        </w:rPr>
      </w:pPr>
      <w:r w:rsidRPr="00DA6757">
        <w:rPr>
          <w:rFonts w:ascii="Times New Roman" w:hAnsi="Times New Roman" w:cs="Times New Roman"/>
          <w:sz w:val="24"/>
          <w:szCs w:val="24"/>
        </w:rPr>
        <w:t>What specific steps has the State party taken since 2019 to ensure that the registry system and any sharing of medical data do not result in discrimination in employment, education or access to services, and to bring practice into full compliance with Articles 2(2), 6 and 12 of the Covenant and CESCR General Comment No. 14?</w:t>
      </w:r>
    </w:p>
    <w:p w14:paraId="303901B2" w14:textId="77777777" w:rsidR="00D55A05" w:rsidRPr="007F2DE9" w:rsidRDefault="00C1555A">
      <w:pPr>
        <w:spacing w:before="315" w:after="105" w:line="360" w:lineRule="auto"/>
        <w:ind w:left="-30"/>
        <w:rPr>
          <w:rFonts w:ascii="Times New Roman" w:hAnsi="Times New Roman" w:cs="Times New Roman"/>
          <w:sz w:val="24"/>
          <w:szCs w:val="24"/>
        </w:rPr>
      </w:pPr>
      <w:bookmarkStart w:id="11" w:name="bm_7_3_criminalization_of_drug_us_3b665d"/>
      <w:r w:rsidRPr="007F2DE9">
        <w:rPr>
          <w:rFonts w:ascii="Times New Roman" w:eastAsia="inter" w:hAnsi="Times New Roman" w:cs="Times New Roman"/>
          <w:b/>
          <w:color w:val="000000"/>
          <w:sz w:val="24"/>
          <w:szCs w:val="24"/>
        </w:rPr>
        <w:t>7.3. Criminalization of drug use and impact on rights</w:t>
      </w:r>
      <w:bookmarkEnd w:id="11"/>
    </w:p>
    <w:p w14:paraId="303901B3" w14:textId="610D1A11" w:rsidR="00D55A05" w:rsidRPr="007F2DE9" w:rsidRDefault="00C1555A" w:rsidP="009B604A">
      <w:pPr>
        <w:numPr>
          <w:ilvl w:val="0"/>
          <w:numId w:val="14"/>
        </w:num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 xml:space="preserve">Please provide information on any legislative or policy reforms </w:t>
      </w:r>
      <w:proofErr w:type="gramStart"/>
      <w:r w:rsidRPr="007F2DE9">
        <w:rPr>
          <w:rFonts w:ascii="Times New Roman" w:eastAsia="inter" w:hAnsi="Times New Roman" w:cs="Times New Roman"/>
          <w:color w:val="000000"/>
          <w:sz w:val="24"/>
          <w:szCs w:val="24"/>
        </w:rPr>
        <w:t>with regard to</w:t>
      </w:r>
      <w:proofErr w:type="gramEnd"/>
      <w:r w:rsidRPr="007F2DE9">
        <w:rPr>
          <w:rFonts w:ascii="Times New Roman" w:eastAsia="inter" w:hAnsi="Times New Roman" w:cs="Times New Roman"/>
          <w:color w:val="000000"/>
          <w:sz w:val="24"/>
          <w:szCs w:val="24"/>
        </w:rPr>
        <w:t xml:space="preserve"> the criminalization of drug use and possession for personal consumption. </w:t>
      </w:r>
      <w:r w:rsidR="00C73E6B" w:rsidRPr="007F2DE9">
        <w:rPr>
          <w:rFonts w:ascii="Times New Roman" w:eastAsia="inter" w:hAnsi="Times New Roman" w:cs="Times New Roman"/>
          <w:color w:val="000000"/>
          <w:sz w:val="24"/>
          <w:szCs w:val="24"/>
        </w:rPr>
        <w:t>Are there any measures in place that help</w:t>
      </w:r>
      <w:r w:rsidRPr="007F2DE9">
        <w:rPr>
          <w:rFonts w:ascii="Times New Roman" w:eastAsia="inter" w:hAnsi="Times New Roman" w:cs="Times New Roman"/>
          <w:color w:val="000000"/>
          <w:sz w:val="24"/>
          <w:szCs w:val="24"/>
        </w:rPr>
        <w:t xml:space="preserve"> ensure that people who use drugs can seek health and social services, including OAT and harm reduction, without fear of arrest, prosecution or other punitive consequences?</w:t>
      </w:r>
    </w:p>
    <w:p w14:paraId="303901B4" w14:textId="77777777" w:rsidR="00D55A05" w:rsidRPr="007F2DE9" w:rsidRDefault="00C1555A" w:rsidP="009B604A">
      <w:pPr>
        <w:numPr>
          <w:ilvl w:val="0"/>
          <w:numId w:val="14"/>
        </w:numPr>
        <w:spacing w:after="210" w:line="360" w:lineRule="auto"/>
        <w:rPr>
          <w:rFonts w:ascii="Times New Roman" w:hAnsi="Times New Roman" w:cs="Times New Roman"/>
          <w:sz w:val="24"/>
          <w:szCs w:val="24"/>
        </w:rPr>
      </w:pPr>
      <w:r w:rsidRPr="007F2DE9">
        <w:rPr>
          <w:rFonts w:ascii="Times New Roman" w:eastAsia="inter" w:hAnsi="Times New Roman" w:cs="Times New Roman"/>
          <w:color w:val="000000"/>
          <w:sz w:val="24"/>
          <w:szCs w:val="24"/>
        </w:rPr>
        <w:t>Please provide disaggregated data (2019 to the most recent year available) on:</w:t>
      </w:r>
      <w:r w:rsidRPr="007F2DE9">
        <w:rPr>
          <w:rFonts w:ascii="Times New Roman" w:eastAsia="inter" w:hAnsi="Times New Roman" w:cs="Times New Roman"/>
          <w:color w:val="000000"/>
          <w:sz w:val="24"/>
          <w:szCs w:val="24"/>
        </w:rPr>
        <w:br/>
        <w:t>a) the number and proportion of drug‑related arrests and convictions involving possession for personal use only;</w:t>
      </w:r>
      <w:r w:rsidRPr="007F2DE9">
        <w:rPr>
          <w:rFonts w:ascii="Times New Roman" w:eastAsia="inter" w:hAnsi="Times New Roman" w:cs="Times New Roman"/>
          <w:color w:val="000000"/>
          <w:sz w:val="24"/>
          <w:szCs w:val="24"/>
        </w:rPr>
        <w:br/>
        <w:t>b) typical sanctions applied (fines, administrative penalties, imprisonment);</w:t>
      </w:r>
      <w:r w:rsidRPr="007F2DE9">
        <w:rPr>
          <w:rFonts w:ascii="Times New Roman" w:eastAsia="inter" w:hAnsi="Times New Roman" w:cs="Times New Roman"/>
          <w:color w:val="000000"/>
          <w:sz w:val="24"/>
          <w:szCs w:val="24"/>
        </w:rPr>
        <w:br/>
        <w:t>c) the number of people imprisoned primarily for personal drug use or possession; and</w:t>
      </w:r>
      <w:r w:rsidRPr="007F2DE9">
        <w:rPr>
          <w:rFonts w:ascii="Times New Roman" w:eastAsia="inter" w:hAnsi="Times New Roman" w:cs="Times New Roman"/>
          <w:color w:val="000000"/>
          <w:sz w:val="24"/>
          <w:szCs w:val="24"/>
        </w:rPr>
        <w:br/>
        <w:t>d) measures taken to assess and mitigate the impact of these sanctions on the enjoyment of economic, social and cultural rights of the individuals concerned and their families.</w:t>
      </w:r>
    </w:p>
    <w:p w14:paraId="303901C7" w14:textId="71871A14" w:rsidR="00D55A05" w:rsidRPr="0050102B" w:rsidRDefault="00C1555A" w:rsidP="008237B8">
      <w:pPr>
        <w:spacing w:line="360" w:lineRule="auto"/>
        <w:rPr>
          <w:rFonts w:ascii="Times New Roman" w:eastAsia="inter" w:hAnsi="Times New Roman" w:cs="Times New Roman"/>
          <w:color w:val="000000"/>
          <w:sz w:val="24"/>
          <w:szCs w:val="24"/>
        </w:rPr>
      </w:pPr>
      <w:bookmarkStart w:id="12" w:name="fn1"/>
      <w:bookmarkEnd w:id="12"/>
      <w:r w:rsidRPr="007F2DE9">
        <w:rPr>
          <w:rFonts w:ascii="Times New Roman" w:eastAsia="inter" w:hAnsi="Times New Roman" w:cs="Times New Roman"/>
          <w:color w:val="000000"/>
          <w:sz w:val="24"/>
          <w:szCs w:val="24"/>
        </w:rPr>
        <w:t xml:space="preserve"> </w:t>
      </w:r>
    </w:p>
    <w:p w14:paraId="2C9928A1" w14:textId="77777777" w:rsidR="009C6007" w:rsidRPr="0050102B" w:rsidRDefault="009C6007" w:rsidP="008237B8">
      <w:pPr>
        <w:spacing w:line="360" w:lineRule="auto"/>
        <w:rPr>
          <w:rFonts w:ascii="Times New Roman" w:eastAsia="inter" w:hAnsi="Times New Roman" w:cs="Times New Roman"/>
          <w:color w:val="000000"/>
          <w:sz w:val="24"/>
          <w:szCs w:val="24"/>
        </w:rPr>
      </w:pPr>
    </w:p>
    <w:p w14:paraId="62EE27E0" w14:textId="77777777" w:rsidR="009C6007" w:rsidRDefault="009C6007" w:rsidP="008237B8">
      <w:pPr>
        <w:spacing w:line="360" w:lineRule="auto"/>
        <w:rPr>
          <w:rFonts w:ascii="Times New Roman" w:eastAsia="inter" w:hAnsi="Times New Roman" w:cs="Times New Roman"/>
          <w:color w:val="000000"/>
          <w:sz w:val="24"/>
          <w:szCs w:val="24"/>
        </w:rPr>
      </w:pPr>
    </w:p>
    <w:p w14:paraId="383557D3" w14:textId="77777777" w:rsidR="00C1555A" w:rsidRPr="00C1555A" w:rsidRDefault="00C1555A" w:rsidP="008237B8">
      <w:pPr>
        <w:spacing w:line="360" w:lineRule="auto"/>
        <w:rPr>
          <w:rFonts w:ascii="Times New Roman" w:eastAsia="inter" w:hAnsi="Times New Roman" w:cs="Times New Roman"/>
          <w:color w:val="000000"/>
          <w:sz w:val="24"/>
          <w:szCs w:val="24"/>
        </w:rPr>
      </w:pPr>
    </w:p>
    <w:p w14:paraId="49B8FA45" w14:textId="77777777" w:rsidR="00687249" w:rsidRDefault="00687249" w:rsidP="008237B8">
      <w:pPr>
        <w:spacing w:line="360" w:lineRule="auto"/>
        <w:rPr>
          <w:rFonts w:ascii="Times New Roman" w:eastAsia="inter" w:hAnsi="Times New Roman" w:cs="Times New Roman"/>
          <w:color w:val="000000"/>
          <w:sz w:val="24"/>
          <w:szCs w:val="24"/>
          <w:lang w:val="lt-LT"/>
        </w:rPr>
      </w:pPr>
    </w:p>
    <w:p w14:paraId="5EC65637" w14:textId="77777777" w:rsidR="00687249" w:rsidRDefault="00687249" w:rsidP="008237B8">
      <w:pPr>
        <w:spacing w:line="360" w:lineRule="auto"/>
        <w:rPr>
          <w:rFonts w:ascii="Times New Roman" w:eastAsia="inter" w:hAnsi="Times New Roman" w:cs="Times New Roman"/>
          <w:color w:val="000000"/>
          <w:sz w:val="24"/>
          <w:szCs w:val="24"/>
          <w:lang w:val="lt-LT"/>
        </w:rPr>
      </w:pPr>
    </w:p>
    <w:p w14:paraId="17FAE27C" w14:textId="77777777" w:rsidR="00687249" w:rsidRDefault="00687249" w:rsidP="008237B8">
      <w:pPr>
        <w:spacing w:line="360" w:lineRule="auto"/>
        <w:rPr>
          <w:rFonts w:ascii="Times New Roman" w:eastAsia="inter" w:hAnsi="Times New Roman" w:cs="Times New Roman"/>
          <w:color w:val="000000"/>
          <w:sz w:val="24"/>
          <w:szCs w:val="24"/>
          <w:lang w:val="lt-LT"/>
        </w:rPr>
      </w:pPr>
    </w:p>
    <w:p w14:paraId="7BB79E51" w14:textId="79E66D45" w:rsidR="009C6007" w:rsidRDefault="009C6007" w:rsidP="008237B8">
      <w:pPr>
        <w:spacing w:line="360" w:lineRule="auto"/>
        <w:rPr>
          <w:rFonts w:ascii="Times New Roman" w:eastAsia="inter" w:hAnsi="Times New Roman" w:cs="Times New Roman"/>
          <w:color w:val="000000"/>
          <w:sz w:val="24"/>
          <w:szCs w:val="24"/>
        </w:rPr>
      </w:pPr>
      <w:proofErr w:type="spellStart"/>
      <w:r>
        <w:rPr>
          <w:rFonts w:ascii="Times New Roman" w:eastAsia="inter" w:hAnsi="Times New Roman" w:cs="Times New Roman"/>
          <w:color w:val="000000"/>
          <w:sz w:val="24"/>
          <w:szCs w:val="24"/>
          <w:lang w:val="lt-LT"/>
        </w:rPr>
        <w:t>Annex</w:t>
      </w:r>
      <w:proofErr w:type="spellEnd"/>
      <w:r>
        <w:rPr>
          <w:rFonts w:ascii="Times New Roman" w:eastAsia="inter" w:hAnsi="Times New Roman" w:cs="Times New Roman"/>
          <w:color w:val="000000"/>
          <w:sz w:val="24"/>
          <w:szCs w:val="24"/>
          <w:lang w:val="lt-LT"/>
        </w:rPr>
        <w:t xml:space="preserve"> </w:t>
      </w:r>
      <w:r>
        <w:rPr>
          <w:rFonts w:ascii="Times New Roman" w:eastAsia="inter" w:hAnsi="Times New Roman" w:cs="Times New Roman"/>
          <w:color w:val="000000"/>
          <w:sz w:val="24"/>
          <w:szCs w:val="24"/>
        </w:rPr>
        <w: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6"/>
        <w:gridCol w:w="6994"/>
      </w:tblGrid>
      <w:tr w:rsidR="009C6007" w14:paraId="6F5333FF" w14:textId="77777777" w:rsidTr="00B55990">
        <w:tc>
          <w:tcPr>
            <w:tcW w:w="2518" w:type="dxa"/>
          </w:tcPr>
          <w:p w14:paraId="32D4D578" w14:textId="77777777" w:rsidR="009C6007" w:rsidRDefault="009C6007" w:rsidP="00B55990">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Pr>
                <w:rFonts w:ascii="Times New Roman" w:hAnsi="Times New Roman"/>
                <w:noProof/>
                <w:sz w:val="24"/>
                <w:szCs w:val="24"/>
                <w:lang w:val="en-CA" w:eastAsia="en-CA"/>
              </w:rPr>
              <w:drawing>
                <wp:anchor distT="0" distB="0" distL="114300" distR="114300" simplePos="0" relativeHeight="251659264" behindDoc="0" locked="0" layoutInCell="1" allowOverlap="1" wp14:anchorId="65FEA4A9" wp14:editId="5696DB09">
                  <wp:simplePos x="0" y="0"/>
                  <wp:positionH relativeFrom="column">
                    <wp:posOffset>0</wp:posOffset>
                  </wp:positionH>
                  <wp:positionV relativeFrom="paragraph">
                    <wp:posOffset>60960</wp:posOffset>
                  </wp:positionV>
                  <wp:extent cx="1365885" cy="542290"/>
                  <wp:effectExtent l="0" t="0" r="5715" b="0"/>
                  <wp:wrapSquare wrapText="bothSides"/>
                  <wp:docPr id="6" name="Picture 6"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urple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5885" cy="542290"/>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2A0E38D5" w14:textId="77777777" w:rsidR="009C6007" w:rsidRDefault="009C6007" w:rsidP="00B55990">
            <w:pPr>
              <w:pStyle w:val="BodyA"/>
              <w:spacing w:before="100" w:after="0" w:line="240" w:lineRule="auto"/>
              <w:rPr>
                <w:rFonts w:ascii="Times New Roman" w:hAnsi="Times New Roman" w:cs="Times New Roman"/>
              </w:rPr>
            </w:pPr>
            <w:r w:rsidRPr="00F74D64">
              <w:rPr>
                <w:rFonts w:ascii="Times New Roman" w:hAnsi="Times New Roman" w:cs="Times New Roman"/>
              </w:rPr>
              <w:t>Eurasian Harm Reduction Association (</w:t>
            </w:r>
            <w:r>
              <w:rPr>
                <w:rFonts w:ascii="Times New Roman" w:hAnsi="Times New Roman" w:cs="Times New Roman"/>
              </w:rPr>
              <w:t>http://harmreductioneurasia.org</w:t>
            </w:r>
            <w:r w:rsidRPr="00F74D64">
              <w:rPr>
                <w:rFonts w:ascii="Times New Roman" w:hAnsi="Times New Roman" w:cs="Times New Roman"/>
              </w:rPr>
              <w:t>) is a non-for-profit public membership-based organization</w:t>
            </w:r>
            <w:r>
              <w:rPr>
                <w:rFonts w:ascii="Times New Roman" w:hAnsi="Times New Roman" w:cs="Times New Roman"/>
              </w:rPr>
              <w:t>, which</w:t>
            </w:r>
            <w:r w:rsidRPr="00F74D64">
              <w:rPr>
                <w:rFonts w:ascii="Times New Roman" w:hAnsi="Times New Roman" w:cs="Times New Roman"/>
              </w:rPr>
              <w:t xml:space="preserve"> strive</w:t>
            </w:r>
            <w:r>
              <w:rPr>
                <w:rFonts w:ascii="Times New Roman" w:hAnsi="Times New Roman" w:cs="Times New Roman"/>
              </w:rPr>
              <w:t>s</w:t>
            </w:r>
            <w:r w:rsidRPr="00F74D64">
              <w:rPr>
                <w:rFonts w:ascii="Times New Roman" w:hAnsi="Times New Roman" w:cs="Times New Roman"/>
              </w:rPr>
              <w:t xml:space="preserve"> for a progressive human rights-based drug policy, sustainable funding advocacy and quality of harm reduction services oriented on needs of people who use</w:t>
            </w:r>
            <w:r>
              <w:rPr>
                <w:rFonts w:ascii="Times New Roman" w:hAnsi="Times New Roman" w:cs="Times New Roman"/>
              </w:rPr>
              <w:t xml:space="preserve"> drugs in Cen</w:t>
            </w:r>
            <w:r w:rsidRPr="00F74D64">
              <w:rPr>
                <w:rFonts w:ascii="Times New Roman" w:hAnsi="Times New Roman" w:cs="Times New Roman"/>
              </w:rPr>
              <w:t>tral and Eastern Europe and Central Asia (CEECA) in 2017.</w:t>
            </w:r>
            <w:r>
              <w:rPr>
                <w:rFonts w:ascii="Times New Roman" w:hAnsi="Times New Roman" w:cs="Times New Roman"/>
              </w:rPr>
              <w:t xml:space="preserve"> </w:t>
            </w:r>
          </w:p>
          <w:p w14:paraId="7EA70DDB" w14:textId="77777777" w:rsidR="009C6007" w:rsidRDefault="009C6007" w:rsidP="00B55990">
            <w:pPr>
              <w:pStyle w:val="BodyA"/>
              <w:spacing w:before="100" w:after="0" w:line="240" w:lineRule="auto"/>
              <w:ind w:left="2268"/>
              <w:rPr>
                <w:rFonts w:ascii="Times New Roman" w:hAnsi="Times New Roman" w:cs="Times New Roman"/>
              </w:rPr>
            </w:pPr>
          </w:p>
          <w:p w14:paraId="3E020A55" w14:textId="0494D2D4" w:rsidR="009C6007" w:rsidRDefault="009C6007" w:rsidP="00B55990">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sidRPr="00B9636D">
              <w:rPr>
                <w:rFonts w:ascii="Times New Roman" w:hAnsi="Times New Roman" w:cs="Times New Roman"/>
                <w:i/>
              </w:rPr>
              <w:t xml:space="preserve">Address: </w:t>
            </w:r>
            <w:proofErr w:type="spellStart"/>
            <w:r w:rsidR="0018588B" w:rsidRPr="0018588B">
              <w:rPr>
                <w:rFonts w:ascii="Times New Roman" w:hAnsi="Times New Roman" w:cs="Times New Roman"/>
                <w:i/>
              </w:rPr>
              <w:t>Perkūnkiemio</w:t>
            </w:r>
            <w:proofErr w:type="spellEnd"/>
            <w:r w:rsidR="0018588B" w:rsidRPr="0018588B">
              <w:rPr>
                <w:rFonts w:ascii="Times New Roman" w:hAnsi="Times New Roman" w:cs="Times New Roman"/>
                <w:i/>
              </w:rPr>
              <w:t xml:space="preserve"> g. 6, 7 fl., Vilnius, LT-12130 Lithuania</w:t>
            </w:r>
          </w:p>
        </w:tc>
      </w:tr>
    </w:tbl>
    <w:p w14:paraId="203881B6" w14:textId="77777777" w:rsidR="009C6007" w:rsidRPr="009C6007" w:rsidRDefault="009C6007" w:rsidP="008237B8">
      <w:pPr>
        <w:spacing w:line="360" w:lineRule="auto"/>
        <w:rPr>
          <w:rFonts w:ascii="Times New Roman" w:hAnsi="Times New Roman" w:cs="Times New Roman"/>
          <w:sz w:val="24"/>
          <w:szCs w:val="24"/>
        </w:rPr>
      </w:pPr>
    </w:p>
    <w:sectPr w:rsidR="009C6007" w:rsidRPr="009C6007">
      <w:headerReference w:type="default" r:id="rId9"/>
      <w:footerReference w:type="default" r:id="rId10"/>
      <w:pgSz w:w="12240" w:h="15840"/>
      <w:pgMar w:top="1365" w:right="1365" w:bottom="1365" w:left="13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EA229" w14:textId="77777777" w:rsidR="00FA2948" w:rsidRDefault="00FA2948" w:rsidP="00DA6757">
      <w:pPr>
        <w:spacing w:after="0" w:line="240" w:lineRule="auto"/>
      </w:pPr>
      <w:r>
        <w:separator/>
      </w:r>
    </w:p>
  </w:endnote>
  <w:endnote w:type="continuationSeparator" w:id="0">
    <w:p w14:paraId="6182D14F" w14:textId="77777777" w:rsidR="00FA2948" w:rsidRDefault="00FA2948" w:rsidP="00DA6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BA"/>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Arial Unicode MS">
    <w:panose1 w:val="020B0604020202020204"/>
    <w:charset w:val="00"/>
    <w:family w:val="auto"/>
    <w:pitch w:val="default"/>
  </w:font>
  <w:font w:name="Calibri">
    <w:altName w:val="Calibri"/>
    <w:panose1 w:val="020F0502020204030204"/>
    <w:charset w:val="BA"/>
    <w:family w:val="swiss"/>
    <w:pitch w:val="variable"/>
    <w:sig w:usb0="E4002EFF" w:usb1="C200247B" w:usb2="00000009" w:usb3="00000000" w:csb0="000001FF" w:csb1="00000000"/>
  </w:font>
  <w:font w:name="inter">
    <w:altName w:val="Cambri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039904"/>
      <w:docPartObj>
        <w:docPartGallery w:val="Page Numbers (Bottom of Page)"/>
        <w:docPartUnique/>
      </w:docPartObj>
    </w:sdtPr>
    <w:sdtEndPr>
      <w:rPr>
        <w:noProof/>
      </w:rPr>
    </w:sdtEndPr>
    <w:sdtContent>
      <w:p w14:paraId="6EF52DBF" w14:textId="7E702CA9" w:rsidR="00DA5D9C" w:rsidRDefault="00DA5D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42769A" w14:textId="77777777" w:rsidR="00DA5D9C" w:rsidRDefault="00DA5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3B05C" w14:textId="77777777" w:rsidR="00FA2948" w:rsidRDefault="00FA2948" w:rsidP="00DA6757">
      <w:pPr>
        <w:spacing w:after="0" w:line="240" w:lineRule="auto"/>
      </w:pPr>
      <w:r>
        <w:separator/>
      </w:r>
    </w:p>
  </w:footnote>
  <w:footnote w:type="continuationSeparator" w:id="0">
    <w:p w14:paraId="2A4DBB4F" w14:textId="77777777" w:rsidR="00FA2948" w:rsidRDefault="00FA2948" w:rsidP="00DA6757">
      <w:pPr>
        <w:spacing w:after="0" w:line="240" w:lineRule="auto"/>
      </w:pPr>
      <w:r>
        <w:continuationSeparator/>
      </w:r>
    </w:p>
  </w:footnote>
  <w:footnote w:id="1">
    <w:p w14:paraId="5D9296D9" w14:textId="0DD23A20" w:rsidR="006B13A2" w:rsidRPr="00F74D64" w:rsidRDefault="00DA6757" w:rsidP="006B13A2">
      <w:pPr>
        <w:pStyle w:val="FootnoteText"/>
      </w:pPr>
      <w:r>
        <w:rPr>
          <w:rStyle w:val="FootnoteReference"/>
        </w:rPr>
        <w:footnoteRef/>
      </w:r>
      <w:r>
        <w:t xml:space="preserve"> </w:t>
      </w:r>
      <w:r w:rsidR="006B13A2">
        <w:t xml:space="preserve">This information note is drafted and submitted by the Eurasian Harm Reduction Association. Information about the organization is in Annex I. Person to </w:t>
      </w:r>
      <w:proofErr w:type="gramStart"/>
      <w:r w:rsidR="006B13A2">
        <w:t>contact:</w:t>
      </w:r>
      <w:proofErr w:type="gramEnd"/>
      <w:r w:rsidR="006B13A2">
        <w:t xml:space="preserve"> Maria Plotko maria@harmreductioneurasia.org </w:t>
      </w:r>
    </w:p>
    <w:p w14:paraId="689586B8" w14:textId="5BB1EB21" w:rsidR="00DA6757" w:rsidRDefault="00DA6757">
      <w:pPr>
        <w:pStyle w:val="FootnoteText"/>
      </w:pPr>
    </w:p>
  </w:footnote>
  <w:footnote w:id="2">
    <w:p w14:paraId="47395464" w14:textId="60DCC637" w:rsidR="00C1555A" w:rsidRDefault="00C1555A">
      <w:pPr>
        <w:pStyle w:val="FootnoteText"/>
      </w:pPr>
      <w:r>
        <w:rPr>
          <w:rStyle w:val="FootnoteReference"/>
        </w:rPr>
        <w:footnoteRef/>
      </w:r>
      <w:r>
        <w:t xml:space="preserve"> </w:t>
      </w:r>
      <w:r w:rsidRPr="00C1555A">
        <w:t>https://hri.global/wp-content/uploads/2024/10/GS24_Eurasia_AW.pdf</w:t>
      </w:r>
    </w:p>
  </w:footnote>
  <w:footnote w:id="3">
    <w:p w14:paraId="3D29EC0D" w14:textId="65107B2C" w:rsidR="00297A29" w:rsidRPr="00E3342F" w:rsidRDefault="00E3342F">
      <w:pPr>
        <w:pStyle w:val="FootnoteText"/>
        <w:rPr>
          <w:rFonts w:ascii="Times New Roman" w:hAnsi="Times New Roman" w:cs="Times New Roman"/>
        </w:rPr>
      </w:pPr>
      <w:r w:rsidRPr="00E3342F">
        <w:rPr>
          <w:rStyle w:val="FootnoteReference"/>
          <w:rFonts w:ascii="Times New Roman" w:hAnsi="Times New Roman" w:cs="Times New Roman"/>
        </w:rPr>
        <w:footnoteRef/>
      </w:r>
      <w:r w:rsidRPr="00E3342F">
        <w:rPr>
          <w:rFonts w:ascii="Times New Roman" w:hAnsi="Times New Roman" w:cs="Times New Roman"/>
        </w:rPr>
        <w:t xml:space="preserve"> </w:t>
      </w:r>
      <w:r w:rsidRPr="00E3342F">
        <w:rPr>
          <w:rFonts w:ascii="Times New Roman" w:hAnsi="Times New Roman" w:cs="Times New Roman"/>
        </w:rPr>
        <w:t>This section is based on information provided by civil society organizations.</w:t>
      </w:r>
    </w:p>
  </w:footnote>
  <w:footnote w:id="4">
    <w:p w14:paraId="4C7741DE" w14:textId="7FBA60F8" w:rsidR="00853AD4" w:rsidRDefault="00853AD4">
      <w:pPr>
        <w:pStyle w:val="FootnoteText"/>
      </w:pPr>
      <w:r>
        <w:rPr>
          <w:rStyle w:val="FootnoteReference"/>
        </w:rPr>
        <w:footnoteRef/>
      </w:r>
      <w:r>
        <w:t xml:space="preserve"> </w:t>
      </w:r>
      <w:r w:rsidRPr="00687249">
        <w:rPr>
          <w:rFonts w:ascii="Times New Roman" w:hAnsi="Times New Roman" w:cs="Times New Roman"/>
        </w:rPr>
        <w:t>EHRA and HFHR, </w:t>
      </w:r>
      <w:r w:rsidRPr="00687249">
        <w:rPr>
          <w:rFonts w:ascii="Times New Roman" w:hAnsi="Times New Roman" w:cs="Times New Roman"/>
          <w:i/>
          <w:iCs/>
        </w:rPr>
        <w:t>Drug Policy and Economic, Social and Cultural Rights in the CEECA Region: Country Profiles</w:t>
      </w:r>
      <w:r w:rsidRPr="00687249">
        <w:rPr>
          <w:rFonts w:ascii="Times New Roman" w:hAnsi="Times New Roman" w:cs="Times New Roman"/>
        </w:rPr>
        <w:t>, 2025. Available at: </w:t>
      </w:r>
      <w:hyperlink r:id="rId1" w:tgtFrame="_blank" w:history="1">
        <w:r w:rsidRPr="00687249">
          <w:rPr>
            <w:rStyle w:val="Hyperlink"/>
            <w:rFonts w:ascii="Times New Roman" w:hAnsi="Times New Roman" w:cs="Times New Roman"/>
            <w:b/>
            <w:bCs/>
          </w:rPr>
          <w:t>https://ehra.s3.eu-central-1.amazonaws.com/1db19d39-5353-4928-a782-baf9d2f20aa5.pdf</w:t>
        </w:r>
      </w:hyperlink>
    </w:p>
  </w:footnote>
  <w:footnote w:id="5">
    <w:p w14:paraId="54E1D8A0" w14:textId="0C81B6D6" w:rsidR="007E716B" w:rsidRPr="00687249" w:rsidRDefault="007E716B">
      <w:pPr>
        <w:pStyle w:val="FootnoteText"/>
        <w:rPr>
          <w:rFonts w:ascii="Times New Roman" w:hAnsi="Times New Roman" w:cs="Times New Roman"/>
        </w:rPr>
      </w:pPr>
      <w:r w:rsidRPr="00687249">
        <w:rPr>
          <w:rStyle w:val="FootnoteReference"/>
          <w:rFonts w:ascii="Times New Roman" w:hAnsi="Times New Roman" w:cs="Times New Roman"/>
        </w:rPr>
        <w:footnoteRef/>
      </w:r>
      <w:r w:rsidRPr="00687249">
        <w:rPr>
          <w:rFonts w:ascii="Times New Roman" w:hAnsi="Times New Roman" w:cs="Times New Roman"/>
        </w:rPr>
        <w:t xml:space="preserve"> </w:t>
      </w:r>
      <w:r w:rsidR="00687249" w:rsidRPr="00687249">
        <w:rPr>
          <w:rFonts w:ascii="Times New Roman" w:hAnsi="Times New Roman" w:cs="Times New Roman"/>
        </w:rPr>
        <w:t>EHRA and HFHR, </w:t>
      </w:r>
      <w:r w:rsidR="00687249" w:rsidRPr="00687249">
        <w:rPr>
          <w:rFonts w:ascii="Times New Roman" w:hAnsi="Times New Roman" w:cs="Times New Roman"/>
          <w:i/>
          <w:iCs/>
        </w:rPr>
        <w:t>Drug Policy and Economic, Social and Cultural Rights in the CEECA Region: Country Profiles</w:t>
      </w:r>
      <w:r w:rsidR="00687249" w:rsidRPr="00687249">
        <w:rPr>
          <w:rFonts w:ascii="Times New Roman" w:hAnsi="Times New Roman" w:cs="Times New Roman"/>
        </w:rPr>
        <w:t>, 2025. Available at: </w:t>
      </w:r>
      <w:hyperlink r:id="rId2" w:tgtFrame="_blank" w:history="1">
        <w:r w:rsidR="00687249" w:rsidRPr="00687249">
          <w:rPr>
            <w:rStyle w:val="Hyperlink"/>
            <w:rFonts w:ascii="Times New Roman" w:hAnsi="Times New Roman" w:cs="Times New Roman"/>
            <w:b/>
            <w:bCs/>
          </w:rPr>
          <w:t>https://ehra.s3.eu-central-1.amazonaws.com/1db19d39-5353-4928-a782-baf9d2f20aa5.pdf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19134" w14:textId="31FDDCFE" w:rsidR="00DA5D9C" w:rsidRDefault="00DA5D9C">
    <w:pPr>
      <w:pStyle w:val="Header"/>
    </w:pPr>
    <w:r>
      <w:rPr>
        <w:rFonts w:ascii="Verdana" w:hAnsi="Verdana"/>
        <w:b/>
        <w:bCs/>
        <w:noProof/>
        <w:sz w:val="19"/>
        <w:szCs w:val="19"/>
        <w:lang w:val="en-CA" w:eastAsia="en-CA"/>
      </w:rPr>
      <w:drawing>
        <wp:anchor distT="0" distB="0" distL="114300" distR="114300" simplePos="0" relativeHeight="251659264" behindDoc="0" locked="0" layoutInCell="1" allowOverlap="1" wp14:anchorId="7313CCC8" wp14:editId="3571EB2D">
          <wp:simplePos x="0" y="0"/>
          <wp:positionH relativeFrom="column">
            <wp:posOffset>5375403</wp:posOffset>
          </wp:positionH>
          <wp:positionV relativeFrom="paragraph">
            <wp:posOffset>-232565</wp:posOffset>
          </wp:positionV>
          <wp:extent cx="1188720" cy="471805"/>
          <wp:effectExtent l="0" t="0" r="0" b="4445"/>
          <wp:wrapNone/>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8720" cy="4718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15B6"/>
    <w:multiLevelType w:val="hybridMultilevel"/>
    <w:tmpl w:val="3C8E6276"/>
    <w:lvl w:ilvl="0" w:tplc="41282372">
      <w:start w:val="1"/>
      <w:numFmt w:val="decimal"/>
      <w:lvlText w:val="%1."/>
      <w:lvlJc w:val="left"/>
      <w:pPr>
        <w:tabs>
          <w:tab w:val="num" w:pos="900"/>
        </w:tabs>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81653"/>
    <w:multiLevelType w:val="hybridMultilevel"/>
    <w:tmpl w:val="4FF85E60"/>
    <w:lvl w:ilvl="0" w:tplc="EB5A83D8">
      <w:start w:val="7"/>
      <w:numFmt w:val="decimal"/>
      <w:lvlText w:val="%1."/>
      <w:lvlJc w:val="left"/>
      <w:pPr>
        <w:tabs>
          <w:tab w:val="num" w:pos="900"/>
        </w:tabs>
        <w:ind w:left="540" w:hanging="360"/>
      </w:pPr>
    </w:lvl>
    <w:lvl w:ilvl="1" w:tplc="5CF6E2F8">
      <w:numFmt w:val="decimal"/>
      <w:lvlText w:val=""/>
      <w:lvlJc w:val="left"/>
    </w:lvl>
    <w:lvl w:ilvl="2" w:tplc="F76691FE">
      <w:numFmt w:val="decimal"/>
      <w:lvlText w:val=""/>
      <w:lvlJc w:val="left"/>
    </w:lvl>
    <w:lvl w:ilvl="3" w:tplc="205A7814">
      <w:numFmt w:val="decimal"/>
      <w:lvlText w:val=""/>
      <w:lvlJc w:val="left"/>
    </w:lvl>
    <w:lvl w:ilvl="4" w:tplc="17B619A2">
      <w:numFmt w:val="decimal"/>
      <w:lvlText w:val=""/>
      <w:lvlJc w:val="left"/>
    </w:lvl>
    <w:lvl w:ilvl="5" w:tplc="E24C132A">
      <w:numFmt w:val="decimal"/>
      <w:lvlText w:val=""/>
      <w:lvlJc w:val="left"/>
    </w:lvl>
    <w:lvl w:ilvl="6" w:tplc="94D4210E">
      <w:numFmt w:val="decimal"/>
      <w:lvlText w:val=""/>
      <w:lvlJc w:val="left"/>
    </w:lvl>
    <w:lvl w:ilvl="7" w:tplc="9C4CADEA">
      <w:numFmt w:val="decimal"/>
      <w:lvlText w:val=""/>
      <w:lvlJc w:val="left"/>
    </w:lvl>
    <w:lvl w:ilvl="8" w:tplc="9FAAAFAE">
      <w:numFmt w:val="decimal"/>
      <w:lvlText w:val=""/>
      <w:lvlJc w:val="left"/>
    </w:lvl>
  </w:abstractNum>
  <w:abstractNum w:abstractNumId="2" w15:restartNumberingAfterBreak="0">
    <w:nsid w:val="09D30436"/>
    <w:multiLevelType w:val="hybridMultilevel"/>
    <w:tmpl w:val="50B4701A"/>
    <w:lvl w:ilvl="0" w:tplc="1786B9CA">
      <w:start w:val="4"/>
      <w:numFmt w:val="decimal"/>
      <w:lvlText w:val="%1."/>
      <w:lvlJc w:val="left"/>
      <w:pPr>
        <w:tabs>
          <w:tab w:val="num" w:pos="900"/>
        </w:tabs>
        <w:ind w:left="540" w:hanging="360"/>
      </w:pPr>
    </w:lvl>
    <w:lvl w:ilvl="1" w:tplc="FBE8BA88">
      <w:numFmt w:val="decimal"/>
      <w:lvlText w:val=""/>
      <w:lvlJc w:val="left"/>
    </w:lvl>
    <w:lvl w:ilvl="2" w:tplc="99CEE8D6">
      <w:numFmt w:val="decimal"/>
      <w:lvlText w:val=""/>
      <w:lvlJc w:val="left"/>
    </w:lvl>
    <w:lvl w:ilvl="3" w:tplc="EF0E9D84">
      <w:numFmt w:val="decimal"/>
      <w:lvlText w:val=""/>
      <w:lvlJc w:val="left"/>
    </w:lvl>
    <w:lvl w:ilvl="4" w:tplc="7136C71C">
      <w:numFmt w:val="decimal"/>
      <w:lvlText w:val=""/>
      <w:lvlJc w:val="left"/>
    </w:lvl>
    <w:lvl w:ilvl="5" w:tplc="2E083384">
      <w:numFmt w:val="decimal"/>
      <w:lvlText w:val=""/>
      <w:lvlJc w:val="left"/>
    </w:lvl>
    <w:lvl w:ilvl="6" w:tplc="B2169E2C">
      <w:numFmt w:val="decimal"/>
      <w:lvlText w:val=""/>
      <w:lvlJc w:val="left"/>
    </w:lvl>
    <w:lvl w:ilvl="7" w:tplc="8D0A3BB0">
      <w:numFmt w:val="decimal"/>
      <w:lvlText w:val=""/>
      <w:lvlJc w:val="left"/>
    </w:lvl>
    <w:lvl w:ilvl="8" w:tplc="61068870">
      <w:numFmt w:val="decimal"/>
      <w:lvlText w:val=""/>
      <w:lvlJc w:val="left"/>
    </w:lvl>
  </w:abstractNum>
  <w:abstractNum w:abstractNumId="3" w15:restartNumberingAfterBreak="0">
    <w:nsid w:val="0BDD5606"/>
    <w:multiLevelType w:val="hybridMultilevel"/>
    <w:tmpl w:val="D1569120"/>
    <w:lvl w:ilvl="0" w:tplc="F26CDFE0">
      <w:numFmt w:val="decimal"/>
      <w:lvlText w:val=""/>
      <w:lvlJc w:val="left"/>
    </w:lvl>
    <w:lvl w:ilvl="1" w:tplc="1FC87F92">
      <w:numFmt w:val="decimal"/>
      <w:lvlText w:val=""/>
      <w:lvlJc w:val="left"/>
    </w:lvl>
    <w:lvl w:ilvl="2" w:tplc="9316602C">
      <w:numFmt w:val="decimal"/>
      <w:lvlText w:val=""/>
      <w:lvlJc w:val="left"/>
    </w:lvl>
    <w:lvl w:ilvl="3" w:tplc="DC4CE1F8">
      <w:numFmt w:val="decimal"/>
      <w:lvlText w:val=""/>
      <w:lvlJc w:val="left"/>
    </w:lvl>
    <w:lvl w:ilvl="4" w:tplc="756C4DE0">
      <w:numFmt w:val="decimal"/>
      <w:lvlText w:val=""/>
      <w:lvlJc w:val="left"/>
    </w:lvl>
    <w:lvl w:ilvl="5" w:tplc="164E363A">
      <w:numFmt w:val="decimal"/>
      <w:lvlText w:val=""/>
      <w:lvlJc w:val="left"/>
    </w:lvl>
    <w:lvl w:ilvl="6" w:tplc="B43A8D18">
      <w:numFmt w:val="decimal"/>
      <w:lvlText w:val=""/>
      <w:lvlJc w:val="left"/>
    </w:lvl>
    <w:lvl w:ilvl="7" w:tplc="47E216B0">
      <w:numFmt w:val="decimal"/>
      <w:lvlText w:val=""/>
      <w:lvlJc w:val="left"/>
    </w:lvl>
    <w:lvl w:ilvl="8" w:tplc="AD343C08">
      <w:numFmt w:val="decimal"/>
      <w:lvlText w:val=""/>
      <w:lvlJc w:val="left"/>
    </w:lvl>
  </w:abstractNum>
  <w:abstractNum w:abstractNumId="4" w15:restartNumberingAfterBreak="0">
    <w:nsid w:val="0C804745"/>
    <w:multiLevelType w:val="hybridMultilevel"/>
    <w:tmpl w:val="C5B095D4"/>
    <w:lvl w:ilvl="0" w:tplc="6CC89788">
      <w:start w:val="1"/>
      <w:numFmt w:val="bullet"/>
      <w:lvlText w:val=""/>
      <w:lvlJc w:val="left"/>
      <w:pPr>
        <w:tabs>
          <w:tab w:val="num" w:pos="900"/>
        </w:tabs>
        <w:ind w:left="540" w:hanging="360"/>
      </w:pPr>
      <w:rPr>
        <w:rFonts w:ascii="Symbol" w:hAnsi="Symbol" w:hint="default"/>
      </w:rPr>
    </w:lvl>
    <w:lvl w:ilvl="1" w:tplc="BBB0DE36">
      <w:numFmt w:val="decimal"/>
      <w:lvlText w:val=""/>
      <w:lvlJc w:val="left"/>
    </w:lvl>
    <w:lvl w:ilvl="2" w:tplc="50728CB6">
      <w:numFmt w:val="decimal"/>
      <w:lvlText w:val=""/>
      <w:lvlJc w:val="left"/>
    </w:lvl>
    <w:lvl w:ilvl="3" w:tplc="C5000642">
      <w:numFmt w:val="decimal"/>
      <w:lvlText w:val=""/>
      <w:lvlJc w:val="left"/>
    </w:lvl>
    <w:lvl w:ilvl="4" w:tplc="5FBAEFB6">
      <w:numFmt w:val="decimal"/>
      <w:lvlText w:val=""/>
      <w:lvlJc w:val="left"/>
    </w:lvl>
    <w:lvl w:ilvl="5" w:tplc="D1041A12">
      <w:numFmt w:val="decimal"/>
      <w:lvlText w:val=""/>
      <w:lvlJc w:val="left"/>
    </w:lvl>
    <w:lvl w:ilvl="6" w:tplc="99CA85BA">
      <w:numFmt w:val="decimal"/>
      <w:lvlText w:val=""/>
      <w:lvlJc w:val="left"/>
    </w:lvl>
    <w:lvl w:ilvl="7" w:tplc="AA32DC74">
      <w:numFmt w:val="decimal"/>
      <w:lvlText w:val=""/>
      <w:lvlJc w:val="left"/>
    </w:lvl>
    <w:lvl w:ilvl="8" w:tplc="F086D3A2">
      <w:numFmt w:val="decimal"/>
      <w:lvlText w:val=""/>
      <w:lvlJc w:val="left"/>
    </w:lvl>
  </w:abstractNum>
  <w:abstractNum w:abstractNumId="5" w15:restartNumberingAfterBreak="0">
    <w:nsid w:val="15F9240C"/>
    <w:multiLevelType w:val="hybridMultilevel"/>
    <w:tmpl w:val="3048A7AC"/>
    <w:lvl w:ilvl="0" w:tplc="1E2A8AB0">
      <w:start w:val="1"/>
      <w:numFmt w:val="bullet"/>
      <w:lvlText w:val=""/>
      <w:lvlJc w:val="left"/>
      <w:pPr>
        <w:tabs>
          <w:tab w:val="num" w:pos="900"/>
        </w:tabs>
        <w:ind w:left="540" w:hanging="360"/>
      </w:pPr>
      <w:rPr>
        <w:rFonts w:ascii="Symbol" w:hAnsi="Symbol" w:hint="default"/>
      </w:rPr>
    </w:lvl>
    <w:lvl w:ilvl="1" w:tplc="1AB6FCF8">
      <w:numFmt w:val="decimal"/>
      <w:lvlText w:val=""/>
      <w:lvlJc w:val="left"/>
    </w:lvl>
    <w:lvl w:ilvl="2" w:tplc="529E0428">
      <w:numFmt w:val="decimal"/>
      <w:lvlText w:val=""/>
      <w:lvlJc w:val="left"/>
    </w:lvl>
    <w:lvl w:ilvl="3" w:tplc="F49C940A">
      <w:numFmt w:val="decimal"/>
      <w:lvlText w:val=""/>
      <w:lvlJc w:val="left"/>
    </w:lvl>
    <w:lvl w:ilvl="4" w:tplc="C0B6B988">
      <w:numFmt w:val="decimal"/>
      <w:lvlText w:val=""/>
      <w:lvlJc w:val="left"/>
    </w:lvl>
    <w:lvl w:ilvl="5" w:tplc="22EC0714">
      <w:numFmt w:val="decimal"/>
      <w:lvlText w:val=""/>
      <w:lvlJc w:val="left"/>
    </w:lvl>
    <w:lvl w:ilvl="6" w:tplc="EB62AAAC">
      <w:numFmt w:val="decimal"/>
      <w:lvlText w:val=""/>
      <w:lvlJc w:val="left"/>
    </w:lvl>
    <w:lvl w:ilvl="7" w:tplc="30CC5CE8">
      <w:numFmt w:val="decimal"/>
      <w:lvlText w:val=""/>
      <w:lvlJc w:val="left"/>
    </w:lvl>
    <w:lvl w:ilvl="8" w:tplc="89CE487A">
      <w:numFmt w:val="decimal"/>
      <w:lvlText w:val=""/>
      <w:lvlJc w:val="left"/>
    </w:lvl>
  </w:abstractNum>
  <w:abstractNum w:abstractNumId="6" w15:restartNumberingAfterBreak="0">
    <w:nsid w:val="1EE16370"/>
    <w:multiLevelType w:val="hybridMultilevel"/>
    <w:tmpl w:val="3D74D558"/>
    <w:lvl w:ilvl="0" w:tplc="55868F66">
      <w:start w:val="1"/>
      <w:numFmt w:val="bullet"/>
      <w:lvlText w:val=""/>
      <w:lvlJc w:val="left"/>
      <w:pPr>
        <w:tabs>
          <w:tab w:val="num" w:pos="900"/>
        </w:tabs>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425586"/>
    <w:multiLevelType w:val="hybridMultilevel"/>
    <w:tmpl w:val="8598B17C"/>
    <w:lvl w:ilvl="0" w:tplc="55868F66">
      <w:start w:val="1"/>
      <w:numFmt w:val="bullet"/>
      <w:lvlText w:val=""/>
      <w:lvlJc w:val="left"/>
      <w:pPr>
        <w:tabs>
          <w:tab w:val="num" w:pos="900"/>
        </w:tabs>
        <w:ind w:left="540" w:hanging="360"/>
      </w:pPr>
      <w:rPr>
        <w:rFonts w:ascii="Symbol" w:hAnsi="Symbol" w:hint="default"/>
      </w:rPr>
    </w:lvl>
    <w:lvl w:ilvl="1" w:tplc="CE6A4E34">
      <w:numFmt w:val="decimal"/>
      <w:lvlText w:val=""/>
      <w:lvlJc w:val="left"/>
    </w:lvl>
    <w:lvl w:ilvl="2" w:tplc="B1CC5B84">
      <w:numFmt w:val="decimal"/>
      <w:lvlText w:val=""/>
      <w:lvlJc w:val="left"/>
    </w:lvl>
    <w:lvl w:ilvl="3" w:tplc="364EC3F4">
      <w:numFmt w:val="decimal"/>
      <w:lvlText w:val=""/>
      <w:lvlJc w:val="left"/>
    </w:lvl>
    <w:lvl w:ilvl="4" w:tplc="0B58AC70">
      <w:numFmt w:val="decimal"/>
      <w:lvlText w:val=""/>
      <w:lvlJc w:val="left"/>
    </w:lvl>
    <w:lvl w:ilvl="5" w:tplc="DC24ED40">
      <w:numFmt w:val="decimal"/>
      <w:lvlText w:val=""/>
      <w:lvlJc w:val="left"/>
    </w:lvl>
    <w:lvl w:ilvl="6" w:tplc="67EC5A80">
      <w:numFmt w:val="decimal"/>
      <w:lvlText w:val=""/>
      <w:lvlJc w:val="left"/>
    </w:lvl>
    <w:lvl w:ilvl="7" w:tplc="36BAF00C">
      <w:numFmt w:val="decimal"/>
      <w:lvlText w:val=""/>
      <w:lvlJc w:val="left"/>
    </w:lvl>
    <w:lvl w:ilvl="8" w:tplc="AC328726">
      <w:numFmt w:val="decimal"/>
      <w:lvlText w:val=""/>
      <w:lvlJc w:val="left"/>
    </w:lvl>
  </w:abstractNum>
  <w:abstractNum w:abstractNumId="8" w15:restartNumberingAfterBreak="0">
    <w:nsid w:val="32BB70C0"/>
    <w:multiLevelType w:val="hybridMultilevel"/>
    <w:tmpl w:val="A6DEF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305CFD"/>
    <w:multiLevelType w:val="hybridMultilevel"/>
    <w:tmpl w:val="4EB83D66"/>
    <w:lvl w:ilvl="0" w:tplc="CBFACBFC">
      <w:start w:val="9"/>
      <w:numFmt w:val="decimal"/>
      <w:lvlText w:val="%1."/>
      <w:lvlJc w:val="left"/>
      <w:pPr>
        <w:tabs>
          <w:tab w:val="num" w:pos="900"/>
        </w:tabs>
        <w:ind w:left="540" w:hanging="360"/>
      </w:pPr>
    </w:lvl>
    <w:lvl w:ilvl="1" w:tplc="19901698">
      <w:numFmt w:val="decimal"/>
      <w:lvlText w:val=""/>
      <w:lvlJc w:val="left"/>
    </w:lvl>
    <w:lvl w:ilvl="2" w:tplc="2D28C066">
      <w:numFmt w:val="decimal"/>
      <w:lvlText w:val=""/>
      <w:lvlJc w:val="left"/>
    </w:lvl>
    <w:lvl w:ilvl="3" w:tplc="A6769E16">
      <w:numFmt w:val="decimal"/>
      <w:lvlText w:val=""/>
      <w:lvlJc w:val="left"/>
    </w:lvl>
    <w:lvl w:ilvl="4" w:tplc="3DCAEC76">
      <w:numFmt w:val="decimal"/>
      <w:lvlText w:val=""/>
      <w:lvlJc w:val="left"/>
    </w:lvl>
    <w:lvl w:ilvl="5" w:tplc="F198F04A">
      <w:numFmt w:val="decimal"/>
      <w:lvlText w:val=""/>
      <w:lvlJc w:val="left"/>
    </w:lvl>
    <w:lvl w:ilvl="6" w:tplc="E08618B8">
      <w:numFmt w:val="decimal"/>
      <w:lvlText w:val=""/>
      <w:lvlJc w:val="left"/>
    </w:lvl>
    <w:lvl w:ilvl="7" w:tplc="A60CB5E8">
      <w:numFmt w:val="decimal"/>
      <w:lvlText w:val=""/>
      <w:lvlJc w:val="left"/>
    </w:lvl>
    <w:lvl w:ilvl="8" w:tplc="FAFACC40">
      <w:numFmt w:val="decimal"/>
      <w:lvlText w:val=""/>
      <w:lvlJc w:val="left"/>
    </w:lvl>
  </w:abstractNum>
  <w:abstractNum w:abstractNumId="10" w15:restartNumberingAfterBreak="0">
    <w:nsid w:val="411F1503"/>
    <w:multiLevelType w:val="hybridMultilevel"/>
    <w:tmpl w:val="93C69150"/>
    <w:lvl w:ilvl="0" w:tplc="3DE61786">
      <w:start w:val="1"/>
      <w:numFmt w:val="bullet"/>
      <w:lvlText w:val=""/>
      <w:lvlJc w:val="left"/>
      <w:pPr>
        <w:tabs>
          <w:tab w:val="num" w:pos="900"/>
        </w:tabs>
        <w:ind w:left="540" w:hanging="360"/>
      </w:pPr>
      <w:rPr>
        <w:rFonts w:ascii="Symbol" w:hAnsi="Symbol" w:hint="default"/>
      </w:rPr>
    </w:lvl>
    <w:lvl w:ilvl="1" w:tplc="CEF422CE">
      <w:numFmt w:val="decimal"/>
      <w:lvlText w:val=""/>
      <w:lvlJc w:val="left"/>
    </w:lvl>
    <w:lvl w:ilvl="2" w:tplc="8054910A">
      <w:numFmt w:val="decimal"/>
      <w:lvlText w:val=""/>
      <w:lvlJc w:val="left"/>
    </w:lvl>
    <w:lvl w:ilvl="3" w:tplc="CCD4870E">
      <w:numFmt w:val="decimal"/>
      <w:lvlText w:val=""/>
      <w:lvlJc w:val="left"/>
    </w:lvl>
    <w:lvl w:ilvl="4" w:tplc="B680BA3E">
      <w:numFmt w:val="decimal"/>
      <w:lvlText w:val=""/>
      <w:lvlJc w:val="left"/>
    </w:lvl>
    <w:lvl w:ilvl="5" w:tplc="55CA87B2">
      <w:numFmt w:val="decimal"/>
      <w:lvlText w:val=""/>
      <w:lvlJc w:val="left"/>
    </w:lvl>
    <w:lvl w:ilvl="6" w:tplc="319698FC">
      <w:numFmt w:val="decimal"/>
      <w:lvlText w:val=""/>
      <w:lvlJc w:val="left"/>
    </w:lvl>
    <w:lvl w:ilvl="7" w:tplc="7ED8AA18">
      <w:numFmt w:val="decimal"/>
      <w:lvlText w:val=""/>
      <w:lvlJc w:val="left"/>
    </w:lvl>
    <w:lvl w:ilvl="8" w:tplc="FB628C52">
      <w:numFmt w:val="decimal"/>
      <w:lvlText w:val=""/>
      <w:lvlJc w:val="left"/>
    </w:lvl>
  </w:abstractNum>
  <w:abstractNum w:abstractNumId="11" w15:restartNumberingAfterBreak="0">
    <w:nsid w:val="49F20BD4"/>
    <w:multiLevelType w:val="hybridMultilevel"/>
    <w:tmpl w:val="02A6F030"/>
    <w:lvl w:ilvl="0" w:tplc="55868F66">
      <w:start w:val="1"/>
      <w:numFmt w:val="bullet"/>
      <w:lvlText w:val=""/>
      <w:lvlJc w:val="left"/>
      <w:pPr>
        <w:tabs>
          <w:tab w:val="num" w:pos="870"/>
        </w:tabs>
        <w:ind w:left="510"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2" w15:restartNumberingAfterBreak="0">
    <w:nsid w:val="4DED5233"/>
    <w:multiLevelType w:val="hybridMultilevel"/>
    <w:tmpl w:val="88C0D32A"/>
    <w:lvl w:ilvl="0" w:tplc="9F701E10">
      <w:start w:val="1"/>
      <w:numFmt w:val="decimal"/>
      <w:lvlText w:val="%1."/>
      <w:lvlJc w:val="left"/>
      <w:pPr>
        <w:tabs>
          <w:tab w:val="num" w:pos="900"/>
        </w:tabs>
        <w:ind w:left="540" w:hanging="360"/>
      </w:pPr>
    </w:lvl>
    <w:lvl w:ilvl="1" w:tplc="BEA0AA8E">
      <w:numFmt w:val="decimal"/>
      <w:lvlText w:val=""/>
      <w:lvlJc w:val="left"/>
    </w:lvl>
    <w:lvl w:ilvl="2" w:tplc="859AD242">
      <w:numFmt w:val="decimal"/>
      <w:lvlText w:val=""/>
      <w:lvlJc w:val="left"/>
    </w:lvl>
    <w:lvl w:ilvl="3" w:tplc="EF368A20">
      <w:numFmt w:val="decimal"/>
      <w:lvlText w:val=""/>
      <w:lvlJc w:val="left"/>
    </w:lvl>
    <w:lvl w:ilvl="4" w:tplc="79589914">
      <w:numFmt w:val="decimal"/>
      <w:lvlText w:val=""/>
      <w:lvlJc w:val="left"/>
    </w:lvl>
    <w:lvl w:ilvl="5" w:tplc="069CE40E">
      <w:numFmt w:val="decimal"/>
      <w:lvlText w:val=""/>
      <w:lvlJc w:val="left"/>
    </w:lvl>
    <w:lvl w:ilvl="6" w:tplc="83CA469C">
      <w:numFmt w:val="decimal"/>
      <w:lvlText w:val=""/>
      <w:lvlJc w:val="left"/>
    </w:lvl>
    <w:lvl w:ilvl="7" w:tplc="45D44A26">
      <w:numFmt w:val="decimal"/>
      <w:lvlText w:val=""/>
      <w:lvlJc w:val="left"/>
    </w:lvl>
    <w:lvl w:ilvl="8" w:tplc="150A91CA">
      <w:numFmt w:val="decimal"/>
      <w:lvlText w:val=""/>
      <w:lvlJc w:val="left"/>
    </w:lvl>
  </w:abstractNum>
  <w:abstractNum w:abstractNumId="13" w15:restartNumberingAfterBreak="0">
    <w:nsid w:val="59251F74"/>
    <w:multiLevelType w:val="hybridMultilevel"/>
    <w:tmpl w:val="B26E9D32"/>
    <w:lvl w:ilvl="0" w:tplc="2A521B02">
      <w:start w:val="1"/>
      <w:numFmt w:val="bullet"/>
      <w:lvlText w:val=""/>
      <w:lvlJc w:val="left"/>
      <w:pPr>
        <w:tabs>
          <w:tab w:val="num" w:pos="900"/>
        </w:tabs>
        <w:ind w:left="540" w:hanging="360"/>
      </w:pPr>
      <w:rPr>
        <w:rFonts w:ascii="Symbol" w:hAnsi="Symbol" w:hint="default"/>
      </w:rPr>
    </w:lvl>
    <w:lvl w:ilvl="1" w:tplc="605C3E10">
      <w:numFmt w:val="decimal"/>
      <w:lvlText w:val=""/>
      <w:lvlJc w:val="left"/>
    </w:lvl>
    <w:lvl w:ilvl="2" w:tplc="529ECA1A">
      <w:numFmt w:val="decimal"/>
      <w:lvlText w:val=""/>
      <w:lvlJc w:val="left"/>
    </w:lvl>
    <w:lvl w:ilvl="3" w:tplc="E63AD624">
      <w:numFmt w:val="decimal"/>
      <w:lvlText w:val=""/>
      <w:lvlJc w:val="left"/>
    </w:lvl>
    <w:lvl w:ilvl="4" w:tplc="E4D085B6">
      <w:numFmt w:val="decimal"/>
      <w:lvlText w:val=""/>
      <w:lvlJc w:val="left"/>
    </w:lvl>
    <w:lvl w:ilvl="5" w:tplc="FB1A99C8">
      <w:numFmt w:val="decimal"/>
      <w:lvlText w:val=""/>
      <w:lvlJc w:val="left"/>
    </w:lvl>
    <w:lvl w:ilvl="6" w:tplc="3B6C2134">
      <w:numFmt w:val="decimal"/>
      <w:lvlText w:val=""/>
      <w:lvlJc w:val="left"/>
    </w:lvl>
    <w:lvl w:ilvl="7" w:tplc="3C643936">
      <w:numFmt w:val="decimal"/>
      <w:lvlText w:val=""/>
      <w:lvlJc w:val="left"/>
    </w:lvl>
    <w:lvl w:ilvl="8" w:tplc="2A4C1214">
      <w:numFmt w:val="decimal"/>
      <w:lvlText w:val=""/>
      <w:lvlJc w:val="left"/>
    </w:lvl>
  </w:abstractNum>
  <w:abstractNum w:abstractNumId="14" w15:restartNumberingAfterBreak="0">
    <w:nsid w:val="63993EC4"/>
    <w:multiLevelType w:val="hybridMultilevel"/>
    <w:tmpl w:val="2BB42340"/>
    <w:lvl w:ilvl="0" w:tplc="9B98C0AC">
      <w:start w:val="1"/>
      <w:numFmt w:val="bullet"/>
      <w:lvlText w:val=""/>
      <w:lvlJc w:val="left"/>
      <w:pPr>
        <w:tabs>
          <w:tab w:val="num" w:pos="900"/>
        </w:tabs>
        <w:ind w:left="540" w:hanging="360"/>
      </w:pPr>
      <w:rPr>
        <w:rFonts w:ascii="Symbol" w:hAnsi="Symbol" w:hint="default"/>
      </w:rPr>
    </w:lvl>
    <w:lvl w:ilvl="1" w:tplc="324CD452">
      <w:numFmt w:val="decimal"/>
      <w:lvlText w:val=""/>
      <w:lvlJc w:val="left"/>
    </w:lvl>
    <w:lvl w:ilvl="2" w:tplc="0D6C3594">
      <w:numFmt w:val="decimal"/>
      <w:lvlText w:val=""/>
      <w:lvlJc w:val="left"/>
    </w:lvl>
    <w:lvl w:ilvl="3" w:tplc="CE8E940C">
      <w:numFmt w:val="decimal"/>
      <w:lvlText w:val=""/>
      <w:lvlJc w:val="left"/>
    </w:lvl>
    <w:lvl w:ilvl="4" w:tplc="09E6FA0C">
      <w:numFmt w:val="decimal"/>
      <w:lvlText w:val=""/>
      <w:lvlJc w:val="left"/>
    </w:lvl>
    <w:lvl w:ilvl="5" w:tplc="237A5F22">
      <w:numFmt w:val="decimal"/>
      <w:lvlText w:val=""/>
      <w:lvlJc w:val="left"/>
    </w:lvl>
    <w:lvl w:ilvl="6" w:tplc="24925D50">
      <w:numFmt w:val="decimal"/>
      <w:lvlText w:val=""/>
      <w:lvlJc w:val="left"/>
    </w:lvl>
    <w:lvl w:ilvl="7" w:tplc="5BAC4E82">
      <w:numFmt w:val="decimal"/>
      <w:lvlText w:val=""/>
      <w:lvlJc w:val="left"/>
    </w:lvl>
    <w:lvl w:ilvl="8" w:tplc="6296A56C">
      <w:numFmt w:val="decimal"/>
      <w:lvlText w:val=""/>
      <w:lvlJc w:val="left"/>
    </w:lvl>
  </w:abstractNum>
  <w:abstractNum w:abstractNumId="15" w15:restartNumberingAfterBreak="0">
    <w:nsid w:val="65316852"/>
    <w:multiLevelType w:val="hybridMultilevel"/>
    <w:tmpl w:val="A32A323E"/>
    <w:lvl w:ilvl="0" w:tplc="038A46C6">
      <w:start w:val="1"/>
      <w:numFmt w:val="decimal"/>
      <w:lvlText w:val="%1."/>
      <w:lvlJc w:val="left"/>
      <w:pPr>
        <w:tabs>
          <w:tab w:val="num" w:pos="900"/>
        </w:tabs>
        <w:ind w:left="540" w:hanging="360"/>
      </w:pPr>
    </w:lvl>
    <w:lvl w:ilvl="1" w:tplc="A53EDEBA">
      <w:numFmt w:val="decimal"/>
      <w:lvlText w:val=""/>
      <w:lvlJc w:val="left"/>
    </w:lvl>
    <w:lvl w:ilvl="2" w:tplc="20BE7A70">
      <w:numFmt w:val="decimal"/>
      <w:lvlText w:val=""/>
      <w:lvlJc w:val="left"/>
    </w:lvl>
    <w:lvl w:ilvl="3" w:tplc="8F16B1F4">
      <w:numFmt w:val="decimal"/>
      <w:lvlText w:val=""/>
      <w:lvlJc w:val="left"/>
    </w:lvl>
    <w:lvl w:ilvl="4" w:tplc="761804CC">
      <w:numFmt w:val="decimal"/>
      <w:lvlText w:val=""/>
      <w:lvlJc w:val="left"/>
    </w:lvl>
    <w:lvl w:ilvl="5" w:tplc="856012EC">
      <w:numFmt w:val="decimal"/>
      <w:lvlText w:val=""/>
      <w:lvlJc w:val="left"/>
    </w:lvl>
    <w:lvl w:ilvl="6" w:tplc="3A44BBAC">
      <w:numFmt w:val="decimal"/>
      <w:lvlText w:val=""/>
      <w:lvlJc w:val="left"/>
    </w:lvl>
    <w:lvl w:ilvl="7" w:tplc="488A274E">
      <w:numFmt w:val="decimal"/>
      <w:lvlText w:val=""/>
      <w:lvlJc w:val="left"/>
    </w:lvl>
    <w:lvl w:ilvl="8" w:tplc="538805A4">
      <w:numFmt w:val="decimal"/>
      <w:lvlText w:val=""/>
      <w:lvlJc w:val="left"/>
    </w:lvl>
  </w:abstractNum>
  <w:abstractNum w:abstractNumId="16" w15:restartNumberingAfterBreak="0">
    <w:nsid w:val="66052CC4"/>
    <w:multiLevelType w:val="hybridMultilevel"/>
    <w:tmpl w:val="0862F2EA"/>
    <w:lvl w:ilvl="0" w:tplc="BC80F94C">
      <w:start w:val="1"/>
      <w:numFmt w:val="decimal"/>
      <w:lvlText w:val="%1."/>
      <w:lvlJc w:val="left"/>
      <w:pPr>
        <w:tabs>
          <w:tab w:val="num" w:pos="900"/>
        </w:tabs>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5095115">
    <w:abstractNumId w:val="5"/>
  </w:num>
  <w:num w:numId="2" w16cid:durableId="1480416300">
    <w:abstractNumId w:val="4"/>
  </w:num>
  <w:num w:numId="3" w16cid:durableId="693967792">
    <w:abstractNumId w:val="7"/>
  </w:num>
  <w:num w:numId="4" w16cid:durableId="264464329">
    <w:abstractNumId w:val="14"/>
  </w:num>
  <w:num w:numId="5" w16cid:durableId="429664229">
    <w:abstractNumId w:val="10"/>
  </w:num>
  <w:num w:numId="6" w16cid:durableId="477960442">
    <w:abstractNumId w:val="15"/>
  </w:num>
  <w:num w:numId="7" w16cid:durableId="718437996">
    <w:abstractNumId w:val="2"/>
  </w:num>
  <w:num w:numId="8" w16cid:durableId="1555431850">
    <w:abstractNumId w:val="1"/>
  </w:num>
  <w:num w:numId="9" w16cid:durableId="1753620773">
    <w:abstractNumId w:val="9"/>
  </w:num>
  <w:num w:numId="10" w16cid:durableId="2106026295">
    <w:abstractNumId w:val="13"/>
  </w:num>
  <w:num w:numId="11" w16cid:durableId="1228224188">
    <w:abstractNumId w:val="3"/>
  </w:num>
  <w:num w:numId="12" w16cid:durableId="1944268101">
    <w:abstractNumId w:val="12"/>
  </w:num>
  <w:num w:numId="13" w16cid:durableId="144980338">
    <w:abstractNumId w:val="0"/>
  </w:num>
  <w:num w:numId="14" w16cid:durableId="903369438">
    <w:abstractNumId w:val="16"/>
  </w:num>
  <w:num w:numId="15" w16cid:durableId="356739670">
    <w:abstractNumId w:val="8"/>
  </w:num>
  <w:num w:numId="16" w16cid:durableId="321933524">
    <w:abstractNumId w:val="6"/>
  </w:num>
  <w:num w:numId="17" w16cid:durableId="18213815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A05"/>
    <w:rsid w:val="000D7076"/>
    <w:rsid w:val="0018588B"/>
    <w:rsid w:val="001D3497"/>
    <w:rsid w:val="002873B3"/>
    <w:rsid w:val="00297A29"/>
    <w:rsid w:val="002B4530"/>
    <w:rsid w:val="003300BC"/>
    <w:rsid w:val="003970FC"/>
    <w:rsid w:val="003B6B2D"/>
    <w:rsid w:val="003F1238"/>
    <w:rsid w:val="0042759C"/>
    <w:rsid w:val="00456FED"/>
    <w:rsid w:val="004F3D04"/>
    <w:rsid w:val="0050102B"/>
    <w:rsid w:val="00523859"/>
    <w:rsid w:val="00566BA3"/>
    <w:rsid w:val="0058644F"/>
    <w:rsid w:val="0059236E"/>
    <w:rsid w:val="005C3C01"/>
    <w:rsid w:val="005F0AFA"/>
    <w:rsid w:val="006049C6"/>
    <w:rsid w:val="00687249"/>
    <w:rsid w:val="006B13A2"/>
    <w:rsid w:val="006B581B"/>
    <w:rsid w:val="007E716B"/>
    <w:rsid w:val="007F2DE9"/>
    <w:rsid w:val="008237B8"/>
    <w:rsid w:val="00853AD4"/>
    <w:rsid w:val="00892FC0"/>
    <w:rsid w:val="008D5C06"/>
    <w:rsid w:val="009B604A"/>
    <w:rsid w:val="009C6007"/>
    <w:rsid w:val="009D1568"/>
    <w:rsid w:val="009D774D"/>
    <w:rsid w:val="00A45131"/>
    <w:rsid w:val="00A62D26"/>
    <w:rsid w:val="00A73A8A"/>
    <w:rsid w:val="00AD5EBF"/>
    <w:rsid w:val="00B06B1D"/>
    <w:rsid w:val="00B91E87"/>
    <w:rsid w:val="00C1555A"/>
    <w:rsid w:val="00C463AD"/>
    <w:rsid w:val="00C552E1"/>
    <w:rsid w:val="00C73E6B"/>
    <w:rsid w:val="00D55A05"/>
    <w:rsid w:val="00D915D4"/>
    <w:rsid w:val="00DA5D9C"/>
    <w:rsid w:val="00DA6757"/>
    <w:rsid w:val="00DC1730"/>
    <w:rsid w:val="00DD7EC0"/>
    <w:rsid w:val="00E066DF"/>
    <w:rsid w:val="00E3342F"/>
    <w:rsid w:val="00E90A5B"/>
    <w:rsid w:val="00E940E6"/>
    <w:rsid w:val="00EC0F3E"/>
    <w:rsid w:val="00EF7599"/>
    <w:rsid w:val="00F47CA5"/>
    <w:rsid w:val="00FA2948"/>
    <w:rsid w:val="00FA49AB"/>
    <w:rsid w:val="00FD1B01"/>
    <w:rsid w:val="00FD2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90174"/>
  <w15:docId w15:val="{735B0A08-A4CD-4C83-8A0D-C9DA28DFC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paragraph" w:styleId="NormalWeb">
    <w:name w:val="Normal (Web)"/>
    <w:rsid w:val="00523859"/>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paragraph" w:customStyle="1" w:styleId="Body">
    <w:name w:val="Body"/>
    <w:rsid w:val="0052385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ListParagraph">
    <w:name w:val="List Paragraph"/>
    <w:basedOn w:val="Normal"/>
    <w:uiPriority w:val="34"/>
    <w:qFormat/>
    <w:rsid w:val="00FD1B01"/>
    <w:pPr>
      <w:ind w:left="720"/>
      <w:contextualSpacing/>
    </w:pPr>
  </w:style>
  <w:style w:type="paragraph" w:styleId="FootnoteText">
    <w:name w:val="footnote text"/>
    <w:basedOn w:val="Normal"/>
    <w:link w:val="FootnoteTextChar"/>
    <w:unhideWhenUsed/>
    <w:rsid w:val="00DA67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6757"/>
    <w:rPr>
      <w:sz w:val="20"/>
      <w:szCs w:val="20"/>
    </w:rPr>
  </w:style>
  <w:style w:type="character" w:styleId="FootnoteReference">
    <w:name w:val="footnote reference"/>
    <w:basedOn w:val="DefaultParagraphFont"/>
    <w:uiPriority w:val="99"/>
    <w:semiHidden/>
    <w:unhideWhenUsed/>
    <w:rsid w:val="00DA6757"/>
    <w:rPr>
      <w:vertAlign w:val="superscript"/>
    </w:rPr>
  </w:style>
  <w:style w:type="character" w:styleId="Hyperlink">
    <w:name w:val="Hyperlink"/>
    <w:rsid w:val="006B13A2"/>
    <w:rPr>
      <w:u w:val="single"/>
    </w:rPr>
  </w:style>
  <w:style w:type="paragraph" w:styleId="Header">
    <w:name w:val="header"/>
    <w:basedOn w:val="Normal"/>
    <w:link w:val="HeaderChar"/>
    <w:uiPriority w:val="99"/>
    <w:unhideWhenUsed/>
    <w:rsid w:val="00DA5D9C"/>
    <w:pPr>
      <w:tabs>
        <w:tab w:val="center" w:pos="4986"/>
        <w:tab w:val="right" w:pos="9972"/>
      </w:tabs>
      <w:spacing w:after="0" w:line="240" w:lineRule="auto"/>
    </w:pPr>
  </w:style>
  <w:style w:type="character" w:customStyle="1" w:styleId="HeaderChar">
    <w:name w:val="Header Char"/>
    <w:basedOn w:val="DefaultParagraphFont"/>
    <w:link w:val="Header"/>
    <w:uiPriority w:val="99"/>
    <w:rsid w:val="00DA5D9C"/>
  </w:style>
  <w:style w:type="paragraph" w:styleId="Footer">
    <w:name w:val="footer"/>
    <w:basedOn w:val="Normal"/>
    <w:link w:val="FooterChar"/>
    <w:uiPriority w:val="99"/>
    <w:unhideWhenUsed/>
    <w:rsid w:val="00DA5D9C"/>
    <w:pPr>
      <w:tabs>
        <w:tab w:val="center" w:pos="4986"/>
        <w:tab w:val="right" w:pos="9972"/>
      </w:tabs>
      <w:spacing w:after="0" w:line="240" w:lineRule="auto"/>
    </w:pPr>
  </w:style>
  <w:style w:type="character" w:customStyle="1" w:styleId="FooterChar">
    <w:name w:val="Footer Char"/>
    <w:basedOn w:val="DefaultParagraphFont"/>
    <w:link w:val="Footer"/>
    <w:uiPriority w:val="99"/>
    <w:rsid w:val="00DA5D9C"/>
  </w:style>
  <w:style w:type="paragraph" w:customStyle="1" w:styleId="BodyA">
    <w:name w:val="Body A"/>
    <w:rsid w:val="009C6007"/>
    <w:pPr>
      <w:pBdr>
        <w:top w:val="nil"/>
        <w:left w:val="nil"/>
        <w:bottom w:val="nil"/>
        <w:right w:val="nil"/>
        <w:between w:val="nil"/>
        <w:bar w:val="nil"/>
      </w:pBdr>
      <w:spacing w:after="200" w:line="276" w:lineRule="auto"/>
    </w:pPr>
    <w:rPr>
      <w:rFonts w:ascii="Calibri" w:eastAsia="Calibri" w:hAnsi="Calibri" w:cs="Calibri"/>
      <w:color w:val="000000"/>
      <w:sz w:val="22"/>
      <w:u w:color="000000"/>
      <w:bdr w:val="nil"/>
    </w:rPr>
  </w:style>
  <w:style w:type="table" w:styleId="TableGrid">
    <w:name w:val="Table Grid"/>
    <w:basedOn w:val="TableNormal"/>
    <w:uiPriority w:val="59"/>
    <w:rsid w:val="009C600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90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hra.s3.eu-central-1.amazonaws.com/1db19d39-5353-4928-a782-baf9d2f20aa5.pdf" TargetMode="External"/><Relationship Id="rId1" Type="http://schemas.openxmlformats.org/officeDocument/2006/relationships/hyperlink" Target="https://ehra.s3.eu-central-1.amazonaws.com/1db19d39-5353-4928-a782-baf9d2f20aa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D301C-71A0-46EB-8A09-C2E234C73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1766</Words>
  <Characters>10072</Characters>
  <Application>Microsoft Office Word</Application>
  <DocSecurity>0</DocSecurity>
  <Lines>83</Lines>
  <Paragraphs>23</Paragraphs>
  <ScaleCrop>false</ScaleCrop>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Maria Plotko</cp:lastModifiedBy>
  <cp:revision>59</cp:revision>
  <dcterms:created xsi:type="dcterms:W3CDTF">2025-11-28T20:05:00Z</dcterms:created>
  <dcterms:modified xsi:type="dcterms:W3CDTF">2026-01-28T13:08:00Z</dcterms:modified>
</cp:coreProperties>
</file>