
<file path=[Content_Types].xml><?xml version="1.0" encoding="utf-8"?>
<Types xmlns="http://schemas.openxmlformats.org/package/2006/content-types">
  <Default Extension="jpg" ContentType="image/jpeg"/>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docProps/app.xml" ContentType="application/vnd.openxmlformats-officedocument.extended-properties+xml"/>
  <Override PartName="/word/styles.xml" ContentType="application/vnd.openxmlformats-officedocument.wordprocessingml.styles+xml"/>
  <Override PartName="/word/numbering.xml" ContentType="application/vnd.openxmlformats-officedocument.wordprocessingml.numbering+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customXml/itemProps1.xml" ContentType="application/vnd.openxmlformats-officedocument.customXmlProperties+xml"/>
  <Override PartName="/customXml/itemProps2.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64A17A8" w14:textId="77777777" w:rsidR="005848AE" w:rsidRDefault="005848AE">
      <w:pPr>
        <w:spacing w:before="200" w:after="200"/>
        <w:jc w:val="center"/>
        <w:rPr>
          <w:rFonts w:ascii="Lato" w:eastAsia="Lato" w:hAnsi="Lato" w:cs="Lato"/>
          <w:b/>
        </w:rPr>
      </w:pPr>
    </w:p>
    <w:p w14:paraId="337A45A0" w14:textId="77777777" w:rsidR="005848AE" w:rsidRDefault="005848AE">
      <w:pPr>
        <w:spacing w:before="200" w:after="200"/>
        <w:jc w:val="center"/>
        <w:rPr>
          <w:rFonts w:ascii="Lato" w:eastAsia="Lato" w:hAnsi="Lato" w:cs="Lato"/>
          <w:b/>
        </w:rPr>
      </w:pPr>
    </w:p>
    <w:p w14:paraId="74CDCA70" w14:textId="77777777" w:rsidR="005848AE" w:rsidRDefault="005848AE">
      <w:pPr>
        <w:spacing w:before="200" w:after="200"/>
        <w:jc w:val="center"/>
        <w:rPr>
          <w:rFonts w:ascii="Lato" w:eastAsia="Lato" w:hAnsi="Lato" w:cs="Lato"/>
          <w:b/>
        </w:rPr>
      </w:pPr>
    </w:p>
    <w:p w14:paraId="15DC1730" w14:textId="77777777" w:rsidR="005848AE" w:rsidRDefault="00000000">
      <w:pPr>
        <w:spacing w:before="200" w:after="200"/>
        <w:jc w:val="center"/>
        <w:rPr>
          <w:rFonts w:ascii="Lato" w:eastAsia="Lato" w:hAnsi="Lato" w:cs="Lato"/>
          <w:b/>
        </w:rPr>
      </w:pPr>
      <w:r>
        <w:rPr>
          <w:rFonts w:ascii="Lato" w:eastAsia="Lato" w:hAnsi="Lato" w:cs="Lato"/>
          <w:b/>
        </w:rPr>
        <w:t>CHILE</w:t>
      </w:r>
    </w:p>
    <w:p w14:paraId="37724083" w14:textId="77777777" w:rsidR="005848AE" w:rsidRDefault="005848AE">
      <w:pPr>
        <w:spacing w:before="200" w:after="200"/>
        <w:jc w:val="center"/>
        <w:rPr>
          <w:rFonts w:ascii="Lato" w:eastAsia="Lato" w:hAnsi="Lato" w:cs="Lato"/>
          <w:b/>
        </w:rPr>
      </w:pPr>
    </w:p>
    <w:p w14:paraId="3521C4A5" w14:textId="77777777" w:rsidR="005848AE" w:rsidRDefault="005848AE">
      <w:pPr>
        <w:spacing w:before="200" w:after="200"/>
        <w:jc w:val="center"/>
        <w:rPr>
          <w:rFonts w:ascii="Lato" w:eastAsia="Lato" w:hAnsi="Lato" w:cs="Lato"/>
          <w:b/>
        </w:rPr>
      </w:pPr>
    </w:p>
    <w:p w14:paraId="6B81CCB9" w14:textId="77777777" w:rsidR="005848AE" w:rsidRDefault="00000000">
      <w:pPr>
        <w:spacing w:before="200" w:after="200"/>
        <w:jc w:val="center"/>
        <w:rPr>
          <w:rFonts w:ascii="Lato" w:eastAsia="Lato" w:hAnsi="Lato" w:cs="Lato"/>
          <w:b/>
        </w:rPr>
      </w:pPr>
      <w:r>
        <w:rPr>
          <w:rFonts w:ascii="Lato" w:eastAsia="Lato" w:hAnsi="Lato" w:cs="Lato"/>
          <w:b/>
        </w:rPr>
        <w:t>INFORME ALTERNATIVO PARA EL EXAMEN DEL ESTADO DE CHILE ANTE EL COMITÉ CEDAW EN SU 89º SESIÓN</w:t>
      </w:r>
    </w:p>
    <w:p w14:paraId="6D97CCCA" w14:textId="77777777" w:rsidR="005848AE" w:rsidRDefault="00000000">
      <w:pPr>
        <w:spacing w:before="200" w:after="200"/>
        <w:jc w:val="center"/>
        <w:rPr>
          <w:rFonts w:ascii="Lato" w:eastAsia="Lato" w:hAnsi="Lato" w:cs="Lato"/>
          <w:b/>
        </w:rPr>
      </w:pPr>
      <w:r>
        <w:rPr>
          <w:rFonts w:ascii="Lato" w:eastAsia="Lato" w:hAnsi="Lato" w:cs="Lato"/>
          <w:b/>
        </w:rPr>
        <w:t>(Octavo Informe Periódico)</w:t>
      </w:r>
    </w:p>
    <w:p w14:paraId="73985DB0" w14:textId="77777777" w:rsidR="005848AE" w:rsidRDefault="005848AE">
      <w:pPr>
        <w:spacing w:before="200" w:after="200"/>
        <w:jc w:val="center"/>
        <w:rPr>
          <w:rFonts w:ascii="Lato" w:eastAsia="Lato" w:hAnsi="Lato" w:cs="Lato"/>
          <w:b/>
        </w:rPr>
      </w:pPr>
    </w:p>
    <w:p w14:paraId="374F0FF7" w14:textId="77777777" w:rsidR="005848AE" w:rsidRDefault="005848AE">
      <w:pPr>
        <w:spacing w:before="200" w:after="200"/>
        <w:jc w:val="center"/>
        <w:rPr>
          <w:rFonts w:ascii="Lato" w:eastAsia="Lato" w:hAnsi="Lato" w:cs="Lato"/>
          <w:b/>
        </w:rPr>
      </w:pPr>
    </w:p>
    <w:p w14:paraId="6F244747" w14:textId="77777777" w:rsidR="005848AE" w:rsidRDefault="005848AE">
      <w:pPr>
        <w:spacing w:before="200" w:after="200"/>
        <w:jc w:val="center"/>
        <w:rPr>
          <w:rFonts w:ascii="Lato" w:eastAsia="Lato" w:hAnsi="Lato" w:cs="Lato"/>
          <w:b/>
        </w:rPr>
      </w:pPr>
    </w:p>
    <w:p w14:paraId="5DCF52BF" w14:textId="77777777" w:rsidR="005848AE" w:rsidRDefault="00000000">
      <w:pPr>
        <w:spacing w:before="200" w:after="200"/>
        <w:jc w:val="center"/>
        <w:rPr>
          <w:rFonts w:ascii="Lato" w:eastAsia="Lato" w:hAnsi="Lato" w:cs="Lato"/>
          <w:b/>
        </w:rPr>
      </w:pPr>
      <w:r>
        <w:rPr>
          <w:rFonts w:ascii="Lato" w:eastAsia="Lato" w:hAnsi="Lato" w:cs="Lato"/>
          <w:b/>
        </w:rPr>
        <w:t>Septiembre 2024</w:t>
      </w:r>
    </w:p>
    <w:p w14:paraId="75A64F36" w14:textId="77777777" w:rsidR="005848AE" w:rsidRDefault="005848AE">
      <w:pPr>
        <w:spacing w:before="200" w:after="200"/>
        <w:jc w:val="center"/>
        <w:rPr>
          <w:rFonts w:ascii="Lato" w:eastAsia="Lato" w:hAnsi="Lato" w:cs="Lato"/>
          <w:b/>
        </w:rPr>
      </w:pPr>
    </w:p>
    <w:p w14:paraId="0839C50E" w14:textId="77777777" w:rsidR="005848AE" w:rsidRDefault="00000000">
      <w:pPr>
        <w:spacing w:before="200" w:after="200"/>
        <w:jc w:val="center"/>
        <w:rPr>
          <w:rFonts w:ascii="Lato" w:eastAsia="Lato" w:hAnsi="Lato" w:cs="Lato"/>
          <w:b/>
        </w:rPr>
      </w:pPr>
      <w:r>
        <w:rPr>
          <w:rFonts w:ascii="Lato" w:eastAsia="Lato" w:hAnsi="Lato" w:cs="Lato"/>
          <w:b/>
        </w:rPr>
        <w:t>Corporación Miles</w:t>
      </w:r>
    </w:p>
    <w:p w14:paraId="2B495612" w14:textId="77777777" w:rsidR="005848AE" w:rsidRPr="001369AC" w:rsidRDefault="00000000">
      <w:pPr>
        <w:spacing w:before="200" w:after="200"/>
        <w:jc w:val="center"/>
        <w:rPr>
          <w:rFonts w:ascii="Lato" w:eastAsia="Lato" w:hAnsi="Lato" w:cs="Lato"/>
          <w:b/>
          <w:lang w:val="en-US"/>
        </w:rPr>
      </w:pPr>
      <w:r w:rsidRPr="001369AC">
        <w:rPr>
          <w:rFonts w:ascii="Lato" w:eastAsia="Lato" w:hAnsi="Lato" w:cs="Lato"/>
          <w:b/>
          <w:lang w:val="en-US"/>
        </w:rPr>
        <w:t>Women’s Link Worldwide</w:t>
      </w:r>
    </w:p>
    <w:p w14:paraId="3777BBEB" w14:textId="77777777" w:rsidR="005848AE" w:rsidRPr="001369AC" w:rsidRDefault="00000000">
      <w:pPr>
        <w:spacing w:before="200" w:after="200"/>
        <w:jc w:val="center"/>
        <w:rPr>
          <w:rFonts w:ascii="Lato" w:eastAsia="Lato" w:hAnsi="Lato" w:cs="Lato"/>
          <w:b/>
          <w:lang w:val="en-US"/>
        </w:rPr>
      </w:pPr>
      <w:proofErr w:type="spellStart"/>
      <w:r w:rsidRPr="001369AC">
        <w:rPr>
          <w:rFonts w:ascii="Lato" w:eastAsia="Lato" w:hAnsi="Lato" w:cs="Lato"/>
          <w:b/>
          <w:lang w:val="en-US"/>
        </w:rPr>
        <w:t>Asociación</w:t>
      </w:r>
      <w:proofErr w:type="spellEnd"/>
      <w:r w:rsidRPr="001369AC">
        <w:rPr>
          <w:rFonts w:ascii="Lato" w:eastAsia="Lato" w:hAnsi="Lato" w:cs="Lato"/>
          <w:b/>
          <w:lang w:val="en-US"/>
        </w:rPr>
        <w:t xml:space="preserve"> </w:t>
      </w:r>
      <w:proofErr w:type="spellStart"/>
      <w:r w:rsidRPr="001369AC">
        <w:rPr>
          <w:rFonts w:ascii="Lato" w:eastAsia="Lato" w:hAnsi="Lato" w:cs="Lato"/>
          <w:b/>
          <w:lang w:val="en-US"/>
        </w:rPr>
        <w:t>Ginecólogas</w:t>
      </w:r>
      <w:proofErr w:type="spellEnd"/>
      <w:r w:rsidRPr="001369AC">
        <w:rPr>
          <w:rFonts w:ascii="Lato" w:eastAsia="Lato" w:hAnsi="Lato" w:cs="Lato"/>
          <w:b/>
          <w:lang w:val="en-US"/>
        </w:rPr>
        <w:t xml:space="preserve"> Chile</w:t>
      </w:r>
    </w:p>
    <w:p w14:paraId="0770F5E0" w14:textId="77777777" w:rsidR="005848AE" w:rsidRPr="001369AC" w:rsidRDefault="005848AE">
      <w:pPr>
        <w:spacing w:before="200" w:after="200"/>
        <w:jc w:val="center"/>
        <w:rPr>
          <w:rFonts w:ascii="Lato" w:eastAsia="Lato" w:hAnsi="Lato" w:cs="Lato"/>
          <w:b/>
          <w:lang w:val="en-US"/>
        </w:rPr>
      </w:pPr>
    </w:p>
    <w:p w14:paraId="13953B24" w14:textId="77777777" w:rsidR="005848AE" w:rsidRPr="001369AC" w:rsidRDefault="005848AE">
      <w:pPr>
        <w:spacing w:before="200" w:after="200"/>
        <w:jc w:val="center"/>
        <w:rPr>
          <w:rFonts w:ascii="Lato" w:eastAsia="Lato" w:hAnsi="Lato" w:cs="Lato"/>
          <w:b/>
          <w:lang w:val="en-US"/>
        </w:rPr>
      </w:pPr>
    </w:p>
    <w:p w14:paraId="5F0A805C" w14:textId="77777777" w:rsidR="005848AE" w:rsidRPr="001369AC" w:rsidRDefault="005848AE">
      <w:pPr>
        <w:spacing w:before="200" w:after="200"/>
        <w:rPr>
          <w:rFonts w:ascii="Lato" w:eastAsia="Lato" w:hAnsi="Lato" w:cs="Lato"/>
          <w:b/>
          <w:lang w:val="en-US"/>
        </w:rPr>
      </w:pPr>
    </w:p>
    <w:p w14:paraId="30EB30AD" w14:textId="77777777" w:rsidR="005848AE" w:rsidRPr="001369AC" w:rsidRDefault="005848AE">
      <w:pPr>
        <w:spacing w:before="200" w:after="200"/>
        <w:rPr>
          <w:rFonts w:ascii="Lato" w:eastAsia="Lato" w:hAnsi="Lato" w:cs="Lato"/>
          <w:b/>
          <w:lang w:val="en-US"/>
        </w:rPr>
      </w:pPr>
    </w:p>
    <w:p w14:paraId="49B71BDD" w14:textId="77777777" w:rsidR="005848AE" w:rsidRPr="001369AC" w:rsidRDefault="005848AE">
      <w:pPr>
        <w:spacing w:before="200" w:after="200"/>
        <w:rPr>
          <w:rFonts w:ascii="Lato" w:eastAsia="Lato" w:hAnsi="Lato" w:cs="Lato"/>
          <w:b/>
          <w:lang w:val="en-US"/>
        </w:rPr>
      </w:pPr>
    </w:p>
    <w:p w14:paraId="10B4BDE9" w14:textId="77777777" w:rsidR="005848AE" w:rsidRPr="001369AC" w:rsidRDefault="005848AE">
      <w:pPr>
        <w:spacing w:before="200" w:after="200"/>
        <w:rPr>
          <w:rFonts w:ascii="Lato" w:eastAsia="Lato" w:hAnsi="Lato" w:cs="Lato"/>
          <w:b/>
          <w:lang w:val="en-US"/>
        </w:rPr>
      </w:pPr>
    </w:p>
    <w:p w14:paraId="00E65835" w14:textId="77777777" w:rsidR="005848AE" w:rsidRPr="001369AC" w:rsidRDefault="005848AE">
      <w:pPr>
        <w:spacing w:before="200" w:after="200"/>
        <w:jc w:val="both"/>
        <w:rPr>
          <w:rFonts w:ascii="Lato" w:eastAsia="Lato" w:hAnsi="Lato" w:cs="Lato"/>
          <w:b/>
          <w:lang w:val="en-US"/>
        </w:rPr>
      </w:pPr>
    </w:p>
    <w:p w14:paraId="1FD2A473" w14:textId="77777777" w:rsidR="005848AE" w:rsidRPr="001369AC" w:rsidRDefault="005848AE">
      <w:pPr>
        <w:spacing w:before="200" w:after="200"/>
        <w:jc w:val="both"/>
        <w:rPr>
          <w:rFonts w:ascii="Lato" w:eastAsia="Lato" w:hAnsi="Lato" w:cs="Lato"/>
          <w:b/>
          <w:lang w:val="en-US"/>
        </w:rPr>
      </w:pPr>
    </w:p>
    <w:p w14:paraId="6EFB9649" w14:textId="77777777" w:rsidR="005848AE" w:rsidRDefault="00000000">
      <w:pPr>
        <w:spacing w:before="200" w:after="200"/>
        <w:jc w:val="both"/>
        <w:rPr>
          <w:rFonts w:ascii="Lato" w:eastAsia="Lato" w:hAnsi="Lato" w:cs="Lato"/>
        </w:rPr>
      </w:pPr>
      <w:r>
        <w:rPr>
          <w:rFonts w:ascii="Lato" w:eastAsia="Lato" w:hAnsi="Lato" w:cs="Lato"/>
          <w:b/>
        </w:rPr>
        <w:lastRenderedPageBreak/>
        <w:t>Corporación Miles Chile</w:t>
      </w:r>
      <w:r>
        <w:rPr>
          <w:rFonts w:ascii="Lato" w:eastAsia="Lato" w:hAnsi="Lato" w:cs="Lato"/>
        </w:rPr>
        <w:t xml:space="preserve"> es una organización no gubernamental de derecho privado sin fines de lucro que tiene cuya misión es promover y proteger los derechos sexuales y reproductivos de las mujeres en toda su diversidad y durante todo su ciclo vital. Actualmente, ofrece servicios gratuitos de carácter legal, psicosocial y en salud sexual y reproductiva mediante telemedicina en todo el territorio nacional. Además, trabaja en incidencia social y política, promoviendo cambios sociales, legislativos y en políticas públicas para garantizar los derechos sexuales y reproductivos.</w:t>
      </w:r>
    </w:p>
    <w:p w14:paraId="44C150F0" w14:textId="77777777" w:rsidR="005848AE" w:rsidRDefault="00000000">
      <w:pPr>
        <w:spacing w:before="200" w:after="200"/>
        <w:jc w:val="both"/>
        <w:rPr>
          <w:rFonts w:ascii="Lato" w:eastAsia="Lato" w:hAnsi="Lato" w:cs="Lato"/>
          <w:highlight w:val="white"/>
        </w:rPr>
      </w:pPr>
      <w:proofErr w:type="spellStart"/>
      <w:r>
        <w:rPr>
          <w:rFonts w:ascii="Lato" w:eastAsia="Lato" w:hAnsi="Lato" w:cs="Lato"/>
          <w:b/>
          <w:highlight w:val="white"/>
        </w:rPr>
        <w:t>Women's</w:t>
      </w:r>
      <w:proofErr w:type="spellEnd"/>
      <w:r>
        <w:rPr>
          <w:rFonts w:ascii="Lato" w:eastAsia="Lato" w:hAnsi="Lato" w:cs="Lato"/>
          <w:b/>
          <w:highlight w:val="white"/>
        </w:rPr>
        <w:t xml:space="preserve"> </w:t>
      </w:r>
      <w:proofErr w:type="gramStart"/>
      <w:r>
        <w:rPr>
          <w:rFonts w:ascii="Lato" w:eastAsia="Lato" w:hAnsi="Lato" w:cs="Lato"/>
          <w:b/>
          <w:highlight w:val="white"/>
        </w:rPr>
        <w:t>Link</w:t>
      </w:r>
      <w:proofErr w:type="gramEnd"/>
      <w:r>
        <w:rPr>
          <w:rFonts w:ascii="Lato" w:eastAsia="Lato" w:hAnsi="Lato" w:cs="Lato"/>
          <w:b/>
          <w:highlight w:val="white"/>
        </w:rPr>
        <w:t xml:space="preserve"> </w:t>
      </w:r>
      <w:proofErr w:type="spellStart"/>
      <w:r>
        <w:rPr>
          <w:rFonts w:ascii="Lato" w:eastAsia="Lato" w:hAnsi="Lato" w:cs="Lato"/>
          <w:b/>
          <w:highlight w:val="white"/>
        </w:rPr>
        <w:t>Worldwide</w:t>
      </w:r>
      <w:proofErr w:type="spellEnd"/>
      <w:r>
        <w:rPr>
          <w:rFonts w:ascii="Lato" w:eastAsia="Lato" w:hAnsi="Lato" w:cs="Lato"/>
          <w:b/>
          <w:highlight w:val="white"/>
        </w:rPr>
        <w:t xml:space="preserve"> </w:t>
      </w:r>
      <w:r>
        <w:rPr>
          <w:rFonts w:ascii="Lato" w:eastAsia="Lato" w:hAnsi="Lato" w:cs="Lato"/>
          <w:highlight w:val="white"/>
        </w:rPr>
        <w:t xml:space="preserve">es una organización </w:t>
      </w:r>
      <w:proofErr w:type="spellStart"/>
      <w:r>
        <w:rPr>
          <w:rFonts w:ascii="Lato" w:eastAsia="Lato" w:hAnsi="Lato" w:cs="Lato"/>
          <w:highlight w:val="white"/>
        </w:rPr>
        <w:t>transregional</w:t>
      </w:r>
      <w:proofErr w:type="spellEnd"/>
      <w:r>
        <w:rPr>
          <w:rFonts w:ascii="Lato" w:eastAsia="Lato" w:hAnsi="Lato" w:cs="Lato"/>
          <w:highlight w:val="white"/>
        </w:rPr>
        <w:t xml:space="preserve"> feminista interseccional, antirracista, </w:t>
      </w:r>
      <w:proofErr w:type="spellStart"/>
      <w:r>
        <w:rPr>
          <w:rFonts w:ascii="Lato" w:eastAsia="Lato" w:hAnsi="Lato" w:cs="Lato"/>
          <w:highlight w:val="white"/>
        </w:rPr>
        <w:t>anticapacitista</w:t>
      </w:r>
      <w:proofErr w:type="spellEnd"/>
      <w:r>
        <w:rPr>
          <w:rFonts w:ascii="Lato" w:eastAsia="Lato" w:hAnsi="Lato" w:cs="Lato"/>
          <w:highlight w:val="white"/>
        </w:rPr>
        <w:t xml:space="preserve"> y anticolonialista de derechos humanos, liderada desde el Sur Global y que trabaja en América Latina y el Caribe, África Oriental y Europa. En colaboración con otras aliadas, se esfuerzan por llevar justicia a las mujeres, niñas y personas de género diverso, desmantelando las barreras estructurales que obstaculizan sus derechos. </w:t>
      </w:r>
      <w:proofErr w:type="spellStart"/>
      <w:r>
        <w:rPr>
          <w:rFonts w:ascii="Lato" w:eastAsia="Lato" w:hAnsi="Lato" w:cs="Lato"/>
          <w:highlight w:val="white"/>
        </w:rPr>
        <w:t>Women's</w:t>
      </w:r>
      <w:proofErr w:type="spellEnd"/>
      <w:r>
        <w:rPr>
          <w:rFonts w:ascii="Lato" w:eastAsia="Lato" w:hAnsi="Lato" w:cs="Lato"/>
          <w:highlight w:val="white"/>
        </w:rPr>
        <w:t xml:space="preserve"> </w:t>
      </w:r>
      <w:proofErr w:type="gramStart"/>
      <w:r>
        <w:rPr>
          <w:rFonts w:ascii="Lato" w:eastAsia="Lato" w:hAnsi="Lato" w:cs="Lato"/>
          <w:highlight w:val="white"/>
        </w:rPr>
        <w:t>Link</w:t>
      </w:r>
      <w:proofErr w:type="gramEnd"/>
      <w:r>
        <w:rPr>
          <w:rFonts w:ascii="Lato" w:eastAsia="Lato" w:hAnsi="Lato" w:cs="Lato"/>
          <w:highlight w:val="white"/>
        </w:rPr>
        <w:t xml:space="preserve"> adopta un enfoque visionario para promover la justicia de género. Reconociendo la compleja red de opresiones que enfrentan las mujeres y niñas de todo el mundo, emplea el litigio estratégico, la defensa legal y las comunicaciones estratégicas para desafiar las leyes y prácticas discriminatorias.</w:t>
      </w:r>
    </w:p>
    <w:p w14:paraId="67A0A3CA" w14:textId="41D50BF3" w:rsidR="001369AC" w:rsidRDefault="00000000" w:rsidP="001369AC">
      <w:pPr>
        <w:pBdr>
          <w:bottom w:val="single" w:sz="12" w:space="1" w:color="auto"/>
        </w:pBdr>
        <w:spacing w:before="200" w:after="200"/>
        <w:jc w:val="both"/>
        <w:rPr>
          <w:rFonts w:ascii="Lato" w:eastAsia="Lato" w:hAnsi="Lato" w:cs="Lato"/>
        </w:rPr>
      </w:pPr>
      <w:r>
        <w:rPr>
          <w:rFonts w:ascii="Lato" w:eastAsia="Lato" w:hAnsi="Lato" w:cs="Lato"/>
          <w:b/>
        </w:rPr>
        <w:t>La Asociación Ginecólogas Chile</w:t>
      </w:r>
      <w:r>
        <w:rPr>
          <w:rFonts w:ascii="Lato" w:eastAsia="Lato" w:hAnsi="Lato" w:cs="Lato"/>
        </w:rPr>
        <w:t xml:space="preserve"> fue creada en junio de 2020. Es una agrupación de médicas dedicadas a la especialidad de gineco obstetricia que trabaja con la mejor evidencia científica disponible, con enfoque de derechos y perspectiva de género, para poner al servicio de mujeres de todas las edades y diversidades sexo genéricas los mejores cuidados médicos en todo lo que compete a la salud sexual y reproductiva.</w:t>
      </w:r>
    </w:p>
    <w:p w14:paraId="7A654837" w14:textId="77777777" w:rsidR="001369AC" w:rsidRDefault="001369AC" w:rsidP="001369AC">
      <w:pPr>
        <w:pBdr>
          <w:bottom w:val="single" w:sz="12" w:space="1" w:color="auto"/>
        </w:pBdr>
        <w:spacing w:before="200" w:after="200"/>
        <w:jc w:val="both"/>
        <w:rPr>
          <w:rFonts w:ascii="Lato" w:eastAsia="Lato" w:hAnsi="Lato" w:cs="Lato"/>
        </w:rPr>
      </w:pPr>
    </w:p>
    <w:p w14:paraId="2DF26A2C" w14:textId="77777777" w:rsidR="001369AC" w:rsidRDefault="001369AC">
      <w:pPr>
        <w:spacing w:before="200" w:after="200"/>
        <w:jc w:val="both"/>
        <w:rPr>
          <w:rFonts w:ascii="Lato" w:eastAsia="Lato" w:hAnsi="Lato" w:cs="Lato"/>
        </w:rPr>
      </w:pPr>
    </w:p>
    <w:p w14:paraId="13149990" w14:textId="1A9053FA" w:rsidR="005848AE" w:rsidRDefault="00000000">
      <w:pPr>
        <w:spacing w:before="200" w:after="200"/>
        <w:jc w:val="both"/>
        <w:rPr>
          <w:rFonts w:ascii="Lato" w:eastAsia="Lato" w:hAnsi="Lato" w:cs="Lato"/>
        </w:rPr>
      </w:pPr>
      <w:r>
        <w:rPr>
          <w:rFonts w:ascii="Lato" w:eastAsia="Lato" w:hAnsi="Lato" w:cs="Lato"/>
        </w:rPr>
        <w:t>El anterior examen del Comité CEDAW a Chile se llevó a cabo a principios de 2018, por lo que el período de tiempo que abarca el examen de la 69º sesión comprende un intervalo en que han ocurrido eventos relevantes a nivel social y político, los cuales han repercutido especialmente en el ejercicio efectivo de los derechos de las mujeres y las niñas. Este informe da cuenta de las brechas y obstáculos experimentados por ellas, particularmente en el acceso a los servicios de salud y reproductiva, y contiene recomendaciones que respetuosamente sugerimos formular al Estado de Chile para reducir las brechas existentes.</w:t>
      </w:r>
    </w:p>
    <w:p w14:paraId="1853E1A9" w14:textId="77777777" w:rsidR="005848AE" w:rsidRDefault="00000000">
      <w:pPr>
        <w:numPr>
          <w:ilvl w:val="0"/>
          <w:numId w:val="4"/>
        </w:numPr>
        <w:spacing w:before="200" w:after="200"/>
        <w:jc w:val="both"/>
        <w:rPr>
          <w:rFonts w:ascii="Lato" w:eastAsia="Lato" w:hAnsi="Lato" w:cs="Lato"/>
          <w:b/>
        </w:rPr>
      </w:pPr>
      <w:r>
        <w:rPr>
          <w:rFonts w:ascii="Lato" w:eastAsia="Lato" w:hAnsi="Lato" w:cs="Lato"/>
          <w:b/>
        </w:rPr>
        <w:t>Igualdad y no discriminación (Artículo 1)</w:t>
      </w:r>
    </w:p>
    <w:p w14:paraId="6504DAA6" w14:textId="77777777" w:rsidR="005848AE" w:rsidRDefault="00000000">
      <w:pPr>
        <w:numPr>
          <w:ilvl w:val="0"/>
          <w:numId w:val="1"/>
        </w:numPr>
        <w:spacing w:before="200" w:after="200"/>
        <w:jc w:val="both"/>
        <w:rPr>
          <w:rFonts w:ascii="Lato" w:eastAsia="Lato" w:hAnsi="Lato" w:cs="Lato"/>
          <w:b/>
          <w:i/>
        </w:rPr>
      </w:pPr>
      <w:r>
        <w:rPr>
          <w:rFonts w:ascii="Lato" w:eastAsia="Lato" w:hAnsi="Lato" w:cs="Lato"/>
          <w:b/>
          <w:i/>
        </w:rPr>
        <w:t>Sobre el acceso a los servicios de salud sexual y reproductiva durante la pandemia</w:t>
      </w:r>
    </w:p>
    <w:p w14:paraId="0644EC5F" w14:textId="77777777" w:rsidR="005848AE"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before="200" w:after="200"/>
        <w:jc w:val="both"/>
        <w:rPr>
          <w:rFonts w:ascii="Lato" w:eastAsia="Lato" w:hAnsi="Lato" w:cs="Lato"/>
        </w:rPr>
      </w:pPr>
      <w:r>
        <w:rPr>
          <w:rFonts w:ascii="Lato" w:eastAsia="Lato" w:hAnsi="Lato" w:cs="Lato"/>
        </w:rPr>
        <w:t xml:space="preserve">Si bien la pandemia de COVID-19 afectó en general el acceso a los servicios de salud, </w:t>
      </w:r>
      <w:r>
        <w:rPr>
          <w:rFonts w:ascii="Lato" w:eastAsia="Lato" w:hAnsi="Lato" w:cs="Lato"/>
          <w:b/>
        </w:rPr>
        <w:t>los de carácter sexual y reproductivo se vieron particularmente limitados, perjudicando de manera desproporcionada a las mujeres</w:t>
      </w:r>
      <w:r>
        <w:rPr>
          <w:rFonts w:ascii="Lato" w:eastAsia="Lato" w:hAnsi="Lato" w:cs="Lato"/>
        </w:rPr>
        <w:t xml:space="preserve">. Esta situación llevó a que una parte importante de la población </w:t>
      </w:r>
      <w:r>
        <w:rPr>
          <w:rFonts w:ascii="Lato" w:eastAsia="Lato" w:hAnsi="Lato" w:cs="Lato"/>
        </w:rPr>
        <w:lastRenderedPageBreak/>
        <w:t>migrara al sistema privado para satisfacer sus necesidades, en un país donde la pobreza por ingresos aumentó del 8,6% al 10,8% durante la crisis sanitaria (años 2017 y 2020 respectivamente)</w:t>
      </w:r>
      <w:r>
        <w:rPr>
          <w:rFonts w:ascii="Lato" w:eastAsia="Lato" w:hAnsi="Lato" w:cs="Lato"/>
          <w:vertAlign w:val="superscript"/>
        </w:rPr>
        <w:footnoteReference w:id="1"/>
      </w:r>
      <w:r>
        <w:rPr>
          <w:rFonts w:ascii="Lato" w:eastAsia="Lato" w:hAnsi="Lato" w:cs="Lato"/>
        </w:rPr>
        <w:t xml:space="preserve">. </w:t>
      </w:r>
    </w:p>
    <w:p w14:paraId="1D2CB8BA" w14:textId="77777777" w:rsidR="005848AE"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before="200" w:after="200"/>
        <w:jc w:val="both"/>
        <w:rPr>
          <w:rFonts w:ascii="Lato" w:eastAsia="Lato" w:hAnsi="Lato" w:cs="Lato"/>
        </w:rPr>
      </w:pPr>
      <w:r>
        <w:rPr>
          <w:rFonts w:ascii="Lato" w:eastAsia="Lato" w:hAnsi="Lato" w:cs="Lato"/>
        </w:rPr>
        <w:t xml:space="preserve">Aunque los problemas en la disponibilidad y calidad de la atención son anteriores a la pandemia y no se explican únicamente por la crisis sanitaria, los principales obstáculos se debieron a que </w:t>
      </w:r>
      <w:r>
        <w:rPr>
          <w:rFonts w:ascii="Lato" w:eastAsia="Lato" w:hAnsi="Lato" w:cs="Lato"/>
          <w:b/>
        </w:rPr>
        <w:t xml:space="preserve">los centros de salud no realizaron y/o postergaron servicios preventivos fundamentales. </w:t>
      </w:r>
      <w:r>
        <w:rPr>
          <w:rFonts w:ascii="Lato" w:eastAsia="Lato" w:hAnsi="Lato" w:cs="Lato"/>
        </w:rPr>
        <w:t>Un 44% de las personas tuvo dificultades para acceder a estos servicios en general, y en particular, un 79% no pudo realizarse el examen citológico para la detección del cáncer cervicouterino (Papanicolaou), mientras que un 71% no pudo acceder a exámenes de detección de ITS</w:t>
      </w:r>
      <w:r>
        <w:rPr>
          <w:rFonts w:ascii="Lato" w:eastAsia="Lato" w:hAnsi="Lato" w:cs="Lato"/>
          <w:vertAlign w:val="superscript"/>
        </w:rPr>
        <w:footnoteReference w:id="2"/>
      </w:r>
      <w:r>
        <w:rPr>
          <w:rFonts w:ascii="Lato" w:eastAsia="Lato" w:hAnsi="Lato" w:cs="Lato"/>
        </w:rPr>
        <w:t>.</w:t>
      </w:r>
    </w:p>
    <w:p w14:paraId="57B78498" w14:textId="77777777" w:rsidR="005848AE"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before="200" w:after="200"/>
        <w:jc w:val="both"/>
        <w:rPr>
          <w:rFonts w:ascii="Lato" w:eastAsia="Lato" w:hAnsi="Lato" w:cs="Lato"/>
        </w:rPr>
      </w:pPr>
      <w:r>
        <w:rPr>
          <w:rFonts w:ascii="Lato" w:eastAsia="Lato" w:hAnsi="Lato" w:cs="Lato"/>
        </w:rPr>
        <w:t xml:space="preserve">La </w:t>
      </w:r>
      <w:r>
        <w:rPr>
          <w:rFonts w:ascii="Lato" w:eastAsia="Lato" w:hAnsi="Lato" w:cs="Lato"/>
          <w:b/>
        </w:rPr>
        <w:t>falta de lineamientos gubernamentales</w:t>
      </w:r>
      <w:r>
        <w:rPr>
          <w:rFonts w:ascii="Lato" w:eastAsia="Lato" w:hAnsi="Lato" w:cs="Lato"/>
        </w:rPr>
        <w:t xml:space="preserve"> para asegurar los servicios públicos de salud sexual y reproductiva durante la crisis sanitaria contribuyó a la disminución de la oferta, pues recién en octubre de 2020 el Ministerio de Salud publicó el documento </w:t>
      </w:r>
      <w:r>
        <w:rPr>
          <w:rFonts w:ascii="Lato" w:eastAsia="Lato" w:hAnsi="Lato" w:cs="Lato"/>
          <w:i/>
        </w:rPr>
        <w:t>“Orientaciones técnicas. Continuidad de la atención en salud sexual y reproductiva en el contexto de la pandemia por COVID-19”</w:t>
      </w:r>
      <w:r>
        <w:rPr>
          <w:rFonts w:ascii="Lato" w:eastAsia="Lato" w:hAnsi="Lato" w:cs="Lato"/>
          <w:vertAlign w:val="superscript"/>
        </w:rPr>
        <w:footnoteReference w:id="3"/>
      </w:r>
      <w:r>
        <w:rPr>
          <w:rFonts w:ascii="Lato" w:eastAsia="Lato" w:hAnsi="Lato" w:cs="Lato"/>
        </w:rPr>
        <w:t>.</w:t>
      </w:r>
    </w:p>
    <w:p w14:paraId="3666B0EF" w14:textId="77777777" w:rsidR="005848AE"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before="200" w:after="200"/>
        <w:jc w:val="both"/>
        <w:rPr>
          <w:rFonts w:ascii="Lato" w:eastAsia="Lato" w:hAnsi="Lato" w:cs="Lato"/>
        </w:rPr>
      </w:pPr>
      <w:r>
        <w:rPr>
          <w:rFonts w:ascii="Lato" w:eastAsia="Lato" w:hAnsi="Lato" w:cs="Lato"/>
        </w:rPr>
        <w:t xml:space="preserve">Otro obstáculo para el acceso a los servicios fue el </w:t>
      </w:r>
      <w:r>
        <w:rPr>
          <w:rFonts w:ascii="Lato" w:eastAsia="Lato" w:hAnsi="Lato" w:cs="Lato"/>
          <w:b/>
        </w:rPr>
        <w:t xml:space="preserve">aumento de precio de los métodos anticonceptivos. </w:t>
      </w:r>
      <w:r>
        <w:rPr>
          <w:rFonts w:ascii="Lato" w:eastAsia="Lato" w:hAnsi="Lato" w:cs="Lato"/>
        </w:rPr>
        <w:t>Según una encuesta realizada por Corporación Miles, al menos el 49% de las encuestadas reportó un aumento de precios, en promedio de 18,8%, con diferencias significativas entre las marcas, algunas de las cuales aumentaron hasta en un 36%</w:t>
      </w:r>
      <w:r>
        <w:rPr>
          <w:rFonts w:ascii="Lato" w:eastAsia="Lato" w:hAnsi="Lato" w:cs="Lato"/>
          <w:vertAlign w:val="superscript"/>
        </w:rPr>
        <w:footnoteReference w:id="4"/>
      </w:r>
      <w:r>
        <w:rPr>
          <w:rFonts w:ascii="Lato" w:eastAsia="Lato" w:hAnsi="Lato" w:cs="Lato"/>
        </w:rPr>
        <w:t xml:space="preserve">. Esta situación impacta de manera diferenciada a la población, </w:t>
      </w:r>
      <w:r>
        <w:rPr>
          <w:rFonts w:ascii="Lato" w:eastAsia="Lato" w:hAnsi="Lato" w:cs="Lato"/>
          <w:b/>
        </w:rPr>
        <w:t>afectando de manera desproporcionada a las mujeres más jóvenes (entre 18 y 24 años), quienes</w:t>
      </w:r>
      <w:r>
        <w:rPr>
          <w:rFonts w:ascii="Lato" w:eastAsia="Lato" w:hAnsi="Lato" w:cs="Lato"/>
        </w:rPr>
        <w:t xml:space="preserve"> son las principales consumidoras de anticonceptivos, especialmente las de menores ingresos, que, aunque en su mayoría están afiliadas al sistema público de salud (FONASA) y tienen la posibilidad de adquirir los anticonceptivos de manera gratuita en los centros de atención primaria, compran sus pastillas en farmacias privadas</w:t>
      </w:r>
      <w:r>
        <w:rPr>
          <w:rFonts w:ascii="Lato" w:eastAsia="Lato" w:hAnsi="Lato" w:cs="Lato"/>
          <w:vertAlign w:val="superscript"/>
        </w:rPr>
        <w:footnoteReference w:id="5"/>
      </w:r>
      <w:r>
        <w:rPr>
          <w:rFonts w:ascii="Lato" w:eastAsia="Lato" w:hAnsi="Lato" w:cs="Lato"/>
        </w:rPr>
        <w:t>.</w:t>
      </w:r>
    </w:p>
    <w:p w14:paraId="1C9E8204" w14:textId="77777777" w:rsidR="005848AE"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before="200" w:after="200"/>
        <w:jc w:val="both"/>
        <w:rPr>
          <w:rFonts w:ascii="Lato" w:eastAsia="Lato" w:hAnsi="Lato" w:cs="Lato"/>
        </w:rPr>
      </w:pPr>
      <w:r>
        <w:rPr>
          <w:rFonts w:ascii="Lato" w:eastAsia="Lato" w:hAnsi="Lato" w:cs="Lato"/>
        </w:rPr>
        <w:t xml:space="preserve">La </w:t>
      </w:r>
      <w:r>
        <w:rPr>
          <w:rFonts w:ascii="Lato" w:eastAsia="Lato" w:hAnsi="Lato" w:cs="Lato"/>
          <w:b/>
        </w:rPr>
        <w:t xml:space="preserve">implementación de la Ley Nº21.030, que regula la despenalización de la interrupción voluntaria del embarazo en tres causales (en adelante, “Ley IVE”), también se vio afectada </w:t>
      </w:r>
      <w:r>
        <w:rPr>
          <w:rFonts w:ascii="Lato" w:eastAsia="Lato" w:hAnsi="Lato" w:cs="Lato"/>
          <w:b/>
        </w:rPr>
        <w:lastRenderedPageBreak/>
        <w:t xml:space="preserve">durante la pandemia, </w:t>
      </w:r>
      <w:r>
        <w:rPr>
          <w:rFonts w:ascii="Lato" w:eastAsia="Lato" w:hAnsi="Lato" w:cs="Lato"/>
        </w:rPr>
        <w:t>con una disminución significativa en 2020 de los casos constituidos bajo la causal 1 (peligro para la vida de la madre), alcanzando las cifras más bajas desde la vigencia de la ley (262 casos en 2018 en comparación con 160 en 2020).</w:t>
      </w:r>
      <w:r>
        <w:rPr>
          <w:rFonts w:ascii="Lato" w:eastAsia="Lato" w:hAnsi="Lato" w:cs="Lato"/>
          <w:vertAlign w:val="superscript"/>
        </w:rPr>
        <w:footnoteReference w:id="6"/>
      </w:r>
    </w:p>
    <w:p w14:paraId="07EE87FB" w14:textId="77777777" w:rsidR="005848AE"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before="200" w:after="200"/>
        <w:jc w:val="both"/>
        <w:rPr>
          <w:rFonts w:ascii="Lato" w:eastAsia="Lato" w:hAnsi="Lato" w:cs="Lato"/>
        </w:rPr>
      </w:pPr>
      <w:r>
        <w:rPr>
          <w:rFonts w:ascii="Lato" w:eastAsia="Lato" w:hAnsi="Lato" w:cs="Lato"/>
        </w:rPr>
        <w:t xml:space="preserve">Adicionalmente, el acceso a esta prestación de salud se vio obstaculizado por la carencia de medicamentos e insumos, con una </w:t>
      </w:r>
      <w:r>
        <w:rPr>
          <w:rFonts w:ascii="Lato" w:eastAsia="Lato" w:hAnsi="Lato" w:cs="Lato"/>
          <w:b/>
        </w:rPr>
        <w:t>escasa disponibilidad de mifepristona y un déficit en el instrumental para realizar AMEU</w:t>
      </w:r>
      <w:r>
        <w:rPr>
          <w:rFonts w:ascii="Lato" w:eastAsia="Lato" w:hAnsi="Lato" w:cs="Lato"/>
        </w:rPr>
        <w:t>. De los 66 hospitales que proveen esta prestación, 35 no solicitaron el fármaco a la Central Nacional de Abastecimiento en 2020 (un 53%), y del total solicitado, solo se recibió el 88%.</w:t>
      </w:r>
      <w:r>
        <w:rPr>
          <w:rFonts w:ascii="Lato" w:eastAsia="Lato" w:hAnsi="Lato" w:cs="Lato"/>
          <w:vertAlign w:val="superscript"/>
        </w:rPr>
        <w:footnoteReference w:id="7"/>
      </w:r>
    </w:p>
    <w:p w14:paraId="64E36852" w14:textId="29F59041" w:rsidR="005848AE"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before="200" w:after="200"/>
        <w:jc w:val="both"/>
        <w:rPr>
          <w:rFonts w:ascii="Lato" w:eastAsia="Lato" w:hAnsi="Lato" w:cs="Lato"/>
        </w:rPr>
      </w:pPr>
      <w:r>
        <w:rPr>
          <w:rFonts w:ascii="Lato" w:eastAsia="Lato" w:hAnsi="Lato" w:cs="Lato"/>
        </w:rPr>
        <w:t xml:space="preserve">Asimismo, se constató una </w:t>
      </w:r>
      <w:r>
        <w:rPr>
          <w:rFonts w:ascii="Lato" w:eastAsia="Lato" w:hAnsi="Lato" w:cs="Lato"/>
          <w:b/>
        </w:rPr>
        <w:t xml:space="preserve">falta de información respecto al procedimiento </w:t>
      </w:r>
      <w:r>
        <w:rPr>
          <w:rFonts w:ascii="Lato" w:eastAsia="Lato" w:hAnsi="Lato" w:cs="Lato"/>
        </w:rPr>
        <w:t xml:space="preserve">para la constitución de las causales, los indicadores para realizar el diagnóstico y los plazos en que deben proceder, lo que obstaculiza el acceso a la prestación y convierte la experiencia en un proceso </w:t>
      </w:r>
      <w:r w:rsidR="001369AC">
        <w:rPr>
          <w:rFonts w:ascii="Lato" w:eastAsia="Lato" w:hAnsi="Lato" w:cs="Lato"/>
        </w:rPr>
        <w:t>engorroso</w:t>
      </w:r>
      <w:r>
        <w:rPr>
          <w:rFonts w:ascii="Lato" w:eastAsia="Lato" w:hAnsi="Lato" w:cs="Lato"/>
        </w:rPr>
        <w:t xml:space="preserve"> </w:t>
      </w:r>
      <w:r w:rsidR="001369AC">
        <w:rPr>
          <w:rFonts w:ascii="Lato" w:eastAsia="Lato" w:hAnsi="Lato" w:cs="Lato"/>
        </w:rPr>
        <w:t xml:space="preserve">y </w:t>
      </w:r>
      <w:r>
        <w:rPr>
          <w:rFonts w:ascii="Lato" w:eastAsia="Lato" w:hAnsi="Lato" w:cs="Lato"/>
        </w:rPr>
        <w:t>ambiguo que refuerza el estigma del aborto</w:t>
      </w:r>
      <w:r>
        <w:rPr>
          <w:rFonts w:ascii="Lato" w:eastAsia="Lato" w:hAnsi="Lato" w:cs="Lato"/>
          <w:vertAlign w:val="superscript"/>
        </w:rPr>
        <w:footnoteReference w:id="8"/>
      </w:r>
      <w:r>
        <w:rPr>
          <w:rFonts w:ascii="Lato" w:eastAsia="Lato" w:hAnsi="Lato" w:cs="Lato"/>
        </w:rPr>
        <w:t xml:space="preserve">. </w:t>
      </w:r>
    </w:p>
    <w:p w14:paraId="0325FE37" w14:textId="77777777" w:rsidR="005848AE"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before="200" w:after="200"/>
        <w:jc w:val="both"/>
        <w:rPr>
          <w:rFonts w:ascii="Lato" w:eastAsia="Lato" w:hAnsi="Lato" w:cs="Lato"/>
          <w:b/>
        </w:rPr>
      </w:pPr>
      <w:r>
        <w:rPr>
          <w:rFonts w:ascii="Lato" w:eastAsia="Lato" w:hAnsi="Lato" w:cs="Lato"/>
          <w:b/>
        </w:rPr>
        <w:t>Recomendaciones:</w:t>
      </w:r>
    </w:p>
    <w:p w14:paraId="63963116" w14:textId="77777777" w:rsidR="005848AE" w:rsidRDefault="00000000">
      <w:pPr>
        <w:numPr>
          <w:ilvl w:val="0"/>
          <w:numId w:val="9"/>
        </w:numPr>
        <w:pBdr>
          <w:top w:val="nil"/>
          <w:left w:val="nil"/>
          <w:bottom w:val="nil"/>
          <w:right w:val="nil"/>
          <w:between w:val="nil"/>
        </w:pBdr>
        <w:tabs>
          <w:tab w:val="left" w:pos="1267"/>
          <w:tab w:val="left" w:pos="1742"/>
          <w:tab w:val="left" w:pos="2218"/>
          <w:tab w:val="left" w:pos="2693"/>
          <w:tab w:val="left" w:pos="3182"/>
          <w:tab w:val="left" w:pos="3658"/>
          <w:tab w:val="left" w:pos="4133"/>
          <w:tab w:val="left" w:pos="4622"/>
          <w:tab w:val="left" w:pos="5098"/>
          <w:tab w:val="left" w:pos="5573"/>
          <w:tab w:val="left" w:pos="6048"/>
        </w:tabs>
        <w:spacing w:before="200"/>
        <w:jc w:val="both"/>
        <w:rPr>
          <w:rFonts w:ascii="Lato" w:eastAsia="Lato" w:hAnsi="Lato" w:cs="Lato"/>
          <w:b/>
        </w:rPr>
      </w:pPr>
      <w:r>
        <w:rPr>
          <w:rFonts w:ascii="Lato" w:eastAsia="Lato" w:hAnsi="Lato" w:cs="Lato"/>
          <w:b/>
        </w:rPr>
        <w:t xml:space="preserve">Adoptar medidas a corto y mediano plazo que fortalezcan y amplíen la oferta de anticonceptivos en el sistema público. </w:t>
      </w:r>
    </w:p>
    <w:p w14:paraId="13E6002C" w14:textId="77777777" w:rsidR="005848AE" w:rsidRDefault="00000000">
      <w:pPr>
        <w:numPr>
          <w:ilvl w:val="0"/>
          <w:numId w:val="9"/>
        </w:numPr>
        <w:pBdr>
          <w:top w:val="nil"/>
          <w:left w:val="nil"/>
          <w:bottom w:val="nil"/>
          <w:right w:val="nil"/>
          <w:between w:val="nil"/>
        </w:pBdr>
        <w:tabs>
          <w:tab w:val="left" w:pos="1267"/>
          <w:tab w:val="left" w:pos="1742"/>
          <w:tab w:val="left" w:pos="2218"/>
          <w:tab w:val="left" w:pos="2693"/>
          <w:tab w:val="left" w:pos="3182"/>
          <w:tab w:val="left" w:pos="3658"/>
          <w:tab w:val="left" w:pos="4133"/>
          <w:tab w:val="left" w:pos="4622"/>
          <w:tab w:val="left" w:pos="5098"/>
          <w:tab w:val="left" w:pos="5573"/>
          <w:tab w:val="left" w:pos="6048"/>
        </w:tabs>
        <w:jc w:val="both"/>
        <w:rPr>
          <w:rFonts w:ascii="Lato" w:eastAsia="Lato" w:hAnsi="Lato" w:cs="Lato"/>
          <w:b/>
        </w:rPr>
      </w:pPr>
      <w:r>
        <w:rPr>
          <w:rFonts w:ascii="Lato" w:eastAsia="Lato" w:hAnsi="Lato" w:cs="Lato"/>
          <w:b/>
        </w:rPr>
        <w:t>Diversificar los puntos de distribución de anticonceptivos y habilitar alternativas para disminuir los tiempos de traslado y espera de las usuarias.</w:t>
      </w:r>
    </w:p>
    <w:p w14:paraId="79A16708" w14:textId="77777777" w:rsidR="005848AE" w:rsidRDefault="00000000">
      <w:pPr>
        <w:numPr>
          <w:ilvl w:val="0"/>
          <w:numId w:val="9"/>
        </w:numPr>
        <w:pBdr>
          <w:top w:val="nil"/>
          <w:left w:val="nil"/>
          <w:bottom w:val="nil"/>
          <w:right w:val="nil"/>
          <w:between w:val="nil"/>
        </w:pBdr>
        <w:tabs>
          <w:tab w:val="left" w:pos="1267"/>
          <w:tab w:val="left" w:pos="1742"/>
          <w:tab w:val="left" w:pos="2218"/>
          <w:tab w:val="left" w:pos="2693"/>
          <w:tab w:val="left" w:pos="3182"/>
          <w:tab w:val="left" w:pos="3658"/>
          <w:tab w:val="left" w:pos="4133"/>
          <w:tab w:val="left" w:pos="4622"/>
          <w:tab w:val="left" w:pos="5098"/>
          <w:tab w:val="left" w:pos="5573"/>
          <w:tab w:val="left" w:pos="6048"/>
        </w:tabs>
        <w:jc w:val="both"/>
        <w:rPr>
          <w:rFonts w:ascii="Lato" w:eastAsia="Lato" w:hAnsi="Lato" w:cs="Lato"/>
          <w:b/>
        </w:rPr>
      </w:pPr>
      <w:r>
        <w:rPr>
          <w:rFonts w:ascii="Lato" w:eastAsia="Lato" w:hAnsi="Lato" w:cs="Lato"/>
          <w:b/>
        </w:rPr>
        <w:t>Implementar campañas de difusión y capacitación al personal de salud para promover el uso de anticonceptivos de larga duración.</w:t>
      </w:r>
    </w:p>
    <w:p w14:paraId="3FFA8FF3" w14:textId="77777777" w:rsidR="005848AE" w:rsidRDefault="00000000">
      <w:pPr>
        <w:numPr>
          <w:ilvl w:val="0"/>
          <w:numId w:val="9"/>
        </w:numPr>
        <w:pBdr>
          <w:top w:val="nil"/>
          <w:left w:val="nil"/>
          <w:bottom w:val="nil"/>
          <w:right w:val="nil"/>
          <w:between w:val="nil"/>
        </w:pBdr>
        <w:tabs>
          <w:tab w:val="left" w:pos="1267"/>
          <w:tab w:val="left" w:pos="1742"/>
          <w:tab w:val="left" w:pos="2218"/>
          <w:tab w:val="left" w:pos="2693"/>
          <w:tab w:val="left" w:pos="3182"/>
          <w:tab w:val="left" w:pos="3658"/>
          <w:tab w:val="left" w:pos="4133"/>
          <w:tab w:val="left" w:pos="4622"/>
          <w:tab w:val="left" w:pos="5098"/>
          <w:tab w:val="left" w:pos="5573"/>
          <w:tab w:val="left" w:pos="6048"/>
        </w:tabs>
        <w:jc w:val="both"/>
        <w:rPr>
          <w:rFonts w:ascii="Lato" w:eastAsia="Lato" w:hAnsi="Lato" w:cs="Lato"/>
          <w:b/>
        </w:rPr>
      </w:pPr>
      <w:r>
        <w:rPr>
          <w:rFonts w:ascii="Lato" w:eastAsia="Lato" w:hAnsi="Lato" w:cs="Lato"/>
          <w:b/>
        </w:rPr>
        <w:t>Considerar los insumos de planificación familiar como esenciales de salud, para protegerlos en contextos de crisis sociales, económicas y sanitarias, incluyendo medidas que impidan el alza desmedida de precios en situaciones de emergencia.</w:t>
      </w:r>
    </w:p>
    <w:p w14:paraId="0A712271" w14:textId="77777777" w:rsidR="005848AE" w:rsidRDefault="00000000">
      <w:pPr>
        <w:numPr>
          <w:ilvl w:val="0"/>
          <w:numId w:val="9"/>
        </w:numPr>
        <w:pBdr>
          <w:top w:val="nil"/>
          <w:left w:val="nil"/>
          <w:bottom w:val="nil"/>
          <w:right w:val="nil"/>
          <w:between w:val="nil"/>
        </w:pBdr>
        <w:tabs>
          <w:tab w:val="left" w:pos="1267"/>
          <w:tab w:val="left" w:pos="1742"/>
          <w:tab w:val="left" w:pos="2218"/>
          <w:tab w:val="left" w:pos="2693"/>
          <w:tab w:val="left" w:pos="3182"/>
          <w:tab w:val="left" w:pos="3658"/>
          <w:tab w:val="left" w:pos="4133"/>
          <w:tab w:val="left" w:pos="4622"/>
          <w:tab w:val="left" w:pos="5098"/>
          <w:tab w:val="left" w:pos="5573"/>
          <w:tab w:val="left" w:pos="6048"/>
        </w:tabs>
        <w:jc w:val="both"/>
        <w:rPr>
          <w:rFonts w:ascii="Lato" w:eastAsia="Lato" w:hAnsi="Lato" w:cs="Lato"/>
          <w:b/>
        </w:rPr>
      </w:pPr>
      <w:r>
        <w:rPr>
          <w:rFonts w:ascii="Lato" w:eastAsia="Lato" w:hAnsi="Lato" w:cs="Lato"/>
          <w:b/>
        </w:rPr>
        <w:t xml:space="preserve">Fortalecer los mecanismos de regulación, monitoreo y fiscalización para impedir alzas injustificadas y posibles colusiones entre privados respecto del precio de los insumos de anticoncepción y profilaxis, de manera que cumplan estándares del derecho humano a la salud. </w:t>
      </w:r>
    </w:p>
    <w:p w14:paraId="3142EF44" w14:textId="77777777" w:rsidR="005848AE" w:rsidRDefault="00000000">
      <w:pPr>
        <w:numPr>
          <w:ilvl w:val="0"/>
          <w:numId w:val="9"/>
        </w:numPr>
        <w:pBdr>
          <w:top w:val="nil"/>
          <w:left w:val="nil"/>
          <w:bottom w:val="nil"/>
          <w:right w:val="nil"/>
          <w:between w:val="nil"/>
        </w:pBdr>
        <w:tabs>
          <w:tab w:val="left" w:pos="1267"/>
          <w:tab w:val="left" w:pos="1742"/>
          <w:tab w:val="left" w:pos="2218"/>
          <w:tab w:val="left" w:pos="2693"/>
          <w:tab w:val="left" w:pos="3182"/>
          <w:tab w:val="left" w:pos="3658"/>
          <w:tab w:val="left" w:pos="4133"/>
          <w:tab w:val="left" w:pos="4622"/>
          <w:tab w:val="left" w:pos="5098"/>
          <w:tab w:val="left" w:pos="5573"/>
          <w:tab w:val="left" w:pos="6048"/>
        </w:tabs>
        <w:jc w:val="both"/>
        <w:rPr>
          <w:rFonts w:ascii="Lato" w:eastAsia="Lato" w:hAnsi="Lato" w:cs="Lato"/>
          <w:b/>
        </w:rPr>
      </w:pPr>
      <w:r>
        <w:rPr>
          <w:rFonts w:ascii="Lato" w:eastAsia="Lato" w:hAnsi="Lato" w:cs="Lato"/>
          <w:b/>
        </w:rPr>
        <w:t xml:space="preserve">Ampliar las facultades del Instituto de Salud Pública para asegurar la calidad de los anticonceptivos distribuidos tanto en el sistema público como en farmacias. </w:t>
      </w:r>
    </w:p>
    <w:p w14:paraId="6FE1CF9A" w14:textId="77777777" w:rsidR="005848AE" w:rsidRDefault="00000000">
      <w:pPr>
        <w:numPr>
          <w:ilvl w:val="0"/>
          <w:numId w:val="9"/>
        </w:numPr>
        <w:pBdr>
          <w:top w:val="nil"/>
          <w:left w:val="nil"/>
          <w:bottom w:val="nil"/>
          <w:right w:val="nil"/>
          <w:between w:val="nil"/>
        </w:pBdr>
        <w:tabs>
          <w:tab w:val="left" w:pos="1267"/>
          <w:tab w:val="left" w:pos="1742"/>
          <w:tab w:val="left" w:pos="2218"/>
          <w:tab w:val="left" w:pos="2693"/>
          <w:tab w:val="left" w:pos="3182"/>
          <w:tab w:val="left" w:pos="3658"/>
          <w:tab w:val="left" w:pos="4133"/>
          <w:tab w:val="left" w:pos="4622"/>
          <w:tab w:val="left" w:pos="5098"/>
          <w:tab w:val="left" w:pos="5573"/>
          <w:tab w:val="left" w:pos="6048"/>
        </w:tabs>
        <w:jc w:val="both"/>
        <w:rPr>
          <w:rFonts w:ascii="Lato" w:eastAsia="Lato" w:hAnsi="Lato" w:cs="Lato"/>
          <w:b/>
        </w:rPr>
      </w:pPr>
      <w:r>
        <w:rPr>
          <w:rFonts w:ascii="Lato" w:eastAsia="Lato" w:hAnsi="Lato" w:cs="Lato"/>
          <w:b/>
        </w:rPr>
        <w:lastRenderedPageBreak/>
        <w:t>Fortalecer el Manual de Fiscalización a la IVE implementado en enero de 2023, incorporando herramientas que permitan la fiscalización de las situaciones previas a la constitución de la causal.</w:t>
      </w:r>
    </w:p>
    <w:p w14:paraId="44E64739" w14:textId="77777777" w:rsidR="005848AE" w:rsidRDefault="00000000">
      <w:pPr>
        <w:numPr>
          <w:ilvl w:val="0"/>
          <w:numId w:val="9"/>
        </w:numPr>
        <w:tabs>
          <w:tab w:val="left" w:pos="1267"/>
          <w:tab w:val="left" w:pos="1742"/>
          <w:tab w:val="left" w:pos="2218"/>
          <w:tab w:val="left" w:pos="2693"/>
          <w:tab w:val="left" w:pos="3182"/>
          <w:tab w:val="left" w:pos="3658"/>
          <w:tab w:val="left" w:pos="4133"/>
          <w:tab w:val="left" w:pos="4622"/>
          <w:tab w:val="left" w:pos="5098"/>
          <w:tab w:val="left" w:pos="5573"/>
          <w:tab w:val="left" w:pos="6048"/>
        </w:tabs>
        <w:jc w:val="both"/>
        <w:rPr>
          <w:rFonts w:ascii="Lato" w:eastAsia="Lato" w:hAnsi="Lato" w:cs="Lato"/>
          <w:b/>
        </w:rPr>
      </w:pPr>
      <w:r>
        <w:rPr>
          <w:rFonts w:ascii="Lato" w:eastAsia="Lato" w:hAnsi="Lato" w:cs="Lato"/>
          <w:b/>
        </w:rPr>
        <w:t>Estandarizar la programación de Misoprostol y Mifepristona para la Ley 21.030, diferenciando el stock destinado a otros usos.</w:t>
      </w:r>
    </w:p>
    <w:p w14:paraId="51472E59" w14:textId="77777777" w:rsidR="005848AE" w:rsidRDefault="00000000">
      <w:pPr>
        <w:numPr>
          <w:ilvl w:val="0"/>
          <w:numId w:val="9"/>
        </w:numPr>
        <w:pBdr>
          <w:top w:val="nil"/>
          <w:left w:val="nil"/>
          <w:bottom w:val="nil"/>
          <w:right w:val="nil"/>
          <w:between w:val="nil"/>
        </w:pBdr>
        <w:tabs>
          <w:tab w:val="left" w:pos="1267"/>
          <w:tab w:val="left" w:pos="1742"/>
          <w:tab w:val="left" w:pos="2218"/>
          <w:tab w:val="left" w:pos="2693"/>
          <w:tab w:val="left" w:pos="3182"/>
          <w:tab w:val="left" w:pos="3658"/>
          <w:tab w:val="left" w:pos="4133"/>
          <w:tab w:val="left" w:pos="4622"/>
          <w:tab w:val="left" w:pos="5098"/>
          <w:tab w:val="left" w:pos="5573"/>
          <w:tab w:val="left" w:pos="6048"/>
        </w:tabs>
        <w:jc w:val="both"/>
        <w:rPr>
          <w:rFonts w:ascii="Lato" w:eastAsia="Lato" w:hAnsi="Lato" w:cs="Lato"/>
          <w:b/>
        </w:rPr>
      </w:pPr>
      <w:r>
        <w:rPr>
          <w:rFonts w:ascii="Lato" w:eastAsia="Lato" w:hAnsi="Lato" w:cs="Lato"/>
          <w:b/>
        </w:rPr>
        <w:t>Fortalecer las capacitaciones sobre Ley 21.030, unificando criterios a nivel nacional e incluyendo temas como la objeción de conciencia y sus limitaciones respecto a la información, diagnóstico, toma e informe de exámenes, derivación, así como los demás actos de preparación y cuidados posteriores al procedimiento de interrupción del embarazo.</w:t>
      </w:r>
    </w:p>
    <w:p w14:paraId="32C9E19A" w14:textId="77777777" w:rsidR="005848AE" w:rsidRDefault="00000000">
      <w:pPr>
        <w:numPr>
          <w:ilvl w:val="0"/>
          <w:numId w:val="9"/>
        </w:numPr>
        <w:pBdr>
          <w:top w:val="nil"/>
          <w:left w:val="nil"/>
          <w:bottom w:val="nil"/>
          <w:right w:val="nil"/>
          <w:between w:val="nil"/>
        </w:pBd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200"/>
        <w:jc w:val="both"/>
        <w:rPr>
          <w:rFonts w:ascii="Lato" w:eastAsia="Lato" w:hAnsi="Lato" w:cs="Lato"/>
          <w:b/>
        </w:rPr>
      </w:pPr>
      <w:r>
        <w:rPr>
          <w:rFonts w:ascii="Lato" w:eastAsia="Lato" w:hAnsi="Lato" w:cs="Lato"/>
          <w:b/>
        </w:rPr>
        <w:t xml:space="preserve">Promover el uso de mifepristona y AMEU (aspiración manual </w:t>
      </w:r>
      <w:proofErr w:type="spellStart"/>
      <w:r>
        <w:rPr>
          <w:rFonts w:ascii="Lato" w:eastAsia="Lato" w:hAnsi="Lato" w:cs="Lato"/>
          <w:b/>
        </w:rPr>
        <w:t>endouterina</w:t>
      </w:r>
      <w:proofErr w:type="spellEnd"/>
      <w:r>
        <w:rPr>
          <w:rFonts w:ascii="Lato" w:eastAsia="Lato" w:hAnsi="Lato" w:cs="Lato"/>
          <w:b/>
        </w:rPr>
        <w:t>) para la interrupción del embarazo, asegurando presupuesto suficiente que garantice su disponibilidad, capacitaciones técnicas sobre su uso y estándares internacionales en la materia.</w:t>
      </w:r>
    </w:p>
    <w:p w14:paraId="05E09F8D" w14:textId="77777777" w:rsidR="005848AE" w:rsidRDefault="00000000">
      <w:pPr>
        <w:numPr>
          <w:ilvl w:val="0"/>
          <w:numId w:val="1"/>
        </w:numPr>
        <w:spacing w:before="200" w:after="200"/>
        <w:jc w:val="both"/>
        <w:rPr>
          <w:rFonts w:ascii="Lato" w:eastAsia="Lato" w:hAnsi="Lato" w:cs="Lato"/>
          <w:b/>
          <w:i/>
        </w:rPr>
      </w:pPr>
      <w:r>
        <w:rPr>
          <w:rFonts w:ascii="Lato" w:eastAsia="Lato" w:hAnsi="Lato" w:cs="Lato"/>
          <w:b/>
          <w:i/>
        </w:rPr>
        <w:t>Sobre el acceso a la justicia</w:t>
      </w:r>
    </w:p>
    <w:p w14:paraId="15558618" w14:textId="77777777" w:rsidR="005848AE" w:rsidRDefault="00000000">
      <w:pPr>
        <w:spacing w:before="200" w:after="200"/>
        <w:jc w:val="both"/>
        <w:rPr>
          <w:rFonts w:ascii="Lato" w:eastAsia="Lato" w:hAnsi="Lato" w:cs="Lato"/>
        </w:rPr>
      </w:pPr>
      <w:r>
        <w:rPr>
          <w:rFonts w:ascii="Lato" w:eastAsia="Lato" w:hAnsi="Lato" w:cs="Lato"/>
        </w:rPr>
        <w:t xml:space="preserve">En el marco jurídico chileno persiste una </w:t>
      </w:r>
      <w:r>
        <w:rPr>
          <w:rFonts w:ascii="Lato" w:eastAsia="Lato" w:hAnsi="Lato" w:cs="Lato"/>
          <w:b/>
        </w:rPr>
        <w:t>contradicción normativa que contribuye a la criminalización de mujeres y niñas que se practican un aborto o enfrentan pérdidas reproductivas espontáneas</w:t>
      </w:r>
      <w:r>
        <w:rPr>
          <w:rFonts w:ascii="Lato" w:eastAsia="Lato" w:hAnsi="Lato" w:cs="Lato"/>
        </w:rPr>
        <w:t xml:space="preserve">. Por una parte, el artículo 175 d) del Código Procesal Penal obliga a los profesionales de la salud a denunciar </w:t>
      </w:r>
      <w:r>
        <w:rPr>
          <w:rFonts w:ascii="Lato" w:eastAsia="Lato" w:hAnsi="Lato" w:cs="Lato"/>
          <w:i/>
        </w:rPr>
        <w:t>“cuando noten en una persona señales de algún delito”</w:t>
      </w:r>
      <w:r>
        <w:rPr>
          <w:rFonts w:ascii="Lato" w:eastAsia="Lato" w:hAnsi="Lato" w:cs="Lato"/>
        </w:rPr>
        <w:t>, mientras que el artículo 247 del Código Penal sanciona a quienes revelen secretos que les han sido confiados en el ejercicio de su profesión</w:t>
      </w:r>
      <w:r>
        <w:rPr>
          <w:rFonts w:ascii="Lato" w:eastAsia="Lato" w:hAnsi="Lato" w:cs="Lato"/>
          <w:vertAlign w:val="superscript"/>
        </w:rPr>
        <w:footnoteReference w:id="9"/>
      </w:r>
      <w:r>
        <w:rPr>
          <w:rFonts w:ascii="Lato" w:eastAsia="Lato" w:hAnsi="Lato" w:cs="Lato"/>
        </w:rPr>
        <w:t xml:space="preserve">. </w:t>
      </w:r>
    </w:p>
    <w:p w14:paraId="0D05FE18" w14:textId="75EFEBF2" w:rsidR="005848AE" w:rsidRDefault="00000000">
      <w:pPr>
        <w:spacing w:before="200" w:after="200"/>
        <w:jc w:val="both"/>
        <w:rPr>
          <w:rFonts w:ascii="Lato" w:eastAsia="Lato" w:hAnsi="Lato" w:cs="Lato"/>
        </w:rPr>
      </w:pPr>
      <w:r>
        <w:rPr>
          <w:rFonts w:ascii="Lato" w:eastAsia="Lato" w:hAnsi="Lato" w:cs="Lato"/>
        </w:rPr>
        <w:t xml:space="preserve">A pesar de esta aparente contradicción, los datos disponibles sugieren una fuerte convicción </w:t>
      </w:r>
      <w:r>
        <w:rPr>
          <w:rFonts w:ascii="Lato" w:eastAsia="Lato" w:hAnsi="Lato" w:cs="Lato"/>
          <w:b/>
        </w:rPr>
        <w:t>en el personal de salud e la obligatoriedad de denunciar a mujeres sospechosas de haberse practicado un aborto.</w:t>
      </w:r>
      <w:r>
        <w:rPr>
          <w:rFonts w:ascii="Lato" w:eastAsia="Lato" w:hAnsi="Lato" w:cs="Lato"/>
        </w:rPr>
        <w:t xml:space="preserve"> A través de una solicitud de información a distintos organismos públicos</w:t>
      </w:r>
      <w:r>
        <w:rPr>
          <w:rFonts w:ascii="Lato" w:eastAsia="Lato" w:hAnsi="Lato" w:cs="Lato"/>
          <w:vertAlign w:val="superscript"/>
        </w:rPr>
        <w:footnoteReference w:id="10"/>
      </w:r>
      <w:r>
        <w:rPr>
          <w:rFonts w:ascii="Lato" w:eastAsia="Lato" w:hAnsi="Lato" w:cs="Lato"/>
        </w:rPr>
        <w:t xml:space="preserve"> </w:t>
      </w:r>
      <w:r>
        <w:rPr>
          <w:rFonts w:ascii="Lato" w:eastAsia="Lato" w:hAnsi="Lato" w:cs="Lato"/>
          <w:vertAlign w:val="superscript"/>
        </w:rPr>
        <w:footnoteReference w:id="11"/>
      </w:r>
      <w:r>
        <w:rPr>
          <w:rFonts w:ascii="Lato" w:eastAsia="Lato" w:hAnsi="Lato" w:cs="Lato"/>
        </w:rPr>
        <w:t>, la Corporación Miles analizó un universo de 444 personas denunciadas, y el primer hallazgo fue la deficiencia de la información disponible, ya que en un 59,2% de los casos se desconoce quién es la persona o institución denunciante.</w:t>
      </w:r>
    </w:p>
    <w:p w14:paraId="39F19B1D" w14:textId="103B8F1D" w:rsidR="005848AE" w:rsidRDefault="00000000">
      <w:pPr>
        <w:spacing w:before="200" w:after="200"/>
        <w:jc w:val="both"/>
        <w:rPr>
          <w:rFonts w:ascii="Lato" w:eastAsia="Lato" w:hAnsi="Lato" w:cs="Lato"/>
          <w:sz w:val="16"/>
          <w:szCs w:val="16"/>
        </w:rPr>
      </w:pPr>
      <w:r>
        <w:rPr>
          <w:rFonts w:ascii="Lato" w:eastAsia="Lato" w:hAnsi="Lato" w:cs="Lato"/>
        </w:rPr>
        <w:t xml:space="preserve">Sin embargo, se evidencia que el personal de salud representa el </w:t>
      </w:r>
      <w:r>
        <w:rPr>
          <w:rFonts w:ascii="Lato" w:eastAsia="Lato" w:hAnsi="Lato" w:cs="Lato"/>
          <w:b/>
        </w:rPr>
        <w:t>19,6% de los denunciantes,</w:t>
      </w:r>
      <w:r>
        <w:rPr>
          <w:rFonts w:ascii="Lato" w:eastAsia="Lato" w:hAnsi="Lato" w:cs="Lato"/>
        </w:rPr>
        <w:t xml:space="preserve"> mientras que en 114 casos se presume que la denuncia se originó en alguna institución de </w:t>
      </w:r>
      <w:r>
        <w:rPr>
          <w:rFonts w:ascii="Lato" w:eastAsia="Lato" w:hAnsi="Lato" w:cs="Lato"/>
        </w:rPr>
        <w:lastRenderedPageBreak/>
        <w:t>salud, dado</w:t>
      </w:r>
      <w:r w:rsidR="001369AC">
        <w:rPr>
          <w:rFonts w:ascii="Lato" w:eastAsia="Lato" w:hAnsi="Lato" w:cs="Lato"/>
        </w:rPr>
        <w:t xml:space="preserve"> </w:t>
      </w:r>
      <w:r>
        <w:rPr>
          <w:rFonts w:ascii="Lato" w:eastAsia="Lato" w:hAnsi="Lato" w:cs="Lato"/>
        </w:rPr>
        <w:t>que la mujer o persona gestante recibió atención hospitalaria posterior al aborto (lo que corresponde a un 28,5%).</w:t>
      </w:r>
    </w:p>
    <w:p w14:paraId="04D86A73" w14:textId="77777777" w:rsidR="005848AE"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before="200" w:after="200"/>
        <w:ind w:right="-40"/>
        <w:jc w:val="both"/>
        <w:rPr>
          <w:rFonts w:ascii="Lato" w:eastAsia="Lato" w:hAnsi="Lato" w:cs="Lato"/>
          <w:b/>
        </w:rPr>
      </w:pPr>
      <w:r>
        <w:rPr>
          <w:rFonts w:ascii="Lato" w:eastAsia="Lato" w:hAnsi="Lato" w:cs="Lato"/>
        </w:rPr>
        <w:t xml:space="preserve">Por otra parte, la Ley Nº21.030 sobre la IVE exige que las niñas menores de 14 años cuenten con la autorización de sus tutores legales para acceder a la prestación, lo que constituye un obstáculo adicional. En caso de no contar con dicha autorización, se contempla la figura de la </w:t>
      </w:r>
      <w:r>
        <w:rPr>
          <w:rFonts w:ascii="Lato" w:eastAsia="Lato" w:hAnsi="Lato" w:cs="Lato"/>
          <w:b/>
        </w:rPr>
        <w:t>autorización judicial sustitutiva, es decir, que un tribunal autorice el procedimiento en ausencia o negativa de los tutores.</w:t>
      </w:r>
      <w:r>
        <w:rPr>
          <w:rFonts w:ascii="Lato" w:eastAsia="Lato" w:hAnsi="Lato" w:cs="Lato"/>
        </w:rPr>
        <w:t xml:space="preserve"> Sin embargo, se observa un acceso limitado de las niñas a la justicia en este ámbito; no se han adoptado medidas mínimas para llevar registrar estos casos ni existen protocolos establecidos para proceder</w:t>
      </w:r>
      <w:r>
        <w:rPr>
          <w:rFonts w:ascii="Lato" w:eastAsia="Lato" w:hAnsi="Lato" w:cs="Lato"/>
          <w:vertAlign w:val="superscript"/>
        </w:rPr>
        <w:footnoteReference w:id="12"/>
      </w:r>
      <w:r>
        <w:rPr>
          <w:rFonts w:ascii="Lato" w:eastAsia="Lato" w:hAnsi="Lato" w:cs="Lato"/>
        </w:rPr>
        <w:t xml:space="preserve">. Esta falta de mecanismos impacta negativamente el acceso a la IVE de las niñas: aunque todas han sido víctimas de violación según el marco legal chileno, </w:t>
      </w:r>
      <w:r>
        <w:rPr>
          <w:rFonts w:ascii="Lato" w:eastAsia="Lato" w:hAnsi="Lato" w:cs="Lato"/>
          <w:b/>
        </w:rPr>
        <w:t>entre 2020 y 2023 egresaron 892 niñas de hospitales siendo madres</w:t>
      </w:r>
      <w:r>
        <w:rPr>
          <w:rFonts w:ascii="Lato" w:eastAsia="Lato" w:hAnsi="Lato" w:cs="Lato"/>
        </w:rPr>
        <w:t xml:space="preserve">, mientras que en el mismo período solo 112 casos constituyeron causal en el marco de la IVE y 79 interrumpieron el embarazo. Además, </w:t>
      </w:r>
      <w:r>
        <w:rPr>
          <w:rFonts w:ascii="Lato" w:eastAsia="Lato" w:hAnsi="Lato" w:cs="Lato"/>
          <w:b/>
        </w:rPr>
        <w:t>entre 2017 y junio de 2022 se tramitaron 14 autorizaciones judiciales, de las que solo 2 fueron concedidas</w:t>
      </w:r>
      <w:r>
        <w:rPr>
          <w:rFonts w:ascii="Lato" w:eastAsia="Lato" w:hAnsi="Lato" w:cs="Lato"/>
          <w:b/>
          <w:vertAlign w:val="superscript"/>
        </w:rPr>
        <w:footnoteReference w:id="13"/>
      </w:r>
      <w:r>
        <w:rPr>
          <w:rFonts w:ascii="Lato" w:eastAsia="Lato" w:hAnsi="Lato" w:cs="Lato"/>
          <w:b/>
        </w:rPr>
        <w:t xml:space="preserve">. </w:t>
      </w:r>
    </w:p>
    <w:p w14:paraId="7D78791E" w14:textId="77777777" w:rsidR="005848AE" w:rsidRDefault="00000000">
      <w:pPr>
        <w:spacing w:before="200" w:after="200"/>
        <w:jc w:val="both"/>
        <w:rPr>
          <w:rFonts w:ascii="Lato" w:eastAsia="Lato" w:hAnsi="Lato" w:cs="Lato"/>
          <w:b/>
        </w:rPr>
      </w:pPr>
      <w:r>
        <w:rPr>
          <w:rFonts w:ascii="Lato" w:eastAsia="Lato" w:hAnsi="Lato" w:cs="Lato"/>
          <w:b/>
        </w:rPr>
        <w:t>Recomendaciones:</w:t>
      </w:r>
    </w:p>
    <w:p w14:paraId="11CB6EB6" w14:textId="77777777" w:rsidR="005848AE" w:rsidRDefault="00000000">
      <w:pPr>
        <w:numPr>
          <w:ilvl w:val="0"/>
          <w:numId w:val="8"/>
        </w:numPr>
        <w:spacing w:before="200"/>
        <w:jc w:val="both"/>
        <w:rPr>
          <w:rFonts w:ascii="Lato" w:eastAsia="Lato" w:hAnsi="Lato" w:cs="Lato"/>
          <w:b/>
        </w:rPr>
      </w:pPr>
      <w:r>
        <w:rPr>
          <w:rFonts w:ascii="Lato" w:eastAsia="Lato" w:hAnsi="Lato" w:cs="Lato"/>
          <w:b/>
        </w:rPr>
        <w:t>Emitir los instrumentos administrativos, por parte del Ministerio de Salud, que instruyan a las instituciones y profesionales de salud a no denunciar a mujeres y niñas cuando presenten síntomas o indicios compatibles con aborto provocado.</w:t>
      </w:r>
    </w:p>
    <w:p w14:paraId="4462E481" w14:textId="77777777" w:rsidR="005848AE" w:rsidRDefault="00000000">
      <w:pPr>
        <w:numPr>
          <w:ilvl w:val="0"/>
          <w:numId w:val="8"/>
        </w:numPr>
        <w:jc w:val="both"/>
        <w:rPr>
          <w:rFonts w:ascii="Lato" w:eastAsia="Lato" w:hAnsi="Lato" w:cs="Lato"/>
          <w:b/>
        </w:rPr>
      </w:pPr>
      <w:r>
        <w:rPr>
          <w:rFonts w:ascii="Lato" w:eastAsia="Lato" w:hAnsi="Lato" w:cs="Lato"/>
          <w:b/>
        </w:rPr>
        <w:t xml:space="preserve">Capacitar a las y los profesionales de salud sobre el sentido y alcance del deber de denuncia y el secreto profesional, con perspectiva de género y en el marco del derecho internacional de los derechos humanos. </w:t>
      </w:r>
    </w:p>
    <w:p w14:paraId="20E4FF08" w14:textId="77777777" w:rsidR="005848AE" w:rsidRDefault="00000000">
      <w:pPr>
        <w:numPr>
          <w:ilvl w:val="0"/>
          <w:numId w:val="8"/>
        </w:numPr>
        <w:jc w:val="both"/>
        <w:rPr>
          <w:rFonts w:ascii="Lato" w:eastAsia="Lato" w:hAnsi="Lato" w:cs="Lato"/>
          <w:b/>
        </w:rPr>
      </w:pPr>
      <w:r>
        <w:rPr>
          <w:rFonts w:ascii="Lato" w:eastAsia="Lato" w:hAnsi="Lato" w:cs="Lato"/>
          <w:b/>
        </w:rPr>
        <w:t>Emitir, con urgencia, los instrumentos normativos necesarios por parte de la Corte Suprema que regulen de manera clara el procedimiento para la autorización judicial sustitutiva en el marco de la Ley IVE.</w:t>
      </w:r>
    </w:p>
    <w:p w14:paraId="0C18AB67" w14:textId="77777777" w:rsidR="005848AE" w:rsidRDefault="00000000">
      <w:pPr>
        <w:numPr>
          <w:ilvl w:val="0"/>
          <w:numId w:val="8"/>
        </w:numPr>
        <w:spacing w:after="200"/>
        <w:jc w:val="both"/>
        <w:rPr>
          <w:rFonts w:ascii="Lato" w:eastAsia="Lato" w:hAnsi="Lato" w:cs="Lato"/>
          <w:b/>
        </w:rPr>
      </w:pPr>
      <w:r>
        <w:rPr>
          <w:rFonts w:ascii="Lato" w:eastAsia="Lato" w:hAnsi="Lato" w:cs="Lato"/>
          <w:b/>
        </w:rPr>
        <w:t>Implementar capacitaciones destinadas al personal de salud y del Poder Judicial sobre el procedimiento de autorización judicial sustitutiva y los derechos de las niñas, en particular su derecho de acceder a la justicia.</w:t>
      </w:r>
    </w:p>
    <w:p w14:paraId="29744B90" w14:textId="77777777" w:rsidR="005848AE" w:rsidRDefault="00000000">
      <w:pPr>
        <w:numPr>
          <w:ilvl w:val="0"/>
          <w:numId w:val="1"/>
        </w:numPr>
        <w:spacing w:before="200" w:after="200"/>
        <w:jc w:val="both"/>
        <w:rPr>
          <w:rFonts w:ascii="Lato" w:eastAsia="Lato" w:hAnsi="Lato" w:cs="Lato"/>
          <w:b/>
          <w:i/>
        </w:rPr>
      </w:pPr>
      <w:r>
        <w:rPr>
          <w:rFonts w:ascii="Lato" w:eastAsia="Lato" w:hAnsi="Lato" w:cs="Lato"/>
          <w:b/>
          <w:i/>
        </w:rPr>
        <w:t xml:space="preserve">Sobre las mujeres con discapacidad </w:t>
      </w:r>
    </w:p>
    <w:p w14:paraId="6D838F2E" w14:textId="77777777" w:rsidR="005848AE" w:rsidRDefault="00000000">
      <w:pPr>
        <w:spacing w:before="200" w:after="200"/>
        <w:jc w:val="both"/>
        <w:rPr>
          <w:rFonts w:ascii="Lato" w:eastAsia="Lato" w:hAnsi="Lato" w:cs="Lato"/>
        </w:rPr>
      </w:pPr>
      <w:r>
        <w:rPr>
          <w:rFonts w:ascii="Lato" w:eastAsia="Lato" w:hAnsi="Lato" w:cs="Lato"/>
        </w:rPr>
        <w:t xml:space="preserve">Aunque no representa la única ni necesariamente la mayor dificultad que enfrentan las niñas y mujeres con discapacidad, según las investigaciones de Corporación Miles, es importante destacar que, si bien en la Norma Nacional sobre regulación de la fertilidad incluye algunos </w:t>
      </w:r>
      <w:r>
        <w:rPr>
          <w:rFonts w:ascii="Lato" w:eastAsia="Lato" w:hAnsi="Lato" w:cs="Lato"/>
        </w:rPr>
        <w:lastRenderedPageBreak/>
        <w:t>lineamientos sobre el acceso de este grupo a servicios de salud sexual y reproductiva, esta condición no se considera como variable en las estadísticas del sector salud. Esto impide contar con datos oficiales sobre su acceso a dichos servicios.</w:t>
      </w:r>
    </w:p>
    <w:p w14:paraId="6B18B691" w14:textId="77777777" w:rsidR="005848AE" w:rsidRDefault="00000000">
      <w:pPr>
        <w:spacing w:before="200" w:after="200"/>
        <w:jc w:val="both"/>
        <w:rPr>
          <w:rFonts w:ascii="Lato" w:eastAsia="Lato" w:hAnsi="Lato" w:cs="Lato"/>
          <w:b/>
        </w:rPr>
      </w:pPr>
      <w:r>
        <w:rPr>
          <w:rFonts w:ascii="Lato" w:eastAsia="Lato" w:hAnsi="Lato" w:cs="Lato"/>
          <w:b/>
        </w:rPr>
        <w:t>Recomendaciones:</w:t>
      </w:r>
    </w:p>
    <w:p w14:paraId="2E20D762" w14:textId="77777777" w:rsidR="005848AE" w:rsidRDefault="00000000">
      <w:pPr>
        <w:numPr>
          <w:ilvl w:val="0"/>
          <w:numId w:val="5"/>
        </w:numPr>
        <w:spacing w:before="200" w:after="200"/>
        <w:jc w:val="both"/>
        <w:rPr>
          <w:rFonts w:ascii="Lato" w:eastAsia="Lato" w:hAnsi="Lato" w:cs="Lato"/>
          <w:b/>
        </w:rPr>
      </w:pPr>
      <w:r>
        <w:rPr>
          <w:rFonts w:ascii="Lato" w:eastAsia="Lato" w:hAnsi="Lato" w:cs="Lato"/>
          <w:b/>
        </w:rPr>
        <w:t>Incorporar en todos los monitoreos, registros y producción estadística las variables necesarias para obtener datos suficientes que permitan contar con un diagnóstico detallado y permanente del acceso de las mujeres y niñas con discapacidad a los servicios de salud sexual y reproductiva.</w:t>
      </w:r>
    </w:p>
    <w:p w14:paraId="3CF38412" w14:textId="77777777" w:rsidR="005848AE" w:rsidRDefault="00000000">
      <w:pPr>
        <w:numPr>
          <w:ilvl w:val="0"/>
          <w:numId w:val="4"/>
        </w:numPr>
        <w:pBdr>
          <w:top w:val="nil"/>
          <w:left w:val="nil"/>
          <w:bottom w:val="nil"/>
          <w:right w:val="nil"/>
          <w:between w:val="nil"/>
        </w:pBdr>
        <w:spacing w:before="200" w:after="200"/>
        <w:jc w:val="both"/>
        <w:rPr>
          <w:rFonts w:ascii="Lato" w:eastAsia="Lato" w:hAnsi="Lato" w:cs="Lato"/>
          <w:b/>
        </w:rPr>
      </w:pPr>
      <w:r>
        <w:rPr>
          <w:rFonts w:ascii="Lato" w:eastAsia="Lato" w:hAnsi="Lato" w:cs="Lato"/>
          <w:b/>
        </w:rPr>
        <w:t>Salud sexual y reproductiva (Artículo 12)</w:t>
      </w:r>
    </w:p>
    <w:p w14:paraId="651E8C97" w14:textId="77777777" w:rsidR="005848AE" w:rsidRDefault="00000000">
      <w:pPr>
        <w:numPr>
          <w:ilvl w:val="0"/>
          <w:numId w:val="6"/>
        </w:numPr>
        <w:pBdr>
          <w:top w:val="nil"/>
          <w:left w:val="nil"/>
          <w:bottom w:val="nil"/>
          <w:right w:val="nil"/>
          <w:between w:val="nil"/>
        </w:pBdr>
        <w:spacing w:before="200" w:after="200"/>
        <w:jc w:val="both"/>
        <w:rPr>
          <w:rFonts w:ascii="Lato" w:eastAsia="Lato" w:hAnsi="Lato" w:cs="Lato"/>
          <w:b/>
          <w:i/>
        </w:rPr>
      </w:pPr>
      <w:r>
        <w:rPr>
          <w:rFonts w:ascii="Lato" w:eastAsia="Lato" w:hAnsi="Lato" w:cs="Lato"/>
          <w:b/>
          <w:i/>
        </w:rPr>
        <w:t>Sobre el acceso a anticoncepción:</w:t>
      </w:r>
    </w:p>
    <w:p w14:paraId="600465D4" w14:textId="77777777" w:rsidR="005848AE" w:rsidRDefault="00000000">
      <w:pPr>
        <w:pBdr>
          <w:top w:val="nil"/>
          <w:left w:val="nil"/>
          <w:bottom w:val="nil"/>
          <w:right w:val="nil"/>
          <w:between w:val="nil"/>
        </w:pBdr>
        <w:spacing w:before="200" w:after="200"/>
        <w:jc w:val="both"/>
        <w:rPr>
          <w:rFonts w:ascii="Lato" w:eastAsia="Lato" w:hAnsi="Lato" w:cs="Lato"/>
          <w:b/>
          <w:i/>
        </w:rPr>
      </w:pPr>
      <w:r>
        <w:rPr>
          <w:rFonts w:ascii="Lato" w:eastAsia="Lato" w:hAnsi="Lato" w:cs="Lato"/>
          <w:b/>
          <w:i/>
        </w:rPr>
        <w:t xml:space="preserve">Barreras de acceso </w:t>
      </w:r>
    </w:p>
    <w:p w14:paraId="23C36237" w14:textId="77777777" w:rsidR="005848AE"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before="200" w:after="200"/>
        <w:jc w:val="both"/>
        <w:rPr>
          <w:rFonts w:ascii="Lato" w:eastAsia="Lato" w:hAnsi="Lato" w:cs="Lato"/>
        </w:rPr>
      </w:pPr>
      <w:r>
        <w:rPr>
          <w:rFonts w:ascii="Lato" w:eastAsia="Lato" w:hAnsi="Lato" w:cs="Lato"/>
        </w:rPr>
        <w:t xml:space="preserve">En Chile, la Ley </w:t>
      </w:r>
      <w:proofErr w:type="spellStart"/>
      <w:r>
        <w:rPr>
          <w:rFonts w:ascii="Lato" w:eastAsia="Lato" w:hAnsi="Lato" w:cs="Lato"/>
        </w:rPr>
        <w:t>Nº</w:t>
      </w:r>
      <w:proofErr w:type="spellEnd"/>
      <w:r>
        <w:rPr>
          <w:rFonts w:ascii="Lato" w:eastAsia="Lato" w:hAnsi="Lato" w:cs="Lato"/>
        </w:rPr>
        <w:t xml:space="preserve"> 20.418 del año 2010 regula los servicios de anticoncepción, estableciendo el derecho de toda persona a la información, orientación y acceso a métodos anticonceptivos disponibles en condiciones de confidencialidad. La única excepción a esta confidencialidad es para </w:t>
      </w:r>
      <w:r>
        <w:rPr>
          <w:rFonts w:ascii="Lato" w:eastAsia="Lato" w:hAnsi="Lato" w:cs="Lato"/>
          <w:b/>
        </w:rPr>
        <w:t>menores de 14 años que soliciten anticonceptivos de emergencia, en cuyo caso el método debe entregarse y luego notificar al padre, madre o adulto responsable que la niña indique</w:t>
      </w:r>
      <w:r>
        <w:rPr>
          <w:rFonts w:ascii="Lato" w:eastAsia="Lato" w:hAnsi="Lato" w:cs="Lato"/>
          <w:vertAlign w:val="superscript"/>
        </w:rPr>
        <w:footnoteReference w:id="14"/>
      </w:r>
      <w:r>
        <w:rPr>
          <w:rFonts w:ascii="Lato" w:eastAsia="Lato" w:hAnsi="Lato" w:cs="Lato"/>
        </w:rPr>
        <w:t xml:space="preserve"> .</w:t>
      </w:r>
    </w:p>
    <w:p w14:paraId="199B968C" w14:textId="77777777" w:rsidR="005848AE"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before="200" w:after="200"/>
        <w:jc w:val="both"/>
        <w:rPr>
          <w:rFonts w:ascii="Lato" w:eastAsia="Lato" w:hAnsi="Lato" w:cs="Lato"/>
        </w:rPr>
      </w:pPr>
      <w:r>
        <w:rPr>
          <w:rFonts w:ascii="Lato" w:eastAsia="Lato" w:hAnsi="Lato" w:cs="Lato"/>
        </w:rPr>
        <w:t>Esta normativa se complementa con otros dos instrumentos ministeriales: la Norma Nacional sobre Regulación de la fertilidad</w:t>
      </w:r>
      <w:r>
        <w:rPr>
          <w:rFonts w:ascii="Lato" w:eastAsia="Lato" w:hAnsi="Lato" w:cs="Lato"/>
          <w:vertAlign w:val="superscript"/>
        </w:rPr>
        <w:footnoteReference w:id="15"/>
      </w:r>
      <w:r>
        <w:rPr>
          <w:rFonts w:ascii="Lato" w:eastAsia="Lato" w:hAnsi="Lato" w:cs="Lato"/>
        </w:rPr>
        <w:t xml:space="preserve"> y el Protocolo de entrega de anticoncepción de emergencia</w:t>
      </w:r>
      <w:r>
        <w:rPr>
          <w:rFonts w:ascii="Lato" w:eastAsia="Lato" w:hAnsi="Lato" w:cs="Lato"/>
          <w:vertAlign w:val="superscript"/>
        </w:rPr>
        <w:footnoteReference w:id="16"/>
      </w:r>
      <w:r>
        <w:rPr>
          <w:rFonts w:ascii="Lato" w:eastAsia="Lato" w:hAnsi="Lato" w:cs="Lato"/>
        </w:rPr>
        <w:t>.</w:t>
      </w:r>
    </w:p>
    <w:p w14:paraId="00EB460A" w14:textId="77777777" w:rsidR="005848AE"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before="200" w:after="200"/>
        <w:jc w:val="both"/>
        <w:rPr>
          <w:rFonts w:ascii="Lato" w:eastAsia="Lato" w:hAnsi="Lato" w:cs="Lato"/>
          <w:b/>
        </w:rPr>
      </w:pPr>
      <w:r>
        <w:rPr>
          <w:rFonts w:ascii="Lato" w:eastAsia="Lato" w:hAnsi="Lato" w:cs="Lato"/>
        </w:rPr>
        <w:t>Aunque estas normas no imponen requisitos innecesarios, un estudio de Corporación Miles</w:t>
      </w:r>
      <w:r>
        <w:rPr>
          <w:rFonts w:ascii="Lato" w:eastAsia="Lato" w:hAnsi="Lato" w:cs="Lato"/>
          <w:b/>
        </w:rPr>
        <w:t xml:space="preserve"> identifica barreras materiales para el acceso a métodos anticonceptivos. </w:t>
      </w:r>
      <w:r>
        <w:rPr>
          <w:rFonts w:ascii="Lato" w:eastAsia="Lato" w:hAnsi="Lato" w:cs="Lato"/>
        </w:rPr>
        <w:t xml:space="preserve">Por ejemplo, para acceder por primera vez, en el 38% de los establecimientos de salud es obligatorio estar inscrita en un centro de salud familiar (CESFAM), y en el 34% haber tenido una consulta previa con una matrona. Algunos centros añaden requisitos como asistir con menstruación o con </w:t>
      </w:r>
      <w:proofErr w:type="gramStart"/>
      <w:r>
        <w:rPr>
          <w:rFonts w:ascii="Lato" w:eastAsia="Lato" w:hAnsi="Lato" w:cs="Lato"/>
        </w:rPr>
        <w:t xml:space="preserve">un </w:t>
      </w:r>
      <w:r w:rsidRPr="001369AC">
        <w:rPr>
          <w:rFonts w:ascii="Lato" w:eastAsia="Lato" w:hAnsi="Lato" w:cs="Lato"/>
          <w:i/>
          <w:iCs/>
        </w:rPr>
        <w:t>test</w:t>
      </w:r>
      <w:proofErr w:type="gramEnd"/>
      <w:r>
        <w:rPr>
          <w:rFonts w:ascii="Lato" w:eastAsia="Lato" w:hAnsi="Lato" w:cs="Lato"/>
        </w:rPr>
        <w:t xml:space="preserve"> de embarazo negativo (12%), y en el caso de adolescentes menores de 14 años, presentarse con </w:t>
      </w:r>
      <w:r>
        <w:rPr>
          <w:rFonts w:ascii="Lato" w:eastAsia="Lato" w:hAnsi="Lato" w:cs="Lato"/>
        </w:rPr>
        <w:lastRenderedPageBreak/>
        <w:t xml:space="preserve">el consentimiento del padre, la madre o un adulto responsable (67%). </w:t>
      </w:r>
      <w:r>
        <w:rPr>
          <w:rFonts w:ascii="Lato" w:eastAsia="Lato" w:hAnsi="Lato" w:cs="Lato"/>
          <w:b/>
        </w:rPr>
        <w:t>Solo un 12% de los centros no impone ningún requisito para acceder a anticonceptivos.</w:t>
      </w:r>
      <w:r>
        <w:rPr>
          <w:rFonts w:ascii="Lato" w:eastAsia="Lato" w:hAnsi="Lato" w:cs="Lato"/>
          <w:b/>
          <w:vertAlign w:val="superscript"/>
        </w:rPr>
        <w:footnoteReference w:id="17"/>
      </w:r>
    </w:p>
    <w:p w14:paraId="5CEAA48E" w14:textId="77777777" w:rsidR="005848AE"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before="200" w:after="200"/>
        <w:jc w:val="both"/>
        <w:rPr>
          <w:rFonts w:ascii="Lato" w:eastAsia="Lato" w:hAnsi="Lato" w:cs="Lato"/>
        </w:rPr>
      </w:pPr>
      <w:r>
        <w:rPr>
          <w:rFonts w:ascii="Lato" w:eastAsia="Lato" w:hAnsi="Lato" w:cs="Lato"/>
        </w:rPr>
        <w:t xml:space="preserve">Estas dificultades se agravan con decisiones arbitrarias del personal de salud en el sistema público que, en ocasiones, obstaculizan injustificadamente el acceso a servicios y métodos anticonceptivos, especialmente los de larga duración. Por ejemplo, se ha documentado el uso indebido de la </w:t>
      </w:r>
      <w:r>
        <w:rPr>
          <w:rFonts w:ascii="Lato" w:eastAsia="Lato" w:hAnsi="Lato" w:cs="Lato"/>
          <w:b/>
        </w:rPr>
        <w:t xml:space="preserve">objeción de conciencia para negar anticonceptivos, como ocurrió en 2022, cuando </w:t>
      </w:r>
      <w:r>
        <w:rPr>
          <w:rFonts w:ascii="Lato" w:eastAsia="Lato" w:hAnsi="Lato" w:cs="Lato"/>
        </w:rPr>
        <w:t>una matrona negó a una usuaria el acceso a un dispositivo intrauterino de manera ilegal, ya que la objeción de conciencia solo está contemplada para la interrupción del embarazo</w:t>
      </w:r>
      <w:r>
        <w:rPr>
          <w:rFonts w:ascii="Lato" w:eastAsia="Lato" w:hAnsi="Lato" w:cs="Lato"/>
          <w:vertAlign w:val="superscript"/>
        </w:rPr>
        <w:footnoteReference w:id="18"/>
      </w:r>
      <w:r>
        <w:rPr>
          <w:rFonts w:ascii="Lato" w:eastAsia="Lato" w:hAnsi="Lato" w:cs="Lato"/>
        </w:rPr>
        <w:t xml:space="preserve">. Ante esta situación, Corporación Miles solicitó a la </w:t>
      </w:r>
      <w:proofErr w:type="gramStart"/>
      <w:r>
        <w:rPr>
          <w:rFonts w:ascii="Lato" w:eastAsia="Lato" w:hAnsi="Lato" w:cs="Lato"/>
        </w:rPr>
        <w:t>Ministra</w:t>
      </w:r>
      <w:proofErr w:type="gramEnd"/>
      <w:r>
        <w:rPr>
          <w:rFonts w:ascii="Lato" w:eastAsia="Lato" w:hAnsi="Lato" w:cs="Lato"/>
        </w:rPr>
        <w:t xml:space="preserve"> de Salud pronunciarse sobre las medidas tomadas, pero no recibió respuesta.</w:t>
      </w:r>
    </w:p>
    <w:p w14:paraId="30B7BAE6" w14:textId="77777777" w:rsidR="005848AE"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before="200" w:after="200"/>
        <w:jc w:val="both"/>
        <w:rPr>
          <w:rFonts w:ascii="Lato" w:eastAsia="Lato" w:hAnsi="Lato" w:cs="Lato"/>
        </w:rPr>
      </w:pPr>
      <w:r>
        <w:rPr>
          <w:rFonts w:ascii="Lato" w:eastAsia="Lato" w:hAnsi="Lato" w:cs="Lato"/>
        </w:rPr>
        <w:t xml:space="preserve">Finalmente, el </w:t>
      </w:r>
      <w:r>
        <w:rPr>
          <w:rFonts w:ascii="Lato" w:eastAsia="Lato" w:hAnsi="Lato" w:cs="Lato"/>
          <w:b/>
        </w:rPr>
        <w:t>precio de los anticonceptivos también representa una barrera significativa. Por ello, son esenciales las medidas para su entrega gratuita y reducir la carga financiera</w:t>
      </w:r>
      <w:r>
        <w:rPr>
          <w:rFonts w:ascii="Lato" w:eastAsia="Lato" w:hAnsi="Lato" w:cs="Lato"/>
        </w:rPr>
        <w:t xml:space="preserve"> a quienes los compran de manera particular. En este sentido, en 2023 se anunció la implementación de una estrategia para la compra de anticonceptivos más baratos en farmacias privadas, en el marco de la Ley Nº21.198 o Ley CENABAST, que permite a farmacias independientes adquirir anticonceptivos a través de la Central Nacional de Abastecimiento (CENABAST) obteniendo mejores precios de venta para las mujeres.</w:t>
      </w:r>
    </w:p>
    <w:p w14:paraId="1389CA4C" w14:textId="77777777" w:rsidR="005848AE"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before="200" w:after="200"/>
        <w:jc w:val="both"/>
        <w:rPr>
          <w:rFonts w:ascii="Lato" w:eastAsia="Lato" w:hAnsi="Lato" w:cs="Lato"/>
          <w:b/>
          <w:i/>
        </w:rPr>
      </w:pPr>
      <w:r>
        <w:rPr>
          <w:rFonts w:ascii="Lato" w:eastAsia="Lato" w:hAnsi="Lato" w:cs="Lato"/>
        </w:rPr>
        <w:t xml:space="preserve">Conforme al monitoreo que hemos realizado, </w:t>
      </w:r>
      <w:r>
        <w:rPr>
          <w:rFonts w:ascii="Lato" w:eastAsia="Lato" w:hAnsi="Lato" w:cs="Lato"/>
          <w:b/>
        </w:rPr>
        <w:t>la implementación de esta medida ha sido deficiente por diversos factores</w:t>
      </w:r>
      <w:r>
        <w:rPr>
          <w:rFonts w:ascii="Lato" w:eastAsia="Lato" w:hAnsi="Lato" w:cs="Lato"/>
        </w:rPr>
        <w:t>: falta de difusión de información clara y precisa para que las usuarias conozcan la medida, los anticonceptivos disponibles y el mecanismo para utilizarlos; lentitud en la compra de anticonceptivos; y una desconexión total con los proveedores de salud quienes, al desconocer la ley, no orientan a las mujeres sobre dónde pueden adquirir estos medicamentos</w:t>
      </w:r>
      <w:r>
        <w:rPr>
          <w:rFonts w:ascii="Lato" w:eastAsia="Lato" w:hAnsi="Lato" w:cs="Lato"/>
          <w:b/>
          <w:i/>
          <w:vertAlign w:val="superscript"/>
        </w:rPr>
        <w:footnoteReference w:id="19"/>
      </w:r>
      <w:r>
        <w:rPr>
          <w:rFonts w:ascii="Lato" w:eastAsia="Lato" w:hAnsi="Lato" w:cs="Lato"/>
          <w:b/>
          <w:i/>
        </w:rPr>
        <w:t>.</w:t>
      </w:r>
    </w:p>
    <w:p w14:paraId="282276B0" w14:textId="77777777" w:rsidR="005848AE"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before="200" w:after="200"/>
        <w:jc w:val="both"/>
        <w:rPr>
          <w:rFonts w:ascii="Lato" w:eastAsia="Lato" w:hAnsi="Lato" w:cs="Lato"/>
          <w:b/>
          <w:i/>
        </w:rPr>
      </w:pPr>
      <w:r>
        <w:rPr>
          <w:rFonts w:ascii="Lato" w:eastAsia="Lato" w:hAnsi="Lato" w:cs="Lato"/>
          <w:b/>
          <w:i/>
        </w:rPr>
        <w:t>Anticonceptivos defectuosos</w:t>
      </w:r>
    </w:p>
    <w:p w14:paraId="4D3016CD" w14:textId="77777777" w:rsidR="005848AE"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before="200" w:after="200"/>
        <w:jc w:val="both"/>
        <w:rPr>
          <w:rFonts w:ascii="Lato" w:eastAsia="Lato" w:hAnsi="Lato" w:cs="Lato"/>
        </w:rPr>
      </w:pPr>
      <w:r>
        <w:rPr>
          <w:rFonts w:ascii="Lato" w:eastAsia="Lato" w:hAnsi="Lato" w:cs="Lato"/>
        </w:rPr>
        <w:t xml:space="preserve">A las barreras para acceder a anticonceptivos en el nivel primario de salud se suma la problemática de la entrega de anticonceptivos defectuosos en el sistema de salud pública y su </w:t>
      </w:r>
      <w:r>
        <w:rPr>
          <w:rFonts w:ascii="Lato" w:eastAsia="Lato" w:hAnsi="Lato" w:cs="Lato"/>
        </w:rPr>
        <w:lastRenderedPageBreak/>
        <w:t xml:space="preserve">venta al público. </w:t>
      </w:r>
      <w:r>
        <w:rPr>
          <w:rFonts w:ascii="Lato" w:eastAsia="Lato" w:hAnsi="Lato" w:cs="Lato"/>
          <w:b/>
        </w:rPr>
        <w:t>Desde el año 2020, el Instituto de Salud Pública (ISP) ha notificado cinco alertas por pastillas anticonceptivas que resultaron defectuosas</w:t>
      </w:r>
      <w:r>
        <w:rPr>
          <w:rFonts w:ascii="Lato" w:eastAsia="Lato" w:hAnsi="Lato" w:cs="Lato"/>
          <w:b/>
          <w:vertAlign w:val="superscript"/>
        </w:rPr>
        <w:footnoteReference w:id="20"/>
      </w:r>
      <w:r>
        <w:rPr>
          <w:rFonts w:ascii="Lato" w:eastAsia="Lato" w:hAnsi="Lato" w:cs="Lato"/>
          <w:b/>
        </w:rPr>
        <w:t>.</w:t>
      </w:r>
    </w:p>
    <w:p w14:paraId="48E7A0A5" w14:textId="77777777" w:rsidR="005848AE"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before="200" w:after="200"/>
        <w:jc w:val="both"/>
        <w:rPr>
          <w:rFonts w:ascii="Lato" w:eastAsia="Lato" w:hAnsi="Lato" w:cs="Lato"/>
        </w:rPr>
      </w:pPr>
      <w:r>
        <w:rPr>
          <w:rFonts w:ascii="Lato" w:eastAsia="Lato" w:hAnsi="Lato" w:cs="Lato"/>
        </w:rPr>
        <w:t xml:space="preserve">Uno de los casos más conocidos a nivel nacional fue la </w:t>
      </w:r>
      <w:r>
        <w:rPr>
          <w:rFonts w:ascii="Lato" w:eastAsia="Lato" w:hAnsi="Lato" w:cs="Lato"/>
          <w:b/>
        </w:rPr>
        <w:t xml:space="preserve">falla del anticonceptivo </w:t>
      </w:r>
      <w:proofErr w:type="spellStart"/>
      <w:r>
        <w:rPr>
          <w:rFonts w:ascii="Lato" w:eastAsia="Lato" w:hAnsi="Lato" w:cs="Lato"/>
          <w:b/>
        </w:rPr>
        <w:t>Anulette</w:t>
      </w:r>
      <w:proofErr w:type="spellEnd"/>
      <w:r>
        <w:rPr>
          <w:rFonts w:ascii="Lato" w:eastAsia="Lato" w:hAnsi="Lato" w:cs="Lato"/>
          <w:b/>
        </w:rPr>
        <w:t xml:space="preserve"> CD en el año 2020</w:t>
      </w:r>
      <w:r>
        <w:rPr>
          <w:rFonts w:ascii="Lato" w:eastAsia="Lato" w:hAnsi="Lato" w:cs="Lato"/>
        </w:rPr>
        <w:t>, que presentó errores de laboratorio en el empaque de sus comprimidos y resultó en una gran cantidad de mujeres y personas gestantes que enfrentaron embarazos no planificados, sin posibilidad de poner término a ellos, dado que la Ley IVE contempla únicamente 3 causales estrictas.</w:t>
      </w:r>
    </w:p>
    <w:p w14:paraId="790AC28A" w14:textId="77777777" w:rsidR="005848AE"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before="200" w:after="200"/>
        <w:jc w:val="both"/>
        <w:rPr>
          <w:rFonts w:ascii="Lato" w:eastAsia="Lato" w:hAnsi="Lato" w:cs="Lato"/>
        </w:rPr>
      </w:pPr>
      <w:r>
        <w:rPr>
          <w:rFonts w:ascii="Lato" w:eastAsia="Lato" w:hAnsi="Lato" w:cs="Lato"/>
        </w:rPr>
        <w:t>Si bien no ha sido posible determinar hasta ahora la cantidad de mujeres en esta situación, debido a la ausencia de un sistema activo de pesquisa y registro de casos, solo Corporación Miles ha tenido conocimiento de 227 casos, producto de que las mujeres tomaron contacto con la organización buscando el apoyo que no encontraron en el Estado</w:t>
      </w:r>
      <w:r>
        <w:rPr>
          <w:rFonts w:ascii="Lato" w:eastAsia="Lato" w:hAnsi="Lato" w:cs="Lato"/>
          <w:vertAlign w:val="superscript"/>
        </w:rPr>
        <w:footnoteReference w:id="21"/>
      </w:r>
      <w:r>
        <w:rPr>
          <w:rFonts w:ascii="Lato" w:eastAsia="Lato" w:hAnsi="Lato" w:cs="Lato"/>
        </w:rPr>
        <w:t>.</w:t>
      </w:r>
    </w:p>
    <w:p w14:paraId="2CD617DA" w14:textId="77777777" w:rsidR="005848AE"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before="200" w:after="200"/>
        <w:jc w:val="both"/>
        <w:rPr>
          <w:rFonts w:ascii="Lato" w:eastAsia="Lato" w:hAnsi="Lato" w:cs="Lato"/>
          <w:b/>
        </w:rPr>
      </w:pPr>
      <w:r>
        <w:rPr>
          <w:rFonts w:ascii="Lato" w:eastAsia="Lato" w:hAnsi="Lato" w:cs="Lato"/>
        </w:rPr>
        <w:t xml:space="preserve">Ante la incapacidad del Estado para cuantificar el impacto de esta alerta, Corporación Miles recabó información a través de solicitudes al Instituto de Salud Pública de Chile (ISP). La División de Atención Primaria (DIVAP) reconoció que 382.871 mujeres estaban bajo control de fertilidad con este medicamento. Entre ambos lotes defectuosos (serie B20034A y serie B20035A), el ISP reconoce haber distribuido 276.890 </w:t>
      </w:r>
      <w:proofErr w:type="spellStart"/>
      <w:r w:rsidRPr="001369AC">
        <w:rPr>
          <w:rFonts w:ascii="Lato" w:eastAsia="Lato" w:hAnsi="Lato" w:cs="Lato"/>
          <w:i/>
          <w:iCs/>
        </w:rPr>
        <w:t>blisters</w:t>
      </w:r>
      <w:proofErr w:type="spellEnd"/>
      <w:r>
        <w:rPr>
          <w:rFonts w:ascii="Lato" w:eastAsia="Lato" w:hAnsi="Lato" w:cs="Lato"/>
        </w:rPr>
        <w:t xml:space="preserve"> de </w:t>
      </w:r>
      <w:proofErr w:type="spellStart"/>
      <w:r>
        <w:rPr>
          <w:rFonts w:ascii="Lato" w:eastAsia="Lato" w:hAnsi="Lato" w:cs="Lato"/>
        </w:rPr>
        <w:t>Anulette</w:t>
      </w:r>
      <w:proofErr w:type="spellEnd"/>
      <w:r>
        <w:rPr>
          <w:rFonts w:ascii="Lato" w:eastAsia="Lato" w:hAnsi="Lato" w:cs="Lato"/>
        </w:rPr>
        <w:t xml:space="preserve"> CD entre ambos lotes, identificando posteriormente que de ellos 103.241 no fueron finalmente distribuidos. Es decir, </w:t>
      </w:r>
      <w:r>
        <w:rPr>
          <w:rFonts w:ascii="Lato" w:eastAsia="Lato" w:hAnsi="Lato" w:cs="Lato"/>
          <w:b/>
        </w:rPr>
        <w:t>alrededor de 173.649 blísteres defectuosos de anticonceptivos habrían llegado finalmente a las usuarias</w:t>
      </w:r>
      <w:r>
        <w:rPr>
          <w:rFonts w:ascii="Lato" w:eastAsia="Lato" w:hAnsi="Lato" w:cs="Lato"/>
          <w:b/>
          <w:vertAlign w:val="superscript"/>
        </w:rPr>
        <w:footnoteReference w:id="22"/>
      </w:r>
      <w:r>
        <w:rPr>
          <w:rFonts w:ascii="Lato" w:eastAsia="Lato" w:hAnsi="Lato" w:cs="Lato"/>
          <w:b/>
        </w:rPr>
        <w:t>.</w:t>
      </w:r>
    </w:p>
    <w:p w14:paraId="2C5DD971" w14:textId="77777777" w:rsidR="005848AE"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before="200" w:after="200"/>
        <w:jc w:val="both"/>
        <w:rPr>
          <w:rFonts w:ascii="Lato" w:eastAsia="Lato" w:hAnsi="Lato" w:cs="Lato"/>
          <w:b/>
        </w:rPr>
      </w:pPr>
      <w:r>
        <w:rPr>
          <w:rFonts w:ascii="Lato" w:eastAsia="Lato" w:hAnsi="Lato" w:cs="Lato"/>
        </w:rPr>
        <w:t xml:space="preserve">Debido a los estándares probatorios del procedimiento que regula la indemnización de perjuicios en el sistema legal chileno, que no se condicen con las particularidades de una situación de esta naturaleza, y la inexistencia de un procedimiento especial más expedito, del universo total de mujeres, </w:t>
      </w:r>
      <w:r>
        <w:rPr>
          <w:rFonts w:ascii="Lato" w:eastAsia="Lato" w:hAnsi="Lato" w:cs="Lato"/>
          <w:b/>
        </w:rPr>
        <w:t>7 son representadas por Corporación Miles en una demanda civil en contra del Estado, buscando la reparación integral de las vulneraciones a sus derechos</w:t>
      </w:r>
      <w:r>
        <w:rPr>
          <w:rFonts w:ascii="Lato" w:eastAsia="Lato" w:hAnsi="Lato" w:cs="Lato"/>
          <w:b/>
          <w:vertAlign w:val="superscript"/>
        </w:rPr>
        <w:footnoteReference w:id="23"/>
      </w:r>
      <w:r>
        <w:rPr>
          <w:rFonts w:ascii="Lato" w:eastAsia="Lato" w:hAnsi="Lato" w:cs="Lato"/>
          <w:b/>
        </w:rPr>
        <w:t>.</w:t>
      </w:r>
    </w:p>
    <w:p w14:paraId="276B9653" w14:textId="77777777" w:rsidR="005848AE"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before="200" w:after="200"/>
        <w:jc w:val="both"/>
        <w:rPr>
          <w:rFonts w:ascii="Lato" w:eastAsia="Lato" w:hAnsi="Lato" w:cs="Lato"/>
        </w:rPr>
      </w:pPr>
      <w:r>
        <w:rPr>
          <w:rFonts w:ascii="Lato" w:eastAsia="Lato" w:hAnsi="Lato" w:cs="Lato"/>
        </w:rPr>
        <w:lastRenderedPageBreak/>
        <w:t xml:space="preserve">Estas situaciones han evidenciado las </w:t>
      </w:r>
      <w:r>
        <w:rPr>
          <w:rFonts w:ascii="Lato" w:eastAsia="Lato" w:hAnsi="Lato" w:cs="Lato"/>
          <w:b/>
        </w:rPr>
        <w:t>falencias y debilidades de la fiscalización de las pastillas anticonceptivas y en la trazabilidad de su distribución</w:t>
      </w:r>
      <w:r>
        <w:rPr>
          <w:rFonts w:ascii="Lato" w:eastAsia="Lato" w:hAnsi="Lato" w:cs="Lato"/>
        </w:rPr>
        <w:t xml:space="preserve">, particularmente grave en aquellas que son entregadas de manera gratuita por el Estado a través del sistema público de salud. Según la investigación realizada por Corporación Miles, la falla en los anticonceptivos </w:t>
      </w:r>
      <w:proofErr w:type="spellStart"/>
      <w:r>
        <w:rPr>
          <w:rFonts w:ascii="Lato" w:eastAsia="Lato" w:hAnsi="Lato" w:cs="Lato"/>
        </w:rPr>
        <w:t>Anulette</w:t>
      </w:r>
      <w:proofErr w:type="spellEnd"/>
      <w:r>
        <w:rPr>
          <w:rFonts w:ascii="Lato" w:eastAsia="Lato" w:hAnsi="Lato" w:cs="Lato"/>
        </w:rPr>
        <w:t xml:space="preserve"> CD no configuró una situación de alerta inmediata, sino que fue calificada como </w:t>
      </w:r>
      <w:r>
        <w:rPr>
          <w:rFonts w:ascii="Lato" w:eastAsia="Lato" w:hAnsi="Lato" w:cs="Lato"/>
          <w:i/>
        </w:rPr>
        <w:t>“solucionable”</w:t>
      </w:r>
      <w:r>
        <w:rPr>
          <w:rFonts w:ascii="Lato" w:eastAsia="Lato" w:hAnsi="Lato" w:cs="Lato"/>
        </w:rPr>
        <w:t xml:space="preserve"> y como </w:t>
      </w:r>
      <w:r>
        <w:rPr>
          <w:rFonts w:ascii="Lato" w:eastAsia="Lato" w:hAnsi="Lato" w:cs="Lato"/>
          <w:i/>
        </w:rPr>
        <w:t>“un daño transitorio”</w:t>
      </w:r>
      <w:r>
        <w:rPr>
          <w:rFonts w:ascii="Lato" w:eastAsia="Lato" w:hAnsi="Lato" w:cs="Lato"/>
        </w:rPr>
        <w:t>, perjudicando particularmente a la población de menores recursos económicos que accedían a este método de manera gratuita.</w:t>
      </w:r>
    </w:p>
    <w:p w14:paraId="6572B28F" w14:textId="77777777" w:rsidR="005848AE"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before="200" w:after="200"/>
        <w:jc w:val="both"/>
        <w:rPr>
          <w:rFonts w:ascii="Lato" w:eastAsia="Lato" w:hAnsi="Lato" w:cs="Lato"/>
        </w:rPr>
      </w:pPr>
      <w:r>
        <w:rPr>
          <w:rFonts w:ascii="Lato" w:eastAsia="Lato" w:hAnsi="Lato" w:cs="Lato"/>
        </w:rPr>
        <w:t xml:space="preserve">Aunque en mayo de 2022 los Ministerios de Salud y de la Mujer y Equidad de Género anunciaron medidas para </w:t>
      </w:r>
      <w:r>
        <w:rPr>
          <w:rFonts w:ascii="Lato" w:eastAsia="Lato" w:hAnsi="Lato" w:cs="Lato"/>
          <w:i/>
        </w:rPr>
        <w:t>“evitar nuevas fallas anticonceptivas”</w:t>
      </w:r>
      <w:r>
        <w:rPr>
          <w:rFonts w:ascii="Lato" w:eastAsia="Lato" w:hAnsi="Lato" w:cs="Lato"/>
          <w:i/>
          <w:vertAlign w:val="superscript"/>
        </w:rPr>
        <w:footnoteReference w:id="24"/>
      </w:r>
      <w:r>
        <w:rPr>
          <w:rFonts w:ascii="Lato" w:eastAsia="Lato" w:hAnsi="Lato" w:cs="Lato"/>
          <w:i/>
        </w:rPr>
        <w:t xml:space="preserve">, </w:t>
      </w:r>
      <w:r>
        <w:rPr>
          <w:rFonts w:ascii="Lato" w:eastAsia="Lato" w:hAnsi="Lato" w:cs="Lato"/>
        </w:rPr>
        <w:t xml:space="preserve">estas son </w:t>
      </w:r>
      <w:r>
        <w:rPr>
          <w:rFonts w:ascii="Lato" w:eastAsia="Lato" w:hAnsi="Lato" w:cs="Lato"/>
          <w:b/>
        </w:rPr>
        <w:t>insuficientes para una prevención efectiva de la repetición de este tipo de problemáticas y, en gran medida, trasladan a las usuarias la responsabilidad de responder a esta situación</w:t>
      </w:r>
      <w:r>
        <w:rPr>
          <w:rFonts w:ascii="Lato" w:eastAsia="Lato" w:hAnsi="Lato" w:cs="Lato"/>
        </w:rPr>
        <w:t xml:space="preserve">. Por ejemplo, se señala que </w:t>
      </w:r>
      <w:r>
        <w:rPr>
          <w:rFonts w:ascii="Lato" w:eastAsia="Lato" w:hAnsi="Lato" w:cs="Lato"/>
          <w:i/>
        </w:rPr>
        <w:t>“los folletos también deberán indicar a la usuaria cómo reconocer errores en el envasado”</w:t>
      </w:r>
      <w:r>
        <w:rPr>
          <w:rFonts w:ascii="Lato" w:eastAsia="Lato" w:hAnsi="Lato" w:cs="Lato"/>
        </w:rPr>
        <w:t>, ignorando que las pastillas anticonceptivas entregadas en el sistema público no incluyen prospecto alguno, y omitiendo el rol fundamental que debe tener el personal de salud que entrega los fármacos en la supervisión de su calidad y la orientación a las usuarias. Las medidas anunciadas no resuelven temas estructurales de fiscalización y trazabilidad y, hasta la fecha, no se ha implementado un sistema que permita identificar el blíster que se entregó a la usuaria, para contactarla de manera eficaz y entregar instrucciones y medidas de reemplazo en caso de nuevas alertas.</w:t>
      </w:r>
    </w:p>
    <w:p w14:paraId="7C3911EE" w14:textId="77777777" w:rsidR="005848AE"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before="200" w:after="200"/>
        <w:jc w:val="both"/>
        <w:rPr>
          <w:rFonts w:ascii="Lato" w:eastAsia="Lato" w:hAnsi="Lato" w:cs="Lato"/>
          <w:b/>
          <w:i/>
        </w:rPr>
      </w:pPr>
      <w:r>
        <w:rPr>
          <w:rFonts w:ascii="Lato" w:eastAsia="Lato" w:hAnsi="Lato" w:cs="Lato"/>
          <w:b/>
          <w:i/>
        </w:rPr>
        <w:t>Anticoncepción de emergencia</w:t>
      </w:r>
    </w:p>
    <w:p w14:paraId="3471CC93" w14:textId="77777777" w:rsidR="005848AE"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before="200" w:after="200"/>
        <w:jc w:val="both"/>
        <w:rPr>
          <w:rFonts w:ascii="Lato" w:eastAsia="Lato" w:hAnsi="Lato" w:cs="Lato"/>
          <w:i/>
        </w:rPr>
      </w:pPr>
      <w:proofErr w:type="gramStart"/>
      <w:r>
        <w:rPr>
          <w:rFonts w:ascii="Lato" w:eastAsia="Lato" w:hAnsi="Lato" w:cs="Lato"/>
        </w:rPr>
        <w:t>En relación a</w:t>
      </w:r>
      <w:proofErr w:type="gramEnd"/>
      <w:r>
        <w:rPr>
          <w:rFonts w:ascii="Lato" w:eastAsia="Lato" w:hAnsi="Lato" w:cs="Lato"/>
        </w:rPr>
        <w:t xml:space="preserve"> la anticoncepción de emergencia (PAE), si bien se encuentra garantizada por la Ley </w:t>
      </w:r>
      <w:proofErr w:type="spellStart"/>
      <w:r>
        <w:rPr>
          <w:rFonts w:ascii="Lato" w:eastAsia="Lato" w:hAnsi="Lato" w:cs="Lato"/>
        </w:rPr>
        <w:t>Nº</w:t>
      </w:r>
      <w:proofErr w:type="spellEnd"/>
      <w:r>
        <w:rPr>
          <w:rFonts w:ascii="Lato" w:eastAsia="Lato" w:hAnsi="Lato" w:cs="Lato"/>
        </w:rPr>
        <w:t xml:space="preserve"> 20.418</w:t>
      </w:r>
      <w:r>
        <w:rPr>
          <w:rFonts w:ascii="Lato" w:eastAsia="Lato" w:hAnsi="Lato" w:cs="Lato"/>
          <w:b/>
        </w:rPr>
        <w:t xml:space="preserve">, es en el sistema de salud público donde se observan las mayores dificultades para acceder efectivamente a ella. </w:t>
      </w:r>
      <w:r>
        <w:rPr>
          <w:rFonts w:ascii="Lato" w:eastAsia="Lato" w:hAnsi="Lato" w:cs="Lato"/>
        </w:rPr>
        <w:t>Entre las razones esgrimidas no se encuentran argumentos técnicos, sino más bien medidas administrativas. De hecho, de quienes la solicitan en el sistema público, un 24% refiere no haber podido efectivamente acceder a ella y, de estas personas, un 43% reporta que la negativa se sustentó en que no estaba disponible, y el 57% menciona que</w:t>
      </w:r>
      <w:r>
        <w:rPr>
          <w:rFonts w:ascii="Lato" w:eastAsia="Lato" w:hAnsi="Lato" w:cs="Lato"/>
          <w:i/>
        </w:rPr>
        <w:t xml:space="preserve"> “no me dieron razones”, “no era para mí”</w:t>
      </w:r>
      <w:r>
        <w:rPr>
          <w:rFonts w:ascii="Lato" w:eastAsia="Lato" w:hAnsi="Lato" w:cs="Lato"/>
        </w:rPr>
        <w:t xml:space="preserve"> y </w:t>
      </w:r>
      <w:r>
        <w:rPr>
          <w:rFonts w:ascii="Lato" w:eastAsia="Lato" w:hAnsi="Lato" w:cs="Lato"/>
          <w:i/>
        </w:rPr>
        <w:t>“por mi edad”</w:t>
      </w:r>
      <w:r>
        <w:rPr>
          <w:rFonts w:ascii="Lato" w:eastAsia="Lato" w:hAnsi="Lato" w:cs="Lato"/>
          <w:i/>
          <w:vertAlign w:val="superscript"/>
        </w:rPr>
        <w:footnoteReference w:id="25"/>
      </w:r>
      <w:r>
        <w:rPr>
          <w:rFonts w:ascii="Lato" w:eastAsia="Lato" w:hAnsi="Lato" w:cs="Lato"/>
          <w:i/>
        </w:rPr>
        <w:t>.</w:t>
      </w:r>
    </w:p>
    <w:p w14:paraId="0CC1F9A6" w14:textId="77777777" w:rsidR="005848AE"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before="200" w:after="200"/>
        <w:jc w:val="both"/>
        <w:rPr>
          <w:rFonts w:ascii="Lato" w:eastAsia="Lato" w:hAnsi="Lato" w:cs="Lato"/>
        </w:rPr>
      </w:pPr>
      <w:r>
        <w:rPr>
          <w:rFonts w:ascii="Lato" w:eastAsia="Lato" w:hAnsi="Lato" w:cs="Lato"/>
        </w:rPr>
        <w:t xml:space="preserve">Es posible que estas dificultades para acceder a la PAE en el sistema público provoquen que, </w:t>
      </w:r>
      <w:r>
        <w:rPr>
          <w:rFonts w:ascii="Lato" w:eastAsia="Lato" w:hAnsi="Lato" w:cs="Lato"/>
          <w:b/>
        </w:rPr>
        <w:t xml:space="preserve">pese a ser entregada gratuitamente, la mayoría de las personas prefiera comprarla de manera particular en farmacias privadas </w:t>
      </w:r>
      <w:r>
        <w:rPr>
          <w:rFonts w:ascii="Lato" w:eastAsia="Lato" w:hAnsi="Lato" w:cs="Lato"/>
        </w:rPr>
        <w:t xml:space="preserve">(84% de las personas frente a un 14% que la adquirió de </w:t>
      </w:r>
      <w:r>
        <w:rPr>
          <w:rFonts w:ascii="Lato" w:eastAsia="Lato" w:hAnsi="Lato" w:cs="Lato"/>
        </w:rPr>
        <w:lastRenderedPageBreak/>
        <w:t>manera gratuita). A diferencia de lo que sucede en el sistema público, solo el 1% de quienes la buscaron en farmacias privadas señalan no haber podido obtenerla.</w:t>
      </w:r>
      <w:r>
        <w:rPr>
          <w:rFonts w:ascii="Lato" w:eastAsia="Lato" w:hAnsi="Lato" w:cs="Lato"/>
          <w:vertAlign w:val="superscript"/>
        </w:rPr>
        <w:footnoteReference w:id="26"/>
      </w:r>
    </w:p>
    <w:p w14:paraId="08930B68" w14:textId="77777777" w:rsidR="005848AE"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before="200" w:after="200"/>
        <w:jc w:val="both"/>
        <w:rPr>
          <w:rFonts w:ascii="Lato" w:eastAsia="Lato" w:hAnsi="Lato" w:cs="Lato"/>
          <w:b/>
        </w:rPr>
      </w:pPr>
      <w:r>
        <w:rPr>
          <w:rFonts w:ascii="Lato" w:eastAsia="Lato" w:hAnsi="Lato" w:cs="Lato"/>
          <w:b/>
        </w:rPr>
        <w:t>Recomendaciones:</w:t>
      </w:r>
    </w:p>
    <w:p w14:paraId="0C294DCE" w14:textId="77777777" w:rsidR="005848AE" w:rsidRDefault="00000000">
      <w:pPr>
        <w:numPr>
          <w:ilvl w:val="0"/>
          <w:numId w:val="7"/>
        </w:numPr>
        <w:tabs>
          <w:tab w:val="left" w:pos="1267"/>
          <w:tab w:val="left" w:pos="1742"/>
          <w:tab w:val="left" w:pos="2218"/>
          <w:tab w:val="left" w:pos="2693"/>
          <w:tab w:val="left" w:pos="3182"/>
          <w:tab w:val="left" w:pos="3658"/>
          <w:tab w:val="left" w:pos="4133"/>
          <w:tab w:val="left" w:pos="4622"/>
          <w:tab w:val="left" w:pos="5098"/>
          <w:tab w:val="left" w:pos="5573"/>
          <w:tab w:val="left" w:pos="6048"/>
        </w:tabs>
        <w:spacing w:before="200"/>
        <w:jc w:val="both"/>
        <w:rPr>
          <w:rFonts w:ascii="Lato" w:eastAsia="Lato" w:hAnsi="Lato" w:cs="Lato"/>
          <w:b/>
        </w:rPr>
      </w:pPr>
      <w:r>
        <w:rPr>
          <w:rFonts w:ascii="Lato" w:eastAsia="Lato" w:hAnsi="Lato" w:cs="Lato"/>
          <w:b/>
        </w:rPr>
        <w:t>Despenalizar el aborto eliminando su regulación del Código Penal, garantizando el acceso a servicios de aborto, en seguimiento a la recomendación de los mecanismos especiales de la comunicación AL CHL/421 de fecha 7 de junio de 2021</w:t>
      </w:r>
      <w:r>
        <w:rPr>
          <w:rFonts w:ascii="Lato" w:eastAsia="Lato" w:hAnsi="Lato" w:cs="Lato"/>
          <w:b/>
          <w:vertAlign w:val="superscript"/>
        </w:rPr>
        <w:footnoteReference w:id="27"/>
      </w:r>
      <w:r>
        <w:rPr>
          <w:rFonts w:ascii="Lato" w:eastAsia="Lato" w:hAnsi="Lato" w:cs="Lato"/>
          <w:b/>
        </w:rPr>
        <w:t>.</w:t>
      </w:r>
    </w:p>
    <w:p w14:paraId="279A9415" w14:textId="77777777" w:rsidR="005848AE" w:rsidRDefault="00000000">
      <w:pPr>
        <w:numPr>
          <w:ilvl w:val="0"/>
          <w:numId w:val="7"/>
        </w:numPr>
        <w:tabs>
          <w:tab w:val="left" w:pos="1267"/>
          <w:tab w:val="left" w:pos="1742"/>
          <w:tab w:val="left" w:pos="2218"/>
          <w:tab w:val="left" w:pos="2693"/>
          <w:tab w:val="left" w:pos="3182"/>
          <w:tab w:val="left" w:pos="3658"/>
          <w:tab w:val="left" w:pos="4133"/>
          <w:tab w:val="left" w:pos="4622"/>
          <w:tab w:val="left" w:pos="5098"/>
          <w:tab w:val="left" w:pos="5573"/>
          <w:tab w:val="left" w:pos="6048"/>
        </w:tabs>
        <w:jc w:val="both"/>
        <w:rPr>
          <w:rFonts w:ascii="Lato" w:eastAsia="Lato" w:hAnsi="Lato" w:cs="Lato"/>
          <w:b/>
        </w:rPr>
      </w:pPr>
      <w:r>
        <w:rPr>
          <w:rFonts w:ascii="Lato" w:eastAsia="Lato" w:hAnsi="Lato" w:cs="Lato"/>
          <w:b/>
        </w:rPr>
        <w:t>Reparar de manera íntegra a todas las mujeres afectadas por la distribución de anticonceptivos defectuosos en el sistema público de salud.</w:t>
      </w:r>
    </w:p>
    <w:p w14:paraId="702F9E9A" w14:textId="77777777" w:rsidR="005848AE" w:rsidRDefault="00000000">
      <w:pPr>
        <w:numPr>
          <w:ilvl w:val="0"/>
          <w:numId w:val="7"/>
        </w:numPr>
        <w:tabs>
          <w:tab w:val="left" w:pos="1267"/>
          <w:tab w:val="left" w:pos="1742"/>
          <w:tab w:val="left" w:pos="2218"/>
          <w:tab w:val="left" w:pos="2693"/>
          <w:tab w:val="left" w:pos="3182"/>
          <w:tab w:val="left" w:pos="3658"/>
          <w:tab w:val="left" w:pos="4133"/>
          <w:tab w:val="left" w:pos="4622"/>
          <w:tab w:val="left" w:pos="5098"/>
          <w:tab w:val="left" w:pos="5573"/>
          <w:tab w:val="left" w:pos="6048"/>
        </w:tabs>
        <w:jc w:val="both"/>
        <w:rPr>
          <w:rFonts w:ascii="Lato" w:eastAsia="Lato" w:hAnsi="Lato" w:cs="Lato"/>
          <w:b/>
        </w:rPr>
      </w:pPr>
      <w:r>
        <w:rPr>
          <w:rFonts w:ascii="Lato" w:eastAsia="Lato" w:hAnsi="Lato" w:cs="Lato"/>
          <w:b/>
        </w:rPr>
        <w:t>Implementar capacitaciones permanentes a funcionarios de distintos estamentos, para la actualización en métodos anticonceptivos, con énfasis en aquellos de larga duración.</w:t>
      </w:r>
    </w:p>
    <w:p w14:paraId="6DE463E4" w14:textId="77777777" w:rsidR="005848AE" w:rsidRDefault="00000000">
      <w:pPr>
        <w:numPr>
          <w:ilvl w:val="0"/>
          <w:numId w:val="7"/>
        </w:numPr>
        <w:tabs>
          <w:tab w:val="left" w:pos="1267"/>
          <w:tab w:val="left" w:pos="1742"/>
          <w:tab w:val="left" w:pos="2218"/>
          <w:tab w:val="left" w:pos="2693"/>
          <w:tab w:val="left" w:pos="3182"/>
          <w:tab w:val="left" w:pos="3658"/>
          <w:tab w:val="left" w:pos="4133"/>
          <w:tab w:val="left" w:pos="4622"/>
          <w:tab w:val="left" w:pos="5098"/>
          <w:tab w:val="left" w:pos="5573"/>
          <w:tab w:val="left" w:pos="6048"/>
        </w:tabs>
        <w:jc w:val="both"/>
        <w:rPr>
          <w:rFonts w:ascii="Lato" w:eastAsia="Lato" w:hAnsi="Lato" w:cs="Lato"/>
          <w:b/>
        </w:rPr>
      </w:pPr>
      <w:r>
        <w:rPr>
          <w:rFonts w:ascii="Lato" w:eastAsia="Lato" w:hAnsi="Lato" w:cs="Lato"/>
          <w:b/>
        </w:rPr>
        <w:t>Implementar acompañamiento técnico desde los Servicios de Salud para la eliminación de barreras de acceso y el trabajo conjunto con equipos de la atención primaria de salud en la elaboración de protocolos actualizados y basados en la normativa vigente.</w:t>
      </w:r>
    </w:p>
    <w:p w14:paraId="6DD91C09" w14:textId="77777777" w:rsidR="005848AE" w:rsidRDefault="00000000">
      <w:pPr>
        <w:numPr>
          <w:ilvl w:val="0"/>
          <w:numId w:val="7"/>
        </w:numPr>
        <w:tabs>
          <w:tab w:val="left" w:pos="1267"/>
          <w:tab w:val="left" w:pos="1742"/>
          <w:tab w:val="left" w:pos="2218"/>
          <w:tab w:val="left" w:pos="2693"/>
          <w:tab w:val="left" w:pos="3182"/>
          <w:tab w:val="left" w:pos="3658"/>
          <w:tab w:val="left" w:pos="4133"/>
          <w:tab w:val="left" w:pos="4622"/>
          <w:tab w:val="left" w:pos="5098"/>
          <w:tab w:val="left" w:pos="5573"/>
          <w:tab w:val="left" w:pos="6048"/>
        </w:tabs>
        <w:jc w:val="both"/>
        <w:rPr>
          <w:rFonts w:ascii="Lato" w:eastAsia="Lato" w:hAnsi="Lato" w:cs="Lato"/>
          <w:b/>
        </w:rPr>
      </w:pPr>
      <w:r>
        <w:rPr>
          <w:rFonts w:ascii="Lato" w:eastAsia="Lato" w:hAnsi="Lato" w:cs="Lato"/>
          <w:b/>
        </w:rPr>
        <w:t>Diseñar e implementar un manual de fiscalizaciones que vele por el cumplimiento de la Norma Nacional sobre Regulación de la Fertilidad, publicada el año 2018.</w:t>
      </w:r>
    </w:p>
    <w:p w14:paraId="3D156900" w14:textId="77777777" w:rsidR="005848AE" w:rsidRDefault="00000000">
      <w:pPr>
        <w:numPr>
          <w:ilvl w:val="0"/>
          <w:numId w:val="7"/>
        </w:numPr>
        <w:tabs>
          <w:tab w:val="left" w:pos="1267"/>
          <w:tab w:val="left" w:pos="1742"/>
          <w:tab w:val="left" w:pos="2218"/>
          <w:tab w:val="left" w:pos="2693"/>
          <w:tab w:val="left" w:pos="3182"/>
          <w:tab w:val="left" w:pos="3658"/>
          <w:tab w:val="left" w:pos="4133"/>
          <w:tab w:val="left" w:pos="4622"/>
          <w:tab w:val="left" w:pos="5098"/>
          <w:tab w:val="left" w:pos="5573"/>
          <w:tab w:val="left" w:pos="6048"/>
        </w:tabs>
        <w:jc w:val="both"/>
        <w:rPr>
          <w:rFonts w:ascii="Lato" w:eastAsia="Lato" w:hAnsi="Lato" w:cs="Lato"/>
          <w:b/>
        </w:rPr>
      </w:pPr>
      <w:r>
        <w:rPr>
          <w:rFonts w:ascii="Lato" w:eastAsia="Lato" w:hAnsi="Lato" w:cs="Lato"/>
          <w:b/>
        </w:rPr>
        <w:t>Contratar personal de salud idóneo y suficiente para permitir un acceso expedito a los métodos de regulación de la fertilidad.</w:t>
      </w:r>
    </w:p>
    <w:p w14:paraId="7969F5D8" w14:textId="77777777" w:rsidR="005848AE" w:rsidRDefault="00000000">
      <w:pPr>
        <w:numPr>
          <w:ilvl w:val="0"/>
          <w:numId w:val="7"/>
        </w:numPr>
        <w:tabs>
          <w:tab w:val="left" w:pos="1267"/>
          <w:tab w:val="left" w:pos="1742"/>
          <w:tab w:val="left" w:pos="2218"/>
          <w:tab w:val="left" w:pos="2693"/>
          <w:tab w:val="left" w:pos="3182"/>
          <w:tab w:val="left" w:pos="3658"/>
          <w:tab w:val="left" w:pos="4133"/>
          <w:tab w:val="left" w:pos="4622"/>
          <w:tab w:val="left" w:pos="5098"/>
          <w:tab w:val="left" w:pos="5573"/>
          <w:tab w:val="left" w:pos="6048"/>
        </w:tabs>
        <w:jc w:val="both"/>
        <w:rPr>
          <w:rFonts w:ascii="Lato" w:eastAsia="Lato" w:hAnsi="Lato" w:cs="Lato"/>
          <w:b/>
        </w:rPr>
      </w:pPr>
      <w:r>
        <w:rPr>
          <w:rFonts w:ascii="Lato" w:eastAsia="Lato" w:hAnsi="Lato" w:cs="Lato"/>
          <w:b/>
        </w:rPr>
        <w:t>Generar mecanismos para asegurar la provisión oportuna de métodos anticonceptivos y anticoncepción de emergencia en el sistema público de salud en base a la demanda actual.</w:t>
      </w:r>
    </w:p>
    <w:p w14:paraId="71095F4B" w14:textId="77777777" w:rsidR="005848AE" w:rsidRDefault="00000000">
      <w:pPr>
        <w:numPr>
          <w:ilvl w:val="0"/>
          <w:numId w:val="7"/>
        </w:numPr>
        <w:jc w:val="both"/>
        <w:rPr>
          <w:rFonts w:ascii="Lato" w:eastAsia="Lato" w:hAnsi="Lato" w:cs="Lato"/>
          <w:b/>
        </w:rPr>
      </w:pPr>
      <w:r>
        <w:rPr>
          <w:rFonts w:ascii="Lato" w:eastAsia="Lato" w:hAnsi="Lato" w:cs="Lato"/>
          <w:b/>
        </w:rPr>
        <w:t>Modificar el sistema informático Rayen, o cualquiera que lo reemplace, para que el número del lote del anticonceptivo pueda ser registrado al momento de la entrega del medicamento.</w:t>
      </w:r>
    </w:p>
    <w:p w14:paraId="0F99BBF5" w14:textId="77777777" w:rsidR="005848AE" w:rsidRDefault="00000000">
      <w:pPr>
        <w:numPr>
          <w:ilvl w:val="0"/>
          <w:numId w:val="7"/>
        </w:numPr>
        <w:tabs>
          <w:tab w:val="left" w:pos="1267"/>
          <w:tab w:val="left" w:pos="1742"/>
          <w:tab w:val="left" w:pos="2218"/>
          <w:tab w:val="left" w:pos="2693"/>
          <w:tab w:val="left" w:pos="3182"/>
          <w:tab w:val="left" w:pos="3658"/>
          <w:tab w:val="left" w:pos="4133"/>
          <w:tab w:val="left" w:pos="4622"/>
          <w:tab w:val="left" w:pos="5098"/>
          <w:tab w:val="left" w:pos="5573"/>
          <w:tab w:val="left" w:pos="6048"/>
        </w:tabs>
        <w:jc w:val="both"/>
        <w:rPr>
          <w:rFonts w:ascii="Lato" w:eastAsia="Lato" w:hAnsi="Lato" w:cs="Lato"/>
          <w:b/>
        </w:rPr>
      </w:pPr>
      <w:r>
        <w:rPr>
          <w:rFonts w:ascii="Lato" w:eastAsia="Lato" w:hAnsi="Lato" w:cs="Lato"/>
          <w:b/>
        </w:rPr>
        <w:t>Reforzar y mejorar los protocolos de inspección y de alertas sanitarias en anticoncepción.</w:t>
      </w:r>
    </w:p>
    <w:p w14:paraId="17CC5549" w14:textId="77777777" w:rsidR="005848AE" w:rsidRDefault="00000000">
      <w:pPr>
        <w:numPr>
          <w:ilvl w:val="0"/>
          <w:numId w:val="7"/>
        </w:numPr>
        <w:tabs>
          <w:tab w:val="left" w:pos="1267"/>
          <w:tab w:val="left" w:pos="1742"/>
          <w:tab w:val="left" w:pos="2218"/>
          <w:tab w:val="left" w:pos="2693"/>
          <w:tab w:val="left" w:pos="3182"/>
          <w:tab w:val="left" w:pos="3658"/>
          <w:tab w:val="left" w:pos="4133"/>
          <w:tab w:val="left" w:pos="4622"/>
          <w:tab w:val="left" w:pos="5098"/>
          <w:tab w:val="left" w:pos="5573"/>
          <w:tab w:val="left" w:pos="6048"/>
        </w:tabs>
        <w:jc w:val="both"/>
        <w:rPr>
          <w:rFonts w:ascii="Lato" w:eastAsia="Lato" w:hAnsi="Lato" w:cs="Lato"/>
          <w:b/>
        </w:rPr>
      </w:pPr>
      <w:r>
        <w:rPr>
          <w:rFonts w:ascii="Lato" w:eastAsia="Lato" w:hAnsi="Lato" w:cs="Lato"/>
          <w:b/>
        </w:rPr>
        <w:t>Ampliar y fortalecer normas de regulación de fertilidad de la Ley Nº20.418, para la difusión de información, orientación y prestaciones de servicios, en temas como fallas en la anticoncepción y embarazos no planificados en mujeres adultas, así como sus consecuencias físicas, emocionales y sociales.</w:t>
      </w:r>
    </w:p>
    <w:p w14:paraId="14F09C9A" w14:textId="77777777" w:rsidR="005848AE" w:rsidRDefault="00000000">
      <w:pPr>
        <w:numPr>
          <w:ilvl w:val="0"/>
          <w:numId w:val="7"/>
        </w:numPr>
        <w:jc w:val="both"/>
        <w:rPr>
          <w:rFonts w:ascii="Lato" w:eastAsia="Lato" w:hAnsi="Lato" w:cs="Lato"/>
          <w:b/>
        </w:rPr>
      </w:pPr>
      <w:r>
        <w:rPr>
          <w:rFonts w:ascii="Lato" w:eastAsia="Lato" w:hAnsi="Lato" w:cs="Lato"/>
          <w:b/>
        </w:rPr>
        <w:t>Aprobar el proyecto de ley que Modifica el Código Sanitario para establecer una presunción de responsabilidad civil por los daños causados por medicamentos anticonceptivos defectuosos (Boletín Nº14094-11).</w:t>
      </w:r>
    </w:p>
    <w:p w14:paraId="6DB47392" w14:textId="77777777" w:rsidR="005848AE" w:rsidRDefault="00000000">
      <w:pPr>
        <w:numPr>
          <w:ilvl w:val="0"/>
          <w:numId w:val="7"/>
        </w:numPr>
        <w:jc w:val="both"/>
        <w:rPr>
          <w:rFonts w:ascii="Lato" w:eastAsia="Lato" w:hAnsi="Lato" w:cs="Lato"/>
          <w:b/>
        </w:rPr>
      </w:pPr>
      <w:r>
        <w:rPr>
          <w:rFonts w:ascii="Lato" w:eastAsia="Lato" w:hAnsi="Lato" w:cs="Lato"/>
          <w:b/>
        </w:rPr>
        <w:lastRenderedPageBreak/>
        <w:t>Implementar un protocolo dirigido a funcionarias/os de los CESFAM y de todos los servicios de atención primaria del país, para la verificación visual de los anticonceptivos que entregan en el ejercicio de sus funciones y de aviso ante alerta de defectos en medicamentos anticonceptivos.</w:t>
      </w:r>
    </w:p>
    <w:p w14:paraId="2D7C7D1E" w14:textId="29D17666" w:rsidR="005848AE" w:rsidRPr="001369AC" w:rsidRDefault="00000000" w:rsidP="001369AC">
      <w:pPr>
        <w:numPr>
          <w:ilvl w:val="0"/>
          <w:numId w:val="7"/>
        </w:numPr>
        <w:spacing w:after="200"/>
        <w:jc w:val="both"/>
        <w:rPr>
          <w:rFonts w:ascii="Lato" w:eastAsia="Lato" w:hAnsi="Lato" w:cs="Lato"/>
          <w:b/>
        </w:rPr>
      </w:pPr>
      <w:r>
        <w:rPr>
          <w:rFonts w:ascii="Lato" w:eastAsia="Lato" w:hAnsi="Lato" w:cs="Lato"/>
          <w:b/>
        </w:rPr>
        <w:t>Elaborar un protocolo especial de alerta en caso de fallas de anticonceptivos a fin de prevenir y minimizar de manera efectiva los potenciales daños de la circulación de medicamentos anticonceptivos con falla.</w:t>
      </w:r>
    </w:p>
    <w:p w14:paraId="1BD8AC9C" w14:textId="77777777" w:rsidR="005848AE" w:rsidRDefault="00000000">
      <w:pPr>
        <w:numPr>
          <w:ilvl w:val="0"/>
          <w:numId w:val="6"/>
        </w:numPr>
        <w:tabs>
          <w:tab w:val="left" w:pos="1267"/>
          <w:tab w:val="left" w:pos="1742"/>
          <w:tab w:val="left" w:pos="2218"/>
          <w:tab w:val="left" w:pos="2693"/>
          <w:tab w:val="left" w:pos="3182"/>
          <w:tab w:val="left" w:pos="3658"/>
          <w:tab w:val="left" w:pos="4133"/>
          <w:tab w:val="left" w:pos="4622"/>
          <w:tab w:val="left" w:pos="5098"/>
          <w:tab w:val="left" w:pos="5573"/>
          <w:tab w:val="left" w:pos="6048"/>
        </w:tabs>
        <w:spacing w:before="200"/>
        <w:ind w:right="242"/>
        <w:jc w:val="both"/>
        <w:rPr>
          <w:rFonts w:ascii="Lato" w:eastAsia="Lato" w:hAnsi="Lato" w:cs="Lato"/>
          <w:b/>
          <w:i/>
        </w:rPr>
      </w:pPr>
      <w:r>
        <w:rPr>
          <w:rFonts w:ascii="Lato" w:eastAsia="Lato" w:hAnsi="Lato" w:cs="Lato"/>
          <w:b/>
          <w:i/>
        </w:rPr>
        <w:t>Barreras de acceso e implementación de la ley IVE</w:t>
      </w:r>
    </w:p>
    <w:p w14:paraId="6262A5CD" w14:textId="63B7FE58" w:rsidR="005848AE"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before="200"/>
        <w:ind w:right="242"/>
        <w:jc w:val="both"/>
        <w:rPr>
          <w:rFonts w:ascii="Lato" w:eastAsia="Lato" w:hAnsi="Lato" w:cs="Lato"/>
        </w:rPr>
      </w:pPr>
      <w:r>
        <w:rPr>
          <w:rFonts w:ascii="Lato" w:eastAsia="Lato" w:hAnsi="Lato" w:cs="Lato"/>
        </w:rPr>
        <w:t>Después de casi 30 años de penalización total del aborto en Chile, el 23 de septiembre de 2017 se promulgó la Ley N°21.030, que despenaliza</w:t>
      </w:r>
      <w:r w:rsidR="001369AC">
        <w:rPr>
          <w:rFonts w:ascii="Lato" w:eastAsia="Lato" w:hAnsi="Lato" w:cs="Lato"/>
        </w:rPr>
        <w:t xml:space="preserve"> </w:t>
      </w:r>
      <w:r>
        <w:rPr>
          <w:rFonts w:ascii="Lato" w:eastAsia="Lato" w:hAnsi="Lato" w:cs="Lato"/>
        </w:rPr>
        <w:t>la interrupción voluntaria del embarazo en tres causales (Ley IVE): 1) riesgo vital de la mujer o persona gestante, 2) inviabilidad fetal extrauterina, y 3) violación.</w:t>
      </w:r>
    </w:p>
    <w:p w14:paraId="7D7F8E19" w14:textId="77777777" w:rsidR="005848AE"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before="200"/>
        <w:ind w:right="-40"/>
        <w:jc w:val="both"/>
        <w:rPr>
          <w:rFonts w:ascii="Lato" w:eastAsia="Lato" w:hAnsi="Lato" w:cs="Lato"/>
        </w:rPr>
      </w:pPr>
      <w:r>
        <w:rPr>
          <w:rFonts w:ascii="Lato" w:eastAsia="Lato" w:hAnsi="Lato" w:cs="Lato"/>
        </w:rPr>
        <w:t xml:space="preserve">Aunque la Ley IVE representa un avance importante en el reconocimiento de los derechos reproductivos, </w:t>
      </w:r>
      <w:r>
        <w:rPr>
          <w:rFonts w:ascii="Lato" w:eastAsia="Lato" w:hAnsi="Lato" w:cs="Lato"/>
          <w:b/>
        </w:rPr>
        <w:t xml:space="preserve">su implementación ha presentado diversas irregularidades que afectan el ejercicio de estos derechos, </w:t>
      </w:r>
      <w:r>
        <w:rPr>
          <w:rFonts w:ascii="Lato" w:eastAsia="Lato" w:hAnsi="Lato" w:cs="Lato"/>
        </w:rPr>
        <w:t>especialmente en lo referente a la integridad personal y autonomía reproductiva de las mujeres y personas gestantes. En su trabajo, Corporación Miles ha identificado prácticas que incluyen tratos irrespetuosos, abusivos o negligentes, cuestionamientos directos sobre la decisión de la persona gestante, dudas sobre el relato para constituir causal de violación, y violaciones al secreto médico profesional</w:t>
      </w:r>
      <w:r>
        <w:rPr>
          <w:rFonts w:ascii="Lato" w:eastAsia="Lato" w:hAnsi="Lato" w:cs="Lato"/>
          <w:vertAlign w:val="superscript"/>
        </w:rPr>
        <w:footnoteReference w:id="28"/>
      </w:r>
      <w:r>
        <w:rPr>
          <w:rFonts w:ascii="Lato" w:eastAsia="Lato" w:hAnsi="Lato" w:cs="Lato"/>
        </w:rPr>
        <w:t>. También se han registrado obstrucciones al proceso</w:t>
      </w:r>
      <w:r>
        <w:rPr>
          <w:rFonts w:ascii="Lato" w:eastAsia="Lato" w:hAnsi="Lato" w:cs="Lato"/>
          <w:vertAlign w:val="superscript"/>
        </w:rPr>
        <w:footnoteReference w:id="29"/>
      </w:r>
      <w:r>
        <w:rPr>
          <w:rFonts w:ascii="Lato" w:eastAsia="Lato" w:hAnsi="Lato" w:cs="Lato"/>
        </w:rPr>
        <w:t>, como la negación del acceso al servicio o dilaciones excesivas, lo cual resulta especialmente grave cuando hay un límite de edad gestacional.</w:t>
      </w:r>
    </w:p>
    <w:p w14:paraId="217B531D" w14:textId="77777777" w:rsidR="005848AE"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before="200" w:after="200"/>
        <w:ind w:right="242"/>
        <w:jc w:val="both"/>
        <w:rPr>
          <w:rFonts w:ascii="Lato" w:eastAsia="Lato" w:hAnsi="Lato" w:cs="Lato"/>
          <w:b/>
          <w:i/>
        </w:rPr>
      </w:pPr>
      <w:r>
        <w:rPr>
          <w:rFonts w:ascii="Lato" w:eastAsia="Lato" w:hAnsi="Lato" w:cs="Lato"/>
          <w:b/>
          <w:i/>
        </w:rPr>
        <w:t>Revisión de protocolos hospitalarios</w:t>
      </w:r>
    </w:p>
    <w:p w14:paraId="13304718" w14:textId="77777777" w:rsidR="005848AE"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before="200" w:after="200"/>
        <w:jc w:val="both"/>
        <w:rPr>
          <w:rFonts w:ascii="Lato" w:eastAsia="Lato" w:hAnsi="Lato" w:cs="Lato"/>
        </w:rPr>
      </w:pPr>
      <w:r>
        <w:rPr>
          <w:rFonts w:ascii="Lato" w:eastAsia="Lato" w:hAnsi="Lato" w:cs="Lato"/>
        </w:rPr>
        <w:t>En algunas localidades, ciertos hospitales han decidido establecer protocolos internos para apoyar el proceso de atención, acompañamiento psicosocial y derivación en IVE, así como para regular el ejercicio de la objeción de conciencia, la coordinación intersectorial y la toma de muestras de tejidos fetales necesarias durante el procedimiento. Si bien no es obligatorio, este tipo de normativas son relevantes ya que permiten adaptar las directrices a la realidad de cada servicio, debiendo ajustarse a las disposiciones legales y administrativas existentes.</w:t>
      </w:r>
    </w:p>
    <w:p w14:paraId="3E24291A" w14:textId="77777777" w:rsidR="005848AE"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before="200" w:after="200"/>
        <w:jc w:val="both"/>
        <w:rPr>
          <w:rFonts w:ascii="Lato" w:eastAsia="Lato" w:hAnsi="Lato" w:cs="Lato"/>
        </w:rPr>
      </w:pPr>
      <w:r>
        <w:rPr>
          <w:rFonts w:ascii="Lato" w:eastAsia="Lato" w:hAnsi="Lato" w:cs="Lato"/>
        </w:rPr>
        <w:t xml:space="preserve">De los 69 establecimientos habilitados para proveer la IVE, Corporación Miles accedió a los protocolos de 57, identificando varias irregularidades que crean obstáculos para acceder a la </w:t>
      </w:r>
      <w:r>
        <w:rPr>
          <w:rFonts w:ascii="Lato" w:eastAsia="Lato" w:hAnsi="Lato" w:cs="Lato"/>
        </w:rPr>
        <w:lastRenderedPageBreak/>
        <w:t xml:space="preserve">IVE, ya que </w:t>
      </w:r>
      <w:r>
        <w:rPr>
          <w:rFonts w:ascii="Lato" w:eastAsia="Lato" w:hAnsi="Lato" w:cs="Lato"/>
          <w:b/>
        </w:rPr>
        <w:t>imponen requisitos adicionales a los establecidos legalmente.</w:t>
      </w:r>
      <w:r>
        <w:rPr>
          <w:rFonts w:ascii="Lato" w:eastAsia="Lato" w:hAnsi="Lato" w:cs="Lato"/>
        </w:rPr>
        <w:t xml:space="preserve"> Entre los principales detectados se encuentran</w:t>
      </w:r>
      <w:r>
        <w:rPr>
          <w:rFonts w:ascii="Lato" w:eastAsia="Lato" w:hAnsi="Lato" w:cs="Lato"/>
          <w:vertAlign w:val="superscript"/>
        </w:rPr>
        <w:footnoteReference w:id="30"/>
      </w:r>
      <w:r>
        <w:rPr>
          <w:rFonts w:ascii="Lato" w:eastAsia="Lato" w:hAnsi="Lato" w:cs="Lato"/>
        </w:rPr>
        <w:t>:</w:t>
      </w:r>
    </w:p>
    <w:p w14:paraId="0C49ABEE" w14:textId="77777777" w:rsidR="005848AE" w:rsidRDefault="00000000">
      <w:pPr>
        <w:numPr>
          <w:ilvl w:val="0"/>
          <w:numId w:val="2"/>
        </w:numPr>
        <w:tabs>
          <w:tab w:val="left" w:pos="1267"/>
          <w:tab w:val="left" w:pos="1742"/>
          <w:tab w:val="left" w:pos="2218"/>
          <w:tab w:val="left" w:pos="2693"/>
          <w:tab w:val="left" w:pos="3182"/>
          <w:tab w:val="left" w:pos="3658"/>
          <w:tab w:val="left" w:pos="4133"/>
          <w:tab w:val="left" w:pos="4622"/>
          <w:tab w:val="left" w:pos="5098"/>
          <w:tab w:val="left" w:pos="5573"/>
          <w:tab w:val="left" w:pos="6048"/>
        </w:tabs>
        <w:spacing w:before="200"/>
        <w:jc w:val="both"/>
        <w:rPr>
          <w:rFonts w:ascii="Lato" w:eastAsia="Lato" w:hAnsi="Lato" w:cs="Lato"/>
        </w:rPr>
      </w:pPr>
      <w:r>
        <w:rPr>
          <w:rFonts w:ascii="Lato" w:eastAsia="Lato" w:hAnsi="Lato" w:cs="Lato"/>
        </w:rPr>
        <w:t xml:space="preserve">Exigencia de un diagnóstico adicional o la ratificación por otros profesionales para la causal 1, incluso cuando ya está confirmada por un médico gineco–obstetra, excediendo lo que señala la Ley y la Norma Técnica pertinente. </w:t>
      </w:r>
    </w:p>
    <w:p w14:paraId="01558901" w14:textId="77777777" w:rsidR="005848AE" w:rsidRDefault="00000000">
      <w:pPr>
        <w:numPr>
          <w:ilvl w:val="0"/>
          <w:numId w:val="2"/>
        </w:numPr>
        <w:tabs>
          <w:tab w:val="left" w:pos="1267"/>
          <w:tab w:val="left" w:pos="1742"/>
          <w:tab w:val="left" w:pos="2218"/>
          <w:tab w:val="left" w:pos="2693"/>
          <w:tab w:val="left" w:pos="3182"/>
          <w:tab w:val="left" w:pos="3658"/>
          <w:tab w:val="left" w:pos="4133"/>
          <w:tab w:val="left" w:pos="4622"/>
          <w:tab w:val="left" w:pos="5098"/>
          <w:tab w:val="left" w:pos="5573"/>
          <w:tab w:val="left" w:pos="6048"/>
        </w:tabs>
        <w:jc w:val="both"/>
        <w:rPr>
          <w:rFonts w:ascii="Lato" w:eastAsia="Lato" w:hAnsi="Lato" w:cs="Lato"/>
        </w:rPr>
      </w:pPr>
      <w:r>
        <w:rPr>
          <w:rFonts w:ascii="Lato" w:eastAsia="Lato" w:hAnsi="Lato" w:cs="Lato"/>
        </w:rPr>
        <w:t>En 11 hospitales se exigen un número de diagnósticos superior a los dos requeridos para constituir la causal 2.</w:t>
      </w:r>
    </w:p>
    <w:p w14:paraId="4975A00A" w14:textId="77777777" w:rsidR="005848AE" w:rsidRDefault="00000000">
      <w:pPr>
        <w:numPr>
          <w:ilvl w:val="0"/>
          <w:numId w:val="2"/>
        </w:numPr>
        <w:tabs>
          <w:tab w:val="left" w:pos="1267"/>
          <w:tab w:val="left" w:pos="1742"/>
          <w:tab w:val="left" w:pos="2218"/>
          <w:tab w:val="left" w:pos="2693"/>
          <w:tab w:val="left" w:pos="3182"/>
          <w:tab w:val="left" w:pos="3658"/>
          <w:tab w:val="left" w:pos="4133"/>
          <w:tab w:val="left" w:pos="4622"/>
          <w:tab w:val="left" w:pos="5098"/>
          <w:tab w:val="left" w:pos="5573"/>
          <w:tab w:val="left" w:pos="6048"/>
        </w:tabs>
        <w:jc w:val="both"/>
        <w:rPr>
          <w:rFonts w:ascii="Lato" w:eastAsia="Lato" w:hAnsi="Lato" w:cs="Lato"/>
        </w:rPr>
      </w:pPr>
      <w:r>
        <w:rPr>
          <w:rFonts w:ascii="Lato" w:eastAsia="Lato" w:hAnsi="Lato" w:cs="Lato"/>
        </w:rPr>
        <w:t>Cinco protocolos establecen plazos menores a los estipulados, incumpliendo la normativa referente a los plazos gestacionales asociados a la causal 3 (según la ley, 14 semanas para menores de 14 años y 12 semanas para mayores de 14).</w:t>
      </w:r>
    </w:p>
    <w:p w14:paraId="40896DB6" w14:textId="77777777" w:rsidR="005848AE" w:rsidRDefault="00000000">
      <w:pPr>
        <w:numPr>
          <w:ilvl w:val="0"/>
          <w:numId w:val="2"/>
        </w:numPr>
        <w:tabs>
          <w:tab w:val="left" w:pos="1267"/>
          <w:tab w:val="left" w:pos="1742"/>
          <w:tab w:val="left" w:pos="2218"/>
          <w:tab w:val="left" w:pos="2693"/>
          <w:tab w:val="left" w:pos="3182"/>
          <w:tab w:val="left" w:pos="3658"/>
          <w:tab w:val="left" w:pos="4133"/>
          <w:tab w:val="left" w:pos="4622"/>
          <w:tab w:val="left" w:pos="5098"/>
          <w:tab w:val="left" w:pos="5573"/>
          <w:tab w:val="left" w:pos="6048"/>
        </w:tabs>
        <w:jc w:val="both"/>
        <w:rPr>
          <w:rFonts w:ascii="Lato" w:eastAsia="Lato" w:hAnsi="Lato" w:cs="Lato"/>
        </w:rPr>
      </w:pPr>
      <w:r>
        <w:rPr>
          <w:rFonts w:ascii="Lato" w:eastAsia="Lato" w:hAnsi="Lato" w:cs="Lato"/>
        </w:rPr>
        <w:t xml:space="preserve">Un hospital fija un límite de tiempo gestacional para la causal 1 de 22 semanas, contraviniendo la ley, que no contempla un plazo. </w:t>
      </w:r>
    </w:p>
    <w:p w14:paraId="7342A865" w14:textId="77777777" w:rsidR="005848AE" w:rsidRDefault="00000000">
      <w:pPr>
        <w:numPr>
          <w:ilvl w:val="0"/>
          <w:numId w:val="2"/>
        </w:num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200"/>
        <w:jc w:val="both"/>
        <w:rPr>
          <w:rFonts w:ascii="Lato" w:eastAsia="Lato" w:hAnsi="Lato" w:cs="Lato"/>
        </w:rPr>
      </w:pPr>
      <w:r>
        <w:rPr>
          <w:rFonts w:ascii="Lato" w:eastAsia="Lato" w:hAnsi="Lato" w:cs="Lato"/>
        </w:rPr>
        <w:t>Incumplimientos en cuanto a la denuncia y/o información al Ministerio Público. Preocupa especialmente que en algunos establecimientos se establezca la obligatoriedad de denunciar el delito de violación en el caso de mujeres mayores de 18 años, lo que se aparta de lo dispuesto en la ley, o que se utilicen indistintamente los términos notificación o denuncia.</w:t>
      </w:r>
    </w:p>
    <w:p w14:paraId="5F431D41" w14:textId="77777777" w:rsidR="005848AE"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before="200" w:after="200"/>
        <w:ind w:right="242"/>
        <w:jc w:val="both"/>
        <w:rPr>
          <w:rFonts w:ascii="Lato" w:eastAsia="Lato" w:hAnsi="Lato" w:cs="Lato"/>
          <w:b/>
          <w:i/>
        </w:rPr>
      </w:pPr>
      <w:r>
        <w:rPr>
          <w:rFonts w:ascii="Lato" w:eastAsia="Lato" w:hAnsi="Lato" w:cs="Lato"/>
          <w:b/>
          <w:i/>
        </w:rPr>
        <w:t>Disponibilidad de medicamentos</w:t>
      </w:r>
    </w:p>
    <w:p w14:paraId="2CC63C7A" w14:textId="77777777" w:rsidR="005848AE"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before="200" w:after="200"/>
        <w:jc w:val="both"/>
        <w:rPr>
          <w:rFonts w:ascii="Lato" w:eastAsia="Lato" w:hAnsi="Lato" w:cs="Lato"/>
          <w:b/>
        </w:rPr>
      </w:pPr>
      <w:r>
        <w:rPr>
          <w:rFonts w:ascii="Lato" w:eastAsia="Lato" w:hAnsi="Lato" w:cs="Lato"/>
        </w:rPr>
        <w:t>De acuerdo con información obtenida del Instituto de Salud Pública a través de la Ley de Transparencia, en Chile se registran cuatro medicamentos con principio activo misoprostol, de los cuales tres requieren receta médica retenida como condición de venta y uno receta simple</w:t>
      </w:r>
      <w:r>
        <w:rPr>
          <w:rFonts w:ascii="Lato" w:eastAsia="Lato" w:hAnsi="Lato" w:cs="Lato"/>
          <w:vertAlign w:val="superscript"/>
        </w:rPr>
        <w:footnoteReference w:id="31"/>
      </w:r>
      <w:r>
        <w:rPr>
          <w:rFonts w:ascii="Lato" w:eastAsia="Lato" w:hAnsi="Lato" w:cs="Lato"/>
        </w:rPr>
        <w:t xml:space="preserve">. Respecto a medicamentos con principio activo mifepristona, existen dos registros, </w:t>
      </w:r>
      <w:proofErr w:type="gramStart"/>
      <w:r>
        <w:rPr>
          <w:rFonts w:ascii="Lato" w:eastAsia="Lato" w:hAnsi="Lato" w:cs="Lato"/>
        </w:rPr>
        <w:t>ambos con venta sujeta</w:t>
      </w:r>
      <w:proofErr w:type="gramEnd"/>
      <w:r>
        <w:rPr>
          <w:rFonts w:ascii="Lato" w:eastAsia="Lato" w:hAnsi="Lato" w:cs="Lato"/>
        </w:rPr>
        <w:t xml:space="preserve"> a receta retenida y disponibles exclusivamente en establecimientos asistenciales. Por lo tanto, </w:t>
      </w:r>
      <w:r>
        <w:rPr>
          <w:rFonts w:ascii="Lato" w:eastAsia="Lato" w:hAnsi="Lato" w:cs="Lato"/>
          <w:b/>
        </w:rPr>
        <w:t>no es posible acceder a medicamentos para realizar IVE con método combinado fuera de estos centros. En la práctica, no se puede adquirir ni misoprostol ni mifepristona en farmacias.</w:t>
      </w:r>
    </w:p>
    <w:p w14:paraId="4C0AE372" w14:textId="77777777" w:rsidR="005848AE" w:rsidRDefault="00000000">
      <w:pPr>
        <w:keepLines/>
        <w:widowControl w:val="0"/>
        <w:tabs>
          <w:tab w:val="left" w:pos="1267"/>
          <w:tab w:val="left" w:pos="1742"/>
          <w:tab w:val="left" w:pos="2218"/>
          <w:tab w:val="left" w:pos="2693"/>
          <w:tab w:val="left" w:pos="3182"/>
          <w:tab w:val="left" w:pos="3658"/>
          <w:tab w:val="left" w:pos="4133"/>
          <w:tab w:val="left" w:pos="4622"/>
          <w:tab w:val="left" w:pos="5098"/>
          <w:tab w:val="left" w:pos="5573"/>
          <w:tab w:val="left" w:pos="6048"/>
        </w:tabs>
        <w:spacing w:before="200" w:after="200"/>
        <w:jc w:val="both"/>
        <w:rPr>
          <w:rFonts w:ascii="Lato" w:eastAsia="Lato" w:hAnsi="Lato" w:cs="Lato"/>
        </w:rPr>
      </w:pPr>
      <w:r>
        <w:rPr>
          <w:rFonts w:ascii="Lato" w:eastAsia="Lato" w:hAnsi="Lato" w:cs="Lato"/>
        </w:rPr>
        <w:lastRenderedPageBreak/>
        <w:t>Respecto al stock de misoprostol y mifepristona en hospitales públicos, actualmente hay existencias, pero d</w:t>
      </w:r>
      <w:r>
        <w:rPr>
          <w:rFonts w:ascii="Lato" w:eastAsia="Lato" w:hAnsi="Lato" w:cs="Lato"/>
          <w:b/>
        </w:rPr>
        <w:t xml:space="preserve">urante la mayor parte de 2023 hubo desabastecimiento de mifepristona. </w:t>
      </w:r>
      <w:r>
        <w:rPr>
          <w:rFonts w:ascii="Lato" w:eastAsia="Lato" w:hAnsi="Lato" w:cs="Lato"/>
        </w:rPr>
        <w:t>Cabe señalar, además, que en algunos hospitales estos fármacos se utilizan únicamente para casos IVE y no para el tratamiento de abortos espontáneos u otros procedimientos. Por esta razón, el MINSAL emitió un documento instruyendo sobre la disponibilidad universal de estos medicamentos</w:t>
      </w:r>
      <w:r>
        <w:rPr>
          <w:rFonts w:ascii="Lato" w:eastAsia="Lato" w:hAnsi="Lato" w:cs="Lato"/>
          <w:vertAlign w:val="superscript"/>
        </w:rPr>
        <w:footnoteReference w:id="32"/>
      </w:r>
      <w:r>
        <w:rPr>
          <w:rFonts w:ascii="Lato" w:eastAsia="Lato" w:hAnsi="Lato" w:cs="Lato"/>
        </w:rPr>
        <w:t>.</w:t>
      </w:r>
    </w:p>
    <w:p w14:paraId="58C45F0F" w14:textId="77777777" w:rsidR="005848AE"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before="200" w:after="200"/>
        <w:jc w:val="both"/>
        <w:rPr>
          <w:rFonts w:ascii="Lato" w:eastAsia="Lato" w:hAnsi="Lato" w:cs="Lato"/>
          <w:b/>
          <w:i/>
        </w:rPr>
      </w:pPr>
      <w:r>
        <w:rPr>
          <w:rFonts w:ascii="Lato" w:eastAsia="Lato" w:hAnsi="Lato" w:cs="Lato"/>
          <w:b/>
          <w:i/>
        </w:rPr>
        <w:t>Objeción de conciencia</w:t>
      </w:r>
    </w:p>
    <w:p w14:paraId="007FA9B4" w14:textId="77777777" w:rsidR="005848AE"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before="200" w:after="200"/>
        <w:jc w:val="both"/>
        <w:rPr>
          <w:rFonts w:ascii="Lato" w:eastAsia="Lato" w:hAnsi="Lato" w:cs="Lato"/>
        </w:rPr>
      </w:pPr>
      <w:r>
        <w:rPr>
          <w:rFonts w:ascii="Lato" w:eastAsia="Lato" w:hAnsi="Lato" w:cs="Lato"/>
        </w:rPr>
        <w:t>Desde la promulgación de la Ley IVE, la objeción de conciencia, tanto individual como institucional, ha sido un obstáculo para su implementación, generando un acceso desigual a esta prestación de salud.</w:t>
      </w:r>
    </w:p>
    <w:p w14:paraId="3C9E1D68" w14:textId="77777777" w:rsidR="005848AE"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before="200" w:after="200"/>
        <w:jc w:val="both"/>
        <w:rPr>
          <w:rFonts w:ascii="Lato" w:eastAsia="Lato" w:hAnsi="Lato" w:cs="Lato"/>
        </w:rPr>
      </w:pPr>
      <w:r>
        <w:rPr>
          <w:rFonts w:ascii="Lato" w:eastAsia="Lato" w:hAnsi="Lato" w:cs="Lato"/>
        </w:rPr>
        <w:t xml:space="preserve">Es especialmente alarmante el </w:t>
      </w:r>
      <w:r>
        <w:rPr>
          <w:rFonts w:ascii="Lato" w:eastAsia="Lato" w:hAnsi="Lato" w:cs="Lato"/>
          <w:b/>
        </w:rPr>
        <w:t>alto porcentaje de objeción de conciencia</w:t>
      </w:r>
      <w:r>
        <w:rPr>
          <w:rFonts w:ascii="Lato" w:eastAsia="Lato" w:hAnsi="Lato" w:cs="Lato"/>
        </w:rPr>
        <w:t xml:space="preserve"> manifestado por médicos </w:t>
      </w:r>
      <w:proofErr w:type="spellStart"/>
      <w:r>
        <w:rPr>
          <w:rFonts w:ascii="Lato" w:eastAsia="Lato" w:hAnsi="Lato" w:cs="Lato"/>
        </w:rPr>
        <w:t>ginecobstétras</w:t>
      </w:r>
      <w:proofErr w:type="spellEnd"/>
      <w:r>
        <w:rPr>
          <w:rFonts w:ascii="Lato" w:eastAsia="Lato" w:hAnsi="Lato" w:cs="Lato"/>
        </w:rPr>
        <w:t xml:space="preserve"> en la causal de violación, que en 2023 alcanzó un 45,8%, duplicando a quienes objetan en la causal de inviabilidad fetal (22,7% en el mismo período), y superando ampliamente el 15,9% que se acoge a esta figura en casos de riesgo de vida para la madre. </w:t>
      </w:r>
      <w:r>
        <w:rPr>
          <w:rFonts w:ascii="Lato" w:eastAsia="Lato" w:hAnsi="Lato" w:cs="Lato"/>
          <w:b/>
        </w:rPr>
        <w:t>La estabilidad de estos porcentajes en el tiempo es igualmente preocupante</w:t>
      </w:r>
      <w:r>
        <w:rPr>
          <w:rFonts w:ascii="Lato" w:eastAsia="Lato" w:hAnsi="Lato" w:cs="Lato"/>
        </w:rPr>
        <w:t xml:space="preserve">, considerando que en 2018 un 47,2% de </w:t>
      </w:r>
      <w:proofErr w:type="spellStart"/>
      <w:r>
        <w:rPr>
          <w:rFonts w:ascii="Lato" w:eastAsia="Lato" w:hAnsi="Lato" w:cs="Lato"/>
        </w:rPr>
        <w:t>ginecobstétras</w:t>
      </w:r>
      <w:proofErr w:type="spellEnd"/>
      <w:r>
        <w:rPr>
          <w:rFonts w:ascii="Lato" w:eastAsia="Lato" w:hAnsi="Lato" w:cs="Lato"/>
        </w:rPr>
        <w:t xml:space="preserve"> se declaraban objetores en casos de violación, y desde entonces las variaciones han sido marginales. Actualmente,</w:t>
      </w:r>
      <w:r>
        <w:rPr>
          <w:rFonts w:ascii="Lato" w:eastAsia="Lato" w:hAnsi="Lato" w:cs="Lato"/>
          <w:b/>
        </w:rPr>
        <w:t xml:space="preserve"> no existen directrices que favorezcan la contratación de profesionales no objetores en lugares donde no hay disponibilidad, </w:t>
      </w:r>
      <w:r>
        <w:rPr>
          <w:rFonts w:ascii="Lato" w:eastAsia="Lato" w:hAnsi="Lato" w:cs="Lato"/>
        </w:rPr>
        <w:t>lo que genera una distribución desigual. Existen cinco hospitales públicos donde el 100% de los profesionales son objetores en la causal violación, y en 18 de los 68 hospitales que ofrecen IVE, más de dos tercios del personal se acogen a esta figura.</w:t>
      </w:r>
      <w:r>
        <w:rPr>
          <w:rFonts w:ascii="Lato" w:eastAsia="Lato" w:hAnsi="Lato" w:cs="Lato"/>
          <w:vertAlign w:val="superscript"/>
        </w:rPr>
        <w:footnoteReference w:id="33"/>
      </w:r>
      <w:r>
        <w:rPr>
          <w:rFonts w:ascii="Lato" w:eastAsia="Lato" w:hAnsi="Lato" w:cs="Lato"/>
        </w:rPr>
        <w:t xml:space="preserve"> </w:t>
      </w:r>
    </w:p>
    <w:p w14:paraId="18DAEF68" w14:textId="77777777" w:rsidR="005848AE"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before="200" w:after="200"/>
        <w:jc w:val="both"/>
        <w:rPr>
          <w:rFonts w:ascii="Lato" w:eastAsia="Lato" w:hAnsi="Lato" w:cs="Lato"/>
        </w:rPr>
      </w:pPr>
      <w:r>
        <w:rPr>
          <w:rFonts w:ascii="Lato" w:eastAsia="Lato" w:hAnsi="Lato" w:cs="Lato"/>
          <w:b/>
        </w:rPr>
        <w:t xml:space="preserve">La falta de conocimiento sobre los límites y alcances de la objeción de conciencia entre los profesionales de la salud influye en estas cifras. </w:t>
      </w:r>
      <w:r>
        <w:rPr>
          <w:rFonts w:ascii="Lato" w:eastAsia="Lato" w:hAnsi="Lato" w:cs="Lato"/>
        </w:rPr>
        <w:t xml:space="preserve">Un estudio de Corporación Miles reveló que aproximadamente 1 de cada 3 profesionales no posee un conocimiento preciso sobre esta figura y sus limitaciones, y un 87,8% de las personas encuestadas considera que afecta negativamente la entrega de atención oportuna. Esto es especialmente preocupante dado que quienes respondieron son trabajadores en los recintos de salud. Además, un 49% señala desconocer si existen si en sus lugares de trabajo existen protocolos de reasignación y derivación para las usuarias. </w:t>
      </w:r>
      <w:r>
        <w:rPr>
          <w:rFonts w:ascii="Lato" w:eastAsia="Lato" w:hAnsi="Lato" w:cs="Lato"/>
          <w:vertAlign w:val="superscript"/>
        </w:rPr>
        <w:footnoteReference w:id="34"/>
      </w:r>
    </w:p>
    <w:p w14:paraId="221F38CF" w14:textId="77777777" w:rsidR="005848AE"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before="200" w:after="200"/>
        <w:jc w:val="both"/>
        <w:rPr>
          <w:rFonts w:ascii="Lato" w:eastAsia="Lato" w:hAnsi="Lato" w:cs="Lato"/>
          <w:b/>
        </w:rPr>
      </w:pPr>
      <w:r>
        <w:rPr>
          <w:rFonts w:ascii="Lato" w:eastAsia="Lato" w:hAnsi="Lato" w:cs="Lato"/>
        </w:rPr>
        <w:lastRenderedPageBreak/>
        <w:t xml:space="preserve">Además de estos hallazgos cuantitativos, a través de la implementación de dos diálogos participativos con equipos de ginecología y obstetricia, se identificaron otras problemáticas que dificultan la implementación de la Ley y el acceso de las usuarias. Por un lado, </w:t>
      </w:r>
      <w:r>
        <w:rPr>
          <w:rFonts w:ascii="Lato" w:eastAsia="Lato" w:hAnsi="Lato" w:cs="Lato"/>
          <w:b/>
        </w:rPr>
        <w:t xml:space="preserve">quienes realizan procedimientos de interrupción del embarazo en el marco de la Ley Nº21.030 informan enfrentarse a discriminación y hostigamiento por parte de colegas objetores dentro de los servicios de salud. </w:t>
      </w:r>
      <w:r>
        <w:rPr>
          <w:rFonts w:ascii="Lato" w:eastAsia="Lato" w:hAnsi="Lato" w:cs="Lato"/>
        </w:rPr>
        <w:t xml:space="preserve">Por otro lado, se menciona la </w:t>
      </w:r>
      <w:r>
        <w:rPr>
          <w:rFonts w:ascii="Lato" w:eastAsia="Lato" w:hAnsi="Lato" w:cs="Lato"/>
          <w:b/>
        </w:rPr>
        <w:t>escasa capacitación y los flujos de información poco claros</w:t>
      </w:r>
      <w:r>
        <w:rPr>
          <w:rFonts w:ascii="Lato" w:eastAsia="Lato" w:hAnsi="Lato" w:cs="Lato"/>
        </w:rPr>
        <w:t xml:space="preserve"> en relación con la objeción de conciencia y la realización de interrupciones voluntarias del embarazo, lo que en ocasiones conduce a derivaciones innecesarias para confirmar diagnósticos y constituir la causal correspondiente</w:t>
      </w:r>
      <w:r>
        <w:rPr>
          <w:rFonts w:ascii="Lato" w:eastAsia="Lato" w:hAnsi="Lato" w:cs="Lato"/>
          <w:vertAlign w:val="superscript"/>
        </w:rPr>
        <w:footnoteReference w:id="35"/>
      </w:r>
      <w:r>
        <w:rPr>
          <w:rFonts w:ascii="Lato" w:eastAsia="Lato" w:hAnsi="Lato" w:cs="Lato"/>
        </w:rPr>
        <w:t xml:space="preserve"> .</w:t>
      </w:r>
    </w:p>
    <w:p w14:paraId="22D31061" w14:textId="77777777" w:rsidR="005848AE"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before="200" w:after="200"/>
        <w:jc w:val="both"/>
        <w:rPr>
          <w:rFonts w:ascii="Lato" w:eastAsia="Lato" w:hAnsi="Lato" w:cs="Lato"/>
          <w:b/>
          <w:i/>
        </w:rPr>
      </w:pPr>
      <w:r>
        <w:rPr>
          <w:rFonts w:ascii="Lato" w:eastAsia="Lato" w:hAnsi="Lato" w:cs="Lato"/>
          <w:b/>
          <w:i/>
        </w:rPr>
        <w:t>Métodos clínicos</w:t>
      </w:r>
    </w:p>
    <w:p w14:paraId="16280F0A" w14:textId="77777777" w:rsidR="005848AE"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before="200" w:after="200"/>
        <w:jc w:val="both"/>
        <w:rPr>
          <w:rFonts w:ascii="Lato" w:eastAsia="Lato" w:hAnsi="Lato" w:cs="Lato"/>
          <w:b/>
        </w:rPr>
      </w:pPr>
      <w:r>
        <w:rPr>
          <w:rFonts w:ascii="Lato" w:eastAsia="Lato" w:hAnsi="Lato" w:cs="Lato"/>
        </w:rPr>
        <w:t xml:space="preserve">En términos generales, se observa que </w:t>
      </w:r>
      <w:r>
        <w:rPr>
          <w:rFonts w:ascii="Lato" w:eastAsia="Lato" w:hAnsi="Lato" w:cs="Lato"/>
          <w:b/>
        </w:rPr>
        <w:t>en los métodos clínicos empleados para la prestación de la IVE no se cumple adecuadamente con las recomendaciones de la Organización Mundial de la Salud.</w:t>
      </w:r>
      <w:r>
        <w:rPr>
          <w:rFonts w:ascii="Lato" w:eastAsia="Lato" w:hAnsi="Lato" w:cs="Lato"/>
        </w:rPr>
        <w:t xml:space="preserve"> Se constata que el uso del legrado sigue siendo uno de los métodos más empleados para el vaciamiento uterino, tanto como procedimiento individual como posterior al aborto médico. A pesar de las indicaciones de la OMS, la transición hacia la Aspiración Manual </w:t>
      </w:r>
      <w:proofErr w:type="spellStart"/>
      <w:r>
        <w:rPr>
          <w:rFonts w:ascii="Lato" w:eastAsia="Lato" w:hAnsi="Lato" w:cs="Lato"/>
        </w:rPr>
        <w:t>Endouterina</w:t>
      </w:r>
      <w:proofErr w:type="spellEnd"/>
      <w:r>
        <w:rPr>
          <w:rFonts w:ascii="Lato" w:eastAsia="Lato" w:hAnsi="Lato" w:cs="Lato"/>
        </w:rPr>
        <w:t xml:space="preserve"> (AMEU) ha sido insuficiente, ya que, a siete años de implementación de la ley, </w:t>
      </w:r>
      <w:r>
        <w:rPr>
          <w:rFonts w:ascii="Lato" w:eastAsia="Lato" w:hAnsi="Lato" w:cs="Lato"/>
          <w:b/>
        </w:rPr>
        <w:t xml:space="preserve">los métodos modernos de vaciamiento uterino no son el estándar en los hospitales. </w:t>
      </w:r>
    </w:p>
    <w:p w14:paraId="19D5B625" w14:textId="77777777" w:rsidR="005848AE"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before="200" w:after="200"/>
        <w:jc w:val="both"/>
        <w:rPr>
          <w:rFonts w:ascii="Lato" w:eastAsia="Lato" w:hAnsi="Lato" w:cs="Lato"/>
        </w:rPr>
      </w:pPr>
      <w:r>
        <w:rPr>
          <w:rFonts w:ascii="Lato" w:eastAsia="Lato" w:hAnsi="Lato" w:cs="Lato"/>
        </w:rPr>
        <w:t xml:space="preserve">En el caso del aborto con medicamentos, también se evidencia una </w:t>
      </w:r>
      <w:r>
        <w:rPr>
          <w:rFonts w:ascii="Lato" w:eastAsia="Lato" w:hAnsi="Lato" w:cs="Lato"/>
          <w:b/>
        </w:rPr>
        <w:t>falta de disponibilidad de mifepristona</w:t>
      </w:r>
      <w:r>
        <w:rPr>
          <w:rFonts w:ascii="Lato" w:eastAsia="Lato" w:hAnsi="Lato" w:cs="Lato"/>
        </w:rPr>
        <w:t>, lo que hace que el método combinado se utilice con menor frecuencia que el basado solo en misoprostol.</w:t>
      </w:r>
    </w:p>
    <w:p w14:paraId="36B9762B" w14:textId="77777777" w:rsidR="005848AE"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before="200" w:after="200"/>
        <w:jc w:val="both"/>
        <w:rPr>
          <w:rFonts w:ascii="Lato" w:eastAsia="Lato" w:hAnsi="Lato" w:cs="Lato"/>
        </w:rPr>
      </w:pPr>
      <w:r>
        <w:rPr>
          <w:rFonts w:ascii="Lato" w:eastAsia="Lato" w:hAnsi="Lato" w:cs="Lato"/>
        </w:rPr>
        <w:t>Es importante destacar la dificultad que enfrentan las organizaciones de la sociedad civil para acceder a la información estadística, ya que esta no se encuentra de manera activa en las páginas web institucionales. A pesar de lo establecido por las leyes en materia de acceso a la información, muchos hospitales no respondieron a nuestras solicitudes de transparencia, y las respuestas recibidas carecieron de precisión en los datos, impidiendo su análisis</w:t>
      </w:r>
      <w:r>
        <w:rPr>
          <w:rFonts w:ascii="Lato" w:eastAsia="Lato" w:hAnsi="Lato" w:cs="Lato"/>
          <w:vertAlign w:val="superscript"/>
        </w:rPr>
        <w:footnoteReference w:id="36"/>
      </w:r>
      <w:r>
        <w:rPr>
          <w:rFonts w:ascii="Lato" w:eastAsia="Lato" w:hAnsi="Lato" w:cs="Lato"/>
        </w:rPr>
        <w:t xml:space="preserve">. </w:t>
      </w:r>
    </w:p>
    <w:p w14:paraId="03F72977" w14:textId="77777777" w:rsidR="005848AE"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before="200" w:after="200"/>
        <w:jc w:val="both"/>
        <w:rPr>
          <w:rFonts w:ascii="Lato" w:eastAsia="Lato" w:hAnsi="Lato" w:cs="Lato"/>
          <w:b/>
          <w:i/>
        </w:rPr>
      </w:pPr>
      <w:r>
        <w:rPr>
          <w:rFonts w:ascii="Lato" w:eastAsia="Lato" w:hAnsi="Lato" w:cs="Lato"/>
          <w:b/>
          <w:i/>
        </w:rPr>
        <w:t>Acceso a la información sobre Interrupción Voluntaria del Embarazo</w:t>
      </w:r>
    </w:p>
    <w:p w14:paraId="3BFE658A" w14:textId="77777777" w:rsidR="005848AE" w:rsidRDefault="00000000">
      <w:pPr>
        <w:keepLines/>
        <w:widowControl w:val="0"/>
        <w:tabs>
          <w:tab w:val="left" w:pos="1267"/>
          <w:tab w:val="left" w:pos="1742"/>
          <w:tab w:val="left" w:pos="2218"/>
          <w:tab w:val="left" w:pos="2693"/>
          <w:tab w:val="left" w:pos="3182"/>
          <w:tab w:val="left" w:pos="3658"/>
          <w:tab w:val="left" w:pos="4133"/>
          <w:tab w:val="left" w:pos="4622"/>
          <w:tab w:val="left" w:pos="5098"/>
          <w:tab w:val="left" w:pos="5573"/>
          <w:tab w:val="left" w:pos="6048"/>
        </w:tabs>
        <w:spacing w:before="200" w:after="200"/>
        <w:jc w:val="both"/>
        <w:rPr>
          <w:rFonts w:ascii="Lato" w:eastAsia="Lato" w:hAnsi="Lato" w:cs="Lato"/>
        </w:rPr>
      </w:pPr>
      <w:r>
        <w:rPr>
          <w:rFonts w:ascii="Lato" w:eastAsia="Lato" w:hAnsi="Lato" w:cs="Lato"/>
        </w:rPr>
        <w:t xml:space="preserve">El marco legal vigente y su interpretación restrictiva limitan, en la práctica, el acceso a la información (tanto en línea como fuera de ella) sobre el aborto, vulnerando los derechos a la libertad de expresión, información y a defender derechos humanos, específicamente los sexuales y reproductivos. </w:t>
      </w:r>
    </w:p>
    <w:p w14:paraId="298A3886" w14:textId="77777777" w:rsidR="005848AE" w:rsidRDefault="00000000">
      <w:pPr>
        <w:keepLines/>
        <w:widowControl w:val="0"/>
        <w:tabs>
          <w:tab w:val="left" w:pos="1267"/>
          <w:tab w:val="left" w:pos="1742"/>
          <w:tab w:val="left" w:pos="2218"/>
          <w:tab w:val="left" w:pos="2693"/>
          <w:tab w:val="left" w:pos="3182"/>
          <w:tab w:val="left" w:pos="3658"/>
          <w:tab w:val="left" w:pos="4133"/>
          <w:tab w:val="left" w:pos="4622"/>
          <w:tab w:val="left" w:pos="5098"/>
          <w:tab w:val="left" w:pos="5573"/>
          <w:tab w:val="left" w:pos="6048"/>
        </w:tabs>
        <w:spacing w:before="200" w:after="200"/>
        <w:jc w:val="both"/>
        <w:rPr>
          <w:rFonts w:ascii="Lato" w:eastAsia="Lato" w:hAnsi="Lato" w:cs="Lato"/>
        </w:rPr>
      </w:pPr>
      <w:r>
        <w:rPr>
          <w:rFonts w:ascii="Lato" w:eastAsia="Lato" w:hAnsi="Lato" w:cs="Lato"/>
        </w:rPr>
        <w:lastRenderedPageBreak/>
        <w:t xml:space="preserve">Actualmente, en Chile, existe una </w:t>
      </w:r>
      <w:r>
        <w:rPr>
          <w:rFonts w:ascii="Lato" w:eastAsia="Lato" w:hAnsi="Lato" w:cs="Lato"/>
          <w:b/>
        </w:rPr>
        <w:t xml:space="preserve">prohibición expresa de publicitar la oferta de centros, establecimientos o servicios, o de medios, prestaciones técnicas o procedimientos para la práctica de la interrupción voluntaria del embarazo, establecida en el artículo 119 </w:t>
      </w:r>
      <w:proofErr w:type="spellStart"/>
      <w:r>
        <w:rPr>
          <w:rFonts w:ascii="Lato" w:eastAsia="Lato" w:hAnsi="Lato" w:cs="Lato"/>
          <w:b/>
        </w:rPr>
        <w:t>quáter</w:t>
      </w:r>
      <w:proofErr w:type="spellEnd"/>
      <w:r>
        <w:rPr>
          <w:rFonts w:ascii="Lato" w:eastAsia="Lato" w:hAnsi="Lato" w:cs="Lato"/>
          <w:b/>
        </w:rPr>
        <w:t xml:space="preserve"> de la Ley IVE</w:t>
      </w:r>
      <w:r>
        <w:rPr>
          <w:rFonts w:ascii="Lato" w:eastAsia="Lato" w:hAnsi="Lato" w:cs="Lato"/>
        </w:rPr>
        <w:t xml:space="preserve">. </w:t>
      </w:r>
    </w:p>
    <w:p w14:paraId="36A73AE8" w14:textId="77777777" w:rsidR="005848AE" w:rsidRDefault="00000000">
      <w:pPr>
        <w:keepLines/>
        <w:widowControl w:val="0"/>
        <w:tabs>
          <w:tab w:val="left" w:pos="1267"/>
          <w:tab w:val="left" w:pos="1742"/>
          <w:tab w:val="left" w:pos="2218"/>
          <w:tab w:val="left" w:pos="2693"/>
          <w:tab w:val="left" w:pos="3182"/>
          <w:tab w:val="left" w:pos="3658"/>
          <w:tab w:val="left" w:pos="4133"/>
          <w:tab w:val="left" w:pos="4622"/>
          <w:tab w:val="left" w:pos="5098"/>
          <w:tab w:val="left" w:pos="5573"/>
          <w:tab w:val="left" w:pos="6048"/>
        </w:tabs>
        <w:spacing w:before="200" w:after="200"/>
        <w:jc w:val="both"/>
        <w:rPr>
          <w:rFonts w:ascii="Lato" w:eastAsia="Lato" w:hAnsi="Lato" w:cs="Lato"/>
          <w:i/>
        </w:rPr>
      </w:pPr>
      <w:r>
        <w:rPr>
          <w:rFonts w:ascii="Lato" w:eastAsia="Lato" w:hAnsi="Lato" w:cs="Lato"/>
        </w:rPr>
        <w:t xml:space="preserve">El Comité de Derechos Humanos ha expresado su preocupación por esta prohibición y ha instado al Estado chileno a </w:t>
      </w:r>
      <w:r>
        <w:rPr>
          <w:rFonts w:ascii="Lato" w:eastAsia="Lato" w:hAnsi="Lato" w:cs="Lato"/>
          <w:i/>
        </w:rPr>
        <w:t>“[r]</w:t>
      </w:r>
      <w:proofErr w:type="spellStart"/>
      <w:r>
        <w:rPr>
          <w:rFonts w:ascii="Lato" w:eastAsia="Lato" w:hAnsi="Lato" w:cs="Lato"/>
          <w:i/>
        </w:rPr>
        <w:t>edoblar</w:t>
      </w:r>
      <w:proofErr w:type="spellEnd"/>
      <w:r>
        <w:rPr>
          <w:rFonts w:ascii="Lato" w:eastAsia="Lato" w:hAnsi="Lato" w:cs="Lato"/>
          <w:i/>
        </w:rPr>
        <w:t xml:space="preserve"> sus esfuerzos de sensibilización, información y educación en materia de salud sexual y reproductiva e incrementar sus esfuerzos para prevenir los embarazos no deseados, especialmente entre niñas y adolescentes”.</w:t>
      </w:r>
      <w:r>
        <w:rPr>
          <w:rFonts w:ascii="Lato" w:eastAsia="Lato" w:hAnsi="Lato" w:cs="Lato"/>
          <w:i/>
          <w:vertAlign w:val="superscript"/>
        </w:rPr>
        <w:footnoteReference w:id="37"/>
      </w:r>
      <w:r>
        <w:rPr>
          <w:rFonts w:ascii="Lato" w:eastAsia="Lato" w:hAnsi="Lato" w:cs="Lato"/>
          <w:i/>
        </w:rPr>
        <w:t xml:space="preserve"> </w:t>
      </w:r>
    </w:p>
    <w:p w14:paraId="488BA209" w14:textId="77777777" w:rsidR="005848AE" w:rsidRDefault="00000000">
      <w:pPr>
        <w:keepLines/>
        <w:widowControl w:val="0"/>
        <w:tabs>
          <w:tab w:val="left" w:pos="1267"/>
          <w:tab w:val="left" w:pos="1742"/>
          <w:tab w:val="left" w:pos="2218"/>
          <w:tab w:val="left" w:pos="2693"/>
          <w:tab w:val="left" w:pos="3182"/>
          <w:tab w:val="left" w:pos="3658"/>
          <w:tab w:val="left" w:pos="4133"/>
          <w:tab w:val="left" w:pos="4622"/>
          <w:tab w:val="left" w:pos="5098"/>
          <w:tab w:val="left" w:pos="5573"/>
          <w:tab w:val="left" w:pos="6048"/>
        </w:tabs>
        <w:spacing w:before="200" w:after="200"/>
        <w:jc w:val="both"/>
        <w:rPr>
          <w:rFonts w:ascii="Lato" w:eastAsia="Lato" w:hAnsi="Lato" w:cs="Lato"/>
          <w:i/>
        </w:rPr>
      </w:pPr>
      <w:r>
        <w:rPr>
          <w:rFonts w:ascii="Lato" w:eastAsia="Lato" w:hAnsi="Lato" w:cs="Lato"/>
        </w:rPr>
        <w:t>De igual forma, el Grupo de Trabajo sobre la discriminación contra las mujeres y las niñas, el Grupo de Trabajo sobre la cuestión de los derechos humanos y las empresas transnacionales y otras empresas y la Relatora Especial sobre el derecho de toda persona al disfrute del más alto nivel posible de salud física y mental han señalado “</w:t>
      </w:r>
      <w:r>
        <w:rPr>
          <w:rFonts w:ascii="Lato" w:eastAsia="Lato" w:hAnsi="Lato" w:cs="Lato"/>
          <w:i/>
        </w:rPr>
        <w:t>la necesidad de levantar la prohibición de difusión de información sobre el acceso a la IVE que impide, en la práctica, el acceso real de las mujeres a servicios de salud sexual y reproductiva”</w:t>
      </w:r>
      <w:r>
        <w:rPr>
          <w:rFonts w:ascii="Lato" w:eastAsia="Lato" w:hAnsi="Lato" w:cs="Lato"/>
          <w:i/>
          <w:vertAlign w:val="superscript"/>
        </w:rPr>
        <w:footnoteReference w:id="38"/>
      </w:r>
      <w:r>
        <w:rPr>
          <w:rFonts w:ascii="Lato" w:eastAsia="Lato" w:hAnsi="Lato" w:cs="Lato"/>
          <w:i/>
        </w:rPr>
        <w:t>.</w:t>
      </w:r>
    </w:p>
    <w:p w14:paraId="2FD3FF40" w14:textId="77777777" w:rsidR="005848AE" w:rsidRDefault="00000000">
      <w:pPr>
        <w:keepLines/>
        <w:widowControl w:val="0"/>
        <w:tabs>
          <w:tab w:val="left" w:pos="1267"/>
          <w:tab w:val="left" w:pos="1742"/>
          <w:tab w:val="left" w:pos="2218"/>
          <w:tab w:val="left" w:pos="2693"/>
          <w:tab w:val="left" w:pos="3182"/>
          <w:tab w:val="left" w:pos="3658"/>
          <w:tab w:val="left" w:pos="4133"/>
          <w:tab w:val="left" w:pos="4622"/>
          <w:tab w:val="left" w:pos="5098"/>
          <w:tab w:val="left" w:pos="5573"/>
          <w:tab w:val="left" w:pos="6048"/>
        </w:tabs>
        <w:spacing w:before="200" w:after="200"/>
        <w:jc w:val="both"/>
        <w:rPr>
          <w:rFonts w:ascii="Lato" w:eastAsia="Lato" w:hAnsi="Lato" w:cs="Lato"/>
        </w:rPr>
      </w:pPr>
      <w:r>
        <w:rPr>
          <w:rFonts w:ascii="Lato" w:eastAsia="Lato" w:hAnsi="Lato" w:cs="Lato"/>
        </w:rPr>
        <w:t xml:space="preserve">Esta prohibición constituye una barrera que impide proveer información crucial sobre el acceso a la IVE, especialmente en un contexto de polarización política en donde la desinformación y los sesgos se intensifican. </w:t>
      </w:r>
    </w:p>
    <w:p w14:paraId="72F3F4C4" w14:textId="77777777" w:rsidR="005848AE" w:rsidRDefault="00000000">
      <w:pPr>
        <w:keepLines/>
        <w:widowControl w:val="0"/>
        <w:tabs>
          <w:tab w:val="left" w:pos="1267"/>
          <w:tab w:val="left" w:pos="1742"/>
          <w:tab w:val="left" w:pos="2218"/>
          <w:tab w:val="left" w:pos="2693"/>
          <w:tab w:val="left" w:pos="3182"/>
          <w:tab w:val="left" w:pos="3658"/>
          <w:tab w:val="left" w:pos="4133"/>
          <w:tab w:val="left" w:pos="4622"/>
          <w:tab w:val="left" w:pos="5098"/>
          <w:tab w:val="left" w:pos="5573"/>
          <w:tab w:val="left" w:pos="6048"/>
        </w:tabs>
        <w:spacing w:before="200" w:after="200"/>
        <w:jc w:val="both"/>
        <w:rPr>
          <w:rFonts w:ascii="Lato" w:eastAsia="Lato" w:hAnsi="Lato" w:cs="Lato"/>
          <w:b/>
        </w:rPr>
      </w:pPr>
      <w:r>
        <w:rPr>
          <w:rFonts w:ascii="Lato" w:eastAsia="Lato" w:hAnsi="Lato" w:cs="Lato"/>
        </w:rPr>
        <w:t>El Consejo para la Transparencia en Chile, en su informe de 2021, indica que, la falta de información accesible a la ciudadanía es evidente. Incluso al buscar términos como “procedimiento” “interrupción” y “embarazo” en Google, los resultados se limitan al contenido de la Ley, la Norma Técnica y la web del Ministerio de Salud sin detalles sobre cómo procede cada establecimiento o sus protocolos de acompañamiento</w:t>
      </w:r>
      <w:r>
        <w:rPr>
          <w:rFonts w:ascii="Lato" w:eastAsia="Lato" w:hAnsi="Lato" w:cs="Lato"/>
          <w:b/>
        </w:rPr>
        <w:t>.</w:t>
      </w:r>
    </w:p>
    <w:p w14:paraId="1401FE17" w14:textId="77777777" w:rsidR="005848AE" w:rsidRDefault="00000000">
      <w:pPr>
        <w:keepLines/>
        <w:widowControl w:val="0"/>
        <w:tabs>
          <w:tab w:val="left" w:pos="1267"/>
          <w:tab w:val="left" w:pos="1742"/>
          <w:tab w:val="left" w:pos="2218"/>
          <w:tab w:val="left" w:pos="2693"/>
          <w:tab w:val="left" w:pos="3182"/>
          <w:tab w:val="left" w:pos="3658"/>
          <w:tab w:val="left" w:pos="4133"/>
          <w:tab w:val="left" w:pos="4622"/>
          <w:tab w:val="left" w:pos="5098"/>
          <w:tab w:val="left" w:pos="5573"/>
          <w:tab w:val="left" w:pos="6048"/>
        </w:tabs>
        <w:spacing w:before="200" w:after="200"/>
        <w:jc w:val="both"/>
        <w:rPr>
          <w:rFonts w:ascii="Lato" w:eastAsia="Lato" w:hAnsi="Lato" w:cs="Lato"/>
        </w:rPr>
      </w:pPr>
      <w:r>
        <w:rPr>
          <w:rFonts w:ascii="Lato" w:eastAsia="Lato" w:hAnsi="Lato" w:cs="Lato"/>
        </w:rPr>
        <w:t xml:space="preserve">La falta de transparencia y disponibilidad de información amigable en los servicios de salud resulta preocupante. Según el informe, uno de cada tres hospitales en Chile no cuenta o no proporciona protocolos de atención para la prestación médica, lo que genera confusión sobre la aplicación del procedimiento IVE. Además, se señala un bajo nivel de comprensión sobre los requerimientos y procedimientos de derivación de los funcionarios públicos, en relación con la Ley 20.285 sobre acceso a la información pública y la instrucción general Nº10 del Consejo. </w:t>
      </w:r>
    </w:p>
    <w:p w14:paraId="2B7D67A3" w14:textId="77777777" w:rsidR="005848AE" w:rsidRDefault="00000000">
      <w:pPr>
        <w:keepLines/>
        <w:widowControl w:val="0"/>
        <w:tabs>
          <w:tab w:val="left" w:pos="1267"/>
          <w:tab w:val="left" w:pos="1742"/>
          <w:tab w:val="left" w:pos="2218"/>
          <w:tab w:val="left" w:pos="2693"/>
          <w:tab w:val="left" w:pos="3182"/>
          <w:tab w:val="left" w:pos="3658"/>
          <w:tab w:val="left" w:pos="4133"/>
          <w:tab w:val="left" w:pos="4622"/>
          <w:tab w:val="left" w:pos="5098"/>
          <w:tab w:val="left" w:pos="5573"/>
          <w:tab w:val="left" w:pos="6048"/>
        </w:tabs>
        <w:spacing w:before="200" w:after="200"/>
        <w:jc w:val="both"/>
        <w:rPr>
          <w:rFonts w:ascii="Lato" w:eastAsia="Lato" w:hAnsi="Lato" w:cs="Lato"/>
        </w:rPr>
      </w:pPr>
      <w:r>
        <w:rPr>
          <w:rFonts w:ascii="Lato" w:eastAsia="Lato" w:hAnsi="Lato" w:cs="Lato"/>
        </w:rPr>
        <w:lastRenderedPageBreak/>
        <w:t>Otra problemática es la limitada</w:t>
      </w:r>
      <w:r>
        <w:rPr>
          <w:rFonts w:ascii="Lato" w:eastAsia="Lato" w:hAnsi="Lato" w:cs="Lato"/>
          <w:b/>
        </w:rPr>
        <w:t xml:space="preserve"> fiscalización por parte de los organismos competentes, agravada por la falta de control social debido a la prohibición legal y a la escasez de información disponible en medios digitales. La Superintendencia de Salud solo reportó tres casos de fiscalización mediante reclamos formales de las usuarias,</w:t>
      </w:r>
      <w:r>
        <w:rPr>
          <w:rFonts w:ascii="Lato" w:eastAsia="Lato" w:hAnsi="Lato" w:cs="Lato"/>
        </w:rPr>
        <w:t xml:space="preserve"> lo que plantea interrogantes sobre si esto se debe a la dificultad para reclamar o al desconocimiento sobre esa posibilidad, en concordancia con la escasez de información reportada y lo dispuesto en el artículo 119 </w:t>
      </w:r>
      <w:proofErr w:type="spellStart"/>
      <w:r>
        <w:rPr>
          <w:rFonts w:ascii="Lato" w:eastAsia="Lato" w:hAnsi="Lato" w:cs="Lato"/>
        </w:rPr>
        <w:t>quáter</w:t>
      </w:r>
      <w:proofErr w:type="spellEnd"/>
      <w:r>
        <w:rPr>
          <w:rFonts w:ascii="Lato" w:eastAsia="Lato" w:hAnsi="Lato" w:cs="Lato"/>
        </w:rPr>
        <w:t xml:space="preserve">. </w:t>
      </w:r>
    </w:p>
    <w:p w14:paraId="04FDA34C" w14:textId="77777777" w:rsidR="005848AE" w:rsidRDefault="00000000">
      <w:pPr>
        <w:keepLines/>
        <w:widowControl w:val="0"/>
        <w:tabs>
          <w:tab w:val="left" w:pos="1267"/>
          <w:tab w:val="left" w:pos="1742"/>
          <w:tab w:val="left" w:pos="2218"/>
          <w:tab w:val="left" w:pos="2693"/>
          <w:tab w:val="left" w:pos="3182"/>
          <w:tab w:val="left" w:pos="3658"/>
          <w:tab w:val="left" w:pos="4133"/>
          <w:tab w:val="left" w:pos="4622"/>
          <w:tab w:val="left" w:pos="5098"/>
          <w:tab w:val="left" w:pos="5573"/>
          <w:tab w:val="left" w:pos="6048"/>
        </w:tabs>
        <w:spacing w:before="200" w:after="200"/>
        <w:jc w:val="both"/>
        <w:rPr>
          <w:rFonts w:ascii="Lato" w:eastAsia="Lato" w:hAnsi="Lato" w:cs="Lato"/>
        </w:rPr>
      </w:pPr>
      <w:r>
        <w:rPr>
          <w:rFonts w:ascii="Lato" w:eastAsia="Lato" w:hAnsi="Lato" w:cs="Lato"/>
        </w:rPr>
        <w:t xml:space="preserve">Esta situación impide, de facto, que las mujeres y personas gestantes accedan a servicios de salud sexual y reproductiva, contraviniendo lo dispuesto por el Relator Especial de Naciones Unidas sobre el derecho de toda persona al disfrute del más alto nivel posible de salud física y mental. </w:t>
      </w:r>
    </w:p>
    <w:p w14:paraId="116E4E3D" w14:textId="77777777" w:rsidR="005848AE" w:rsidRDefault="00000000">
      <w:pPr>
        <w:keepLines/>
        <w:widowControl w:val="0"/>
        <w:tabs>
          <w:tab w:val="left" w:pos="1267"/>
          <w:tab w:val="left" w:pos="1742"/>
          <w:tab w:val="left" w:pos="2218"/>
          <w:tab w:val="left" w:pos="2693"/>
          <w:tab w:val="left" w:pos="3182"/>
          <w:tab w:val="left" w:pos="3658"/>
          <w:tab w:val="left" w:pos="4133"/>
          <w:tab w:val="left" w:pos="4622"/>
          <w:tab w:val="left" w:pos="5098"/>
          <w:tab w:val="left" w:pos="5573"/>
          <w:tab w:val="left" w:pos="6048"/>
        </w:tabs>
        <w:spacing w:before="200" w:after="200"/>
        <w:jc w:val="both"/>
        <w:rPr>
          <w:rFonts w:ascii="Lato" w:eastAsia="Lato" w:hAnsi="Lato" w:cs="Lato"/>
          <w:b/>
          <w:i/>
        </w:rPr>
      </w:pPr>
      <w:r>
        <w:rPr>
          <w:rFonts w:ascii="Lato" w:eastAsia="Lato" w:hAnsi="Lato" w:cs="Lato"/>
          <w:b/>
        </w:rPr>
        <w:t>Si no se puede proveer información sobre cómo, dónde, o qué servicios están disponibles para acceder a la IVE, es imposible que en la práctica se logre acceder al servicio.</w:t>
      </w:r>
      <w:r>
        <w:rPr>
          <w:rFonts w:ascii="Lato" w:eastAsia="Lato" w:hAnsi="Lato" w:cs="Lato"/>
        </w:rPr>
        <w:t xml:space="preserve"> </w:t>
      </w:r>
    </w:p>
    <w:p w14:paraId="4FBC3368" w14:textId="77777777" w:rsidR="005848AE" w:rsidRDefault="00000000">
      <w:pPr>
        <w:keepLines/>
        <w:widowControl w:val="0"/>
        <w:tabs>
          <w:tab w:val="left" w:pos="1267"/>
          <w:tab w:val="left" w:pos="1742"/>
          <w:tab w:val="left" w:pos="2218"/>
          <w:tab w:val="left" w:pos="2693"/>
          <w:tab w:val="left" w:pos="3182"/>
          <w:tab w:val="left" w:pos="3658"/>
          <w:tab w:val="left" w:pos="4133"/>
          <w:tab w:val="left" w:pos="4622"/>
          <w:tab w:val="left" w:pos="5098"/>
          <w:tab w:val="left" w:pos="5573"/>
          <w:tab w:val="left" w:pos="6048"/>
        </w:tabs>
        <w:spacing w:before="200" w:after="200"/>
        <w:jc w:val="both"/>
        <w:rPr>
          <w:rFonts w:ascii="Lato" w:eastAsia="Lato" w:hAnsi="Lato" w:cs="Lato"/>
          <w:b/>
        </w:rPr>
      </w:pPr>
      <w:r>
        <w:rPr>
          <w:rFonts w:ascii="Lato" w:eastAsia="Lato" w:hAnsi="Lato" w:cs="Lato"/>
          <w:b/>
        </w:rPr>
        <w:t>Recomendaciones:</w:t>
      </w:r>
    </w:p>
    <w:p w14:paraId="020CEDEF" w14:textId="77777777" w:rsidR="005848AE" w:rsidRDefault="00000000">
      <w:pPr>
        <w:keepLines/>
        <w:widowControl w:val="0"/>
        <w:numPr>
          <w:ilvl w:val="0"/>
          <w:numId w:val="3"/>
        </w:numPr>
        <w:tabs>
          <w:tab w:val="left" w:pos="1267"/>
          <w:tab w:val="left" w:pos="1742"/>
          <w:tab w:val="left" w:pos="2218"/>
          <w:tab w:val="left" w:pos="2693"/>
          <w:tab w:val="left" w:pos="3182"/>
          <w:tab w:val="left" w:pos="3658"/>
          <w:tab w:val="left" w:pos="4133"/>
          <w:tab w:val="left" w:pos="4622"/>
          <w:tab w:val="left" w:pos="5098"/>
          <w:tab w:val="left" w:pos="5573"/>
          <w:tab w:val="left" w:pos="6048"/>
        </w:tabs>
        <w:spacing w:before="200"/>
        <w:jc w:val="both"/>
        <w:rPr>
          <w:rFonts w:ascii="Lato" w:eastAsia="Lato" w:hAnsi="Lato" w:cs="Lato"/>
          <w:b/>
        </w:rPr>
      </w:pPr>
      <w:r>
        <w:rPr>
          <w:rFonts w:ascii="Lato" w:eastAsia="Lato" w:hAnsi="Lato" w:cs="Lato"/>
          <w:b/>
        </w:rPr>
        <w:t>Aplicar requisitos estrictos de justificación para impedir el uso general de la objeción de conciencia por los médicos que se niegan a practicar abortos, en particular en los casos de embarazos de adolescentes, y asegurar que estas medidas se apliquen también al personal médico de las clínicas privadas.</w:t>
      </w:r>
    </w:p>
    <w:p w14:paraId="4510926F" w14:textId="77777777" w:rsidR="005848AE" w:rsidRDefault="00000000">
      <w:pPr>
        <w:numPr>
          <w:ilvl w:val="0"/>
          <w:numId w:val="3"/>
        </w:numPr>
        <w:tabs>
          <w:tab w:val="left" w:pos="1267"/>
          <w:tab w:val="left" w:pos="1742"/>
          <w:tab w:val="left" w:pos="2218"/>
          <w:tab w:val="left" w:pos="2693"/>
          <w:tab w:val="left" w:pos="3182"/>
          <w:tab w:val="left" w:pos="3658"/>
          <w:tab w:val="left" w:pos="4133"/>
          <w:tab w:val="left" w:pos="4622"/>
          <w:tab w:val="left" w:pos="5098"/>
          <w:tab w:val="left" w:pos="5573"/>
          <w:tab w:val="left" w:pos="6048"/>
        </w:tabs>
        <w:jc w:val="both"/>
        <w:rPr>
          <w:rFonts w:ascii="Lato" w:eastAsia="Lato" w:hAnsi="Lato" w:cs="Lato"/>
          <w:b/>
        </w:rPr>
      </w:pPr>
      <w:r>
        <w:rPr>
          <w:rFonts w:ascii="Lato" w:eastAsia="Lato" w:hAnsi="Lato" w:cs="Lato"/>
          <w:b/>
        </w:rPr>
        <w:t xml:space="preserve">Aprobar e implementar la propuesta de reglamento sobre objeción de conciencia del Decreto Afecto </w:t>
      </w:r>
      <w:proofErr w:type="spellStart"/>
      <w:r>
        <w:rPr>
          <w:rFonts w:ascii="Lato" w:eastAsia="Lato" w:hAnsi="Lato" w:cs="Lato"/>
          <w:b/>
        </w:rPr>
        <w:t>N°</w:t>
      </w:r>
      <w:proofErr w:type="spellEnd"/>
      <w:r>
        <w:rPr>
          <w:rFonts w:ascii="Lato" w:eastAsia="Lato" w:hAnsi="Lato" w:cs="Lato"/>
          <w:b/>
        </w:rPr>
        <w:t xml:space="preserve"> 22 del Ministerio de Salud que modifica el Decreto Supremo </w:t>
      </w:r>
      <w:proofErr w:type="spellStart"/>
      <w:r>
        <w:rPr>
          <w:rFonts w:ascii="Lato" w:eastAsia="Lato" w:hAnsi="Lato" w:cs="Lato"/>
          <w:b/>
        </w:rPr>
        <w:t>N°</w:t>
      </w:r>
      <w:proofErr w:type="spellEnd"/>
      <w:r>
        <w:rPr>
          <w:rFonts w:ascii="Lato" w:eastAsia="Lato" w:hAnsi="Lato" w:cs="Lato"/>
          <w:b/>
        </w:rPr>
        <w:t xml:space="preserve"> 67 de 2018, del Ministerio de Salud.</w:t>
      </w:r>
    </w:p>
    <w:p w14:paraId="27CE9767" w14:textId="77777777" w:rsidR="005848AE" w:rsidRDefault="00000000">
      <w:pPr>
        <w:numPr>
          <w:ilvl w:val="0"/>
          <w:numId w:val="3"/>
        </w:numPr>
        <w:tabs>
          <w:tab w:val="left" w:pos="1267"/>
          <w:tab w:val="left" w:pos="1742"/>
          <w:tab w:val="left" w:pos="2218"/>
          <w:tab w:val="left" w:pos="2693"/>
          <w:tab w:val="left" w:pos="3182"/>
          <w:tab w:val="left" w:pos="3658"/>
          <w:tab w:val="left" w:pos="4133"/>
          <w:tab w:val="left" w:pos="4622"/>
          <w:tab w:val="left" w:pos="5098"/>
          <w:tab w:val="left" w:pos="5573"/>
          <w:tab w:val="left" w:pos="6048"/>
        </w:tabs>
        <w:jc w:val="both"/>
        <w:rPr>
          <w:rFonts w:ascii="Lato" w:eastAsia="Lato" w:hAnsi="Lato" w:cs="Lato"/>
          <w:b/>
        </w:rPr>
      </w:pPr>
      <w:r>
        <w:rPr>
          <w:rFonts w:ascii="Lato" w:eastAsia="Lato" w:hAnsi="Lato" w:cs="Lato"/>
          <w:b/>
        </w:rPr>
        <w:t xml:space="preserve">Derogar la figura </w:t>
      </w:r>
      <w:proofErr w:type="spellStart"/>
      <w:proofErr w:type="gramStart"/>
      <w:r>
        <w:rPr>
          <w:rFonts w:ascii="Lato" w:eastAsia="Lato" w:hAnsi="Lato" w:cs="Lato"/>
          <w:b/>
        </w:rPr>
        <w:t>del</w:t>
      </w:r>
      <w:proofErr w:type="spellEnd"/>
      <w:r>
        <w:rPr>
          <w:rFonts w:ascii="Lato" w:eastAsia="Lato" w:hAnsi="Lato" w:cs="Lato"/>
          <w:b/>
        </w:rPr>
        <w:t xml:space="preserve"> la objeción</w:t>
      </w:r>
      <w:proofErr w:type="gramEnd"/>
      <w:r>
        <w:rPr>
          <w:rFonts w:ascii="Lato" w:eastAsia="Lato" w:hAnsi="Lato" w:cs="Lato"/>
          <w:b/>
        </w:rPr>
        <w:t xml:space="preserve"> de conciencia institucional de la Ley Nº21.030</w:t>
      </w:r>
    </w:p>
    <w:p w14:paraId="3B930430" w14:textId="77777777" w:rsidR="005848AE" w:rsidRDefault="00000000">
      <w:pPr>
        <w:keepLines/>
        <w:widowControl w:val="0"/>
        <w:numPr>
          <w:ilvl w:val="0"/>
          <w:numId w:val="3"/>
        </w:numPr>
        <w:tabs>
          <w:tab w:val="left" w:pos="1267"/>
          <w:tab w:val="left" w:pos="1742"/>
          <w:tab w:val="left" w:pos="2218"/>
          <w:tab w:val="left" w:pos="2693"/>
          <w:tab w:val="left" w:pos="3182"/>
          <w:tab w:val="left" w:pos="3658"/>
          <w:tab w:val="left" w:pos="4133"/>
          <w:tab w:val="left" w:pos="4622"/>
          <w:tab w:val="left" w:pos="5098"/>
          <w:tab w:val="left" w:pos="5573"/>
          <w:tab w:val="left" w:pos="6048"/>
        </w:tabs>
        <w:jc w:val="both"/>
        <w:rPr>
          <w:rFonts w:ascii="Lato" w:eastAsia="Lato" w:hAnsi="Lato" w:cs="Lato"/>
          <w:b/>
        </w:rPr>
      </w:pPr>
      <w:r>
        <w:rPr>
          <w:rFonts w:ascii="Lato" w:eastAsia="Lato" w:hAnsi="Lato" w:cs="Lato"/>
          <w:b/>
        </w:rPr>
        <w:t>Velar por que las mujeres, incluidas niñas y adolescentes menores de 18 años, tengan acceso a aborto seguros y a servicios de atención posteriores al aborto, y que los servicios sanitarios proporcionen apoyo psicológico a víctimas de violencia sexual.</w:t>
      </w:r>
    </w:p>
    <w:p w14:paraId="12148101" w14:textId="77777777" w:rsidR="005848AE" w:rsidRDefault="00000000">
      <w:pPr>
        <w:keepLines/>
        <w:widowControl w:val="0"/>
        <w:numPr>
          <w:ilvl w:val="0"/>
          <w:numId w:val="3"/>
        </w:numPr>
        <w:tabs>
          <w:tab w:val="left" w:pos="1267"/>
          <w:tab w:val="left" w:pos="1742"/>
          <w:tab w:val="left" w:pos="2218"/>
          <w:tab w:val="left" w:pos="2693"/>
          <w:tab w:val="left" w:pos="3182"/>
          <w:tab w:val="left" w:pos="3658"/>
          <w:tab w:val="left" w:pos="4133"/>
          <w:tab w:val="left" w:pos="4622"/>
          <w:tab w:val="left" w:pos="5098"/>
          <w:tab w:val="left" w:pos="5573"/>
          <w:tab w:val="left" w:pos="6048"/>
        </w:tabs>
        <w:jc w:val="both"/>
        <w:rPr>
          <w:rFonts w:ascii="Lato" w:eastAsia="Lato" w:hAnsi="Lato" w:cs="Lato"/>
          <w:b/>
        </w:rPr>
      </w:pPr>
      <w:r>
        <w:rPr>
          <w:rFonts w:ascii="Lato" w:eastAsia="Lato" w:hAnsi="Lato" w:cs="Lato"/>
          <w:b/>
        </w:rPr>
        <w:t>Simplificar procesos administrativos o fortalecer la capacitación para reducir preocupaciones legales que puedan desincentivar la participación de los profesionales.</w:t>
      </w:r>
    </w:p>
    <w:p w14:paraId="37A5B57E" w14:textId="77777777" w:rsidR="005848AE" w:rsidRDefault="00000000">
      <w:pPr>
        <w:keepLines/>
        <w:widowControl w:val="0"/>
        <w:numPr>
          <w:ilvl w:val="0"/>
          <w:numId w:val="3"/>
        </w:numPr>
        <w:tabs>
          <w:tab w:val="left" w:pos="1267"/>
          <w:tab w:val="left" w:pos="1742"/>
          <w:tab w:val="left" w:pos="2218"/>
          <w:tab w:val="left" w:pos="2693"/>
          <w:tab w:val="left" w:pos="3182"/>
          <w:tab w:val="left" w:pos="3658"/>
          <w:tab w:val="left" w:pos="4133"/>
          <w:tab w:val="left" w:pos="4622"/>
          <w:tab w:val="left" w:pos="5098"/>
          <w:tab w:val="left" w:pos="5573"/>
          <w:tab w:val="left" w:pos="6048"/>
        </w:tabs>
        <w:jc w:val="both"/>
        <w:rPr>
          <w:rFonts w:ascii="Lato" w:eastAsia="Lato" w:hAnsi="Lato" w:cs="Lato"/>
          <w:b/>
        </w:rPr>
      </w:pPr>
      <w:r>
        <w:rPr>
          <w:rFonts w:ascii="Lato" w:eastAsia="Lato" w:hAnsi="Lato" w:cs="Lato"/>
          <w:b/>
        </w:rPr>
        <w:t>Procurar que los métodos anticonceptivos modernos sean universales, asequibles y estén a disposición de todas las mujeres y las niñas, en particular en zonas rurales o remotas.</w:t>
      </w:r>
    </w:p>
    <w:p w14:paraId="6B306A1A" w14:textId="77777777" w:rsidR="005848AE" w:rsidRDefault="00000000">
      <w:pPr>
        <w:keepLines/>
        <w:widowControl w:val="0"/>
        <w:numPr>
          <w:ilvl w:val="0"/>
          <w:numId w:val="3"/>
        </w:numPr>
        <w:tabs>
          <w:tab w:val="left" w:pos="1267"/>
          <w:tab w:val="left" w:pos="1742"/>
          <w:tab w:val="left" w:pos="2218"/>
          <w:tab w:val="left" w:pos="2693"/>
          <w:tab w:val="left" w:pos="3182"/>
          <w:tab w:val="left" w:pos="3658"/>
          <w:tab w:val="left" w:pos="4133"/>
          <w:tab w:val="left" w:pos="4622"/>
          <w:tab w:val="left" w:pos="5098"/>
          <w:tab w:val="left" w:pos="5573"/>
          <w:tab w:val="left" w:pos="6048"/>
        </w:tabs>
        <w:jc w:val="both"/>
        <w:rPr>
          <w:rFonts w:ascii="Lato" w:eastAsia="Lato" w:hAnsi="Lato" w:cs="Lato"/>
          <w:b/>
        </w:rPr>
      </w:pPr>
      <w:r>
        <w:rPr>
          <w:rFonts w:ascii="Lato" w:eastAsia="Lato" w:hAnsi="Lato" w:cs="Lato"/>
          <w:b/>
        </w:rPr>
        <w:t>Adoptar medidas para garantizar que los servicios públicos de asistencia sanitaria, especialmente los servicios ginecológicos, sean accesibles para todas las mujeres, incluidas migrantes, indígenas y con discapacidad.</w:t>
      </w:r>
    </w:p>
    <w:p w14:paraId="3B6364A7" w14:textId="77777777" w:rsidR="005848AE" w:rsidRDefault="00000000">
      <w:pPr>
        <w:keepLines/>
        <w:widowControl w:val="0"/>
        <w:numPr>
          <w:ilvl w:val="0"/>
          <w:numId w:val="3"/>
        </w:numPr>
        <w:tabs>
          <w:tab w:val="left" w:pos="1267"/>
          <w:tab w:val="left" w:pos="1742"/>
          <w:tab w:val="left" w:pos="2218"/>
          <w:tab w:val="left" w:pos="2693"/>
          <w:tab w:val="left" w:pos="3182"/>
          <w:tab w:val="left" w:pos="3658"/>
          <w:tab w:val="left" w:pos="4133"/>
          <w:tab w:val="left" w:pos="4622"/>
          <w:tab w:val="left" w:pos="5098"/>
          <w:tab w:val="left" w:pos="5573"/>
          <w:tab w:val="left" w:pos="6048"/>
        </w:tabs>
        <w:jc w:val="both"/>
        <w:rPr>
          <w:rFonts w:ascii="Lato" w:eastAsia="Lato" w:hAnsi="Lato" w:cs="Lato"/>
          <w:b/>
        </w:rPr>
      </w:pPr>
      <w:r>
        <w:rPr>
          <w:rFonts w:ascii="Lato" w:eastAsia="Lato" w:hAnsi="Lato" w:cs="Lato"/>
          <w:b/>
        </w:rPr>
        <w:t>Asegurar la implementación plena de las Normas Nacionales sobre Regulación de la Fertilidad, garantizando que el personal médico solicite el consentimiento plenamente informado antes de realizar esterilizaciones, que se sancione a los profesionales que realicen esterilizaciones sin dicho consentimiento y que se ofrezca una reparación e indemnización monetaria a las víctimas de esterilizaciones no consentidas.</w:t>
      </w:r>
    </w:p>
    <w:p w14:paraId="6F192239" w14:textId="77777777" w:rsidR="005848AE" w:rsidRDefault="00000000">
      <w:pPr>
        <w:keepLines/>
        <w:widowControl w:val="0"/>
        <w:numPr>
          <w:ilvl w:val="0"/>
          <w:numId w:val="3"/>
        </w:numPr>
        <w:tabs>
          <w:tab w:val="left" w:pos="1267"/>
          <w:tab w:val="left" w:pos="1742"/>
          <w:tab w:val="left" w:pos="2218"/>
          <w:tab w:val="left" w:pos="2693"/>
          <w:tab w:val="left" w:pos="3182"/>
          <w:tab w:val="left" w:pos="3658"/>
          <w:tab w:val="left" w:pos="4133"/>
          <w:tab w:val="left" w:pos="4622"/>
          <w:tab w:val="left" w:pos="5098"/>
          <w:tab w:val="left" w:pos="5573"/>
          <w:tab w:val="left" w:pos="6048"/>
        </w:tabs>
        <w:jc w:val="both"/>
        <w:rPr>
          <w:rFonts w:ascii="Lato" w:eastAsia="Lato" w:hAnsi="Lato" w:cs="Lato"/>
          <w:b/>
        </w:rPr>
      </w:pPr>
      <w:r>
        <w:rPr>
          <w:rFonts w:ascii="Lato" w:eastAsia="Lato" w:hAnsi="Lato" w:cs="Lato"/>
          <w:b/>
        </w:rPr>
        <w:lastRenderedPageBreak/>
        <w:t>Implementar capacitaciones al personal de salud las instituciones responsables de la fiscalización y vigilancia del cumplimiento de la Ley IVE, con el fin de reforzar el conocimiento de la normativa vigente y promover un rol activo en las labores de inspección, sin limitarse a la pauta establecida en el Manual de Fiscalización.</w:t>
      </w:r>
    </w:p>
    <w:p w14:paraId="3242D075" w14:textId="77777777" w:rsidR="005848AE" w:rsidRDefault="00000000">
      <w:pPr>
        <w:keepLines/>
        <w:widowControl w:val="0"/>
        <w:numPr>
          <w:ilvl w:val="0"/>
          <w:numId w:val="3"/>
        </w:numPr>
        <w:tabs>
          <w:tab w:val="left" w:pos="1267"/>
          <w:tab w:val="left" w:pos="1742"/>
          <w:tab w:val="left" w:pos="2218"/>
          <w:tab w:val="left" w:pos="2693"/>
          <w:tab w:val="left" w:pos="3182"/>
          <w:tab w:val="left" w:pos="3658"/>
          <w:tab w:val="left" w:pos="4133"/>
          <w:tab w:val="left" w:pos="4622"/>
          <w:tab w:val="left" w:pos="5098"/>
          <w:tab w:val="left" w:pos="5573"/>
          <w:tab w:val="left" w:pos="6048"/>
        </w:tabs>
        <w:jc w:val="both"/>
        <w:rPr>
          <w:rFonts w:ascii="Lato" w:eastAsia="Lato" w:hAnsi="Lato" w:cs="Lato"/>
          <w:b/>
        </w:rPr>
      </w:pPr>
      <w:r>
        <w:rPr>
          <w:rFonts w:ascii="Lato" w:eastAsia="Lato" w:hAnsi="Lato" w:cs="Lato"/>
          <w:b/>
        </w:rPr>
        <w:t xml:space="preserve">Realizar una revisión y actualización de la pauta de inspección del Manual de Fiscalización mediante un proceso participativo, de modo que esta posibilite una fiscalización integral de la ruta de la IVE. </w:t>
      </w:r>
    </w:p>
    <w:p w14:paraId="4843D3C6" w14:textId="77777777" w:rsidR="005848AE" w:rsidRDefault="00000000">
      <w:pPr>
        <w:keepLines/>
        <w:widowControl w:val="0"/>
        <w:numPr>
          <w:ilvl w:val="0"/>
          <w:numId w:val="3"/>
        </w:numPr>
        <w:tabs>
          <w:tab w:val="left" w:pos="1267"/>
          <w:tab w:val="left" w:pos="1742"/>
          <w:tab w:val="left" w:pos="2218"/>
          <w:tab w:val="left" w:pos="2693"/>
          <w:tab w:val="left" w:pos="3182"/>
          <w:tab w:val="left" w:pos="3658"/>
          <w:tab w:val="left" w:pos="4133"/>
          <w:tab w:val="left" w:pos="4622"/>
          <w:tab w:val="left" w:pos="5098"/>
          <w:tab w:val="left" w:pos="5573"/>
          <w:tab w:val="left" w:pos="6048"/>
        </w:tabs>
        <w:jc w:val="both"/>
        <w:rPr>
          <w:rFonts w:ascii="Lato" w:eastAsia="Lato" w:hAnsi="Lato" w:cs="Lato"/>
          <w:b/>
        </w:rPr>
      </w:pPr>
      <w:r>
        <w:rPr>
          <w:rFonts w:ascii="Lato" w:eastAsia="Lato" w:hAnsi="Lato" w:cs="Lato"/>
          <w:b/>
        </w:rPr>
        <w:t>Promover que las autoridades sanitarias encargadas de la fiscalización y vigilancia del cumplimiento de la Ley IVE registren de manera adecuada la información sobre reclamos e inspecciones. Esto implica fomentar la implementación de mecanismos de desagregación de datos con un enfoque de derechos humanos y género.</w:t>
      </w:r>
    </w:p>
    <w:p w14:paraId="6D202067" w14:textId="77777777" w:rsidR="005848AE" w:rsidRDefault="00000000">
      <w:pPr>
        <w:keepLines/>
        <w:widowControl w:val="0"/>
        <w:numPr>
          <w:ilvl w:val="0"/>
          <w:numId w:val="3"/>
        </w:numPr>
        <w:tabs>
          <w:tab w:val="left" w:pos="1267"/>
          <w:tab w:val="left" w:pos="1742"/>
          <w:tab w:val="left" w:pos="2218"/>
          <w:tab w:val="left" w:pos="2693"/>
          <w:tab w:val="left" w:pos="3182"/>
          <w:tab w:val="left" w:pos="3658"/>
          <w:tab w:val="left" w:pos="4133"/>
          <w:tab w:val="left" w:pos="4622"/>
          <w:tab w:val="left" w:pos="5098"/>
          <w:tab w:val="left" w:pos="5573"/>
          <w:tab w:val="left" w:pos="6048"/>
        </w:tabs>
        <w:jc w:val="both"/>
        <w:rPr>
          <w:rFonts w:ascii="Lato" w:eastAsia="Lato" w:hAnsi="Lato" w:cs="Lato"/>
          <w:b/>
        </w:rPr>
      </w:pPr>
      <w:r>
        <w:rPr>
          <w:rFonts w:ascii="Lato" w:eastAsia="Lato" w:hAnsi="Lato" w:cs="Lato"/>
          <w:b/>
        </w:rPr>
        <w:t xml:space="preserve">Revisar la Ley IVE, especialmente su artículo 119 </w:t>
      </w:r>
      <w:proofErr w:type="spellStart"/>
      <w:r>
        <w:rPr>
          <w:rFonts w:ascii="Lato" w:eastAsia="Lato" w:hAnsi="Lato" w:cs="Lato"/>
          <w:b/>
        </w:rPr>
        <w:t>quáter</w:t>
      </w:r>
      <w:proofErr w:type="spellEnd"/>
      <w:r>
        <w:rPr>
          <w:rFonts w:ascii="Lato" w:eastAsia="Lato" w:hAnsi="Lato" w:cs="Lato"/>
          <w:b/>
        </w:rPr>
        <w:t xml:space="preserve"> del Código Sanitario Chileno, para levantar la prohibición de difusión de información sobre el aborto en medios físicos o digitales, basándose en las buenas prácticas de otros Estados y en los estándares internacionales pertinentes en materia de salud sexual y reproductiva, libertad de expresión, derecho a la información, derechos digitales y acceso a internet. </w:t>
      </w:r>
    </w:p>
    <w:p w14:paraId="04880895" w14:textId="77777777" w:rsidR="005848AE" w:rsidRDefault="00000000">
      <w:pPr>
        <w:keepLines/>
        <w:widowControl w:val="0"/>
        <w:numPr>
          <w:ilvl w:val="0"/>
          <w:numId w:val="3"/>
        </w:num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200"/>
        <w:jc w:val="both"/>
        <w:rPr>
          <w:rFonts w:ascii="Lato" w:eastAsia="Lato" w:hAnsi="Lato" w:cs="Lato"/>
          <w:b/>
        </w:rPr>
      </w:pPr>
      <w:r>
        <w:rPr>
          <w:rFonts w:ascii="Lato" w:eastAsia="Lato" w:hAnsi="Lato" w:cs="Lato"/>
          <w:b/>
        </w:rPr>
        <w:t>Implementar acciones para proteger y garantizar a las organizaciones de la sociedad civil, a las organizaciones proveedoras de servicios de salud sexual y reproductiva, a personas acompañantes de aborto quienes trabajan por la garantía y defensa de los derechos reproductivos, espacios físicos y digitales seguros que permitan ejercer de manera adecuada, oportuna y sin hostigamientos sus derechos a la libertad de expresión, la libertad de información y el derecho a defender derechos humanos.</w:t>
      </w:r>
    </w:p>
    <w:p w14:paraId="71BDE4AA" w14:textId="77777777" w:rsidR="005848AE" w:rsidRDefault="005848AE">
      <w:pPr>
        <w:keepLines/>
        <w:widowControl w:val="0"/>
        <w:tabs>
          <w:tab w:val="left" w:pos="1267"/>
          <w:tab w:val="left" w:pos="1742"/>
          <w:tab w:val="left" w:pos="2218"/>
          <w:tab w:val="left" w:pos="2693"/>
          <w:tab w:val="left" w:pos="3182"/>
          <w:tab w:val="left" w:pos="3658"/>
          <w:tab w:val="left" w:pos="4133"/>
          <w:tab w:val="left" w:pos="4622"/>
          <w:tab w:val="left" w:pos="5098"/>
          <w:tab w:val="left" w:pos="5573"/>
          <w:tab w:val="left" w:pos="6048"/>
        </w:tabs>
        <w:spacing w:before="200" w:after="200"/>
        <w:ind w:left="720"/>
        <w:jc w:val="both"/>
        <w:rPr>
          <w:rFonts w:ascii="Lato" w:eastAsia="Lato" w:hAnsi="Lato" w:cs="Lato"/>
          <w:b/>
        </w:rPr>
      </w:pPr>
    </w:p>
    <w:p w14:paraId="1CFA31DD" w14:textId="77777777" w:rsidR="005848AE" w:rsidRDefault="005848AE">
      <w:pPr>
        <w:ind w:left="720"/>
      </w:pPr>
    </w:p>
    <w:sectPr w:rsidR="005848AE">
      <w:headerReference w:type="default" r:id="rId7"/>
      <w:footerReference w:type="default" r:id="rId8"/>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C550D08" w14:textId="77777777" w:rsidR="00966091" w:rsidRDefault="00966091">
      <w:pPr>
        <w:spacing w:line="240" w:lineRule="auto"/>
      </w:pPr>
      <w:r>
        <w:separator/>
      </w:r>
    </w:p>
  </w:endnote>
  <w:endnote w:type="continuationSeparator" w:id="0">
    <w:p w14:paraId="17C418FE" w14:textId="77777777" w:rsidR="00966091" w:rsidRDefault="0096609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embedRegular r:id="rId1" w:fontKey="{78D12E55-0419-5648-9EAB-974365B62665}"/>
  </w:font>
  <w:font w:name="Arial">
    <w:panose1 w:val="020B0604020202020204"/>
    <w:charset w:val="00"/>
    <w:family w:val="swiss"/>
    <w:pitch w:val="variable"/>
    <w:sig w:usb0="E0002AFF" w:usb1="C0007843" w:usb2="00000009" w:usb3="00000000" w:csb0="000001FF" w:csb1="00000000"/>
    <w:embedRegular r:id="rId2" w:fontKey="{175DFF16-1C2C-5746-A852-06247A9B432D}"/>
    <w:embedItalic r:id="rId3" w:fontKey="{AF30E01A-9D15-D941-8DEB-C1CB9AC0DD5A}"/>
  </w:font>
  <w:font w:name="Lato">
    <w:panose1 w:val="020F0502020204030203"/>
    <w:charset w:val="00"/>
    <w:family w:val="swiss"/>
    <w:pitch w:val="variable"/>
    <w:sig w:usb0="E10002FF" w:usb1="5000ECFF" w:usb2="00000021" w:usb3="00000000" w:csb0="0000019F" w:csb1="00000000"/>
    <w:embedRegular r:id="rId4" w:fontKey="{D9BABED4-9B8F-584C-9C1B-88177429A343}"/>
    <w:embedBold r:id="rId5" w:fontKey="{F27760CF-94DC-A341-BE15-943AB2A0CA2A}"/>
    <w:embedItalic r:id="rId6" w:fontKey="{DC7FCE40-4FF0-9A4A-9C38-86DEEB746E79}"/>
    <w:embedBoldItalic r:id="rId7" w:fontKey="{DE85BDA6-F39A-3940-AB39-E28DF073B8AB}"/>
  </w:font>
  <w:font w:name="Calibri">
    <w:panose1 w:val="020F0502020204030204"/>
    <w:charset w:val="00"/>
    <w:family w:val="modern"/>
    <w:pitch w:val="variable"/>
    <w:sig w:usb0="00000003" w:usb1="00000000" w:usb2="00000000" w:usb3="00000000" w:csb0="00000001" w:csb1="00000000"/>
    <w:embedRegular r:id="rId8" w:fontKey="{7318D412-DF3A-3D44-9607-FDBA3152FC74}"/>
  </w:font>
  <w:font w:name="Cambria">
    <w:panose1 w:val="02040503050406030204"/>
    <w:charset w:val="00"/>
    <w:family w:val="roman"/>
    <w:notTrueType/>
    <w:pitch w:val="default"/>
    <w:embedRegular r:id="rId9" w:fontKey="{2CB83227-7F5B-F743-B3DE-38689B660DD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060E1FF" w14:textId="77777777" w:rsidR="005848AE" w:rsidRDefault="005848AE"/>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2844D55" w14:textId="77777777" w:rsidR="00966091" w:rsidRDefault="00966091">
      <w:pPr>
        <w:spacing w:line="240" w:lineRule="auto"/>
      </w:pPr>
      <w:r>
        <w:separator/>
      </w:r>
    </w:p>
  </w:footnote>
  <w:footnote w:type="continuationSeparator" w:id="0">
    <w:p w14:paraId="4CEF4F72" w14:textId="77777777" w:rsidR="00966091" w:rsidRDefault="00966091">
      <w:pPr>
        <w:spacing w:line="240" w:lineRule="auto"/>
      </w:pPr>
      <w:r>
        <w:continuationSeparator/>
      </w:r>
    </w:p>
  </w:footnote>
  <w:footnote w:id="1">
    <w:p w14:paraId="638F2F3F" w14:textId="77777777" w:rsidR="005848AE" w:rsidRDefault="00000000">
      <w:pPr>
        <w:spacing w:line="240" w:lineRule="auto"/>
        <w:rPr>
          <w:sz w:val="20"/>
          <w:szCs w:val="20"/>
        </w:rPr>
      </w:pPr>
      <w:r>
        <w:rPr>
          <w:vertAlign w:val="superscript"/>
        </w:rPr>
        <w:footnoteRef/>
      </w:r>
      <w:r>
        <w:rPr>
          <w:rFonts w:ascii="Lato" w:eastAsia="Lato" w:hAnsi="Lato" w:cs="Lato"/>
          <w:sz w:val="20"/>
          <w:szCs w:val="20"/>
        </w:rPr>
        <w:t xml:space="preserve"> Ministerio de Desarrollo Social y Familia, Gobierno de Chile. </w:t>
      </w:r>
      <w:r>
        <w:rPr>
          <w:rFonts w:ascii="Lato" w:eastAsia="Lato" w:hAnsi="Lato" w:cs="Lato"/>
          <w:i/>
          <w:sz w:val="20"/>
          <w:szCs w:val="20"/>
        </w:rPr>
        <w:t>Informe de Desarrollo Social 2021</w:t>
      </w:r>
      <w:r>
        <w:rPr>
          <w:rFonts w:ascii="Lato" w:eastAsia="Lato" w:hAnsi="Lato" w:cs="Lato"/>
          <w:sz w:val="20"/>
          <w:szCs w:val="20"/>
        </w:rPr>
        <w:t xml:space="preserve">. p.11. Último acceso el 23 de agosto de 2024 a través de </w:t>
      </w:r>
      <w:hyperlink r:id="rId1">
        <w:r>
          <w:rPr>
            <w:rFonts w:ascii="Lato" w:eastAsia="Lato" w:hAnsi="Lato" w:cs="Lato"/>
            <w:color w:val="1155CC"/>
            <w:sz w:val="20"/>
            <w:szCs w:val="20"/>
            <w:u w:val="single"/>
          </w:rPr>
          <w:t>https://www.desarrollosocialyfamilia.gob.cl/storage/docs/Informe_Desarrollo_Social-2021.pdf</w:t>
        </w:r>
      </w:hyperlink>
    </w:p>
  </w:footnote>
  <w:footnote w:id="2">
    <w:p w14:paraId="0714678C" w14:textId="77777777" w:rsidR="005848AE" w:rsidRDefault="00000000">
      <w:pPr>
        <w:spacing w:line="240" w:lineRule="auto"/>
        <w:rPr>
          <w:rFonts w:ascii="Lato" w:eastAsia="Lato" w:hAnsi="Lato" w:cs="Lato"/>
          <w:sz w:val="20"/>
          <w:szCs w:val="20"/>
        </w:rPr>
      </w:pPr>
      <w:r>
        <w:rPr>
          <w:vertAlign w:val="superscript"/>
        </w:rPr>
        <w:footnoteRef/>
      </w:r>
      <w:r>
        <w:rPr>
          <w:sz w:val="20"/>
          <w:szCs w:val="20"/>
        </w:rPr>
        <w:t xml:space="preserve"> </w:t>
      </w:r>
      <w:r>
        <w:rPr>
          <w:rFonts w:ascii="Lato" w:eastAsia="Lato" w:hAnsi="Lato" w:cs="Lato"/>
          <w:sz w:val="20"/>
          <w:szCs w:val="20"/>
        </w:rPr>
        <w:t>Corporación Miles (2021).</w:t>
      </w:r>
      <w:r>
        <w:rPr>
          <w:rFonts w:ascii="Lato" w:eastAsia="Lato" w:hAnsi="Lato" w:cs="Lato"/>
          <w:i/>
          <w:sz w:val="20"/>
          <w:szCs w:val="20"/>
        </w:rPr>
        <w:t xml:space="preserve"> Acceso a salud reproductiva en el contexto de la pandemia por COVID-19. Tercer Informe sobre Derechos, Salud Sexual Reproductiva y Violencia de Género en Chile. </w:t>
      </w:r>
      <w:r>
        <w:rPr>
          <w:rFonts w:ascii="Lato" w:eastAsia="Lato" w:hAnsi="Lato" w:cs="Lato"/>
          <w:sz w:val="20"/>
          <w:szCs w:val="20"/>
        </w:rPr>
        <w:t xml:space="preserve">Pp. 20-29. Disponible en </w:t>
      </w:r>
      <w:hyperlink r:id="rId2">
        <w:r>
          <w:rPr>
            <w:rFonts w:ascii="Lato" w:eastAsia="Lato" w:hAnsi="Lato" w:cs="Lato"/>
            <w:color w:val="1155CC"/>
            <w:sz w:val="20"/>
            <w:szCs w:val="20"/>
            <w:u w:val="single"/>
          </w:rPr>
          <w:t>https://mileschile.cl/wp-content/uploads/2023/03/Tercer-Infome_digital.pdf</w:t>
        </w:r>
      </w:hyperlink>
    </w:p>
  </w:footnote>
  <w:footnote w:id="3">
    <w:p w14:paraId="34D5094D" w14:textId="77777777" w:rsidR="005848AE" w:rsidRDefault="00000000">
      <w:pPr>
        <w:spacing w:line="240" w:lineRule="auto"/>
        <w:rPr>
          <w:rFonts w:ascii="Lato" w:eastAsia="Lato" w:hAnsi="Lato" w:cs="Lato"/>
          <w:i/>
          <w:sz w:val="18"/>
          <w:szCs w:val="18"/>
          <w:highlight w:val="yellow"/>
        </w:rPr>
      </w:pPr>
      <w:r>
        <w:rPr>
          <w:vertAlign w:val="superscript"/>
        </w:rPr>
        <w:footnoteRef/>
      </w:r>
      <w:r>
        <w:rPr>
          <w:rFonts w:ascii="Lato" w:eastAsia="Lato" w:hAnsi="Lato" w:cs="Lato"/>
          <w:sz w:val="20"/>
          <w:szCs w:val="20"/>
        </w:rPr>
        <w:t xml:space="preserve"> Ministerio de Salud (2020) </w:t>
      </w:r>
      <w:r>
        <w:rPr>
          <w:rFonts w:ascii="Lato" w:eastAsia="Lato" w:hAnsi="Lato" w:cs="Lato"/>
          <w:i/>
          <w:sz w:val="20"/>
          <w:szCs w:val="20"/>
        </w:rPr>
        <w:t xml:space="preserve">Orientaciones técnicas. Continuidad de la atención en salud sexual y reproductiva en el contexto de la pandemia por COVID-19. Disponible en </w:t>
      </w:r>
      <w:hyperlink r:id="rId3">
        <w:r>
          <w:rPr>
            <w:rFonts w:ascii="Lato" w:eastAsia="Lato" w:hAnsi="Lato" w:cs="Lato"/>
            <w:i/>
            <w:color w:val="1155CC"/>
            <w:sz w:val="20"/>
            <w:szCs w:val="20"/>
            <w:u w:val="single"/>
          </w:rPr>
          <w:t>https://drive.google.com/drive/u/1/folders/1YrTmikeA8aDtqEhPs8LjmgrmtjOdwdFA</w:t>
        </w:r>
      </w:hyperlink>
    </w:p>
  </w:footnote>
  <w:footnote w:id="4">
    <w:p w14:paraId="6BD2A596" w14:textId="77777777" w:rsidR="005848AE" w:rsidRDefault="00000000">
      <w:pPr>
        <w:spacing w:line="240" w:lineRule="auto"/>
        <w:rPr>
          <w:rFonts w:ascii="Lato" w:eastAsia="Lato" w:hAnsi="Lato" w:cs="Lato"/>
          <w:sz w:val="20"/>
          <w:szCs w:val="20"/>
        </w:rPr>
      </w:pPr>
      <w:r>
        <w:rPr>
          <w:vertAlign w:val="superscript"/>
        </w:rPr>
        <w:footnoteRef/>
      </w:r>
      <w:r>
        <w:rPr>
          <w:rFonts w:ascii="Lato" w:eastAsia="Lato" w:hAnsi="Lato" w:cs="Lato"/>
          <w:sz w:val="20"/>
          <w:szCs w:val="20"/>
        </w:rPr>
        <w:t xml:space="preserve"> Corporación Miles (2022). </w:t>
      </w:r>
      <w:r>
        <w:rPr>
          <w:rFonts w:ascii="Lato" w:eastAsia="Lato" w:hAnsi="Lato" w:cs="Lato"/>
          <w:i/>
          <w:sz w:val="20"/>
          <w:szCs w:val="20"/>
        </w:rPr>
        <w:t>Percepción de las usuarias sobre el precio de los anticonceptivos orales vendidos en farmacias durante el 2020. Cuarto Informe sobre Derechos Sexuales y Reproductivos en Chile.</w:t>
      </w:r>
      <w:r>
        <w:rPr>
          <w:rFonts w:ascii="Lato" w:eastAsia="Lato" w:hAnsi="Lato" w:cs="Lato"/>
          <w:sz w:val="20"/>
          <w:szCs w:val="20"/>
        </w:rPr>
        <w:t xml:space="preserve"> P. 65. Disponible en </w:t>
      </w:r>
      <w:hyperlink r:id="rId4">
        <w:r>
          <w:rPr>
            <w:rFonts w:ascii="Lato" w:eastAsia="Lato" w:hAnsi="Lato" w:cs="Lato"/>
            <w:color w:val="1155CC"/>
            <w:sz w:val="20"/>
            <w:szCs w:val="20"/>
            <w:u w:val="single"/>
          </w:rPr>
          <w:t>https://mileschile.cl/wp-content/uploads/2023/03/Cuarto-informe.pdf</w:t>
        </w:r>
      </w:hyperlink>
    </w:p>
  </w:footnote>
  <w:footnote w:id="5">
    <w:p w14:paraId="0B276ACD" w14:textId="77777777" w:rsidR="005848AE" w:rsidRDefault="00000000">
      <w:pPr>
        <w:spacing w:line="240" w:lineRule="auto"/>
        <w:rPr>
          <w:rFonts w:ascii="Lato" w:eastAsia="Lato" w:hAnsi="Lato" w:cs="Lato"/>
          <w:sz w:val="20"/>
          <w:szCs w:val="20"/>
        </w:rPr>
      </w:pPr>
      <w:r>
        <w:rPr>
          <w:vertAlign w:val="superscript"/>
        </w:rPr>
        <w:footnoteRef/>
      </w:r>
      <w:r>
        <w:rPr>
          <w:rFonts w:ascii="Lato" w:eastAsia="Lato" w:hAnsi="Lato" w:cs="Lato"/>
          <w:sz w:val="20"/>
          <w:szCs w:val="20"/>
        </w:rPr>
        <w:t xml:space="preserve"> </w:t>
      </w:r>
      <w:proofErr w:type="spellStart"/>
      <w:r>
        <w:rPr>
          <w:rFonts w:ascii="Lato" w:eastAsia="Lato" w:hAnsi="Lato" w:cs="Lato"/>
          <w:sz w:val="20"/>
          <w:szCs w:val="20"/>
        </w:rPr>
        <w:t>Ibídem</w:t>
      </w:r>
      <w:proofErr w:type="spellEnd"/>
      <w:r>
        <w:rPr>
          <w:rFonts w:ascii="Lato" w:eastAsia="Lato" w:hAnsi="Lato" w:cs="Lato"/>
          <w:sz w:val="20"/>
          <w:szCs w:val="20"/>
        </w:rPr>
        <w:t>. P. 69.</w:t>
      </w:r>
    </w:p>
  </w:footnote>
  <w:footnote w:id="6">
    <w:p w14:paraId="0238DEF8" w14:textId="77777777" w:rsidR="005848AE" w:rsidRDefault="00000000">
      <w:pPr>
        <w:spacing w:line="240" w:lineRule="auto"/>
        <w:rPr>
          <w:sz w:val="20"/>
          <w:szCs w:val="20"/>
        </w:rPr>
      </w:pPr>
      <w:r>
        <w:rPr>
          <w:vertAlign w:val="superscript"/>
        </w:rPr>
        <w:footnoteRef/>
      </w:r>
      <w:r>
        <w:rPr>
          <w:sz w:val="20"/>
          <w:szCs w:val="20"/>
        </w:rPr>
        <w:t xml:space="preserve"> </w:t>
      </w:r>
      <w:r>
        <w:rPr>
          <w:rFonts w:ascii="Lato" w:eastAsia="Lato" w:hAnsi="Lato" w:cs="Lato"/>
          <w:sz w:val="20"/>
          <w:szCs w:val="20"/>
        </w:rPr>
        <w:t xml:space="preserve">Corporación Miles (2022). </w:t>
      </w:r>
      <w:r>
        <w:rPr>
          <w:rFonts w:ascii="Lato" w:eastAsia="Lato" w:hAnsi="Lato" w:cs="Lato"/>
          <w:i/>
          <w:sz w:val="20"/>
          <w:szCs w:val="20"/>
        </w:rPr>
        <w:t>La situación de la Interrupción Voluntaria del Embarazo durante la Pandemia. Cuarto Informe sobre Derechos Sexuales y Reproductivos en Chile.</w:t>
      </w:r>
      <w:r>
        <w:rPr>
          <w:rFonts w:ascii="Lato" w:eastAsia="Lato" w:hAnsi="Lato" w:cs="Lato"/>
          <w:sz w:val="20"/>
          <w:szCs w:val="20"/>
        </w:rPr>
        <w:t xml:space="preserve"> P. 104. Disponible en </w:t>
      </w:r>
      <w:hyperlink r:id="rId5">
        <w:r>
          <w:rPr>
            <w:rFonts w:ascii="Lato" w:eastAsia="Lato" w:hAnsi="Lato" w:cs="Lato"/>
            <w:color w:val="1155CC"/>
            <w:sz w:val="20"/>
            <w:szCs w:val="20"/>
            <w:u w:val="single"/>
          </w:rPr>
          <w:t>https://mileschile.cl/wp-content/uploads/2023/03/Cuarto-informe.pdf</w:t>
        </w:r>
      </w:hyperlink>
      <w:r>
        <w:rPr>
          <w:rFonts w:ascii="Lato" w:eastAsia="Lato" w:hAnsi="Lato" w:cs="Lato"/>
          <w:sz w:val="20"/>
          <w:szCs w:val="20"/>
        </w:rPr>
        <w:t xml:space="preserve"> </w:t>
      </w:r>
    </w:p>
  </w:footnote>
  <w:footnote w:id="7">
    <w:p w14:paraId="5ACE6ED0" w14:textId="77777777" w:rsidR="005848AE" w:rsidRDefault="00000000">
      <w:pPr>
        <w:spacing w:line="240" w:lineRule="auto"/>
        <w:rPr>
          <w:rFonts w:ascii="Lato" w:eastAsia="Lato" w:hAnsi="Lato" w:cs="Lato"/>
          <w:sz w:val="20"/>
          <w:szCs w:val="20"/>
        </w:rPr>
      </w:pPr>
      <w:r>
        <w:rPr>
          <w:vertAlign w:val="superscript"/>
        </w:rPr>
        <w:footnoteRef/>
      </w:r>
      <w:r>
        <w:rPr>
          <w:rFonts w:ascii="Lato" w:eastAsia="Lato" w:hAnsi="Lato" w:cs="Lato"/>
          <w:sz w:val="20"/>
          <w:szCs w:val="20"/>
        </w:rPr>
        <w:t xml:space="preserve"> Corporación Miles (2022). </w:t>
      </w:r>
      <w:r>
        <w:rPr>
          <w:rFonts w:ascii="Lato" w:eastAsia="Lato" w:hAnsi="Lato" w:cs="Lato"/>
          <w:i/>
          <w:sz w:val="20"/>
          <w:szCs w:val="20"/>
        </w:rPr>
        <w:t>Monitoreo a la implementación de la Interrupción Voluntaria del Embarazo en Chile durante la Pandemia por Covid-19. Cuarto Informe sobre Derechos Sexuales y Reproductivos en Chile.</w:t>
      </w:r>
      <w:r>
        <w:rPr>
          <w:rFonts w:ascii="Lato" w:eastAsia="Lato" w:hAnsi="Lato" w:cs="Lato"/>
          <w:sz w:val="20"/>
          <w:szCs w:val="20"/>
        </w:rPr>
        <w:t xml:space="preserve"> P. 65. Disponible en </w:t>
      </w:r>
      <w:hyperlink r:id="rId6">
        <w:r>
          <w:rPr>
            <w:rFonts w:ascii="Lato" w:eastAsia="Lato" w:hAnsi="Lato" w:cs="Lato"/>
            <w:color w:val="1155CC"/>
            <w:sz w:val="20"/>
            <w:szCs w:val="20"/>
            <w:u w:val="single"/>
          </w:rPr>
          <w:t>https://mileschile.cl/wp-content/uploads/2023/03/Cuarto-informe.pdf</w:t>
        </w:r>
      </w:hyperlink>
      <w:r>
        <w:rPr>
          <w:rFonts w:ascii="Lato" w:eastAsia="Lato" w:hAnsi="Lato" w:cs="Lato"/>
          <w:sz w:val="20"/>
          <w:szCs w:val="20"/>
        </w:rPr>
        <w:t xml:space="preserve"> </w:t>
      </w:r>
    </w:p>
  </w:footnote>
  <w:footnote w:id="8">
    <w:p w14:paraId="3C7E0D89" w14:textId="77777777" w:rsidR="005848AE" w:rsidRDefault="00000000">
      <w:pPr>
        <w:spacing w:line="240" w:lineRule="auto"/>
        <w:rPr>
          <w:sz w:val="20"/>
          <w:szCs w:val="20"/>
        </w:rPr>
      </w:pPr>
      <w:r>
        <w:rPr>
          <w:vertAlign w:val="superscript"/>
        </w:rPr>
        <w:footnoteRef/>
      </w:r>
      <w:r>
        <w:rPr>
          <w:sz w:val="20"/>
          <w:szCs w:val="20"/>
        </w:rPr>
        <w:t xml:space="preserve"> </w:t>
      </w:r>
      <w:r>
        <w:rPr>
          <w:rFonts w:ascii="Lato" w:eastAsia="Lato" w:hAnsi="Lato" w:cs="Lato"/>
          <w:sz w:val="20"/>
          <w:szCs w:val="20"/>
        </w:rPr>
        <w:t xml:space="preserve">Corporación Miles (2022). </w:t>
      </w:r>
      <w:r>
        <w:rPr>
          <w:rFonts w:ascii="Lato" w:eastAsia="Lato" w:hAnsi="Lato" w:cs="Lato"/>
          <w:i/>
          <w:sz w:val="20"/>
          <w:szCs w:val="20"/>
        </w:rPr>
        <w:t xml:space="preserve">La situación de la Interrupción Voluntaria del Embarazo durante la Pandemia. </w:t>
      </w:r>
      <w:r>
        <w:rPr>
          <w:rFonts w:ascii="Lato" w:eastAsia="Lato" w:hAnsi="Lato" w:cs="Lato"/>
          <w:sz w:val="20"/>
          <w:szCs w:val="20"/>
        </w:rPr>
        <w:t>P. 124.</w:t>
      </w:r>
    </w:p>
  </w:footnote>
  <w:footnote w:id="9">
    <w:p w14:paraId="4ADA27CC" w14:textId="77777777" w:rsidR="005848AE" w:rsidRDefault="00000000">
      <w:pPr>
        <w:spacing w:line="240" w:lineRule="auto"/>
        <w:rPr>
          <w:rFonts w:ascii="Lato" w:eastAsia="Lato" w:hAnsi="Lato" w:cs="Lato"/>
          <w:sz w:val="20"/>
          <w:szCs w:val="20"/>
        </w:rPr>
      </w:pPr>
      <w:r>
        <w:rPr>
          <w:vertAlign w:val="superscript"/>
        </w:rPr>
        <w:footnoteRef/>
      </w:r>
      <w:r>
        <w:rPr>
          <w:rFonts w:ascii="Lato" w:eastAsia="Lato" w:hAnsi="Lato" w:cs="Lato"/>
          <w:sz w:val="20"/>
          <w:szCs w:val="20"/>
        </w:rPr>
        <w:t xml:space="preserve"> Corporación Miles &amp; Center </w:t>
      </w:r>
      <w:proofErr w:type="spellStart"/>
      <w:r>
        <w:rPr>
          <w:rFonts w:ascii="Lato" w:eastAsia="Lato" w:hAnsi="Lato" w:cs="Lato"/>
          <w:sz w:val="20"/>
          <w:szCs w:val="20"/>
        </w:rPr>
        <w:t>for</w:t>
      </w:r>
      <w:proofErr w:type="spellEnd"/>
      <w:r>
        <w:rPr>
          <w:rFonts w:ascii="Lato" w:eastAsia="Lato" w:hAnsi="Lato" w:cs="Lato"/>
          <w:sz w:val="20"/>
          <w:szCs w:val="20"/>
        </w:rPr>
        <w:t xml:space="preserve"> Reproductive </w:t>
      </w:r>
      <w:proofErr w:type="spellStart"/>
      <w:r>
        <w:rPr>
          <w:rFonts w:ascii="Lato" w:eastAsia="Lato" w:hAnsi="Lato" w:cs="Lato"/>
          <w:sz w:val="20"/>
          <w:szCs w:val="20"/>
        </w:rPr>
        <w:t>Rights</w:t>
      </w:r>
      <w:proofErr w:type="spellEnd"/>
      <w:r>
        <w:rPr>
          <w:rFonts w:ascii="Lato" w:eastAsia="Lato" w:hAnsi="Lato" w:cs="Lato"/>
          <w:sz w:val="20"/>
          <w:szCs w:val="20"/>
        </w:rPr>
        <w:t xml:space="preserve"> (2022). </w:t>
      </w:r>
      <w:proofErr w:type="spellStart"/>
      <w:r>
        <w:rPr>
          <w:rFonts w:ascii="Lato" w:eastAsia="Lato" w:hAnsi="Lato" w:cs="Lato"/>
          <w:i/>
          <w:sz w:val="20"/>
          <w:szCs w:val="20"/>
        </w:rPr>
        <w:t>Fact</w:t>
      </w:r>
      <w:proofErr w:type="spellEnd"/>
      <w:r>
        <w:rPr>
          <w:rFonts w:ascii="Lato" w:eastAsia="Lato" w:hAnsi="Lato" w:cs="Lato"/>
          <w:i/>
          <w:sz w:val="20"/>
          <w:szCs w:val="20"/>
        </w:rPr>
        <w:t xml:space="preserve"> </w:t>
      </w:r>
      <w:proofErr w:type="spellStart"/>
      <w:r>
        <w:rPr>
          <w:rFonts w:ascii="Lato" w:eastAsia="Lato" w:hAnsi="Lato" w:cs="Lato"/>
          <w:i/>
          <w:sz w:val="20"/>
          <w:szCs w:val="20"/>
        </w:rPr>
        <w:t>sheet</w:t>
      </w:r>
      <w:proofErr w:type="spellEnd"/>
      <w:r>
        <w:rPr>
          <w:rFonts w:ascii="Lato" w:eastAsia="Lato" w:hAnsi="Lato" w:cs="Lato"/>
          <w:i/>
          <w:sz w:val="20"/>
          <w:szCs w:val="20"/>
        </w:rPr>
        <w:t xml:space="preserve">: Secreto profesional y deber de denuncia: usos con perspectiva de género en el marco de la IVE. </w:t>
      </w:r>
      <w:r>
        <w:rPr>
          <w:rFonts w:ascii="Lato" w:eastAsia="Lato" w:hAnsi="Lato" w:cs="Lato"/>
          <w:sz w:val="20"/>
          <w:szCs w:val="20"/>
        </w:rPr>
        <w:t xml:space="preserve">Disponible en </w:t>
      </w:r>
      <w:hyperlink r:id="rId7">
        <w:r>
          <w:rPr>
            <w:rFonts w:ascii="Lato" w:eastAsia="Lato" w:hAnsi="Lato" w:cs="Lato"/>
            <w:color w:val="1155CC"/>
            <w:sz w:val="20"/>
            <w:szCs w:val="20"/>
            <w:u w:val="single"/>
          </w:rPr>
          <w:t>https://mileschile.cl/wp-content/uploads/2023/03/FS_Secreto-Profesional_web.pdf</w:t>
        </w:r>
      </w:hyperlink>
      <w:r>
        <w:rPr>
          <w:rFonts w:ascii="Lato" w:eastAsia="Lato" w:hAnsi="Lato" w:cs="Lato"/>
          <w:sz w:val="20"/>
          <w:szCs w:val="20"/>
        </w:rPr>
        <w:t xml:space="preserve"> </w:t>
      </w:r>
    </w:p>
  </w:footnote>
  <w:footnote w:id="10">
    <w:p w14:paraId="2E358D95" w14:textId="77777777" w:rsidR="005848AE" w:rsidRDefault="00000000">
      <w:pPr>
        <w:spacing w:line="240" w:lineRule="auto"/>
        <w:rPr>
          <w:rFonts w:ascii="Lato" w:eastAsia="Lato" w:hAnsi="Lato" w:cs="Lato"/>
          <w:sz w:val="20"/>
          <w:szCs w:val="20"/>
        </w:rPr>
      </w:pPr>
      <w:r>
        <w:rPr>
          <w:vertAlign w:val="superscript"/>
        </w:rPr>
        <w:footnoteRef/>
      </w:r>
      <w:r>
        <w:rPr>
          <w:rFonts w:ascii="Lato" w:eastAsia="Lato" w:hAnsi="Lato" w:cs="Lato"/>
          <w:sz w:val="20"/>
          <w:szCs w:val="20"/>
        </w:rPr>
        <w:t xml:space="preserve"> Respuesta entregada por la Corporación Administrativa del Poder Judicial mediante Oficio 17DDI N°685 de fecha 1 de febrero de 2023 a la solicitud de información NR001T0007881 ingresada a través del Portal de Transparencia por Corporación Miles.</w:t>
      </w:r>
    </w:p>
  </w:footnote>
  <w:footnote w:id="11">
    <w:p w14:paraId="57856A1D" w14:textId="77777777" w:rsidR="005848AE" w:rsidRDefault="00000000">
      <w:pPr>
        <w:spacing w:line="240" w:lineRule="auto"/>
        <w:rPr>
          <w:rFonts w:ascii="Lato" w:eastAsia="Lato" w:hAnsi="Lato" w:cs="Lato"/>
          <w:sz w:val="20"/>
          <w:szCs w:val="20"/>
        </w:rPr>
      </w:pPr>
      <w:r>
        <w:rPr>
          <w:vertAlign w:val="superscript"/>
        </w:rPr>
        <w:footnoteRef/>
      </w:r>
      <w:r>
        <w:rPr>
          <w:rFonts w:ascii="Lato" w:eastAsia="Lato" w:hAnsi="Lato" w:cs="Lato"/>
          <w:sz w:val="20"/>
          <w:szCs w:val="20"/>
        </w:rPr>
        <w:t xml:space="preserve"> Respuesta entregada por la Corporación Administrativa del Poder Judicial mediante Oficio 17DDI N°3455 de fecha 29 de junio de 2023 a la solicitud de información NR001T0008245 ingresada a través del Portal de Transparencia por Corporación Miles.</w:t>
      </w:r>
    </w:p>
  </w:footnote>
  <w:footnote w:id="12">
    <w:p w14:paraId="3444C456" w14:textId="77777777" w:rsidR="005848AE" w:rsidRDefault="00000000">
      <w:pPr>
        <w:spacing w:line="240" w:lineRule="auto"/>
        <w:rPr>
          <w:rFonts w:ascii="Lato" w:eastAsia="Lato" w:hAnsi="Lato" w:cs="Lato"/>
          <w:sz w:val="20"/>
          <w:szCs w:val="20"/>
        </w:rPr>
      </w:pPr>
      <w:r>
        <w:rPr>
          <w:vertAlign w:val="superscript"/>
        </w:rPr>
        <w:footnoteRef/>
      </w:r>
      <w:r>
        <w:rPr>
          <w:rFonts w:ascii="Lato" w:eastAsia="Lato" w:hAnsi="Lato" w:cs="Lato"/>
          <w:sz w:val="20"/>
          <w:szCs w:val="20"/>
        </w:rPr>
        <w:t xml:space="preserve"> Corporación Miles (2023). </w:t>
      </w:r>
      <w:r>
        <w:rPr>
          <w:rFonts w:ascii="Lato" w:eastAsia="Lato" w:hAnsi="Lato" w:cs="Lato"/>
          <w:i/>
          <w:sz w:val="20"/>
          <w:szCs w:val="20"/>
        </w:rPr>
        <w:t xml:space="preserve">Ley </w:t>
      </w:r>
      <w:proofErr w:type="spellStart"/>
      <w:r>
        <w:rPr>
          <w:rFonts w:ascii="Lato" w:eastAsia="Lato" w:hAnsi="Lato" w:cs="Lato"/>
          <w:i/>
          <w:sz w:val="20"/>
          <w:szCs w:val="20"/>
        </w:rPr>
        <w:t>Nº</w:t>
      </w:r>
      <w:proofErr w:type="spellEnd"/>
      <w:r>
        <w:rPr>
          <w:rFonts w:ascii="Lato" w:eastAsia="Lato" w:hAnsi="Lato" w:cs="Lato"/>
          <w:i/>
          <w:sz w:val="20"/>
          <w:szCs w:val="20"/>
        </w:rPr>
        <w:t xml:space="preserve"> 21.030 para las menores de 14 años y la realidad de la Autorización Judicial Sustitutiva. Quinto Informe sobre Derechos Sexuales y Reproductivos en Chile. </w:t>
      </w:r>
      <w:r>
        <w:rPr>
          <w:rFonts w:ascii="Lato" w:eastAsia="Lato" w:hAnsi="Lato" w:cs="Lato"/>
          <w:sz w:val="20"/>
          <w:szCs w:val="20"/>
        </w:rPr>
        <w:t xml:space="preserve">Pp. 76-77. Disponible en </w:t>
      </w:r>
      <w:hyperlink r:id="rId8">
        <w:r>
          <w:rPr>
            <w:rFonts w:ascii="Lato" w:eastAsia="Lato" w:hAnsi="Lato" w:cs="Lato"/>
            <w:color w:val="1155CC"/>
            <w:sz w:val="20"/>
            <w:szCs w:val="20"/>
            <w:u w:val="single"/>
          </w:rPr>
          <w:t>https://mileschile.cl/wp-content/uploads/2023/06/V-Informe-Corporacio%CC%81n-Miles_web.pdf</w:t>
        </w:r>
      </w:hyperlink>
      <w:r>
        <w:rPr>
          <w:rFonts w:ascii="Lato" w:eastAsia="Lato" w:hAnsi="Lato" w:cs="Lato"/>
          <w:sz w:val="20"/>
          <w:szCs w:val="20"/>
        </w:rPr>
        <w:t xml:space="preserve"> </w:t>
      </w:r>
    </w:p>
  </w:footnote>
  <w:footnote w:id="13">
    <w:p w14:paraId="4D2CDD00" w14:textId="77777777" w:rsidR="005848AE" w:rsidRDefault="00000000">
      <w:pPr>
        <w:spacing w:line="240" w:lineRule="auto"/>
        <w:rPr>
          <w:sz w:val="20"/>
          <w:szCs w:val="20"/>
        </w:rPr>
      </w:pPr>
      <w:r>
        <w:rPr>
          <w:vertAlign w:val="superscript"/>
        </w:rPr>
        <w:footnoteRef/>
      </w:r>
      <w:r>
        <w:rPr>
          <w:sz w:val="20"/>
          <w:szCs w:val="20"/>
        </w:rPr>
        <w:t xml:space="preserve"> </w:t>
      </w:r>
      <w:r>
        <w:rPr>
          <w:rFonts w:ascii="Lato" w:eastAsia="Lato" w:hAnsi="Lato" w:cs="Lato"/>
          <w:sz w:val="20"/>
          <w:szCs w:val="20"/>
        </w:rPr>
        <w:t xml:space="preserve">Respuesta entregada por la Corporación Administrativa del Poder Judicial mediante Oficio 17DDI </w:t>
      </w:r>
      <w:proofErr w:type="spellStart"/>
      <w:r>
        <w:rPr>
          <w:rFonts w:ascii="Lato" w:eastAsia="Lato" w:hAnsi="Lato" w:cs="Lato"/>
          <w:sz w:val="20"/>
          <w:szCs w:val="20"/>
        </w:rPr>
        <w:t>N°</w:t>
      </w:r>
      <w:proofErr w:type="spellEnd"/>
      <w:r>
        <w:rPr>
          <w:rFonts w:ascii="Lato" w:eastAsia="Lato" w:hAnsi="Lato" w:cs="Lato"/>
          <w:sz w:val="20"/>
          <w:szCs w:val="20"/>
        </w:rPr>
        <w:t xml:space="preserve"> 3036 de fecha 24 de junio de 2022 a la solicitud de información NR001T0007210 ingresada a través del Portal de Transparencia por Corporación Miles.</w:t>
      </w:r>
    </w:p>
  </w:footnote>
  <w:footnote w:id="14">
    <w:p w14:paraId="4D2726F6" w14:textId="77777777" w:rsidR="005848AE" w:rsidRDefault="00000000">
      <w:pPr>
        <w:spacing w:line="240" w:lineRule="auto"/>
        <w:rPr>
          <w:rFonts w:ascii="Lato" w:eastAsia="Lato" w:hAnsi="Lato" w:cs="Lato"/>
          <w:sz w:val="20"/>
          <w:szCs w:val="20"/>
        </w:rPr>
      </w:pPr>
      <w:r>
        <w:rPr>
          <w:vertAlign w:val="superscript"/>
        </w:rPr>
        <w:footnoteRef/>
      </w:r>
      <w:r>
        <w:rPr>
          <w:sz w:val="20"/>
          <w:szCs w:val="20"/>
        </w:rPr>
        <w:t xml:space="preserve"> </w:t>
      </w:r>
      <w:r>
        <w:rPr>
          <w:rFonts w:ascii="Lato" w:eastAsia="Lato" w:hAnsi="Lato" w:cs="Lato"/>
          <w:sz w:val="20"/>
          <w:szCs w:val="20"/>
        </w:rPr>
        <w:t xml:space="preserve">Ley Nº20.418 que fija normas sobre información, orientación y prestaciones en materia de regulación de la fertilidad, disponible en </w:t>
      </w:r>
      <w:hyperlink r:id="rId9">
        <w:r>
          <w:rPr>
            <w:rFonts w:ascii="Lato" w:eastAsia="Lato" w:hAnsi="Lato" w:cs="Lato"/>
            <w:color w:val="1155CC"/>
            <w:sz w:val="20"/>
            <w:szCs w:val="20"/>
            <w:u w:val="single"/>
          </w:rPr>
          <w:t>https://www.bcn.cl/leychile/navegar?i=1010482&amp;f=2010-02-02&amp;p=8850470</w:t>
        </w:r>
      </w:hyperlink>
      <w:r>
        <w:rPr>
          <w:rFonts w:ascii="Lato" w:eastAsia="Lato" w:hAnsi="Lato" w:cs="Lato"/>
          <w:sz w:val="20"/>
          <w:szCs w:val="20"/>
        </w:rPr>
        <w:t xml:space="preserve"> </w:t>
      </w:r>
    </w:p>
  </w:footnote>
  <w:footnote w:id="15">
    <w:p w14:paraId="720E7CA9" w14:textId="77777777" w:rsidR="005848AE" w:rsidRDefault="00000000">
      <w:pPr>
        <w:spacing w:line="240" w:lineRule="auto"/>
        <w:rPr>
          <w:rFonts w:ascii="Lato" w:eastAsia="Lato" w:hAnsi="Lato" w:cs="Lato"/>
          <w:sz w:val="20"/>
          <w:szCs w:val="20"/>
        </w:rPr>
      </w:pPr>
      <w:r>
        <w:rPr>
          <w:vertAlign w:val="superscript"/>
        </w:rPr>
        <w:footnoteRef/>
      </w:r>
      <w:r>
        <w:rPr>
          <w:rFonts w:ascii="Lato" w:eastAsia="Lato" w:hAnsi="Lato" w:cs="Lato"/>
          <w:sz w:val="20"/>
          <w:szCs w:val="20"/>
        </w:rPr>
        <w:t xml:space="preserve"> Última revisión el 20 de agosto de 2024, disponible en </w:t>
      </w:r>
      <w:hyperlink r:id="rId10">
        <w:r>
          <w:rPr>
            <w:rFonts w:ascii="Lato" w:eastAsia="Lato" w:hAnsi="Lato" w:cs="Lato"/>
            <w:color w:val="1155CC"/>
            <w:sz w:val="20"/>
            <w:szCs w:val="20"/>
            <w:u w:val="single"/>
          </w:rPr>
          <w:t>https://www.minsal.cl/salud-de-la-mujer/</w:t>
        </w:r>
      </w:hyperlink>
      <w:r>
        <w:rPr>
          <w:rFonts w:ascii="Lato" w:eastAsia="Lato" w:hAnsi="Lato" w:cs="Lato"/>
          <w:sz w:val="20"/>
          <w:szCs w:val="20"/>
        </w:rPr>
        <w:t xml:space="preserve"> </w:t>
      </w:r>
    </w:p>
  </w:footnote>
  <w:footnote w:id="16">
    <w:p w14:paraId="30D162AC" w14:textId="77777777" w:rsidR="005848AE" w:rsidRDefault="00000000">
      <w:pPr>
        <w:spacing w:line="240" w:lineRule="auto"/>
        <w:rPr>
          <w:rFonts w:ascii="Lato" w:eastAsia="Lato" w:hAnsi="Lato" w:cs="Lato"/>
          <w:sz w:val="20"/>
          <w:szCs w:val="20"/>
        </w:rPr>
      </w:pPr>
      <w:r>
        <w:rPr>
          <w:vertAlign w:val="superscript"/>
        </w:rPr>
        <w:footnoteRef/>
      </w:r>
      <w:r>
        <w:rPr>
          <w:rFonts w:ascii="Lato" w:eastAsia="Lato" w:hAnsi="Lato" w:cs="Lato"/>
          <w:sz w:val="20"/>
          <w:szCs w:val="20"/>
        </w:rPr>
        <w:t xml:space="preserve"> Ministerio de Salud, Gobierno de Chile (2021). </w:t>
      </w:r>
      <w:r>
        <w:rPr>
          <w:rFonts w:ascii="Lato" w:eastAsia="Lato" w:hAnsi="Lato" w:cs="Lato"/>
          <w:i/>
          <w:sz w:val="20"/>
          <w:szCs w:val="20"/>
        </w:rPr>
        <w:t>Protocolo de entrega para la anticoncepción de emergencia</w:t>
      </w:r>
      <w:r>
        <w:rPr>
          <w:rFonts w:ascii="Lato" w:eastAsia="Lato" w:hAnsi="Lato" w:cs="Lato"/>
          <w:sz w:val="20"/>
          <w:szCs w:val="20"/>
        </w:rPr>
        <w:t xml:space="preserve">. Última revisión el 23 de agosto de 2023. Disponible en </w:t>
      </w:r>
      <w:hyperlink r:id="rId11">
        <w:r>
          <w:rPr>
            <w:rFonts w:ascii="Lato" w:eastAsia="Lato" w:hAnsi="Lato" w:cs="Lato"/>
            <w:color w:val="1155CC"/>
            <w:sz w:val="20"/>
            <w:szCs w:val="20"/>
            <w:u w:val="single"/>
          </w:rPr>
          <w:t>https://diprece.minsal.cl/wp-content/uploads/2021/06/PROTOCOLO-ANTICONCEPCION-ISBN_v2.pdf</w:t>
        </w:r>
      </w:hyperlink>
      <w:r>
        <w:rPr>
          <w:rFonts w:ascii="Lato" w:eastAsia="Lato" w:hAnsi="Lato" w:cs="Lato"/>
          <w:sz w:val="20"/>
          <w:szCs w:val="20"/>
        </w:rPr>
        <w:t xml:space="preserve"> </w:t>
      </w:r>
    </w:p>
  </w:footnote>
  <w:footnote w:id="17">
    <w:p w14:paraId="6BC31CF3" w14:textId="77777777" w:rsidR="005848AE" w:rsidRDefault="00000000">
      <w:pPr>
        <w:spacing w:line="240" w:lineRule="auto"/>
        <w:rPr>
          <w:rFonts w:ascii="Lato" w:eastAsia="Lato" w:hAnsi="Lato" w:cs="Lato"/>
          <w:sz w:val="20"/>
          <w:szCs w:val="20"/>
        </w:rPr>
      </w:pPr>
      <w:r>
        <w:rPr>
          <w:vertAlign w:val="superscript"/>
        </w:rPr>
        <w:footnoteRef/>
      </w:r>
      <w:r>
        <w:rPr>
          <w:rFonts w:ascii="Lato" w:eastAsia="Lato" w:hAnsi="Lato" w:cs="Lato"/>
          <w:sz w:val="20"/>
          <w:szCs w:val="20"/>
        </w:rPr>
        <w:t xml:space="preserve"> Corporación Miles (2023). </w:t>
      </w:r>
      <w:r>
        <w:rPr>
          <w:rFonts w:ascii="Lato" w:eastAsia="Lato" w:hAnsi="Lato" w:cs="Lato"/>
          <w:i/>
          <w:sz w:val="20"/>
          <w:szCs w:val="20"/>
        </w:rPr>
        <w:t>Barreras para acceder a métodos anticonceptivos.</w:t>
      </w:r>
      <w:r>
        <w:rPr>
          <w:rFonts w:ascii="Lato" w:eastAsia="Lato" w:hAnsi="Lato" w:cs="Lato"/>
          <w:sz w:val="20"/>
          <w:szCs w:val="20"/>
        </w:rPr>
        <w:t xml:space="preserve"> Disponible en </w:t>
      </w:r>
      <w:hyperlink r:id="rId12">
        <w:r>
          <w:rPr>
            <w:rFonts w:ascii="Lato" w:eastAsia="Lato" w:hAnsi="Lato" w:cs="Lato"/>
            <w:color w:val="1155CC"/>
            <w:sz w:val="20"/>
            <w:szCs w:val="20"/>
            <w:u w:val="single"/>
          </w:rPr>
          <w:t>https://drive.google.com/file/d/1NLxMKAMwSlmD-SjhvU6CgcNDS2NbaElC/view?usp=share_link</w:t>
        </w:r>
      </w:hyperlink>
      <w:r>
        <w:rPr>
          <w:rFonts w:ascii="Lato" w:eastAsia="Lato" w:hAnsi="Lato" w:cs="Lato"/>
          <w:sz w:val="20"/>
          <w:szCs w:val="20"/>
        </w:rPr>
        <w:t xml:space="preserve"> </w:t>
      </w:r>
    </w:p>
  </w:footnote>
  <w:footnote w:id="18">
    <w:p w14:paraId="373A8685" w14:textId="77777777" w:rsidR="005848AE" w:rsidRDefault="00000000">
      <w:pPr>
        <w:spacing w:line="240" w:lineRule="auto"/>
        <w:rPr>
          <w:rFonts w:ascii="Lato" w:eastAsia="Lato" w:hAnsi="Lato" w:cs="Lato"/>
          <w:sz w:val="20"/>
          <w:szCs w:val="20"/>
        </w:rPr>
      </w:pPr>
      <w:r>
        <w:rPr>
          <w:vertAlign w:val="superscript"/>
        </w:rPr>
        <w:footnoteRef/>
      </w:r>
      <w:r>
        <w:rPr>
          <w:rFonts w:ascii="Lato" w:eastAsia="Lato" w:hAnsi="Lato" w:cs="Lato"/>
          <w:sz w:val="20"/>
          <w:szCs w:val="20"/>
        </w:rPr>
        <w:t xml:space="preserve"> El Mostrador (2022). </w:t>
      </w:r>
      <w:proofErr w:type="spellStart"/>
      <w:r>
        <w:rPr>
          <w:rFonts w:ascii="Lato" w:eastAsia="Lato" w:hAnsi="Lato" w:cs="Lato"/>
          <w:i/>
          <w:sz w:val="20"/>
          <w:szCs w:val="20"/>
        </w:rPr>
        <w:t>Cesfam</w:t>
      </w:r>
      <w:proofErr w:type="spellEnd"/>
      <w:r>
        <w:rPr>
          <w:rFonts w:ascii="Lato" w:eastAsia="Lato" w:hAnsi="Lato" w:cs="Lato"/>
          <w:i/>
          <w:sz w:val="20"/>
          <w:szCs w:val="20"/>
        </w:rPr>
        <w:t xml:space="preserve"> de Viña del Mar niega anticonceptivo a mujer por no tener hijos.</w:t>
      </w:r>
      <w:r>
        <w:rPr>
          <w:rFonts w:ascii="Lato" w:eastAsia="Lato" w:hAnsi="Lato" w:cs="Lato"/>
          <w:sz w:val="20"/>
          <w:szCs w:val="20"/>
        </w:rPr>
        <w:t xml:space="preserve"> Visitado por última vez el 23 de agosto de 2024 en </w:t>
      </w:r>
      <w:hyperlink r:id="rId13">
        <w:r>
          <w:rPr>
            <w:rFonts w:ascii="Lato" w:eastAsia="Lato" w:hAnsi="Lato" w:cs="Lato"/>
            <w:color w:val="1155CC"/>
            <w:sz w:val="20"/>
            <w:szCs w:val="20"/>
            <w:u w:val="single"/>
          </w:rPr>
          <w:t>https://www.elmostrador.cl/braga/2022/12/16/cesfam-de-vina-del-mar-niega-anticonceptivo-a-mujer-por-no-tener-hijos/</w:t>
        </w:r>
      </w:hyperlink>
      <w:r>
        <w:rPr>
          <w:rFonts w:ascii="Lato" w:eastAsia="Lato" w:hAnsi="Lato" w:cs="Lato"/>
          <w:sz w:val="20"/>
          <w:szCs w:val="20"/>
        </w:rPr>
        <w:t xml:space="preserve"> </w:t>
      </w:r>
    </w:p>
  </w:footnote>
  <w:footnote w:id="19">
    <w:p w14:paraId="5B477A0D" w14:textId="77777777" w:rsidR="005848AE" w:rsidRDefault="00000000">
      <w:pPr>
        <w:spacing w:line="240" w:lineRule="auto"/>
        <w:rPr>
          <w:rFonts w:ascii="Lato" w:eastAsia="Lato" w:hAnsi="Lato" w:cs="Lato"/>
          <w:sz w:val="20"/>
          <w:szCs w:val="20"/>
        </w:rPr>
      </w:pPr>
      <w:r>
        <w:rPr>
          <w:vertAlign w:val="superscript"/>
        </w:rPr>
        <w:footnoteRef/>
      </w:r>
      <w:r>
        <w:rPr>
          <w:rFonts w:ascii="Lato" w:eastAsia="Lato" w:hAnsi="Lato" w:cs="Lato"/>
          <w:sz w:val="20"/>
          <w:szCs w:val="20"/>
        </w:rPr>
        <w:t xml:space="preserve"> Corporación Miles (2024). </w:t>
      </w:r>
      <w:r>
        <w:rPr>
          <w:rFonts w:ascii="Lato" w:eastAsia="Lato" w:hAnsi="Lato" w:cs="Lato"/>
          <w:i/>
          <w:sz w:val="20"/>
          <w:szCs w:val="20"/>
        </w:rPr>
        <w:t>Diagnóstico Ley CENABAST, Acceso a métodos anticonceptivos.</w:t>
      </w:r>
      <w:r>
        <w:rPr>
          <w:rFonts w:ascii="Lato" w:eastAsia="Lato" w:hAnsi="Lato" w:cs="Lato"/>
          <w:sz w:val="20"/>
          <w:szCs w:val="20"/>
        </w:rPr>
        <w:t xml:space="preserve"> Disponible en </w:t>
      </w:r>
      <w:hyperlink r:id="rId14">
        <w:r>
          <w:rPr>
            <w:rFonts w:ascii="Lato" w:eastAsia="Lato" w:hAnsi="Lato" w:cs="Lato"/>
            <w:color w:val="1155CC"/>
            <w:sz w:val="20"/>
            <w:szCs w:val="20"/>
            <w:u w:val="single"/>
          </w:rPr>
          <w:t>https://docs.google.com/document/d/1LBtK1Yy3Nqki6iH8k94Hmf04Miz4nIKT/edit?usp=sharing&amp;ouid=112231385091160355879&amp;rtpof=true&amp;sd=true</w:t>
        </w:r>
      </w:hyperlink>
      <w:r>
        <w:rPr>
          <w:rFonts w:ascii="Lato" w:eastAsia="Lato" w:hAnsi="Lato" w:cs="Lato"/>
          <w:sz w:val="20"/>
          <w:szCs w:val="20"/>
        </w:rPr>
        <w:t xml:space="preserve"> </w:t>
      </w:r>
    </w:p>
  </w:footnote>
  <w:footnote w:id="20">
    <w:p w14:paraId="6022277A" w14:textId="77777777" w:rsidR="005848AE" w:rsidRDefault="00000000">
      <w:pPr>
        <w:spacing w:line="240" w:lineRule="auto"/>
        <w:rPr>
          <w:sz w:val="20"/>
          <w:szCs w:val="20"/>
        </w:rPr>
      </w:pPr>
      <w:r>
        <w:rPr>
          <w:vertAlign w:val="superscript"/>
        </w:rPr>
        <w:footnoteRef/>
      </w:r>
      <w:r>
        <w:rPr>
          <w:sz w:val="20"/>
          <w:szCs w:val="20"/>
        </w:rPr>
        <w:t xml:space="preserve"> </w:t>
      </w:r>
      <w:r>
        <w:rPr>
          <w:rFonts w:ascii="Lato" w:eastAsia="Lato" w:hAnsi="Lato" w:cs="Lato"/>
          <w:sz w:val="20"/>
          <w:szCs w:val="20"/>
        </w:rPr>
        <w:t>Corporación Miles (2023).</w:t>
      </w:r>
      <w:r>
        <w:rPr>
          <w:rFonts w:ascii="Lato" w:eastAsia="Lato" w:hAnsi="Lato" w:cs="Lato"/>
          <w:i/>
          <w:sz w:val="20"/>
          <w:szCs w:val="20"/>
        </w:rPr>
        <w:t xml:space="preserve"> Estimación del impacto de los embarazos no deseados producto de la entrega de pastillas anticonceptivas defectuosas en Chile durante 2020. Quinto Informe sobre Derechos, Salud Sexual Reproductiva y Violencia de Género en Chile. Pp. 24 a 32 </w:t>
      </w:r>
      <w:r>
        <w:rPr>
          <w:rFonts w:ascii="Lato" w:eastAsia="Lato" w:hAnsi="Lato" w:cs="Lato"/>
          <w:sz w:val="20"/>
          <w:szCs w:val="20"/>
        </w:rPr>
        <w:t xml:space="preserve">Disponible en </w:t>
      </w:r>
      <w:hyperlink r:id="rId15">
        <w:r>
          <w:rPr>
            <w:rFonts w:ascii="Lato" w:eastAsia="Lato" w:hAnsi="Lato" w:cs="Lato"/>
            <w:color w:val="1155CC"/>
            <w:sz w:val="20"/>
            <w:szCs w:val="20"/>
            <w:u w:val="single"/>
          </w:rPr>
          <w:t>https://mileschile.cl/wp-content/uploads/2023/06/V-Informe-Corporacio%CC%81n-Miles_web.pdf</w:t>
        </w:r>
      </w:hyperlink>
    </w:p>
  </w:footnote>
  <w:footnote w:id="21">
    <w:p w14:paraId="19515C99" w14:textId="77777777" w:rsidR="005848AE" w:rsidRDefault="00000000">
      <w:pPr>
        <w:spacing w:line="240" w:lineRule="auto"/>
        <w:rPr>
          <w:sz w:val="20"/>
          <w:szCs w:val="20"/>
        </w:rPr>
      </w:pPr>
      <w:r>
        <w:rPr>
          <w:vertAlign w:val="superscript"/>
        </w:rPr>
        <w:footnoteRef/>
      </w:r>
      <w:r>
        <w:rPr>
          <w:sz w:val="20"/>
          <w:szCs w:val="20"/>
        </w:rPr>
        <w:t xml:space="preserve"> </w:t>
      </w:r>
      <w:r>
        <w:rPr>
          <w:rFonts w:ascii="Lato" w:eastAsia="Lato" w:hAnsi="Lato" w:cs="Lato"/>
          <w:sz w:val="20"/>
          <w:szCs w:val="20"/>
        </w:rPr>
        <w:t>Corporación Miles (2023).</w:t>
      </w:r>
      <w:r>
        <w:rPr>
          <w:rFonts w:ascii="Lato" w:eastAsia="Lato" w:hAnsi="Lato" w:cs="Lato"/>
          <w:i/>
          <w:sz w:val="20"/>
          <w:szCs w:val="20"/>
        </w:rPr>
        <w:t xml:space="preserve"> Estimación del impacto de los embarazos no deseados producto de la entrega de pastillas anticonceptivas defectuosas en Chile durante 2020. Quinto Informe sobre Derechos, Salud Sexual Reproductiva y Violencia de Género en Chile. Pp. 24 a 32 </w:t>
      </w:r>
      <w:r>
        <w:rPr>
          <w:rFonts w:ascii="Lato" w:eastAsia="Lato" w:hAnsi="Lato" w:cs="Lato"/>
          <w:sz w:val="20"/>
          <w:szCs w:val="20"/>
        </w:rPr>
        <w:t xml:space="preserve">Disponible en </w:t>
      </w:r>
      <w:hyperlink r:id="rId16">
        <w:r>
          <w:rPr>
            <w:rFonts w:ascii="Lato" w:eastAsia="Lato" w:hAnsi="Lato" w:cs="Lato"/>
            <w:color w:val="1155CC"/>
            <w:sz w:val="20"/>
            <w:szCs w:val="20"/>
            <w:u w:val="single"/>
          </w:rPr>
          <w:t>https://mileschile.cl/wp-content/uploads/2023/06/V-Informe-Corporacio%CC%81n-Miles_web.pdf</w:t>
        </w:r>
      </w:hyperlink>
    </w:p>
  </w:footnote>
  <w:footnote w:id="22">
    <w:p w14:paraId="615A14EC" w14:textId="77777777" w:rsidR="005848AE" w:rsidRDefault="00000000">
      <w:pPr>
        <w:spacing w:line="240" w:lineRule="auto"/>
        <w:rPr>
          <w:sz w:val="20"/>
          <w:szCs w:val="20"/>
        </w:rPr>
      </w:pPr>
      <w:r>
        <w:rPr>
          <w:vertAlign w:val="superscript"/>
        </w:rPr>
        <w:footnoteRef/>
      </w:r>
      <w:r>
        <w:rPr>
          <w:rFonts w:ascii="Lato" w:eastAsia="Lato" w:hAnsi="Lato" w:cs="Lato"/>
          <w:sz w:val="20"/>
          <w:szCs w:val="20"/>
        </w:rPr>
        <w:t xml:space="preserve"> Corporación Miles (2023). </w:t>
      </w:r>
      <w:r>
        <w:rPr>
          <w:rFonts w:ascii="Lato" w:eastAsia="Lato" w:hAnsi="Lato" w:cs="Lato"/>
          <w:i/>
          <w:sz w:val="20"/>
          <w:szCs w:val="20"/>
        </w:rPr>
        <w:t>Estimación e impacto de los embarazos no deseados producto de la entrega de pastillas anticonceptivas defectuosas en Chile durante 2020, Quinto informe sobre derechos sexuales y reproductivos.</w:t>
      </w:r>
      <w:r>
        <w:rPr>
          <w:rFonts w:ascii="Lato" w:eastAsia="Lato" w:hAnsi="Lato" w:cs="Lato"/>
          <w:sz w:val="20"/>
          <w:szCs w:val="20"/>
        </w:rPr>
        <w:t xml:space="preserve"> P. 26. Disponible en </w:t>
      </w:r>
      <w:hyperlink r:id="rId17">
        <w:r>
          <w:rPr>
            <w:rFonts w:ascii="Lato" w:eastAsia="Lato" w:hAnsi="Lato" w:cs="Lato"/>
            <w:color w:val="1155CC"/>
            <w:sz w:val="20"/>
            <w:szCs w:val="20"/>
            <w:u w:val="single"/>
          </w:rPr>
          <w:t>https://drive.google.com/file/d/1NLxMKAMwSlmD-SjhvU6CgcNDS2NbaElC/view?usp=share_link</w:t>
        </w:r>
      </w:hyperlink>
      <w:r>
        <w:rPr>
          <w:rFonts w:ascii="Lato" w:eastAsia="Lato" w:hAnsi="Lato" w:cs="Lato"/>
          <w:sz w:val="20"/>
          <w:szCs w:val="20"/>
        </w:rPr>
        <w:t xml:space="preserve"> </w:t>
      </w:r>
    </w:p>
  </w:footnote>
  <w:footnote w:id="23">
    <w:p w14:paraId="57E19C8A" w14:textId="77777777" w:rsidR="005848AE" w:rsidRDefault="00000000">
      <w:pPr>
        <w:spacing w:line="240" w:lineRule="auto"/>
        <w:rPr>
          <w:rFonts w:ascii="Lato" w:eastAsia="Lato" w:hAnsi="Lato" w:cs="Lato"/>
          <w:sz w:val="20"/>
          <w:szCs w:val="20"/>
        </w:rPr>
      </w:pPr>
      <w:r>
        <w:rPr>
          <w:vertAlign w:val="superscript"/>
        </w:rPr>
        <w:footnoteRef/>
      </w:r>
      <w:r>
        <w:rPr>
          <w:rFonts w:ascii="Lato" w:eastAsia="Lato" w:hAnsi="Lato" w:cs="Lato"/>
          <w:sz w:val="20"/>
          <w:szCs w:val="20"/>
        </w:rPr>
        <w:t xml:space="preserve"> Causa Rol </w:t>
      </w:r>
      <w:proofErr w:type="spellStart"/>
      <w:r>
        <w:rPr>
          <w:rFonts w:ascii="Lato" w:eastAsia="Lato" w:hAnsi="Lato" w:cs="Lato"/>
          <w:sz w:val="20"/>
          <w:szCs w:val="20"/>
        </w:rPr>
        <w:t>Rol</w:t>
      </w:r>
      <w:proofErr w:type="spellEnd"/>
      <w:r>
        <w:rPr>
          <w:rFonts w:ascii="Lato" w:eastAsia="Lato" w:hAnsi="Lato" w:cs="Lato"/>
          <w:sz w:val="20"/>
          <w:szCs w:val="20"/>
        </w:rPr>
        <w:t xml:space="preserve"> C-8007-2024, del 22° Juzgado Civil de Santiago caratulada Medina </w:t>
      </w:r>
      <w:proofErr w:type="spellStart"/>
      <w:r>
        <w:rPr>
          <w:rFonts w:ascii="Lato" w:eastAsia="Lato" w:hAnsi="Lato" w:cs="Lato"/>
          <w:sz w:val="20"/>
          <w:szCs w:val="20"/>
        </w:rPr>
        <w:t>Risopatron</w:t>
      </w:r>
      <w:proofErr w:type="spellEnd"/>
      <w:r>
        <w:rPr>
          <w:rFonts w:ascii="Lato" w:eastAsia="Lato" w:hAnsi="Lato" w:cs="Lato"/>
          <w:sz w:val="20"/>
          <w:szCs w:val="20"/>
        </w:rPr>
        <w:t xml:space="preserve"> y otras con Fisco de Chile y otros. Material informativo disponible en </w:t>
      </w:r>
      <w:hyperlink r:id="rId18">
        <w:r>
          <w:rPr>
            <w:rFonts w:ascii="Lato" w:eastAsia="Lato" w:hAnsi="Lato" w:cs="Lato"/>
            <w:color w:val="1155CC"/>
            <w:sz w:val="20"/>
            <w:szCs w:val="20"/>
            <w:u w:val="single"/>
          </w:rPr>
          <w:t>https://drive.google.com/drive/folders/1I3Q4YwLdkm-oecA1P71Mp92KxuC_HCet?usp=sharing</w:t>
        </w:r>
      </w:hyperlink>
      <w:r>
        <w:rPr>
          <w:rFonts w:ascii="Lato" w:eastAsia="Lato" w:hAnsi="Lato" w:cs="Lato"/>
          <w:sz w:val="20"/>
          <w:szCs w:val="20"/>
        </w:rPr>
        <w:t xml:space="preserve"> </w:t>
      </w:r>
    </w:p>
  </w:footnote>
  <w:footnote w:id="24">
    <w:p w14:paraId="053F4F2D" w14:textId="77777777" w:rsidR="005848AE" w:rsidRDefault="00000000">
      <w:pPr>
        <w:spacing w:line="240" w:lineRule="auto"/>
        <w:rPr>
          <w:sz w:val="20"/>
          <w:szCs w:val="20"/>
        </w:rPr>
      </w:pPr>
      <w:r>
        <w:rPr>
          <w:vertAlign w:val="superscript"/>
        </w:rPr>
        <w:footnoteRef/>
      </w:r>
      <w:r>
        <w:rPr>
          <w:rFonts w:ascii="Lato" w:eastAsia="Lato" w:hAnsi="Lato" w:cs="Lato"/>
          <w:sz w:val="20"/>
          <w:szCs w:val="20"/>
        </w:rPr>
        <w:t xml:space="preserve"> Radio Bio (2022). </w:t>
      </w:r>
      <w:r>
        <w:rPr>
          <w:rFonts w:ascii="Lato" w:eastAsia="Lato" w:hAnsi="Lato" w:cs="Lato"/>
          <w:i/>
          <w:sz w:val="20"/>
          <w:szCs w:val="20"/>
        </w:rPr>
        <w:t xml:space="preserve">Gobierno lanza medidas para evitar nuevas fallas en pastillas. </w:t>
      </w:r>
      <w:r>
        <w:rPr>
          <w:rFonts w:ascii="Lato" w:eastAsia="Lato" w:hAnsi="Lato" w:cs="Lato"/>
          <w:sz w:val="20"/>
          <w:szCs w:val="20"/>
        </w:rPr>
        <w:t>anticonceptivas</w:t>
      </w:r>
      <w:hyperlink r:id="rId19">
        <w:r>
          <w:rPr>
            <w:rFonts w:ascii="Lato" w:eastAsia="Lato" w:hAnsi="Lato" w:cs="Lato"/>
            <w:color w:val="1155CC"/>
            <w:sz w:val="20"/>
            <w:szCs w:val="20"/>
            <w:u w:val="single"/>
          </w:rPr>
          <w:t>https://www.biobiochile.cl/noticias/nacional/chile/2022/05/18/gobierno-lanza-medidas-para-evitar-nuevas-fallas-en-pastillas-anticonceptivas.shtml</w:t>
        </w:r>
      </w:hyperlink>
      <w:r>
        <w:rPr>
          <w:rFonts w:ascii="Lato" w:eastAsia="Lato" w:hAnsi="Lato" w:cs="Lato"/>
          <w:sz w:val="20"/>
          <w:szCs w:val="20"/>
        </w:rPr>
        <w:t xml:space="preserve"> </w:t>
      </w:r>
    </w:p>
  </w:footnote>
  <w:footnote w:id="25">
    <w:p w14:paraId="68CD1A2E" w14:textId="77777777" w:rsidR="005848AE" w:rsidRDefault="00000000">
      <w:pPr>
        <w:spacing w:line="240" w:lineRule="auto"/>
        <w:rPr>
          <w:rFonts w:ascii="Lato" w:eastAsia="Lato" w:hAnsi="Lato" w:cs="Lato"/>
          <w:sz w:val="20"/>
          <w:szCs w:val="20"/>
        </w:rPr>
      </w:pPr>
      <w:r>
        <w:rPr>
          <w:vertAlign w:val="superscript"/>
        </w:rPr>
        <w:footnoteRef/>
      </w:r>
      <w:r>
        <w:rPr>
          <w:rFonts w:ascii="Lato" w:eastAsia="Lato" w:hAnsi="Lato" w:cs="Lato"/>
          <w:sz w:val="20"/>
          <w:szCs w:val="20"/>
        </w:rPr>
        <w:t xml:space="preserve"> Corporación Miles (2023). </w:t>
      </w:r>
      <w:r>
        <w:rPr>
          <w:rFonts w:ascii="Lato" w:eastAsia="Lato" w:hAnsi="Lato" w:cs="Lato"/>
          <w:i/>
          <w:sz w:val="20"/>
          <w:szCs w:val="20"/>
        </w:rPr>
        <w:t>Experiencias en el acceso a la píldora anticonceptiva de emergencia, Quinto informe sobre derechos sexuales y reproductivos.</w:t>
      </w:r>
      <w:r>
        <w:rPr>
          <w:rFonts w:ascii="Lato" w:eastAsia="Lato" w:hAnsi="Lato" w:cs="Lato"/>
          <w:sz w:val="20"/>
          <w:szCs w:val="20"/>
        </w:rPr>
        <w:t xml:space="preserve"> P. 36. Disponible en </w:t>
      </w:r>
      <w:hyperlink r:id="rId20">
        <w:r>
          <w:rPr>
            <w:rFonts w:ascii="Lato" w:eastAsia="Lato" w:hAnsi="Lato" w:cs="Lato"/>
            <w:color w:val="1155CC"/>
            <w:sz w:val="20"/>
            <w:szCs w:val="20"/>
            <w:u w:val="single"/>
          </w:rPr>
          <w:t>https://drive.google.com/file/d/1NLxMKAMwSlmD-SjhvU6CgcNDS2NbaElC/view?usp=share_link</w:t>
        </w:r>
      </w:hyperlink>
      <w:r>
        <w:rPr>
          <w:rFonts w:ascii="Lato" w:eastAsia="Lato" w:hAnsi="Lato" w:cs="Lato"/>
          <w:sz w:val="20"/>
          <w:szCs w:val="20"/>
        </w:rPr>
        <w:t xml:space="preserve"> </w:t>
      </w:r>
    </w:p>
  </w:footnote>
  <w:footnote w:id="26">
    <w:p w14:paraId="1F7256B1" w14:textId="77777777" w:rsidR="005848AE" w:rsidRDefault="00000000">
      <w:pPr>
        <w:spacing w:line="240" w:lineRule="auto"/>
        <w:rPr>
          <w:rFonts w:ascii="Lato" w:eastAsia="Lato" w:hAnsi="Lato" w:cs="Lato"/>
          <w:sz w:val="20"/>
          <w:szCs w:val="20"/>
        </w:rPr>
      </w:pPr>
      <w:r>
        <w:rPr>
          <w:vertAlign w:val="superscript"/>
        </w:rPr>
        <w:footnoteRef/>
      </w:r>
      <w:r>
        <w:rPr>
          <w:rFonts w:ascii="Lato" w:eastAsia="Lato" w:hAnsi="Lato" w:cs="Lato"/>
          <w:sz w:val="20"/>
          <w:szCs w:val="20"/>
        </w:rPr>
        <w:t xml:space="preserve"> </w:t>
      </w:r>
      <w:proofErr w:type="spellStart"/>
      <w:r>
        <w:rPr>
          <w:rFonts w:ascii="Lato" w:eastAsia="Lato" w:hAnsi="Lato" w:cs="Lato"/>
          <w:sz w:val="20"/>
          <w:szCs w:val="20"/>
        </w:rPr>
        <w:t>Ibídem</w:t>
      </w:r>
      <w:proofErr w:type="spellEnd"/>
      <w:r>
        <w:rPr>
          <w:rFonts w:ascii="Lato" w:eastAsia="Lato" w:hAnsi="Lato" w:cs="Lato"/>
          <w:sz w:val="20"/>
          <w:szCs w:val="20"/>
        </w:rPr>
        <w:t>. P. 37.</w:t>
      </w:r>
    </w:p>
  </w:footnote>
  <w:footnote w:id="27">
    <w:p w14:paraId="00748112" w14:textId="77777777" w:rsidR="005848AE" w:rsidRDefault="00000000">
      <w:pPr>
        <w:spacing w:line="240" w:lineRule="auto"/>
        <w:rPr>
          <w:sz w:val="20"/>
          <w:szCs w:val="20"/>
        </w:rPr>
      </w:pPr>
      <w:r>
        <w:rPr>
          <w:vertAlign w:val="superscript"/>
        </w:rPr>
        <w:footnoteRef/>
      </w:r>
      <w:r>
        <w:rPr>
          <w:sz w:val="20"/>
          <w:szCs w:val="20"/>
        </w:rPr>
        <w:t xml:space="preserve">  </w:t>
      </w:r>
      <w:r>
        <w:rPr>
          <w:rFonts w:ascii="Lato" w:eastAsia="Lato" w:hAnsi="Lato" w:cs="Lato"/>
          <w:sz w:val="20"/>
          <w:szCs w:val="20"/>
        </w:rPr>
        <w:t>Mandatos del Grupo de Trabajo sobre la discriminación contra las mujeres y las niñas; del Grupo de Trabajo sobre la cuestión de los derechos humanos y las empresas transnacionales y otras empresas; y de la Relatora Especial sobre el derecho de toda persona al disfrute del más alto nivel posible de salud física y mental (2021). Referencia AL CHL 4/2021.</w:t>
      </w:r>
    </w:p>
  </w:footnote>
  <w:footnote w:id="28">
    <w:p w14:paraId="10884EEE" w14:textId="77777777" w:rsidR="005848AE" w:rsidRDefault="00000000">
      <w:pPr>
        <w:spacing w:line="240" w:lineRule="auto"/>
        <w:rPr>
          <w:rFonts w:ascii="Lato" w:eastAsia="Lato" w:hAnsi="Lato" w:cs="Lato"/>
          <w:sz w:val="20"/>
          <w:szCs w:val="20"/>
        </w:rPr>
      </w:pPr>
      <w:r>
        <w:rPr>
          <w:vertAlign w:val="superscript"/>
        </w:rPr>
        <w:footnoteRef/>
      </w:r>
      <w:r>
        <w:rPr>
          <w:rFonts w:ascii="Lato" w:eastAsia="Lato" w:hAnsi="Lato" w:cs="Lato"/>
          <w:sz w:val="20"/>
          <w:szCs w:val="20"/>
        </w:rPr>
        <w:t xml:space="preserve"> Corporación Miles (2022). </w:t>
      </w:r>
      <w:r>
        <w:rPr>
          <w:rFonts w:ascii="Lato" w:eastAsia="Lato" w:hAnsi="Lato" w:cs="Lato"/>
          <w:i/>
          <w:sz w:val="20"/>
          <w:szCs w:val="20"/>
        </w:rPr>
        <w:t>Cuarto Informe sobre Derechos Sexuales y Reproductivos en Chile.</w:t>
      </w:r>
      <w:r>
        <w:rPr>
          <w:rFonts w:ascii="Lato" w:eastAsia="Lato" w:hAnsi="Lato" w:cs="Lato"/>
          <w:sz w:val="20"/>
          <w:szCs w:val="20"/>
        </w:rPr>
        <w:t xml:space="preserve"> P. 123.</w:t>
      </w:r>
    </w:p>
  </w:footnote>
  <w:footnote w:id="29">
    <w:p w14:paraId="5848CD90" w14:textId="77777777" w:rsidR="005848AE" w:rsidRDefault="00000000">
      <w:pPr>
        <w:spacing w:line="240" w:lineRule="auto"/>
        <w:rPr>
          <w:rFonts w:ascii="Lato" w:eastAsia="Lato" w:hAnsi="Lato" w:cs="Lato"/>
          <w:sz w:val="20"/>
          <w:szCs w:val="20"/>
        </w:rPr>
      </w:pPr>
      <w:r>
        <w:rPr>
          <w:vertAlign w:val="superscript"/>
        </w:rPr>
        <w:footnoteRef/>
      </w:r>
      <w:r>
        <w:rPr>
          <w:rFonts w:ascii="Lato" w:eastAsia="Lato" w:hAnsi="Lato" w:cs="Lato"/>
          <w:sz w:val="20"/>
          <w:szCs w:val="20"/>
        </w:rPr>
        <w:t xml:space="preserve"> </w:t>
      </w:r>
      <w:proofErr w:type="spellStart"/>
      <w:r>
        <w:rPr>
          <w:rFonts w:ascii="Lato" w:eastAsia="Lato" w:hAnsi="Lato" w:cs="Lato"/>
          <w:sz w:val="20"/>
          <w:szCs w:val="20"/>
        </w:rPr>
        <w:t>Ibídem</w:t>
      </w:r>
      <w:proofErr w:type="spellEnd"/>
      <w:r>
        <w:rPr>
          <w:rFonts w:ascii="Lato" w:eastAsia="Lato" w:hAnsi="Lato" w:cs="Lato"/>
          <w:sz w:val="20"/>
          <w:szCs w:val="20"/>
        </w:rPr>
        <w:t>. Pp. 123-124.</w:t>
      </w:r>
    </w:p>
  </w:footnote>
  <w:footnote w:id="30">
    <w:p w14:paraId="7C02EF21" w14:textId="77777777" w:rsidR="005848AE" w:rsidRDefault="00000000">
      <w:pPr>
        <w:spacing w:line="240" w:lineRule="auto"/>
        <w:rPr>
          <w:rFonts w:ascii="Lato" w:eastAsia="Lato" w:hAnsi="Lato" w:cs="Lato"/>
          <w:sz w:val="20"/>
          <w:szCs w:val="20"/>
        </w:rPr>
      </w:pPr>
      <w:r>
        <w:rPr>
          <w:vertAlign w:val="superscript"/>
        </w:rPr>
        <w:footnoteRef/>
      </w:r>
      <w:r>
        <w:rPr>
          <w:sz w:val="20"/>
          <w:szCs w:val="20"/>
        </w:rPr>
        <w:t xml:space="preserve"> Corporación Miles (2024).</w:t>
      </w:r>
      <w:r>
        <w:rPr>
          <w:i/>
          <w:sz w:val="20"/>
          <w:szCs w:val="20"/>
        </w:rPr>
        <w:t xml:space="preserve"> Compilado de investigaciones jurídicas, Interrupción voluntaria del embarazo en Chile. </w:t>
      </w:r>
      <w:r>
        <w:rPr>
          <w:sz w:val="20"/>
          <w:szCs w:val="20"/>
        </w:rPr>
        <w:t xml:space="preserve">Pp. 6-13. Disponible en: </w:t>
      </w:r>
      <w:hyperlink r:id="rId21">
        <w:r>
          <w:rPr>
            <w:rFonts w:ascii="Lato" w:eastAsia="Lato" w:hAnsi="Lato" w:cs="Lato"/>
            <w:color w:val="1155CC"/>
            <w:sz w:val="20"/>
            <w:szCs w:val="20"/>
            <w:u w:val="single"/>
          </w:rPr>
          <w:t>https://drive.google.com/file/d/1xiPSJu-OpCcMa149lgGnH_WrUFmnPZPQ/view?usp=share_link</w:t>
        </w:r>
      </w:hyperlink>
    </w:p>
  </w:footnote>
  <w:footnote w:id="31">
    <w:p w14:paraId="179CB708" w14:textId="77777777" w:rsidR="005848AE" w:rsidRDefault="00000000">
      <w:pPr>
        <w:spacing w:line="240" w:lineRule="auto"/>
        <w:rPr>
          <w:sz w:val="20"/>
          <w:szCs w:val="20"/>
        </w:rPr>
      </w:pPr>
      <w:r>
        <w:rPr>
          <w:vertAlign w:val="superscript"/>
        </w:rPr>
        <w:footnoteRef/>
      </w:r>
      <w:r>
        <w:rPr>
          <w:sz w:val="20"/>
          <w:szCs w:val="20"/>
        </w:rPr>
        <w:t xml:space="preserve"> Respuesta entregada por el Instituto de Salud Pública (ISP) a Corporación Miles el 04/04/2024. Disponible en https://drive.google.com/file/d/17ZUkCRmzOIXYl8otHLNmHo7O16H65qKT/view?usp=share_link</w:t>
      </w:r>
    </w:p>
  </w:footnote>
  <w:footnote w:id="32">
    <w:p w14:paraId="72267310" w14:textId="77777777" w:rsidR="005848AE" w:rsidRDefault="00000000">
      <w:pPr>
        <w:spacing w:line="240" w:lineRule="auto"/>
        <w:rPr>
          <w:rFonts w:ascii="Lato" w:eastAsia="Lato" w:hAnsi="Lato" w:cs="Lato"/>
          <w:sz w:val="20"/>
          <w:szCs w:val="20"/>
        </w:rPr>
      </w:pPr>
      <w:r>
        <w:rPr>
          <w:vertAlign w:val="superscript"/>
        </w:rPr>
        <w:footnoteRef/>
      </w:r>
      <w:r>
        <w:rPr>
          <w:rFonts w:ascii="Lato" w:eastAsia="Lato" w:hAnsi="Lato" w:cs="Lato"/>
          <w:sz w:val="20"/>
          <w:szCs w:val="20"/>
        </w:rPr>
        <w:t xml:space="preserve"> Ministerio de Salud, Gobierno de Chile. Ord. Nº3064 del 31 de agosto de 2022. Disponible en </w:t>
      </w:r>
      <w:hyperlink r:id="rId22">
        <w:r>
          <w:rPr>
            <w:rFonts w:ascii="Lato" w:eastAsia="Lato" w:hAnsi="Lato" w:cs="Lato"/>
            <w:color w:val="954F72"/>
            <w:sz w:val="20"/>
            <w:szCs w:val="20"/>
            <w:u w:val="single"/>
          </w:rPr>
          <w:t>https://drive.google.com/file/d/1Sg6LvWx8Mf1cFggTPLWS5AswTdBDP31I/view?usp=share_link</w:t>
        </w:r>
      </w:hyperlink>
    </w:p>
  </w:footnote>
  <w:footnote w:id="33">
    <w:p w14:paraId="48191FC1" w14:textId="77777777" w:rsidR="005848AE" w:rsidRDefault="00000000">
      <w:pPr>
        <w:spacing w:line="240" w:lineRule="auto"/>
        <w:rPr>
          <w:rFonts w:ascii="Lato" w:eastAsia="Lato" w:hAnsi="Lato" w:cs="Lato"/>
          <w:sz w:val="20"/>
          <w:szCs w:val="20"/>
        </w:rPr>
      </w:pPr>
      <w:r>
        <w:rPr>
          <w:vertAlign w:val="superscript"/>
        </w:rPr>
        <w:footnoteRef/>
      </w:r>
      <w:r>
        <w:rPr>
          <w:rFonts w:ascii="Lato" w:eastAsia="Lato" w:hAnsi="Lato" w:cs="Lato"/>
          <w:sz w:val="20"/>
          <w:szCs w:val="20"/>
        </w:rPr>
        <w:t xml:space="preserve"> Corporación Humanas (2023). </w:t>
      </w:r>
      <w:r>
        <w:rPr>
          <w:rFonts w:ascii="Lato" w:eastAsia="Lato" w:hAnsi="Lato" w:cs="Lato"/>
          <w:i/>
          <w:sz w:val="20"/>
          <w:szCs w:val="20"/>
        </w:rPr>
        <w:t>Objeción de conciencia en Chile: Desafíos en la implementación de la ley sobre interrupción voluntaria del embarazo en tres causales a seis años de su dictación.</w:t>
      </w:r>
      <w:r>
        <w:rPr>
          <w:rFonts w:ascii="Lato" w:eastAsia="Lato" w:hAnsi="Lato" w:cs="Lato"/>
          <w:sz w:val="20"/>
          <w:szCs w:val="20"/>
        </w:rPr>
        <w:t xml:space="preserve"> Pp. 41-43.</w:t>
      </w:r>
      <w:r>
        <w:rPr>
          <w:rFonts w:ascii="Lato" w:eastAsia="Lato" w:hAnsi="Lato" w:cs="Lato"/>
          <w:i/>
          <w:sz w:val="20"/>
          <w:szCs w:val="20"/>
        </w:rPr>
        <w:t xml:space="preserve"> </w:t>
      </w:r>
      <w:r>
        <w:rPr>
          <w:rFonts w:ascii="Lato" w:eastAsia="Lato" w:hAnsi="Lato" w:cs="Lato"/>
          <w:sz w:val="20"/>
          <w:szCs w:val="20"/>
        </w:rPr>
        <w:t>Última visita el 25 de agosto de 2024. Disponible en: https://www.humanas.cl/wp-content/uploads/2024/01/INFORME-OBJECION-DE-CONCIENCIA-2023.pdf</w:t>
      </w:r>
    </w:p>
  </w:footnote>
  <w:footnote w:id="34">
    <w:p w14:paraId="06E3FB2B" w14:textId="77777777" w:rsidR="005848AE" w:rsidRDefault="00000000">
      <w:pPr>
        <w:spacing w:line="240" w:lineRule="auto"/>
        <w:rPr>
          <w:rFonts w:ascii="Lato" w:eastAsia="Lato" w:hAnsi="Lato" w:cs="Lato"/>
          <w:sz w:val="20"/>
          <w:szCs w:val="20"/>
        </w:rPr>
      </w:pPr>
      <w:r>
        <w:rPr>
          <w:vertAlign w:val="superscript"/>
        </w:rPr>
        <w:footnoteRef/>
      </w:r>
      <w:r>
        <w:rPr>
          <w:rFonts w:ascii="Lato" w:eastAsia="Lato" w:hAnsi="Lato" w:cs="Lato"/>
          <w:sz w:val="20"/>
          <w:szCs w:val="20"/>
        </w:rPr>
        <w:t xml:space="preserve"> Corporación Miles (2024). </w:t>
      </w:r>
      <w:r>
        <w:rPr>
          <w:rFonts w:ascii="Lato" w:eastAsia="Lato" w:hAnsi="Lato" w:cs="Lato"/>
          <w:i/>
          <w:sz w:val="20"/>
          <w:szCs w:val="20"/>
        </w:rPr>
        <w:t>Objeción de Conciencia en Chile: un análisis desde las percepciones de lo/as funcionario/as de la salud sexual y reproductiva en Chile, Sexto Informe sobre Derechos Sexuales y Reproductivos en Chile.</w:t>
      </w:r>
      <w:r>
        <w:rPr>
          <w:rFonts w:ascii="Lato" w:eastAsia="Lato" w:hAnsi="Lato" w:cs="Lato"/>
          <w:sz w:val="20"/>
          <w:szCs w:val="20"/>
        </w:rPr>
        <w:t xml:space="preserve"> Disponible en: https://mileschile.cl/wp-content/uploads/2024/07/VI-Informe-1.pdf</w:t>
      </w:r>
    </w:p>
  </w:footnote>
  <w:footnote w:id="35">
    <w:p w14:paraId="7327621B" w14:textId="77777777" w:rsidR="005848AE" w:rsidRDefault="00000000">
      <w:pPr>
        <w:spacing w:line="240" w:lineRule="auto"/>
        <w:rPr>
          <w:rFonts w:ascii="Lato" w:eastAsia="Lato" w:hAnsi="Lato" w:cs="Lato"/>
          <w:sz w:val="20"/>
          <w:szCs w:val="20"/>
        </w:rPr>
      </w:pPr>
      <w:r>
        <w:rPr>
          <w:vertAlign w:val="superscript"/>
        </w:rPr>
        <w:footnoteRef/>
      </w:r>
      <w:r>
        <w:rPr>
          <w:rFonts w:ascii="Lato" w:eastAsia="Lato" w:hAnsi="Lato" w:cs="Lato"/>
          <w:sz w:val="20"/>
          <w:szCs w:val="20"/>
        </w:rPr>
        <w:t xml:space="preserve"> </w:t>
      </w:r>
      <w:proofErr w:type="spellStart"/>
      <w:r>
        <w:rPr>
          <w:rFonts w:ascii="Lato" w:eastAsia="Lato" w:hAnsi="Lato" w:cs="Lato"/>
          <w:sz w:val="20"/>
          <w:szCs w:val="20"/>
        </w:rPr>
        <w:t>Ibídem</w:t>
      </w:r>
      <w:proofErr w:type="spellEnd"/>
      <w:r>
        <w:rPr>
          <w:rFonts w:ascii="Lato" w:eastAsia="Lato" w:hAnsi="Lato" w:cs="Lato"/>
          <w:sz w:val="20"/>
          <w:szCs w:val="20"/>
        </w:rPr>
        <w:t>. P. 44.</w:t>
      </w:r>
    </w:p>
  </w:footnote>
  <w:footnote w:id="36">
    <w:p w14:paraId="48EB9C92" w14:textId="77777777" w:rsidR="005848AE" w:rsidRDefault="00000000">
      <w:pPr>
        <w:spacing w:line="240" w:lineRule="auto"/>
        <w:rPr>
          <w:rFonts w:ascii="Lato" w:eastAsia="Lato" w:hAnsi="Lato" w:cs="Lato"/>
          <w:sz w:val="20"/>
          <w:szCs w:val="20"/>
        </w:rPr>
      </w:pPr>
      <w:r>
        <w:rPr>
          <w:vertAlign w:val="superscript"/>
        </w:rPr>
        <w:footnoteRef/>
      </w:r>
      <w:r>
        <w:rPr>
          <w:rFonts w:ascii="Lato" w:eastAsia="Lato" w:hAnsi="Lato" w:cs="Lato"/>
          <w:sz w:val="20"/>
          <w:szCs w:val="20"/>
        </w:rPr>
        <w:t xml:space="preserve"> Corporación Miles (2024). </w:t>
      </w:r>
      <w:r>
        <w:rPr>
          <w:rFonts w:ascii="Lato" w:eastAsia="Lato" w:hAnsi="Lato" w:cs="Lato"/>
          <w:i/>
          <w:sz w:val="20"/>
          <w:szCs w:val="20"/>
        </w:rPr>
        <w:t>Sexto Informe de Derechos Sexuales y Reproductivos</w:t>
      </w:r>
      <w:r>
        <w:rPr>
          <w:rFonts w:ascii="Lato" w:eastAsia="Lato" w:hAnsi="Lato" w:cs="Lato"/>
          <w:sz w:val="20"/>
          <w:szCs w:val="20"/>
        </w:rPr>
        <w:t xml:space="preserve">. Disponible en </w:t>
      </w:r>
      <w:hyperlink r:id="rId23">
        <w:r>
          <w:rPr>
            <w:rFonts w:ascii="Lato" w:eastAsia="Lato" w:hAnsi="Lato" w:cs="Lato"/>
            <w:color w:val="954F72"/>
            <w:sz w:val="20"/>
            <w:szCs w:val="20"/>
            <w:u w:val="single"/>
          </w:rPr>
          <w:t>https://mileschile.cl/wp-content/uploads/2024/07/VI-Informe-1.pdf</w:t>
        </w:r>
      </w:hyperlink>
    </w:p>
  </w:footnote>
  <w:footnote w:id="37">
    <w:p w14:paraId="11E26323" w14:textId="77777777" w:rsidR="005848AE" w:rsidRDefault="00000000">
      <w:pPr>
        <w:spacing w:line="240" w:lineRule="auto"/>
        <w:rPr>
          <w:rFonts w:ascii="Lato" w:eastAsia="Lato" w:hAnsi="Lato" w:cs="Lato"/>
          <w:i/>
          <w:sz w:val="20"/>
          <w:szCs w:val="20"/>
        </w:rPr>
      </w:pPr>
      <w:r>
        <w:rPr>
          <w:vertAlign w:val="superscript"/>
        </w:rPr>
        <w:footnoteRef/>
      </w:r>
      <w:r>
        <w:rPr>
          <w:rFonts w:ascii="Lato" w:eastAsia="Lato" w:hAnsi="Lato" w:cs="Lato"/>
          <w:sz w:val="20"/>
          <w:szCs w:val="20"/>
        </w:rPr>
        <w:t xml:space="preserve"> Comité de Derechos Humanos (2024). </w:t>
      </w:r>
      <w:r>
        <w:rPr>
          <w:rFonts w:ascii="Lato" w:eastAsia="Lato" w:hAnsi="Lato" w:cs="Lato"/>
          <w:i/>
          <w:sz w:val="20"/>
          <w:szCs w:val="20"/>
        </w:rPr>
        <w:t>Observaciones finales sobre el séptimo informe periódico</w:t>
      </w:r>
    </w:p>
    <w:p w14:paraId="3501DDE1" w14:textId="77777777" w:rsidR="005848AE" w:rsidRDefault="00000000">
      <w:pPr>
        <w:spacing w:line="240" w:lineRule="auto"/>
        <w:rPr>
          <w:rFonts w:ascii="Lato" w:eastAsia="Lato" w:hAnsi="Lato" w:cs="Lato"/>
          <w:sz w:val="20"/>
          <w:szCs w:val="20"/>
        </w:rPr>
      </w:pPr>
      <w:r>
        <w:rPr>
          <w:rFonts w:ascii="Lato" w:eastAsia="Lato" w:hAnsi="Lato" w:cs="Lato"/>
          <w:i/>
          <w:sz w:val="20"/>
          <w:szCs w:val="20"/>
        </w:rPr>
        <w:t xml:space="preserve">de Chile. </w:t>
      </w:r>
      <w:hyperlink r:id="rId24">
        <w:r>
          <w:rPr>
            <w:rFonts w:ascii="Lato" w:eastAsia="Lato" w:hAnsi="Lato" w:cs="Lato"/>
            <w:sz w:val="20"/>
            <w:szCs w:val="20"/>
          </w:rPr>
          <w:t>CCPR/C/CHL/7</w:t>
        </w:r>
      </w:hyperlink>
      <w:r>
        <w:rPr>
          <w:rFonts w:ascii="Lato" w:eastAsia="Lato" w:hAnsi="Lato" w:cs="Lato"/>
          <w:sz w:val="20"/>
          <w:szCs w:val="20"/>
        </w:rPr>
        <w:t>.</w:t>
      </w:r>
    </w:p>
  </w:footnote>
  <w:footnote w:id="38">
    <w:p w14:paraId="23A9C201" w14:textId="77777777" w:rsidR="005848AE" w:rsidRDefault="00000000">
      <w:pPr>
        <w:spacing w:line="240" w:lineRule="auto"/>
        <w:rPr>
          <w:sz w:val="20"/>
          <w:szCs w:val="20"/>
        </w:rPr>
      </w:pPr>
      <w:r>
        <w:rPr>
          <w:vertAlign w:val="superscript"/>
        </w:rPr>
        <w:footnoteRef/>
      </w:r>
      <w:r>
        <w:rPr>
          <w:sz w:val="20"/>
          <w:szCs w:val="20"/>
        </w:rPr>
        <w:t xml:space="preserve"> </w:t>
      </w:r>
      <w:r>
        <w:rPr>
          <w:rFonts w:ascii="Lato" w:eastAsia="Lato" w:hAnsi="Lato" w:cs="Lato"/>
          <w:sz w:val="20"/>
          <w:szCs w:val="20"/>
        </w:rPr>
        <w:t>Mandatos del Grupo de Trabajo sobre la discriminación contra las mujeres y las niñas; del Grupo de Trabajo sobre la cuestión de los derechos humanos y las empresas transnacionales y otras empresas; y de la Relatora Especial sobre el derecho de toda persona al disfrute del más alto nivel posible de salud física y mental (2021). Referencia AL CHL 4/2021.</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F26656F" w14:textId="77777777" w:rsidR="005848AE" w:rsidRDefault="00000000">
    <w:pPr>
      <w:jc w:val="right"/>
    </w:pPr>
    <w:r>
      <w:rPr>
        <w:noProof/>
      </w:rPr>
      <w:drawing>
        <wp:anchor distT="114300" distB="114300" distL="114300" distR="114300" simplePos="0" relativeHeight="251658240" behindDoc="0" locked="0" layoutInCell="1" hidden="0" allowOverlap="1" wp14:anchorId="3598EA4C" wp14:editId="46613E06">
          <wp:simplePos x="0" y="0"/>
          <wp:positionH relativeFrom="page">
            <wp:posOffset>5512125</wp:posOffset>
          </wp:positionH>
          <wp:positionV relativeFrom="page">
            <wp:posOffset>481013</wp:posOffset>
          </wp:positionV>
          <wp:extent cx="902013" cy="947738"/>
          <wp:effectExtent l="0" t="0" r="0" b="0"/>
          <wp:wrapTopAndBottom distT="114300" distB="114300"/>
          <wp:docPr id="1" name="image2.jpg"/>
          <wp:cNvGraphicFramePr/>
          <a:graphic xmlns:a="http://schemas.openxmlformats.org/drawingml/2006/main">
            <a:graphicData uri="http://schemas.openxmlformats.org/drawingml/2006/picture">
              <pic:pic xmlns:pic="http://schemas.openxmlformats.org/drawingml/2006/picture">
                <pic:nvPicPr>
                  <pic:cNvPr id="0" name="image2.jpg"/>
                  <pic:cNvPicPr preferRelativeResize="0"/>
                </pic:nvPicPr>
                <pic:blipFill>
                  <a:blip r:embed="rId1"/>
                  <a:srcRect/>
                  <a:stretch>
                    <a:fillRect/>
                  </a:stretch>
                </pic:blipFill>
                <pic:spPr>
                  <a:xfrm>
                    <a:off x="0" y="0"/>
                    <a:ext cx="902013" cy="947738"/>
                  </a:xfrm>
                  <a:prstGeom prst="rect">
                    <a:avLst/>
                  </a:prstGeom>
                  <a:ln/>
                </pic:spPr>
              </pic:pic>
            </a:graphicData>
          </a:graphic>
        </wp:anchor>
      </w:drawing>
    </w:r>
    <w:r>
      <w:rPr>
        <w:noProof/>
      </w:rPr>
      <w:drawing>
        <wp:anchor distT="114300" distB="114300" distL="114300" distR="114300" simplePos="0" relativeHeight="251659264" behindDoc="0" locked="0" layoutInCell="1" hidden="0" allowOverlap="1" wp14:anchorId="1B9552E9" wp14:editId="4A9A693E">
          <wp:simplePos x="0" y="0"/>
          <wp:positionH relativeFrom="page">
            <wp:posOffset>2527463</wp:posOffset>
          </wp:positionH>
          <wp:positionV relativeFrom="page">
            <wp:posOffset>819150</wp:posOffset>
          </wp:positionV>
          <wp:extent cx="2501900" cy="279400"/>
          <wp:effectExtent l="0" t="0" r="0" b="0"/>
          <wp:wrapTopAndBottom distT="114300" distB="114300"/>
          <wp:docPr id="3"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2"/>
                  <a:srcRect/>
                  <a:stretch>
                    <a:fillRect/>
                  </a:stretch>
                </pic:blipFill>
                <pic:spPr>
                  <a:xfrm>
                    <a:off x="0" y="0"/>
                    <a:ext cx="2501900" cy="279400"/>
                  </a:xfrm>
                  <a:prstGeom prst="rect">
                    <a:avLst/>
                  </a:prstGeom>
                  <a:ln/>
                </pic:spPr>
              </pic:pic>
            </a:graphicData>
          </a:graphic>
        </wp:anchor>
      </w:drawing>
    </w:r>
    <w:r>
      <w:rPr>
        <w:noProof/>
      </w:rPr>
      <w:drawing>
        <wp:anchor distT="114300" distB="114300" distL="114300" distR="114300" simplePos="0" relativeHeight="251660288" behindDoc="0" locked="0" layoutInCell="1" hidden="0" allowOverlap="1" wp14:anchorId="20C45CFF" wp14:editId="28306493">
          <wp:simplePos x="0" y="0"/>
          <wp:positionH relativeFrom="column">
            <wp:posOffset>133350</wp:posOffset>
          </wp:positionH>
          <wp:positionV relativeFrom="paragraph">
            <wp:posOffset>-66674</wp:posOffset>
          </wp:positionV>
          <wp:extent cx="1128713" cy="1128713"/>
          <wp:effectExtent l="0" t="0" r="0" b="0"/>
          <wp:wrapSquare wrapText="bothSides" distT="114300" distB="114300" distL="114300" distR="114300"/>
          <wp:docPr id="2" name="image3.jpg"/>
          <wp:cNvGraphicFramePr/>
          <a:graphic xmlns:a="http://schemas.openxmlformats.org/drawingml/2006/main">
            <a:graphicData uri="http://schemas.openxmlformats.org/drawingml/2006/picture">
              <pic:pic xmlns:pic="http://schemas.openxmlformats.org/drawingml/2006/picture">
                <pic:nvPicPr>
                  <pic:cNvPr id="0" name="image3.jpg"/>
                  <pic:cNvPicPr preferRelativeResize="0"/>
                </pic:nvPicPr>
                <pic:blipFill>
                  <a:blip r:embed="rId3"/>
                  <a:srcRect/>
                  <a:stretch>
                    <a:fillRect/>
                  </a:stretch>
                </pic:blipFill>
                <pic:spPr>
                  <a:xfrm>
                    <a:off x="0" y="0"/>
                    <a:ext cx="1128713" cy="1128713"/>
                  </a:xfrm>
                  <a:prstGeom prst="rect">
                    <a:avLst/>
                  </a:prstGeom>
                  <a:ln/>
                </pic:spPr>
              </pic:pic>
            </a:graphicData>
          </a:graphic>
        </wp:anchor>
      </w:drawing>
    </w:r>
  </w:p>
  <w:p w14:paraId="4F0E1BEE" w14:textId="77777777" w:rsidR="005848AE" w:rsidRDefault="005848AE"/>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65A63A9"/>
    <w:multiLevelType w:val="multilevel"/>
    <w:tmpl w:val="249CB80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088E64E7"/>
    <w:multiLevelType w:val="multilevel"/>
    <w:tmpl w:val="6746473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1D68672A"/>
    <w:multiLevelType w:val="multilevel"/>
    <w:tmpl w:val="0E66BC7A"/>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 w15:restartNumberingAfterBreak="0">
    <w:nsid w:val="1EA7173B"/>
    <w:multiLevelType w:val="multilevel"/>
    <w:tmpl w:val="D2A0C1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32F40AE3"/>
    <w:multiLevelType w:val="multilevel"/>
    <w:tmpl w:val="C180DFD4"/>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5" w15:restartNumberingAfterBreak="0">
    <w:nsid w:val="33587B86"/>
    <w:multiLevelType w:val="multilevel"/>
    <w:tmpl w:val="391A142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383E50D4"/>
    <w:multiLevelType w:val="multilevel"/>
    <w:tmpl w:val="184ED1B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5EC73052"/>
    <w:multiLevelType w:val="multilevel"/>
    <w:tmpl w:val="E51E602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68CD4DD5"/>
    <w:multiLevelType w:val="multilevel"/>
    <w:tmpl w:val="4768DAF0"/>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num w:numId="1" w16cid:durableId="283267080">
    <w:abstractNumId w:val="4"/>
  </w:num>
  <w:num w:numId="2" w16cid:durableId="1074670008">
    <w:abstractNumId w:val="7"/>
  </w:num>
  <w:num w:numId="3" w16cid:durableId="348259666">
    <w:abstractNumId w:val="0"/>
  </w:num>
  <w:num w:numId="4" w16cid:durableId="715930867">
    <w:abstractNumId w:val="2"/>
  </w:num>
  <w:num w:numId="5" w16cid:durableId="815536955">
    <w:abstractNumId w:val="6"/>
  </w:num>
  <w:num w:numId="6" w16cid:durableId="940141896">
    <w:abstractNumId w:val="8"/>
  </w:num>
  <w:num w:numId="7" w16cid:durableId="112672741">
    <w:abstractNumId w:val="1"/>
  </w:num>
  <w:num w:numId="8" w16cid:durableId="350837493">
    <w:abstractNumId w:val="3"/>
  </w:num>
  <w:num w:numId="9" w16cid:durableId="160769476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6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848AE"/>
    <w:rsid w:val="001369AC"/>
    <w:rsid w:val="005848AE"/>
    <w:rsid w:val="00966091"/>
    <w:rsid w:val="00BD469E"/>
  </w:rsids>
  <m:mathPr>
    <m:mathFont m:val="Cambria Math"/>
    <m:brkBin m:val="before"/>
    <m:brkBinSub m:val="--"/>
    <m:smallFrac m:val="0"/>
    <m:dispDef/>
    <m:lMargin m:val="0"/>
    <m:rMargin m:val="0"/>
    <m:defJc m:val="centerGroup"/>
    <m:wrapIndent m:val="1440"/>
    <m:intLim m:val="subSup"/>
    <m:naryLim m:val="undOvr"/>
  </m:mathPr>
  <w:themeFontLang w:val="en-CL"/>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14:docId w14:val="19775DFC"/>
  <w15:docId w15:val="{DC1A8613-C595-E44C-B889-ED5B32B686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rial" w:eastAsia="Arial" w:hAnsi="Arial" w:cs="Arial"/>
        <w:sz w:val="22"/>
        <w:szCs w:val="22"/>
        <w:lang w:val="es"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200" w:after="200"/>
    </w:pPr>
    <w:rPr>
      <w:rFonts w:ascii="Lato" w:eastAsia="Lato" w:hAnsi="Lato" w:cs="Lato"/>
      <w:b/>
    </w:rPr>
  </w:style>
  <w:style w:type="paragraph" w:styleId="Subtitle">
    <w:name w:val="Subtitle"/>
    <w:basedOn w:val="Normal"/>
    <w:next w:val="Normal"/>
    <w:uiPriority w:val="11"/>
    <w:qFormat/>
    <w:pPr>
      <w:keepNext/>
      <w:keepLines/>
      <w:spacing w:before="200" w:after="200"/>
    </w:pPr>
    <w:rPr>
      <w:rFonts w:ascii="Lato" w:eastAsia="Lato" w:hAnsi="Lato" w:cs="Lato"/>
      <w: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1.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9" Type="http://schemas.openxmlformats.org/officeDocument/2006/relationships/font" Target="fonts/font9.odttf"/></Relationships>
</file>

<file path=word/_rels/footnotes.xml.rels><?xml version="1.0" encoding="UTF-8" standalone="yes"?>
<Relationships xmlns="http://schemas.openxmlformats.org/package/2006/relationships"><Relationship Id="rId8" Type="http://schemas.openxmlformats.org/officeDocument/2006/relationships/hyperlink" Target="https://mileschile.cl/wp-content/uploads/2023/06/V-Informe-Corporacio%CC%81n-Miles_web.pdf" TargetMode="External"/><Relationship Id="rId13" Type="http://schemas.openxmlformats.org/officeDocument/2006/relationships/hyperlink" Target="https://www.elmostrador.cl/braga/2022/12/16/cesfam-de-vina-del-mar-niega-anticonceptivo-a-mujer-por-no-tener-hijos/" TargetMode="External"/><Relationship Id="rId18" Type="http://schemas.openxmlformats.org/officeDocument/2006/relationships/hyperlink" Target="https://drive.google.com/drive/folders/1I3Q4YwLdkm-oecA1P71Mp92KxuC_HCet?usp=sharing" TargetMode="External"/><Relationship Id="rId3" Type="http://schemas.openxmlformats.org/officeDocument/2006/relationships/hyperlink" Target="https://drive.google.com/drive/u/1/folders/1YrTmikeA8aDtqEhPs8LjmgrmtjOdwdFA" TargetMode="External"/><Relationship Id="rId21" Type="http://schemas.openxmlformats.org/officeDocument/2006/relationships/hyperlink" Target="https://drive.google.com/file/d/1xiPSJu-OpCcMa149lgGnH_WrUFmnPZPQ/view?usp=share_link" TargetMode="External"/><Relationship Id="rId7" Type="http://schemas.openxmlformats.org/officeDocument/2006/relationships/hyperlink" Target="https://mileschile.cl/wp-content/uploads/2023/03/FS_Secreto-Profesional_web.pdf" TargetMode="External"/><Relationship Id="rId12" Type="http://schemas.openxmlformats.org/officeDocument/2006/relationships/hyperlink" Target="https://drive.google.com/file/d/1NLxMKAMwSlmD-SjhvU6CgcNDS2NbaElC/view?usp=share_link" TargetMode="External"/><Relationship Id="rId17" Type="http://schemas.openxmlformats.org/officeDocument/2006/relationships/hyperlink" Target="https://drive.google.com/file/d/1NLxMKAMwSlmD-SjhvU6CgcNDS2NbaElC/view?usp=share_link" TargetMode="External"/><Relationship Id="rId2" Type="http://schemas.openxmlformats.org/officeDocument/2006/relationships/hyperlink" Target="https://mileschile.cl/wp-content/uploads/2023/03/Tercer-Infome_digital.pdf" TargetMode="External"/><Relationship Id="rId16" Type="http://schemas.openxmlformats.org/officeDocument/2006/relationships/hyperlink" Target="https://mileschile.cl/wp-content/uploads/2023/06/V-Informe-Corporacio%CC%81n-Miles_web.pdf" TargetMode="External"/><Relationship Id="rId20" Type="http://schemas.openxmlformats.org/officeDocument/2006/relationships/hyperlink" Target="https://drive.google.com/file/d/1NLxMKAMwSlmD-SjhvU6CgcNDS2NbaElC/view?usp=share_link" TargetMode="External"/><Relationship Id="rId1" Type="http://schemas.openxmlformats.org/officeDocument/2006/relationships/hyperlink" Target="https://www.desarrollosocialyfamilia.gob.cl/storage/docs/Informe_Desarrollo_Social-2021.pdf" TargetMode="External"/><Relationship Id="rId6" Type="http://schemas.openxmlformats.org/officeDocument/2006/relationships/hyperlink" Target="https://mileschile.cl/wp-content/uploads/2023/03/Cuarto-informe.pdf" TargetMode="External"/><Relationship Id="rId11" Type="http://schemas.openxmlformats.org/officeDocument/2006/relationships/hyperlink" Target="https://diprece.minsal.cl/wp-content/uploads/2021/06/PROTOCOLO-ANTICONCEPCION-ISBN_v2.pdf" TargetMode="External"/><Relationship Id="rId24" Type="http://schemas.openxmlformats.org/officeDocument/2006/relationships/hyperlink" Target="http://undocs.org/sp/CCPR/C/CHL/7" TargetMode="External"/><Relationship Id="rId5" Type="http://schemas.openxmlformats.org/officeDocument/2006/relationships/hyperlink" Target="https://mileschile.cl/wp-content/uploads/2023/03/Cuarto-informe.pdf" TargetMode="External"/><Relationship Id="rId15" Type="http://schemas.openxmlformats.org/officeDocument/2006/relationships/hyperlink" Target="https://mileschile.cl/wp-content/uploads/2023/06/V-Informe-Corporacio%CC%81n-Miles_web.pdf" TargetMode="External"/><Relationship Id="rId23" Type="http://schemas.openxmlformats.org/officeDocument/2006/relationships/hyperlink" Target="https://mileschile.cl/wp-content/uploads/2024/07/VI-Informe-1.pdf" TargetMode="External"/><Relationship Id="rId10" Type="http://schemas.openxmlformats.org/officeDocument/2006/relationships/hyperlink" Target="https://www.minsal.cl/salud-de-la-mujer/" TargetMode="External"/><Relationship Id="rId19" Type="http://schemas.openxmlformats.org/officeDocument/2006/relationships/hyperlink" Target="https://www.biobiochile.cl/noticias/nacional/chile/2022/05/18/gobierno-lanza-medidas-para-evitar-nuevas-fallas-en-pastillas-anticonceptivas.shtml" TargetMode="External"/><Relationship Id="rId4" Type="http://schemas.openxmlformats.org/officeDocument/2006/relationships/hyperlink" Target="https://mileschile.cl/wp-content/uploads/2023/03/Cuarto-informe.pdf" TargetMode="External"/><Relationship Id="rId9" Type="http://schemas.openxmlformats.org/officeDocument/2006/relationships/hyperlink" Target="https://www.bcn.cl/leychile/navegar?i=1010482&amp;f=2010-02-02&amp;p=8850470" TargetMode="External"/><Relationship Id="rId14" Type="http://schemas.openxmlformats.org/officeDocument/2006/relationships/hyperlink" Target="https://docs.google.com/document/d/1LBtK1Yy3Nqki6iH8k94Hmf04Miz4nIKT/edit?usp=sharing&amp;ouid=112231385091160355879&amp;rtpof=true&amp;sd=true" TargetMode="External"/><Relationship Id="rId22" Type="http://schemas.openxmlformats.org/officeDocument/2006/relationships/hyperlink" Target="https://drive.google.com/file/d/1Sg6LvWx8Mf1cFggTPLWS5AswTdBDP31I/view?usp=share_link"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3.jpg"/><Relationship Id="rId2" Type="http://schemas.openxmlformats.org/officeDocument/2006/relationships/image" Target="media/image2.png"/><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3CFA62B47352B44BFD11BEB9CD9FD5A" ma:contentTypeVersion="36" ma:contentTypeDescription="Create a new document." ma:contentTypeScope="" ma:versionID="fa29ee4251f035c08c37eb3e45c3ada1">
  <xsd:schema xmlns:xsd="http://www.w3.org/2001/XMLSchema" xmlns:xs="http://www.w3.org/2001/XMLSchema" xmlns:p="http://schemas.microsoft.com/office/2006/metadata/properties" xmlns:ns1="http://schemas.microsoft.com/sharepoint/v3" xmlns:ns3="985ec44e-1bab-4c0b-9df0-6ba128686fc9" xmlns:ns4="11a6fe0c-d8de-4390-afb3-d9c7c54181f0" xmlns:ns5="29926d6b-938b-4af7-b041-aee0d57e6e3d" targetNamespace="http://schemas.microsoft.com/office/2006/metadata/properties" ma:root="true" ma:fieldsID="ee51516891d9f309b1de461389a48f10" ns1:_="" ns3:_="" ns4:_="" ns5:_="">
    <xsd:import namespace="http://schemas.microsoft.com/sharepoint/v3"/>
    <xsd:import namespace="985ec44e-1bab-4c0b-9df0-6ba128686fc9"/>
    <xsd:import namespace="11a6fe0c-d8de-4390-afb3-d9c7c54181f0"/>
    <xsd:import namespace="29926d6b-938b-4af7-b041-aee0d57e6e3d"/>
    <xsd:element name="properties">
      <xsd:complexType>
        <xsd:sequence>
          <xsd:element name="documentManagement">
            <xsd:complexType>
              <xsd:all>
                <xsd:element ref="ns1:KpiDescription" minOccurs="0"/>
                <xsd:element ref="ns3:Security_x0020_Level" minOccurs="0"/>
                <xsd:element ref="ns3:Document_x0020_Type" minOccurs="0"/>
                <xsd:element ref="ns3:Document_x0020_Date" minOccurs="0"/>
                <xsd:element ref="ns3:UN_x0020_Official_x0020_Languag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SearchProperties" minOccurs="0"/>
                <xsd:element ref="ns5:MediaServiceObjectDetectorVersions" minOccurs="0"/>
                <xsd:element ref="ns5:MediaServiceDateTaken" minOccurs="0"/>
                <xsd:element ref="ns5:MediaServiceGenerationTime" minOccurs="0"/>
                <xsd:element ref="ns5:MediaServiceEventHashCode" minOccurs="0"/>
                <xsd:element ref="ns5:MediaLengthInSeconds" minOccurs="0"/>
                <xsd:element ref="ns5:lcf76f155ced4ddcb4097134ff3c332f" minOccurs="0"/>
                <xsd:element ref="ns3:TaxCatchAll" minOccurs="0"/>
                <xsd:element ref="ns5: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KpiDescription" ma:index="10" nillable="true" ma:displayName="Description" ma:internalName="KpiDescription">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Security_x0020_Level" ma:index="11" nillable="true" ma:displayName="Security Level" ma:format="RadioButtons" ma:internalName="Security_x0020_Level">
      <xsd:simpleType>
        <xsd:restriction base="dms:Choice">
          <xsd:enumeration value="Unclassified"/>
          <xsd:enumeration value="Confidential"/>
          <xsd:enumeration value="Strictly Confidential"/>
        </xsd:restriction>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Document_x0020_Date" ma:index="13" nillable="true" ma:displayName="Document Date" ma:default="[today]" ma:description="The date when the file was drafted" ma:format="DateOnly" ma:internalName="Document_x0020_Date">
      <xsd:simpleType>
        <xsd:restriction base="dms:DateTime"/>
      </xsd:simpleType>
    </xsd:element>
    <xsd:element name="UN_x0020_Official_x0020_Language" ma:index="14"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enumeration value="Others"/>
        </xsd:restriction>
      </xsd:simpleType>
    </xsd:element>
    <xsd:element name="TaxCatchAll" ma:index="41"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9926d6b-938b-4af7-b041-aee0d57e6e3d" elementFormDefault="qualified">
    <xsd:import namespace="http://schemas.microsoft.com/office/2006/documentManagement/types"/>
    <xsd:import namespace="http://schemas.microsoft.com/office/infopath/2007/PartnerControls"/>
    <xsd:element name="MediaServiceMetadata" ma:index="31" nillable="true" ma:displayName="MediaServiceMetadata" ma:hidden="true" ma:internalName="MediaServiceMetadata" ma:readOnly="true">
      <xsd:simpleType>
        <xsd:restriction base="dms:Note"/>
      </xsd:simpleType>
    </xsd:element>
    <xsd:element name="MediaServiceFastMetadata" ma:index="32" nillable="true" ma:displayName="MediaServiceFastMetadata" ma:hidden="true" ma:internalName="MediaServiceFastMetadata" ma:readOnly="true">
      <xsd:simpleType>
        <xsd:restriction base="dms:Note"/>
      </xsd:simpleType>
    </xsd:element>
    <xsd:element name="MediaServiceSearchProperties" ma:index="33" nillable="true" ma:displayName="MediaServiceSearchProperties" ma:hidden="true" ma:internalName="MediaServiceSearchProperties" ma:readOnly="true">
      <xsd:simpleType>
        <xsd:restriction base="dms:Note"/>
      </xsd:simpleType>
    </xsd:element>
    <xsd:element name="MediaServiceObjectDetectorVersions" ma:index="34" nillable="true" ma:displayName="MediaServiceObjectDetectorVersions" ma:hidden="true" ma:indexed="true" ma:internalName="MediaServiceObjectDetectorVersions" ma:readOnly="true">
      <xsd:simpleType>
        <xsd:restriction base="dms:Text"/>
      </xsd:simpleType>
    </xsd:element>
    <xsd:element name="MediaServiceDateTaken" ma:index="35" nillable="true" ma:displayName="MediaServiceDateTaken" ma:description="" ma:hidden="true" ma:indexed="true" ma:internalName="MediaServiceDateTaken" ma:readOnly="true">
      <xsd:simpleType>
        <xsd:restriction base="dms:Text"/>
      </xsd:simpleType>
    </xsd:element>
    <xsd:element name="MediaServiceGenerationTime" ma:index="36" nillable="true" ma:displayName="MediaServiceGenerationTime" ma:hidden="true" ma:internalName="MediaServiceGenerationTime" ma:readOnly="true">
      <xsd:simpleType>
        <xsd:restriction base="dms:Text"/>
      </xsd:simpleType>
    </xsd:element>
    <xsd:element name="MediaServiceEventHashCode" ma:index="37" nillable="true" ma:displayName="MediaServiceEventHashCode" ma:hidden="true" ma:internalName="MediaServiceEventHashCode" ma:readOnly="true">
      <xsd:simpleType>
        <xsd:restriction base="dms:Text"/>
      </xsd:simpleType>
    </xsd:element>
    <xsd:element name="MediaLengthInSeconds" ma:index="38" nillable="true" ma:displayName="MediaLengthInSeconds" ma:hidden="true" ma:internalName="MediaLengthInSeconds" ma:readOnly="true">
      <xsd:simpleType>
        <xsd:restriction base="dms:Unknow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2"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8"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30" ma:displayName="Subject"/>
        <xsd:element ref="dc:description" minOccurs="0" maxOccurs="1"/>
        <xsd:element name="keywords" minOccurs="0" maxOccurs="1" type="xsd:string" ma:index="9"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3EBD37D-1310-4811-8CF3-EAE26F564501}"/>
</file>

<file path=customXml/itemProps2.xml><?xml version="1.0" encoding="utf-8"?>
<ds:datastoreItem xmlns:ds="http://schemas.openxmlformats.org/officeDocument/2006/customXml" ds:itemID="{12343D26-1FCF-4C8C-B220-B25BE41BCB6D}"/>
</file>

<file path=docProps/app.xml><?xml version="1.0" encoding="utf-8"?>
<Properties xmlns="http://schemas.openxmlformats.org/officeDocument/2006/extended-properties" xmlns:vt="http://schemas.openxmlformats.org/officeDocument/2006/docPropsVTypes">
  <Template>Normal.dotm</Template>
  <TotalTime>4</TotalTime>
  <Pages>18</Pages>
  <Words>5964</Words>
  <Characters>32689</Characters>
  <Application>Microsoft Office Word</Application>
  <DocSecurity>0</DocSecurity>
  <Lines>518</Lines>
  <Paragraphs>149</Paragraphs>
  <ScaleCrop>false</ScaleCrop>
  <Company/>
  <LinksUpToDate>false</LinksUpToDate>
  <CharactersWithSpaces>38504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Luz Reidel</cp:lastModifiedBy>
  <cp:revision>2</cp:revision>
  <dcterms:created xsi:type="dcterms:W3CDTF">2024-09-06T22:06:00Z</dcterms:created>
  <dcterms:modified xsi:type="dcterms:W3CDTF">2024-09-06T22:10:00Z</dcterms:modified>
</cp:coreProperties>
</file>