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1CD" w:rsidRDefault="000761CD">
      <w:pPr>
        <w:spacing w:line="360" w:lineRule="auto"/>
        <w:rPr>
          <w:rFonts w:ascii="Arial" w:eastAsia="Arial" w:hAnsi="Arial" w:cs="Arial"/>
          <w:sz w:val="24"/>
          <w:szCs w:val="24"/>
        </w:rPr>
      </w:pPr>
      <w:bookmarkStart w:id="0" w:name="_GoBack"/>
      <w:bookmarkEnd w:id="0"/>
    </w:p>
    <w:p w:rsidR="000761CD" w:rsidRDefault="000761CD">
      <w:pPr>
        <w:spacing w:line="360" w:lineRule="auto"/>
        <w:jc w:val="center"/>
        <w:rPr>
          <w:rFonts w:ascii="Arial" w:eastAsia="Arial" w:hAnsi="Arial" w:cs="Arial"/>
          <w:sz w:val="24"/>
          <w:szCs w:val="24"/>
        </w:rPr>
      </w:pPr>
    </w:p>
    <w:p w:rsidR="000761CD" w:rsidRDefault="000761CD">
      <w:pPr>
        <w:spacing w:line="360" w:lineRule="auto"/>
        <w:jc w:val="center"/>
        <w:rPr>
          <w:rFonts w:ascii="Arial" w:eastAsia="Arial" w:hAnsi="Arial" w:cs="Arial"/>
          <w:sz w:val="24"/>
          <w:szCs w:val="24"/>
        </w:rPr>
      </w:pPr>
    </w:p>
    <w:p w:rsidR="000761CD" w:rsidRDefault="000761CD">
      <w:pPr>
        <w:spacing w:line="360" w:lineRule="auto"/>
        <w:jc w:val="center"/>
        <w:rPr>
          <w:rFonts w:ascii="Arial" w:eastAsia="Arial" w:hAnsi="Arial" w:cs="Arial"/>
          <w:sz w:val="24"/>
          <w:szCs w:val="24"/>
        </w:rPr>
      </w:pPr>
    </w:p>
    <w:p w:rsidR="000761CD" w:rsidRDefault="000761CD">
      <w:pPr>
        <w:spacing w:line="360" w:lineRule="auto"/>
        <w:jc w:val="center"/>
        <w:rPr>
          <w:rFonts w:ascii="Arial" w:eastAsia="Arial" w:hAnsi="Arial" w:cs="Arial"/>
          <w:sz w:val="24"/>
          <w:szCs w:val="24"/>
        </w:rPr>
      </w:pPr>
    </w:p>
    <w:p w:rsidR="000761CD" w:rsidRDefault="000761CD">
      <w:pPr>
        <w:spacing w:line="360" w:lineRule="auto"/>
        <w:jc w:val="center"/>
        <w:rPr>
          <w:rFonts w:ascii="Arial" w:eastAsia="Arial" w:hAnsi="Arial" w:cs="Arial"/>
          <w:sz w:val="24"/>
          <w:szCs w:val="24"/>
        </w:rPr>
      </w:pPr>
    </w:p>
    <w:p w:rsidR="000761CD" w:rsidRDefault="000761CD">
      <w:pPr>
        <w:spacing w:line="360" w:lineRule="auto"/>
        <w:jc w:val="center"/>
        <w:rPr>
          <w:rFonts w:ascii="Arial" w:eastAsia="Arial" w:hAnsi="Arial" w:cs="Arial"/>
          <w:sz w:val="24"/>
          <w:szCs w:val="24"/>
        </w:rPr>
      </w:pPr>
    </w:p>
    <w:p w:rsidR="000761CD" w:rsidRDefault="00492070">
      <w:pPr>
        <w:jc w:val="center"/>
        <w:rPr>
          <w:rFonts w:ascii="Arial" w:eastAsia="Arial" w:hAnsi="Arial" w:cs="Arial"/>
          <w:b/>
          <w:sz w:val="28"/>
          <w:szCs w:val="28"/>
        </w:rPr>
      </w:pPr>
      <w:r>
        <w:rPr>
          <w:rFonts w:ascii="Arial" w:eastAsia="Arial" w:hAnsi="Arial" w:cs="Arial"/>
          <w:b/>
          <w:sz w:val="28"/>
          <w:szCs w:val="28"/>
        </w:rPr>
        <w:t>REPORTE</w:t>
      </w:r>
    </w:p>
    <w:p w:rsidR="000761CD" w:rsidRDefault="00492070">
      <w:pPr>
        <w:jc w:val="center"/>
        <w:rPr>
          <w:rFonts w:ascii="Arial" w:eastAsia="Arial" w:hAnsi="Arial" w:cs="Arial"/>
          <w:b/>
          <w:sz w:val="28"/>
          <w:szCs w:val="28"/>
        </w:rPr>
      </w:pPr>
      <w:r>
        <w:rPr>
          <w:rFonts w:ascii="Arial" w:eastAsia="Arial" w:hAnsi="Arial" w:cs="Arial"/>
          <w:b/>
          <w:sz w:val="28"/>
          <w:szCs w:val="28"/>
        </w:rPr>
        <w:t>PERÚ</w:t>
      </w:r>
    </w:p>
    <w:p w:rsidR="000761CD" w:rsidRDefault="00492070">
      <w:pPr>
        <w:jc w:val="center"/>
        <w:rPr>
          <w:rFonts w:ascii="Arial" w:eastAsia="Arial" w:hAnsi="Arial" w:cs="Arial"/>
          <w:b/>
          <w:sz w:val="28"/>
          <w:szCs w:val="28"/>
        </w:rPr>
      </w:pPr>
      <w:r>
        <w:rPr>
          <w:rFonts w:ascii="Arial" w:eastAsia="Arial" w:hAnsi="Arial" w:cs="Arial"/>
          <w:b/>
          <w:sz w:val="28"/>
          <w:szCs w:val="28"/>
        </w:rPr>
        <w:t>72 SESIÓN</w:t>
      </w:r>
    </w:p>
    <w:p w:rsidR="000761CD" w:rsidRDefault="00492070">
      <w:pPr>
        <w:jc w:val="center"/>
        <w:rPr>
          <w:rFonts w:ascii="Arial" w:eastAsia="Arial" w:hAnsi="Arial" w:cs="Arial"/>
          <w:sz w:val="24"/>
          <w:szCs w:val="24"/>
        </w:rPr>
      </w:pPr>
      <w:r>
        <w:rPr>
          <w:rFonts w:ascii="Arial" w:eastAsia="Arial" w:hAnsi="Arial" w:cs="Arial"/>
          <w:b/>
          <w:sz w:val="28"/>
          <w:szCs w:val="28"/>
        </w:rPr>
        <w:t>COMITÉ DERECHOS ECONÓMICOS SOCIALES Y CULTURALES.</w:t>
      </w:r>
    </w:p>
    <w:p w:rsidR="000761CD" w:rsidRDefault="000761CD">
      <w:pPr>
        <w:spacing w:line="360" w:lineRule="auto"/>
        <w:jc w:val="both"/>
        <w:rPr>
          <w:rFonts w:ascii="Arial" w:eastAsia="Arial" w:hAnsi="Arial" w:cs="Arial"/>
          <w:sz w:val="24"/>
          <w:szCs w:val="24"/>
        </w:rPr>
      </w:pPr>
    </w:p>
    <w:p w:rsidR="000761CD" w:rsidRDefault="000761CD">
      <w:pPr>
        <w:spacing w:line="360" w:lineRule="auto"/>
        <w:jc w:val="both"/>
        <w:rPr>
          <w:rFonts w:ascii="Arial" w:eastAsia="Arial" w:hAnsi="Arial" w:cs="Arial"/>
          <w:sz w:val="24"/>
          <w:szCs w:val="24"/>
        </w:rPr>
      </w:pPr>
    </w:p>
    <w:p w:rsidR="000761CD" w:rsidRDefault="000761CD">
      <w:pPr>
        <w:spacing w:line="360" w:lineRule="auto"/>
        <w:jc w:val="both"/>
        <w:rPr>
          <w:rFonts w:ascii="Arial" w:eastAsia="Arial" w:hAnsi="Arial" w:cs="Arial"/>
          <w:sz w:val="24"/>
          <w:szCs w:val="24"/>
        </w:rPr>
      </w:pPr>
    </w:p>
    <w:p w:rsidR="000761CD" w:rsidRDefault="000761CD">
      <w:pPr>
        <w:spacing w:line="360" w:lineRule="auto"/>
        <w:jc w:val="both"/>
        <w:rPr>
          <w:rFonts w:ascii="Arial" w:eastAsia="Arial" w:hAnsi="Arial" w:cs="Arial"/>
          <w:sz w:val="24"/>
          <w:szCs w:val="24"/>
        </w:rPr>
      </w:pPr>
    </w:p>
    <w:p w:rsidR="000761CD" w:rsidRDefault="000761CD">
      <w:pPr>
        <w:spacing w:line="360" w:lineRule="auto"/>
        <w:jc w:val="both"/>
        <w:rPr>
          <w:rFonts w:ascii="Arial" w:eastAsia="Arial" w:hAnsi="Arial" w:cs="Arial"/>
          <w:sz w:val="24"/>
          <w:szCs w:val="24"/>
        </w:rPr>
      </w:pPr>
    </w:p>
    <w:p w:rsidR="000761CD" w:rsidRDefault="000761CD">
      <w:pPr>
        <w:spacing w:line="360" w:lineRule="auto"/>
        <w:jc w:val="both"/>
        <w:rPr>
          <w:rFonts w:ascii="Arial" w:eastAsia="Arial" w:hAnsi="Arial" w:cs="Arial"/>
          <w:sz w:val="24"/>
          <w:szCs w:val="24"/>
        </w:rPr>
      </w:pPr>
    </w:p>
    <w:p w:rsidR="000761CD" w:rsidRDefault="000761CD">
      <w:pPr>
        <w:spacing w:line="360" w:lineRule="auto"/>
        <w:jc w:val="both"/>
        <w:rPr>
          <w:rFonts w:ascii="Arial" w:eastAsia="Arial" w:hAnsi="Arial" w:cs="Arial"/>
          <w:sz w:val="24"/>
          <w:szCs w:val="24"/>
        </w:rPr>
      </w:pPr>
    </w:p>
    <w:p w:rsidR="000761CD" w:rsidRDefault="00492070">
      <w:pPr>
        <w:spacing w:after="0" w:line="240" w:lineRule="auto"/>
        <w:jc w:val="center"/>
        <w:rPr>
          <w:rFonts w:ascii="Arial" w:eastAsia="Arial" w:hAnsi="Arial" w:cs="Arial"/>
          <w:sz w:val="20"/>
          <w:szCs w:val="20"/>
          <w:highlight w:val="white"/>
        </w:rPr>
      </w:pPr>
      <w:r>
        <w:rPr>
          <w:rFonts w:ascii="Arial" w:eastAsia="Arial" w:hAnsi="Arial" w:cs="Arial"/>
          <w:sz w:val="20"/>
          <w:szCs w:val="20"/>
          <w:highlight w:val="white"/>
        </w:rPr>
        <w:t>La Fundación Red Nacional de Derechos Humanos (RENADDHH) y el Consejo Nacional para la Defensa del Derecho Humano a la Salud (CNDDHS). tiene como misión: Desarrollar estrategias de investigación educación y divulgación desde enfoques críticos de los derech</w:t>
      </w:r>
      <w:r>
        <w:rPr>
          <w:rFonts w:ascii="Arial" w:eastAsia="Arial" w:hAnsi="Arial" w:cs="Arial"/>
          <w:sz w:val="20"/>
          <w:szCs w:val="20"/>
          <w:highlight w:val="white"/>
        </w:rPr>
        <w:t>os humanos dirigidos a toda persona, comunidad, organizaciones, movimientos sociales, para contribuir desde la construcción de experiencias significativas con la transformación social  fundada en los valores de justicia equidad igualdad libertad cooperació</w:t>
      </w:r>
      <w:r>
        <w:rPr>
          <w:rFonts w:ascii="Arial" w:eastAsia="Arial" w:hAnsi="Arial" w:cs="Arial"/>
          <w:sz w:val="20"/>
          <w:szCs w:val="20"/>
          <w:highlight w:val="white"/>
        </w:rPr>
        <w:t>n solidaridad honestidad y corresponsabilidad de acuerdo al Estado Social de Derecho y de Justicia.</w:t>
      </w:r>
    </w:p>
    <w:p w:rsidR="000761CD" w:rsidRDefault="000761CD">
      <w:pPr>
        <w:spacing w:after="0" w:line="240" w:lineRule="auto"/>
        <w:jc w:val="center"/>
        <w:rPr>
          <w:rFonts w:ascii="Arial" w:eastAsia="Arial" w:hAnsi="Arial" w:cs="Arial"/>
          <w:sz w:val="20"/>
          <w:szCs w:val="20"/>
          <w:highlight w:val="white"/>
        </w:rPr>
      </w:pPr>
    </w:p>
    <w:p w:rsidR="000761CD" w:rsidRDefault="000761CD">
      <w:pPr>
        <w:spacing w:after="0" w:line="240" w:lineRule="auto"/>
        <w:jc w:val="center"/>
        <w:rPr>
          <w:rFonts w:ascii="Arial" w:eastAsia="Arial" w:hAnsi="Arial" w:cs="Arial"/>
          <w:sz w:val="20"/>
          <w:szCs w:val="20"/>
          <w:highlight w:val="white"/>
        </w:rPr>
      </w:pPr>
    </w:p>
    <w:p w:rsidR="000761CD" w:rsidRDefault="000761CD">
      <w:pPr>
        <w:spacing w:after="0" w:line="240" w:lineRule="auto"/>
        <w:jc w:val="center"/>
        <w:rPr>
          <w:rFonts w:ascii="Arial" w:eastAsia="Arial" w:hAnsi="Arial" w:cs="Arial"/>
          <w:sz w:val="20"/>
          <w:szCs w:val="20"/>
          <w:highlight w:val="white"/>
        </w:rPr>
      </w:pPr>
    </w:p>
    <w:p w:rsidR="000761CD" w:rsidRDefault="000761CD">
      <w:pPr>
        <w:spacing w:after="0" w:line="240" w:lineRule="auto"/>
        <w:jc w:val="center"/>
        <w:rPr>
          <w:rFonts w:ascii="Arial" w:eastAsia="Arial" w:hAnsi="Arial" w:cs="Arial"/>
          <w:sz w:val="20"/>
          <w:szCs w:val="20"/>
          <w:highlight w:val="white"/>
        </w:rPr>
      </w:pPr>
    </w:p>
    <w:p w:rsidR="000761CD" w:rsidRDefault="000761CD">
      <w:pPr>
        <w:spacing w:after="0" w:line="240" w:lineRule="auto"/>
        <w:jc w:val="center"/>
        <w:rPr>
          <w:rFonts w:ascii="Arial" w:eastAsia="Arial" w:hAnsi="Arial" w:cs="Arial"/>
          <w:sz w:val="20"/>
          <w:szCs w:val="20"/>
          <w:highlight w:val="white"/>
        </w:rPr>
      </w:pPr>
    </w:p>
    <w:p w:rsidR="000761CD" w:rsidRDefault="000761CD">
      <w:pPr>
        <w:spacing w:line="360" w:lineRule="auto"/>
        <w:jc w:val="both"/>
        <w:rPr>
          <w:rFonts w:ascii="Arial" w:eastAsia="Arial" w:hAnsi="Arial" w:cs="Arial"/>
          <w:sz w:val="24"/>
          <w:szCs w:val="24"/>
        </w:rPr>
      </w:pPr>
    </w:p>
    <w:p w:rsidR="000761CD" w:rsidRDefault="00492070">
      <w:pPr>
        <w:numPr>
          <w:ilvl w:val="0"/>
          <w:numId w:val="3"/>
        </w:numPr>
        <w:pBdr>
          <w:top w:val="nil"/>
          <w:left w:val="nil"/>
          <w:bottom w:val="nil"/>
          <w:right w:val="nil"/>
          <w:between w:val="nil"/>
        </w:pBdr>
        <w:spacing w:after="0" w:line="360" w:lineRule="auto"/>
        <w:jc w:val="both"/>
        <w:rPr>
          <w:rFonts w:ascii="Arial" w:eastAsia="Arial" w:hAnsi="Arial" w:cs="Arial"/>
          <w:b/>
          <w:sz w:val="24"/>
          <w:szCs w:val="24"/>
        </w:rPr>
      </w:pPr>
      <w:r>
        <w:rPr>
          <w:rFonts w:ascii="Arial" w:eastAsia="Arial" w:hAnsi="Arial" w:cs="Arial"/>
          <w:b/>
          <w:sz w:val="24"/>
          <w:szCs w:val="24"/>
        </w:rPr>
        <w:t>Derecho a la Salud</w:t>
      </w:r>
    </w:p>
    <w:p w:rsidR="000761CD" w:rsidRDefault="00492070">
      <w:pPr>
        <w:numPr>
          <w:ilvl w:val="0"/>
          <w:numId w:val="1"/>
        </w:numPr>
        <w:pBdr>
          <w:top w:val="nil"/>
          <w:left w:val="nil"/>
          <w:bottom w:val="nil"/>
          <w:right w:val="nil"/>
          <w:between w:val="nil"/>
        </w:pBdr>
        <w:spacing w:after="0" w:line="360" w:lineRule="auto"/>
        <w:jc w:val="both"/>
        <w:rPr>
          <w:rFonts w:ascii="Arial" w:eastAsia="Arial" w:hAnsi="Arial" w:cs="Arial"/>
          <w:sz w:val="24"/>
          <w:szCs w:val="24"/>
        </w:rPr>
      </w:pPr>
      <w:r>
        <w:rPr>
          <w:rFonts w:ascii="Arial" w:eastAsia="Arial" w:hAnsi="Arial" w:cs="Arial"/>
          <w:sz w:val="24"/>
          <w:szCs w:val="24"/>
        </w:rPr>
        <w:t>Perú no escapa de la sorprendente llegada del COVID19, quién cobra la vida de seres humanos sin distingo de ninguna índole, más cuando existe sistemas de salud que no son capaces de dar respuestas oportunas por seguir con deficiencias en sus estructuras co</w:t>
      </w:r>
      <w:r>
        <w:rPr>
          <w:rFonts w:ascii="Arial" w:eastAsia="Arial" w:hAnsi="Arial" w:cs="Arial"/>
          <w:sz w:val="24"/>
          <w:szCs w:val="24"/>
        </w:rPr>
        <w:t>mo prestadores de servicios de salud que deben ajustar a los avances tecnológicos y científicos, siendo la población más vulnerable la más afecta.</w:t>
      </w:r>
    </w:p>
    <w:p w:rsidR="000761CD" w:rsidRDefault="00492070">
      <w:pPr>
        <w:numPr>
          <w:ilvl w:val="0"/>
          <w:numId w:val="1"/>
        </w:numPr>
        <w:pBdr>
          <w:top w:val="nil"/>
          <w:left w:val="nil"/>
          <w:bottom w:val="nil"/>
          <w:right w:val="nil"/>
          <w:between w:val="nil"/>
        </w:pBdr>
        <w:spacing w:after="0" w:line="360" w:lineRule="auto"/>
        <w:jc w:val="both"/>
        <w:rPr>
          <w:rFonts w:ascii="Arial" w:eastAsia="Arial" w:hAnsi="Arial" w:cs="Arial"/>
          <w:sz w:val="24"/>
          <w:szCs w:val="24"/>
        </w:rPr>
      </w:pPr>
      <w:r>
        <w:rPr>
          <w:rFonts w:ascii="Arial" w:eastAsia="Arial" w:hAnsi="Arial" w:cs="Arial"/>
          <w:sz w:val="24"/>
          <w:szCs w:val="24"/>
        </w:rPr>
        <w:t>Sin embargo y pese a las deficiencias en atención de salud, el Gobierno de Perú previa sugerencia de la Defen</w:t>
      </w:r>
      <w:r>
        <w:rPr>
          <w:rFonts w:ascii="Arial" w:eastAsia="Arial" w:hAnsi="Arial" w:cs="Arial"/>
          <w:sz w:val="24"/>
          <w:szCs w:val="24"/>
        </w:rPr>
        <w:t xml:space="preserve">soría del Pueblo, el MINSA  y el Ejecutivo Nacional ponen en manchar estrategias que minimicen el índice de </w:t>
      </w:r>
      <w:r>
        <w:rPr>
          <w:rFonts w:ascii="Arial" w:eastAsia="Arial" w:hAnsi="Arial" w:cs="Arial"/>
          <w:sz w:val="24"/>
          <w:szCs w:val="24"/>
        </w:rPr>
        <w:t>transmisión</w:t>
      </w:r>
      <w:r>
        <w:rPr>
          <w:rFonts w:ascii="Arial" w:eastAsia="Arial" w:hAnsi="Arial" w:cs="Arial"/>
          <w:sz w:val="24"/>
          <w:szCs w:val="24"/>
        </w:rPr>
        <w:t xml:space="preserve"> y contagio del COVID 19 en los lugares de mayor índice de casos y poblaciones más vulnerables, esto bajo la confección de mascarillas fa</w:t>
      </w:r>
      <w:r>
        <w:rPr>
          <w:rFonts w:ascii="Arial" w:eastAsia="Arial" w:hAnsi="Arial" w:cs="Arial"/>
          <w:sz w:val="24"/>
          <w:szCs w:val="24"/>
        </w:rPr>
        <w:t>ciales y decretando a la misma como un bien público.</w:t>
      </w:r>
    </w:p>
    <w:p w:rsidR="000761CD" w:rsidRDefault="00492070">
      <w:pPr>
        <w:numPr>
          <w:ilvl w:val="0"/>
          <w:numId w:val="1"/>
        </w:numPr>
        <w:pBdr>
          <w:top w:val="nil"/>
          <w:left w:val="nil"/>
          <w:bottom w:val="nil"/>
          <w:right w:val="nil"/>
          <w:between w:val="nil"/>
        </w:pBdr>
        <w:spacing w:line="360" w:lineRule="auto"/>
        <w:jc w:val="both"/>
        <w:rPr>
          <w:rFonts w:ascii="Arial" w:eastAsia="Arial" w:hAnsi="Arial" w:cs="Arial"/>
          <w:sz w:val="24"/>
          <w:szCs w:val="24"/>
        </w:rPr>
      </w:pPr>
      <w:r>
        <w:rPr>
          <w:rFonts w:ascii="Arial" w:eastAsia="Arial" w:hAnsi="Arial" w:cs="Arial"/>
          <w:sz w:val="24"/>
          <w:szCs w:val="24"/>
        </w:rPr>
        <w:t>Está</w:t>
      </w:r>
      <w:r>
        <w:rPr>
          <w:rFonts w:ascii="Arial" w:eastAsia="Arial" w:hAnsi="Arial" w:cs="Arial"/>
          <w:sz w:val="24"/>
          <w:szCs w:val="24"/>
        </w:rPr>
        <w:t xml:space="preserve"> sugerencias se hacen evidentes en la Rendición de cuentas de la Defensoría del Pueblo 2021.</w:t>
      </w:r>
    </w:p>
    <w:p w:rsidR="000761CD" w:rsidRDefault="00492070">
      <w:pPr>
        <w:spacing w:after="0" w:line="240" w:lineRule="auto"/>
        <w:jc w:val="both"/>
        <w:rPr>
          <w:rFonts w:ascii="Arial" w:eastAsia="Arial" w:hAnsi="Arial" w:cs="Arial"/>
          <w:sz w:val="24"/>
          <w:szCs w:val="24"/>
        </w:rPr>
      </w:pPr>
      <w:r>
        <w:rPr>
          <w:rFonts w:ascii="Arial" w:eastAsia="Arial" w:hAnsi="Arial" w:cs="Arial"/>
          <w:sz w:val="24"/>
          <w:szCs w:val="24"/>
        </w:rPr>
        <w:t xml:space="preserve">“el Minsa procedió a publicar, el 1 de mayo del 2021, la Resolución Ministerial N° 558-2021-MINSA, con la </w:t>
      </w:r>
      <w:r>
        <w:rPr>
          <w:rFonts w:ascii="Arial" w:eastAsia="Arial" w:hAnsi="Arial" w:cs="Arial"/>
          <w:sz w:val="24"/>
          <w:szCs w:val="24"/>
        </w:rPr>
        <w:t>cual se aprobó el Documento Técnico: Lineamientos para la confección de mascarillas faciales textiles de uso comunitario reutilizables. Asimismo, se demandó que las mascarillas sean distribuidas de manera gratuita en las zonas de mayor índice de contagio y</w:t>
      </w:r>
      <w:r>
        <w:rPr>
          <w:rFonts w:ascii="Arial" w:eastAsia="Arial" w:hAnsi="Arial" w:cs="Arial"/>
          <w:sz w:val="24"/>
          <w:szCs w:val="24"/>
        </w:rPr>
        <w:t xml:space="preserve"> niveles de pobreza extrema. En atención a ello, el Poder Ejecutivo, por medio del D.U. N° 042-2021, declaró a las mascarillas como un bien público, por ser una de las medidas preventivas para frenar el Covid-19. A su vez, mediante la Directiva Administrat</w:t>
      </w:r>
      <w:r>
        <w:rPr>
          <w:rFonts w:ascii="Arial" w:eastAsia="Arial" w:hAnsi="Arial" w:cs="Arial"/>
          <w:sz w:val="24"/>
          <w:szCs w:val="24"/>
        </w:rPr>
        <w:t>iva N° 316-MINSA/2021/ DGIESP, el MINSA dictó disposiciones complementarias para la distribución de mascarillas faciales textiles y mascarillas descartables quirúrgicas para uso comunitario entre la población priorizada.”</w:t>
      </w:r>
    </w:p>
    <w:p w:rsidR="000761CD" w:rsidRDefault="000761CD">
      <w:pPr>
        <w:spacing w:after="0" w:line="240" w:lineRule="auto"/>
        <w:jc w:val="both"/>
        <w:rPr>
          <w:rFonts w:ascii="Arial" w:eastAsia="Arial" w:hAnsi="Arial" w:cs="Arial"/>
          <w:sz w:val="24"/>
          <w:szCs w:val="24"/>
        </w:rPr>
      </w:pPr>
    </w:p>
    <w:p w:rsidR="000761CD" w:rsidRDefault="00492070">
      <w:pPr>
        <w:numPr>
          <w:ilvl w:val="0"/>
          <w:numId w:val="3"/>
        </w:numPr>
        <w:pBdr>
          <w:top w:val="nil"/>
          <w:left w:val="nil"/>
          <w:bottom w:val="nil"/>
          <w:right w:val="nil"/>
          <w:between w:val="nil"/>
        </w:pBdr>
        <w:spacing w:after="0" w:line="240" w:lineRule="auto"/>
        <w:jc w:val="both"/>
        <w:rPr>
          <w:rFonts w:ascii="Arial" w:eastAsia="Arial" w:hAnsi="Arial" w:cs="Arial"/>
          <w:b/>
          <w:sz w:val="24"/>
          <w:szCs w:val="24"/>
        </w:rPr>
      </w:pPr>
      <w:r>
        <w:rPr>
          <w:rFonts w:ascii="Arial" w:eastAsia="Arial" w:hAnsi="Arial" w:cs="Arial"/>
          <w:b/>
          <w:sz w:val="24"/>
          <w:szCs w:val="24"/>
        </w:rPr>
        <w:t>Derecho a la Alimentación.</w:t>
      </w:r>
    </w:p>
    <w:p w:rsidR="000761CD" w:rsidRDefault="000761CD">
      <w:pPr>
        <w:spacing w:after="0" w:line="240" w:lineRule="auto"/>
        <w:jc w:val="both"/>
        <w:rPr>
          <w:rFonts w:ascii="Arial" w:eastAsia="Arial" w:hAnsi="Arial" w:cs="Arial"/>
          <w:b/>
          <w:sz w:val="24"/>
          <w:szCs w:val="24"/>
        </w:rPr>
      </w:pPr>
    </w:p>
    <w:p w:rsidR="000761CD" w:rsidRDefault="0049207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Actualmente el Perú es el país con más inseguridad alimentaria, </w:t>
      </w:r>
      <w:r>
        <w:rPr>
          <w:rFonts w:ascii="Arial" w:eastAsia="Arial" w:hAnsi="Arial" w:cs="Arial"/>
          <w:sz w:val="24"/>
          <w:szCs w:val="24"/>
        </w:rPr>
        <w:t>sobre todo</w:t>
      </w:r>
      <w:r>
        <w:rPr>
          <w:rFonts w:ascii="Arial" w:eastAsia="Arial" w:hAnsi="Arial" w:cs="Arial"/>
          <w:sz w:val="24"/>
          <w:szCs w:val="24"/>
        </w:rPr>
        <w:t xml:space="preserve"> para las familias y comunidades más vulnerables que viven </w:t>
      </w:r>
      <w:r>
        <w:rPr>
          <w:rFonts w:ascii="Arial" w:eastAsia="Arial" w:hAnsi="Arial" w:cs="Arial"/>
          <w:sz w:val="24"/>
          <w:szCs w:val="24"/>
        </w:rPr>
        <w:t>en pobreza</w:t>
      </w:r>
      <w:r>
        <w:rPr>
          <w:rFonts w:ascii="Arial" w:eastAsia="Arial" w:hAnsi="Arial" w:cs="Arial"/>
          <w:sz w:val="24"/>
          <w:szCs w:val="24"/>
        </w:rPr>
        <w:t xml:space="preserve"> extrema. Generando esto que  estas personas  no tengan un correcto desarrollo físico, mental y social acorde. Aunado a esto, el tema Pandemia ha repercutido en el aumento exponencial en los casos de inseguridad alimentaria.</w:t>
      </w:r>
    </w:p>
    <w:p w:rsidR="000761CD" w:rsidRDefault="000761CD">
      <w:pPr>
        <w:pBdr>
          <w:top w:val="nil"/>
          <w:left w:val="nil"/>
          <w:bottom w:val="nil"/>
          <w:right w:val="nil"/>
          <w:between w:val="nil"/>
        </w:pBdr>
        <w:spacing w:after="0" w:line="240" w:lineRule="auto"/>
        <w:ind w:left="720"/>
        <w:jc w:val="both"/>
        <w:rPr>
          <w:rFonts w:ascii="Arial" w:eastAsia="Arial" w:hAnsi="Arial" w:cs="Arial"/>
          <w:sz w:val="24"/>
          <w:szCs w:val="24"/>
        </w:rPr>
      </w:pPr>
    </w:p>
    <w:p w:rsidR="000761CD" w:rsidRDefault="00492070">
      <w:pPr>
        <w:spacing w:after="0" w:line="240" w:lineRule="auto"/>
        <w:ind w:left="360"/>
        <w:jc w:val="both"/>
        <w:rPr>
          <w:rFonts w:ascii="Arial" w:eastAsia="Arial" w:hAnsi="Arial" w:cs="Arial"/>
          <w:sz w:val="24"/>
          <w:szCs w:val="24"/>
        </w:rPr>
      </w:pPr>
      <w:r>
        <w:rPr>
          <w:rFonts w:ascii="Arial" w:eastAsia="Arial" w:hAnsi="Arial" w:cs="Arial"/>
          <w:sz w:val="24"/>
          <w:szCs w:val="24"/>
        </w:rPr>
        <w:t>Enrique Román, representante d</w:t>
      </w:r>
      <w:r>
        <w:rPr>
          <w:rFonts w:ascii="Arial" w:eastAsia="Arial" w:hAnsi="Arial" w:cs="Arial"/>
          <w:sz w:val="24"/>
          <w:szCs w:val="24"/>
        </w:rPr>
        <w:t>e FAO menciona: “antes de la pandemia teníamos un nivel de inseguridad alimentaria  que estaba por encima de los ocho millones, después de la pandemia llegamos a 15.5 millones de personas y actualmente  estamos en 16,6 millones…”</w:t>
      </w:r>
    </w:p>
    <w:p w:rsidR="000761CD" w:rsidRDefault="000761CD">
      <w:pPr>
        <w:spacing w:after="0" w:line="240" w:lineRule="auto"/>
        <w:ind w:left="360"/>
        <w:jc w:val="both"/>
        <w:rPr>
          <w:rFonts w:ascii="Arial" w:eastAsia="Arial" w:hAnsi="Arial" w:cs="Arial"/>
          <w:sz w:val="24"/>
          <w:szCs w:val="24"/>
        </w:rPr>
      </w:pPr>
    </w:p>
    <w:p w:rsidR="000761CD" w:rsidRDefault="0049207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Durante el estado de emer</w:t>
      </w:r>
      <w:r>
        <w:rPr>
          <w:rFonts w:ascii="Arial" w:eastAsia="Arial" w:hAnsi="Arial" w:cs="Arial"/>
          <w:sz w:val="24"/>
          <w:szCs w:val="24"/>
        </w:rPr>
        <w:t>gencia por el COVID 19, se implementó las ollas comunes, como estrategia para la atención de la población más desvalida y se sugirió por parte de la defensoría del Pueblo que se hiciera de manera permanente aun posterior a la pandemia, como parte de un pro</w:t>
      </w:r>
      <w:r>
        <w:rPr>
          <w:rFonts w:ascii="Arial" w:eastAsia="Arial" w:hAnsi="Arial" w:cs="Arial"/>
          <w:sz w:val="24"/>
          <w:szCs w:val="24"/>
        </w:rPr>
        <w:t>grama del Gobierno para tratar la situación de alimentación en las comunidades.</w:t>
      </w:r>
    </w:p>
    <w:p w:rsidR="000761CD" w:rsidRDefault="00492070">
      <w:pPr>
        <w:pBdr>
          <w:top w:val="nil"/>
          <w:left w:val="nil"/>
          <w:bottom w:val="nil"/>
          <w:right w:val="nil"/>
          <w:between w:val="nil"/>
        </w:pBdr>
        <w:spacing w:after="0" w:line="240" w:lineRule="auto"/>
        <w:ind w:left="720"/>
        <w:jc w:val="both"/>
        <w:rPr>
          <w:rFonts w:ascii="Arial" w:eastAsia="Arial" w:hAnsi="Arial" w:cs="Arial"/>
          <w:sz w:val="24"/>
          <w:szCs w:val="24"/>
        </w:rPr>
      </w:pPr>
      <w:r>
        <w:rPr>
          <w:rFonts w:ascii="Arial" w:eastAsia="Arial" w:hAnsi="Arial" w:cs="Arial"/>
          <w:sz w:val="24"/>
          <w:szCs w:val="24"/>
        </w:rPr>
        <w:t>Dicha sugerencia queda expresa en la Rendición de Cuenta de la Defensoría  del Pueblo 2021.</w:t>
      </w:r>
    </w:p>
    <w:p w:rsidR="000761CD" w:rsidRDefault="000761CD">
      <w:pPr>
        <w:pBdr>
          <w:top w:val="nil"/>
          <w:left w:val="nil"/>
          <w:bottom w:val="nil"/>
          <w:right w:val="nil"/>
          <w:between w:val="nil"/>
        </w:pBdr>
        <w:spacing w:after="0" w:line="240" w:lineRule="auto"/>
        <w:ind w:left="720"/>
        <w:jc w:val="both"/>
        <w:rPr>
          <w:rFonts w:ascii="Arial" w:eastAsia="Arial" w:hAnsi="Arial" w:cs="Arial"/>
          <w:sz w:val="24"/>
          <w:szCs w:val="24"/>
        </w:rPr>
      </w:pPr>
    </w:p>
    <w:p w:rsidR="000761CD" w:rsidRDefault="00492070">
      <w:pPr>
        <w:pBdr>
          <w:top w:val="nil"/>
          <w:left w:val="nil"/>
          <w:bottom w:val="nil"/>
          <w:right w:val="nil"/>
          <w:between w:val="nil"/>
        </w:pBdr>
        <w:spacing w:after="0" w:line="240" w:lineRule="auto"/>
        <w:ind w:left="720"/>
        <w:jc w:val="both"/>
        <w:rPr>
          <w:rFonts w:ascii="Arial" w:eastAsia="Arial" w:hAnsi="Arial" w:cs="Arial"/>
          <w:sz w:val="24"/>
          <w:szCs w:val="24"/>
        </w:rPr>
      </w:pPr>
      <w:r>
        <w:rPr>
          <w:rFonts w:ascii="Arial" w:eastAsia="Arial" w:hAnsi="Arial" w:cs="Arial"/>
          <w:sz w:val="24"/>
          <w:szCs w:val="24"/>
        </w:rPr>
        <w:t>“   Los resultados motivaron que la Defensoría proponga al MIDIS que, como ente rector de las políticas públicas y desarrollo social encaminadas a reducir la pobreza, las desigualdades, las vulnerabilidades y los riesgos sociales, establezca una estrategia</w:t>
      </w:r>
      <w:r>
        <w:rPr>
          <w:rFonts w:ascii="Arial" w:eastAsia="Arial" w:hAnsi="Arial" w:cs="Arial"/>
          <w:sz w:val="24"/>
          <w:szCs w:val="24"/>
        </w:rPr>
        <w:t xml:space="preserve"> integral, a largo plazo, de apoyo a las ollas comunes, en coordinación con los Gobiernos Locales…”(Rendición de cuentas 2021 DP).</w:t>
      </w:r>
    </w:p>
    <w:p w:rsidR="000761CD" w:rsidRDefault="0049207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Niveles de desnutrición “</w:t>
      </w:r>
      <w:r>
        <w:rPr>
          <w:rFonts w:ascii="Arial" w:eastAsia="Arial" w:hAnsi="Arial" w:cs="Arial"/>
          <w:sz w:val="24"/>
          <w:szCs w:val="24"/>
          <w:highlight w:val="white"/>
        </w:rPr>
        <w:t>En el año 2020, el 12,1% de la población menor de cinco años de edad del país sufrió desnutrición cr</w:t>
      </w:r>
      <w:r>
        <w:rPr>
          <w:rFonts w:ascii="Arial" w:eastAsia="Arial" w:hAnsi="Arial" w:cs="Arial"/>
          <w:sz w:val="24"/>
          <w:szCs w:val="24"/>
          <w:highlight w:val="white"/>
        </w:rPr>
        <w:t xml:space="preserve">ónica según el Patrón de la Organización Mundial de la Salud (OMS), así lo dio a conocer el Instituto Nacional de Estadística e Informática (INEI) al publicar el documento PERÚ: Indicadores de Resultados de los Programas Presupuestales-2020; elaborado con </w:t>
      </w:r>
      <w:r>
        <w:rPr>
          <w:rFonts w:ascii="Arial" w:eastAsia="Arial" w:hAnsi="Arial" w:cs="Arial"/>
          <w:sz w:val="24"/>
          <w:szCs w:val="24"/>
          <w:highlight w:val="white"/>
        </w:rPr>
        <w:t>información recopilada mediante la Encuesta Demográfica y de Salud Familiar (ENDES)”. (fuente INEI).</w:t>
      </w:r>
    </w:p>
    <w:p w:rsidR="000761CD" w:rsidRDefault="00492070">
      <w:pPr>
        <w:numPr>
          <w:ilvl w:val="0"/>
          <w:numId w:val="1"/>
        </w:numPr>
        <w:shd w:val="clear" w:color="auto" w:fill="FFFFFF"/>
        <w:spacing w:line="240" w:lineRule="auto"/>
        <w:jc w:val="both"/>
        <w:rPr>
          <w:rFonts w:ascii="Arial" w:eastAsia="Arial" w:hAnsi="Arial" w:cs="Arial"/>
          <w:sz w:val="24"/>
          <w:szCs w:val="24"/>
          <w:highlight w:val="white"/>
        </w:rPr>
      </w:pPr>
      <w:r>
        <w:rPr>
          <w:rFonts w:ascii="Arial" w:eastAsia="Arial" w:hAnsi="Arial" w:cs="Arial"/>
          <w:sz w:val="24"/>
          <w:szCs w:val="24"/>
          <w:highlight w:val="white"/>
        </w:rPr>
        <w:t xml:space="preserve">“ En el área urbana, la desnutrición crónica afectó al 7,2% de este grupo población y en el área rural al 24,7% de las niñas y niños menores de cinco años </w:t>
      </w:r>
      <w:r>
        <w:rPr>
          <w:rFonts w:ascii="Arial" w:eastAsia="Arial" w:hAnsi="Arial" w:cs="Arial"/>
          <w:sz w:val="24"/>
          <w:szCs w:val="24"/>
          <w:highlight w:val="white"/>
        </w:rPr>
        <w:t>de edad. Los departamentos que presentaron los niveles más altos de desnutrición crónica fueron: Huancavelica (31,5%), Loreto (25,2%), Cajamarca (24,4%), Huánuco (19,2%), Ayacucho (18,1%) y Pasco (18,0%). Por el contrario, los departamentos que mostraron l</w:t>
      </w:r>
      <w:r>
        <w:rPr>
          <w:rFonts w:ascii="Arial" w:eastAsia="Arial" w:hAnsi="Arial" w:cs="Arial"/>
          <w:sz w:val="24"/>
          <w:szCs w:val="24"/>
          <w:highlight w:val="white"/>
        </w:rPr>
        <w:t>os menores niveles de desnutrición fueron: Tacna (1,9%), Moquegua (2,2%), Lima Metropolitana (4,6%), Provincia Constitucional del Callao (5,6%), Ica (5,9%) y Arequipa (6,0%)... El 40,0% de la población de 6 a 35 meses de edad tiene anemia en el año 2020…en</w:t>
      </w:r>
      <w:r>
        <w:rPr>
          <w:rFonts w:ascii="Arial" w:eastAsia="Arial" w:hAnsi="Arial" w:cs="Arial"/>
          <w:sz w:val="24"/>
          <w:szCs w:val="24"/>
          <w:highlight w:val="white"/>
        </w:rPr>
        <w:t xml:space="preserve"> el área rural (48,4%), que la urbana (36,7%)” (Fuente INEI </w:t>
      </w:r>
      <w:hyperlink r:id="rId8" w:anchor=":~:text=En%20el%20a%C3%B1o%202020%2C%20el,de%20Resultados%20de%20los%20Programas">
        <w:r>
          <w:rPr>
            <w:rFonts w:ascii="Arial" w:eastAsia="Arial" w:hAnsi="Arial" w:cs="Arial"/>
            <w:sz w:val="24"/>
            <w:szCs w:val="24"/>
            <w:highlight w:val="white"/>
            <w:u w:val="single"/>
          </w:rPr>
          <w:t>https://m.inei.gob.pe/prensa/noticias/el-121-de-la-poblacion-menor-de-cinco-anos-de-edad-del-pais-sufrio-desnutricion-cronica-en-el-ano-2020-12838/#:~:text=En%20el%20a%C3%B1o%202020%2C%20el,de%20Resu</w:t>
        </w:r>
        <w:r>
          <w:rPr>
            <w:rFonts w:ascii="Arial" w:eastAsia="Arial" w:hAnsi="Arial" w:cs="Arial"/>
            <w:sz w:val="24"/>
            <w:szCs w:val="24"/>
            <w:highlight w:val="white"/>
            <w:u w:val="single"/>
          </w:rPr>
          <w:t>ltados%20de%20los%20Programas</w:t>
        </w:r>
      </w:hyperlink>
      <w:r>
        <w:rPr>
          <w:rFonts w:ascii="Arial" w:eastAsia="Arial" w:hAnsi="Arial" w:cs="Arial"/>
          <w:sz w:val="24"/>
          <w:szCs w:val="24"/>
          <w:highlight w:val="white"/>
        </w:rPr>
        <w:t>).</w:t>
      </w:r>
    </w:p>
    <w:p w:rsidR="000761CD" w:rsidRDefault="000761CD">
      <w:pPr>
        <w:pBdr>
          <w:top w:val="nil"/>
          <w:left w:val="nil"/>
          <w:bottom w:val="nil"/>
          <w:right w:val="nil"/>
          <w:between w:val="nil"/>
        </w:pBdr>
        <w:spacing w:after="0" w:line="240" w:lineRule="auto"/>
        <w:ind w:left="720"/>
        <w:jc w:val="both"/>
        <w:rPr>
          <w:rFonts w:ascii="Arial" w:eastAsia="Arial" w:hAnsi="Arial" w:cs="Arial"/>
          <w:sz w:val="24"/>
          <w:szCs w:val="24"/>
          <w:highlight w:val="white"/>
        </w:rPr>
      </w:pPr>
    </w:p>
    <w:p w:rsidR="000761CD" w:rsidRDefault="000761CD">
      <w:pPr>
        <w:spacing w:after="0" w:line="240" w:lineRule="auto"/>
        <w:jc w:val="both"/>
        <w:rPr>
          <w:rFonts w:ascii="Arial" w:eastAsia="Arial" w:hAnsi="Arial" w:cs="Arial"/>
          <w:sz w:val="24"/>
          <w:szCs w:val="24"/>
        </w:rPr>
      </w:pPr>
    </w:p>
    <w:p w:rsidR="000761CD" w:rsidRDefault="000761CD">
      <w:pPr>
        <w:spacing w:after="0" w:line="240" w:lineRule="auto"/>
        <w:jc w:val="both"/>
        <w:rPr>
          <w:rFonts w:ascii="Arial" w:eastAsia="Arial" w:hAnsi="Arial" w:cs="Arial"/>
          <w:sz w:val="24"/>
          <w:szCs w:val="24"/>
        </w:rPr>
      </w:pPr>
    </w:p>
    <w:p w:rsidR="000761CD" w:rsidRDefault="000761CD">
      <w:pPr>
        <w:spacing w:after="0" w:line="240" w:lineRule="auto"/>
        <w:jc w:val="both"/>
        <w:rPr>
          <w:rFonts w:ascii="Arial" w:eastAsia="Arial" w:hAnsi="Arial" w:cs="Arial"/>
          <w:sz w:val="24"/>
          <w:szCs w:val="24"/>
        </w:rPr>
      </w:pPr>
    </w:p>
    <w:p w:rsidR="000761CD" w:rsidRDefault="000761CD">
      <w:pPr>
        <w:spacing w:after="0" w:line="240" w:lineRule="auto"/>
        <w:jc w:val="both"/>
        <w:rPr>
          <w:rFonts w:ascii="Arial" w:eastAsia="Arial" w:hAnsi="Arial" w:cs="Arial"/>
          <w:sz w:val="24"/>
          <w:szCs w:val="24"/>
        </w:rPr>
      </w:pPr>
    </w:p>
    <w:p w:rsidR="000761CD" w:rsidRDefault="00492070">
      <w:pPr>
        <w:numPr>
          <w:ilvl w:val="0"/>
          <w:numId w:val="3"/>
        </w:numPr>
        <w:pBdr>
          <w:top w:val="nil"/>
          <w:left w:val="nil"/>
          <w:bottom w:val="nil"/>
          <w:right w:val="nil"/>
          <w:between w:val="nil"/>
        </w:pBdr>
        <w:spacing w:after="0" w:line="240" w:lineRule="auto"/>
        <w:jc w:val="both"/>
        <w:rPr>
          <w:rFonts w:ascii="Arial" w:eastAsia="Arial" w:hAnsi="Arial" w:cs="Arial"/>
          <w:b/>
          <w:sz w:val="24"/>
          <w:szCs w:val="24"/>
        </w:rPr>
      </w:pPr>
      <w:r>
        <w:rPr>
          <w:rFonts w:ascii="Arial" w:eastAsia="Arial" w:hAnsi="Arial" w:cs="Arial"/>
          <w:b/>
          <w:sz w:val="24"/>
          <w:szCs w:val="24"/>
        </w:rPr>
        <w:t xml:space="preserve">Derecho a la Educación </w:t>
      </w:r>
    </w:p>
    <w:p w:rsidR="000761CD" w:rsidRDefault="000761CD">
      <w:pPr>
        <w:spacing w:after="0" w:line="240" w:lineRule="auto"/>
        <w:ind w:left="360"/>
        <w:jc w:val="both"/>
        <w:rPr>
          <w:rFonts w:ascii="Arial" w:eastAsia="Arial" w:hAnsi="Arial" w:cs="Arial"/>
          <w:sz w:val="24"/>
          <w:szCs w:val="24"/>
        </w:rPr>
      </w:pPr>
    </w:p>
    <w:p w:rsidR="000761CD" w:rsidRDefault="0049207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En el contexto educativo en el Perú desde antes de la pandemia se evidenciaba la deficiencia en cuanto al acceso a la educación por parte de la población más vulnerable, y posteriormente a raíz del COVID 19 se incrementó, a pesar que se implementaron las c</w:t>
      </w:r>
      <w:r>
        <w:rPr>
          <w:rFonts w:ascii="Arial" w:eastAsia="Arial" w:hAnsi="Arial" w:cs="Arial"/>
          <w:sz w:val="24"/>
          <w:szCs w:val="24"/>
        </w:rPr>
        <w:t>lases en casa por vías alternativas como clases online, sin embargo esto carece de efectividad debido al déficit de herramientas sobretodo tecnológicas tanto para alumnos como para docentes a esto se le suma el hecho de que muchos padres debían asumir la t</w:t>
      </w:r>
      <w:r>
        <w:rPr>
          <w:rFonts w:ascii="Arial" w:eastAsia="Arial" w:hAnsi="Arial" w:cs="Arial"/>
          <w:sz w:val="24"/>
          <w:szCs w:val="24"/>
        </w:rPr>
        <w:t>area de ser los facilitadores del aprendizaje de sus hijos, cuando algunos de estos padres adolecen de habilidades, conocimientos y competencias para asumir esa labor.</w:t>
      </w:r>
    </w:p>
    <w:p w:rsidR="000761CD" w:rsidRDefault="000761CD">
      <w:pPr>
        <w:pBdr>
          <w:top w:val="nil"/>
          <w:left w:val="nil"/>
          <w:bottom w:val="nil"/>
          <w:right w:val="nil"/>
          <w:between w:val="nil"/>
        </w:pBdr>
        <w:spacing w:after="0" w:line="240" w:lineRule="auto"/>
        <w:ind w:left="720"/>
        <w:jc w:val="both"/>
        <w:rPr>
          <w:rFonts w:ascii="Arial" w:eastAsia="Arial" w:hAnsi="Arial" w:cs="Arial"/>
          <w:sz w:val="24"/>
          <w:szCs w:val="24"/>
        </w:rPr>
      </w:pPr>
    </w:p>
    <w:p w:rsidR="000761CD" w:rsidRDefault="0049207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Es por ello que la defensoría hace hincapié en la evaluación  de los procesos educativo</w:t>
      </w:r>
      <w:r>
        <w:rPr>
          <w:rFonts w:ascii="Arial" w:eastAsia="Arial" w:hAnsi="Arial" w:cs="Arial"/>
          <w:sz w:val="24"/>
          <w:szCs w:val="24"/>
        </w:rPr>
        <w:t>s los cuales estaban suspendidos y que son instrumentos que permiten medir los aprendizajes  y de esta manera aportar información necesaria para mejorar en el ámbito educativo.</w:t>
      </w:r>
    </w:p>
    <w:p w:rsidR="000761CD" w:rsidRDefault="000761CD">
      <w:pPr>
        <w:pBdr>
          <w:top w:val="nil"/>
          <w:left w:val="nil"/>
          <w:bottom w:val="nil"/>
          <w:right w:val="nil"/>
          <w:between w:val="nil"/>
        </w:pBdr>
        <w:spacing w:after="0"/>
        <w:ind w:left="720"/>
        <w:rPr>
          <w:rFonts w:ascii="Arial" w:eastAsia="Arial" w:hAnsi="Arial" w:cs="Arial"/>
          <w:sz w:val="24"/>
          <w:szCs w:val="24"/>
        </w:rPr>
      </w:pPr>
    </w:p>
    <w:p w:rsidR="000761CD" w:rsidRDefault="000761CD">
      <w:pPr>
        <w:pBdr>
          <w:top w:val="nil"/>
          <w:left w:val="nil"/>
          <w:bottom w:val="nil"/>
          <w:right w:val="nil"/>
          <w:between w:val="nil"/>
        </w:pBdr>
        <w:spacing w:after="0" w:line="240" w:lineRule="auto"/>
        <w:ind w:left="720"/>
        <w:jc w:val="both"/>
        <w:rPr>
          <w:rFonts w:ascii="Arial" w:eastAsia="Arial" w:hAnsi="Arial" w:cs="Arial"/>
          <w:sz w:val="24"/>
          <w:szCs w:val="24"/>
        </w:rPr>
      </w:pPr>
    </w:p>
    <w:p w:rsidR="000761CD" w:rsidRDefault="00492070">
      <w:pPr>
        <w:pBdr>
          <w:top w:val="nil"/>
          <w:left w:val="nil"/>
          <w:bottom w:val="nil"/>
          <w:right w:val="nil"/>
          <w:between w:val="nil"/>
        </w:pBdr>
        <w:spacing w:after="0" w:line="240" w:lineRule="auto"/>
        <w:ind w:left="720"/>
        <w:jc w:val="both"/>
        <w:rPr>
          <w:rFonts w:ascii="Arial" w:eastAsia="Arial" w:hAnsi="Arial" w:cs="Arial"/>
          <w:sz w:val="24"/>
          <w:szCs w:val="24"/>
        </w:rPr>
      </w:pPr>
      <w:r>
        <w:rPr>
          <w:rFonts w:ascii="Arial" w:eastAsia="Arial" w:hAnsi="Arial" w:cs="Arial"/>
          <w:sz w:val="24"/>
          <w:szCs w:val="24"/>
        </w:rPr>
        <w:t>“La evaluación del logro de los aprendizajes es un factor relevante porque permite obtener información para efectuar mejoras al sistema educativo y a la política pedagógica implementada por el Gobierno nacional.</w:t>
      </w:r>
    </w:p>
    <w:p w:rsidR="000761CD" w:rsidRDefault="00492070">
      <w:pPr>
        <w:pBdr>
          <w:top w:val="nil"/>
          <w:left w:val="nil"/>
          <w:bottom w:val="nil"/>
          <w:right w:val="nil"/>
          <w:between w:val="nil"/>
        </w:pBdr>
        <w:spacing w:after="0" w:line="240" w:lineRule="auto"/>
        <w:ind w:left="720"/>
        <w:jc w:val="both"/>
        <w:rPr>
          <w:rFonts w:ascii="Arial" w:eastAsia="Arial" w:hAnsi="Arial" w:cs="Arial"/>
          <w:sz w:val="24"/>
          <w:szCs w:val="24"/>
        </w:rPr>
      </w:pPr>
      <w:r>
        <w:rPr>
          <w:rFonts w:ascii="Arial" w:eastAsia="Arial" w:hAnsi="Arial" w:cs="Arial"/>
          <w:sz w:val="24"/>
          <w:szCs w:val="24"/>
        </w:rPr>
        <w:t>Además, dicho tipo de evaluación es una herr</w:t>
      </w:r>
      <w:r>
        <w:rPr>
          <w:rFonts w:ascii="Arial" w:eastAsia="Arial" w:hAnsi="Arial" w:cs="Arial"/>
          <w:sz w:val="24"/>
          <w:szCs w:val="24"/>
        </w:rPr>
        <w:t>amienta contra la desigualdad de oportunidades en el logro de aprendizajes que afectan a poblaciones en condición de vulnerabilidad…”(Informe anual 2021 DP).</w:t>
      </w:r>
    </w:p>
    <w:p w:rsidR="000761CD" w:rsidRDefault="000761CD">
      <w:pPr>
        <w:pBdr>
          <w:top w:val="nil"/>
          <w:left w:val="nil"/>
          <w:bottom w:val="nil"/>
          <w:right w:val="nil"/>
          <w:between w:val="nil"/>
        </w:pBdr>
        <w:spacing w:after="0" w:line="240" w:lineRule="auto"/>
        <w:ind w:left="720"/>
        <w:jc w:val="both"/>
        <w:rPr>
          <w:rFonts w:ascii="Arial" w:eastAsia="Arial" w:hAnsi="Arial" w:cs="Arial"/>
          <w:sz w:val="24"/>
          <w:szCs w:val="24"/>
        </w:rPr>
      </w:pPr>
    </w:p>
    <w:p w:rsidR="000761CD" w:rsidRDefault="00492070">
      <w:pPr>
        <w:numPr>
          <w:ilvl w:val="0"/>
          <w:numId w:val="3"/>
        </w:numPr>
        <w:pBdr>
          <w:top w:val="nil"/>
          <w:left w:val="nil"/>
          <w:bottom w:val="nil"/>
          <w:right w:val="nil"/>
          <w:between w:val="nil"/>
        </w:pBdr>
        <w:spacing w:after="0" w:line="240" w:lineRule="auto"/>
        <w:jc w:val="both"/>
        <w:rPr>
          <w:rFonts w:ascii="Arial" w:eastAsia="Arial" w:hAnsi="Arial" w:cs="Arial"/>
          <w:b/>
          <w:sz w:val="24"/>
          <w:szCs w:val="24"/>
        </w:rPr>
      </w:pPr>
      <w:r>
        <w:rPr>
          <w:rFonts w:ascii="Arial" w:eastAsia="Arial" w:hAnsi="Arial" w:cs="Arial"/>
          <w:b/>
          <w:sz w:val="24"/>
          <w:szCs w:val="24"/>
        </w:rPr>
        <w:t>Privados de libertad</w:t>
      </w:r>
      <w:r>
        <w:rPr>
          <w:rFonts w:ascii="Arial" w:eastAsia="Arial" w:hAnsi="Arial" w:cs="Arial"/>
          <w:b/>
          <w:sz w:val="24"/>
          <w:szCs w:val="24"/>
        </w:rPr>
        <w:t>.</w:t>
      </w:r>
    </w:p>
    <w:p w:rsidR="000761CD" w:rsidRDefault="000761CD">
      <w:pPr>
        <w:spacing w:after="0" w:line="240" w:lineRule="auto"/>
        <w:ind w:left="360"/>
        <w:jc w:val="both"/>
        <w:rPr>
          <w:rFonts w:ascii="Arial" w:eastAsia="Arial" w:hAnsi="Arial" w:cs="Arial"/>
          <w:b/>
          <w:sz w:val="24"/>
          <w:szCs w:val="24"/>
        </w:rPr>
      </w:pPr>
    </w:p>
    <w:p w:rsidR="000761CD" w:rsidRDefault="0049207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Las denuncias </w:t>
      </w:r>
      <w:r>
        <w:rPr>
          <w:rFonts w:ascii="Arial" w:eastAsia="Arial" w:hAnsi="Arial" w:cs="Arial"/>
          <w:sz w:val="24"/>
          <w:szCs w:val="24"/>
        </w:rPr>
        <w:t xml:space="preserve">de </w:t>
      </w:r>
      <w:r>
        <w:rPr>
          <w:rFonts w:ascii="Arial" w:eastAsia="Arial" w:hAnsi="Arial" w:cs="Arial"/>
          <w:sz w:val="24"/>
          <w:szCs w:val="24"/>
        </w:rPr>
        <w:t>los defensores de los derechos humanos se han dirigidos por diversos temas, entre algunos lo referentes a los procesos de excarcelación, la aplicación de la fuerza extrema por parte de los agentes de seguridad y muy particularmente lo relativo a la atenció</w:t>
      </w:r>
      <w:r>
        <w:rPr>
          <w:rFonts w:ascii="Arial" w:eastAsia="Arial" w:hAnsi="Arial" w:cs="Arial"/>
          <w:sz w:val="24"/>
          <w:szCs w:val="24"/>
        </w:rPr>
        <w:t>n de salud, la cual fue muy notable en la pandemia, donde por déficit de atención para esta población, comenzaron una ola de motines y protestas que buscaban respuestas concretas en torno a la situación que se estaba viviendo y que siendo el hacinamiento u</w:t>
      </w:r>
      <w:r>
        <w:rPr>
          <w:rFonts w:ascii="Arial" w:eastAsia="Arial" w:hAnsi="Arial" w:cs="Arial"/>
          <w:sz w:val="24"/>
          <w:szCs w:val="24"/>
        </w:rPr>
        <w:t>na de las características para la propagación de virus, pues era necesario tomar medidas idóneas para evitar la morbimortalidad por causa del COVID 19.</w:t>
      </w:r>
    </w:p>
    <w:p w:rsidR="000761CD" w:rsidRDefault="000761CD">
      <w:pPr>
        <w:pBdr>
          <w:top w:val="nil"/>
          <w:left w:val="nil"/>
          <w:bottom w:val="nil"/>
          <w:right w:val="nil"/>
          <w:between w:val="nil"/>
        </w:pBdr>
        <w:spacing w:after="0" w:line="240" w:lineRule="auto"/>
        <w:ind w:left="720"/>
        <w:jc w:val="both"/>
        <w:rPr>
          <w:rFonts w:ascii="Arial" w:eastAsia="Arial" w:hAnsi="Arial" w:cs="Arial"/>
          <w:sz w:val="24"/>
          <w:szCs w:val="24"/>
        </w:rPr>
      </w:pPr>
    </w:p>
    <w:p w:rsidR="000761CD" w:rsidRDefault="0049207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Igualmente se evidencia la falta de comunicación de los privados de libertad con sus abogados y familia</w:t>
      </w:r>
      <w:r>
        <w:rPr>
          <w:rFonts w:ascii="Arial" w:eastAsia="Arial" w:hAnsi="Arial" w:cs="Arial"/>
          <w:sz w:val="24"/>
          <w:szCs w:val="24"/>
        </w:rPr>
        <w:t>res, la dilación en la presentación de casos ante la autoridad judicial y las condiciones de infraestructura y materiales para la permanencia en estas instituciones, hechos estos corroborados a través de las supervisiones realizadas por la defensoría del p</w:t>
      </w:r>
      <w:r>
        <w:rPr>
          <w:rFonts w:ascii="Arial" w:eastAsia="Arial" w:hAnsi="Arial" w:cs="Arial"/>
          <w:sz w:val="24"/>
          <w:szCs w:val="24"/>
        </w:rPr>
        <w:t>ueblo.</w:t>
      </w:r>
    </w:p>
    <w:p w:rsidR="000761CD" w:rsidRDefault="000761CD">
      <w:pPr>
        <w:pBdr>
          <w:top w:val="nil"/>
          <w:left w:val="nil"/>
          <w:bottom w:val="nil"/>
          <w:right w:val="nil"/>
          <w:between w:val="nil"/>
        </w:pBdr>
        <w:spacing w:after="0"/>
        <w:ind w:left="720"/>
        <w:rPr>
          <w:rFonts w:ascii="Arial" w:eastAsia="Arial" w:hAnsi="Arial" w:cs="Arial"/>
          <w:sz w:val="24"/>
          <w:szCs w:val="24"/>
        </w:rPr>
      </w:pPr>
    </w:p>
    <w:p w:rsidR="000761CD" w:rsidRDefault="00492070">
      <w:pPr>
        <w:pBdr>
          <w:top w:val="nil"/>
          <w:left w:val="nil"/>
          <w:bottom w:val="nil"/>
          <w:right w:val="nil"/>
          <w:between w:val="nil"/>
        </w:pBdr>
        <w:spacing w:after="0" w:line="240" w:lineRule="auto"/>
        <w:ind w:left="720"/>
        <w:jc w:val="both"/>
        <w:rPr>
          <w:rFonts w:ascii="Arial" w:eastAsia="Arial" w:hAnsi="Arial" w:cs="Arial"/>
          <w:sz w:val="24"/>
          <w:szCs w:val="24"/>
        </w:rPr>
      </w:pPr>
      <w:r>
        <w:rPr>
          <w:rFonts w:ascii="Arial" w:eastAsia="Arial" w:hAnsi="Arial" w:cs="Arial"/>
          <w:sz w:val="24"/>
          <w:szCs w:val="24"/>
        </w:rPr>
        <w:lastRenderedPageBreak/>
        <w:t>“en cuanto a la comunicación con el mundo exterior, dificultades para comunicarse con abogados defensores y familiares, y para recibir visitas de sus familiares; en cuanto a las condiciones materiales, servicios higiénicos en estado inadecuado e in</w:t>
      </w:r>
      <w:r>
        <w:rPr>
          <w:rFonts w:ascii="Arial" w:eastAsia="Arial" w:hAnsi="Arial" w:cs="Arial"/>
          <w:sz w:val="24"/>
          <w:szCs w:val="24"/>
        </w:rPr>
        <w:t>apropiadas condiciones de alojamiento (camas, colchones). Respecto al trato recibido es de resaltar la demora en la puesta a disposición de las personas detenidas ante la autoridad judicial.” (Sexto informe anual 2022 MNPT).</w:t>
      </w:r>
    </w:p>
    <w:p w:rsidR="000761CD" w:rsidRDefault="000761CD">
      <w:pPr>
        <w:pBdr>
          <w:top w:val="nil"/>
          <w:left w:val="nil"/>
          <w:bottom w:val="nil"/>
          <w:right w:val="nil"/>
          <w:between w:val="nil"/>
        </w:pBdr>
        <w:spacing w:after="0" w:line="240" w:lineRule="auto"/>
        <w:jc w:val="both"/>
        <w:rPr>
          <w:rFonts w:ascii="Arial" w:eastAsia="Arial" w:hAnsi="Arial" w:cs="Arial"/>
          <w:sz w:val="24"/>
          <w:szCs w:val="24"/>
        </w:rPr>
      </w:pPr>
    </w:p>
    <w:p w:rsidR="000761CD" w:rsidRDefault="000761CD">
      <w:pPr>
        <w:pBdr>
          <w:top w:val="nil"/>
          <w:left w:val="nil"/>
          <w:bottom w:val="nil"/>
          <w:right w:val="nil"/>
          <w:between w:val="nil"/>
        </w:pBdr>
        <w:spacing w:after="0" w:line="240" w:lineRule="auto"/>
        <w:ind w:left="720"/>
        <w:jc w:val="both"/>
        <w:rPr>
          <w:rFonts w:ascii="Arial" w:eastAsia="Arial" w:hAnsi="Arial" w:cs="Arial"/>
          <w:sz w:val="24"/>
          <w:szCs w:val="24"/>
        </w:rPr>
      </w:pPr>
    </w:p>
    <w:p w:rsidR="000761CD" w:rsidRDefault="00492070">
      <w:pPr>
        <w:pBdr>
          <w:top w:val="nil"/>
          <w:left w:val="nil"/>
          <w:bottom w:val="nil"/>
          <w:right w:val="nil"/>
          <w:between w:val="nil"/>
        </w:pBdr>
        <w:spacing w:after="0" w:line="240" w:lineRule="auto"/>
        <w:jc w:val="both"/>
        <w:rPr>
          <w:rFonts w:ascii="Arial" w:eastAsia="Arial" w:hAnsi="Arial" w:cs="Arial"/>
          <w:b/>
          <w:sz w:val="24"/>
          <w:szCs w:val="24"/>
        </w:rPr>
      </w:pPr>
      <w:r>
        <w:rPr>
          <w:rFonts w:ascii="Arial" w:eastAsia="Arial" w:hAnsi="Arial" w:cs="Arial"/>
          <w:b/>
          <w:sz w:val="24"/>
          <w:szCs w:val="24"/>
        </w:rPr>
        <w:t xml:space="preserve">        E.  Salud Mental.</w:t>
      </w:r>
    </w:p>
    <w:p w:rsidR="000761CD" w:rsidRDefault="000761CD">
      <w:pPr>
        <w:spacing w:after="0" w:line="240" w:lineRule="auto"/>
        <w:jc w:val="both"/>
        <w:rPr>
          <w:rFonts w:ascii="Arial" w:eastAsia="Arial" w:hAnsi="Arial" w:cs="Arial"/>
          <w:sz w:val="24"/>
          <w:szCs w:val="24"/>
        </w:rPr>
      </w:pPr>
    </w:p>
    <w:p w:rsidR="000761CD" w:rsidRDefault="00492070">
      <w:pPr>
        <w:numPr>
          <w:ilvl w:val="0"/>
          <w:numId w:val="1"/>
        </w:numPr>
        <w:spacing w:after="0" w:line="240" w:lineRule="auto"/>
        <w:jc w:val="both"/>
        <w:rPr>
          <w:rFonts w:ascii="Arial" w:eastAsia="Arial" w:hAnsi="Arial" w:cs="Arial"/>
          <w:sz w:val="24"/>
          <w:szCs w:val="24"/>
        </w:rPr>
      </w:pPr>
      <w:r>
        <w:rPr>
          <w:rFonts w:ascii="Arial" w:eastAsia="Arial" w:hAnsi="Arial" w:cs="Arial"/>
          <w:sz w:val="24"/>
          <w:szCs w:val="24"/>
        </w:rPr>
        <w:t>Dentro del contexto de la salud mental de las personas privadas de libertad observamos con preocupación los tratos crueles e inhumanos que son sometidos las personas recluidas en los centros de detención y las cárceles, “</w:t>
      </w:r>
      <w:r>
        <w:rPr>
          <w:rFonts w:ascii="Arial" w:eastAsia="Arial" w:hAnsi="Arial" w:cs="Arial"/>
          <w:sz w:val="24"/>
          <w:szCs w:val="24"/>
          <w:highlight w:val="white"/>
        </w:rPr>
        <w:t>Entre enero y diciembre de 2018, la</w:t>
      </w:r>
      <w:r>
        <w:rPr>
          <w:rFonts w:ascii="Arial" w:eastAsia="Arial" w:hAnsi="Arial" w:cs="Arial"/>
          <w:sz w:val="24"/>
          <w:szCs w:val="24"/>
          <w:highlight w:val="white"/>
        </w:rPr>
        <w:t xml:space="preserve"> Defensoría del Pueblo identificó tres casos de afectación arbitraria al derecho a la vida, producidos principalmente en establecimientos penitenciarios y en el Ejército. Asimismo, se conoció de 223 casos de afectaciones al derecho a la integridad personal</w:t>
      </w:r>
      <w:r>
        <w:rPr>
          <w:rFonts w:ascii="Arial" w:eastAsia="Arial" w:hAnsi="Arial" w:cs="Arial"/>
          <w:sz w:val="24"/>
          <w:szCs w:val="24"/>
          <w:highlight w:val="white"/>
        </w:rPr>
        <w:t>, seis en la modalidad de tortura, 174 como maltrato físico o psicológico, 20 como trato cruel, inhumano o degradante, 21 como uso desproporcionado de la fuerza pública, y dos como vulneración al trato preferente hacia mujeres embaraza¬das, niños y niñas y</w:t>
      </w:r>
      <w:r>
        <w:rPr>
          <w:rFonts w:ascii="Arial" w:eastAsia="Arial" w:hAnsi="Arial" w:cs="Arial"/>
          <w:sz w:val="24"/>
          <w:szCs w:val="24"/>
          <w:highlight w:val="white"/>
        </w:rPr>
        <w:t xml:space="preserve"> personas adultas mayores” (</w:t>
      </w:r>
      <w:hyperlink r:id="rId9">
        <w:r>
          <w:rPr>
            <w:rFonts w:ascii="Arial" w:eastAsia="Arial" w:hAnsi="Arial" w:cs="Arial"/>
            <w:sz w:val="24"/>
            <w:szCs w:val="24"/>
            <w:highlight w:val="white"/>
            <w:u w:val="single"/>
          </w:rPr>
          <w:t>https://pradpi.es/es/noticias/peru-recordamos-al-estado-peruano-su-compromiso-con-la-p</w:t>
        </w:r>
        <w:r>
          <w:rPr>
            <w:rFonts w:ascii="Arial" w:eastAsia="Arial" w:hAnsi="Arial" w:cs="Arial"/>
            <w:sz w:val="24"/>
            <w:szCs w:val="24"/>
            <w:highlight w:val="white"/>
            <w:u w:val="single"/>
          </w:rPr>
          <w:t>revencion-y-el-combate-de-la-tortura</w:t>
        </w:r>
      </w:hyperlink>
      <w:r>
        <w:rPr>
          <w:rFonts w:ascii="Arial" w:eastAsia="Arial" w:hAnsi="Arial" w:cs="Arial"/>
          <w:sz w:val="24"/>
          <w:szCs w:val="24"/>
          <w:highlight w:val="white"/>
        </w:rPr>
        <w:t>).</w:t>
      </w:r>
    </w:p>
    <w:p w:rsidR="000761CD" w:rsidRDefault="00492070">
      <w:pPr>
        <w:numPr>
          <w:ilvl w:val="0"/>
          <w:numId w:val="1"/>
        </w:numPr>
        <w:spacing w:after="0" w:line="240" w:lineRule="auto"/>
        <w:jc w:val="both"/>
        <w:rPr>
          <w:rFonts w:ascii="Arial" w:eastAsia="Arial" w:hAnsi="Arial" w:cs="Arial"/>
          <w:sz w:val="24"/>
          <w:szCs w:val="24"/>
          <w:highlight w:val="white"/>
        </w:rPr>
      </w:pPr>
      <w:r>
        <w:rPr>
          <w:rFonts w:ascii="Arial" w:eastAsia="Arial" w:hAnsi="Arial" w:cs="Arial"/>
          <w:sz w:val="24"/>
          <w:szCs w:val="24"/>
          <w:highlight w:val="white"/>
        </w:rPr>
        <w:t xml:space="preserve"> Según informe de” la Defensoría del Pueblo, revela que, en cada uno de esos centros, entre el 4 % y el 31 % de las alumnas encuestadas dijeron haber sufrido agresiones…el informe contiene el resultado de supervisione</w:t>
      </w:r>
      <w:r>
        <w:rPr>
          <w:rFonts w:ascii="Arial" w:eastAsia="Arial" w:hAnsi="Arial" w:cs="Arial"/>
          <w:sz w:val="24"/>
          <w:szCs w:val="24"/>
          <w:highlight w:val="white"/>
        </w:rPr>
        <w:t xml:space="preserve">s inopinadas y encuestas anónimas a las alumnas de cuatro instituciones militares y policiales… Sobre la salud física y psicológica de las estudiantes, se advirtió que en el Instituto de Educación Superior Tecnológico Público Naval (Citen) y en la Escuela </w:t>
      </w:r>
      <w:r>
        <w:rPr>
          <w:rFonts w:ascii="Arial" w:eastAsia="Arial" w:hAnsi="Arial" w:cs="Arial"/>
          <w:sz w:val="24"/>
          <w:szCs w:val="24"/>
          <w:highlight w:val="white"/>
        </w:rPr>
        <w:t xml:space="preserve">Militar de Chorrillos 'Coronel Francisco Bolognesi' el trato y la actividad en el primer mes de internamiento es "muy drástico y marca el inicio de su formación", lo que podría afectar psicológicamente a las alumnas” </w:t>
      </w:r>
    </w:p>
    <w:p w:rsidR="000761CD" w:rsidRDefault="00492070">
      <w:pPr>
        <w:spacing w:after="0" w:line="240" w:lineRule="auto"/>
        <w:ind w:left="720"/>
        <w:jc w:val="both"/>
        <w:rPr>
          <w:rFonts w:ascii="Arial" w:eastAsia="Arial" w:hAnsi="Arial" w:cs="Arial"/>
          <w:sz w:val="24"/>
          <w:szCs w:val="24"/>
          <w:highlight w:val="white"/>
        </w:rPr>
      </w:pPr>
      <w:r>
        <w:rPr>
          <w:rFonts w:ascii="Arial" w:eastAsia="Arial" w:hAnsi="Arial" w:cs="Arial"/>
          <w:sz w:val="24"/>
          <w:szCs w:val="24"/>
          <w:highlight w:val="white"/>
        </w:rPr>
        <w:t>(</w:t>
      </w:r>
      <w:hyperlink r:id="rId10">
        <w:r>
          <w:rPr>
            <w:rFonts w:ascii="Arial" w:eastAsia="Arial" w:hAnsi="Arial" w:cs="Arial"/>
            <w:sz w:val="24"/>
            <w:szCs w:val="24"/>
            <w:highlight w:val="white"/>
            <w:u w:val="single"/>
          </w:rPr>
          <w:t>https://www.elperiodico.com/es/internacional/20190622/defensoria-del-pueblo-alumnas-admiten-agresiones-en-escuelas-militares-peru-751732</w:t>
        </w:r>
        <w:r>
          <w:rPr>
            <w:rFonts w:ascii="Arial" w:eastAsia="Arial" w:hAnsi="Arial" w:cs="Arial"/>
            <w:sz w:val="24"/>
            <w:szCs w:val="24"/>
            <w:highlight w:val="white"/>
            <w:u w:val="single"/>
          </w:rPr>
          <w:t>2</w:t>
        </w:r>
      </w:hyperlink>
      <w:r>
        <w:rPr>
          <w:rFonts w:ascii="Arial" w:eastAsia="Arial" w:hAnsi="Arial" w:cs="Arial"/>
          <w:sz w:val="24"/>
          <w:szCs w:val="24"/>
          <w:highlight w:val="white"/>
        </w:rPr>
        <w:t>).</w:t>
      </w:r>
    </w:p>
    <w:p w:rsidR="000761CD" w:rsidRDefault="00492070">
      <w:pPr>
        <w:numPr>
          <w:ilvl w:val="0"/>
          <w:numId w:val="1"/>
        </w:numPr>
        <w:spacing w:after="0" w:line="240" w:lineRule="auto"/>
        <w:jc w:val="both"/>
        <w:rPr>
          <w:rFonts w:ascii="Arial" w:eastAsia="Arial" w:hAnsi="Arial" w:cs="Arial"/>
          <w:sz w:val="24"/>
          <w:szCs w:val="24"/>
          <w:highlight w:val="white"/>
        </w:rPr>
      </w:pPr>
      <w:r>
        <w:rPr>
          <w:rFonts w:ascii="Arial" w:eastAsia="Arial" w:hAnsi="Arial" w:cs="Arial"/>
          <w:sz w:val="24"/>
          <w:szCs w:val="24"/>
          <w:highlight w:val="white"/>
        </w:rPr>
        <w:t xml:space="preserve"> La Defensoría del Pueblo advirtió sobre la necesidad de priorizar la atención de la salud mental en el Perú, que se encuentra en estado de emergencia desde antes de la llegada del COVID-19. Esto ha sido señalado por la institución en distintos informe</w:t>
      </w:r>
      <w:r>
        <w:rPr>
          <w:rFonts w:ascii="Arial" w:eastAsia="Arial" w:hAnsi="Arial" w:cs="Arial"/>
          <w:sz w:val="24"/>
          <w:szCs w:val="24"/>
          <w:highlight w:val="white"/>
        </w:rPr>
        <w:t>s, como el Informe Defensorial Nº 180 “El derecho a la salud mental”, publicado en el año 2018 y el Informe Especial N° 5 de este año, en el cual se brindan alcances a tomar en cuenta en el contexto de la pandemia.. Según datos de la Organización Mundial d</w:t>
      </w:r>
      <w:r>
        <w:rPr>
          <w:rFonts w:ascii="Arial" w:eastAsia="Arial" w:hAnsi="Arial" w:cs="Arial"/>
          <w:sz w:val="24"/>
          <w:szCs w:val="24"/>
          <w:highlight w:val="white"/>
        </w:rPr>
        <w:t xml:space="preserve">e la Salud, el Perú tiene en promedio 3 psiquiatras y 10 psicólogos por cada 100 000 habitantes. A estas cifras, se suma al problema del centralismo en la atención de la salud. Así tenemos que, en el 2016, de los 264 psiquiatras que </w:t>
      </w:r>
      <w:r>
        <w:rPr>
          <w:rFonts w:ascii="Arial" w:eastAsia="Arial" w:hAnsi="Arial" w:cs="Arial"/>
          <w:sz w:val="24"/>
          <w:szCs w:val="24"/>
          <w:highlight w:val="white"/>
        </w:rPr>
        <w:lastRenderedPageBreak/>
        <w:t>trabajaban en el Minist</w:t>
      </w:r>
      <w:r>
        <w:rPr>
          <w:rFonts w:ascii="Arial" w:eastAsia="Arial" w:hAnsi="Arial" w:cs="Arial"/>
          <w:sz w:val="24"/>
          <w:szCs w:val="24"/>
          <w:highlight w:val="white"/>
        </w:rPr>
        <w:t xml:space="preserve">erio de Salud (Minsa), el 72 % desarrollaban sus actividades en hospitales psiquiátricos de Lima.( </w:t>
      </w:r>
      <w:hyperlink r:id="rId11">
        <w:r>
          <w:rPr>
            <w:rFonts w:ascii="Arial" w:eastAsia="Arial" w:hAnsi="Arial" w:cs="Arial"/>
            <w:sz w:val="24"/>
            <w:szCs w:val="24"/>
            <w:highlight w:val="white"/>
            <w:u w:val="single"/>
          </w:rPr>
          <w:t>https://www.defensoria.g</w:t>
        </w:r>
        <w:r>
          <w:rPr>
            <w:rFonts w:ascii="Arial" w:eastAsia="Arial" w:hAnsi="Arial" w:cs="Arial"/>
            <w:sz w:val="24"/>
            <w:szCs w:val="24"/>
            <w:highlight w:val="white"/>
            <w:u w:val="single"/>
          </w:rPr>
          <w:t>ob.pe/defensoria-del-pueblo-estado-peruano-debe-priorizar-la-atencion-de-la-salud-mental/</w:t>
        </w:r>
      </w:hyperlink>
      <w:r>
        <w:rPr>
          <w:rFonts w:ascii="Arial" w:eastAsia="Arial" w:hAnsi="Arial" w:cs="Arial"/>
          <w:sz w:val="24"/>
          <w:szCs w:val="24"/>
          <w:highlight w:val="white"/>
        </w:rPr>
        <w:t xml:space="preserve">) </w:t>
      </w:r>
    </w:p>
    <w:p w:rsidR="000761CD" w:rsidRDefault="000761CD">
      <w:pPr>
        <w:spacing w:after="0" w:line="240" w:lineRule="auto"/>
        <w:jc w:val="both"/>
        <w:rPr>
          <w:rFonts w:ascii="Arial" w:eastAsia="Arial" w:hAnsi="Arial" w:cs="Arial"/>
          <w:sz w:val="24"/>
          <w:szCs w:val="24"/>
        </w:rPr>
      </w:pPr>
    </w:p>
    <w:p w:rsidR="000761CD" w:rsidRDefault="00492070">
      <w:pPr>
        <w:pBdr>
          <w:top w:val="nil"/>
          <w:left w:val="nil"/>
          <w:bottom w:val="nil"/>
          <w:right w:val="nil"/>
          <w:between w:val="nil"/>
        </w:pBdr>
        <w:spacing w:after="0" w:line="240" w:lineRule="auto"/>
        <w:jc w:val="both"/>
        <w:rPr>
          <w:rFonts w:ascii="Arial" w:eastAsia="Arial" w:hAnsi="Arial" w:cs="Arial"/>
          <w:b/>
          <w:sz w:val="24"/>
          <w:szCs w:val="24"/>
        </w:rPr>
      </w:pPr>
      <w:r>
        <w:rPr>
          <w:rFonts w:ascii="Arial" w:eastAsia="Arial" w:hAnsi="Arial" w:cs="Arial"/>
          <w:b/>
          <w:sz w:val="24"/>
          <w:szCs w:val="24"/>
        </w:rPr>
        <w:t xml:space="preserve">        </w:t>
      </w:r>
    </w:p>
    <w:p w:rsidR="000761CD" w:rsidRDefault="000761CD">
      <w:pPr>
        <w:pBdr>
          <w:top w:val="nil"/>
          <w:left w:val="nil"/>
          <w:bottom w:val="nil"/>
          <w:right w:val="nil"/>
          <w:between w:val="nil"/>
        </w:pBdr>
        <w:spacing w:after="0" w:line="240" w:lineRule="auto"/>
        <w:jc w:val="both"/>
        <w:rPr>
          <w:rFonts w:ascii="Arial" w:eastAsia="Arial" w:hAnsi="Arial" w:cs="Arial"/>
          <w:b/>
          <w:sz w:val="24"/>
          <w:szCs w:val="24"/>
        </w:rPr>
      </w:pPr>
    </w:p>
    <w:p w:rsidR="000761CD" w:rsidRDefault="00492070">
      <w:pPr>
        <w:pBdr>
          <w:top w:val="nil"/>
          <w:left w:val="nil"/>
          <w:bottom w:val="nil"/>
          <w:right w:val="nil"/>
          <w:between w:val="nil"/>
        </w:pBdr>
        <w:spacing w:after="0" w:line="240" w:lineRule="auto"/>
        <w:jc w:val="both"/>
        <w:rPr>
          <w:rFonts w:ascii="Arial" w:eastAsia="Arial" w:hAnsi="Arial" w:cs="Arial"/>
          <w:b/>
          <w:sz w:val="24"/>
          <w:szCs w:val="24"/>
        </w:rPr>
      </w:pPr>
      <w:r>
        <w:rPr>
          <w:rFonts w:ascii="Arial" w:eastAsia="Arial" w:hAnsi="Arial" w:cs="Arial"/>
          <w:b/>
          <w:sz w:val="24"/>
          <w:szCs w:val="24"/>
        </w:rPr>
        <w:t xml:space="preserve"> F. </w:t>
      </w:r>
      <w:r>
        <w:rPr>
          <w:rFonts w:ascii="Arial" w:eastAsia="Arial" w:hAnsi="Arial" w:cs="Arial"/>
          <w:b/>
          <w:sz w:val="24"/>
          <w:szCs w:val="24"/>
        </w:rPr>
        <w:t>Libertad de expresión</w:t>
      </w:r>
    </w:p>
    <w:p w:rsidR="000761CD" w:rsidRDefault="000761CD">
      <w:pPr>
        <w:spacing w:after="0" w:line="240" w:lineRule="auto"/>
        <w:ind w:left="360"/>
        <w:jc w:val="both"/>
        <w:rPr>
          <w:rFonts w:ascii="Arial" w:eastAsia="Arial" w:hAnsi="Arial" w:cs="Arial"/>
          <w:b/>
          <w:sz w:val="24"/>
          <w:szCs w:val="24"/>
        </w:rPr>
      </w:pPr>
    </w:p>
    <w:p w:rsidR="000761CD" w:rsidRDefault="000761CD">
      <w:pPr>
        <w:pBdr>
          <w:top w:val="nil"/>
          <w:left w:val="nil"/>
          <w:bottom w:val="nil"/>
          <w:right w:val="nil"/>
          <w:between w:val="nil"/>
        </w:pBdr>
        <w:spacing w:after="0"/>
        <w:ind w:left="720"/>
        <w:rPr>
          <w:rFonts w:ascii="Arial" w:eastAsia="Arial" w:hAnsi="Arial" w:cs="Arial"/>
          <w:sz w:val="24"/>
          <w:szCs w:val="24"/>
        </w:rPr>
      </w:pPr>
    </w:p>
    <w:p w:rsidR="000761CD" w:rsidRDefault="0049207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Desde el gobierno se utilizado a</w:t>
      </w:r>
      <w:r>
        <w:rPr>
          <w:rFonts w:ascii="Arial" w:eastAsia="Arial" w:hAnsi="Arial" w:cs="Arial"/>
          <w:sz w:val="24"/>
          <w:szCs w:val="24"/>
        </w:rPr>
        <w:t xml:space="preserve"> funcionarios policiales para cercenar la libre expresión de comunicadores sociales, ejemplo de ello es el caso de un oficial de la policía quien solicitó en la Oficina Defensorial de Cusco que un periodista </w:t>
      </w:r>
      <w:r>
        <w:rPr>
          <w:rFonts w:ascii="Arial" w:eastAsia="Arial" w:hAnsi="Arial" w:cs="Arial"/>
          <w:sz w:val="24"/>
          <w:szCs w:val="24"/>
        </w:rPr>
        <w:t>rectifica</w:t>
      </w:r>
      <w:r>
        <w:rPr>
          <w:rFonts w:ascii="Arial" w:eastAsia="Arial" w:hAnsi="Arial" w:cs="Arial"/>
          <w:sz w:val="24"/>
          <w:szCs w:val="24"/>
        </w:rPr>
        <w:t xml:space="preserve"> una información que compartió en la re</w:t>
      </w:r>
      <w:r>
        <w:rPr>
          <w:rFonts w:ascii="Arial" w:eastAsia="Arial" w:hAnsi="Arial" w:cs="Arial"/>
          <w:sz w:val="24"/>
          <w:szCs w:val="24"/>
        </w:rPr>
        <w:t xml:space="preserve">des sociales, este hecho </w:t>
      </w:r>
      <w:r>
        <w:rPr>
          <w:rFonts w:ascii="Arial" w:eastAsia="Arial" w:hAnsi="Arial" w:cs="Arial"/>
          <w:sz w:val="24"/>
          <w:szCs w:val="24"/>
        </w:rPr>
        <w:t>dejó</w:t>
      </w:r>
      <w:r>
        <w:rPr>
          <w:rFonts w:ascii="Arial" w:eastAsia="Arial" w:hAnsi="Arial" w:cs="Arial"/>
          <w:sz w:val="24"/>
          <w:szCs w:val="24"/>
        </w:rPr>
        <w:t xml:space="preserve"> ver la intención de silenciar no solo a este comunicador social sino que sirviera de mensaje para el resto de los comunicadores sociales, lo que se puede interpretar como una especie de amedrentamiento.</w:t>
      </w:r>
    </w:p>
    <w:p w:rsidR="000761CD" w:rsidRDefault="000761CD">
      <w:pPr>
        <w:pBdr>
          <w:top w:val="nil"/>
          <w:left w:val="nil"/>
          <w:bottom w:val="nil"/>
          <w:right w:val="nil"/>
          <w:between w:val="nil"/>
        </w:pBdr>
        <w:spacing w:after="0"/>
        <w:ind w:left="720"/>
        <w:rPr>
          <w:rFonts w:ascii="Arial" w:eastAsia="Arial" w:hAnsi="Arial" w:cs="Arial"/>
          <w:sz w:val="24"/>
          <w:szCs w:val="24"/>
        </w:rPr>
      </w:pPr>
    </w:p>
    <w:p w:rsidR="000761CD" w:rsidRDefault="0049207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Sin embargo muy dilige</w:t>
      </w:r>
      <w:r>
        <w:rPr>
          <w:rFonts w:ascii="Arial" w:eastAsia="Arial" w:hAnsi="Arial" w:cs="Arial"/>
          <w:sz w:val="24"/>
          <w:szCs w:val="24"/>
        </w:rPr>
        <w:t>ntemente la Adjuntía de Asuntos Constitucionales emitió su dictamen que aclaraba que la información difundida estaba ajustada a los criterios propios de informaciones que pueden ser de dominio público. Lo que deja ver la posición de instituciones u órganos</w:t>
      </w:r>
      <w:r>
        <w:rPr>
          <w:rFonts w:ascii="Arial" w:eastAsia="Arial" w:hAnsi="Arial" w:cs="Arial"/>
          <w:sz w:val="24"/>
          <w:szCs w:val="24"/>
        </w:rPr>
        <w:t xml:space="preserve"> del Estado que buscan la veracidad y el libre disfrute de los derechos en materia comunicacional.</w:t>
      </w:r>
    </w:p>
    <w:p w:rsidR="000761CD" w:rsidRDefault="000761CD">
      <w:pPr>
        <w:spacing w:after="0" w:line="240" w:lineRule="auto"/>
        <w:jc w:val="both"/>
        <w:rPr>
          <w:rFonts w:ascii="Arial" w:eastAsia="Arial" w:hAnsi="Arial" w:cs="Arial"/>
          <w:sz w:val="24"/>
          <w:szCs w:val="24"/>
        </w:rPr>
      </w:pPr>
    </w:p>
    <w:p w:rsidR="000761CD" w:rsidRDefault="00492070">
      <w:pPr>
        <w:spacing w:after="0" w:line="240" w:lineRule="auto"/>
        <w:ind w:left="360"/>
        <w:jc w:val="both"/>
        <w:rPr>
          <w:rFonts w:ascii="Arial" w:eastAsia="Arial" w:hAnsi="Arial" w:cs="Arial"/>
          <w:sz w:val="24"/>
          <w:szCs w:val="24"/>
        </w:rPr>
      </w:pPr>
      <w:r>
        <w:rPr>
          <w:rFonts w:ascii="Arial" w:eastAsia="Arial" w:hAnsi="Arial" w:cs="Arial"/>
          <w:sz w:val="24"/>
          <w:szCs w:val="24"/>
        </w:rPr>
        <w:t>“En atención a ello, la Adjuntía en Asuntos Constitucionales, mediante Informe de Adjuntía Nº 017-2020-DP/AAC del 30 de diciembre del 2020, precisó que la p</w:t>
      </w:r>
      <w:r>
        <w:rPr>
          <w:rFonts w:ascii="Arial" w:eastAsia="Arial" w:hAnsi="Arial" w:cs="Arial"/>
          <w:sz w:val="24"/>
          <w:szCs w:val="24"/>
        </w:rPr>
        <w:t>ublicación cuestionada estaba referida a hechos ciertos relacionados a asuntos de interés público y que fueron divulgados en ejercicio de la labor periodística. Por ello, se consideró que dicha carta notarial constituía un grave atentado contra la libertad</w:t>
      </w:r>
      <w:r>
        <w:rPr>
          <w:rFonts w:ascii="Arial" w:eastAsia="Arial" w:hAnsi="Arial" w:cs="Arial"/>
          <w:sz w:val="24"/>
          <w:szCs w:val="24"/>
        </w:rPr>
        <w:t xml:space="preserve"> de prensa y suponía un mecanismo de censura indirecta.”</w:t>
      </w:r>
    </w:p>
    <w:p w:rsidR="000761CD" w:rsidRDefault="000761CD">
      <w:pPr>
        <w:spacing w:after="0" w:line="240" w:lineRule="auto"/>
        <w:ind w:left="360"/>
        <w:jc w:val="both"/>
        <w:rPr>
          <w:rFonts w:ascii="Arial" w:eastAsia="Arial" w:hAnsi="Arial" w:cs="Arial"/>
          <w:sz w:val="24"/>
          <w:szCs w:val="24"/>
        </w:rPr>
      </w:pPr>
    </w:p>
    <w:p w:rsidR="000761CD" w:rsidRDefault="00492070">
      <w:pPr>
        <w:pBdr>
          <w:top w:val="nil"/>
          <w:left w:val="nil"/>
          <w:bottom w:val="nil"/>
          <w:right w:val="nil"/>
          <w:between w:val="nil"/>
        </w:pBdr>
        <w:spacing w:after="0" w:line="240" w:lineRule="auto"/>
        <w:jc w:val="both"/>
        <w:rPr>
          <w:rFonts w:ascii="Arial" w:eastAsia="Arial" w:hAnsi="Arial" w:cs="Arial"/>
          <w:b/>
          <w:sz w:val="24"/>
          <w:szCs w:val="24"/>
        </w:rPr>
      </w:pPr>
      <w:r>
        <w:rPr>
          <w:rFonts w:ascii="Arial" w:eastAsia="Arial" w:hAnsi="Arial" w:cs="Arial"/>
          <w:b/>
          <w:sz w:val="24"/>
          <w:szCs w:val="24"/>
        </w:rPr>
        <w:t xml:space="preserve">        G. </w:t>
      </w:r>
      <w:r>
        <w:rPr>
          <w:rFonts w:ascii="Arial" w:eastAsia="Arial" w:hAnsi="Arial" w:cs="Arial"/>
          <w:b/>
          <w:sz w:val="24"/>
          <w:szCs w:val="24"/>
        </w:rPr>
        <w:t xml:space="preserve">Defensores de derechos humanos </w:t>
      </w:r>
    </w:p>
    <w:p w:rsidR="000761CD" w:rsidRDefault="000761CD">
      <w:pPr>
        <w:pBdr>
          <w:top w:val="nil"/>
          <w:left w:val="nil"/>
          <w:bottom w:val="nil"/>
          <w:right w:val="nil"/>
          <w:between w:val="nil"/>
        </w:pBdr>
        <w:spacing w:after="0" w:line="240" w:lineRule="auto"/>
        <w:ind w:left="720"/>
        <w:jc w:val="both"/>
        <w:rPr>
          <w:rFonts w:ascii="Arial" w:eastAsia="Arial" w:hAnsi="Arial" w:cs="Arial"/>
          <w:b/>
          <w:sz w:val="24"/>
          <w:szCs w:val="24"/>
        </w:rPr>
      </w:pPr>
    </w:p>
    <w:p w:rsidR="000761CD" w:rsidRDefault="0049207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En numerosas  oportunidades se han presentados ataques contra los defensores de derechos humanos en el Perú, esto viene sucediendo desde tiempos atrás, tanto así que en Consejo de Derechos Humanos de Julio del 2018,presentó un informe de grupo de trabajo d</w:t>
      </w:r>
      <w:r>
        <w:rPr>
          <w:rFonts w:ascii="Arial" w:eastAsia="Arial" w:hAnsi="Arial" w:cs="Arial"/>
          <w:sz w:val="24"/>
          <w:szCs w:val="24"/>
        </w:rPr>
        <w:t>onde se enfatizó los casos de defensores de derechos humanos que nos solo son víctimas de atropellos sino también que a muchos les ha costado la vida el ejercer sus funciones.</w:t>
      </w:r>
    </w:p>
    <w:p w:rsidR="000761CD" w:rsidRDefault="000761CD">
      <w:pPr>
        <w:pBdr>
          <w:top w:val="nil"/>
          <w:left w:val="nil"/>
          <w:bottom w:val="nil"/>
          <w:right w:val="nil"/>
          <w:between w:val="nil"/>
        </w:pBdr>
        <w:spacing w:after="0" w:line="240" w:lineRule="auto"/>
        <w:jc w:val="both"/>
        <w:rPr>
          <w:rFonts w:ascii="Arial" w:eastAsia="Arial" w:hAnsi="Arial" w:cs="Arial"/>
          <w:sz w:val="24"/>
          <w:szCs w:val="24"/>
        </w:rPr>
      </w:pPr>
    </w:p>
    <w:p w:rsidR="000761CD" w:rsidRDefault="000761CD">
      <w:pPr>
        <w:pBdr>
          <w:top w:val="nil"/>
          <w:left w:val="nil"/>
          <w:bottom w:val="nil"/>
          <w:right w:val="nil"/>
          <w:between w:val="nil"/>
        </w:pBdr>
        <w:spacing w:after="0" w:line="240" w:lineRule="auto"/>
        <w:jc w:val="both"/>
        <w:rPr>
          <w:rFonts w:ascii="Arial" w:eastAsia="Arial" w:hAnsi="Arial" w:cs="Arial"/>
          <w:sz w:val="24"/>
          <w:szCs w:val="24"/>
        </w:rPr>
      </w:pPr>
    </w:p>
    <w:p w:rsidR="000761CD" w:rsidRDefault="000761CD">
      <w:pPr>
        <w:pBdr>
          <w:top w:val="nil"/>
          <w:left w:val="nil"/>
          <w:bottom w:val="nil"/>
          <w:right w:val="nil"/>
          <w:between w:val="nil"/>
        </w:pBdr>
        <w:spacing w:after="0" w:line="240" w:lineRule="auto"/>
        <w:jc w:val="both"/>
        <w:rPr>
          <w:rFonts w:ascii="Arial" w:eastAsia="Arial" w:hAnsi="Arial" w:cs="Arial"/>
          <w:sz w:val="24"/>
          <w:szCs w:val="24"/>
        </w:rPr>
      </w:pPr>
    </w:p>
    <w:p w:rsidR="000761CD" w:rsidRDefault="000761CD">
      <w:pPr>
        <w:spacing w:after="0" w:line="240" w:lineRule="auto"/>
        <w:ind w:left="360"/>
        <w:jc w:val="both"/>
        <w:rPr>
          <w:rFonts w:ascii="Arial" w:eastAsia="Arial" w:hAnsi="Arial" w:cs="Arial"/>
          <w:sz w:val="24"/>
          <w:szCs w:val="24"/>
        </w:rPr>
      </w:pPr>
    </w:p>
    <w:p w:rsidR="000761CD" w:rsidRDefault="0049207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A pesar de estas situaciones, es propio resaltar el protocolo diseñado por e</w:t>
      </w:r>
      <w:r>
        <w:rPr>
          <w:rFonts w:ascii="Arial" w:eastAsia="Arial" w:hAnsi="Arial" w:cs="Arial"/>
          <w:sz w:val="24"/>
          <w:szCs w:val="24"/>
        </w:rPr>
        <w:t xml:space="preserve">l Ministerio de Justicia para procesar las denuncias sobre las agresiones a los </w:t>
      </w:r>
      <w:r>
        <w:rPr>
          <w:rFonts w:ascii="Arial" w:eastAsia="Arial" w:hAnsi="Arial" w:cs="Arial"/>
          <w:sz w:val="24"/>
          <w:szCs w:val="24"/>
        </w:rPr>
        <w:lastRenderedPageBreak/>
        <w:t xml:space="preserve">defensores de derechos humanos, al igual que otras estrategias que buscan mitigar </w:t>
      </w:r>
      <w:r>
        <w:rPr>
          <w:rFonts w:ascii="Arial" w:eastAsia="Arial" w:hAnsi="Arial" w:cs="Arial"/>
          <w:sz w:val="24"/>
          <w:szCs w:val="24"/>
        </w:rPr>
        <w:t>cualquier</w:t>
      </w:r>
      <w:r>
        <w:rPr>
          <w:rFonts w:ascii="Arial" w:eastAsia="Arial" w:hAnsi="Arial" w:cs="Arial"/>
          <w:sz w:val="24"/>
          <w:szCs w:val="24"/>
        </w:rPr>
        <w:t xml:space="preserve"> acción perjudicial para los mismos.</w:t>
      </w:r>
    </w:p>
    <w:p w:rsidR="000761CD" w:rsidRDefault="000761CD">
      <w:pPr>
        <w:pBdr>
          <w:top w:val="nil"/>
          <w:left w:val="nil"/>
          <w:bottom w:val="nil"/>
          <w:right w:val="nil"/>
          <w:between w:val="nil"/>
        </w:pBdr>
        <w:spacing w:after="0"/>
        <w:ind w:left="720"/>
        <w:rPr>
          <w:rFonts w:ascii="Arial" w:eastAsia="Arial" w:hAnsi="Arial" w:cs="Arial"/>
          <w:sz w:val="24"/>
          <w:szCs w:val="24"/>
        </w:rPr>
      </w:pPr>
    </w:p>
    <w:p w:rsidR="000761CD" w:rsidRDefault="00492070">
      <w:pPr>
        <w:pBdr>
          <w:top w:val="nil"/>
          <w:left w:val="nil"/>
          <w:bottom w:val="nil"/>
          <w:right w:val="nil"/>
          <w:between w:val="nil"/>
        </w:pBdr>
        <w:spacing w:after="0" w:line="240" w:lineRule="auto"/>
        <w:ind w:left="720"/>
        <w:jc w:val="both"/>
        <w:rPr>
          <w:rFonts w:ascii="Arial" w:eastAsia="Arial" w:hAnsi="Arial" w:cs="Arial"/>
          <w:sz w:val="24"/>
          <w:szCs w:val="24"/>
        </w:rPr>
      </w:pPr>
      <w:r>
        <w:rPr>
          <w:rFonts w:ascii="Arial" w:eastAsia="Arial" w:hAnsi="Arial" w:cs="Arial"/>
          <w:sz w:val="24"/>
          <w:szCs w:val="24"/>
        </w:rPr>
        <w:t>“El Grupo de Trabajo celebró que el Ministerio de Justicia hubiera elaborado un protocolo para tramitar las denuncias relativas a ataques contra los defensores de los derechos humanos. Además, el nuevo Plan de Acción Nacional de Derechos Humanos propone la</w:t>
      </w:r>
      <w:r>
        <w:rPr>
          <w:rFonts w:ascii="Arial" w:eastAsia="Arial" w:hAnsi="Arial" w:cs="Arial"/>
          <w:sz w:val="24"/>
          <w:szCs w:val="24"/>
        </w:rPr>
        <w:t xml:space="preserve"> creación, de aquí a 2021, de un mecanismo para la protección de los defensores de los derechos humanos y de una base de datos, de aquí a 2019, para realizar un seguimiento de las amenazas contra su seguridad”.(Consejo de Derechos Humanos, Julio 2018)</w:t>
      </w:r>
    </w:p>
    <w:p w:rsidR="000761CD" w:rsidRDefault="000761CD">
      <w:pPr>
        <w:spacing w:after="0" w:line="240" w:lineRule="auto"/>
        <w:jc w:val="both"/>
        <w:rPr>
          <w:rFonts w:ascii="Arial" w:eastAsia="Arial" w:hAnsi="Arial" w:cs="Arial"/>
          <w:sz w:val="24"/>
          <w:szCs w:val="24"/>
        </w:rPr>
      </w:pPr>
    </w:p>
    <w:p w:rsidR="000761CD" w:rsidRDefault="00492070">
      <w:pPr>
        <w:pBdr>
          <w:top w:val="nil"/>
          <w:left w:val="nil"/>
          <w:bottom w:val="nil"/>
          <w:right w:val="nil"/>
          <w:between w:val="nil"/>
        </w:pBdr>
        <w:spacing w:after="0" w:line="240" w:lineRule="auto"/>
        <w:jc w:val="both"/>
        <w:rPr>
          <w:rFonts w:ascii="Arial" w:eastAsia="Arial" w:hAnsi="Arial" w:cs="Arial"/>
          <w:b/>
          <w:sz w:val="24"/>
          <w:szCs w:val="24"/>
        </w:rPr>
      </w:pPr>
      <w:r>
        <w:rPr>
          <w:rFonts w:ascii="Arial" w:eastAsia="Arial" w:hAnsi="Arial" w:cs="Arial"/>
          <w:b/>
          <w:sz w:val="24"/>
          <w:szCs w:val="24"/>
        </w:rPr>
        <w:t xml:space="preserve">   </w:t>
      </w:r>
      <w:r>
        <w:rPr>
          <w:rFonts w:ascii="Arial" w:eastAsia="Arial" w:hAnsi="Arial" w:cs="Arial"/>
          <w:b/>
          <w:sz w:val="24"/>
          <w:szCs w:val="24"/>
        </w:rPr>
        <w:t xml:space="preserve">      H. </w:t>
      </w:r>
      <w:r>
        <w:rPr>
          <w:rFonts w:ascii="Arial" w:eastAsia="Arial" w:hAnsi="Arial" w:cs="Arial"/>
          <w:b/>
          <w:sz w:val="24"/>
          <w:szCs w:val="24"/>
        </w:rPr>
        <w:t>Derechos de los LGBTI</w:t>
      </w:r>
    </w:p>
    <w:p w:rsidR="000761CD" w:rsidRDefault="000761CD">
      <w:pPr>
        <w:spacing w:after="0" w:line="240" w:lineRule="auto"/>
        <w:ind w:left="360"/>
        <w:jc w:val="both"/>
        <w:rPr>
          <w:rFonts w:ascii="Arial" w:eastAsia="Arial" w:hAnsi="Arial" w:cs="Arial"/>
          <w:b/>
          <w:sz w:val="24"/>
          <w:szCs w:val="24"/>
        </w:rPr>
      </w:pPr>
    </w:p>
    <w:p w:rsidR="000761CD" w:rsidRDefault="0049207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 Son muchas las situaciones que se han dejado a la luz pública sobre la discriminación de la comunidad LGBTI, las cuales no solo son objeto de acosos sino también de agresiones físicas que involucran hasta al mismo grupo familiar.</w:t>
      </w:r>
    </w:p>
    <w:p w:rsidR="000761CD" w:rsidRDefault="000761CD">
      <w:pPr>
        <w:spacing w:after="0" w:line="240" w:lineRule="auto"/>
        <w:ind w:left="360"/>
        <w:jc w:val="both"/>
        <w:rPr>
          <w:rFonts w:ascii="Arial" w:eastAsia="Arial" w:hAnsi="Arial" w:cs="Arial"/>
          <w:sz w:val="24"/>
          <w:szCs w:val="24"/>
        </w:rPr>
      </w:pPr>
    </w:p>
    <w:p w:rsidR="000761CD" w:rsidRDefault="0049207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Se ha dejado atrás el he</w:t>
      </w:r>
      <w:r>
        <w:rPr>
          <w:rFonts w:ascii="Arial" w:eastAsia="Arial" w:hAnsi="Arial" w:cs="Arial"/>
          <w:sz w:val="24"/>
          <w:szCs w:val="24"/>
        </w:rPr>
        <w:t xml:space="preserve">cho de que son </w:t>
      </w:r>
      <w:r>
        <w:rPr>
          <w:rFonts w:ascii="Arial" w:eastAsia="Arial" w:hAnsi="Arial" w:cs="Arial"/>
          <w:sz w:val="24"/>
          <w:szCs w:val="24"/>
        </w:rPr>
        <w:t>peruanos</w:t>
      </w:r>
      <w:r>
        <w:rPr>
          <w:rFonts w:ascii="Arial" w:eastAsia="Arial" w:hAnsi="Arial" w:cs="Arial"/>
          <w:sz w:val="24"/>
          <w:szCs w:val="24"/>
        </w:rPr>
        <w:t xml:space="preserve"> que como </w:t>
      </w:r>
      <w:r>
        <w:rPr>
          <w:rFonts w:ascii="Arial" w:eastAsia="Arial" w:hAnsi="Arial" w:cs="Arial"/>
          <w:sz w:val="24"/>
          <w:szCs w:val="24"/>
        </w:rPr>
        <w:t>los demás</w:t>
      </w:r>
      <w:r>
        <w:rPr>
          <w:rFonts w:ascii="Arial" w:eastAsia="Arial" w:hAnsi="Arial" w:cs="Arial"/>
          <w:sz w:val="24"/>
          <w:szCs w:val="24"/>
        </w:rPr>
        <w:t xml:space="preserve"> deben gozar de los mismos derechos, independientemente de su orientación sexual, es por ello la importancia de implementar políticas de Estado </w:t>
      </w:r>
      <w:r>
        <w:rPr>
          <w:rFonts w:ascii="Arial" w:eastAsia="Arial" w:hAnsi="Arial" w:cs="Arial"/>
          <w:sz w:val="24"/>
          <w:szCs w:val="24"/>
        </w:rPr>
        <w:t>dirigidas</w:t>
      </w:r>
      <w:r>
        <w:rPr>
          <w:rFonts w:ascii="Arial" w:eastAsia="Arial" w:hAnsi="Arial" w:cs="Arial"/>
          <w:sz w:val="24"/>
          <w:szCs w:val="24"/>
        </w:rPr>
        <w:t xml:space="preserve"> a la protección de los derechos que como persona goza todo c</w:t>
      </w:r>
      <w:r>
        <w:rPr>
          <w:rFonts w:ascii="Arial" w:eastAsia="Arial" w:hAnsi="Arial" w:cs="Arial"/>
          <w:sz w:val="24"/>
          <w:szCs w:val="24"/>
        </w:rPr>
        <w:t>iudadano.</w:t>
      </w:r>
    </w:p>
    <w:p w:rsidR="000761CD" w:rsidRDefault="0049207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El Estado debe dejar de estar ausente antes hechos de violencia o actos de discriminación que ponen en riesgo la vida y libre desenvolvimiento de esta comunidad e indirectamente deja al Gobierno como una especie de cómplice ante tales hechos.</w:t>
      </w:r>
    </w:p>
    <w:p w:rsidR="000761CD" w:rsidRDefault="000761CD">
      <w:pPr>
        <w:spacing w:after="0" w:line="240" w:lineRule="auto"/>
        <w:ind w:left="360"/>
        <w:jc w:val="both"/>
        <w:rPr>
          <w:rFonts w:ascii="Arial" w:eastAsia="Arial" w:hAnsi="Arial" w:cs="Arial"/>
          <w:sz w:val="24"/>
          <w:szCs w:val="24"/>
        </w:rPr>
      </w:pPr>
    </w:p>
    <w:p w:rsidR="000761CD" w:rsidRDefault="0049207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Po</w:t>
      </w:r>
      <w:r>
        <w:rPr>
          <w:rFonts w:ascii="Arial" w:eastAsia="Arial" w:hAnsi="Arial" w:cs="Arial"/>
          <w:sz w:val="24"/>
          <w:szCs w:val="24"/>
        </w:rPr>
        <w:t xml:space="preserve">r tales motivos, la </w:t>
      </w:r>
      <w:r>
        <w:rPr>
          <w:rFonts w:ascii="Arial" w:eastAsia="Arial" w:hAnsi="Arial" w:cs="Arial"/>
          <w:sz w:val="24"/>
          <w:szCs w:val="24"/>
        </w:rPr>
        <w:t>Defensoría</w:t>
      </w:r>
      <w:r>
        <w:rPr>
          <w:rFonts w:ascii="Arial" w:eastAsia="Arial" w:hAnsi="Arial" w:cs="Arial"/>
          <w:sz w:val="24"/>
          <w:szCs w:val="24"/>
        </w:rPr>
        <w:t xml:space="preserve"> del Pueblo hace una observación donde hace énfasis que esta comunidad </w:t>
      </w:r>
      <w:r>
        <w:rPr>
          <w:rFonts w:ascii="Arial" w:eastAsia="Arial" w:hAnsi="Arial" w:cs="Arial"/>
          <w:sz w:val="24"/>
          <w:szCs w:val="24"/>
        </w:rPr>
        <w:t>debe ser</w:t>
      </w:r>
      <w:r>
        <w:rPr>
          <w:rFonts w:ascii="Arial" w:eastAsia="Arial" w:hAnsi="Arial" w:cs="Arial"/>
          <w:sz w:val="24"/>
          <w:szCs w:val="24"/>
        </w:rPr>
        <w:t xml:space="preserve"> parte de las políticas </w:t>
      </w:r>
      <w:r>
        <w:rPr>
          <w:rFonts w:ascii="Arial" w:eastAsia="Arial" w:hAnsi="Arial" w:cs="Arial"/>
          <w:sz w:val="24"/>
          <w:szCs w:val="24"/>
        </w:rPr>
        <w:t>públicas</w:t>
      </w:r>
      <w:r>
        <w:rPr>
          <w:rFonts w:ascii="Arial" w:eastAsia="Arial" w:hAnsi="Arial" w:cs="Arial"/>
          <w:sz w:val="24"/>
          <w:szCs w:val="24"/>
        </w:rPr>
        <w:t>, donde se asegure no solo su protección sino también el reconocimiento de su identidad.</w:t>
      </w:r>
    </w:p>
    <w:p w:rsidR="000761CD" w:rsidRDefault="000761CD">
      <w:pPr>
        <w:pBdr>
          <w:top w:val="nil"/>
          <w:left w:val="nil"/>
          <w:bottom w:val="nil"/>
          <w:right w:val="nil"/>
          <w:between w:val="nil"/>
        </w:pBdr>
        <w:spacing w:after="0" w:line="240" w:lineRule="auto"/>
        <w:ind w:left="720"/>
        <w:jc w:val="both"/>
        <w:rPr>
          <w:rFonts w:ascii="Arial" w:eastAsia="Arial" w:hAnsi="Arial" w:cs="Arial"/>
          <w:sz w:val="24"/>
          <w:szCs w:val="24"/>
        </w:rPr>
      </w:pPr>
    </w:p>
    <w:p w:rsidR="000761CD" w:rsidRDefault="00492070">
      <w:pPr>
        <w:pBdr>
          <w:top w:val="nil"/>
          <w:left w:val="nil"/>
          <w:bottom w:val="nil"/>
          <w:right w:val="nil"/>
          <w:between w:val="nil"/>
        </w:pBd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Planteamos</w:t>
      </w:r>
      <w:r>
        <w:rPr>
          <w:rFonts w:ascii="Arial" w:eastAsia="Arial" w:hAnsi="Arial" w:cs="Arial"/>
          <w:sz w:val="24"/>
          <w:szCs w:val="24"/>
        </w:rPr>
        <w:t xml:space="preserve"> que el Estado brinde  una cobertura real a los derechos fundamentales de las personas LGBTI…”(Informe Defensorial,N°175, Derechos humanos de las personas LGBTI).</w:t>
      </w:r>
    </w:p>
    <w:p w:rsidR="000761CD" w:rsidRDefault="000761CD">
      <w:pPr>
        <w:pBdr>
          <w:top w:val="nil"/>
          <w:left w:val="nil"/>
          <w:bottom w:val="nil"/>
          <w:right w:val="nil"/>
          <w:between w:val="nil"/>
        </w:pBdr>
        <w:spacing w:after="0"/>
        <w:ind w:left="720"/>
        <w:rPr>
          <w:rFonts w:ascii="Arial" w:eastAsia="Arial" w:hAnsi="Arial" w:cs="Arial"/>
          <w:sz w:val="24"/>
          <w:szCs w:val="24"/>
        </w:rPr>
      </w:pPr>
    </w:p>
    <w:p w:rsidR="000761CD" w:rsidRDefault="00492070">
      <w:pPr>
        <w:numPr>
          <w:ilvl w:val="0"/>
          <w:numId w:val="1"/>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 En los centros de reclusión debe existir un protroloco de atencón y no discriminación a las personas LGBTI </w:t>
      </w:r>
      <w:r>
        <w:rPr>
          <w:rFonts w:ascii="Arial" w:eastAsia="Arial" w:hAnsi="Arial" w:cs="Arial"/>
          <w:sz w:val="24"/>
          <w:szCs w:val="24"/>
        </w:rPr>
        <w:t>donde se garantice</w:t>
      </w:r>
      <w:r>
        <w:rPr>
          <w:rFonts w:ascii="Arial" w:eastAsia="Arial" w:hAnsi="Arial" w:cs="Arial"/>
          <w:sz w:val="24"/>
          <w:szCs w:val="24"/>
        </w:rPr>
        <w:t xml:space="preserve"> sus derechos y</w:t>
      </w:r>
      <w:r>
        <w:rPr>
          <w:rFonts w:ascii="Arial" w:eastAsia="Arial" w:hAnsi="Arial" w:cs="Arial"/>
          <w:sz w:val="24"/>
          <w:szCs w:val="24"/>
        </w:rPr>
        <w:t xml:space="preserve"> respeto a sus identidad de género.</w:t>
      </w:r>
    </w:p>
    <w:p w:rsidR="000761CD" w:rsidRDefault="000761CD">
      <w:pPr>
        <w:spacing w:after="0" w:line="240" w:lineRule="auto"/>
        <w:jc w:val="both"/>
        <w:rPr>
          <w:rFonts w:ascii="Arial" w:eastAsia="Arial" w:hAnsi="Arial" w:cs="Arial"/>
          <w:sz w:val="24"/>
          <w:szCs w:val="24"/>
        </w:rPr>
      </w:pPr>
    </w:p>
    <w:p w:rsidR="000761CD" w:rsidRDefault="00492070">
      <w:pPr>
        <w:pBdr>
          <w:top w:val="nil"/>
          <w:left w:val="nil"/>
          <w:bottom w:val="nil"/>
          <w:right w:val="nil"/>
          <w:between w:val="nil"/>
        </w:pBdr>
        <w:spacing w:after="0" w:line="240" w:lineRule="auto"/>
        <w:ind w:left="720"/>
        <w:jc w:val="both"/>
        <w:rPr>
          <w:rFonts w:ascii="Arial" w:eastAsia="Arial" w:hAnsi="Arial" w:cs="Arial"/>
          <w:sz w:val="24"/>
          <w:szCs w:val="24"/>
        </w:rPr>
      </w:pPr>
      <w:r>
        <w:rPr>
          <w:rFonts w:ascii="Arial" w:eastAsia="Arial" w:hAnsi="Arial" w:cs="Arial"/>
          <w:sz w:val="24"/>
          <w:szCs w:val="24"/>
        </w:rPr>
        <w:t xml:space="preserve"> “esta directiva se especifica que las personas LGBTI son consideradas como gr</w:t>
      </w:r>
      <w:r>
        <w:rPr>
          <w:rFonts w:ascii="Arial" w:eastAsia="Arial" w:hAnsi="Arial" w:cs="Arial"/>
          <w:sz w:val="24"/>
          <w:szCs w:val="24"/>
        </w:rPr>
        <w:t>upo de especial protección, y en las disposiciones siguientes se establece que deben registrarse mediante la Cartilla de preguntas de orientación sexual e identidad de género”…(Sexto informe anual MNPT)</w:t>
      </w:r>
    </w:p>
    <w:p w:rsidR="000761CD" w:rsidRDefault="000761CD">
      <w:pPr>
        <w:pBdr>
          <w:top w:val="nil"/>
          <w:left w:val="nil"/>
          <w:bottom w:val="nil"/>
          <w:right w:val="nil"/>
          <w:between w:val="nil"/>
        </w:pBdr>
        <w:spacing w:after="0" w:line="240" w:lineRule="auto"/>
        <w:ind w:left="720"/>
        <w:jc w:val="both"/>
        <w:rPr>
          <w:rFonts w:ascii="Arial" w:eastAsia="Arial" w:hAnsi="Arial" w:cs="Arial"/>
          <w:sz w:val="24"/>
          <w:szCs w:val="24"/>
        </w:rPr>
      </w:pPr>
    </w:p>
    <w:p w:rsidR="000761CD" w:rsidRDefault="000761CD">
      <w:pPr>
        <w:pBdr>
          <w:top w:val="nil"/>
          <w:left w:val="nil"/>
          <w:bottom w:val="nil"/>
          <w:right w:val="nil"/>
          <w:between w:val="nil"/>
        </w:pBdr>
        <w:spacing w:after="0" w:line="240" w:lineRule="auto"/>
        <w:ind w:left="720"/>
        <w:jc w:val="both"/>
        <w:rPr>
          <w:rFonts w:ascii="Arial" w:eastAsia="Arial" w:hAnsi="Arial" w:cs="Arial"/>
          <w:sz w:val="24"/>
          <w:szCs w:val="24"/>
        </w:rPr>
      </w:pPr>
      <w:bookmarkStart w:id="1" w:name="_heading=h.gjdgxs" w:colFirst="0" w:colLast="0"/>
      <w:bookmarkEnd w:id="1"/>
    </w:p>
    <w:p w:rsidR="000761CD" w:rsidRDefault="00492070">
      <w:pPr>
        <w:numPr>
          <w:ilvl w:val="0"/>
          <w:numId w:val="2"/>
        </w:numPr>
        <w:pBdr>
          <w:top w:val="nil"/>
          <w:left w:val="nil"/>
          <w:bottom w:val="nil"/>
          <w:right w:val="nil"/>
          <w:between w:val="nil"/>
        </w:pBdr>
        <w:spacing w:after="0" w:line="240" w:lineRule="auto"/>
        <w:jc w:val="both"/>
        <w:rPr>
          <w:rFonts w:ascii="Arial" w:eastAsia="Arial" w:hAnsi="Arial" w:cs="Arial"/>
          <w:b/>
          <w:sz w:val="24"/>
          <w:szCs w:val="24"/>
        </w:rPr>
      </w:pPr>
      <w:bookmarkStart w:id="2" w:name="_heading=h.4tl9rxjytj5l" w:colFirst="0" w:colLast="0"/>
      <w:bookmarkEnd w:id="2"/>
      <w:r>
        <w:rPr>
          <w:rFonts w:ascii="Arial" w:eastAsia="Arial" w:hAnsi="Arial" w:cs="Arial"/>
          <w:b/>
          <w:sz w:val="24"/>
          <w:szCs w:val="24"/>
        </w:rPr>
        <w:lastRenderedPageBreak/>
        <w:t>Derechos a la no discriminación e igualdad Art. 2 p</w:t>
      </w:r>
      <w:r>
        <w:rPr>
          <w:rFonts w:ascii="Arial" w:eastAsia="Arial" w:hAnsi="Arial" w:cs="Arial"/>
          <w:b/>
          <w:sz w:val="24"/>
          <w:szCs w:val="24"/>
        </w:rPr>
        <w:t>arágrafo 2. PIDESC.</w:t>
      </w:r>
    </w:p>
    <w:p w:rsidR="000761CD" w:rsidRDefault="000761CD">
      <w:pPr>
        <w:pBdr>
          <w:top w:val="nil"/>
          <w:left w:val="nil"/>
          <w:bottom w:val="nil"/>
          <w:right w:val="nil"/>
          <w:between w:val="nil"/>
        </w:pBdr>
        <w:spacing w:after="0" w:line="240" w:lineRule="auto"/>
        <w:ind w:left="720"/>
        <w:jc w:val="both"/>
        <w:rPr>
          <w:rFonts w:ascii="Arial" w:eastAsia="Arial" w:hAnsi="Arial" w:cs="Arial"/>
          <w:b/>
          <w:sz w:val="24"/>
          <w:szCs w:val="24"/>
        </w:rPr>
      </w:pPr>
      <w:bookmarkStart w:id="3" w:name="_heading=h.3kxnkwri73gv" w:colFirst="0" w:colLast="0"/>
      <w:bookmarkEnd w:id="3"/>
    </w:p>
    <w:p w:rsidR="000761CD" w:rsidRDefault="00492070">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4" w:name="_heading=h.lutr3c8lnr06" w:colFirst="0" w:colLast="0"/>
      <w:bookmarkEnd w:id="4"/>
      <w:r>
        <w:rPr>
          <w:rFonts w:ascii="Arial" w:eastAsia="Arial" w:hAnsi="Arial" w:cs="Arial"/>
          <w:sz w:val="24"/>
          <w:szCs w:val="24"/>
        </w:rPr>
        <w:t xml:space="preserve">      24. Perú ha recibido una migración importante de Venezolanos los últimos 5 años que han migrado de la crisis económica y política que vive el país. “</w:t>
      </w:r>
      <w:r>
        <w:rPr>
          <w:rFonts w:ascii="Arial" w:eastAsia="Arial" w:hAnsi="Arial" w:cs="Arial"/>
          <w:sz w:val="24"/>
          <w:szCs w:val="24"/>
          <w:highlight w:val="white"/>
        </w:rPr>
        <w:t>Perú acoge en estos momentos a más de 1,32 millones de personas refugiadas y migrantes venezolanas. Del total, 532 mil han solicitado la condición de refugiados en el país. (</w:t>
      </w:r>
      <w:hyperlink r:id="rId12">
        <w:r>
          <w:rPr>
            <w:rFonts w:ascii="Arial" w:eastAsia="Arial" w:hAnsi="Arial" w:cs="Arial"/>
            <w:sz w:val="24"/>
            <w:szCs w:val="24"/>
            <w:highlight w:val="white"/>
            <w:u w:val="single"/>
          </w:rPr>
          <w:t>https://www.acnur.org/noticias/press/2022/6/62af53434/peru-comunicado-del-grupo-de-trabajo-para-refugiados-y-migrantes-con-ocasion.html</w:t>
        </w:r>
      </w:hyperlink>
      <w:r>
        <w:rPr>
          <w:rFonts w:ascii="Arial" w:eastAsia="Arial" w:hAnsi="Arial" w:cs="Arial"/>
          <w:sz w:val="24"/>
          <w:szCs w:val="24"/>
          <w:highlight w:val="white"/>
        </w:rPr>
        <w:t>).</w:t>
      </w:r>
    </w:p>
    <w:p w:rsidR="000761CD" w:rsidRDefault="000761CD">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5" w:name="_heading=h.h9tvy6rcfkwb" w:colFirst="0" w:colLast="0"/>
      <w:bookmarkEnd w:id="5"/>
    </w:p>
    <w:p w:rsidR="000761CD" w:rsidRDefault="00492070">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6" w:name="_heading=h.a1gqus16x6hc" w:colFirst="0" w:colLast="0"/>
      <w:bookmarkEnd w:id="6"/>
      <w:r>
        <w:rPr>
          <w:rFonts w:ascii="Arial" w:eastAsia="Arial" w:hAnsi="Arial" w:cs="Arial"/>
          <w:sz w:val="24"/>
          <w:szCs w:val="24"/>
          <w:highlight w:val="white"/>
        </w:rPr>
        <w:t xml:space="preserve">   25. En los últimos años, los estereotipos</w:t>
      </w:r>
      <w:r>
        <w:rPr>
          <w:rFonts w:ascii="Arial" w:eastAsia="Arial" w:hAnsi="Arial" w:cs="Arial"/>
          <w:sz w:val="24"/>
          <w:szCs w:val="24"/>
          <w:highlight w:val="white"/>
        </w:rPr>
        <w:t xml:space="preserve"> y los prejuicios hacia las personas venezolanas en el Perú se han ido consolidando en su dimensión negativa (IDEHPUCP et al., 2020), a tal punto que la población venezolana siente un riesgo latente de ser víctima de discriminación, tal como lo indica el i</w:t>
      </w:r>
      <w:r>
        <w:rPr>
          <w:rFonts w:ascii="Arial" w:eastAsia="Arial" w:hAnsi="Arial" w:cs="Arial"/>
          <w:sz w:val="24"/>
          <w:szCs w:val="24"/>
          <w:highlight w:val="white"/>
        </w:rPr>
        <w:t>nforme del Programa Mundial de Alimentos de 2020, cuyos hallazgos indican que la población venezolana sitúa la «discriminación/explotación» como su segunda preocupación más significativa, con un 26%. Es decir, aproximadamente uno de cada cuatro venezolanos</w:t>
      </w:r>
      <w:r>
        <w:rPr>
          <w:rFonts w:ascii="Arial" w:eastAsia="Arial" w:hAnsi="Arial" w:cs="Arial"/>
          <w:sz w:val="24"/>
          <w:szCs w:val="24"/>
          <w:highlight w:val="white"/>
        </w:rPr>
        <w:t xml:space="preserve"> o venezolanas en el Perú vive con el temor de ser víctima de discriminación (Programa Mundial de Alimentos, 2020), lo cual afecta su calidad de vida. </w:t>
      </w:r>
    </w:p>
    <w:p w:rsidR="000761CD" w:rsidRDefault="00492070">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7" w:name="_heading=h.3jr3wcwz41xs" w:colFirst="0" w:colLast="0"/>
      <w:bookmarkEnd w:id="7"/>
      <w:r>
        <w:rPr>
          <w:rFonts w:ascii="Arial" w:eastAsia="Arial" w:hAnsi="Arial" w:cs="Arial"/>
          <w:sz w:val="24"/>
          <w:szCs w:val="24"/>
          <w:highlight w:val="white"/>
        </w:rPr>
        <w:t>(</w:t>
      </w:r>
      <w:hyperlink r:id="rId13">
        <w:r>
          <w:rPr>
            <w:rFonts w:ascii="Arial" w:eastAsia="Arial" w:hAnsi="Arial" w:cs="Arial"/>
            <w:sz w:val="24"/>
            <w:szCs w:val="24"/>
            <w:highlight w:val="white"/>
            <w:u w:val="single"/>
          </w:rPr>
          <w:t>https://idehpucp.pucp.edu.pe/lista_publicaciones/la-xenofobia-en-la-lucha-contra-la-discriminacion-en-el-peru/</w:t>
        </w:r>
      </w:hyperlink>
      <w:r>
        <w:rPr>
          <w:rFonts w:ascii="Arial" w:eastAsia="Arial" w:hAnsi="Arial" w:cs="Arial"/>
          <w:sz w:val="24"/>
          <w:szCs w:val="24"/>
          <w:highlight w:val="white"/>
        </w:rPr>
        <w:t>).</w:t>
      </w:r>
    </w:p>
    <w:p w:rsidR="000761CD" w:rsidRDefault="000761CD">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8" w:name="_heading=h.dyd8e3qws5g1" w:colFirst="0" w:colLast="0"/>
      <w:bookmarkEnd w:id="8"/>
    </w:p>
    <w:p w:rsidR="000761CD" w:rsidRDefault="00492070">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9" w:name="_heading=h.ae2kppcnmgly" w:colFirst="0" w:colLast="0"/>
      <w:bookmarkEnd w:id="9"/>
      <w:r>
        <w:rPr>
          <w:rFonts w:ascii="Arial" w:eastAsia="Arial" w:hAnsi="Arial" w:cs="Arial"/>
          <w:sz w:val="24"/>
          <w:szCs w:val="24"/>
          <w:highlight w:val="white"/>
        </w:rPr>
        <w:t>26. Recientemente la Organización Internacional para las Migraciones de la ONU(OIM), ha diseñado una campaña de sen</w:t>
      </w:r>
      <w:r>
        <w:rPr>
          <w:rFonts w:ascii="Arial" w:eastAsia="Arial" w:hAnsi="Arial" w:cs="Arial"/>
          <w:sz w:val="24"/>
          <w:szCs w:val="24"/>
          <w:highlight w:val="white"/>
        </w:rPr>
        <w:t>sibilización contra el xenofobia en los centros educativos, “Chamas en Acción: Por una sociedad sin violencia #ConstruyámoslaJuntas, debido a los elevados episodios de agresión xenófoba que se desarrollan en el Perú, en las escuelas.” Antes de la pandemia,</w:t>
      </w:r>
      <w:r>
        <w:rPr>
          <w:rFonts w:ascii="Arial" w:eastAsia="Arial" w:hAnsi="Arial" w:cs="Arial"/>
          <w:sz w:val="24"/>
          <w:szCs w:val="24"/>
          <w:highlight w:val="white"/>
        </w:rPr>
        <w:t xml:space="preserve"> la xenofobia era algo muy común en los centros escolares. Comúnmente recibía comentarios como "vete a tu país", "veneca ladrona", "solo vienen a robarnos los trabajos y la comida" y demás burlas que ridiculizan mi nacionalidad y la situación de mi país de</w:t>
      </w:r>
      <w:r>
        <w:rPr>
          <w:rFonts w:ascii="Arial" w:eastAsia="Arial" w:hAnsi="Arial" w:cs="Arial"/>
          <w:sz w:val="24"/>
          <w:szCs w:val="24"/>
          <w:highlight w:val="white"/>
        </w:rPr>
        <w:t xml:space="preserve"> origen: Venezuela” </w:t>
      </w:r>
    </w:p>
    <w:p w:rsidR="000761CD" w:rsidRDefault="00492070">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10" w:name="_heading=h.yoobz4iqc8lf" w:colFirst="0" w:colLast="0"/>
      <w:bookmarkEnd w:id="10"/>
      <w:r>
        <w:rPr>
          <w:rFonts w:ascii="Arial" w:eastAsia="Arial" w:hAnsi="Arial" w:cs="Arial"/>
          <w:sz w:val="24"/>
          <w:szCs w:val="24"/>
          <w:highlight w:val="white"/>
        </w:rPr>
        <w:t>(</w:t>
      </w:r>
      <w:hyperlink r:id="rId14">
        <w:r>
          <w:rPr>
            <w:rFonts w:ascii="Arial" w:eastAsia="Arial" w:hAnsi="Arial" w:cs="Arial"/>
            <w:sz w:val="24"/>
            <w:szCs w:val="24"/>
            <w:highlight w:val="white"/>
            <w:u w:val="single"/>
          </w:rPr>
          <w:t>https://peru.iom.int/es/news/espacios-escolares-venezolanos-frente-la-xenofobia-maria-14-anos</w:t>
        </w:r>
      </w:hyperlink>
      <w:r>
        <w:rPr>
          <w:rFonts w:ascii="Arial" w:eastAsia="Arial" w:hAnsi="Arial" w:cs="Arial"/>
          <w:sz w:val="24"/>
          <w:szCs w:val="24"/>
          <w:highlight w:val="white"/>
        </w:rPr>
        <w:t>).</w:t>
      </w:r>
    </w:p>
    <w:p w:rsidR="000761CD" w:rsidRDefault="000761CD">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11" w:name="_heading=h.296fhzv9wc5g" w:colFirst="0" w:colLast="0"/>
      <w:bookmarkEnd w:id="11"/>
    </w:p>
    <w:p w:rsidR="000761CD" w:rsidRDefault="00492070">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12" w:name="_heading=h.qt13mvei9tnh" w:colFirst="0" w:colLast="0"/>
      <w:bookmarkEnd w:id="12"/>
      <w:r>
        <w:rPr>
          <w:rFonts w:ascii="Arial" w:eastAsia="Arial" w:hAnsi="Arial" w:cs="Arial"/>
          <w:sz w:val="24"/>
          <w:szCs w:val="24"/>
          <w:highlight w:val="white"/>
        </w:rPr>
        <w:t>27.- Los políticos  func</w:t>
      </w:r>
      <w:r>
        <w:rPr>
          <w:rFonts w:ascii="Arial" w:eastAsia="Arial" w:hAnsi="Arial" w:cs="Arial"/>
          <w:sz w:val="24"/>
          <w:szCs w:val="24"/>
          <w:highlight w:val="white"/>
        </w:rPr>
        <w:t>ionarios en el marco de la campaña electoral del 2021 desarrollaron una publicidad contra la migración venezolana “Un monitoreo de redes sociales y noticias evidencia que la campaña electoral acrecentó los estereotipos y discursos discriminatorios contra l</w:t>
      </w:r>
      <w:r>
        <w:rPr>
          <w:rFonts w:ascii="Arial" w:eastAsia="Arial" w:hAnsi="Arial" w:cs="Arial"/>
          <w:sz w:val="24"/>
          <w:szCs w:val="24"/>
          <w:highlight w:val="white"/>
        </w:rPr>
        <w:t xml:space="preserve">a migración venezolana, </w:t>
      </w:r>
    </w:p>
    <w:p w:rsidR="000761CD" w:rsidRDefault="000761CD">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13" w:name="_heading=h.7verhcpmrdl3" w:colFirst="0" w:colLast="0"/>
      <w:bookmarkEnd w:id="13"/>
    </w:p>
    <w:p w:rsidR="000761CD" w:rsidRDefault="000761CD">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14" w:name="_heading=h.97tbn0tbbgz" w:colFirst="0" w:colLast="0"/>
      <w:bookmarkEnd w:id="14"/>
    </w:p>
    <w:p w:rsidR="000761CD" w:rsidRDefault="00492070">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15" w:name="_heading=h.87fcbgf5ylp" w:colFirst="0" w:colLast="0"/>
      <w:bookmarkEnd w:id="15"/>
      <w:r>
        <w:rPr>
          <w:rFonts w:ascii="Arial" w:eastAsia="Arial" w:hAnsi="Arial" w:cs="Arial"/>
          <w:sz w:val="24"/>
          <w:szCs w:val="24"/>
          <w:highlight w:val="white"/>
        </w:rPr>
        <w:t>motivados principalmente por medios de comunicación y líderes políticos. El debate sobre esta situación produjo 83 mil mensajes solo en el primer trimestre del año. Los mensajes con contenido de xenofobia se elevaron en 864% a ra</w:t>
      </w:r>
      <w:r>
        <w:rPr>
          <w:rFonts w:ascii="Arial" w:eastAsia="Arial" w:hAnsi="Arial" w:cs="Arial"/>
          <w:sz w:val="24"/>
          <w:szCs w:val="24"/>
          <w:highlight w:val="white"/>
        </w:rPr>
        <w:t xml:space="preserve">íz de algunos episodios. Estos son los resultados del análisis realizado por el proyecto: Barómetro de la Xenofobia” </w:t>
      </w:r>
    </w:p>
    <w:p w:rsidR="000761CD" w:rsidRDefault="00492070">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16" w:name="_heading=h.h73mq1weia5e" w:colFirst="0" w:colLast="0"/>
      <w:bookmarkEnd w:id="16"/>
      <w:r>
        <w:rPr>
          <w:rFonts w:ascii="Arial" w:eastAsia="Arial" w:hAnsi="Arial" w:cs="Arial"/>
          <w:sz w:val="24"/>
          <w:szCs w:val="24"/>
          <w:highlight w:val="white"/>
        </w:rPr>
        <w:lastRenderedPageBreak/>
        <w:t>(</w:t>
      </w:r>
      <w:hyperlink r:id="rId15">
        <w:r>
          <w:rPr>
            <w:rFonts w:ascii="Arial" w:eastAsia="Arial" w:hAnsi="Arial" w:cs="Arial"/>
            <w:sz w:val="24"/>
            <w:szCs w:val="24"/>
            <w:highlight w:val="white"/>
            <w:u w:val="single"/>
          </w:rPr>
          <w:t>https://ojo-publico.com/2774/mensajes-de-odio-hacia-venezolanos-aumentaron-nueve-veces-en-campana</w:t>
        </w:r>
      </w:hyperlink>
      <w:r>
        <w:rPr>
          <w:rFonts w:ascii="Arial" w:eastAsia="Arial" w:hAnsi="Arial" w:cs="Arial"/>
          <w:sz w:val="24"/>
          <w:szCs w:val="24"/>
          <w:highlight w:val="white"/>
        </w:rPr>
        <w:t>).</w:t>
      </w:r>
    </w:p>
    <w:p w:rsidR="000761CD" w:rsidRDefault="000761CD">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17" w:name="_heading=h.jneapo3lfcrg" w:colFirst="0" w:colLast="0"/>
      <w:bookmarkEnd w:id="17"/>
    </w:p>
    <w:p w:rsidR="000761CD" w:rsidRDefault="00492070">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18" w:name="_heading=h.2fml91cvm4gr" w:colFirst="0" w:colLast="0"/>
      <w:bookmarkEnd w:id="18"/>
      <w:r>
        <w:rPr>
          <w:rFonts w:ascii="Arial" w:eastAsia="Arial" w:hAnsi="Arial" w:cs="Arial"/>
          <w:sz w:val="24"/>
          <w:szCs w:val="24"/>
          <w:highlight w:val="white"/>
        </w:rPr>
        <w:t>28.- El 25 de mayo de 2022 el Presidente del Gobierno Pedro Castillo, expresó en los medios de comunicación “En sesión del Consejo Nacional de Seguridad Ci</w:t>
      </w:r>
      <w:r>
        <w:rPr>
          <w:rFonts w:ascii="Arial" w:eastAsia="Arial" w:hAnsi="Arial" w:cs="Arial"/>
          <w:sz w:val="24"/>
          <w:szCs w:val="24"/>
          <w:highlight w:val="white"/>
        </w:rPr>
        <w:t>udadana (Conasec), el presidente Pedro Castillo reiteró el compromiso de su Gobierno en la lucha contra la inseguridad ciudadana y pidió evaluar la situación migratoria de los venezolanos que delinquen en el país” (</w:t>
      </w:r>
      <w:hyperlink r:id="rId16">
        <w:r>
          <w:rPr>
            <w:rFonts w:ascii="Arial" w:eastAsia="Arial" w:hAnsi="Arial" w:cs="Arial"/>
            <w:sz w:val="24"/>
            <w:szCs w:val="24"/>
            <w:highlight w:val="white"/>
            <w:u w:val="single"/>
          </w:rPr>
          <w:t>https://www.infobae.com/america/venezuela/2022/05/25/pedro-castillo-pidio-evaluar-la-situacion-migratoria-de-los-venezolanos-que-d</w:t>
        </w:r>
        <w:r>
          <w:rPr>
            <w:rFonts w:ascii="Arial" w:eastAsia="Arial" w:hAnsi="Arial" w:cs="Arial"/>
            <w:sz w:val="24"/>
            <w:szCs w:val="24"/>
            <w:highlight w:val="white"/>
            <w:u w:val="single"/>
          </w:rPr>
          <w:t>elinquen-en-peru/</w:t>
        </w:r>
      </w:hyperlink>
      <w:r>
        <w:rPr>
          <w:rFonts w:ascii="Arial" w:eastAsia="Arial" w:hAnsi="Arial" w:cs="Arial"/>
          <w:sz w:val="24"/>
          <w:szCs w:val="24"/>
          <w:highlight w:val="white"/>
        </w:rPr>
        <w:t xml:space="preserve">). Estas declaraciones aumentaron acciones xenofóbicas, provocando una criminalización contra la población venezolana, responsabilizándoles del aumento de los actos delictivos en el país. </w:t>
      </w:r>
    </w:p>
    <w:p w:rsidR="000761CD" w:rsidRDefault="00492070">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19" w:name="_heading=h.9ghkn074bstx" w:colFirst="0" w:colLast="0"/>
      <w:bookmarkEnd w:id="19"/>
      <w:r>
        <w:rPr>
          <w:rFonts w:ascii="Arial" w:eastAsia="Arial" w:hAnsi="Arial" w:cs="Arial"/>
          <w:sz w:val="24"/>
          <w:szCs w:val="24"/>
          <w:highlight w:val="white"/>
        </w:rPr>
        <w:t>29. “En enero de 2020, el gobierno peruano anunció</w:t>
      </w:r>
      <w:r>
        <w:rPr>
          <w:rFonts w:ascii="Arial" w:eastAsia="Arial" w:hAnsi="Arial" w:cs="Arial"/>
          <w:sz w:val="24"/>
          <w:szCs w:val="24"/>
          <w:highlight w:val="white"/>
        </w:rPr>
        <w:t xml:space="preserve"> la creación de una unidad de seguridad especial para abordar los delitos cometidos por extranjeros, aparentemente dirigido a venezolanos… En cuanto a los datos del INPE, a enero de 2020 había 1,061 inmigrantes en prisión, lo que representa el 1.3 por cien</w:t>
      </w:r>
      <w:r>
        <w:rPr>
          <w:rFonts w:ascii="Arial" w:eastAsia="Arial" w:hAnsi="Arial" w:cs="Arial"/>
          <w:sz w:val="24"/>
          <w:szCs w:val="24"/>
          <w:highlight w:val="white"/>
        </w:rPr>
        <w:t>to de la población carcelaria peruana. Los venezolanos constituyen 4.2 por ciento de la población general en las seis regiones encuestadas en la ENPOVE (y aproximadamente 2.9 por ciento de la población a nivel nacional). Por lo tanto, la proporción de recl</w:t>
      </w:r>
      <w:r>
        <w:rPr>
          <w:rFonts w:ascii="Arial" w:eastAsia="Arial" w:hAnsi="Arial" w:cs="Arial"/>
          <w:sz w:val="24"/>
          <w:szCs w:val="24"/>
          <w:highlight w:val="white"/>
        </w:rPr>
        <w:t>usos nacidos en el extranjero es mucho más baja que la proporción de venezolanos dentro de la población total: menos de la mitad… A nivel subnacional, este análisis no encontró evidencia de tasas excesivas de criminalidad en Lima, Callao y La Libertad, las</w:t>
      </w:r>
      <w:r>
        <w:rPr>
          <w:rFonts w:ascii="Arial" w:eastAsia="Arial" w:hAnsi="Arial" w:cs="Arial"/>
          <w:sz w:val="24"/>
          <w:szCs w:val="24"/>
          <w:highlight w:val="white"/>
        </w:rPr>
        <w:t xml:space="preserve"> tres regiones con mayor número de venezolanos, ya que la proporción de reclusos inmigrantes estaba muy por debajo de la proporción de residentes venezolanos”. (Inmigrantes venezolanos, crimen y percepciones falsas Un análisis de los datos en Colombia, Per</w:t>
      </w:r>
      <w:r>
        <w:rPr>
          <w:rFonts w:ascii="Arial" w:eastAsia="Arial" w:hAnsi="Arial" w:cs="Arial"/>
          <w:sz w:val="24"/>
          <w:szCs w:val="24"/>
          <w:highlight w:val="white"/>
        </w:rPr>
        <w:t>ú y Chile.POR DANY BAHAR, MEAGAN DOOLEY Y ANDREW SELEE).</w:t>
      </w:r>
    </w:p>
    <w:p w:rsidR="000761CD" w:rsidRDefault="00492070">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20" w:name="_heading=h.4jn00anh10cz" w:colFirst="0" w:colLast="0"/>
      <w:bookmarkEnd w:id="20"/>
      <w:r>
        <w:rPr>
          <w:rFonts w:ascii="Arial" w:eastAsia="Arial" w:hAnsi="Arial" w:cs="Arial"/>
          <w:sz w:val="24"/>
          <w:szCs w:val="24"/>
          <w:highlight w:val="white"/>
        </w:rPr>
        <w:t xml:space="preserve">30. El Presidente “Castillo aprueba un programa para expulsar a todos los extranjeros que cometan delitos en Perú   He ordenado que se inicie a través del Ministerio del Interior de Perú el programa </w:t>
      </w:r>
      <w:r>
        <w:rPr>
          <w:rFonts w:ascii="Arial" w:eastAsia="Arial" w:hAnsi="Arial" w:cs="Arial"/>
          <w:sz w:val="24"/>
          <w:szCs w:val="24"/>
          <w:highlight w:val="white"/>
        </w:rPr>
        <w:t xml:space="preserve">'Retorno a su país' para que se expulse a todos los extranjeros que cometan delitos en el Perú", ha expresado el mandatario peruano en un mensaje en su cuenta de Twitter. ( Leer más: </w:t>
      </w:r>
      <w:hyperlink r:id="rId17">
        <w:r>
          <w:rPr>
            <w:rFonts w:ascii="Arial" w:eastAsia="Arial" w:hAnsi="Arial" w:cs="Arial"/>
            <w:sz w:val="24"/>
            <w:szCs w:val="24"/>
            <w:highlight w:val="white"/>
            <w:u w:val="single"/>
          </w:rPr>
          <w:t>https://www.europapress.es/internacional/noticia-castillo-aprueba-programa-expulsar-todos-extranjeros-cometan-delitos-peru-20220813043155.html</w:t>
        </w:r>
      </w:hyperlink>
      <w:r>
        <w:rPr>
          <w:rFonts w:ascii="Arial" w:eastAsia="Arial" w:hAnsi="Arial" w:cs="Arial"/>
          <w:sz w:val="24"/>
          <w:szCs w:val="24"/>
          <w:highlight w:val="white"/>
        </w:rPr>
        <w:t>) A nuestra orgonzación n</w:t>
      </w:r>
      <w:r>
        <w:rPr>
          <w:rFonts w:ascii="Arial" w:eastAsia="Arial" w:hAnsi="Arial" w:cs="Arial"/>
          <w:sz w:val="24"/>
          <w:szCs w:val="24"/>
          <w:highlight w:val="white"/>
        </w:rPr>
        <w:t xml:space="preserve">os llego denuncias de venezolanos con situacín migratoia irregular,  que estaban siendo extorcionados para trabajar en condciones precarias y de esclavitud, de lo contario los empleadores les denunciarian para que la policia les </w:t>
      </w:r>
    </w:p>
    <w:p w:rsidR="000761CD" w:rsidRDefault="000761CD">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21" w:name="_heading=h.ebs1ysyd8wwn" w:colFirst="0" w:colLast="0"/>
      <w:bookmarkEnd w:id="21"/>
    </w:p>
    <w:p w:rsidR="000761CD" w:rsidRDefault="000761CD">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22" w:name="_heading=h.tuv7ks9dw1ne" w:colFirst="0" w:colLast="0"/>
      <w:bookmarkEnd w:id="22"/>
    </w:p>
    <w:p w:rsidR="000761CD" w:rsidRDefault="000761CD">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23" w:name="_heading=h.c1jvr7u6764b" w:colFirst="0" w:colLast="0"/>
      <w:bookmarkEnd w:id="23"/>
    </w:p>
    <w:p w:rsidR="000761CD" w:rsidRDefault="00492070">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24" w:name="_heading=h.2haatbslnxiy" w:colFirst="0" w:colLast="0"/>
      <w:bookmarkEnd w:id="24"/>
      <w:r>
        <w:rPr>
          <w:rFonts w:ascii="Arial" w:eastAsia="Arial" w:hAnsi="Arial" w:cs="Arial"/>
          <w:sz w:val="24"/>
          <w:szCs w:val="24"/>
          <w:highlight w:val="white"/>
        </w:rPr>
        <w:t>repatriaran, esta situa</w:t>
      </w:r>
      <w:r>
        <w:rPr>
          <w:rFonts w:ascii="Arial" w:eastAsia="Arial" w:hAnsi="Arial" w:cs="Arial"/>
          <w:sz w:val="24"/>
          <w:szCs w:val="24"/>
          <w:highlight w:val="white"/>
        </w:rPr>
        <w:t>ción expuso aún más las situación de vulnerabilidad de la comunidad venezolana en Perú. La pablación migrante en Venezuela nos ha manifestado sentirse desprotegidos, en condiciones de desigualdad ante la justicia peruana, por temor a ser expulsados del paí</w:t>
      </w:r>
      <w:r>
        <w:rPr>
          <w:rFonts w:ascii="Arial" w:eastAsia="Arial" w:hAnsi="Arial" w:cs="Arial"/>
          <w:sz w:val="24"/>
          <w:szCs w:val="24"/>
          <w:highlight w:val="white"/>
        </w:rPr>
        <w:t xml:space="preserve">s, motivo por el cual, se ha incrementado el abuso laboral y una modalidad de esclavitud en el trabajo por temor </w:t>
      </w:r>
      <w:r>
        <w:rPr>
          <w:rFonts w:ascii="Arial" w:eastAsia="Arial" w:hAnsi="Arial" w:cs="Arial"/>
          <w:sz w:val="24"/>
          <w:szCs w:val="24"/>
          <w:highlight w:val="white"/>
        </w:rPr>
        <w:lastRenderedPageBreak/>
        <w:t>a no ser denunciados hay victimas se se someten a este tipo de abusos por parte de algunos empleadores, la mayoria de estos casos estan liagado</w:t>
      </w:r>
      <w:r>
        <w:rPr>
          <w:rFonts w:ascii="Arial" w:eastAsia="Arial" w:hAnsi="Arial" w:cs="Arial"/>
          <w:sz w:val="24"/>
          <w:szCs w:val="24"/>
          <w:highlight w:val="white"/>
        </w:rPr>
        <w:t>s a la trata de personas por organizaciones criminales. El Informe situacional Perú INFORME SITUACIONAL DEL DELITO DE LA TRATA DE PERSONAS EN CONTEXTO DE FLUJOS MIGRATORIOS MIXTOS PERÚ, describre el dram de la migración Venezolana y las distintas vulneraci</w:t>
      </w:r>
      <w:r>
        <w:rPr>
          <w:rFonts w:ascii="Arial" w:eastAsia="Arial" w:hAnsi="Arial" w:cs="Arial"/>
          <w:sz w:val="24"/>
          <w:szCs w:val="24"/>
          <w:highlight w:val="white"/>
        </w:rPr>
        <w:t>ó a los derechos humanos que tienen que exponerse.</w:t>
      </w:r>
    </w:p>
    <w:p w:rsidR="000761CD" w:rsidRDefault="000761CD">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25" w:name="_heading=h.ydhq4k9hyivk" w:colFirst="0" w:colLast="0"/>
      <w:bookmarkEnd w:id="25"/>
    </w:p>
    <w:p w:rsidR="000761CD" w:rsidRDefault="00492070">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26" w:name="_heading=h.bqdoi8ecw1v5" w:colFirst="0" w:colLast="0"/>
      <w:bookmarkEnd w:id="26"/>
      <w:r>
        <w:rPr>
          <w:rFonts w:ascii="Arial" w:eastAsia="Arial" w:hAnsi="Arial" w:cs="Arial"/>
          <w:sz w:val="24"/>
          <w:szCs w:val="24"/>
          <w:highlight w:val="white"/>
        </w:rPr>
        <w:t>32. En la  Exposición de motivos del proyecto de de Ley Nº 2811/2022-PE, desde el Ejecutivo Nacional señala que la migración Venezolana ha provocado un incremento de la criminalidad en el país “un importa</w:t>
      </w:r>
      <w:r>
        <w:rPr>
          <w:rFonts w:ascii="Arial" w:eastAsia="Arial" w:hAnsi="Arial" w:cs="Arial"/>
          <w:sz w:val="24"/>
          <w:szCs w:val="24"/>
          <w:highlight w:val="white"/>
        </w:rPr>
        <w:t>nte porcentaje de peruanos y peruanas sí considera que es una amenaza la población venezolana'' o ''han ingresado a nuestro país ciudadanos venezolanos de mal vivir y con prontuario delictivo, que vienen propiciando el aumento de los crímenes con el consec</w:t>
      </w:r>
      <w:r>
        <w:rPr>
          <w:rFonts w:ascii="Arial" w:eastAsia="Arial" w:hAnsi="Arial" w:cs="Arial"/>
          <w:sz w:val="24"/>
          <w:szCs w:val="24"/>
          <w:highlight w:val="white"/>
        </w:rPr>
        <w:t>uente impacto en la sensación de inseguridad ciudadana''</w:t>
      </w:r>
    </w:p>
    <w:p w:rsidR="000761CD" w:rsidRDefault="00492070">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27" w:name="_heading=h.bz7murccnf6e" w:colFirst="0" w:colLast="0"/>
      <w:bookmarkEnd w:id="27"/>
      <w:r>
        <w:rPr>
          <w:rFonts w:ascii="Arial" w:eastAsia="Arial" w:hAnsi="Arial" w:cs="Arial"/>
          <w:sz w:val="24"/>
          <w:szCs w:val="24"/>
          <w:highlight w:val="white"/>
        </w:rPr>
        <w:t>(</w:t>
      </w:r>
      <w:hyperlink r:id="rId18">
        <w:r>
          <w:rPr>
            <w:rFonts w:ascii="Arial" w:eastAsia="Arial" w:hAnsi="Arial" w:cs="Arial"/>
            <w:sz w:val="24"/>
            <w:szCs w:val="24"/>
            <w:highlight w:val="white"/>
            <w:u w:val="single"/>
          </w:rPr>
          <w:t>https://cdn.gacetajuridica.com.pe/laley/PL%202811%202022%20PE%20LALEY.pd</w:t>
        </w:r>
      </w:hyperlink>
      <w:r>
        <w:rPr>
          <w:rFonts w:ascii="Arial" w:eastAsia="Arial" w:hAnsi="Arial" w:cs="Arial"/>
          <w:sz w:val="24"/>
          <w:szCs w:val="24"/>
          <w:highlight w:val="white"/>
        </w:rPr>
        <w:t>)</w:t>
      </w:r>
    </w:p>
    <w:p w:rsidR="000761CD" w:rsidRDefault="000761CD">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28" w:name="_heading=h.xhst6ad5c1uj" w:colFirst="0" w:colLast="0"/>
      <w:bookmarkEnd w:id="28"/>
    </w:p>
    <w:p w:rsidR="000761CD" w:rsidRDefault="00492070">
      <w:pPr>
        <w:pBdr>
          <w:top w:val="nil"/>
          <w:left w:val="nil"/>
          <w:bottom w:val="nil"/>
          <w:right w:val="nil"/>
          <w:between w:val="nil"/>
        </w:pBdr>
        <w:spacing w:after="0" w:line="240" w:lineRule="auto"/>
        <w:jc w:val="both"/>
        <w:rPr>
          <w:rFonts w:ascii="Arial" w:eastAsia="Arial" w:hAnsi="Arial" w:cs="Arial"/>
          <w:sz w:val="24"/>
          <w:szCs w:val="24"/>
          <w:highlight w:val="white"/>
        </w:rPr>
      </w:pPr>
      <w:bookmarkStart w:id="29" w:name="_heading=h.rqpeltcncvka" w:colFirst="0" w:colLast="0"/>
      <w:bookmarkEnd w:id="29"/>
      <w:r>
        <w:rPr>
          <w:rFonts w:ascii="Arial" w:eastAsia="Arial" w:hAnsi="Arial" w:cs="Arial"/>
          <w:sz w:val="24"/>
          <w:szCs w:val="24"/>
          <w:highlight w:val="white"/>
        </w:rPr>
        <w:t xml:space="preserve">33. El mismo proyecto de Ley Nº 2811/2022-PE señala que existen 1561 reclusos de nacionalidad Venezolana y </w:t>
      </w:r>
      <w:r>
        <w:rPr>
          <w:rFonts w:ascii="Arial" w:eastAsia="Arial" w:hAnsi="Arial" w:cs="Arial"/>
          <w:b/>
          <w:sz w:val="24"/>
          <w:szCs w:val="24"/>
          <w:highlight w:val="white"/>
        </w:rPr>
        <w:t xml:space="preserve">87245 </w:t>
      </w:r>
      <w:r>
        <w:rPr>
          <w:rFonts w:ascii="Arial" w:eastAsia="Arial" w:hAnsi="Arial" w:cs="Arial"/>
          <w:sz w:val="24"/>
          <w:szCs w:val="24"/>
          <w:highlight w:val="white"/>
        </w:rPr>
        <w:t>de nacionalidad peruana, lo cual representa un estimado de</w:t>
      </w:r>
      <w:r>
        <w:rPr>
          <w:rFonts w:ascii="Arial" w:eastAsia="Arial" w:hAnsi="Arial" w:cs="Arial"/>
          <w:b/>
          <w:sz w:val="24"/>
          <w:szCs w:val="24"/>
          <w:highlight w:val="white"/>
        </w:rPr>
        <w:t xml:space="preserve"> 1,8%</w:t>
      </w:r>
      <w:r>
        <w:rPr>
          <w:rFonts w:ascii="Arial" w:eastAsia="Arial" w:hAnsi="Arial" w:cs="Arial"/>
          <w:sz w:val="24"/>
          <w:szCs w:val="24"/>
          <w:highlight w:val="white"/>
        </w:rPr>
        <w:t xml:space="preserve"> venezolanos de la población reclusa en las cárceles de Perú siendo evidente la </w:t>
      </w:r>
      <w:r>
        <w:rPr>
          <w:rFonts w:ascii="Arial" w:eastAsia="Arial" w:hAnsi="Arial" w:cs="Arial"/>
          <w:sz w:val="24"/>
          <w:szCs w:val="24"/>
          <w:highlight w:val="white"/>
        </w:rPr>
        <w:t xml:space="preserve">demagogia racista de la política del gobierno del Perú para estigmatizar a los Venezolanos y atribuirle la culpa de la criminalidad y no reconocer las malas políticas eficaces en seguridad ciudadana. </w:t>
      </w:r>
    </w:p>
    <w:p w:rsidR="000761CD" w:rsidRDefault="000761CD">
      <w:pPr>
        <w:pBdr>
          <w:top w:val="nil"/>
          <w:left w:val="nil"/>
          <w:bottom w:val="nil"/>
          <w:right w:val="nil"/>
          <w:between w:val="nil"/>
        </w:pBdr>
        <w:spacing w:after="0" w:line="240" w:lineRule="auto"/>
        <w:jc w:val="both"/>
        <w:rPr>
          <w:rFonts w:ascii="Arial" w:eastAsia="Arial" w:hAnsi="Arial" w:cs="Arial"/>
          <w:b/>
          <w:i/>
          <w:color w:val="2F2F2F"/>
          <w:sz w:val="24"/>
          <w:szCs w:val="24"/>
          <w:highlight w:val="white"/>
        </w:rPr>
      </w:pPr>
      <w:bookmarkStart w:id="30" w:name="_heading=h.h0bgspo3p876" w:colFirst="0" w:colLast="0"/>
      <w:bookmarkEnd w:id="30"/>
    </w:p>
    <w:p w:rsidR="000761CD" w:rsidRDefault="00492070">
      <w:pPr>
        <w:pBdr>
          <w:top w:val="nil"/>
          <w:left w:val="nil"/>
          <w:bottom w:val="nil"/>
          <w:right w:val="nil"/>
          <w:between w:val="nil"/>
        </w:pBdr>
        <w:spacing w:after="0" w:line="240" w:lineRule="auto"/>
        <w:jc w:val="both"/>
        <w:rPr>
          <w:rFonts w:ascii="Arial" w:eastAsia="Arial" w:hAnsi="Arial" w:cs="Arial"/>
          <w:color w:val="4D4D4D"/>
          <w:sz w:val="29"/>
          <w:szCs w:val="29"/>
          <w:highlight w:val="white"/>
        </w:rPr>
      </w:pPr>
      <w:bookmarkStart w:id="31" w:name="_heading=h.r3prgddqod1w" w:colFirst="0" w:colLast="0"/>
      <w:bookmarkEnd w:id="31"/>
      <w:r>
        <w:rPr>
          <w:rFonts w:ascii="Arial" w:eastAsia="Arial" w:hAnsi="Arial" w:cs="Arial"/>
          <w:sz w:val="24"/>
          <w:szCs w:val="24"/>
          <w:highlight w:val="white"/>
        </w:rPr>
        <w:t>31. Desde la Defensoría del Pueblo, reiteramos nuestra</w:t>
      </w:r>
      <w:r>
        <w:rPr>
          <w:rFonts w:ascii="Arial" w:eastAsia="Arial" w:hAnsi="Arial" w:cs="Arial"/>
          <w:sz w:val="24"/>
          <w:szCs w:val="24"/>
          <w:highlight w:val="white"/>
        </w:rPr>
        <w:t xml:space="preserve"> preocupación por la propagación de discursos xenofóbicos contra la población venezolana que se encuentra en el país. Exigimos a las autoridades políticas a cumplir su deber de respetar la Constitución Política del Perú y las leyes y, a no incurrir en acto</w:t>
      </w:r>
      <w:r>
        <w:rPr>
          <w:rFonts w:ascii="Arial" w:eastAsia="Arial" w:hAnsi="Arial" w:cs="Arial"/>
          <w:sz w:val="24"/>
          <w:szCs w:val="24"/>
          <w:highlight w:val="white"/>
        </w:rPr>
        <w:t>s discriminatorios.(</w:t>
      </w:r>
      <w:hyperlink r:id="rId19">
        <w:r>
          <w:rPr>
            <w:rFonts w:ascii="Arial" w:eastAsia="Arial" w:hAnsi="Arial" w:cs="Arial"/>
            <w:sz w:val="24"/>
            <w:szCs w:val="24"/>
            <w:highlight w:val="white"/>
          </w:rPr>
          <w:t>Nota de Prensa N° 330/OCII/DP/2019</w:t>
        </w:r>
      </w:hyperlink>
      <w:r>
        <w:rPr>
          <w:rFonts w:ascii="Arial" w:eastAsia="Arial" w:hAnsi="Arial" w:cs="Arial"/>
          <w:sz w:val="24"/>
          <w:szCs w:val="24"/>
          <w:highlight w:val="white"/>
        </w:rPr>
        <w:t>).</w:t>
      </w:r>
    </w:p>
    <w:p w:rsidR="000761CD" w:rsidRDefault="000761CD">
      <w:pPr>
        <w:pBdr>
          <w:top w:val="nil"/>
          <w:left w:val="nil"/>
          <w:bottom w:val="nil"/>
          <w:right w:val="nil"/>
          <w:between w:val="nil"/>
        </w:pBdr>
        <w:spacing w:after="0" w:line="240" w:lineRule="auto"/>
        <w:jc w:val="both"/>
        <w:rPr>
          <w:rFonts w:ascii="Arial" w:eastAsia="Arial" w:hAnsi="Arial" w:cs="Arial"/>
          <w:color w:val="4D4D4D"/>
          <w:sz w:val="29"/>
          <w:szCs w:val="29"/>
          <w:highlight w:val="white"/>
        </w:rPr>
      </w:pPr>
      <w:bookmarkStart w:id="32" w:name="_heading=h.ppdx8jxh5674" w:colFirst="0" w:colLast="0"/>
      <w:bookmarkEnd w:id="32"/>
    </w:p>
    <w:p w:rsidR="000761CD" w:rsidRDefault="000761CD">
      <w:pPr>
        <w:pBdr>
          <w:top w:val="nil"/>
          <w:left w:val="nil"/>
          <w:bottom w:val="nil"/>
          <w:right w:val="nil"/>
          <w:between w:val="nil"/>
        </w:pBdr>
        <w:spacing w:after="0" w:line="240" w:lineRule="auto"/>
        <w:jc w:val="both"/>
        <w:rPr>
          <w:rFonts w:ascii="Arial" w:eastAsia="Arial" w:hAnsi="Arial" w:cs="Arial"/>
          <w:color w:val="4D4D4D"/>
          <w:sz w:val="29"/>
          <w:szCs w:val="29"/>
          <w:highlight w:val="white"/>
        </w:rPr>
      </w:pPr>
      <w:bookmarkStart w:id="33" w:name="_heading=h.imc9inbv3dbe" w:colFirst="0" w:colLast="0"/>
      <w:bookmarkEnd w:id="33"/>
    </w:p>
    <w:p w:rsidR="000761CD" w:rsidRDefault="000761CD">
      <w:pPr>
        <w:pBdr>
          <w:top w:val="nil"/>
          <w:left w:val="nil"/>
          <w:bottom w:val="nil"/>
          <w:right w:val="nil"/>
          <w:between w:val="nil"/>
        </w:pBdr>
        <w:spacing w:after="0" w:line="240" w:lineRule="auto"/>
        <w:jc w:val="both"/>
        <w:rPr>
          <w:rFonts w:ascii="Arial" w:eastAsia="Arial" w:hAnsi="Arial" w:cs="Arial"/>
          <w:color w:val="4D4D4D"/>
          <w:sz w:val="29"/>
          <w:szCs w:val="29"/>
          <w:highlight w:val="white"/>
        </w:rPr>
      </w:pPr>
      <w:bookmarkStart w:id="34" w:name="_heading=h.d8b08ajtr0tf" w:colFirst="0" w:colLast="0"/>
      <w:bookmarkEnd w:id="34"/>
    </w:p>
    <w:p w:rsidR="000761CD" w:rsidRDefault="000761CD">
      <w:pPr>
        <w:pBdr>
          <w:top w:val="nil"/>
          <w:left w:val="nil"/>
          <w:bottom w:val="nil"/>
          <w:right w:val="nil"/>
          <w:between w:val="nil"/>
        </w:pBdr>
        <w:spacing w:after="0" w:line="240" w:lineRule="auto"/>
        <w:jc w:val="both"/>
        <w:rPr>
          <w:rFonts w:ascii="Arial" w:eastAsia="Arial" w:hAnsi="Arial" w:cs="Arial"/>
          <w:color w:val="4D4D4D"/>
          <w:sz w:val="29"/>
          <w:szCs w:val="29"/>
          <w:highlight w:val="white"/>
        </w:rPr>
      </w:pPr>
      <w:bookmarkStart w:id="35" w:name="_heading=h.9pwscd1xaxq" w:colFirst="0" w:colLast="0"/>
      <w:bookmarkEnd w:id="35"/>
    </w:p>
    <w:p w:rsidR="000761CD" w:rsidRDefault="000761CD">
      <w:pPr>
        <w:pBdr>
          <w:top w:val="nil"/>
          <w:left w:val="nil"/>
          <w:bottom w:val="nil"/>
          <w:right w:val="nil"/>
          <w:between w:val="nil"/>
        </w:pBdr>
        <w:spacing w:after="0" w:line="240" w:lineRule="auto"/>
        <w:jc w:val="both"/>
        <w:rPr>
          <w:rFonts w:ascii="Arial" w:eastAsia="Arial" w:hAnsi="Arial" w:cs="Arial"/>
          <w:color w:val="4D4D4D"/>
          <w:sz w:val="29"/>
          <w:szCs w:val="29"/>
          <w:highlight w:val="white"/>
        </w:rPr>
      </w:pPr>
      <w:bookmarkStart w:id="36" w:name="_heading=h.eeuc6j9wn1xn" w:colFirst="0" w:colLast="0"/>
      <w:bookmarkEnd w:id="36"/>
    </w:p>
    <w:p w:rsidR="000761CD" w:rsidRDefault="000761CD">
      <w:pPr>
        <w:pBdr>
          <w:top w:val="nil"/>
          <w:left w:val="nil"/>
          <w:bottom w:val="nil"/>
          <w:right w:val="nil"/>
          <w:between w:val="nil"/>
        </w:pBdr>
        <w:spacing w:after="0" w:line="240" w:lineRule="auto"/>
        <w:jc w:val="both"/>
        <w:rPr>
          <w:rFonts w:ascii="Arial" w:eastAsia="Arial" w:hAnsi="Arial" w:cs="Arial"/>
          <w:color w:val="4D4D4D"/>
          <w:sz w:val="29"/>
          <w:szCs w:val="29"/>
          <w:highlight w:val="white"/>
        </w:rPr>
      </w:pPr>
      <w:bookmarkStart w:id="37" w:name="_heading=h.bixf3bm1irxu" w:colFirst="0" w:colLast="0"/>
      <w:bookmarkEnd w:id="37"/>
    </w:p>
    <w:p w:rsidR="000761CD" w:rsidRDefault="000761CD">
      <w:pPr>
        <w:shd w:val="clear" w:color="auto" w:fill="FFFFFF"/>
        <w:spacing w:after="380" w:line="240" w:lineRule="auto"/>
        <w:jc w:val="both"/>
        <w:rPr>
          <w:rFonts w:ascii="Arial" w:eastAsia="Arial" w:hAnsi="Arial" w:cs="Arial"/>
          <w:color w:val="4D4D4D"/>
          <w:sz w:val="29"/>
          <w:szCs w:val="29"/>
          <w:highlight w:val="white"/>
        </w:rPr>
      </w:pPr>
    </w:p>
    <w:p w:rsidR="000761CD" w:rsidRDefault="000761CD">
      <w:pPr>
        <w:shd w:val="clear" w:color="auto" w:fill="FFFFFF"/>
        <w:spacing w:after="380" w:line="240" w:lineRule="auto"/>
        <w:jc w:val="both"/>
        <w:rPr>
          <w:rFonts w:ascii="Arial" w:eastAsia="Arial" w:hAnsi="Arial" w:cs="Arial"/>
          <w:color w:val="4D4D4D"/>
          <w:sz w:val="29"/>
          <w:szCs w:val="29"/>
          <w:highlight w:val="white"/>
        </w:rPr>
      </w:pPr>
    </w:p>
    <w:p w:rsidR="000761CD" w:rsidRDefault="000761CD">
      <w:pPr>
        <w:shd w:val="clear" w:color="auto" w:fill="FFFFFF"/>
        <w:spacing w:after="380" w:line="240" w:lineRule="auto"/>
        <w:jc w:val="both"/>
        <w:rPr>
          <w:rFonts w:ascii="Arial" w:eastAsia="Arial" w:hAnsi="Arial" w:cs="Arial"/>
          <w:b/>
          <w:sz w:val="24"/>
          <w:szCs w:val="24"/>
          <w:highlight w:val="white"/>
        </w:rPr>
      </w:pPr>
    </w:p>
    <w:p w:rsidR="000761CD" w:rsidRDefault="000761CD">
      <w:pPr>
        <w:shd w:val="clear" w:color="auto" w:fill="FFFFFF"/>
        <w:spacing w:after="380" w:line="240" w:lineRule="auto"/>
        <w:jc w:val="both"/>
        <w:rPr>
          <w:rFonts w:ascii="Arial" w:eastAsia="Arial" w:hAnsi="Arial" w:cs="Arial"/>
          <w:b/>
          <w:sz w:val="24"/>
          <w:szCs w:val="24"/>
          <w:highlight w:val="white"/>
        </w:rPr>
      </w:pPr>
    </w:p>
    <w:p w:rsidR="000761CD" w:rsidRDefault="000761CD">
      <w:pPr>
        <w:shd w:val="clear" w:color="auto" w:fill="FFFFFF"/>
        <w:spacing w:after="380" w:line="240" w:lineRule="auto"/>
        <w:jc w:val="both"/>
        <w:rPr>
          <w:rFonts w:ascii="Arial" w:eastAsia="Arial" w:hAnsi="Arial" w:cs="Arial"/>
          <w:b/>
          <w:sz w:val="24"/>
          <w:szCs w:val="24"/>
          <w:highlight w:val="white"/>
        </w:rPr>
      </w:pPr>
    </w:p>
    <w:p w:rsidR="000761CD" w:rsidRDefault="00492070">
      <w:pPr>
        <w:shd w:val="clear" w:color="auto" w:fill="FFFFFF"/>
        <w:spacing w:after="380" w:line="240" w:lineRule="auto"/>
        <w:jc w:val="both"/>
        <w:rPr>
          <w:rFonts w:ascii="Arial" w:eastAsia="Arial" w:hAnsi="Arial" w:cs="Arial"/>
          <w:b/>
          <w:sz w:val="24"/>
          <w:szCs w:val="24"/>
          <w:highlight w:val="white"/>
        </w:rPr>
      </w:pPr>
      <w:r>
        <w:rPr>
          <w:rFonts w:ascii="Arial" w:eastAsia="Arial" w:hAnsi="Arial" w:cs="Arial"/>
          <w:b/>
          <w:sz w:val="24"/>
          <w:szCs w:val="24"/>
          <w:highlight w:val="white"/>
        </w:rPr>
        <w:t>Solicitamos a los Expertos independientes del Comité:</w:t>
      </w:r>
    </w:p>
    <w:p w:rsidR="000761CD" w:rsidRDefault="00492070">
      <w:pPr>
        <w:spacing w:after="0" w:line="240" w:lineRule="auto"/>
        <w:jc w:val="both"/>
        <w:rPr>
          <w:rFonts w:ascii="Arial" w:eastAsia="Arial" w:hAnsi="Arial" w:cs="Arial"/>
          <w:sz w:val="24"/>
          <w:szCs w:val="24"/>
          <w:highlight w:val="white"/>
        </w:rPr>
      </w:pPr>
      <w:bookmarkStart w:id="38" w:name="_heading=h.wvgaoukk3j6a" w:colFirst="0" w:colLast="0"/>
      <w:bookmarkEnd w:id="38"/>
      <w:r>
        <w:rPr>
          <w:rFonts w:ascii="Arial" w:eastAsia="Arial" w:hAnsi="Arial" w:cs="Arial"/>
          <w:sz w:val="24"/>
          <w:szCs w:val="24"/>
          <w:highlight w:val="white"/>
        </w:rPr>
        <w:t>1- Que el Estado adecue e implemente políticas públicas en garantizar los derechos sexuales y reproductivo de la población en especial atención de las niñas y adolescentes embarazadas.</w:t>
      </w:r>
    </w:p>
    <w:p w:rsidR="000761CD" w:rsidRDefault="00492070">
      <w:pPr>
        <w:spacing w:after="0" w:line="240" w:lineRule="auto"/>
        <w:jc w:val="both"/>
        <w:rPr>
          <w:rFonts w:ascii="Arial" w:eastAsia="Arial" w:hAnsi="Arial" w:cs="Arial"/>
          <w:sz w:val="24"/>
          <w:szCs w:val="24"/>
          <w:highlight w:val="white"/>
        </w:rPr>
      </w:pPr>
      <w:bookmarkStart w:id="39" w:name="_heading=h.z6bqfq5sf0an" w:colFirst="0" w:colLast="0"/>
      <w:bookmarkEnd w:id="39"/>
      <w:r>
        <w:rPr>
          <w:rFonts w:ascii="Arial" w:eastAsia="Arial" w:hAnsi="Arial" w:cs="Arial"/>
          <w:sz w:val="24"/>
          <w:szCs w:val="24"/>
          <w:highlight w:val="white"/>
        </w:rPr>
        <w:t xml:space="preserve">2- Que el Estado fortalezca la relación de cooperación de las Agencias </w:t>
      </w:r>
      <w:r>
        <w:rPr>
          <w:rFonts w:ascii="Arial" w:eastAsia="Arial" w:hAnsi="Arial" w:cs="Arial"/>
          <w:sz w:val="24"/>
          <w:szCs w:val="24"/>
          <w:highlight w:val="white"/>
        </w:rPr>
        <w:t>y Programas de la ONU (UNICEF, UNFPA, ACNUR, OIM, ONUSIDA, PNUD) y programas regionales para atender problemas como el embarazo en adolescente, acceso al derecho de la educación, atención de las personas migrantes.</w:t>
      </w:r>
    </w:p>
    <w:p w:rsidR="000761CD" w:rsidRDefault="00492070">
      <w:pPr>
        <w:spacing w:after="0" w:line="240" w:lineRule="auto"/>
        <w:jc w:val="both"/>
        <w:rPr>
          <w:rFonts w:ascii="Arial" w:eastAsia="Arial" w:hAnsi="Arial" w:cs="Arial"/>
          <w:sz w:val="24"/>
          <w:szCs w:val="24"/>
          <w:highlight w:val="white"/>
        </w:rPr>
      </w:pPr>
      <w:bookmarkStart w:id="40" w:name="_heading=h.s5m99use88df" w:colFirst="0" w:colLast="0"/>
      <w:bookmarkEnd w:id="40"/>
      <w:r>
        <w:rPr>
          <w:rFonts w:ascii="Arial" w:eastAsia="Arial" w:hAnsi="Arial" w:cs="Arial"/>
          <w:sz w:val="24"/>
          <w:szCs w:val="24"/>
          <w:highlight w:val="white"/>
        </w:rPr>
        <w:t>3- Que el Estado informe al Comité, sobre</w:t>
      </w:r>
      <w:r>
        <w:rPr>
          <w:rFonts w:ascii="Arial" w:eastAsia="Arial" w:hAnsi="Arial" w:cs="Arial"/>
          <w:sz w:val="24"/>
          <w:szCs w:val="24"/>
          <w:highlight w:val="white"/>
        </w:rPr>
        <w:t xml:space="preserve"> las medidas adoptadas para el acceso, goce y disfrute de los derechos a la educación, salud, y alimentación de los población más pobres.</w:t>
      </w:r>
    </w:p>
    <w:p w:rsidR="000761CD" w:rsidRDefault="00492070">
      <w:pPr>
        <w:spacing w:after="0" w:line="240" w:lineRule="auto"/>
        <w:jc w:val="both"/>
        <w:rPr>
          <w:rFonts w:ascii="Arial" w:eastAsia="Arial" w:hAnsi="Arial" w:cs="Arial"/>
          <w:sz w:val="24"/>
          <w:szCs w:val="24"/>
          <w:highlight w:val="white"/>
        </w:rPr>
      </w:pPr>
      <w:bookmarkStart w:id="41" w:name="_heading=h.d95obhvzi2wf" w:colFirst="0" w:colLast="0"/>
      <w:bookmarkEnd w:id="41"/>
      <w:r>
        <w:rPr>
          <w:rFonts w:ascii="Arial" w:eastAsia="Arial" w:hAnsi="Arial" w:cs="Arial"/>
          <w:sz w:val="24"/>
          <w:szCs w:val="24"/>
          <w:highlight w:val="white"/>
        </w:rPr>
        <w:t>4- Que el Estado informe de las medidas adoptadas para adecuar y cumplir con las metas del Milenio en erradicar la pobreza y el cambio climático.</w:t>
      </w:r>
    </w:p>
    <w:p w:rsidR="000761CD" w:rsidRDefault="00492070">
      <w:pPr>
        <w:spacing w:after="0" w:line="240" w:lineRule="auto"/>
        <w:jc w:val="both"/>
        <w:rPr>
          <w:rFonts w:ascii="Arial" w:eastAsia="Arial" w:hAnsi="Arial" w:cs="Arial"/>
          <w:sz w:val="24"/>
          <w:szCs w:val="24"/>
          <w:highlight w:val="white"/>
        </w:rPr>
      </w:pPr>
      <w:bookmarkStart w:id="42" w:name="_heading=h.j1x3el6cln3s" w:colFirst="0" w:colLast="0"/>
      <w:bookmarkEnd w:id="42"/>
      <w:r>
        <w:rPr>
          <w:rFonts w:ascii="Arial" w:eastAsia="Arial" w:hAnsi="Arial" w:cs="Arial"/>
          <w:sz w:val="24"/>
          <w:szCs w:val="24"/>
          <w:highlight w:val="white"/>
        </w:rPr>
        <w:t>5- Que el Estado, se comprometa en adoptar reformas legislativas uregntes para garantizar los derechos y no di</w:t>
      </w:r>
      <w:r>
        <w:rPr>
          <w:rFonts w:ascii="Arial" w:eastAsia="Arial" w:hAnsi="Arial" w:cs="Arial"/>
          <w:sz w:val="24"/>
          <w:szCs w:val="24"/>
          <w:highlight w:val="white"/>
        </w:rPr>
        <w:t>scriminación de las personas LGBTI.</w:t>
      </w:r>
    </w:p>
    <w:p w:rsidR="000761CD" w:rsidRDefault="00492070">
      <w:pPr>
        <w:spacing w:after="0" w:line="240" w:lineRule="auto"/>
        <w:jc w:val="both"/>
        <w:rPr>
          <w:rFonts w:ascii="Arial" w:eastAsia="Arial" w:hAnsi="Arial" w:cs="Arial"/>
          <w:sz w:val="24"/>
          <w:szCs w:val="24"/>
          <w:highlight w:val="white"/>
        </w:rPr>
      </w:pPr>
      <w:bookmarkStart w:id="43" w:name="_heading=h.iplc3ohewpos" w:colFirst="0" w:colLast="0"/>
      <w:bookmarkEnd w:id="43"/>
      <w:r>
        <w:rPr>
          <w:rFonts w:ascii="Arial" w:eastAsia="Arial" w:hAnsi="Arial" w:cs="Arial"/>
          <w:sz w:val="24"/>
          <w:szCs w:val="24"/>
          <w:highlight w:val="white"/>
        </w:rPr>
        <w:t>6- Que el Estado se comprometa en adoptar medidas urgentes y eficaces para la protección del ejercicio del derecho libertad de expresión y labor de los periodistas.</w:t>
      </w:r>
    </w:p>
    <w:p w:rsidR="000761CD" w:rsidRDefault="00492070">
      <w:pPr>
        <w:spacing w:after="0" w:line="240" w:lineRule="auto"/>
        <w:jc w:val="both"/>
        <w:rPr>
          <w:rFonts w:ascii="Arial" w:eastAsia="Arial" w:hAnsi="Arial" w:cs="Arial"/>
          <w:sz w:val="24"/>
          <w:szCs w:val="24"/>
          <w:highlight w:val="white"/>
        </w:rPr>
      </w:pPr>
      <w:bookmarkStart w:id="44" w:name="_heading=h.nfdm90b3i4lq" w:colFirst="0" w:colLast="0"/>
      <w:bookmarkEnd w:id="44"/>
      <w:r>
        <w:rPr>
          <w:rFonts w:ascii="Arial" w:eastAsia="Arial" w:hAnsi="Arial" w:cs="Arial"/>
          <w:sz w:val="24"/>
          <w:szCs w:val="24"/>
          <w:highlight w:val="white"/>
        </w:rPr>
        <w:t xml:space="preserve">7- Que el Estado adopte medidas urgentes y eficaces en </w:t>
      </w:r>
      <w:r>
        <w:rPr>
          <w:rFonts w:ascii="Arial" w:eastAsia="Arial" w:hAnsi="Arial" w:cs="Arial"/>
          <w:sz w:val="24"/>
          <w:szCs w:val="24"/>
          <w:highlight w:val="white"/>
        </w:rPr>
        <w:t>el mecanismos de protección a los defensores de derechos humanos.</w:t>
      </w:r>
    </w:p>
    <w:p w:rsidR="000761CD" w:rsidRDefault="00492070">
      <w:pPr>
        <w:spacing w:after="0" w:line="240" w:lineRule="auto"/>
        <w:jc w:val="both"/>
        <w:rPr>
          <w:rFonts w:ascii="Arial" w:eastAsia="Arial" w:hAnsi="Arial" w:cs="Arial"/>
          <w:sz w:val="24"/>
          <w:szCs w:val="24"/>
          <w:highlight w:val="white"/>
        </w:rPr>
      </w:pPr>
      <w:bookmarkStart w:id="45" w:name="_heading=h.lorhso57zpps" w:colFirst="0" w:colLast="0"/>
      <w:bookmarkEnd w:id="45"/>
      <w:r>
        <w:rPr>
          <w:rFonts w:ascii="Arial" w:eastAsia="Arial" w:hAnsi="Arial" w:cs="Arial"/>
          <w:sz w:val="24"/>
          <w:szCs w:val="24"/>
          <w:highlight w:val="white"/>
        </w:rPr>
        <w:t xml:space="preserve">8- Que el Estado informe al Comité sobre las políticas dirigidas al Régimen Penitenciario, las medidas adoptadas para erradicar: </w:t>
      </w:r>
    </w:p>
    <w:p w:rsidR="000761CD" w:rsidRDefault="00492070">
      <w:pPr>
        <w:spacing w:after="0" w:line="240" w:lineRule="auto"/>
        <w:jc w:val="both"/>
        <w:rPr>
          <w:rFonts w:ascii="Arial" w:eastAsia="Arial" w:hAnsi="Arial" w:cs="Arial"/>
          <w:sz w:val="24"/>
          <w:szCs w:val="24"/>
          <w:highlight w:val="white"/>
        </w:rPr>
      </w:pPr>
      <w:bookmarkStart w:id="46" w:name="_heading=h.z8rb3fg4af" w:colFirst="0" w:colLast="0"/>
      <w:bookmarkEnd w:id="46"/>
      <w:r>
        <w:rPr>
          <w:rFonts w:ascii="Arial" w:eastAsia="Arial" w:hAnsi="Arial" w:cs="Arial"/>
          <w:sz w:val="24"/>
          <w:szCs w:val="24"/>
          <w:highlight w:val="white"/>
        </w:rPr>
        <w:t>a) El hacinamiento en las cárceles.</w:t>
      </w:r>
    </w:p>
    <w:p w:rsidR="000761CD" w:rsidRDefault="00492070">
      <w:pPr>
        <w:spacing w:after="0" w:line="240" w:lineRule="auto"/>
        <w:jc w:val="both"/>
        <w:rPr>
          <w:rFonts w:ascii="Arial" w:eastAsia="Arial" w:hAnsi="Arial" w:cs="Arial"/>
          <w:sz w:val="24"/>
          <w:szCs w:val="24"/>
          <w:highlight w:val="white"/>
        </w:rPr>
      </w:pPr>
      <w:bookmarkStart w:id="47" w:name="_heading=h.7qbsp7qgkrgq" w:colFirst="0" w:colLast="0"/>
      <w:bookmarkEnd w:id="47"/>
      <w:r>
        <w:rPr>
          <w:rFonts w:ascii="Arial" w:eastAsia="Arial" w:hAnsi="Arial" w:cs="Arial"/>
          <w:sz w:val="24"/>
          <w:szCs w:val="24"/>
          <w:highlight w:val="white"/>
        </w:rPr>
        <w:t>b) El retardo de un juic</w:t>
      </w:r>
      <w:r>
        <w:rPr>
          <w:rFonts w:ascii="Arial" w:eastAsia="Arial" w:hAnsi="Arial" w:cs="Arial"/>
          <w:sz w:val="24"/>
          <w:szCs w:val="24"/>
          <w:highlight w:val="white"/>
        </w:rPr>
        <w:t>io justo y oportuno.</w:t>
      </w:r>
    </w:p>
    <w:p w:rsidR="000761CD" w:rsidRDefault="00492070">
      <w:pPr>
        <w:spacing w:after="0" w:line="240" w:lineRule="auto"/>
        <w:jc w:val="both"/>
        <w:rPr>
          <w:rFonts w:ascii="Arial" w:eastAsia="Arial" w:hAnsi="Arial" w:cs="Arial"/>
          <w:sz w:val="24"/>
          <w:szCs w:val="24"/>
          <w:highlight w:val="white"/>
        </w:rPr>
      </w:pPr>
      <w:bookmarkStart w:id="48" w:name="_heading=h.u8jcurho63w7" w:colFirst="0" w:colLast="0"/>
      <w:bookmarkEnd w:id="48"/>
      <w:r>
        <w:rPr>
          <w:rFonts w:ascii="Arial" w:eastAsia="Arial" w:hAnsi="Arial" w:cs="Arial"/>
          <w:sz w:val="24"/>
          <w:szCs w:val="24"/>
          <w:highlight w:val="white"/>
        </w:rPr>
        <w:t>9- Que el Estado adopte medidas legislativas y políticas públicas, urgentes y eficaces para erradicar la xenofobia contra la población inmigrante.</w:t>
      </w:r>
    </w:p>
    <w:p w:rsidR="000761CD" w:rsidRDefault="00492070">
      <w:pPr>
        <w:spacing w:after="0" w:line="240" w:lineRule="auto"/>
        <w:jc w:val="both"/>
        <w:rPr>
          <w:rFonts w:ascii="Arial" w:eastAsia="Arial" w:hAnsi="Arial" w:cs="Arial"/>
          <w:sz w:val="24"/>
          <w:szCs w:val="24"/>
          <w:highlight w:val="white"/>
        </w:rPr>
      </w:pPr>
      <w:bookmarkStart w:id="49" w:name="_heading=h.4m8tj2oy727z" w:colFirst="0" w:colLast="0"/>
      <w:bookmarkEnd w:id="49"/>
      <w:r>
        <w:rPr>
          <w:rFonts w:ascii="Arial" w:eastAsia="Arial" w:hAnsi="Arial" w:cs="Arial"/>
          <w:sz w:val="24"/>
          <w:szCs w:val="24"/>
          <w:highlight w:val="white"/>
        </w:rPr>
        <w:t xml:space="preserve">10- Solicitar  que el Gobierno del Perú informe al Comité sobre la Ley Nº 2811/2022-PE. </w:t>
      </w:r>
      <w:r>
        <w:rPr>
          <w:rFonts w:ascii="Arial" w:eastAsia="Arial" w:hAnsi="Arial" w:cs="Arial"/>
          <w:sz w:val="24"/>
          <w:szCs w:val="24"/>
          <w:highlight w:val="white"/>
        </w:rPr>
        <w:t>al igual que sea adecuado a los estándares internacionales de protección a los derechos humanos.</w:t>
      </w:r>
    </w:p>
    <w:p w:rsidR="000761CD" w:rsidRDefault="00492070">
      <w:pPr>
        <w:spacing w:after="0" w:line="240" w:lineRule="auto"/>
        <w:jc w:val="both"/>
        <w:rPr>
          <w:rFonts w:ascii="Arial" w:eastAsia="Arial" w:hAnsi="Arial" w:cs="Arial"/>
          <w:sz w:val="24"/>
          <w:szCs w:val="24"/>
          <w:highlight w:val="white"/>
        </w:rPr>
      </w:pPr>
      <w:bookmarkStart w:id="50" w:name="_heading=h.qlidoepb5bbv" w:colFirst="0" w:colLast="0"/>
      <w:bookmarkEnd w:id="50"/>
      <w:r>
        <w:rPr>
          <w:rFonts w:ascii="Arial" w:eastAsia="Arial" w:hAnsi="Arial" w:cs="Arial"/>
          <w:sz w:val="24"/>
          <w:szCs w:val="24"/>
          <w:highlight w:val="white"/>
        </w:rPr>
        <w:t>11- Que el Gobierno de Perú solicite asistencia técnica de la OACDH para adecuar la legislación en materia de migraciones y en especial el proyecto de Ley Nº 2</w:t>
      </w:r>
      <w:r>
        <w:rPr>
          <w:rFonts w:ascii="Arial" w:eastAsia="Arial" w:hAnsi="Arial" w:cs="Arial"/>
          <w:sz w:val="24"/>
          <w:szCs w:val="24"/>
          <w:highlight w:val="white"/>
        </w:rPr>
        <w:t xml:space="preserve">811/2022-PE.  </w:t>
      </w:r>
    </w:p>
    <w:p w:rsidR="000761CD" w:rsidRDefault="00492070">
      <w:pPr>
        <w:spacing w:after="0" w:line="240" w:lineRule="auto"/>
        <w:jc w:val="both"/>
        <w:rPr>
          <w:rFonts w:ascii="Arial" w:eastAsia="Arial" w:hAnsi="Arial" w:cs="Arial"/>
          <w:color w:val="4D4D4D"/>
          <w:sz w:val="29"/>
          <w:szCs w:val="29"/>
          <w:highlight w:val="white"/>
        </w:rPr>
      </w:pPr>
      <w:bookmarkStart w:id="51" w:name="_heading=h.1zsgyg6tllso" w:colFirst="0" w:colLast="0"/>
      <w:bookmarkEnd w:id="51"/>
      <w:r>
        <w:rPr>
          <w:rFonts w:ascii="Arial" w:eastAsia="Arial" w:hAnsi="Arial" w:cs="Arial"/>
          <w:sz w:val="24"/>
          <w:szCs w:val="24"/>
          <w:highlight w:val="white"/>
        </w:rPr>
        <w:t xml:space="preserve">12 Que el Estado Informe al comité sobre las medidas adoptadas erradicar la xenofobia   y protocolos para atender a las víctimas de discriminación. </w:t>
      </w:r>
    </w:p>
    <w:sectPr w:rsidR="000761CD">
      <w:headerReference w:type="default" r:id="rId20"/>
      <w:footerReference w:type="default" r:id="rId21"/>
      <w:pgSz w:w="12240" w:h="15840"/>
      <w:pgMar w:top="1417" w:right="1700" w:bottom="1133"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92070">
      <w:pPr>
        <w:spacing w:after="0" w:line="240" w:lineRule="auto"/>
      </w:pPr>
      <w:r>
        <w:separator/>
      </w:r>
    </w:p>
  </w:endnote>
  <w:endnote w:type="continuationSeparator" w:id="0">
    <w:p w:rsidR="00000000" w:rsidRDefault="00492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1CD" w:rsidRDefault="00492070">
    <w:pPr>
      <w:jc w:val="center"/>
    </w:pPr>
    <w:r>
      <w:t xml:space="preserve">@renaddhh </w:t>
    </w:r>
    <w:hyperlink r:id="rId1">
      <w:r>
        <w:rPr>
          <w:color w:val="1155CC"/>
          <w:u w:val="single"/>
        </w:rPr>
        <w:t>rednaddhh@gmail.com</w:t>
      </w:r>
    </w:hyperlink>
    <w:r>
      <w:t xml:space="preserve"> @cnddhs_ve </w:t>
    </w:r>
    <w:hyperlink r:id="rId2">
      <w:r>
        <w:rPr>
          <w:color w:val="1155CC"/>
          <w:u w:val="single"/>
        </w:rPr>
        <w:t>cnddhhs@gmail.com</w:t>
      </w:r>
    </w:hyperlink>
    <w:r>
      <w:t xml:space="preserve"> </w:t>
    </w:r>
  </w:p>
  <w:p w:rsidR="000761CD" w:rsidRDefault="000761C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92070">
      <w:pPr>
        <w:spacing w:after="0" w:line="240" w:lineRule="auto"/>
      </w:pPr>
      <w:r>
        <w:separator/>
      </w:r>
    </w:p>
  </w:footnote>
  <w:footnote w:type="continuationSeparator" w:id="0">
    <w:p w:rsidR="00000000" w:rsidRDefault="004920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1CD" w:rsidRDefault="00492070">
    <w:r>
      <w:rPr>
        <w:noProof/>
        <w:lang w:val="en-GB"/>
      </w:rPr>
      <w:drawing>
        <wp:anchor distT="0" distB="0" distL="0" distR="0" simplePos="0" relativeHeight="251658240" behindDoc="0" locked="0" layoutInCell="1" hidden="0" allowOverlap="1">
          <wp:simplePos x="0" y="0"/>
          <wp:positionH relativeFrom="column">
            <wp:posOffset>0</wp:posOffset>
          </wp:positionH>
          <wp:positionV relativeFrom="paragraph">
            <wp:posOffset>-200024</wp:posOffset>
          </wp:positionV>
          <wp:extent cx="1824733" cy="104775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14901" b="-14901"/>
                  <a:stretch>
                    <a:fillRect/>
                  </a:stretch>
                </pic:blipFill>
                <pic:spPr>
                  <a:xfrm>
                    <a:off x="0" y="0"/>
                    <a:ext cx="1824733" cy="1047750"/>
                  </a:xfrm>
                  <a:prstGeom prst="rect">
                    <a:avLst/>
                  </a:prstGeom>
                  <a:ln/>
                </pic:spPr>
              </pic:pic>
            </a:graphicData>
          </a:graphic>
        </wp:anchor>
      </w:drawing>
    </w:r>
    <w:r>
      <w:rPr>
        <w:noProof/>
        <w:lang w:val="en-GB"/>
      </w:rPr>
      <w:drawing>
        <wp:anchor distT="0" distB="0" distL="0" distR="0" simplePos="0" relativeHeight="251659264" behindDoc="0" locked="0" layoutInCell="1" hidden="0" allowOverlap="1">
          <wp:simplePos x="0" y="0"/>
          <wp:positionH relativeFrom="column">
            <wp:posOffset>4591050</wp:posOffset>
          </wp:positionH>
          <wp:positionV relativeFrom="paragraph">
            <wp:posOffset>-200024</wp:posOffset>
          </wp:positionV>
          <wp:extent cx="1483328" cy="745807"/>
          <wp:effectExtent l="0" t="0" r="0" b="0"/>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1483328" cy="74580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67702"/>
    <w:multiLevelType w:val="multilevel"/>
    <w:tmpl w:val="D682E3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0D570D"/>
    <w:multiLevelType w:val="multilevel"/>
    <w:tmpl w:val="B3C6237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384663E"/>
    <w:multiLevelType w:val="multilevel"/>
    <w:tmpl w:val="6376FC2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1CD"/>
    <w:rsid w:val="000761CD"/>
    <w:rsid w:val="00492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C461F2-CC64-439C-AFC8-8C42A9B57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VE"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5F212A"/>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m.inei.gob.pe/prensa/noticias/el-121-de-la-poblacion-menor-de-cinco-anos-de-edad-del-pais-sufrio-desnutricion-cronica-en-el-ano-2020-12838/" TargetMode="External"/><Relationship Id="rId13" Type="http://schemas.openxmlformats.org/officeDocument/2006/relationships/hyperlink" Target="https://idehpucp.pucp.edu.pe/lista_publicaciones/la-xenofobia-en-la-lucha-contra-la-discriminacion-en-el-peru/" TargetMode="External"/><Relationship Id="rId18" Type="http://schemas.openxmlformats.org/officeDocument/2006/relationships/hyperlink" Target="https://cdn.gacetajuridica.com.pe/laley/PL%202811%202022%20PE%20LALEY.pdf"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acnur.org/noticias/press/2022/6/62af53434/peru-comunicado-del-grupo-de-trabajo-para-refugiados-y-migrantes-con-ocasion.html" TargetMode="External"/><Relationship Id="rId17" Type="http://schemas.openxmlformats.org/officeDocument/2006/relationships/hyperlink" Target="https://www.europapress.es/internacional/noticia-castillo-aprueba-programa-expulsar-todos-extranjeros-cometan-delitos-peru-20220813043155.html"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www.infobae.com/america/venezuela/2022/05/25/pedro-castillo-pidio-evaluar-la-situacion-migratoria-de-los-venezolanos-que-delinquen-en-pe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fensoria.gob.pe/defensoria-del-pueblo-estado-peruano-debe-priorizar-la-atencion-de-la-salud-mental/"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ojo-publico.com/2774/mensajes-de-odio-hacia-venezolanos-aumentaron-nueve-veces-en-campana" TargetMode="External"/><Relationship Id="rId23" Type="http://schemas.openxmlformats.org/officeDocument/2006/relationships/theme" Target="theme/theme1.xml"/><Relationship Id="rId10" Type="http://schemas.openxmlformats.org/officeDocument/2006/relationships/hyperlink" Target="https://www.elperiodico.com/es/internacional/20190622/defensoria-del-pueblo-alumnas-admiten-agresiones-en-escuelas-militares-peru-7517322" TargetMode="External"/><Relationship Id="rId19" Type="http://schemas.openxmlformats.org/officeDocument/2006/relationships/hyperlink" Target="https://www.defensoria.gob.pe/wp-content/uploads/2019/10/NP-330-19.pdf" TargetMode="External"/><Relationship Id="rId4" Type="http://schemas.openxmlformats.org/officeDocument/2006/relationships/settings" Target="settings.xml"/><Relationship Id="rId9" Type="http://schemas.openxmlformats.org/officeDocument/2006/relationships/hyperlink" Target="https://pradpi.es/es/noticias/peru-recordamos-al-estado-peruano-su-compromiso-con-la-prevencion-y-el-combate-de-la-tortura" TargetMode="External"/><Relationship Id="rId14" Type="http://schemas.openxmlformats.org/officeDocument/2006/relationships/hyperlink" Target="https://peru.iom.int/es/news/espacios-escolares-venezolanos-frente-la-xenofobia-maria-14-anos"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nddhhs@gmail.com" TargetMode="External"/><Relationship Id="rId1" Type="http://schemas.openxmlformats.org/officeDocument/2006/relationships/hyperlink" Target="mailto:rednaddhh@g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rHRLDWPuik8n9AG3TbBdhAEp2g==">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</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7A652FCC-F0FD-4E14-AE2F-C76DB7B21D1A}"/>
</file>

<file path=customXml/itemProps3.xml><?xml version="1.0" encoding="utf-8"?>
<ds:datastoreItem xmlns:ds="http://schemas.openxmlformats.org/officeDocument/2006/customXml" ds:itemID="{47359BCC-E5B2-40FD-A95B-C8C72D4FAA25}"/>
</file>

<file path=customXml/itemProps4.xml><?xml version="1.0" encoding="utf-8"?>
<ds:datastoreItem xmlns:ds="http://schemas.openxmlformats.org/officeDocument/2006/customXml" ds:itemID="{5AC362CA-541A-4C3B-9A7A-8D88D4DBE762}"/>
</file>

<file path=docProps/app.xml><?xml version="1.0" encoding="utf-8"?>
<Properties xmlns="http://schemas.openxmlformats.org/officeDocument/2006/extended-properties" xmlns:vt="http://schemas.openxmlformats.org/officeDocument/2006/docPropsVTypes">
  <Template>Normal.dotm</Template>
  <TotalTime>0</TotalTime>
  <Pages>11</Pages>
  <Words>4043</Words>
  <Characters>23046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REYNAUD Céline</cp:lastModifiedBy>
  <cp:revision>2</cp:revision>
  <dcterms:created xsi:type="dcterms:W3CDTF">2022-10-14T16:03:00Z</dcterms:created>
  <dcterms:modified xsi:type="dcterms:W3CDTF">2022-10-14T16:03:00Z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