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A062E" w14:textId="28627076" w:rsidR="00E62799" w:rsidRPr="005922D8" w:rsidRDefault="00E62799" w:rsidP="00D70D88">
      <w:pPr>
        <w:jc w:val="center"/>
        <w:rPr>
          <w:rFonts w:ascii="Arial" w:hAnsi="Arial" w:cs="Arial"/>
          <w:b/>
          <w:bCs/>
        </w:rPr>
      </w:pPr>
      <w:r w:rsidRPr="005922D8">
        <w:rPr>
          <w:rFonts w:ascii="Arial" w:hAnsi="Arial" w:cs="Arial"/>
          <w:b/>
          <w:bCs/>
        </w:rPr>
        <w:t>ANEXO 3</w:t>
      </w:r>
    </w:p>
    <w:p w14:paraId="48194107" w14:textId="304BFE5D" w:rsidR="00EF7AB0" w:rsidRPr="005922D8" w:rsidRDefault="00D70D88" w:rsidP="00D70D88">
      <w:pPr>
        <w:jc w:val="center"/>
        <w:rPr>
          <w:rFonts w:ascii="Arial" w:hAnsi="Arial" w:cs="Arial"/>
          <w:b/>
          <w:bCs/>
        </w:rPr>
      </w:pPr>
      <w:r w:rsidRPr="005922D8">
        <w:rPr>
          <w:rFonts w:ascii="Arial" w:hAnsi="Arial" w:cs="Arial"/>
          <w:b/>
          <w:bCs/>
        </w:rPr>
        <w:t>Información complementaria presentada por el DANE</w:t>
      </w:r>
      <w:r w:rsidR="00094BAF" w:rsidRPr="005922D8">
        <w:rPr>
          <w:rStyle w:val="Refdenotaalpie"/>
          <w:rFonts w:ascii="Arial" w:hAnsi="Arial" w:cs="Arial"/>
          <w:b/>
          <w:bCs/>
        </w:rPr>
        <w:footnoteReference w:id="1"/>
      </w:r>
    </w:p>
    <w:p w14:paraId="62EBE8EB" w14:textId="3A2EB1D5" w:rsidR="00AD2E7F" w:rsidRPr="005922D8" w:rsidRDefault="00094BAF" w:rsidP="00AD2E7F">
      <w:pPr>
        <w:jc w:val="both"/>
        <w:rPr>
          <w:rFonts w:ascii="Arial" w:hAnsi="Arial" w:cs="Arial"/>
          <w:lang w:val="es-ES"/>
        </w:rPr>
      </w:pPr>
      <w:r w:rsidRPr="005922D8">
        <w:rPr>
          <w:rFonts w:ascii="Arial" w:hAnsi="Arial" w:cs="Arial"/>
          <w:lang w:val="es-ES"/>
        </w:rPr>
        <w:t>E</w:t>
      </w:r>
      <w:r w:rsidR="00AD2E7F" w:rsidRPr="005922D8">
        <w:rPr>
          <w:rFonts w:ascii="Arial" w:hAnsi="Arial" w:cs="Arial"/>
          <w:lang w:val="es-ES"/>
        </w:rPr>
        <w:t>l Departamento Administrativo Nacional de Estadística –DANE, como ente rector del Sistema Estadístico Nacional – SEN, ha reconocido y trabajado permanentemente de conformidad con la normatividad nacional</w:t>
      </w:r>
      <w:r w:rsidR="00AD2E7F" w:rsidRPr="005922D8">
        <w:rPr>
          <w:rStyle w:val="Refdenotaalpie"/>
          <w:rFonts w:ascii="Arial" w:hAnsi="Arial" w:cs="Arial"/>
          <w:lang w:val="es-ES"/>
        </w:rPr>
        <w:footnoteReference w:id="2"/>
      </w:r>
      <w:r w:rsidR="00AD2E7F" w:rsidRPr="005922D8">
        <w:rPr>
          <w:rFonts w:ascii="Arial" w:hAnsi="Arial" w:cs="Arial"/>
          <w:lang w:val="es-ES"/>
        </w:rPr>
        <w:t xml:space="preserve"> e internacional que enfatiza en la importancia y necesidad de contar con estadísticas desagregadas para población étnica y con su participación en diferentes operaciones estadísticas.</w:t>
      </w:r>
    </w:p>
    <w:p w14:paraId="0F8EB062" w14:textId="794244F7" w:rsidR="00AD2E7F" w:rsidRPr="005922D8" w:rsidRDefault="00AD2E7F" w:rsidP="00AD2E7F">
      <w:pPr>
        <w:jc w:val="both"/>
        <w:rPr>
          <w:rFonts w:ascii="Arial" w:hAnsi="Arial" w:cs="Arial"/>
          <w:lang w:val="es-ES"/>
        </w:rPr>
      </w:pPr>
      <w:r w:rsidRPr="005922D8">
        <w:rPr>
          <w:rFonts w:ascii="Arial" w:hAnsi="Arial" w:cs="Arial"/>
          <w:lang w:val="es-ES"/>
        </w:rPr>
        <w:t>Estas recomendaciones, como lo señala la CEPAL (2009)</w:t>
      </w:r>
      <w:r w:rsidRPr="005922D8">
        <w:rPr>
          <w:rStyle w:val="Refdenotaalpie"/>
          <w:rFonts w:ascii="Arial" w:hAnsi="Arial" w:cs="Arial"/>
          <w:lang w:val="es-ES"/>
        </w:rPr>
        <w:footnoteReference w:id="3"/>
      </w:r>
      <w:r w:rsidRPr="005922D8">
        <w:rPr>
          <w:rFonts w:ascii="Arial" w:hAnsi="Arial" w:cs="Arial"/>
          <w:lang w:val="es-ES"/>
        </w:rPr>
        <w:t>, han sido incorporadas en las agendas públicas nacionales e internacionales, gracias a los movimientos indígenas y afrodescendientes en América Latina, principalmente a partir de los años 80, y con el fin de garantizar su existencia, sus derechos y su visibilidad estadística, a través de procesos participativos (Conferencia Internacional sobre la Población y el Desarrollo (CIPD, El Cairo, 1994); Conferencia Mundial contra el Racismo, la Discriminación Racial, la Xenofobia, y las Formas Conexas de Intolerancia (CMR, Durban, 2001; New York, 2000 y declaración de las Naciones Unidas sobre los derechos de los pueblos indígenas).</w:t>
      </w:r>
    </w:p>
    <w:p w14:paraId="62D561A3" w14:textId="77777777" w:rsidR="00AD2E7F" w:rsidRPr="005922D8" w:rsidRDefault="00AD2E7F" w:rsidP="00AD2E7F">
      <w:pPr>
        <w:jc w:val="both"/>
        <w:rPr>
          <w:rFonts w:ascii="Arial" w:hAnsi="Arial" w:cs="Arial"/>
          <w:lang w:val="es-ES"/>
        </w:rPr>
      </w:pPr>
      <w:r w:rsidRPr="005922D8">
        <w:rPr>
          <w:rFonts w:ascii="Arial" w:hAnsi="Arial" w:cs="Arial"/>
          <w:lang w:val="es-ES"/>
        </w:rPr>
        <w:t>Tanto en los censos, como en las diferentes encuestas, el DANE ha venido trabajando en la identificación de los grupos étnicos reconocidos constitucionalmente y por tal motivo, actualmente cuenta con un enfoque diferencial e interseccional étnico, de género, de ciclo de vida y de discapacidad, en la producción y difusión de estadísticas en el país.</w:t>
      </w:r>
    </w:p>
    <w:p w14:paraId="018EDBA8" w14:textId="77777777" w:rsidR="00AD2E7F" w:rsidRPr="005922D8" w:rsidRDefault="00AD2E7F" w:rsidP="00AD2E7F">
      <w:pPr>
        <w:jc w:val="both"/>
        <w:rPr>
          <w:rFonts w:ascii="Arial" w:hAnsi="Arial" w:cs="Arial"/>
          <w:lang w:val="es-ES"/>
        </w:rPr>
      </w:pPr>
      <w:r w:rsidRPr="005922D8">
        <w:rPr>
          <w:rFonts w:ascii="Arial" w:hAnsi="Arial" w:cs="Arial"/>
          <w:lang w:val="es-ES"/>
        </w:rPr>
        <w:t xml:space="preserve">Para tales fines, se compilaron los lineamientos del enfoque diferencial e interseccional, y la normativa a la que atienden, en la guía para la Inclusión del Enfoque Diferencial e Interseccional, que puede ser consultada en el siguiente enlace: </w:t>
      </w:r>
      <w:hyperlink r:id="rId8">
        <w:r w:rsidRPr="005922D8">
          <w:rPr>
            <w:rStyle w:val="Hipervnculo"/>
            <w:rFonts w:ascii="Arial" w:hAnsi="Arial" w:cs="Arial"/>
            <w:lang w:val="es-ES"/>
          </w:rPr>
          <w:t>guia-inclusion-enfoque-difencias-intersecciones-produccion-estadistica-SEN.pdf</w:t>
        </w:r>
      </w:hyperlink>
      <w:r w:rsidRPr="005922D8">
        <w:rPr>
          <w:rFonts w:ascii="Arial" w:hAnsi="Arial" w:cs="Arial"/>
          <w:lang w:val="es-ES"/>
        </w:rPr>
        <w:t xml:space="preserve"> </w:t>
      </w:r>
      <w:hyperlink r:id="rId9">
        <w:r w:rsidRPr="005922D8">
          <w:rPr>
            <w:rStyle w:val="Hipervnculo"/>
            <w:rFonts w:ascii="Arial" w:hAnsi="Arial" w:cs="Arial"/>
            <w:lang w:val="es-ES"/>
          </w:rPr>
          <w:t>(dane.gov.co</w:t>
        </w:r>
      </w:hyperlink>
      <w:r w:rsidRPr="005922D8">
        <w:rPr>
          <w:rFonts w:ascii="Arial" w:hAnsi="Arial" w:cs="Arial"/>
          <w:u w:val="single"/>
          <w:lang w:val="es-ES"/>
        </w:rPr>
        <w:t xml:space="preserve">) </w:t>
      </w:r>
      <w:r w:rsidRPr="005922D8">
        <w:rPr>
          <w:rFonts w:ascii="Arial" w:hAnsi="Arial" w:cs="Arial"/>
          <w:lang w:val="es-ES"/>
        </w:rPr>
        <w:t>y que actualmente son el punto de partida para desarrollar los lineamientos para la adecuación étnica no solo de la información que produce el DANE sino de todas las entidades que integran el SEN.</w:t>
      </w:r>
    </w:p>
    <w:p w14:paraId="2F5744BE" w14:textId="2817639B" w:rsidR="00AD2E7F" w:rsidRPr="005922D8" w:rsidRDefault="00AD2E7F" w:rsidP="00AD2E7F">
      <w:pPr>
        <w:jc w:val="both"/>
        <w:rPr>
          <w:rFonts w:ascii="Arial" w:hAnsi="Arial" w:cs="Arial"/>
          <w:lang w:val="es-ES"/>
        </w:rPr>
      </w:pPr>
      <w:r w:rsidRPr="005922D8">
        <w:rPr>
          <w:rFonts w:ascii="Arial" w:hAnsi="Arial" w:cs="Arial"/>
          <w:lang w:val="es-ES"/>
        </w:rPr>
        <w:t xml:space="preserve">Para el caso del enfoque diferencial étnico, los lineamientos atienden las recomendaciones de la Convención Internacional sobre la Eliminación de todas las Formas de Discriminación Racial -CERD (Entrada en vigor: 4 de enero de 1969) y la Declaración y Programa de Acción de Durban (adoptados por consenso en la Conferencia Mundial contra el Racismo de 2001), que ha recomendado a los Estados y a sus oficinas estadísticas, definir acciones que permitan contar con datos desagregados de las poblaciones, según el origen étnico y racial </w:t>
      </w:r>
      <w:r w:rsidRPr="005922D8">
        <w:rPr>
          <w:rFonts w:ascii="Arial" w:hAnsi="Arial" w:cs="Arial"/>
          <w:lang w:val="es-ES"/>
        </w:rPr>
        <w:lastRenderedPageBreak/>
        <w:t>(en el caso de Colombia, supone incluir la diversidad cultural y las características pluriétnicas de sus poblaciones).</w:t>
      </w:r>
    </w:p>
    <w:p w14:paraId="501DC542" w14:textId="77777777" w:rsidR="00AD2E7F" w:rsidRPr="005922D8" w:rsidRDefault="00AD2E7F" w:rsidP="00AD2E7F">
      <w:pPr>
        <w:jc w:val="both"/>
        <w:rPr>
          <w:rFonts w:ascii="Arial" w:hAnsi="Arial" w:cs="Arial"/>
          <w:lang w:val="es-ES"/>
        </w:rPr>
      </w:pPr>
      <w:r w:rsidRPr="005922D8">
        <w:rPr>
          <w:rFonts w:ascii="Arial" w:hAnsi="Arial" w:cs="Arial"/>
          <w:lang w:val="es-ES"/>
        </w:rPr>
        <w:t xml:space="preserve">El documento también incluye un diagnóstico del estado del enfoque diferencial e interseccional en la producción estadística nacional que comprende, entre otros: el uso de nomenclaturas, la estandarización y armonización de conceptos con el objetivo de verificar la robustez conceptual y la comparabilidad. La identificación de variables de interés que deben ser incluidos en los registros administrativos y los retos de la producción y difusión estadística con enfoque diferencial e interseccional, uno de los cuales es la representatividad en la generación de información estadística en poblaciones étnicas. La definición de los principales conceptos en cada uno de los enfoques diferenciales y los lineamientos y recomendaciones </w:t>
      </w:r>
      <w:proofErr w:type="gramStart"/>
      <w:r w:rsidRPr="005922D8">
        <w:rPr>
          <w:rFonts w:ascii="Arial" w:hAnsi="Arial" w:cs="Arial"/>
          <w:lang w:val="es-ES"/>
        </w:rPr>
        <w:t>a</w:t>
      </w:r>
      <w:proofErr w:type="gramEnd"/>
      <w:r w:rsidRPr="005922D8">
        <w:rPr>
          <w:rFonts w:ascii="Arial" w:hAnsi="Arial" w:cs="Arial"/>
          <w:lang w:val="es-ES"/>
        </w:rPr>
        <w:t xml:space="preserve"> tener en cuenta para la inclusión del enfoque diferencial en cada una de las fases del proceso estadístico nacional, contemplando el estándar de la producción estadística establecido por organismos internacionales.</w:t>
      </w:r>
    </w:p>
    <w:p w14:paraId="2DC0E273" w14:textId="77777777" w:rsidR="00AD2E7F" w:rsidRPr="005922D8" w:rsidRDefault="00AD2E7F" w:rsidP="00AD2E7F">
      <w:pPr>
        <w:jc w:val="both"/>
        <w:rPr>
          <w:rFonts w:ascii="Arial" w:hAnsi="Arial" w:cs="Arial"/>
          <w:lang w:val="es-ES"/>
        </w:rPr>
      </w:pPr>
      <w:r w:rsidRPr="005922D8">
        <w:rPr>
          <w:rFonts w:ascii="Arial" w:hAnsi="Arial" w:cs="Arial"/>
          <w:lang w:val="es-ES"/>
        </w:rPr>
        <w:t xml:space="preserve">En el 2021, se inició la fase de socialización y difusión de la guía. Durante los meses de marzo y abril de 2021 se realizaron cinco talleres de socialización de la </w:t>
      </w:r>
      <w:r w:rsidRPr="005922D8">
        <w:rPr>
          <w:rFonts w:ascii="Arial" w:hAnsi="Arial" w:cs="Arial"/>
          <w:i/>
          <w:lang w:val="es-ES"/>
        </w:rPr>
        <w:t>Guía de Enfoque Diferencial e Interseccional en la Producción Estadística del SEN</w:t>
      </w:r>
      <w:r w:rsidRPr="005922D8">
        <w:rPr>
          <w:rFonts w:ascii="Arial" w:hAnsi="Arial" w:cs="Arial"/>
          <w:lang w:val="es-ES"/>
        </w:rPr>
        <w:t>, dirigido a la entidad y a los miembros del SEN. Su objetivo fue promover y orientar la implementación de la Guía para la Inclusión del Enfoque Diferencial e Interseccional en la Producción Estadística del Sistema Estadístico Nacional y el diseño del Plan Institucional de implementación en las entidades del SEN.</w:t>
      </w:r>
    </w:p>
    <w:p w14:paraId="5B0BCE22" w14:textId="77777777" w:rsidR="00AD2E7F" w:rsidRPr="005922D8" w:rsidRDefault="00AD2E7F" w:rsidP="00AD2E7F">
      <w:pPr>
        <w:jc w:val="both"/>
        <w:rPr>
          <w:rFonts w:ascii="Arial" w:hAnsi="Arial" w:cs="Arial"/>
          <w:lang w:val="es-ES"/>
        </w:rPr>
      </w:pPr>
      <w:r w:rsidRPr="005922D8">
        <w:rPr>
          <w:rFonts w:ascii="Arial" w:hAnsi="Arial" w:cs="Arial"/>
          <w:lang w:val="es-ES"/>
        </w:rPr>
        <w:t xml:space="preserve">Durante el primer semestre del año en curso, se diseñó y elaboró el Curso Virtual de 45 horas de duración, denominado “Enfoque Diferencial e Interseccional en la Producción Estadística”, que actualmente se encuentra disponible en la plataforma de Aprendanet. Su objetivo es sensibilizar y capacitar, proporcionando herramientas conceptuales y metodológicas para la inclusión del enfoque diferencial e interseccional en la producción estadística. Las temáticas de los cinco módulos del curso son: Introducción al Enfoque Diferencial e Interseccional; Enfoque Diferencial de Género, Enfoque Diferencial de Ciclo Vital, </w:t>
      </w:r>
      <w:r w:rsidRPr="005922D8">
        <w:rPr>
          <w:rFonts w:ascii="Arial" w:hAnsi="Arial" w:cs="Arial"/>
          <w:b/>
          <w:lang w:val="es-ES"/>
        </w:rPr>
        <w:t>Enfoque Diferencial Étnico</w:t>
      </w:r>
      <w:r w:rsidRPr="005922D8">
        <w:rPr>
          <w:rFonts w:ascii="Arial" w:hAnsi="Arial" w:cs="Arial"/>
          <w:lang w:val="es-ES"/>
        </w:rPr>
        <w:t>, Enfoque Diferencial de Discapacidad, Enfoque Diferencial Campesinado y otros enfoques diferenciales, sus respectivos marcos conceptuales, marcos normativos, variables de captación, y los lineamientos transversales en todas las fases del proceso estadístico para la inclusión del Enfoque Diferencial e Interseccional. El proceso de aprendizaje del curso está dirigido a los funcionarios del DANE y a los productores de información estadística del SEN.</w:t>
      </w:r>
    </w:p>
    <w:p w14:paraId="01979DB1" w14:textId="77777777" w:rsidR="00AD2E7F" w:rsidRPr="005922D8" w:rsidRDefault="00AD2E7F" w:rsidP="00AD2E7F">
      <w:pPr>
        <w:jc w:val="both"/>
        <w:rPr>
          <w:rFonts w:ascii="Arial" w:hAnsi="Arial" w:cs="Arial"/>
          <w:lang w:val="es-ES"/>
        </w:rPr>
      </w:pPr>
      <w:r w:rsidRPr="005922D8">
        <w:rPr>
          <w:rFonts w:ascii="Arial" w:hAnsi="Arial" w:cs="Arial"/>
          <w:lang w:val="es-ES"/>
        </w:rPr>
        <w:t>Adicionalmente, cabe destacar la elaboración del documento conceptual de la Agenda Integral Étnica del DANE, denominado “Agenda Integral Étnica del DANE: guía para el fortalecimiento de las estadísticas étnicas en Colombia” el cual está en proceso de revisión previa a su publicación. Este texto busca ser un instrumento para la incorporación del enfoque diferencial étnico como parte integral de la cadena de valor del proceso de producción estadística (GSBPM por sus siglas en inglés) en cada una de las operaciones estadísticas del Sistema Estadístico Nacional – SEN de Colombia. De este modo, el documento tiene como objetivos:</w:t>
      </w:r>
    </w:p>
    <w:p w14:paraId="1A443B74" w14:textId="77777777" w:rsidR="00AD2E7F" w:rsidRPr="005922D8" w:rsidRDefault="00AD2E7F" w:rsidP="006F0F71">
      <w:pPr>
        <w:numPr>
          <w:ilvl w:val="0"/>
          <w:numId w:val="1"/>
        </w:numPr>
        <w:spacing w:after="0"/>
        <w:jc w:val="both"/>
        <w:rPr>
          <w:rFonts w:ascii="Arial" w:hAnsi="Arial" w:cs="Arial"/>
          <w:lang w:val="es-ES"/>
        </w:rPr>
      </w:pPr>
      <w:r w:rsidRPr="005922D8">
        <w:rPr>
          <w:rFonts w:ascii="Arial" w:hAnsi="Arial" w:cs="Arial"/>
          <w:lang w:val="es-ES"/>
        </w:rPr>
        <w:t>Establecer el marco conceptual, normativo e institucional de la Agenda Integral Étnica del DANE.</w:t>
      </w:r>
    </w:p>
    <w:p w14:paraId="46A9A28D" w14:textId="77777777" w:rsidR="00AD2E7F" w:rsidRPr="005922D8" w:rsidRDefault="00AD2E7F" w:rsidP="006F0F71">
      <w:pPr>
        <w:numPr>
          <w:ilvl w:val="0"/>
          <w:numId w:val="1"/>
        </w:numPr>
        <w:spacing w:after="0"/>
        <w:jc w:val="both"/>
        <w:rPr>
          <w:rFonts w:ascii="Arial" w:hAnsi="Arial" w:cs="Arial"/>
          <w:lang w:val="es-ES"/>
        </w:rPr>
      </w:pPr>
      <w:r w:rsidRPr="005922D8">
        <w:rPr>
          <w:rFonts w:ascii="Arial" w:hAnsi="Arial" w:cs="Arial"/>
          <w:lang w:val="es-ES"/>
        </w:rPr>
        <w:lastRenderedPageBreak/>
        <w:t>Realizar un diagnóstico de la oferta estadística actual con enfoque diferencial étnico en el Sistema Estadístico Nacional – SEN de Colombia.</w:t>
      </w:r>
    </w:p>
    <w:p w14:paraId="74CDCF67" w14:textId="77777777" w:rsidR="00AD2E7F" w:rsidRPr="005922D8" w:rsidRDefault="00AD2E7F" w:rsidP="006F0F71">
      <w:pPr>
        <w:numPr>
          <w:ilvl w:val="0"/>
          <w:numId w:val="1"/>
        </w:numPr>
        <w:spacing w:after="0"/>
        <w:jc w:val="both"/>
        <w:rPr>
          <w:rFonts w:ascii="Arial" w:hAnsi="Arial" w:cs="Arial"/>
          <w:lang w:val="es-ES"/>
        </w:rPr>
      </w:pPr>
      <w:r w:rsidRPr="005922D8">
        <w:rPr>
          <w:rFonts w:ascii="Arial" w:hAnsi="Arial" w:cs="Arial"/>
          <w:lang w:val="es-ES"/>
        </w:rPr>
        <w:t>Definir pautas claras para incorporar el enfoque étnico en cada una de las fases del proceso de producción estadística (GSBPM) en Colombia.</w:t>
      </w:r>
    </w:p>
    <w:p w14:paraId="169A9237" w14:textId="77777777" w:rsidR="00AD2E7F" w:rsidRPr="005922D8" w:rsidRDefault="00AD2E7F" w:rsidP="00AD2E7F">
      <w:pPr>
        <w:numPr>
          <w:ilvl w:val="0"/>
          <w:numId w:val="1"/>
        </w:numPr>
        <w:jc w:val="both"/>
        <w:rPr>
          <w:rFonts w:ascii="Arial" w:hAnsi="Arial" w:cs="Arial"/>
          <w:lang w:val="es-ES"/>
        </w:rPr>
      </w:pPr>
      <w:r w:rsidRPr="005922D8">
        <w:rPr>
          <w:rFonts w:ascii="Arial" w:hAnsi="Arial" w:cs="Arial"/>
          <w:lang w:val="es-ES"/>
        </w:rPr>
        <w:t>Garantizar la producción de estadísticas con representatividad para los grupos étnicos de Colombia.</w:t>
      </w:r>
    </w:p>
    <w:p w14:paraId="4103044D" w14:textId="712B794A" w:rsidR="00AD2E7F" w:rsidRPr="005922D8" w:rsidRDefault="00AD2E7F" w:rsidP="00AD2E7F">
      <w:pPr>
        <w:jc w:val="both"/>
        <w:rPr>
          <w:rFonts w:ascii="Arial" w:hAnsi="Arial" w:cs="Arial"/>
          <w:lang w:val="es-ES"/>
        </w:rPr>
      </w:pPr>
      <w:r w:rsidRPr="005922D8">
        <w:rPr>
          <w:rFonts w:ascii="Arial" w:hAnsi="Arial" w:cs="Arial"/>
          <w:lang w:val="es-ES"/>
        </w:rPr>
        <w:t>La Agenda Integral Étnica del DANE es la implementación de la Guía para la Inclusión del Enfoque Diferencial e Interseccional en la producción estadística del Sistema Estadístico Nacional, específicamente del enfoque étnico, en cada una de las fases de producción estadística, tanto para la generación de nueva información como para el fortalecimiento y adaptación de la producción actual, siempre manteniendo los objetivos centrales de las operaciones estadísticas y observando los estándares de calidad y rigurosidad técnica. Inicialmente está siendo implementada en las operaciones estadísticas del DANE y, de manera paulatina, debe incorporarse en los procedimientos de cada uno de los procesos de producción de información de los integrantes del Sistema Estadístico Nacional – SEN de Colombia.</w:t>
      </w:r>
    </w:p>
    <w:p w14:paraId="2A2EBDE5" w14:textId="77777777" w:rsidR="00F941F5" w:rsidRPr="005922D8" w:rsidRDefault="00F941F5" w:rsidP="00F941F5">
      <w:pPr>
        <w:jc w:val="both"/>
        <w:rPr>
          <w:rFonts w:ascii="Arial" w:hAnsi="Arial" w:cs="Arial"/>
          <w:b/>
          <w:bCs/>
          <w:lang w:val="es-ES"/>
        </w:rPr>
      </w:pPr>
      <w:r w:rsidRPr="005922D8">
        <w:rPr>
          <w:rFonts w:ascii="Arial" w:hAnsi="Arial" w:cs="Arial"/>
          <w:b/>
          <w:bCs/>
          <w:lang w:val="es-ES"/>
        </w:rPr>
        <w:t>Enfoque étnico diferencial del Censo Nacional de Población y Vivienda -CNPV 2018</w:t>
      </w:r>
    </w:p>
    <w:p w14:paraId="1E696D1B" w14:textId="70F1DBF8" w:rsidR="00F941F5" w:rsidRPr="005922D8" w:rsidRDefault="00F941F5" w:rsidP="00F941F5">
      <w:pPr>
        <w:jc w:val="both"/>
        <w:rPr>
          <w:rFonts w:ascii="Arial" w:hAnsi="Arial" w:cs="Arial"/>
          <w:i/>
          <w:lang w:val="es-ES"/>
        </w:rPr>
      </w:pPr>
      <w:r w:rsidRPr="005922D8">
        <w:rPr>
          <w:rFonts w:ascii="Arial" w:hAnsi="Arial" w:cs="Arial"/>
          <w:lang w:val="es-ES"/>
        </w:rPr>
        <w:t xml:space="preserve">En cuanto al Censo Nacional de Población y Vivienda -CNPV 2018, este se desarrolló en un marco de consulta previa con los grupos étnicos constitucionalmente reconocidos, en cada una de sus fases: Preconsulta, consulta previa, protocolización y seguimiento. Lo anterior, respondiendo a la normatividad nacional e internacional que protegen sus derechos, entre otros: Constitución de 1991, El Convenio 169 de la OIT, la ley 21 de 1991, el Decreto 1066 de 2015, la Sentencia T- 576 del 4 de agosto del 2014, el Decreto 1372 de 2018, la Ley 70 de 1993, etc. Así mismo respondió a lo establecido en el </w:t>
      </w:r>
      <w:r w:rsidRPr="005922D8">
        <w:rPr>
          <w:rFonts w:ascii="Arial" w:hAnsi="Arial" w:cs="Arial"/>
          <w:i/>
          <w:lang w:val="es-ES"/>
        </w:rPr>
        <w:t>Plan Nacional de Desarrollo 2018-2022, Pacto Por Colombia, Pacto Por la Equidad.</w:t>
      </w:r>
    </w:p>
    <w:p w14:paraId="4D8B74FB" w14:textId="77777777" w:rsidR="00F941F5" w:rsidRPr="005922D8" w:rsidRDefault="00F941F5" w:rsidP="00F941F5">
      <w:pPr>
        <w:jc w:val="both"/>
        <w:rPr>
          <w:rFonts w:ascii="Arial" w:hAnsi="Arial" w:cs="Arial"/>
          <w:lang w:val="es-ES"/>
        </w:rPr>
      </w:pPr>
      <w:r w:rsidRPr="005922D8">
        <w:rPr>
          <w:rFonts w:ascii="Arial" w:hAnsi="Arial" w:cs="Arial"/>
          <w:lang w:val="es-ES"/>
        </w:rPr>
        <w:t>De conformidad con el artículo 2.5.1.4.9. del Decreto 1066 de 2015, el proceso adelantado por el DANE para la consulta del CNPV 2018, fue coordinado por la Dirección de Asuntos para Comunidades Negras Afrocolombianas, Raizales y Palenqueras, del Ministerio del interior, con el acompañamiento de la Procuraduría y la Defensoría del Pueblo.</w:t>
      </w:r>
    </w:p>
    <w:p w14:paraId="5F3A2F50" w14:textId="77777777" w:rsidR="00F941F5" w:rsidRPr="005922D8" w:rsidRDefault="00F941F5" w:rsidP="00F941F5">
      <w:pPr>
        <w:jc w:val="both"/>
        <w:rPr>
          <w:rFonts w:ascii="Arial" w:hAnsi="Arial" w:cs="Arial"/>
          <w:lang w:val="es-ES"/>
        </w:rPr>
      </w:pPr>
      <w:r w:rsidRPr="005922D8">
        <w:rPr>
          <w:rFonts w:ascii="Arial" w:hAnsi="Arial" w:cs="Arial"/>
          <w:lang w:val="es-ES"/>
        </w:rPr>
        <w:t>La ruta de consulta y concertación fue protocolizada en el año 2016 entre el DANE y el Espacio Nacional de Consulta Previa – ENCP de medidas legislativas y administrativas de amplio alcance susceptibles de afectar a dichas comunidades. Esta instancia nacional, conformada por alrededor de 230 delegados, representa a los Consejos Comunitarios y demás formas y expresiones organizativas de la población negra, afrocolombiana, raizal y palenquera, en los procesos de consulta previa.</w:t>
      </w:r>
    </w:p>
    <w:p w14:paraId="2BD910BB" w14:textId="4F82B47E" w:rsidR="00F941F5" w:rsidRPr="005922D8" w:rsidRDefault="00F941F5" w:rsidP="00F941F5">
      <w:pPr>
        <w:jc w:val="both"/>
        <w:rPr>
          <w:rFonts w:ascii="Arial" w:hAnsi="Arial" w:cs="Arial"/>
          <w:lang w:val="es-ES"/>
        </w:rPr>
      </w:pPr>
      <w:r w:rsidRPr="005922D8">
        <w:rPr>
          <w:rFonts w:ascii="Arial" w:hAnsi="Arial" w:cs="Arial"/>
          <w:lang w:val="es-ES"/>
        </w:rPr>
        <w:t>Los acuerdos de consulta se protocolizaron con este espacio nacional a través del Acta 19 y 20 de febrero de 2017 e incluyeron acuerdos para la fase censal y la fase poscensal: Cuestionario censal con enfoque diferencial étnico; personal operativo de las comunidades (censistas y supervisores); rendimientos diferenciales en zonas rurales y de tierras de comunidades negras; convenios de asociación para la movilidad del personal, en los departamentos con tierras de comunidades negras legalmente constituidas y en San Andrés y Providencia; estrategia de comunicación con enfoque diferencial, comercial en televisión nacional; apoyo económico adicional a líderes para desarrollar actividades en el marco de la estrategia de comunicación y reuniones de seguimiento a acuerdos.</w:t>
      </w:r>
    </w:p>
    <w:p w14:paraId="2838CD8D" w14:textId="77777777" w:rsidR="00F941F5" w:rsidRPr="005922D8" w:rsidRDefault="00F941F5" w:rsidP="00F941F5">
      <w:pPr>
        <w:jc w:val="both"/>
        <w:rPr>
          <w:rFonts w:ascii="Arial" w:hAnsi="Arial" w:cs="Arial"/>
          <w:lang w:val="es-ES"/>
        </w:rPr>
      </w:pPr>
      <w:r w:rsidRPr="005922D8">
        <w:rPr>
          <w:rFonts w:ascii="Arial" w:hAnsi="Arial" w:cs="Arial"/>
          <w:lang w:val="es-ES"/>
        </w:rPr>
        <w:lastRenderedPageBreak/>
        <w:t>En cumplimiento del acuerdo, el cual fue revisado y aprobado en las reuniones de seguimiento a acuerdos, se concertó una estrategia de comunicación diferencial con la participación de las organizaciones en los territorios de las comunidades negras, afrocolombianas, raizales y palenqueras, para desarrollar la estrategia de comunicación diferencial, con énfasis en el autorreconocimiento de esta población.</w:t>
      </w:r>
    </w:p>
    <w:p w14:paraId="782860A7" w14:textId="77777777" w:rsidR="00F941F5" w:rsidRPr="005922D8" w:rsidRDefault="00F941F5" w:rsidP="00F941F5">
      <w:pPr>
        <w:jc w:val="both"/>
        <w:rPr>
          <w:rFonts w:ascii="Arial" w:hAnsi="Arial" w:cs="Arial"/>
          <w:lang w:val="es-ES"/>
        </w:rPr>
      </w:pPr>
      <w:r w:rsidRPr="005922D8">
        <w:rPr>
          <w:rFonts w:ascii="Arial" w:hAnsi="Arial" w:cs="Arial"/>
          <w:lang w:val="es-ES"/>
        </w:rPr>
        <w:t>La estrategia se desarrolló, a través de las siguientes actividades:</w:t>
      </w:r>
    </w:p>
    <w:p w14:paraId="651977E0" w14:textId="77777777" w:rsidR="00F941F5" w:rsidRPr="005922D8" w:rsidRDefault="00F941F5" w:rsidP="006F0F71">
      <w:pPr>
        <w:numPr>
          <w:ilvl w:val="0"/>
          <w:numId w:val="1"/>
        </w:numPr>
        <w:spacing w:after="0"/>
        <w:jc w:val="both"/>
        <w:rPr>
          <w:rFonts w:ascii="Arial" w:hAnsi="Arial" w:cs="Arial"/>
          <w:lang w:val="es-ES"/>
        </w:rPr>
      </w:pPr>
      <w:r w:rsidRPr="005922D8">
        <w:rPr>
          <w:rFonts w:ascii="Arial" w:hAnsi="Arial" w:cs="Arial"/>
          <w:lang w:val="es-ES"/>
        </w:rPr>
        <w:t>Emisión nacional de un video.</w:t>
      </w:r>
    </w:p>
    <w:p w14:paraId="1D18B8E0" w14:textId="77777777" w:rsidR="00F941F5" w:rsidRPr="005922D8" w:rsidRDefault="00F941F5" w:rsidP="006F0F71">
      <w:pPr>
        <w:numPr>
          <w:ilvl w:val="0"/>
          <w:numId w:val="1"/>
        </w:numPr>
        <w:spacing w:after="0"/>
        <w:jc w:val="both"/>
        <w:rPr>
          <w:rFonts w:ascii="Arial" w:hAnsi="Arial" w:cs="Arial"/>
          <w:lang w:val="es-ES"/>
        </w:rPr>
      </w:pPr>
      <w:r w:rsidRPr="005922D8">
        <w:rPr>
          <w:rFonts w:ascii="Arial" w:hAnsi="Arial" w:cs="Arial"/>
          <w:lang w:val="es-ES"/>
        </w:rPr>
        <w:t>Cuñas para radios locales comunitarios con líderes de los territorios.</w:t>
      </w:r>
    </w:p>
    <w:p w14:paraId="58791D73" w14:textId="77777777" w:rsidR="00F941F5" w:rsidRPr="005922D8" w:rsidRDefault="00F941F5" w:rsidP="006F0F71">
      <w:pPr>
        <w:numPr>
          <w:ilvl w:val="0"/>
          <w:numId w:val="1"/>
        </w:numPr>
        <w:spacing w:after="0"/>
        <w:jc w:val="both"/>
        <w:rPr>
          <w:rFonts w:ascii="Arial" w:hAnsi="Arial" w:cs="Arial"/>
          <w:lang w:val="es-ES"/>
        </w:rPr>
      </w:pPr>
      <w:r w:rsidRPr="005922D8">
        <w:rPr>
          <w:rFonts w:ascii="Arial" w:hAnsi="Arial" w:cs="Arial"/>
          <w:lang w:val="es-ES"/>
        </w:rPr>
        <w:t>Juegos de Naipes y escaleras.</w:t>
      </w:r>
    </w:p>
    <w:p w14:paraId="396BA7D5" w14:textId="77777777" w:rsidR="00F941F5" w:rsidRPr="005922D8" w:rsidRDefault="00F941F5" w:rsidP="006F0F71">
      <w:pPr>
        <w:numPr>
          <w:ilvl w:val="0"/>
          <w:numId w:val="1"/>
        </w:numPr>
        <w:spacing w:after="0"/>
        <w:jc w:val="both"/>
        <w:rPr>
          <w:rFonts w:ascii="Arial" w:hAnsi="Arial" w:cs="Arial"/>
          <w:lang w:val="es-ES"/>
        </w:rPr>
      </w:pPr>
      <w:r w:rsidRPr="005922D8">
        <w:rPr>
          <w:rFonts w:ascii="Arial" w:hAnsi="Arial" w:cs="Arial"/>
          <w:lang w:val="es-ES"/>
        </w:rPr>
        <w:t>Promoción de redes sociales.</w:t>
      </w:r>
    </w:p>
    <w:p w14:paraId="72127529" w14:textId="77777777" w:rsidR="00F941F5" w:rsidRPr="005922D8" w:rsidRDefault="00F941F5" w:rsidP="006F0F71">
      <w:pPr>
        <w:numPr>
          <w:ilvl w:val="0"/>
          <w:numId w:val="1"/>
        </w:numPr>
        <w:spacing w:after="0"/>
        <w:jc w:val="both"/>
        <w:rPr>
          <w:rFonts w:ascii="Arial" w:hAnsi="Arial" w:cs="Arial"/>
          <w:lang w:val="es-ES"/>
        </w:rPr>
      </w:pPr>
      <w:r w:rsidRPr="005922D8">
        <w:rPr>
          <w:rFonts w:ascii="Arial" w:hAnsi="Arial" w:cs="Arial"/>
          <w:lang w:val="es-ES"/>
        </w:rPr>
        <w:t>Producción y distribución de material impreso.</w:t>
      </w:r>
    </w:p>
    <w:p w14:paraId="49259D7B" w14:textId="77777777" w:rsidR="00F941F5" w:rsidRPr="005922D8" w:rsidRDefault="00F941F5" w:rsidP="006F0F71">
      <w:pPr>
        <w:numPr>
          <w:ilvl w:val="0"/>
          <w:numId w:val="1"/>
        </w:numPr>
        <w:spacing w:after="0"/>
        <w:jc w:val="both"/>
        <w:rPr>
          <w:rFonts w:ascii="Arial" w:hAnsi="Arial" w:cs="Arial"/>
          <w:lang w:val="es-ES"/>
        </w:rPr>
      </w:pPr>
      <w:r w:rsidRPr="005922D8">
        <w:rPr>
          <w:rFonts w:ascii="Arial" w:hAnsi="Arial" w:cs="Arial"/>
          <w:lang w:val="es-ES"/>
        </w:rPr>
        <w:t>Publicación en medio escrito.</w:t>
      </w:r>
    </w:p>
    <w:p w14:paraId="43174DA0" w14:textId="77777777" w:rsidR="00F941F5" w:rsidRPr="005922D8" w:rsidRDefault="00F941F5" w:rsidP="006F0F71">
      <w:pPr>
        <w:numPr>
          <w:ilvl w:val="0"/>
          <w:numId w:val="1"/>
        </w:numPr>
        <w:spacing w:after="0"/>
        <w:jc w:val="both"/>
        <w:rPr>
          <w:rFonts w:ascii="Arial" w:hAnsi="Arial" w:cs="Arial"/>
          <w:lang w:val="es-ES"/>
        </w:rPr>
      </w:pPr>
      <w:r w:rsidRPr="005922D8">
        <w:rPr>
          <w:rFonts w:ascii="Arial" w:hAnsi="Arial" w:cs="Arial"/>
          <w:lang w:val="es-ES"/>
        </w:rPr>
        <w:t>Publicación en medios radiales.</w:t>
      </w:r>
    </w:p>
    <w:p w14:paraId="7009DA13" w14:textId="77777777" w:rsidR="00F941F5" w:rsidRPr="005922D8" w:rsidRDefault="00F941F5" w:rsidP="006F0F71">
      <w:pPr>
        <w:numPr>
          <w:ilvl w:val="0"/>
          <w:numId w:val="1"/>
        </w:numPr>
        <w:spacing w:after="0"/>
        <w:jc w:val="both"/>
        <w:rPr>
          <w:rFonts w:ascii="Arial" w:hAnsi="Arial" w:cs="Arial"/>
          <w:lang w:val="es-ES"/>
        </w:rPr>
      </w:pPr>
      <w:r w:rsidRPr="005922D8">
        <w:rPr>
          <w:rFonts w:ascii="Arial" w:hAnsi="Arial" w:cs="Arial"/>
          <w:lang w:val="es-ES"/>
        </w:rPr>
        <w:t>Certificados de emisión radiales y canales de T.V.</w:t>
      </w:r>
    </w:p>
    <w:p w14:paraId="44FFFAC5" w14:textId="77777777" w:rsidR="00F941F5" w:rsidRPr="005922D8" w:rsidRDefault="00F941F5" w:rsidP="00F941F5">
      <w:pPr>
        <w:numPr>
          <w:ilvl w:val="0"/>
          <w:numId w:val="1"/>
        </w:numPr>
        <w:jc w:val="both"/>
        <w:rPr>
          <w:rFonts w:ascii="Arial" w:hAnsi="Arial" w:cs="Arial"/>
          <w:lang w:val="es-ES"/>
        </w:rPr>
      </w:pPr>
      <w:r w:rsidRPr="005922D8">
        <w:rPr>
          <w:rFonts w:ascii="Arial" w:hAnsi="Arial" w:cs="Arial"/>
          <w:lang w:val="es-ES"/>
        </w:rPr>
        <w:t>Reuniones con delegados de las juntas de consejos comunitarios, delegados de organizaciones de base y otras expresiones organizativas y su representante legal, para socializar, motivar y promover la participación de las comunidades en el censo.</w:t>
      </w:r>
    </w:p>
    <w:p w14:paraId="7341E7C7" w14:textId="77777777" w:rsidR="00F941F5" w:rsidRPr="005922D8" w:rsidRDefault="00F941F5" w:rsidP="00F941F5">
      <w:pPr>
        <w:jc w:val="both"/>
        <w:rPr>
          <w:rFonts w:ascii="Arial" w:hAnsi="Arial" w:cs="Arial"/>
          <w:lang w:val="es-ES"/>
        </w:rPr>
      </w:pPr>
      <w:r w:rsidRPr="005922D8">
        <w:rPr>
          <w:rFonts w:ascii="Arial" w:hAnsi="Arial" w:cs="Arial"/>
          <w:lang w:val="es-ES"/>
        </w:rPr>
        <w:t>Para el desarrollo de la estrategia, se estableció el Convenio de Asociación No. 2180696 a través de FONADE, con la organización definida autónomamente por los delegados de la comisión VII del Espacio Nacional, la Asociación Intercultural Colombiana Diversa AICOLD, por un valor de $ 1.462.280.000 y con el fin de aunar esfuerzos técnicos, administrativos y financieros para realizar la recolección de la información censal de las comunidades Negra, Afrocolombiana, Palanquera y Raizal, con el fin de desarrollar objetivos del Plan Nacional de Desarrollo 2014-2018, garantizando la participación efectiva y la protección de los derechos de estas comunidades en el Censo Nacional de Población y Vivienda CNPV 2018. Igualmente, en televisión nacional se emitió el comercial para población negra, afrocolombiana, raizal y palenquera, acordado en el marco del proceso de consulta.</w:t>
      </w:r>
    </w:p>
    <w:p w14:paraId="10685CC6" w14:textId="72ECE2B2" w:rsidR="00F941F5" w:rsidRPr="005922D8" w:rsidRDefault="00F941F5" w:rsidP="00F941F5">
      <w:pPr>
        <w:jc w:val="both"/>
        <w:rPr>
          <w:rFonts w:ascii="Arial" w:hAnsi="Arial" w:cs="Arial"/>
          <w:lang w:val="es-ES"/>
        </w:rPr>
      </w:pPr>
      <w:r w:rsidRPr="005922D8">
        <w:rPr>
          <w:rFonts w:ascii="Arial" w:hAnsi="Arial" w:cs="Arial"/>
          <w:lang w:val="es-ES"/>
        </w:rPr>
        <w:t>En cuanto a la socialización de la pregunta, este ejercicio se desarrolló en diferentes momentos. Durante la preparación del censo se adelantaron reuniones con instituciones académicas, de la sociedad civil y gubernamentales. En el marco de la consulta previa del CNPV 2018 adelantada con las comunidades negras, afrocolombianas, raizales y palenqueras, el cuestionario y la pregunta de autorreconocimiento étnico (al igual que las fases y procesos censales) fueron discutidos en: a) La asamblea del espacio nacional de consulta previa, (aproximadamente 232 delegados), b) la Comisión definida por este espacio (aproximadamente 50 delegados) para realizar la interlocución directa con el DANE, c) los equipos técnicos propuestos por dicha comisión y 4) las diferentes expresiones organizativas que fueron convocadas por los líderes, en los diferentes espacios nacionales en los que se desarrollaron 32 reuniones departamentales y distritales:</w:t>
      </w:r>
    </w:p>
    <w:p w14:paraId="0EBBD201" w14:textId="77777777" w:rsidR="00F941F5" w:rsidRPr="005922D8" w:rsidRDefault="00F941F5" w:rsidP="00F941F5">
      <w:pPr>
        <w:numPr>
          <w:ilvl w:val="0"/>
          <w:numId w:val="3"/>
        </w:numPr>
        <w:jc w:val="both"/>
        <w:rPr>
          <w:rFonts w:ascii="Arial" w:hAnsi="Arial" w:cs="Arial"/>
          <w:b/>
          <w:bCs/>
          <w:i/>
          <w:lang w:val="es-ES"/>
        </w:rPr>
      </w:pPr>
      <w:r w:rsidRPr="005922D8">
        <w:rPr>
          <w:rFonts w:ascii="Arial" w:hAnsi="Arial" w:cs="Arial"/>
          <w:b/>
          <w:bCs/>
          <w:i/>
          <w:lang w:val="es-ES"/>
        </w:rPr>
        <w:t>Reuniones con la plenaria del Espacio Nacional de Consulta Previa –ENCP. (Realizadas durante la fase precensal).</w:t>
      </w:r>
    </w:p>
    <w:p w14:paraId="3F3F6FE9" w14:textId="77777777" w:rsidR="00F941F5" w:rsidRPr="005922D8" w:rsidRDefault="00F941F5" w:rsidP="00F941F5">
      <w:pPr>
        <w:jc w:val="both"/>
        <w:rPr>
          <w:rFonts w:ascii="Arial" w:hAnsi="Arial" w:cs="Arial"/>
          <w:lang w:val="es-ES"/>
        </w:rPr>
      </w:pPr>
      <w:r w:rsidRPr="005922D8">
        <w:rPr>
          <w:rFonts w:ascii="Arial" w:hAnsi="Arial" w:cs="Arial"/>
          <w:lang w:val="es-ES"/>
        </w:rPr>
        <w:t xml:space="preserve">Se realizaron 3 reuniones con el Espacio Nacional de Consulta Previa en la fase precensal. En cada una de las reuniones se puso en consideración, debate y concertación, tanto el </w:t>
      </w:r>
      <w:r w:rsidRPr="005922D8">
        <w:rPr>
          <w:rFonts w:ascii="Arial" w:hAnsi="Arial" w:cs="Arial"/>
          <w:lang w:val="es-ES"/>
        </w:rPr>
        <w:lastRenderedPageBreak/>
        <w:t>contenido del cuestionario censal, el cual incluyó la pregunta de autorreconocimiento étnico, como los procesos censales. A continuación, se detallan cada una de las reuniones:</w:t>
      </w:r>
    </w:p>
    <w:p w14:paraId="5EC63F13" w14:textId="77777777" w:rsidR="00F941F5" w:rsidRPr="005922D8" w:rsidRDefault="00F941F5" w:rsidP="00F941F5">
      <w:pPr>
        <w:jc w:val="both"/>
        <w:rPr>
          <w:rFonts w:ascii="Arial" w:hAnsi="Arial" w:cs="Arial"/>
          <w:lang w:val="es-ES"/>
        </w:rPr>
      </w:pPr>
      <w:r w:rsidRPr="005922D8">
        <w:rPr>
          <w:rFonts w:ascii="Arial" w:hAnsi="Arial" w:cs="Arial"/>
          <w:b/>
          <w:lang w:val="es-ES"/>
        </w:rPr>
        <w:t xml:space="preserve">Reunión del primer Espacio Nacional (Acta del 6 y 7 de noviembre de 2016, Cali, Valle del Cauca). </w:t>
      </w:r>
      <w:r w:rsidRPr="005922D8">
        <w:rPr>
          <w:rFonts w:ascii="Arial" w:hAnsi="Arial" w:cs="Arial"/>
          <w:lang w:val="es-ES"/>
        </w:rPr>
        <w:t>Este espacio permitió abordar la definición y aprobación de la ruta metodológica de la consulta y concertación con las comunidades negras, afrocolombianas, raizales y palenqueras, explicar y analizar el contexto del Censo Nacional de Población y Vivienda y presentar, revisar, analizar y proponer ajustes al cuestionario censal. Se anexa el acta de la reunión y el documento que recoge las preguntas realizadas por el Espacio Nacional, sobre el cuestionario censal, así como las respuestas del DANE.</w:t>
      </w:r>
    </w:p>
    <w:p w14:paraId="0D9B52DE" w14:textId="77777777" w:rsidR="00F941F5" w:rsidRPr="005922D8" w:rsidRDefault="00F941F5" w:rsidP="00F941F5">
      <w:pPr>
        <w:jc w:val="both"/>
        <w:rPr>
          <w:rFonts w:ascii="Arial" w:hAnsi="Arial" w:cs="Arial"/>
          <w:lang w:val="es-ES"/>
        </w:rPr>
      </w:pPr>
      <w:r w:rsidRPr="005922D8">
        <w:rPr>
          <w:rFonts w:ascii="Arial" w:hAnsi="Arial" w:cs="Arial"/>
          <w:b/>
          <w:lang w:val="es-ES"/>
        </w:rPr>
        <w:t>Reunión del segundo Espacio Nacional</w:t>
      </w:r>
      <w:r w:rsidRPr="005922D8">
        <w:rPr>
          <w:rFonts w:ascii="Arial" w:hAnsi="Arial" w:cs="Arial"/>
          <w:lang w:val="es-ES"/>
        </w:rPr>
        <w:t>: (Acta 21 de diciembre de 2016, Cali, Valle del Cauca). En la reunión se adelantaron concertaciones sobre los siguientes temas: Presentación de la propuesta del cuestionario censal con énfasis en las preguntas de territorialidad y pertenencia étnica, de acuerdo con el trabajo adelantado con la Comisión VII del ENCP y las asambleas departamentales; y, la presentación y socialización de los aspectos técnicos y los mecanismos de participación de las comunidades negras, afrocolombianas, raizales y palanqueras en los diferentes procesos censales. Se anexa el acta de la reunión.</w:t>
      </w:r>
    </w:p>
    <w:p w14:paraId="582E7EFC" w14:textId="04C1B6C3" w:rsidR="00F941F5" w:rsidRPr="005922D8" w:rsidRDefault="00F941F5" w:rsidP="00F941F5">
      <w:pPr>
        <w:jc w:val="both"/>
        <w:rPr>
          <w:rFonts w:ascii="Arial" w:hAnsi="Arial" w:cs="Arial"/>
          <w:lang w:val="es-ES"/>
        </w:rPr>
      </w:pPr>
      <w:r w:rsidRPr="005922D8">
        <w:rPr>
          <w:rFonts w:ascii="Arial" w:hAnsi="Arial" w:cs="Arial"/>
          <w:b/>
          <w:lang w:val="es-ES"/>
        </w:rPr>
        <w:t xml:space="preserve">Reunión del tercer Espacio Nacional: </w:t>
      </w:r>
      <w:r w:rsidRPr="005922D8">
        <w:rPr>
          <w:rFonts w:ascii="Arial" w:hAnsi="Arial" w:cs="Arial"/>
          <w:lang w:val="es-ES"/>
        </w:rPr>
        <w:t>(Acta 19 y 20 de febrero de 2017, Cali Valle del Cauca). En el Espacio se socializaron, analizaron y concertaron las propuestas relacionadas con las estrategias y mecanismos de participación de las comunidades negras, afrocolombianas, raizales y palanqueras, en los procesos censales. Así mismo, se protocolizó el proceso de consulta previa.</w:t>
      </w:r>
    </w:p>
    <w:p w14:paraId="168D0021" w14:textId="14DB2032" w:rsidR="00F941F5" w:rsidRPr="005922D8" w:rsidRDefault="00F941F5" w:rsidP="00F941F5">
      <w:pPr>
        <w:jc w:val="both"/>
        <w:rPr>
          <w:rFonts w:ascii="Arial" w:hAnsi="Arial" w:cs="Arial"/>
          <w:lang w:val="es-ES"/>
        </w:rPr>
      </w:pPr>
    </w:p>
    <w:p w14:paraId="3BA47FD7" w14:textId="77777777" w:rsidR="00B51A58" w:rsidRPr="005922D8" w:rsidRDefault="00F941F5" w:rsidP="00F941F5">
      <w:pPr>
        <w:numPr>
          <w:ilvl w:val="0"/>
          <w:numId w:val="2"/>
        </w:numPr>
        <w:jc w:val="both"/>
        <w:rPr>
          <w:rFonts w:ascii="Arial" w:hAnsi="Arial" w:cs="Arial"/>
          <w:b/>
          <w:bCs/>
          <w:i/>
          <w:lang w:val="es-ES"/>
        </w:rPr>
      </w:pPr>
      <w:r w:rsidRPr="005922D8">
        <w:rPr>
          <w:rFonts w:ascii="Arial" w:hAnsi="Arial" w:cs="Arial"/>
          <w:b/>
          <w:bCs/>
          <w:i/>
          <w:lang w:val="es-ES"/>
        </w:rPr>
        <w:t>Reuniones con la Comisión VII del Espacio Nacional de Consulta Previa.</w:t>
      </w:r>
    </w:p>
    <w:p w14:paraId="5AC64F0A" w14:textId="7FFD8356" w:rsidR="00F941F5" w:rsidRPr="005922D8" w:rsidRDefault="00F941F5" w:rsidP="00B51A58">
      <w:pPr>
        <w:jc w:val="both"/>
        <w:rPr>
          <w:rFonts w:ascii="Arial" w:hAnsi="Arial" w:cs="Arial"/>
          <w:b/>
          <w:bCs/>
          <w:i/>
          <w:lang w:val="es-ES"/>
        </w:rPr>
      </w:pPr>
      <w:r w:rsidRPr="005922D8">
        <w:rPr>
          <w:rFonts w:ascii="Arial" w:hAnsi="Arial" w:cs="Arial"/>
          <w:lang w:val="es-ES"/>
        </w:rPr>
        <w:t xml:space="preserve">Con esta instancia se llevaron a cabo 9 reuniones, de acuerdo con el enfoque diferencial étnico en la normatividad vigente y los principios establecidos para este derecho fundamental de las comunidades. En los diferentes espacios se abordaron los temas relacionados con el </w:t>
      </w:r>
      <w:proofErr w:type="gramStart"/>
      <w:r w:rsidRPr="005922D8">
        <w:rPr>
          <w:rFonts w:ascii="Arial" w:hAnsi="Arial" w:cs="Arial"/>
          <w:lang w:val="es-ES"/>
        </w:rPr>
        <w:t>cuestionario censal y los procesos censales</w:t>
      </w:r>
      <w:proofErr w:type="gramEnd"/>
      <w:r w:rsidRPr="005922D8">
        <w:rPr>
          <w:rFonts w:ascii="Arial" w:hAnsi="Arial" w:cs="Arial"/>
          <w:lang w:val="es-ES"/>
        </w:rPr>
        <w:t>, realizando las socializaciones, los análisis y las discusiones a partir de los cuales se consolidaron los acuerdos de la consulta.</w:t>
      </w:r>
    </w:p>
    <w:p w14:paraId="62D820BA" w14:textId="23127313" w:rsidR="00F941F5" w:rsidRPr="005922D8" w:rsidRDefault="00F941F5" w:rsidP="00F941F5">
      <w:pPr>
        <w:jc w:val="both"/>
        <w:rPr>
          <w:rFonts w:ascii="Arial" w:hAnsi="Arial" w:cs="Arial"/>
          <w:lang w:val="es-ES"/>
        </w:rPr>
      </w:pPr>
      <w:r w:rsidRPr="005922D8">
        <w:rPr>
          <w:rFonts w:ascii="Arial" w:hAnsi="Arial" w:cs="Arial"/>
          <w:lang w:val="es-ES"/>
        </w:rPr>
        <w:t>A continuación, se enumeran las reuniones en las que se presentó, analizó y se llegaron a acuerdos sobre el cuestionario censal y específicamente sobre la pregunta de autorreconocimiento</w:t>
      </w:r>
      <w:r w:rsidRPr="005922D8">
        <w:rPr>
          <w:rStyle w:val="Refdenotaalpie"/>
          <w:rFonts w:ascii="Arial" w:hAnsi="Arial" w:cs="Arial"/>
          <w:lang w:val="es-ES"/>
        </w:rPr>
        <w:footnoteReference w:id="4"/>
      </w:r>
    </w:p>
    <w:p w14:paraId="4493A1F3" w14:textId="4F095F74" w:rsidR="00F941F5" w:rsidRPr="005922D8" w:rsidRDefault="00F941F5" w:rsidP="00F941F5">
      <w:pPr>
        <w:jc w:val="center"/>
        <w:rPr>
          <w:rFonts w:ascii="Arial" w:hAnsi="Arial" w:cs="Arial"/>
          <w:b/>
          <w:bCs/>
          <w:lang w:val="es-ES"/>
        </w:rPr>
      </w:pPr>
      <w:r w:rsidRPr="005922D8">
        <w:rPr>
          <w:rFonts w:ascii="Arial" w:hAnsi="Arial" w:cs="Arial"/>
          <w:b/>
          <w:bCs/>
          <w:lang w:val="es-ES"/>
        </w:rPr>
        <w:t>Tabla 1. Principales reuniones de la Comisión VII del Espacio Nacional de Consulta Previa en las que se abordó la metodología del censo y el cuestionario censal.</w:t>
      </w:r>
    </w:p>
    <w:tbl>
      <w:tblPr>
        <w:tblStyle w:val="Tablaconcuadrcula"/>
        <w:tblW w:w="9782" w:type="dxa"/>
        <w:tblInd w:w="-289" w:type="dxa"/>
        <w:tblLook w:val="04A0" w:firstRow="1" w:lastRow="0" w:firstColumn="1" w:lastColumn="0" w:noHBand="0" w:noVBand="1"/>
      </w:tblPr>
      <w:tblGrid>
        <w:gridCol w:w="3119"/>
        <w:gridCol w:w="6663"/>
      </w:tblGrid>
      <w:tr w:rsidR="00B51A58" w:rsidRPr="005922D8" w14:paraId="17F6160C" w14:textId="77777777" w:rsidTr="0095770E">
        <w:tc>
          <w:tcPr>
            <w:tcW w:w="3119" w:type="dxa"/>
            <w:shd w:val="clear" w:color="auto" w:fill="C00000"/>
          </w:tcPr>
          <w:p w14:paraId="1CD50FFB" w14:textId="06B6EF1D" w:rsidR="00B51A58" w:rsidRPr="005922D8" w:rsidRDefault="00B51A58" w:rsidP="00F941F5">
            <w:pPr>
              <w:jc w:val="center"/>
              <w:rPr>
                <w:rFonts w:ascii="Arial" w:hAnsi="Arial" w:cs="Arial"/>
                <w:b/>
                <w:bCs/>
                <w:lang w:val="es-ES"/>
              </w:rPr>
            </w:pPr>
            <w:r w:rsidRPr="005922D8">
              <w:rPr>
                <w:rFonts w:ascii="Arial" w:hAnsi="Arial" w:cs="Arial"/>
                <w:b/>
                <w:bCs/>
                <w:lang w:val="es-ES"/>
              </w:rPr>
              <w:t>Fecha de la Reunión</w:t>
            </w:r>
          </w:p>
        </w:tc>
        <w:tc>
          <w:tcPr>
            <w:tcW w:w="6663" w:type="dxa"/>
            <w:shd w:val="clear" w:color="auto" w:fill="C00000"/>
          </w:tcPr>
          <w:p w14:paraId="34D2D9B0" w14:textId="0149F85D" w:rsidR="00B51A58" w:rsidRPr="005922D8" w:rsidRDefault="0095770E" w:rsidP="00F941F5">
            <w:pPr>
              <w:jc w:val="center"/>
              <w:rPr>
                <w:rFonts w:ascii="Arial" w:hAnsi="Arial" w:cs="Arial"/>
                <w:b/>
                <w:bCs/>
                <w:lang w:val="es-ES"/>
              </w:rPr>
            </w:pPr>
            <w:r w:rsidRPr="005922D8">
              <w:rPr>
                <w:rFonts w:ascii="Arial" w:hAnsi="Arial" w:cs="Arial"/>
                <w:b/>
                <w:bCs/>
                <w:lang w:val="es-ES"/>
              </w:rPr>
              <w:t>Descripción de los temas abordados</w:t>
            </w:r>
          </w:p>
        </w:tc>
      </w:tr>
      <w:tr w:rsidR="00B51A58" w:rsidRPr="005922D8" w14:paraId="4B766128" w14:textId="77777777" w:rsidTr="0095770E">
        <w:tc>
          <w:tcPr>
            <w:tcW w:w="3119" w:type="dxa"/>
          </w:tcPr>
          <w:p w14:paraId="4FF6ECAC" w14:textId="77777777" w:rsidR="0095770E" w:rsidRPr="005922D8" w:rsidRDefault="0095770E" w:rsidP="0095770E">
            <w:pPr>
              <w:jc w:val="center"/>
              <w:rPr>
                <w:rFonts w:ascii="Arial" w:hAnsi="Arial" w:cs="Arial"/>
                <w:lang w:val="es-ES"/>
              </w:rPr>
            </w:pPr>
          </w:p>
          <w:p w14:paraId="5CB7B0ED" w14:textId="77777777" w:rsidR="0095770E" w:rsidRPr="005922D8" w:rsidRDefault="0095770E" w:rsidP="0095770E">
            <w:pPr>
              <w:jc w:val="center"/>
              <w:rPr>
                <w:rFonts w:ascii="Arial" w:hAnsi="Arial" w:cs="Arial"/>
                <w:lang w:val="es-ES"/>
              </w:rPr>
            </w:pPr>
          </w:p>
          <w:p w14:paraId="65FB5C5A" w14:textId="77777777" w:rsidR="0095770E" w:rsidRPr="005922D8" w:rsidRDefault="0095770E" w:rsidP="0095770E">
            <w:pPr>
              <w:jc w:val="center"/>
              <w:rPr>
                <w:rFonts w:ascii="Arial" w:hAnsi="Arial" w:cs="Arial"/>
                <w:lang w:val="es-ES"/>
              </w:rPr>
            </w:pPr>
          </w:p>
          <w:p w14:paraId="2A8C1C17" w14:textId="77777777" w:rsidR="0095770E" w:rsidRPr="005922D8" w:rsidRDefault="0095770E" w:rsidP="0095770E">
            <w:pPr>
              <w:jc w:val="center"/>
              <w:rPr>
                <w:rFonts w:ascii="Arial" w:hAnsi="Arial" w:cs="Arial"/>
                <w:lang w:val="es-ES"/>
              </w:rPr>
            </w:pPr>
          </w:p>
          <w:p w14:paraId="180CE6CE" w14:textId="77777777" w:rsidR="0095770E" w:rsidRPr="005922D8" w:rsidRDefault="0095770E" w:rsidP="0095770E">
            <w:pPr>
              <w:jc w:val="center"/>
              <w:rPr>
                <w:rFonts w:ascii="Arial" w:hAnsi="Arial" w:cs="Arial"/>
                <w:lang w:val="es-ES"/>
              </w:rPr>
            </w:pPr>
          </w:p>
          <w:p w14:paraId="22722806" w14:textId="5C1E78CB" w:rsidR="0095770E" w:rsidRPr="005922D8" w:rsidRDefault="0095770E" w:rsidP="0095770E">
            <w:pPr>
              <w:jc w:val="center"/>
              <w:rPr>
                <w:rFonts w:ascii="Arial" w:hAnsi="Arial" w:cs="Arial"/>
                <w:lang w:val="es-ES"/>
              </w:rPr>
            </w:pPr>
            <w:r w:rsidRPr="005922D8">
              <w:rPr>
                <w:rFonts w:ascii="Arial" w:hAnsi="Arial" w:cs="Arial"/>
                <w:lang w:val="es-ES"/>
              </w:rPr>
              <w:t>Reunión 27 septiembre al 3</w:t>
            </w:r>
          </w:p>
          <w:p w14:paraId="56B88D6B" w14:textId="107643D3" w:rsidR="00B51A58" w:rsidRPr="005922D8" w:rsidRDefault="0095770E" w:rsidP="0095770E">
            <w:pPr>
              <w:jc w:val="center"/>
              <w:rPr>
                <w:rFonts w:ascii="Arial" w:hAnsi="Arial" w:cs="Arial"/>
                <w:b/>
                <w:bCs/>
                <w:lang w:val="es-ES"/>
              </w:rPr>
            </w:pPr>
            <w:r w:rsidRPr="005922D8">
              <w:rPr>
                <w:rFonts w:ascii="Arial" w:hAnsi="Arial" w:cs="Arial"/>
                <w:lang w:val="es-ES"/>
              </w:rPr>
              <w:t>octubre de 2016</w:t>
            </w:r>
          </w:p>
        </w:tc>
        <w:tc>
          <w:tcPr>
            <w:tcW w:w="6663" w:type="dxa"/>
          </w:tcPr>
          <w:p w14:paraId="5BF5F7F4" w14:textId="77777777" w:rsidR="0095770E" w:rsidRPr="005922D8" w:rsidRDefault="0095770E" w:rsidP="0095770E">
            <w:pPr>
              <w:numPr>
                <w:ilvl w:val="0"/>
                <w:numId w:val="18"/>
              </w:numPr>
              <w:jc w:val="center"/>
              <w:rPr>
                <w:rFonts w:ascii="Arial" w:hAnsi="Arial" w:cs="Arial"/>
                <w:lang w:val="es-ES"/>
              </w:rPr>
            </w:pPr>
            <w:r w:rsidRPr="005922D8">
              <w:rPr>
                <w:rFonts w:ascii="Arial" w:hAnsi="Arial" w:cs="Arial"/>
                <w:lang w:val="es-ES"/>
              </w:rPr>
              <w:lastRenderedPageBreak/>
              <w:t xml:space="preserve">Presentación de la propuesta preparada por el DANE para la participación de las comunidades negras, afrocolombianas, raizales y palenqueras en los </w:t>
            </w:r>
            <w:proofErr w:type="gramStart"/>
            <w:r w:rsidRPr="005922D8">
              <w:rPr>
                <w:rFonts w:ascii="Arial" w:hAnsi="Arial" w:cs="Arial"/>
                <w:lang w:val="es-ES"/>
              </w:rPr>
              <w:t>procesos censales y cuestionario censal</w:t>
            </w:r>
            <w:proofErr w:type="gramEnd"/>
            <w:r w:rsidRPr="005922D8">
              <w:rPr>
                <w:rFonts w:ascii="Arial" w:hAnsi="Arial" w:cs="Arial"/>
                <w:lang w:val="es-ES"/>
              </w:rPr>
              <w:t>.</w:t>
            </w:r>
          </w:p>
          <w:p w14:paraId="492EB88D" w14:textId="77777777" w:rsidR="0095770E"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lastRenderedPageBreak/>
              <w:t xml:space="preserve">Presentación del DANE acerca de los </w:t>
            </w:r>
            <w:proofErr w:type="gramStart"/>
            <w:r w:rsidRPr="005922D8">
              <w:rPr>
                <w:rFonts w:ascii="Arial" w:hAnsi="Arial" w:cs="Arial"/>
                <w:lang w:val="es-ES"/>
              </w:rPr>
              <w:t>procesos censales y el cuestionario censal</w:t>
            </w:r>
            <w:proofErr w:type="gramEnd"/>
            <w:r w:rsidRPr="005922D8">
              <w:rPr>
                <w:rFonts w:ascii="Arial" w:hAnsi="Arial" w:cs="Arial"/>
                <w:lang w:val="es-ES"/>
              </w:rPr>
              <w:t>. En cuanto a los procesos censales se expuso lo referido a personal operativo, desplazamiento de personal, comunicaciones y aprendizaje.</w:t>
            </w:r>
          </w:p>
          <w:p w14:paraId="219B2400" w14:textId="77777777" w:rsidR="00B51A58"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t>El DANE y la Comisión VII del Espacio Nacional de Consulta Previa, adelantaron los procedimientos técnicos necesarios de socialización, capacitación, revisión, ajuste, concertación de las diferentes preguntas de la versión final del cuestionario.</w:t>
            </w:r>
          </w:p>
          <w:p w14:paraId="01163185" w14:textId="2C039C97" w:rsidR="0095770E" w:rsidRPr="005922D8" w:rsidRDefault="0095770E" w:rsidP="0095770E">
            <w:pPr>
              <w:spacing w:before="240"/>
              <w:ind w:left="465"/>
              <w:rPr>
                <w:rFonts w:ascii="Arial" w:hAnsi="Arial" w:cs="Arial"/>
                <w:lang w:val="es-ES"/>
              </w:rPr>
            </w:pPr>
          </w:p>
        </w:tc>
      </w:tr>
      <w:tr w:rsidR="0095770E" w:rsidRPr="005922D8" w14:paraId="24BC9F84" w14:textId="77777777" w:rsidTr="0095770E">
        <w:tc>
          <w:tcPr>
            <w:tcW w:w="3119" w:type="dxa"/>
          </w:tcPr>
          <w:p w14:paraId="02F04601" w14:textId="77777777" w:rsidR="0095770E" w:rsidRPr="005922D8" w:rsidRDefault="0095770E" w:rsidP="0095770E">
            <w:pPr>
              <w:jc w:val="center"/>
              <w:rPr>
                <w:rFonts w:ascii="Arial" w:hAnsi="Arial" w:cs="Arial"/>
                <w:lang w:val="es-ES"/>
              </w:rPr>
            </w:pPr>
          </w:p>
          <w:p w14:paraId="417A2AC4" w14:textId="77777777" w:rsidR="0095770E" w:rsidRPr="005922D8" w:rsidRDefault="0095770E" w:rsidP="0095770E">
            <w:pPr>
              <w:jc w:val="center"/>
              <w:rPr>
                <w:rFonts w:ascii="Arial" w:hAnsi="Arial" w:cs="Arial"/>
                <w:lang w:val="es-ES"/>
              </w:rPr>
            </w:pPr>
          </w:p>
          <w:p w14:paraId="2CEAD0A1" w14:textId="77777777" w:rsidR="0095770E" w:rsidRPr="005922D8" w:rsidRDefault="0095770E" w:rsidP="0095770E">
            <w:pPr>
              <w:jc w:val="center"/>
              <w:rPr>
                <w:rFonts w:ascii="Arial" w:hAnsi="Arial" w:cs="Arial"/>
                <w:lang w:val="es-ES"/>
              </w:rPr>
            </w:pPr>
          </w:p>
          <w:p w14:paraId="40501B34" w14:textId="77777777" w:rsidR="0095770E" w:rsidRPr="005922D8" w:rsidRDefault="0095770E" w:rsidP="0095770E">
            <w:pPr>
              <w:jc w:val="center"/>
              <w:rPr>
                <w:rFonts w:ascii="Arial" w:hAnsi="Arial" w:cs="Arial"/>
                <w:lang w:val="es-ES"/>
              </w:rPr>
            </w:pPr>
          </w:p>
          <w:p w14:paraId="09DDD928" w14:textId="47526DEE" w:rsidR="0095770E" w:rsidRPr="005922D8" w:rsidRDefault="0095770E" w:rsidP="0095770E">
            <w:pPr>
              <w:jc w:val="center"/>
              <w:rPr>
                <w:rFonts w:ascii="Arial" w:hAnsi="Arial" w:cs="Arial"/>
                <w:lang w:val="es-ES"/>
              </w:rPr>
            </w:pPr>
            <w:r w:rsidRPr="005922D8">
              <w:rPr>
                <w:rFonts w:ascii="Arial" w:hAnsi="Arial" w:cs="Arial"/>
                <w:lang w:val="es-ES"/>
              </w:rPr>
              <w:t>Reunión 7 y 8 de octubre de 2016</w:t>
            </w:r>
          </w:p>
        </w:tc>
        <w:tc>
          <w:tcPr>
            <w:tcW w:w="6663" w:type="dxa"/>
          </w:tcPr>
          <w:p w14:paraId="28CABA64" w14:textId="77777777" w:rsidR="0095770E"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t>Revisión y ajuste de la ruta metodológica de la consulta.</w:t>
            </w:r>
          </w:p>
          <w:p w14:paraId="045D4D0C" w14:textId="77777777" w:rsidR="0095770E"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t>Presentación de los propósitos de la operación censal y la importancia del censo para el país, así como de la metodología del censo.</w:t>
            </w:r>
          </w:p>
          <w:p w14:paraId="0A617A1D" w14:textId="77777777" w:rsidR="0095770E"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t>Presentación de las fases del proceso: precensal, censal y poscensal</w:t>
            </w:r>
          </w:p>
          <w:p w14:paraId="58965937" w14:textId="77777777" w:rsidR="0095770E"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t>Entrega a la Comisión VII del formato preliminar del cuestionario censal (Versión 13) el cual contenía 13 preguntas de ubicación, 10 preguntas de vivienda, 17 preguntas de hogares y 49 preguntas de personas, para un total de 89 preguntas.</w:t>
            </w:r>
          </w:p>
          <w:p w14:paraId="1AE9730B" w14:textId="77777777" w:rsidR="0095770E"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t>Capacitación, presentación, revisión, análisis y ajuste del cuestionario censal por parte de los delegados: preguntas y respuestas.</w:t>
            </w:r>
          </w:p>
          <w:p w14:paraId="08EF1B3B" w14:textId="77777777" w:rsidR="0095770E"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t>Propuesta de la estrategia de comunicación del proceso de consulta previa.</w:t>
            </w:r>
          </w:p>
          <w:p w14:paraId="1B1E7492" w14:textId="77777777" w:rsidR="0095770E"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t>En esta reunión se acuerda que el cuestionario seguirá en revisión.</w:t>
            </w:r>
          </w:p>
          <w:p w14:paraId="1EE07A32" w14:textId="57C0D0FE" w:rsidR="0095770E" w:rsidRPr="005922D8" w:rsidRDefault="0095770E" w:rsidP="0095770E">
            <w:pPr>
              <w:spacing w:before="240"/>
              <w:ind w:left="465"/>
              <w:rPr>
                <w:rFonts w:ascii="Arial" w:hAnsi="Arial" w:cs="Arial"/>
                <w:lang w:val="es-ES"/>
              </w:rPr>
            </w:pPr>
          </w:p>
        </w:tc>
      </w:tr>
      <w:tr w:rsidR="0095770E" w:rsidRPr="005922D8" w14:paraId="6D17D6AD" w14:textId="77777777" w:rsidTr="0095770E">
        <w:tc>
          <w:tcPr>
            <w:tcW w:w="3119" w:type="dxa"/>
          </w:tcPr>
          <w:p w14:paraId="22D009A4" w14:textId="77777777" w:rsidR="0095770E" w:rsidRPr="005922D8" w:rsidRDefault="0095770E" w:rsidP="0095770E">
            <w:pPr>
              <w:jc w:val="center"/>
              <w:rPr>
                <w:rFonts w:ascii="Arial" w:hAnsi="Arial" w:cs="Arial"/>
                <w:lang w:val="es-ES"/>
              </w:rPr>
            </w:pPr>
          </w:p>
          <w:p w14:paraId="27C2F159" w14:textId="77777777" w:rsidR="0095770E" w:rsidRPr="005922D8" w:rsidRDefault="0095770E" w:rsidP="0095770E">
            <w:pPr>
              <w:jc w:val="center"/>
              <w:rPr>
                <w:rFonts w:ascii="Arial" w:hAnsi="Arial" w:cs="Arial"/>
                <w:lang w:val="es-ES"/>
              </w:rPr>
            </w:pPr>
          </w:p>
          <w:p w14:paraId="47884B9E" w14:textId="77777777" w:rsidR="0095770E" w:rsidRPr="005922D8" w:rsidRDefault="0095770E" w:rsidP="0095770E">
            <w:pPr>
              <w:jc w:val="center"/>
              <w:rPr>
                <w:rFonts w:ascii="Arial" w:hAnsi="Arial" w:cs="Arial"/>
                <w:lang w:val="es-ES"/>
              </w:rPr>
            </w:pPr>
          </w:p>
          <w:p w14:paraId="202EB633" w14:textId="77777777" w:rsidR="0095770E" w:rsidRPr="005922D8" w:rsidRDefault="0095770E" w:rsidP="0095770E">
            <w:pPr>
              <w:jc w:val="center"/>
              <w:rPr>
                <w:rFonts w:ascii="Arial" w:hAnsi="Arial" w:cs="Arial"/>
                <w:lang w:val="es-ES"/>
              </w:rPr>
            </w:pPr>
          </w:p>
          <w:p w14:paraId="346BC7D0" w14:textId="52C9BB99" w:rsidR="0095770E" w:rsidRPr="005922D8" w:rsidRDefault="0095770E" w:rsidP="0095770E">
            <w:pPr>
              <w:jc w:val="center"/>
              <w:rPr>
                <w:rFonts w:ascii="Arial" w:hAnsi="Arial" w:cs="Arial"/>
                <w:lang w:val="es-ES"/>
              </w:rPr>
            </w:pPr>
            <w:r w:rsidRPr="005922D8">
              <w:rPr>
                <w:rFonts w:ascii="Arial" w:hAnsi="Arial" w:cs="Arial"/>
                <w:lang w:val="es-ES"/>
              </w:rPr>
              <w:t xml:space="preserve">Reunión 12 al 15 de </w:t>
            </w:r>
            <w:proofErr w:type="gramStart"/>
            <w:r w:rsidRPr="005922D8">
              <w:rPr>
                <w:rFonts w:ascii="Arial" w:hAnsi="Arial" w:cs="Arial"/>
                <w:lang w:val="es-ES"/>
              </w:rPr>
              <w:t>Octubre</w:t>
            </w:r>
            <w:proofErr w:type="gramEnd"/>
          </w:p>
          <w:p w14:paraId="2743FA45" w14:textId="25DD3F9F" w:rsidR="0095770E" w:rsidRPr="005922D8" w:rsidRDefault="0095770E" w:rsidP="0095770E">
            <w:pPr>
              <w:jc w:val="center"/>
              <w:rPr>
                <w:rFonts w:ascii="Arial" w:hAnsi="Arial" w:cs="Arial"/>
                <w:lang w:val="es-ES"/>
              </w:rPr>
            </w:pPr>
            <w:r w:rsidRPr="005922D8">
              <w:rPr>
                <w:rFonts w:ascii="Arial" w:hAnsi="Arial" w:cs="Arial"/>
                <w:lang w:val="es-ES"/>
              </w:rPr>
              <w:t>de 2016</w:t>
            </w:r>
          </w:p>
        </w:tc>
        <w:tc>
          <w:tcPr>
            <w:tcW w:w="6663" w:type="dxa"/>
          </w:tcPr>
          <w:p w14:paraId="571E6FB4" w14:textId="77777777" w:rsidR="0095770E"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t>Revisión de los avances del proceso de consulta y concertación.</w:t>
            </w:r>
          </w:p>
          <w:p w14:paraId="45B04014" w14:textId="77777777" w:rsidR="0095770E"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t>Definición del apoyo técnico y logístico para el desarrollo de la ruta metodológica.</w:t>
            </w:r>
          </w:p>
          <w:p w14:paraId="6D323ABB" w14:textId="77777777" w:rsidR="0095770E"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t>Revisión y definición de los perfiles y hojas de vida para la conformación del equipo técnico que acompañó la consulta.</w:t>
            </w:r>
          </w:p>
          <w:p w14:paraId="75E4FF02" w14:textId="7A6AC5C6" w:rsidR="0095770E" w:rsidRPr="005922D8" w:rsidRDefault="0095770E" w:rsidP="0095770E">
            <w:pPr>
              <w:spacing w:before="240"/>
              <w:ind w:left="465"/>
              <w:rPr>
                <w:rFonts w:ascii="Arial" w:hAnsi="Arial" w:cs="Arial"/>
                <w:lang w:val="es-ES"/>
              </w:rPr>
            </w:pPr>
          </w:p>
        </w:tc>
      </w:tr>
      <w:tr w:rsidR="0095770E" w:rsidRPr="005922D8" w14:paraId="25385568" w14:textId="77777777" w:rsidTr="0095770E">
        <w:tc>
          <w:tcPr>
            <w:tcW w:w="3119" w:type="dxa"/>
          </w:tcPr>
          <w:p w14:paraId="7FA8B3BD" w14:textId="77777777" w:rsidR="0095770E" w:rsidRPr="005922D8" w:rsidRDefault="0095770E" w:rsidP="0095770E">
            <w:pPr>
              <w:jc w:val="center"/>
              <w:rPr>
                <w:rFonts w:ascii="Arial" w:hAnsi="Arial" w:cs="Arial"/>
                <w:lang w:val="es-ES"/>
              </w:rPr>
            </w:pPr>
          </w:p>
          <w:p w14:paraId="6E7FB5E5" w14:textId="77777777" w:rsidR="0095770E" w:rsidRPr="005922D8" w:rsidRDefault="0095770E" w:rsidP="0095770E">
            <w:pPr>
              <w:jc w:val="center"/>
              <w:rPr>
                <w:rFonts w:ascii="Arial" w:hAnsi="Arial" w:cs="Arial"/>
                <w:lang w:val="es-ES"/>
              </w:rPr>
            </w:pPr>
          </w:p>
          <w:p w14:paraId="17919A82" w14:textId="77777777" w:rsidR="0095770E" w:rsidRPr="005922D8" w:rsidRDefault="0095770E" w:rsidP="0095770E">
            <w:pPr>
              <w:jc w:val="center"/>
              <w:rPr>
                <w:rFonts w:ascii="Arial" w:hAnsi="Arial" w:cs="Arial"/>
                <w:lang w:val="es-ES"/>
              </w:rPr>
            </w:pPr>
          </w:p>
          <w:p w14:paraId="7D314E38" w14:textId="347214B8" w:rsidR="0095770E" w:rsidRPr="005922D8" w:rsidRDefault="0095770E" w:rsidP="0095770E">
            <w:pPr>
              <w:jc w:val="center"/>
              <w:rPr>
                <w:rFonts w:ascii="Arial" w:hAnsi="Arial" w:cs="Arial"/>
                <w:lang w:val="es-ES"/>
              </w:rPr>
            </w:pPr>
            <w:r w:rsidRPr="005922D8">
              <w:rPr>
                <w:rFonts w:ascii="Arial" w:hAnsi="Arial" w:cs="Arial"/>
                <w:lang w:val="es-ES"/>
              </w:rPr>
              <w:t>Reunión 29 y 30 de octubre</w:t>
            </w:r>
          </w:p>
          <w:p w14:paraId="50AC2017" w14:textId="6792B992" w:rsidR="0095770E" w:rsidRPr="005922D8" w:rsidRDefault="0095770E" w:rsidP="0095770E">
            <w:pPr>
              <w:jc w:val="center"/>
              <w:rPr>
                <w:rFonts w:ascii="Arial" w:hAnsi="Arial" w:cs="Arial"/>
                <w:lang w:val="es-ES"/>
              </w:rPr>
            </w:pPr>
            <w:r w:rsidRPr="005922D8">
              <w:rPr>
                <w:rFonts w:ascii="Arial" w:hAnsi="Arial" w:cs="Arial"/>
                <w:lang w:val="es-ES"/>
              </w:rPr>
              <w:t>de 2016</w:t>
            </w:r>
          </w:p>
        </w:tc>
        <w:tc>
          <w:tcPr>
            <w:tcW w:w="6663" w:type="dxa"/>
          </w:tcPr>
          <w:p w14:paraId="201AB69C" w14:textId="77777777" w:rsidR="0095770E"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t>Planificación de la estrategia de la metodología de la convocatoria a las asambleas departamentales.</w:t>
            </w:r>
          </w:p>
          <w:p w14:paraId="26FC4A04" w14:textId="77777777" w:rsidR="0095770E" w:rsidRPr="005922D8" w:rsidRDefault="0095770E" w:rsidP="0095770E">
            <w:pPr>
              <w:numPr>
                <w:ilvl w:val="0"/>
                <w:numId w:val="18"/>
              </w:numPr>
              <w:spacing w:before="240"/>
              <w:jc w:val="center"/>
              <w:rPr>
                <w:rFonts w:ascii="Arial" w:hAnsi="Arial" w:cs="Arial"/>
                <w:lang w:val="es-ES"/>
              </w:rPr>
            </w:pPr>
            <w:r w:rsidRPr="005922D8">
              <w:rPr>
                <w:rFonts w:ascii="Arial" w:hAnsi="Arial" w:cs="Arial"/>
                <w:lang w:val="es-ES"/>
              </w:rPr>
              <w:t>Continuación de la revisión, análisis y ajuste del cuestionario censal. El cuestionario se presentó por parte del DANE.</w:t>
            </w:r>
          </w:p>
          <w:p w14:paraId="7657E6A6" w14:textId="3B04173D" w:rsidR="0095770E" w:rsidRPr="005922D8" w:rsidRDefault="0095770E" w:rsidP="0095770E">
            <w:pPr>
              <w:spacing w:before="240"/>
              <w:ind w:left="465"/>
              <w:rPr>
                <w:rFonts w:ascii="Arial" w:hAnsi="Arial" w:cs="Arial"/>
                <w:lang w:val="es-ES"/>
              </w:rPr>
            </w:pPr>
          </w:p>
        </w:tc>
      </w:tr>
    </w:tbl>
    <w:p w14:paraId="7AB332D2" w14:textId="77777777" w:rsidR="00F941F5" w:rsidRPr="005922D8" w:rsidRDefault="00F941F5" w:rsidP="00F941F5">
      <w:pPr>
        <w:jc w:val="both"/>
        <w:rPr>
          <w:rFonts w:ascii="Arial" w:hAnsi="Arial" w:cs="Arial"/>
          <w:lang w:val="es-ES"/>
        </w:rPr>
      </w:pPr>
      <w:r w:rsidRPr="005922D8">
        <w:rPr>
          <w:rFonts w:ascii="Arial" w:hAnsi="Arial" w:cs="Arial"/>
          <w:lang w:val="es-ES"/>
        </w:rPr>
        <w:t>Fuente: Dirección de Censos y Demografía, DANE</w:t>
      </w:r>
    </w:p>
    <w:p w14:paraId="40687AA8" w14:textId="77777777" w:rsidR="00F941F5" w:rsidRPr="005922D8" w:rsidRDefault="00F941F5" w:rsidP="00F941F5">
      <w:pPr>
        <w:jc w:val="both"/>
        <w:rPr>
          <w:rFonts w:ascii="Arial" w:hAnsi="Arial" w:cs="Arial"/>
          <w:lang w:val="es-ES"/>
        </w:rPr>
      </w:pPr>
    </w:p>
    <w:p w14:paraId="03364E62" w14:textId="77777777" w:rsidR="00F941F5" w:rsidRPr="005922D8" w:rsidRDefault="00F941F5" w:rsidP="00F941F5">
      <w:pPr>
        <w:numPr>
          <w:ilvl w:val="1"/>
          <w:numId w:val="2"/>
        </w:numPr>
        <w:jc w:val="both"/>
        <w:rPr>
          <w:rFonts w:ascii="Arial" w:hAnsi="Arial" w:cs="Arial"/>
          <w:b/>
          <w:bCs/>
          <w:i/>
          <w:lang w:val="es-ES"/>
        </w:rPr>
      </w:pPr>
      <w:r w:rsidRPr="005922D8">
        <w:rPr>
          <w:rFonts w:ascii="Arial" w:hAnsi="Arial" w:cs="Arial"/>
          <w:b/>
          <w:bCs/>
          <w:i/>
          <w:lang w:val="es-ES"/>
        </w:rPr>
        <w:t>Espacios</w:t>
      </w:r>
      <w:r w:rsidRPr="005922D8">
        <w:rPr>
          <w:rFonts w:ascii="Arial" w:hAnsi="Arial" w:cs="Arial"/>
          <w:i/>
          <w:lang w:val="es-ES"/>
        </w:rPr>
        <w:t xml:space="preserve"> </w:t>
      </w:r>
      <w:r w:rsidRPr="005922D8">
        <w:rPr>
          <w:rFonts w:ascii="Arial" w:hAnsi="Arial" w:cs="Arial"/>
          <w:b/>
          <w:bCs/>
          <w:i/>
          <w:lang w:val="es-ES"/>
        </w:rPr>
        <w:t>Departamentales (Realizados durante la fase precensal) con la participaron de líderes de diferentes expresiones organizativas de esta población y convocados en su autonomía, por su espacio de representación nacional:</w:t>
      </w:r>
    </w:p>
    <w:p w14:paraId="41BC6A92" w14:textId="77777777" w:rsidR="00F941F5" w:rsidRPr="005922D8" w:rsidRDefault="00F941F5" w:rsidP="00F941F5">
      <w:pPr>
        <w:jc w:val="both"/>
        <w:rPr>
          <w:rFonts w:ascii="Arial" w:hAnsi="Arial" w:cs="Arial"/>
          <w:lang w:val="es-ES"/>
        </w:rPr>
      </w:pPr>
      <w:r w:rsidRPr="005922D8">
        <w:rPr>
          <w:rFonts w:ascii="Arial" w:hAnsi="Arial" w:cs="Arial"/>
          <w:lang w:val="es-ES"/>
        </w:rPr>
        <w:t>Se realizaron 33 espacios departamentales durante el proceso de consulta y concertación con la población negra, afrocolombiana, raizal y palenquera, abarcando la totalidad del país. La duración de estos espacios fue de 1 a 2 días, de acuerdo con la complejidad del escenario. Asistieron representantes de los consejos comunitarios, las organizaciones de base y demás expresiones organizativas de las comunidades negras, afrocolombianas, raizales y palenqueras, citadas en su autonomía por los delegados de cada departamento, y con el fin de garantizar la interlocución efectiva con las comunidades y su participación en el proceso de consulta.</w:t>
      </w:r>
    </w:p>
    <w:p w14:paraId="6D0664FC" w14:textId="77777777" w:rsidR="00F941F5" w:rsidRPr="005922D8" w:rsidRDefault="00F941F5" w:rsidP="00F941F5">
      <w:pPr>
        <w:jc w:val="both"/>
        <w:rPr>
          <w:rFonts w:ascii="Arial" w:hAnsi="Arial" w:cs="Arial"/>
          <w:lang w:val="es-ES"/>
        </w:rPr>
      </w:pPr>
      <w:r w:rsidRPr="005922D8">
        <w:rPr>
          <w:rFonts w:ascii="Arial" w:hAnsi="Arial" w:cs="Arial"/>
          <w:lang w:val="es-ES"/>
        </w:rPr>
        <w:t>Durante su realización se presentó el CNPV 2018, el proceso de consulta y concertación, y se socializaron y retroalimentaron el cuestionario y los procesos censales. En total participaron aproximadamente 4.200 líderes de las comunidades.</w:t>
      </w:r>
    </w:p>
    <w:p w14:paraId="6FA4DDB0" w14:textId="77777777" w:rsidR="00F941F5" w:rsidRPr="005922D8" w:rsidRDefault="00F941F5" w:rsidP="00F941F5">
      <w:pPr>
        <w:jc w:val="both"/>
        <w:rPr>
          <w:rFonts w:ascii="Arial" w:hAnsi="Arial" w:cs="Arial"/>
          <w:lang w:val="es-ES"/>
        </w:rPr>
      </w:pPr>
      <w:r w:rsidRPr="005922D8">
        <w:rPr>
          <w:rFonts w:ascii="Arial" w:hAnsi="Arial" w:cs="Arial"/>
          <w:lang w:val="es-ES"/>
        </w:rPr>
        <w:t>De acuerdo con los aspectos definidos en la ruta metodológica para el proceso de consulta y concertación con las comunidades negras, afrocolombianas, raizales y palenqueras, se planearon y desarrollaron treinta y dos (32) Asambleas Departamentales y una (1) en el Distrito Capital. Las reuniones se desarrollaron de la siguiente manera:</w:t>
      </w:r>
    </w:p>
    <w:p w14:paraId="13827885" w14:textId="77777777" w:rsidR="00F941F5" w:rsidRPr="005922D8" w:rsidRDefault="00F941F5" w:rsidP="00F941F5">
      <w:pPr>
        <w:numPr>
          <w:ilvl w:val="0"/>
          <w:numId w:val="8"/>
        </w:numPr>
        <w:jc w:val="both"/>
        <w:rPr>
          <w:rFonts w:ascii="Arial" w:hAnsi="Arial" w:cs="Arial"/>
          <w:lang w:val="es-ES"/>
        </w:rPr>
      </w:pPr>
      <w:r w:rsidRPr="005922D8">
        <w:rPr>
          <w:rFonts w:ascii="Arial" w:hAnsi="Arial" w:cs="Arial"/>
          <w:i/>
          <w:lang w:val="es-ES"/>
        </w:rPr>
        <w:t>Presentación de los objetivos de la Asamblea</w:t>
      </w:r>
      <w:r w:rsidRPr="005922D8">
        <w:rPr>
          <w:rFonts w:ascii="Arial" w:hAnsi="Arial" w:cs="Arial"/>
          <w:lang w:val="es-ES"/>
        </w:rPr>
        <w:t>. Este momento tenía como finalidad presentar a los asistentes los propósitos de la asamblea, socializar el contenido del formulario censal y recoger aportes acerca del cuestionario, especialmente la pregunta de autorreconocimiento étnico para comunidades Negras, Afrocolombianas, Raizales y Palenqueras, así como la pregunta de territorialidad étnica; de igual manera, se buscaba socializar los aportes sobre los procesos censales.</w:t>
      </w:r>
    </w:p>
    <w:p w14:paraId="0F564569" w14:textId="77777777" w:rsidR="00F941F5" w:rsidRPr="005922D8" w:rsidRDefault="00F941F5" w:rsidP="00F941F5">
      <w:pPr>
        <w:numPr>
          <w:ilvl w:val="0"/>
          <w:numId w:val="8"/>
        </w:numPr>
        <w:jc w:val="both"/>
        <w:rPr>
          <w:rFonts w:ascii="Arial" w:hAnsi="Arial" w:cs="Arial"/>
          <w:lang w:val="es-ES"/>
        </w:rPr>
      </w:pPr>
      <w:r w:rsidRPr="005922D8">
        <w:rPr>
          <w:rFonts w:ascii="Arial" w:hAnsi="Arial" w:cs="Arial"/>
          <w:i/>
          <w:lang w:val="es-ES"/>
        </w:rPr>
        <w:t>Presentación de la metodología</w:t>
      </w:r>
      <w:r w:rsidRPr="005922D8">
        <w:rPr>
          <w:rFonts w:ascii="Arial" w:hAnsi="Arial" w:cs="Arial"/>
          <w:lang w:val="es-ES"/>
        </w:rPr>
        <w:t>. Durante este momento se especificaban las fases metodológicas de la asamblea:</w:t>
      </w:r>
    </w:p>
    <w:p w14:paraId="7BB17E5E" w14:textId="77777777" w:rsidR="00F941F5" w:rsidRPr="005922D8" w:rsidRDefault="00F941F5" w:rsidP="006F0F71">
      <w:pPr>
        <w:numPr>
          <w:ilvl w:val="1"/>
          <w:numId w:val="8"/>
        </w:numPr>
        <w:spacing w:after="0"/>
        <w:jc w:val="both"/>
        <w:rPr>
          <w:rFonts w:ascii="Arial" w:hAnsi="Arial" w:cs="Arial"/>
          <w:lang w:val="es-ES"/>
        </w:rPr>
      </w:pPr>
      <w:r w:rsidRPr="005922D8">
        <w:rPr>
          <w:rFonts w:ascii="Arial" w:hAnsi="Arial" w:cs="Arial"/>
          <w:lang w:val="es-ES"/>
        </w:rPr>
        <w:t xml:space="preserve">Exposición sobre el CNPV 2018, </w:t>
      </w:r>
      <w:proofErr w:type="gramStart"/>
      <w:r w:rsidRPr="005922D8">
        <w:rPr>
          <w:rFonts w:ascii="Arial" w:hAnsi="Arial" w:cs="Arial"/>
          <w:lang w:val="es-ES"/>
        </w:rPr>
        <w:t>cuestionario censal y procesos censales</w:t>
      </w:r>
      <w:proofErr w:type="gramEnd"/>
      <w:r w:rsidRPr="005922D8">
        <w:rPr>
          <w:rFonts w:ascii="Arial" w:hAnsi="Arial" w:cs="Arial"/>
          <w:lang w:val="es-ES"/>
        </w:rPr>
        <w:t>.</w:t>
      </w:r>
    </w:p>
    <w:p w14:paraId="6349E950" w14:textId="77777777" w:rsidR="00F941F5" w:rsidRPr="005922D8" w:rsidRDefault="00F941F5" w:rsidP="006F0F71">
      <w:pPr>
        <w:numPr>
          <w:ilvl w:val="1"/>
          <w:numId w:val="8"/>
        </w:numPr>
        <w:spacing w:after="0"/>
        <w:jc w:val="both"/>
        <w:rPr>
          <w:rFonts w:ascii="Arial" w:hAnsi="Arial" w:cs="Arial"/>
          <w:lang w:val="es-ES"/>
        </w:rPr>
      </w:pPr>
      <w:r w:rsidRPr="005922D8">
        <w:rPr>
          <w:rFonts w:ascii="Arial" w:hAnsi="Arial" w:cs="Arial"/>
          <w:lang w:val="es-ES"/>
        </w:rPr>
        <w:t>Trabajo en espacios autónomos por parte de las comunidades.</w:t>
      </w:r>
    </w:p>
    <w:p w14:paraId="258883FF" w14:textId="77777777" w:rsidR="00F941F5" w:rsidRPr="005922D8" w:rsidRDefault="00F941F5" w:rsidP="006F0F71">
      <w:pPr>
        <w:numPr>
          <w:ilvl w:val="1"/>
          <w:numId w:val="8"/>
        </w:numPr>
        <w:spacing w:after="0"/>
        <w:jc w:val="both"/>
        <w:rPr>
          <w:rFonts w:ascii="Arial" w:hAnsi="Arial" w:cs="Arial"/>
          <w:lang w:val="es-ES"/>
        </w:rPr>
      </w:pPr>
      <w:r w:rsidRPr="005922D8">
        <w:rPr>
          <w:rFonts w:ascii="Arial" w:hAnsi="Arial" w:cs="Arial"/>
          <w:lang w:val="es-ES"/>
        </w:rPr>
        <w:t>Socialización de aportes a la Asamblea general y entrega por escrito de las relatorías de los grupos de trabajo.</w:t>
      </w:r>
    </w:p>
    <w:p w14:paraId="013C90A0" w14:textId="77777777" w:rsidR="00F941F5" w:rsidRPr="005922D8" w:rsidRDefault="00F941F5" w:rsidP="00F941F5">
      <w:pPr>
        <w:numPr>
          <w:ilvl w:val="1"/>
          <w:numId w:val="8"/>
        </w:numPr>
        <w:jc w:val="both"/>
        <w:rPr>
          <w:rFonts w:ascii="Arial" w:hAnsi="Arial" w:cs="Arial"/>
          <w:lang w:val="es-ES"/>
        </w:rPr>
      </w:pPr>
      <w:r w:rsidRPr="005922D8">
        <w:rPr>
          <w:rFonts w:ascii="Arial" w:hAnsi="Arial" w:cs="Arial"/>
          <w:lang w:val="es-ES"/>
        </w:rPr>
        <w:t>Cierre.</w:t>
      </w:r>
    </w:p>
    <w:p w14:paraId="0A3AF504" w14:textId="77777777" w:rsidR="00F941F5" w:rsidRPr="005922D8" w:rsidRDefault="00F941F5" w:rsidP="00F941F5">
      <w:pPr>
        <w:numPr>
          <w:ilvl w:val="0"/>
          <w:numId w:val="8"/>
        </w:numPr>
        <w:jc w:val="both"/>
        <w:rPr>
          <w:rFonts w:ascii="Arial" w:hAnsi="Arial" w:cs="Arial"/>
          <w:lang w:val="es-ES"/>
        </w:rPr>
      </w:pPr>
      <w:r w:rsidRPr="005922D8">
        <w:rPr>
          <w:rFonts w:ascii="Arial" w:hAnsi="Arial" w:cs="Arial"/>
          <w:i/>
          <w:lang w:val="es-ES"/>
        </w:rPr>
        <w:lastRenderedPageBreak/>
        <w:t xml:space="preserve">Presentación y explicación del contenido de los módulos que conforman el cuestionario censal. </w:t>
      </w:r>
      <w:r w:rsidRPr="005922D8">
        <w:rPr>
          <w:rFonts w:ascii="Arial" w:hAnsi="Arial" w:cs="Arial"/>
          <w:lang w:val="es-ES"/>
        </w:rPr>
        <w:t>Presentación del DANE, su misión, la importancia del Censo y de la participación de las comunidades; presentación de los conceptos fundamentales que guían la operación censal, presentación de los módulos con sus preguntas, con énfasis en las preguntas de auto reconocimiento y territorialidad étnica.</w:t>
      </w:r>
    </w:p>
    <w:p w14:paraId="12D64EA5" w14:textId="77777777" w:rsidR="00F941F5" w:rsidRPr="005922D8" w:rsidRDefault="00F941F5" w:rsidP="00F941F5">
      <w:pPr>
        <w:numPr>
          <w:ilvl w:val="0"/>
          <w:numId w:val="8"/>
        </w:numPr>
        <w:jc w:val="both"/>
        <w:rPr>
          <w:rFonts w:ascii="Arial" w:hAnsi="Arial" w:cs="Arial"/>
          <w:lang w:val="es-ES"/>
        </w:rPr>
      </w:pPr>
      <w:r w:rsidRPr="005922D8">
        <w:rPr>
          <w:rFonts w:ascii="Arial" w:hAnsi="Arial" w:cs="Arial"/>
          <w:i/>
          <w:lang w:val="es-ES"/>
        </w:rPr>
        <w:t>Preguntas por parte de los asistentes</w:t>
      </w:r>
      <w:r w:rsidRPr="005922D8">
        <w:rPr>
          <w:rFonts w:ascii="Arial" w:hAnsi="Arial" w:cs="Arial"/>
          <w:lang w:val="es-ES"/>
        </w:rPr>
        <w:t>. Una vez finalizada la presentación, los participantes formulaban las preguntas y las entregaban por escrito. Por parte del DANE se respondían aquellas que eran de su competencia y otras preguntas eran respondidas por los delegados departamentales.</w:t>
      </w:r>
    </w:p>
    <w:p w14:paraId="4293C3E8" w14:textId="77777777" w:rsidR="00F941F5" w:rsidRPr="005922D8" w:rsidRDefault="00F941F5" w:rsidP="00F941F5">
      <w:pPr>
        <w:numPr>
          <w:ilvl w:val="0"/>
          <w:numId w:val="8"/>
        </w:numPr>
        <w:jc w:val="both"/>
        <w:rPr>
          <w:rFonts w:ascii="Arial" w:hAnsi="Arial" w:cs="Arial"/>
          <w:lang w:val="es-ES"/>
        </w:rPr>
      </w:pPr>
      <w:r w:rsidRPr="005922D8">
        <w:rPr>
          <w:rFonts w:ascii="Arial" w:hAnsi="Arial" w:cs="Arial"/>
          <w:i/>
          <w:lang w:val="es-ES"/>
        </w:rPr>
        <w:t xml:space="preserve">Trabajo en espacios autónomos. </w:t>
      </w:r>
      <w:r w:rsidRPr="005922D8">
        <w:rPr>
          <w:rFonts w:ascii="Arial" w:hAnsi="Arial" w:cs="Arial"/>
          <w:lang w:val="es-ES"/>
        </w:rPr>
        <w:t>Los participantes se organizaron en grupos para socializar y realizar aportes para la construcción de las preguntas del formulario censal, con énfasis en las preguntas de autorreconocimiento y territorialidad étnica. Para el desarrollo del trabajo cada grupo seleccionaba un moderador y un relator, quienes documentaban los aportes por escrito y los presentaban a la Plenaria.</w:t>
      </w:r>
    </w:p>
    <w:p w14:paraId="39CF60B4" w14:textId="77777777" w:rsidR="00F941F5" w:rsidRPr="005922D8" w:rsidRDefault="00F941F5" w:rsidP="00F941F5">
      <w:pPr>
        <w:numPr>
          <w:ilvl w:val="0"/>
          <w:numId w:val="8"/>
        </w:numPr>
        <w:jc w:val="both"/>
        <w:rPr>
          <w:rFonts w:ascii="Arial" w:hAnsi="Arial" w:cs="Arial"/>
          <w:lang w:val="es-ES"/>
        </w:rPr>
      </w:pPr>
      <w:r w:rsidRPr="005922D8">
        <w:rPr>
          <w:rFonts w:ascii="Arial" w:hAnsi="Arial" w:cs="Arial"/>
          <w:i/>
          <w:lang w:val="es-ES"/>
        </w:rPr>
        <w:t xml:space="preserve">Socialización y cierre. </w:t>
      </w:r>
      <w:r w:rsidRPr="005922D8">
        <w:rPr>
          <w:rFonts w:ascii="Arial" w:hAnsi="Arial" w:cs="Arial"/>
          <w:lang w:val="es-ES"/>
        </w:rPr>
        <w:t>Los moderadores de cada grupo socializaban sus aportes y consideraciones ante la asamblea y las entregaban por escrito al comité organizador.</w:t>
      </w:r>
    </w:p>
    <w:p w14:paraId="7BAF92E5" w14:textId="77777777" w:rsidR="00F941F5" w:rsidRPr="005922D8" w:rsidRDefault="00F941F5" w:rsidP="00F941F5">
      <w:pPr>
        <w:jc w:val="both"/>
        <w:rPr>
          <w:rFonts w:ascii="Arial" w:hAnsi="Arial" w:cs="Arial"/>
          <w:b/>
          <w:bCs/>
          <w:lang w:val="es-ES"/>
        </w:rPr>
      </w:pPr>
      <w:r w:rsidRPr="005922D8">
        <w:rPr>
          <w:rFonts w:ascii="Arial" w:hAnsi="Arial" w:cs="Arial"/>
          <w:b/>
          <w:bCs/>
          <w:u w:val="single"/>
          <w:lang w:val="es-ES"/>
        </w:rPr>
        <w:t>Acciones del DANE, a partir de las convocatorias realizadas por diferentes formas y expresiones organizativas</w:t>
      </w:r>
    </w:p>
    <w:p w14:paraId="28FC1A34" w14:textId="77777777" w:rsidR="00F941F5" w:rsidRPr="005922D8" w:rsidRDefault="00F941F5" w:rsidP="00F941F5">
      <w:pPr>
        <w:jc w:val="both"/>
        <w:rPr>
          <w:rFonts w:ascii="Arial" w:hAnsi="Arial" w:cs="Arial"/>
          <w:lang w:val="es-ES"/>
        </w:rPr>
      </w:pPr>
      <w:r w:rsidRPr="005922D8">
        <w:rPr>
          <w:rFonts w:ascii="Arial" w:hAnsi="Arial" w:cs="Arial"/>
          <w:lang w:val="es-ES"/>
        </w:rPr>
        <w:t xml:space="preserve">El DANE, con gran respeto por las diferentes formas organizativas de la población negra, afrocolombiana, raizal y palenquera, ha asistido en cabeza de su </w:t>
      </w:r>
      <w:proofErr w:type="gramStart"/>
      <w:r w:rsidRPr="005922D8">
        <w:rPr>
          <w:rFonts w:ascii="Arial" w:hAnsi="Arial" w:cs="Arial"/>
          <w:lang w:val="es-ES"/>
        </w:rPr>
        <w:t>Director</w:t>
      </w:r>
      <w:proofErr w:type="gramEnd"/>
      <w:r w:rsidRPr="005922D8">
        <w:rPr>
          <w:rFonts w:ascii="Arial" w:hAnsi="Arial" w:cs="Arial"/>
          <w:lang w:val="es-ES"/>
        </w:rPr>
        <w:t xml:space="preserve"> y Subdirector a los espacios en los cuales ha sido convocado, para dar explicaciones sobre los resultados del Censo Nacional de Población y Vivienda 2018. No obstante, es preciso recordar que cualquier decisión que se tome en relación con estos grupos étnicos y que los afecte directamente, debe ser objeto de consulta y/o concertación en el Espacio Nacional de Consulta Previa de las medidas legislativas y administrativas de carácter general, susceptibles de afectar directamente a las comunidades negras, afrocolombianas, raizales y palenqueras, (Ley 21 de 1991 y Decreto 1372 de agosto de 2018) o en la Consultiva de Alto Nivel, Decreto 1640 de 2020.</w:t>
      </w:r>
    </w:p>
    <w:p w14:paraId="2FD332C7" w14:textId="77777777" w:rsidR="00F941F5" w:rsidRPr="005922D8" w:rsidRDefault="00F941F5" w:rsidP="00F941F5">
      <w:pPr>
        <w:jc w:val="both"/>
        <w:rPr>
          <w:rFonts w:ascii="Arial" w:hAnsi="Arial" w:cs="Arial"/>
          <w:lang w:val="es-ES"/>
        </w:rPr>
      </w:pPr>
      <w:r w:rsidRPr="005922D8">
        <w:rPr>
          <w:rFonts w:ascii="Arial" w:hAnsi="Arial" w:cs="Arial"/>
          <w:lang w:val="es-ES"/>
        </w:rPr>
        <w:t>El DANE ha invitado permanentemente a las diferentes expresiones organizativas de estas comunidades étnicas, a los gobiernos nacional, departamentales, distritales y municipales, a trabajar de manera articulada con este departamento, para hacer uso de la información estadística con la que se cuenta para la población negra, afrocolombiana, afrodescendiente, mulata, raizal y palenquera, especialmente para el diseño de política pública con enfoque diferencial y a favor de sus derechos.</w:t>
      </w:r>
    </w:p>
    <w:p w14:paraId="14AE9559" w14:textId="77777777" w:rsidR="00F941F5" w:rsidRPr="005922D8" w:rsidRDefault="00F941F5" w:rsidP="00F941F5">
      <w:pPr>
        <w:jc w:val="both"/>
        <w:rPr>
          <w:rFonts w:ascii="Arial" w:hAnsi="Arial" w:cs="Arial"/>
          <w:lang w:val="es-ES"/>
        </w:rPr>
      </w:pPr>
      <w:r w:rsidRPr="005922D8">
        <w:rPr>
          <w:rFonts w:ascii="Arial" w:hAnsi="Arial" w:cs="Arial"/>
          <w:lang w:val="es-ES"/>
        </w:rPr>
        <w:t>Así mismo, se reitera que en ningún momento ha habido un interés deliberado del gobierno nacional, o de esta institución, por invisibilizar a la población negra, afrocolombiana, raizal y palenqueras. Por lo contrario, a través de diferentes acciones realizadas en la etapa poscensal y del mismo proceso de consulta previa del CNPV 2018, en el que Colombina ha sido pionero, se evidencia como el Estado, viene fortaleciendo el enfoque diferencial e interseccional en las diferentes operaciones estadísticas.</w:t>
      </w:r>
    </w:p>
    <w:p w14:paraId="1D58B562" w14:textId="77777777" w:rsidR="00F941F5" w:rsidRPr="005922D8" w:rsidRDefault="00F941F5" w:rsidP="00F941F5">
      <w:pPr>
        <w:jc w:val="both"/>
        <w:rPr>
          <w:rFonts w:ascii="Arial" w:hAnsi="Arial" w:cs="Arial"/>
          <w:lang w:val="es-ES"/>
        </w:rPr>
      </w:pPr>
      <w:r w:rsidRPr="005922D8">
        <w:rPr>
          <w:rFonts w:ascii="Arial" w:hAnsi="Arial" w:cs="Arial"/>
          <w:lang w:val="es-ES"/>
        </w:rPr>
        <w:lastRenderedPageBreak/>
        <w:t xml:space="preserve">Entre 2019 y 2022, el DANE atendió y convocó escenarios de sensibilización de las cifras de la población obtenidas a partir del CNPV 2018 y de las estimaciones realizadas para los grupos étnicos. En estas reuniones no solamente han tenido lugar en la ciudad de Bogotá, sino que se han llevado a cabo en diversos municipios como Quibdó -Chocó, Buenaventura y Cali en el Valle del Cauca, con lo cual se busca dar un enfoque territorial a los ejercicios de divulgación. Al tiempo, se han desarrollado sesiones virtuales para facilitar la participación de diversos actores sociales: congresistas de la bancada afro, funcionarios de entidades territoriales y líderes de movimientos afro, así como organizaciones gubernamentales del orden regional y local. Y se han atendido las invitaciones de los dos espacio nacionales, que en el marco de la Ley, funcionan como instancia mixta de diálogo e interlocución: Comisión Consultiva de Alto Nivel de las Comunidades Negras, Afrocolombianas, Raizales y Palenqueras, prevista en el artículo </w:t>
      </w:r>
      <w:hyperlink r:id="rId10">
        <w:r w:rsidRPr="005922D8">
          <w:rPr>
            <w:rStyle w:val="Hipervnculo"/>
            <w:rFonts w:ascii="Arial" w:hAnsi="Arial" w:cs="Arial"/>
            <w:lang w:val="es-ES"/>
          </w:rPr>
          <w:t xml:space="preserve">45 </w:t>
        </w:r>
      </w:hyperlink>
      <w:r w:rsidRPr="005922D8">
        <w:rPr>
          <w:rFonts w:ascii="Arial" w:hAnsi="Arial" w:cs="Arial"/>
          <w:lang w:val="es-ES"/>
        </w:rPr>
        <w:t>de la Ley 70 de 1993 y cómo instancia de consulta previa: Espacio Nacional de Consulta Previa de las medidas legislativas y administrativas de carácter general, susceptibles de afectar directamente a las comunidades negras, afrocolombianas, raizales y palenqueras.</w:t>
      </w:r>
    </w:p>
    <w:p w14:paraId="187D3F1F" w14:textId="09F2CAF1" w:rsidR="00F941F5" w:rsidRPr="005922D8" w:rsidRDefault="00F941F5" w:rsidP="00F941F5">
      <w:pPr>
        <w:jc w:val="both"/>
        <w:rPr>
          <w:rFonts w:ascii="Arial" w:hAnsi="Arial" w:cs="Arial"/>
          <w:lang w:val="es-ES"/>
        </w:rPr>
      </w:pPr>
      <w:r w:rsidRPr="005922D8">
        <w:rPr>
          <w:rFonts w:ascii="Arial" w:hAnsi="Arial" w:cs="Arial"/>
          <w:lang w:val="es-ES"/>
        </w:rPr>
        <w:t>En estas reuniones se ha reiterado la oficialidad del volumen población de quienes se autorreconocen como negros, afrocolombianos, afrodescendientes, mulatos, raizales y palenqueros en 4.671.160 personas para el año 2018; la oficialidad de la declaración censal para esta población, solo en materia de estructuras demográficas e indicadores sociales. Igualmente, se han socializado las cifras con desagregación a nivel departamental y municipal. En los distintos escenarios de trabajo con entidades territoriales del orden municipal y departamental, así como a nivel de ministerios a través de oficios, se han venido divulgando los resultados de la estimación con el fin de que sean utilizados en la toma de decisiones públicas.</w:t>
      </w:r>
    </w:p>
    <w:p w14:paraId="01A51487" w14:textId="77777777" w:rsidR="00F941F5" w:rsidRPr="005922D8" w:rsidRDefault="00F941F5" w:rsidP="00F941F5">
      <w:pPr>
        <w:jc w:val="both"/>
        <w:rPr>
          <w:rFonts w:ascii="Arial" w:hAnsi="Arial" w:cs="Arial"/>
          <w:b/>
          <w:bCs/>
          <w:lang w:val="es-ES"/>
        </w:rPr>
      </w:pPr>
      <w:r w:rsidRPr="005922D8">
        <w:rPr>
          <w:rFonts w:ascii="Arial" w:hAnsi="Arial" w:cs="Arial"/>
          <w:b/>
          <w:bCs/>
          <w:lang w:val="es-ES"/>
        </w:rPr>
        <w:t>Acciones del Estado Colombiano para la visibilización estadística de la población negra, afrocolombiana, raizal y palenquera en respuesta a las diferencias evidenciadas en los resultados del Censo Nacional de población y vivienda 2018 y el Censo General 2005.</w:t>
      </w:r>
    </w:p>
    <w:p w14:paraId="6453368A" w14:textId="1149AE9E" w:rsidR="00F941F5" w:rsidRPr="005922D8" w:rsidRDefault="002B48B2" w:rsidP="00F941F5">
      <w:pPr>
        <w:jc w:val="both"/>
        <w:rPr>
          <w:rFonts w:ascii="Arial" w:hAnsi="Arial" w:cs="Arial"/>
          <w:lang w:val="es-ES"/>
        </w:rPr>
      </w:pPr>
      <w:r w:rsidRPr="005922D8">
        <w:rPr>
          <w:rFonts w:ascii="Arial" w:hAnsi="Arial" w:cs="Arial"/>
          <w:lang w:val="es-ES"/>
        </w:rPr>
        <w:t>A continuación, se detallarán las acciones realizadas por el gobierno nacional, a través del DANE, en su compromiso por la visibilización estadística de la población negra, afrocolombiana, raizal y palenquera y para dar respuesta a las diferencias evidenciadas en los resultados del Censo Nacional de población y vivienda 2018 y el Censo General 2005:</w:t>
      </w:r>
    </w:p>
    <w:tbl>
      <w:tblPr>
        <w:tblStyle w:val="Tablaconcuadrcula"/>
        <w:tblW w:w="0" w:type="auto"/>
        <w:tblLook w:val="04A0" w:firstRow="1" w:lastRow="0" w:firstColumn="1" w:lastColumn="0" w:noHBand="0" w:noVBand="1"/>
      </w:tblPr>
      <w:tblGrid>
        <w:gridCol w:w="8828"/>
      </w:tblGrid>
      <w:tr w:rsidR="006F0F71" w:rsidRPr="005922D8" w14:paraId="76486ACB" w14:textId="77777777" w:rsidTr="006F0F71">
        <w:tc>
          <w:tcPr>
            <w:tcW w:w="8828" w:type="dxa"/>
            <w:shd w:val="clear" w:color="auto" w:fill="E7E6E6" w:themeFill="background2"/>
          </w:tcPr>
          <w:p w14:paraId="3F673AD2" w14:textId="53323CDA" w:rsidR="006F0F71" w:rsidRPr="005922D8" w:rsidRDefault="006F0F71" w:rsidP="00F941F5">
            <w:pPr>
              <w:jc w:val="both"/>
              <w:rPr>
                <w:rFonts w:ascii="Arial" w:hAnsi="Arial" w:cs="Arial"/>
                <w:lang w:val="es-ES"/>
              </w:rPr>
            </w:pPr>
            <w:r w:rsidRPr="005922D8">
              <w:rPr>
                <w:rFonts w:ascii="Arial" w:hAnsi="Arial" w:cs="Arial"/>
                <w:b/>
                <w:lang w:val="es-ES"/>
              </w:rPr>
              <w:t xml:space="preserve">Acción: </w:t>
            </w:r>
            <w:r w:rsidRPr="005922D8">
              <w:rPr>
                <w:rFonts w:ascii="Arial" w:hAnsi="Arial" w:cs="Arial"/>
                <w:lang w:val="es-ES"/>
              </w:rPr>
              <w:t>El Gobierno nacional se comprometió con la profundización del marco muestral de la Encuesta Nacional de Calidad de Vida del año 2018, la cual como encuesta poscensal, permitió la estimación del volumen poblacional de las personas que se autorreconocen como negras, afrocolombianas, afrodescendientes, mulatas, palenqueras y raizales.</w:t>
            </w:r>
            <w:r w:rsidRPr="005922D8">
              <w:rPr>
                <w:rStyle w:val="Refdenotaalpie"/>
                <w:rFonts w:ascii="Arial" w:hAnsi="Arial" w:cs="Arial"/>
                <w:lang w:val="es-ES"/>
              </w:rPr>
              <w:footnoteReference w:id="5"/>
            </w:r>
          </w:p>
        </w:tc>
      </w:tr>
    </w:tbl>
    <w:p w14:paraId="16DB4F2B" w14:textId="1CD31BC6" w:rsidR="002B48B2" w:rsidRPr="005922D8" w:rsidRDefault="002B48B2" w:rsidP="002B48B2">
      <w:pPr>
        <w:spacing w:before="240"/>
        <w:jc w:val="both"/>
        <w:rPr>
          <w:rFonts w:ascii="Arial" w:hAnsi="Arial" w:cs="Arial"/>
          <w:lang w:val="es-ES"/>
        </w:rPr>
      </w:pPr>
      <w:r w:rsidRPr="005922D8">
        <w:rPr>
          <w:rFonts w:ascii="Arial" w:hAnsi="Arial" w:cs="Arial"/>
          <w:lang w:val="es-ES"/>
        </w:rPr>
        <w:t xml:space="preserve">Dada la importancia de reconocer las brechas sociales y económicas con enfoque étnico y territorial, el Gobierno Nacional se comprometió con la profundización del marco muestral de la Encuesta Nacional de Calidad de Vida, la cual desde finales de 2018 logra una </w:t>
      </w:r>
      <w:r w:rsidRPr="005922D8">
        <w:rPr>
          <w:rFonts w:ascii="Arial" w:hAnsi="Arial" w:cs="Arial"/>
          <w:lang w:val="es-ES"/>
        </w:rPr>
        <w:lastRenderedPageBreak/>
        <w:t>capacidad de inferencia de fenómenos con prevalencia poblacional inferior al 10% y con errores relativos máximos del 5%, logrando así una representatividad a nivel departamental.</w:t>
      </w:r>
    </w:p>
    <w:p w14:paraId="15578523" w14:textId="77777777" w:rsidR="002B48B2" w:rsidRPr="005922D8" w:rsidRDefault="002B48B2" w:rsidP="002B48B2">
      <w:pPr>
        <w:jc w:val="both"/>
        <w:rPr>
          <w:rFonts w:ascii="Arial" w:hAnsi="Arial" w:cs="Arial"/>
          <w:lang w:val="es-ES"/>
        </w:rPr>
      </w:pPr>
      <w:r w:rsidRPr="005922D8">
        <w:rPr>
          <w:rFonts w:ascii="Arial" w:hAnsi="Arial" w:cs="Arial"/>
          <w:lang w:val="es-ES"/>
        </w:rPr>
        <w:t>Una vez concluido el proceso de depuración, validación y consolidación de la base censal, esta información se evaluó en el marco de metodologías que siguen los preceptos internacionales recomendados por la División de Población de la Comisión Económica para América Latina y el Caribe de la Organización de Naciones Unidas (ECLAC/CEPAL), así como de expertos independientes. En este contexto, el DANE implementó la Encuesta de Calidad de Vida (ECV) como encuesta poscensal que a través de métodos directos permitió realizar la evaluación de cobertura de la operación censal.</w:t>
      </w:r>
    </w:p>
    <w:p w14:paraId="34568182" w14:textId="752E3E43" w:rsidR="002B48B2" w:rsidRPr="005922D8" w:rsidRDefault="002B48B2" w:rsidP="002B48B2">
      <w:pPr>
        <w:jc w:val="both"/>
        <w:rPr>
          <w:rFonts w:ascii="Arial" w:hAnsi="Arial" w:cs="Arial"/>
          <w:lang w:val="es-ES"/>
        </w:rPr>
      </w:pPr>
      <w:r w:rsidRPr="005922D8">
        <w:rPr>
          <w:rFonts w:ascii="Arial" w:hAnsi="Arial" w:cs="Arial"/>
          <w:lang w:val="es-ES"/>
        </w:rPr>
        <w:t>La metodología aplicada realizó un cruce de información entre la base de datos del CNPV 2018 y la ECV del mismo año (al ser la encuesta post-censal), con el objetivo de encontrar cuántos individuos son comunes en las dos operaciones, y así poder inferir el total de personas en hogares particulares. La implementación de este método arrojó una estimación total de población censada ajustada por cobertura a nivel nacional de 48.258.494 personas residentes habituales en el año 2018.</w:t>
      </w:r>
    </w:p>
    <w:p w14:paraId="445BF565" w14:textId="77777777" w:rsidR="002B48B2" w:rsidRPr="005922D8" w:rsidRDefault="002B48B2" w:rsidP="002B48B2">
      <w:pPr>
        <w:jc w:val="both"/>
        <w:rPr>
          <w:rFonts w:ascii="Arial" w:hAnsi="Arial" w:cs="Arial"/>
          <w:lang w:val="es-ES"/>
        </w:rPr>
      </w:pPr>
      <w:r w:rsidRPr="005922D8">
        <w:rPr>
          <w:rFonts w:ascii="Arial" w:hAnsi="Arial" w:cs="Arial"/>
          <w:lang w:val="es-ES"/>
        </w:rPr>
        <w:t>Así las cosas, la inferencia poblacional del autorreconocimiento correspondiente a la población negra, afrocolombiana, raizal y palenquera en la Encuesta Nacional de Calidad de Vida 2018 llega a 4.671.160 personas (representando el 9.34% de la población total nacional), con un error relativo de apenas 2,5%, lo cual pone en relieve su amplia precisión.</w:t>
      </w:r>
    </w:p>
    <w:p w14:paraId="75104FDD" w14:textId="77777777" w:rsidR="002B48B2" w:rsidRPr="005922D8" w:rsidRDefault="002B48B2" w:rsidP="002B48B2">
      <w:pPr>
        <w:jc w:val="both"/>
        <w:rPr>
          <w:rFonts w:ascii="Arial" w:hAnsi="Arial" w:cs="Arial"/>
          <w:lang w:val="es-ES"/>
        </w:rPr>
      </w:pPr>
      <w:r w:rsidRPr="005922D8">
        <w:rPr>
          <w:rFonts w:ascii="Arial" w:hAnsi="Arial" w:cs="Arial"/>
          <w:lang w:val="es-ES"/>
        </w:rPr>
        <w:t>En consecuencia, y en reconocimiento de las dificultades particulares del desempeño de la pregunta de auto identificación étnica en el censo, pero dada su concordancia estadística con los resultados de la Encuesta Nacional de Calidad de Vida 2018, al contrastar diferentes variables sociodemográficas, el DANE estableció la oficialidad de la declaración censal para la población negra, afrocolombiana, raizal y palenquera, sólo en materia de estructuras demográficas e indicadores sociales. Lo anterior, significa que la información del censo le permite al país, en cada uno de los niveles de desagregación, geográfica (departamental y municipal por cabecera, centros poblados y rural disperso), contar con datos que permiten caracterizar de manera precisa las brechas que esta población, respecto a la población nacional y a otros grupos étnicos.</w:t>
      </w:r>
    </w:p>
    <w:p w14:paraId="3525803C" w14:textId="1088957F" w:rsidR="002B48B2" w:rsidRPr="005922D8" w:rsidRDefault="002B48B2" w:rsidP="002B48B2">
      <w:pPr>
        <w:jc w:val="both"/>
        <w:rPr>
          <w:rFonts w:ascii="Arial" w:hAnsi="Arial" w:cs="Arial"/>
          <w:lang w:val="es-ES"/>
        </w:rPr>
      </w:pPr>
      <w:r w:rsidRPr="005922D8">
        <w:rPr>
          <w:rFonts w:ascii="Arial" w:hAnsi="Arial" w:cs="Arial"/>
          <w:lang w:val="es-ES"/>
        </w:rPr>
        <w:t>Le permite a las entidades de gobierno, a las propias organizaciones, a la academia, a organizaciones no gubernamentales, entre otras, identificar y reconocer dónde y cómo vive la población negra, afrocolombiana, raizal y palenquera; saber cuáles son sus condiciones de vida, entre otras, en materia de alfabetismos, educación, salud, servicios públicos, funcionamiento humano y por tanto contar con la caracterización necesaria para definir una política pública que responda a los derechos y necesidades individuales y colectivas de esta población.</w:t>
      </w:r>
    </w:p>
    <w:tbl>
      <w:tblPr>
        <w:tblStyle w:val="Tablaconcuadrcula"/>
        <w:tblW w:w="0" w:type="auto"/>
        <w:tblLook w:val="04A0" w:firstRow="1" w:lastRow="0" w:firstColumn="1" w:lastColumn="0" w:noHBand="0" w:noVBand="1"/>
      </w:tblPr>
      <w:tblGrid>
        <w:gridCol w:w="8828"/>
      </w:tblGrid>
      <w:tr w:rsidR="006F0F71" w:rsidRPr="005922D8" w14:paraId="581702E0" w14:textId="77777777" w:rsidTr="006F0F71">
        <w:tc>
          <w:tcPr>
            <w:tcW w:w="8828" w:type="dxa"/>
            <w:shd w:val="clear" w:color="auto" w:fill="E7E6E6" w:themeFill="background2"/>
          </w:tcPr>
          <w:p w14:paraId="6F382602" w14:textId="5274B60D" w:rsidR="006F0F71" w:rsidRPr="005922D8" w:rsidRDefault="006F0F71" w:rsidP="006F0F71">
            <w:pPr>
              <w:jc w:val="both"/>
              <w:rPr>
                <w:rFonts w:ascii="Arial" w:hAnsi="Arial" w:cs="Arial"/>
                <w:lang w:val="es-ES"/>
              </w:rPr>
            </w:pPr>
            <w:r w:rsidRPr="005922D8">
              <w:rPr>
                <w:rFonts w:ascii="Arial" w:hAnsi="Arial" w:cs="Arial"/>
                <w:b/>
                <w:lang w:val="es-ES"/>
              </w:rPr>
              <w:t xml:space="preserve">Acción: </w:t>
            </w:r>
            <w:r w:rsidRPr="005922D8">
              <w:rPr>
                <w:rFonts w:ascii="Arial" w:hAnsi="Arial" w:cs="Arial"/>
                <w:lang w:val="es-ES"/>
              </w:rPr>
              <w:t xml:space="preserve">En la entrega de los resultados del Censo Nacional de Población y Vivienda 2018, el DANE declaró con carácter oficial, que el volumen de la población negra, afrocolombiana, raizal y palenquera es de 4.671.160 personas que constituye el 9,34% de la población nacional. Decretó la oficialidad de este censo solo en materia de estructuras demográficas que permiten la caracterización de esta población y la </w:t>
            </w:r>
            <w:r w:rsidRPr="005922D8">
              <w:rPr>
                <w:rFonts w:ascii="Arial" w:hAnsi="Arial" w:cs="Arial"/>
                <w:lang w:val="es-ES"/>
              </w:rPr>
              <w:lastRenderedPageBreak/>
              <w:t xml:space="preserve">identificación de brechas que pueden ser tenidas en cuenta en la política pública. Y </w:t>
            </w:r>
            <w:r w:rsidRPr="005922D8">
              <w:rPr>
                <w:rFonts w:ascii="Arial" w:hAnsi="Arial" w:cs="Arial"/>
                <w:i/>
                <w:lang w:val="es-ES"/>
              </w:rPr>
              <w:t>presentó al país, las diferentes dificultades identificadas durante el CNPV 2018.</w:t>
            </w:r>
            <w:r w:rsidRPr="005922D8">
              <w:rPr>
                <w:rStyle w:val="Refdenotaalpie"/>
                <w:rFonts w:ascii="Arial" w:hAnsi="Arial" w:cs="Arial"/>
                <w:i/>
                <w:lang w:val="es-ES"/>
              </w:rPr>
              <w:footnoteReference w:id="6"/>
            </w:r>
          </w:p>
        </w:tc>
      </w:tr>
    </w:tbl>
    <w:p w14:paraId="011182A3" w14:textId="2003BBCB" w:rsidR="006F0F71" w:rsidRPr="005922D8" w:rsidRDefault="006F0F71" w:rsidP="006F0F71">
      <w:pPr>
        <w:spacing w:before="240"/>
        <w:jc w:val="both"/>
        <w:rPr>
          <w:rFonts w:ascii="Arial" w:hAnsi="Arial" w:cs="Arial"/>
        </w:rPr>
      </w:pPr>
      <w:r w:rsidRPr="005922D8">
        <w:rPr>
          <w:rFonts w:ascii="Arial" w:hAnsi="Arial" w:cs="Arial"/>
          <w:lang w:val="es-ES"/>
        </w:rPr>
        <w:lastRenderedPageBreak/>
        <w:t xml:space="preserve">Desde el momento de la oficialización de los resultados del Censo Nacional de Población y Vivienda (año 2019), el DANE estableció </w:t>
      </w:r>
      <w:r w:rsidRPr="005922D8">
        <w:rPr>
          <w:rFonts w:ascii="Arial" w:hAnsi="Arial" w:cs="Arial"/>
          <w:i/>
          <w:lang w:val="es-ES"/>
        </w:rPr>
        <w:t xml:space="preserve">con carácter oficial para el año 2018 en Colombia que el volumen de la población negra, </w:t>
      </w:r>
      <w:r w:rsidR="000F6005" w:rsidRPr="005922D8">
        <w:rPr>
          <w:rFonts w:ascii="Arial" w:hAnsi="Arial" w:cs="Arial"/>
          <w:i/>
          <w:lang w:val="es-ES"/>
        </w:rPr>
        <w:t>afrocolombiana</w:t>
      </w:r>
      <w:r w:rsidRPr="005922D8">
        <w:rPr>
          <w:rFonts w:ascii="Arial" w:hAnsi="Arial" w:cs="Arial"/>
          <w:i/>
          <w:lang w:val="es-ES"/>
        </w:rPr>
        <w:t xml:space="preserve">, raizal y palenquera en el país es de </w:t>
      </w:r>
      <w:r w:rsidRPr="005922D8">
        <w:rPr>
          <w:rFonts w:ascii="Arial" w:hAnsi="Arial" w:cs="Arial"/>
          <w:b/>
          <w:i/>
          <w:lang w:val="es-ES"/>
        </w:rPr>
        <w:t>4.671.160 personas</w:t>
      </w:r>
      <w:r w:rsidRPr="005922D8">
        <w:rPr>
          <w:rFonts w:ascii="Arial" w:hAnsi="Arial" w:cs="Arial"/>
          <w:b/>
          <w:lang w:val="es-ES"/>
        </w:rPr>
        <w:t xml:space="preserve">, </w:t>
      </w:r>
      <w:r w:rsidRPr="005922D8">
        <w:rPr>
          <w:rFonts w:ascii="Arial" w:hAnsi="Arial" w:cs="Arial"/>
          <w:lang w:val="es-ES"/>
        </w:rPr>
        <w:t xml:space="preserve">que constituye el </w:t>
      </w:r>
      <w:r w:rsidRPr="005922D8">
        <w:rPr>
          <w:rFonts w:ascii="Arial" w:hAnsi="Arial" w:cs="Arial"/>
          <w:b/>
          <w:lang w:val="es-ES"/>
        </w:rPr>
        <w:t>9,34% de la población nacional</w:t>
      </w:r>
      <w:r w:rsidRPr="005922D8">
        <w:rPr>
          <w:rFonts w:ascii="Arial" w:hAnsi="Arial" w:cs="Arial"/>
          <w:lang w:val="es-ES"/>
        </w:rPr>
        <w:t xml:space="preserve">. Esta estimación y la información poblacional oficial no solo para el total nacional sino a nivel departamental y municipal, a partir del ejercicio de estimación de la pertenencia étnica de las personas, fue remitida de manera directa vía oficio por correo electrónico, con el respectivo anexo en Excel, </w:t>
      </w:r>
      <w:r w:rsidRPr="005922D8">
        <w:rPr>
          <w:rFonts w:ascii="Arial" w:hAnsi="Arial" w:cs="Arial"/>
        </w:rPr>
        <w:t>a todos los ministerios, el DNP, las alcaldías y gobernaciones del país, con el fin de que estas cifras informen la toma de decisiones.</w:t>
      </w:r>
    </w:p>
    <w:p w14:paraId="3BD81893" w14:textId="77777777" w:rsidR="006F0F71" w:rsidRPr="005922D8" w:rsidRDefault="006F0F71" w:rsidP="006F0F71">
      <w:pPr>
        <w:spacing w:before="240"/>
        <w:jc w:val="both"/>
        <w:rPr>
          <w:rFonts w:ascii="Arial" w:hAnsi="Arial" w:cs="Arial"/>
          <w:lang w:val="es-ES"/>
        </w:rPr>
      </w:pPr>
      <w:r w:rsidRPr="005922D8">
        <w:rPr>
          <w:rFonts w:ascii="Arial" w:hAnsi="Arial" w:cs="Arial"/>
          <w:lang w:val="es-ES"/>
        </w:rPr>
        <w:t xml:space="preserve">Durante la presentación de resultados, la cual se puede consultar en el siguiente enlace </w:t>
      </w:r>
      <w:hyperlink r:id="rId11">
        <w:r w:rsidRPr="005922D8">
          <w:rPr>
            <w:rStyle w:val="Hipervnculo"/>
            <w:rFonts w:ascii="Arial" w:hAnsi="Arial" w:cs="Arial"/>
            <w:lang w:val="es-ES"/>
          </w:rPr>
          <w:t>https://www.dane.gov.co/files/investigaciones/boletines/grupos-etnicos/presentacion-grupos-etnicos-</w:t>
        </w:r>
      </w:hyperlink>
      <w:r w:rsidRPr="005922D8">
        <w:rPr>
          <w:rFonts w:ascii="Arial" w:hAnsi="Arial" w:cs="Arial"/>
          <w:lang w:val="es-ES"/>
        </w:rPr>
        <w:t xml:space="preserve"> </w:t>
      </w:r>
      <w:hyperlink r:id="rId12">
        <w:r w:rsidRPr="005922D8">
          <w:rPr>
            <w:rStyle w:val="Hipervnculo"/>
            <w:rFonts w:ascii="Arial" w:hAnsi="Arial" w:cs="Arial"/>
            <w:lang w:val="es-ES"/>
          </w:rPr>
          <w:t>poblacion-NARP-2019.pdf</w:t>
        </w:r>
      </w:hyperlink>
      <w:r w:rsidRPr="005922D8">
        <w:rPr>
          <w:rFonts w:ascii="Arial" w:hAnsi="Arial" w:cs="Arial"/>
          <w:u w:val="single"/>
          <w:lang w:val="es-ES"/>
        </w:rPr>
        <w:t xml:space="preserve">, </w:t>
      </w:r>
      <w:r w:rsidRPr="005922D8">
        <w:rPr>
          <w:rFonts w:ascii="Arial" w:hAnsi="Arial" w:cs="Arial"/>
          <w:lang w:val="es-ES"/>
        </w:rPr>
        <w:t>el DANE también explicó al país las posibles causas relacionadas con los resultados. Como principales aspectos se señalaron los siguientes:</w:t>
      </w:r>
    </w:p>
    <w:p w14:paraId="148BCA13" w14:textId="77777777" w:rsidR="006F0F71" w:rsidRPr="005922D8" w:rsidRDefault="006F0F71" w:rsidP="006F0F71">
      <w:pPr>
        <w:numPr>
          <w:ilvl w:val="0"/>
          <w:numId w:val="9"/>
        </w:numPr>
        <w:spacing w:after="0"/>
        <w:jc w:val="both"/>
        <w:rPr>
          <w:rFonts w:ascii="Arial" w:hAnsi="Arial" w:cs="Arial"/>
          <w:lang w:val="es-ES"/>
        </w:rPr>
      </w:pPr>
      <w:r w:rsidRPr="005922D8">
        <w:rPr>
          <w:rFonts w:ascii="Arial" w:hAnsi="Arial" w:cs="Arial"/>
          <w:lang w:val="es-ES"/>
        </w:rPr>
        <w:t>Incumplimiento de la visita en la vivienda o no contar con una entrevista satisfactoria, ya sea por falta de comunicación para la llegada del censista, ausencia del informante idóneo en el momento de la visita y/o negativa para brindar información al DANE.</w:t>
      </w:r>
    </w:p>
    <w:p w14:paraId="51D40A40" w14:textId="77777777" w:rsidR="006F0F71" w:rsidRPr="005922D8" w:rsidRDefault="006F0F71" w:rsidP="006F0F71">
      <w:pPr>
        <w:numPr>
          <w:ilvl w:val="0"/>
          <w:numId w:val="9"/>
        </w:numPr>
        <w:spacing w:after="0"/>
        <w:jc w:val="both"/>
        <w:rPr>
          <w:rFonts w:ascii="Arial" w:hAnsi="Arial" w:cs="Arial"/>
          <w:lang w:val="es-ES"/>
        </w:rPr>
      </w:pPr>
      <w:r w:rsidRPr="005922D8">
        <w:rPr>
          <w:rFonts w:ascii="Arial" w:hAnsi="Arial" w:cs="Arial"/>
          <w:lang w:val="es-ES"/>
        </w:rPr>
        <w:t>En ocasiones los censistas realizaron hasta 4 visitas a los hogares y no fue posible encontrar un informante idóneo.</w:t>
      </w:r>
    </w:p>
    <w:p w14:paraId="4E9A20CD" w14:textId="77777777" w:rsidR="006F0F71" w:rsidRPr="005922D8" w:rsidRDefault="006F0F71" w:rsidP="006F0F71">
      <w:pPr>
        <w:numPr>
          <w:ilvl w:val="0"/>
          <w:numId w:val="9"/>
        </w:numPr>
        <w:spacing w:after="0"/>
        <w:jc w:val="both"/>
        <w:rPr>
          <w:rFonts w:ascii="Arial" w:hAnsi="Arial" w:cs="Arial"/>
          <w:lang w:val="es-ES"/>
        </w:rPr>
      </w:pPr>
      <w:r w:rsidRPr="005922D8">
        <w:rPr>
          <w:rFonts w:ascii="Arial" w:hAnsi="Arial" w:cs="Arial"/>
          <w:lang w:val="es-ES"/>
        </w:rPr>
        <w:t>Dificultad para cubrir algunas zonas urbanas y rurales por problemas de orden público o por la negativa de los residentes a ser censados: Barranquilla, Cali, Quibdó, Policarpa y Tumaco (Nariño).</w:t>
      </w:r>
    </w:p>
    <w:p w14:paraId="09E9335D" w14:textId="77777777" w:rsidR="006F0F71" w:rsidRPr="005922D8" w:rsidRDefault="006F0F71" w:rsidP="006F0F71">
      <w:pPr>
        <w:numPr>
          <w:ilvl w:val="0"/>
          <w:numId w:val="9"/>
        </w:numPr>
        <w:spacing w:after="0"/>
        <w:jc w:val="both"/>
        <w:rPr>
          <w:rFonts w:ascii="Arial" w:hAnsi="Arial" w:cs="Arial"/>
          <w:lang w:val="es-ES"/>
        </w:rPr>
      </w:pPr>
      <w:r w:rsidRPr="005922D8">
        <w:rPr>
          <w:rFonts w:ascii="Arial" w:hAnsi="Arial" w:cs="Arial"/>
          <w:lang w:val="es-ES"/>
        </w:rPr>
        <w:t>Situaciones relacionadas con la ejecución del Censo: capacitación, contratación de personal y logística</w:t>
      </w:r>
    </w:p>
    <w:p w14:paraId="526436EC" w14:textId="77777777" w:rsidR="006F0F71" w:rsidRPr="005922D8" w:rsidRDefault="006F0F71" w:rsidP="006F0F71">
      <w:pPr>
        <w:numPr>
          <w:ilvl w:val="0"/>
          <w:numId w:val="9"/>
        </w:numPr>
        <w:spacing w:after="0"/>
        <w:jc w:val="both"/>
        <w:rPr>
          <w:rFonts w:ascii="Arial" w:hAnsi="Arial" w:cs="Arial"/>
          <w:lang w:val="es-ES"/>
        </w:rPr>
      </w:pPr>
      <w:r w:rsidRPr="005922D8">
        <w:rPr>
          <w:rFonts w:ascii="Arial" w:hAnsi="Arial" w:cs="Arial"/>
          <w:lang w:val="es-ES"/>
        </w:rPr>
        <w:t>Las personas no se autorreconocieron en las categorías de respuesta 3. (¿Raizal del Archipiélago de San Andrés, Providencia y Santa Catalina?), 4. (Palenquero(a) de San Basilio?) y 5. (Negro(a), mulato(a), afrodescendiente, afrocolombiano(a)?).</w:t>
      </w:r>
    </w:p>
    <w:p w14:paraId="699BE827" w14:textId="77777777" w:rsidR="006F0F71" w:rsidRPr="005922D8" w:rsidRDefault="006F0F71" w:rsidP="006F0F71">
      <w:pPr>
        <w:numPr>
          <w:ilvl w:val="0"/>
          <w:numId w:val="9"/>
        </w:numPr>
        <w:spacing w:after="0"/>
        <w:jc w:val="both"/>
        <w:rPr>
          <w:rFonts w:ascii="Arial" w:hAnsi="Arial" w:cs="Arial"/>
          <w:lang w:val="es-ES"/>
        </w:rPr>
      </w:pPr>
      <w:r w:rsidRPr="005922D8">
        <w:rPr>
          <w:rFonts w:ascii="Arial" w:hAnsi="Arial" w:cs="Arial"/>
          <w:lang w:val="es-ES"/>
        </w:rPr>
        <w:t>Los censistas no formularon la pregunta y marcaron la alternativa 6 (Ningún grupo étnico).</w:t>
      </w:r>
    </w:p>
    <w:p w14:paraId="1D261A01" w14:textId="77777777" w:rsidR="006F0F71" w:rsidRPr="005922D8" w:rsidRDefault="006F0F71" w:rsidP="006F0F71">
      <w:pPr>
        <w:numPr>
          <w:ilvl w:val="0"/>
          <w:numId w:val="9"/>
        </w:numPr>
        <w:spacing w:after="0"/>
        <w:jc w:val="both"/>
        <w:rPr>
          <w:rFonts w:ascii="Arial" w:hAnsi="Arial" w:cs="Arial"/>
          <w:lang w:val="es-ES"/>
        </w:rPr>
      </w:pPr>
      <w:r w:rsidRPr="005922D8">
        <w:rPr>
          <w:rFonts w:ascii="Arial" w:hAnsi="Arial" w:cs="Arial"/>
          <w:lang w:val="es-ES"/>
        </w:rPr>
        <w:t>Negativa de las personas a responder la pregunta (zonas urbanas).</w:t>
      </w:r>
    </w:p>
    <w:p w14:paraId="59C0592D" w14:textId="77777777" w:rsidR="006F0F71" w:rsidRPr="005922D8" w:rsidRDefault="006F0F71" w:rsidP="006F0F71">
      <w:pPr>
        <w:numPr>
          <w:ilvl w:val="0"/>
          <w:numId w:val="9"/>
        </w:numPr>
        <w:spacing w:after="0"/>
        <w:jc w:val="both"/>
        <w:rPr>
          <w:rFonts w:ascii="Arial" w:hAnsi="Arial" w:cs="Arial"/>
          <w:lang w:val="es-ES"/>
        </w:rPr>
      </w:pPr>
      <w:r w:rsidRPr="005922D8">
        <w:rPr>
          <w:rFonts w:ascii="Arial" w:hAnsi="Arial" w:cs="Arial"/>
          <w:lang w:val="es-ES"/>
        </w:rPr>
        <w:t>La dimensión subjetiva del autorreconocimiento, relacionada con la formación de identidad, y con procesos sociales, históricos, construcciones políticas, conceptualizaciones académicas y personales y discursos asociados a identidades regionales.</w:t>
      </w:r>
    </w:p>
    <w:p w14:paraId="4329F1C2" w14:textId="77777777" w:rsidR="006F0F71" w:rsidRPr="005922D8" w:rsidRDefault="006F0F71" w:rsidP="006F0F71">
      <w:pPr>
        <w:numPr>
          <w:ilvl w:val="0"/>
          <w:numId w:val="9"/>
        </w:numPr>
        <w:spacing w:after="0"/>
        <w:jc w:val="both"/>
        <w:rPr>
          <w:rFonts w:ascii="Arial" w:hAnsi="Arial" w:cs="Arial"/>
          <w:lang w:val="es-ES"/>
        </w:rPr>
      </w:pPr>
      <w:r w:rsidRPr="005922D8">
        <w:rPr>
          <w:rFonts w:ascii="Arial" w:hAnsi="Arial" w:cs="Arial"/>
          <w:lang w:val="es-ES"/>
        </w:rPr>
        <w:t>La existencia del racismo y la discriminación racial.</w:t>
      </w:r>
    </w:p>
    <w:p w14:paraId="3B2C7439" w14:textId="77777777" w:rsidR="006F0F71" w:rsidRPr="005922D8" w:rsidRDefault="006F0F71" w:rsidP="006F0F71">
      <w:pPr>
        <w:numPr>
          <w:ilvl w:val="0"/>
          <w:numId w:val="9"/>
        </w:numPr>
        <w:spacing w:after="0"/>
        <w:jc w:val="both"/>
        <w:rPr>
          <w:rFonts w:ascii="Arial" w:hAnsi="Arial" w:cs="Arial"/>
          <w:lang w:val="es-ES"/>
        </w:rPr>
      </w:pPr>
      <w:r w:rsidRPr="005922D8">
        <w:rPr>
          <w:rFonts w:ascii="Arial" w:hAnsi="Arial" w:cs="Arial"/>
          <w:lang w:val="es-ES"/>
        </w:rPr>
        <w:lastRenderedPageBreak/>
        <w:t>La negación de la etnicidad de la gente negra, afrocolombiana, raizal y palenquera en algunos departamentos en donde existen pueblos indígenas.</w:t>
      </w:r>
    </w:p>
    <w:p w14:paraId="337372E5" w14:textId="7FB8D909" w:rsidR="006F0F71" w:rsidRPr="005922D8" w:rsidRDefault="006F0F71" w:rsidP="006F0F71">
      <w:pPr>
        <w:numPr>
          <w:ilvl w:val="0"/>
          <w:numId w:val="9"/>
        </w:numPr>
        <w:jc w:val="both"/>
        <w:rPr>
          <w:rFonts w:ascii="Arial" w:hAnsi="Arial" w:cs="Arial"/>
          <w:lang w:val="es-ES"/>
        </w:rPr>
      </w:pPr>
      <w:r w:rsidRPr="005922D8">
        <w:rPr>
          <w:rFonts w:ascii="Arial" w:hAnsi="Arial" w:cs="Arial"/>
          <w:lang w:val="es-ES"/>
        </w:rPr>
        <w:t>La debilidad de las organizaciones étnicas en algunas zonas del país para fortalecer los procesos de auto reconocimiento de sus comunidades.</w:t>
      </w:r>
    </w:p>
    <w:p w14:paraId="774E7B8C" w14:textId="2D7CE460" w:rsidR="006F0F71" w:rsidRPr="005922D8" w:rsidRDefault="006F0F71" w:rsidP="006F0F71">
      <w:pPr>
        <w:jc w:val="both"/>
        <w:rPr>
          <w:rFonts w:ascii="Arial" w:hAnsi="Arial" w:cs="Arial"/>
          <w:lang w:val="es-ES"/>
        </w:rPr>
      </w:pPr>
      <w:r w:rsidRPr="005922D8">
        <w:rPr>
          <w:rFonts w:ascii="Arial" w:hAnsi="Arial" w:cs="Arial"/>
          <w:lang w:val="es-ES"/>
        </w:rPr>
        <w:t>Finalmente, es importante señalar que, de acuerdo con la normatividad y las recomendaciones internacionales (Convenio 169 de la OIT), la identificación de la población étnica en los censos y encuestas utiliza el criterio de autorreconocimiento de la identidad, en la medida en que respeta el derecho de cada persona para definir su pertenencia étnica. Lo anterior, significa el derecho de las personas a reconocerse como parte de un pueblo, a la identidad o a la conciencia que tengan las personas de su identidad; también, el derecho que tienen los integrantes de un pueblo a ser consultados en los asuntos que les atañen.</w:t>
      </w:r>
    </w:p>
    <w:p w14:paraId="716B2E3F" w14:textId="33FD1FAB" w:rsidR="006F0F71" w:rsidRPr="005922D8" w:rsidRDefault="006F0F71" w:rsidP="006F0F71">
      <w:pPr>
        <w:jc w:val="both"/>
        <w:rPr>
          <w:rFonts w:ascii="Arial" w:hAnsi="Arial" w:cs="Arial"/>
          <w:lang w:val="es-ES"/>
        </w:rPr>
      </w:pPr>
      <w:r w:rsidRPr="005922D8">
        <w:rPr>
          <w:rFonts w:ascii="Arial" w:hAnsi="Arial" w:cs="Arial"/>
          <w:lang w:val="es-ES"/>
        </w:rPr>
        <w:t>Se comprende que el proceso de autorreconocimiento tiene una dimensión colectiva, relacionada con sentidos que se construyen socialmente, para el caso de estas comunidades con aspectos culturales, con la tierra, lo territorial, lo étnico y la historia. Así mismo, tiene una dimensión personal, asociada a la manera como una persona decide, o no, nombrarse o autoidentificarse de determinada manera, de acuerdo con los sentidos que ha construido a lo largo de la vida. En este sentido, se han señalado diferencias en el autorreconocimiento en la población Negra y Afrocolombiana, de acuerdo con su ubicación geográfica y a las condiciones culturales, históricas y políticas que los caracterizan, por ejemplo, Territorios Colectivos de Comunidades Negras y zonas urbanas.</w:t>
      </w:r>
    </w:p>
    <w:p w14:paraId="7C5E0D9A" w14:textId="77777777" w:rsidR="006F0F71" w:rsidRPr="005922D8" w:rsidRDefault="006F0F71" w:rsidP="006F0F71">
      <w:pPr>
        <w:jc w:val="both"/>
        <w:rPr>
          <w:rFonts w:ascii="Arial" w:hAnsi="Arial" w:cs="Arial"/>
          <w:lang w:val="es-ES"/>
        </w:rPr>
      </w:pPr>
      <w:r w:rsidRPr="005922D8">
        <w:rPr>
          <w:rFonts w:ascii="Arial" w:hAnsi="Arial" w:cs="Arial"/>
          <w:lang w:val="es-ES"/>
        </w:rPr>
        <w:t>En relación con el autorreconocimiento en comunidades rurales y Territorios Colectivos de Comunidades se han evidenciado dinámicas caracterizadas por:</w:t>
      </w:r>
    </w:p>
    <w:p w14:paraId="1A889D47" w14:textId="1DF97017" w:rsidR="006F0F71" w:rsidRPr="005922D8" w:rsidRDefault="006F0F71" w:rsidP="006F0F71">
      <w:pPr>
        <w:numPr>
          <w:ilvl w:val="0"/>
          <w:numId w:val="9"/>
        </w:numPr>
        <w:jc w:val="both"/>
        <w:rPr>
          <w:rFonts w:ascii="Arial" w:hAnsi="Arial" w:cs="Arial"/>
          <w:i/>
          <w:lang w:val="es-ES"/>
        </w:rPr>
      </w:pPr>
      <w:r w:rsidRPr="005922D8">
        <w:rPr>
          <w:rFonts w:ascii="Arial" w:hAnsi="Arial" w:cs="Arial"/>
          <w:lang w:val="es-ES"/>
        </w:rPr>
        <w:t xml:space="preserve">Perpetuarse a partir de comunidades de afrodescendientes, principalmente en el Pacífico. </w:t>
      </w:r>
      <w:r w:rsidRPr="005922D8">
        <w:rPr>
          <w:rFonts w:ascii="Arial" w:hAnsi="Arial" w:cs="Arial"/>
          <w:i/>
          <w:lang w:val="es-ES"/>
        </w:rPr>
        <w:t>“muchas comunidades rurales se perpetuaron únicamente a partir de afrodescendientes, aún en el Pacífico, donde ésta ha sido la circunstancia más generalizada, se dieron casos como (…) en la zona del Baudó y la costa aledaña, donde el mestizaje entre afrodescendientes e indígenas formó parte de una estrategia conjunta para desarrollar construcciones sociales por fuera del control colonial.”</w:t>
      </w:r>
      <w:r w:rsidRPr="005922D8">
        <w:rPr>
          <w:rStyle w:val="Refdenotaalpie"/>
          <w:rFonts w:ascii="Arial" w:hAnsi="Arial" w:cs="Arial"/>
          <w:i/>
          <w:lang w:val="es-ES"/>
        </w:rPr>
        <w:footnoteReference w:id="7"/>
      </w:r>
    </w:p>
    <w:p w14:paraId="06065C00" w14:textId="77777777" w:rsidR="006F0F71" w:rsidRPr="005922D8" w:rsidRDefault="006F0F71" w:rsidP="006F0F71">
      <w:pPr>
        <w:numPr>
          <w:ilvl w:val="0"/>
          <w:numId w:val="9"/>
        </w:numPr>
        <w:spacing w:after="0"/>
        <w:jc w:val="both"/>
        <w:rPr>
          <w:rFonts w:ascii="Arial" w:hAnsi="Arial" w:cs="Arial"/>
          <w:lang w:val="es-ES"/>
        </w:rPr>
      </w:pPr>
      <w:r w:rsidRPr="005922D8">
        <w:rPr>
          <w:rFonts w:ascii="Arial" w:hAnsi="Arial" w:cs="Arial"/>
          <w:lang w:val="es-ES"/>
        </w:rPr>
        <w:t>Un menor proceso de mestizaje entre afrodescendientes e indígenas.</w:t>
      </w:r>
    </w:p>
    <w:p w14:paraId="3D04301C" w14:textId="77777777" w:rsidR="006F0F71" w:rsidRPr="005922D8" w:rsidRDefault="006F0F71" w:rsidP="006F0F71">
      <w:pPr>
        <w:numPr>
          <w:ilvl w:val="0"/>
          <w:numId w:val="9"/>
        </w:numPr>
        <w:jc w:val="both"/>
        <w:rPr>
          <w:rFonts w:ascii="Arial" w:hAnsi="Arial" w:cs="Arial"/>
          <w:lang w:val="es-ES"/>
        </w:rPr>
      </w:pPr>
      <w:r w:rsidRPr="005922D8">
        <w:rPr>
          <w:rFonts w:ascii="Arial" w:hAnsi="Arial" w:cs="Arial"/>
          <w:lang w:val="es-ES"/>
        </w:rPr>
        <w:t>Una ocupación territorial de tierras bajas selváticas y esteros, que ha determinado la adaptación sociocultural original al medio y ha creado particularidades asociadas al autorreconocimiento.</w:t>
      </w:r>
    </w:p>
    <w:p w14:paraId="48642964" w14:textId="77777777" w:rsidR="006F0F71" w:rsidRPr="005922D8" w:rsidRDefault="006F0F71" w:rsidP="006F0F71">
      <w:pPr>
        <w:jc w:val="both"/>
        <w:rPr>
          <w:rFonts w:ascii="Arial" w:hAnsi="Arial" w:cs="Arial"/>
          <w:lang w:val="es-ES"/>
        </w:rPr>
      </w:pPr>
      <w:r w:rsidRPr="005922D8">
        <w:rPr>
          <w:rFonts w:ascii="Arial" w:hAnsi="Arial" w:cs="Arial"/>
          <w:lang w:val="es-ES"/>
        </w:rPr>
        <w:t>Por su parte las dinámicas de autorreconocimiento en zonas urbanas se relacionan con:</w:t>
      </w:r>
    </w:p>
    <w:p w14:paraId="7516DB37" w14:textId="490DA5DD" w:rsidR="006F0F71" w:rsidRPr="005922D8" w:rsidRDefault="006F0F71" w:rsidP="006F0F71">
      <w:pPr>
        <w:numPr>
          <w:ilvl w:val="0"/>
          <w:numId w:val="9"/>
        </w:numPr>
        <w:spacing w:after="0"/>
        <w:jc w:val="both"/>
        <w:rPr>
          <w:rFonts w:ascii="Arial" w:hAnsi="Arial" w:cs="Arial"/>
          <w:i/>
          <w:lang w:val="es-ES"/>
        </w:rPr>
      </w:pPr>
      <w:r w:rsidRPr="005922D8">
        <w:rPr>
          <w:rFonts w:ascii="Arial" w:hAnsi="Arial" w:cs="Arial"/>
          <w:lang w:val="es-ES"/>
        </w:rPr>
        <w:t>La construcción de identidades diversas: “</w:t>
      </w:r>
      <w:r w:rsidRPr="005922D8">
        <w:rPr>
          <w:rFonts w:ascii="Arial" w:hAnsi="Arial" w:cs="Arial"/>
          <w:i/>
          <w:lang w:val="es-ES"/>
        </w:rPr>
        <w:t>A la hora de preguntarse por la identidad del Pueblo Afrocolombiano, parece que se pierde de vista que culturalmente éste es tan diverso como la misma nación colombiana. Y que es bien acertada la denominación de “Las Colombias negras” que nos propone Restrepo.”</w:t>
      </w:r>
      <w:r w:rsidRPr="005922D8">
        <w:rPr>
          <w:rStyle w:val="Refdenotaalpie"/>
          <w:rFonts w:ascii="Arial" w:hAnsi="Arial" w:cs="Arial"/>
          <w:i/>
          <w:lang w:val="es-ES"/>
        </w:rPr>
        <w:footnoteReference w:id="8"/>
      </w:r>
    </w:p>
    <w:p w14:paraId="08E4B62F" w14:textId="77777777" w:rsidR="006F0F71" w:rsidRPr="005922D8" w:rsidRDefault="006F0F71" w:rsidP="006F0F71">
      <w:pPr>
        <w:numPr>
          <w:ilvl w:val="0"/>
          <w:numId w:val="9"/>
        </w:numPr>
        <w:spacing w:after="0"/>
        <w:jc w:val="both"/>
        <w:rPr>
          <w:rFonts w:ascii="Arial" w:hAnsi="Arial" w:cs="Arial"/>
          <w:lang w:val="es-ES"/>
        </w:rPr>
      </w:pPr>
      <w:r w:rsidRPr="005922D8">
        <w:rPr>
          <w:rFonts w:ascii="Arial" w:hAnsi="Arial" w:cs="Arial"/>
          <w:lang w:val="es-ES"/>
        </w:rPr>
        <w:lastRenderedPageBreak/>
        <w:t>Procesos recientes en pro del autorreconocimiento, que se han hecho explícitos solo a finales del siglo XX.</w:t>
      </w:r>
    </w:p>
    <w:p w14:paraId="492DDD73" w14:textId="77777777" w:rsidR="006F0F71" w:rsidRPr="005922D8" w:rsidRDefault="006F0F71" w:rsidP="006F0F71">
      <w:pPr>
        <w:numPr>
          <w:ilvl w:val="0"/>
          <w:numId w:val="9"/>
        </w:numPr>
        <w:spacing w:after="0"/>
        <w:jc w:val="both"/>
        <w:rPr>
          <w:rFonts w:ascii="Arial" w:hAnsi="Arial" w:cs="Arial"/>
          <w:lang w:val="es-ES"/>
        </w:rPr>
      </w:pPr>
      <w:r w:rsidRPr="005922D8">
        <w:rPr>
          <w:rFonts w:ascii="Arial" w:hAnsi="Arial" w:cs="Arial"/>
          <w:lang w:val="es-ES"/>
        </w:rPr>
        <w:t>Un intenso mestizaje biológico y cultural, principalmente en las comunidades de la costa caribe, en las cuales la población africana experimentó una interacción permanente con otras culturas.</w:t>
      </w:r>
    </w:p>
    <w:p w14:paraId="7DC77949" w14:textId="77777777" w:rsidR="006F0F71" w:rsidRPr="005922D8" w:rsidRDefault="006F0F71" w:rsidP="006F0F71">
      <w:pPr>
        <w:numPr>
          <w:ilvl w:val="0"/>
          <w:numId w:val="9"/>
        </w:numPr>
        <w:jc w:val="both"/>
        <w:rPr>
          <w:rFonts w:ascii="Arial" w:hAnsi="Arial" w:cs="Arial"/>
          <w:lang w:val="es-ES"/>
        </w:rPr>
      </w:pPr>
      <w:r w:rsidRPr="005922D8">
        <w:rPr>
          <w:rFonts w:ascii="Arial" w:hAnsi="Arial" w:cs="Arial"/>
          <w:lang w:val="es-ES"/>
        </w:rPr>
        <w:t>Consciencia política y organizativa diversa: No todas las comunidades urbanas forman un conglomerado con conciencia política y organizativa.</w:t>
      </w:r>
    </w:p>
    <w:p w14:paraId="0B8E2FE3" w14:textId="77777777" w:rsidR="007733FA" w:rsidRPr="005922D8" w:rsidRDefault="006F0F71" w:rsidP="007733FA">
      <w:pPr>
        <w:numPr>
          <w:ilvl w:val="0"/>
          <w:numId w:val="9"/>
        </w:numPr>
        <w:spacing w:after="0"/>
        <w:jc w:val="both"/>
        <w:rPr>
          <w:rFonts w:ascii="Arial" w:hAnsi="Arial" w:cs="Arial"/>
          <w:lang w:val="es-ES"/>
        </w:rPr>
      </w:pPr>
      <w:r w:rsidRPr="005922D8">
        <w:rPr>
          <w:rFonts w:ascii="Arial" w:hAnsi="Arial" w:cs="Arial"/>
          <w:lang w:val="es-ES"/>
        </w:rPr>
        <w:t xml:space="preserve">Identidades que no constituyen necesariamente un proceso ascendente y lineal. </w:t>
      </w:r>
      <w:r w:rsidRPr="005922D8">
        <w:rPr>
          <w:rFonts w:ascii="Arial" w:hAnsi="Arial" w:cs="Arial"/>
          <w:i/>
          <w:lang w:val="es-ES"/>
        </w:rPr>
        <w:t>“Las comunidades renacientes locales se involucraron directamente en el conjunto del proceso de fortalecimiento organizativo y consolidación discursiva, pasando de ser, a principios de la década de 1980, comunidades asimiladas en términos territoriales con unos elementos de identidad dejados en segundo y tercer plano, pese a que en las prácticas cotidianas prevalecen los elementos propios de la cultura renaciente. El discurso identitario posibilita el fortalecimiento de toda una serie de identidades locales, sin que se trate de un proceso ascendente y lineal; las comunidades renacientes han asumido el discurso de la identidad, y la práctica misma de ésta, viviéndola, sintiéndola, manifestándola, no sólo en términos colectivos sino también individuales</w:t>
      </w:r>
      <w:r w:rsidRPr="005922D8">
        <w:rPr>
          <w:rFonts w:ascii="Arial" w:hAnsi="Arial" w:cs="Arial"/>
          <w:lang w:val="es-ES"/>
        </w:rPr>
        <w:t>.</w:t>
      </w:r>
      <w:r w:rsidRPr="005922D8">
        <w:rPr>
          <w:rFonts w:ascii="Arial" w:hAnsi="Arial" w:cs="Arial"/>
          <w:i/>
          <w:lang w:val="es-ES"/>
        </w:rPr>
        <w:t>”</w:t>
      </w:r>
      <w:r w:rsidRPr="005922D8">
        <w:rPr>
          <w:rStyle w:val="Refdenotaalpie"/>
          <w:rFonts w:ascii="Arial" w:hAnsi="Arial" w:cs="Arial"/>
          <w:i/>
          <w:lang w:val="es-ES"/>
        </w:rPr>
        <w:footnoteReference w:id="9"/>
      </w:r>
    </w:p>
    <w:p w14:paraId="589C5DAF" w14:textId="6772DFE5" w:rsidR="007733FA" w:rsidRPr="005922D8" w:rsidRDefault="007733FA" w:rsidP="007733FA">
      <w:pPr>
        <w:numPr>
          <w:ilvl w:val="0"/>
          <w:numId w:val="9"/>
        </w:numPr>
        <w:spacing w:after="0"/>
        <w:jc w:val="both"/>
        <w:rPr>
          <w:rFonts w:ascii="Arial" w:hAnsi="Arial" w:cs="Arial"/>
          <w:lang w:val="es-ES"/>
        </w:rPr>
      </w:pPr>
      <w:r w:rsidRPr="005922D8">
        <w:rPr>
          <w:rFonts w:ascii="Arial" w:hAnsi="Arial" w:cs="Arial"/>
          <w:lang w:val="es-ES"/>
        </w:rPr>
        <w:t>Dificultades para el autorreconocimiento debido a discriminación racial. “La discriminación juega un rol importante en la explicación de algunas de estas brechas y de los resultados educativos. Los sistemas de educación de la región no han logrado promover el reconocimiento de las identidades afrodescendientes; por lo contrario, generalmente contribuyen a fomentar representaciones estereotipadas y folklorizantes”.</w:t>
      </w:r>
      <w:r w:rsidRPr="005922D8">
        <w:rPr>
          <w:rStyle w:val="Refdenotaalpie"/>
          <w:rFonts w:ascii="Arial" w:hAnsi="Arial" w:cs="Arial"/>
          <w:lang w:val="es-ES"/>
        </w:rPr>
        <w:footnoteReference w:id="10"/>
      </w:r>
    </w:p>
    <w:p w14:paraId="0DD2929F" w14:textId="77777777" w:rsidR="007733FA" w:rsidRPr="005922D8" w:rsidRDefault="007733FA" w:rsidP="007733FA">
      <w:pPr>
        <w:numPr>
          <w:ilvl w:val="0"/>
          <w:numId w:val="9"/>
        </w:numPr>
        <w:spacing w:after="0"/>
        <w:jc w:val="both"/>
        <w:rPr>
          <w:rFonts w:ascii="Arial" w:hAnsi="Arial" w:cs="Arial"/>
          <w:lang w:val="es-ES"/>
        </w:rPr>
      </w:pPr>
      <w:r w:rsidRPr="005922D8">
        <w:rPr>
          <w:rFonts w:ascii="Arial" w:hAnsi="Arial" w:cs="Arial"/>
          <w:lang w:val="es-ES"/>
        </w:rPr>
        <w:t>Invisibilidad de la etnicidad afrodescendiente.</w:t>
      </w:r>
    </w:p>
    <w:p w14:paraId="7ABAA538" w14:textId="1AC83629" w:rsidR="007733FA" w:rsidRPr="005922D8" w:rsidRDefault="007733FA" w:rsidP="007733FA">
      <w:pPr>
        <w:numPr>
          <w:ilvl w:val="0"/>
          <w:numId w:val="9"/>
        </w:numPr>
        <w:jc w:val="both"/>
        <w:rPr>
          <w:rFonts w:ascii="Arial" w:hAnsi="Arial" w:cs="Arial"/>
          <w:lang w:val="es-ES"/>
        </w:rPr>
      </w:pPr>
      <w:r w:rsidRPr="005922D8">
        <w:rPr>
          <w:rFonts w:ascii="Arial" w:hAnsi="Arial" w:cs="Arial"/>
          <w:lang w:val="es-ES"/>
        </w:rPr>
        <w:t>Una ideología naturalizada del mestizaje.</w:t>
      </w:r>
    </w:p>
    <w:p w14:paraId="627D6935" w14:textId="02EAC694" w:rsidR="007733FA" w:rsidRPr="005922D8" w:rsidRDefault="007733FA" w:rsidP="007733FA">
      <w:pPr>
        <w:spacing w:before="240"/>
        <w:jc w:val="both"/>
        <w:rPr>
          <w:rFonts w:ascii="Arial" w:hAnsi="Arial" w:cs="Arial"/>
          <w:lang w:val="es-ES"/>
        </w:rPr>
      </w:pPr>
      <w:r w:rsidRPr="005922D8">
        <w:rPr>
          <w:rFonts w:ascii="Arial" w:hAnsi="Arial" w:cs="Arial"/>
          <w:lang w:val="es-ES"/>
        </w:rPr>
        <w:t>Así mismo, el análisis realizado por Mosquera y Rodríguez</w:t>
      </w:r>
      <w:r w:rsidRPr="005922D8">
        <w:rPr>
          <w:rStyle w:val="Refdenotaalpie"/>
          <w:rFonts w:ascii="Arial" w:hAnsi="Arial" w:cs="Arial"/>
          <w:lang w:val="es-ES"/>
        </w:rPr>
        <w:footnoteReference w:id="11"/>
      </w:r>
      <w:r w:rsidRPr="005922D8">
        <w:rPr>
          <w:rFonts w:ascii="Arial" w:hAnsi="Arial" w:cs="Arial"/>
          <w:lang w:val="es-ES"/>
        </w:rPr>
        <w:t xml:space="preserve"> señala los siguientes fenómenos como barreras en los procesos de autorreconocimiento étnico-racial en el Caribe continental colombiano:</w:t>
      </w:r>
    </w:p>
    <w:p w14:paraId="7DA5F052" w14:textId="77777777" w:rsidR="007733FA" w:rsidRPr="005922D8" w:rsidRDefault="007733FA" w:rsidP="007733FA">
      <w:pPr>
        <w:pStyle w:val="Prrafodelista"/>
        <w:numPr>
          <w:ilvl w:val="0"/>
          <w:numId w:val="10"/>
        </w:numPr>
        <w:spacing w:before="240"/>
        <w:jc w:val="both"/>
        <w:rPr>
          <w:rFonts w:ascii="Arial" w:hAnsi="Arial" w:cs="Arial"/>
          <w:lang w:val="es-ES"/>
        </w:rPr>
      </w:pPr>
      <w:r w:rsidRPr="005922D8">
        <w:rPr>
          <w:rFonts w:ascii="Arial" w:hAnsi="Arial" w:cs="Arial"/>
          <w:lang w:val="es-ES"/>
        </w:rPr>
        <w:t>El discurso de la costeñidad, la identidad Caribe y el mito del mestizaje triétnico.</w:t>
      </w:r>
    </w:p>
    <w:p w14:paraId="0ABA673A" w14:textId="77777777" w:rsidR="007733FA" w:rsidRPr="005922D8" w:rsidRDefault="007733FA" w:rsidP="007733FA">
      <w:pPr>
        <w:pStyle w:val="Prrafodelista"/>
        <w:numPr>
          <w:ilvl w:val="0"/>
          <w:numId w:val="10"/>
        </w:numPr>
        <w:spacing w:before="240"/>
        <w:jc w:val="both"/>
        <w:rPr>
          <w:rFonts w:ascii="Arial" w:hAnsi="Arial" w:cs="Arial"/>
          <w:lang w:val="es-ES"/>
        </w:rPr>
      </w:pPr>
      <w:r w:rsidRPr="005922D8">
        <w:rPr>
          <w:rFonts w:ascii="Arial" w:hAnsi="Arial" w:cs="Arial"/>
          <w:lang w:val="es-ES"/>
        </w:rPr>
        <w:t>La existencia del racismo y la discriminación racial.</w:t>
      </w:r>
    </w:p>
    <w:p w14:paraId="39BBE4F0" w14:textId="77777777" w:rsidR="007733FA" w:rsidRPr="005922D8" w:rsidRDefault="007733FA" w:rsidP="007733FA">
      <w:pPr>
        <w:pStyle w:val="Prrafodelista"/>
        <w:numPr>
          <w:ilvl w:val="0"/>
          <w:numId w:val="10"/>
        </w:numPr>
        <w:spacing w:before="240"/>
        <w:jc w:val="both"/>
        <w:rPr>
          <w:rFonts w:ascii="Arial" w:hAnsi="Arial" w:cs="Arial"/>
          <w:lang w:val="es-ES"/>
        </w:rPr>
      </w:pPr>
      <w:r w:rsidRPr="005922D8">
        <w:rPr>
          <w:rFonts w:ascii="Arial" w:hAnsi="Arial" w:cs="Arial"/>
          <w:lang w:val="es-ES"/>
        </w:rPr>
        <w:t>El desconocimiento acerca de los aportes de África y de las culturas negras.</w:t>
      </w:r>
    </w:p>
    <w:p w14:paraId="4960B319" w14:textId="77777777" w:rsidR="007733FA" w:rsidRPr="005922D8" w:rsidRDefault="007733FA" w:rsidP="007733FA">
      <w:pPr>
        <w:pStyle w:val="Prrafodelista"/>
        <w:numPr>
          <w:ilvl w:val="0"/>
          <w:numId w:val="10"/>
        </w:numPr>
        <w:spacing w:before="240"/>
        <w:jc w:val="both"/>
        <w:rPr>
          <w:rFonts w:ascii="Arial" w:hAnsi="Arial" w:cs="Arial"/>
          <w:lang w:val="es-ES"/>
        </w:rPr>
      </w:pPr>
      <w:r w:rsidRPr="005922D8">
        <w:rPr>
          <w:rFonts w:ascii="Arial" w:hAnsi="Arial" w:cs="Arial"/>
          <w:lang w:val="es-ES"/>
        </w:rPr>
        <w:t>La negación de la etnicidad de la gente negra, afrocolombiana, raizal y palenquera en departamentos donde existen pueblos indígenas.</w:t>
      </w:r>
    </w:p>
    <w:p w14:paraId="0E4B8871" w14:textId="36828CCF" w:rsidR="007733FA" w:rsidRPr="005922D8" w:rsidRDefault="007733FA" w:rsidP="007733FA">
      <w:pPr>
        <w:pStyle w:val="Prrafodelista"/>
        <w:numPr>
          <w:ilvl w:val="0"/>
          <w:numId w:val="10"/>
        </w:numPr>
        <w:spacing w:before="240"/>
        <w:jc w:val="both"/>
        <w:rPr>
          <w:rFonts w:ascii="Arial" w:hAnsi="Arial" w:cs="Arial"/>
          <w:lang w:val="es-ES"/>
        </w:rPr>
      </w:pPr>
      <w:r w:rsidRPr="005922D8">
        <w:rPr>
          <w:rFonts w:ascii="Arial" w:hAnsi="Arial" w:cs="Arial"/>
          <w:lang w:val="es-ES"/>
        </w:rPr>
        <w:lastRenderedPageBreak/>
        <w:t>La debilidad de las organizaciones étnicas.</w:t>
      </w:r>
    </w:p>
    <w:p w14:paraId="4FA3CED8" w14:textId="77777777" w:rsidR="007733FA" w:rsidRPr="005922D8" w:rsidRDefault="007733FA" w:rsidP="007733FA">
      <w:pPr>
        <w:spacing w:before="240"/>
        <w:jc w:val="both"/>
        <w:rPr>
          <w:rFonts w:ascii="Arial" w:hAnsi="Arial" w:cs="Arial"/>
          <w:b/>
          <w:bCs/>
          <w:lang w:val="es-ES"/>
        </w:rPr>
      </w:pPr>
      <w:r w:rsidRPr="005922D8">
        <w:rPr>
          <w:rFonts w:ascii="Arial" w:hAnsi="Arial" w:cs="Arial"/>
          <w:b/>
          <w:bCs/>
          <w:lang w:val="es-ES"/>
        </w:rPr>
        <w:t>Establecimiento de la oficialidad de la declaración censal para la población afrocolombiana solo en materia de estructuras demográficas e indicadores sociales.</w:t>
      </w:r>
    </w:p>
    <w:p w14:paraId="5A15AF09" w14:textId="77777777" w:rsidR="007733FA" w:rsidRPr="005922D8" w:rsidRDefault="007733FA" w:rsidP="007733FA">
      <w:pPr>
        <w:spacing w:before="240"/>
        <w:jc w:val="both"/>
        <w:rPr>
          <w:rFonts w:ascii="Arial" w:hAnsi="Arial" w:cs="Arial"/>
          <w:lang w:val="es-ES"/>
        </w:rPr>
      </w:pPr>
      <w:r w:rsidRPr="005922D8">
        <w:rPr>
          <w:rFonts w:ascii="Arial" w:hAnsi="Arial" w:cs="Arial"/>
          <w:lang w:val="es-ES"/>
        </w:rPr>
        <w:t>A continuación, se explicará lo que supone asumir la oficialidad de la declaración censal (Censo Nacional de Población y Vivienda 2018) para la población afrocolombiana, solo en materia de estructuras demográficas e indicadores sociales. En lo que respecta a la población negra, afrocolombiana, raizal y Palenquera, el DANE, a través de la pregunta de pertenencia étnica, obtuvo 2.982.224 personas que se autorreconocieron como pertenecientes a dicho grupo étnico, en contraste con el resultado del Censo General de 2005, donde se autorreconocieron 4.311.757 personas, con una disminución del 30,8%, lo cual no es consistente con la dinámica demográfica de la población que se había identificado en el censo anterior.</w:t>
      </w:r>
    </w:p>
    <w:p w14:paraId="5BD39183" w14:textId="77777777" w:rsidR="007733FA" w:rsidRPr="005922D8" w:rsidRDefault="007733FA" w:rsidP="007733FA">
      <w:pPr>
        <w:spacing w:before="240"/>
        <w:jc w:val="both"/>
        <w:rPr>
          <w:rFonts w:ascii="Arial" w:hAnsi="Arial" w:cs="Arial"/>
          <w:lang w:val="es-ES"/>
        </w:rPr>
      </w:pPr>
      <w:r w:rsidRPr="005922D8">
        <w:rPr>
          <w:rFonts w:ascii="Arial" w:hAnsi="Arial" w:cs="Arial"/>
          <w:lang w:val="es-ES"/>
        </w:rPr>
        <w:t>Si bien el censo de 2005 reflejó una participación del 10,3% de las comunidades negras, afrocolombianas, raizales y palenqueras, concentrada en zonas urbanas, y por ende más expuesta a otros dinámicas sociales, económicas y territoriales, la inferencia estadística de la encuesta mensual de hogares en materia de participación de dicha población ha fluctuado entre el 7,9% y el 9,6% entre 2014 y 2018, como los muestra la Gráfica No 1.</w:t>
      </w:r>
    </w:p>
    <w:p w14:paraId="67E87D58" w14:textId="12B139A5" w:rsidR="006F0F71" w:rsidRPr="005922D8" w:rsidRDefault="007733FA" w:rsidP="007733FA">
      <w:pPr>
        <w:spacing w:before="240"/>
        <w:jc w:val="center"/>
        <w:rPr>
          <w:rFonts w:ascii="Arial" w:hAnsi="Arial" w:cs="Arial"/>
          <w:b/>
          <w:bCs/>
          <w:lang w:val="es-ES"/>
        </w:rPr>
      </w:pPr>
      <w:r w:rsidRPr="005922D8">
        <w:rPr>
          <w:rFonts w:ascii="Arial" w:hAnsi="Arial" w:cs="Arial"/>
          <w:b/>
          <w:bCs/>
          <w:lang w:val="es-ES"/>
        </w:rPr>
        <w:t>Grafica No 1. Serie mensual de participación de personas que se autorreconocen como negros (as), afrocolombianos (as), Raizales y Palenqueros (as).</w:t>
      </w:r>
    </w:p>
    <w:p w14:paraId="33FD2185" w14:textId="59A6C871" w:rsidR="007733FA" w:rsidRPr="005922D8" w:rsidRDefault="007733FA" w:rsidP="007733FA">
      <w:pPr>
        <w:spacing w:before="240"/>
        <w:jc w:val="both"/>
        <w:rPr>
          <w:rFonts w:ascii="Arial" w:hAnsi="Arial" w:cs="Arial"/>
          <w:b/>
          <w:bCs/>
          <w:lang w:val="es-ES"/>
        </w:rPr>
      </w:pPr>
      <w:r w:rsidRPr="005922D8">
        <w:rPr>
          <w:rFonts w:ascii="Arial" w:hAnsi="Arial" w:cs="Arial"/>
          <w:noProof/>
        </w:rPr>
        <w:drawing>
          <wp:inline distT="0" distB="0" distL="0" distR="0" wp14:anchorId="4CB31537" wp14:editId="69C585B1">
            <wp:extent cx="5720316" cy="2513189"/>
            <wp:effectExtent l="0" t="0" r="0" b="1905"/>
            <wp:docPr id="1"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Gráfico&#10;&#10;Descripción generada automáticamente con confianza media"/>
                    <pic:cNvPicPr/>
                  </pic:nvPicPr>
                  <pic:blipFill rotWithShape="1">
                    <a:blip r:embed="rId13"/>
                    <a:srcRect l="22545" t="37052" r="19666" b="17809"/>
                    <a:stretch/>
                  </pic:blipFill>
                  <pic:spPr bwMode="auto">
                    <a:xfrm>
                      <a:off x="0" y="0"/>
                      <a:ext cx="5758417" cy="2529928"/>
                    </a:xfrm>
                    <a:prstGeom prst="rect">
                      <a:avLst/>
                    </a:prstGeom>
                    <a:ln>
                      <a:noFill/>
                    </a:ln>
                    <a:extLst>
                      <a:ext uri="{53640926-AAD7-44D8-BBD7-CCE9431645EC}">
                        <a14:shadowObscured xmlns:a14="http://schemas.microsoft.com/office/drawing/2010/main"/>
                      </a:ext>
                    </a:extLst>
                  </pic:spPr>
                </pic:pic>
              </a:graphicData>
            </a:graphic>
          </wp:inline>
        </w:drawing>
      </w:r>
    </w:p>
    <w:p w14:paraId="6E647B87" w14:textId="6333508B" w:rsidR="007733FA" w:rsidRPr="005922D8" w:rsidRDefault="007733FA" w:rsidP="007733FA">
      <w:pPr>
        <w:spacing w:before="240"/>
        <w:jc w:val="center"/>
        <w:rPr>
          <w:rFonts w:ascii="Arial" w:hAnsi="Arial" w:cs="Arial"/>
          <w:lang w:val="es-ES"/>
        </w:rPr>
      </w:pPr>
      <w:r w:rsidRPr="005922D8">
        <w:rPr>
          <w:rFonts w:ascii="Arial" w:hAnsi="Arial" w:cs="Arial"/>
          <w:lang w:val="es-ES"/>
        </w:rPr>
        <w:t>Fuente: DANE GEIH</w:t>
      </w:r>
    </w:p>
    <w:p w14:paraId="02050F52" w14:textId="77777777" w:rsidR="007733FA" w:rsidRPr="005922D8" w:rsidRDefault="007733FA" w:rsidP="007733FA">
      <w:pPr>
        <w:jc w:val="both"/>
        <w:rPr>
          <w:rFonts w:ascii="Arial" w:hAnsi="Arial" w:cs="Arial"/>
          <w:lang w:val="es-ES"/>
        </w:rPr>
      </w:pPr>
      <w:r w:rsidRPr="005922D8">
        <w:rPr>
          <w:rFonts w:ascii="Arial" w:hAnsi="Arial" w:cs="Arial"/>
          <w:lang w:val="es-ES"/>
        </w:rPr>
        <w:t xml:space="preserve">La inferencia poblacional del autorreconocimiento de la población negra, afrocolombiana, raizal y palenquera en la Encuesta Nacional de Calidad de Vida 2018 llega a 4.671.160 personas, es decir, el 9.34% de la población total nacional, con un error relativo de apenas 2,5%. En consecuencia, como se mencionó anteriormente, al contrastar diferentes variables sociodemográficas y dada la concordancia estadística con los resultados de la Encuesta Nacional de Calidad de Vida 2018, el DANE estableció declaró que los datos censales para </w:t>
      </w:r>
      <w:r w:rsidRPr="005922D8">
        <w:rPr>
          <w:rFonts w:ascii="Arial" w:hAnsi="Arial" w:cs="Arial"/>
          <w:lang w:val="es-ES"/>
        </w:rPr>
        <w:lastRenderedPageBreak/>
        <w:t>esta población sólo se tienen en cuenta en materia de estructuras demográficas e indicadores sociales.</w:t>
      </w:r>
    </w:p>
    <w:p w14:paraId="2DEF796B" w14:textId="77777777" w:rsidR="007733FA" w:rsidRPr="005922D8" w:rsidRDefault="007733FA" w:rsidP="007733FA">
      <w:pPr>
        <w:jc w:val="both"/>
        <w:rPr>
          <w:rFonts w:ascii="Arial" w:hAnsi="Arial" w:cs="Arial"/>
          <w:lang w:val="es-ES"/>
        </w:rPr>
      </w:pPr>
      <w:r w:rsidRPr="005922D8">
        <w:rPr>
          <w:rFonts w:ascii="Arial" w:hAnsi="Arial" w:cs="Arial"/>
          <w:lang w:val="es-ES"/>
        </w:rPr>
        <w:t>La información permite a las entidades de gobierno, a las propias organizaciones, a la academia, a organizaciones no gubernamentales, entre otras, identificar y reconocer dónde y cómo vive la población negra, afrocolombiana, raizal y palenquera; saber cuáles son sus condiciones de vida en materia de alfabetismos, educación, salud, servicios públicos, funcionamiento humano y por tanto contar con la caracterización necesaria para definir una política pública que responda a los derechos y necesidades individuales y colectivas de esta población. Y caracterizar de manera precisa las brechas de esta población, respecto a la población nacional y a otros grupos étnicos, en cada uno de los niveles de desagregación, geográfica (departamental y municipal por cabecera, centros poblados y rural disperso).</w:t>
      </w:r>
    </w:p>
    <w:p w14:paraId="61B87C5B" w14:textId="77777777" w:rsidR="007733FA" w:rsidRPr="005922D8" w:rsidRDefault="007733FA" w:rsidP="007733FA">
      <w:pPr>
        <w:jc w:val="both"/>
        <w:rPr>
          <w:rFonts w:ascii="Arial" w:hAnsi="Arial" w:cs="Arial"/>
          <w:lang w:val="es-ES"/>
        </w:rPr>
      </w:pPr>
      <w:r w:rsidRPr="005922D8">
        <w:rPr>
          <w:rFonts w:ascii="Arial" w:hAnsi="Arial" w:cs="Arial"/>
          <w:lang w:val="es-ES"/>
        </w:rPr>
        <w:t>Esto significa que, a pesar de las dificultades explicadas anteriormente, el CNPV 2018 es una fuente idónea para caracterizar las condiciones de vida de la población negra, afrocolombiana, raizal y palenquera. Algunos ejemplos que caracterizan las condiciones sociodemográficas se presentan a continuación:</w:t>
      </w:r>
    </w:p>
    <w:p w14:paraId="62DBF51D" w14:textId="5956C677" w:rsidR="006F0F71" w:rsidRPr="005922D8" w:rsidRDefault="007733FA" w:rsidP="007733FA">
      <w:pPr>
        <w:jc w:val="center"/>
        <w:rPr>
          <w:rFonts w:ascii="Arial" w:hAnsi="Arial" w:cs="Arial"/>
          <w:b/>
          <w:bCs/>
          <w:lang w:val="es-ES"/>
        </w:rPr>
      </w:pPr>
      <w:r w:rsidRPr="005922D8">
        <w:rPr>
          <w:rFonts w:ascii="Arial" w:hAnsi="Arial" w:cs="Arial"/>
          <w:noProof/>
        </w:rPr>
        <w:drawing>
          <wp:anchor distT="0" distB="0" distL="0" distR="0" simplePos="0" relativeHeight="251659264" behindDoc="0" locked="0" layoutInCell="1" allowOverlap="1" wp14:anchorId="12572989" wp14:editId="7108ACE0">
            <wp:simplePos x="0" y="0"/>
            <wp:positionH relativeFrom="margin">
              <wp:align>left</wp:align>
            </wp:positionH>
            <wp:positionV relativeFrom="paragraph">
              <wp:posOffset>511264</wp:posOffset>
            </wp:positionV>
            <wp:extent cx="5709860" cy="2247900"/>
            <wp:effectExtent l="0" t="0" r="5715" b="0"/>
            <wp:wrapTopAndBottom/>
            <wp:docPr id="9" name="image6.png"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png" descr="Interfaz de usuario gráfica, Texto&#10;&#10;Descripción generada automáticamente"/>
                    <pic:cNvPicPr/>
                  </pic:nvPicPr>
                  <pic:blipFill>
                    <a:blip r:embed="rId14" cstate="print"/>
                    <a:stretch>
                      <a:fillRect/>
                    </a:stretch>
                  </pic:blipFill>
                  <pic:spPr>
                    <a:xfrm>
                      <a:off x="0" y="0"/>
                      <a:ext cx="5709860" cy="2247900"/>
                    </a:xfrm>
                    <a:prstGeom prst="rect">
                      <a:avLst/>
                    </a:prstGeom>
                  </pic:spPr>
                </pic:pic>
              </a:graphicData>
            </a:graphic>
          </wp:anchor>
        </w:drawing>
      </w:r>
      <w:r w:rsidRPr="005922D8">
        <w:rPr>
          <w:rFonts w:ascii="Arial" w:hAnsi="Arial" w:cs="Arial"/>
          <w:b/>
          <w:bCs/>
          <w:lang w:val="es-ES"/>
        </w:rPr>
        <w:t>Gráfica 2. Necesidades Básicas Insatisfechas según autorreconocimiento étnico, Total Nacional 2018.</w:t>
      </w:r>
    </w:p>
    <w:p w14:paraId="0E4A5A87" w14:textId="77777777" w:rsidR="007733FA" w:rsidRPr="005922D8" w:rsidRDefault="007733FA" w:rsidP="007733FA">
      <w:pPr>
        <w:rPr>
          <w:rFonts w:ascii="Arial" w:hAnsi="Arial" w:cs="Arial"/>
          <w:lang w:val="es-ES"/>
        </w:rPr>
      </w:pPr>
      <w:r w:rsidRPr="005922D8">
        <w:rPr>
          <w:rFonts w:ascii="Arial" w:hAnsi="Arial" w:cs="Arial"/>
          <w:lang w:val="es-ES"/>
        </w:rPr>
        <w:t>Fuente: DANE, NBI, CNPV 2018</w:t>
      </w:r>
    </w:p>
    <w:p w14:paraId="773D6060" w14:textId="77777777" w:rsidR="007733FA" w:rsidRPr="005922D8" w:rsidRDefault="007733FA" w:rsidP="007733FA">
      <w:pPr>
        <w:jc w:val="both"/>
        <w:rPr>
          <w:rFonts w:ascii="Arial" w:hAnsi="Arial" w:cs="Arial"/>
          <w:lang w:val="es-ES"/>
        </w:rPr>
      </w:pPr>
      <w:r w:rsidRPr="005922D8">
        <w:rPr>
          <w:rFonts w:ascii="Arial" w:hAnsi="Arial" w:cs="Arial"/>
          <w:lang w:val="es-ES"/>
        </w:rPr>
        <w:t>Como puede notarse, la proporción de personas con Necesidades Básicas Insatisfechas de las población negra, mulata, afrodescendiente, afrocolombiana es 27,75%, es decir, 14,47 puntos porcentuales más que el promedio nacional (14,28%). En igual sentido se encuentra la población en situación de miseria: en Colombia, el 3,80% de la población se encuentra en esta condición, mientras que, para la población negra, mulata, afrodescendiente y afrocolombiana, este indicador es del 6,50%, es decir, 1,7 veces más que el promedio nacional.</w:t>
      </w:r>
    </w:p>
    <w:p w14:paraId="145AA14A" w14:textId="25EC3AF5" w:rsidR="007733FA" w:rsidRPr="005922D8" w:rsidRDefault="007733FA" w:rsidP="007733FA">
      <w:pPr>
        <w:jc w:val="both"/>
        <w:rPr>
          <w:rFonts w:ascii="Arial" w:hAnsi="Arial" w:cs="Arial"/>
          <w:lang w:val="es-ES"/>
        </w:rPr>
      </w:pPr>
      <w:r w:rsidRPr="005922D8">
        <w:rPr>
          <w:rFonts w:ascii="Arial" w:hAnsi="Arial" w:cs="Arial"/>
          <w:lang w:val="es-ES"/>
        </w:rPr>
        <w:t xml:space="preserve">En la siguiente gráfica se presenta la distribución de las viviendas en donde reside al menos una persona, negra, afrocolombiana, raizal y palenquera, según el estrato del recibo de energía de la vivienda. Como se puede evidenciar, el 84,8% de las viviendas donde reside </w:t>
      </w:r>
      <w:r w:rsidRPr="005922D8">
        <w:rPr>
          <w:rFonts w:ascii="Arial" w:hAnsi="Arial" w:cs="Arial"/>
          <w:lang w:val="es-ES"/>
        </w:rPr>
        <w:lastRenderedPageBreak/>
        <w:t>esta población están concentradas en los estratos 1 y 2, lo cual es una señal de condiciones de vida diferenciada respecto al total nacional.</w:t>
      </w:r>
    </w:p>
    <w:p w14:paraId="729E80F9" w14:textId="2E681574" w:rsidR="007733FA" w:rsidRPr="005922D8" w:rsidRDefault="007733FA" w:rsidP="007733FA">
      <w:pPr>
        <w:jc w:val="center"/>
        <w:rPr>
          <w:rFonts w:ascii="Arial" w:hAnsi="Arial" w:cs="Arial"/>
          <w:b/>
          <w:bCs/>
          <w:lang w:val="es-ES"/>
        </w:rPr>
      </w:pPr>
      <w:r w:rsidRPr="005922D8">
        <w:rPr>
          <w:rFonts w:ascii="Arial" w:hAnsi="Arial" w:cs="Arial"/>
          <w:noProof/>
        </w:rPr>
        <w:drawing>
          <wp:anchor distT="0" distB="0" distL="0" distR="0" simplePos="0" relativeHeight="251661312" behindDoc="0" locked="0" layoutInCell="1" allowOverlap="1" wp14:anchorId="7B721C15" wp14:editId="34E71C34">
            <wp:simplePos x="0" y="0"/>
            <wp:positionH relativeFrom="margin">
              <wp:align>left</wp:align>
            </wp:positionH>
            <wp:positionV relativeFrom="paragraph">
              <wp:posOffset>417830</wp:posOffset>
            </wp:positionV>
            <wp:extent cx="5624195" cy="1624330"/>
            <wp:effectExtent l="0" t="0" r="0" b="0"/>
            <wp:wrapTopAndBottom/>
            <wp:docPr id="11" name="image7.jpeg" descr="Gráfico, Gráfico en casc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jpeg" descr="Gráfico, Gráfico en cascada&#10;&#10;Descripción generada automáticamente"/>
                    <pic:cNvPicPr/>
                  </pic:nvPicPr>
                  <pic:blipFill>
                    <a:blip r:embed="rId15" cstate="print"/>
                    <a:stretch>
                      <a:fillRect/>
                    </a:stretch>
                  </pic:blipFill>
                  <pic:spPr>
                    <a:xfrm>
                      <a:off x="0" y="0"/>
                      <a:ext cx="5638741" cy="1628916"/>
                    </a:xfrm>
                    <a:prstGeom prst="rect">
                      <a:avLst/>
                    </a:prstGeom>
                  </pic:spPr>
                </pic:pic>
              </a:graphicData>
            </a:graphic>
            <wp14:sizeRelH relativeFrom="margin">
              <wp14:pctWidth>0</wp14:pctWidth>
            </wp14:sizeRelH>
            <wp14:sizeRelV relativeFrom="margin">
              <wp14:pctHeight>0</wp14:pctHeight>
            </wp14:sizeRelV>
          </wp:anchor>
        </w:drawing>
      </w:r>
      <w:r w:rsidRPr="005922D8">
        <w:rPr>
          <w:rFonts w:ascii="Arial" w:hAnsi="Arial" w:cs="Arial"/>
          <w:b/>
          <w:bCs/>
          <w:lang w:val="es-ES"/>
        </w:rPr>
        <w:t>Gráfica 3. Distribución de viviendas con al menos una persona negra, afrocolombiana, raizal y palenquera por estrato del recibo de energía, CNPV 2018.</w:t>
      </w:r>
    </w:p>
    <w:p w14:paraId="54B9240E" w14:textId="1C0E7293" w:rsidR="007733FA" w:rsidRPr="005922D8" w:rsidRDefault="007733FA" w:rsidP="007733FA">
      <w:pPr>
        <w:jc w:val="center"/>
        <w:rPr>
          <w:rFonts w:ascii="Arial" w:hAnsi="Arial" w:cs="Arial"/>
          <w:lang w:val="es-ES"/>
        </w:rPr>
      </w:pPr>
      <w:r w:rsidRPr="005922D8">
        <w:rPr>
          <w:rFonts w:ascii="Arial" w:hAnsi="Arial" w:cs="Arial"/>
          <w:lang w:val="es-ES"/>
        </w:rPr>
        <w:t>Fuente: CNPV 2018</w:t>
      </w:r>
    </w:p>
    <w:p w14:paraId="34AB6A32" w14:textId="0BAA53EA" w:rsidR="007733FA" w:rsidRPr="005922D8" w:rsidRDefault="007733FA" w:rsidP="007733FA">
      <w:pPr>
        <w:jc w:val="both"/>
        <w:rPr>
          <w:rFonts w:ascii="Arial" w:hAnsi="Arial" w:cs="Arial"/>
          <w:lang w:val="es-ES"/>
        </w:rPr>
      </w:pPr>
      <w:r w:rsidRPr="005922D8">
        <w:rPr>
          <w:rFonts w:ascii="Arial" w:hAnsi="Arial" w:cs="Arial"/>
          <w:lang w:val="es-ES"/>
        </w:rPr>
        <w:t>Finalmente, a continuación, se presentan indicadores relacionados con el alfabetismo y la asistencia a instituciones educativas, en donde también se corrobora que las condiciones de vida de la población negra, afrocolombiana, raizal y palenquera presentan brechas en relación con la población no étnica.</w:t>
      </w:r>
    </w:p>
    <w:p w14:paraId="714E343C" w14:textId="724A327E" w:rsidR="007733FA" w:rsidRPr="005922D8" w:rsidRDefault="007733FA" w:rsidP="007733FA">
      <w:pPr>
        <w:jc w:val="center"/>
        <w:rPr>
          <w:rFonts w:ascii="Arial" w:hAnsi="Arial" w:cs="Arial"/>
          <w:b/>
          <w:bCs/>
          <w:lang w:val="es-ES"/>
        </w:rPr>
      </w:pPr>
      <w:r w:rsidRPr="005922D8">
        <w:rPr>
          <w:rFonts w:ascii="Arial" w:hAnsi="Arial" w:cs="Arial"/>
          <w:b/>
          <w:bCs/>
          <w:lang w:val="es-ES"/>
        </w:rPr>
        <w:t>Gráfica 4. Población Negra, afrodescendiente, raizal y palenquera que sabe leer y escribir, en contraste con la población sin ningún grupo étnico</w:t>
      </w:r>
    </w:p>
    <w:p w14:paraId="23800157" w14:textId="569B5010" w:rsidR="007733FA" w:rsidRPr="005922D8" w:rsidRDefault="007733FA" w:rsidP="007733FA">
      <w:pPr>
        <w:jc w:val="center"/>
        <w:rPr>
          <w:rFonts w:ascii="Arial" w:hAnsi="Arial" w:cs="Arial"/>
          <w:b/>
          <w:bCs/>
          <w:lang w:val="es-ES"/>
        </w:rPr>
      </w:pPr>
      <w:r w:rsidRPr="005922D8">
        <w:rPr>
          <w:rFonts w:ascii="Arial" w:hAnsi="Arial" w:cs="Arial"/>
          <w:noProof/>
        </w:rPr>
        <w:drawing>
          <wp:anchor distT="0" distB="0" distL="0" distR="0" simplePos="0" relativeHeight="251663360" behindDoc="0" locked="0" layoutInCell="1" allowOverlap="1" wp14:anchorId="1F5B64C9" wp14:editId="5F7591FD">
            <wp:simplePos x="0" y="0"/>
            <wp:positionH relativeFrom="margin">
              <wp:align>center</wp:align>
            </wp:positionH>
            <wp:positionV relativeFrom="paragraph">
              <wp:posOffset>180694</wp:posOffset>
            </wp:positionV>
            <wp:extent cx="3185779" cy="1581626"/>
            <wp:effectExtent l="0" t="0" r="0" b="0"/>
            <wp:wrapTopAndBottom/>
            <wp:docPr id="13" name="image8.png" descr="Gráfico, Gráfico en casc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png" descr="Gráfico, Gráfico en cascada&#10;&#10;Descripción generada automáticamente"/>
                    <pic:cNvPicPr/>
                  </pic:nvPicPr>
                  <pic:blipFill>
                    <a:blip r:embed="rId16" cstate="print"/>
                    <a:stretch>
                      <a:fillRect/>
                    </a:stretch>
                  </pic:blipFill>
                  <pic:spPr>
                    <a:xfrm>
                      <a:off x="0" y="0"/>
                      <a:ext cx="3185779" cy="1581626"/>
                    </a:xfrm>
                    <a:prstGeom prst="rect">
                      <a:avLst/>
                    </a:prstGeom>
                  </pic:spPr>
                </pic:pic>
              </a:graphicData>
            </a:graphic>
          </wp:anchor>
        </w:drawing>
      </w:r>
    </w:p>
    <w:p w14:paraId="61175F65" w14:textId="55941EA2" w:rsidR="007733FA" w:rsidRPr="005922D8" w:rsidRDefault="007733FA" w:rsidP="007733FA">
      <w:pPr>
        <w:jc w:val="center"/>
        <w:rPr>
          <w:rFonts w:ascii="Arial" w:hAnsi="Arial" w:cs="Arial"/>
          <w:b/>
          <w:bCs/>
          <w:lang w:val="es-ES"/>
        </w:rPr>
      </w:pPr>
    </w:p>
    <w:p w14:paraId="6029ABDA" w14:textId="0CB99EC3" w:rsidR="007733FA" w:rsidRPr="005922D8" w:rsidRDefault="007733FA" w:rsidP="007733FA">
      <w:pPr>
        <w:jc w:val="center"/>
        <w:rPr>
          <w:rFonts w:ascii="Arial" w:hAnsi="Arial" w:cs="Arial"/>
          <w:b/>
          <w:bCs/>
          <w:lang w:val="es-ES"/>
        </w:rPr>
      </w:pPr>
      <w:r w:rsidRPr="005922D8">
        <w:rPr>
          <w:rFonts w:ascii="Arial" w:hAnsi="Arial" w:cs="Arial"/>
          <w:noProof/>
        </w:rPr>
        <w:lastRenderedPageBreak/>
        <w:drawing>
          <wp:anchor distT="0" distB="0" distL="0" distR="0" simplePos="0" relativeHeight="251665408" behindDoc="0" locked="0" layoutInCell="1" allowOverlap="1" wp14:anchorId="1C509D6F" wp14:editId="1EFAEFF9">
            <wp:simplePos x="0" y="0"/>
            <wp:positionH relativeFrom="margin">
              <wp:align>left</wp:align>
            </wp:positionH>
            <wp:positionV relativeFrom="paragraph">
              <wp:posOffset>710594</wp:posOffset>
            </wp:positionV>
            <wp:extent cx="5790565" cy="1743710"/>
            <wp:effectExtent l="0" t="0" r="635" b="8890"/>
            <wp:wrapTopAndBottom/>
            <wp:docPr id="15" name="image9.jpeg"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jpeg" descr="Gráfico, Gráfico de barras&#10;&#10;Descripción generada automáticamente"/>
                    <pic:cNvPicPr/>
                  </pic:nvPicPr>
                  <pic:blipFill>
                    <a:blip r:embed="rId17" cstate="print"/>
                    <a:stretch>
                      <a:fillRect/>
                    </a:stretch>
                  </pic:blipFill>
                  <pic:spPr>
                    <a:xfrm>
                      <a:off x="0" y="0"/>
                      <a:ext cx="5790565" cy="1743710"/>
                    </a:xfrm>
                    <a:prstGeom prst="rect">
                      <a:avLst/>
                    </a:prstGeom>
                  </pic:spPr>
                </pic:pic>
              </a:graphicData>
            </a:graphic>
            <wp14:sizeRelH relativeFrom="margin">
              <wp14:pctWidth>0</wp14:pctWidth>
            </wp14:sizeRelH>
            <wp14:sizeRelV relativeFrom="margin">
              <wp14:pctHeight>0</wp14:pctHeight>
            </wp14:sizeRelV>
          </wp:anchor>
        </w:drawing>
      </w:r>
      <w:r w:rsidRPr="005922D8">
        <w:rPr>
          <w:rFonts w:ascii="Arial" w:hAnsi="Arial" w:cs="Arial"/>
          <w:b/>
          <w:bCs/>
          <w:lang w:val="es-ES"/>
        </w:rPr>
        <w:t>Gráfica 5. Población Negra, afrodescendiente, raizal y palenquera en contraste con la población de ningún grupo étnico, que asiste a instituciones educativas por rangos de edad.</w:t>
      </w:r>
    </w:p>
    <w:p w14:paraId="2A40F487" w14:textId="77777777" w:rsidR="007733FA" w:rsidRPr="005922D8" w:rsidRDefault="007733FA" w:rsidP="007733FA">
      <w:pPr>
        <w:jc w:val="center"/>
        <w:rPr>
          <w:rFonts w:ascii="Arial" w:hAnsi="Arial" w:cs="Arial"/>
          <w:lang w:val="es-ES"/>
        </w:rPr>
      </w:pPr>
      <w:r w:rsidRPr="005922D8">
        <w:rPr>
          <w:rFonts w:ascii="Arial" w:hAnsi="Arial" w:cs="Arial"/>
          <w:lang w:val="es-ES"/>
        </w:rPr>
        <w:t>Fuente: CNPV 2018</w:t>
      </w:r>
    </w:p>
    <w:p w14:paraId="10BAA2D1" w14:textId="77777777" w:rsidR="007733FA" w:rsidRPr="005922D8" w:rsidRDefault="007733FA" w:rsidP="007733FA">
      <w:pPr>
        <w:jc w:val="both"/>
        <w:rPr>
          <w:rFonts w:ascii="Arial" w:hAnsi="Arial" w:cs="Arial"/>
          <w:lang w:val="es-ES"/>
        </w:rPr>
      </w:pPr>
      <w:r w:rsidRPr="005922D8">
        <w:rPr>
          <w:rFonts w:ascii="Arial" w:hAnsi="Arial" w:cs="Arial"/>
          <w:lang w:val="es-ES"/>
        </w:rPr>
        <w:t>Adicionalmente, algunos de los indicadores que dan cuenta de las estructuras demográficas y que permiten caracterizar las brechas de la población negra, afrocolombiana, raizal y palenquera, identificar y reconocer sus condiciones de vida y posibilitar la generación de la política pública contextualizada son:</w:t>
      </w:r>
    </w:p>
    <w:p w14:paraId="4D06C392" w14:textId="77777777" w:rsidR="007733FA" w:rsidRPr="005922D8" w:rsidRDefault="007733FA" w:rsidP="007733FA">
      <w:pPr>
        <w:numPr>
          <w:ilvl w:val="0"/>
          <w:numId w:val="9"/>
        </w:numPr>
        <w:spacing w:after="0"/>
        <w:jc w:val="both"/>
        <w:rPr>
          <w:rFonts w:ascii="Arial" w:hAnsi="Arial" w:cs="Arial"/>
          <w:lang w:val="es-ES"/>
        </w:rPr>
      </w:pPr>
      <w:r w:rsidRPr="005922D8">
        <w:rPr>
          <w:rFonts w:ascii="Arial" w:hAnsi="Arial" w:cs="Arial"/>
          <w:lang w:val="es-ES"/>
        </w:rPr>
        <w:t>Distribución porcentual por grandes grupos de edad y sexo, a nivel nacional, departamental y municipal</w:t>
      </w:r>
    </w:p>
    <w:p w14:paraId="1789A74F" w14:textId="77777777" w:rsidR="007733FA" w:rsidRPr="005922D8" w:rsidRDefault="007733FA" w:rsidP="007733FA">
      <w:pPr>
        <w:numPr>
          <w:ilvl w:val="0"/>
          <w:numId w:val="9"/>
        </w:numPr>
        <w:spacing w:after="0"/>
        <w:jc w:val="both"/>
        <w:rPr>
          <w:rFonts w:ascii="Arial" w:hAnsi="Arial" w:cs="Arial"/>
          <w:lang w:val="es-ES"/>
        </w:rPr>
      </w:pPr>
      <w:r w:rsidRPr="005922D8">
        <w:rPr>
          <w:rFonts w:ascii="Arial" w:hAnsi="Arial" w:cs="Arial"/>
          <w:lang w:val="es-ES"/>
        </w:rPr>
        <w:t>Estructura de población negra, afrocolombiana, raizal y palenquera por sexo y grupos quinquenales de edad.</w:t>
      </w:r>
    </w:p>
    <w:p w14:paraId="16E4516D" w14:textId="77777777" w:rsidR="007733FA" w:rsidRPr="005922D8" w:rsidRDefault="007733FA" w:rsidP="007733FA">
      <w:pPr>
        <w:numPr>
          <w:ilvl w:val="0"/>
          <w:numId w:val="9"/>
        </w:numPr>
        <w:spacing w:after="0"/>
        <w:jc w:val="both"/>
        <w:rPr>
          <w:rFonts w:ascii="Arial" w:hAnsi="Arial" w:cs="Arial"/>
          <w:lang w:val="es-ES"/>
        </w:rPr>
      </w:pPr>
      <w:r w:rsidRPr="005922D8">
        <w:rPr>
          <w:rFonts w:ascii="Arial" w:hAnsi="Arial" w:cs="Arial"/>
          <w:lang w:val="es-ES"/>
        </w:rPr>
        <w:t>Tasa de alfabetismo en población negra, afrocolombiana, raizal y palenquera de 5 años y más, a nivel nacional, departamental y municipal;</w:t>
      </w:r>
    </w:p>
    <w:p w14:paraId="50148043" w14:textId="77777777" w:rsidR="007733FA" w:rsidRPr="005922D8" w:rsidRDefault="007733FA" w:rsidP="007733FA">
      <w:pPr>
        <w:numPr>
          <w:ilvl w:val="0"/>
          <w:numId w:val="9"/>
        </w:numPr>
        <w:spacing w:after="0"/>
        <w:jc w:val="both"/>
        <w:rPr>
          <w:rFonts w:ascii="Arial" w:hAnsi="Arial" w:cs="Arial"/>
          <w:lang w:val="es-ES"/>
        </w:rPr>
      </w:pPr>
      <w:r w:rsidRPr="005922D8">
        <w:rPr>
          <w:rFonts w:ascii="Arial" w:hAnsi="Arial" w:cs="Arial"/>
          <w:lang w:val="es-ES"/>
        </w:rPr>
        <w:t>Porcentaje de hogares en hacinamiento cuyo jefe de hogar se autorreconoció como negro, afrocolombiano, raizal y palenquero, por grupo étnico del jefe del hogar, a nivel nacional, departamental y municipal.</w:t>
      </w:r>
    </w:p>
    <w:p w14:paraId="3D8976FD" w14:textId="2640B983" w:rsidR="007733FA" w:rsidRPr="005922D8" w:rsidRDefault="007733FA" w:rsidP="007733FA">
      <w:pPr>
        <w:numPr>
          <w:ilvl w:val="0"/>
          <w:numId w:val="9"/>
        </w:numPr>
        <w:spacing w:after="0"/>
        <w:jc w:val="both"/>
        <w:rPr>
          <w:rFonts w:ascii="Arial" w:hAnsi="Arial" w:cs="Arial"/>
          <w:lang w:val="es-ES"/>
        </w:rPr>
      </w:pPr>
      <w:r w:rsidRPr="005922D8">
        <w:rPr>
          <w:rFonts w:ascii="Arial" w:hAnsi="Arial" w:cs="Arial"/>
          <w:lang w:val="es-ES"/>
        </w:rPr>
        <w:t>Porcentaje de cobertura de servicios públicos en viviendas con hogares cuyo jefe (a) de hogar se autorreconoció como negro, afrocolombiano, raizal y palenquero, a nivel nacional, departamental, municipal y de área</w:t>
      </w:r>
    </w:p>
    <w:p w14:paraId="16029F15" w14:textId="77777777" w:rsidR="007733FA" w:rsidRPr="005922D8" w:rsidRDefault="007733FA" w:rsidP="007733FA">
      <w:pPr>
        <w:numPr>
          <w:ilvl w:val="0"/>
          <w:numId w:val="9"/>
        </w:numPr>
        <w:spacing w:after="0"/>
        <w:jc w:val="both"/>
        <w:rPr>
          <w:rFonts w:ascii="Arial" w:hAnsi="Arial" w:cs="Arial"/>
          <w:lang w:val="es-ES"/>
        </w:rPr>
      </w:pPr>
      <w:r w:rsidRPr="005922D8">
        <w:rPr>
          <w:rFonts w:ascii="Arial" w:hAnsi="Arial" w:cs="Arial"/>
          <w:lang w:val="es-ES"/>
        </w:rPr>
        <w:t>Actividad realizada durante la semana anterior por la población negra, afrocolombiana, raizal y palenquera a nivel municipal</w:t>
      </w:r>
    </w:p>
    <w:p w14:paraId="7D9D950F" w14:textId="77777777" w:rsidR="007733FA" w:rsidRPr="005922D8" w:rsidRDefault="007733FA" w:rsidP="007733FA">
      <w:pPr>
        <w:numPr>
          <w:ilvl w:val="0"/>
          <w:numId w:val="9"/>
        </w:numPr>
        <w:jc w:val="both"/>
        <w:rPr>
          <w:rFonts w:ascii="Arial" w:hAnsi="Arial" w:cs="Arial"/>
          <w:lang w:val="es-ES"/>
        </w:rPr>
      </w:pPr>
      <w:r w:rsidRPr="005922D8">
        <w:rPr>
          <w:rFonts w:ascii="Arial" w:hAnsi="Arial" w:cs="Arial"/>
          <w:lang w:val="es-ES"/>
        </w:rPr>
        <w:t>Nivel educativo de la población negra, afrocolombiana, raizal y palenquera por municipio.</w:t>
      </w:r>
    </w:p>
    <w:p w14:paraId="541E2B5A" w14:textId="77777777" w:rsidR="007733FA" w:rsidRPr="005922D8" w:rsidRDefault="007733FA" w:rsidP="007733FA">
      <w:pPr>
        <w:jc w:val="both"/>
        <w:rPr>
          <w:rFonts w:ascii="Arial" w:hAnsi="Arial" w:cs="Arial"/>
          <w:lang w:val="es-ES"/>
        </w:rPr>
      </w:pPr>
      <w:r w:rsidRPr="005922D8">
        <w:rPr>
          <w:rFonts w:ascii="Arial" w:hAnsi="Arial" w:cs="Arial"/>
          <w:lang w:val="es-ES"/>
        </w:rPr>
        <w:t>Significa también que, para efectos del volumen de población negra, afrocolombiana, raizal y palenquera a nivel nacional, como ya se mencionó, el DANE estimó con carácter oficial a 4.671.160 personas para 2018, lo cual refleja un crecimiento poblacional superior en 3 puntos porcentuales al de todos los habitantes, reconociendo las tasas de fecundidad ligeramente superiores de estas comunidades.</w:t>
      </w:r>
    </w:p>
    <w:p w14:paraId="41A0890E" w14:textId="41D4CA06" w:rsidR="007733FA" w:rsidRPr="005922D8" w:rsidRDefault="007733FA" w:rsidP="007733FA">
      <w:pPr>
        <w:jc w:val="both"/>
        <w:rPr>
          <w:rFonts w:ascii="Arial" w:hAnsi="Arial" w:cs="Arial"/>
          <w:lang w:val="es-ES"/>
        </w:rPr>
      </w:pPr>
      <w:r w:rsidRPr="005922D8">
        <w:rPr>
          <w:rFonts w:ascii="Arial" w:hAnsi="Arial" w:cs="Arial"/>
          <w:lang w:val="es-ES"/>
        </w:rPr>
        <w:t xml:space="preserve">Adicionalmente, en el marco de los ejercicios poscensales que se han realizado, el DANE ha reconocido oficialmente los datos de la estimación de población étnica a nivel subnacional en departamento y municipios. Estos datos se comparten en el Anexo. Población ajustada por omisión censal - Pertenencia- </w:t>
      </w:r>
      <w:r w:rsidR="00B507A8" w:rsidRPr="005922D8">
        <w:rPr>
          <w:rFonts w:ascii="Arial" w:hAnsi="Arial" w:cs="Arial"/>
          <w:lang w:val="es-ES"/>
        </w:rPr>
        <w:t>étnica</w:t>
      </w:r>
      <w:r w:rsidRPr="005922D8">
        <w:rPr>
          <w:rFonts w:ascii="Arial" w:hAnsi="Arial" w:cs="Arial"/>
          <w:lang w:val="es-ES"/>
        </w:rPr>
        <w:t xml:space="preserve">-CNPV 2018, disponible en el siguiente enlace de descarga: </w:t>
      </w:r>
      <w:hyperlink r:id="rId18" w:history="1">
        <w:r w:rsidR="00B507A8" w:rsidRPr="005922D8">
          <w:rPr>
            <w:rStyle w:val="Hipervnculo"/>
            <w:rFonts w:ascii="Arial" w:hAnsi="Arial" w:cs="Arial"/>
            <w:lang w:val="es-ES"/>
          </w:rPr>
          <w:t>https://we.tl/t-4pQmumtFFW</w:t>
        </w:r>
      </w:hyperlink>
      <w:r w:rsidR="00B507A8" w:rsidRPr="005922D8">
        <w:rPr>
          <w:rFonts w:ascii="Arial" w:hAnsi="Arial" w:cs="Arial"/>
          <w:lang w:val="es-ES"/>
        </w:rPr>
        <w:t xml:space="preserve"> </w:t>
      </w:r>
    </w:p>
    <w:p w14:paraId="1C1990F6" w14:textId="1B571356" w:rsidR="007733FA" w:rsidRPr="005922D8" w:rsidRDefault="007733FA" w:rsidP="007733FA">
      <w:pPr>
        <w:jc w:val="both"/>
        <w:rPr>
          <w:rFonts w:ascii="Arial" w:hAnsi="Arial" w:cs="Arial"/>
          <w:lang w:val="es-ES"/>
        </w:rPr>
      </w:pPr>
      <w:r w:rsidRPr="005922D8">
        <w:rPr>
          <w:rFonts w:ascii="Arial" w:hAnsi="Arial" w:cs="Arial"/>
          <w:lang w:val="es-ES"/>
        </w:rPr>
        <w:lastRenderedPageBreak/>
        <w:t xml:space="preserve">Hacia el futuro, y para garantizar la coherencia de la información socioeconómica, la Ley del Plan Nacional de Desarrollo 2018-2022 estableció, en su artículo 155, que el Sistema Estadístico Nacional, deberá fortalecer su enfoque diferencial e </w:t>
      </w:r>
      <w:r w:rsidR="00B507A8" w:rsidRPr="005922D8">
        <w:rPr>
          <w:rFonts w:ascii="Arial" w:hAnsi="Arial" w:cs="Arial"/>
          <w:lang w:val="es-ES"/>
        </w:rPr>
        <w:t>interseccional</w:t>
      </w:r>
      <w:r w:rsidRPr="005922D8">
        <w:rPr>
          <w:rFonts w:ascii="Arial" w:hAnsi="Arial" w:cs="Arial"/>
          <w:lang w:val="es-ES"/>
        </w:rPr>
        <w:t>. Esto significa que la auto identificación étnica será fortalecida, no solo en operaciones estadísticas, sino también en registros administrativos de salud, seguridad social, educación, entre otros. De esta forma, se profundizará en la capacidad de visibilizar estadísticamente las condiciones socioeconómicas de las comunidades étnicas del país</w:t>
      </w:r>
      <w:r w:rsidR="00B507A8" w:rsidRPr="005922D8">
        <w:rPr>
          <w:rFonts w:ascii="Arial" w:hAnsi="Arial" w:cs="Arial"/>
          <w:lang w:val="es-ES"/>
        </w:rPr>
        <w:t>.</w:t>
      </w:r>
    </w:p>
    <w:tbl>
      <w:tblPr>
        <w:tblStyle w:val="Tablaconcuadrcula"/>
        <w:tblW w:w="8926" w:type="dxa"/>
        <w:tblLook w:val="04A0" w:firstRow="1" w:lastRow="0" w:firstColumn="1" w:lastColumn="0" w:noHBand="0" w:noVBand="1"/>
      </w:tblPr>
      <w:tblGrid>
        <w:gridCol w:w="8926"/>
      </w:tblGrid>
      <w:tr w:rsidR="00B507A8" w:rsidRPr="005922D8" w14:paraId="29B740CF" w14:textId="77777777" w:rsidTr="00B507A8">
        <w:trPr>
          <w:trHeight w:val="2292"/>
        </w:trPr>
        <w:tc>
          <w:tcPr>
            <w:tcW w:w="8926" w:type="dxa"/>
            <w:shd w:val="clear" w:color="auto" w:fill="E7E6E6" w:themeFill="background2"/>
          </w:tcPr>
          <w:p w14:paraId="2B7C235D" w14:textId="77777777" w:rsidR="00B507A8" w:rsidRPr="005922D8" w:rsidRDefault="00B507A8" w:rsidP="00B507A8">
            <w:pPr>
              <w:jc w:val="both"/>
              <w:rPr>
                <w:rFonts w:ascii="Arial" w:hAnsi="Arial" w:cs="Arial"/>
                <w:lang w:val="es-ES"/>
              </w:rPr>
            </w:pPr>
            <w:r w:rsidRPr="005922D8">
              <w:rPr>
                <w:rFonts w:ascii="Arial" w:hAnsi="Arial" w:cs="Arial"/>
                <w:b/>
                <w:lang w:val="es-ES"/>
              </w:rPr>
              <w:t xml:space="preserve">Acción: </w:t>
            </w:r>
            <w:r w:rsidRPr="005922D8">
              <w:rPr>
                <w:rFonts w:ascii="Arial" w:hAnsi="Arial" w:cs="Arial"/>
                <w:lang w:val="es-ES"/>
              </w:rPr>
              <w:t>El DANE, principalmente con el fin de dar respuesta a la omisión censal y a las dificultades relacionadas con la pregunta de autorreconocimiento étnico, adelantó un ejercicio de estimación usando la información del Censo Nacional de Población y Vivienda 2018 y de la Encuesta de Calidad de Vida del mismo año. Estas técnicas estadísticas lograron mejores estimaciones a partir de la cifra censal y al aprovechamiento de fuentes alternativas.</w:t>
            </w:r>
          </w:p>
          <w:p w14:paraId="54655E15" w14:textId="77777777" w:rsidR="00B507A8" w:rsidRPr="005922D8" w:rsidRDefault="00B507A8" w:rsidP="00B507A8">
            <w:pPr>
              <w:jc w:val="both"/>
              <w:rPr>
                <w:rFonts w:ascii="Arial" w:hAnsi="Arial" w:cs="Arial"/>
                <w:lang w:val="es-ES"/>
              </w:rPr>
            </w:pPr>
          </w:p>
          <w:p w14:paraId="4FD7276A" w14:textId="77777777" w:rsidR="00B507A8" w:rsidRPr="005922D8" w:rsidRDefault="00B507A8" w:rsidP="00B507A8">
            <w:pPr>
              <w:jc w:val="both"/>
              <w:rPr>
                <w:rFonts w:ascii="Arial" w:hAnsi="Arial" w:cs="Arial"/>
                <w:i/>
                <w:lang w:val="es-ES"/>
              </w:rPr>
            </w:pPr>
            <w:r w:rsidRPr="005922D8">
              <w:rPr>
                <w:rFonts w:ascii="Arial" w:hAnsi="Arial" w:cs="Arial"/>
                <w:lang w:val="es-ES"/>
              </w:rPr>
              <w:t>Producto del proceso, se consolidaron los resultados que permitieron estimar el volumen poblacional de los grupos étnicos a nivel municipal y departamental (dentro de ellos de la población negra, afrocolombiana, raizal y palenquera), a través de la metodología de tabla cuadrada</w:t>
            </w:r>
            <w:r w:rsidRPr="005922D8">
              <w:rPr>
                <w:rFonts w:ascii="Arial" w:hAnsi="Arial" w:cs="Arial"/>
                <w:i/>
                <w:lang w:val="es-ES"/>
              </w:rPr>
              <w:t>.</w:t>
            </w:r>
          </w:p>
          <w:p w14:paraId="0C0FFAE8" w14:textId="77777777" w:rsidR="00B507A8" w:rsidRPr="005922D8" w:rsidRDefault="00B507A8" w:rsidP="00B507A8">
            <w:pPr>
              <w:jc w:val="both"/>
              <w:rPr>
                <w:rFonts w:ascii="Arial" w:hAnsi="Arial" w:cs="Arial"/>
                <w:i/>
                <w:lang w:val="es-ES"/>
              </w:rPr>
            </w:pPr>
          </w:p>
          <w:p w14:paraId="7F48DF9B" w14:textId="77580C53" w:rsidR="00B507A8" w:rsidRPr="005922D8" w:rsidRDefault="00B507A8" w:rsidP="007733FA">
            <w:pPr>
              <w:jc w:val="both"/>
              <w:rPr>
                <w:rFonts w:ascii="Arial" w:hAnsi="Arial" w:cs="Arial"/>
                <w:lang w:val="es-ES"/>
              </w:rPr>
            </w:pPr>
            <w:r w:rsidRPr="005922D8">
              <w:rPr>
                <w:rFonts w:ascii="Arial" w:hAnsi="Arial" w:cs="Arial"/>
                <w:lang w:val="es-ES"/>
              </w:rPr>
              <w:t>La información fue entregada oficialmente a Planeación Nacional, a los diferentes ministerios, a los gobiernos departamentales, distritales y municipales, para ser utilizada en la planeación y desarrollo de la política pública.</w:t>
            </w:r>
          </w:p>
        </w:tc>
      </w:tr>
    </w:tbl>
    <w:p w14:paraId="12A0CFDA"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En reconocimiento de las dificultades particulares del desempeño de la pregunta de autorreconocimiento étnico en el censo para la población Negra, afrocolombiana, raizal y palenquera, pero dada su concordancia estadística con los resultados de la Encuesta Nacional de Calidad de Vida 2018, el DANE estableció la oficialidad de la declaración censal para esta población solo en materia de estructuras demográficas e indicadores sociales, información que permite caracterizar de manera precisa las brechas de esta población para identificar y reconocer sus condiciones de vida y posibilitar la generación de la política pública, y estimó la población Negra, Afrocolombiana, Raizal y Palenquera, con carácter oficial, en 4.671.160 personas para 2018.</w:t>
      </w:r>
    </w:p>
    <w:p w14:paraId="4426552D"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La información del CNPV 2018 para la población Negra, Afrocolombiana, Raizal y Palenquera sigue siendo útil para el país porque permite caracterizar de manera precisa las brechas sociales, de acceso a servicios públicos, el acceso a oportunidades laborales, entre otras, que permiten identificar y reconocer las condiciones de vida de esta población y posibilitar la generación de la política pública. Teniendo en cuenta lo anterior, durante la etapa poscensal, y con el fin de generar insumos de información estadística adecuados para la toma de decisiones públicas en los lugares donde se ubican los grupos étnicos, el DANE diseñó estrategias para estimar, de forma indirecta, el volumen poblacional de los grupos étnicos de Colombia a nivel subnacional.</w:t>
      </w:r>
    </w:p>
    <w:p w14:paraId="15CC7EE5" w14:textId="24E69EAD" w:rsidR="00B507A8" w:rsidRPr="005922D8" w:rsidRDefault="00B507A8" w:rsidP="00B507A8">
      <w:pPr>
        <w:spacing w:before="240"/>
        <w:jc w:val="both"/>
        <w:rPr>
          <w:rFonts w:ascii="Arial" w:hAnsi="Arial" w:cs="Arial"/>
          <w:lang w:val="es-ES"/>
        </w:rPr>
      </w:pPr>
      <w:r w:rsidRPr="005922D8">
        <w:rPr>
          <w:rFonts w:ascii="Arial" w:hAnsi="Arial" w:cs="Arial"/>
          <w:lang w:val="es-ES"/>
        </w:rPr>
        <w:t xml:space="preserve">Teniendo en cuenta el contexto anterior, en aras de garantizar la visibilidad estadística de la población Negra, Afrodescendiente, Raizal y Palenquera, y generar insumos de información estadística, adecuados para la toma de decisiones públicas y la asignación de recursos, en los lugares donde se ubican los grupos étnicos, el DANE diseñó una estrategia de cuatro fases para estimar el volumen poblacional de los grupos étnicos, entre ellos de </w:t>
      </w:r>
      <w:r w:rsidRPr="005922D8">
        <w:rPr>
          <w:rFonts w:ascii="Arial" w:hAnsi="Arial" w:cs="Arial"/>
          <w:lang w:val="es-ES"/>
        </w:rPr>
        <w:lastRenderedPageBreak/>
        <w:t>las comunidades Negras, Afrocolombianas, Raizales y Palenqueras, a nivel nacional, departamental y municipal, con los siguientes objetivos clave</w:t>
      </w:r>
      <w:r w:rsidRPr="005922D8">
        <w:rPr>
          <w:rStyle w:val="Refdenotaalpie"/>
          <w:rFonts w:ascii="Arial" w:hAnsi="Arial" w:cs="Arial"/>
          <w:lang w:val="es-ES"/>
        </w:rPr>
        <w:footnoteReference w:id="12"/>
      </w:r>
      <w:r w:rsidRPr="005922D8">
        <w:rPr>
          <w:rFonts w:ascii="Arial" w:hAnsi="Arial" w:cs="Arial"/>
          <w:lang w:val="es-ES"/>
        </w:rPr>
        <w:t>:</w:t>
      </w:r>
    </w:p>
    <w:p w14:paraId="0EA43115" w14:textId="77777777" w:rsidR="00B507A8" w:rsidRPr="005922D8" w:rsidRDefault="00B507A8" w:rsidP="00B507A8">
      <w:pPr>
        <w:numPr>
          <w:ilvl w:val="1"/>
          <w:numId w:val="9"/>
        </w:numPr>
        <w:spacing w:after="0"/>
        <w:jc w:val="both"/>
        <w:rPr>
          <w:rFonts w:ascii="Arial" w:hAnsi="Arial" w:cs="Arial"/>
          <w:lang w:val="es-ES"/>
        </w:rPr>
      </w:pPr>
      <w:r w:rsidRPr="005922D8">
        <w:rPr>
          <w:rFonts w:ascii="Arial" w:hAnsi="Arial" w:cs="Arial"/>
          <w:lang w:val="es-ES"/>
        </w:rPr>
        <w:t>Dar respuesta, principalmente a la omisión censal y a las dificultades relacionadas con la pregunta de autorreconocimiento para el caso de los grupos étnicos, entre ellas la población negra, afrocolombiana, raizal y palenquera y que es resultado de un proceso de estimación enmarcado en las estadísticas experimentales que el DANE está produciendo.</w:t>
      </w:r>
    </w:p>
    <w:p w14:paraId="4BFB9BD7" w14:textId="77777777" w:rsidR="00B507A8" w:rsidRPr="005922D8" w:rsidRDefault="00B507A8" w:rsidP="00B507A8">
      <w:pPr>
        <w:numPr>
          <w:ilvl w:val="1"/>
          <w:numId w:val="9"/>
        </w:numPr>
        <w:spacing w:after="0"/>
        <w:jc w:val="both"/>
        <w:rPr>
          <w:rFonts w:ascii="Arial" w:hAnsi="Arial" w:cs="Arial"/>
          <w:lang w:val="es-ES"/>
        </w:rPr>
      </w:pPr>
      <w:r w:rsidRPr="005922D8">
        <w:rPr>
          <w:rFonts w:ascii="Arial" w:hAnsi="Arial" w:cs="Arial"/>
          <w:lang w:val="es-ES"/>
        </w:rPr>
        <w:t>Realizar diagnóstico de los municipios con bajas y altas prevalencias de grupos étnicos.</w:t>
      </w:r>
    </w:p>
    <w:p w14:paraId="0E965D34" w14:textId="77777777" w:rsidR="00B507A8" w:rsidRPr="005922D8" w:rsidRDefault="00B507A8" w:rsidP="00B507A8">
      <w:pPr>
        <w:numPr>
          <w:ilvl w:val="1"/>
          <w:numId w:val="9"/>
        </w:numPr>
        <w:spacing w:after="0"/>
        <w:jc w:val="both"/>
        <w:rPr>
          <w:rFonts w:ascii="Arial" w:hAnsi="Arial" w:cs="Arial"/>
          <w:lang w:val="es-ES"/>
        </w:rPr>
      </w:pPr>
      <w:r w:rsidRPr="005922D8">
        <w:rPr>
          <w:rFonts w:ascii="Arial" w:hAnsi="Arial" w:cs="Arial"/>
          <w:lang w:val="es-ES"/>
        </w:rPr>
        <w:t>Consolidar un conjunto de aprendizaje integrando registros administrativos, encuestas a hogares y fuentes alternativas de información a nivel de grilla.</w:t>
      </w:r>
    </w:p>
    <w:p w14:paraId="39823C0E" w14:textId="77777777" w:rsidR="00B507A8" w:rsidRPr="005922D8" w:rsidRDefault="00B507A8" w:rsidP="00B507A8">
      <w:pPr>
        <w:numPr>
          <w:ilvl w:val="1"/>
          <w:numId w:val="9"/>
        </w:numPr>
        <w:spacing w:after="0"/>
        <w:jc w:val="both"/>
        <w:rPr>
          <w:rFonts w:ascii="Arial" w:hAnsi="Arial" w:cs="Arial"/>
          <w:lang w:val="es-ES"/>
        </w:rPr>
      </w:pPr>
      <w:r w:rsidRPr="005922D8">
        <w:rPr>
          <w:rFonts w:ascii="Arial" w:hAnsi="Arial" w:cs="Arial"/>
          <w:lang w:val="es-ES"/>
        </w:rPr>
        <w:t>Aplicar modelos de aprendizaje de máquinas (</w:t>
      </w:r>
      <w:r w:rsidRPr="005922D8">
        <w:rPr>
          <w:rFonts w:ascii="Arial" w:hAnsi="Arial" w:cs="Arial"/>
          <w:i/>
          <w:lang w:val="es-ES"/>
        </w:rPr>
        <w:t>machine learning</w:t>
      </w:r>
      <w:r w:rsidRPr="005922D8">
        <w:rPr>
          <w:rFonts w:ascii="Arial" w:hAnsi="Arial" w:cs="Arial"/>
          <w:lang w:val="es-ES"/>
        </w:rPr>
        <w:t>) a nivel de persona para determinar su pertenencia étnica y a nivel geográfico para estimar su participación.</w:t>
      </w:r>
    </w:p>
    <w:p w14:paraId="5446A659" w14:textId="2F83CFC2" w:rsidR="00B507A8" w:rsidRPr="005922D8" w:rsidRDefault="00B507A8" w:rsidP="00B507A8">
      <w:pPr>
        <w:numPr>
          <w:ilvl w:val="1"/>
          <w:numId w:val="9"/>
        </w:numPr>
        <w:jc w:val="both"/>
        <w:rPr>
          <w:rFonts w:ascii="Arial" w:hAnsi="Arial" w:cs="Arial"/>
          <w:lang w:val="es-ES"/>
        </w:rPr>
      </w:pPr>
      <w:r w:rsidRPr="005922D8">
        <w:rPr>
          <w:rFonts w:ascii="Arial" w:hAnsi="Arial" w:cs="Arial"/>
          <w:lang w:val="es-ES"/>
        </w:rPr>
        <w:t>Diagnosticar los modelos aplicados y realizar cálculo de impactos.</w:t>
      </w:r>
      <w:r w:rsidRPr="005922D8">
        <w:rPr>
          <w:rStyle w:val="Refdenotaalpie"/>
          <w:rFonts w:ascii="Arial" w:hAnsi="Arial" w:cs="Arial"/>
          <w:lang w:val="es-ES"/>
        </w:rPr>
        <w:footnoteReference w:id="13"/>
      </w:r>
    </w:p>
    <w:p w14:paraId="05F0C1D2"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En la Fase I, se determinó la proporción de personas pertenecientes a grupos étnicos a nivel nacional, utilizando la ECV 2018 dadas sus características idóneas que permiten caracterizar la población efectivamente censada sin información de autorreconocimiento étnico.</w:t>
      </w:r>
    </w:p>
    <w:p w14:paraId="25443AFC" w14:textId="6674FCC1" w:rsidR="00B507A8" w:rsidRPr="005922D8" w:rsidRDefault="00B507A8" w:rsidP="00B507A8">
      <w:pPr>
        <w:spacing w:before="240"/>
        <w:jc w:val="both"/>
        <w:rPr>
          <w:rFonts w:ascii="Arial" w:hAnsi="Arial" w:cs="Arial"/>
        </w:rPr>
      </w:pPr>
      <w:r w:rsidRPr="005922D8">
        <w:rPr>
          <w:rFonts w:ascii="Arial" w:hAnsi="Arial" w:cs="Arial"/>
          <w:lang w:val="es-ES"/>
        </w:rPr>
        <w:t xml:space="preserve">En la segunda Fase II, el DANE asignó la probabilidad de pertenencia étnica de la población efectivamente censada en el CNPV 2018, usando modelos predictivos de clasificación, adaptados desde los métodos presentados en (Voicu, 2018), que mediante modelos de machine learning bayesianos determinan la </w:t>
      </w:r>
      <w:r w:rsidRPr="005922D8">
        <w:rPr>
          <w:rFonts w:ascii="Arial" w:hAnsi="Arial" w:cs="Arial"/>
        </w:rPr>
        <w:t>probabilidad de que las personas se hubiesen autorreconocido étnicamente, usando los nombres como covariados</w:t>
      </w:r>
      <w:r w:rsidRPr="005922D8">
        <w:rPr>
          <w:rStyle w:val="Refdenotaalpie"/>
          <w:rFonts w:ascii="Arial" w:hAnsi="Arial" w:cs="Arial"/>
        </w:rPr>
        <w:footnoteReference w:id="14"/>
      </w:r>
      <w:r w:rsidRPr="005922D8">
        <w:rPr>
          <w:rFonts w:ascii="Arial" w:hAnsi="Arial" w:cs="Arial"/>
        </w:rPr>
        <w:t>.</w:t>
      </w:r>
    </w:p>
    <w:p w14:paraId="63E040C9" w14:textId="35A4DD74" w:rsidR="00B507A8" w:rsidRPr="005922D8" w:rsidRDefault="00B507A8" w:rsidP="00B507A8">
      <w:pPr>
        <w:spacing w:before="240"/>
        <w:jc w:val="both"/>
        <w:rPr>
          <w:rFonts w:ascii="Arial" w:hAnsi="Arial" w:cs="Arial"/>
          <w:lang w:val="es-ES"/>
        </w:rPr>
      </w:pPr>
      <w:r w:rsidRPr="005922D8">
        <w:rPr>
          <w:rFonts w:ascii="Arial" w:hAnsi="Arial" w:cs="Arial"/>
          <w:lang w:val="es-ES"/>
        </w:rPr>
        <w:t>En las Fases III y IV, se determinó la participación de cada grupo étnico en la población omitida, utilizando la georreferenciación de la población efectivamente censada. Y se consolidaron los resultados de las fases II y III, estimando el volumen poblacional de los grupos étnicos a nivel municipal y departamental, a través de la metodología de tabla cuadrada.</w:t>
      </w:r>
      <w:r w:rsidRPr="005922D8">
        <w:rPr>
          <w:rStyle w:val="Refdenotaalpie"/>
          <w:rFonts w:ascii="Arial" w:hAnsi="Arial" w:cs="Arial"/>
          <w:lang w:val="es-ES"/>
        </w:rPr>
        <w:footnoteReference w:id="15"/>
      </w:r>
    </w:p>
    <w:p w14:paraId="18D194B8" w14:textId="51B966FC" w:rsidR="00B507A8" w:rsidRPr="005922D8" w:rsidRDefault="00B507A8" w:rsidP="00B507A8">
      <w:pPr>
        <w:spacing w:before="240"/>
        <w:jc w:val="both"/>
        <w:rPr>
          <w:rFonts w:ascii="Arial" w:hAnsi="Arial" w:cs="Arial"/>
          <w:lang w:val="es-ES"/>
        </w:rPr>
      </w:pPr>
      <w:r w:rsidRPr="005922D8">
        <w:rPr>
          <w:rFonts w:ascii="Arial" w:hAnsi="Arial" w:cs="Arial"/>
          <w:lang w:val="es-ES"/>
        </w:rPr>
        <w:t xml:space="preserve">Los resultados, remitidos como anexos a la presente comunicación en archivo Excel denominado </w:t>
      </w:r>
      <w:r w:rsidRPr="005922D8">
        <w:rPr>
          <w:rFonts w:ascii="Arial" w:hAnsi="Arial" w:cs="Arial"/>
          <w:b/>
          <w:lang w:val="es-ES"/>
        </w:rPr>
        <w:t xml:space="preserve">“Pertenencia-etnica-anexos-CNPV 2018.xlsx” </w:t>
      </w:r>
      <w:r w:rsidRPr="005922D8">
        <w:rPr>
          <w:rFonts w:ascii="Arial" w:hAnsi="Arial" w:cs="Arial"/>
          <w:lang w:val="es-ES"/>
        </w:rPr>
        <w:t xml:space="preserve">disponible en el enlace de descarga: </w:t>
      </w:r>
      <w:hyperlink r:id="rId19">
        <w:r w:rsidRPr="005922D8">
          <w:rPr>
            <w:rStyle w:val="Hipervnculo"/>
            <w:rFonts w:ascii="Arial" w:hAnsi="Arial" w:cs="Arial"/>
            <w:lang w:val="es-ES"/>
          </w:rPr>
          <w:t>https://we.tl/t-</w:t>
        </w:r>
      </w:hyperlink>
      <w:r w:rsidRPr="005922D8">
        <w:rPr>
          <w:rFonts w:ascii="Arial" w:hAnsi="Arial" w:cs="Arial"/>
          <w:lang w:val="es-ES"/>
        </w:rPr>
        <w:t xml:space="preserve"> </w:t>
      </w:r>
      <w:hyperlink r:id="rId20">
        <w:r w:rsidRPr="005922D8">
          <w:rPr>
            <w:rStyle w:val="Hipervnculo"/>
            <w:rFonts w:ascii="Arial" w:hAnsi="Arial" w:cs="Arial"/>
            <w:lang w:val="es-ES"/>
          </w:rPr>
          <w:t xml:space="preserve">4pQmumtFFW, </w:t>
        </w:r>
      </w:hyperlink>
      <w:r w:rsidRPr="005922D8">
        <w:rPr>
          <w:rFonts w:ascii="Arial" w:hAnsi="Arial" w:cs="Arial"/>
          <w:lang w:val="es-ES"/>
        </w:rPr>
        <w:t xml:space="preserve">dan cuenta de la información poblacional oficial a nivel departamental y municipal, según la pertenencia étnica de las personas. Se anexan al </w:t>
      </w:r>
      <w:r w:rsidRPr="005922D8">
        <w:rPr>
          <w:rFonts w:ascii="Arial" w:hAnsi="Arial" w:cs="Arial"/>
          <w:lang w:val="es-ES"/>
        </w:rPr>
        <w:lastRenderedPageBreak/>
        <w:t>presente documento los soportes de la estimación, que incluyen además del informe metodológico y las presentaciones, en el enlace de descarga ya mencionado. Cabe reiterar que esta información fue remitida directamente a cada uno de los ministerios del Gobierno Nacional y ha sido divulgada en distintos espacios de socialización con actores locales y entes territoriales. Sin perjuicio de la documentación referenciada anteriormente, los resultados son los siguientes:</w:t>
      </w:r>
    </w:p>
    <w:p w14:paraId="1E441F59" w14:textId="77777777" w:rsidR="00B507A8" w:rsidRPr="005922D8" w:rsidRDefault="00B507A8" w:rsidP="00B507A8">
      <w:pPr>
        <w:spacing w:before="240"/>
        <w:jc w:val="both"/>
        <w:rPr>
          <w:rFonts w:ascii="Arial" w:hAnsi="Arial" w:cs="Arial"/>
          <w:b/>
          <w:bCs/>
          <w:lang w:val="es-ES"/>
        </w:rPr>
      </w:pPr>
      <w:r w:rsidRPr="005922D8">
        <w:rPr>
          <w:rFonts w:ascii="Arial" w:hAnsi="Arial" w:cs="Arial"/>
          <w:b/>
          <w:bCs/>
          <w:lang w:val="es-ES"/>
        </w:rPr>
        <w:t xml:space="preserve">Tabla 2. Población ajustada por omisión censal y autorreconocimiento étnico. </w:t>
      </w:r>
      <w:proofErr w:type="gramStart"/>
      <w:r w:rsidRPr="005922D8">
        <w:rPr>
          <w:rFonts w:ascii="Arial" w:hAnsi="Arial" w:cs="Arial"/>
          <w:b/>
          <w:bCs/>
          <w:lang w:val="es-ES"/>
        </w:rPr>
        <w:t>Total</w:t>
      </w:r>
      <w:proofErr w:type="gramEnd"/>
      <w:r w:rsidRPr="005922D8">
        <w:rPr>
          <w:rFonts w:ascii="Arial" w:hAnsi="Arial" w:cs="Arial"/>
          <w:b/>
          <w:bCs/>
          <w:lang w:val="es-ES"/>
        </w:rPr>
        <w:t xml:space="preserve"> Nacional 2018.</w:t>
      </w:r>
    </w:p>
    <w:tbl>
      <w:tblPr>
        <w:tblpPr w:leftFromText="141" w:rightFromText="141" w:vertAnchor="text" w:horzAnchor="margin" w:tblpY="36"/>
        <w:tblW w:w="94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2146"/>
        <w:gridCol w:w="1671"/>
        <w:gridCol w:w="1616"/>
        <w:gridCol w:w="1618"/>
        <w:gridCol w:w="1177"/>
        <w:gridCol w:w="1172"/>
      </w:tblGrid>
      <w:tr w:rsidR="00B507A8" w:rsidRPr="005922D8" w14:paraId="5B4D6201" w14:textId="77777777" w:rsidTr="00B507A8">
        <w:trPr>
          <w:trHeight w:val="719"/>
        </w:trPr>
        <w:tc>
          <w:tcPr>
            <w:tcW w:w="2146" w:type="dxa"/>
            <w:vMerge w:val="restart"/>
            <w:tcBorders>
              <w:top w:val="nil"/>
              <w:left w:val="nil"/>
            </w:tcBorders>
            <w:shd w:val="clear" w:color="auto" w:fill="B6004A"/>
          </w:tcPr>
          <w:p w14:paraId="5F21CCD0" w14:textId="77777777" w:rsidR="00B507A8" w:rsidRPr="005922D8" w:rsidRDefault="00B507A8" w:rsidP="00B507A8">
            <w:pPr>
              <w:spacing w:before="240"/>
              <w:jc w:val="both"/>
              <w:rPr>
                <w:rFonts w:ascii="Arial" w:hAnsi="Arial" w:cs="Arial"/>
                <w:b/>
                <w:lang w:val="es-ES"/>
              </w:rPr>
            </w:pPr>
          </w:p>
          <w:p w14:paraId="2EBB41B2" w14:textId="77777777" w:rsidR="00B507A8" w:rsidRPr="005922D8" w:rsidRDefault="00B507A8" w:rsidP="00B507A8">
            <w:pPr>
              <w:spacing w:before="240"/>
              <w:jc w:val="both"/>
              <w:rPr>
                <w:rFonts w:ascii="Arial" w:hAnsi="Arial" w:cs="Arial"/>
                <w:b/>
                <w:lang w:val="es-ES"/>
              </w:rPr>
            </w:pPr>
            <w:r w:rsidRPr="005922D8">
              <w:rPr>
                <w:rFonts w:ascii="Arial" w:hAnsi="Arial" w:cs="Arial"/>
                <w:b/>
                <w:lang w:val="es-ES"/>
              </w:rPr>
              <w:t>Grupo étnico</w:t>
            </w:r>
          </w:p>
        </w:tc>
        <w:tc>
          <w:tcPr>
            <w:tcW w:w="4905" w:type="dxa"/>
            <w:gridSpan w:val="3"/>
            <w:tcBorders>
              <w:top w:val="nil"/>
            </w:tcBorders>
            <w:shd w:val="clear" w:color="auto" w:fill="B6004A"/>
          </w:tcPr>
          <w:p w14:paraId="60D42659" w14:textId="77777777" w:rsidR="00B507A8" w:rsidRPr="005922D8" w:rsidRDefault="00B507A8" w:rsidP="00B507A8">
            <w:pPr>
              <w:spacing w:before="240"/>
              <w:jc w:val="both"/>
              <w:rPr>
                <w:rFonts w:ascii="Arial" w:hAnsi="Arial" w:cs="Arial"/>
                <w:b/>
                <w:lang w:val="es-ES"/>
              </w:rPr>
            </w:pPr>
            <w:proofErr w:type="gramStart"/>
            <w:r w:rsidRPr="005922D8">
              <w:rPr>
                <w:rFonts w:ascii="Arial" w:hAnsi="Arial" w:cs="Arial"/>
                <w:b/>
                <w:lang w:val="es-ES"/>
              </w:rPr>
              <w:t>Total</w:t>
            </w:r>
            <w:proofErr w:type="gramEnd"/>
            <w:r w:rsidRPr="005922D8">
              <w:rPr>
                <w:rFonts w:ascii="Arial" w:hAnsi="Arial" w:cs="Arial"/>
                <w:b/>
                <w:lang w:val="es-ES"/>
              </w:rPr>
              <w:t xml:space="preserve"> Personas</w:t>
            </w:r>
          </w:p>
        </w:tc>
        <w:tc>
          <w:tcPr>
            <w:tcW w:w="2349" w:type="dxa"/>
            <w:gridSpan w:val="2"/>
            <w:tcBorders>
              <w:top w:val="nil"/>
              <w:right w:val="nil"/>
            </w:tcBorders>
            <w:shd w:val="clear" w:color="auto" w:fill="B6004A"/>
          </w:tcPr>
          <w:p w14:paraId="45D0189F" w14:textId="77777777" w:rsidR="00B507A8" w:rsidRPr="005922D8" w:rsidRDefault="00B507A8" w:rsidP="00B507A8">
            <w:pPr>
              <w:spacing w:before="240"/>
              <w:jc w:val="both"/>
              <w:rPr>
                <w:rFonts w:ascii="Arial" w:hAnsi="Arial" w:cs="Arial"/>
                <w:b/>
                <w:lang w:val="es-ES"/>
              </w:rPr>
            </w:pPr>
            <w:r w:rsidRPr="005922D8">
              <w:rPr>
                <w:rFonts w:ascii="Arial" w:hAnsi="Arial" w:cs="Arial"/>
                <w:b/>
                <w:lang w:val="es-ES"/>
              </w:rPr>
              <w:t>Porcentaje</w:t>
            </w:r>
          </w:p>
        </w:tc>
      </w:tr>
      <w:tr w:rsidR="00B507A8" w:rsidRPr="005922D8" w14:paraId="0BFA1216" w14:textId="77777777" w:rsidTr="00B507A8">
        <w:trPr>
          <w:trHeight w:val="359"/>
        </w:trPr>
        <w:tc>
          <w:tcPr>
            <w:tcW w:w="2146" w:type="dxa"/>
            <w:vMerge/>
            <w:tcBorders>
              <w:top w:val="nil"/>
              <w:left w:val="nil"/>
            </w:tcBorders>
            <w:shd w:val="clear" w:color="auto" w:fill="B6004A"/>
          </w:tcPr>
          <w:p w14:paraId="42B59CD3" w14:textId="77777777" w:rsidR="00B507A8" w:rsidRPr="005922D8" w:rsidRDefault="00B507A8" w:rsidP="00B507A8">
            <w:pPr>
              <w:spacing w:before="240"/>
              <w:jc w:val="both"/>
              <w:rPr>
                <w:rFonts w:ascii="Arial" w:hAnsi="Arial" w:cs="Arial"/>
                <w:lang w:val="es-ES"/>
              </w:rPr>
            </w:pPr>
          </w:p>
        </w:tc>
        <w:tc>
          <w:tcPr>
            <w:tcW w:w="1671" w:type="dxa"/>
            <w:shd w:val="clear" w:color="auto" w:fill="B6004A"/>
          </w:tcPr>
          <w:p w14:paraId="4C4E2A09" w14:textId="77777777" w:rsidR="00B507A8" w:rsidRPr="005922D8" w:rsidRDefault="00B507A8" w:rsidP="00B507A8">
            <w:pPr>
              <w:spacing w:before="240"/>
              <w:jc w:val="both"/>
              <w:rPr>
                <w:rFonts w:ascii="Arial" w:hAnsi="Arial" w:cs="Arial"/>
                <w:b/>
                <w:lang w:val="es-ES"/>
              </w:rPr>
            </w:pPr>
            <w:r w:rsidRPr="005922D8">
              <w:rPr>
                <w:rFonts w:ascii="Arial" w:hAnsi="Arial" w:cs="Arial"/>
                <w:b/>
                <w:lang w:val="es-ES"/>
              </w:rPr>
              <w:t>Censado</w:t>
            </w:r>
          </w:p>
        </w:tc>
        <w:tc>
          <w:tcPr>
            <w:tcW w:w="1616" w:type="dxa"/>
            <w:shd w:val="clear" w:color="auto" w:fill="B6004A"/>
          </w:tcPr>
          <w:p w14:paraId="6DAF7DDF" w14:textId="77777777" w:rsidR="00B507A8" w:rsidRPr="005922D8" w:rsidRDefault="00B507A8" w:rsidP="00B507A8">
            <w:pPr>
              <w:spacing w:before="240"/>
              <w:jc w:val="both"/>
              <w:rPr>
                <w:rFonts w:ascii="Arial" w:hAnsi="Arial" w:cs="Arial"/>
                <w:b/>
                <w:lang w:val="es-ES"/>
              </w:rPr>
            </w:pPr>
            <w:r w:rsidRPr="005922D8">
              <w:rPr>
                <w:rFonts w:ascii="Arial" w:hAnsi="Arial" w:cs="Arial"/>
                <w:b/>
                <w:lang w:val="es-ES"/>
              </w:rPr>
              <w:t>Ajuste</w:t>
            </w:r>
          </w:p>
        </w:tc>
        <w:tc>
          <w:tcPr>
            <w:tcW w:w="1618" w:type="dxa"/>
            <w:shd w:val="clear" w:color="auto" w:fill="B6004A"/>
          </w:tcPr>
          <w:p w14:paraId="007CD5B8" w14:textId="77777777" w:rsidR="00B507A8" w:rsidRPr="005922D8" w:rsidRDefault="00B507A8" w:rsidP="00B507A8">
            <w:pPr>
              <w:spacing w:before="240"/>
              <w:jc w:val="both"/>
              <w:rPr>
                <w:rFonts w:ascii="Arial" w:hAnsi="Arial" w:cs="Arial"/>
                <w:b/>
                <w:lang w:val="es-ES"/>
              </w:rPr>
            </w:pPr>
            <w:r w:rsidRPr="005922D8">
              <w:rPr>
                <w:rFonts w:ascii="Arial" w:hAnsi="Arial" w:cs="Arial"/>
                <w:b/>
                <w:lang w:val="es-ES"/>
              </w:rPr>
              <w:t>Total</w:t>
            </w:r>
          </w:p>
        </w:tc>
        <w:tc>
          <w:tcPr>
            <w:tcW w:w="1177" w:type="dxa"/>
            <w:shd w:val="clear" w:color="auto" w:fill="B6004A"/>
          </w:tcPr>
          <w:p w14:paraId="501F9124" w14:textId="77777777" w:rsidR="00B507A8" w:rsidRPr="005922D8" w:rsidRDefault="00B507A8" w:rsidP="00B507A8">
            <w:pPr>
              <w:spacing w:before="240"/>
              <w:jc w:val="both"/>
              <w:rPr>
                <w:rFonts w:ascii="Arial" w:hAnsi="Arial" w:cs="Arial"/>
                <w:b/>
                <w:lang w:val="es-ES"/>
              </w:rPr>
            </w:pPr>
            <w:r w:rsidRPr="005922D8">
              <w:rPr>
                <w:rFonts w:ascii="Arial" w:hAnsi="Arial" w:cs="Arial"/>
                <w:b/>
                <w:lang w:val="es-ES"/>
              </w:rPr>
              <w:t>Censado</w:t>
            </w:r>
          </w:p>
        </w:tc>
        <w:tc>
          <w:tcPr>
            <w:tcW w:w="1172" w:type="dxa"/>
            <w:tcBorders>
              <w:right w:val="nil"/>
            </w:tcBorders>
            <w:shd w:val="clear" w:color="auto" w:fill="B6004A"/>
          </w:tcPr>
          <w:p w14:paraId="660FECBE" w14:textId="77777777" w:rsidR="00B507A8" w:rsidRPr="005922D8" w:rsidRDefault="00B507A8" w:rsidP="00B507A8">
            <w:pPr>
              <w:spacing w:before="240"/>
              <w:jc w:val="both"/>
              <w:rPr>
                <w:rFonts w:ascii="Arial" w:hAnsi="Arial" w:cs="Arial"/>
                <w:b/>
                <w:lang w:val="es-ES"/>
              </w:rPr>
            </w:pPr>
            <w:r w:rsidRPr="005922D8">
              <w:rPr>
                <w:rFonts w:ascii="Arial" w:hAnsi="Arial" w:cs="Arial"/>
                <w:b/>
                <w:lang w:val="es-ES"/>
              </w:rPr>
              <w:t>Ajuste</w:t>
            </w:r>
          </w:p>
        </w:tc>
      </w:tr>
      <w:tr w:rsidR="00B507A8" w:rsidRPr="005922D8" w14:paraId="6F2BA43A" w14:textId="77777777" w:rsidTr="00B507A8">
        <w:trPr>
          <w:trHeight w:val="539"/>
        </w:trPr>
        <w:tc>
          <w:tcPr>
            <w:tcW w:w="2146" w:type="dxa"/>
            <w:tcBorders>
              <w:left w:val="nil"/>
              <w:bottom w:val="nil"/>
            </w:tcBorders>
            <w:shd w:val="clear" w:color="auto" w:fill="F1F1F1"/>
          </w:tcPr>
          <w:p w14:paraId="1394A066"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Indígena</w:t>
            </w:r>
          </w:p>
        </w:tc>
        <w:tc>
          <w:tcPr>
            <w:tcW w:w="1671" w:type="dxa"/>
            <w:tcBorders>
              <w:bottom w:val="nil"/>
            </w:tcBorders>
            <w:shd w:val="clear" w:color="auto" w:fill="F1F1F1"/>
          </w:tcPr>
          <w:p w14:paraId="47DA2AB1"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1.905.617</w:t>
            </w:r>
          </w:p>
        </w:tc>
        <w:tc>
          <w:tcPr>
            <w:tcW w:w="1616" w:type="dxa"/>
            <w:tcBorders>
              <w:bottom w:val="nil"/>
            </w:tcBorders>
            <w:shd w:val="clear" w:color="auto" w:fill="F1F1F1"/>
          </w:tcPr>
          <w:p w14:paraId="17A4A6A3"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229.242</w:t>
            </w:r>
          </w:p>
        </w:tc>
        <w:tc>
          <w:tcPr>
            <w:tcW w:w="1618" w:type="dxa"/>
            <w:tcBorders>
              <w:bottom w:val="nil"/>
            </w:tcBorders>
            <w:shd w:val="clear" w:color="auto" w:fill="F1F1F1"/>
          </w:tcPr>
          <w:p w14:paraId="229988FE"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2.134.859</w:t>
            </w:r>
          </w:p>
        </w:tc>
        <w:tc>
          <w:tcPr>
            <w:tcW w:w="1177" w:type="dxa"/>
            <w:tcBorders>
              <w:bottom w:val="nil"/>
            </w:tcBorders>
            <w:shd w:val="clear" w:color="auto" w:fill="F1F1F1"/>
          </w:tcPr>
          <w:p w14:paraId="77294094"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89,3%</w:t>
            </w:r>
          </w:p>
        </w:tc>
        <w:tc>
          <w:tcPr>
            <w:tcW w:w="1172" w:type="dxa"/>
            <w:tcBorders>
              <w:bottom w:val="nil"/>
              <w:right w:val="nil"/>
            </w:tcBorders>
            <w:shd w:val="clear" w:color="auto" w:fill="F1F1F1"/>
          </w:tcPr>
          <w:p w14:paraId="049F5279"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10,7%</w:t>
            </w:r>
          </w:p>
        </w:tc>
      </w:tr>
      <w:tr w:rsidR="00B507A8" w:rsidRPr="005922D8" w14:paraId="489031D9" w14:textId="77777777" w:rsidTr="00B507A8">
        <w:trPr>
          <w:trHeight w:val="561"/>
        </w:trPr>
        <w:tc>
          <w:tcPr>
            <w:tcW w:w="2146" w:type="dxa"/>
            <w:tcBorders>
              <w:top w:val="nil"/>
              <w:left w:val="nil"/>
              <w:bottom w:val="nil"/>
            </w:tcBorders>
          </w:tcPr>
          <w:p w14:paraId="78482EB7"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Gitano(a) o Rrom</w:t>
            </w:r>
          </w:p>
        </w:tc>
        <w:tc>
          <w:tcPr>
            <w:tcW w:w="1671" w:type="dxa"/>
            <w:tcBorders>
              <w:top w:val="nil"/>
              <w:bottom w:val="nil"/>
            </w:tcBorders>
          </w:tcPr>
          <w:p w14:paraId="0435272F"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2.649</w:t>
            </w:r>
          </w:p>
        </w:tc>
        <w:tc>
          <w:tcPr>
            <w:tcW w:w="1616" w:type="dxa"/>
            <w:tcBorders>
              <w:top w:val="nil"/>
              <w:bottom w:val="nil"/>
            </w:tcBorders>
          </w:tcPr>
          <w:p w14:paraId="062CDD91"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43</w:t>
            </w:r>
          </w:p>
        </w:tc>
        <w:tc>
          <w:tcPr>
            <w:tcW w:w="1618" w:type="dxa"/>
            <w:tcBorders>
              <w:top w:val="nil"/>
              <w:bottom w:val="nil"/>
            </w:tcBorders>
          </w:tcPr>
          <w:p w14:paraId="023CAC97"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2.692</w:t>
            </w:r>
          </w:p>
        </w:tc>
        <w:tc>
          <w:tcPr>
            <w:tcW w:w="1177" w:type="dxa"/>
            <w:tcBorders>
              <w:top w:val="nil"/>
              <w:bottom w:val="nil"/>
            </w:tcBorders>
          </w:tcPr>
          <w:p w14:paraId="6CB5D713"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98,4%</w:t>
            </w:r>
          </w:p>
        </w:tc>
        <w:tc>
          <w:tcPr>
            <w:tcW w:w="1172" w:type="dxa"/>
            <w:tcBorders>
              <w:top w:val="nil"/>
              <w:bottom w:val="nil"/>
              <w:right w:val="nil"/>
            </w:tcBorders>
          </w:tcPr>
          <w:p w14:paraId="1708D2EB"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1,6%</w:t>
            </w:r>
          </w:p>
        </w:tc>
      </w:tr>
      <w:tr w:rsidR="00B507A8" w:rsidRPr="005922D8" w14:paraId="747BB6EB" w14:textId="77777777" w:rsidTr="00B507A8">
        <w:trPr>
          <w:trHeight w:val="1329"/>
        </w:trPr>
        <w:tc>
          <w:tcPr>
            <w:tcW w:w="2146" w:type="dxa"/>
            <w:tcBorders>
              <w:top w:val="nil"/>
              <w:left w:val="nil"/>
              <w:bottom w:val="nil"/>
            </w:tcBorders>
            <w:shd w:val="clear" w:color="auto" w:fill="F1F1F1"/>
          </w:tcPr>
          <w:p w14:paraId="5ED53FAD"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Raizal del archipiélago de San Andrés, Providencia y Santa Catalina</w:t>
            </w:r>
          </w:p>
        </w:tc>
        <w:tc>
          <w:tcPr>
            <w:tcW w:w="1671" w:type="dxa"/>
            <w:tcBorders>
              <w:top w:val="nil"/>
              <w:bottom w:val="nil"/>
            </w:tcBorders>
            <w:shd w:val="clear" w:color="auto" w:fill="F1F1F1"/>
          </w:tcPr>
          <w:p w14:paraId="35F8B4A1" w14:textId="77777777" w:rsidR="00B507A8" w:rsidRPr="005922D8" w:rsidRDefault="00B507A8" w:rsidP="00B507A8">
            <w:pPr>
              <w:spacing w:before="240"/>
              <w:jc w:val="both"/>
              <w:rPr>
                <w:rFonts w:ascii="Arial" w:hAnsi="Arial" w:cs="Arial"/>
                <w:b/>
                <w:lang w:val="es-ES"/>
              </w:rPr>
            </w:pPr>
          </w:p>
          <w:p w14:paraId="213643BB"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25.515</w:t>
            </w:r>
          </w:p>
        </w:tc>
        <w:tc>
          <w:tcPr>
            <w:tcW w:w="1616" w:type="dxa"/>
            <w:tcBorders>
              <w:top w:val="nil"/>
              <w:bottom w:val="nil"/>
            </w:tcBorders>
            <w:shd w:val="clear" w:color="auto" w:fill="F1F1F1"/>
          </w:tcPr>
          <w:p w14:paraId="39D11C19" w14:textId="77777777" w:rsidR="00B507A8" w:rsidRPr="005922D8" w:rsidRDefault="00B507A8" w:rsidP="00B507A8">
            <w:pPr>
              <w:spacing w:before="240"/>
              <w:jc w:val="both"/>
              <w:rPr>
                <w:rFonts w:ascii="Arial" w:hAnsi="Arial" w:cs="Arial"/>
                <w:b/>
                <w:lang w:val="es-ES"/>
              </w:rPr>
            </w:pPr>
          </w:p>
          <w:p w14:paraId="262FC9A5"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22</w:t>
            </w:r>
          </w:p>
        </w:tc>
        <w:tc>
          <w:tcPr>
            <w:tcW w:w="1618" w:type="dxa"/>
            <w:tcBorders>
              <w:top w:val="nil"/>
              <w:bottom w:val="nil"/>
            </w:tcBorders>
            <w:shd w:val="clear" w:color="auto" w:fill="F1F1F1"/>
          </w:tcPr>
          <w:p w14:paraId="12577B43" w14:textId="77777777" w:rsidR="00B507A8" w:rsidRPr="005922D8" w:rsidRDefault="00B507A8" w:rsidP="00B507A8">
            <w:pPr>
              <w:spacing w:before="240"/>
              <w:jc w:val="both"/>
              <w:rPr>
                <w:rFonts w:ascii="Arial" w:hAnsi="Arial" w:cs="Arial"/>
                <w:b/>
                <w:lang w:val="es-ES"/>
              </w:rPr>
            </w:pPr>
          </w:p>
          <w:p w14:paraId="41207548"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25.537</w:t>
            </w:r>
          </w:p>
        </w:tc>
        <w:tc>
          <w:tcPr>
            <w:tcW w:w="1177" w:type="dxa"/>
            <w:tcBorders>
              <w:top w:val="nil"/>
              <w:bottom w:val="nil"/>
            </w:tcBorders>
            <w:shd w:val="clear" w:color="auto" w:fill="F1F1F1"/>
          </w:tcPr>
          <w:p w14:paraId="154030FD" w14:textId="77777777" w:rsidR="00B507A8" w:rsidRPr="005922D8" w:rsidRDefault="00B507A8" w:rsidP="00B507A8">
            <w:pPr>
              <w:spacing w:before="240"/>
              <w:jc w:val="both"/>
              <w:rPr>
                <w:rFonts w:ascii="Arial" w:hAnsi="Arial" w:cs="Arial"/>
                <w:b/>
                <w:lang w:val="es-ES"/>
              </w:rPr>
            </w:pPr>
          </w:p>
          <w:p w14:paraId="5AA4079D"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99,9%</w:t>
            </w:r>
          </w:p>
        </w:tc>
        <w:tc>
          <w:tcPr>
            <w:tcW w:w="1172" w:type="dxa"/>
            <w:tcBorders>
              <w:top w:val="nil"/>
              <w:bottom w:val="nil"/>
              <w:right w:val="nil"/>
            </w:tcBorders>
            <w:shd w:val="clear" w:color="auto" w:fill="F1F1F1"/>
          </w:tcPr>
          <w:p w14:paraId="61C50A98" w14:textId="77777777" w:rsidR="00B507A8" w:rsidRPr="005922D8" w:rsidRDefault="00B507A8" w:rsidP="00B507A8">
            <w:pPr>
              <w:spacing w:before="240"/>
              <w:jc w:val="both"/>
              <w:rPr>
                <w:rFonts w:ascii="Arial" w:hAnsi="Arial" w:cs="Arial"/>
                <w:b/>
                <w:lang w:val="es-ES"/>
              </w:rPr>
            </w:pPr>
          </w:p>
          <w:p w14:paraId="5F344D06"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0,1%</w:t>
            </w:r>
          </w:p>
        </w:tc>
      </w:tr>
      <w:tr w:rsidR="00B507A8" w:rsidRPr="005922D8" w14:paraId="40C481C8" w14:textId="77777777" w:rsidTr="00B507A8">
        <w:trPr>
          <w:trHeight w:val="559"/>
        </w:trPr>
        <w:tc>
          <w:tcPr>
            <w:tcW w:w="2146" w:type="dxa"/>
            <w:tcBorders>
              <w:top w:val="nil"/>
              <w:left w:val="nil"/>
              <w:bottom w:val="nil"/>
            </w:tcBorders>
          </w:tcPr>
          <w:p w14:paraId="49254A1C"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Palenquero(a) de San Basilio</w:t>
            </w:r>
          </w:p>
        </w:tc>
        <w:tc>
          <w:tcPr>
            <w:tcW w:w="1671" w:type="dxa"/>
            <w:tcBorders>
              <w:top w:val="nil"/>
              <w:bottom w:val="nil"/>
            </w:tcBorders>
          </w:tcPr>
          <w:p w14:paraId="3698EE03"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6.637</w:t>
            </w:r>
          </w:p>
        </w:tc>
        <w:tc>
          <w:tcPr>
            <w:tcW w:w="1616" w:type="dxa"/>
            <w:tcBorders>
              <w:top w:val="nil"/>
              <w:bottom w:val="nil"/>
            </w:tcBorders>
          </w:tcPr>
          <w:p w14:paraId="23EFBAC4"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4.469</w:t>
            </w:r>
          </w:p>
        </w:tc>
        <w:tc>
          <w:tcPr>
            <w:tcW w:w="1618" w:type="dxa"/>
            <w:tcBorders>
              <w:top w:val="nil"/>
              <w:bottom w:val="nil"/>
            </w:tcBorders>
          </w:tcPr>
          <w:p w14:paraId="3EDCA43B"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11.106</w:t>
            </w:r>
          </w:p>
        </w:tc>
        <w:tc>
          <w:tcPr>
            <w:tcW w:w="1177" w:type="dxa"/>
            <w:tcBorders>
              <w:top w:val="nil"/>
              <w:bottom w:val="nil"/>
            </w:tcBorders>
          </w:tcPr>
          <w:p w14:paraId="319539A9"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59,8%</w:t>
            </w:r>
          </w:p>
        </w:tc>
        <w:tc>
          <w:tcPr>
            <w:tcW w:w="1172" w:type="dxa"/>
            <w:tcBorders>
              <w:top w:val="nil"/>
              <w:bottom w:val="nil"/>
              <w:right w:val="nil"/>
            </w:tcBorders>
          </w:tcPr>
          <w:p w14:paraId="44D1D426"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40,2%</w:t>
            </w:r>
          </w:p>
        </w:tc>
      </w:tr>
      <w:tr w:rsidR="00B507A8" w:rsidRPr="005922D8" w14:paraId="12F768ED" w14:textId="77777777" w:rsidTr="00B507A8">
        <w:trPr>
          <w:trHeight w:val="840"/>
        </w:trPr>
        <w:tc>
          <w:tcPr>
            <w:tcW w:w="2146" w:type="dxa"/>
            <w:tcBorders>
              <w:top w:val="nil"/>
              <w:left w:val="nil"/>
              <w:bottom w:val="nil"/>
            </w:tcBorders>
            <w:shd w:val="clear" w:color="auto" w:fill="F1F1F1"/>
          </w:tcPr>
          <w:p w14:paraId="4DB3B68A"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Negro(a), mulato(a), afrodescendiente, afrocolombiano(a)</w:t>
            </w:r>
          </w:p>
        </w:tc>
        <w:tc>
          <w:tcPr>
            <w:tcW w:w="1671" w:type="dxa"/>
            <w:tcBorders>
              <w:top w:val="nil"/>
              <w:bottom w:val="nil"/>
            </w:tcBorders>
            <w:shd w:val="clear" w:color="auto" w:fill="F1F1F1"/>
          </w:tcPr>
          <w:p w14:paraId="026EA0A8" w14:textId="77777777" w:rsidR="00B507A8" w:rsidRPr="005922D8" w:rsidRDefault="00B507A8" w:rsidP="00B507A8">
            <w:pPr>
              <w:spacing w:before="240"/>
              <w:jc w:val="both"/>
              <w:rPr>
                <w:rFonts w:ascii="Arial" w:hAnsi="Arial" w:cs="Arial"/>
                <w:b/>
                <w:lang w:val="es-ES"/>
              </w:rPr>
            </w:pPr>
          </w:p>
          <w:p w14:paraId="6915FC4F"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2.950.072</w:t>
            </w:r>
          </w:p>
        </w:tc>
        <w:tc>
          <w:tcPr>
            <w:tcW w:w="1616" w:type="dxa"/>
            <w:tcBorders>
              <w:top w:val="nil"/>
              <w:bottom w:val="nil"/>
            </w:tcBorders>
            <w:shd w:val="clear" w:color="auto" w:fill="F1F1F1"/>
          </w:tcPr>
          <w:p w14:paraId="0B7D5426" w14:textId="77777777" w:rsidR="00B507A8" w:rsidRPr="005922D8" w:rsidRDefault="00B507A8" w:rsidP="00B507A8">
            <w:pPr>
              <w:spacing w:before="240"/>
              <w:jc w:val="both"/>
              <w:rPr>
                <w:rFonts w:ascii="Arial" w:hAnsi="Arial" w:cs="Arial"/>
                <w:b/>
                <w:lang w:val="es-ES"/>
              </w:rPr>
            </w:pPr>
          </w:p>
          <w:p w14:paraId="6211DA11"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1.446.813</w:t>
            </w:r>
          </w:p>
        </w:tc>
        <w:tc>
          <w:tcPr>
            <w:tcW w:w="1618" w:type="dxa"/>
            <w:tcBorders>
              <w:top w:val="nil"/>
              <w:bottom w:val="nil"/>
            </w:tcBorders>
            <w:shd w:val="clear" w:color="auto" w:fill="F1F1F1"/>
          </w:tcPr>
          <w:p w14:paraId="61E7BB14" w14:textId="77777777" w:rsidR="00B507A8" w:rsidRPr="005922D8" w:rsidRDefault="00B507A8" w:rsidP="00B507A8">
            <w:pPr>
              <w:spacing w:before="240"/>
              <w:jc w:val="both"/>
              <w:rPr>
                <w:rFonts w:ascii="Arial" w:hAnsi="Arial" w:cs="Arial"/>
                <w:b/>
                <w:lang w:val="es-ES"/>
              </w:rPr>
            </w:pPr>
          </w:p>
          <w:p w14:paraId="1200E69B"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4.396.885</w:t>
            </w:r>
          </w:p>
        </w:tc>
        <w:tc>
          <w:tcPr>
            <w:tcW w:w="1177" w:type="dxa"/>
            <w:tcBorders>
              <w:top w:val="nil"/>
              <w:bottom w:val="nil"/>
            </w:tcBorders>
            <w:shd w:val="clear" w:color="auto" w:fill="F1F1F1"/>
          </w:tcPr>
          <w:p w14:paraId="479B70D8" w14:textId="77777777" w:rsidR="00B507A8" w:rsidRPr="005922D8" w:rsidRDefault="00B507A8" w:rsidP="00B507A8">
            <w:pPr>
              <w:spacing w:before="240"/>
              <w:jc w:val="both"/>
              <w:rPr>
                <w:rFonts w:ascii="Arial" w:hAnsi="Arial" w:cs="Arial"/>
                <w:b/>
                <w:lang w:val="es-ES"/>
              </w:rPr>
            </w:pPr>
          </w:p>
          <w:p w14:paraId="3144F293"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67,1%</w:t>
            </w:r>
          </w:p>
        </w:tc>
        <w:tc>
          <w:tcPr>
            <w:tcW w:w="1172" w:type="dxa"/>
            <w:tcBorders>
              <w:top w:val="nil"/>
              <w:bottom w:val="nil"/>
              <w:right w:val="nil"/>
            </w:tcBorders>
            <w:shd w:val="clear" w:color="auto" w:fill="F1F1F1"/>
          </w:tcPr>
          <w:p w14:paraId="3D1ABEA7" w14:textId="77777777" w:rsidR="00B507A8" w:rsidRPr="005922D8" w:rsidRDefault="00B507A8" w:rsidP="00B507A8">
            <w:pPr>
              <w:spacing w:before="240"/>
              <w:jc w:val="both"/>
              <w:rPr>
                <w:rFonts w:ascii="Arial" w:hAnsi="Arial" w:cs="Arial"/>
                <w:b/>
                <w:lang w:val="es-ES"/>
              </w:rPr>
            </w:pPr>
          </w:p>
          <w:p w14:paraId="4610F0EC"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32,9%</w:t>
            </w:r>
          </w:p>
        </w:tc>
      </w:tr>
      <w:tr w:rsidR="00B507A8" w:rsidRPr="005922D8" w14:paraId="4B129BF8" w14:textId="77777777" w:rsidTr="00B507A8">
        <w:trPr>
          <w:trHeight w:val="559"/>
        </w:trPr>
        <w:tc>
          <w:tcPr>
            <w:tcW w:w="2146" w:type="dxa"/>
            <w:tcBorders>
              <w:top w:val="nil"/>
              <w:left w:val="nil"/>
              <w:bottom w:val="nil"/>
            </w:tcBorders>
          </w:tcPr>
          <w:p w14:paraId="388101BF"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Ningún grupo étnico</w:t>
            </w:r>
          </w:p>
        </w:tc>
        <w:tc>
          <w:tcPr>
            <w:tcW w:w="1671" w:type="dxa"/>
            <w:tcBorders>
              <w:top w:val="nil"/>
              <w:bottom w:val="nil"/>
            </w:tcBorders>
          </w:tcPr>
          <w:p w14:paraId="482CD853"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36.678.341</w:t>
            </w:r>
          </w:p>
        </w:tc>
        <w:tc>
          <w:tcPr>
            <w:tcW w:w="1616" w:type="dxa"/>
            <w:tcBorders>
              <w:top w:val="nil"/>
              <w:bottom w:val="nil"/>
            </w:tcBorders>
          </w:tcPr>
          <w:p w14:paraId="7B73BD1E"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2.826.410</w:t>
            </w:r>
          </w:p>
        </w:tc>
        <w:tc>
          <w:tcPr>
            <w:tcW w:w="1618" w:type="dxa"/>
            <w:tcBorders>
              <w:top w:val="nil"/>
              <w:bottom w:val="nil"/>
            </w:tcBorders>
          </w:tcPr>
          <w:p w14:paraId="222B275B"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41.504.751</w:t>
            </w:r>
          </w:p>
        </w:tc>
        <w:tc>
          <w:tcPr>
            <w:tcW w:w="1177" w:type="dxa"/>
            <w:tcBorders>
              <w:top w:val="nil"/>
              <w:bottom w:val="nil"/>
            </w:tcBorders>
          </w:tcPr>
          <w:p w14:paraId="6C91807C"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93,2%</w:t>
            </w:r>
          </w:p>
        </w:tc>
        <w:tc>
          <w:tcPr>
            <w:tcW w:w="1172" w:type="dxa"/>
            <w:tcBorders>
              <w:top w:val="nil"/>
              <w:bottom w:val="nil"/>
              <w:right w:val="nil"/>
            </w:tcBorders>
          </w:tcPr>
          <w:p w14:paraId="24FAF841"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6,8%</w:t>
            </w:r>
          </w:p>
        </w:tc>
      </w:tr>
      <w:tr w:rsidR="00B507A8" w:rsidRPr="005922D8" w14:paraId="58B1BDEA" w14:textId="77777777" w:rsidTr="00B507A8">
        <w:trPr>
          <w:trHeight w:val="540"/>
        </w:trPr>
        <w:tc>
          <w:tcPr>
            <w:tcW w:w="2146" w:type="dxa"/>
            <w:tcBorders>
              <w:top w:val="nil"/>
              <w:left w:val="nil"/>
              <w:bottom w:val="nil"/>
            </w:tcBorders>
            <w:shd w:val="clear" w:color="auto" w:fill="F1F1F1"/>
          </w:tcPr>
          <w:p w14:paraId="23F66870"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Sin información</w:t>
            </w:r>
          </w:p>
        </w:tc>
        <w:tc>
          <w:tcPr>
            <w:tcW w:w="1671" w:type="dxa"/>
            <w:tcBorders>
              <w:top w:val="nil"/>
              <w:bottom w:val="nil"/>
            </w:tcBorders>
            <w:shd w:val="clear" w:color="auto" w:fill="F1F1F1"/>
          </w:tcPr>
          <w:p w14:paraId="3F116761"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595.586</w:t>
            </w:r>
          </w:p>
        </w:tc>
        <w:tc>
          <w:tcPr>
            <w:tcW w:w="1616" w:type="dxa"/>
            <w:tcBorders>
              <w:top w:val="nil"/>
              <w:bottom w:val="nil"/>
            </w:tcBorders>
            <w:shd w:val="clear" w:color="auto" w:fill="F1F1F1"/>
          </w:tcPr>
          <w:p w14:paraId="19B7D426"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-412.922</w:t>
            </w:r>
          </w:p>
        </w:tc>
        <w:tc>
          <w:tcPr>
            <w:tcW w:w="1618" w:type="dxa"/>
            <w:tcBorders>
              <w:top w:val="nil"/>
              <w:bottom w:val="nil"/>
            </w:tcBorders>
            <w:shd w:val="clear" w:color="auto" w:fill="F1F1F1"/>
          </w:tcPr>
          <w:p w14:paraId="3C527C76"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182.664</w:t>
            </w:r>
          </w:p>
        </w:tc>
        <w:tc>
          <w:tcPr>
            <w:tcW w:w="1177" w:type="dxa"/>
            <w:tcBorders>
              <w:top w:val="nil"/>
              <w:bottom w:val="nil"/>
            </w:tcBorders>
            <w:shd w:val="clear" w:color="auto" w:fill="F1F1F1"/>
          </w:tcPr>
          <w:p w14:paraId="437D9FB9" w14:textId="77777777" w:rsidR="00B507A8" w:rsidRPr="005922D8" w:rsidRDefault="00B507A8" w:rsidP="00B507A8">
            <w:pPr>
              <w:spacing w:before="240"/>
              <w:jc w:val="both"/>
              <w:rPr>
                <w:rFonts w:ascii="Arial" w:hAnsi="Arial" w:cs="Arial"/>
                <w:lang w:val="es-ES"/>
              </w:rPr>
            </w:pPr>
          </w:p>
        </w:tc>
        <w:tc>
          <w:tcPr>
            <w:tcW w:w="1172" w:type="dxa"/>
            <w:tcBorders>
              <w:top w:val="nil"/>
              <w:bottom w:val="nil"/>
              <w:right w:val="nil"/>
            </w:tcBorders>
            <w:shd w:val="clear" w:color="auto" w:fill="F1F1F1"/>
          </w:tcPr>
          <w:p w14:paraId="4565426A" w14:textId="77777777" w:rsidR="00B507A8" w:rsidRPr="005922D8" w:rsidRDefault="00B507A8" w:rsidP="00B507A8">
            <w:pPr>
              <w:spacing w:before="240"/>
              <w:jc w:val="both"/>
              <w:rPr>
                <w:rFonts w:ascii="Arial" w:hAnsi="Arial" w:cs="Arial"/>
                <w:lang w:val="es-ES"/>
              </w:rPr>
            </w:pPr>
          </w:p>
        </w:tc>
      </w:tr>
    </w:tbl>
    <w:p w14:paraId="0BB2896B"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t>Fuente: DANE con base en CNPV 2018.</w:t>
      </w:r>
    </w:p>
    <w:tbl>
      <w:tblPr>
        <w:tblStyle w:val="Tablaconcuadrcula"/>
        <w:tblW w:w="0" w:type="auto"/>
        <w:tblLook w:val="04A0" w:firstRow="1" w:lastRow="0" w:firstColumn="1" w:lastColumn="0" w:noHBand="0" w:noVBand="1"/>
      </w:tblPr>
      <w:tblGrid>
        <w:gridCol w:w="8828"/>
      </w:tblGrid>
      <w:tr w:rsidR="00B507A8" w:rsidRPr="005922D8" w14:paraId="3265F769" w14:textId="77777777" w:rsidTr="00B507A8">
        <w:tc>
          <w:tcPr>
            <w:tcW w:w="8828" w:type="dxa"/>
            <w:shd w:val="clear" w:color="auto" w:fill="E7E6E6" w:themeFill="background2"/>
          </w:tcPr>
          <w:p w14:paraId="0A95DDAD" w14:textId="1B5F309E" w:rsidR="00B507A8" w:rsidRPr="005922D8" w:rsidRDefault="00B507A8" w:rsidP="00B507A8">
            <w:pPr>
              <w:jc w:val="both"/>
              <w:rPr>
                <w:rFonts w:ascii="Arial" w:hAnsi="Arial" w:cs="Arial"/>
                <w:lang w:val="es-ES"/>
              </w:rPr>
            </w:pPr>
            <w:r w:rsidRPr="005922D8">
              <w:rPr>
                <w:rFonts w:ascii="Arial" w:hAnsi="Arial" w:cs="Arial"/>
                <w:b/>
                <w:lang w:val="es-ES"/>
              </w:rPr>
              <w:t xml:space="preserve">Acción: </w:t>
            </w:r>
            <w:r w:rsidRPr="005922D8">
              <w:rPr>
                <w:rFonts w:ascii="Arial" w:hAnsi="Arial" w:cs="Arial"/>
                <w:lang w:val="es-ES"/>
              </w:rPr>
              <w:t>En la fase poscensal, el DANE en el marco de los acuerdos de consulta previa, adelanta estudios poscensales de la población negra, afrocolombiana, raizal y palenquera. Y realizó contrastes de los resultados de la pregunta de autorreconocimiento étnico con otras fuentes de información diferentes al CNPV 2018.</w:t>
            </w:r>
          </w:p>
        </w:tc>
      </w:tr>
    </w:tbl>
    <w:p w14:paraId="6ED6BE96" w14:textId="77777777" w:rsidR="00B507A8" w:rsidRPr="005922D8" w:rsidRDefault="00B507A8" w:rsidP="00B507A8">
      <w:pPr>
        <w:spacing w:before="240"/>
        <w:jc w:val="both"/>
        <w:rPr>
          <w:rFonts w:ascii="Arial" w:hAnsi="Arial" w:cs="Arial"/>
          <w:lang w:val="es-ES"/>
        </w:rPr>
      </w:pPr>
      <w:r w:rsidRPr="005922D8">
        <w:rPr>
          <w:rFonts w:ascii="Arial" w:hAnsi="Arial" w:cs="Arial"/>
          <w:lang w:val="es-ES"/>
        </w:rPr>
        <w:lastRenderedPageBreak/>
        <w:t>Teniendo en cuenta los acuerdos definidos para la fase poscensal en el proceso de consulta previa con el Espacio Nacional de Consulta Previa:</w:t>
      </w:r>
    </w:p>
    <w:p w14:paraId="0A47E99C" w14:textId="77777777" w:rsidR="00B507A8" w:rsidRPr="005922D8" w:rsidRDefault="00B507A8" w:rsidP="004038B8">
      <w:pPr>
        <w:spacing w:before="240"/>
        <w:ind w:left="708"/>
        <w:jc w:val="both"/>
        <w:rPr>
          <w:rFonts w:ascii="Arial" w:hAnsi="Arial" w:cs="Arial"/>
          <w:b/>
          <w:bCs/>
          <w:i/>
          <w:iCs/>
          <w:lang w:val="es-ES"/>
        </w:rPr>
      </w:pPr>
      <w:r w:rsidRPr="005922D8">
        <w:rPr>
          <w:rFonts w:ascii="Arial" w:hAnsi="Arial" w:cs="Arial"/>
          <w:b/>
          <w:bCs/>
          <w:iCs/>
          <w:lang w:val="es-ES"/>
        </w:rPr>
        <w:t>“</w:t>
      </w:r>
      <w:r w:rsidRPr="005922D8">
        <w:rPr>
          <w:rFonts w:ascii="Arial" w:hAnsi="Arial" w:cs="Arial"/>
          <w:b/>
          <w:bCs/>
          <w:i/>
          <w:iCs/>
          <w:lang w:val="es-ES"/>
        </w:rPr>
        <w:t>Realizar estudios especializados: el DANE realizará estudios especializados con enfoque diferencial para comunidades negras, afrocolombianas, raizales y palenqueras, en autorreconocimiento, fecundidad incluyendo adolescentes, mortalidad incluyendo mortalidad infantil, migraciones y desplazamiento, caracterización por ciclo de vida, cambios demográficos, hogar, familia, funcionamiento humano, género y urbanización. En el desarrollo de los estudios se visibilizarán las brechas existentes entre la población NARP, el total nacional y las demás comunidades étnicas incluidas en el enfoque diferencial del DANE.”</w:t>
      </w:r>
    </w:p>
    <w:p w14:paraId="36D95E6A" w14:textId="7E784CE2" w:rsidR="00B507A8" w:rsidRPr="005922D8" w:rsidRDefault="00B507A8" w:rsidP="00B507A8">
      <w:pPr>
        <w:spacing w:before="240"/>
        <w:jc w:val="both"/>
        <w:rPr>
          <w:rFonts w:ascii="Arial" w:hAnsi="Arial" w:cs="Arial"/>
          <w:lang w:val="es-ES"/>
        </w:rPr>
      </w:pPr>
      <w:r w:rsidRPr="005922D8">
        <w:rPr>
          <w:rFonts w:ascii="Arial" w:hAnsi="Arial" w:cs="Arial"/>
          <w:lang w:val="es-ES"/>
        </w:rPr>
        <w:t>Se han realizado, a la fecha, varios estudios poscensales realizados por investigadores independientes a este departamento estadístico, los cuales pueden ser consultados en el siguiente enlace:</w:t>
      </w:r>
      <w:r w:rsidR="003146E5" w:rsidRPr="005922D8">
        <w:rPr>
          <w:rFonts w:ascii="Arial" w:hAnsi="Arial" w:cs="Arial"/>
          <w:lang w:val="es-ES"/>
        </w:rPr>
        <w:t xml:space="preserve"> </w:t>
      </w:r>
      <w:hyperlink r:id="rId21">
        <w:r w:rsidRPr="005922D8">
          <w:rPr>
            <w:rStyle w:val="Hipervnculo"/>
            <w:rFonts w:ascii="Arial" w:hAnsi="Arial" w:cs="Arial"/>
            <w:lang w:val="es-ES"/>
          </w:rPr>
          <w:t>https://www.dane.gov.co/index.php/en/estadisticas-por-tema/demografia-y-poblacion/censo-nacional-</w:t>
        </w:r>
      </w:hyperlink>
      <w:r w:rsidRPr="005922D8">
        <w:rPr>
          <w:rFonts w:ascii="Arial" w:hAnsi="Arial" w:cs="Arial"/>
          <w:lang w:val="es-ES"/>
        </w:rPr>
        <w:t xml:space="preserve"> </w:t>
      </w:r>
      <w:hyperlink r:id="rId22">
        <w:r w:rsidRPr="005922D8">
          <w:rPr>
            <w:rStyle w:val="Hipervnculo"/>
            <w:rFonts w:ascii="Arial" w:hAnsi="Arial" w:cs="Arial"/>
            <w:lang w:val="es-ES"/>
          </w:rPr>
          <w:t>de-poblacion-y-vivenda-2018/informacion-tecnica</w:t>
        </w:r>
      </w:hyperlink>
    </w:p>
    <w:p w14:paraId="299D8476" w14:textId="77777777" w:rsidR="003146E5" w:rsidRPr="005922D8" w:rsidRDefault="00B507A8" w:rsidP="003146E5">
      <w:pPr>
        <w:spacing w:before="240"/>
        <w:rPr>
          <w:rFonts w:ascii="Arial" w:hAnsi="Arial" w:cs="Arial"/>
        </w:rPr>
      </w:pPr>
      <w:r w:rsidRPr="005922D8">
        <w:rPr>
          <w:rFonts w:ascii="Arial" w:hAnsi="Arial" w:cs="Arial"/>
          <w:lang w:val="es-ES"/>
        </w:rPr>
        <w:t xml:space="preserve">La investigación denominada: </w:t>
      </w:r>
      <w:r w:rsidRPr="005922D8">
        <w:rPr>
          <w:rFonts w:ascii="Arial" w:hAnsi="Arial" w:cs="Arial"/>
          <w:i/>
          <w:lang w:val="es-ES"/>
        </w:rPr>
        <w:t>Análisis de la dinámica intercensal del autorreconocimiento en la población negra, afrocolombiana, raizal y palenquera en el periodo 2005-2018</w:t>
      </w:r>
      <w:r w:rsidR="003146E5" w:rsidRPr="005922D8">
        <w:rPr>
          <w:rStyle w:val="Refdenotaalpie"/>
          <w:rFonts w:ascii="Arial" w:hAnsi="Arial" w:cs="Arial"/>
          <w:i/>
          <w:lang w:val="es-ES"/>
        </w:rPr>
        <w:footnoteReference w:id="16"/>
      </w:r>
      <w:r w:rsidR="003146E5" w:rsidRPr="005922D8">
        <w:rPr>
          <w:rFonts w:ascii="Arial" w:hAnsi="Arial" w:cs="Arial"/>
          <w:i/>
          <w:lang w:val="es-ES"/>
        </w:rPr>
        <w:t>,</w:t>
      </w:r>
      <w:r w:rsidRPr="005922D8">
        <w:rPr>
          <w:rFonts w:ascii="Arial" w:hAnsi="Arial" w:cs="Arial"/>
          <w:i/>
          <w:lang w:val="es-ES"/>
        </w:rPr>
        <w:t xml:space="preserve"> </w:t>
      </w:r>
      <w:r w:rsidRPr="005922D8">
        <w:rPr>
          <w:rFonts w:ascii="Arial" w:hAnsi="Arial" w:cs="Arial"/>
          <w:lang w:val="es-ES"/>
        </w:rPr>
        <w:t>fue definida en dos fases. La primera de ellas se encuentra finalizada y fue llevada a cabo por un equipo de investigadores externos, entre quienes se encuentran, Fernando Urrea-Giraldo, Bladimir Carabalí Hinestroza, Luis Gabriel Quiroz Cortés etal. Los resultados presentan una revisión bibliográfica de los estudios sobre autorreconocimiento étnico y una</w:t>
      </w:r>
      <w:r w:rsidR="003146E5" w:rsidRPr="005922D8">
        <w:rPr>
          <w:rFonts w:ascii="Arial" w:hAnsi="Arial" w:cs="Arial"/>
          <w:lang w:val="es-ES"/>
        </w:rPr>
        <w:t xml:space="preserve"> </w:t>
      </w:r>
      <w:r w:rsidR="003146E5" w:rsidRPr="005922D8">
        <w:rPr>
          <w:rFonts w:ascii="Arial" w:hAnsi="Arial" w:cs="Arial"/>
        </w:rPr>
        <w:t>caracterización de las variaciones en las identidades de la población negra, afrocolombiana, raizal y palenquera; analizan las metodologías censales de 2005 y 2018 y la variación intercensal de la población que se autorreconoció dentro de este grupo étnico en los censos 2005 y 2018, a partir de indicadores socioeconómicos, a nivel nacional, departamental y de territorios colectivos de comunidades negras.</w:t>
      </w:r>
    </w:p>
    <w:p w14:paraId="70B83B9D" w14:textId="77777777" w:rsidR="003146E5" w:rsidRPr="005922D8" w:rsidRDefault="003146E5" w:rsidP="003146E5">
      <w:pPr>
        <w:spacing w:before="240"/>
        <w:jc w:val="both"/>
        <w:rPr>
          <w:rFonts w:ascii="Arial" w:hAnsi="Arial" w:cs="Arial"/>
          <w:lang w:val="es-ES"/>
        </w:rPr>
      </w:pPr>
      <w:r w:rsidRPr="005922D8">
        <w:rPr>
          <w:rFonts w:ascii="Arial" w:hAnsi="Arial" w:cs="Arial"/>
          <w:lang w:val="es-ES"/>
        </w:rPr>
        <w:t>Finalmente, presenta un análisis espacial de las variaciones intercensales de la población negra, afrocolombiana, raizal y palenquera a escala de manzanas y sectores censales para cuatro ciudades (cabeceras): Cali, Cartagena, Barranquilla y Medellín.</w:t>
      </w:r>
    </w:p>
    <w:p w14:paraId="69A3760C" w14:textId="77777777" w:rsidR="003146E5" w:rsidRPr="005922D8" w:rsidRDefault="003146E5" w:rsidP="003146E5">
      <w:pPr>
        <w:spacing w:before="240"/>
        <w:jc w:val="both"/>
        <w:rPr>
          <w:rFonts w:ascii="Arial" w:hAnsi="Arial" w:cs="Arial"/>
          <w:i/>
          <w:lang w:val="es-ES"/>
        </w:rPr>
      </w:pPr>
      <w:r w:rsidRPr="005922D8">
        <w:rPr>
          <w:rFonts w:ascii="Arial" w:hAnsi="Arial" w:cs="Arial"/>
          <w:lang w:val="es-ES"/>
        </w:rPr>
        <w:t xml:space="preserve">Para el año 2022, con el apoyo del Fondo de Población de las Naciones Unidas -UNFPA y la Agencia Española de Cooperación Internacional para el Desarrollo -AECID, se avanzará en la segunda fase de este estudio poscensal: </w:t>
      </w:r>
      <w:r w:rsidRPr="005922D8">
        <w:rPr>
          <w:rFonts w:ascii="Arial" w:hAnsi="Arial" w:cs="Arial"/>
          <w:i/>
          <w:lang w:val="es-ES"/>
        </w:rPr>
        <w:t>análisis de la dinámica intercensal del autorreconocimiento en la población negra, afrocolombiana, raizal y palenquera en el periodo 2005-2018, y fortalecimiento de su captación en operaciones estadísticas.</w:t>
      </w:r>
    </w:p>
    <w:p w14:paraId="488B6727" w14:textId="77777777" w:rsidR="003146E5" w:rsidRPr="005922D8" w:rsidRDefault="003146E5" w:rsidP="003146E5">
      <w:pPr>
        <w:spacing w:before="240"/>
        <w:jc w:val="both"/>
        <w:rPr>
          <w:rFonts w:ascii="Arial" w:hAnsi="Arial" w:cs="Arial"/>
          <w:lang w:val="es-ES"/>
        </w:rPr>
      </w:pPr>
      <w:r w:rsidRPr="005922D8">
        <w:rPr>
          <w:rFonts w:ascii="Arial" w:hAnsi="Arial" w:cs="Arial"/>
          <w:lang w:val="es-ES"/>
        </w:rPr>
        <w:t xml:space="preserve">Este segundo momento tiene como propósitos centrales, de una parte, evaluar el desempeño de la pregunta de autorreconocimiento étnico utilizada en el censo de 2018, a través de una encuesta con muestreo a nivel nacional, en diferentes contextos geográficos </w:t>
      </w:r>
      <w:r w:rsidRPr="005922D8">
        <w:rPr>
          <w:rFonts w:ascii="Arial" w:hAnsi="Arial" w:cs="Arial"/>
          <w:lang w:val="es-ES"/>
        </w:rPr>
        <w:lastRenderedPageBreak/>
        <w:t>y culturales en los cuales hay participación de la población negra, afrocolombiana, raizal y palenquera. Lo anterior, con el fin de establecer recomendaciones y acciones para mejorar la cobertura y el desempeño de la pregunta de autorreconocimiento, en las categorías usadas para el autorreconocimiento de la población negra, afrocolombiana, raizal y palenquera (este proceso considera la participación de actores claves de la sociedad civil). Igualmente, para generar capacidades y apropiación en la institucionalidad, sociedad civil y líderes, para la gobernanza y la mejora de la captación de información sobre esta población en las diferentes operaciones estadísticas.</w:t>
      </w:r>
    </w:p>
    <w:p w14:paraId="700D8F8B" w14:textId="77777777" w:rsidR="003146E5" w:rsidRPr="005922D8" w:rsidRDefault="003146E5" w:rsidP="003146E5">
      <w:pPr>
        <w:spacing w:before="240"/>
        <w:jc w:val="both"/>
        <w:rPr>
          <w:rFonts w:ascii="Arial" w:hAnsi="Arial" w:cs="Arial"/>
          <w:lang w:val="es-ES"/>
        </w:rPr>
      </w:pPr>
      <w:r w:rsidRPr="005922D8">
        <w:rPr>
          <w:rFonts w:ascii="Arial" w:hAnsi="Arial" w:cs="Arial"/>
          <w:lang w:val="es-ES"/>
        </w:rPr>
        <w:t>Así, conocida la trayectoria (2005-2018) de crecimiento de esta población, según los componentes de su dinámica demográfica (fecundidad, mortalidad y migración), la segunda fase del poscensal estudiará y analizará la trayectoria teórica de la dinámica demográfica de la población que se autorreconoció dentro de este grupo étnico, para comprender la influencia de la mortalidad y la migración en los resultados del CNPV 2018 e identificar e interpretar diferencias regionales que influenciaron la variación intercensal de la población que se autorreconoció como negra, afrocolombiana, raizal y palenquera durante esta operación estadística.</w:t>
      </w:r>
    </w:p>
    <w:p w14:paraId="6F2321BB" w14:textId="77777777" w:rsidR="003146E5" w:rsidRPr="005922D8" w:rsidRDefault="003146E5" w:rsidP="003146E5">
      <w:pPr>
        <w:spacing w:before="240"/>
        <w:jc w:val="both"/>
        <w:rPr>
          <w:rFonts w:ascii="Arial" w:hAnsi="Arial" w:cs="Arial"/>
          <w:lang w:val="es-ES"/>
        </w:rPr>
      </w:pPr>
      <w:r w:rsidRPr="005922D8">
        <w:rPr>
          <w:rFonts w:ascii="Arial" w:hAnsi="Arial" w:cs="Arial"/>
          <w:lang w:val="es-ES"/>
        </w:rPr>
        <w:t>Adicionalmente se adelantaron los siguientes estudios poscensales que se encuentran publicados:</w:t>
      </w:r>
    </w:p>
    <w:p w14:paraId="258CD714" w14:textId="77777777" w:rsidR="003146E5" w:rsidRPr="005922D8" w:rsidRDefault="003146E5" w:rsidP="003146E5">
      <w:pPr>
        <w:pStyle w:val="Prrafodelista"/>
        <w:numPr>
          <w:ilvl w:val="0"/>
          <w:numId w:val="12"/>
        </w:numPr>
        <w:jc w:val="both"/>
        <w:rPr>
          <w:rFonts w:ascii="Arial" w:hAnsi="Arial" w:cs="Arial"/>
          <w:lang w:val="es-ES"/>
        </w:rPr>
      </w:pPr>
      <w:r w:rsidRPr="005922D8">
        <w:rPr>
          <w:rFonts w:ascii="Arial" w:hAnsi="Arial" w:cs="Arial"/>
          <w:lang w:val="es-ES"/>
        </w:rPr>
        <w:t>Diagnóstico de   la   situación   demográfica   y socio   económica de las mujeres que se autorreconocen como indígenas, negras, afrocolombianas, palenqueras y raizales en Colombia.</w:t>
      </w:r>
    </w:p>
    <w:p w14:paraId="291AFB5B" w14:textId="77777777" w:rsidR="003146E5" w:rsidRPr="005922D8" w:rsidRDefault="003146E5" w:rsidP="003146E5">
      <w:pPr>
        <w:pStyle w:val="Prrafodelista"/>
        <w:numPr>
          <w:ilvl w:val="0"/>
          <w:numId w:val="12"/>
        </w:numPr>
        <w:spacing w:before="240"/>
        <w:jc w:val="both"/>
        <w:rPr>
          <w:rFonts w:ascii="Arial" w:hAnsi="Arial" w:cs="Arial"/>
          <w:lang w:val="es-ES"/>
        </w:rPr>
      </w:pPr>
      <w:r w:rsidRPr="005922D8">
        <w:rPr>
          <w:rFonts w:ascii="Arial" w:hAnsi="Arial" w:cs="Arial"/>
          <w:lang w:val="es-ES"/>
        </w:rPr>
        <w:t>Condiciones de vida y pobreza multidimensional de las poblaciones Indígenas y Afrodescendientes en Colombia a partir del CNPV 2018.</w:t>
      </w:r>
    </w:p>
    <w:p w14:paraId="020567AD" w14:textId="272AED92" w:rsidR="003146E5" w:rsidRPr="005922D8" w:rsidRDefault="003146E5" w:rsidP="003146E5">
      <w:pPr>
        <w:pStyle w:val="Prrafodelista"/>
        <w:numPr>
          <w:ilvl w:val="0"/>
          <w:numId w:val="12"/>
        </w:numPr>
        <w:spacing w:before="240"/>
        <w:jc w:val="both"/>
        <w:rPr>
          <w:rFonts w:ascii="Arial" w:hAnsi="Arial" w:cs="Arial"/>
          <w:lang w:val="es-ES"/>
        </w:rPr>
      </w:pPr>
      <w:r w:rsidRPr="005922D8">
        <w:rPr>
          <w:rFonts w:ascii="Arial" w:hAnsi="Arial" w:cs="Arial"/>
          <w:lang w:val="es-ES"/>
        </w:rPr>
        <w:t>Información sociodemográfica de la población negra, afrocolombiana raizal y palenquera en</w:t>
      </w:r>
      <w:r w:rsidRPr="005922D8">
        <w:rPr>
          <w:rFonts w:ascii="Arial" w:hAnsi="Arial" w:cs="Arial"/>
          <w:lang w:val="es-ES"/>
        </w:rPr>
        <w:tab/>
        <w:t>el</w:t>
      </w:r>
      <w:r w:rsidRPr="005922D8">
        <w:rPr>
          <w:rFonts w:ascii="Arial" w:hAnsi="Arial" w:cs="Arial"/>
          <w:lang w:val="es-ES"/>
        </w:rPr>
        <w:tab/>
        <w:t>departamento</w:t>
      </w:r>
      <w:r w:rsidRPr="005922D8">
        <w:rPr>
          <w:rFonts w:ascii="Arial" w:hAnsi="Arial" w:cs="Arial"/>
          <w:lang w:val="es-ES"/>
        </w:rPr>
        <w:tab/>
        <w:t>de</w:t>
      </w:r>
      <w:r w:rsidRPr="005922D8">
        <w:rPr>
          <w:rFonts w:ascii="Arial" w:hAnsi="Arial" w:cs="Arial"/>
          <w:lang w:val="es-ES"/>
        </w:rPr>
        <w:tab/>
        <w:t>Antioquia</w:t>
      </w:r>
      <w:r w:rsidRPr="005922D8">
        <w:rPr>
          <w:rFonts w:ascii="Arial" w:hAnsi="Arial" w:cs="Arial"/>
          <w:lang w:val="es-ES"/>
        </w:rPr>
        <w:tab/>
        <w:t>(disponible</w:t>
      </w:r>
      <w:r w:rsidRPr="005922D8">
        <w:rPr>
          <w:rFonts w:ascii="Arial" w:hAnsi="Arial" w:cs="Arial"/>
          <w:lang w:val="es-ES"/>
        </w:rPr>
        <w:tab/>
        <w:t xml:space="preserve">en </w:t>
      </w:r>
      <w:hyperlink r:id="rId23">
        <w:r w:rsidRPr="005922D8">
          <w:rPr>
            <w:rStyle w:val="Hipervnculo"/>
            <w:rFonts w:ascii="Arial" w:hAnsi="Arial" w:cs="Arial"/>
            <w:lang w:val="es-ES"/>
          </w:rPr>
          <w:t>https://www.dane.gov.co/files/investigaciones/poblacion/informes-estadisticas-</w:t>
        </w:r>
      </w:hyperlink>
      <w:r w:rsidRPr="005922D8">
        <w:rPr>
          <w:rFonts w:ascii="Arial" w:hAnsi="Arial" w:cs="Arial"/>
          <w:lang w:val="es-ES"/>
        </w:rPr>
        <w:t xml:space="preserve"> </w:t>
      </w:r>
      <w:hyperlink r:id="rId24">
        <w:r w:rsidRPr="005922D8">
          <w:rPr>
            <w:rStyle w:val="Hipervnculo"/>
            <w:rFonts w:ascii="Arial" w:hAnsi="Arial" w:cs="Arial"/>
            <w:lang w:val="es-ES"/>
          </w:rPr>
          <w:t>sociodemograficas/2021-11-22-Poblacion-negra-afrocolombiana-raizal-palenquera-en-</w:t>
        </w:r>
      </w:hyperlink>
      <w:r w:rsidRPr="005922D8">
        <w:rPr>
          <w:rFonts w:ascii="Arial" w:hAnsi="Arial" w:cs="Arial"/>
          <w:lang w:val="es-ES"/>
        </w:rPr>
        <w:t xml:space="preserve"> </w:t>
      </w:r>
      <w:hyperlink r:id="rId25">
        <w:r w:rsidRPr="005922D8">
          <w:rPr>
            <w:rStyle w:val="Hipervnculo"/>
            <w:rFonts w:ascii="Arial" w:hAnsi="Arial" w:cs="Arial"/>
            <w:lang w:val="es-ES"/>
          </w:rPr>
          <w:t>antioquia.pdf)</w:t>
        </w:r>
      </w:hyperlink>
    </w:p>
    <w:p w14:paraId="34E8B037" w14:textId="084C4F7B" w:rsidR="009A555A" w:rsidRPr="005922D8" w:rsidRDefault="009A555A" w:rsidP="009A555A">
      <w:pPr>
        <w:spacing w:before="240"/>
        <w:jc w:val="both"/>
        <w:rPr>
          <w:rFonts w:ascii="Arial" w:hAnsi="Arial" w:cs="Arial"/>
          <w:b/>
          <w:bCs/>
          <w:lang w:val="es-ES"/>
        </w:rPr>
      </w:pPr>
      <w:r w:rsidRPr="005922D8">
        <w:rPr>
          <w:rFonts w:ascii="Arial" w:hAnsi="Arial" w:cs="Arial"/>
          <w:b/>
          <w:bCs/>
          <w:lang w:val="es-ES"/>
        </w:rPr>
        <w:t>Contrastes de la pregunta de autorreconocimiento étnico con otras fuentes de información diferentes al CNPV 2018.</w:t>
      </w:r>
    </w:p>
    <w:p w14:paraId="3ADF9130" w14:textId="77777777" w:rsidR="009A555A" w:rsidRPr="005922D8" w:rsidRDefault="009A555A" w:rsidP="009A555A">
      <w:pPr>
        <w:spacing w:before="240"/>
        <w:jc w:val="both"/>
        <w:rPr>
          <w:rFonts w:ascii="Arial" w:hAnsi="Arial" w:cs="Arial"/>
          <w:i/>
          <w:lang w:val="es-ES"/>
        </w:rPr>
      </w:pPr>
      <w:r w:rsidRPr="005922D8">
        <w:rPr>
          <w:rFonts w:ascii="Arial" w:hAnsi="Arial" w:cs="Arial"/>
          <w:lang w:val="es-ES"/>
        </w:rPr>
        <w:t xml:space="preserve">El DANE ha realizado contrastes de la pregunta de autorreconocimiento étnico con otras fuentes de información diferentes al CNPV 2018, </w:t>
      </w:r>
      <w:r w:rsidRPr="005922D8">
        <w:rPr>
          <w:rFonts w:ascii="Arial" w:hAnsi="Arial" w:cs="Arial"/>
          <w:i/>
          <w:lang w:val="es-ES"/>
        </w:rPr>
        <w:t>encontrando una concordancia en los resultados de la pregunta.</w:t>
      </w:r>
    </w:p>
    <w:p w14:paraId="62498572" w14:textId="77777777" w:rsidR="009A555A" w:rsidRPr="005922D8" w:rsidRDefault="009A555A" w:rsidP="009A555A">
      <w:pPr>
        <w:spacing w:before="240"/>
        <w:jc w:val="both"/>
        <w:rPr>
          <w:rFonts w:ascii="Arial" w:hAnsi="Arial" w:cs="Arial"/>
          <w:lang w:val="es-ES"/>
        </w:rPr>
      </w:pPr>
      <w:r w:rsidRPr="005922D8">
        <w:rPr>
          <w:rFonts w:ascii="Arial" w:hAnsi="Arial" w:cs="Arial"/>
          <w:lang w:val="es-ES"/>
        </w:rPr>
        <w:t>En cuanto al análisis de concordancia para la población negra, afrocolombiana, afrodescendiente y mulata presente en el CNPV y en la Encuesta de Calidad de Vida - ECV, se encontró que, de las 25.661 personas autorreconocidas como pertenecientes a esta población en la muestra de ECV 2018, 10.208 también se autorreconocieron en el CNPV, 6.488 dicen no pertenecer a ninguna etnia, 188 se autorreconocen como indígenas, 31 como raizales y los restantes 8.513 personas negras son aquellas que en el CNPV no se cuenta con los documentos de identidad para realizar el emparejamiento con la encuesta. En la siguiente tabla se muestra el comportamiento de la población Negra en la ECV respecto al CNPV:</w:t>
      </w:r>
    </w:p>
    <w:p w14:paraId="1B416484" w14:textId="3F408FF3" w:rsidR="009A555A" w:rsidRPr="005922D8" w:rsidRDefault="009A555A" w:rsidP="009A555A">
      <w:pPr>
        <w:spacing w:before="240"/>
        <w:jc w:val="center"/>
        <w:rPr>
          <w:rFonts w:ascii="Arial" w:hAnsi="Arial" w:cs="Arial"/>
          <w:b/>
          <w:bCs/>
          <w:lang w:val="es-ES"/>
        </w:rPr>
      </w:pPr>
      <w:r w:rsidRPr="005922D8">
        <w:rPr>
          <w:rFonts w:ascii="Arial" w:hAnsi="Arial" w:cs="Arial"/>
          <w:b/>
          <w:bCs/>
          <w:lang w:val="es-ES"/>
        </w:rPr>
        <w:lastRenderedPageBreak/>
        <w:t>Tabla 3. Comportamiento de la población Negra en la ECV 2018 respecto al CNPV 2018</w:t>
      </w:r>
    </w:p>
    <w:p w14:paraId="2ADF2549" w14:textId="567157FB" w:rsidR="009A555A" w:rsidRPr="005922D8" w:rsidRDefault="009A555A" w:rsidP="009A555A">
      <w:pPr>
        <w:spacing w:before="240"/>
        <w:rPr>
          <w:rFonts w:ascii="Arial" w:hAnsi="Arial" w:cs="Arial"/>
          <w:b/>
          <w:bCs/>
          <w:lang w:val="es-ES"/>
        </w:rPr>
      </w:pPr>
      <w:r w:rsidRPr="005922D8">
        <w:rPr>
          <w:rFonts w:ascii="Arial" w:hAnsi="Arial" w:cs="Arial"/>
          <w:noProof/>
        </w:rPr>
        <w:drawing>
          <wp:inline distT="0" distB="0" distL="0" distR="0" wp14:anchorId="554928F3" wp14:editId="417C19AD">
            <wp:extent cx="3402419" cy="3525028"/>
            <wp:effectExtent l="0" t="0" r="7620" b="0"/>
            <wp:docPr id="107" name="Imagen 107"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n 107" descr="Interfaz de usuario gráfica, Aplicación, Word&#10;&#10;Descripción generada automáticamente"/>
                    <pic:cNvPicPr/>
                  </pic:nvPicPr>
                  <pic:blipFill rotWithShape="1">
                    <a:blip r:embed="rId26"/>
                    <a:srcRect l="67447" t="39410" r="11517" b="21842"/>
                    <a:stretch/>
                  </pic:blipFill>
                  <pic:spPr bwMode="auto">
                    <a:xfrm>
                      <a:off x="0" y="0"/>
                      <a:ext cx="3402419" cy="3525028"/>
                    </a:xfrm>
                    <a:prstGeom prst="rect">
                      <a:avLst/>
                    </a:prstGeom>
                    <a:ln>
                      <a:noFill/>
                    </a:ln>
                    <a:extLst>
                      <a:ext uri="{53640926-AAD7-44D8-BBD7-CCE9431645EC}">
                        <a14:shadowObscured xmlns:a14="http://schemas.microsoft.com/office/drawing/2010/main"/>
                      </a:ext>
                    </a:extLst>
                  </pic:spPr>
                </pic:pic>
              </a:graphicData>
            </a:graphic>
          </wp:inline>
        </w:drawing>
      </w:r>
    </w:p>
    <w:p w14:paraId="247E7A39" w14:textId="5C94B2B0" w:rsidR="004B7459" w:rsidRPr="005922D8" w:rsidRDefault="004B7459" w:rsidP="004B7459">
      <w:pPr>
        <w:spacing w:before="240"/>
        <w:jc w:val="both"/>
        <w:rPr>
          <w:rFonts w:ascii="Arial" w:hAnsi="Arial" w:cs="Arial"/>
          <w:lang w:val="es-ES"/>
        </w:rPr>
      </w:pPr>
      <w:r w:rsidRPr="005922D8">
        <w:rPr>
          <w:rFonts w:ascii="Arial" w:hAnsi="Arial" w:cs="Arial"/>
          <w:lang w:val="es-ES"/>
        </w:rPr>
        <w:t>Para observar la calidad de la pregunta realizada en el CNPV, se obtuvo la estadística de concordancia Tau- b de Kendall, que tiene un rango de -1 a 1, siendo un valor positivo cercano a 1 un indicador de calidad, ya que la fuente de recolección (CNPV o ECV) no altera de forma significativa los resultados. Con un valor de la estadística de Tau-b de Kendall de 0,6520 se puede afirmar que la pregunta realizada en el CNPV y ECV son concordantes:</w:t>
      </w:r>
    </w:p>
    <w:p w14:paraId="10DC1D0A" w14:textId="330C6283" w:rsidR="004B7459" w:rsidRPr="005922D8" w:rsidRDefault="004B7459" w:rsidP="004B7459">
      <w:pPr>
        <w:spacing w:before="240"/>
        <w:jc w:val="center"/>
        <w:rPr>
          <w:rFonts w:ascii="Arial" w:hAnsi="Arial" w:cs="Arial"/>
          <w:b/>
          <w:bCs/>
          <w:lang w:val="es-ES"/>
        </w:rPr>
      </w:pPr>
      <w:r w:rsidRPr="005922D8">
        <w:rPr>
          <w:rFonts w:ascii="Arial" w:hAnsi="Arial" w:cs="Arial"/>
          <w:b/>
          <w:bCs/>
          <w:lang w:val="es-ES"/>
        </w:rPr>
        <w:t>Tabla 4. Estadística Tau-b de Kendall</w:t>
      </w:r>
    </w:p>
    <w:p w14:paraId="4F97E294" w14:textId="262CB1BF" w:rsidR="004B7459" w:rsidRPr="005922D8" w:rsidRDefault="004B7459" w:rsidP="004B7459">
      <w:pPr>
        <w:spacing w:before="240"/>
        <w:jc w:val="both"/>
        <w:rPr>
          <w:rFonts w:ascii="Arial" w:hAnsi="Arial" w:cs="Arial"/>
          <w:lang w:val="es-ES"/>
        </w:rPr>
      </w:pPr>
      <w:r w:rsidRPr="005922D8">
        <w:rPr>
          <w:rFonts w:ascii="Arial" w:hAnsi="Arial" w:cs="Arial"/>
          <w:b/>
          <w:bCs/>
          <w:noProof/>
          <w:lang w:val="es-ES"/>
        </w:rPr>
        <w:drawing>
          <wp:anchor distT="0" distB="0" distL="0" distR="0" simplePos="0" relativeHeight="251667456" behindDoc="1" locked="0" layoutInCell="1" allowOverlap="1" wp14:anchorId="6752B0DE" wp14:editId="25C12930">
            <wp:simplePos x="0" y="0"/>
            <wp:positionH relativeFrom="margin">
              <wp:align>center</wp:align>
            </wp:positionH>
            <wp:positionV relativeFrom="paragraph">
              <wp:posOffset>60325</wp:posOffset>
            </wp:positionV>
            <wp:extent cx="4112844" cy="893135"/>
            <wp:effectExtent l="0" t="0" r="2540" b="2540"/>
            <wp:wrapNone/>
            <wp:docPr id="65" name="image42.png"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2.png" descr="Interfaz de usuario gráfica, Texto, Aplicación&#10;&#10;Descripción generada automáticamente"/>
                    <pic:cNvPicPr/>
                  </pic:nvPicPr>
                  <pic:blipFill>
                    <a:blip r:embed="rId27" cstate="print"/>
                    <a:stretch>
                      <a:fillRect/>
                    </a:stretch>
                  </pic:blipFill>
                  <pic:spPr>
                    <a:xfrm>
                      <a:off x="0" y="0"/>
                      <a:ext cx="4112844" cy="893135"/>
                    </a:xfrm>
                    <a:prstGeom prst="rect">
                      <a:avLst/>
                    </a:prstGeom>
                  </pic:spPr>
                </pic:pic>
              </a:graphicData>
            </a:graphic>
            <wp14:sizeRelH relativeFrom="margin">
              <wp14:pctWidth>0</wp14:pctWidth>
            </wp14:sizeRelH>
            <wp14:sizeRelV relativeFrom="margin">
              <wp14:pctHeight>0</wp14:pctHeight>
            </wp14:sizeRelV>
          </wp:anchor>
        </w:drawing>
      </w:r>
    </w:p>
    <w:p w14:paraId="5348BE55" w14:textId="34BF109C" w:rsidR="003146E5" w:rsidRPr="005922D8" w:rsidRDefault="003146E5" w:rsidP="003146E5">
      <w:pPr>
        <w:spacing w:before="240"/>
        <w:jc w:val="both"/>
        <w:rPr>
          <w:rFonts w:ascii="Arial" w:hAnsi="Arial" w:cs="Arial"/>
          <w:lang w:val="es-ES"/>
        </w:rPr>
      </w:pPr>
    </w:p>
    <w:p w14:paraId="72F39827" w14:textId="5EED0488" w:rsidR="00B507A8" w:rsidRPr="005922D8" w:rsidRDefault="00B507A8" w:rsidP="00B507A8">
      <w:pPr>
        <w:spacing w:before="240"/>
        <w:jc w:val="both"/>
        <w:rPr>
          <w:rFonts w:ascii="Arial" w:hAnsi="Arial" w:cs="Arial"/>
          <w:lang w:val="es-ES"/>
        </w:rPr>
      </w:pPr>
    </w:p>
    <w:p w14:paraId="0507B476" w14:textId="667BC181" w:rsidR="004B7459" w:rsidRPr="005922D8" w:rsidRDefault="004B7459" w:rsidP="004B7459">
      <w:pPr>
        <w:jc w:val="center"/>
        <w:rPr>
          <w:rFonts w:ascii="Arial" w:hAnsi="Arial" w:cs="Arial"/>
          <w:lang w:val="es-ES"/>
        </w:rPr>
      </w:pPr>
      <w:r w:rsidRPr="005922D8">
        <w:rPr>
          <w:rFonts w:ascii="Arial" w:hAnsi="Arial" w:cs="Arial"/>
          <w:lang w:val="es-ES"/>
        </w:rPr>
        <w:t>Fuente: Dirección de Censos y Demografía, DANE</w:t>
      </w:r>
    </w:p>
    <w:p w14:paraId="17EE52AC" w14:textId="4577FFDD" w:rsidR="007733FA" w:rsidRPr="005922D8" w:rsidRDefault="004B7459" w:rsidP="004B7459">
      <w:pPr>
        <w:jc w:val="both"/>
        <w:rPr>
          <w:rFonts w:ascii="Arial" w:hAnsi="Arial" w:cs="Arial"/>
          <w:lang w:val="es-ES"/>
        </w:rPr>
      </w:pPr>
      <w:r w:rsidRPr="005922D8">
        <w:rPr>
          <w:rFonts w:ascii="Arial" w:hAnsi="Arial" w:cs="Arial"/>
          <w:lang w:val="es-ES"/>
        </w:rPr>
        <w:t>La distribución departamental de las 6.488 personas negras no autorreconocidos en CNPV y sí en ECV se muestra en la Gráfica 1., evidenciando una diferencia superior al 10% en el autorreconocimiento de esta población en dicha categoría, en los departamentos</w:t>
      </w:r>
    </w:p>
    <w:p w14:paraId="0A178BD4" w14:textId="461DB251" w:rsidR="002B48B2" w:rsidRPr="005922D8" w:rsidRDefault="004B7459" w:rsidP="004B7459">
      <w:pPr>
        <w:jc w:val="center"/>
        <w:rPr>
          <w:rFonts w:ascii="Arial" w:hAnsi="Arial" w:cs="Arial"/>
          <w:b/>
          <w:bCs/>
          <w:lang w:val="es-ES"/>
        </w:rPr>
      </w:pPr>
      <w:r w:rsidRPr="005922D8">
        <w:rPr>
          <w:rFonts w:ascii="Arial" w:hAnsi="Arial" w:cs="Arial"/>
          <w:b/>
          <w:bCs/>
          <w:lang w:val="es-ES"/>
        </w:rPr>
        <w:t>Gráfica 6. Población no autorreconocida étnicamente en CNPV 2018 y sí en ECV 2018</w:t>
      </w:r>
    </w:p>
    <w:p w14:paraId="7C4EA53D" w14:textId="1F309BBA" w:rsidR="004B7459" w:rsidRPr="005922D8" w:rsidRDefault="004B7459" w:rsidP="004B7459">
      <w:pPr>
        <w:jc w:val="center"/>
        <w:rPr>
          <w:rFonts w:ascii="Arial" w:hAnsi="Arial" w:cs="Arial"/>
          <w:b/>
          <w:bCs/>
          <w:lang w:val="es-ES"/>
        </w:rPr>
      </w:pPr>
      <w:r w:rsidRPr="005922D8">
        <w:rPr>
          <w:rFonts w:ascii="Arial" w:hAnsi="Arial" w:cs="Arial"/>
          <w:noProof/>
        </w:rPr>
        <w:lastRenderedPageBreak/>
        <w:drawing>
          <wp:inline distT="0" distB="0" distL="0" distR="0" wp14:anchorId="2503DE4A" wp14:editId="2198213C">
            <wp:extent cx="4306186" cy="4293184"/>
            <wp:effectExtent l="0" t="0" r="0" b="0"/>
            <wp:docPr id="158" name="Imagen 158"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n 158" descr="Interfaz de usuario gráfica&#10;&#10;Descripción generada automáticamente"/>
                    <pic:cNvPicPr/>
                  </pic:nvPicPr>
                  <pic:blipFill rotWithShape="1">
                    <a:blip r:embed="rId28"/>
                    <a:srcRect l="39762" t="29430" r="34271" b="24542"/>
                    <a:stretch/>
                  </pic:blipFill>
                  <pic:spPr bwMode="auto">
                    <a:xfrm>
                      <a:off x="0" y="0"/>
                      <a:ext cx="4340487" cy="4327382"/>
                    </a:xfrm>
                    <a:prstGeom prst="rect">
                      <a:avLst/>
                    </a:prstGeom>
                    <a:ln>
                      <a:noFill/>
                    </a:ln>
                    <a:extLst>
                      <a:ext uri="{53640926-AAD7-44D8-BBD7-CCE9431645EC}">
                        <a14:shadowObscured xmlns:a14="http://schemas.microsoft.com/office/drawing/2010/main"/>
                      </a:ext>
                    </a:extLst>
                  </pic:spPr>
                </pic:pic>
              </a:graphicData>
            </a:graphic>
          </wp:inline>
        </w:drawing>
      </w:r>
    </w:p>
    <w:p w14:paraId="02876CBE" w14:textId="62E61477" w:rsidR="004B7459" w:rsidRPr="005922D8" w:rsidRDefault="004B7459" w:rsidP="004B7459">
      <w:pPr>
        <w:jc w:val="center"/>
        <w:rPr>
          <w:rFonts w:ascii="Arial" w:hAnsi="Arial" w:cs="Arial"/>
          <w:b/>
          <w:bCs/>
          <w:lang w:val="es-ES"/>
        </w:rPr>
      </w:pPr>
      <w:r w:rsidRPr="005922D8">
        <w:rPr>
          <w:rFonts w:ascii="Arial" w:hAnsi="Arial" w:cs="Arial"/>
          <w:b/>
          <w:bCs/>
          <w:lang w:val="es-ES"/>
        </w:rPr>
        <w:t>Fuente: Dirección de Censos y Demografía, DANE</w:t>
      </w:r>
    </w:p>
    <w:p w14:paraId="20635578" w14:textId="53C7F484" w:rsidR="004B7459" w:rsidRPr="005922D8" w:rsidRDefault="004B7459" w:rsidP="004B7459">
      <w:pPr>
        <w:jc w:val="both"/>
        <w:rPr>
          <w:rFonts w:ascii="Arial" w:hAnsi="Arial" w:cs="Arial"/>
          <w:lang w:val="es-ES"/>
        </w:rPr>
      </w:pPr>
      <w:r w:rsidRPr="005922D8">
        <w:rPr>
          <w:rFonts w:ascii="Arial" w:hAnsi="Arial" w:cs="Arial"/>
          <w:lang w:val="es-ES"/>
        </w:rPr>
        <w:t>Al contrastar con el Registro Único de Víctimas - RUV corte marzo 2018, que también cuenta con la pregunta, se evidenció que de las 506.582 personas autorreconocidas como negras en el Registro Único de Victimas (RUV), 316.667 también se autorreconocen en el CNPV, 174.542 dicen no pertenecer a ninguna etnia, 7.135 se autorreconocen como indígenas, 88 como raizales, 172 como palenqueros, 23 como gitanos, y los restantes 7.955 negros o negras no cuentan con información etnia.</w:t>
      </w:r>
    </w:p>
    <w:p w14:paraId="1BAEF128" w14:textId="77777777" w:rsidR="004B7459" w:rsidRPr="005922D8" w:rsidRDefault="004B7459" w:rsidP="004B7459">
      <w:pPr>
        <w:jc w:val="both"/>
        <w:rPr>
          <w:rFonts w:ascii="Arial" w:hAnsi="Arial" w:cs="Arial"/>
          <w:lang w:val="es-ES"/>
        </w:rPr>
      </w:pPr>
      <w:r w:rsidRPr="005922D8">
        <w:rPr>
          <w:rFonts w:ascii="Arial" w:hAnsi="Arial" w:cs="Arial"/>
          <w:lang w:val="es-ES"/>
        </w:rPr>
        <w:t>En la siguiente tabla se muestra el comportamiento de la población Negra en el RUV respecto al CNPV:</w:t>
      </w:r>
    </w:p>
    <w:p w14:paraId="6E493655" w14:textId="77777777" w:rsidR="004B7459" w:rsidRPr="005922D8" w:rsidRDefault="004B7459" w:rsidP="004B7459">
      <w:pPr>
        <w:jc w:val="center"/>
        <w:rPr>
          <w:rFonts w:ascii="Arial" w:hAnsi="Arial" w:cs="Arial"/>
          <w:b/>
          <w:bCs/>
          <w:lang w:val="es-ES"/>
        </w:rPr>
      </w:pPr>
      <w:r w:rsidRPr="005922D8">
        <w:rPr>
          <w:rFonts w:ascii="Arial" w:hAnsi="Arial" w:cs="Arial"/>
          <w:b/>
          <w:bCs/>
          <w:lang w:val="es-ES"/>
        </w:rPr>
        <w:t>Tabla 5. Comportamiento de la población Negra en el RUV respecto al CNPV 2018</w:t>
      </w:r>
    </w:p>
    <w:p w14:paraId="38FC602B" w14:textId="4E81E0D7" w:rsidR="004B7459" w:rsidRPr="005922D8" w:rsidRDefault="004B7459" w:rsidP="004B7459">
      <w:pPr>
        <w:jc w:val="both"/>
        <w:rPr>
          <w:rFonts w:ascii="Arial" w:hAnsi="Arial" w:cs="Arial"/>
          <w:lang w:val="es-ES"/>
        </w:rPr>
      </w:pPr>
      <w:r w:rsidRPr="005922D8">
        <w:rPr>
          <w:rFonts w:ascii="Arial" w:hAnsi="Arial" w:cs="Arial"/>
          <w:noProof/>
        </w:rPr>
        <w:lastRenderedPageBreak/>
        <w:drawing>
          <wp:anchor distT="0" distB="0" distL="114300" distR="114300" simplePos="0" relativeHeight="251668480" behindDoc="0" locked="0" layoutInCell="1" allowOverlap="1" wp14:anchorId="679B85CC" wp14:editId="0D45F853">
            <wp:simplePos x="0" y="0"/>
            <wp:positionH relativeFrom="margin">
              <wp:align>center</wp:align>
            </wp:positionH>
            <wp:positionV relativeFrom="paragraph">
              <wp:posOffset>49353</wp:posOffset>
            </wp:positionV>
            <wp:extent cx="3763926" cy="2884762"/>
            <wp:effectExtent l="0" t="0" r="8255" b="0"/>
            <wp:wrapSquare wrapText="bothSides"/>
            <wp:docPr id="163" name="Imagen 163"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n 163" descr="Interfaz de usuario gráfica, Aplicación, Word&#10;&#10;Descripción generada automáticamente"/>
                    <pic:cNvPicPr/>
                  </pic:nvPicPr>
                  <pic:blipFill rotWithShape="1">
                    <a:blip r:embed="rId29">
                      <a:extLst>
                        <a:ext uri="{28A0092B-C50C-407E-A947-70E740481C1C}">
                          <a14:useLocalDpi xmlns:a14="http://schemas.microsoft.com/office/drawing/2010/main" val="0"/>
                        </a:ext>
                      </a:extLst>
                    </a:blip>
                    <a:srcRect l="63279" t="48168" r="10760" b="16456"/>
                    <a:stretch/>
                  </pic:blipFill>
                  <pic:spPr bwMode="auto">
                    <a:xfrm>
                      <a:off x="0" y="0"/>
                      <a:ext cx="3763926" cy="28847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D2F022" w14:textId="77777777" w:rsidR="004B7459" w:rsidRPr="005922D8" w:rsidRDefault="004B7459" w:rsidP="004B7459">
      <w:pPr>
        <w:jc w:val="center"/>
        <w:rPr>
          <w:rFonts w:ascii="Arial" w:hAnsi="Arial" w:cs="Arial"/>
          <w:b/>
          <w:bCs/>
          <w:lang w:val="es-ES"/>
        </w:rPr>
      </w:pPr>
    </w:p>
    <w:p w14:paraId="1B08B5EA" w14:textId="0A43F8AD" w:rsidR="004B7459" w:rsidRPr="005922D8" w:rsidRDefault="004B7459" w:rsidP="004B7459">
      <w:pPr>
        <w:jc w:val="center"/>
        <w:rPr>
          <w:rFonts w:ascii="Arial" w:hAnsi="Arial" w:cs="Arial"/>
          <w:b/>
          <w:bCs/>
          <w:lang w:val="es-ES"/>
        </w:rPr>
      </w:pPr>
    </w:p>
    <w:p w14:paraId="357A403E" w14:textId="5CE1FFE4" w:rsidR="002B48B2" w:rsidRPr="005922D8" w:rsidRDefault="002B48B2" w:rsidP="00F941F5">
      <w:pPr>
        <w:jc w:val="both"/>
        <w:rPr>
          <w:rFonts w:ascii="Arial" w:hAnsi="Arial" w:cs="Arial"/>
          <w:lang w:val="es-ES"/>
        </w:rPr>
      </w:pPr>
    </w:p>
    <w:p w14:paraId="2454EA42" w14:textId="372325E7" w:rsidR="00AD2E7F" w:rsidRPr="005922D8" w:rsidRDefault="00AD2E7F" w:rsidP="00AD2E7F">
      <w:pPr>
        <w:jc w:val="both"/>
        <w:rPr>
          <w:rFonts w:ascii="Arial" w:hAnsi="Arial" w:cs="Arial"/>
          <w:lang w:val="es-ES"/>
        </w:rPr>
      </w:pPr>
    </w:p>
    <w:p w14:paraId="5DDACA9E" w14:textId="50543AE1" w:rsidR="00AD2E7F" w:rsidRPr="005922D8" w:rsidRDefault="00AD2E7F" w:rsidP="00AD2E7F">
      <w:pPr>
        <w:jc w:val="both"/>
        <w:rPr>
          <w:rFonts w:ascii="Arial" w:hAnsi="Arial" w:cs="Arial"/>
        </w:rPr>
      </w:pPr>
    </w:p>
    <w:p w14:paraId="4A63A274" w14:textId="6B5C1860" w:rsidR="004B7459" w:rsidRPr="005922D8" w:rsidRDefault="004B7459" w:rsidP="00AD2E7F">
      <w:pPr>
        <w:jc w:val="both"/>
        <w:rPr>
          <w:rFonts w:ascii="Arial" w:hAnsi="Arial" w:cs="Arial"/>
        </w:rPr>
      </w:pPr>
    </w:p>
    <w:p w14:paraId="47200BB8" w14:textId="336E5A9A" w:rsidR="004B7459" w:rsidRPr="005922D8" w:rsidRDefault="004B7459" w:rsidP="00AD2E7F">
      <w:pPr>
        <w:jc w:val="both"/>
        <w:rPr>
          <w:rFonts w:ascii="Arial" w:hAnsi="Arial" w:cs="Arial"/>
        </w:rPr>
      </w:pPr>
    </w:p>
    <w:p w14:paraId="2B9687BC" w14:textId="48E1FD34" w:rsidR="004B7459" w:rsidRPr="005922D8" w:rsidRDefault="004B7459" w:rsidP="00AD2E7F">
      <w:pPr>
        <w:jc w:val="both"/>
        <w:rPr>
          <w:rFonts w:ascii="Arial" w:hAnsi="Arial" w:cs="Arial"/>
        </w:rPr>
      </w:pPr>
    </w:p>
    <w:p w14:paraId="20BB9FCA" w14:textId="58EDD170" w:rsidR="004B7459" w:rsidRPr="005922D8" w:rsidRDefault="004B7459" w:rsidP="00AD2E7F">
      <w:pPr>
        <w:jc w:val="both"/>
        <w:rPr>
          <w:rFonts w:ascii="Arial" w:hAnsi="Arial" w:cs="Arial"/>
        </w:rPr>
      </w:pPr>
    </w:p>
    <w:p w14:paraId="36889359" w14:textId="3089991F" w:rsidR="004B7459" w:rsidRPr="005922D8" w:rsidRDefault="004B7459" w:rsidP="00AD2E7F">
      <w:pPr>
        <w:jc w:val="both"/>
        <w:rPr>
          <w:rFonts w:ascii="Arial" w:hAnsi="Arial" w:cs="Arial"/>
        </w:rPr>
      </w:pPr>
    </w:p>
    <w:p w14:paraId="64514D36" w14:textId="77777777" w:rsidR="004B7459" w:rsidRPr="005922D8" w:rsidRDefault="004B7459" w:rsidP="004B7459">
      <w:pPr>
        <w:jc w:val="both"/>
        <w:rPr>
          <w:rFonts w:ascii="Arial" w:hAnsi="Arial" w:cs="Arial"/>
          <w:lang w:val="es-ES"/>
        </w:rPr>
      </w:pPr>
      <w:r w:rsidRPr="005922D8">
        <w:rPr>
          <w:rFonts w:ascii="Arial" w:hAnsi="Arial" w:cs="Arial"/>
          <w:lang w:val="es-ES"/>
        </w:rPr>
        <w:t>Con un valor de la estadística de Tau-b de Kendall de 0,38 se puede afirmar que la pregunta realizada en el CNPV y RUV son concordantes:</w:t>
      </w:r>
    </w:p>
    <w:p w14:paraId="621F9DA3" w14:textId="438D510E" w:rsidR="004B7459" w:rsidRPr="005922D8" w:rsidRDefault="004B7459" w:rsidP="004B7459">
      <w:pPr>
        <w:pStyle w:val="Ttulo1"/>
        <w:spacing w:before="1" w:after="22"/>
        <w:ind w:left="456" w:right="208"/>
        <w:jc w:val="center"/>
        <w:rPr>
          <w:rFonts w:ascii="Arial" w:eastAsiaTheme="minorHAnsi" w:hAnsi="Arial" w:cs="Arial"/>
          <w:sz w:val="22"/>
          <w:szCs w:val="22"/>
        </w:rPr>
      </w:pPr>
      <w:r w:rsidRPr="005922D8">
        <w:rPr>
          <w:rFonts w:ascii="Arial" w:eastAsiaTheme="minorHAnsi" w:hAnsi="Arial" w:cs="Arial"/>
          <w:sz w:val="22"/>
          <w:szCs w:val="22"/>
        </w:rPr>
        <w:t>Tabla 6. Valor de la estadística de Tau-b de Kendall</w:t>
      </w:r>
    </w:p>
    <w:tbl>
      <w:tblPr>
        <w:tblStyle w:val="TableNormal"/>
        <w:tblpPr w:leftFromText="141" w:rightFromText="141" w:vertAnchor="text" w:horzAnchor="margin" w:tblpXSpec="center" w:tblpY="234"/>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Look w:val="01E0" w:firstRow="1" w:lastRow="1" w:firstColumn="1" w:lastColumn="1" w:noHBand="0" w:noVBand="0"/>
      </w:tblPr>
      <w:tblGrid>
        <w:gridCol w:w="1437"/>
        <w:gridCol w:w="1428"/>
        <w:gridCol w:w="1428"/>
      </w:tblGrid>
      <w:tr w:rsidR="00786657" w:rsidRPr="005922D8" w14:paraId="7706336C" w14:textId="77777777" w:rsidTr="00786657">
        <w:trPr>
          <w:trHeight w:val="404"/>
        </w:trPr>
        <w:tc>
          <w:tcPr>
            <w:tcW w:w="1437" w:type="dxa"/>
            <w:tcBorders>
              <w:top w:val="nil"/>
              <w:left w:val="nil"/>
              <w:right w:val="single" w:sz="8" w:space="0" w:color="FFFFFF"/>
            </w:tcBorders>
            <w:shd w:val="clear" w:color="auto" w:fill="B6004A"/>
          </w:tcPr>
          <w:p w14:paraId="480D1814" w14:textId="77777777" w:rsidR="00786657" w:rsidRPr="005922D8" w:rsidRDefault="00786657" w:rsidP="00786657">
            <w:pPr>
              <w:pStyle w:val="TableParagraph"/>
              <w:spacing w:before="20"/>
              <w:ind w:left="35"/>
              <w:rPr>
                <w:rFonts w:ascii="Arial" w:hAnsi="Arial" w:cs="Arial"/>
              </w:rPr>
            </w:pPr>
            <w:r w:rsidRPr="005922D8">
              <w:rPr>
                <w:rFonts w:ascii="Arial" w:hAnsi="Arial" w:cs="Arial"/>
                <w:color w:val="FFFFFF"/>
                <w:w w:val="95"/>
              </w:rPr>
              <w:t>Estadística</w:t>
            </w:r>
          </w:p>
        </w:tc>
        <w:tc>
          <w:tcPr>
            <w:tcW w:w="1428" w:type="dxa"/>
            <w:tcBorders>
              <w:top w:val="nil"/>
              <w:left w:val="single" w:sz="8" w:space="0" w:color="FFFFFF"/>
              <w:right w:val="single" w:sz="8" w:space="0" w:color="FFFFFF"/>
            </w:tcBorders>
            <w:shd w:val="clear" w:color="auto" w:fill="B6004A"/>
          </w:tcPr>
          <w:p w14:paraId="396183D8" w14:textId="77777777" w:rsidR="00786657" w:rsidRPr="005922D8" w:rsidRDefault="00786657" w:rsidP="00786657">
            <w:pPr>
              <w:pStyle w:val="TableParagraph"/>
              <w:spacing w:before="20"/>
              <w:ind w:left="34"/>
              <w:rPr>
                <w:rFonts w:ascii="Arial" w:hAnsi="Arial" w:cs="Arial"/>
              </w:rPr>
            </w:pPr>
            <w:r w:rsidRPr="005922D8">
              <w:rPr>
                <w:rFonts w:ascii="Arial" w:hAnsi="Arial" w:cs="Arial"/>
                <w:color w:val="FFFFFF"/>
                <w:w w:val="95"/>
              </w:rPr>
              <w:t>Valor</w:t>
            </w:r>
          </w:p>
        </w:tc>
        <w:tc>
          <w:tcPr>
            <w:tcW w:w="1428" w:type="dxa"/>
            <w:tcBorders>
              <w:top w:val="nil"/>
              <w:left w:val="single" w:sz="8" w:space="0" w:color="FFFFFF"/>
              <w:right w:val="single" w:sz="8" w:space="0" w:color="FFFFFF"/>
            </w:tcBorders>
            <w:shd w:val="clear" w:color="auto" w:fill="B6004A"/>
          </w:tcPr>
          <w:p w14:paraId="6D0BC15E" w14:textId="77777777" w:rsidR="00786657" w:rsidRPr="005922D8" w:rsidRDefault="00786657" w:rsidP="00786657">
            <w:pPr>
              <w:pStyle w:val="TableParagraph"/>
              <w:spacing w:before="20"/>
              <w:ind w:left="24" w:right="52"/>
              <w:jc w:val="center"/>
              <w:rPr>
                <w:rFonts w:ascii="Arial" w:hAnsi="Arial" w:cs="Arial"/>
              </w:rPr>
            </w:pPr>
            <w:r w:rsidRPr="005922D8">
              <w:rPr>
                <w:rFonts w:ascii="Arial" w:hAnsi="Arial" w:cs="Arial"/>
                <w:color w:val="FFFFFF"/>
                <w:w w:val="80"/>
              </w:rPr>
              <w:t>Error</w:t>
            </w:r>
            <w:r w:rsidRPr="005922D8">
              <w:rPr>
                <w:rFonts w:ascii="Arial" w:hAnsi="Arial" w:cs="Arial"/>
                <w:color w:val="FFFFFF"/>
                <w:spacing w:val="1"/>
                <w:w w:val="80"/>
              </w:rPr>
              <w:t xml:space="preserve"> </w:t>
            </w:r>
            <w:r w:rsidRPr="005922D8">
              <w:rPr>
                <w:rFonts w:ascii="Arial" w:hAnsi="Arial" w:cs="Arial"/>
                <w:color w:val="FFFFFF"/>
                <w:w w:val="80"/>
              </w:rPr>
              <w:t>Estándar</w:t>
            </w:r>
          </w:p>
        </w:tc>
      </w:tr>
      <w:tr w:rsidR="00786657" w:rsidRPr="005922D8" w14:paraId="28AE2A70" w14:textId="77777777" w:rsidTr="00786657">
        <w:trPr>
          <w:trHeight w:val="658"/>
        </w:trPr>
        <w:tc>
          <w:tcPr>
            <w:tcW w:w="1437" w:type="dxa"/>
            <w:tcBorders>
              <w:left w:val="nil"/>
              <w:right w:val="single" w:sz="8" w:space="0" w:color="FFFFFF"/>
            </w:tcBorders>
            <w:shd w:val="clear" w:color="auto" w:fill="B6004A"/>
          </w:tcPr>
          <w:p w14:paraId="43EFB53D" w14:textId="77777777" w:rsidR="00786657" w:rsidRPr="005922D8" w:rsidRDefault="00786657" w:rsidP="00786657">
            <w:pPr>
              <w:pStyle w:val="TableParagraph"/>
              <w:spacing w:line="319" w:lineRule="exact"/>
              <w:ind w:left="35"/>
              <w:rPr>
                <w:rFonts w:ascii="Arial" w:hAnsi="Arial" w:cs="Arial"/>
              </w:rPr>
            </w:pPr>
            <w:r w:rsidRPr="005922D8">
              <w:rPr>
                <w:rFonts w:ascii="Arial" w:hAnsi="Arial" w:cs="Arial"/>
                <w:color w:val="FFFFFF"/>
                <w:w w:val="80"/>
              </w:rPr>
              <w:t>Tau-b</w:t>
            </w:r>
            <w:r w:rsidRPr="005922D8">
              <w:rPr>
                <w:rFonts w:ascii="Arial" w:hAnsi="Arial" w:cs="Arial"/>
                <w:color w:val="FFFFFF"/>
                <w:spacing w:val="7"/>
                <w:w w:val="80"/>
              </w:rPr>
              <w:t xml:space="preserve"> </w:t>
            </w:r>
            <w:r w:rsidRPr="005922D8">
              <w:rPr>
                <w:rFonts w:ascii="Arial" w:hAnsi="Arial" w:cs="Arial"/>
                <w:color w:val="FFFFFF"/>
                <w:w w:val="80"/>
              </w:rPr>
              <w:t>de</w:t>
            </w:r>
          </w:p>
          <w:p w14:paraId="5E08BA81" w14:textId="77777777" w:rsidR="00786657" w:rsidRPr="005922D8" w:rsidRDefault="00786657" w:rsidP="00786657">
            <w:pPr>
              <w:pStyle w:val="TableParagraph"/>
              <w:spacing w:line="320" w:lineRule="exact"/>
              <w:ind w:left="35"/>
              <w:rPr>
                <w:rFonts w:ascii="Arial" w:hAnsi="Arial" w:cs="Arial"/>
              </w:rPr>
            </w:pPr>
            <w:r w:rsidRPr="005922D8">
              <w:rPr>
                <w:rFonts w:ascii="Arial" w:hAnsi="Arial" w:cs="Arial"/>
                <w:color w:val="FFFFFF"/>
                <w:w w:val="95"/>
              </w:rPr>
              <w:t>Kendall</w:t>
            </w:r>
          </w:p>
        </w:tc>
        <w:tc>
          <w:tcPr>
            <w:tcW w:w="1428" w:type="dxa"/>
            <w:tcBorders>
              <w:left w:val="single" w:sz="8" w:space="0" w:color="FFFFFF"/>
              <w:right w:val="single" w:sz="8" w:space="0" w:color="FFFFFF"/>
            </w:tcBorders>
            <w:shd w:val="clear" w:color="auto" w:fill="F1F1F1"/>
          </w:tcPr>
          <w:p w14:paraId="0FE7BC6F" w14:textId="77777777" w:rsidR="00786657" w:rsidRPr="005922D8" w:rsidRDefault="00786657" w:rsidP="00786657">
            <w:pPr>
              <w:pStyle w:val="TableParagraph"/>
              <w:spacing w:before="296" w:line="343" w:lineRule="exact"/>
              <w:ind w:left="923"/>
              <w:rPr>
                <w:rFonts w:ascii="Arial" w:hAnsi="Arial" w:cs="Arial"/>
              </w:rPr>
            </w:pPr>
            <w:r w:rsidRPr="005922D8">
              <w:rPr>
                <w:rFonts w:ascii="Arial" w:hAnsi="Arial" w:cs="Arial"/>
                <w:spacing w:val="-1"/>
                <w:w w:val="95"/>
              </w:rPr>
              <w:t>0,38</w:t>
            </w:r>
          </w:p>
        </w:tc>
        <w:tc>
          <w:tcPr>
            <w:tcW w:w="1428" w:type="dxa"/>
            <w:tcBorders>
              <w:left w:val="single" w:sz="8" w:space="0" w:color="FFFFFF"/>
              <w:right w:val="single" w:sz="8" w:space="0" w:color="FFFFFF"/>
            </w:tcBorders>
            <w:shd w:val="clear" w:color="auto" w:fill="F1F1F1"/>
          </w:tcPr>
          <w:p w14:paraId="4834B26F" w14:textId="77777777" w:rsidR="00786657" w:rsidRPr="005922D8" w:rsidRDefault="00786657" w:rsidP="00786657">
            <w:pPr>
              <w:pStyle w:val="TableParagraph"/>
              <w:spacing w:before="296" w:line="343" w:lineRule="exact"/>
              <w:ind w:left="24" w:right="50"/>
              <w:jc w:val="center"/>
              <w:rPr>
                <w:rFonts w:ascii="Arial" w:hAnsi="Arial" w:cs="Arial"/>
              </w:rPr>
            </w:pPr>
            <w:r w:rsidRPr="005922D8">
              <w:rPr>
                <w:rFonts w:ascii="Arial" w:hAnsi="Arial" w:cs="Arial"/>
                <w:w w:val="95"/>
              </w:rPr>
              <w:t>0,0005</w:t>
            </w:r>
          </w:p>
        </w:tc>
      </w:tr>
    </w:tbl>
    <w:p w14:paraId="1F6B6BB1" w14:textId="77777777" w:rsidR="00786657" w:rsidRPr="005922D8" w:rsidRDefault="00786657" w:rsidP="004B7459">
      <w:pPr>
        <w:pStyle w:val="Ttulo1"/>
        <w:spacing w:before="1" w:after="22"/>
        <w:ind w:left="456" w:right="208"/>
        <w:jc w:val="center"/>
        <w:rPr>
          <w:rFonts w:ascii="Arial" w:hAnsi="Arial" w:cs="Arial"/>
          <w:sz w:val="22"/>
          <w:szCs w:val="22"/>
        </w:rPr>
      </w:pPr>
    </w:p>
    <w:p w14:paraId="31C1199F" w14:textId="77777777" w:rsidR="00786657" w:rsidRPr="005922D8" w:rsidRDefault="00786657" w:rsidP="004B7459">
      <w:pPr>
        <w:pStyle w:val="Textoindependiente"/>
        <w:ind w:left="456" w:right="214"/>
        <w:jc w:val="center"/>
        <w:rPr>
          <w:rFonts w:ascii="Arial" w:hAnsi="Arial" w:cs="Arial"/>
          <w:sz w:val="22"/>
          <w:szCs w:val="22"/>
        </w:rPr>
      </w:pPr>
    </w:p>
    <w:p w14:paraId="2BEC5105" w14:textId="77777777" w:rsidR="00786657" w:rsidRPr="005922D8" w:rsidRDefault="00786657" w:rsidP="004B7459">
      <w:pPr>
        <w:pStyle w:val="Textoindependiente"/>
        <w:ind w:left="456" w:right="214"/>
        <w:jc w:val="center"/>
        <w:rPr>
          <w:rFonts w:ascii="Arial" w:hAnsi="Arial" w:cs="Arial"/>
          <w:sz w:val="22"/>
          <w:szCs w:val="22"/>
        </w:rPr>
      </w:pPr>
    </w:p>
    <w:p w14:paraId="5747AB26" w14:textId="77777777" w:rsidR="00786657" w:rsidRPr="005922D8" w:rsidRDefault="00786657" w:rsidP="004B7459">
      <w:pPr>
        <w:pStyle w:val="Textoindependiente"/>
        <w:ind w:left="456" w:right="214"/>
        <w:jc w:val="center"/>
        <w:rPr>
          <w:rFonts w:ascii="Arial" w:hAnsi="Arial" w:cs="Arial"/>
          <w:sz w:val="22"/>
          <w:szCs w:val="22"/>
        </w:rPr>
      </w:pPr>
    </w:p>
    <w:p w14:paraId="3B0D5F51" w14:textId="77777777" w:rsidR="00786657" w:rsidRPr="005922D8" w:rsidRDefault="00786657" w:rsidP="004B7459">
      <w:pPr>
        <w:pStyle w:val="Textoindependiente"/>
        <w:ind w:left="456" w:right="214"/>
        <w:jc w:val="center"/>
        <w:rPr>
          <w:rFonts w:ascii="Arial" w:hAnsi="Arial" w:cs="Arial"/>
          <w:sz w:val="22"/>
          <w:szCs w:val="22"/>
        </w:rPr>
      </w:pPr>
    </w:p>
    <w:p w14:paraId="43A9A16A" w14:textId="77777777" w:rsidR="00786657" w:rsidRPr="005922D8" w:rsidRDefault="00786657" w:rsidP="004B7459">
      <w:pPr>
        <w:pStyle w:val="Textoindependiente"/>
        <w:ind w:left="456" w:right="214"/>
        <w:jc w:val="center"/>
        <w:rPr>
          <w:rFonts w:ascii="Arial" w:hAnsi="Arial" w:cs="Arial"/>
          <w:sz w:val="22"/>
          <w:szCs w:val="22"/>
        </w:rPr>
      </w:pPr>
    </w:p>
    <w:p w14:paraId="3DBF5C41" w14:textId="0B0E6E49" w:rsidR="004B7459" w:rsidRPr="005922D8" w:rsidRDefault="004B7459" w:rsidP="004B7459">
      <w:pPr>
        <w:pStyle w:val="Textoindependiente"/>
        <w:ind w:left="456" w:right="214"/>
        <w:jc w:val="center"/>
        <w:rPr>
          <w:rFonts w:ascii="Arial" w:eastAsiaTheme="minorHAnsi" w:hAnsi="Arial" w:cs="Arial"/>
          <w:sz w:val="22"/>
          <w:szCs w:val="22"/>
        </w:rPr>
      </w:pPr>
      <w:r w:rsidRPr="005922D8">
        <w:rPr>
          <w:rFonts w:ascii="Arial" w:eastAsiaTheme="minorHAnsi" w:hAnsi="Arial" w:cs="Arial"/>
          <w:sz w:val="22"/>
          <w:szCs w:val="22"/>
        </w:rPr>
        <w:t>Fuente: Dirección de Censos y Demografía, DANE</w:t>
      </w:r>
    </w:p>
    <w:p w14:paraId="1391B72C" w14:textId="77777777" w:rsidR="00786657" w:rsidRPr="005922D8" w:rsidRDefault="00786657" w:rsidP="00786657">
      <w:pPr>
        <w:jc w:val="both"/>
        <w:rPr>
          <w:rFonts w:ascii="Arial" w:hAnsi="Arial" w:cs="Arial"/>
          <w:lang w:val="es-ES"/>
        </w:rPr>
      </w:pPr>
    </w:p>
    <w:p w14:paraId="746D5AB5" w14:textId="49CC02C5" w:rsidR="00786657" w:rsidRPr="005922D8" w:rsidRDefault="00786657" w:rsidP="00786657">
      <w:pPr>
        <w:jc w:val="both"/>
        <w:rPr>
          <w:rFonts w:ascii="Arial" w:hAnsi="Arial" w:cs="Arial"/>
          <w:lang w:val="es-ES"/>
        </w:rPr>
      </w:pPr>
      <w:r w:rsidRPr="005922D8">
        <w:rPr>
          <w:rFonts w:ascii="Arial" w:hAnsi="Arial" w:cs="Arial"/>
          <w:lang w:val="es-ES"/>
        </w:rPr>
        <w:t>La distribución departamental de las 174.542 personas negras no autorreconocidas en CNPV y sí en RUV se muestra en la siguiente gráfica, evidenciando una diferencia superior al 10% en el autorreconocimiento Negro en los departamentos de Antioquia, Valle del Cauca, Bolívar y Córdoba.</w:t>
      </w:r>
    </w:p>
    <w:p w14:paraId="021C9F31" w14:textId="0C88C568" w:rsidR="00786657" w:rsidRPr="005922D8" w:rsidRDefault="00786657" w:rsidP="00786657">
      <w:pPr>
        <w:jc w:val="center"/>
        <w:rPr>
          <w:rFonts w:ascii="Arial" w:hAnsi="Arial" w:cs="Arial"/>
          <w:b/>
          <w:bCs/>
          <w:lang w:val="es-ES"/>
        </w:rPr>
      </w:pPr>
      <w:r w:rsidRPr="005922D8">
        <w:rPr>
          <w:rFonts w:ascii="Arial" w:hAnsi="Arial" w:cs="Arial"/>
          <w:b/>
          <w:bCs/>
          <w:lang w:val="es-ES"/>
        </w:rPr>
        <w:t>Gráfica 7. Población no autorreconocida étnicamente en CNPV 2018 y sí en el RUV</w:t>
      </w:r>
    </w:p>
    <w:p w14:paraId="7609D708" w14:textId="12E01AE9" w:rsidR="00786657" w:rsidRPr="005922D8" w:rsidRDefault="00786657" w:rsidP="00786657">
      <w:pPr>
        <w:jc w:val="center"/>
        <w:rPr>
          <w:rFonts w:ascii="Arial" w:hAnsi="Arial" w:cs="Arial"/>
          <w:b/>
          <w:bCs/>
          <w:lang w:val="es-ES"/>
        </w:rPr>
      </w:pPr>
      <w:r w:rsidRPr="005922D8">
        <w:rPr>
          <w:rFonts w:ascii="Arial" w:hAnsi="Arial" w:cs="Arial"/>
          <w:noProof/>
        </w:rPr>
        <w:lastRenderedPageBreak/>
        <mc:AlternateContent>
          <mc:Choice Requires="wpg">
            <w:drawing>
              <wp:inline distT="0" distB="0" distL="0" distR="0" wp14:anchorId="728B4D35" wp14:editId="6FA69C2D">
                <wp:extent cx="3267710" cy="4045585"/>
                <wp:effectExtent l="4445" t="8890" r="4445" b="3175"/>
                <wp:docPr id="164" name="Grupo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7710" cy="4045585"/>
                          <a:chOff x="0" y="0"/>
                          <a:chExt cx="5146" cy="6371"/>
                        </a:xfrm>
                      </wpg:grpSpPr>
                      <wps:wsp>
                        <wps:cNvPr id="165" name="Line 134"/>
                        <wps:cNvCnPr>
                          <a:cxnSpLocks noChangeShapeType="1"/>
                        </wps:cNvCnPr>
                        <wps:spPr bwMode="auto">
                          <a:xfrm>
                            <a:off x="2926" y="227"/>
                            <a:ext cx="0" cy="5639"/>
                          </a:xfrm>
                          <a:prstGeom prst="line">
                            <a:avLst/>
                          </a:prstGeom>
                          <a:noFill/>
                          <a:ln w="9525">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66" name="AutoShape 135"/>
                        <wps:cNvSpPr>
                          <a:spLocks/>
                        </wps:cNvSpPr>
                        <wps:spPr bwMode="auto">
                          <a:xfrm>
                            <a:off x="2300" y="965"/>
                            <a:ext cx="1142" cy="404"/>
                          </a:xfrm>
                          <a:custGeom>
                            <a:avLst/>
                            <a:gdLst>
                              <a:gd name="T0" fmla="+- 0 2916 2301"/>
                              <a:gd name="T1" fmla="*/ T0 w 1142"/>
                              <a:gd name="T2" fmla="+- 0 1306 965"/>
                              <a:gd name="T3" fmla="*/ 1306 h 404"/>
                              <a:gd name="T4" fmla="+- 0 2301 2301"/>
                              <a:gd name="T5" fmla="*/ T4 w 1142"/>
                              <a:gd name="T6" fmla="+- 0 1306 965"/>
                              <a:gd name="T7" fmla="*/ 1306 h 404"/>
                              <a:gd name="T8" fmla="+- 0 2301 2301"/>
                              <a:gd name="T9" fmla="*/ T8 w 1142"/>
                              <a:gd name="T10" fmla="+- 0 1369 965"/>
                              <a:gd name="T11" fmla="*/ 1369 h 404"/>
                              <a:gd name="T12" fmla="+- 0 2916 2301"/>
                              <a:gd name="T13" fmla="*/ T12 w 1142"/>
                              <a:gd name="T14" fmla="+- 0 1369 965"/>
                              <a:gd name="T15" fmla="*/ 1369 h 404"/>
                              <a:gd name="T16" fmla="+- 0 2916 2301"/>
                              <a:gd name="T17" fmla="*/ T16 w 1142"/>
                              <a:gd name="T18" fmla="+- 0 1306 965"/>
                              <a:gd name="T19" fmla="*/ 1306 h 404"/>
                              <a:gd name="T20" fmla="+- 0 3084 2301"/>
                              <a:gd name="T21" fmla="*/ T20 w 1142"/>
                              <a:gd name="T22" fmla="+- 0 1136 965"/>
                              <a:gd name="T23" fmla="*/ 1136 h 404"/>
                              <a:gd name="T24" fmla="+- 0 2301 2301"/>
                              <a:gd name="T25" fmla="*/ T24 w 1142"/>
                              <a:gd name="T26" fmla="+- 0 1136 965"/>
                              <a:gd name="T27" fmla="*/ 1136 h 404"/>
                              <a:gd name="T28" fmla="+- 0 2301 2301"/>
                              <a:gd name="T29" fmla="*/ T28 w 1142"/>
                              <a:gd name="T30" fmla="+- 0 1196 965"/>
                              <a:gd name="T31" fmla="*/ 1196 h 404"/>
                              <a:gd name="T32" fmla="+- 0 3084 2301"/>
                              <a:gd name="T33" fmla="*/ T32 w 1142"/>
                              <a:gd name="T34" fmla="+- 0 1196 965"/>
                              <a:gd name="T35" fmla="*/ 1196 h 404"/>
                              <a:gd name="T36" fmla="+- 0 3084 2301"/>
                              <a:gd name="T37" fmla="*/ T36 w 1142"/>
                              <a:gd name="T38" fmla="+- 0 1136 965"/>
                              <a:gd name="T39" fmla="*/ 1136 h 404"/>
                              <a:gd name="T40" fmla="+- 0 3442 2301"/>
                              <a:gd name="T41" fmla="*/ T40 w 1142"/>
                              <a:gd name="T42" fmla="+- 0 965 965"/>
                              <a:gd name="T43" fmla="*/ 965 h 404"/>
                              <a:gd name="T44" fmla="+- 0 2301 2301"/>
                              <a:gd name="T45" fmla="*/ T44 w 1142"/>
                              <a:gd name="T46" fmla="+- 0 965 965"/>
                              <a:gd name="T47" fmla="*/ 965 h 404"/>
                              <a:gd name="T48" fmla="+- 0 2301 2301"/>
                              <a:gd name="T49" fmla="*/ T48 w 1142"/>
                              <a:gd name="T50" fmla="+- 0 1025 965"/>
                              <a:gd name="T51" fmla="*/ 1025 h 404"/>
                              <a:gd name="T52" fmla="+- 0 3442 2301"/>
                              <a:gd name="T53" fmla="*/ T52 w 1142"/>
                              <a:gd name="T54" fmla="+- 0 1025 965"/>
                              <a:gd name="T55" fmla="*/ 1025 h 404"/>
                              <a:gd name="T56" fmla="+- 0 3442 2301"/>
                              <a:gd name="T57" fmla="*/ T56 w 1142"/>
                              <a:gd name="T58" fmla="+- 0 965 965"/>
                              <a:gd name="T59" fmla="*/ 965 h 4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142" h="404">
                                <a:moveTo>
                                  <a:pt x="615" y="341"/>
                                </a:moveTo>
                                <a:lnTo>
                                  <a:pt x="0" y="341"/>
                                </a:lnTo>
                                <a:lnTo>
                                  <a:pt x="0" y="404"/>
                                </a:lnTo>
                                <a:lnTo>
                                  <a:pt x="615" y="404"/>
                                </a:lnTo>
                                <a:lnTo>
                                  <a:pt x="615" y="341"/>
                                </a:lnTo>
                                <a:close/>
                                <a:moveTo>
                                  <a:pt x="783" y="171"/>
                                </a:moveTo>
                                <a:lnTo>
                                  <a:pt x="0" y="171"/>
                                </a:lnTo>
                                <a:lnTo>
                                  <a:pt x="0" y="231"/>
                                </a:lnTo>
                                <a:lnTo>
                                  <a:pt x="783" y="231"/>
                                </a:lnTo>
                                <a:lnTo>
                                  <a:pt x="783" y="171"/>
                                </a:lnTo>
                                <a:close/>
                                <a:moveTo>
                                  <a:pt x="1141" y="0"/>
                                </a:moveTo>
                                <a:lnTo>
                                  <a:pt x="0" y="0"/>
                                </a:lnTo>
                                <a:lnTo>
                                  <a:pt x="0" y="60"/>
                                </a:lnTo>
                                <a:lnTo>
                                  <a:pt x="1141" y="60"/>
                                </a:lnTo>
                                <a:lnTo>
                                  <a:pt x="1141"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Line 136"/>
                        <wps:cNvCnPr>
                          <a:cxnSpLocks noChangeShapeType="1"/>
                        </wps:cNvCnPr>
                        <wps:spPr bwMode="auto">
                          <a:xfrm>
                            <a:off x="3550" y="227"/>
                            <a:ext cx="0" cy="5639"/>
                          </a:xfrm>
                          <a:prstGeom prst="line">
                            <a:avLst/>
                          </a:prstGeom>
                          <a:noFill/>
                          <a:ln w="9525">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68" name="AutoShape 137"/>
                        <wps:cNvSpPr>
                          <a:spLocks/>
                        </wps:cNvSpPr>
                        <wps:spPr bwMode="auto">
                          <a:xfrm>
                            <a:off x="2300" y="451"/>
                            <a:ext cx="1374" cy="404"/>
                          </a:xfrm>
                          <a:custGeom>
                            <a:avLst/>
                            <a:gdLst>
                              <a:gd name="T0" fmla="+- 0 3567 2301"/>
                              <a:gd name="T1" fmla="*/ T0 w 1374"/>
                              <a:gd name="T2" fmla="+- 0 795 452"/>
                              <a:gd name="T3" fmla="*/ 795 h 404"/>
                              <a:gd name="T4" fmla="+- 0 2301 2301"/>
                              <a:gd name="T5" fmla="*/ T4 w 1374"/>
                              <a:gd name="T6" fmla="+- 0 795 452"/>
                              <a:gd name="T7" fmla="*/ 795 h 404"/>
                              <a:gd name="T8" fmla="+- 0 2301 2301"/>
                              <a:gd name="T9" fmla="*/ T8 w 1374"/>
                              <a:gd name="T10" fmla="+- 0 855 452"/>
                              <a:gd name="T11" fmla="*/ 855 h 404"/>
                              <a:gd name="T12" fmla="+- 0 3567 2301"/>
                              <a:gd name="T13" fmla="*/ T12 w 1374"/>
                              <a:gd name="T14" fmla="+- 0 855 452"/>
                              <a:gd name="T15" fmla="*/ 855 h 404"/>
                              <a:gd name="T16" fmla="+- 0 3567 2301"/>
                              <a:gd name="T17" fmla="*/ T16 w 1374"/>
                              <a:gd name="T18" fmla="+- 0 795 452"/>
                              <a:gd name="T19" fmla="*/ 795 h 404"/>
                              <a:gd name="T20" fmla="+- 0 3665 2301"/>
                              <a:gd name="T21" fmla="*/ T20 w 1374"/>
                              <a:gd name="T22" fmla="+- 0 625 452"/>
                              <a:gd name="T23" fmla="*/ 625 h 404"/>
                              <a:gd name="T24" fmla="+- 0 2301 2301"/>
                              <a:gd name="T25" fmla="*/ T24 w 1374"/>
                              <a:gd name="T26" fmla="+- 0 625 452"/>
                              <a:gd name="T27" fmla="*/ 625 h 404"/>
                              <a:gd name="T28" fmla="+- 0 2301 2301"/>
                              <a:gd name="T29" fmla="*/ T28 w 1374"/>
                              <a:gd name="T30" fmla="+- 0 685 452"/>
                              <a:gd name="T31" fmla="*/ 685 h 404"/>
                              <a:gd name="T32" fmla="+- 0 3665 2301"/>
                              <a:gd name="T33" fmla="*/ T32 w 1374"/>
                              <a:gd name="T34" fmla="+- 0 685 452"/>
                              <a:gd name="T35" fmla="*/ 685 h 404"/>
                              <a:gd name="T36" fmla="+- 0 3665 2301"/>
                              <a:gd name="T37" fmla="*/ T36 w 1374"/>
                              <a:gd name="T38" fmla="+- 0 625 452"/>
                              <a:gd name="T39" fmla="*/ 625 h 404"/>
                              <a:gd name="T40" fmla="+- 0 3675 2301"/>
                              <a:gd name="T41" fmla="*/ T40 w 1374"/>
                              <a:gd name="T42" fmla="+- 0 452 452"/>
                              <a:gd name="T43" fmla="*/ 452 h 404"/>
                              <a:gd name="T44" fmla="+- 0 2301 2301"/>
                              <a:gd name="T45" fmla="*/ T44 w 1374"/>
                              <a:gd name="T46" fmla="+- 0 452 452"/>
                              <a:gd name="T47" fmla="*/ 452 h 404"/>
                              <a:gd name="T48" fmla="+- 0 2301 2301"/>
                              <a:gd name="T49" fmla="*/ T48 w 1374"/>
                              <a:gd name="T50" fmla="+- 0 514 452"/>
                              <a:gd name="T51" fmla="*/ 514 h 404"/>
                              <a:gd name="T52" fmla="+- 0 3675 2301"/>
                              <a:gd name="T53" fmla="*/ T52 w 1374"/>
                              <a:gd name="T54" fmla="+- 0 514 452"/>
                              <a:gd name="T55" fmla="*/ 514 h 404"/>
                              <a:gd name="T56" fmla="+- 0 3675 2301"/>
                              <a:gd name="T57" fmla="*/ T56 w 1374"/>
                              <a:gd name="T58" fmla="+- 0 452 452"/>
                              <a:gd name="T59" fmla="*/ 452 h 4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374" h="404">
                                <a:moveTo>
                                  <a:pt x="1266" y="343"/>
                                </a:moveTo>
                                <a:lnTo>
                                  <a:pt x="0" y="343"/>
                                </a:lnTo>
                                <a:lnTo>
                                  <a:pt x="0" y="403"/>
                                </a:lnTo>
                                <a:lnTo>
                                  <a:pt x="1266" y="403"/>
                                </a:lnTo>
                                <a:lnTo>
                                  <a:pt x="1266" y="343"/>
                                </a:lnTo>
                                <a:close/>
                                <a:moveTo>
                                  <a:pt x="1364" y="173"/>
                                </a:moveTo>
                                <a:lnTo>
                                  <a:pt x="0" y="173"/>
                                </a:lnTo>
                                <a:lnTo>
                                  <a:pt x="0" y="233"/>
                                </a:lnTo>
                                <a:lnTo>
                                  <a:pt x="1364" y="233"/>
                                </a:lnTo>
                                <a:lnTo>
                                  <a:pt x="1364" y="173"/>
                                </a:lnTo>
                                <a:close/>
                                <a:moveTo>
                                  <a:pt x="1374" y="0"/>
                                </a:moveTo>
                                <a:lnTo>
                                  <a:pt x="0" y="0"/>
                                </a:lnTo>
                                <a:lnTo>
                                  <a:pt x="0" y="62"/>
                                </a:lnTo>
                                <a:lnTo>
                                  <a:pt x="1374" y="62"/>
                                </a:lnTo>
                                <a:lnTo>
                                  <a:pt x="1374"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Line 138"/>
                        <wps:cNvCnPr>
                          <a:cxnSpLocks noChangeShapeType="1"/>
                        </wps:cNvCnPr>
                        <wps:spPr bwMode="auto">
                          <a:xfrm>
                            <a:off x="4176" y="227"/>
                            <a:ext cx="0" cy="5639"/>
                          </a:xfrm>
                          <a:prstGeom prst="line">
                            <a:avLst/>
                          </a:prstGeom>
                          <a:noFill/>
                          <a:ln w="9525">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170" name="AutoShape 139"/>
                        <wps:cNvSpPr>
                          <a:spLocks/>
                        </wps:cNvSpPr>
                        <wps:spPr bwMode="auto">
                          <a:xfrm>
                            <a:off x="2300" y="281"/>
                            <a:ext cx="2241" cy="5530"/>
                          </a:xfrm>
                          <a:custGeom>
                            <a:avLst/>
                            <a:gdLst>
                              <a:gd name="T0" fmla="+- 0 2301 2301"/>
                              <a:gd name="T1" fmla="*/ T0 w 2241"/>
                              <a:gd name="T2" fmla="+- 0 5470 281"/>
                              <a:gd name="T3" fmla="*/ 5470 h 5530"/>
                              <a:gd name="T4" fmla="+- 0 2303 2301"/>
                              <a:gd name="T5" fmla="*/ T4 w 2241"/>
                              <a:gd name="T6" fmla="+- 0 5751 281"/>
                              <a:gd name="T7" fmla="*/ 5751 h 5530"/>
                              <a:gd name="T8" fmla="+- 0 2303 2301"/>
                              <a:gd name="T9" fmla="*/ T8 w 2241"/>
                              <a:gd name="T10" fmla="+- 0 5811 281"/>
                              <a:gd name="T11" fmla="*/ 5811 h 5530"/>
                              <a:gd name="T12" fmla="+- 0 2301 2301"/>
                              <a:gd name="T13" fmla="*/ T12 w 2241"/>
                              <a:gd name="T14" fmla="+- 0 5581 281"/>
                              <a:gd name="T15" fmla="*/ 5581 h 5530"/>
                              <a:gd name="T16" fmla="+- 0 2303 2301"/>
                              <a:gd name="T17" fmla="*/ T16 w 2241"/>
                              <a:gd name="T18" fmla="+- 0 5581 281"/>
                              <a:gd name="T19" fmla="*/ 5581 h 5530"/>
                              <a:gd name="T20" fmla="+- 0 2301 2301"/>
                              <a:gd name="T21" fmla="*/ T20 w 2241"/>
                              <a:gd name="T22" fmla="+- 0 5297 281"/>
                              <a:gd name="T23" fmla="*/ 5297 h 5530"/>
                              <a:gd name="T24" fmla="+- 0 2312 2301"/>
                              <a:gd name="T25" fmla="*/ T24 w 2241"/>
                              <a:gd name="T26" fmla="+- 0 5067 281"/>
                              <a:gd name="T27" fmla="*/ 5067 h 5530"/>
                              <a:gd name="T28" fmla="+- 0 2312 2301"/>
                              <a:gd name="T29" fmla="*/ T28 w 2241"/>
                              <a:gd name="T30" fmla="+- 0 5127 281"/>
                              <a:gd name="T31" fmla="*/ 5127 h 5530"/>
                              <a:gd name="T32" fmla="+- 0 2301 2301"/>
                              <a:gd name="T33" fmla="*/ T32 w 2241"/>
                              <a:gd name="T34" fmla="+- 0 4897 281"/>
                              <a:gd name="T35" fmla="*/ 4897 h 5530"/>
                              <a:gd name="T36" fmla="+- 0 2328 2301"/>
                              <a:gd name="T37" fmla="*/ T36 w 2241"/>
                              <a:gd name="T38" fmla="+- 0 4897 281"/>
                              <a:gd name="T39" fmla="*/ 4897 h 5530"/>
                              <a:gd name="T40" fmla="+- 0 2301 2301"/>
                              <a:gd name="T41" fmla="*/ T40 w 2241"/>
                              <a:gd name="T42" fmla="+- 0 4786 281"/>
                              <a:gd name="T43" fmla="*/ 4786 h 5530"/>
                              <a:gd name="T44" fmla="+- 0 2340 2301"/>
                              <a:gd name="T45" fmla="*/ T44 w 2241"/>
                              <a:gd name="T46" fmla="+- 0 4553 281"/>
                              <a:gd name="T47" fmla="*/ 4553 h 5530"/>
                              <a:gd name="T48" fmla="+- 0 2340 2301"/>
                              <a:gd name="T49" fmla="*/ T48 w 2241"/>
                              <a:gd name="T50" fmla="+- 0 4616 281"/>
                              <a:gd name="T51" fmla="*/ 4616 h 5530"/>
                              <a:gd name="T52" fmla="+- 0 2301 2301"/>
                              <a:gd name="T53" fmla="*/ T52 w 2241"/>
                              <a:gd name="T54" fmla="+- 0 4383 281"/>
                              <a:gd name="T55" fmla="*/ 4383 h 5530"/>
                              <a:gd name="T56" fmla="+- 0 2345 2301"/>
                              <a:gd name="T57" fmla="*/ T56 w 2241"/>
                              <a:gd name="T58" fmla="+- 0 4383 281"/>
                              <a:gd name="T59" fmla="*/ 4383 h 5530"/>
                              <a:gd name="T60" fmla="+- 0 2301 2301"/>
                              <a:gd name="T61" fmla="*/ T60 w 2241"/>
                              <a:gd name="T62" fmla="+- 0 4273 281"/>
                              <a:gd name="T63" fmla="*/ 4273 h 5530"/>
                              <a:gd name="T64" fmla="+- 0 2391 2301"/>
                              <a:gd name="T65" fmla="*/ T64 w 2241"/>
                              <a:gd name="T66" fmla="+- 0 4042 281"/>
                              <a:gd name="T67" fmla="*/ 4042 h 5530"/>
                              <a:gd name="T68" fmla="+- 0 2391 2301"/>
                              <a:gd name="T69" fmla="*/ T68 w 2241"/>
                              <a:gd name="T70" fmla="+- 0 4102 281"/>
                              <a:gd name="T71" fmla="*/ 4102 h 5530"/>
                              <a:gd name="T72" fmla="+- 0 2301 2301"/>
                              <a:gd name="T73" fmla="*/ T72 w 2241"/>
                              <a:gd name="T74" fmla="+- 0 3869 281"/>
                              <a:gd name="T75" fmla="*/ 3869 h 5530"/>
                              <a:gd name="T76" fmla="+- 0 2391 2301"/>
                              <a:gd name="T77" fmla="*/ T76 w 2241"/>
                              <a:gd name="T78" fmla="+- 0 3869 281"/>
                              <a:gd name="T79" fmla="*/ 3869 h 5530"/>
                              <a:gd name="T80" fmla="+- 0 2301 2301"/>
                              <a:gd name="T81" fmla="*/ T80 w 2241"/>
                              <a:gd name="T82" fmla="+- 0 3761 281"/>
                              <a:gd name="T83" fmla="*/ 3761 h 5530"/>
                              <a:gd name="T84" fmla="+- 0 2410 2301"/>
                              <a:gd name="T85" fmla="*/ T84 w 2241"/>
                              <a:gd name="T86" fmla="+- 0 3529 281"/>
                              <a:gd name="T87" fmla="*/ 3529 h 5530"/>
                              <a:gd name="T88" fmla="+- 0 2410 2301"/>
                              <a:gd name="T89" fmla="*/ T88 w 2241"/>
                              <a:gd name="T90" fmla="+- 0 3589 281"/>
                              <a:gd name="T91" fmla="*/ 3589 h 5530"/>
                              <a:gd name="T92" fmla="+- 0 2301 2301"/>
                              <a:gd name="T93" fmla="*/ T92 w 2241"/>
                              <a:gd name="T94" fmla="+- 0 3358 281"/>
                              <a:gd name="T95" fmla="*/ 3358 h 5530"/>
                              <a:gd name="T96" fmla="+- 0 2424 2301"/>
                              <a:gd name="T97" fmla="*/ T96 w 2241"/>
                              <a:gd name="T98" fmla="+- 0 3358 281"/>
                              <a:gd name="T99" fmla="*/ 3358 h 5530"/>
                              <a:gd name="T100" fmla="+- 0 2301 2301"/>
                              <a:gd name="T101" fmla="*/ T100 w 2241"/>
                              <a:gd name="T102" fmla="+- 0 3248 281"/>
                              <a:gd name="T103" fmla="*/ 3248 h 5530"/>
                              <a:gd name="T104" fmla="+- 0 2475 2301"/>
                              <a:gd name="T105" fmla="*/ T104 w 2241"/>
                              <a:gd name="T106" fmla="+- 0 3015 281"/>
                              <a:gd name="T107" fmla="*/ 3015 h 5530"/>
                              <a:gd name="T108" fmla="+- 0 2475 2301"/>
                              <a:gd name="T109" fmla="*/ T108 w 2241"/>
                              <a:gd name="T110" fmla="+- 0 3077 281"/>
                              <a:gd name="T111" fmla="*/ 3077 h 5530"/>
                              <a:gd name="T112" fmla="+- 0 2301 2301"/>
                              <a:gd name="T113" fmla="*/ T112 w 2241"/>
                              <a:gd name="T114" fmla="+- 0 2845 281"/>
                              <a:gd name="T115" fmla="*/ 2845 h 5530"/>
                              <a:gd name="T116" fmla="+- 0 2475 2301"/>
                              <a:gd name="T117" fmla="*/ T116 w 2241"/>
                              <a:gd name="T118" fmla="+- 0 2845 281"/>
                              <a:gd name="T119" fmla="*/ 2845 h 5530"/>
                              <a:gd name="T120" fmla="+- 0 2301 2301"/>
                              <a:gd name="T121" fmla="*/ T120 w 2241"/>
                              <a:gd name="T122" fmla="+- 0 2734 281"/>
                              <a:gd name="T123" fmla="*/ 2734 h 5530"/>
                              <a:gd name="T124" fmla="+- 0 2554 2301"/>
                              <a:gd name="T125" fmla="*/ T124 w 2241"/>
                              <a:gd name="T126" fmla="+- 0 2504 281"/>
                              <a:gd name="T127" fmla="*/ 2504 h 5530"/>
                              <a:gd name="T128" fmla="+- 0 2554 2301"/>
                              <a:gd name="T129" fmla="*/ T128 w 2241"/>
                              <a:gd name="T130" fmla="+- 0 2564 281"/>
                              <a:gd name="T131" fmla="*/ 2564 h 5530"/>
                              <a:gd name="T132" fmla="+- 0 2301 2301"/>
                              <a:gd name="T133" fmla="*/ T132 w 2241"/>
                              <a:gd name="T134" fmla="+- 0 2333 281"/>
                              <a:gd name="T135" fmla="*/ 2333 h 5530"/>
                              <a:gd name="T136" fmla="+- 0 2554 2301"/>
                              <a:gd name="T137" fmla="*/ T136 w 2241"/>
                              <a:gd name="T138" fmla="+- 0 2333 281"/>
                              <a:gd name="T139" fmla="*/ 2333 h 5530"/>
                              <a:gd name="T140" fmla="+- 0 2301 2301"/>
                              <a:gd name="T141" fmla="*/ T140 w 2241"/>
                              <a:gd name="T142" fmla="+- 0 2223 281"/>
                              <a:gd name="T143" fmla="*/ 2223 h 5530"/>
                              <a:gd name="T144" fmla="+- 0 2619 2301"/>
                              <a:gd name="T145" fmla="*/ T144 w 2241"/>
                              <a:gd name="T146" fmla="+- 0 1990 281"/>
                              <a:gd name="T147" fmla="*/ 1990 h 5530"/>
                              <a:gd name="T148" fmla="+- 0 2619 2301"/>
                              <a:gd name="T149" fmla="*/ T148 w 2241"/>
                              <a:gd name="T150" fmla="+- 0 2050 281"/>
                              <a:gd name="T151" fmla="*/ 2050 h 5530"/>
                              <a:gd name="T152" fmla="+- 0 2301 2301"/>
                              <a:gd name="T153" fmla="*/ T152 w 2241"/>
                              <a:gd name="T154" fmla="+- 0 1820 281"/>
                              <a:gd name="T155" fmla="*/ 1820 h 5530"/>
                              <a:gd name="T156" fmla="+- 0 2631 2301"/>
                              <a:gd name="T157" fmla="*/ T156 w 2241"/>
                              <a:gd name="T158" fmla="+- 0 1820 281"/>
                              <a:gd name="T159" fmla="*/ 1820 h 5530"/>
                              <a:gd name="T160" fmla="+- 0 2301 2301"/>
                              <a:gd name="T161" fmla="*/ T160 w 2241"/>
                              <a:gd name="T162" fmla="+- 0 1709 281"/>
                              <a:gd name="T163" fmla="*/ 1709 h 5530"/>
                              <a:gd name="T164" fmla="+- 0 2787 2301"/>
                              <a:gd name="T165" fmla="*/ T164 w 2241"/>
                              <a:gd name="T166" fmla="+- 0 1479 281"/>
                              <a:gd name="T167" fmla="*/ 1479 h 5530"/>
                              <a:gd name="T168" fmla="+- 0 2787 2301"/>
                              <a:gd name="T169" fmla="*/ T168 w 2241"/>
                              <a:gd name="T170" fmla="+- 0 1539 281"/>
                              <a:gd name="T171" fmla="*/ 1539 h 5530"/>
                              <a:gd name="T172" fmla="+- 0 2301 2301"/>
                              <a:gd name="T173" fmla="*/ T172 w 2241"/>
                              <a:gd name="T174" fmla="+- 0 281 281"/>
                              <a:gd name="T175" fmla="*/ 281 h 5530"/>
                              <a:gd name="T176" fmla="+- 0 4541 2301"/>
                              <a:gd name="T177" fmla="*/ T176 w 2241"/>
                              <a:gd name="T178" fmla="+- 0 281 281"/>
                              <a:gd name="T179" fmla="*/ 281 h 55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241" h="5530">
                                <a:moveTo>
                                  <a:pt x="1" y="5127"/>
                                </a:moveTo>
                                <a:lnTo>
                                  <a:pt x="0" y="5127"/>
                                </a:lnTo>
                                <a:lnTo>
                                  <a:pt x="0" y="5189"/>
                                </a:lnTo>
                                <a:lnTo>
                                  <a:pt x="1" y="5189"/>
                                </a:lnTo>
                                <a:lnTo>
                                  <a:pt x="1" y="5127"/>
                                </a:lnTo>
                                <a:close/>
                                <a:moveTo>
                                  <a:pt x="2" y="5470"/>
                                </a:moveTo>
                                <a:lnTo>
                                  <a:pt x="0" y="5470"/>
                                </a:lnTo>
                                <a:lnTo>
                                  <a:pt x="0" y="5530"/>
                                </a:lnTo>
                                <a:lnTo>
                                  <a:pt x="2" y="5530"/>
                                </a:lnTo>
                                <a:lnTo>
                                  <a:pt x="2" y="5470"/>
                                </a:lnTo>
                                <a:close/>
                                <a:moveTo>
                                  <a:pt x="2" y="5300"/>
                                </a:moveTo>
                                <a:lnTo>
                                  <a:pt x="0" y="5300"/>
                                </a:lnTo>
                                <a:lnTo>
                                  <a:pt x="0" y="5360"/>
                                </a:lnTo>
                                <a:lnTo>
                                  <a:pt x="2" y="5360"/>
                                </a:lnTo>
                                <a:lnTo>
                                  <a:pt x="2" y="5300"/>
                                </a:lnTo>
                                <a:close/>
                                <a:moveTo>
                                  <a:pt x="3" y="4956"/>
                                </a:moveTo>
                                <a:lnTo>
                                  <a:pt x="0" y="4956"/>
                                </a:lnTo>
                                <a:lnTo>
                                  <a:pt x="0" y="5016"/>
                                </a:lnTo>
                                <a:lnTo>
                                  <a:pt x="3" y="5016"/>
                                </a:lnTo>
                                <a:lnTo>
                                  <a:pt x="3" y="4956"/>
                                </a:lnTo>
                                <a:close/>
                                <a:moveTo>
                                  <a:pt x="11" y="4786"/>
                                </a:moveTo>
                                <a:lnTo>
                                  <a:pt x="0" y="4786"/>
                                </a:lnTo>
                                <a:lnTo>
                                  <a:pt x="0" y="4846"/>
                                </a:lnTo>
                                <a:lnTo>
                                  <a:pt x="11" y="4846"/>
                                </a:lnTo>
                                <a:lnTo>
                                  <a:pt x="11" y="4786"/>
                                </a:lnTo>
                                <a:close/>
                                <a:moveTo>
                                  <a:pt x="27" y="4616"/>
                                </a:moveTo>
                                <a:lnTo>
                                  <a:pt x="0" y="4616"/>
                                </a:lnTo>
                                <a:lnTo>
                                  <a:pt x="0" y="4676"/>
                                </a:lnTo>
                                <a:lnTo>
                                  <a:pt x="27" y="4676"/>
                                </a:lnTo>
                                <a:lnTo>
                                  <a:pt x="27" y="4616"/>
                                </a:lnTo>
                                <a:close/>
                                <a:moveTo>
                                  <a:pt x="39" y="4445"/>
                                </a:moveTo>
                                <a:lnTo>
                                  <a:pt x="0" y="4445"/>
                                </a:lnTo>
                                <a:lnTo>
                                  <a:pt x="0" y="4505"/>
                                </a:lnTo>
                                <a:lnTo>
                                  <a:pt x="39" y="4505"/>
                                </a:lnTo>
                                <a:lnTo>
                                  <a:pt x="39" y="4445"/>
                                </a:lnTo>
                                <a:close/>
                                <a:moveTo>
                                  <a:pt x="39" y="4272"/>
                                </a:moveTo>
                                <a:lnTo>
                                  <a:pt x="0" y="4272"/>
                                </a:lnTo>
                                <a:lnTo>
                                  <a:pt x="0" y="4335"/>
                                </a:lnTo>
                                <a:lnTo>
                                  <a:pt x="39" y="4335"/>
                                </a:lnTo>
                                <a:lnTo>
                                  <a:pt x="39" y="4272"/>
                                </a:lnTo>
                                <a:close/>
                                <a:moveTo>
                                  <a:pt x="44" y="4102"/>
                                </a:moveTo>
                                <a:lnTo>
                                  <a:pt x="0" y="4102"/>
                                </a:lnTo>
                                <a:lnTo>
                                  <a:pt x="0" y="4162"/>
                                </a:lnTo>
                                <a:lnTo>
                                  <a:pt x="44" y="4162"/>
                                </a:lnTo>
                                <a:lnTo>
                                  <a:pt x="44" y="4102"/>
                                </a:lnTo>
                                <a:close/>
                                <a:moveTo>
                                  <a:pt x="54" y="3932"/>
                                </a:moveTo>
                                <a:lnTo>
                                  <a:pt x="0" y="3932"/>
                                </a:lnTo>
                                <a:lnTo>
                                  <a:pt x="0" y="3992"/>
                                </a:lnTo>
                                <a:lnTo>
                                  <a:pt x="54" y="3992"/>
                                </a:lnTo>
                                <a:lnTo>
                                  <a:pt x="54" y="3932"/>
                                </a:lnTo>
                                <a:close/>
                                <a:moveTo>
                                  <a:pt x="90" y="3761"/>
                                </a:moveTo>
                                <a:lnTo>
                                  <a:pt x="0" y="3761"/>
                                </a:lnTo>
                                <a:lnTo>
                                  <a:pt x="0" y="3821"/>
                                </a:lnTo>
                                <a:lnTo>
                                  <a:pt x="90" y="3821"/>
                                </a:lnTo>
                                <a:lnTo>
                                  <a:pt x="90" y="3761"/>
                                </a:lnTo>
                                <a:close/>
                                <a:moveTo>
                                  <a:pt x="90" y="3588"/>
                                </a:moveTo>
                                <a:lnTo>
                                  <a:pt x="0" y="3588"/>
                                </a:lnTo>
                                <a:lnTo>
                                  <a:pt x="0" y="3651"/>
                                </a:lnTo>
                                <a:lnTo>
                                  <a:pt x="90" y="3651"/>
                                </a:lnTo>
                                <a:lnTo>
                                  <a:pt x="90" y="3588"/>
                                </a:lnTo>
                                <a:close/>
                                <a:moveTo>
                                  <a:pt x="107" y="3418"/>
                                </a:moveTo>
                                <a:lnTo>
                                  <a:pt x="0" y="3418"/>
                                </a:lnTo>
                                <a:lnTo>
                                  <a:pt x="0" y="3480"/>
                                </a:lnTo>
                                <a:lnTo>
                                  <a:pt x="107" y="3480"/>
                                </a:lnTo>
                                <a:lnTo>
                                  <a:pt x="107" y="3418"/>
                                </a:lnTo>
                                <a:close/>
                                <a:moveTo>
                                  <a:pt x="109" y="3248"/>
                                </a:moveTo>
                                <a:lnTo>
                                  <a:pt x="0" y="3248"/>
                                </a:lnTo>
                                <a:lnTo>
                                  <a:pt x="0" y="3308"/>
                                </a:lnTo>
                                <a:lnTo>
                                  <a:pt x="109" y="3308"/>
                                </a:lnTo>
                                <a:lnTo>
                                  <a:pt x="109" y="3248"/>
                                </a:lnTo>
                                <a:close/>
                                <a:moveTo>
                                  <a:pt x="123" y="3077"/>
                                </a:moveTo>
                                <a:lnTo>
                                  <a:pt x="0" y="3077"/>
                                </a:lnTo>
                                <a:lnTo>
                                  <a:pt x="0" y="3137"/>
                                </a:lnTo>
                                <a:lnTo>
                                  <a:pt x="123" y="3137"/>
                                </a:lnTo>
                                <a:lnTo>
                                  <a:pt x="123" y="3077"/>
                                </a:lnTo>
                                <a:close/>
                                <a:moveTo>
                                  <a:pt x="140" y="2907"/>
                                </a:moveTo>
                                <a:lnTo>
                                  <a:pt x="0" y="2907"/>
                                </a:lnTo>
                                <a:lnTo>
                                  <a:pt x="0" y="2967"/>
                                </a:lnTo>
                                <a:lnTo>
                                  <a:pt x="140" y="2967"/>
                                </a:lnTo>
                                <a:lnTo>
                                  <a:pt x="140" y="2907"/>
                                </a:lnTo>
                                <a:close/>
                                <a:moveTo>
                                  <a:pt x="174" y="2734"/>
                                </a:moveTo>
                                <a:lnTo>
                                  <a:pt x="0" y="2734"/>
                                </a:lnTo>
                                <a:lnTo>
                                  <a:pt x="0" y="2796"/>
                                </a:lnTo>
                                <a:lnTo>
                                  <a:pt x="174" y="2796"/>
                                </a:lnTo>
                                <a:lnTo>
                                  <a:pt x="174" y="2734"/>
                                </a:lnTo>
                                <a:close/>
                                <a:moveTo>
                                  <a:pt x="174" y="2564"/>
                                </a:moveTo>
                                <a:lnTo>
                                  <a:pt x="0" y="2564"/>
                                </a:lnTo>
                                <a:lnTo>
                                  <a:pt x="0" y="2626"/>
                                </a:lnTo>
                                <a:lnTo>
                                  <a:pt x="174" y="2626"/>
                                </a:lnTo>
                                <a:lnTo>
                                  <a:pt x="174" y="2564"/>
                                </a:lnTo>
                                <a:close/>
                                <a:moveTo>
                                  <a:pt x="215" y="2393"/>
                                </a:moveTo>
                                <a:lnTo>
                                  <a:pt x="0" y="2393"/>
                                </a:lnTo>
                                <a:lnTo>
                                  <a:pt x="0" y="2453"/>
                                </a:lnTo>
                                <a:lnTo>
                                  <a:pt x="215" y="2453"/>
                                </a:lnTo>
                                <a:lnTo>
                                  <a:pt x="215" y="2393"/>
                                </a:lnTo>
                                <a:close/>
                                <a:moveTo>
                                  <a:pt x="253" y="2223"/>
                                </a:moveTo>
                                <a:lnTo>
                                  <a:pt x="0" y="2223"/>
                                </a:lnTo>
                                <a:lnTo>
                                  <a:pt x="0" y="2283"/>
                                </a:lnTo>
                                <a:lnTo>
                                  <a:pt x="253" y="2283"/>
                                </a:lnTo>
                                <a:lnTo>
                                  <a:pt x="253" y="2223"/>
                                </a:lnTo>
                                <a:close/>
                                <a:moveTo>
                                  <a:pt x="253" y="2052"/>
                                </a:moveTo>
                                <a:lnTo>
                                  <a:pt x="0" y="2052"/>
                                </a:lnTo>
                                <a:lnTo>
                                  <a:pt x="0" y="2112"/>
                                </a:lnTo>
                                <a:lnTo>
                                  <a:pt x="253" y="2112"/>
                                </a:lnTo>
                                <a:lnTo>
                                  <a:pt x="253" y="2052"/>
                                </a:lnTo>
                                <a:close/>
                                <a:moveTo>
                                  <a:pt x="255" y="1880"/>
                                </a:moveTo>
                                <a:lnTo>
                                  <a:pt x="0" y="1880"/>
                                </a:lnTo>
                                <a:lnTo>
                                  <a:pt x="0" y="1942"/>
                                </a:lnTo>
                                <a:lnTo>
                                  <a:pt x="255" y="1942"/>
                                </a:lnTo>
                                <a:lnTo>
                                  <a:pt x="255" y="1880"/>
                                </a:lnTo>
                                <a:close/>
                                <a:moveTo>
                                  <a:pt x="318" y="1709"/>
                                </a:moveTo>
                                <a:lnTo>
                                  <a:pt x="0" y="1709"/>
                                </a:lnTo>
                                <a:lnTo>
                                  <a:pt x="0" y="1769"/>
                                </a:lnTo>
                                <a:lnTo>
                                  <a:pt x="318" y="1769"/>
                                </a:lnTo>
                                <a:lnTo>
                                  <a:pt x="318" y="1709"/>
                                </a:lnTo>
                                <a:close/>
                                <a:moveTo>
                                  <a:pt x="330" y="1539"/>
                                </a:moveTo>
                                <a:lnTo>
                                  <a:pt x="0" y="1539"/>
                                </a:lnTo>
                                <a:lnTo>
                                  <a:pt x="0" y="1599"/>
                                </a:lnTo>
                                <a:lnTo>
                                  <a:pt x="330" y="1599"/>
                                </a:lnTo>
                                <a:lnTo>
                                  <a:pt x="330" y="1539"/>
                                </a:lnTo>
                                <a:close/>
                                <a:moveTo>
                                  <a:pt x="378" y="1368"/>
                                </a:moveTo>
                                <a:lnTo>
                                  <a:pt x="0" y="1368"/>
                                </a:lnTo>
                                <a:lnTo>
                                  <a:pt x="0" y="1428"/>
                                </a:lnTo>
                                <a:lnTo>
                                  <a:pt x="378" y="1428"/>
                                </a:lnTo>
                                <a:lnTo>
                                  <a:pt x="378" y="1368"/>
                                </a:lnTo>
                                <a:close/>
                                <a:moveTo>
                                  <a:pt x="486" y="1198"/>
                                </a:moveTo>
                                <a:lnTo>
                                  <a:pt x="0" y="1198"/>
                                </a:lnTo>
                                <a:lnTo>
                                  <a:pt x="0" y="1258"/>
                                </a:lnTo>
                                <a:lnTo>
                                  <a:pt x="486" y="1258"/>
                                </a:lnTo>
                                <a:lnTo>
                                  <a:pt x="486" y="1198"/>
                                </a:lnTo>
                                <a:close/>
                                <a:moveTo>
                                  <a:pt x="2240" y="0"/>
                                </a:moveTo>
                                <a:lnTo>
                                  <a:pt x="0" y="0"/>
                                </a:lnTo>
                                <a:lnTo>
                                  <a:pt x="0" y="60"/>
                                </a:lnTo>
                                <a:lnTo>
                                  <a:pt x="2240" y="60"/>
                                </a:lnTo>
                                <a:lnTo>
                                  <a:pt x="2240"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AutoShape 140"/>
                        <wps:cNvSpPr>
                          <a:spLocks/>
                        </wps:cNvSpPr>
                        <wps:spPr bwMode="auto">
                          <a:xfrm>
                            <a:off x="7" y="7"/>
                            <a:ext cx="5131" cy="6356"/>
                          </a:xfrm>
                          <a:custGeom>
                            <a:avLst/>
                            <a:gdLst>
                              <a:gd name="T0" fmla="+- 0 2301 8"/>
                              <a:gd name="T1" fmla="*/ T0 w 5131"/>
                              <a:gd name="T2" fmla="+- 0 5866 8"/>
                              <a:gd name="T3" fmla="*/ 5866 h 6356"/>
                              <a:gd name="T4" fmla="+- 0 2301 8"/>
                              <a:gd name="T5" fmla="*/ T4 w 5131"/>
                              <a:gd name="T6" fmla="+- 0 227 8"/>
                              <a:gd name="T7" fmla="*/ 227 h 6356"/>
                              <a:gd name="T8" fmla="+- 0 4801 8"/>
                              <a:gd name="T9" fmla="*/ T8 w 5131"/>
                              <a:gd name="T10" fmla="+- 0 227 8"/>
                              <a:gd name="T11" fmla="*/ 227 h 6356"/>
                              <a:gd name="T12" fmla="+- 0 4801 8"/>
                              <a:gd name="T13" fmla="*/ T12 w 5131"/>
                              <a:gd name="T14" fmla="+- 0 5866 8"/>
                              <a:gd name="T15" fmla="*/ 5866 h 6356"/>
                              <a:gd name="T16" fmla="+- 0 8 8"/>
                              <a:gd name="T17" fmla="*/ T16 w 5131"/>
                              <a:gd name="T18" fmla="+- 0 6364 8"/>
                              <a:gd name="T19" fmla="*/ 6364 h 6356"/>
                              <a:gd name="T20" fmla="+- 0 5139 8"/>
                              <a:gd name="T21" fmla="*/ T20 w 5131"/>
                              <a:gd name="T22" fmla="+- 0 6364 8"/>
                              <a:gd name="T23" fmla="*/ 6364 h 6356"/>
                              <a:gd name="T24" fmla="+- 0 5139 8"/>
                              <a:gd name="T25" fmla="*/ T24 w 5131"/>
                              <a:gd name="T26" fmla="+- 0 8 8"/>
                              <a:gd name="T27" fmla="*/ 8 h 6356"/>
                              <a:gd name="T28" fmla="+- 0 8 8"/>
                              <a:gd name="T29" fmla="*/ T28 w 5131"/>
                              <a:gd name="T30" fmla="+- 0 8 8"/>
                              <a:gd name="T31" fmla="*/ 8 h 6356"/>
                              <a:gd name="T32" fmla="+- 0 8 8"/>
                              <a:gd name="T33" fmla="*/ T32 w 5131"/>
                              <a:gd name="T34" fmla="+- 0 6364 8"/>
                              <a:gd name="T35" fmla="*/ 6364 h 63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5131" h="6356">
                                <a:moveTo>
                                  <a:pt x="2293" y="5858"/>
                                </a:moveTo>
                                <a:lnTo>
                                  <a:pt x="2293" y="219"/>
                                </a:lnTo>
                                <a:moveTo>
                                  <a:pt x="4793" y="219"/>
                                </a:moveTo>
                                <a:lnTo>
                                  <a:pt x="4793" y="5858"/>
                                </a:lnTo>
                                <a:moveTo>
                                  <a:pt x="0" y="6356"/>
                                </a:moveTo>
                                <a:lnTo>
                                  <a:pt x="5131" y="6356"/>
                                </a:lnTo>
                                <a:lnTo>
                                  <a:pt x="5131" y="0"/>
                                </a:lnTo>
                                <a:lnTo>
                                  <a:pt x="0" y="0"/>
                                </a:lnTo>
                                <a:lnTo>
                                  <a:pt x="0" y="6356"/>
                                </a:lnTo>
                                <a:close/>
                              </a:path>
                            </a:pathLst>
                          </a:custGeom>
                          <a:noFill/>
                          <a:ln w="9525">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Text Box 141"/>
                        <wps:cNvSpPr txBox="1">
                          <a:spLocks noChangeArrowheads="1"/>
                        </wps:cNvSpPr>
                        <wps:spPr bwMode="auto">
                          <a:xfrm>
                            <a:off x="150" y="258"/>
                            <a:ext cx="2142" cy="5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9761E" w14:textId="77777777" w:rsidR="00786657" w:rsidRDefault="00786657" w:rsidP="00786657">
                              <w:pPr>
                                <w:spacing w:line="122" w:lineRule="exact"/>
                                <w:ind w:right="99"/>
                                <w:jc w:val="right"/>
                                <w:rPr>
                                  <w:rFonts w:ascii="Calibri"/>
                                  <w:sz w:val="12"/>
                                </w:rPr>
                              </w:pPr>
                              <w:r>
                                <w:rPr>
                                  <w:rFonts w:ascii="Calibri"/>
                                  <w:color w:val="585858"/>
                                  <w:sz w:val="12"/>
                                </w:rPr>
                                <w:t>Antioquia</w:t>
                              </w:r>
                            </w:p>
                            <w:p w14:paraId="5FB52979" w14:textId="77777777" w:rsidR="00786657" w:rsidRDefault="00786657" w:rsidP="00786657">
                              <w:pPr>
                                <w:spacing w:before="24"/>
                                <w:ind w:right="101"/>
                                <w:jc w:val="right"/>
                                <w:rPr>
                                  <w:rFonts w:ascii="Calibri"/>
                                  <w:sz w:val="12"/>
                                </w:rPr>
                              </w:pPr>
                              <w:r>
                                <w:rPr>
                                  <w:rFonts w:ascii="Calibri"/>
                                  <w:color w:val="585858"/>
                                  <w:sz w:val="12"/>
                                </w:rPr>
                                <w:t>Valle</w:t>
                              </w:r>
                              <w:r>
                                <w:rPr>
                                  <w:rFonts w:ascii="Calibri"/>
                                  <w:color w:val="585858"/>
                                  <w:spacing w:val="-3"/>
                                  <w:sz w:val="12"/>
                                </w:rPr>
                                <w:t xml:space="preserve"> </w:t>
                              </w:r>
                              <w:r>
                                <w:rPr>
                                  <w:rFonts w:ascii="Calibri"/>
                                  <w:color w:val="585858"/>
                                  <w:sz w:val="12"/>
                                </w:rPr>
                                <w:t>del</w:t>
                              </w:r>
                              <w:r>
                                <w:rPr>
                                  <w:rFonts w:ascii="Calibri"/>
                                  <w:color w:val="585858"/>
                                  <w:spacing w:val="-3"/>
                                  <w:sz w:val="12"/>
                                </w:rPr>
                                <w:t xml:space="preserve"> </w:t>
                              </w:r>
                              <w:r>
                                <w:rPr>
                                  <w:rFonts w:ascii="Calibri"/>
                                  <w:color w:val="585858"/>
                                  <w:sz w:val="12"/>
                                </w:rPr>
                                <w:t>Cauca</w:t>
                              </w:r>
                            </w:p>
                            <w:p w14:paraId="4404F939" w14:textId="77777777" w:rsidR="00786657" w:rsidRDefault="00786657" w:rsidP="00786657">
                              <w:pPr>
                                <w:spacing w:before="24" w:line="280" w:lineRule="auto"/>
                                <w:ind w:left="1438" w:right="100" w:firstLine="264"/>
                                <w:jc w:val="right"/>
                                <w:rPr>
                                  <w:rFonts w:ascii="Calibri" w:hAnsi="Calibri"/>
                                  <w:sz w:val="12"/>
                                </w:rPr>
                              </w:pPr>
                              <w:r>
                                <w:rPr>
                                  <w:rFonts w:ascii="Calibri" w:hAnsi="Calibri"/>
                                  <w:color w:val="585858"/>
                                  <w:sz w:val="12"/>
                                </w:rPr>
                                <w:t>Bolívar</w:t>
                              </w:r>
                              <w:r>
                                <w:rPr>
                                  <w:rFonts w:ascii="Calibri" w:hAnsi="Calibri"/>
                                  <w:color w:val="585858"/>
                                  <w:spacing w:val="-26"/>
                                  <w:sz w:val="12"/>
                                </w:rPr>
                                <w:t xml:space="preserve"> </w:t>
                              </w:r>
                              <w:r>
                                <w:rPr>
                                  <w:rFonts w:ascii="Calibri" w:hAnsi="Calibri"/>
                                  <w:color w:val="585858"/>
                                  <w:sz w:val="12"/>
                                </w:rPr>
                                <w:t>Córdoba</w:t>
                              </w:r>
                              <w:r>
                                <w:rPr>
                                  <w:rFonts w:ascii="Calibri" w:hAnsi="Calibri"/>
                                  <w:color w:val="585858"/>
                                  <w:spacing w:val="1"/>
                                  <w:sz w:val="12"/>
                                </w:rPr>
                                <w:t xml:space="preserve"> </w:t>
                              </w:r>
                              <w:r>
                                <w:rPr>
                                  <w:rFonts w:ascii="Calibri" w:hAnsi="Calibri"/>
                                  <w:color w:val="585858"/>
                                  <w:sz w:val="12"/>
                                </w:rPr>
                                <w:t>Magdalena</w:t>
                              </w:r>
                              <w:r>
                                <w:rPr>
                                  <w:rFonts w:ascii="Calibri" w:hAnsi="Calibri"/>
                                  <w:color w:val="585858"/>
                                  <w:spacing w:val="1"/>
                                  <w:sz w:val="12"/>
                                </w:rPr>
                                <w:t xml:space="preserve"> </w:t>
                              </w:r>
                              <w:r>
                                <w:rPr>
                                  <w:rFonts w:ascii="Calibri" w:hAnsi="Calibri"/>
                                  <w:color w:val="585858"/>
                                  <w:spacing w:val="-2"/>
                                  <w:sz w:val="12"/>
                                </w:rPr>
                                <w:t>Bogotá,</w:t>
                              </w:r>
                              <w:r>
                                <w:rPr>
                                  <w:rFonts w:ascii="Calibri" w:hAnsi="Calibri"/>
                                  <w:color w:val="585858"/>
                                  <w:sz w:val="12"/>
                                </w:rPr>
                                <w:t xml:space="preserve"> </w:t>
                              </w:r>
                              <w:r>
                                <w:rPr>
                                  <w:rFonts w:ascii="Calibri" w:hAnsi="Calibri"/>
                                  <w:color w:val="585858"/>
                                  <w:spacing w:val="-1"/>
                                  <w:sz w:val="12"/>
                                </w:rPr>
                                <w:t>D.C.</w:t>
                              </w:r>
                            </w:p>
                            <w:p w14:paraId="0DD9D9A0" w14:textId="77777777" w:rsidR="00786657" w:rsidRDefault="00786657" w:rsidP="00786657">
                              <w:pPr>
                                <w:spacing w:line="280" w:lineRule="auto"/>
                                <w:ind w:left="1552" w:right="100" w:firstLine="217"/>
                                <w:jc w:val="right"/>
                                <w:rPr>
                                  <w:rFonts w:ascii="Calibri"/>
                                  <w:sz w:val="12"/>
                                </w:rPr>
                              </w:pPr>
                              <w:r>
                                <w:rPr>
                                  <w:rFonts w:ascii="Calibri"/>
                                  <w:color w:val="585858"/>
                                  <w:sz w:val="12"/>
                                </w:rPr>
                                <w:t>Cesar</w:t>
                              </w:r>
                              <w:r>
                                <w:rPr>
                                  <w:rFonts w:ascii="Calibri"/>
                                  <w:color w:val="585858"/>
                                  <w:spacing w:val="-25"/>
                                  <w:sz w:val="12"/>
                                </w:rPr>
                                <w:t xml:space="preserve"> </w:t>
                              </w:r>
                              <w:r>
                                <w:rPr>
                                  <w:rFonts w:ascii="Calibri"/>
                                  <w:color w:val="585858"/>
                                  <w:spacing w:val="-2"/>
                                  <w:sz w:val="12"/>
                                </w:rPr>
                                <w:t>La</w:t>
                              </w:r>
                              <w:r>
                                <w:rPr>
                                  <w:rFonts w:ascii="Calibri"/>
                                  <w:color w:val="585858"/>
                                  <w:sz w:val="12"/>
                                </w:rPr>
                                <w:t xml:space="preserve"> </w:t>
                              </w:r>
                              <w:r>
                                <w:rPr>
                                  <w:rFonts w:ascii="Calibri"/>
                                  <w:color w:val="585858"/>
                                  <w:spacing w:val="-2"/>
                                  <w:sz w:val="12"/>
                                </w:rPr>
                                <w:t>Guajira</w:t>
                              </w:r>
                            </w:p>
                            <w:p w14:paraId="797E8166" w14:textId="77777777" w:rsidR="00786657" w:rsidRDefault="00786657" w:rsidP="00786657">
                              <w:pPr>
                                <w:spacing w:line="280" w:lineRule="auto"/>
                                <w:ind w:left="1335" w:right="99" w:firstLine="434"/>
                                <w:jc w:val="right"/>
                                <w:rPr>
                                  <w:rFonts w:ascii="Calibri" w:hAnsi="Calibri"/>
                                  <w:sz w:val="12"/>
                                </w:rPr>
                              </w:pPr>
                              <w:r>
                                <w:rPr>
                                  <w:rFonts w:ascii="Calibri" w:hAnsi="Calibri"/>
                                  <w:color w:val="585858"/>
                                  <w:sz w:val="12"/>
                                </w:rPr>
                                <w:t>Sucre</w:t>
                              </w:r>
                              <w:r>
                                <w:rPr>
                                  <w:rFonts w:ascii="Calibri" w:hAnsi="Calibri"/>
                                  <w:color w:val="585858"/>
                                  <w:spacing w:val="-25"/>
                                  <w:sz w:val="12"/>
                                </w:rPr>
                                <w:t xml:space="preserve"> </w:t>
                              </w:r>
                              <w:r>
                                <w:rPr>
                                  <w:rFonts w:ascii="Calibri" w:hAnsi="Calibri"/>
                                  <w:color w:val="585858"/>
                                  <w:sz w:val="12"/>
                                </w:rPr>
                                <w:t>Atlántico</w:t>
                              </w:r>
                              <w:r>
                                <w:rPr>
                                  <w:rFonts w:ascii="Calibri" w:hAnsi="Calibri"/>
                                  <w:color w:val="585858"/>
                                  <w:spacing w:val="1"/>
                                  <w:sz w:val="12"/>
                                </w:rPr>
                                <w:t xml:space="preserve"> </w:t>
                              </w:r>
                              <w:r>
                                <w:rPr>
                                  <w:rFonts w:ascii="Calibri" w:hAnsi="Calibri"/>
                                  <w:color w:val="585858"/>
                                  <w:sz w:val="12"/>
                                </w:rPr>
                                <w:t>Santander</w:t>
                              </w:r>
                              <w:r>
                                <w:rPr>
                                  <w:rFonts w:ascii="Calibri" w:hAnsi="Calibri"/>
                                  <w:color w:val="585858"/>
                                  <w:spacing w:val="1"/>
                                  <w:sz w:val="12"/>
                                </w:rPr>
                                <w:t xml:space="preserve"> </w:t>
                              </w:r>
                              <w:r>
                                <w:rPr>
                                  <w:rFonts w:ascii="Calibri" w:hAnsi="Calibri"/>
                                  <w:color w:val="585858"/>
                                  <w:sz w:val="12"/>
                                </w:rPr>
                                <w:t>Cundinamarca</w:t>
                              </w:r>
                            </w:p>
                            <w:p w14:paraId="053721B1" w14:textId="77777777" w:rsidR="00786657" w:rsidRDefault="00786657" w:rsidP="00786657">
                              <w:pPr>
                                <w:spacing w:line="280" w:lineRule="auto"/>
                                <w:ind w:left="1594" w:right="99" w:firstLine="184"/>
                                <w:jc w:val="right"/>
                                <w:rPr>
                                  <w:rFonts w:ascii="Calibri" w:hAnsi="Calibri"/>
                                  <w:sz w:val="12"/>
                                </w:rPr>
                              </w:pPr>
                              <w:r>
                                <w:rPr>
                                  <w:rFonts w:ascii="Calibri" w:hAnsi="Calibri"/>
                                  <w:color w:val="585858"/>
                                  <w:sz w:val="12"/>
                                </w:rPr>
                                <w:t>Meta</w:t>
                              </w:r>
                              <w:r>
                                <w:rPr>
                                  <w:rFonts w:ascii="Calibri" w:hAnsi="Calibri"/>
                                  <w:color w:val="585858"/>
                                  <w:spacing w:val="-25"/>
                                  <w:sz w:val="12"/>
                                </w:rPr>
                                <w:t xml:space="preserve"> </w:t>
                              </w:r>
                              <w:r>
                                <w:rPr>
                                  <w:rFonts w:ascii="Calibri" w:hAnsi="Calibri"/>
                                  <w:color w:val="585858"/>
                                  <w:sz w:val="12"/>
                                </w:rPr>
                                <w:t>Nariño</w:t>
                              </w:r>
                              <w:r>
                                <w:rPr>
                                  <w:rFonts w:ascii="Calibri" w:hAnsi="Calibri"/>
                                  <w:color w:val="585858"/>
                                  <w:spacing w:val="1"/>
                                  <w:sz w:val="12"/>
                                </w:rPr>
                                <w:t xml:space="preserve"> </w:t>
                              </w:r>
                              <w:r>
                                <w:rPr>
                                  <w:rFonts w:ascii="Calibri" w:hAnsi="Calibri"/>
                                  <w:color w:val="585858"/>
                                  <w:sz w:val="12"/>
                                </w:rPr>
                                <w:t>Cauca</w:t>
                              </w:r>
                              <w:r>
                                <w:rPr>
                                  <w:rFonts w:ascii="Calibri" w:hAnsi="Calibri"/>
                                  <w:color w:val="585858"/>
                                  <w:spacing w:val="1"/>
                                  <w:sz w:val="12"/>
                                </w:rPr>
                                <w:t xml:space="preserve"> </w:t>
                              </w:r>
                              <w:r>
                                <w:rPr>
                                  <w:rFonts w:ascii="Calibri" w:hAnsi="Calibri"/>
                                  <w:color w:val="585858"/>
                                  <w:sz w:val="12"/>
                                </w:rPr>
                                <w:t>Tolima</w:t>
                              </w:r>
                              <w:r>
                                <w:rPr>
                                  <w:rFonts w:ascii="Calibri" w:hAnsi="Calibri"/>
                                  <w:color w:val="585858"/>
                                  <w:spacing w:val="1"/>
                                  <w:sz w:val="12"/>
                                </w:rPr>
                                <w:t xml:space="preserve"> </w:t>
                              </w:r>
                              <w:r>
                                <w:rPr>
                                  <w:rFonts w:ascii="Calibri" w:hAnsi="Calibri"/>
                                  <w:color w:val="585858"/>
                                  <w:sz w:val="12"/>
                                </w:rPr>
                                <w:t>Risaralda</w:t>
                              </w:r>
                              <w:r>
                                <w:rPr>
                                  <w:rFonts w:ascii="Calibri" w:hAnsi="Calibri"/>
                                  <w:color w:val="585858"/>
                                  <w:spacing w:val="-25"/>
                                  <w:sz w:val="12"/>
                                </w:rPr>
                                <w:t xml:space="preserve"> </w:t>
                              </w:r>
                              <w:r>
                                <w:rPr>
                                  <w:rFonts w:ascii="Calibri" w:hAnsi="Calibri"/>
                                  <w:color w:val="585858"/>
                                  <w:sz w:val="12"/>
                                </w:rPr>
                                <w:t>Caquetá</w:t>
                              </w:r>
                              <w:r>
                                <w:rPr>
                                  <w:rFonts w:ascii="Calibri" w:hAnsi="Calibri"/>
                                  <w:color w:val="585858"/>
                                  <w:spacing w:val="1"/>
                                  <w:sz w:val="12"/>
                                </w:rPr>
                                <w:t xml:space="preserve"> </w:t>
                              </w:r>
                              <w:r>
                                <w:rPr>
                                  <w:rFonts w:ascii="Calibri" w:hAnsi="Calibri"/>
                                  <w:color w:val="585858"/>
                                  <w:sz w:val="12"/>
                                </w:rPr>
                                <w:t>Chocó</w:t>
                              </w:r>
                            </w:p>
                            <w:p w14:paraId="2F142BB0" w14:textId="77777777" w:rsidR="00786657" w:rsidRDefault="00786657" w:rsidP="00786657">
                              <w:pPr>
                                <w:spacing w:line="144" w:lineRule="exact"/>
                                <w:ind w:right="99"/>
                                <w:jc w:val="right"/>
                                <w:rPr>
                                  <w:rFonts w:ascii="Calibri"/>
                                  <w:sz w:val="12"/>
                                </w:rPr>
                              </w:pPr>
                              <w:r>
                                <w:rPr>
                                  <w:rFonts w:ascii="Calibri"/>
                                  <w:color w:val="585858"/>
                                  <w:sz w:val="12"/>
                                </w:rPr>
                                <w:t>Norte</w:t>
                              </w:r>
                              <w:r>
                                <w:rPr>
                                  <w:rFonts w:ascii="Calibri"/>
                                  <w:color w:val="585858"/>
                                  <w:spacing w:val="-4"/>
                                  <w:sz w:val="12"/>
                                </w:rPr>
                                <w:t xml:space="preserve"> </w:t>
                              </w:r>
                              <w:r>
                                <w:rPr>
                                  <w:rFonts w:ascii="Calibri"/>
                                  <w:color w:val="585858"/>
                                  <w:sz w:val="12"/>
                                </w:rPr>
                                <w:t>de</w:t>
                              </w:r>
                              <w:r>
                                <w:rPr>
                                  <w:rFonts w:ascii="Calibri"/>
                                  <w:color w:val="585858"/>
                                  <w:spacing w:val="-4"/>
                                  <w:sz w:val="12"/>
                                </w:rPr>
                                <w:t xml:space="preserve"> </w:t>
                              </w:r>
                              <w:r>
                                <w:rPr>
                                  <w:rFonts w:ascii="Calibri"/>
                                  <w:color w:val="585858"/>
                                  <w:sz w:val="12"/>
                                </w:rPr>
                                <w:t>Santander</w:t>
                              </w:r>
                            </w:p>
                            <w:p w14:paraId="33DCD51B" w14:textId="0B34F66E" w:rsidR="00786657" w:rsidRDefault="00786657" w:rsidP="00786657">
                              <w:pPr>
                                <w:spacing w:before="20" w:line="280" w:lineRule="auto"/>
                                <w:ind w:left="1539" w:right="99" w:firstLine="250"/>
                                <w:jc w:val="right"/>
                                <w:rPr>
                                  <w:rFonts w:ascii="Calibri" w:hAnsi="Calibri"/>
                                  <w:sz w:val="12"/>
                                </w:rPr>
                              </w:pPr>
                              <w:r>
                                <w:rPr>
                                  <w:rFonts w:ascii="Calibri" w:hAnsi="Calibri"/>
                                  <w:color w:val="585858"/>
                                  <w:sz w:val="12"/>
                                </w:rPr>
                                <w:t>Huila</w:t>
                              </w:r>
                              <w:r>
                                <w:rPr>
                                  <w:rFonts w:ascii="Calibri" w:hAnsi="Calibri"/>
                                  <w:color w:val="585858"/>
                                  <w:spacing w:val="-25"/>
                                  <w:sz w:val="12"/>
                                </w:rPr>
                                <w:t xml:space="preserve"> </w:t>
                              </w:r>
                              <w:r>
                                <w:rPr>
                                  <w:rFonts w:ascii="Calibri" w:hAnsi="Calibri"/>
                                  <w:color w:val="585858"/>
                                  <w:sz w:val="12"/>
                                </w:rPr>
                                <w:t>Caldas</w:t>
                              </w:r>
                              <w:r>
                                <w:rPr>
                                  <w:rFonts w:ascii="Calibri" w:hAnsi="Calibri"/>
                                  <w:color w:val="585858"/>
                                  <w:spacing w:val="1"/>
                                  <w:sz w:val="12"/>
                                </w:rPr>
                                <w:t xml:space="preserve"> </w:t>
                              </w:r>
                              <w:r>
                                <w:rPr>
                                  <w:rFonts w:ascii="Calibri" w:hAnsi="Calibri"/>
                                  <w:color w:val="585858"/>
                                  <w:sz w:val="12"/>
                                </w:rPr>
                                <w:t>Putumayo</w:t>
                              </w:r>
                              <w:r>
                                <w:rPr>
                                  <w:rFonts w:ascii="Calibri" w:hAnsi="Calibri"/>
                                  <w:color w:val="585858"/>
                                  <w:spacing w:val="-25"/>
                                  <w:sz w:val="12"/>
                                </w:rPr>
                                <w:t xml:space="preserve"> </w:t>
                              </w:r>
                              <w:r w:rsidR="000F6005">
                                <w:rPr>
                                  <w:rFonts w:ascii="Calibri" w:hAnsi="Calibri"/>
                                  <w:color w:val="585858"/>
                                  <w:sz w:val="12"/>
                                </w:rPr>
                                <w:t>Quindío</w:t>
                              </w:r>
                              <w:r>
                                <w:rPr>
                                  <w:rFonts w:ascii="Calibri" w:hAnsi="Calibri"/>
                                  <w:color w:val="585858"/>
                                  <w:spacing w:val="1"/>
                                  <w:sz w:val="12"/>
                                </w:rPr>
                                <w:t xml:space="preserve"> </w:t>
                              </w:r>
                              <w:r>
                                <w:rPr>
                                  <w:rFonts w:ascii="Calibri" w:hAnsi="Calibri"/>
                                  <w:color w:val="585858"/>
                                  <w:sz w:val="12"/>
                                </w:rPr>
                                <w:t>Casanare</w:t>
                              </w:r>
                              <w:r>
                                <w:rPr>
                                  <w:rFonts w:ascii="Calibri" w:hAnsi="Calibri"/>
                                  <w:color w:val="585858"/>
                                  <w:spacing w:val="1"/>
                                  <w:sz w:val="12"/>
                                </w:rPr>
                                <w:t xml:space="preserve"> </w:t>
                              </w:r>
                              <w:r>
                                <w:rPr>
                                  <w:rFonts w:ascii="Calibri" w:hAnsi="Calibri"/>
                                  <w:color w:val="585858"/>
                                  <w:sz w:val="12"/>
                                </w:rPr>
                                <w:t>Boyacá</w:t>
                              </w:r>
                              <w:r>
                                <w:rPr>
                                  <w:rFonts w:ascii="Calibri" w:hAnsi="Calibri"/>
                                  <w:color w:val="585858"/>
                                  <w:spacing w:val="1"/>
                                  <w:sz w:val="12"/>
                                </w:rPr>
                                <w:t xml:space="preserve"> </w:t>
                              </w:r>
                              <w:r>
                                <w:rPr>
                                  <w:rFonts w:ascii="Calibri" w:hAnsi="Calibri"/>
                                  <w:color w:val="585858"/>
                                  <w:sz w:val="12"/>
                                </w:rPr>
                                <w:t>Arauca</w:t>
                              </w:r>
                              <w:r>
                                <w:rPr>
                                  <w:rFonts w:ascii="Calibri" w:hAnsi="Calibri"/>
                                  <w:color w:val="585858"/>
                                  <w:spacing w:val="1"/>
                                  <w:sz w:val="12"/>
                                </w:rPr>
                                <w:t xml:space="preserve"> </w:t>
                              </w:r>
                              <w:r>
                                <w:rPr>
                                  <w:rFonts w:ascii="Calibri" w:hAnsi="Calibri"/>
                                  <w:color w:val="585858"/>
                                  <w:sz w:val="12"/>
                                </w:rPr>
                                <w:t>Guaviare</w:t>
                              </w:r>
                              <w:r>
                                <w:rPr>
                                  <w:rFonts w:ascii="Calibri" w:hAnsi="Calibri"/>
                                  <w:color w:val="585858"/>
                                  <w:spacing w:val="1"/>
                                  <w:sz w:val="12"/>
                                </w:rPr>
                                <w:t xml:space="preserve"> </w:t>
                              </w:r>
                              <w:r>
                                <w:rPr>
                                  <w:rFonts w:ascii="Calibri" w:hAnsi="Calibri"/>
                                  <w:color w:val="585858"/>
                                  <w:sz w:val="12"/>
                                </w:rPr>
                                <w:t>Vichada</w:t>
                              </w:r>
                              <w:r>
                                <w:rPr>
                                  <w:rFonts w:ascii="Calibri" w:hAnsi="Calibri"/>
                                  <w:color w:val="585858"/>
                                  <w:spacing w:val="1"/>
                                  <w:sz w:val="12"/>
                                </w:rPr>
                                <w:t xml:space="preserve"> </w:t>
                              </w:r>
                              <w:r>
                                <w:rPr>
                                  <w:rFonts w:ascii="Calibri" w:hAnsi="Calibri"/>
                                  <w:color w:val="585858"/>
                                  <w:sz w:val="12"/>
                                </w:rPr>
                                <w:t>Amazonas</w:t>
                              </w:r>
                              <w:r>
                                <w:rPr>
                                  <w:rFonts w:ascii="Calibri" w:hAnsi="Calibri"/>
                                  <w:color w:val="585858"/>
                                  <w:spacing w:val="-25"/>
                                  <w:sz w:val="12"/>
                                </w:rPr>
                                <w:t xml:space="preserve"> </w:t>
                              </w:r>
                              <w:r>
                                <w:rPr>
                                  <w:rFonts w:ascii="Calibri" w:hAnsi="Calibri"/>
                                  <w:color w:val="585858"/>
                                  <w:sz w:val="12"/>
                                </w:rPr>
                                <w:t>Guainía</w:t>
                              </w:r>
                            </w:p>
                            <w:p w14:paraId="39E8424D" w14:textId="77777777" w:rsidR="00786657" w:rsidRDefault="00786657" w:rsidP="00786657">
                              <w:pPr>
                                <w:spacing w:line="141" w:lineRule="exact"/>
                                <w:ind w:right="18"/>
                                <w:jc w:val="right"/>
                                <w:rPr>
                                  <w:rFonts w:ascii="Calibri" w:hAnsi="Calibri"/>
                                  <w:sz w:val="12"/>
                                </w:rPr>
                              </w:pPr>
                              <w:r>
                                <w:rPr>
                                  <w:rFonts w:ascii="Calibri" w:hAnsi="Calibri"/>
                                  <w:color w:val="585858"/>
                                  <w:sz w:val="12"/>
                                </w:rPr>
                                <w:t>Archipiélago</w:t>
                              </w:r>
                              <w:r>
                                <w:rPr>
                                  <w:rFonts w:ascii="Calibri" w:hAnsi="Calibri"/>
                                  <w:color w:val="585858"/>
                                  <w:spacing w:val="-4"/>
                                  <w:sz w:val="12"/>
                                </w:rPr>
                                <w:t xml:space="preserve"> </w:t>
                              </w:r>
                              <w:r>
                                <w:rPr>
                                  <w:rFonts w:ascii="Calibri" w:hAnsi="Calibri"/>
                                  <w:color w:val="585858"/>
                                  <w:sz w:val="12"/>
                                </w:rPr>
                                <w:t>de</w:t>
                              </w:r>
                              <w:r>
                                <w:rPr>
                                  <w:rFonts w:ascii="Calibri" w:hAnsi="Calibri"/>
                                  <w:color w:val="585858"/>
                                  <w:spacing w:val="-2"/>
                                  <w:sz w:val="12"/>
                                </w:rPr>
                                <w:t xml:space="preserve"> </w:t>
                              </w:r>
                              <w:r>
                                <w:rPr>
                                  <w:rFonts w:ascii="Calibri" w:hAnsi="Calibri"/>
                                  <w:color w:val="585858"/>
                                  <w:sz w:val="12"/>
                                </w:rPr>
                                <w:t>San</w:t>
                              </w:r>
                              <w:r>
                                <w:rPr>
                                  <w:rFonts w:ascii="Calibri" w:hAnsi="Calibri"/>
                                  <w:color w:val="585858"/>
                                  <w:spacing w:val="-4"/>
                                  <w:sz w:val="12"/>
                                </w:rPr>
                                <w:t xml:space="preserve"> </w:t>
                              </w:r>
                              <w:r>
                                <w:rPr>
                                  <w:rFonts w:ascii="Calibri" w:hAnsi="Calibri"/>
                                  <w:color w:val="585858"/>
                                  <w:sz w:val="12"/>
                                </w:rPr>
                                <w:t>Andrés,</w:t>
                              </w:r>
                              <w:r>
                                <w:rPr>
                                  <w:rFonts w:ascii="Calibri" w:hAnsi="Calibri"/>
                                  <w:color w:val="585858"/>
                                  <w:spacing w:val="-3"/>
                                  <w:sz w:val="12"/>
                                </w:rPr>
                                <w:t xml:space="preserve"> </w:t>
                              </w:r>
                              <w:r>
                                <w:rPr>
                                  <w:rFonts w:ascii="Calibri" w:hAnsi="Calibri"/>
                                  <w:color w:val="585858"/>
                                  <w:sz w:val="12"/>
                                </w:rPr>
                                <w:t>Providencia</w:t>
                              </w:r>
                              <w:r>
                                <w:rPr>
                                  <w:rFonts w:ascii="Calibri" w:hAnsi="Calibri"/>
                                  <w:color w:val="585858"/>
                                  <w:spacing w:val="-3"/>
                                  <w:sz w:val="12"/>
                                </w:rPr>
                                <w:t xml:space="preserve"> </w:t>
                              </w:r>
                              <w:r>
                                <w:rPr>
                                  <w:rFonts w:ascii="Calibri" w:hAnsi="Calibri"/>
                                  <w:color w:val="585858"/>
                                  <w:sz w:val="12"/>
                                </w:rPr>
                                <w:t>y…</w:t>
                              </w:r>
                            </w:p>
                            <w:p w14:paraId="1E44677B" w14:textId="77777777" w:rsidR="00786657" w:rsidRDefault="00786657" w:rsidP="00786657">
                              <w:pPr>
                                <w:spacing w:before="24" w:line="144" w:lineRule="exact"/>
                                <w:ind w:right="99"/>
                                <w:jc w:val="right"/>
                                <w:rPr>
                                  <w:rFonts w:ascii="Calibri" w:hAnsi="Calibri"/>
                                  <w:sz w:val="12"/>
                                </w:rPr>
                              </w:pPr>
                              <w:r>
                                <w:rPr>
                                  <w:rFonts w:ascii="Calibri" w:hAnsi="Calibri"/>
                                  <w:color w:val="585858"/>
                                  <w:sz w:val="12"/>
                                </w:rPr>
                                <w:t>Vaupés</w:t>
                              </w:r>
                            </w:p>
                          </w:txbxContent>
                        </wps:txbx>
                        <wps:bodyPr rot="0" vert="horz" wrap="square" lIns="0" tIns="0" rIns="0" bIns="0" anchor="t" anchorCtr="0" upright="1">
                          <a:noAutofit/>
                        </wps:bodyPr>
                      </wps:wsp>
                      <wps:wsp>
                        <wps:cNvPr id="173" name="Text Box 142"/>
                        <wps:cNvSpPr txBox="1">
                          <a:spLocks noChangeArrowheads="1"/>
                        </wps:cNvSpPr>
                        <wps:spPr bwMode="auto">
                          <a:xfrm>
                            <a:off x="4584" y="230"/>
                            <a:ext cx="5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42958D" w14:textId="77777777" w:rsidR="00786657" w:rsidRDefault="00786657" w:rsidP="00786657">
                              <w:pPr>
                                <w:spacing w:line="199" w:lineRule="exact"/>
                                <w:rPr>
                                  <w:rFonts w:ascii="Calibri"/>
                                  <w:sz w:val="20"/>
                                </w:rPr>
                              </w:pPr>
                              <w:r>
                                <w:rPr>
                                  <w:rFonts w:ascii="Calibri"/>
                                  <w:sz w:val="20"/>
                                </w:rPr>
                                <w:t>17,9%</w:t>
                              </w:r>
                            </w:p>
                          </w:txbxContent>
                        </wps:txbx>
                        <wps:bodyPr rot="0" vert="horz" wrap="square" lIns="0" tIns="0" rIns="0" bIns="0" anchor="t" anchorCtr="0" upright="1">
                          <a:noAutofit/>
                        </wps:bodyPr>
                      </wps:wsp>
                      <wps:wsp>
                        <wps:cNvPr id="174" name="Text Box 143"/>
                        <wps:cNvSpPr txBox="1">
                          <a:spLocks noChangeArrowheads="1"/>
                        </wps:cNvSpPr>
                        <wps:spPr bwMode="auto">
                          <a:xfrm>
                            <a:off x="3689" y="401"/>
                            <a:ext cx="626" cy="5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B1FAD3" w14:textId="77777777" w:rsidR="00786657" w:rsidRDefault="00786657" w:rsidP="00786657">
                              <w:pPr>
                                <w:spacing w:line="166" w:lineRule="exact"/>
                                <w:ind w:left="110"/>
                                <w:rPr>
                                  <w:rFonts w:ascii="Calibri"/>
                                  <w:sz w:val="20"/>
                                </w:rPr>
                              </w:pPr>
                              <w:r>
                                <w:rPr>
                                  <w:rFonts w:ascii="Calibri"/>
                                  <w:sz w:val="20"/>
                                </w:rPr>
                                <w:t>11,0%</w:t>
                              </w:r>
                            </w:p>
                            <w:p w14:paraId="50F01C1C" w14:textId="77777777" w:rsidR="00786657" w:rsidRDefault="00786657" w:rsidP="00786657">
                              <w:pPr>
                                <w:spacing w:line="171" w:lineRule="exact"/>
                                <w:ind w:left="98"/>
                                <w:rPr>
                                  <w:rFonts w:ascii="Calibri"/>
                                  <w:sz w:val="20"/>
                                </w:rPr>
                              </w:pPr>
                              <w:r>
                                <w:rPr>
                                  <w:rFonts w:ascii="Calibri"/>
                                  <w:sz w:val="20"/>
                                </w:rPr>
                                <w:t>10,9%</w:t>
                              </w:r>
                            </w:p>
                            <w:p w14:paraId="26734580" w14:textId="77777777" w:rsidR="00786657" w:rsidRDefault="00786657" w:rsidP="00786657">
                              <w:pPr>
                                <w:spacing w:line="204" w:lineRule="exact"/>
                                <w:rPr>
                                  <w:rFonts w:ascii="Calibri"/>
                                  <w:sz w:val="20"/>
                                </w:rPr>
                              </w:pPr>
                              <w:r>
                                <w:rPr>
                                  <w:rFonts w:ascii="Calibri"/>
                                  <w:sz w:val="20"/>
                                </w:rPr>
                                <w:t>10,1%</w:t>
                              </w:r>
                            </w:p>
                          </w:txbxContent>
                        </wps:txbx>
                        <wps:bodyPr rot="0" vert="horz" wrap="square" lIns="0" tIns="0" rIns="0" bIns="0" anchor="t" anchorCtr="0" upright="1">
                          <a:noAutofit/>
                        </wps:bodyPr>
                      </wps:wsp>
                      <wps:wsp>
                        <wps:cNvPr id="175" name="Text Box 144"/>
                        <wps:cNvSpPr txBox="1">
                          <a:spLocks noChangeArrowheads="1"/>
                        </wps:cNvSpPr>
                        <wps:spPr bwMode="auto">
                          <a:xfrm>
                            <a:off x="3564" y="914"/>
                            <a:ext cx="41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5328C" w14:textId="77777777" w:rsidR="00786657" w:rsidRDefault="00786657" w:rsidP="00786657">
                              <w:pPr>
                                <w:spacing w:line="199" w:lineRule="exact"/>
                                <w:rPr>
                                  <w:rFonts w:ascii="Calibri"/>
                                  <w:sz w:val="20"/>
                                </w:rPr>
                              </w:pPr>
                              <w:r>
                                <w:rPr>
                                  <w:rFonts w:ascii="Calibri"/>
                                  <w:sz w:val="20"/>
                                </w:rPr>
                                <w:t>9,1%</w:t>
                              </w:r>
                            </w:p>
                          </w:txbxContent>
                        </wps:txbx>
                        <wps:bodyPr rot="0" vert="horz" wrap="square" lIns="0" tIns="0" rIns="0" bIns="0" anchor="t" anchorCtr="0" upright="1">
                          <a:noAutofit/>
                        </wps:bodyPr>
                      </wps:wsp>
                      <wps:wsp>
                        <wps:cNvPr id="176" name="Text Box 145"/>
                        <wps:cNvSpPr txBox="1">
                          <a:spLocks noChangeArrowheads="1"/>
                        </wps:cNvSpPr>
                        <wps:spPr bwMode="auto">
                          <a:xfrm>
                            <a:off x="2424" y="1085"/>
                            <a:ext cx="1198" cy="48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5AC91" w14:textId="77777777" w:rsidR="00786657" w:rsidRDefault="00786657" w:rsidP="00786657">
                              <w:pPr>
                                <w:spacing w:line="167" w:lineRule="exact"/>
                                <w:ind w:left="783"/>
                                <w:rPr>
                                  <w:rFonts w:ascii="Calibri"/>
                                  <w:sz w:val="20"/>
                                </w:rPr>
                              </w:pPr>
                              <w:r>
                                <w:rPr>
                                  <w:rFonts w:ascii="Calibri"/>
                                  <w:sz w:val="20"/>
                                </w:rPr>
                                <w:t>6,3%</w:t>
                              </w:r>
                            </w:p>
                            <w:p w14:paraId="501A0EF1" w14:textId="77777777" w:rsidR="00786657" w:rsidRDefault="00786657" w:rsidP="00786657">
                              <w:pPr>
                                <w:spacing w:line="171" w:lineRule="exact"/>
                                <w:ind w:left="613"/>
                                <w:rPr>
                                  <w:rFonts w:ascii="Calibri"/>
                                  <w:sz w:val="20"/>
                                </w:rPr>
                              </w:pPr>
                              <w:r>
                                <w:rPr>
                                  <w:rFonts w:ascii="Calibri"/>
                                  <w:sz w:val="20"/>
                                </w:rPr>
                                <w:t>4,9%</w:t>
                              </w:r>
                            </w:p>
                            <w:p w14:paraId="12BC0C58" w14:textId="77777777" w:rsidR="00786657" w:rsidRDefault="00786657" w:rsidP="00786657">
                              <w:pPr>
                                <w:spacing w:line="171" w:lineRule="exact"/>
                                <w:ind w:left="483"/>
                                <w:rPr>
                                  <w:rFonts w:ascii="Calibri"/>
                                  <w:sz w:val="20"/>
                                </w:rPr>
                              </w:pPr>
                              <w:r>
                                <w:rPr>
                                  <w:rFonts w:ascii="Calibri"/>
                                  <w:sz w:val="20"/>
                                </w:rPr>
                                <w:t>3,9%</w:t>
                              </w:r>
                            </w:p>
                            <w:p w14:paraId="533248CF" w14:textId="77777777" w:rsidR="00786657" w:rsidRDefault="00786657" w:rsidP="00786657">
                              <w:pPr>
                                <w:spacing w:line="171" w:lineRule="exact"/>
                                <w:ind w:left="375"/>
                                <w:rPr>
                                  <w:rFonts w:ascii="Calibri"/>
                                  <w:sz w:val="20"/>
                                </w:rPr>
                              </w:pPr>
                              <w:r>
                                <w:rPr>
                                  <w:rFonts w:ascii="Calibri"/>
                                  <w:sz w:val="20"/>
                                </w:rPr>
                                <w:t>3,0%</w:t>
                              </w:r>
                            </w:p>
                            <w:p w14:paraId="4B2019EB" w14:textId="77777777" w:rsidR="00786657" w:rsidRDefault="00786657" w:rsidP="00786657">
                              <w:pPr>
                                <w:spacing w:line="171" w:lineRule="exact"/>
                                <w:ind w:left="328"/>
                                <w:rPr>
                                  <w:rFonts w:ascii="Calibri"/>
                                  <w:sz w:val="20"/>
                                </w:rPr>
                              </w:pPr>
                              <w:r>
                                <w:rPr>
                                  <w:rFonts w:ascii="Calibri"/>
                                  <w:sz w:val="20"/>
                                </w:rPr>
                                <w:t>2,6%</w:t>
                              </w:r>
                            </w:p>
                            <w:p w14:paraId="298F3BB7" w14:textId="77777777" w:rsidR="00786657" w:rsidRDefault="00786657" w:rsidP="00786657">
                              <w:pPr>
                                <w:spacing w:line="171" w:lineRule="exact"/>
                                <w:ind w:left="316"/>
                                <w:rPr>
                                  <w:rFonts w:ascii="Calibri"/>
                                  <w:sz w:val="20"/>
                                </w:rPr>
                              </w:pPr>
                              <w:r>
                                <w:rPr>
                                  <w:rFonts w:ascii="Calibri"/>
                                  <w:sz w:val="20"/>
                                </w:rPr>
                                <w:t>2,5%</w:t>
                              </w:r>
                            </w:p>
                            <w:p w14:paraId="76F2B22B" w14:textId="77777777" w:rsidR="00786657" w:rsidRDefault="00786657" w:rsidP="00786657">
                              <w:pPr>
                                <w:spacing w:line="171" w:lineRule="exact"/>
                                <w:ind w:left="253"/>
                                <w:rPr>
                                  <w:rFonts w:ascii="Calibri"/>
                                  <w:sz w:val="20"/>
                                </w:rPr>
                              </w:pPr>
                              <w:r>
                                <w:rPr>
                                  <w:rFonts w:ascii="Calibri"/>
                                  <w:sz w:val="20"/>
                                </w:rPr>
                                <w:t>2,0%</w:t>
                              </w:r>
                            </w:p>
                            <w:p w14:paraId="57AA21E4" w14:textId="77777777" w:rsidR="00786657" w:rsidRDefault="00786657" w:rsidP="00786657">
                              <w:pPr>
                                <w:spacing w:line="171" w:lineRule="exact"/>
                                <w:ind w:left="251"/>
                                <w:rPr>
                                  <w:rFonts w:ascii="Calibri"/>
                                  <w:sz w:val="20"/>
                                </w:rPr>
                              </w:pPr>
                              <w:r>
                                <w:rPr>
                                  <w:rFonts w:ascii="Calibri"/>
                                  <w:sz w:val="20"/>
                                </w:rPr>
                                <w:t>2,0%</w:t>
                              </w:r>
                            </w:p>
                            <w:p w14:paraId="34E314DA" w14:textId="77777777" w:rsidR="00786657" w:rsidRDefault="00786657" w:rsidP="00786657">
                              <w:pPr>
                                <w:spacing w:line="171" w:lineRule="exact"/>
                                <w:ind w:left="251"/>
                                <w:rPr>
                                  <w:rFonts w:ascii="Calibri"/>
                                  <w:sz w:val="20"/>
                                </w:rPr>
                              </w:pPr>
                              <w:r>
                                <w:rPr>
                                  <w:rFonts w:ascii="Calibri"/>
                                  <w:sz w:val="20"/>
                                </w:rPr>
                                <w:t>2,0%</w:t>
                              </w:r>
                            </w:p>
                            <w:p w14:paraId="06A3ADB0" w14:textId="77777777" w:rsidR="00786657" w:rsidRDefault="00786657" w:rsidP="00786657">
                              <w:pPr>
                                <w:spacing w:line="171" w:lineRule="exact"/>
                                <w:ind w:left="212"/>
                                <w:rPr>
                                  <w:rFonts w:ascii="Calibri"/>
                                  <w:sz w:val="20"/>
                                </w:rPr>
                              </w:pPr>
                              <w:r>
                                <w:rPr>
                                  <w:rFonts w:ascii="Calibri"/>
                                  <w:sz w:val="20"/>
                                </w:rPr>
                                <w:t>1,7%</w:t>
                              </w:r>
                            </w:p>
                            <w:p w14:paraId="504AFF25" w14:textId="77777777" w:rsidR="00786657" w:rsidRDefault="00786657" w:rsidP="00786657">
                              <w:pPr>
                                <w:spacing w:line="171" w:lineRule="exact"/>
                                <w:ind w:left="173"/>
                                <w:rPr>
                                  <w:rFonts w:ascii="Calibri"/>
                                  <w:sz w:val="20"/>
                                </w:rPr>
                              </w:pPr>
                              <w:r>
                                <w:rPr>
                                  <w:rFonts w:ascii="Calibri"/>
                                  <w:sz w:val="20"/>
                                </w:rPr>
                                <w:t>1,4%</w:t>
                              </w:r>
                            </w:p>
                            <w:p w14:paraId="682B0FD9" w14:textId="77777777" w:rsidR="00786657" w:rsidRDefault="00786657" w:rsidP="00786657">
                              <w:pPr>
                                <w:spacing w:line="171" w:lineRule="exact"/>
                                <w:ind w:left="173"/>
                                <w:rPr>
                                  <w:rFonts w:ascii="Calibri"/>
                                  <w:sz w:val="20"/>
                                </w:rPr>
                              </w:pPr>
                              <w:r>
                                <w:rPr>
                                  <w:rFonts w:ascii="Calibri"/>
                                  <w:sz w:val="20"/>
                                </w:rPr>
                                <w:t>1,4%</w:t>
                              </w:r>
                            </w:p>
                            <w:p w14:paraId="570BD6C4" w14:textId="77777777" w:rsidR="00786657" w:rsidRDefault="00786657" w:rsidP="00786657">
                              <w:pPr>
                                <w:spacing w:line="171" w:lineRule="exact"/>
                                <w:ind w:left="137"/>
                                <w:rPr>
                                  <w:rFonts w:ascii="Calibri"/>
                                  <w:sz w:val="20"/>
                                </w:rPr>
                              </w:pPr>
                              <w:r>
                                <w:rPr>
                                  <w:rFonts w:ascii="Calibri"/>
                                  <w:sz w:val="20"/>
                                </w:rPr>
                                <w:t>1,1%</w:t>
                              </w:r>
                            </w:p>
                            <w:p w14:paraId="7C3AFC5C" w14:textId="77777777" w:rsidR="00786657" w:rsidRDefault="00786657" w:rsidP="00786657">
                              <w:pPr>
                                <w:spacing w:line="171" w:lineRule="exact"/>
                                <w:ind w:left="121"/>
                                <w:rPr>
                                  <w:rFonts w:ascii="Calibri"/>
                                  <w:sz w:val="20"/>
                                </w:rPr>
                              </w:pPr>
                              <w:r>
                                <w:rPr>
                                  <w:rFonts w:ascii="Calibri"/>
                                  <w:sz w:val="20"/>
                                </w:rPr>
                                <w:t>1,0%</w:t>
                              </w:r>
                            </w:p>
                            <w:p w14:paraId="7DF0497B" w14:textId="77777777" w:rsidR="00786657" w:rsidRDefault="00786657" w:rsidP="00786657">
                              <w:pPr>
                                <w:spacing w:line="171" w:lineRule="exact"/>
                                <w:ind w:left="108"/>
                                <w:rPr>
                                  <w:rFonts w:ascii="Calibri"/>
                                  <w:sz w:val="20"/>
                                </w:rPr>
                              </w:pPr>
                              <w:r>
                                <w:rPr>
                                  <w:rFonts w:ascii="Calibri"/>
                                  <w:sz w:val="20"/>
                                </w:rPr>
                                <w:t>0,9%</w:t>
                              </w:r>
                            </w:p>
                            <w:p w14:paraId="064001D4" w14:textId="77777777" w:rsidR="00786657" w:rsidRDefault="00786657" w:rsidP="00786657">
                              <w:pPr>
                                <w:spacing w:line="171" w:lineRule="exact"/>
                                <w:ind w:left="105"/>
                                <w:rPr>
                                  <w:rFonts w:ascii="Calibri"/>
                                  <w:sz w:val="20"/>
                                </w:rPr>
                              </w:pPr>
                              <w:r>
                                <w:rPr>
                                  <w:rFonts w:ascii="Calibri"/>
                                  <w:sz w:val="20"/>
                                </w:rPr>
                                <w:t>0,9%</w:t>
                              </w:r>
                            </w:p>
                            <w:p w14:paraId="6092C528" w14:textId="77777777" w:rsidR="00786657" w:rsidRDefault="00786657" w:rsidP="00786657">
                              <w:pPr>
                                <w:spacing w:line="171" w:lineRule="exact"/>
                                <w:ind w:left="89"/>
                                <w:rPr>
                                  <w:rFonts w:ascii="Calibri"/>
                                  <w:sz w:val="20"/>
                                </w:rPr>
                              </w:pPr>
                              <w:r>
                                <w:rPr>
                                  <w:rFonts w:ascii="Calibri"/>
                                  <w:sz w:val="20"/>
                                </w:rPr>
                                <w:t>0,7%</w:t>
                              </w:r>
                            </w:p>
                            <w:p w14:paraId="79A270A3" w14:textId="77777777" w:rsidR="00786657" w:rsidRDefault="00786657" w:rsidP="00786657">
                              <w:pPr>
                                <w:spacing w:line="171" w:lineRule="exact"/>
                                <w:ind w:left="87"/>
                                <w:rPr>
                                  <w:rFonts w:ascii="Calibri"/>
                                  <w:sz w:val="20"/>
                                </w:rPr>
                              </w:pPr>
                              <w:r>
                                <w:rPr>
                                  <w:rFonts w:ascii="Calibri"/>
                                  <w:sz w:val="20"/>
                                </w:rPr>
                                <w:t>0,7%</w:t>
                              </w:r>
                            </w:p>
                            <w:p w14:paraId="67C806A3" w14:textId="77777777" w:rsidR="00786657" w:rsidRDefault="00786657" w:rsidP="00786657">
                              <w:pPr>
                                <w:spacing w:line="171" w:lineRule="exact"/>
                                <w:ind w:left="51"/>
                                <w:rPr>
                                  <w:rFonts w:ascii="Calibri"/>
                                  <w:sz w:val="20"/>
                                </w:rPr>
                              </w:pPr>
                              <w:r>
                                <w:rPr>
                                  <w:rFonts w:ascii="Calibri"/>
                                  <w:sz w:val="20"/>
                                </w:rPr>
                                <w:t>0,4%</w:t>
                              </w:r>
                            </w:p>
                            <w:p w14:paraId="7FB38AEE" w14:textId="77777777" w:rsidR="00786657" w:rsidRDefault="00786657" w:rsidP="00786657">
                              <w:pPr>
                                <w:spacing w:line="171" w:lineRule="exact"/>
                                <w:ind w:left="42"/>
                                <w:rPr>
                                  <w:rFonts w:ascii="Calibri"/>
                                  <w:sz w:val="20"/>
                                </w:rPr>
                              </w:pPr>
                              <w:r>
                                <w:rPr>
                                  <w:rFonts w:ascii="Calibri"/>
                                  <w:sz w:val="20"/>
                                </w:rPr>
                                <w:t>0,4%</w:t>
                              </w:r>
                            </w:p>
                            <w:p w14:paraId="25E5C5FF" w14:textId="77777777" w:rsidR="00786657" w:rsidRDefault="00786657" w:rsidP="00786657">
                              <w:pPr>
                                <w:spacing w:line="171" w:lineRule="exact"/>
                                <w:ind w:left="38"/>
                                <w:rPr>
                                  <w:rFonts w:ascii="Calibri"/>
                                  <w:sz w:val="20"/>
                                </w:rPr>
                              </w:pPr>
                              <w:r>
                                <w:rPr>
                                  <w:rFonts w:ascii="Calibri"/>
                                  <w:sz w:val="20"/>
                                </w:rPr>
                                <w:t>0,3%</w:t>
                              </w:r>
                            </w:p>
                            <w:p w14:paraId="7AE99316" w14:textId="77777777" w:rsidR="00786657" w:rsidRDefault="00786657" w:rsidP="00786657">
                              <w:pPr>
                                <w:spacing w:line="171" w:lineRule="exact"/>
                                <w:ind w:left="37"/>
                                <w:rPr>
                                  <w:rFonts w:ascii="Calibri"/>
                                  <w:sz w:val="20"/>
                                </w:rPr>
                              </w:pPr>
                              <w:r>
                                <w:rPr>
                                  <w:rFonts w:ascii="Calibri"/>
                                  <w:sz w:val="20"/>
                                </w:rPr>
                                <w:t>0,3%</w:t>
                              </w:r>
                            </w:p>
                            <w:p w14:paraId="6DBCAFD2" w14:textId="77777777" w:rsidR="00786657" w:rsidRDefault="00786657" w:rsidP="00786657">
                              <w:pPr>
                                <w:spacing w:line="171" w:lineRule="exact"/>
                                <w:ind w:left="25"/>
                                <w:rPr>
                                  <w:rFonts w:ascii="Calibri"/>
                                  <w:sz w:val="20"/>
                                </w:rPr>
                              </w:pPr>
                              <w:r>
                                <w:rPr>
                                  <w:rFonts w:ascii="Calibri"/>
                                  <w:sz w:val="20"/>
                                </w:rPr>
                                <w:t>0,2%</w:t>
                              </w:r>
                            </w:p>
                            <w:p w14:paraId="7AB1FCCD" w14:textId="77777777" w:rsidR="00786657" w:rsidRDefault="00786657" w:rsidP="00786657">
                              <w:pPr>
                                <w:spacing w:line="171" w:lineRule="exact"/>
                                <w:ind w:left="8"/>
                                <w:rPr>
                                  <w:rFonts w:ascii="Calibri"/>
                                  <w:sz w:val="20"/>
                                </w:rPr>
                              </w:pPr>
                              <w:r>
                                <w:rPr>
                                  <w:rFonts w:ascii="Calibri"/>
                                  <w:sz w:val="20"/>
                                </w:rPr>
                                <w:t>0,1%</w:t>
                              </w:r>
                            </w:p>
                            <w:p w14:paraId="193C4BDF" w14:textId="77777777" w:rsidR="00786657" w:rsidRDefault="00786657" w:rsidP="00786657">
                              <w:pPr>
                                <w:spacing w:line="171" w:lineRule="exact"/>
                                <w:ind w:left="1"/>
                                <w:rPr>
                                  <w:rFonts w:ascii="Calibri"/>
                                  <w:sz w:val="20"/>
                                </w:rPr>
                              </w:pPr>
                              <w:r>
                                <w:rPr>
                                  <w:rFonts w:ascii="Calibri"/>
                                  <w:sz w:val="20"/>
                                </w:rPr>
                                <w:t>0,0%</w:t>
                              </w:r>
                            </w:p>
                            <w:p w14:paraId="3937662E" w14:textId="77777777" w:rsidR="00786657" w:rsidRDefault="00786657" w:rsidP="00786657">
                              <w:pPr>
                                <w:spacing w:line="171" w:lineRule="exact"/>
                                <w:ind w:left="1"/>
                                <w:rPr>
                                  <w:rFonts w:ascii="Calibri"/>
                                  <w:sz w:val="20"/>
                                </w:rPr>
                              </w:pPr>
                              <w:r>
                                <w:rPr>
                                  <w:rFonts w:ascii="Calibri"/>
                                  <w:sz w:val="20"/>
                                </w:rPr>
                                <w:t>0,0%</w:t>
                              </w:r>
                            </w:p>
                            <w:p w14:paraId="1D57C715" w14:textId="77777777" w:rsidR="00786657" w:rsidRDefault="00786657" w:rsidP="00786657">
                              <w:pPr>
                                <w:spacing w:line="171" w:lineRule="exact"/>
                                <w:rPr>
                                  <w:rFonts w:ascii="Calibri"/>
                                  <w:sz w:val="20"/>
                                </w:rPr>
                              </w:pPr>
                              <w:r>
                                <w:rPr>
                                  <w:rFonts w:ascii="Calibri"/>
                                  <w:sz w:val="20"/>
                                </w:rPr>
                                <w:t>0,0%</w:t>
                              </w:r>
                            </w:p>
                            <w:p w14:paraId="4B7D3856" w14:textId="77777777" w:rsidR="00786657" w:rsidRDefault="00786657" w:rsidP="00786657">
                              <w:pPr>
                                <w:spacing w:line="204" w:lineRule="exact"/>
                                <w:rPr>
                                  <w:rFonts w:ascii="Calibri"/>
                                  <w:sz w:val="20"/>
                                </w:rPr>
                              </w:pPr>
                              <w:r>
                                <w:rPr>
                                  <w:rFonts w:ascii="Calibri"/>
                                  <w:sz w:val="20"/>
                                </w:rPr>
                                <w:t>0,0%</w:t>
                              </w:r>
                            </w:p>
                          </w:txbxContent>
                        </wps:txbx>
                        <wps:bodyPr rot="0" vert="horz" wrap="square" lIns="0" tIns="0" rIns="0" bIns="0" anchor="t" anchorCtr="0" upright="1">
                          <a:noAutofit/>
                        </wps:bodyPr>
                      </wps:wsp>
                      <wps:wsp>
                        <wps:cNvPr id="177" name="Text Box 146"/>
                        <wps:cNvSpPr txBox="1">
                          <a:spLocks noChangeArrowheads="1"/>
                        </wps:cNvSpPr>
                        <wps:spPr bwMode="auto">
                          <a:xfrm>
                            <a:off x="2182" y="5968"/>
                            <a:ext cx="2788"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26838D" w14:textId="77777777" w:rsidR="00786657" w:rsidRDefault="00786657" w:rsidP="00786657">
                              <w:pPr>
                                <w:tabs>
                                  <w:tab w:val="left" w:pos="625"/>
                                  <w:tab w:val="left" w:pos="1220"/>
                                  <w:tab w:val="left" w:pos="1844"/>
                                  <w:tab w:val="left" w:pos="2470"/>
                                </w:tabs>
                                <w:spacing w:line="120" w:lineRule="exact"/>
                                <w:rPr>
                                  <w:rFonts w:ascii="Calibri"/>
                                  <w:sz w:val="12"/>
                                </w:rPr>
                              </w:pPr>
                              <w:r>
                                <w:rPr>
                                  <w:rFonts w:ascii="Calibri"/>
                                  <w:color w:val="585858"/>
                                  <w:sz w:val="12"/>
                                </w:rPr>
                                <w:t>0,0%</w:t>
                              </w:r>
                              <w:r>
                                <w:rPr>
                                  <w:rFonts w:ascii="Calibri"/>
                                  <w:color w:val="585858"/>
                                  <w:sz w:val="12"/>
                                </w:rPr>
                                <w:tab/>
                                <w:t>5,0%</w:t>
                              </w:r>
                              <w:r>
                                <w:rPr>
                                  <w:rFonts w:ascii="Calibri"/>
                                  <w:color w:val="585858"/>
                                  <w:sz w:val="12"/>
                                </w:rPr>
                                <w:tab/>
                                <w:t>10,0%</w:t>
                              </w:r>
                              <w:r>
                                <w:rPr>
                                  <w:rFonts w:ascii="Calibri"/>
                                  <w:color w:val="585858"/>
                                  <w:sz w:val="12"/>
                                </w:rPr>
                                <w:tab/>
                                <w:t>15,0%</w:t>
                              </w:r>
                              <w:r>
                                <w:rPr>
                                  <w:rFonts w:ascii="Calibri"/>
                                  <w:color w:val="585858"/>
                                  <w:sz w:val="12"/>
                                </w:rPr>
                                <w:tab/>
                                <w:t>20,0%</w:t>
                              </w:r>
                            </w:p>
                          </w:txbxContent>
                        </wps:txbx>
                        <wps:bodyPr rot="0" vert="horz" wrap="square" lIns="0" tIns="0" rIns="0" bIns="0" anchor="t" anchorCtr="0" upright="1">
                          <a:noAutofit/>
                        </wps:bodyPr>
                      </wps:wsp>
                    </wpg:wgp>
                  </a:graphicData>
                </a:graphic>
              </wp:inline>
            </w:drawing>
          </mc:Choice>
          <mc:Fallback>
            <w:pict>
              <v:group w14:anchorId="728B4D35" id="Grupo 164" o:spid="_x0000_s1026" style="width:257.3pt;height:318.55pt;mso-position-horizontal-relative:char;mso-position-vertical-relative:line" coordsize="5146,6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">
                <v:line id="Line 134" o:spid="_x0000_s1027" style="position:absolute;visibility:visible;mso-wrap-style:square" from="2926,227" to="2926,5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" strokecolor="#d9d9d9"/>
                <v:shape id="AutoShape 135" o:spid="_x0000_s1028" style="position:absolute;left:2300;top:965;width:1142;height:404;visibility:visible;mso-wrap-style:square;v-text-anchor:top" coordsize="1142,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" path="m615,341l,341r,63l615,404r,-63xm783,171l,171r,60l783,231r,-60xm1141,l,,,60r1141,l1141,xe" fillcolor="#4f81bc" stroked="f">
                  <v:path arrowok="t" o:connecttype="custom" o:connectlocs="615,1306;0,1306;0,1369;615,1369;615,1306;783,1136;0,1136;0,1196;783,1196;783,1136;1141,965;0,965;0,1025;1141,1025;1141,965" o:connectangles="0,0,0,0,0,0,0,0,0,0,0,0,0,0,0"/>
                </v:shape>
                <v:line id="Line 136" o:spid="_x0000_s1029" style="position:absolute;visibility:visible;mso-wrap-style:square" from="3550,227" to="3550,5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" strokecolor="#d9d9d9"/>
                <v:shape id="AutoShape 137" o:spid="_x0000_s1030" style="position:absolute;left:2300;top:451;width:1374;height:404;visibility:visible;mso-wrap-style:square;v-text-anchor:top" coordsize="1374,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" path="m1266,343l,343r,60l1266,403r,-60xm1364,173l,173r,60l1364,233r,-60xm1374,l,,,62r1374,l1374,xe" fillcolor="#4f81bc" stroked="f">
                  <v:path arrowok="t" o:connecttype="custom" o:connectlocs="1266,795;0,795;0,855;1266,855;1266,795;1364,625;0,625;0,685;1364,685;1364,625;1374,452;0,452;0,514;1374,514;1374,452" o:connectangles="0,0,0,0,0,0,0,0,0,0,0,0,0,0,0"/>
                </v:shape>
                <v:line id="Line 138" o:spid="_x0000_s1031" style="position:absolute;visibility:visible;mso-wrap-style:square" from="4176,227" to="4176,5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" strokecolor="#d9d9d9"/>
                <v:shape id="AutoShape 139" o:spid="_x0000_s1032" style="position:absolute;left:2300;top:281;width:2241;height:5530;visibility:visible;mso-wrap-style:square;v-text-anchor:top" coordsize="2241,5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" path="m1,5127r-1,l,5189r1,l1,5127xm2,5470r-2,l,5530r2,l2,5470xm2,5300r-2,l,5360r2,l2,5300xm3,4956r-3,l,5016r3,l3,4956xm11,4786r-11,l,4846r11,l11,4786xm27,4616r-27,l,4676r27,l27,4616xm39,4445r-39,l,4505r39,l39,4445xm39,4272r-39,l,4335r39,l39,4272xm44,4102r-44,l,4162r44,l44,4102xm54,3932r-54,l,3992r54,l54,3932xm90,3761r-90,l,3821r90,l90,3761xm90,3588r-90,l,3651r90,l90,3588xm107,3418l,3418r,62l107,3480r,-62xm109,3248l,3248r,60l109,3308r,-60xm123,3077l,3077r,60l123,3137r,-60xm140,2907l,2907r,60l140,2967r,-60xm174,2734l,2734r,62l174,2796r,-62xm174,2564l,2564r,62l174,2626r,-62xm215,2393l,2393r,60l215,2453r,-60xm253,2223l,2223r,60l253,2283r,-60xm253,2052l,2052r,60l253,2112r,-60xm255,1880l,1880r,62l255,1942r,-62xm318,1709l,1709r,60l318,1769r,-60xm330,1539l,1539r,60l330,1599r,-60xm378,1368l,1368r,60l378,1428r,-60xm486,1198l,1198r,60l486,1258r,-60xm2240,l,,,60r2240,l2240,xe" fillcolor="#4f81bc" stroked="f">
                  <v:path arrowok="t" o:connecttype="custom" o:connectlocs="0,5470;2,5751;2,5811;0,5581;2,5581;0,5297;11,5067;11,5127;0,4897;27,4897;0,4786;39,4553;39,4616;0,4383;44,4383;0,4273;90,4042;90,4102;0,3869;90,3869;0,3761;109,3529;109,3589;0,3358;123,3358;0,3248;174,3015;174,3077;0,2845;174,2845;0,2734;253,2504;253,2564;0,2333;253,2333;0,2223;318,1990;318,2050;0,1820;330,1820;0,1709;486,1479;486,1539;0,281;2240,281" o:connectangles="0,0,0,0,0,0,0,0,0,0,0,0,0,0,0,0,0,0,0,0,0,0,0,0,0,0,0,0,0,0,0,0,0,0,0,0,0,0,0,0,0,0,0,0,0"/>
                </v:shape>
                <v:shape id="AutoShape 140" o:spid="_x0000_s1033" style="position:absolute;left:7;top:7;width:5131;height:6356;visibility:visible;mso-wrap-style:square;v-text-anchor:top" coordsize="5131,6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" path="m2293,5858r,-5639m4793,219r,5639m,6356r5131,l5131,,,,,6356xe" filled="f" strokecolor="#d9d9d9">
                  <v:path arrowok="t" o:connecttype="custom" o:connectlocs="2293,5866;2293,227;4793,227;4793,5866;0,6364;5131,6364;5131,8;0,8;0,6364" o:connectangles="0,0,0,0,0,0,0,0,0"/>
                </v:shape>
                <v:shapetype id="_x0000_t202" coordsize="21600,21600" o:spt="202" path="m,l,21600r21600,l21600,xe">
                  <v:stroke joinstyle="miter"/>
                  <v:path gradientshapeok="t" o:connecttype="rect"/>
                </v:shapetype>
                <v:shape id="Text Box 141" o:spid="_x0000_s1034" type="#_x0000_t202" style="position:absolute;left:150;top:258;width:2142;height:5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" filled="f" stroked="f">
                  <v:textbox inset="0,0,0,0">
                    <w:txbxContent>
                      <w:p w14:paraId="4579761E" w14:textId="77777777" w:rsidR="00786657" w:rsidRDefault="00786657" w:rsidP="00786657">
                        <w:pPr>
                          <w:spacing w:line="122" w:lineRule="exact"/>
                          <w:ind w:right="99"/>
                          <w:jc w:val="right"/>
                          <w:rPr>
                            <w:rFonts w:ascii="Calibri"/>
                            <w:sz w:val="12"/>
                          </w:rPr>
                        </w:pPr>
                        <w:r>
                          <w:rPr>
                            <w:rFonts w:ascii="Calibri"/>
                            <w:color w:val="585858"/>
                            <w:sz w:val="12"/>
                          </w:rPr>
                          <w:t>Antioquia</w:t>
                        </w:r>
                      </w:p>
                      <w:p w14:paraId="5FB52979" w14:textId="77777777" w:rsidR="00786657" w:rsidRDefault="00786657" w:rsidP="00786657">
                        <w:pPr>
                          <w:spacing w:before="24"/>
                          <w:ind w:right="101"/>
                          <w:jc w:val="right"/>
                          <w:rPr>
                            <w:rFonts w:ascii="Calibri"/>
                            <w:sz w:val="12"/>
                          </w:rPr>
                        </w:pPr>
                        <w:r>
                          <w:rPr>
                            <w:rFonts w:ascii="Calibri"/>
                            <w:color w:val="585858"/>
                            <w:sz w:val="12"/>
                          </w:rPr>
                          <w:t>Valle</w:t>
                        </w:r>
                        <w:r>
                          <w:rPr>
                            <w:rFonts w:ascii="Calibri"/>
                            <w:color w:val="585858"/>
                            <w:spacing w:val="-3"/>
                            <w:sz w:val="12"/>
                          </w:rPr>
                          <w:t xml:space="preserve"> </w:t>
                        </w:r>
                        <w:r>
                          <w:rPr>
                            <w:rFonts w:ascii="Calibri"/>
                            <w:color w:val="585858"/>
                            <w:sz w:val="12"/>
                          </w:rPr>
                          <w:t>del</w:t>
                        </w:r>
                        <w:r>
                          <w:rPr>
                            <w:rFonts w:ascii="Calibri"/>
                            <w:color w:val="585858"/>
                            <w:spacing w:val="-3"/>
                            <w:sz w:val="12"/>
                          </w:rPr>
                          <w:t xml:space="preserve"> </w:t>
                        </w:r>
                        <w:r>
                          <w:rPr>
                            <w:rFonts w:ascii="Calibri"/>
                            <w:color w:val="585858"/>
                            <w:sz w:val="12"/>
                          </w:rPr>
                          <w:t>Cauca</w:t>
                        </w:r>
                      </w:p>
                      <w:p w14:paraId="4404F939" w14:textId="77777777" w:rsidR="00786657" w:rsidRDefault="00786657" w:rsidP="00786657">
                        <w:pPr>
                          <w:spacing w:before="24" w:line="280" w:lineRule="auto"/>
                          <w:ind w:left="1438" w:right="100" w:firstLine="264"/>
                          <w:jc w:val="right"/>
                          <w:rPr>
                            <w:rFonts w:ascii="Calibri" w:hAnsi="Calibri"/>
                            <w:sz w:val="12"/>
                          </w:rPr>
                        </w:pPr>
                        <w:r>
                          <w:rPr>
                            <w:rFonts w:ascii="Calibri" w:hAnsi="Calibri"/>
                            <w:color w:val="585858"/>
                            <w:sz w:val="12"/>
                          </w:rPr>
                          <w:t>Bolívar</w:t>
                        </w:r>
                        <w:r>
                          <w:rPr>
                            <w:rFonts w:ascii="Calibri" w:hAnsi="Calibri"/>
                            <w:color w:val="585858"/>
                            <w:spacing w:val="-26"/>
                            <w:sz w:val="12"/>
                          </w:rPr>
                          <w:t xml:space="preserve"> </w:t>
                        </w:r>
                        <w:r>
                          <w:rPr>
                            <w:rFonts w:ascii="Calibri" w:hAnsi="Calibri"/>
                            <w:color w:val="585858"/>
                            <w:sz w:val="12"/>
                          </w:rPr>
                          <w:t>Córdoba</w:t>
                        </w:r>
                        <w:r>
                          <w:rPr>
                            <w:rFonts w:ascii="Calibri" w:hAnsi="Calibri"/>
                            <w:color w:val="585858"/>
                            <w:spacing w:val="1"/>
                            <w:sz w:val="12"/>
                          </w:rPr>
                          <w:t xml:space="preserve"> </w:t>
                        </w:r>
                        <w:r>
                          <w:rPr>
                            <w:rFonts w:ascii="Calibri" w:hAnsi="Calibri"/>
                            <w:color w:val="585858"/>
                            <w:sz w:val="12"/>
                          </w:rPr>
                          <w:t>Magdalena</w:t>
                        </w:r>
                        <w:r>
                          <w:rPr>
                            <w:rFonts w:ascii="Calibri" w:hAnsi="Calibri"/>
                            <w:color w:val="585858"/>
                            <w:spacing w:val="1"/>
                            <w:sz w:val="12"/>
                          </w:rPr>
                          <w:t xml:space="preserve"> </w:t>
                        </w:r>
                        <w:r>
                          <w:rPr>
                            <w:rFonts w:ascii="Calibri" w:hAnsi="Calibri"/>
                            <w:color w:val="585858"/>
                            <w:spacing w:val="-2"/>
                            <w:sz w:val="12"/>
                          </w:rPr>
                          <w:t>Bogotá,</w:t>
                        </w:r>
                        <w:r>
                          <w:rPr>
                            <w:rFonts w:ascii="Calibri" w:hAnsi="Calibri"/>
                            <w:color w:val="585858"/>
                            <w:sz w:val="12"/>
                          </w:rPr>
                          <w:t xml:space="preserve"> </w:t>
                        </w:r>
                        <w:r>
                          <w:rPr>
                            <w:rFonts w:ascii="Calibri" w:hAnsi="Calibri"/>
                            <w:color w:val="585858"/>
                            <w:spacing w:val="-1"/>
                            <w:sz w:val="12"/>
                          </w:rPr>
                          <w:t>D.C.</w:t>
                        </w:r>
                      </w:p>
                      <w:p w14:paraId="0DD9D9A0" w14:textId="77777777" w:rsidR="00786657" w:rsidRDefault="00786657" w:rsidP="00786657">
                        <w:pPr>
                          <w:spacing w:line="280" w:lineRule="auto"/>
                          <w:ind w:left="1552" w:right="100" w:firstLine="217"/>
                          <w:jc w:val="right"/>
                          <w:rPr>
                            <w:rFonts w:ascii="Calibri"/>
                            <w:sz w:val="12"/>
                          </w:rPr>
                        </w:pPr>
                        <w:r>
                          <w:rPr>
                            <w:rFonts w:ascii="Calibri"/>
                            <w:color w:val="585858"/>
                            <w:sz w:val="12"/>
                          </w:rPr>
                          <w:t>Cesar</w:t>
                        </w:r>
                        <w:r>
                          <w:rPr>
                            <w:rFonts w:ascii="Calibri"/>
                            <w:color w:val="585858"/>
                            <w:spacing w:val="-25"/>
                            <w:sz w:val="12"/>
                          </w:rPr>
                          <w:t xml:space="preserve"> </w:t>
                        </w:r>
                        <w:r>
                          <w:rPr>
                            <w:rFonts w:ascii="Calibri"/>
                            <w:color w:val="585858"/>
                            <w:spacing w:val="-2"/>
                            <w:sz w:val="12"/>
                          </w:rPr>
                          <w:t>La</w:t>
                        </w:r>
                        <w:r>
                          <w:rPr>
                            <w:rFonts w:ascii="Calibri"/>
                            <w:color w:val="585858"/>
                            <w:sz w:val="12"/>
                          </w:rPr>
                          <w:t xml:space="preserve"> </w:t>
                        </w:r>
                        <w:r>
                          <w:rPr>
                            <w:rFonts w:ascii="Calibri"/>
                            <w:color w:val="585858"/>
                            <w:spacing w:val="-2"/>
                            <w:sz w:val="12"/>
                          </w:rPr>
                          <w:t>Guajira</w:t>
                        </w:r>
                      </w:p>
                      <w:p w14:paraId="797E8166" w14:textId="77777777" w:rsidR="00786657" w:rsidRDefault="00786657" w:rsidP="00786657">
                        <w:pPr>
                          <w:spacing w:line="280" w:lineRule="auto"/>
                          <w:ind w:left="1335" w:right="99" w:firstLine="434"/>
                          <w:jc w:val="right"/>
                          <w:rPr>
                            <w:rFonts w:ascii="Calibri" w:hAnsi="Calibri"/>
                            <w:sz w:val="12"/>
                          </w:rPr>
                        </w:pPr>
                        <w:r>
                          <w:rPr>
                            <w:rFonts w:ascii="Calibri" w:hAnsi="Calibri"/>
                            <w:color w:val="585858"/>
                            <w:sz w:val="12"/>
                          </w:rPr>
                          <w:t>Sucre</w:t>
                        </w:r>
                        <w:r>
                          <w:rPr>
                            <w:rFonts w:ascii="Calibri" w:hAnsi="Calibri"/>
                            <w:color w:val="585858"/>
                            <w:spacing w:val="-25"/>
                            <w:sz w:val="12"/>
                          </w:rPr>
                          <w:t xml:space="preserve"> </w:t>
                        </w:r>
                        <w:r>
                          <w:rPr>
                            <w:rFonts w:ascii="Calibri" w:hAnsi="Calibri"/>
                            <w:color w:val="585858"/>
                            <w:sz w:val="12"/>
                          </w:rPr>
                          <w:t>Atlántico</w:t>
                        </w:r>
                        <w:r>
                          <w:rPr>
                            <w:rFonts w:ascii="Calibri" w:hAnsi="Calibri"/>
                            <w:color w:val="585858"/>
                            <w:spacing w:val="1"/>
                            <w:sz w:val="12"/>
                          </w:rPr>
                          <w:t xml:space="preserve"> </w:t>
                        </w:r>
                        <w:r>
                          <w:rPr>
                            <w:rFonts w:ascii="Calibri" w:hAnsi="Calibri"/>
                            <w:color w:val="585858"/>
                            <w:sz w:val="12"/>
                          </w:rPr>
                          <w:t>Santander</w:t>
                        </w:r>
                        <w:r>
                          <w:rPr>
                            <w:rFonts w:ascii="Calibri" w:hAnsi="Calibri"/>
                            <w:color w:val="585858"/>
                            <w:spacing w:val="1"/>
                            <w:sz w:val="12"/>
                          </w:rPr>
                          <w:t xml:space="preserve"> </w:t>
                        </w:r>
                        <w:r>
                          <w:rPr>
                            <w:rFonts w:ascii="Calibri" w:hAnsi="Calibri"/>
                            <w:color w:val="585858"/>
                            <w:sz w:val="12"/>
                          </w:rPr>
                          <w:t>Cundinamarca</w:t>
                        </w:r>
                      </w:p>
                      <w:p w14:paraId="053721B1" w14:textId="77777777" w:rsidR="00786657" w:rsidRDefault="00786657" w:rsidP="00786657">
                        <w:pPr>
                          <w:spacing w:line="280" w:lineRule="auto"/>
                          <w:ind w:left="1594" w:right="99" w:firstLine="184"/>
                          <w:jc w:val="right"/>
                          <w:rPr>
                            <w:rFonts w:ascii="Calibri" w:hAnsi="Calibri"/>
                            <w:sz w:val="12"/>
                          </w:rPr>
                        </w:pPr>
                        <w:r>
                          <w:rPr>
                            <w:rFonts w:ascii="Calibri" w:hAnsi="Calibri"/>
                            <w:color w:val="585858"/>
                            <w:sz w:val="12"/>
                          </w:rPr>
                          <w:t>Meta</w:t>
                        </w:r>
                        <w:r>
                          <w:rPr>
                            <w:rFonts w:ascii="Calibri" w:hAnsi="Calibri"/>
                            <w:color w:val="585858"/>
                            <w:spacing w:val="-25"/>
                            <w:sz w:val="12"/>
                          </w:rPr>
                          <w:t xml:space="preserve"> </w:t>
                        </w:r>
                        <w:r>
                          <w:rPr>
                            <w:rFonts w:ascii="Calibri" w:hAnsi="Calibri"/>
                            <w:color w:val="585858"/>
                            <w:sz w:val="12"/>
                          </w:rPr>
                          <w:t>Nariño</w:t>
                        </w:r>
                        <w:r>
                          <w:rPr>
                            <w:rFonts w:ascii="Calibri" w:hAnsi="Calibri"/>
                            <w:color w:val="585858"/>
                            <w:spacing w:val="1"/>
                            <w:sz w:val="12"/>
                          </w:rPr>
                          <w:t xml:space="preserve"> </w:t>
                        </w:r>
                        <w:r>
                          <w:rPr>
                            <w:rFonts w:ascii="Calibri" w:hAnsi="Calibri"/>
                            <w:color w:val="585858"/>
                            <w:sz w:val="12"/>
                          </w:rPr>
                          <w:t>Cauca</w:t>
                        </w:r>
                        <w:r>
                          <w:rPr>
                            <w:rFonts w:ascii="Calibri" w:hAnsi="Calibri"/>
                            <w:color w:val="585858"/>
                            <w:spacing w:val="1"/>
                            <w:sz w:val="12"/>
                          </w:rPr>
                          <w:t xml:space="preserve"> </w:t>
                        </w:r>
                        <w:r>
                          <w:rPr>
                            <w:rFonts w:ascii="Calibri" w:hAnsi="Calibri"/>
                            <w:color w:val="585858"/>
                            <w:sz w:val="12"/>
                          </w:rPr>
                          <w:t>Tolima</w:t>
                        </w:r>
                        <w:r>
                          <w:rPr>
                            <w:rFonts w:ascii="Calibri" w:hAnsi="Calibri"/>
                            <w:color w:val="585858"/>
                            <w:spacing w:val="1"/>
                            <w:sz w:val="12"/>
                          </w:rPr>
                          <w:t xml:space="preserve"> </w:t>
                        </w:r>
                        <w:r>
                          <w:rPr>
                            <w:rFonts w:ascii="Calibri" w:hAnsi="Calibri"/>
                            <w:color w:val="585858"/>
                            <w:sz w:val="12"/>
                          </w:rPr>
                          <w:t>Risaralda</w:t>
                        </w:r>
                        <w:r>
                          <w:rPr>
                            <w:rFonts w:ascii="Calibri" w:hAnsi="Calibri"/>
                            <w:color w:val="585858"/>
                            <w:spacing w:val="-25"/>
                            <w:sz w:val="12"/>
                          </w:rPr>
                          <w:t xml:space="preserve"> </w:t>
                        </w:r>
                        <w:r>
                          <w:rPr>
                            <w:rFonts w:ascii="Calibri" w:hAnsi="Calibri"/>
                            <w:color w:val="585858"/>
                            <w:sz w:val="12"/>
                          </w:rPr>
                          <w:t>Caquetá</w:t>
                        </w:r>
                        <w:r>
                          <w:rPr>
                            <w:rFonts w:ascii="Calibri" w:hAnsi="Calibri"/>
                            <w:color w:val="585858"/>
                            <w:spacing w:val="1"/>
                            <w:sz w:val="12"/>
                          </w:rPr>
                          <w:t xml:space="preserve"> </w:t>
                        </w:r>
                        <w:r>
                          <w:rPr>
                            <w:rFonts w:ascii="Calibri" w:hAnsi="Calibri"/>
                            <w:color w:val="585858"/>
                            <w:sz w:val="12"/>
                          </w:rPr>
                          <w:t>Chocó</w:t>
                        </w:r>
                      </w:p>
                      <w:p w14:paraId="2F142BB0" w14:textId="77777777" w:rsidR="00786657" w:rsidRDefault="00786657" w:rsidP="00786657">
                        <w:pPr>
                          <w:spacing w:line="144" w:lineRule="exact"/>
                          <w:ind w:right="99"/>
                          <w:jc w:val="right"/>
                          <w:rPr>
                            <w:rFonts w:ascii="Calibri"/>
                            <w:sz w:val="12"/>
                          </w:rPr>
                        </w:pPr>
                        <w:r>
                          <w:rPr>
                            <w:rFonts w:ascii="Calibri"/>
                            <w:color w:val="585858"/>
                            <w:sz w:val="12"/>
                          </w:rPr>
                          <w:t>Norte</w:t>
                        </w:r>
                        <w:r>
                          <w:rPr>
                            <w:rFonts w:ascii="Calibri"/>
                            <w:color w:val="585858"/>
                            <w:spacing w:val="-4"/>
                            <w:sz w:val="12"/>
                          </w:rPr>
                          <w:t xml:space="preserve"> </w:t>
                        </w:r>
                        <w:r>
                          <w:rPr>
                            <w:rFonts w:ascii="Calibri"/>
                            <w:color w:val="585858"/>
                            <w:sz w:val="12"/>
                          </w:rPr>
                          <w:t>de</w:t>
                        </w:r>
                        <w:r>
                          <w:rPr>
                            <w:rFonts w:ascii="Calibri"/>
                            <w:color w:val="585858"/>
                            <w:spacing w:val="-4"/>
                            <w:sz w:val="12"/>
                          </w:rPr>
                          <w:t xml:space="preserve"> </w:t>
                        </w:r>
                        <w:r>
                          <w:rPr>
                            <w:rFonts w:ascii="Calibri"/>
                            <w:color w:val="585858"/>
                            <w:sz w:val="12"/>
                          </w:rPr>
                          <w:t>Santander</w:t>
                        </w:r>
                      </w:p>
                      <w:p w14:paraId="33DCD51B" w14:textId="0B34F66E" w:rsidR="00786657" w:rsidRDefault="00786657" w:rsidP="00786657">
                        <w:pPr>
                          <w:spacing w:before="20" w:line="280" w:lineRule="auto"/>
                          <w:ind w:left="1539" w:right="99" w:firstLine="250"/>
                          <w:jc w:val="right"/>
                          <w:rPr>
                            <w:rFonts w:ascii="Calibri" w:hAnsi="Calibri"/>
                            <w:sz w:val="12"/>
                          </w:rPr>
                        </w:pPr>
                        <w:r>
                          <w:rPr>
                            <w:rFonts w:ascii="Calibri" w:hAnsi="Calibri"/>
                            <w:color w:val="585858"/>
                            <w:sz w:val="12"/>
                          </w:rPr>
                          <w:t>Huila</w:t>
                        </w:r>
                        <w:r>
                          <w:rPr>
                            <w:rFonts w:ascii="Calibri" w:hAnsi="Calibri"/>
                            <w:color w:val="585858"/>
                            <w:spacing w:val="-25"/>
                            <w:sz w:val="12"/>
                          </w:rPr>
                          <w:t xml:space="preserve"> </w:t>
                        </w:r>
                        <w:r>
                          <w:rPr>
                            <w:rFonts w:ascii="Calibri" w:hAnsi="Calibri"/>
                            <w:color w:val="585858"/>
                            <w:sz w:val="12"/>
                          </w:rPr>
                          <w:t>Caldas</w:t>
                        </w:r>
                        <w:r>
                          <w:rPr>
                            <w:rFonts w:ascii="Calibri" w:hAnsi="Calibri"/>
                            <w:color w:val="585858"/>
                            <w:spacing w:val="1"/>
                            <w:sz w:val="12"/>
                          </w:rPr>
                          <w:t xml:space="preserve"> </w:t>
                        </w:r>
                        <w:r>
                          <w:rPr>
                            <w:rFonts w:ascii="Calibri" w:hAnsi="Calibri"/>
                            <w:color w:val="585858"/>
                            <w:sz w:val="12"/>
                          </w:rPr>
                          <w:t>Putumayo</w:t>
                        </w:r>
                        <w:r>
                          <w:rPr>
                            <w:rFonts w:ascii="Calibri" w:hAnsi="Calibri"/>
                            <w:color w:val="585858"/>
                            <w:spacing w:val="-25"/>
                            <w:sz w:val="12"/>
                          </w:rPr>
                          <w:t xml:space="preserve"> </w:t>
                        </w:r>
                        <w:r w:rsidR="000F6005">
                          <w:rPr>
                            <w:rFonts w:ascii="Calibri" w:hAnsi="Calibri"/>
                            <w:color w:val="585858"/>
                            <w:sz w:val="12"/>
                          </w:rPr>
                          <w:t>Quindío</w:t>
                        </w:r>
                        <w:r>
                          <w:rPr>
                            <w:rFonts w:ascii="Calibri" w:hAnsi="Calibri"/>
                            <w:color w:val="585858"/>
                            <w:spacing w:val="1"/>
                            <w:sz w:val="12"/>
                          </w:rPr>
                          <w:t xml:space="preserve"> </w:t>
                        </w:r>
                        <w:r>
                          <w:rPr>
                            <w:rFonts w:ascii="Calibri" w:hAnsi="Calibri"/>
                            <w:color w:val="585858"/>
                            <w:sz w:val="12"/>
                          </w:rPr>
                          <w:t>Casanare</w:t>
                        </w:r>
                        <w:r>
                          <w:rPr>
                            <w:rFonts w:ascii="Calibri" w:hAnsi="Calibri"/>
                            <w:color w:val="585858"/>
                            <w:spacing w:val="1"/>
                            <w:sz w:val="12"/>
                          </w:rPr>
                          <w:t xml:space="preserve"> </w:t>
                        </w:r>
                        <w:r>
                          <w:rPr>
                            <w:rFonts w:ascii="Calibri" w:hAnsi="Calibri"/>
                            <w:color w:val="585858"/>
                            <w:sz w:val="12"/>
                          </w:rPr>
                          <w:t>Boyacá</w:t>
                        </w:r>
                        <w:r>
                          <w:rPr>
                            <w:rFonts w:ascii="Calibri" w:hAnsi="Calibri"/>
                            <w:color w:val="585858"/>
                            <w:spacing w:val="1"/>
                            <w:sz w:val="12"/>
                          </w:rPr>
                          <w:t xml:space="preserve"> </w:t>
                        </w:r>
                        <w:r>
                          <w:rPr>
                            <w:rFonts w:ascii="Calibri" w:hAnsi="Calibri"/>
                            <w:color w:val="585858"/>
                            <w:sz w:val="12"/>
                          </w:rPr>
                          <w:t>Arauca</w:t>
                        </w:r>
                        <w:r>
                          <w:rPr>
                            <w:rFonts w:ascii="Calibri" w:hAnsi="Calibri"/>
                            <w:color w:val="585858"/>
                            <w:spacing w:val="1"/>
                            <w:sz w:val="12"/>
                          </w:rPr>
                          <w:t xml:space="preserve"> </w:t>
                        </w:r>
                        <w:r>
                          <w:rPr>
                            <w:rFonts w:ascii="Calibri" w:hAnsi="Calibri"/>
                            <w:color w:val="585858"/>
                            <w:sz w:val="12"/>
                          </w:rPr>
                          <w:t>Guaviare</w:t>
                        </w:r>
                        <w:r>
                          <w:rPr>
                            <w:rFonts w:ascii="Calibri" w:hAnsi="Calibri"/>
                            <w:color w:val="585858"/>
                            <w:spacing w:val="1"/>
                            <w:sz w:val="12"/>
                          </w:rPr>
                          <w:t xml:space="preserve"> </w:t>
                        </w:r>
                        <w:r>
                          <w:rPr>
                            <w:rFonts w:ascii="Calibri" w:hAnsi="Calibri"/>
                            <w:color w:val="585858"/>
                            <w:sz w:val="12"/>
                          </w:rPr>
                          <w:t>Vichada</w:t>
                        </w:r>
                        <w:r>
                          <w:rPr>
                            <w:rFonts w:ascii="Calibri" w:hAnsi="Calibri"/>
                            <w:color w:val="585858"/>
                            <w:spacing w:val="1"/>
                            <w:sz w:val="12"/>
                          </w:rPr>
                          <w:t xml:space="preserve"> </w:t>
                        </w:r>
                        <w:r>
                          <w:rPr>
                            <w:rFonts w:ascii="Calibri" w:hAnsi="Calibri"/>
                            <w:color w:val="585858"/>
                            <w:sz w:val="12"/>
                          </w:rPr>
                          <w:t>Amazonas</w:t>
                        </w:r>
                        <w:r>
                          <w:rPr>
                            <w:rFonts w:ascii="Calibri" w:hAnsi="Calibri"/>
                            <w:color w:val="585858"/>
                            <w:spacing w:val="-25"/>
                            <w:sz w:val="12"/>
                          </w:rPr>
                          <w:t xml:space="preserve"> </w:t>
                        </w:r>
                        <w:r>
                          <w:rPr>
                            <w:rFonts w:ascii="Calibri" w:hAnsi="Calibri"/>
                            <w:color w:val="585858"/>
                            <w:sz w:val="12"/>
                          </w:rPr>
                          <w:t>Guainía</w:t>
                        </w:r>
                      </w:p>
                      <w:p w14:paraId="39E8424D" w14:textId="77777777" w:rsidR="00786657" w:rsidRDefault="00786657" w:rsidP="00786657">
                        <w:pPr>
                          <w:spacing w:line="141" w:lineRule="exact"/>
                          <w:ind w:right="18"/>
                          <w:jc w:val="right"/>
                          <w:rPr>
                            <w:rFonts w:ascii="Calibri" w:hAnsi="Calibri"/>
                            <w:sz w:val="12"/>
                          </w:rPr>
                        </w:pPr>
                        <w:r>
                          <w:rPr>
                            <w:rFonts w:ascii="Calibri" w:hAnsi="Calibri"/>
                            <w:color w:val="585858"/>
                            <w:sz w:val="12"/>
                          </w:rPr>
                          <w:t>Archipiélago</w:t>
                        </w:r>
                        <w:r>
                          <w:rPr>
                            <w:rFonts w:ascii="Calibri" w:hAnsi="Calibri"/>
                            <w:color w:val="585858"/>
                            <w:spacing w:val="-4"/>
                            <w:sz w:val="12"/>
                          </w:rPr>
                          <w:t xml:space="preserve"> </w:t>
                        </w:r>
                        <w:r>
                          <w:rPr>
                            <w:rFonts w:ascii="Calibri" w:hAnsi="Calibri"/>
                            <w:color w:val="585858"/>
                            <w:sz w:val="12"/>
                          </w:rPr>
                          <w:t>de</w:t>
                        </w:r>
                        <w:r>
                          <w:rPr>
                            <w:rFonts w:ascii="Calibri" w:hAnsi="Calibri"/>
                            <w:color w:val="585858"/>
                            <w:spacing w:val="-2"/>
                            <w:sz w:val="12"/>
                          </w:rPr>
                          <w:t xml:space="preserve"> </w:t>
                        </w:r>
                        <w:r>
                          <w:rPr>
                            <w:rFonts w:ascii="Calibri" w:hAnsi="Calibri"/>
                            <w:color w:val="585858"/>
                            <w:sz w:val="12"/>
                          </w:rPr>
                          <w:t>San</w:t>
                        </w:r>
                        <w:r>
                          <w:rPr>
                            <w:rFonts w:ascii="Calibri" w:hAnsi="Calibri"/>
                            <w:color w:val="585858"/>
                            <w:spacing w:val="-4"/>
                            <w:sz w:val="12"/>
                          </w:rPr>
                          <w:t xml:space="preserve"> </w:t>
                        </w:r>
                        <w:r>
                          <w:rPr>
                            <w:rFonts w:ascii="Calibri" w:hAnsi="Calibri"/>
                            <w:color w:val="585858"/>
                            <w:sz w:val="12"/>
                          </w:rPr>
                          <w:t>Andrés,</w:t>
                        </w:r>
                        <w:r>
                          <w:rPr>
                            <w:rFonts w:ascii="Calibri" w:hAnsi="Calibri"/>
                            <w:color w:val="585858"/>
                            <w:spacing w:val="-3"/>
                            <w:sz w:val="12"/>
                          </w:rPr>
                          <w:t xml:space="preserve"> </w:t>
                        </w:r>
                        <w:r>
                          <w:rPr>
                            <w:rFonts w:ascii="Calibri" w:hAnsi="Calibri"/>
                            <w:color w:val="585858"/>
                            <w:sz w:val="12"/>
                          </w:rPr>
                          <w:t>Providencia</w:t>
                        </w:r>
                        <w:r>
                          <w:rPr>
                            <w:rFonts w:ascii="Calibri" w:hAnsi="Calibri"/>
                            <w:color w:val="585858"/>
                            <w:spacing w:val="-3"/>
                            <w:sz w:val="12"/>
                          </w:rPr>
                          <w:t xml:space="preserve"> </w:t>
                        </w:r>
                        <w:r>
                          <w:rPr>
                            <w:rFonts w:ascii="Calibri" w:hAnsi="Calibri"/>
                            <w:color w:val="585858"/>
                            <w:sz w:val="12"/>
                          </w:rPr>
                          <w:t>y…</w:t>
                        </w:r>
                      </w:p>
                      <w:p w14:paraId="1E44677B" w14:textId="77777777" w:rsidR="00786657" w:rsidRDefault="00786657" w:rsidP="00786657">
                        <w:pPr>
                          <w:spacing w:before="24" w:line="144" w:lineRule="exact"/>
                          <w:ind w:right="99"/>
                          <w:jc w:val="right"/>
                          <w:rPr>
                            <w:rFonts w:ascii="Calibri" w:hAnsi="Calibri"/>
                            <w:sz w:val="12"/>
                          </w:rPr>
                        </w:pPr>
                        <w:r>
                          <w:rPr>
                            <w:rFonts w:ascii="Calibri" w:hAnsi="Calibri"/>
                            <w:color w:val="585858"/>
                            <w:sz w:val="12"/>
                          </w:rPr>
                          <w:t>Vaupés</w:t>
                        </w:r>
                      </w:p>
                    </w:txbxContent>
                  </v:textbox>
                </v:shape>
                <v:shape id="Text Box 142" o:spid="_x0000_s1035" type="#_x0000_t202" style="position:absolute;left:4584;top:230;width:516;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rzlwwAAANwAAAAPAAAAZHJzL2Rvd25yZXYueG1sRE9Na8JA&#10;EL0X/A/LCL3VjS1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yQq85cMAAADcAAAADwAA&#10;AAAAAAAAAAAAAAAHAgAAZHJzL2Rvd25yZXYueG1sUEsFBgAAAAADAAMAtwAAAPcCAAAAAA==&#10;" filled="f" stroked="f">
                  <v:textbox inset="0,0,0,0">
                    <w:txbxContent>
                      <w:p w14:paraId="4142958D" w14:textId="77777777" w:rsidR="00786657" w:rsidRDefault="00786657" w:rsidP="00786657">
                        <w:pPr>
                          <w:spacing w:line="199" w:lineRule="exact"/>
                          <w:rPr>
                            <w:rFonts w:ascii="Calibri"/>
                            <w:sz w:val="20"/>
                          </w:rPr>
                        </w:pPr>
                        <w:r>
                          <w:rPr>
                            <w:rFonts w:ascii="Calibri"/>
                            <w:sz w:val="20"/>
                          </w:rPr>
                          <w:t>17,9%</w:t>
                        </w:r>
                      </w:p>
                    </w:txbxContent>
                  </v:textbox>
                </v:shape>
                <v:shape id="Text Box 143" o:spid="_x0000_s1036" type="#_x0000_t202" style="position:absolute;left:3689;top:401;width:626;height: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SRwwAAANwAAAAPAAAAZHJzL2Rvd25yZXYueG1sRE9Na8JA&#10;EL0X/A/LCL3VjaV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RuMkkcMAAADcAAAADwAA&#10;AAAAAAAAAAAAAAAHAgAAZHJzL2Rvd25yZXYueG1sUEsFBgAAAAADAAMAtwAAAPcCAAAAAA==&#10;" filled="f" stroked="f">
                  <v:textbox inset="0,0,0,0">
                    <w:txbxContent>
                      <w:p w14:paraId="12B1FAD3" w14:textId="77777777" w:rsidR="00786657" w:rsidRDefault="00786657" w:rsidP="00786657">
                        <w:pPr>
                          <w:spacing w:line="166" w:lineRule="exact"/>
                          <w:ind w:left="110"/>
                          <w:rPr>
                            <w:rFonts w:ascii="Calibri"/>
                            <w:sz w:val="20"/>
                          </w:rPr>
                        </w:pPr>
                        <w:r>
                          <w:rPr>
                            <w:rFonts w:ascii="Calibri"/>
                            <w:sz w:val="20"/>
                          </w:rPr>
                          <w:t>11,0%</w:t>
                        </w:r>
                      </w:p>
                      <w:p w14:paraId="50F01C1C" w14:textId="77777777" w:rsidR="00786657" w:rsidRDefault="00786657" w:rsidP="00786657">
                        <w:pPr>
                          <w:spacing w:line="171" w:lineRule="exact"/>
                          <w:ind w:left="98"/>
                          <w:rPr>
                            <w:rFonts w:ascii="Calibri"/>
                            <w:sz w:val="20"/>
                          </w:rPr>
                        </w:pPr>
                        <w:r>
                          <w:rPr>
                            <w:rFonts w:ascii="Calibri"/>
                            <w:sz w:val="20"/>
                          </w:rPr>
                          <w:t>10,9%</w:t>
                        </w:r>
                      </w:p>
                      <w:p w14:paraId="26734580" w14:textId="77777777" w:rsidR="00786657" w:rsidRDefault="00786657" w:rsidP="00786657">
                        <w:pPr>
                          <w:spacing w:line="204" w:lineRule="exact"/>
                          <w:rPr>
                            <w:rFonts w:ascii="Calibri"/>
                            <w:sz w:val="20"/>
                          </w:rPr>
                        </w:pPr>
                        <w:r>
                          <w:rPr>
                            <w:rFonts w:ascii="Calibri"/>
                            <w:sz w:val="20"/>
                          </w:rPr>
                          <w:t>10,1%</w:t>
                        </w:r>
                      </w:p>
                    </w:txbxContent>
                  </v:textbox>
                </v:shape>
                <v:shape id="Text Box 144" o:spid="_x0000_s1037" type="#_x0000_t202" style="position:absolute;left:3564;top:914;width:41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4EKwwAAANwAAAAPAAAAZHJzL2Rvd25yZXYueG1sRE9Na8JA&#10;EL0X/A/LCL3VjYVa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Ka+BCsMAAADcAAAADwAA&#10;AAAAAAAAAAAAAAAHAgAAZHJzL2Rvd25yZXYueG1sUEsFBgAAAAADAAMAtwAAAPcCAAAAAA==&#10;" filled="f" stroked="f">
                  <v:textbox inset="0,0,0,0">
                    <w:txbxContent>
                      <w:p w14:paraId="7965328C" w14:textId="77777777" w:rsidR="00786657" w:rsidRDefault="00786657" w:rsidP="00786657">
                        <w:pPr>
                          <w:spacing w:line="199" w:lineRule="exact"/>
                          <w:rPr>
                            <w:rFonts w:ascii="Calibri"/>
                            <w:sz w:val="20"/>
                          </w:rPr>
                        </w:pPr>
                        <w:r>
                          <w:rPr>
                            <w:rFonts w:ascii="Calibri"/>
                            <w:sz w:val="20"/>
                          </w:rPr>
                          <w:t>9,1%</w:t>
                        </w:r>
                      </w:p>
                    </w:txbxContent>
                  </v:textbox>
                </v:shape>
                <v:shape id="Text Box 145" o:spid="_x0000_s1038" type="#_x0000_t202" style="position:absolute;left:2424;top:1085;width:1198;height:4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" filled="f" stroked="f">
                  <v:textbox inset="0,0,0,0">
                    <w:txbxContent>
                      <w:p w14:paraId="52E5AC91" w14:textId="77777777" w:rsidR="00786657" w:rsidRDefault="00786657" w:rsidP="00786657">
                        <w:pPr>
                          <w:spacing w:line="167" w:lineRule="exact"/>
                          <w:ind w:left="783"/>
                          <w:rPr>
                            <w:rFonts w:ascii="Calibri"/>
                            <w:sz w:val="20"/>
                          </w:rPr>
                        </w:pPr>
                        <w:r>
                          <w:rPr>
                            <w:rFonts w:ascii="Calibri"/>
                            <w:sz w:val="20"/>
                          </w:rPr>
                          <w:t>6,3%</w:t>
                        </w:r>
                      </w:p>
                      <w:p w14:paraId="501A0EF1" w14:textId="77777777" w:rsidR="00786657" w:rsidRDefault="00786657" w:rsidP="00786657">
                        <w:pPr>
                          <w:spacing w:line="171" w:lineRule="exact"/>
                          <w:ind w:left="613"/>
                          <w:rPr>
                            <w:rFonts w:ascii="Calibri"/>
                            <w:sz w:val="20"/>
                          </w:rPr>
                        </w:pPr>
                        <w:r>
                          <w:rPr>
                            <w:rFonts w:ascii="Calibri"/>
                            <w:sz w:val="20"/>
                          </w:rPr>
                          <w:t>4,9%</w:t>
                        </w:r>
                      </w:p>
                      <w:p w14:paraId="12BC0C58" w14:textId="77777777" w:rsidR="00786657" w:rsidRDefault="00786657" w:rsidP="00786657">
                        <w:pPr>
                          <w:spacing w:line="171" w:lineRule="exact"/>
                          <w:ind w:left="483"/>
                          <w:rPr>
                            <w:rFonts w:ascii="Calibri"/>
                            <w:sz w:val="20"/>
                          </w:rPr>
                        </w:pPr>
                        <w:r>
                          <w:rPr>
                            <w:rFonts w:ascii="Calibri"/>
                            <w:sz w:val="20"/>
                          </w:rPr>
                          <w:t>3,9%</w:t>
                        </w:r>
                      </w:p>
                      <w:p w14:paraId="533248CF" w14:textId="77777777" w:rsidR="00786657" w:rsidRDefault="00786657" w:rsidP="00786657">
                        <w:pPr>
                          <w:spacing w:line="171" w:lineRule="exact"/>
                          <w:ind w:left="375"/>
                          <w:rPr>
                            <w:rFonts w:ascii="Calibri"/>
                            <w:sz w:val="20"/>
                          </w:rPr>
                        </w:pPr>
                        <w:r>
                          <w:rPr>
                            <w:rFonts w:ascii="Calibri"/>
                            <w:sz w:val="20"/>
                          </w:rPr>
                          <w:t>3,0%</w:t>
                        </w:r>
                      </w:p>
                      <w:p w14:paraId="4B2019EB" w14:textId="77777777" w:rsidR="00786657" w:rsidRDefault="00786657" w:rsidP="00786657">
                        <w:pPr>
                          <w:spacing w:line="171" w:lineRule="exact"/>
                          <w:ind w:left="328"/>
                          <w:rPr>
                            <w:rFonts w:ascii="Calibri"/>
                            <w:sz w:val="20"/>
                          </w:rPr>
                        </w:pPr>
                        <w:r>
                          <w:rPr>
                            <w:rFonts w:ascii="Calibri"/>
                            <w:sz w:val="20"/>
                          </w:rPr>
                          <w:t>2,6%</w:t>
                        </w:r>
                      </w:p>
                      <w:p w14:paraId="298F3BB7" w14:textId="77777777" w:rsidR="00786657" w:rsidRDefault="00786657" w:rsidP="00786657">
                        <w:pPr>
                          <w:spacing w:line="171" w:lineRule="exact"/>
                          <w:ind w:left="316"/>
                          <w:rPr>
                            <w:rFonts w:ascii="Calibri"/>
                            <w:sz w:val="20"/>
                          </w:rPr>
                        </w:pPr>
                        <w:r>
                          <w:rPr>
                            <w:rFonts w:ascii="Calibri"/>
                            <w:sz w:val="20"/>
                          </w:rPr>
                          <w:t>2,5%</w:t>
                        </w:r>
                      </w:p>
                      <w:p w14:paraId="76F2B22B" w14:textId="77777777" w:rsidR="00786657" w:rsidRDefault="00786657" w:rsidP="00786657">
                        <w:pPr>
                          <w:spacing w:line="171" w:lineRule="exact"/>
                          <w:ind w:left="253"/>
                          <w:rPr>
                            <w:rFonts w:ascii="Calibri"/>
                            <w:sz w:val="20"/>
                          </w:rPr>
                        </w:pPr>
                        <w:r>
                          <w:rPr>
                            <w:rFonts w:ascii="Calibri"/>
                            <w:sz w:val="20"/>
                          </w:rPr>
                          <w:t>2,0%</w:t>
                        </w:r>
                      </w:p>
                      <w:p w14:paraId="57AA21E4" w14:textId="77777777" w:rsidR="00786657" w:rsidRDefault="00786657" w:rsidP="00786657">
                        <w:pPr>
                          <w:spacing w:line="171" w:lineRule="exact"/>
                          <w:ind w:left="251"/>
                          <w:rPr>
                            <w:rFonts w:ascii="Calibri"/>
                            <w:sz w:val="20"/>
                          </w:rPr>
                        </w:pPr>
                        <w:r>
                          <w:rPr>
                            <w:rFonts w:ascii="Calibri"/>
                            <w:sz w:val="20"/>
                          </w:rPr>
                          <w:t>2,0%</w:t>
                        </w:r>
                      </w:p>
                      <w:p w14:paraId="34E314DA" w14:textId="77777777" w:rsidR="00786657" w:rsidRDefault="00786657" w:rsidP="00786657">
                        <w:pPr>
                          <w:spacing w:line="171" w:lineRule="exact"/>
                          <w:ind w:left="251"/>
                          <w:rPr>
                            <w:rFonts w:ascii="Calibri"/>
                            <w:sz w:val="20"/>
                          </w:rPr>
                        </w:pPr>
                        <w:r>
                          <w:rPr>
                            <w:rFonts w:ascii="Calibri"/>
                            <w:sz w:val="20"/>
                          </w:rPr>
                          <w:t>2,0%</w:t>
                        </w:r>
                      </w:p>
                      <w:p w14:paraId="06A3ADB0" w14:textId="77777777" w:rsidR="00786657" w:rsidRDefault="00786657" w:rsidP="00786657">
                        <w:pPr>
                          <w:spacing w:line="171" w:lineRule="exact"/>
                          <w:ind w:left="212"/>
                          <w:rPr>
                            <w:rFonts w:ascii="Calibri"/>
                            <w:sz w:val="20"/>
                          </w:rPr>
                        </w:pPr>
                        <w:r>
                          <w:rPr>
                            <w:rFonts w:ascii="Calibri"/>
                            <w:sz w:val="20"/>
                          </w:rPr>
                          <w:t>1,7%</w:t>
                        </w:r>
                      </w:p>
                      <w:p w14:paraId="504AFF25" w14:textId="77777777" w:rsidR="00786657" w:rsidRDefault="00786657" w:rsidP="00786657">
                        <w:pPr>
                          <w:spacing w:line="171" w:lineRule="exact"/>
                          <w:ind w:left="173"/>
                          <w:rPr>
                            <w:rFonts w:ascii="Calibri"/>
                            <w:sz w:val="20"/>
                          </w:rPr>
                        </w:pPr>
                        <w:r>
                          <w:rPr>
                            <w:rFonts w:ascii="Calibri"/>
                            <w:sz w:val="20"/>
                          </w:rPr>
                          <w:t>1,4%</w:t>
                        </w:r>
                      </w:p>
                      <w:p w14:paraId="682B0FD9" w14:textId="77777777" w:rsidR="00786657" w:rsidRDefault="00786657" w:rsidP="00786657">
                        <w:pPr>
                          <w:spacing w:line="171" w:lineRule="exact"/>
                          <w:ind w:left="173"/>
                          <w:rPr>
                            <w:rFonts w:ascii="Calibri"/>
                            <w:sz w:val="20"/>
                          </w:rPr>
                        </w:pPr>
                        <w:r>
                          <w:rPr>
                            <w:rFonts w:ascii="Calibri"/>
                            <w:sz w:val="20"/>
                          </w:rPr>
                          <w:t>1,4%</w:t>
                        </w:r>
                      </w:p>
                      <w:p w14:paraId="570BD6C4" w14:textId="77777777" w:rsidR="00786657" w:rsidRDefault="00786657" w:rsidP="00786657">
                        <w:pPr>
                          <w:spacing w:line="171" w:lineRule="exact"/>
                          <w:ind w:left="137"/>
                          <w:rPr>
                            <w:rFonts w:ascii="Calibri"/>
                            <w:sz w:val="20"/>
                          </w:rPr>
                        </w:pPr>
                        <w:r>
                          <w:rPr>
                            <w:rFonts w:ascii="Calibri"/>
                            <w:sz w:val="20"/>
                          </w:rPr>
                          <w:t>1,1%</w:t>
                        </w:r>
                      </w:p>
                      <w:p w14:paraId="7C3AFC5C" w14:textId="77777777" w:rsidR="00786657" w:rsidRDefault="00786657" w:rsidP="00786657">
                        <w:pPr>
                          <w:spacing w:line="171" w:lineRule="exact"/>
                          <w:ind w:left="121"/>
                          <w:rPr>
                            <w:rFonts w:ascii="Calibri"/>
                            <w:sz w:val="20"/>
                          </w:rPr>
                        </w:pPr>
                        <w:r>
                          <w:rPr>
                            <w:rFonts w:ascii="Calibri"/>
                            <w:sz w:val="20"/>
                          </w:rPr>
                          <w:t>1,0%</w:t>
                        </w:r>
                      </w:p>
                      <w:p w14:paraId="7DF0497B" w14:textId="77777777" w:rsidR="00786657" w:rsidRDefault="00786657" w:rsidP="00786657">
                        <w:pPr>
                          <w:spacing w:line="171" w:lineRule="exact"/>
                          <w:ind w:left="108"/>
                          <w:rPr>
                            <w:rFonts w:ascii="Calibri"/>
                            <w:sz w:val="20"/>
                          </w:rPr>
                        </w:pPr>
                        <w:r>
                          <w:rPr>
                            <w:rFonts w:ascii="Calibri"/>
                            <w:sz w:val="20"/>
                          </w:rPr>
                          <w:t>0,9%</w:t>
                        </w:r>
                      </w:p>
                      <w:p w14:paraId="064001D4" w14:textId="77777777" w:rsidR="00786657" w:rsidRDefault="00786657" w:rsidP="00786657">
                        <w:pPr>
                          <w:spacing w:line="171" w:lineRule="exact"/>
                          <w:ind w:left="105"/>
                          <w:rPr>
                            <w:rFonts w:ascii="Calibri"/>
                            <w:sz w:val="20"/>
                          </w:rPr>
                        </w:pPr>
                        <w:r>
                          <w:rPr>
                            <w:rFonts w:ascii="Calibri"/>
                            <w:sz w:val="20"/>
                          </w:rPr>
                          <w:t>0,9%</w:t>
                        </w:r>
                      </w:p>
                      <w:p w14:paraId="6092C528" w14:textId="77777777" w:rsidR="00786657" w:rsidRDefault="00786657" w:rsidP="00786657">
                        <w:pPr>
                          <w:spacing w:line="171" w:lineRule="exact"/>
                          <w:ind w:left="89"/>
                          <w:rPr>
                            <w:rFonts w:ascii="Calibri"/>
                            <w:sz w:val="20"/>
                          </w:rPr>
                        </w:pPr>
                        <w:r>
                          <w:rPr>
                            <w:rFonts w:ascii="Calibri"/>
                            <w:sz w:val="20"/>
                          </w:rPr>
                          <w:t>0,7%</w:t>
                        </w:r>
                      </w:p>
                      <w:p w14:paraId="79A270A3" w14:textId="77777777" w:rsidR="00786657" w:rsidRDefault="00786657" w:rsidP="00786657">
                        <w:pPr>
                          <w:spacing w:line="171" w:lineRule="exact"/>
                          <w:ind w:left="87"/>
                          <w:rPr>
                            <w:rFonts w:ascii="Calibri"/>
                            <w:sz w:val="20"/>
                          </w:rPr>
                        </w:pPr>
                        <w:r>
                          <w:rPr>
                            <w:rFonts w:ascii="Calibri"/>
                            <w:sz w:val="20"/>
                          </w:rPr>
                          <w:t>0,7%</w:t>
                        </w:r>
                      </w:p>
                      <w:p w14:paraId="67C806A3" w14:textId="77777777" w:rsidR="00786657" w:rsidRDefault="00786657" w:rsidP="00786657">
                        <w:pPr>
                          <w:spacing w:line="171" w:lineRule="exact"/>
                          <w:ind w:left="51"/>
                          <w:rPr>
                            <w:rFonts w:ascii="Calibri"/>
                            <w:sz w:val="20"/>
                          </w:rPr>
                        </w:pPr>
                        <w:r>
                          <w:rPr>
                            <w:rFonts w:ascii="Calibri"/>
                            <w:sz w:val="20"/>
                          </w:rPr>
                          <w:t>0,4%</w:t>
                        </w:r>
                      </w:p>
                      <w:p w14:paraId="7FB38AEE" w14:textId="77777777" w:rsidR="00786657" w:rsidRDefault="00786657" w:rsidP="00786657">
                        <w:pPr>
                          <w:spacing w:line="171" w:lineRule="exact"/>
                          <w:ind w:left="42"/>
                          <w:rPr>
                            <w:rFonts w:ascii="Calibri"/>
                            <w:sz w:val="20"/>
                          </w:rPr>
                        </w:pPr>
                        <w:r>
                          <w:rPr>
                            <w:rFonts w:ascii="Calibri"/>
                            <w:sz w:val="20"/>
                          </w:rPr>
                          <w:t>0,4%</w:t>
                        </w:r>
                      </w:p>
                      <w:p w14:paraId="25E5C5FF" w14:textId="77777777" w:rsidR="00786657" w:rsidRDefault="00786657" w:rsidP="00786657">
                        <w:pPr>
                          <w:spacing w:line="171" w:lineRule="exact"/>
                          <w:ind w:left="38"/>
                          <w:rPr>
                            <w:rFonts w:ascii="Calibri"/>
                            <w:sz w:val="20"/>
                          </w:rPr>
                        </w:pPr>
                        <w:r>
                          <w:rPr>
                            <w:rFonts w:ascii="Calibri"/>
                            <w:sz w:val="20"/>
                          </w:rPr>
                          <w:t>0,3%</w:t>
                        </w:r>
                      </w:p>
                      <w:p w14:paraId="7AE99316" w14:textId="77777777" w:rsidR="00786657" w:rsidRDefault="00786657" w:rsidP="00786657">
                        <w:pPr>
                          <w:spacing w:line="171" w:lineRule="exact"/>
                          <w:ind w:left="37"/>
                          <w:rPr>
                            <w:rFonts w:ascii="Calibri"/>
                            <w:sz w:val="20"/>
                          </w:rPr>
                        </w:pPr>
                        <w:r>
                          <w:rPr>
                            <w:rFonts w:ascii="Calibri"/>
                            <w:sz w:val="20"/>
                          </w:rPr>
                          <w:t>0,3%</w:t>
                        </w:r>
                      </w:p>
                      <w:p w14:paraId="6DBCAFD2" w14:textId="77777777" w:rsidR="00786657" w:rsidRDefault="00786657" w:rsidP="00786657">
                        <w:pPr>
                          <w:spacing w:line="171" w:lineRule="exact"/>
                          <w:ind w:left="25"/>
                          <w:rPr>
                            <w:rFonts w:ascii="Calibri"/>
                            <w:sz w:val="20"/>
                          </w:rPr>
                        </w:pPr>
                        <w:r>
                          <w:rPr>
                            <w:rFonts w:ascii="Calibri"/>
                            <w:sz w:val="20"/>
                          </w:rPr>
                          <w:t>0,2%</w:t>
                        </w:r>
                      </w:p>
                      <w:p w14:paraId="7AB1FCCD" w14:textId="77777777" w:rsidR="00786657" w:rsidRDefault="00786657" w:rsidP="00786657">
                        <w:pPr>
                          <w:spacing w:line="171" w:lineRule="exact"/>
                          <w:ind w:left="8"/>
                          <w:rPr>
                            <w:rFonts w:ascii="Calibri"/>
                            <w:sz w:val="20"/>
                          </w:rPr>
                        </w:pPr>
                        <w:r>
                          <w:rPr>
                            <w:rFonts w:ascii="Calibri"/>
                            <w:sz w:val="20"/>
                          </w:rPr>
                          <w:t>0,1%</w:t>
                        </w:r>
                      </w:p>
                      <w:p w14:paraId="193C4BDF" w14:textId="77777777" w:rsidR="00786657" w:rsidRDefault="00786657" w:rsidP="00786657">
                        <w:pPr>
                          <w:spacing w:line="171" w:lineRule="exact"/>
                          <w:ind w:left="1"/>
                          <w:rPr>
                            <w:rFonts w:ascii="Calibri"/>
                            <w:sz w:val="20"/>
                          </w:rPr>
                        </w:pPr>
                        <w:r>
                          <w:rPr>
                            <w:rFonts w:ascii="Calibri"/>
                            <w:sz w:val="20"/>
                          </w:rPr>
                          <w:t>0,0%</w:t>
                        </w:r>
                      </w:p>
                      <w:p w14:paraId="3937662E" w14:textId="77777777" w:rsidR="00786657" w:rsidRDefault="00786657" w:rsidP="00786657">
                        <w:pPr>
                          <w:spacing w:line="171" w:lineRule="exact"/>
                          <w:ind w:left="1"/>
                          <w:rPr>
                            <w:rFonts w:ascii="Calibri"/>
                            <w:sz w:val="20"/>
                          </w:rPr>
                        </w:pPr>
                        <w:r>
                          <w:rPr>
                            <w:rFonts w:ascii="Calibri"/>
                            <w:sz w:val="20"/>
                          </w:rPr>
                          <w:t>0,0%</w:t>
                        </w:r>
                      </w:p>
                      <w:p w14:paraId="1D57C715" w14:textId="77777777" w:rsidR="00786657" w:rsidRDefault="00786657" w:rsidP="00786657">
                        <w:pPr>
                          <w:spacing w:line="171" w:lineRule="exact"/>
                          <w:rPr>
                            <w:rFonts w:ascii="Calibri"/>
                            <w:sz w:val="20"/>
                          </w:rPr>
                        </w:pPr>
                        <w:r>
                          <w:rPr>
                            <w:rFonts w:ascii="Calibri"/>
                            <w:sz w:val="20"/>
                          </w:rPr>
                          <w:t>0,0%</w:t>
                        </w:r>
                      </w:p>
                      <w:p w14:paraId="4B7D3856" w14:textId="77777777" w:rsidR="00786657" w:rsidRDefault="00786657" w:rsidP="00786657">
                        <w:pPr>
                          <w:spacing w:line="204" w:lineRule="exact"/>
                          <w:rPr>
                            <w:rFonts w:ascii="Calibri"/>
                            <w:sz w:val="20"/>
                          </w:rPr>
                        </w:pPr>
                        <w:r>
                          <w:rPr>
                            <w:rFonts w:ascii="Calibri"/>
                            <w:sz w:val="20"/>
                          </w:rPr>
                          <w:t>0,0%</w:t>
                        </w:r>
                      </w:p>
                    </w:txbxContent>
                  </v:textbox>
                </v:shape>
                <v:shape id="Text Box 146" o:spid="_x0000_s1039" type="#_x0000_t202" style="position:absolute;left:2182;top:5968;width:2788;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" filled="f" stroked="f">
                  <v:textbox inset="0,0,0,0">
                    <w:txbxContent>
                      <w:p w14:paraId="4426838D" w14:textId="77777777" w:rsidR="00786657" w:rsidRDefault="00786657" w:rsidP="00786657">
                        <w:pPr>
                          <w:tabs>
                            <w:tab w:val="left" w:pos="625"/>
                            <w:tab w:val="left" w:pos="1220"/>
                            <w:tab w:val="left" w:pos="1844"/>
                            <w:tab w:val="left" w:pos="2470"/>
                          </w:tabs>
                          <w:spacing w:line="120" w:lineRule="exact"/>
                          <w:rPr>
                            <w:rFonts w:ascii="Calibri"/>
                            <w:sz w:val="12"/>
                          </w:rPr>
                        </w:pPr>
                        <w:r>
                          <w:rPr>
                            <w:rFonts w:ascii="Calibri"/>
                            <w:color w:val="585858"/>
                            <w:sz w:val="12"/>
                          </w:rPr>
                          <w:t>0,0%</w:t>
                        </w:r>
                        <w:r>
                          <w:rPr>
                            <w:rFonts w:ascii="Calibri"/>
                            <w:color w:val="585858"/>
                            <w:sz w:val="12"/>
                          </w:rPr>
                          <w:tab/>
                          <w:t>5,0%</w:t>
                        </w:r>
                        <w:r>
                          <w:rPr>
                            <w:rFonts w:ascii="Calibri"/>
                            <w:color w:val="585858"/>
                            <w:sz w:val="12"/>
                          </w:rPr>
                          <w:tab/>
                          <w:t>10,0%</w:t>
                        </w:r>
                        <w:r>
                          <w:rPr>
                            <w:rFonts w:ascii="Calibri"/>
                            <w:color w:val="585858"/>
                            <w:sz w:val="12"/>
                          </w:rPr>
                          <w:tab/>
                          <w:t>15,0%</w:t>
                        </w:r>
                        <w:r>
                          <w:rPr>
                            <w:rFonts w:ascii="Calibri"/>
                            <w:color w:val="585858"/>
                            <w:sz w:val="12"/>
                          </w:rPr>
                          <w:tab/>
                          <w:t>20,0%</w:t>
                        </w:r>
                      </w:p>
                    </w:txbxContent>
                  </v:textbox>
                </v:shape>
                <w10:anchorlock/>
              </v:group>
            </w:pict>
          </mc:Fallback>
        </mc:AlternateContent>
      </w:r>
    </w:p>
    <w:p w14:paraId="3A9328EE" w14:textId="1F4566D3" w:rsidR="00786657" w:rsidRPr="005922D8" w:rsidRDefault="00786657" w:rsidP="00786657">
      <w:pPr>
        <w:jc w:val="center"/>
        <w:rPr>
          <w:rFonts w:ascii="Arial" w:hAnsi="Arial" w:cs="Arial"/>
          <w:lang w:val="es-ES"/>
        </w:rPr>
      </w:pPr>
      <w:r w:rsidRPr="005922D8">
        <w:rPr>
          <w:rFonts w:ascii="Arial" w:hAnsi="Arial" w:cs="Arial"/>
          <w:lang w:val="es-ES"/>
        </w:rPr>
        <w:t>Fuente: Dirección de Censos y Demografía, DANE</w:t>
      </w:r>
    </w:p>
    <w:p w14:paraId="448664D9" w14:textId="77777777" w:rsidR="00786657" w:rsidRPr="005922D8" w:rsidRDefault="00786657" w:rsidP="00786657">
      <w:pPr>
        <w:jc w:val="center"/>
        <w:rPr>
          <w:rFonts w:ascii="Arial" w:hAnsi="Arial" w:cs="Arial"/>
          <w:lang w:val="es-ES"/>
        </w:rPr>
      </w:pPr>
    </w:p>
    <w:tbl>
      <w:tblPr>
        <w:tblStyle w:val="Tablaconcuadrcula"/>
        <w:tblW w:w="0" w:type="auto"/>
        <w:tblLook w:val="04A0" w:firstRow="1" w:lastRow="0" w:firstColumn="1" w:lastColumn="0" w:noHBand="0" w:noVBand="1"/>
      </w:tblPr>
      <w:tblGrid>
        <w:gridCol w:w="8828"/>
      </w:tblGrid>
      <w:tr w:rsidR="00786657" w:rsidRPr="005922D8" w14:paraId="553C2D55" w14:textId="77777777" w:rsidTr="00786657">
        <w:tc>
          <w:tcPr>
            <w:tcW w:w="8828" w:type="dxa"/>
            <w:shd w:val="clear" w:color="auto" w:fill="E7E6E6" w:themeFill="background2"/>
          </w:tcPr>
          <w:p w14:paraId="1BB6F75B" w14:textId="459C7BC7" w:rsidR="00786657" w:rsidRPr="005922D8" w:rsidRDefault="00786657" w:rsidP="004038B8">
            <w:pPr>
              <w:jc w:val="both"/>
              <w:rPr>
                <w:rFonts w:ascii="Arial" w:hAnsi="Arial" w:cs="Arial"/>
                <w:lang w:val="es-ES"/>
              </w:rPr>
            </w:pPr>
            <w:r w:rsidRPr="005922D8">
              <w:rPr>
                <w:rFonts w:ascii="Arial" w:hAnsi="Arial" w:cs="Arial"/>
                <w:b/>
                <w:lang w:val="es-ES"/>
              </w:rPr>
              <w:t xml:space="preserve">Acción: </w:t>
            </w:r>
            <w:r w:rsidRPr="005922D8">
              <w:rPr>
                <w:rFonts w:ascii="Arial" w:hAnsi="Arial" w:cs="Arial"/>
                <w:lang w:val="es-ES"/>
              </w:rPr>
              <w:t>El DANE ha producido información estadística que da cuenta del impacto de la situación generada por el COVID-19 en la sociedad colombiana.</w:t>
            </w:r>
          </w:p>
        </w:tc>
      </w:tr>
    </w:tbl>
    <w:p w14:paraId="64D11AE8" w14:textId="77777777" w:rsidR="00786657" w:rsidRPr="005922D8" w:rsidRDefault="00786657" w:rsidP="00786657">
      <w:pPr>
        <w:jc w:val="center"/>
        <w:rPr>
          <w:rFonts w:ascii="Arial" w:hAnsi="Arial" w:cs="Arial"/>
          <w:lang w:val="es-ES"/>
        </w:rPr>
      </w:pPr>
    </w:p>
    <w:p w14:paraId="5F374345" w14:textId="6F2C45BC" w:rsidR="00786657" w:rsidRPr="005922D8" w:rsidRDefault="00786657" w:rsidP="00786657">
      <w:pPr>
        <w:jc w:val="both"/>
        <w:rPr>
          <w:rFonts w:ascii="Arial" w:hAnsi="Arial" w:cs="Arial"/>
          <w:lang w:val="es-ES"/>
        </w:rPr>
      </w:pPr>
      <w:r w:rsidRPr="005922D8">
        <w:rPr>
          <w:rFonts w:ascii="Arial" w:hAnsi="Arial" w:cs="Arial"/>
          <w:lang w:val="es-ES"/>
        </w:rPr>
        <w:t xml:space="preserve">En relación con el segundo punto de la solicitud de las organizaciones, específicamente sobre el impacto de la pandemia provocada por el COVID-19, el DANE realizó un ejercicio presentado entre otros espacios en la Conferencia regional sobre población y desarrollo, Los efectos del COVID-19, una oportunidad para reafirmar la realización de los derechos humanos de las poblaciones afrodescendientes en el desarrollo sostenible, realizada en el mes de septiembre de 2020. </w:t>
      </w:r>
      <w:hyperlink r:id="rId30">
        <w:r w:rsidRPr="005922D8">
          <w:rPr>
            <w:rStyle w:val="Hipervnculo"/>
            <w:rFonts w:ascii="Arial" w:hAnsi="Arial" w:cs="Arial"/>
            <w:lang w:val="es-ES"/>
          </w:rPr>
          <w:t>https://www.dane.gov.co/files/investigaciones/boletines/grupos-etnicos/presentacion-grupos-etnicos-</w:t>
        </w:r>
      </w:hyperlink>
      <w:r w:rsidRPr="005922D8">
        <w:rPr>
          <w:rFonts w:ascii="Arial" w:hAnsi="Arial" w:cs="Arial"/>
          <w:lang w:val="es-ES"/>
        </w:rPr>
        <w:t xml:space="preserve"> </w:t>
      </w:r>
      <w:hyperlink r:id="rId31">
        <w:r w:rsidRPr="005922D8">
          <w:rPr>
            <w:rStyle w:val="Hipervnculo"/>
            <w:rFonts w:ascii="Arial" w:hAnsi="Arial" w:cs="Arial"/>
            <w:lang w:val="es-ES"/>
          </w:rPr>
          <w:t xml:space="preserve">conf-reg-poblacion-y-desarrollo-2020-sep.pdf </w:t>
        </w:r>
      </w:hyperlink>
    </w:p>
    <w:p w14:paraId="47E5D291" w14:textId="11149F7D" w:rsidR="00786657" w:rsidRPr="005922D8" w:rsidRDefault="00786657" w:rsidP="00786657">
      <w:pPr>
        <w:jc w:val="both"/>
        <w:rPr>
          <w:rFonts w:ascii="Arial" w:hAnsi="Arial" w:cs="Arial"/>
          <w:lang w:val="es-ES"/>
        </w:rPr>
      </w:pPr>
      <w:r w:rsidRPr="005922D8">
        <w:rPr>
          <w:rFonts w:ascii="Arial" w:hAnsi="Arial" w:cs="Arial"/>
          <w:lang w:val="es-ES"/>
        </w:rPr>
        <w:t>Se identificó que:</w:t>
      </w:r>
    </w:p>
    <w:p w14:paraId="3A752181" w14:textId="107C3C14" w:rsidR="00786657" w:rsidRPr="005922D8" w:rsidRDefault="00786657" w:rsidP="00786657">
      <w:pPr>
        <w:pStyle w:val="Prrafodelista"/>
        <w:numPr>
          <w:ilvl w:val="0"/>
          <w:numId w:val="13"/>
        </w:numPr>
        <w:jc w:val="both"/>
        <w:rPr>
          <w:rFonts w:ascii="Arial" w:hAnsi="Arial" w:cs="Arial"/>
          <w:lang w:val="es-ES"/>
        </w:rPr>
      </w:pPr>
      <w:r w:rsidRPr="005922D8">
        <w:rPr>
          <w:rFonts w:ascii="Arial" w:hAnsi="Arial" w:cs="Arial"/>
          <w:lang w:val="es-ES"/>
        </w:rPr>
        <w:t>Los departamentos con mayor afectación por la pandemia fueron: Los departamentos con mayor afectación: Valle del Cauca, Bolívar, Chocó, Nariño, Antioquia y Atlántico</w:t>
      </w:r>
    </w:p>
    <w:p w14:paraId="09198BA2" w14:textId="56F969BF" w:rsidR="00786657" w:rsidRPr="005922D8" w:rsidRDefault="00786657" w:rsidP="00786657">
      <w:pPr>
        <w:pStyle w:val="Prrafodelista"/>
        <w:numPr>
          <w:ilvl w:val="0"/>
          <w:numId w:val="13"/>
        </w:numPr>
        <w:jc w:val="both"/>
        <w:rPr>
          <w:rFonts w:ascii="Arial" w:hAnsi="Arial" w:cs="Arial"/>
          <w:lang w:val="es-ES"/>
        </w:rPr>
      </w:pPr>
      <w:r w:rsidRPr="005922D8">
        <w:rPr>
          <w:rFonts w:ascii="Arial" w:hAnsi="Arial" w:cs="Arial"/>
          <w:lang w:val="es-ES"/>
        </w:rPr>
        <w:t xml:space="preserve">Dentro de los fallecidos por COVID-19 se evidencia que las jefaturas del hogar fueron las más afectadas. Las personas negras, mulatas, afrodescendientes y </w:t>
      </w:r>
      <w:r w:rsidRPr="005922D8">
        <w:rPr>
          <w:rFonts w:ascii="Arial" w:hAnsi="Arial" w:cs="Arial"/>
          <w:lang w:val="es-ES"/>
        </w:rPr>
        <w:lastRenderedPageBreak/>
        <w:t>afrocolombianas presentan una mayor proporción de mortalidad en la jefatura del hogar.</w:t>
      </w:r>
    </w:p>
    <w:p w14:paraId="6D8F0501" w14:textId="77777777" w:rsidR="00786657" w:rsidRPr="005922D8" w:rsidRDefault="00786657" w:rsidP="00786657">
      <w:pPr>
        <w:pStyle w:val="Prrafodelista"/>
        <w:numPr>
          <w:ilvl w:val="0"/>
          <w:numId w:val="13"/>
        </w:numPr>
        <w:jc w:val="both"/>
        <w:rPr>
          <w:rFonts w:ascii="Arial" w:hAnsi="Arial" w:cs="Arial"/>
          <w:lang w:val="es-ES"/>
        </w:rPr>
      </w:pPr>
      <w:r w:rsidRPr="005922D8">
        <w:rPr>
          <w:rFonts w:ascii="Arial" w:hAnsi="Arial" w:cs="Arial"/>
          <w:lang w:val="es-ES"/>
        </w:rPr>
        <w:t>El 62% de la población que se autorreconoce como negra, afrocolombiana, raizal o palenquera consideraba que la situación económica de su hogar era peor que la de hace 12 meses. Este porcentaje era de 59,6% para la población sin autorreconocimiento étnico.</w:t>
      </w:r>
    </w:p>
    <w:p w14:paraId="22BFF326" w14:textId="77777777" w:rsidR="00786657" w:rsidRPr="005922D8" w:rsidRDefault="00786657" w:rsidP="00786657">
      <w:pPr>
        <w:pStyle w:val="Prrafodelista"/>
        <w:numPr>
          <w:ilvl w:val="0"/>
          <w:numId w:val="13"/>
        </w:numPr>
        <w:jc w:val="both"/>
        <w:rPr>
          <w:rFonts w:ascii="Arial" w:hAnsi="Arial" w:cs="Arial"/>
          <w:lang w:val="es-ES"/>
        </w:rPr>
      </w:pPr>
      <w:r w:rsidRPr="005922D8">
        <w:rPr>
          <w:rFonts w:ascii="Arial" w:hAnsi="Arial" w:cs="Arial"/>
          <w:lang w:val="es-ES"/>
        </w:rPr>
        <w:t>El 38% de la población que se autorreconoce como negra, afrocolombiana, raizal o palenquera, consideró que la situación económica de su hogar sería mejor o mucho mejor dentro de 12 meses. Este porcentaje fue de 32,2% para el total de personas</w:t>
      </w:r>
    </w:p>
    <w:p w14:paraId="38DFAEFB" w14:textId="77777777" w:rsidR="00786657" w:rsidRPr="005922D8" w:rsidRDefault="00786657" w:rsidP="00786657">
      <w:pPr>
        <w:pStyle w:val="Prrafodelista"/>
        <w:numPr>
          <w:ilvl w:val="0"/>
          <w:numId w:val="13"/>
        </w:numPr>
        <w:jc w:val="both"/>
        <w:rPr>
          <w:rFonts w:ascii="Arial" w:hAnsi="Arial" w:cs="Arial"/>
          <w:lang w:val="es-ES"/>
        </w:rPr>
      </w:pPr>
      <w:r w:rsidRPr="005922D8">
        <w:rPr>
          <w:rFonts w:ascii="Arial" w:hAnsi="Arial" w:cs="Arial"/>
          <w:lang w:val="es-ES"/>
        </w:rPr>
        <w:t>El 22% de la población que se autorreconoce como negra, afrocolombiana, raizal o palenquera se sentía sobrecargada con las tareas laborales, frente al 20,9% de la población total.</w:t>
      </w:r>
    </w:p>
    <w:p w14:paraId="7848932B" w14:textId="77777777" w:rsidR="00786657" w:rsidRPr="005922D8" w:rsidRDefault="00786657" w:rsidP="00786657">
      <w:pPr>
        <w:pStyle w:val="Prrafodelista"/>
        <w:numPr>
          <w:ilvl w:val="0"/>
          <w:numId w:val="13"/>
        </w:numPr>
        <w:jc w:val="both"/>
        <w:rPr>
          <w:rFonts w:ascii="Arial" w:hAnsi="Arial" w:cs="Arial"/>
          <w:lang w:val="es-ES"/>
        </w:rPr>
      </w:pPr>
      <w:r w:rsidRPr="005922D8">
        <w:rPr>
          <w:rFonts w:ascii="Arial" w:hAnsi="Arial" w:cs="Arial"/>
          <w:lang w:val="es-ES"/>
        </w:rPr>
        <w:t>El 36,5% de la población con autorreconocimiento negro, afrocolombiano, raizal o palenquera se sentían sobrecargadas con los oficios del hogar, frente al 32,6% para la población total.</w:t>
      </w:r>
    </w:p>
    <w:p w14:paraId="1342DD79" w14:textId="77777777" w:rsidR="00786657" w:rsidRPr="005922D8" w:rsidRDefault="00786657" w:rsidP="00786657">
      <w:pPr>
        <w:pStyle w:val="Prrafodelista"/>
        <w:numPr>
          <w:ilvl w:val="0"/>
          <w:numId w:val="13"/>
        </w:numPr>
        <w:jc w:val="both"/>
        <w:rPr>
          <w:rFonts w:ascii="Arial" w:hAnsi="Arial" w:cs="Arial"/>
          <w:lang w:val="es-ES"/>
        </w:rPr>
      </w:pPr>
      <w:r w:rsidRPr="005922D8">
        <w:rPr>
          <w:rFonts w:ascii="Arial" w:hAnsi="Arial" w:cs="Arial"/>
          <w:lang w:val="es-ES"/>
        </w:rPr>
        <w:t>El 39,4% de los hogares que antes de la cuarentena consumían 3 o más comidas en promedio y cuyo jefe(a) se autorreconoció negro, afrocolombiano, raizal o palenquera, reportaron que, pasaron a consumir 2 comidas diarias. Este porcentaje es de 23,5% para el total.</w:t>
      </w:r>
    </w:p>
    <w:p w14:paraId="395AA4AC" w14:textId="6A6EF68A" w:rsidR="00786657" w:rsidRPr="005922D8" w:rsidRDefault="00786657" w:rsidP="00786657">
      <w:pPr>
        <w:jc w:val="both"/>
        <w:rPr>
          <w:rFonts w:ascii="Arial" w:hAnsi="Arial" w:cs="Arial"/>
          <w:lang w:val="es-ES"/>
        </w:rPr>
      </w:pPr>
      <w:r w:rsidRPr="005922D8">
        <w:rPr>
          <w:rFonts w:ascii="Arial" w:hAnsi="Arial" w:cs="Arial"/>
          <w:lang w:val="es-ES"/>
        </w:rPr>
        <w:t>Conscientes de la necesidad de contar con información sobre el impacto de la situación generada por el COVID-19 en la sociedad colombiana, el DANE realiza la Encuesta Pulso Social -EPS que cuenta con el apoyo técnico del Fondo de las Naciones Unidas para la Infancia -UNICEF. Esta encuesta produce información relacionada con: confianza del consumidor; bienestar subjetivo; redes de apoyo de los hogares; bienestar de los hogares que cuentan con niños, niñas y adolescentes; y el conocimiento y acceso a las políticas nacionales y locales de apoyo a los hogares. Su cobertura geográfica es de 23 ciudades capitales de departamento y áreas metropolitanas: Barranquilla, Cartagena, Sincelejo, Valledupar, Santa Marta, Riohacha, Bogotá, Tunja, Villavicencio, Neiva, Florencia, Bucaramanga, Cúcuta, Cali, Pasto, Popayán, Manizales, Ibagué, Pereira, Armenia, Medellín, Montería, y Quibdó.</w:t>
      </w:r>
      <w:r w:rsidRPr="005922D8">
        <w:rPr>
          <w:rStyle w:val="Refdenotaalpie"/>
          <w:rFonts w:ascii="Arial" w:hAnsi="Arial" w:cs="Arial"/>
          <w:lang w:val="es-ES"/>
        </w:rPr>
        <w:footnoteReference w:id="17"/>
      </w:r>
    </w:p>
    <w:p w14:paraId="6C92FE0A" w14:textId="25978FF6" w:rsidR="00786657" w:rsidRPr="005922D8" w:rsidRDefault="00786657" w:rsidP="00786657">
      <w:pPr>
        <w:jc w:val="both"/>
        <w:rPr>
          <w:rFonts w:ascii="Arial" w:hAnsi="Arial" w:cs="Arial"/>
          <w:lang w:val="es-ES"/>
        </w:rPr>
      </w:pPr>
      <w:r w:rsidRPr="005922D8">
        <w:rPr>
          <w:rFonts w:ascii="Arial" w:hAnsi="Arial" w:cs="Arial"/>
          <w:lang w:val="es-ES"/>
        </w:rPr>
        <w:t>De igual manera, la información de Mercado Laboral analiza el impacto del COVID-19 en la ciudadanía y grupos poblacionales como el negro, afrocolombiano, raizal y palenquero. Sobre este último, el DANE publica mensualmente los resultados de la Gran Encuesta Integrada de Hogares información sobre población ocupada, desocupada e inactiva, Tasa global de participación – TGP, Tasa de ocupación – TO, Tasa de desempleo – TD, Población ocupada, juventud, Proporción de población ocupada informal, Población ocupada formal e informal, según su autorreconocimiento étnico. La información más reciente, para diciembre 2021, presenta comparación entre Enero – Diciembre (2021) y Enero – Diciembre (2019).</w:t>
      </w:r>
      <w:r w:rsidRPr="005922D8">
        <w:rPr>
          <w:rStyle w:val="Refdenotaalpie"/>
          <w:rFonts w:ascii="Arial" w:hAnsi="Arial" w:cs="Arial"/>
          <w:lang w:val="es-ES"/>
        </w:rPr>
        <w:footnoteReference w:id="18"/>
      </w:r>
      <w:r w:rsidRPr="005922D8">
        <w:rPr>
          <w:rFonts w:ascii="Arial" w:hAnsi="Arial" w:cs="Arial"/>
          <w:lang w:val="es-ES"/>
        </w:rPr>
        <w:t xml:space="preserve"> En el marco de la incorporación de manera transversal del enfoque diferencial étnico en sus operaciones estadísticas, también se cuenta con las cifras de Estadísticas Vitales – EEVV con desagregación étnica, lo cual implica que se haya puesto a disposición del país información sobre la distribución de las defunciones por </w:t>
      </w:r>
      <w:r w:rsidRPr="005922D8">
        <w:rPr>
          <w:rFonts w:ascii="Arial" w:hAnsi="Arial" w:cs="Arial"/>
          <w:lang w:val="es-ES"/>
        </w:rPr>
        <w:lastRenderedPageBreak/>
        <w:t>COVID-19 total, según pertenencia étnica (así como también información sobre nacimientos según autorreconocimiento étnico). Los datos pueden ser consultados en:</w:t>
      </w:r>
    </w:p>
    <w:p w14:paraId="16315E9F" w14:textId="77777777" w:rsidR="00786657" w:rsidRPr="005922D8" w:rsidRDefault="00000000" w:rsidP="00786657">
      <w:pPr>
        <w:jc w:val="both"/>
        <w:rPr>
          <w:rFonts w:ascii="Arial" w:hAnsi="Arial" w:cs="Arial"/>
          <w:lang w:val="es-ES"/>
        </w:rPr>
      </w:pPr>
      <w:hyperlink r:id="rId32">
        <w:r w:rsidR="00786657" w:rsidRPr="005922D8">
          <w:rPr>
            <w:rStyle w:val="Hipervnculo"/>
            <w:rFonts w:ascii="Arial" w:hAnsi="Arial" w:cs="Arial"/>
            <w:lang w:val="es-ES"/>
          </w:rPr>
          <w:t>https://www.dane.gov.co/files/investigaciones/poblacion/pre_estadisticasvitales_IItrim_2021pr.pdf</w:t>
        </w:r>
      </w:hyperlink>
      <w:r w:rsidR="00786657" w:rsidRPr="005922D8">
        <w:rPr>
          <w:rFonts w:ascii="Arial" w:hAnsi="Arial" w:cs="Arial"/>
          <w:lang w:val="es-ES"/>
        </w:rPr>
        <w:t xml:space="preserve"> </w:t>
      </w:r>
    </w:p>
    <w:p w14:paraId="590A44CD" w14:textId="3EC206DE" w:rsidR="00786657" w:rsidRPr="005922D8" w:rsidRDefault="00000000" w:rsidP="00786657">
      <w:pPr>
        <w:jc w:val="both"/>
        <w:rPr>
          <w:rFonts w:ascii="Arial" w:hAnsi="Arial" w:cs="Arial"/>
          <w:lang w:val="es-ES"/>
        </w:rPr>
      </w:pPr>
      <w:hyperlink r:id="rId33" w:history="1">
        <w:r w:rsidR="00786657" w:rsidRPr="005922D8">
          <w:rPr>
            <w:rStyle w:val="Hipervnculo"/>
            <w:rFonts w:ascii="Arial" w:hAnsi="Arial" w:cs="Arial"/>
            <w:lang w:val="es-ES"/>
          </w:rPr>
          <w:t>https://www.dane.gov.co/files/investigaciones/poblacion/bt_estadisticasvitales_defunciones_IItrim_2021pr.</w:t>
        </w:r>
      </w:hyperlink>
      <w:r w:rsidR="00786657" w:rsidRPr="005922D8">
        <w:rPr>
          <w:rFonts w:ascii="Arial" w:hAnsi="Arial" w:cs="Arial"/>
          <w:lang w:val="es-ES"/>
        </w:rPr>
        <w:t xml:space="preserve"> </w:t>
      </w:r>
      <w:hyperlink r:id="rId34">
        <w:r w:rsidR="00786657" w:rsidRPr="005922D8">
          <w:rPr>
            <w:rStyle w:val="Hipervnculo"/>
            <w:rFonts w:ascii="Arial" w:hAnsi="Arial" w:cs="Arial"/>
            <w:lang w:val="es-ES"/>
          </w:rPr>
          <w:t>pdf</w:t>
        </w:r>
      </w:hyperlink>
    </w:p>
    <w:p w14:paraId="19EA2A03" w14:textId="48C7B4AD" w:rsidR="00F439A0" w:rsidRPr="005922D8" w:rsidRDefault="00F439A0" w:rsidP="00F439A0">
      <w:pPr>
        <w:jc w:val="center"/>
        <w:rPr>
          <w:rFonts w:ascii="Arial" w:hAnsi="Arial" w:cs="Arial"/>
          <w:b/>
          <w:lang w:val="es-ES"/>
        </w:rPr>
      </w:pPr>
      <w:r w:rsidRPr="005922D8">
        <w:rPr>
          <w:rFonts w:ascii="Arial" w:hAnsi="Arial" w:cs="Arial"/>
          <w:noProof/>
        </w:rPr>
        <w:drawing>
          <wp:anchor distT="0" distB="0" distL="0" distR="0" simplePos="0" relativeHeight="251670528" behindDoc="0" locked="0" layoutInCell="1" allowOverlap="1" wp14:anchorId="57A71BB4" wp14:editId="0CA1642C">
            <wp:simplePos x="0" y="0"/>
            <wp:positionH relativeFrom="margin">
              <wp:align>center</wp:align>
            </wp:positionH>
            <wp:positionV relativeFrom="paragraph">
              <wp:posOffset>553912</wp:posOffset>
            </wp:positionV>
            <wp:extent cx="5109210" cy="4274185"/>
            <wp:effectExtent l="0" t="0" r="0" b="0"/>
            <wp:wrapTopAndBottom/>
            <wp:docPr id="67" name="image43.png" descr="Tabla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3.png"/>
                    <pic:cNvPicPr/>
                  </pic:nvPicPr>
                  <pic:blipFill>
                    <a:blip r:embed="rId35" cstate="print"/>
                    <a:stretch>
                      <a:fillRect/>
                    </a:stretch>
                  </pic:blipFill>
                  <pic:spPr>
                    <a:xfrm>
                      <a:off x="0" y="0"/>
                      <a:ext cx="5109210" cy="4274185"/>
                    </a:xfrm>
                    <a:prstGeom prst="rect">
                      <a:avLst/>
                    </a:prstGeom>
                  </pic:spPr>
                </pic:pic>
              </a:graphicData>
            </a:graphic>
            <wp14:sizeRelH relativeFrom="margin">
              <wp14:pctWidth>0</wp14:pctWidth>
            </wp14:sizeRelH>
            <wp14:sizeRelV relativeFrom="margin">
              <wp14:pctHeight>0</wp14:pctHeight>
            </wp14:sizeRelV>
          </wp:anchor>
        </w:drawing>
      </w:r>
      <w:r w:rsidRPr="005922D8">
        <w:rPr>
          <w:rFonts w:ascii="Arial" w:hAnsi="Arial" w:cs="Arial"/>
          <w:b/>
          <w:bCs/>
          <w:lang w:val="es-ES"/>
        </w:rPr>
        <w:t xml:space="preserve">Tabla No 7. Número de defunciones por COVID-19, según pertenencia étnica y sexo. Total, nacional </w:t>
      </w:r>
      <w:r w:rsidRPr="005922D8">
        <w:rPr>
          <w:rFonts w:ascii="Arial" w:hAnsi="Arial" w:cs="Arial"/>
          <w:b/>
          <w:lang w:val="es-ES"/>
        </w:rPr>
        <w:t>- 16 de marzo 2020 al 6 de marzo 2022pr</w:t>
      </w:r>
    </w:p>
    <w:p w14:paraId="65C27B7F" w14:textId="77777777" w:rsidR="00F439A0" w:rsidRPr="005922D8" w:rsidRDefault="00F439A0" w:rsidP="00F439A0">
      <w:pPr>
        <w:jc w:val="center"/>
        <w:rPr>
          <w:rFonts w:ascii="Arial" w:hAnsi="Arial" w:cs="Arial"/>
          <w:bCs/>
          <w:lang w:val="es-ES"/>
        </w:rPr>
      </w:pPr>
      <w:r w:rsidRPr="005922D8">
        <w:rPr>
          <w:rFonts w:ascii="Arial" w:hAnsi="Arial" w:cs="Arial"/>
          <w:bCs/>
          <w:lang w:val="es-ES"/>
        </w:rPr>
        <w:t>Fuente: DANE, Estadísticas Vitales. Pr: Cifras preliminares</w:t>
      </w:r>
    </w:p>
    <w:p w14:paraId="7108A7E7" w14:textId="77777777" w:rsidR="00F439A0" w:rsidRPr="005922D8" w:rsidRDefault="00F439A0" w:rsidP="00F439A0">
      <w:pPr>
        <w:jc w:val="center"/>
        <w:rPr>
          <w:rFonts w:ascii="Arial" w:hAnsi="Arial" w:cs="Arial"/>
          <w:bCs/>
          <w:lang w:val="es-ES"/>
        </w:rPr>
      </w:pPr>
    </w:p>
    <w:p w14:paraId="741E30EA" w14:textId="77777777" w:rsidR="00F439A0" w:rsidRPr="005922D8" w:rsidRDefault="00F439A0" w:rsidP="00F439A0">
      <w:pPr>
        <w:jc w:val="both"/>
        <w:rPr>
          <w:rFonts w:ascii="Arial" w:hAnsi="Arial" w:cs="Arial"/>
          <w:bCs/>
          <w:lang w:val="es-ES"/>
        </w:rPr>
      </w:pPr>
      <w:r w:rsidRPr="005922D8">
        <w:rPr>
          <w:rFonts w:ascii="Arial" w:hAnsi="Arial" w:cs="Arial"/>
          <w:bCs/>
          <w:lang w:val="es-ES"/>
        </w:rPr>
        <w:t>En el Boletín Técnico defunciones por COVID-19 de marzo de 2022, el cual se puede consultar en el siguiente enlace:</w:t>
      </w:r>
    </w:p>
    <w:p w14:paraId="63E13E9A" w14:textId="77777777" w:rsidR="00F439A0" w:rsidRPr="005922D8" w:rsidRDefault="00000000" w:rsidP="00F439A0">
      <w:pPr>
        <w:jc w:val="both"/>
        <w:rPr>
          <w:rFonts w:ascii="Arial" w:hAnsi="Arial" w:cs="Arial"/>
          <w:bCs/>
          <w:lang w:val="pt-BR"/>
        </w:rPr>
      </w:pPr>
      <w:hyperlink r:id="rId36">
        <w:r w:rsidR="00F439A0" w:rsidRPr="005922D8">
          <w:rPr>
            <w:rStyle w:val="Hipervnculo"/>
            <w:rFonts w:ascii="Arial" w:hAnsi="Arial" w:cs="Arial"/>
            <w:bCs/>
            <w:lang w:val="pt-BR"/>
          </w:rPr>
          <w:t>https://www.dane.gov.co/files/investigaciones/poblacion/bt_seguimiento_exceso_mortalidad_covid19_16m</w:t>
        </w:r>
      </w:hyperlink>
      <w:r w:rsidR="00F439A0" w:rsidRPr="005922D8">
        <w:rPr>
          <w:rFonts w:ascii="Arial" w:hAnsi="Arial" w:cs="Arial"/>
          <w:bCs/>
          <w:lang w:val="pt-BR"/>
        </w:rPr>
        <w:t xml:space="preserve"> </w:t>
      </w:r>
      <w:hyperlink r:id="rId37">
        <w:r w:rsidR="00F439A0" w:rsidRPr="005922D8">
          <w:rPr>
            <w:rStyle w:val="Hipervnculo"/>
            <w:rFonts w:ascii="Arial" w:hAnsi="Arial" w:cs="Arial"/>
            <w:bCs/>
            <w:lang w:val="pt-BR"/>
          </w:rPr>
          <w:t>ar20_06mar22.pdf</w:t>
        </w:r>
      </w:hyperlink>
    </w:p>
    <w:p w14:paraId="22894A1C" w14:textId="77777777" w:rsidR="00F439A0" w:rsidRPr="005922D8" w:rsidRDefault="00F439A0" w:rsidP="00F439A0">
      <w:pPr>
        <w:jc w:val="both"/>
        <w:rPr>
          <w:rFonts w:ascii="Arial" w:hAnsi="Arial" w:cs="Arial"/>
          <w:bCs/>
        </w:rPr>
      </w:pPr>
      <w:r w:rsidRPr="005922D8">
        <w:rPr>
          <w:rFonts w:ascii="Arial" w:hAnsi="Arial" w:cs="Arial"/>
          <w:bCs/>
          <w:lang w:val="es-ES"/>
        </w:rPr>
        <w:t xml:space="preserve">Se evidencia que el 97,2% de las personas que han fallecido por COVID-19 confirmado entre el 16 de marzo de 2020 y el 6 de marzo de 2022pr fueron reconocidos por sus familiares como no pertenecientes a ningún grupo étnico. Un total de 2.855 personas </w:t>
      </w:r>
      <w:r w:rsidRPr="005922D8">
        <w:rPr>
          <w:rFonts w:ascii="Arial" w:hAnsi="Arial" w:cs="Arial"/>
          <w:bCs/>
          <w:lang w:val="es-ES"/>
        </w:rPr>
        <w:lastRenderedPageBreak/>
        <w:t xml:space="preserve">correspondientes al 2,1% del total de fallecidos por COVID-19 confirmado, fueron reconocidos como negro(a), mulato(a), afrocolombiano (a), o afrodescendiente. Al separar por sexo, se observa que el 1,9% de las defunciones por COVID-19 confirmado en hombres fueron </w:t>
      </w:r>
      <w:r w:rsidRPr="005922D8">
        <w:rPr>
          <w:rFonts w:ascii="Arial" w:hAnsi="Arial" w:cs="Arial"/>
          <w:bCs/>
        </w:rPr>
        <w:t>reconocidos como negro(a), mulato(a), afrocolombiano (a), o afrodescendiente, mientras que en el caso de las mujeres esta cifra se eleva hasta un 2,4%.</w:t>
      </w:r>
    </w:p>
    <w:tbl>
      <w:tblPr>
        <w:tblStyle w:val="Tablaconcuadrcula"/>
        <w:tblW w:w="0" w:type="auto"/>
        <w:tblLook w:val="04A0" w:firstRow="1" w:lastRow="0" w:firstColumn="1" w:lastColumn="0" w:noHBand="0" w:noVBand="1"/>
      </w:tblPr>
      <w:tblGrid>
        <w:gridCol w:w="8828"/>
      </w:tblGrid>
      <w:tr w:rsidR="00F439A0" w:rsidRPr="005922D8" w14:paraId="1328FD62" w14:textId="77777777" w:rsidTr="00F439A0">
        <w:tc>
          <w:tcPr>
            <w:tcW w:w="8828" w:type="dxa"/>
            <w:shd w:val="clear" w:color="auto" w:fill="E7E6E6" w:themeFill="background2"/>
          </w:tcPr>
          <w:p w14:paraId="414BC748" w14:textId="319EFBBE" w:rsidR="00F439A0" w:rsidRPr="005922D8" w:rsidRDefault="00F439A0" w:rsidP="00F439A0">
            <w:pPr>
              <w:jc w:val="both"/>
              <w:rPr>
                <w:rFonts w:ascii="Arial" w:hAnsi="Arial" w:cs="Arial"/>
                <w:bCs/>
                <w:lang w:val="es-ES"/>
              </w:rPr>
            </w:pPr>
            <w:r w:rsidRPr="005922D8">
              <w:rPr>
                <w:rFonts w:ascii="Arial" w:hAnsi="Arial" w:cs="Arial"/>
                <w:b/>
                <w:bCs/>
                <w:lang w:val="es-ES"/>
              </w:rPr>
              <w:t xml:space="preserve">Acción: </w:t>
            </w:r>
            <w:r w:rsidRPr="005922D8">
              <w:rPr>
                <w:rFonts w:ascii="Arial" w:hAnsi="Arial" w:cs="Arial"/>
                <w:bCs/>
                <w:lang w:val="es-ES"/>
              </w:rPr>
              <w:t>Inclusión de la variable de autorreconocimiento étnico en las diferentes operaciones estadísticas: encuestas y censos realizados por el DANE.</w:t>
            </w:r>
          </w:p>
        </w:tc>
      </w:tr>
    </w:tbl>
    <w:p w14:paraId="493027B6" w14:textId="07ECE074" w:rsidR="00F439A0" w:rsidRPr="005922D8" w:rsidRDefault="00F439A0" w:rsidP="00F439A0">
      <w:pPr>
        <w:jc w:val="both"/>
        <w:rPr>
          <w:rFonts w:ascii="Arial" w:hAnsi="Arial" w:cs="Arial"/>
          <w:bCs/>
          <w:lang w:val="es-ES"/>
        </w:rPr>
      </w:pPr>
    </w:p>
    <w:p w14:paraId="70813316" w14:textId="77777777" w:rsidR="00CE6693" w:rsidRPr="005922D8" w:rsidRDefault="00CE6693" w:rsidP="004038B8">
      <w:pPr>
        <w:jc w:val="both"/>
        <w:rPr>
          <w:rFonts w:ascii="Arial" w:hAnsi="Arial" w:cs="Arial"/>
          <w:bCs/>
          <w:lang w:val="es-ES"/>
        </w:rPr>
      </w:pPr>
      <w:r w:rsidRPr="005922D8">
        <w:rPr>
          <w:rFonts w:ascii="Arial" w:hAnsi="Arial" w:cs="Arial"/>
          <w:bCs/>
          <w:lang w:val="es-ES"/>
        </w:rPr>
        <w:t>El DANE tiene como objetivos garantizar la producción, disponibilidad y calidad de la información estadística estratégica, y dirigir, planear, ejecutar, coordinar, regular y evaluar la producción y difusión de información oficial básica. Lo anterior, en virtud de lo establecido por el Decreto 1170 de 2015, “</w:t>
      </w:r>
      <w:r w:rsidRPr="005922D8">
        <w:rPr>
          <w:rFonts w:ascii="Arial" w:hAnsi="Arial" w:cs="Arial"/>
          <w:bCs/>
          <w:i/>
          <w:lang w:val="es-ES"/>
        </w:rPr>
        <w:t>Por medio del cual se expide el Decreto Reglamentario Único del Sector Administrativo de Información Estadística</w:t>
      </w:r>
      <w:r w:rsidRPr="005922D8">
        <w:rPr>
          <w:rFonts w:ascii="Arial" w:hAnsi="Arial" w:cs="Arial"/>
          <w:bCs/>
          <w:lang w:val="es-ES"/>
        </w:rPr>
        <w:t>” y demás normatividad que lo rige. En consecuencia, este Departamento está comprometido con la entrega de información con pertinencia y calidad para la toma de decisiones, por lo tanto, la pregunta de autorreconocimiento étnico consultada y concertada con los grupos étnicos, se incluye no solo en los censos, sino también en las encuestas realizadas por el DANE:</w:t>
      </w:r>
    </w:p>
    <w:p w14:paraId="1D6ED8CC"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Censo Nacional de Población y Vivienda 1993</w:t>
      </w:r>
    </w:p>
    <w:p w14:paraId="407FC9A6"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Censo General 2005</w:t>
      </w:r>
    </w:p>
    <w:p w14:paraId="0167C059"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Censo Habitantes de Calle 2021</w:t>
      </w:r>
    </w:p>
    <w:p w14:paraId="044ABE0C"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Censo Nacional Agropecuario 2014</w:t>
      </w:r>
    </w:p>
    <w:p w14:paraId="4269902D"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Censo Nacional de Población y Vivienda 2018</w:t>
      </w:r>
    </w:p>
    <w:p w14:paraId="66CCEE10"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Censo Económico de Colombia 2023</w:t>
      </w:r>
    </w:p>
    <w:p w14:paraId="5ED5C2FD"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Encuesta de Calidad de Vida (ECV): 2003; 2010 – 2021</w:t>
      </w:r>
    </w:p>
    <w:p w14:paraId="49A64252"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Encuesta de Consumo Cultural (ECC) 2020</w:t>
      </w:r>
    </w:p>
    <w:p w14:paraId="0A4B1889"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Encuesta de Convivencia y Seguridad Ciudadana (ECSC) 2020</w:t>
      </w:r>
    </w:p>
    <w:p w14:paraId="7DF903F3"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Encuesta de Cultura Política (ECP) 2019 - 2021</w:t>
      </w:r>
    </w:p>
    <w:p w14:paraId="55198CB8"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Encuesta de hábitat y usos socioeconómicos (ENHAB) Archipiélago de San Andrés, Providencia y Santa Catalina 2020</w:t>
      </w:r>
    </w:p>
    <w:p w14:paraId="50384A08"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Encuesta longitudinal de Colombia (ELCO) 2019</w:t>
      </w:r>
    </w:p>
    <w:p w14:paraId="1A7CF0EC"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Encuesta Multipropósito (EM): 2011; 2014; 2017</w:t>
      </w:r>
    </w:p>
    <w:p w14:paraId="4633434F"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Encuesta Nacional de Ingresos y Gastos (ENIG): 2006-2007</w:t>
      </w:r>
    </w:p>
    <w:p w14:paraId="37AA02AB"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Encuesta Nacional de Presupuestos de los Hogares (ENPH) 2016-2017</w:t>
      </w:r>
    </w:p>
    <w:p w14:paraId="10353337"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Encuesta Nacional de Uso del Tiempo (ENUT) 2012 – 2013; 2016 – 2017</w:t>
      </w:r>
    </w:p>
    <w:p w14:paraId="63FA7755"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Encuesta Pulso de la Migración (EPM) 2021 - 2022</w:t>
      </w:r>
    </w:p>
    <w:p w14:paraId="1AC0D41E"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Gran Encuesta Integrada de Hogares (GEIH) 2014 – 2021</w:t>
      </w:r>
    </w:p>
    <w:p w14:paraId="72964D60" w14:textId="77777777" w:rsidR="00CE6693" w:rsidRPr="005922D8" w:rsidRDefault="00CE6693" w:rsidP="00CE6693">
      <w:pPr>
        <w:numPr>
          <w:ilvl w:val="0"/>
          <w:numId w:val="14"/>
        </w:numPr>
        <w:spacing w:after="0"/>
        <w:rPr>
          <w:rFonts w:ascii="Arial" w:hAnsi="Arial" w:cs="Arial"/>
          <w:bCs/>
          <w:lang w:val="es-ES"/>
        </w:rPr>
      </w:pPr>
      <w:r w:rsidRPr="005922D8">
        <w:rPr>
          <w:rFonts w:ascii="Arial" w:hAnsi="Arial" w:cs="Arial"/>
          <w:bCs/>
          <w:lang w:val="es-ES"/>
        </w:rPr>
        <w:t>Medidas de pobreza y desigualdad (fuentes GEIH y ECV) 2021- 2022</w:t>
      </w:r>
    </w:p>
    <w:p w14:paraId="0B234AD9" w14:textId="77777777" w:rsidR="00CE6693" w:rsidRPr="005922D8" w:rsidRDefault="00CE6693" w:rsidP="00CE6693">
      <w:pPr>
        <w:numPr>
          <w:ilvl w:val="0"/>
          <w:numId w:val="14"/>
        </w:numPr>
        <w:rPr>
          <w:rFonts w:ascii="Arial" w:hAnsi="Arial" w:cs="Arial"/>
          <w:bCs/>
          <w:lang w:val="es-ES"/>
        </w:rPr>
      </w:pPr>
      <w:r w:rsidRPr="005922D8">
        <w:rPr>
          <w:rFonts w:ascii="Arial" w:hAnsi="Arial" w:cs="Arial"/>
          <w:bCs/>
          <w:lang w:val="es-ES"/>
        </w:rPr>
        <w:t>Estadísticas Vitales 2008-2022</w:t>
      </w:r>
    </w:p>
    <w:p w14:paraId="6D627453" w14:textId="19817AC7" w:rsidR="00F439A0" w:rsidRPr="005922D8" w:rsidRDefault="00CE6693" w:rsidP="00CE6693">
      <w:pPr>
        <w:jc w:val="both"/>
        <w:rPr>
          <w:rFonts w:ascii="Arial" w:hAnsi="Arial" w:cs="Arial"/>
          <w:bCs/>
          <w:lang w:val="es-ES"/>
        </w:rPr>
      </w:pPr>
      <w:r w:rsidRPr="005922D8">
        <w:rPr>
          <w:rFonts w:ascii="Arial" w:hAnsi="Arial" w:cs="Arial"/>
          <w:bCs/>
          <w:lang w:val="es-ES"/>
        </w:rPr>
        <w:t xml:space="preserve">Se cuenta con los coeficientes de variación y los intervalos de confianza para preguntas de la GEIH para grupos étnicos. Se incorporaron resultados con desagregación étnica en la publicación regular. Puede consultarse en el siguiente enlace: </w:t>
      </w:r>
      <w:hyperlink r:id="rId38" w:history="1">
        <w:r w:rsidRPr="005922D8">
          <w:rPr>
            <w:rStyle w:val="Hipervnculo"/>
            <w:rFonts w:ascii="Arial" w:hAnsi="Arial" w:cs="Arial"/>
            <w:bCs/>
            <w:lang w:val="es-ES"/>
          </w:rPr>
          <w:t>https://www.dane.gov.co/index.php/estadisticas-por-tema/mercado-laboral/empleo-y-desempleo</w:t>
        </w:r>
      </w:hyperlink>
      <w:r w:rsidRPr="005922D8">
        <w:rPr>
          <w:rFonts w:ascii="Arial" w:hAnsi="Arial" w:cs="Arial"/>
          <w:bCs/>
          <w:lang w:val="es-ES"/>
        </w:rPr>
        <w:t xml:space="preserve"> </w:t>
      </w:r>
    </w:p>
    <w:p w14:paraId="7059B58A" w14:textId="6E65C31B" w:rsidR="00CE6693" w:rsidRPr="005922D8" w:rsidRDefault="00CE6693" w:rsidP="00CE6693">
      <w:pPr>
        <w:jc w:val="both"/>
        <w:rPr>
          <w:rFonts w:ascii="Arial" w:hAnsi="Arial" w:cs="Arial"/>
          <w:bCs/>
          <w:lang w:val="es-ES"/>
        </w:rPr>
      </w:pPr>
      <w:r w:rsidRPr="005922D8">
        <w:rPr>
          <w:rFonts w:ascii="Arial" w:hAnsi="Arial" w:cs="Arial"/>
          <w:bCs/>
          <w:lang w:val="es-ES"/>
        </w:rPr>
        <w:lastRenderedPageBreak/>
        <w:t>Y se elaboró el anexo estadístico y un borrador de boletín según autorreconocimiento étnico con los principales indicadores de mercado laboral. Estos documentos brindan información de los principales temas referentes al mercado laboral con diferenciación étnica.</w:t>
      </w:r>
    </w:p>
    <w:tbl>
      <w:tblPr>
        <w:tblStyle w:val="Tablaconcuadrcula"/>
        <w:tblW w:w="0" w:type="auto"/>
        <w:tblLook w:val="04A0" w:firstRow="1" w:lastRow="0" w:firstColumn="1" w:lastColumn="0" w:noHBand="0" w:noVBand="1"/>
      </w:tblPr>
      <w:tblGrid>
        <w:gridCol w:w="8828"/>
      </w:tblGrid>
      <w:tr w:rsidR="00CE6693" w:rsidRPr="005922D8" w14:paraId="21EB7F8B" w14:textId="77777777" w:rsidTr="00CE6693">
        <w:tc>
          <w:tcPr>
            <w:tcW w:w="8828" w:type="dxa"/>
            <w:shd w:val="clear" w:color="auto" w:fill="E7E6E6" w:themeFill="background2"/>
          </w:tcPr>
          <w:p w14:paraId="515E18D5" w14:textId="0A74A7F5" w:rsidR="00CE6693" w:rsidRPr="005922D8" w:rsidRDefault="00CE6693" w:rsidP="00CE6693">
            <w:pPr>
              <w:jc w:val="both"/>
              <w:rPr>
                <w:rFonts w:ascii="Arial" w:hAnsi="Arial" w:cs="Arial"/>
                <w:bCs/>
                <w:lang w:val="es-ES"/>
              </w:rPr>
            </w:pPr>
            <w:r w:rsidRPr="005922D8">
              <w:rPr>
                <w:rFonts w:ascii="Arial" w:hAnsi="Arial" w:cs="Arial"/>
                <w:b/>
                <w:bCs/>
                <w:lang w:val="es-ES"/>
              </w:rPr>
              <w:t xml:space="preserve">Acción: </w:t>
            </w:r>
            <w:r w:rsidRPr="005922D8">
              <w:rPr>
                <w:rFonts w:ascii="Arial" w:hAnsi="Arial" w:cs="Arial"/>
                <w:bCs/>
                <w:lang w:val="es-ES"/>
              </w:rPr>
              <w:t>Desarrollo de diferentes herramientas que facilitan la consulta de los datos a la población y líderes de los grupos étnicos, a investigadores, instituciones de gobierno y organizaciones no gubernamentales.</w:t>
            </w:r>
          </w:p>
        </w:tc>
      </w:tr>
    </w:tbl>
    <w:p w14:paraId="50FACCC2" w14:textId="77777777" w:rsidR="00CE6693" w:rsidRPr="005922D8" w:rsidRDefault="00CE6693" w:rsidP="00CE6693">
      <w:pPr>
        <w:jc w:val="both"/>
        <w:rPr>
          <w:rFonts w:ascii="Arial" w:hAnsi="Arial" w:cs="Arial"/>
          <w:bCs/>
          <w:lang w:val="es-ES"/>
        </w:rPr>
      </w:pPr>
    </w:p>
    <w:p w14:paraId="211B99C3" w14:textId="77777777" w:rsidR="00CE6693" w:rsidRPr="005922D8" w:rsidRDefault="00CE6693" w:rsidP="00CE6693">
      <w:pPr>
        <w:jc w:val="both"/>
        <w:rPr>
          <w:rFonts w:ascii="Arial" w:hAnsi="Arial" w:cs="Arial"/>
          <w:lang w:val="es-ES"/>
        </w:rPr>
      </w:pPr>
      <w:r w:rsidRPr="005922D8">
        <w:rPr>
          <w:rFonts w:ascii="Arial" w:hAnsi="Arial" w:cs="Arial"/>
          <w:lang w:val="es-ES"/>
        </w:rPr>
        <w:t>En el marco del trabajo realizado a favor de la visibilización estadística de los grupos étnicos y del siguiente compromiso definido en el proceso de consulta previa:</w:t>
      </w:r>
    </w:p>
    <w:p w14:paraId="3BB0676C" w14:textId="77777777" w:rsidR="00CE6693" w:rsidRPr="005922D8" w:rsidRDefault="00CE6693" w:rsidP="004038B8">
      <w:pPr>
        <w:ind w:left="708"/>
        <w:jc w:val="both"/>
        <w:rPr>
          <w:rFonts w:ascii="Arial" w:hAnsi="Arial" w:cs="Arial"/>
          <w:b/>
          <w:bCs/>
          <w:i/>
          <w:iCs/>
          <w:lang w:val="es-ES"/>
        </w:rPr>
      </w:pPr>
      <w:r w:rsidRPr="005922D8">
        <w:rPr>
          <w:rFonts w:ascii="Arial" w:hAnsi="Arial" w:cs="Arial"/>
          <w:b/>
          <w:bCs/>
          <w:i/>
          <w:iCs/>
          <w:lang w:val="es-ES"/>
        </w:rPr>
        <w:t>“Difundir los resultados en página web: el DANE cuenta con un micrositio para los grupos étnicos, en el cual pondrá a disposición de las comunidades negras, afrocolombianas, raizales y palenqueras, y demás interesados, la información estadística recopilada en el Censo Nacional de Población y Vivienda 2018, de dichas comunidades y la evolución de las estadísticas de los censos de los años 1993, 2005 y 2018.”.</w:t>
      </w:r>
    </w:p>
    <w:p w14:paraId="33D76D19" w14:textId="77777777" w:rsidR="00CE6693" w:rsidRPr="005922D8" w:rsidRDefault="00CE6693" w:rsidP="00CE6693">
      <w:pPr>
        <w:jc w:val="both"/>
        <w:rPr>
          <w:rFonts w:ascii="Arial" w:hAnsi="Arial" w:cs="Arial"/>
          <w:lang w:val="es-ES"/>
        </w:rPr>
      </w:pPr>
      <w:r w:rsidRPr="005922D8">
        <w:rPr>
          <w:rFonts w:ascii="Arial" w:hAnsi="Arial" w:cs="Arial"/>
          <w:lang w:val="es-ES"/>
        </w:rPr>
        <w:t>El DANE ha desarrollado herramientas que permiten consultar en forma amigable información estadística de los grupos étnicos del país. Los productos mencionados a continuación están publicados en la página oficial del DANE para su consulta:</w:t>
      </w:r>
    </w:p>
    <w:p w14:paraId="759F27DB" w14:textId="77777777" w:rsidR="00CE6693" w:rsidRPr="005922D8" w:rsidRDefault="00CE6693" w:rsidP="00CE6693">
      <w:pPr>
        <w:jc w:val="both"/>
        <w:rPr>
          <w:rFonts w:ascii="Arial" w:hAnsi="Arial" w:cs="Arial"/>
          <w:lang w:val="es-ES"/>
        </w:rPr>
      </w:pPr>
      <w:r w:rsidRPr="005922D8">
        <w:rPr>
          <w:rFonts w:ascii="Arial" w:hAnsi="Arial" w:cs="Arial"/>
          <w:b/>
          <w:lang w:val="es-ES"/>
        </w:rPr>
        <w:t>Micrositio para la población negra, afrocolombiana, raizal y palenquera</w:t>
      </w:r>
      <w:r w:rsidRPr="005922D8">
        <w:rPr>
          <w:rFonts w:ascii="Arial" w:hAnsi="Arial" w:cs="Arial"/>
          <w:lang w:val="es-ES"/>
        </w:rPr>
        <w:t>, en el cual se puede consultar la siguiente información: presentación de resultados del CNPV 2018, presentación debates de control político Cámara de Representantes y presentación para la conferencia regional sobre población y desarrollo. Los efectos del COVID -19, una oportunidad para reafirmar la realización de los derechos humanos de las poblaciones afrodescendientes en el desarrollo sostenible. Igualmente, se encuentra la publicación del comunicado de prensa para el debate de control político, Comisión I de la Cámara de Representantes.</w:t>
      </w:r>
    </w:p>
    <w:p w14:paraId="3B0E5128" w14:textId="77777777" w:rsidR="00CE6693" w:rsidRPr="005922D8" w:rsidRDefault="00000000" w:rsidP="00CE6693">
      <w:pPr>
        <w:jc w:val="both"/>
        <w:rPr>
          <w:rFonts w:ascii="Arial" w:hAnsi="Arial" w:cs="Arial"/>
          <w:lang w:val="es-ES"/>
        </w:rPr>
      </w:pPr>
      <w:hyperlink r:id="rId39">
        <w:r w:rsidR="00CE6693" w:rsidRPr="005922D8">
          <w:rPr>
            <w:rStyle w:val="Hipervnculo"/>
            <w:rFonts w:ascii="Arial" w:hAnsi="Arial" w:cs="Arial"/>
            <w:lang w:val="es-ES"/>
          </w:rPr>
          <w:t>https://www.dane.gov.co/index.php/estadisticas-por-tema/demografia-y-poblacion/grupos-</w:t>
        </w:r>
      </w:hyperlink>
      <w:r w:rsidR="00CE6693" w:rsidRPr="005922D8">
        <w:rPr>
          <w:rFonts w:ascii="Arial" w:hAnsi="Arial" w:cs="Arial"/>
          <w:lang w:val="es-ES"/>
        </w:rPr>
        <w:t xml:space="preserve"> </w:t>
      </w:r>
      <w:hyperlink r:id="rId40">
        <w:r w:rsidR="00CE6693" w:rsidRPr="005922D8">
          <w:rPr>
            <w:rStyle w:val="Hipervnculo"/>
            <w:rFonts w:ascii="Arial" w:hAnsi="Arial" w:cs="Arial"/>
            <w:lang w:val="es-ES"/>
          </w:rPr>
          <w:t>etnicos/informacion-tecnica.</w:t>
        </w:r>
      </w:hyperlink>
    </w:p>
    <w:p w14:paraId="1A19F5B0" w14:textId="77777777" w:rsidR="00CE6693" w:rsidRPr="005922D8" w:rsidRDefault="00CE6693" w:rsidP="00CE6693">
      <w:pPr>
        <w:jc w:val="both"/>
        <w:rPr>
          <w:rFonts w:ascii="Arial" w:hAnsi="Arial" w:cs="Arial"/>
          <w:lang w:val="es-ES"/>
        </w:rPr>
      </w:pPr>
      <w:r w:rsidRPr="005922D8">
        <w:rPr>
          <w:rFonts w:ascii="Arial" w:hAnsi="Arial" w:cs="Arial"/>
          <w:b/>
          <w:lang w:val="es-ES"/>
        </w:rPr>
        <w:t>Visor de población Negra, afrocolombiana, raizal y palenquera, por departamentos</w:t>
      </w:r>
      <w:r w:rsidRPr="005922D8">
        <w:rPr>
          <w:rFonts w:ascii="Arial" w:hAnsi="Arial" w:cs="Arial"/>
          <w:lang w:val="es-ES"/>
        </w:rPr>
        <w:t>: permite explorar características de la población Negra, Afrocolombiana, Raizal y Palenquera total censada, así como su desagregación: (1) sexo y grupos de edad, (2) municipio, (3) clase y territorialidad étnica, (4) nivel educativo,</w:t>
      </w:r>
    </w:p>
    <w:p w14:paraId="70F32E7C" w14:textId="77777777" w:rsidR="00CE6693" w:rsidRPr="005922D8" w:rsidRDefault="00CE6693" w:rsidP="00CE6693">
      <w:pPr>
        <w:jc w:val="both"/>
        <w:rPr>
          <w:rFonts w:ascii="Arial" w:hAnsi="Arial" w:cs="Arial"/>
          <w:lang w:val="es-ES"/>
        </w:rPr>
      </w:pPr>
      <w:r w:rsidRPr="005922D8">
        <w:rPr>
          <w:rFonts w:ascii="Arial" w:hAnsi="Arial" w:cs="Arial"/>
          <w:lang w:val="es-ES"/>
        </w:rPr>
        <w:t>(5) asistencia educativa, (6) alfabetismo, (7) funcionamiento humano, (8) ocupación, (9) características de la vivienda, (10) características del hogar y (11) Necesidades Básicas Insatisfechas y Medida de Pobreza Multidimensional de fuente censal. Está disponible a través del siguiente vínculo:</w:t>
      </w:r>
    </w:p>
    <w:p w14:paraId="2F8FC834" w14:textId="77777777" w:rsidR="00CE6693" w:rsidRPr="005922D8" w:rsidRDefault="00000000" w:rsidP="00CE6693">
      <w:pPr>
        <w:jc w:val="both"/>
        <w:rPr>
          <w:rFonts w:ascii="Arial" w:hAnsi="Arial" w:cs="Arial"/>
          <w:b/>
          <w:lang w:val="es-ES"/>
        </w:rPr>
      </w:pPr>
      <w:hyperlink r:id="rId41">
        <w:r w:rsidR="00CE6693" w:rsidRPr="005922D8">
          <w:rPr>
            <w:rStyle w:val="Hipervnculo"/>
            <w:rFonts w:ascii="Arial" w:hAnsi="Arial" w:cs="Arial"/>
            <w:lang w:val="es-ES"/>
          </w:rPr>
          <w:t>VIsor_NARP_Departamento.xlsx (live.com)</w:t>
        </w:r>
      </w:hyperlink>
      <w:r w:rsidR="00CE6693" w:rsidRPr="005922D8">
        <w:rPr>
          <w:rFonts w:ascii="Arial" w:hAnsi="Arial" w:cs="Arial"/>
          <w:b/>
          <w:lang w:val="es-ES"/>
        </w:rPr>
        <w:t>.</w:t>
      </w:r>
    </w:p>
    <w:p w14:paraId="3570376E" w14:textId="77777777" w:rsidR="00CE6693" w:rsidRPr="005922D8" w:rsidRDefault="00CE6693" w:rsidP="00CE6693">
      <w:pPr>
        <w:jc w:val="both"/>
        <w:rPr>
          <w:rFonts w:ascii="Arial" w:hAnsi="Arial" w:cs="Arial"/>
          <w:lang w:val="es-ES"/>
        </w:rPr>
      </w:pPr>
      <w:r w:rsidRPr="005922D8">
        <w:rPr>
          <w:rFonts w:ascii="Arial" w:hAnsi="Arial" w:cs="Arial"/>
          <w:b/>
          <w:lang w:val="es-ES"/>
        </w:rPr>
        <w:t>Visor de información de Territorios Colectivos de Comunidades Negras – TCCN</w:t>
      </w:r>
      <w:r w:rsidRPr="005922D8">
        <w:rPr>
          <w:rFonts w:ascii="Arial" w:hAnsi="Arial" w:cs="Arial"/>
          <w:lang w:val="es-ES"/>
        </w:rPr>
        <w:t xml:space="preserve">: permite explorar la información de la población Negra, Afrocolombiana, Raizal y Palenquera por Territorios Colectivos de comunidades Negras - TCCN y por municipios obtenida a partir del Censo Nacional de Población y Vivienda 2018. Esta información se dispone en un visor </w:t>
      </w:r>
      <w:r w:rsidRPr="005922D8">
        <w:rPr>
          <w:rFonts w:ascii="Arial" w:hAnsi="Arial" w:cs="Arial"/>
          <w:lang w:val="es-ES"/>
        </w:rPr>
        <w:lastRenderedPageBreak/>
        <w:t xml:space="preserve">de datos que permite su exploración y consulta por estas áreas, así como su visualización por: (1) ubicación geográfica en el territorio nacional (cabeceras municipales, rural disperso y centros poblados), (2) sexo, (3) grupos de edad, (4) nivel educativo, (5) asistencia escolar, (6) alfabetismo, (7) funcionamiento humano y (8) cobertura de servicios públicos. Disponible en el siguiente enlace: </w:t>
      </w:r>
      <w:hyperlink r:id="rId42">
        <w:r w:rsidRPr="005922D8">
          <w:rPr>
            <w:rStyle w:val="Hipervnculo"/>
            <w:rFonts w:ascii="Arial" w:hAnsi="Arial" w:cs="Arial"/>
            <w:lang w:val="es-ES"/>
          </w:rPr>
          <w:t>Visor-TCCN.xlsx (live.com).</w:t>
        </w:r>
      </w:hyperlink>
    </w:p>
    <w:p w14:paraId="3D359A89" w14:textId="77777777" w:rsidR="00CE6693" w:rsidRPr="005922D8" w:rsidRDefault="00CE6693" w:rsidP="00CE6693">
      <w:pPr>
        <w:jc w:val="both"/>
        <w:rPr>
          <w:rFonts w:ascii="Arial" w:hAnsi="Arial" w:cs="Arial"/>
          <w:lang w:val="es-ES"/>
        </w:rPr>
      </w:pPr>
      <w:r w:rsidRPr="005922D8">
        <w:rPr>
          <w:rFonts w:ascii="Arial" w:hAnsi="Arial" w:cs="Arial"/>
          <w:b/>
          <w:lang w:val="es-ES"/>
        </w:rPr>
        <w:t xml:space="preserve">Geovisor de Autorreconocimiento Étnico: </w:t>
      </w:r>
      <w:r w:rsidRPr="005922D8">
        <w:rPr>
          <w:rFonts w:ascii="Arial" w:hAnsi="Arial" w:cs="Arial"/>
          <w:lang w:val="es-ES"/>
        </w:rPr>
        <w:t xml:space="preserve">herramienta que permite consultar variables sociales y demográficas de la población censada que se autorreconoce en un grupo étnico, de acuerdo con los resultados del Censo Nacional de Población y Vivienda CNPV2018, a nivel de departamento y municipio. Este geovisor se puede consultar a través del siguiente enlace: </w:t>
      </w:r>
      <w:hyperlink r:id="rId43">
        <w:r w:rsidRPr="005922D8">
          <w:rPr>
            <w:rStyle w:val="Hipervnculo"/>
            <w:rFonts w:ascii="Arial" w:hAnsi="Arial" w:cs="Arial"/>
            <w:lang w:val="es-ES"/>
          </w:rPr>
          <w:t>Geoportal del DANE - Geovisor de</w:t>
        </w:r>
      </w:hyperlink>
      <w:r w:rsidRPr="005922D8">
        <w:rPr>
          <w:rFonts w:ascii="Arial" w:hAnsi="Arial" w:cs="Arial"/>
          <w:lang w:val="es-ES"/>
        </w:rPr>
        <w:t xml:space="preserve"> </w:t>
      </w:r>
      <w:hyperlink r:id="rId44">
        <w:r w:rsidRPr="005922D8">
          <w:rPr>
            <w:rStyle w:val="Hipervnculo"/>
            <w:rFonts w:ascii="Arial" w:hAnsi="Arial" w:cs="Arial"/>
            <w:lang w:val="es-ES"/>
          </w:rPr>
          <w:t>Autorreconocimiento Étnico</w:t>
        </w:r>
      </w:hyperlink>
      <w:r w:rsidRPr="005922D8">
        <w:rPr>
          <w:rFonts w:ascii="Arial" w:hAnsi="Arial" w:cs="Arial"/>
          <w:lang w:val="es-ES"/>
        </w:rPr>
        <w:t>.</w:t>
      </w:r>
    </w:p>
    <w:p w14:paraId="733E7029" w14:textId="77777777" w:rsidR="00CE6693" w:rsidRPr="005922D8" w:rsidRDefault="00CE6693" w:rsidP="00CE6693">
      <w:pPr>
        <w:jc w:val="both"/>
        <w:rPr>
          <w:rFonts w:ascii="Arial" w:hAnsi="Arial" w:cs="Arial"/>
          <w:lang w:val="es-ES"/>
        </w:rPr>
      </w:pPr>
      <w:r w:rsidRPr="005922D8">
        <w:rPr>
          <w:rFonts w:ascii="Arial" w:hAnsi="Arial" w:cs="Arial"/>
          <w:lang w:val="es-ES"/>
        </w:rPr>
        <w:t>I</w:t>
      </w:r>
      <w:r w:rsidRPr="005922D8">
        <w:rPr>
          <w:rFonts w:ascii="Arial" w:hAnsi="Arial" w:cs="Arial"/>
          <w:b/>
          <w:lang w:val="es-ES"/>
        </w:rPr>
        <w:t>ndicador de Necesidades Básicas Insatisfechas según autorreconocimiento étnico</w:t>
      </w:r>
      <w:r w:rsidRPr="005922D8">
        <w:rPr>
          <w:rFonts w:ascii="Arial" w:hAnsi="Arial" w:cs="Arial"/>
          <w:lang w:val="es-ES"/>
        </w:rPr>
        <w:t xml:space="preserve">: archivo en formato Excel en el que se puede consultar la población en Necesidades Básicas Insatisfechas – NBI por categorías, según autorreconocimiento étnico a nivel total nacional, departamental y municipal. Este archivo está disponible para su descarga a través del siguiente vínculo: </w:t>
      </w:r>
      <w:hyperlink r:id="rId45">
        <w:r w:rsidRPr="005922D8">
          <w:rPr>
            <w:rStyle w:val="Hipervnculo"/>
            <w:rFonts w:ascii="Arial" w:hAnsi="Arial" w:cs="Arial"/>
            <w:lang w:val="es-ES"/>
          </w:rPr>
          <w:t>CNPV-2018-NBI-AUTORRECONOCIMIENTO-</w:t>
        </w:r>
      </w:hyperlink>
      <w:r w:rsidRPr="005922D8">
        <w:rPr>
          <w:rFonts w:ascii="Arial" w:hAnsi="Arial" w:cs="Arial"/>
          <w:lang w:val="es-ES"/>
        </w:rPr>
        <w:t xml:space="preserve"> </w:t>
      </w:r>
      <w:hyperlink r:id="rId46">
        <w:r w:rsidRPr="005922D8">
          <w:rPr>
            <w:rStyle w:val="Hipervnculo"/>
            <w:rFonts w:ascii="Arial" w:hAnsi="Arial" w:cs="Arial"/>
            <w:lang w:val="es-ES"/>
          </w:rPr>
          <w:t>ETNICO.xlsx (live.com).</w:t>
        </w:r>
      </w:hyperlink>
    </w:p>
    <w:p w14:paraId="698CFC0B" w14:textId="77777777" w:rsidR="00CE6693" w:rsidRPr="005922D8" w:rsidRDefault="00CE6693" w:rsidP="00CE6693">
      <w:pPr>
        <w:jc w:val="both"/>
        <w:rPr>
          <w:rFonts w:ascii="Arial" w:hAnsi="Arial" w:cs="Arial"/>
          <w:lang w:val="es-ES"/>
        </w:rPr>
      </w:pPr>
      <w:r w:rsidRPr="005922D8">
        <w:rPr>
          <w:rFonts w:ascii="Arial" w:hAnsi="Arial" w:cs="Arial"/>
          <w:b/>
          <w:lang w:val="es-ES"/>
        </w:rPr>
        <w:t>Microdatos Anonimizados</w:t>
      </w:r>
      <w:r w:rsidRPr="005922D8">
        <w:rPr>
          <w:rFonts w:ascii="Arial" w:hAnsi="Arial" w:cs="Arial"/>
          <w:lang w:val="es-ES"/>
        </w:rPr>
        <w:t xml:space="preserve">: resultados del CNPV 2018 debidamente anonimizados y disponibles en el Archivo Nacional de Datos – ANDA de la página web del DANE, en el siguiente enlace: </w:t>
      </w:r>
      <w:hyperlink r:id="rId47">
        <w:r w:rsidRPr="005922D8">
          <w:rPr>
            <w:rStyle w:val="Hipervnculo"/>
            <w:rFonts w:ascii="Arial" w:hAnsi="Arial" w:cs="Arial"/>
            <w:lang w:val="es-ES"/>
          </w:rPr>
          <w:t>COLOMBIA - Censo</w:t>
        </w:r>
      </w:hyperlink>
      <w:r w:rsidRPr="005922D8">
        <w:rPr>
          <w:rFonts w:ascii="Arial" w:hAnsi="Arial" w:cs="Arial"/>
          <w:lang w:val="es-ES"/>
        </w:rPr>
        <w:t xml:space="preserve"> </w:t>
      </w:r>
      <w:hyperlink r:id="rId48">
        <w:r w:rsidRPr="005922D8">
          <w:rPr>
            <w:rStyle w:val="Hipervnculo"/>
            <w:rFonts w:ascii="Arial" w:hAnsi="Arial" w:cs="Arial"/>
            <w:lang w:val="es-ES"/>
          </w:rPr>
          <w:t>Nacional de Población y Vivienda - CNPV - 2018 - Información general (dane.gov.co).</w:t>
        </w:r>
      </w:hyperlink>
    </w:p>
    <w:p w14:paraId="10B27AC9" w14:textId="2B36CB15" w:rsidR="00CE6693" w:rsidRPr="005922D8" w:rsidRDefault="00CE6693" w:rsidP="00CE6693">
      <w:pPr>
        <w:jc w:val="both"/>
        <w:rPr>
          <w:rFonts w:ascii="Arial" w:hAnsi="Arial" w:cs="Arial"/>
          <w:lang w:val="es-ES"/>
        </w:rPr>
      </w:pPr>
      <w:r w:rsidRPr="005922D8">
        <w:rPr>
          <w:rFonts w:ascii="Arial" w:hAnsi="Arial" w:cs="Arial"/>
          <w:b/>
          <w:lang w:val="es-ES"/>
        </w:rPr>
        <w:t>Sistema de consulta REDATAM</w:t>
      </w:r>
      <w:r w:rsidRPr="005922D8">
        <w:rPr>
          <w:rFonts w:ascii="Arial" w:hAnsi="Arial" w:cs="Arial"/>
          <w:lang w:val="es-ES"/>
        </w:rPr>
        <w:t xml:space="preserve">: aplicativo que permite generar consultas, cruces y descarga de la información a nivel nacional, departamental, municipal, sector - sección rural, sector-sección urbana y manzana, para viviendas, hogares y personas, de acuerdo con la necesidad de los usuarios, el cual está disponible en el siguiente enlace: </w:t>
      </w:r>
      <w:hyperlink r:id="rId49">
        <w:r w:rsidR="000F6005" w:rsidRPr="005922D8">
          <w:rPr>
            <w:rStyle w:val="Hipervnculo"/>
            <w:rFonts w:ascii="Arial" w:hAnsi="Arial" w:cs="Arial"/>
            <w:lang w:val="es-ES"/>
          </w:rPr>
          <w:t>DANE: Redatam</w:t>
        </w:r>
        <w:r w:rsidRPr="005922D8">
          <w:rPr>
            <w:rStyle w:val="Hipervnculo"/>
            <w:rFonts w:ascii="Arial" w:hAnsi="Arial" w:cs="Arial"/>
            <w:lang w:val="es-ES"/>
          </w:rPr>
          <w:t xml:space="preserve"> Webserver | Procesamiento y Difusión de Microdatos.</w:t>
        </w:r>
      </w:hyperlink>
    </w:p>
    <w:p w14:paraId="3ECB22BE" w14:textId="77777777" w:rsidR="00CE6693" w:rsidRPr="005922D8" w:rsidRDefault="00CE6693" w:rsidP="00CE6693">
      <w:pPr>
        <w:jc w:val="both"/>
        <w:rPr>
          <w:rFonts w:ascii="Arial" w:hAnsi="Arial" w:cs="Arial"/>
          <w:lang w:val="es-ES"/>
        </w:rPr>
      </w:pPr>
      <w:r w:rsidRPr="005922D8">
        <w:rPr>
          <w:rFonts w:ascii="Arial" w:hAnsi="Arial" w:cs="Arial"/>
          <w:b/>
          <w:lang w:val="es-ES"/>
        </w:rPr>
        <w:t>Cartilla con los resultados del Censo Nacional de Población y Vivienda 2018 para comunidades negras, afrocolombianas, raizales y palenqueras</w:t>
      </w:r>
      <w:r w:rsidRPr="005922D8">
        <w:rPr>
          <w:rFonts w:ascii="Arial" w:hAnsi="Arial" w:cs="Arial"/>
          <w:lang w:val="es-ES"/>
        </w:rPr>
        <w:t xml:space="preserve">: documento elaborado en el marco de los compromisos poscensales del proceso de consulta y concertación del CNPV 2018, de manera conjunta entre el DANE y los delegados de la Comisión VII del Espacio Nacional de Consulta Previa de Medidas Legislativas y Administrativas, de carácter general, susceptibles de afectar directamente a estas comunidades. Su finalidad es que las Comunidades Negras, Afrocolombianas, Raizales y Palenqueras, conozcan los resultados del Censo Nacional de Población y Vivienda 2018, para acceder de manera directa a la información estadística sobre los datos poblacionales y de vivienda, a nivel nacional, departamental, municipal y de Territorios Colectivos de sus comunidades. Este archivo está disponible en el siguiente vínculo: </w:t>
      </w:r>
      <w:hyperlink r:id="rId50">
        <w:r w:rsidRPr="005922D8">
          <w:rPr>
            <w:rStyle w:val="Hipervnculo"/>
            <w:rFonts w:ascii="Arial" w:hAnsi="Arial" w:cs="Arial"/>
            <w:lang w:val="es-ES"/>
          </w:rPr>
          <w:t>Autorreconocimiento</w:t>
        </w:r>
      </w:hyperlink>
      <w:r w:rsidRPr="005922D8">
        <w:rPr>
          <w:rFonts w:ascii="Arial" w:hAnsi="Arial" w:cs="Arial"/>
          <w:lang w:val="es-ES"/>
        </w:rPr>
        <w:t xml:space="preserve"> </w:t>
      </w:r>
      <w:hyperlink r:id="rId51">
        <w:r w:rsidRPr="005922D8">
          <w:rPr>
            <w:rStyle w:val="Hipervnculo"/>
            <w:rFonts w:ascii="Arial" w:hAnsi="Arial" w:cs="Arial"/>
            <w:lang w:val="es-ES"/>
          </w:rPr>
          <w:t>étnico (dane.gov.co).</w:t>
        </w:r>
      </w:hyperlink>
    </w:p>
    <w:tbl>
      <w:tblPr>
        <w:tblStyle w:val="Tablaconcuadrcula"/>
        <w:tblW w:w="0" w:type="auto"/>
        <w:tblLook w:val="04A0" w:firstRow="1" w:lastRow="0" w:firstColumn="1" w:lastColumn="0" w:noHBand="0" w:noVBand="1"/>
      </w:tblPr>
      <w:tblGrid>
        <w:gridCol w:w="8828"/>
      </w:tblGrid>
      <w:tr w:rsidR="00CE6693" w:rsidRPr="005922D8" w14:paraId="415FA9DB" w14:textId="77777777" w:rsidTr="00CE6693">
        <w:tc>
          <w:tcPr>
            <w:tcW w:w="8828" w:type="dxa"/>
            <w:shd w:val="clear" w:color="auto" w:fill="E7E6E6" w:themeFill="background2"/>
          </w:tcPr>
          <w:p w14:paraId="02639534" w14:textId="2831C8BF" w:rsidR="00CE6693" w:rsidRPr="005922D8" w:rsidRDefault="00CE6693" w:rsidP="00786657">
            <w:pPr>
              <w:jc w:val="both"/>
              <w:rPr>
                <w:rFonts w:ascii="Arial" w:hAnsi="Arial" w:cs="Arial"/>
                <w:lang w:val="es-ES"/>
              </w:rPr>
            </w:pPr>
            <w:r w:rsidRPr="005922D8">
              <w:rPr>
                <w:rFonts w:ascii="Arial" w:hAnsi="Arial" w:cs="Arial"/>
                <w:b/>
                <w:lang w:val="es-ES"/>
              </w:rPr>
              <w:t xml:space="preserve">Acción: </w:t>
            </w:r>
            <w:r w:rsidRPr="005922D8">
              <w:rPr>
                <w:rFonts w:ascii="Arial" w:hAnsi="Arial" w:cs="Arial"/>
                <w:lang w:val="es-ES"/>
              </w:rPr>
              <w:t>Fortalecimiento de la agenda integral étnica con el fin de continuar garantizando la visibilidad estadística de los grupos étnicos en el país.</w:t>
            </w:r>
          </w:p>
        </w:tc>
      </w:tr>
    </w:tbl>
    <w:p w14:paraId="0F6B5A7D" w14:textId="77777777" w:rsidR="00CE6693" w:rsidRPr="005922D8" w:rsidRDefault="00CE6693" w:rsidP="00CE6693">
      <w:pPr>
        <w:spacing w:before="240"/>
        <w:jc w:val="both"/>
        <w:rPr>
          <w:rFonts w:ascii="Arial" w:hAnsi="Arial" w:cs="Arial"/>
          <w:lang w:val="es-ES"/>
        </w:rPr>
      </w:pPr>
      <w:r w:rsidRPr="005922D8">
        <w:rPr>
          <w:rFonts w:ascii="Arial" w:hAnsi="Arial" w:cs="Arial"/>
          <w:lang w:val="es-ES"/>
        </w:rPr>
        <w:t>A partir de los lineamientos incluidos en la guía para la Inclusión del Enfoque Diferencial e Interseccional, específicamente para el caso del enfoque diferencial étnico, y del documento conceptual de la Agenda Integral Étnica, se ha venido consolidando un conjunto de actividades para avanzar hacia la caracterización de la población con autorreconocimiento étnico en el país, a través de múltiples fuentes, incluyendo todo tipo de operaciones estadísticas (OOEE) y registros administrativos (RRAA).</w:t>
      </w:r>
    </w:p>
    <w:p w14:paraId="115CBD81" w14:textId="77777777" w:rsidR="00CE6693" w:rsidRPr="005922D8" w:rsidRDefault="00CE6693" w:rsidP="004038B8">
      <w:pPr>
        <w:jc w:val="both"/>
        <w:rPr>
          <w:rFonts w:ascii="Arial" w:hAnsi="Arial" w:cs="Arial"/>
        </w:rPr>
      </w:pPr>
      <w:r w:rsidRPr="005922D8">
        <w:rPr>
          <w:rFonts w:ascii="Arial" w:hAnsi="Arial" w:cs="Arial"/>
          <w:lang w:val="es-ES"/>
        </w:rPr>
        <w:lastRenderedPageBreak/>
        <w:t xml:space="preserve">A través de esta agenda, se viene generando de manera permanente, información desagregada que dé cuenta de las realidades económicas, políticas, sociales, culturales, condiciones de vida de esta población, </w:t>
      </w:r>
      <w:r w:rsidRPr="005922D8">
        <w:rPr>
          <w:rFonts w:ascii="Arial" w:hAnsi="Arial" w:cs="Arial"/>
        </w:rPr>
        <w:t>entre otros aspectos relevantes. Gracias a este trabajo se espera aumentar la oferta de información estadística, tanto en volumen como en cobertura temática, para aportar con estadísticas de calidad a la solución de problemas como la discriminación histórica que han sufrido estas comunidades, visibilizar brechas e informar la construcción de acciones afirmativas y políticas públicas focalizadas para el pleno goce de sus derechos.</w:t>
      </w:r>
    </w:p>
    <w:p w14:paraId="56820308" w14:textId="2D23D4C8" w:rsidR="00CE6693" w:rsidRPr="005922D8" w:rsidRDefault="00CE6693" w:rsidP="00CE6693">
      <w:pPr>
        <w:jc w:val="both"/>
        <w:rPr>
          <w:rFonts w:ascii="Arial" w:hAnsi="Arial" w:cs="Arial"/>
          <w:lang w:val="es-ES"/>
        </w:rPr>
      </w:pPr>
      <w:r w:rsidRPr="005922D8">
        <w:rPr>
          <w:rFonts w:ascii="Arial" w:hAnsi="Arial" w:cs="Arial"/>
          <w:lang w:val="es-ES"/>
        </w:rPr>
        <w:t>Teniendo en cuenta lo anterior, a continuación, se relacionan las acciones que ha adelantado el DANE en el marco de su Agenda Integral Étnica</w:t>
      </w:r>
      <w:r w:rsidRPr="005922D8">
        <w:rPr>
          <w:rStyle w:val="Refdenotaalpie"/>
          <w:rFonts w:ascii="Arial" w:hAnsi="Arial" w:cs="Arial"/>
          <w:lang w:val="es-ES"/>
        </w:rPr>
        <w:footnoteReference w:id="19"/>
      </w:r>
      <w:r w:rsidRPr="005922D8">
        <w:rPr>
          <w:rFonts w:ascii="Arial" w:hAnsi="Arial" w:cs="Arial"/>
          <w:lang w:val="es-ES"/>
        </w:rPr>
        <w:t>:</w:t>
      </w:r>
    </w:p>
    <w:p w14:paraId="2AA1E4B3" w14:textId="77777777" w:rsidR="00CE6693" w:rsidRPr="005922D8" w:rsidRDefault="00CE6693" w:rsidP="00CE6693">
      <w:pPr>
        <w:jc w:val="both"/>
        <w:rPr>
          <w:rFonts w:ascii="Arial" w:hAnsi="Arial" w:cs="Arial"/>
          <w:lang w:val="es-ES"/>
        </w:rPr>
      </w:pPr>
      <w:r w:rsidRPr="005922D8">
        <w:rPr>
          <w:rFonts w:ascii="Arial" w:hAnsi="Arial" w:cs="Arial"/>
          <w:b/>
          <w:lang w:val="es-ES"/>
        </w:rPr>
        <w:t>Diagnóstico de las operaciones estadísticas (OOEE) del DANE desde el enfoque diferencial étnico</w:t>
      </w:r>
      <w:r w:rsidRPr="005922D8">
        <w:rPr>
          <w:rFonts w:ascii="Arial" w:hAnsi="Arial" w:cs="Arial"/>
          <w:b/>
          <w:i/>
          <w:lang w:val="es-ES"/>
        </w:rPr>
        <w:t xml:space="preserve">. </w:t>
      </w:r>
      <w:r w:rsidRPr="005922D8">
        <w:rPr>
          <w:rFonts w:ascii="Arial" w:hAnsi="Arial" w:cs="Arial"/>
          <w:lang w:val="es-ES"/>
        </w:rPr>
        <w:t>Con el fin de realizar un análisis de las operaciones estadísticas del DANE que actualmente incluyan variables de autorreconocimiento étnico, e identificar los retos y las posibilidades de estas para procesar y difundir indicadores con enfoque diferencial étnico, se trabaja en las siguientes acciones:</w:t>
      </w:r>
    </w:p>
    <w:p w14:paraId="1FCF6200" w14:textId="77777777" w:rsidR="00CE6693" w:rsidRPr="005922D8" w:rsidRDefault="00CE6693" w:rsidP="00CE6693">
      <w:pPr>
        <w:jc w:val="both"/>
        <w:rPr>
          <w:rFonts w:ascii="Arial" w:hAnsi="Arial" w:cs="Arial"/>
          <w:lang w:val="es-ES"/>
        </w:rPr>
      </w:pPr>
    </w:p>
    <w:p w14:paraId="71EF4B9A" w14:textId="77777777" w:rsidR="00CE6693" w:rsidRPr="005922D8" w:rsidRDefault="00CE6693" w:rsidP="00CE6693">
      <w:pPr>
        <w:numPr>
          <w:ilvl w:val="0"/>
          <w:numId w:val="15"/>
        </w:numPr>
        <w:jc w:val="both"/>
        <w:rPr>
          <w:rFonts w:ascii="Arial" w:hAnsi="Arial" w:cs="Arial"/>
          <w:lang w:val="es-ES"/>
        </w:rPr>
      </w:pPr>
      <w:r w:rsidRPr="005922D8">
        <w:rPr>
          <w:rFonts w:ascii="Arial" w:hAnsi="Arial" w:cs="Arial"/>
          <w:lang w:val="es-ES"/>
        </w:rPr>
        <w:t>Diseño de cuadros de salida y cálculo de coeficientes de variación para cuatro (4) OOEE priorizadas: Encuesta de Calidad de Vida - ECV, Gran Encuesta Integrada de Hogares - GEIH, Encuesta de Cultura Política – ECP y Encuesta de Convivencia y Seguridad Ciudadana - ECSC.</w:t>
      </w:r>
    </w:p>
    <w:p w14:paraId="0434363B" w14:textId="77777777" w:rsidR="00CE6693" w:rsidRPr="005922D8" w:rsidRDefault="00CE6693" w:rsidP="00CE6693">
      <w:pPr>
        <w:numPr>
          <w:ilvl w:val="0"/>
          <w:numId w:val="15"/>
        </w:numPr>
        <w:jc w:val="both"/>
        <w:rPr>
          <w:rFonts w:ascii="Arial" w:hAnsi="Arial" w:cs="Arial"/>
          <w:lang w:val="es-ES"/>
        </w:rPr>
      </w:pPr>
      <w:r w:rsidRPr="005922D8">
        <w:rPr>
          <w:rFonts w:ascii="Arial" w:hAnsi="Arial" w:cs="Arial"/>
          <w:lang w:val="es-ES"/>
        </w:rPr>
        <w:t>Evaluar los retos y las posibilidades de las OOEE que actualmente incluyen la pregunta de autorreconocimiento étnico.</w:t>
      </w:r>
    </w:p>
    <w:p w14:paraId="62111C78" w14:textId="77777777" w:rsidR="00CE6693" w:rsidRPr="005922D8" w:rsidRDefault="00CE6693" w:rsidP="00CE6693">
      <w:pPr>
        <w:numPr>
          <w:ilvl w:val="0"/>
          <w:numId w:val="15"/>
        </w:numPr>
        <w:jc w:val="both"/>
        <w:rPr>
          <w:rFonts w:ascii="Arial" w:hAnsi="Arial" w:cs="Arial"/>
          <w:lang w:val="es-ES"/>
        </w:rPr>
      </w:pPr>
      <w:r w:rsidRPr="005922D8">
        <w:rPr>
          <w:rFonts w:ascii="Arial" w:hAnsi="Arial" w:cs="Arial"/>
          <w:lang w:val="es-ES"/>
        </w:rPr>
        <w:t>Procesar y difundir indicadores con enfoque diferencial étnico acorde con las posibilidades y limitaciones técnicas de las operaciones estadísticas.</w:t>
      </w:r>
    </w:p>
    <w:p w14:paraId="11B006F8" w14:textId="77777777" w:rsidR="00CE6693" w:rsidRPr="005922D8" w:rsidRDefault="00CE6693" w:rsidP="00CE6693">
      <w:pPr>
        <w:jc w:val="both"/>
        <w:rPr>
          <w:rFonts w:ascii="Arial" w:hAnsi="Arial" w:cs="Arial"/>
          <w:lang w:val="es-ES"/>
        </w:rPr>
      </w:pPr>
      <w:r w:rsidRPr="005922D8">
        <w:rPr>
          <w:rFonts w:ascii="Arial" w:hAnsi="Arial" w:cs="Arial"/>
          <w:lang w:val="es-ES"/>
        </w:rPr>
        <w:t>Actualmente, un grupo de trabajo interdisciplinario analiza los coeficientes de variación y los intervalos de confianza para preguntas seleccionadas de las cuatro OOEE priorizadas: Encuesta de Calidad de Vida - ECV, Gran Encuesta Integrada de Hogares - GEIH, Encuesta de Cultura Política – ECP y Encuesta de Convivencia y Seguridad Ciudadana – ECSC. A partir de este ejercicio, se han definido lineamientos técnicos para la publicación de resultados desagregados por grupos étnicos y a niveles subnacionales.</w:t>
      </w:r>
    </w:p>
    <w:p w14:paraId="3520CCAB" w14:textId="77777777" w:rsidR="00CE6693" w:rsidRPr="005922D8" w:rsidRDefault="00CE6693" w:rsidP="00CE6693">
      <w:pPr>
        <w:jc w:val="both"/>
        <w:rPr>
          <w:rFonts w:ascii="Arial" w:hAnsi="Arial" w:cs="Arial"/>
          <w:lang w:val="es-ES"/>
        </w:rPr>
      </w:pPr>
      <w:r w:rsidRPr="005922D8">
        <w:rPr>
          <w:rFonts w:ascii="Arial" w:hAnsi="Arial" w:cs="Arial"/>
          <w:b/>
          <w:lang w:val="es-ES"/>
        </w:rPr>
        <w:t xml:space="preserve">Medidas de Pobreza Monetaria y Pobreza Multidimensional con enfoque étnico. </w:t>
      </w:r>
      <w:r w:rsidRPr="005922D8">
        <w:rPr>
          <w:rFonts w:ascii="Arial" w:hAnsi="Arial" w:cs="Arial"/>
          <w:lang w:val="es-ES"/>
        </w:rPr>
        <w:t>Con el objetivo de complementar la publicación de las medidas de pobreza monetaria, monetaria extrema y pobreza multidimensional. Actualmente se cuenta con los resultados para el total nacional, los cuales se han incorporado a la publicación regular.</w:t>
      </w:r>
    </w:p>
    <w:p w14:paraId="4E55BD5C" w14:textId="138F2381" w:rsidR="00CE6693" w:rsidRPr="005922D8" w:rsidRDefault="00CE6693" w:rsidP="00CE6693">
      <w:pPr>
        <w:jc w:val="both"/>
        <w:rPr>
          <w:rFonts w:ascii="Arial" w:hAnsi="Arial" w:cs="Arial"/>
          <w:lang w:val="es-ES"/>
        </w:rPr>
      </w:pPr>
      <w:r w:rsidRPr="005922D8">
        <w:rPr>
          <w:rFonts w:ascii="Arial" w:hAnsi="Arial" w:cs="Arial"/>
          <w:b/>
          <w:lang w:val="es-ES"/>
        </w:rPr>
        <w:t xml:space="preserve">Publicación de información sobre mercado laboral con enfoque étnico. </w:t>
      </w:r>
      <w:r w:rsidRPr="005922D8">
        <w:rPr>
          <w:rFonts w:ascii="Arial" w:hAnsi="Arial" w:cs="Arial"/>
          <w:lang w:val="es-ES"/>
        </w:rPr>
        <w:t xml:space="preserve">Se avanza en el propósito de complementar la publicación de los indicadores de mercado laboral por autorreconocimiento étnico para el total nacional y por sexo. En este sentido, actualmente se cuenta con los coeficientes de variación y los intervalos de confianza para preguntas de la GEIH para grupos étnicos. Se incorporaron resultados con desagregación étnica en la </w:t>
      </w:r>
      <w:r w:rsidRPr="005922D8">
        <w:rPr>
          <w:rFonts w:ascii="Arial" w:hAnsi="Arial" w:cs="Arial"/>
          <w:lang w:val="es-ES"/>
        </w:rPr>
        <w:lastRenderedPageBreak/>
        <w:t xml:space="preserve">publicación regular. Puede consultarse en el siguiente enlace: </w:t>
      </w:r>
      <w:hyperlink r:id="rId52">
        <w:r w:rsidRPr="005922D8">
          <w:rPr>
            <w:rStyle w:val="Hipervnculo"/>
            <w:rFonts w:ascii="Arial" w:hAnsi="Arial" w:cs="Arial"/>
            <w:lang w:val="es-ES"/>
          </w:rPr>
          <w:t>https://www.dane.gov.co/index.php/estadisticas-por-tema/mercado-laboral/empleo-y-desempleo.</w:t>
        </w:r>
      </w:hyperlink>
    </w:p>
    <w:p w14:paraId="5B854585" w14:textId="77777777" w:rsidR="00D40D8A" w:rsidRPr="005922D8" w:rsidRDefault="00D40D8A" w:rsidP="00D40D8A">
      <w:pPr>
        <w:jc w:val="both"/>
        <w:rPr>
          <w:rFonts w:ascii="Arial" w:hAnsi="Arial" w:cs="Arial"/>
          <w:lang w:val="es-ES"/>
        </w:rPr>
      </w:pPr>
      <w:r w:rsidRPr="005922D8">
        <w:rPr>
          <w:rFonts w:ascii="Arial" w:hAnsi="Arial" w:cs="Arial"/>
          <w:b/>
          <w:lang w:val="es-ES"/>
        </w:rPr>
        <w:t xml:space="preserve">Fortalecimiento de los procedimientos de recolección de información estadística en las tierras de comunidades negras y zonas de alta prevalencia de comunidades negras, afrocolombianas, raizales y palenqueras. </w:t>
      </w:r>
      <w:r w:rsidRPr="005922D8">
        <w:rPr>
          <w:rFonts w:ascii="Arial" w:hAnsi="Arial" w:cs="Arial"/>
          <w:lang w:val="es-ES"/>
        </w:rPr>
        <w:t>En el marco de las reuniones de seguimiento al proceso de consulta previa, se definió con la Comisión VII del Espacio Nacional de Consulta previa afro, elaborar un protocolo que sea revisado y concertado con los representantes de las comunidades negras, afrocolombianas, raizales y palenqueras, para coordinar la recolección de información en sus territorios, respetando su autonomía y tradiciones, y posibilitando sinergias.</w:t>
      </w:r>
    </w:p>
    <w:p w14:paraId="0E4B24B0" w14:textId="77777777" w:rsidR="00D40D8A" w:rsidRPr="005922D8" w:rsidRDefault="00D40D8A" w:rsidP="00D40D8A">
      <w:pPr>
        <w:jc w:val="both"/>
        <w:rPr>
          <w:rFonts w:ascii="Arial" w:hAnsi="Arial" w:cs="Arial"/>
          <w:lang w:val="es-ES"/>
        </w:rPr>
      </w:pPr>
      <w:r w:rsidRPr="005922D8">
        <w:rPr>
          <w:rFonts w:ascii="Arial" w:hAnsi="Arial" w:cs="Arial"/>
          <w:lang w:val="es-ES"/>
        </w:rPr>
        <w:t>Se cuenta con una versión preliminar de la propuesta, con 5 fases, la cual se espera sea revisada y ajustada conjuntamente en el marco de las subcomisiones de las instancias de representación nacional de las comunidades Negras, Afrocolombianas, Raizales y Palenqueras (Espacio Nacional de Consulta Previa y Consultiva de Alto Nivel).</w:t>
      </w:r>
    </w:p>
    <w:p w14:paraId="56E9FA31" w14:textId="77777777" w:rsidR="00D40D8A" w:rsidRPr="005922D8" w:rsidRDefault="00D40D8A" w:rsidP="00D40D8A">
      <w:pPr>
        <w:jc w:val="both"/>
        <w:rPr>
          <w:rFonts w:ascii="Arial" w:hAnsi="Arial" w:cs="Arial"/>
          <w:lang w:val="es-ES"/>
        </w:rPr>
      </w:pPr>
      <w:r w:rsidRPr="005922D8">
        <w:rPr>
          <w:rFonts w:ascii="Arial" w:hAnsi="Arial" w:cs="Arial"/>
          <w:b/>
          <w:lang w:val="es-ES"/>
        </w:rPr>
        <w:t xml:space="preserve">Fortalecimiento de autocensos de los consejos comunitarios de comunidades negras. </w:t>
      </w:r>
      <w:r w:rsidRPr="005922D8">
        <w:rPr>
          <w:rFonts w:ascii="Arial" w:hAnsi="Arial" w:cs="Arial"/>
          <w:lang w:val="es-ES"/>
        </w:rPr>
        <w:t>Con el fin de fortalecer la información estadística, que las comunidades en el marco de su autonomía levantan a través de sus autocensos o censos propios, se cuenta con los siguientes logros:</w:t>
      </w:r>
    </w:p>
    <w:p w14:paraId="738F6AA9" w14:textId="77777777" w:rsidR="00D40D8A" w:rsidRPr="005922D8" w:rsidRDefault="00D40D8A" w:rsidP="00D40D8A">
      <w:pPr>
        <w:numPr>
          <w:ilvl w:val="1"/>
          <w:numId w:val="15"/>
        </w:numPr>
        <w:jc w:val="both"/>
        <w:rPr>
          <w:rFonts w:ascii="Arial" w:hAnsi="Arial" w:cs="Arial"/>
          <w:lang w:val="es-ES"/>
        </w:rPr>
      </w:pPr>
      <w:r w:rsidRPr="005922D8">
        <w:rPr>
          <w:rFonts w:ascii="Arial" w:hAnsi="Arial" w:cs="Arial"/>
          <w:lang w:val="es-ES"/>
        </w:rPr>
        <w:t>Firma de un convenio con el Ministerio del Interior para aunar esfuerzos en el fortalecimiento de autocensos.</w:t>
      </w:r>
    </w:p>
    <w:p w14:paraId="5FFBBDC5" w14:textId="77777777" w:rsidR="00D40D8A" w:rsidRPr="005922D8" w:rsidRDefault="00D40D8A" w:rsidP="00D40D8A">
      <w:pPr>
        <w:numPr>
          <w:ilvl w:val="1"/>
          <w:numId w:val="15"/>
        </w:numPr>
        <w:jc w:val="both"/>
        <w:rPr>
          <w:rFonts w:ascii="Arial" w:hAnsi="Arial" w:cs="Arial"/>
          <w:lang w:val="es-ES"/>
        </w:rPr>
      </w:pPr>
      <w:r w:rsidRPr="005922D8">
        <w:rPr>
          <w:rFonts w:ascii="Arial" w:hAnsi="Arial" w:cs="Arial"/>
          <w:lang w:val="es-ES"/>
        </w:rPr>
        <w:t>Entrega de información estadística y apoyo técnico en el marco de procesos judiciales de restitución de derechos territoriales de consejos comunitarios de comunidades negras.</w:t>
      </w:r>
    </w:p>
    <w:p w14:paraId="57AC0974" w14:textId="77777777" w:rsidR="00D40D8A" w:rsidRPr="005922D8" w:rsidRDefault="00D40D8A" w:rsidP="00D40D8A">
      <w:pPr>
        <w:numPr>
          <w:ilvl w:val="1"/>
          <w:numId w:val="15"/>
        </w:numPr>
        <w:jc w:val="both"/>
        <w:rPr>
          <w:rFonts w:ascii="Arial" w:hAnsi="Arial" w:cs="Arial"/>
          <w:lang w:val="es-ES"/>
        </w:rPr>
      </w:pPr>
      <w:r w:rsidRPr="005922D8">
        <w:rPr>
          <w:rFonts w:ascii="Arial" w:hAnsi="Arial" w:cs="Arial"/>
          <w:lang w:val="es-ES"/>
        </w:rPr>
        <w:t>Elaboración de un documento metodológico preliminar para el fortalecimiento de autocensos para comunidades negras, afrocolombianas, raizales y palenqueras.</w:t>
      </w:r>
    </w:p>
    <w:p w14:paraId="7DF38DA4" w14:textId="77777777" w:rsidR="00D40D8A" w:rsidRPr="005922D8" w:rsidRDefault="00D40D8A" w:rsidP="00D40D8A">
      <w:pPr>
        <w:numPr>
          <w:ilvl w:val="1"/>
          <w:numId w:val="15"/>
        </w:numPr>
        <w:jc w:val="both"/>
        <w:rPr>
          <w:rFonts w:ascii="Arial" w:hAnsi="Arial" w:cs="Arial"/>
          <w:lang w:val="es-ES"/>
        </w:rPr>
      </w:pPr>
      <w:r w:rsidRPr="005922D8">
        <w:rPr>
          <w:rFonts w:ascii="Arial" w:hAnsi="Arial" w:cs="Arial"/>
          <w:lang w:val="es-ES"/>
        </w:rPr>
        <w:t>Propuesta de cuestionario para la recolección de información en el marco de los autocensos.</w:t>
      </w:r>
    </w:p>
    <w:p w14:paraId="038DB901" w14:textId="77777777" w:rsidR="00D40D8A" w:rsidRPr="005922D8" w:rsidRDefault="00D40D8A" w:rsidP="00D40D8A">
      <w:pPr>
        <w:numPr>
          <w:ilvl w:val="1"/>
          <w:numId w:val="15"/>
        </w:numPr>
        <w:jc w:val="both"/>
        <w:rPr>
          <w:rFonts w:ascii="Arial" w:hAnsi="Arial" w:cs="Arial"/>
          <w:lang w:val="es-ES"/>
        </w:rPr>
      </w:pPr>
      <w:r w:rsidRPr="005922D8">
        <w:rPr>
          <w:rFonts w:ascii="Arial" w:hAnsi="Arial" w:cs="Arial"/>
          <w:lang w:val="es-ES"/>
        </w:rPr>
        <w:t>Asistencia técnica a consejos comunitarios.</w:t>
      </w:r>
    </w:p>
    <w:p w14:paraId="48F7AAA4" w14:textId="77777777" w:rsidR="00D40D8A" w:rsidRPr="005922D8" w:rsidRDefault="00D40D8A" w:rsidP="00D40D8A">
      <w:pPr>
        <w:jc w:val="both"/>
        <w:rPr>
          <w:rFonts w:ascii="Arial" w:hAnsi="Arial" w:cs="Arial"/>
          <w:lang w:val="es-ES"/>
        </w:rPr>
      </w:pPr>
      <w:r w:rsidRPr="005922D8">
        <w:rPr>
          <w:rFonts w:ascii="Arial" w:hAnsi="Arial" w:cs="Arial"/>
          <w:b/>
          <w:lang w:val="es-ES"/>
        </w:rPr>
        <w:t>Producción de información sobre población víctima con enfoque étnico</w:t>
      </w:r>
      <w:r w:rsidRPr="005922D8">
        <w:rPr>
          <w:rFonts w:ascii="Arial" w:hAnsi="Arial" w:cs="Arial"/>
          <w:b/>
          <w:i/>
          <w:lang w:val="es-ES"/>
        </w:rPr>
        <w:t xml:space="preserve">. </w:t>
      </w:r>
      <w:r w:rsidRPr="005922D8">
        <w:rPr>
          <w:rFonts w:ascii="Arial" w:hAnsi="Arial" w:cs="Arial"/>
          <w:lang w:val="es-ES"/>
        </w:rPr>
        <w:t>En el marco de esta acción, se han realizado los cruces del Registro Único de Víctimas -RUV con el CNPV 2018, la Gran Encuesta Integrada de Hogares -GEIH y la Encuesta de Calidad de Vida –ECV. Igualmente, se han adelantado gestiones para firmar convenio con la UARIV con el fin de aunar esfuerzos para la producción de información sobre víctimas con enfoque étnico. Y se cuenta con un informe preliminar de los resultados del ejercicio.</w:t>
      </w:r>
    </w:p>
    <w:p w14:paraId="7EF0EC81" w14:textId="77777777" w:rsidR="00D40D8A" w:rsidRPr="005922D8" w:rsidRDefault="00D40D8A" w:rsidP="00D40D8A">
      <w:pPr>
        <w:jc w:val="both"/>
        <w:rPr>
          <w:rFonts w:ascii="Arial" w:hAnsi="Arial" w:cs="Arial"/>
          <w:lang w:val="es-ES"/>
        </w:rPr>
      </w:pPr>
      <w:r w:rsidRPr="005922D8">
        <w:rPr>
          <w:rFonts w:ascii="Arial" w:hAnsi="Arial" w:cs="Arial"/>
          <w:b/>
          <w:lang w:val="es-ES"/>
        </w:rPr>
        <w:t xml:space="preserve">Apoyo a iniciativas locales de desarrollo. </w:t>
      </w:r>
      <w:r w:rsidRPr="005922D8">
        <w:rPr>
          <w:rFonts w:ascii="Arial" w:hAnsi="Arial" w:cs="Arial"/>
          <w:lang w:val="es-ES"/>
        </w:rPr>
        <w:t>Con el propósito de aportar información estadística y apoyo técnico a iniciativas locales, se participó en: La elaboración del Anuario Estadístico del Chocó y el Proyecto Estrategia de desarrollo sostenible en municipios afiliados a AMUNAFRO.</w:t>
      </w:r>
    </w:p>
    <w:p w14:paraId="608F4263" w14:textId="6E3C4497" w:rsidR="00D40D8A" w:rsidRPr="005922D8" w:rsidRDefault="00D40D8A" w:rsidP="00D40D8A">
      <w:pPr>
        <w:jc w:val="both"/>
        <w:rPr>
          <w:rFonts w:ascii="Arial" w:hAnsi="Arial" w:cs="Arial"/>
          <w:lang w:val="es-ES"/>
        </w:rPr>
      </w:pPr>
      <w:r w:rsidRPr="005922D8">
        <w:rPr>
          <w:rFonts w:ascii="Arial" w:hAnsi="Arial" w:cs="Arial"/>
          <w:lang w:val="es-ES"/>
        </w:rPr>
        <w:lastRenderedPageBreak/>
        <w:t>Se ha entregado la información estadística a cada una de las organizaciones y se ha asistido a todas las sesiones de trabajo a las que la entidad ha sido convocada. Para el Censo Empresarial del Chocó, se entregó toda la información estadística disponible para el departamento y se está dando apoyo técnico para la revisión del pilotaje del Censo Empresarial de Quibdó y la elaboración de un visor con toda la oferta estadística para el Chocó, en trabajo conjunto con la Gobernación del Chocó y la Cámara de Comercio de Quibdó.</w:t>
      </w:r>
    </w:p>
    <w:p w14:paraId="341ABD73" w14:textId="77777777" w:rsidR="00D40D8A" w:rsidRPr="005922D8" w:rsidRDefault="00D40D8A" w:rsidP="00D40D8A">
      <w:pPr>
        <w:jc w:val="both"/>
        <w:rPr>
          <w:rFonts w:ascii="Arial" w:hAnsi="Arial" w:cs="Arial"/>
          <w:lang w:val="es-ES"/>
        </w:rPr>
      </w:pPr>
      <w:r w:rsidRPr="005922D8">
        <w:rPr>
          <w:rFonts w:ascii="Arial" w:hAnsi="Arial" w:cs="Arial"/>
          <w:b/>
          <w:lang w:val="es-ES"/>
        </w:rPr>
        <w:t>Enfoque étnico en Planes Estadísticos Territoriales</w:t>
      </w:r>
      <w:r w:rsidRPr="005922D8">
        <w:rPr>
          <w:rFonts w:ascii="Arial" w:hAnsi="Arial" w:cs="Arial"/>
          <w:lang w:val="es-ES"/>
        </w:rPr>
        <w:t>. Para Incorporar el enfoque étnico en la planeación estadística territorial. Para tal efecto, el ejercicio de planeación estadística territorial se está realizando con varios departamentos (Sucre, Atlántico, Nariño, Cauca, Santander) y con el municipio de Florencia, Caquetá.</w:t>
      </w:r>
    </w:p>
    <w:p w14:paraId="130E5ABA" w14:textId="77777777" w:rsidR="00D40D8A" w:rsidRPr="005922D8" w:rsidRDefault="00D40D8A" w:rsidP="00D40D8A">
      <w:pPr>
        <w:jc w:val="both"/>
        <w:rPr>
          <w:rFonts w:ascii="Arial" w:hAnsi="Arial" w:cs="Arial"/>
          <w:lang w:val="es-ES"/>
        </w:rPr>
      </w:pPr>
      <w:r w:rsidRPr="005922D8">
        <w:rPr>
          <w:rFonts w:ascii="Arial" w:hAnsi="Arial" w:cs="Arial"/>
          <w:b/>
          <w:lang w:val="es-ES"/>
        </w:rPr>
        <w:t>Fortalecimiento Territorial del Sistema de Registro Civil y Estadísticas Vitales – SRCEV</w:t>
      </w:r>
      <w:r w:rsidRPr="005922D8">
        <w:rPr>
          <w:rFonts w:ascii="Arial" w:hAnsi="Arial" w:cs="Arial"/>
          <w:lang w:val="es-ES"/>
        </w:rPr>
        <w:t>. En el marco del proyecto Partera Vital desarrollado con las parteras de Chocó, se construyó con la Registraduría Nacional del Estado Civil y la Superintendencia de Notariado y Registro, la ruta de notificación y certificación de los nacimientos atendidos en territorios, a través de las parteras y parteros. Además, se ha adelantado el desarrollo del App Partera Vital en la cual las parteras y parteros de la asociación ASOREDIPAR, reportaran los nacimientos atendidos en los pueblos indígenas y territorios colectivos de comunidades negras.</w:t>
      </w:r>
    </w:p>
    <w:p w14:paraId="348B2C91" w14:textId="77777777" w:rsidR="00D40D8A" w:rsidRPr="005922D8" w:rsidRDefault="00D40D8A" w:rsidP="00D40D8A">
      <w:pPr>
        <w:jc w:val="both"/>
        <w:rPr>
          <w:rFonts w:ascii="Arial" w:hAnsi="Arial" w:cs="Arial"/>
          <w:lang w:val="es-ES"/>
        </w:rPr>
      </w:pPr>
      <w:r w:rsidRPr="005922D8">
        <w:rPr>
          <w:rFonts w:ascii="Arial" w:hAnsi="Arial" w:cs="Arial"/>
          <w:lang w:val="es-ES"/>
        </w:rPr>
        <w:t>Derivados de esta iniciativa, la Registraduría incluyó un artículo en el nuevo código electoral en el cual autoriza y valida a las parteras y pueblos indígenas como certificadores y notificadores de nacimientos y defunciones, a través de los formatos de notificación construidos por el DANE y avalados por la Registraduría.</w:t>
      </w:r>
    </w:p>
    <w:p w14:paraId="6C1548F3" w14:textId="77777777" w:rsidR="00D40D8A" w:rsidRPr="005922D8" w:rsidRDefault="00D40D8A" w:rsidP="00D40D8A">
      <w:pPr>
        <w:jc w:val="both"/>
        <w:rPr>
          <w:rFonts w:ascii="Arial" w:hAnsi="Arial" w:cs="Arial"/>
          <w:lang w:val="es-ES"/>
        </w:rPr>
      </w:pPr>
      <w:r w:rsidRPr="005922D8">
        <w:rPr>
          <w:rFonts w:ascii="Arial" w:hAnsi="Arial" w:cs="Arial"/>
          <w:b/>
          <w:lang w:val="es-ES"/>
        </w:rPr>
        <w:t xml:space="preserve">Incorporación del enfoque diferencial étnico en el Censo Económico. </w:t>
      </w:r>
      <w:r w:rsidRPr="005922D8">
        <w:rPr>
          <w:rFonts w:ascii="Arial" w:hAnsi="Arial" w:cs="Arial"/>
          <w:lang w:val="es-ES"/>
        </w:rPr>
        <w:t>En el marco del Censo Económico de Colombia, operación estadística que busca obtener información estadística actualizada de las principales variables económicas de los establecimientos de industria, comercio, servicios, construcción y transporte, ubicados en el territorio nacional en 2022, actualmente se están probando para su inclusión en los formularios dirigidos a establecimientos y puestos móviles, preguntas que dan cuenta de:</w:t>
      </w:r>
    </w:p>
    <w:p w14:paraId="182B9E5E" w14:textId="77777777" w:rsidR="00D40D8A" w:rsidRPr="005922D8" w:rsidRDefault="00D40D8A" w:rsidP="00D40D8A">
      <w:pPr>
        <w:numPr>
          <w:ilvl w:val="0"/>
          <w:numId w:val="15"/>
        </w:numPr>
        <w:jc w:val="both"/>
        <w:rPr>
          <w:rFonts w:ascii="Arial" w:hAnsi="Arial" w:cs="Arial"/>
          <w:lang w:val="es-ES"/>
        </w:rPr>
      </w:pPr>
      <w:r w:rsidRPr="005922D8">
        <w:rPr>
          <w:rFonts w:ascii="Arial" w:hAnsi="Arial" w:cs="Arial"/>
          <w:lang w:val="es-ES"/>
        </w:rPr>
        <w:t>El autorreconocimiento étnico de la persona que proporciona la información durante la entrevista. Utilizando los grupos étnicos incluidos en el Censo Nacional de Población y Vivienda del año 2018.</w:t>
      </w:r>
    </w:p>
    <w:p w14:paraId="5C674008" w14:textId="77777777" w:rsidR="00D40D8A" w:rsidRPr="005922D8" w:rsidRDefault="00D40D8A" w:rsidP="00D40D8A">
      <w:pPr>
        <w:numPr>
          <w:ilvl w:val="0"/>
          <w:numId w:val="15"/>
        </w:numPr>
        <w:jc w:val="both"/>
        <w:rPr>
          <w:rFonts w:ascii="Arial" w:hAnsi="Arial" w:cs="Arial"/>
          <w:lang w:val="es-ES"/>
        </w:rPr>
      </w:pPr>
      <w:r w:rsidRPr="005922D8">
        <w:rPr>
          <w:rFonts w:ascii="Arial" w:hAnsi="Arial" w:cs="Arial"/>
          <w:lang w:val="es-ES"/>
        </w:rPr>
        <w:t>Pertenencia de las unidades económicas a territorios étnicos.</w:t>
      </w:r>
    </w:p>
    <w:p w14:paraId="0010627B" w14:textId="77777777" w:rsidR="00D40D8A" w:rsidRPr="005922D8" w:rsidRDefault="00D40D8A" w:rsidP="00D40D8A">
      <w:pPr>
        <w:numPr>
          <w:ilvl w:val="0"/>
          <w:numId w:val="15"/>
        </w:numPr>
        <w:jc w:val="both"/>
        <w:rPr>
          <w:rFonts w:ascii="Arial" w:hAnsi="Arial" w:cs="Arial"/>
          <w:lang w:val="es-ES"/>
        </w:rPr>
      </w:pPr>
      <w:r w:rsidRPr="005922D8">
        <w:rPr>
          <w:rFonts w:ascii="Arial" w:hAnsi="Arial" w:cs="Arial"/>
          <w:lang w:val="es-ES"/>
        </w:rPr>
        <w:t>La conservación de prácticas ancestrales o costumbres en la elaboración de productos, prestación de servicios asociados a las industrias creativas o a las actividades protegidas por derechos de autor.</w:t>
      </w:r>
    </w:p>
    <w:p w14:paraId="548EC622" w14:textId="77777777" w:rsidR="00D40D8A" w:rsidRPr="005922D8" w:rsidRDefault="00D40D8A" w:rsidP="00D40D8A">
      <w:pPr>
        <w:jc w:val="both"/>
        <w:rPr>
          <w:rFonts w:ascii="Arial" w:hAnsi="Arial" w:cs="Arial"/>
          <w:lang w:val="es-ES"/>
        </w:rPr>
      </w:pPr>
      <w:r w:rsidRPr="005922D8">
        <w:rPr>
          <w:rFonts w:ascii="Arial" w:hAnsi="Arial" w:cs="Arial"/>
          <w:b/>
          <w:lang w:val="es-ES"/>
        </w:rPr>
        <w:t xml:space="preserve">Conteo Intercensal. </w:t>
      </w:r>
      <w:r w:rsidRPr="005922D8">
        <w:rPr>
          <w:rFonts w:ascii="Arial" w:hAnsi="Arial" w:cs="Arial"/>
          <w:lang w:val="es-ES"/>
        </w:rPr>
        <w:t xml:space="preserve">El Departamento Administrativo Nacional de Estadística se encuentra actualmente preparando el conteo intercensal en 2025, a través del cual se espera obtener información demográfica básica actualizada sobre el volumen, la composición y la distribución geográfica de las personas, los hogares y las viviendas en los diferentes niveles de desagregación político-administrativo del país, y obtener información demográfica básica de los grupos étnicos en especial de la población negra, afrocolombiana, raizal y </w:t>
      </w:r>
      <w:r w:rsidRPr="005922D8">
        <w:rPr>
          <w:rFonts w:ascii="Arial" w:hAnsi="Arial" w:cs="Arial"/>
          <w:lang w:val="es-ES"/>
        </w:rPr>
        <w:lastRenderedPageBreak/>
        <w:t>palenquera, considerando la variación evidenciada entre las dos últimas operaciones censales (2005 y 2018).</w:t>
      </w:r>
    </w:p>
    <w:p w14:paraId="19205117" w14:textId="2023A90E" w:rsidR="00D40D8A" w:rsidRPr="005922D8" w:rsidRDefault="00D40D8A" w:rsidP="00D40D8A">
      <w:pPr>
        <w:jc w:val="both"/>
        <w:rPr>
          <w:rFonts w:ascii="Arial" w:hAnsi="Arial" w:cs="Arial"/>
          <w:lang w:val="es-ES"/>
        </w:rPr>
      </w:pPr>
      <w:r w:rsidRPr="005922D8">
        <w:rPr>
          <w:rFonts w:ascii="Arial" w:hAnsi="Arial" w:cs="Arial"/>
          <w:b/>
          <w:lang w:val="es-ES"/>
        </w:rPr>
        <w:t xml:space="preserve">Acciones a futuro: propuestas, publicaciones, apoyo técnico y trabajo conjunto con las comunidades. </w:t>
      </w:r>
      <w:r w:rsidRPr="005922D8">
        <w:rPr>
          <w:rFonts w:ascii="Arial" w:hAnsi="Arial" w:cs="Arial"/>
          <w:lang w:val="es-ES"/>
        </w:rPr>
        <w:t>El DANE está comprometido con la ampliación de la oferta estadística para las comunidades negras, afrocolombianas, raizales y palenqueras, por lo cual, además de las acciones mencionadas, continuará trabajando permanentemente para fortalecer el enfoque étnico trabajando de la mano con las distintas organizaciones e instancias de representación de los grupos étnicos. Por lo anterior, las principales acciones para 2022 son:</w:t>
      </w:r>
    </w:p>
    <w:p w14:paraId="4EBD8105" w14:textId="77777777" w:rsidR="00D40D8A" w:rsidRPr="005922D8" w:rsidRDefault="00D40D8A" w:rsidP="00D40D8A">
      <w:pPr>
        <w:numPr>
          <w:ilvl w:val="0"/>
          <w:numId w:val="16"/>
        </w:numPr>
        <w:spacing w:after="0"/>
        <w:jc w:val="both"/>
        <w:rPr>
          <w:rFonts w:ascii="Arial" w:hAnsi="Arial" w:cs="Arial"/>
          <w:lang w:val="es-ES"/>
        </w:rPr>
      </w:pPr>
      <w:r w:rsidRPr="005922D8">
        <w:rPr>
          <w:rFonts w:ascii="Arial" w:hAnsi="Arial" w:cs="Arial"/>
          <w:lang w:val="es-ES"/>
        </w:rPr>
        <w:t>Elevar el enfoque diferencial étnico a rango de ley a partir de la incorporación de la inclusión como un principio que rige las estadísticas oficiales, en el Proyecto de Ley 222 de 2021 Cámara, el cual ya se encuentra aprobado en segundo debate;</w:t>
      </w:r>
    </w:p>
    <w:p w14:paraId="570B814B" w14:textId="77777777" w:rsidR="00D40D8A" w:rsidRPr="005922D8" w:rsidRDefault="00D40D8A" w:rsidP="00D40D8A">
      <w:pPr>
        <w:numPr>
          <w:ilvl w:val="0"/>
          <w:numId w:val="16"/>
        </w:numPr>
        <w:spacing w:after="0"/>
        <w:jc w:val="both"/>
        <w:rPr>
          <w:rFonts w:ascii="Arial" w:hAnsi="Arial" w:cs="Arial"/>
          <w:lang w:val="es-ES"/>
        </w:rPr>
      </w:pPr>
      <w:r w:rsidRPr="005922D8">
        <w:rPr>
          <w:rFonts w:ascii="Arial" w:hAnsi="Arial" w:cs="Arial"/>
          <w:lang w:val="es-ES"/>
        </w:rPr>
        <w:t>Publicar el documento para establecer el marco conceptual e institucional de la Agenda Integral Étnica e incorporar el enfoque diferencial étnico en la cadena de valor del proceso de producción estadística (GSBPM);</w:t>
      </w:r>
    </w:p>
    <w:p w14:paraId="6F6C0A56" w14:textId="77777777" w:rsidR="00D40D8A" w:rsidRPr="005922D8" w:rsidRDefault="00D40D8A" w:rsidP="00D40D8A">
      <w:pPr>
        <w:numPr>
          <w:ilvl w:val="0"/>
          <w:numId w:val="16"/>
        </w:numPr>
        <w:spacing w:after="0"/>
        <w:jc w:val="both"/>
        <w:rPr>
          <w:rFonts w:ascii="Arial" w:hAnsi="Arial" w:cs="Arial"/>
          <w:lang w:val="es-ES"/>
        </w:rPr>
      </w:pPr>
      <w:r w:rsidRPr="005922D8">
        <w:rPr>
          <w:rFonts w:ascii="Arial" w:hAnsi="Arial" w:cs="Arial"/>
          <w:lang w:val="es-ES"/>
        </w:rPr>
        <w:t>Continuar atendiendo los requerimientos de información de las comunidades, las acciones judiciales y peticiones de apoyo técnico;</w:t>
      </w:r>
    </w:p>
    <w:p w14:paraId="1ED57B42" w14:textId="77777777" w:rsidR="00D40D8A" w:rsidRPr="005922D8" w:rsidRDefault="00D40D8A" w:rsidP="00D40D8A">
      <w:pPr>
        <w:numPr>
          <w:ilvl w:val="0"/>
          <w:numId w:val="16"/>
        </w:numPr>
        <w:spacing w:after="0"/>
        <w:jc w:val="both"/>
        <w:rPr>
          <w:rFonts w:ascii="Arial" w:hAnsi="Arial" w:cs="Arial"/>
          <w:lang w:val="es-ES"/>
        </w:rPr>
      </w:pPr>
      <w:r w:rsidRPr="005922D8">
        <w:rPr>
          <w:rFonts w:ascii="Arial" w:hAnsi="Arial" w:cs="Arial"/>
          <w:lang w:val="es-ES"/>
        </w:rPr>
        <w:t>Revisar y ajustar conjuntamente un protocolo de relacionamiento con las instancias de representación afro para el desarrollo de operaciones estadísticas;</w:t>
      </w:r>
    </w:p>
    <w:p w14:paraId="7EE649BF" w14:textId="77777777" w:rsidR="00D40D8A" w:rsidRPr="005922D8" w:rsidRDefault="00D40D8A" w:rsidP="00D40D8A">
      <w:pPr>
        <w:numPr>
          <w:ilvl w:val="0"/>
          <w:numId w:val="16"/>
        </w:numPr>
        <w:jc w:val="both"/>
        <w:rPr>
          <w:rFonts w:ascii="Arial" w:hAnsi="Arial" w:cs="Arial"/>
          <w:lang w:val="es-ES"/>
        </w:rPr>
      </w:pPr>
      <w:r w:rsidRPr="005922D8">
        <w:rPr>
          <w:rFonts w:ascii="Arial" w:hAnsi="Arial" w:cs="Arial"/>
          <w:lang w:val="es-ES"/>
        </w:rPr>
        <w:t>Implementar acciones para la adecuación étnica de las operaciones estadísticas del SEN, en el marco del compromiso del Plan Nacional de Desarrollo;</w:t>
      </w:r>
    </w:p>
    <w:p w14:paraId="0827FC9E" w14:textId="77777777" w:rsidR="00D40D8A" w:rsidRPr="005922D8" w:rsidRDefault="00D40D8A" w:rsidP="00D40D8A">
      <w:pPr>
        <w:jc w:val="both"/>
        <w:rPr>
          <w:rFonts w:ascii="Arial" w:hAnsi="Arial" w:cs="Arial"/>
          <w:lang w:val="es-ES"/>
        </w:rPr>
      </w:pPr>
      <w:r w:rsidRPr="005922D8">
        <w:rPr>
          <w:rFonts w:ascii="Arial" w:hAnsi="Arial" w:cs="Arial"/>
          <w:lang w:val="es-ES"/>
        </w:rPr>
        <w:t>Finalmente, en este documento se hará referencia a lo planteado en el tercer punto, acerca de las observaciones sobre la pregunta de autorreconocimiento étnico, especialmente el argumento según el cual el DANE debió incorporar el Censo Nacional de Población y Vivienda 2018:</w:t>
      </w:r>
    </w:p>
    <w:p w14:paraId="4ED6B662" w14:textId="77777777" w:rsidR="00D40D8A" w:rsidRPr="005922D8" w:rsidRDefault="00D40D8A" w:rsidP="00D40D8A">
      <w:pPr>
        <w:jc w:val="both"/>
        <w:rPr>
          <w:rFonts w:ascii="Arial" w:hAnsi="Arial" w:cs="Arial"/>
          <w:b/>
          <w:bCs/>
          <w:i/>
          <w:iCs/>
          <w:lang w:val="es-ES"/>
        </w:rPr>
      </w:pPr>
      <w:r w:rsidRPr="005922D8">
        <w:rPr>
          <w:rFonts w:ascii="Arial" w:hAnsi="Arial" w:cs="Arial"/>
          <w:b/>
          <w:bCs/>
          <w:i/>
          <w:iCs/>
          <w:lang w:val="es-ES"/>
        </w:rPr>
        <w:t>“Un criterio adicional al del autorreconocimiento para efectos de contabilizar a la población afrocolombiana que, pese a no autorreconocerse, es discriminada y experimenta exclusión social y económica debido a su color de piel y otras características físicas asociadas a la afrodescendencia. (…) Asimismo, las categorías de selección de las preguntas niegan la diferencia importante entre reconocerse moreno, mulato, afrodescendiente o negro.</w:t>
      </w:r>
    </w:p>
    <w:p w14:paraId="3E33E506" w14:textId="77777777" w:rsidR="00D40D8A" w:rsidRPr="005922D8" w:rsidRDefault="00D40D8A" w:rsidP="00D40D8A">
      <w:pPr>
        <w:jc w:val="both"/>
        <w:rPr>
          <w:rFonts w:ascii="Arial" w:hAnsi="Arial" w:cs="Arial"/>
          <w:lang w:val="es-ES"/>
        </w:rPr>
      </w:pPr>
      <w:r w:rsidRPr="005922D8">
        <w:rPr>
          <w:rFonts w:ascii="Arial" w:hAnsi="Arial" w:cs="Arial"/>
          <w:lang w:val="es-ES"/>
        </w:rPr>
        <w:t>Es importante reiterar que el cuestionario del Censo Nacional de Población y Vivienda -CNPV 2018 fue objeto de consulta previa, por lo que, la pregunta de autorreconocimiento étnico es producto de los acuerdos concertados en este proceso con el Espacio Nacional de Consulta Previa de las medidas legislativas y administrativas de carácter general, susceptibles de afectar directamente a las comunidades negras, afrocolombianas, raizales y palenqueras, instancia que representa a las diversas formas y expresiones organizativas de estas comunidades; la Mesa Permanente de Concertación Indígena y la Mesa Nacional de Diálogo del pueblo Gitano.</w:t>
      </w:r>
    </w:p>
    <w:p w14:paraId="7CEE8C61" w14:textId="77777777" w:rsidR="00D40D8A" w:rsidRPr="005922D8" w:rsidRDefault="00D40D8A" w:rsidP="00D40D8A">
      <w:pPr>
        <w:jc w:val="both"/>
        <w:rPr>
          <w:rFonts w:ascii="Arial" w:hAnsi="Arial" w:cs="Arial"/>
          <w:lang w:val="es-ES"/>
        </w:rPr>
      </w:pPr>
      <w:r w:rsidRPr="005922D8">
        <w:rPr>
          <w:rFonts w:ascii="Arial" w:hAnsi="Arial" w:cs="Arial"/>
          <w:lang w:val="es-ES"/>
        </w:rPr>
        <w:t xml:space="preserve">Ahora bien, para captar la identificación de las personas como integrantes de alguno de los cuatro grupos étnicos reconocidos en Colombia (indígena, Rrom o Gitano; raizal del archipiélago de San Andrés, Providencia y Santa Catalina; Negro, mulato, afrocolombiano, afrodescendiente o palenquero de San Basilio), el DANE implementa la metodología de </w:t>
      </w:r>
      <w:r w:rsidRPr="005922D8">
        <w:rPr>
          <w:rFonts w:ascii="Arial" w:hAnsi="Arial" w:cs="Arial"/>
          <w:lang w:val="es-ES"/>
        </w:rPr>
        <w:lastRenderedPageBreak/>
        <w:t>autorreconocimiento étnico, en concordancia con la normatividad y las recomendaciones internacionales (entre ellas el Convenio 169 de la OIT), según las cuales el criterio de autorreconocimiento de la identidad respeta el derecho de cada persona para definir su pertenencia étnica; es decir, a reconocerse como parte de un pueblo, a la identidad o a la conciencia que tengan las personas de su identidad; también, el derecho que tienen los integrantes de un pueblo a ser consultados en los asuntos que les atañen.</w:t>
      </w:r>
    </w:p>
    <w:p w14:paraId="04A5BDBA" w14:textId="77777777" w:rsidR="00D40D8A" w:rsidRPr="005922D8" w:rsidRDefault="00D40D8A" w:rsidP="00D40D8A">
      <w:pPr>
        <w:jc w:val="both"/>
        <w:rPr>
          <w:rFonts w:ascii="Arial" w:hAnsi="Arial" w:cs="Arial"/>
        </w:rPr>
      </w:pPr>
      <w:r w:rsidRPr="005922D8">
        <w:rPr>
          <w:rFonts w:ascii="Arial" w:hAnsi="Arial" w:cs="Arial"/>
          <w:lang w:val="es-ES"/>
        </w:rPr>
        <w:t xml:space="preserve">El que las personas se autorreconozcan, les permite expresar su sentido de pertenencia frente a un colectivo de acuerdo con su identidad, y formas de interactuar en y con el mundo; su conciencia individual de </w:t>
      </w:r>
      <w:r w:rsidRPr="005922D8">
        <w:rPr>
          <w:rFonts w:ascii="Arial" w:hAnsi="Arial" w:cs="Arial"/>
        </w:rPr>
        <w:t>compartir ciertas creaciones, instituciones y comportamientos colectivos de un determinado grupo humano, en este caso referido a las comunidades negras, afrocolombianas, raizales y palenqueras.</w:t>
      </w:r>
    </w:p>
    <w:p w14:paraId="043A0AAF" w14:textId="13991671" w:rsidR="00D40D8A" w:rsidRPr="005922D8" w:rsidRDefault="00D40D8A" w:rsidP="00D40D8A">
      <w:pPr>
        <w:jc w:val="both"/>
        <w:rPr>
          <w:rFonts w:ascii="Arial" w:hAnsi="Arial" w:cs="Arial"/>
          <w:i/>
          <w:lang w:val="es-ES"/>
        </w:rPr>
      </w:pPr>
      <w:r w:rsidRPr="005922D8">
        <w:rPr>
          <w:rFonts w:ascii="Arial" w:hAnsi="Arial" w:cs="Arial"/>
          <w:lang w:val="es-ES"/>
        </w:rPr>
        <w:t xml:space="preserve">La </w:t>
      </w:r>
      <w:hyperlink r:id="rId53">
        <w:r w:rsidRPr="005922D8">
          <w:rPr>
            <w:rStyle w:val="Hipervnculo"/>
            <w:rFonts w:ascii="Arial" w:hAnsi="Arial" w:cs="Arial"/>
            <w:lang w:val="es-ES"/>
          </w:rPr>
          <w:t xml:space="preserve">Comisión Económica para América Latina y el Caribe </w:t>
        </w:r>
      </w:hyperlink>
      <w:r w:rsidRPr="005922D8">
        <w:rPr>
          <w:rFonts w:ascii="Arial" w:hAnsi="Arial" w:cs="Arial"/>
          <w:lang w:val="es-ES"/>
        </w:rPr>
        <w:t xml:space="preserve">–CEPAL, también ha señalado la primacía del criterio de autorreconocimiento de los pueblos indígenas y étnicos para su cuantificación en los diferentes sistemas estadísticos del mundo y al respecto anota (CEPAL: 2010) que, </w:t>
      </w:r>
      <w:r w:rsidRPr="005922D8">
        <w:rPr>
          <w:rFonts w:ascii="Arial" w:hAnsi="Arial" w:cs="Arial"/>
          <w:i/>
          <w:lang w:val="es-ES"/>
        </w:rPr>
        <w:t>“La identidad cultural constituye entonces el sentido de pertenencia que expresa un individuo frente al colectivo y al mundo de acuerdo con sus características en cuanto a sus procesos de comunicación, socialización y trabajo como concreciones de la cosmovisión que comparte como miembro de una cultura”</w:t>
      </w:r>
      <w:r w:rsidRPr="005922D8">
        <w:rPr>
          <w:rStyle w:val="Refdenotaalpie"/>
          <w:rFonts w:ascii="Arial" w:hAnsi="Arial" w:cs="Arial"/>
          <w:i/>
          <w:lang w:val="es-ES"/>
        </w:rPr>
        <w:footnoteReference w:id="20"/>
      </w:r>
      <w:r w:rsidRPr="005922D8">
        <w:rPr>
          <w:rFonts w:ascii="Arial" w:hAnsi="Arial" w:cs="Arial"/>
          <w:i/>
          <w:lang w:val="es-ES"/>
        </w:rPr>
        <w:t>.</w:t>
      </w:r>
    </w:p>
    <w:p w14:paraId="5D9A36D2" w14:textId="7256AC26" w:rsidR="00D40D8A" w:rsidRPr="005922D8" w:rsidRDefault="00D40D8A" w:rsidP="00D40D8A">
      <w:pPr>
        <w:jc w:val="both"/>
        <w:rPr>
          <w:rFonts w:ascii="Arial" w:hAnsi="Arial" w:cs="Arial"/>
          <w:lang w:val="es-ES"/>
        </w:rPr>
      </w:pPr>
      <w:r w:rsidRPr="005922D8">
        <w:rPr>
          <w:rFonts w:ascii="Arial" w:hAnsi="Arial" w:cs="Arial"/>
          <w:lang w:val="es-ES"/>
        </w:rPr>
        <w:t>Este criterio tiene en cuenta, tanto el rasgo de identidad referido a la pertenencia de una persona a un colectivo de acuerdo con características culturales, su historia y sus costumbres, que lo diferencian de los demás grupos sociales, como la posibilidad de identificarse a través de rasgos raciales. Depende, además, del grado de conciencia étnica y de la percepción que la población de los grupos étnicos tenga del censo como instrumento legítimo para cuantificar y caracterizar dichas poblaciones.</w:t>
      </w:r>
      <w:r w:rsidRPr="005922D8">
        <w:rPr>
          <w:rStyle w:val="Refdenotaalpie"/>
          <w:rFonts w:ascii="Arial" w:hAnsi="Arial" w:cs="Arial"/>
          <w:lang w:val="es-ES"/>
        </w:rPr>
        <w:footnoteReference w:id="21"/>
      </w:r>
      <w:r w:rsidRPr="005922D8">
        <w:rPr>
          <w:rFonts w:ascii="Arial" w:hAnsi="Arial" w:cs="Arial"/>
          <w:lang w:val="es-ES"/>
        </w:rPr>
        <w:t xml:space="preserve"> Bajo este criterio, cada persona declara la pertenencia o no a un grupo determinado sin que intervenga la mirada subjetiva del entrevistador.</w:t>
      </w:r>
    </w:p>
    <w:p w14:paraId="30D10D95" w14:textId="2E74EEF9" w:rsidR="00D40D8A" w:rsidRPr="005922D8" w:rsidRDefault="00D40D8A" w:rsidP="00D40D8A">
      <w:pPr>
        <w:jc w:val="both"/>
        <w:rPr>
          <w:rFonts w:ascii="Arial" w:hAnsi="Arial" w:cs="Arial"/>
          <w:lang w:val="es-ES"/>
        </w:rPr>
      </w:pPr>
      <w:r w:rsidRPr="005922D8">
        <w:rPr>
          <w:rFonts w:ascii="Arial" w:hAnsi="Arial" w:cs="Arial"/>
          <w:lang w:val="es-ES"/>
        </w:rPr>
        <w:t>Como lo menciona Antón et al (2009), si bien el concepto de raza corresponde a construcciones mentales y sociales, producto de estereotipos que han justificado diferencias fenotípicas, biológicas y fisiológicas entre los seres humanos y que, en otros casos, se ha asociado a linajes o descendientes vinculados con un ancestro común. Y si bien es cierto que en algunos casos se ha utilizado de manera indiscriminada conduciendo al racismo o la justificación de actitudes ideológicas que señalan la supremacía de culturas dominantes, también es evidente que en América Latina, a través de este concepto, se han determinado grupos poblacionales o culturales que se considera, comparten componentes genéticos: blancos, mestizos, negros e indígenas, y ha operado como categoría diferenciadora al interior de los mismos grupos poblacionales que comparten ciertos rasgos físicos. En el caso de los afrodescendientes, internamente para su distinción, se han venido utilizando diferentes categorías raciales de tipo colonial, con diferencias, dependiendo del contexto histórico y geográfico y por lo tanto su utilización en las peguntas de autorreconocimiento permiten reconocer y respetar las diferentes formas de identidad étnica por medio de la cual se autoafirman las personas y las comunidades.</w:t>
      </w:r>
    </w:p>
    <w:p w14:paraId="6F12D096" w14:textId="1D3E028E" w:rsidR="00D40D8A" w:rsidRPr="005922D8" w:rsidRDefault="00D40D8A" w:rsidP="00D40D8A">
      <w:pPr>
        <w:jc w:val="both"/>
        <w:rPr>
          <w:rFonts w:ascii="Arial" w:hAnsi="Arial" w:cs="Arial"/>
          <w:lang w:val="es-ES"/>
        </w:rPr>
      </w:pPr>
      <w:r w:rsidRPr="005922D8">
        <w:rPr>
          <w:rFonts w:ascii="Arial" w:hAnsi="Arial" w:cs="Arial"/>
          <w:lang w:val="es-ES"/>
        </w:rPr>
        <w:lastRenderedPageBreak/>
        <w:t>No obstante, también es importante aclarar que el empleo del criterio de autorreconocimiento de la identidad en las operaciones estadísticas depende del grado de conciencia étnica y de la percepción que la población de los grupos étnicos tenga del censo como instrumento legítimo para cuantificar y caracterizar dichas poblaciones</w:t>
      </w:r>
      <w:r w:rsidRPr="005922D8">
        <w:rPr>
          <w:rStyle w:val="Refdenotaalpie"/>
          <w:rFonts w:ascii="Arial" w:hAnsi="Arial" w:cs="Arial"/>
          <w:lang w:val="es-ES"/>
        </w:rPr>
        <w:footnoteReference w:id="22"/>
      </w:r>
      <w:r w:rsidRPr="005922D8">
        <w:rPr>
          <w:rFonts w:ascii="Arial" w:hAnsi="Arial" w:cs="Arial"/>
          <w:lang w:val="es-ES"/>
        </w:rPr>
        <w:t>. Adicionalmente, la ventaja que tiene la utilización de este criterio es que cada persona declara la pertenencia o no a un grupo determinado sin que intervenga la mirada subjetiva del entrevistador.</w:t>
      </w:r>
    </w:p>
    <w:p w14:paraId="52940953" w14:textId="77777777" w:rsidR="00341570" w:rsidRPr="005922D8" w:rsidRDefault="00D40D8A" w:rsidP="00341570">
      <w:pPr>
        <w:jc w:val="both"/>
        <w:rPr>
          <w:rFonts w:ascii="Arial" w:hAnsi="Arial" w:cs="Arial"/>
          <w:lang w:val="es-ES"/>
        </w:rPr>
      </w:pPr>
      <w:r w:rsidRPr="005922D8">
        <w:rPr>
          <w:rFonts w:ascii="Arial" w:hAnsi="Arial" w:cs="Arial"/>
          <w:lang w:val="es-ES"/>
        </w:rPr>
        <w:t>Ahora bien, hay diferentes debates alrededor de quién debe definir la pertenencia de una persona o una comunidad a un grupo étnico y esta puede abordarse desde dos posibilidades de enfoques identitarios,</w:t>
      </w:r>
      <w:r w:rsidR="00341570" w:rsidRPr="005922D8">
        <w:rPr>
          <w:rFonts w:ascii="Arial" w:hAnsi="Arial" w:cs="Arial"/>
          <w:lang w:val="es-ES"/>
        </w:rPr>
        <w:t xml:space="preserve"> </w:t>
      </w:r>
      <w:r w:rsidR="00341570" w:rsidRPr="005922D8">
        <w:rPr>
          <w:rFonts w:ascii="Arial" w:hAnsi="Arial" w:cs="Arial"/>
          <w:b/>
          <w:lang w:val="es-ES"/>
        </w:rPr>
        <w:t>desde la perspectiva de un observador externo o desde los propios pueblos étnicos</w:t>
      </w:r>
      <w:r w:rsidR="00341570" w:rsidRPr="005922D8">
        <w:rPr>
          <w:rFonts w:ascii="Arial" w:hAnsi="Arial" w:cs="Arial"/>
          <w:lang w:val="es-ES"/>
        </w:rPr>
        <w:t>. Al respecto, el CELADE-División de Población de la CEPAL (2009), señala lo siguiente:</w:t>
      </w:r>
    </w:p>
    <w:p w14:paraId="143695D0" w14:textId="77777777" w:rsidR="00341570" w:rsidRPr="005922D8" w:rsidRDefault="00341570" w:rsidP="00341570">
      <w:pPr>
        <w:jc w:val="both"/>
        <w:rPr>
          <w:rFonts w:ascii="Arial" w:hAnsi="Arial" w:cs="Arial"/>
          <w:lang w:val="es-ES"/>
        </w:rPr>
      </w:pPr>
    </w:p>
    <w:p w14:paraId="0D1E0C2E" w14:textId="77777777" w:rsidR="00341570" w:rsidRPr="005922D8" w:rsidRDefault="00341570" w:rsidP="00341570">
      <w:pPr>
        <w:numPr>
          <w:ilvl w:val="0"/>
          <w:numId w:val="15"/>
        </w:numPr>
        <w:jc w:val="both"/>
        <w:rPr>
          <w:rFonts w:ascii="Arial" w:hAnsi="Arial" w:cs="Arial"/>
          <w:lang w:val="es-ES"/>
        </w:rPr>
      </w:pPr>
      <w:r w:rsidRPr="005922D8">
        <w:rPr>
          <w:rFonts w:ascii="Arial" w:hAnsi="Arial" w:cs="Arial"/>
          <w:lang w:val="es-ES"/>
        </w:rPr>
        <w:t>“La perspectiva de un observador o de personas ajenas a los pueblos o que no pertenecen a ellos,</w:t>
      </w:r>
    </w:p>
    <w:p w14:paraId="54C5FC5A" w14:textId="77777777" w:rsidR="00341570" w:rsidRPr="005922D8" w:rsidRDefault="00341570" w:rsidP="00341570">
      <w:pPr>
        <w:jc w:val="both"/>
        <w:rPr>
          <w:rFonts w:ascii="Arial" w:hAnsi="Arial" w:cs="Arial"/>
          <w:lang w:val="es-ES"/>
        </w:rPr>
      </w:pPr>
      <w:r w:rsidRPr="005922D8">
        <w:rPr>
          <w:rFonts w:ascii="Arial" w:hAnsi="Arial" w:cs="Arial"/>
          <w:lang w:val="es-ES"/>
        </w:rPr>
        <w:t>puede incurrir en errores por desconocimiento o conveniencia.</w:t>
      </w:r>
    </w:p>
    <w:p w14:paraId="4A6EF903" w14:textId="77777777" w:rsidR="00341570" w:rsidRPr="005922D8" w:rsidRDefault="00341570" w:rsidP="00341570">
      <w:pPr>
        <w:numPr>
          <w:ilvl w:val="0"/>
          <w:numId w:val="15"/>
        </w:numPr>
        <w:jc w:val="both"/>
        <w:rPr>
          <w:rFonts w:ascii="Arial" w:hAnsi="Arial" w:cs="Arial"/>
          <w:lang w:val="es-ES"/>
        </w:rPr>
      </w:pPr>
      <w:r w:rsidRPr="005922D8">
        <w:rPr>
          <w:rFonts w:ascii="Arial" w:hAnsi="Arial" w:cs="Arial"/>
          <w:lang w:val="es-ES"/>
        </w:rPr>
        <w:t>“Si bien el autorreconocimiento no está exento de sesgos, se asume que es posible que, debido a los procesos de revitalización cultural y al mayor protagonismo de los pueblos indígenas y afrodescendientes en los escenarios nacionales e internacionales esta perspectiva favorece el desarrollo de la conciencia de pertenencia que se hace evidente en las operaciones estadísticas.</w:t>
      </w:r>
    </w:p>
    <w:p w14:paraId="1E53CCA5" w14:textId="77777777" w:rsidR="00341570" w:rsidRPr="005922D8" w:rsidRDefault="00341570" w:rsidP="00341570">
      <w:pPr>
        <w:numPr>
          <w:ilvl w:val="0"/>
          <w:numId w:val="15"/>
        </w:numPr>
        <w:jc w:val="both"/>
        <w:rPr>
          <w:rFonts w:ascii="Arial" w:hAnsi="Arial" w:cs="Arial"/>
          <w:lang w:val="es-ES"/>
        </w:rPr>
      </w:pPr>
      <w:r w:rsidRPr="005922D8">
        <w:rPr>
          <w:rFonts w:ascii="Arial" w:hAnsi="Arial" w:cs="Arial"/>
          <w:lang w:val="es-ES"/>
        </w:rPr>
        <w:t>“El autorreconocimiento desde los propios pueblos étnicos promueve el reconocimiento al derecho de las personas a ser reconocidas como parte de un pueblo, el respeto a la identidad o a la conciencia que las personas tengan de su identidad. Su derecho como integrantes de un pueblo a ser consultado en asuntos que tengan que ver con su pueblo y contribuye al empoderamiento de los pueblos a través del reconocimiento a la libre declaración de identidad como miembro de un pueblo.</w:t>
      </w:r>
    </w:p>
    <w:p w14:paraId="0FDEA6A4" w14:textId="77777777" w:rsidR="00341570" w:rsidRPr="005922D8" w:rsidRDefault="00341570" w:rsidP="00341570">
      <w:pPr>
        <w:numPr>
          <w:ilvl w:val="0"/>
          <w:numId w:val="15"/>
        </w:numPr>
        <w:jc w:val="both"/>
        <w:rPr>
          <w:rFonts w:ascii="Arial" w:hAnsi="Arial" w:cs="Arial"/>
          <w:lang w:val="es-ES"/>
        </w:rPr>
      </w:pPr>
      <w:r w:rsidRPr="005922D8">
        <w:rPr>
          <w:rFonts w:ascii="Arial" w:hAnsi="Arial" w:cs="Arial"/>
          <w:lang w:val="es-ES"/>
        </w:rPr>
        <w:t>“A favor del autorreconocimiento, los pueblos indígenas han sostenido ante las Naciones Unidas, que todo intento de definición que provenga del exterior de los mismos pueblos es incorrecto o incompleto, y por lo tanto sostienen que corresponde a los individuos, y al pueblo en su conjunto, decidir quiénes son sus miembros.</w:t>
      </w:r>
    </w:p>
    <w:p w14:paraId="6BABAD1A" w14:textId="77777777" w:rsidR="00341570" w:rsidRPr="005922D8" w:rsidRDefault="00341570" w:rsidP="00341570">
      <w:pPr>
        <w:numPr>
          <w:ilvl w:val="0"/>
          <w:numId w:val="15"/>
        </w:numPr>
        <w:jc w:val="both"/>
        <w:rPr>
          <w:rFonts w:ascii="Arial" w:hAnsi="Arial" w:cs="Arial"/>
          <w:lang w:val="es-ES"/>
        </w:rPr>
      </w:pPr>
      <w:r w:rsidRPr="005922D8">
        <w:rPr>
          <w:rFonts w:ascii="Arial" w:hAnsi="Arial" w:cs="Arial"/>
          <w:lang w:val="es-ES"/>
        </w:rPr>
        <w:t xml:space="preserve">“Distintos órganos de las Naciones Unidas han venido señalando de manera reiterativa que, es a los propios pueblos a quienes les corresponde decidir quiénes son sus miembros, proponiendo con ello la autodefinición, sin que ello implique el reconocimiento de otros elementos como la ascendencia, la identidad colectiva, la aceptación por el grupo, el vínculo histórico con la tierra y el idioma. En el Foro Permanente para las Cuestiones Indígenas de las Naciones Unidas, 2004 y 2006, se planteó que son los pueblos y las personas que se consideran indígenas los que se deben autodefinir como tales, por lo que hace un llamado para que sus </w:t>
      </w:r>
      <w:r w:rsidRPr="005922D8">
        <w:rPr>
          <w:rFonts w:ascii="Arial" w:hAnsi="Arial" w:cs="Arial"/>
          <w:lang w:val="es-ES"/>
        </w:rPr>
        <w:lastRenderedPageBreak/>
        <w:t>representantes participen en las decisiones que se toman en torno a las formas de recolección de información sobre sus pueblos”.</w:t>
      </w:r>
    </w:p>
    <w:p w14:paraId="4E54B1D8" w14:textId="77777777" w:rsidR="00341570" w:rsidRPr="005922D8" w:rsidRDefault="00341570" w:rsidP="00341570">
      <w:pPr>
        <w:jc w:val="both"/>
        <w:rPr>
          <w:rFonts w:ascii="Arial" w:hAnsi="Arial" w:cs="Arial"/>
          <w:lang w:val="es-ES"/>
        </w:rPr>
      </w:pPr>
      <w:r w:rsidRPr="005922D8">
        <w:rPr>
          <w:rFonts w:ascii="Arial" w:hAnsi="Arial" w:cs="Arial"/>
          <w:lang w:val="es-ES"/>
        </w:rPr>
        <w:t>En resumen, la metodología utilizada por el DANE para captar la pertinencia étnica es el autorreconocimiento étnico, la cual respeta el derecho de cada persona para definir su pertenencia étnica y se basa en metodologías estandarizadas que permiten la comparación internacional de resultados. La pregunta de autorreconocimiento tiene en cuenta, tanto la identidad, referida a su pertenencia a un colectivo, como la posibilidad de identificarse a través de rasgos raciales.</w:t>
      </w:r>
    </w:p>
    <w:p w14:paraId="47161877" w14:textId="476A1B4B" w:rsidR="00341570" w:rsidRPr="005922D8" w:rsidRDefault="00341570" w:rsidP="00341570">
      <w:pPr>
        <w:jc w:val="both"/>
        <w:rPr>
          <w:rFonts w:ascii="Arial" w:hAnsi="Arial" w:cs="Arial"/>
          <w:lang w:val="es-ES"/>
        </w:rPr>
      </w:pPr>
      <w:r w:rsidRPr="005922D8">
        <w:rPr>
          <w:rFonts w:ascii="Arial" w:hAnsi="Arial" w:cs="Arial"/>
          <w:lang w:val="es-ES"/>
        </w:rPr>
        <w:t xml:space="preserve">Al utilizar la metodología de autorreconocimiento para captar la pertenencia étnica de la población, cada persona declara la pertenencia o no a un grupo étnico determinado sin que intervenga la mirada subjetiva del entrevistador </w:t>
      </w:r>
      <w:r w:rsidR="000F6005" w:rsidRPr="005922D8">
        <w:rPr>
          <w:rFonts w:ascii="Arial" w:hAnsi="Arial" w:cs="Arial"/>
          <w:lang w:val="es-ES"/>
        </w:rPr>
        <w:t>y,</w:t>
      </w:r>
      <w:r w:rsidRPr="005922D8">
        <w:rPr>
          <w:rFonts w:ascii="Arial" w:hAnsi="Arial" w:cs="Arial"/>
          <w:lang w:val="es-ES"/>
        </w:rPr>
        <w:t xml:space="preserve"> por tanto, depende del grado de conciencia étnica y de la percepción que la población de los grupos étnicos tenga del censo, como instrumento legítimo para cuantificar y caracterizar dichas poblaciones</w:t>
      </w:r>
      <w:r w:rsidRPr="005922D8">
        <w:rPr>
          <w:rStyle w:val="Refdenotaalpie"/>
          <w:rFonts w:ascii="Arial" w:hAnsi="Arial" w:cs="Arial"/>
          <w:lang w:val="es-ES"/>
        </w:rPr>
        <w:footnoteReference w:id="23"/>
      </w:r>
      <w:r w:rsidRPr="005922D8">
        <w:rPr>
          <w:rFonts w:ascii="Arial" w:hAnsi="Arial" w:cs="Arial"/>
          <w:lang w:val="es-ES"/>
        </w:rPr>
        <w:t>.</w:t>
      </w:r>
    </w:p>
    <w:p w14:paraId="0CE67520" w14:textId="11EBFD84" w:rsidR="00341570" w:rsidRPr="005922D8" w:rsidRDefault="00341570" w:rsidP="00341570">
      <w:pPr>
        <w:jc w:val="both"/>
        <w:rPr>
          <w:rFonts w:ascii="Arial" w:hAnsi="Arial" w:cs="Arial"/>
          <w:i/>
          <w:lang w:val="es-ES"/>
        </w:rPr>
      </w:pPr>
      <w:r w:rsidRPr="005922D8">
        <w:rPr>
          <w:rFonts w:ascii="Arial" w:hAnsi="Arial" w:cs="Arial"/>
          <w:lang w:val="es-ES"/>
        </w:rPr>
        <w:t>Desde el punto de vista de los estándares internacionales, “</w:t>
      </w:r>
      <w:r w:rsidRPr="005922D8">
        <w:rPr>
          <w:rFonts w:ascii="Arial" w:hAnsi="Arial" w:cs="Arial"/>
          <w:i/>
          <w:lang w:val="es-ES"/>
        </w:rPr>
        <w:t xml:space="preserve">la </w:t>
      </w:r>
      <w:r w:rsidR="000F6005" w:rsidRPr="005922D8">
        <w:rPr>
          <w:rFonts w:ascii="Arial" w:hAnsi="Arial" w:cs="Arial"/>
          <w:i/>
          <w:lang w:val="es-ES"/>
        </w:rPr>
        <w:t>autoidentificación</w:t>
      </w:r>
      <w:r w:rsidRPr="005922D8">
        <w:rPr>
          <w:rFonts w:ascii="Arial" w:hAnsi="Arial" w:cs="Arial"/>
          <w:i/>
          <w:lang w:val="es-ES"/>
        </w:rPr>
        <w:t xml:space="preserve"> de la ascendencia africana depende, en última instancia, de percepciones influidas por diversos componentes, además de la adscripción racial o el color de piel, como la clase socioeconómica del encuestado, el contexto regional, la identidad y las</w:t>
      </w:r>
      <w:r w:rsidRPr="005922D8">
        <w:rPr>
          <w:rFonts w:ascii="Arial" w:eastAsia="Segoe UI" w:hAnsi="Arial" w:cs="Arial"/>
          <w:i/>
          <w:lang w:val="es-ES"/>
        </w:rPr>
        <w:t xml:space="preserve"> </w:t>
      </w:r>
      <w:r w:rsidRPr="005922D8">
        <w:rPr>
          <w:rFonts w:ascii="Arial" w:hAnsi="Arial" w:cs="Arial"/>
          <w:i/>
          <w:lang w:val="es-ES"/>
        </w:rPr>
        <w:t>preferencias culturales. Si bien numerosos estudios han intentado medir la influencia de estos aspectos en la adscripción racial de una persona, los resultados han sido heterogéneos, probando así que la identidad racial es contingente, social e históricamente”.</w:t>
      </w:r>
      <w:r w:rsidRPr="005922D8">
        <w:rPr>
          <w:rStyle w:val="Refdenotaalpie"/>
          <w:rFonts w:ascii="Arial" w:hAnsi="Arial" w:cs="Arial"/>
          <w:i/>
          <w:lang w:val="es-ES"/>
        </w:rPr>
        <w:footnoteReference w:id="24"/>
      </w:r>
      <w:r w:rsidRPr="005922D8">
        <w:rPr>
          <w:rStyle w:val="Refdenotaalpie"/>
          <w:rFonts w:ascii="Arial" w:hAnsi="Arial" w:cs="Arial"/>
          <w:i/>
          <w:lang w:val="es-ES"/>
        </w:rPr>
        <w:footnoteReference w:id="25"/>
      </w:r>
    </w:p>
    <w:p w14:paraId="1A78ED08" w14:textId="77777777" w:rsidR="00341570" w:rsidRPr="005922D8" w:rsidRDefault="00341570" w:rsidP="00341570">
      <w:pPr>
        <w:jc w:val="both"/>
        <w:rPr>
          <w:rFonts w:ascii="Arial" w:hAnsi="Arial" w:cs="Arial"/>
          <w:iCs/>
          <w:lang w:val="es-ES"/>
        </w:rPr>
      </w:pPr>
      <w:r w:rsidRPr="005922D8">
        <w:rPr>
          <w:rFonts w:ascii="Arial" w:hAnsi="Arial" w:cs="Arial"/>
          <w:iCs/>
          <w:lang w:val="es-ES"/>
        </w:rPr>
        <w:t>Con respecto a la observación de separar las categorías de “negro(a), mulato(a), afrodescendiente, afrocolombiano(a)” en opciones de respuesta distinguibles a la pregunta 37 del Censo 2018?”, en primer lugar, es importante reiterar que el proceso de consulta previa con las comunidades negras afrocolombianas, raizales y palenqueras y su participación en las diferentes fases del Censo 2018, se llevó a cabo por medio del Espacio Nacional de Consulta Previa de las medidas legislativas y administrativas de carácter general, susceptibles de afectar directamente a las comunidades negras, afrocolombianas, raizales y palenqueras rurales y urbanas del país, conformado en su momento por 232 delegados, por ser esta la instancia representativa, legítima y operativa definida en la normatividad vigente (Decreto 1372 de 2018). Dicha instancia responde a lo señalado por la Corte Constitucional, mediante sentencia T- 576 del 4 de agosto del 2014, en la que se ordena al Ministerio del Interior adelantar un proceso de consulta con las comunidades negras, afrocolombianas, raizales y palenqueras del país, para definir las pautas de integración de este Espacio Nacional.</w:t>
      </w:r>
    </w:p>
    <w:p w14:paraId="65B80A4A" w14:textId="77777777" w:rsidR="00341570" w:rsidRPr="005922D8" w:rsidRDefault="00341570" w:rsidP="00341570">
      <w:pPr>
        <w:jc w:val="both"/>
        <w:rPr>
          <w:rFonts w:ascii="Arial" w:hAnsi="Arial" w:cs="Arial"/>
          <w:iCs/>
          <w:lang w:val="es-ES"/>
        </w:rPr>
      </w:pPr>
      <w:r w:rsidRPr="005922D8">
        <w:rPr>
          <w:rFonts w:ascii="Arial" w:hAnsi="Arial" w:cs="Arial"/>
          <w:iCs/>
          <w:lang w:val="es-ES"/>
        </w:rPr>
        <w:t xml:space="preserve">Como instancia representativa legítima de las comunidades negras, afrocolombianas, raizales y palenqueras, el Espacio Nacional está integrado (Artículo 2.5.1.4.2. del Decreto </w:t>
      </w:r>
      <w:r w:rsidRPr="005922D8">
        <w:rPr>
          <w:rFonts w:ascii="Arial" w:hAnsi="Arial" w:cs="Arial"/>
          <w:iCs/>
          <w:lang w:val="es-ES"/>
        </w:rPr>
        <w:lastRenderedPageBreak/>
        <w:t>1372 de 2018) por sus diferentes expresiones organizativas y teniendo en cuenta criterios: a) territoriales que garantizan la participación de los territorios colectivos de todos los departamentos del país, donde existan territorios titulados, en trámite de adjudicación colectiva o territorios ancestrales; b) Poblacionales, que garantizan la participación de las comunidades negras, afrocolombianas, raizales y palenqueras que habitan las áreas urbanas del país, en cada departamento y el Distrito Capital de Bogotá; c) Distritales, que garantiza la participación de los distritos especiales turísticos y portuarios del país; d) De participación especial, en reconocimiento de las particularidades del departamento de San Andrés, Providencia y Santa Catalina; San Basilio de Palenque y las capitanías del Cauca; e) Diferenciales, que garantiza la participación de jóvenes, mujeres, víctimas, LGBTI. 5.5, personas con discapacidad y adulto mayor; y e) De equidad de género.</w:t>
      </w:r>
    </w:p>
    <w:p w14:paraId="368A1048" w14:textId="1D911007" w:rsidR="00341570" w:rsidRPr="005922D8" w:rsidRDefault="00341570" w:rsidP="00341570">
      <w:pPr>
        <w:jc w:val="both"/>
        <w:rPr>
          <w:rFonts w:ascii="Arial" w:hAnsi="Arial" w:cs="Arial"/>
          <w:iCs/>
          <w:lang w:val="es-ES"/>
        </w:rPr>
      </w:pPr>
      <w:r w:rsidRPr="005922D8">
        <w:rPr>
          <w:rFonts w:ascii="Arial" w:hAnsi="Arial" w:cs="Arial"/>
          <w:iCs/>
          <w:lang w:val="es-ES"/>
        </w:rPr>
        <w:t>En este contexto, el DANE concertó con este espacio los aspectos temáticos del cuestionario (preguntas, variables, categorías, flujos y filtros) y para tal efecto, presentaba primero ante un equipo técnico definido por el Espacio Nacional y compuesto por profesionales de las distintas organizaciones del país, una propuesta técnica que era debatida y retroalimentada por dicho equipo. Los análisis y conclusiones se presentaban en la Comisión VII del Espacio Nacional, compuesta por 57 delegados de todo el país, quienes presentaban sus análisis, debates y aportes, y finalmente esto se presentaba en la plenaria del Espacio Nacional de Consulta Previa. En la asamblea del Espacio Nacional nuevamente se presentaban, debatían, concertaban y protocolizaban los acuerdos o los desacuerdos.</w:t>
      </w:r>
    </w:p>
    <w:p w14:paraId="75A4C8AA" w14:textId="77777777" w:rsidR="00341570" w:rsidRPr="005922D8" w:rsidRDefault="00341570" w:rsidP="00341570">
      <w:pPr>
        <w:jc w:val="both"/>
        <w:rPr>
          <w:rFonts w:ascii="Arial" w:hAnsi="Arial" w:cs="Arial"/>
          <w:iCs/>
          <w:lang w:val="es-ES"/>
        </w:rPr>
      </w:pPr>
      <w:r w:rsidRPr="005922D8">
        <w:rPr>
          <w:rFonts w:ascii="Arial" w:hAnsi="Arial" w:cs="Arial"/>
          <w:iCs/>
          <w:lang w:val="es-ES"/>
        </w:rPr>
        <w:t>Respecto a la parte temática del cuestionario, el DANE inicialmente presentó las categorías correspondientes de forma separada, es decir, negro(a), mulato(a), afrodescendiente y afrocolombiano, por sugerencia de varios investigadores y por el equipo temático del DANE, y teniendo en cuenta la experiencia exitosa del Censo General – CG 2005, con el fin de revisar la posibilidad de generar información más precisa y detallada del comportamiento de cada categoría al cruzarla con toda la información recolectada en un Censo Nacional; no obstante, y luego del análisis y discusiones sostenidas con los equipos técnicos y el Espacio Nacional, se llegó a la conclusión y acuerdo en la consulta, adoptar la pregunta con las mismas categorías desarrolladas en el CG 2005.</w:t>
      </w:r>
    </w:p>
    <w:p w14:paraId="61208D8B" w14:textId="2312A7D5" w:rsidR="00341570" w:rsidRPr="005922D8" w:rsidRDefault="00341570" w:rsidP="00341570">
      <w:pPr>
        <w:jc w:val="both"/>
        <w:rPr>
          <w:rFonts w:ascii="Arial" w:hAnsi="Arial" w:cs="Arial"/>
          <w:iCs/>
          <w:lang w:val="es-ES"/>
        </w:rPr>
      </w:pPr>
      <w:r w:rsidRPr="005922D8">
        <w:rPr>
          <w:rFonts w:ascii="Arial" w:hAnsi="Arial" w:cs="Arial"/>
          <w:iCs/>
          <w:lang w:val="es-ES"/>
        </w:rPr>
        <w:t>En este sentido, la pregunta empleada para captar la pertenencia étnica en el CNPV 2018, en términos generales, fue la misma del Censo General 2005, con la variación de la opción No. 6, la cual cambió de ‘ninguno de los anteriores’ a ‘ningún grupo étnico’. Las alternativas de respuesta 3, 4 y 5 corresponden a la población Negra, afrocolombiana, raizal y palenquera:</w:t>
      </w:r>
    </w:p>
    <w:tbl>
      <w:tblPr>
        <w:tblStyle w:val="Tablaconcuadrcula"/>
        <w:tblW w:w="0" w:type="auto"/>
        <w:tblLook w:val="04A0" w:firstRow="1" w:lastRow="0" w:firstColumn="1" w:lastColumn="0" w:noHBand="0" w:noVBand="1"/>
      </w:tblPr>
      <w:tblGrid>
        <w:gridCol w:w="8828"/>
      </w:tblGrid>
      <w:tr w:rsidR="00341570" w:rsidRPr="005922D8" w14:paraId="1F036F3A" w14:textId="77777777" w:rsidTr="00341570">
        <w:tc>
          <w:tcPr>
            <w:tcW w:w="8828" w:type="dxa"/>
          </w:tcPr>
          <w:p w14:paraId="1B2767F1" w14:textId="77777777" w:rsidR="00341570" w:rsidRPr="005922D8" w:rsidRDefault="00341570" w:rsidP="00341570">
            <w:pPr>
              <w:jc w:val="both"/>
              <w:rPr>
                <w:rFonts w:ascii="Arial" w:hAnsi="Arial" w:cs="Arial"/>
                <w:b/>
                <w:iCs/>
                <w:lang w:val="es-ES"/>
              </w:rPr>
            </w:pPr>
            <w:r w:rsidRPr="005922D8">
              <w:rPr>
                <w:rFonts w:ascii="Arial" w:hAnsi="Arial" w:cs="Arial"/>
                <w:b/>
                <w:iCs/>
                <w:lang w:val="es-ES"/>
              </w:rPr>
              <w:t>Pregunta No 37. ¿De acuerdo con su cultura, pueblo o rasgos físicos . . . es o se reconoce como:</w:t>
            </w:r>
          </w:p>
          <w:p w14:paraId="51CB5820" w14:textId="77777777" w:rsidR="00341570" w:rsidRPr="005922D8" w:rsidRDefault="00341570" w:rsidP="00341570">
            <w:pPr>
              <w:jc w:val="both"/>
              <w:rPr>
                <w:rFonts w:ascii="Arial" w:hAnsi="Arial" w:cs="Arial"/>
                <w:b/>
                <w:iCs/>
                <w:lang w:val="es-ES"/>
              </w:rPr>
            </w:pPr>
          </w:p>
          <w:p w14:paraId="0100A81C" w14:textId="2F08DB5C" w:rsidR="00341570" w:rsidRPr="005922D8" w:rsidRDefault="004038B8" w:rsidP="00341570">
            <w:pPr>
              <w:numPr>
                <w:ilvl w:val="0"/>
                <w:numId w:val="17"/>
              </w:numPr>
              <w:jc w:val="both"/>
              <w:rPr>
                <w:rFonts w:ascii="Arial" w:hAnsi="Arial" w:cs="Arial"/>
                <w:b/>
                <w:iCs/>
                <w:lang w:val="es-ES"/>
              </w:rPr>
            </w:pPr>
            <w:r w:rsidRPr="005922D8">
              <w:rPr>
                <w:rFonts w:ascii="Arial" w:hAnsi="Arial" w:cs="Arial"/>
                <w:b/>
                <w:iCs/>
                <w:lang w:val="es-ES"/>
              </w:rPr>
              <w:t>¿Indígena?</w:t>
            </w:r>
          </w:p>
          <w:p w14:paraId="113DDD8B" w14:textId="7886E749" w:rsidR="00341570" w:rsidRPr="005922D8" w:rsidRDefault="00341570" w:rsidP="00341570">
            <w:pPr>
              <w:numPr>
                <w:ilvl w:val="1"/>
                <w:numId w:val="17"/>
              </w:numPr>
              <w:jc w:val="both"/>
              <w:rPr>
                <w:rFonts w:ascii="Arial" w:hAnsi="Arial" w:cs="Arial"/>
                <w:iCs/>
                <w:lang w:val="es-ES"/>
              </w:rPr>
            </w:pPr>
            <w:r w:rsidRPr="005922D8">
              <w:rPr>
                <w:rFonts w:ascii="Arial" w:hAnsi="Arial" w:cs="Arial"/>
                <w:iCs/>
                <w:lang w:val="es-ES"/>
              </w:rPr>
              <w:t xml:space="preserve">¿A cuál pueblo indígena pertenece </w:t>
            </w:r>
            <w:r w:rsidR="004038B8" w:rsidRPr="005922D8">
              <w:rPr>
                <w:rFonts w:ascii="Arial" w:hAnsi="Arial" w:cs="Arial"/>
                <w:iCs/>
                <w:lang w:val="es-ES"/>
              </w:rPr>
              <w:t>. . .?</w:t>
            </w:r>
            <w:r w:rsidRPr="005922D8">
              <w:rPr>
                <w:rFonts w:ascii="Arial" w:hAnsi="Arial" w:cs="Arial"/>
                <w:iCs/>
                <w:lang w:val="es-ES"/>
              </w:rPr>
              <w:t xml:space="preserve"> Nombre del pueblo indígena</w:t>
            </w:r>
            <w:r w:rsidRPr="005922D8">
              <w:rPr>
                <w:rFonts w:ascii="Arial" w:hAnsi="Arial" w:cs="Arial"/>
                <w:iCs/>
                <w:lang w:val="es-ES"/>
              </w:rPr>
              <w:tab/>
              <w:t>Código</w:t>
            </w:r>
          </w:p>
          <w:p w14:paraId="0D68C6C9" w14:textId="0D698B6F" w:rsidR="00341570" w:rsidRPr="005922D8" w:rsidRDefault="00341570" w:rsidP="00341570">
            <w:pPr>
              <w:numPr>
                <w:ilvl w:val="1"/>
                <w:numId w:val="17"/>
              </w:numPr>
              <w:jc w:val="both"/>
              <w:rPr>
                <w:rFonts w:ascii="Arial" w:hAnsi="Arial" w:cs="Arial"/>
                <w:iCs/>
                <w:lang w:val="es-ES"/>
              </w:rPr>
            </w:pPr>
            <w:r w:rsidRPr="005922D8">
              <w:rPr>
                <w:rFonts w:ascii="Arial" w:hAnsi="Arial" w:cs="Arial"/>
                <w:iCs/>
                <w:lang w:val="es-ES"/>
              </w:rPr>
              <w:t xml:space="preserve">¿A cuál clan pertenece </w:t>
            </w:r>
            <w:r w:rsidR="004038B8" w:rsidRPr="005922D8">
              <w:rPr>
                <w:rFonts w:ascii="Arial" w:hAnsi="Arial" w:cs="Arial"/>
                <w:iCs/>
                <w:lang w:val="es-ES"/>
              </w:rPr>
              <w:t>. . .?</w:t>
            </w:r>
            <w:r w:rsidRPr="005922D8">
              <w:rPr>
                <w:rFonts w:ascii="Arial" w:hAnsi="Arial" w:cs="Arial"/>
                <w:iCs/>
                <w:lang w:val="es-ES"/>
              </w:rPr>
              <w:t xml:space="preserve"> Nombre del clan</w:t>
            </w:r>
            <w:r w:rsidRPr="005922D8">
              <w:rPr>
                <w:rFonts w:ascii="Arial" w:hAnsi="Arial" w:cs="Arial"/>
                <w:iCs/>
                <w:lang w:val="es-ES"/>
              </w:rPr>
              <w:tab/>
              <w:t>Código</w:t>
            </w:r>
          </w:p>
          <w:p w14:paraId="079ECF39" w14:textId="437B60E3" w:rsidR="00341570" w:rsidRPr="005922D8" w:rsidRDefault="004038B8" w:rsidP="00341570">
            <w:pPr>
              <w:numPr>
                <w:ilvl w:val="0"/>
                <w:numId w:val="17"/>
              </w:numPr>
              <w:jc w:val="both"/>
              <w:rPr>
                <w:rFonts w:ascii="Arial" w:hAnsi="Arial" w:cs="Arial"/>
                <w:b/>
                <w:iCs/>
                <w:lang w:val="es-ES"/>
              </w:rPr>
            </w:pPr>
            <w:r w:rsidRPr="005922D8">
              <w:rPr>
                <w:rFonts w:ascii="Arial" w:hAnsi="Arial" w:cs="Arial"/>
                <w:b/>
                <w:iCs/>
                <w:lang w:val="es-ES"/>
              </w:rPr>
              <w:t>¿Gitano(a) o RRom?</w:t>
            </w:r>
          </w:p>
          <w:p w14:paraId="72807065" w14:textId="6A8C3AA6" w:rsidR="00341570" w:rsidRPr="005922D8" w:rsidRDefault="00341570" w:rsidP="00341570">
            <w:pPr>
              <w:numPr>
                <w:ilvl w:val="1"/>
                <w:numId w:val="17"/>
              </w:numPr>
              <w:jc w:val="both"/>
              <w:rPr>
                <w:rFonts w:ascii="Arial" w:hAnsi="Arial" w:cs="Arial"/>
                <w:iCs/>
                <w:lang w:val="es-ES"/>
              </w:rPr>
            </w:pPr>
            <w:r w:rsidRPr="005922D8">
              <w:rPr>
                <w:rFonts w:ascii="Arial" w:hAnsi="Arial" w:cs="Arial"/>
                <w:iCs/>
                <w:lang w:val="es-ES"/>
              </w:rPr>
              <w:t xml:space="preserve">¿A cuál vitsa pertenece </w:t>
            </w:r>
            <w:r w:rsidR="004038B8" w:rsidRPr="005922D8">
              <w:rPr>
                <w:rFonts w:ascii="Arial" w:hAnsi="Arial" w:cs="Arial"/>
                <w:iCs/>
                <w:lang w:val="es-ES"/>
              </w:rPr>
              <w:t>. . .?</w:t>
            </w:r>
            <w:r w:rsidRPr="005922D8">
              <w:rPr>
                <w:rFonts w:ascii="Arial" w:hAnsi="Arial" w:cs="Arial"/>
                <w:iCs/>
                <w:lang w:val="es-ES"/>
              </w:rPr>
              <w:tab/>
              <w:t>Nombre de Vitsa</w:t>
            </w:r>
            <w:r w:rsidRPr="005922D8">
              <w:rPr>
                <w:rFonts w:ascii="Arial" w:hAnsi="Arial" w:cs="Arial"/>
                <w:iCs/>
                <w:lang w:val="es-ES"/>
              </w:rPr>
              <w:tab/>
              <w:t>Código</w:t>
            </w:r>
          </w:p>
          <w:p w14:paraId="4464BB1B" w14:textId="07E986A0" w:rsidR="00341570" w:rsidRPr="005922D8" w:rsidRDefault="00341570" w:rsidP="00341570">
            <w:pPr>
              <w:numPr>
                <w:ilvl w:val="1"/>
                <w:numId w:val="17"/>
              </w:numPr>
              <w:jc w:val="both"/>
              <w:rPr>
                <w:rFonts w:ascii="Arial" w:hAnsi="Arial" w:cs="Arial"/>
                <w:iCs/>
                <w:lang w:val="es-ES"/>
              </w:rPr>
            </w:pPr>
            <w:r w:rsidRPr="005922D8">
              <w:rPr>
                <w:rFonts w:ascii="Arial" w:hAnsi="Arial" w:cs="Arial"/>
                <w:iCs/>
                <w:lang w:val="es-ES"/>
              </w:rPr>
              <w:t xml:space="preserve">¿A cuál kumpania pertenece </w:t>
            </w:r>
            <w:r w:rsidR="004038B8" w:rsidRPr="005922D8">
              <w:rPr>
                <w:rFonts w:ascii="Arial" w:hAnsi="Arial" w:cs="Arial"/>
                <w:iCs/>
                <w:lang w:val="es-ES"/>
              </w:rPr>
              <w:t>. . .?</w:t>
            </w:r>
            <w:r w:rsidRPr="005922D8">
              <w:rPr>
                <w:rFonts w:ascii="Arial" w:hAnsi="Arial" w:cs="Arial"/>
                <w:iCs/>
                <w:lang w:val="es-ES"/>
              </w:rPr>
              <w:t xml:space="preserve"> Nombre de kumpania</w:t>
            </w:r>
            <w:r w:rsidRPr="005922D8">
              <w:rPr>
                <w:rFonts w:ascii="Arial" w:hAnsi="Arial" w:cs="Arial"/>
                <w:iCs/>
                <w:lang w:val="es-ES"/>
              </w:rPr>
              <w:tab/>
              <w:t>Código</w:t>
            </w:r>
          </w:p>
          <w:p w14:paraId="676AC5F6" w14:textId="15E8ED87" w:rsidR="00341570" w:rsidRPr="005922D8" w:rsidRDefault="004038B8" w:rsidP="00341570">
            <w:pPr>
              <w:numPr>
                <w:ilvl w:val="0"/>
                <w:numId w:val="17"/>
              </w:numPr>
              <w:jc w:val="both"/>
              <w:rPr>
                <w:rFonts w:ascii="Arial" w:hAnsi="Arial" w:cs="Arial"/>
                <w:b/>
                <w:iCs/>
                <w:lang w:val="es-ES"/>
              </w:rPr>
            </w:pPr>
            <w:r w:rsidRPr="005922D8">
              <w:rPr>
                <w:rFonts w:ascii="Arial" w:hAnsi="Arial" w:cs="Arial"/>
                <w:b/>
                <w:iCs/>
                <w:lang w:val="es-ES"/>
              </w:rPr>
              <w:lastRenderedPageBreak/>
              <w:t>¿Raizal del Archipiélago de San Andrés, Providencia y Santa Catalina?</w:t>
            </w:r>
          </w:p>
          <w:p w14:paraId="06394F54" w14:textId="6FD86549" w:rsidR="00341570" w:rsidRPr="005922D8" w:rsidRDefault="004038B8" w:rsidP="00341570">
            <w:pPr>
              <w:numPr>
                <w:ilvl w:val="0"/>
                <w:numId w:val="17"/>
              </w:numPr>
              <w:jc w:val="both"/>
              <w:rPr>
                <w:rFonts w:ascii="Arial" w:hAnsi="Arial" w:cs="Arial"/>
                <w:b/>
                <w:iCs/>
                <w:lang w:val="es-ES"/>
              </w:rPr>
            </w:pPr>
            <w:r w:rsidRPr="005922D8">
              <w:rPr>
                <w:rFonts w:ascii="Arial" w:hAnsi="Arial" w:cs="Arial"/>
                <w:b/>
                <w:iCs/>
                <w:lang w:val="es-ES"/>
              </w:rPr>
              <w:t>¿Palenquero(a) de San Basilio?</w:t>
            </w:r>
          </w:p>
          <w:p w14:paraId="5FA4FEA3" w14:textId="77777777" w:rsidR="00341570" w:rsidRPr="005922D8" w:rsidRDefault="00341570" w:rsidP="00341570">
            <w:pPr>
              <w:numPr>
                <w:ilvl w:val="0"/>
                <w:numId w:val="17"/>
              </w:numPr>
              <w:jc w:val="both"/>
              <w:rPr>
                <w:rFonts w:ascii="Arial" w:hAnsi="Arial" w:cs="Arial"/>
                <w:b/>
                <w:iCs/>
                <w:lang w:val="es-ES"/>
              </w:rPr>
            </w:pPr>
            <w:r w:rsidRPr="005922D8">
              <w:rPr>
                <w:rFonts w:ascii="Arial" w:hAnsi="Arial" w:cs="Arial"/>
                <w:b/>
                <w:iCs/>
                <w:lang w:val="es-ES"/>
              </w:rPr>
              <w:t>¿Negro(a), mulato(a), afrodescendiente, afrocolombiano(a)?</w:t>
            </w:r>
          </w:p>
          <w:p w14:paraId="57C9AB19" w14:textId="77777777" w:rsidR="00341570" w:rsidRPr="005922D8" w:rsidRDefault="00341570" w:rsidP="00341570">
            <w:pPr>
              <w:numPr>
                <w:ilvl w:val="0"/>
                <w:numId w:val="17"/>
              </w:numPr>
              <w:jc w:val="both"/>
              <w:rPr>
                <w:rFonts w:ascii="Arial" w:hAnsi="Arial" w:cs="Arial"/>
                <w:b/>
                <w:iCs/>
                <w:lang w:val="es-ES"/>
              </w:rPr>
            </w:pPr>
            <w:r w:rsidRPr="005922D8">
              <w:rPr>
                <w:rFonts w:ascii="Arial" w:hAnsi="Arial" w:cs="Arial"/>
                <w:b/>
                <w:iCs/>
                <w:lang w:val="es-ES"/>
              </w:rPr>
              <w:t>Ningún grupo étnico</w:t>
            </w:r>
          </w:p>
          <w:p w14:paraId="61F21458" w14:textId="77777777" w:rsidR="00341570" w:rsidRPr="005922D8" w:rsidRDefault="00341570" w:rsidP="00341570">
            <w:pPr>
              <w:jc w:val="both"/>
              <w:rPr>
                <w:rFonts w:ascii="Arial" w:hAnsi="Arial" w:cs="Arial"/>
                <w:i/>
                <w:lang w:val="es-ES"/>
              </w:rPr>
            </w:pPr>
          </w:p>
        </w:tc>
      </w:tr>
    </w:tbl>
    <w:p w14:paraId="15555254" w14:textId="77777777" w:rsidR="00341570" w:rsidRPr="005922D8" w:rsidRDefault="00341570" w:rsidP="004038B8">
      <w:pPr>
        <w:spacing w:before="240"/>
        <w:jc w:val="both"/>
        <w:rPr>
          <w:rFonts w:ascii="Arial" w:hAnsi="Arial" w:cs="Arial"/>
          <w:iCs/>
          <w:lang w:val="es-ES"/>
        </w:rPr>
      </w:pPr>
      <w:r w:rsidRPr="005922D8">
        <w:rPr>
          <w:rFonts w:ascii="Arial" w:hAnsi="Arial" w:cs="Arial"/>
          <w:iCs/>
          <w:lang w:val="es-ES"/>
        </w:rPr>
        <w:lastRenderedPageBreak/>
        <w:t>En el CNPV 2018 la variable de autorreconocimiento étnico permitió identificar a las poblaciones étnicas del país, entre ellas a la población negra, afrocolombiana, raizal y palenquera, al tiempo que permite realizar cruces de información con todas las variables incluidas en el formulario censal en sus tres módulos, así como análisis temáticos y comparativos con los resultados del CG 2005.</w:t>
      </w:r>
    </w:p>
    <w:p w14:paraId="1E91F687" w14:textId="77777777" w:rsidR="00341570" w:rsidRPr="005922D8" w:rsidRDefault="00341570" w:rsidP="00341570">
      <w:pPr>
        <w:jc w:val="both"/>
        <w:rPr>
          <w:rFonts w:ascii="Arial" w:hAnsi="Arial" w:cs="Arial"/>
          <w:iCs/>
          <w:lang w:val="es-ES"/>
        </w:rPr>
      </w:pPr>
      <w:r w:rsidRPr="005922D8">
        <w:rPr>
          <w:rFonts w:ascii="Arial" w:hAnsi="Arial" w:cs="Arial"/>
          <w:iCs/>
          <w:lang w:val="es-ES"/>
        </w:rPr>
        <w:t xml:space="preserve">En el marco de lo establecido en el presente documento, me permito reiterar el compromiso del Estado para garantizar la visibilidad estadística para los grupos étnicos y trabajar </w:t>
      </w:r>
      <w:proofErr w:type="gramStart"/>
      <w:r w:rsidRPr="005922D8">
        <w:rPr>
          <w:rFonts w:ascii="Arial" w:hAnsi="Arial" w:cs="Arial"/>
          <w:iCs/>
          <w:lang w:val="es-ES"/>
        </w:rPr>
        <w:t>conjuntamente con</w:t>
      </w:r>
      <w:proofErr w:type="gramEnd"/>
      <w:r w:rsidRPr="005922D8">
        <w:rPr>
          <w:rFonts w:ascii="Arial" w:hAnsi="Arial" w:cs="Arial"/>
          <w:iCs/>
          <w:lang w:val="es-ES"/>
        </w:rPr>
        <w:t xml:space="preserve"> ellos en la adecuación étnica del Sistema Estadístico Nacional -SEN. Por último, cabe destacar que se ha dispuesto para la vigencia 2022, un presupuesto de $3.020.000.000 COP destinado principalmente a ampliar la representatividad de dos operaciones estadísticas para grupos étnicos, para lo cual se proponen la Encuesta de Calidad – ECV y Estadísticas Vitales – EEVV.</w:t>
      </w:r>
    </w:p>
    <w:p w14:paraId="699F642F" w14:textId="77777777" w:rsidR="00341570" w:rsidRPr="005922D8" w:rsidRDefault="00341570" w:rsidP="00341570">
      <w:pPr>
        <w:jc w:val="both"/>
        <w:rPr>
          <w:rFonts w:ascii="Arial" w:hAnsi="Arial" w:cs="Arial"/>
          <w:iCs/>
          <w:lang w:val="es-ES"/>
        </w:rPr>
      </w:pPr>
    </w:p>
    <w:p w14:paraId="0C9BBF91" w14:textId="22D34A99" w:rsidR="00341570" w:rsidRPr="005922D8" w:rsidRDefault="00341570" w:rsidP="00341570">
      <w:pPr>
        <w:jc w:val="both"/>
        <w:rPr>
          <w:rFonts w:ascii="Arial" w:hAnsi="Arial" w:cs="Arial"/>
          <w:i/>
          <w:lang w:val="es-ES"/>
        </w:rPr>
      </w:pPr>
    </w:p>
    <w:p w14:paraId="012946B2" w14:textId="4E10D0C7" w:rsidR="00D40D8A" w:rsidRPr="005922D8" w:rsidRDefault="00D40D8A" w:rsidP="00D40D8A">
      <w:pPr>
        <w:jc w:val="both"/>
        <w:rPr>
          <w:rFonts w:ascii="Arial" w:hAnsi="Arial" w:cs="Arial"/>
          <w:lang w:val="es-ES"/>
        </w:rPr>
      </w:pPr>
    </w:p>
    <w:p w14:paraId="2789CCDE" w14:textId="77777777" w:rsidR="00D40D8A" w:rsidRPr="005922D8" w:rsidRDefault="00D40D8A" w:rsidP="00D40D8A">
      <w:pPr>
        <w:jc w:val="both"/>
        <w:rPr>
          <w:rFonts w:ascii="Arial" w:hAnsi="Arial" w:cs="Arial"/>
          <w:lang w:val="es-ES"/>
        </w:rPr>
      </w:pPr>
    </w:p>
    <w:p w14:paraId="5700870B" w14:textId="77777777" w:rsidR="00D40D8A" w:rsidRPr="005922D8" w:rsidRDefault="00D40D8A" w:rsidP="00D40D8A">
      <w:pPr>
        <w:jc w:val="both"/>
        <w:rPr>
          <w:rFonts w:ascii="Arial" w:hAnsi="Arial" w:cs="Arial"/>
          <w:lang w:val="es-ES"/>
        </w:rPr>
      </w:pPr>
    </w:p>
    <w:p w14:paraId="32D1B529" w14:textId="5F02E4A5" w:rsidR="00D40D8A" w:rsidRPr="005922D8" w:rsidRDefault="00D40D8A" w:rsidP="00D40D8A">
      <w:pPr>
        <w:jc w:val="both"/>
        <w:rPr>
          <w:rFonts w:ascii="Arial" w:hAnsi="Arial" w:cs="Arial"/>
          <w:lang w:val="es-ES"/>
        </w:rPr>
      </w:pPr>
    </w:p>
    <w:p w14:paraId="4A4E4E49" w14:textId="77777777" w:rsidR="00CE6693" w:rsidRPr="005922D8" w:rsidRDefault="00CE6693" w:rsidP="00CE6693">
      <w:pPr>
        <w:jc w:val="both"/>
        <w:rPr>
          <w:rFonts w:ascii="Arial" w:hAnsi="Arial" w:cs="Arial"/>
          <w:lang w:val="es-ES"/>
        </w:rPr>
      </w:pPr>
    </w:p>
    <w:p w14:paraId="23924BAA" w14:textId="391E1485" w:rsidR="00CE6693" w:rsidRPr="005922D8" w:rsidRDefault="00CE6693" w:rsidP="00CE6693">
      <w:pPr>
        <w:jc w:val="both"/>
        <w:rPr>
          <w:rFonts w:ascii="Arial" w:hAnsi="Arial" w:cs="Arial"/>
          <w:lang w:val="es-ES"/>
        </w:rPr>
      </w:pPr>
    </w:p>
    <w:p w14:paraId="32932193" w14:textId="77777777" w:rsidR="00786657" w:rsidRPr="005922D8" w:rsidRDefault="00786657" w:rsidP="00CE6693">
      <w:pPr>
        <w:rPr>
          <w:rFonts w:ascii="Arial" w:hAnsi="Arial" w:cs="Arial"/>
          <w:lang w:val="es-ES"/>
        </w:rPr>
      </w:pPr>
    </w:p>
    <w:p w14:paraId="29C4014C" w14:textId="77777777" w:rsidR="004B7459" w:rsidRPr="005922D8" w:rsidRDefault="004B7459" w:rsidP="00AD2E7F">
      <w:pPr>
        <w:jc w:val="both"/>
        <w:rPr>
          <w:rFonts w:ascii="Arial" w:hAnsi="Arial" w:cs="Arial"/>
        </w:rPr>
      </w:pPr>
    </w:p>
    <w:sectPr w:rsidR="004B7459" w:rsidRPr="005922D8" w:rsidSect="00F941F5">
      <w:headerReference w:type="default" r:id="rId54"/>
      <w:pgSz w:w="12240" w:h="15840"/>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D8E8F" w14:textId="77777777" w:rsidR="00997F49" w:rsidRDefault="00997F49" w:rsidP="00AD2E7F">
      <w:pPr>
        <w:spacing w:after="0" w:line="240" w:lineRule="auto"/>
      </w:pPr>
      <w:r>
        <w:separator/>
      </w:r>
    </w:p>
  </w:endnote>
  <w:endnote w:type="continuationSeparator" w:id="0">
    <w:p w14:paraId="58FAB44A" w14:textId="77777777" w:rsidR="00997F49" w:rsidRDefault="00997F49" w:rsidP="00AD2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Segoe UI">
    <w:altName w:val="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AE498" w14:textId="77777777" w:rsidR="00997F49" w:rsidRDefault="00997F49" w:rsidP="00AD2E7F">
      <w:pPr>
        <w:spacing w:after="0" w:line="240" w:lineRule="auto"/>
      </w:pPr>
      <w:r>
        <w:separator/>
      </w:r>
    </w:p>
  </w:footnote>
  <w:footnote w:type="continuationSeparator" w:id="0">
    <w:p w14:paraId="3291246A" w14:textId="77777777" w:rsidR="00997F49" w:rsidRDefault="00997F49" w:rsidP="00AD2E7F">
      <w:pPr>
        <w:spacing w:after="0" w:line="240" w:lineRule="auto"/>
      </w:pPr>
      <w:r>
        <w:continuationSeparator/>
      </w:r>
    </w:p>
  </w:footnote>
  <w:footnote w:id="1">
    <w:p w14:paraId="564E7B9E" w14:textId="31BA6234" w:rsidR="00094BAF" w:rsidRPr="00E62799" w:rsidRDefault="00094BAF">
      <w:pPr>
        <w:pStyle w:val="Textonotapie"/>
        <w:rPr>
          <w:rFonts w:ascii="Times New Roman" w:hAnsi="Times New Roman" w:cs="Times New Roman"/>
          <w:sz w:val="18"/>
          <w:szCs w:val="18"/>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Departamento Administrativo Nacional de Estadística (DANE). Radicado No: 20222320002741T del 17 de junio de 2022.</w:t>
      </w:r>
    </w:p>
  </w:footnote>
  <w:footnote w:id="2">
    <w:p w14:paraId="2FF94744" w14:textId="4F299FDB" w:rsidR="00AD2E7F" w:rsidRPr="00E62799" w:rsidRDefault="00AD2E7F" w:rsidP="00AD2E7F">
      <w:pPr>
        <w:pStyle w:val="Textonotapie"/>
        <w:jc w:val="both"/>
        <w:rPr>
          <w:rFonts w:ascii="Times New Roman" w:hAnsi="Times New Roman" w:cs="Times New Roman"/>
          <w:sz w:val="18"/>
          <w:szCs w:val="18"/>
          <w:lang w:val="es-ES"/>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E</w:t>
      </w:r>
      <w:r w:rsidRPr="00E62799">
        <w:rPr>
          <w:rFonts w:ascii="Times New Roman" w:hAnsi="Times New Roman" w:cs="Times New Roman"/>
          <w:sz w:val="18"/>
          <w:szCs w:val="18"/>
          <w:lang w:val="es-ES"/>
        </w:rPr>
        <w:t>ntre otras, lo dispuesto en la Constitución de 1991 en el marco de la declaración de Colombia como un país multicultural y en la Ley 70 de 1993 que por objeto reconoce la propiedad colectiva a las comunidades negras que han venido ocupando tierras baldías en las zonas rurales ribereñas de los ríos de la Cuenca del Pacífico, de acuerdo con sus prácticas tradicionales de producción y establece entre otras, mecanismos para la protección de la identidad cultural y de los derechos de las comunidades negras de Colombia como grupo étnico. Así mismo, lo definido en el Decreto 1745 de 1995 por el cual se reglamenta el Capítulo III de la Ley 70 de 1993 y se adopta el procedimiento para el reconocimiento del derecho a la propiedad colectiva de las tierras de las comunidades negras. La Ley 21 de 1991 que aprueba el Convenio 169 sobre pueblos indígenas y tribales en países independientes, adoptado por la 76a. reunión de la Conferencia General de la O.I.T., Ginebra 1989. El Decreto 1372 de 2018 que reglamenta el Espacio Nacional de Consulta Previa y el Decreto 1640 de 2022</w:t>
      </w:r>
    </w:p>
  </w:footnote>
  <w:footnote w:id="3">
    <w:p w14:paraId="009C2297" w14:textId="4476B89E" w:rsidR="00AD2E7F" w:rsidRPr="00E62799" w:rsidRDefault="00AD2E7F" w:rsidP="00AD2E7F">
      <w:pPr>
        <w:pStyle w:val="Textonotapie"/>
        <w:jc w:val="both"/>
        <w:rPr>
          <w:rFonts w:ascii="Times New Roman" w:hAnsi="Times New Roman" w:cs="Times New Roman"/>
          <w:sz w:val="18"/>
          <w:szCs w:val="18"/>
          <w:lang w:val="es-ES"/>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CEPAL (2009). Censos 2010 y la inclusión del enfoque étnico: hacia una construcción participativa con pueblos indígenas y afrodescendientes de América Latina. CEPAL - Serie Seminarios y conferencias No 57. Santiago de Chile, Naciones Unidas.</w:t>
      </w:r>
    </w:p>
    <w:p w14:paraId="7E5CAF8A" w14:textId="00E7A352" w:rsidR="00AD2E7F" w:rsidRPr="00E62799" w:rsidRDefault="00AD2E7F" w:rsidP="00AD2E7F">
      <w:pPr>
        <w:pStyle w:val="Textonotapie"/>
        <w:jc w:val="both"/>
        <w:rPr>
          <w:rFonts w:ascii="Times New Roman" w:hAnsi="Times New Roman" w:cs="Times New Roman"/>
          <w:sz w:val="18"/>
          <w:szCs w:val="18"/>
        </w:rPr>
      </w:pPr>
    </w:p>
  </w:footnote>
  <w:footnote w:id="4">
    <w:p w14:paraId="15D57074" w14:textId="4B65FDC3" w:rsidR="00F941F5" w:rsidRPr="00E62799" w:rsidRDefault="00F941F5">
      <w:pPr>
        <w:pStyle w:val="Textonotapie"/>
        <w:rPr>
          <w:rFonts w:ascii="Times New Roman" w:hAnsi="Times New Roman" w:cs="Times New Roman"/>
          <w:sz w:val="18"/>
          <w:szCs w:val="18"/>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 xml:space="preserve">Para revisar en detalle los registros de estas sesiones, revisar los anexos de soporte disponibles en los siguientes enlaces de descarga: </w:t>
      </w:r>
      <w:hyperlink r:id="rId1">
        <w:r w:rsidRPr="00E62799">
          <w:rPr>
            <w:rStyle w:val="Hipervnculo"/>
            <w:rFonts w:ascii="Times New Roman" w:hAnsi="Times New Roman" w:cs="Times New Roman"/>
            <w:sz w:val="18"/>
            <w:szCs w:val="18"/>
            <w:lang w:val="es-ES"/>
          </w:rPr>
          <w:t xml:space="preserve">https://we.tl/t-4pQmumtFFW </w:t>
        </w:r>
      </w:hyperlink>
      <w:r w:rsidRPr="00E62799">
        <w:rPr>
          <w:rFonts w:ascii="Times New Roman" w:hAnsi="Times New Roman" w:cs="Times New Roman"/>
          <w:sz w:val="18"/>
          <w:szCs w:val="18"/>
          <w:lang w:val="es-ES"/>
        </w:rPr>
        <w:t xml:space="preserve">, </w:t>
      </w:r>
      <w:hyperlink r:id="rId2">
        <w:r w:rsidRPr="00E62799">
          <w:rPr>
            <w:rStyle w:val="Hipervnculo"/>
            <w:rFonts w:ascii="Times New Roman" w:hAnsi="Times New Roman" w:cs="Times New Roman"/>
            <w:sz w:val="18"/>
            <w:szCs w:val="18"/>
            <w:lang w:val="es-ES"/>
          </w:rPr>
          <w:t xml:space="preserve">https://we.tl/t-cXHhdrFEWl </w:t>
        </w:r>
      </w:hyperlink>
      <w:r w:rsidRPr="00E62799">
        <w:rPr>
          <w:rFonts w:ascii="Times New Roman" w:hAnsi="Times New Roman" w:cs="Times New Roman"/>
          <w:sz w:val="18"/>
          <w:szCs w:val="18"/>
          <w:lang w:val="es-ES"/>
        </w:rPr>
        <w:t xml:space="preserve">y </w:t>
      </w:r>
      <w:hyperlink r:id="rId3">
        <w:r w:rsidRPr="00E62799">
          <w:rPr>
            <w:rStyle w:val="Hipervnculo"/>
            <w:rFonts w:ascii="Times New Roman" w:hAnsi="Times New Roman" w:cs="Times New Roman"/>
            <w:sz w:val="18"/>
            <w:szCs w:val="18"/>
            <w:lang w:val="es-ES"/>
          </w:rPr>
          <w:t>https://we.tl/t-Inncc7CiIB.</w:t>
        </w:r>
      </w:hyperlink>
    </w:p>
  </w:footnote>
  <w:footnote w:id="5">
    <w:p w14:paraId="49554E09" w14:textId="61EDB53D" w:rsidR="006F0F71" w:rsidRPr="00E62799" w:rsidRDefault="006F0F71" w:rsidP="006F0F71">
      <w:pPr>
        <w:pStyle w:val="Textonotapie"/>
        <w:jc w:val="both"/>
        <w:rPr>
          <w:rFonts w:ascii="Times New Roman" w:hAnsi="Times New Roman" w:cs="Times New Roman"/>
          <w:sz w:val="18"/>
          <w:szCs w:val="18"/>
          <w:lang w:val="es-ES"/>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Se señalan todas las categorías por las que indaga la pregunta de autorreconocimiento étnico, para quienes se auto reconocen dentro de las comunidades negras, afrocolombianas, raizales y palenqueras. Y que forman parte de la pregunta que actualmente se encuentra acordada y protocolizada por medio de consulta previa con los grupos étnicos del país: Indígenas, Rrom o gitanos y comunidades negras, afrocolombianas, raizales y palenqueras.</w:t>
      </w:r>
    </w:p>
  </w:footnote>
  <w:footnote w:id="6">
    <w:p w14:paraId="2F61B06E" w14:textId="77777777" w:rsidR="006F0F71" w:rsidRPr="00E62799" w:rsidRDefault="006F0F71" w:rsidP="006F0F71">
      <w:pPr>
        <w:pStyle w:val="Textonotapie"/>
        <w:rPr>
          <w:rFonts w:ascii="Times New Roman" w:hAnsi="Times New Roman" w:cs="Times New Roman"/>
          <w:sz w:val="18"/>
          <w:szCs w:val="18"/>
          <w:lang w:val="es-ES"/>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 xml:space="preserve">Esta información ha sido presentada en diferentes espacios: Con organizaciones afro a nivel nacional, (incluso al colectivo Justicia Racial); en el marco de los debates del Congreso a los que fue citado el DANE; a las entidades de gobierno, organismos internacionales y a los espacios nacionales que representan a las comunidades negras, afrocolombianas, raizales y palenqueras en las concertaciones con el gobierno nacional: la Comisión VII del Espacio Nacional de Consulta Previa y la Consultiva de Alto Nivel </w:t>
      </w:r>
      <w:hyperlink r:id="rId4">
        <w:r w:rsidRPr="00E62799">
          <w:rPr>
            <w:rStyle w:val="Hipervnculo"/>
            <w:rFonts w:ascii="Times New Roman" w:hAnsi="Times New Roman" w:cs="Times New Roman"/>
            <w:sz w:val="18"/>
            <w:szCs w:val="18"/>
            <w:lang w:val="es-ES"/>
          </w:rPr>
          <w:t>https://www.dane.gov.co/files/investigaciones/boletines/grupos-etnicos/presentacion-grupos-etnicos-poblacion-</w:t>
        </w:r>
      </w:hyperlink>
      <w:r w:rsidRPr="00E62799">
        <w:rPr>
          <w:rFonts w:ascii="Times New Roman" w:hAnsi="Times New Roman" w:cs="Times New Roman"/>
          <w:sz w:val="18"/>
          <w:szCs w:val="18"/>
          <w:lang w:val="es-ES"/>
        </w:rPr>
        <w:t xml:space="preserve"> </w:t>
      </w:r>
      <w:hyperlink r:id="rId5">
        <w:r w:rsidRPr="00E62799">
          <w:rPr>
            <w:rStyle w:val="Hipervnculo"/>
            <w:rFonts w:ascii="Times New Roman" w:hAnsi="Times New Roman" w:cs="Times New Roman"/>
            <w:sz w:val="18"/>
            <w:szCs w:val="18"/>
            <w:lang w:val="es-ES"/>
          </w:rPr>
          <w:t>NARP-2019-debate-ctrl-politico-camara-rep.pdf</w:t>
        </w:r>
      </w:hyperlink>
    </w:p>
    <w:p w14:paraId="6278F1AE" w14:textId="51BA3EFB" w:rsidR="006F0F71" w:rsidRPr="00E62799" w:rsidRDefault="006F0F71">
      <w:pPr>
        <w:pStyle w:val="Textonotapie"/>
        <w:rPr>
          <w:rFonts w:ascii="Times New Roman" w:hAnsi="Times New Roman" w:cs="Times New Roman"/>
          <w:sz w:val="18"/>
          <w:szCs w:val="18"/>
        </w:rPr>
      </w:pPr>
    </w:p>
  </w:footnote>
  <w:footnote w:id="7">
    <w:p w14:paraId="054DE51F" w14:textId="2AE51FAF" w:rsidR="006F0F71" w:rsidRPr="00E62799" w:rsidRDefault="006F0F71" w:rsidP="006F0F71">
      <w:pPr>
        <w:pStyle w:val="Textonotapie"/>
        <w:rPr>
          <w:rFonts w:ascii="Times New Roman" w:hAnsi="Times New Roman" w:cs="Times New Roman"/>
          <w:sz w:val="18"/>
          <w:szCs w:val="18"/>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 xml:space="preserve">Mosquera, Pardo y Hoffman. (2002). Afrodescendientes en las Américas. Trayectorias sociales e identitarias. pp. 13-42. Bogotá: Universidad Nacional-ICANH_IRD-ILSA. Recuperado de: </w:t>
      </w:r>
      <w:hyperlink r:id="rId6">
        <w:r w:rsidRPr="00E62799">
          <w:rPr>
            <w:rStyle w:val="Hipervnculo"/>
            <w:rFonts w:ascii="Times New Roman" w:hAnsi="Times New Roman" w:cs="Times New Roman"/>
            <w:sz w:val="18"/>
            <w:szCs w:val="18"/>
            <w:lang w:val="es-ES"/>
          </w:rPr>
          <w:t>.http://www.bdigital.unal.edu.co/1238/2/01PREL01.pdf</w:t>
        </w:r>
      </w:hyperlink>
    </w:p>
  </w:footnote>
  <w:footnote w:id="8">
    <w:p w14:paraId="73C6ACF2" w14:textId="217E7E6D" w:rsidR="006F0F71" w:rsidRPr="00E62799" w:rsidRDefault="006F0F71" w:rsidP="006F0F71">
      <w:pPr>
        <w:pStyle w:val="Textonotapie"/>
        <w:rPr>
          <w:rFonts w:ascii="Times New Roman" w:hAnsi="Times New Roman" w:cs="Times New Roman"/>
          <w:sz w:val="18"/>
          <w:szCs w:val="18"/>
          <w:lang w:val="es-ES"/>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 xml:space="preserve">Romaña (2017). Re-construyendo las identidades afrocolombianas desde adentro, una posibilidad de vivirlas y no de sufrirlas. Autora Betsy Mayelis Blandón Asesora Natalia Cardona Investigación presentada para optar por el título de Magister en Educación. Línea: Pedagogía y Diversidad Cultural. Universidad de Antioquia Facultad de Educación Medellín </w:t>
      </w:r>
      <w:hyperlink r:id="rId7">
        <w:r w:rsidRPr="00E62799">
          <w:rPr>
            <w:rStyle w:val="Hipervnculo"/>
            <w:rFonts w:ascii="Times New Roman" w:hAnsi="Times New Roman" w:cs="Times New Roman"/>
            <w:sz w:val="18"/>
            <w:szCs w:val="18"/>
            <w:lang w:val="es-ES"/>
          </w:rPr>
          <w:t>http://tesis.udea.edu.co/dspace/bitstream/10495/9860/1/EB0352_betsymayelisromana.pdf</w:t>
        </w:r>
      </w:hyperlink>
    </w:p>
    <w:p w14:paraId="2BA0F74A" w14:textId="27E5A991" w:rsidR="006F0F71" w:rsidRPr="00E62799" w:rsidRDefault="006F0F71">
      <w:pPr>
        <w:pStyle w:val="Textonotapie"/>
        <w:rPr>
          <w:rFonts w:ascii="Times New Roman" w:hAnsi="Times New Roman" w:cs="Times New Roman"/>
          <w:sz w:val="18"/>
          <w:szCs w:val="18"/>
        </w:rPr>
      </w:pPr>
    </w:p>
  </w:footnote>
  <w:footnote w:id="9">
    <w:p w14:paraId="4C260AB2" w14:textId="3C1CC807" w:rsidR="006F0F71" w:rsidRPr="00E62799" w:rsidRDefault="006F0F71">
      <w:pPr>
        <w:pStyle w:val="Textonotapie"/>
        <w:rPr>
          <w:rFonts w:ascii="Times New Roman" w:hAnsi="Times New Roman" w:cs="Times New Roman"/>
          <w:sz w:val="18"/>
          <w:szCs w:val="18"/>
          <w:lang w:val="es-ES"/>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 xml:space="preserve">Rosero, C. (2002). Los afrodescendientes y el conflicto armado en Colombia, en: Afrodescendientes en las Américas, 150 años de la abolición de la esclavitud en Colombia. Universidad Nacional-ICANH_IRD-ILSA. Recuperado de: </w:t>
      </w:r>
      <w:hyperlink r:id="rId8">
        <w:r w:rsidRPr="00E62799">
          <w:rPr>
            <w:rStyle w:val="Hipervnculo"/>
            <w:rFonts w:ascii="Times New Roman" w:hAnsi="Times New Roman" w:cs="Times New Roman"/>
            <w:sz w:val="18"/>
            <w:szCs w:val="18"/>
            <w:lang w:val="es-ES"/>
          </w:rPr>
          <w:t>http://www.bdigital.unal.edu.co/1238/2/01PREL01.pdf</w:t>
        </w:r>
      </w:hyperlink>
    </w:p>
  </w:footnote>
  <w:footnote w:id="10">
    <w:p w14:paraId="3D04555E" w14:textId="6B5FBABB" w:rsidR="007733FA" w:rsidRPr="00E62799" w:rsidRDefault="007733FA">
      <w:pPr>
        <w:pStyle w:val="Textonotapie"/>
        <w:rPr>
          <w:rFonts w:ascii="Times New Roman" w:hAnsi="Times New Roman" w:cs="Times New Roman"/>
          <w:sz w:val="18"/>
          <w:szCs w:val="18"/>
          <w:lang w:val="es-ES"/>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Freire, Díaz, Etal, (2018). Afrodescendientes en Latinoamérica Hacia un marco de inclusión, Oficina Regional para América Latina y el Caribe Práctica Global Social, Urbana, Rural y de Resiliencia Práctica Global de Pobreza y Equidad. Banco</w:t>
      </w:r>
      <w:r w:rsidRPr="00E62799">
        <w:rPr>
          <w:rFonts w:ascii="Times New Roman" w:hAnsi="Times New Roman" w:cs="Times New Roman"/>
          <w:sz w:val="18"/>
          <w:szCs w:val="18"/>
          <w:lang w:val="es-ES"/>
        </w:rPr>
        <w:tab/>
        <w:t>Internacional</w:t>
      </w:r>
      <w:r w:rsidRPr="00E62799">
        <w:rPr>
          <w:rFonts w:ascii="Times New Roman" w:hAnsi="Times New Roman" w:cs="Times New Roman"/>
          <w:sz w:val="18"/>
          <w:szCs w:val="18"/>
          <w:lang w:val="es-ES"/>
        </w:rPr>
        <w:tab/>
        <w:t>de</w:t>
      </w:r>
      <w:r w:rsidRPr="00E62799">
        <w:rPr>
          <w:rFonts w:ascii="Times New Roman" w:hAnsi="Times New Roman" w:cs="Times New Roman"/>
          <w:sz w:val="18"/>
          <w:szCs w:val="18"/>
          <w:lang w:val="es-ES"/>
        </w:rPr>
        <w:tab/>
        <w:t>Reconstrucción</w:t>
      </w:r>
      <w:r w:rsidRPr="00E62799">
        <w:rPr>
          <w:rFonts w:ascii="Times New Roman" w:hAnsi="Times New Roman" w:cs="Times New Roman"/>
          <w:sz w:val="18"/>
          <w:szCs w:val="18"/>
          <w:lang w:val="es-ES"/>
        </w:rPr>
        <w:tab/>
        <w:t>y</w:t>
      </w:r>
      <w:r w:rsidRPr="00E62799">
        <w:rPr>
          <w:rFonts w:ascii="Times New Roman" w:hAnsi="Times New Roman" w:cs="Times New Roman"/>
          <w:sz w:val="18"/>
          <w:szCs w:val="18"/>
          <w:lang w:val="es-ES"/>
        </w:rPr>
        <w:tab/>
        <w:t xml:space="preserve">Fomento/Banco Mundial. </w:t>
      </w:r>
      <w:hyperlink r:id="rId9">
        <w:r w:rsidRPr="00E62799">
          <w:rPr>
            <w:rStyle w:val="Hipervnculo"/>
            <w:rFonts w:ascii="Times New Roman" w:hAnsi="Times New Roman" w:cs="Times New Roman"/>
            <w:sz w:val="18"/>
            <w:szCs w:val="18"/>
            <w:lang w:val="es-ES"/>
          </w:rPr>
          <w:t>http://documentos.bancomundial.org/curated/es/316161533724728187/pdf/129298-7-8-2018-17-30-51-</w:t>
        </w:r>
      </w:hyperlink>
      <w:r w:rsidRPr="00E62799">
        <w:rPr>
          <w:rFonts w:ascii="Times New Roman" w:hAnsi="Times New Roman" w:cs="Times New Roman"/>
          <w:sz w:val="18"/>
          <w:szCs w:val="18"/>
          <w:lang w:val="es-ES"/>
        </w:rPr>
        <w:t xml:space="preserve"> </w:t>
      </w:r>
      <w:hyperlink r:id="rId10">
        <w:r w:rsidRPr="00E62799">
          <w:rPr>
            <w:rStyle w:val="Hipervnculo"/>
            <w:rFonts w:ascii="Times New Roman" w:hAnsi="Times New Roman" w:cs="Times New Roman"/>
            <w:sz w:val="18"/>
            <w:szCs w:val="18"/>
            <w:lang w:val="es-ES"/>
          </w:rPr>
          <w:t>AfrodescendientesenLatinoamerica.pdf</w:t>
        </w:r>
      </w:hyperlink>
    </w:p>
  </w:footnote>
  <w:footnote w:id="11">
    <w:p w14:paraId="03D0C9DA" w14:textId="7D6A12F4" w:rsidR="007733FA" w:rsidRPr="00E62799" w:rsidRDefault="007733FA">
      <w:pPr>
        <w:pStyle w:val="Textonotapie"/>
        <w:rPr>
          <w:rFonts w:ascii="Times New Roman" w:hAnsi="Times New Roman" w:cs="Times New Roman"/>
          <w:sz w:val="18"/>
          <w:szCs w:val="18"/>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Mosquera, C y Rodríguez, M. (s.f). Nombre Serie Afrocensos Idcarán:"La invisibilidad estadística"-"Las principales barreras que impiden el autorreconocimiento étnico-racial en el Caribe colombiano".</w:t>
      </w:r>
    </w:p>
  </w:footnote>
  <w:footnote w:id="12">
    <w:p w14:paraId="3E62299D" w14:textId="6CB31C41" w:rsidR="00B507A8" w:rsidRPr="00E62799" w:rsidRDefault="00B507A8">
      <w:pPr>
        <w:pStyle w:val="Textonotapie"/>
        <w:rPr>
          <w:rFonts w:ascii="Times New Roman" w:hAnsi="Times New Roman" w:cs="Times New Roman"/>
          <w:sz w:val="18"/>
          <w:szCs w:val="18"/>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 xml:space="preserve">Para ampliar la información, la presentación que da cuenta de la estimación de la pertenencia étnica CNPV 2018 usando aprendizaje de máquinas, puede conocerse en el siguiente enlace: </w:t>
      </w:r>
      <w:hyperlink r:id="rId11">
        <w:r w:rsidRPr="00E62799">
          <w:rPr>
            <w:rStyle w:val="Hipervnculo"/>
            <w:rFonts w:ascii="Times New Roman" w:hAnsi="Times New Roman" w:cs="Times New Roman"/>
            <w:sz w:val="18"/>
            <w:szCs w:val="18"/>
            <w:lang w:val="es-ES"/>
          </w:rPr>
          <w:t>https://www.youtube.com/watch?v=Tnp17440gv8.</w:t>
        </w:r>
      </w:hyperlink>
    </w:p>
  </w:footnote>
  <w:footnote w:id="13">
    <w:p w14:paraId="6EC624DC" w14:textId="758FA4A5" w:rsidR="00B507A8" w:rsidRPr="00E62799" w:rsidRDefault="00B507A8">
      <w:pPr>
        <w:pStyle w:val="Textonotapie"/>
        <w:rPr>
          <w:rFonts w:ascii="Times New Roman" w:hAnsi="Times New Roman" w:cs="Times New Roman"/>
          <w:sz w:val="18"/>
          <w:szCs w:val="18"/>
          <w:lang w:val="pt-BR"/>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Producto del ejercicio de estimación, el DANE logró: 1) estimar la población negra, afrocolombiana, raizal y palenquera a nivel nacional (</w:t>
      </w:r>
      <w:r w:rsidRPr="00E62799">
        <w:rPr>
          <w:rFonts w:ascii="Times New Roman" w:hAnsi="Times New Roman" w:cs="Times New Roman"/>
          <w:b/>
          <w:sz w:val="18"/>
          <w:szCs w:val="18"/>
          <w:lang w:val="es-ES"/>
        </w:rPr>
        <w:t>4.671.160 personas</w:t>
      </w:r>
      <w:r w:rsidRPr="00E62799">
        <w:rPr>
          <w:rFonts w:ascii="Times New Roman" w:hAnsi="Times New Roman" w:cs="Times New Roman"/>
          <w:sz w:val="18"/>
          <w:szCs w:val="18"/>
          <w:lang w:val="es-ES"/>
        </w:rPr>
        <w:t xml:space="preserve">), 2) usar modelos predictivos, (mediante modelos de machine learning bayesianos), para determinar la probabilidad de que una persona se hubiera autorreconocido en el CPNV 2018, como negra, afrocolombiana, y/o afrodescendiente, usando los nombres como covariados (nombres y apellidos de las personas), 3) consolidar resultados que permitieron </w:t>
      </w:r>
      <w:r w:rsidRPr="00E62799">
        <w:rPr>
          <w:rFonts w:ascii="Times New Roman" w:hAnsi="Times New Roman" w:cs="Times New Roman"/>
          <w:b/>
          <w:sz w:val="18"/>
          <w:szCs w:val="18"/>
          <w:lang w:val="es-ES"/>
        </w:rPr>
        <w:t xml:space="preserve">estimar el volumen poblacional de los grupos étnicos a nivel municipal y departamental, </w:t>
      </w:r>
      <w:r w:rsidRPr="00E62799">
        <w:rPr>
          <w:rFonts w:ascii="Times New Roman" w:hAnsi="Times New Roman" w:cs="Times New Roman"/>
          <w:sz w:val="18"/>
          <w:szCs w:val="18"/>
          <w:lang w:val="es-ES"/>
        </w:rPr>
        <w:t xml:space="preserve">a través de la metodología de tabla cuadrada. </w:t>
      </w:r>
      <w:r w:rsidRPr="00E62799">
        <w:rPr>
          <w:rFonts w:ascii="Times New Roman" w:hAnsi="Times New Roman" w:cs="Times New Roman"/>
          <w:sz w:val="18"/>
          <w:szCs w:val="18"/>
          <w:lang w:val="pt-BR"/>
        </w:rPr>
        <w:t xml:space="preserve">Ver </w:t>
      </w:r>
      <w:r w:rsidR="00000000">
        <w:fldChar w:fldCharType="begin"/>
      </w:r>
      <w:r w:rsidR="00000000" w:rsidRPr="005922D8">
        <w:rPr>
          <w:lang w:val="pt-BR"/>
        </w:rPr>
        <w:instrText xml:space="preserve"> HYPERLINK "https://www.dane.gov.co/index.php/estadisticas-por-tema/estadisticas-experimentales" \l "sociedad-2" \h </w:instrText>
      </w:r>
      <w:r w:rsidR="00000000">
        <w:fldChar w:fldCharType="separate"/>
      </w:r>
      <w:r w:rsidRPr="00E62799">
        <w:rPr>
          <w:rStyle w:val="Hipervnculo"/>
          <w:rFonts w:ascii="Times New Roman" w:hAnsi="Times New Roman" w:cs="Times New Roman"/>
          <w:sz w:val="18"/>
          <w:szCs w:val="18"/>
          <w:lang w:val="pt-BR"/>
        </w:rPr>
        <w:t>https://www.dane.gov.co/index.php/estadisticas-por-tema/estadisticas-experimentales#sociedad-2</w:t>
      </w:r>
      <w:r w:rsidR="00000000">
        <w:rPr>
          <w:rStyle w:val="Hipervnculo"/>
          <w:rFonts w:ascii="Times New Roman" w:hAnsi="Times New Roman" w:cs="Times New Roman"/>
          <w:sz w:val="18"/>
          <w:szCs w:val="18"/>
          <w:lang w:val="pt-BR"/>
        </w:rPr>
        <w:fldChar w:fldCharType="end"/>
      </w:r>
    </w:p>
  </w:footnote>
  <w:footnote w:id="14">
    <w:p w14:paraId="31115CD2" w14:textId="22AC4C0C" w:rsidR="00B507A8" w:rsidRPr="00E62799" w:rsidRDefault="00B507A8">
      <w:pPr>
        <w:pStyle w:val="Textonotapie"/>
        <w:rPr>
          <w:rFonts w:ascii="Times New Roman" w:hAnsi="Times New Roman" w:cs="Times New Roman"/>
          <w:sz w:val="18"/>
          <w:szCs w:val="18"/>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lang w:val="pt-BR"/>
        </w:rPr>
        <w:t xml:space="preserve"> </w:t>
      </w:r>
      <w:proofErr w:type="spellStart"/>
      <w:r w:rsidRPr="00E62799">
        <w:rPr>
          <w:rFonts w:ascii="Times New Roman" w:hAnsi="Times New Roman" w:cs="Times New Roman"/>
          <w:sz w:val="18"/>
          <w:szCs w:val="18"/>
          <w:lang w:val="pt-BR"/>
        </w:rPr>
        <w:t>Voicu</w:t>
      </w:r>
      <w:proofErr w:type="spellEnd"/>
      <w:r w:rsidRPr="00E62799">
        <w:rPr>
          <w:rFonts w:ascii="Times New Roman" w:hAnsi="Times New Roman" w:cs="Times New Roman"/>
          <w:sz w:val="18"/>
          <w:szCs w:val="18"/>
          <w:lang w:val="pt-BR"/>
        </w:rPr>
        <w:t xml:space="preserve">, I. (2018). </w:t>
      </w:r>
      <w:proofErr w:type="spellStart"/>
      <w:r w:rsidRPr="00E62799">
        <w:rPr>
          <w:rFonts w:ascii="Times New Roman" w:hAnsi="Times New Roman" w:cs="Times New Roman"/>
          <w:sz w:val="18"/>
          <w:szCs w:val="18"/>
          <w:lang w:val="pt-BR"/>
        </w:rPr>
        <w:t>Using</w:t>
      </w:r>
      <w:proofErr w:type="spellEnd"/>
      <w:r w:rsidRPr="00E62799">
        <w:rPr>
          <w:rFonts w:ascii="Times New Roman" w:hAnsi="Times New Roman" w:cs="Times New Roman"/>
          <w:sz w:val="18"/>
          <w:szCs w:val="18"/>
          <w:lang w:val="pt-BR"/>
        </w:rPr>
        <w:t xml:space="preserve"> </w:t>
      </w:r>
      <w:proofErr w:type="spellStart"/>
      <w:r w:rsidRPr="00E62799">
        <w:rPr>
          <w:rFonts w:ascii="Times New Roman" w:hAnsi="Times New Roman" w:cs="Times New Roman"/>
          <w:sz w:val="18"/>
          <w:szCs w:val="18"/>
          <w:lang w:val="pt-BR"/>
        </w:rPr>
        <w:t>First</w:t>
      </w:r>
      <w:proofErr w:type="spellEnd"/>
      <w:r w:rsidRPr="00E62799">
        <w:rPr>
          <w:rFonts w:ascii="Times New Roman" w:hAnsi="Times New Roman" w:cs="Times New Roman"/>
          <w:sz w:val="18"/>
          <w:szCs w:val="18"/>
          <w:lang w:val="pt-BR"/>
        </w:rPr>
        <w:t xml:space="preserve"> </w:t>
      </w:r>
      <w:proofErr w:type="spellStart"/>
      <w:r w:rsidRPr="00E62799">
        <w:rPr>
          <w:rFonts w:ascii="Times New Roman" w:hAnsi="Times New Roman" w:cs="Times New Roman"/>
          <w:sz w:val="18"/>
          <w:szCs w:val="18"/>
          <w:lang w:val="pt-BR"/>
        </w:rPr>
        <w:t>Name</w:t>
      </w:r>
      <w:proofErr w:type="spellEnd"/>
      <w:r w:rsidRPr="00E62799">
        <w:rPr>
          <w:rFonts w:ascii="Times New Roman" w:hAnsi="Times New Roman" w:cs="Times New Roman"/>
          <w:sz w:val="18"/>
          <w:szCs w:val="18"/>
          <w:lang w:val="pt-BR"/>
        </w:rPr>
        <w:t xml:space="preserve"> </w:t>
      </w:r>
      <w:proofErr w:type="spellStart"/>
      <w:r w:rsidRPr="00E62799">
        <w:rPr>
          <w:rFonts w:ascii="Times New Roman" w:hAnsi="Times New Roman" w:cs="Times New Roman"/>
          <w:sz w:val="18"/>
          <w:szCs w:val="18"/>
          <w:lang w:val="pt-BR"/>
        </w:rPr>
        <w:t>Information</w:t>
      </w:r>
      <w:proofErr w:type="spellEnd"/>
      <w:r w:rsidRPr="00E62799">
        <w:rPr>
          <w:rFonts w:ascii="Times New Roman" w:hAnsi="Times New Roman" w:cs="Times New Roman"/>
          <w:sz w:val="18"/>
          <w:szCs w:val="18"/>
          <w:lang w:val="pt-BR"/>
        </w:rPr>
        <w:t xml:space="preserve"> </w:t>
      </w:r>
      <w:proofErr w:type="spellStart"/>
      <w:r w:rsidRPr="00E62799">
        <w:rPr>
          <w:rFonts w:ascii="Times New Roman" w:hAnsi="Times New Roman" w:cs="Times New Roman"/>
          <w:sz w:val="18"/>
          <w:szCs w:val="18"/>
          <w:lang w:val="pt-BR"/>
        </w:rPr>
        <w:t>to</w:t>
      </w:r>
      <w:proofErr w:type="spellEnd"/>
      <w:r w:rsidRPr="00E62799">
        <w:rPr>
          <w:rFonts w:ascii="Times New Roman" w:hAnsi="Times New Roman" w:cs="Times New Roman"/>
          <w:sz w:val="18"/>
          <w:szCs w:val="18"/>
          <w:lang w:val="pt-BR"/>
        </w:rPr>
        <w:t xml:space="preserve"> Improve </w:t>
      </w:r>
      <w:proofErr w:type="spellStart"/>
      <w:r w:rsidRPr="00E62799">
        <w:rPr>
          <w:rFonts w:ascii="Times New Roman" w:hAnsi="Times New Roman" w:cs="Times New Roman"/>
          <w:sz w:val="18"/>
          <w:szCs w:val="18"/>
          <w:lang w:val="pt-BR"/>
        </w:rPr>
        <w:t>Race</w:t>
      </w:r>
      <w:proofErr w:type="spellEnd"/>
      <w:r w:rsidRPr="00E62799">
        <w:rPr>
          <w:rFonts w:ascii="Times New Roman" w:hAnsi="Times New Roman" w:cs="Times New Roman"/>
          <w:sz w:val="18"/>
          <w:szCs w:val="18"/>
          <w:lang w:val="pt-BR"/>
        </w:rPr>
        <w:t xml:space="preserve"> </w:t>
      </w:r>
      <w:proofErr w:type="spellStart"/>
      <w:r w:rsidRPr="00E62799">
        <w:rPr>
          <w:rFonts w:ascii="Times New Roman" w:hAnsi="Times New Roman" w:cs="Times New Roman"/>
          <w:sz w:val="18"/>
          <w:szCs w:val="18"/>
          <w:lang w:val="pt-BR"/>
        </w:rPr>
        <w:t>and</w:t>
      </w:r>
      <w:proofErr w:type="spellEnd"/>
      <w:r w:rsidRPr="00E62799">
        <w:rPr>
          <w:rFonts w:ascii="Times New Roman" w:hAnsi="Times New Roman" w:cs="Times New Roman"/>
          <w:sz w:val="18"/>
          <w:szCs w:val="18"/>
          <w:lang w:val="pt-BR"/>
        </w:rPr>
        <w:t xml:space="preserve"> </w:t>
      </w:r>
      <w:proofErr w:type="spellStart"/>
      <w:r w:rsidRPr="00E62799">
        <w:rPr>
          <w:rFonts w:ascii="Times New Roman" w:hAnsi="Times New Roman" w:cs="Times New Roman"/>
          <w:sz w:val="18"/>
          <w:szCs w:val="18"/>
          <w:lang w:val="pt-BR"/>
        </w:rPr>
        <w:t>Ethnicity</w:t>
      </w:r>
      <w:proofErr w:type="spellEnd"/>
      <w:r w:rsidRPr="00E62799">
        <w:rPr>
          <w:rFonts w:ascii="Times New Roman" w:hAnsi="Times New Roman" w:cs="Times New Roman"/>
          <w:sz w:val="18"/>
          <w:szCs w:val="18"/>
          <w:lang w:val="pt-BR"/>
        </w:rPr>
        <w:t xml:space="preserve"> </w:t>
      </w:r>
      <w:proofErr w:type="spellStart"/>
      <w:r w:rsidRPr="00E62799">
        <w:rPr>
          <w:rFonts w:ascii="Times New Roman" w:hAnsi="Times New Roman" w:cs="Times New Roman"/>
          <w:sz w:val="18"/>
          <w:szCs w:val="18"/>
          <w:lang w:val="pt-BR"/>
        </w:rPr>
        <w:t>Classification</w:t>
      </w:r>
      <w:proofErr w:type="spellEnd"/>
      <w:r w:rsidRPr="00E62799">
        <w:rPr>
          <w:rFonts w:ascii="Times New Roman" w:hAnsi="Times New Roman" w:cs="Times New Roman"/>
          <w:sz w:val="18"/>
          <w:szCs w:val="18"/>
          <w:lang w:val="pt-BR"/>
        </w:rPr>
        <w:t xml:space="preserve">. </w:t>
      </w:r>
      <w:proofErr w:type="spellStart"/>
      <w:r w:rsidRPr="00E62799">
        <w:rPr>
          <w:rFonts w:ascii="Times New Roman" w:hAnsi="Times New Roman" w:cs="Times New Roman"/>
          <w:sz w:val="18"/>
          <w:szCs w:val="18"/>
          <w:lang w:val="es-ES"/>
        </w:rPr>
        <w:t>Statistics</w:t>
      </w:r>
      <w:proofErr w:type="spellEnd"/>
      <w:r w:rsidRPr="00E62799">
        <w:rPr>
          <w:rFonts w:ascii="Times New Roman" w:hAnsi="Times New Roman" w:cs="Times New Roman"/>
          <w:sz w:val="18"/>
          <w:szCs w:val="18"/>
          <w:lang w:val="es-ES"/>
        </w:rPr>
        <w:t xml:space="preserve"> and </w:t>
      </w:r>
      <w:proofErr w:type="spellStart"/>
      <w:r w:rsidRPr="00E62799">
        <w:rPr>
          <w:rFonts w:ascii="Times New Roman" w:hAnsi="Times New Roman" w:cs="Times New Roman"/>
          <w:sz w:val="18"/>
          <w:szCs w:val="18"/>
          <w:lang w:val="es-ES"/>
        </w:rPr>
        <w:t>Public</w:t>
      </w:r>
      <w:proofErr w:type="spellEnd"/>
      <w:r w:rsidRPr="00E62799">
        <w:rPr>
          <w:rFonts w:ascii="Times New Roman" w:hAnsi="Times New Roman" w:cs="Times New Roman"/>
          <w:sz w:val="18"/>
          <w:szCs w:val="18"/>
          <w:lang w:val="es-ES"/>
        </w:rPr>
        <w:t xml:space="preserve"> </w:t>
      </w:r>
      <w:proofErr w:type="spellStart"/>
      <w:r w:rsidRPr="00E62799">
        <w:rPr>
          <w:rFonts w:ascii="Times New Roman" w:hAnsi="Times New Roman" w:cs="Times New Roman"/>
          <w:sz w:val="18"/>
          <w:szCs w:val="18"/>
          <w:lang w:val="es-ES"/>
        </w:rPr>
        <w:t>Policy</w:t>
      </w:r>
      <w:proofErr w:type="spellEnd"/>
      <w:r w:rsidRPr="00E62799">
        <w:rPr>
          <w:rFonts w:ascii="Times New Roman" w:hAnsi="Times New Roman" w:cs="Times New Roman"/>
          <w:sz w:val="18"/>
          <w:szCs w:val="18"/>
          <w:lang w:val="es-ES"/>
        </w:rPr>
        <w:t>, 5:1, 1-13, DOI: 10.1080/2330443X.2018.1427012</w:t>
      </w:r>
    </w:p>
  </w:footnote>
  <w:footnote w:id="15">
    <w:p w14:paraId="10D0862F" w14:textId="340D93E1" w:rsidR="00B507A8" w:rsidRPr="00E62799" w:rsidRDefault="00B507A8">
      <w:pPr>
        <w:pStyle w:val="Textonotapie"/>
        <w:rPr>
          <w:rFonts w:ascii="Times New Roman" w:hAnsi="Times New Roman" w:cs="Times New Roman"/>
          <w:sz w:val="18"/>
          <w:szCs w:val="18"/>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Las estadísticas experimentales son estadísticas oficiales de acuerdo con lo establecido en el Decreto 2404 del 2019.</w:t>
      </w:r>
    </w:p>
  </w:footnote>
  <w:footnote w:id="16">
    <w:p w14:paraId="7DCF100F" w14:textId="16261C44" w:rsidR="003146E5" w:rsidRPr="00E62799" w:rsidRDefault="003146E5" w:rsidP="003146E5">
      <w:pPr>
        <w:pStyle w:val="Textonotapie"/>
        <w:rPr>
          <w:rFonts w:ascii="Times New Roman" w:hAnsi="Times New Roman" w:cs="Times New Roman"/>
          <w:sz w:val="18"/>
          <w:szCs w:val="18"/>
          <w:lang w:val="es-ES"/>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 xml:space="preserve">La investigación pueden ser consultados en el siguiente enlace: </w:t>
      </w:r>
      <w:hyperlink r:id="rId12" w:history="1">
        <w:r w:rsidRPr="00E62799">
          <w:rPr>
            <w:rStyle w:val="Hipervnculo"/>
            <w:rFonts w:ascii="Times New Roman" w:hAnsi="Times New Roman" w:cs="Times New Roman"/>
            <w:sz w:val="18"/>
            <w:szCs w:val="18"/>
            <w:lang w:val="es-ES"/>
          </w:rPr>
          <w:t>http://www.dane.gov.co/files/censo2018/estudios- poscensales/06-analisis-dinamica-intercensal-autorreconocimiento-NARP- UNFPA.pdf&amp;ved=2ahUKEwihx4SJpa74AhUjRTABHXNuDI4QFnoECAUQAQ&amp;usg=AOvVaw2W4Pw2E3-nv1QqYkTb0JZz</w:t>
        </w:r>
      </w:hyperlink>
      <w:r w:rsidRPr="00E62799">
        <w:rPr>
          <w:rFonts w:ascii="Times New Roman" w:hAnsi="Times New Roman" w:cs="Times New Roman"/>
          <w:sz w:val="18"/>
          <w:szCs w:val="18"/>
          <w:lang w:val="es-ES"/>
        </w:rPr>
        <w:t xml:space="preserve"> </w:t>
      </w:r>
    </w:p>
    <w:p w14:paraId="4B59EA0B" w14:textId="0BA8198C" w:rsidR="003146E5" w:rsidRPr="00E62799" w:rsidRDefault="003146E5">
      <w:pPr>
        <w:pStyle w:val="Textonotapie"/>
        <w:rPr>
          <w:rFonts w:ascii="Times New Roman" w:hAnsi="Times New Roman" w:cs="Times New Roman"/>
          <w:sz w:val="18"/>
          <w:szCs w:val="18"/>
        </w:rPr>
      </w:pPr>
    </w:p>
  </w:footnote>
  <w:footnote w:id="17">
    <w:p w14:paraId="3DF4FC73" w14:textId="15EA80A1" w:rsidR="00786657" w:rsidRPr="00E62799" w:rsidRDefault="00786657">
      <w:pPr>
        <w:pStyle w:val="Textonotapie"/>
        <w:rPr>
          <w:rFonts w:ascii="Times New Roman" w:hAnsi="Times New Roman" w:cs="Times New Roman"/>
          <w:sz w:val="18"/>
          <w:szCs w:val="18"/>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hyperlink r:id="rId13">
        <w:r w:rsidRPr="00E62799">
          <w:rPr>
            <w:rStyle w:val="Hipervnculo"/>
            <w:rFonts w:ascii="Times New Roman" w:hAnsi="Times New Roman" w:cs="Times New Roman"/>
            <w:sz w:val="18"/>
            <w:szCs w:val="18"/>
            <w:lang w:val="es-ES"/>
          </w:rPr>
          <w:t>https://www.dane.gov.co/index.php/estadisticas-por-tema/encuesta-pulso-social.</w:t>
        </w:r>
      </w:hyperlink>
    </w:p>
  </w:footnote>
  <w:footnote w:id="18">
    <w:p w14:paraId="427A9E38" w14:textId="2D66292F" w:rsidR="00786657" w:rsidRPr="00E62799" w:rsidRDefault="00786657">
      <w:pPr>
        <w:pStyle w:val="Textonotapie"/>
        <w:rPr>
          <w:rFonts w:ascii="Times New Roman" w:hAnsi="Times New Roman" w:cs="Times New Roman"/>
          <w:sz w:val="18"/>
          <w:szCs w:val="18"/>
          <w:lang w:val="es-ES"/>
        </w:rPr>
      </w:pPr>
      <w:r w:rsidRPr="00E62799">
        <w:rPr>
          <w:rStyle w:val="Refdenotaalpie"/>
          <w:rFonts w:ascii="Times New Roman" w:hAnsi="Times New Roman" w:cs="Times New Roman"/>
          <w:sz w:val="18"/>
          <w:szCs w:val="18"/>
        </w:rPr>
        <w:footnoteRef/>
      </w:r>
      <w:hyperlink r:id="rId14" w:history="1">
        <w:r w:rsidR="004038B8" w:rsidRPr="00E62799">
          <w:rPr>
            <w:rStyle w:val="Hipervnculo"/>
            <w:rFonts w:ascii="Times New Roman" w:hAnsi="Times New Roman" w:cs="Times New Roman"/>
            <w:sz w:val="18"/>
            <w:szCs w:val="18"/>
            <w:lang w:val="es-ES"/>
          </w:rPr>
          <w:t>https://www.dane.gov.co/files/investigaciones/boletines/ech/ech/pres_web_empleo_resultados_dic_21.pdf</w:t>
        </w:r>
      </w:hyperlink>
      <w:r w:rsidR="004038B8" w:rsidRPr="00E62799">
        <w:rPr>
          <w:rFonts w:ascii="Times New Roman" w:hAnsi="Times New Roman" w:cs="Times New Roman"/>
          <w:sz w:val="18"/>
          <w:szCs w:val="18"/>
          <w:lang w:val="es-ES"/>
        </w:rPr>
        <w:t xml:space="preserve"> ; </w:t>
      </w:r>
      <w:hyperlink r:id="rId15">
        <w:r w:rsidRPr="00E62799">
          <w:rPr>
            <w:rStyle w:val="Hipervnculo"/>
            <w:rFonts w:ascii="Times New Roman" w:hAnsi="Times New Roman" w:cs="Times New Roman"/>
            <w:sz w:val="18"/>
            <w:szCs w:val="18"/>
            <w:lang w:val="es-ES"/>
          </w:rPr>
          <w:t>https://www.dane.gov.co/index.php/estadisticas-por-tema/mercado-laboral/empleo-y-desempleo.</w:t>
        </w:r>
      </w:hyperlink>
    </w:p>
  </w:footnote>
  <w:footnote w:id="19">
    <w:p w14:paraId="588AF251" w14:textId="77777777" w:rsidR="00CE6693" w:rsidRPr="00E62799" w:rsidRDefault="00CE6693" w:rsidP="00CE6693">
      <w:pPr>
        <w:pStyle w:val="Textonotapie"/>
        <w:rPr>
          <w:rFonts w:ascii="Times New Roman" w:hAnsi="Times New Roman" w:cs="Times New Roman"/>
          <w:sz w:val="18"/>
          <w:szCs w:val="18"/>
          <w:lang w:val="es-ES"/>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Algunos de los enlaces web pueden presentar demoras o mal funcionamiento temporal debido a las dificultades que enfrentó el DANE por cuenta de un acceso abusivo al sistema informático ocurrido el pasado 9 de noviembre de 2021.</w:t>
      </w:r>
    </w:p>
    <w:p w14:paraId="52A6CB7B" w14:textId="657EF952" w:rsidR="00CE6693" w:rsidRPr="00E62799" w:rsidRDefault="00CE6693">
      <w:pPr>
        <w:pStyle w:val="Textonotapie"/>
        <w:rPr>
          <w:rFonts w:ascii="Times New Roman" w:hAnsi="Times New Roman" w:cs="Times New Roman"/>
          <w:sz w:val="18"/>
          <w:szCs w:val="18"/>
        </w:rPr>
      </w:pPr>
    </w:p>
  </w:footnote>
  <w:footnote w:id="20">
    <w:p w14:paraId="72FEA252" w14:textId="6CCCB28C" w:rsidR="00D40D8A" w:rsidRPr="00E62799" w:rsidRDefault="00D40D8A">
      <w:pPr>
        <w:pStyle w:val="Textonotapie"/>
        <w:rPr>
          <w:rFonts w:ascii="Times New Roman" w:hAnsi="Times New Roman" w:cs="Times New Roman"/>
          <w:sz w:val="18"/>
          <w:szCs w:val="18"/>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Citado por: DANE (2000). Los grupos étnicos de Colombia en el Censo DE 1993 - Análisis de Resultados.</w:t>
      </w:r>
    </w:p>
  </w:footnote>
  <w:footnote w:id="21">
    <w:p w14:paraId="69CB8CBE" w14:textId="05D7F03D" w:rsidR="00D40D8A" w:rsidRPr="00E62799" w:rsidRDefault="00D40D8A">
      <w:pPr>
        <w:pStyle w:val="Textonotapie"/>
        <w:rPr>
          <w:rFonts w:ascii="Times New Roman" w:hAnsi="Times New Roman" w:cs="Times New Roman"/>
          <w:sz w:val="18"/>
          <w:szCs w:val="18"/>
          <w:lang w:val="es-ES"/>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DANE (2015). Definición de las temáticas censales base conceptual enfoque étnico.</w:t>
      </w:r>
    </w:p>
  </w:footnote>
  <w:footnote w:id="22">
    <w:p w14:paraId="6EF4C159" w14:textId="12E1F9A0" w:rsidR="00D40D8A" w:rsidRPr="00E62799" w:rsidRDefault="00D40D8A">
      <w:pPr>
        <w:pStyle w:val="Textonotapie"/>
        <w:rPr>
          <w:rFonts w:ascii="Times New Roman" w:hAnsi="Times New Roman" w:cs="Times New Roman"/>
          <w:sz w:val="18"/>
          <w:szCs w:val="18"/>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00341570" w:rsidRPr="00E62799">
        <w:rPr>
          <w:rFonts w:ascii="Times New Roman" w:hAnsi="Times New Roman" w:cs="Times New Roman"/>
          <w:sz w:val="18"/>
          <w:szCs w:val="18"/>
          <w:lang w:val="es-ES"/>
        </w:rPr>
        <w:t>DANE (2015). Definición de las temáticas censales base conceptual enfoque étnico.</w:t>
      </w:r>
    </w:p>
  </w:footnote>
  <w:footnote w:id="23">
    <w:p w14:paraId="2D696243" w14:textId="7385777E" w:rsidR="00341570" w:rsidRPr="00E62799" w:rsidRDefault="00341570">
      <w:pPr>
        <w:pStyle w:val="Textonotapie"/>
        <w:rPr>
          <w:rFonts w:ascii="Times New Roman" w:hAnsi="Times New Roman" w:cs="Times New Roman"/>
          <w:sz w:val="18"/>
          <w:szCs w:val="18"/>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DANE (2015). Definición de las temáticas censales base conceptual enfoque étnico.</w:t>
      </w:r>
    </w:p>
  </w:footnote>
  <w:footnote w:id="24">
    <w:p w14:paraId="61710B13" w14:textId="35123FFE" w:rsidR="00341570" w:rsidRPr="00E62799" w:rsidRDefault="00341570">
      <w:pPr>
        <w:pStyle w:val="Textonotapie"/>
        <w:rPr>
          <w:rFonts w:ascii="Times New Roman" w:hAnsi="Times New Roman" w:cs="Times New Roman"/>
          <w:sz w:val="18"/>
          <w:szCs w:val="18"/>
          <w:lang w:val="es-ES"/>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Freire, Díaz, Etal, (2018). Afrodescendientes en Latinoamérica Hacia un marco de inclusión, Oficina Regional para América Latina y el Caribe Práctica Global Social, Urbana, Rural y de Resiliencia Práctica Global de Pobreza y Equidad. Banco</w:t>
      </w:r>
      <w:r w:rsidRPr="00E62799">
        <w:rPr>
          <w:rFonts w:ascii="Times New Roman" w:hAnsi="Times New Roman" w:cs="Times New Roman"/>
          <w:sz w:val="18"/>
          <w:szCs w:val="18"/>
          <w:lang w:val="es-ES"/>
        </w:rPr>
        <w:tab/>
        <w:t>Internacional</w:t>
      </w:r>
      <w:r w:rsidRPr="00E62799">
        <w:rPr>
          <w:rFonts w:ascii="Times New Roman" w:hAnsi="Times New Roman" w:cs="Times New Roman"/>
          <w:sz w:val="18"/>
          <w:szCs w:val="18"/>
          <w:lang w:val="es-ES"/>
        </w:rPr>
        <w:tab/>
        <w:t>de</w:t>
      </w:r>
      <w:r w:rsidRPr="00E62799">
        <w:rPr>
          <w:rFonts w:ascii="Times New Roman" w:hAnsi="Times New Roman" w:cs="Times New Roman"/>
          <w:sz w:val="18"/>
          <w:szCs w:val="18"/>
          <w:lang w:val="es-ES"/>
        </w:rPr>
        <w:tab/>
        <w:t>Reconstrucción</w:t>
      </w:r>
      <w:r w:rsidRPr="00E62799">
        <w:rPr>
          <w:rFonts w:ascii="Times New Roman" w:hAnsi="Times New Roman" w:cs="Times New Roman"/>
          <w:sz w:val="18"/>
          <w:szCs w:val="18"/>
          <w:lang w:val="es-ES"/>
        </w:rPr>
        <w:tab/>
        <w:t>y</w:t>
      </w:r>
      <w:r w:rsidRPr="00E62799">
        <w:rPr>
          <w:rFonts w:ascii="Times New Roman" w:hAnsi="Times New Roman" w:cs="Times New Roman"/>
          <w:sz w:val="18"/>
          <w:szCs w:val="18"/>
          <w:lang w:val="es-ES"/>
        </w:rPr>
        <w:tab/>
        <w:t>Fomento/Banco</w:t>
      </w:r>
      <w:r w:rsidRPr="00E62799">
        <w:rPr>
          <w:rFonts w:ascii="Times New Roman" w:hAnsi="Times New Roman" w:cs="Times New Roman"/>
          <w:sz w:val="18"/>
          <w:szCs w:val="18"/>
          <w:lang w:val="es-ES"/>
        </w:rPr>
        <w:tab/>
        <w:t xml:space="preserve">Mundial. </w:t>
      </w:r>
      <w:hyperlink r:id="rId16">
        <w:r w:rsidRPr="00E62799">
          <w:rPr>
            <w:rStyle w:val="Hipervnculo"/>
            <w:rFonts w:ascii="Times New Roman" w:hAnsi="Times New Roman" w:cs="Times New Roman"/>
            <w:sz w:val="18"/>
            <w:szCs w:val="18"/>
            <w:lang w:val="es-ES"/>
          </w:rPr>
          <w:t>http://documentos.bancomundial.org/curated/es/316161533724728187/pdf/129298-7-8-2018-17-30-51-</w:t>
        </w:r>
      </w:hyperlink>
      <w:r w:rsidRPr="00E62799">
        <w:rPr>
          <w:rFonts w:ascii="Times New Roman" w:hAnsi="Times New Roman" w:cs="Times New Roman"/>
          <w:sz w:val="18"/>
          <w:szCs w:val="18"/>
          <w:lang w:val="es-ES"/>
        </w:rPr>
        <w:t xml:space="preserve"> </w:t>
      </w:r>
      <w:hyperlink r:id="rId17">
        <w:r w:rsidRPr="00E62799">
          <w:rPr>
            <w:rStyle w:val="Hipervnculo"/>
            <w:rFonts w:ascii="Times New Roman" w:hAnsi="Times New Roman" w:cs="Times New Roman"/>
            <w:sz w:val="18"/>
            <w:szCs w:val="18"/>
            <w:lang w:val="es-ES"/>
          </w:rPr>
          <w:t>AfrodescendientesenLatinoamerica.pdf</w:t>
        </w:r>
      </w:hyperlink>
    </w:p>
  </w:footnote>
  <w:footnote w:id="25">
    <w:p w14:paraId="3559FC41" w14:textId="77777777" w:rsidR="00341570" w:rsidRPr="00E62799" w:rsidRDefault="00341570" w:rsidP="00341570">
      <w:pPr>
        <w:pStyle w:val="Textonotapie"/>
        <w:rPr>
          <w:rFonts w:ascii="Times New Roman" w:hAnsi="Times New Roman" w:cs="Times New Roman"/>
          <w:sz w:val="18"/>
          <w:szCs w:val="18"/>
          <w:lang w:val="es-ES"/>
        </w:rPr>
      </w:pPr>
      <w:r w:rsidRPr="00E62799">
        <w:rPr>
          <w:rStyle w:val="Refdenotaalpie"/>
          <w:rFonts w:ascii="Times New Roman" w:hAnsi="Times New Roman" w:cs="Times New Roman"/>
          <w:sz w:val="18"/>
          <w:szCs w:val="18"/>
        </w:rPr>
        <w:footnoteRef/>
      </w:r>
      <w:r w:rsidRPr="00E62799">
        <w:rPr>
          <w:rFonts w:ascii="Times New Roman" w:hAnsi="Times New Roman" w:cs="Times New Roman"/>
          <w:sz w:val="18"/>
          <w:szCs w:val="18"/>
        </w:rPr>
        <w:t xml:space="preserve"> </w:t>
      </w:r>
      <w:r w:rsidRPr="00E62799">
        <w:rPr>
          <w:rFonts w:ascii="Times New Roman" w:hAnsi="Times New Roman" w:cs="Times New Roman"/>
          <w:sz w:val="18"/>
          <w:szCs w:val="18"/>
          <w:lang w:val="es-ES"/>
        </w:rPr>
        <w:t>En cuanto a la solicitud que hacen las organizaciones sobre la categoría moreno, al respecto, es fundamental precisar que la CEPAL ha recomendado no utilizar las categorías de mestizo y moreno.</w:t>
      </w:r>
    </w:p>
    <w:p w14:paraId="289BE459" w14:textId="582F0B66" w:rsidR="00341570" w:rsidRPr="00E62799" w:rsidRDefault="00341570">
      <w:pPr>
        <w:pStyle w:val="Textonotapie"/>
        <w:rPr>
          <w:rFonts w:ascii="Times New Roman" w:hAnsi="Times New Roman" w:cs="Times New Roman"/>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318336367"/>
      <w:docPartObj>
        <w:docPartGallery w:val="Page Numbers (Top of Page)"/>
        <w:docPartUnique/>
      </w:docPartObj>
    </w:sdtPr>
    <w:sdtContent>
      <w:p w14:paraId="2FADA706" w14:textId="4C10B2D9" w:rsidR="005922D8" w:rsidRPr="005922D8" w:rsidRDefault="005922D8">
        <w:pPr>
          <w:pStyle w:val="Encabezado"/>
          <w:jc w:val="right"/>
          <w:rPr>
            <w:rFonts w:ascii="Arial" w:hAnsi="Arial" w:cs="Arial"/>
          </w:rPr>
        </w:pPr>
        <w:r>
          <w:rPr>
            <w:noProof/>
          </w:rPr>
          <w:drawing>
            <wp:anchor distT="0" distB="0" distL="114300" distR="114300" simplePos="0" relativeHeight="251658240" behindDoc="1" locked="0" layoutInCell="1" allowOverlap="1" wp14:anchorId="37A9FFE8" wp14:editId="7F8D087E">
              <wp:simplePos x="0" y="0"/>
              <wp:positionH relativeFrom="margin">
                <wp:align>left</wp:align>
              </wp:positionH>
              <wp:positionV relativeFrom="paragraph">
                <wp:posOffset>-220980</wp:posOffset>
              </wp:positionV>
              <wp:extent cx="3086100" cy="533400"/>
              <wp:effectExtent l="0" t="0" r="0" b="0"/>
              <wp:wrapTight wrapText="bothSides">
                <wp:wrapPolygon edited="0">
                  <wp:start x="0" y="0"/>
                  <wp:lineTo x="0" y="20829"/>
                  <wp:lineTo x="21467" y="20829"/>
                  <wp:lineTo x="21467" y="0"/>
                  <wp:lineTo x="0" y="0"/>
                </wp:wrapPolygon>
              </wp:wrapTight>
              <wp:docPr id="2"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6100" cy="533400"/>
                      </a:xfrm>
                      <a:prstGeom prst="rect">
                        <a:avLst/>
                      </a:prstGeom>
                      <a:noFill/>
                      <a:ln>
                        <a:noFill/>
                      </a:ln>
                    </pic:spPr>
                  </pic:pic>
                </a:graphicData>
              </a:graphic>
            </wp:anchor>
          </w:drawing>
        </w:r>
        <w:r w:rsidRPr="005922D8">
          <w:rPr>
            <w:rFonts w:ascii="Arial" w:hAnsi="Arial" w:cs="Arial"/>
            <w:lang w:val="es-ES"/>
          </w:rPr>
          <w:t xml:space="preserve">Página </w:t>
        </w:r>
        <w:r w:rsidRPr="005922D8">
          <w:rPr>
            <w:rFonts w:ascii="Arial" w:hAnsi="Arial" w:cs="Arial"/>
            <w:b/>
            <w:bCs/>
          </w:rPr>
          <w:fldChar w:fldCharType="begin"/>
        </w:r>
        <w:r w:rsidRPr="005922D8">
          <w:rPr>
            <w:rFonts w:ascii="Arial" w:hAnsi="Arial" w:cs="Arial"/>
            <w:b/>
            <w:bCs/>
          </w:rPr>
          <w:instrText>PAGE</w:instrText>
        </w:r>
        <w:r w:rsidRPr="005922D8">
          <w:rPr>
            <w:rFonts w:ascii="Arial" w:hAnsi="Arial" w:cs="Arial"/>
            <w:b/>
            <w:bCs/>
          </w:rPr>
          <w:fldChar w:fldCharType="separate"/>
        </w:r>
        <w:r w:rsidRPr="005922D8">
          <w:rPr>
            <w:rFonts w:ascii="Arial" w:hAnsi="Arial" w:cs="Arial"/>
            <w:b/>
            <w:bCs/>
            <w:lang w:val="es-ES"/>
          </w:rPr>
          <w:t>2</w:t>
        </w:r>
        <w:r w:rsidRPr="005922D8">
          <w:rPr>
            <w:rFonts w:ascii="Arial" w:hAnsi="Arial" w:cs="Arial"/>
            <w:b/>
            <w:bCs/>
          </w:rPr>
          <w:fldChar w:fldCharType="end"/>
        </w:r>
        <w:r w:rsidRPr="005922D8">
          <w:rPr>
            <w:rFonts w:ascii="Arial" w:hAnsi="Arial" w:cs="Arial"/>
            <w:lang w:val="es-ES"/>
          </w:rPr>
          <w:t xml:space="preserve"> de </w:t>
        </w:r>
        <w:r w:rsidRPr="005922D8">
          <w:rPr>
            <w:rFonts w:ascii="Arial" w:hAnsi="Arial" w:cs="Arial"/>
            <w:b/>
            <w:bCs/>
          </w:rPr>
          <w:fldChar w:fldCharType="begin"/>
        </w:r>
        <w:r w:rsidRPr="005922D8">
          <w:rPr>
            <w:rFonts w:ascii="Arial" w:hAnsi="Arial" w:cs="Arial"/>
            <w:b/>
            <w:bCs/>
          </w:rPr>
          <w:instrText>NUMPAGES</w:instrText>
        </w:r>
        <w:r w:rsidRPr="005922D8">
          <w:rPr>
            <w:rFonts w:ascii="Arial" w:hAnsi="Arial" w:cs="Arial"/>
            <w:b/>
            <w:bCs/>
          </w:rPr>
          <w:fldChar w:fldCharType="separate"/>
        </w:r>
        <w:r w:rsidRPr="005922D8">
          <w:rPr>
            <w:rFonts w:ascii="Arial" w:hAnsi="Arial" w:cs="Arial"/>
            <w:b/>
            <w:bCs/>
            <w:lang w:val="es-ES"/>
          </w:rPr>
          <w:t>2</w:t>
        </w:r>
        <w:r w:rsidRPr="005922D8">
          <w:rPr>
            <w:rFonts w:ascii="Arial" w:hAnsi="Arial" w:cs="Arial"/>
            <w:b/>
            <w:bCs/>
          </w:rPr>
          <w:fldChar w:fldCharType="end"/>
        </w:r>
      </w:p>
    </w:sdtContent>
  </w:sdt>
  <w:p w14:paraId="5043E7AD" w14:textId="77777777" w:rsidR="005922D8" w:rsidRDefault="005922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30161"/>
    <w:multiLevelType w:val="hybridMultilevel"/>
    <w:tmpl w:val="3FCCD14C"/>
    <w:lvl w:ilvl="0" w:tplc="E280F90A">
      <w:numFmt w:val="bullet"/>
      <w:lvlText w:val=""/>
      <w:lvlJc w:val="left"/>
      <w:pPr>
        <w:ind w:left="1902" w:hanging="360"/>
      </w:pPr>
      <w:rPr>
        <w:rFonts w:ascii="Symbol" w:eastAsia="Symbol" w:hAnsi="Symbol" w:cs="Symbol" w:hint="default"/>
        <w:w w:val="99"/>
        <w:sz w:val="20"/>
        <w:szCs w:val="20"/>
        <w:lang w:val="es-ES" w:eastAsia="en-US" w:bidi="ar-SA"/>
      </w:rPr>
    </w:lvl>
    <w:lvl w:ilvl="1" w:tplc="AD506C32">
      <w:numFmt w:val="bullet"/>
      <w:lvlText w:val="•"/>
      <w:lvlJc w:val="left"/>
      <w:pPr>
        <w:ind w:left="2718" w:hanging="360"/>
      </w:pPr>
      <w:rPr>
        <w:rFonts w:hint="default"/>
        <w:lang w:val="es-ES" w:eastAsia="en-US" w:bidi="ar-SA"/>
      </w:rPr>
    </w:lvl>
    <w:lvl w:ilvl="2" w:tplc="23722AF4">
      <w:numFmt w:val="bullet"/>
      <w:lvlText w:val="•"/>
      <w:lvlJc w:val="left"/>
      <w:pPr>
        <w:ind w:left="3536" w:hanging="360"/>
      </w:pPr>
      <w:rPr>
        <w:rFonts w:hint="default"/>
        <w:lang w:val="es-ES" w:eastAsia="en-US" w:bidi="ar-SA"/>
      </w:rPr>
    </w:lvl>
    <w:lvl w:ilvl="3" w:tplc="22465D10">
      <w:numFmt w:val="bullet"/>
      <w:lvlText w:val="•"/>
      <w:lvlJc w:val="left"/>
      <w:pPr>
        <w:ind w:left="4354" w:hanging="360"/>
      </w:pPr>
      <w:rPr>
        <w:rFonts w:hint="default"/>
        <w:lang w:val="es-ES" w:eastAsia="en-US" w:bidi="ar-SA"/>
      </w:rPr>
    </w:lvl>
    <w:lvl w:ilvl="4" w:tplc="96781878">
      <w:numFmt w:val="bullet"/>
      <w:lvlText w:val="•"/>
      <w:lvlJc w:val="left"/>
      <w:pPr>
        <w:ind w:left="5172" w:hanging="360"/>
      </w:pPr>
      <w:rPr>
        <w:rFonts w:hint="default"/>
        <w:lang w:val="es-ES" w:eastAsia="en-US" w:bidi="ar-SA"/>
      </w:rPr>
    </w:lvl>
    <w:lvl w:ilvl="5" w:tplc="07D02ECE">
      <w:numFmt w:val="bullet"/>
      <w:lvlText w:val="•"/>
      <w:lvlJc w:val="left"/>
      <w:pPr>
        <w:ind w:left="5990" w:hanging="360"/>
      </w:pPr>
      <w:rPr>
        <w:rFonts w:hint="default"/>
        <w:lang w:val="es-ES" w:eastAsia="en-US" w:bidi="ar-SA"/>
      </w:rPr>
    </w:lvl>
    <w:lvl w:ilvl="6" w:tplc="E1066668">
      <w:numFmt w:val="bullet"/>
      <w:lvlText w:val="•"/>
      <w:lvlJc w:val="left"/>
      <w:pPr>
        <w:ind w:left="6808" w:hanging="360"/>
      </w:pPr>
      <w:rPr>
        <w:rFonts w:hint="default"/>
        <w:lang w:val="es-ES" w:eastAsia="en-US" w:bidi="ar-SA"/>
      </w:rPr>
    </w:lvl>
    <w:lvl w:ilvl="7" w:tplc="0D9EDB66">
      <w:numFmt w:val="bullet"/>
      <w:lvlText w:val="•"/>
      <w:lvlJc w:val="left"/>
      <w:pPr>
        <w:ind w:left="7626" w:hanging="360"/>
      </w:pPr>
      <w:rPr>
        <w:rFonts w:hint="default"/>
        <w:lang w:val="es-ES" w:eastAsia="en-US" w:bidi="ar-SA"/>
      </w:rPr>
    </w:lvl>
    <w:lvl w:ilvl="8" w:tplc="53BA845C">
      <w:numFmt w:val="bullet"/>
      <w:lvlText w:val="•"/>
      <w:lvlJc w:val="left"/>
      <w:pPr>
        <w:ind w:left="8444" w:hanging="360"/>
      </w:pPr>
      <w:rPr>
        <w:rFonts w:hint="default"/>
        <w:lang w:val="es-ES" w:eastAsia="en-US" w:bidi="ar-SA"/>
      </w:rPr>
    </w:lvl>
  </w:abstractNum>
  <w:abstractNum w:abstractNumId="1" w15:restartNumberingAfterBreak="0">
    <w:nsid w:val="043C15FD"/>
    <w:multiLevelType w:val="hybridMultilevel"/>
    <w:tmpl w:val="931AB6E8"/>
    <w:lvl w:ilvl="0" w:tplc="6660CC64">
      <w:numFmt w:val="bullet"/>
      <w:lvlText w:val=""/>
      <w:lvlJc w:val="left"/>
      <w:pPr>
        <w:ind w:left="465" w:hanging="360"/>
      </w:pPr>
      <w:rPr>
        <w:rFonts w:ascii="Symbol" w:eastAsia="Symbol" w:hAnsi="Symbol" w:cs="Symbol" w:hint="default"/>
        <w:w w:val="99"/>
        <w:sz w:val="20"/>
        <w:szCs w:val="20"/>
        <w:lang w:val="es-ES" w:eastAsia="en-US" w:bidi="ar-SA"/>
      </w:rPr>
    </w:lvl>
    <w:lvl w:ilvl="1" w:tplc="9DD206D0">
      <w:numFmt w:val="bullet"/>
      <w:lvlText w:val="•"/>
      <w:lvlJc w:val="left"/>
      <w:pPr>
        <w:ind w:left="1076" w:hanging="360"/>
      </w:pPr>
      <w:rPr>
        <w:rFonts w:hint="default"/>
        <w:lang w:val="es-ES" w:eastAsia="en-US" w:bidi="ar-SA"/>
      </w:rPr>
    </w:lvl>
    <w:lvl w:ilvl="2" w:tplc="D3B0A5B0">
      <w:numFmt w:val="bullet"/>
      <w:lvlText w:val="•"/>
      <w:lvlJc w:val="left"/>
      <w:pPr>
        <w:ind w:left="1692" w:hanging="360"/>
      </w:pPr>
      <w:rPr>
        <w:rFonts w:hint="default"/>
        <w:lang w:val="es-ES" w:eastAsia="en-US" w:bidi="ar-SA"/>
      </w:rPr>
    </w:lvl>
    <w:lvl w:ilvl="3" w:tplc="F1DC07F0">
      <w:numFmt w:val="bullet"/>
      <w:lvlText w:val="•"/>
      <w:lvlJc w:val="left"/>
      <w:pPr>
        <w:ind w:left="2308" w:hanging="360"/>
      </w:pPr>
      <w:rPr>
        <w:rFonts w:hint="default"/>
        <w:lang w:val="es-ES" w:eastAsia="en-US" w:bidi="ar-SA"/>
      </w:rPr>
    </w:lvl>
    <w:lvl w:ilvl="4" w:tplc="DC9E4BEE">
      <w:numFmt w:val="bullet"/>
      <w:lvlText w:val="•"/>
      <w:lvlJc w:val="left"/>
      <w:pPr>
        <w:ind w:left="2924" w:hanging="360"/>
      </w:pPr>
      <w:rPr>
        <w:rFonts w:hint="default"/>
        <w:lang w:val="es-ES" w:eastAsia="en-US" w:bidi="ar-SA"/>
      </w:rPr>
    </w:lvl>
    <w:lvl w:ilvl="5" w:tplc="5426AF38">
      <w:numFmt w:val="bullet"/>
      <w:lvlText w:val="•"/>
      <w:lvlJc w:val="left"/>
      <w:pPr>
        <w:ind w:left="3541" w:hanging="360"/>
      </w:pPr>
      <w:rPr>
        <w:rFonts w:hint="default"/>
        <w:lang w:val="es-ES" w:eastAsia="en-US" w:bidi="ar-SA"/>
      </w:rPr>
    </w:lvl>
    <w:lvl w:ilvl="6" w:tplc="7456878E">
      <w:numFmt w:val="bullet"/>
      <w:lvlText w:val="•"/>
      <w:lvlJc w:val="left"/>
      <w:pPr>
        <w:ind w:left="4157" w:hanging="360"/>
      </w:pPr>
      <w:rPr>
        <w:rFonts w:hint="default"/>
        <w:lang w:val="es-ES" w:eastAsia="en-US" w:bidi="ar-SA"/>
      </w:rPr>
    </w:lvl>
    <w:lvl w:ilvl="7" w:tplc="FCAABA62">
      <w:numFmt w:val="bullet"/>
      <w:lvlText w:val="•"/>
      <w:lvlJc w:val="left"/>
      <w:pPr>
        <w:ind w:left="4773" w:hanging="360"/>
      </w:pPr>
      <w:rPr>
        <w:rFonts w:hint="default"/>
        <w:lang w:val="es-ES" w:eastAsia="en-US" w:bidi="ar-SA"/>
      </w:rPr>
    </w:lvl>
    <w:lvl w:ilvl="8" w:tplc="E0802EFE">
      <w:numFmt w:val="bullet"/>
      <w:lvlText w:val="•"/>
      <w:lvlJc w:val="left"/>
      <w:pPr>
        <w:ind w:left="5389" w:hanging="360"/>
      </w:pPr>
      <w:rPr>
        <w:rFonts w:hint="default"/>
        <w:lang w:val="es-ES" w:eastAsia="en-US" w:bidi="ar-SA"/>
      </w:rPr>
    </w:lvl>
  </w:abstractNum>
  <w:abstractNum w:abstractNumId="2" w15:restartNumberingAfterBreak="0">
    <w:nsid w:val="05CA3BB8"/>
    <w:multiLevelType w:val="hybridMultilevel"/>
    <w:tmpl w:val="79BCC128"/>
    <w:lvl w:ilvl="0" w:tplc="B834263C">
      <w:numFmt w:val="bullet"/>
      <w:lvlText w:val=""/>
      <w:lvlJc w:val="left"/>
      <w:pPr>
        <w:ind w:left="465" w:hanging="360"/>
      </w:pPr>
      <w:rPr>
        <w:rFonts w:ascii="Symbol" w:eastAsia="Symbol" w:hAnsi="Symbol" w:cs="Symbol" w:hint="default"/>
        <w:w w:val="99"/>
        <w:sz w:val="20"/>
        <w:szCs w:val="20"/>
        <w:lang w:val="es-ES" w:eastAsia="en-US" w:bidi="ar-SA"/>
      </w:rPr>
    </w:lvl>
    <w:lvl w:ilvl="1" w:tplc="212E2A7E">
      <w:numFmt w:val="bullet"/>
      <w:lvlText w:val="•"/>
      <w:lvlJc w:val="left"/>
      <w:pPr>
        <w:ind w:left="1076" w:hanging="360"/>
      </w:pPr>
      <w:rPr>
        <w:rFonts w:hint="default"/>
        <w:lang w:val="es-ES" w:eastAsia="en-US" w:bidi="ar-SA"/>
      </w:rPr>
    </w:lvl>
    <w:lvl w:ilvl="2" w:tplc="67DE07C2">
      <w:numFmt w:val="bullet"/>
      <w:lvlText w:val="•"/>
      <w:lvlJc w:val="left"/>
      <w:pPr>
        <w:ind w:left="1692" w:hanging="360"/>
      </w:pPr>
      <w:rPr>
        <w:rFonts w:hint="default"/>
        <w:lang w:val="es-ES" w:eastAsia="en-US" w:bidi="ar-SA"/>
      </w:rPr>
    </w:lvl>
    <w:lvl w:ilvl="3" w:tplc="E4148E64">
      <w:numFmt w:val="bullet"/>
      <w:lvlText w:val="•"/>
      <w:lvlJc w:val="left"/>
      <w:pPr>
        <w:ind w:left="2308" w:hanging="360"/>
      </w:pPr>
      <w:rPr>
        <w:rFonts w:hint="default"/>
        <w:lang w:val="es-ES" w:eastAsia="en-US" w:bidi="ar-SA"/>
      </w:rPr>
    </w:lvl>
    <w:lvl w:ilvl="4" w:tplc="FD9CEAC0">
      <w:numFmt w:val="bullet"/>
      <w:lvlText w:val="•"/>
      <w:lvlJc w:val="left"/>
      <w:pPr>
        <w:ind w:left="2924" w:hanging="360"/>
      </w:pPr>
      <w:rPr>
        <w:rFonts w:hint="default"/>
        <w:lang w:val="es-ES" w:eastAsia="en-US" w:bidi="ar-SA"/>
      </w:rPr>
    </w:lvl>
    <w:lvl w:ilvl="5" w:tplc="65E452B0">
      <w:numFmt w:val="bullet"/>
      <w:lvlText w:val="•"/>
      <w:lvlJc w:val="left"/>
      <w:pPr>
        <w:ind w:left="3541" w:hanging="360"/>
      </w:pPr>
      <w:rPr>
        <w:rFonts w:hint="default"/>
        <w:lang w:val="es-ES" w:eastAsia="en-US" w:bidi="ar-SA"/>
      </w:rPr>
    </w:lvl>
    <w:lvl w:ilvl="6" w:tplc="8C481CE2">
      <w:numFmt w:val="bullet"/>
      <w:lvlText w:val="•"/>
      <w:lvlJc w:val="left"/>
      <w:pPr>
        <w:ind w:left="4157" w:hanging="360"/>
      </w:pPr>
      <w:rPr>
        <w:rFonts w:hint="default"/>
        <w:lang w:val="es-ES" w:eastAsia="en-US" w:bidi="ar-SA"/>
      </w:rPr>
    </w:lvl>
    <w:lvl w:ilvl="7" w:tplc="647441B6">
      <w:numFmt w:val="bullet"/>
      <w:lvlText w:val="•"/>
      <w:lvlJc w:val="left"/>
      <w:pPr>
        <w:ind w:left="4773" w:hanging="360"/>
      </w:pPr>
      <w:rPr>
        <w:rFonts w:hint="default"/>
        <w:lang w:val="es-ES" w:eastAsia="en-US" w:bidi="ar-SA"/>
      </w:rPr>
    </w:lvl>
    <w:lvl w:ilvl="8" w:tplc="3B801CB4">
      <w:numFmt w:val="bullet"/>
      <w:lvlText w:val="•"/>
      <w:lvlJc w:val="left"/>
      <w:pPr>
        <w:ind w:left="5389" w:hanging="360"/>
      </w:pPr>
      <w:rPr>
        <w:rFonts w:hint="default"/>
        <w:lang w:val="es-ES" w:eastAsia="en-US" w:bidi="ar-SA"/>
      </w:rPr>
    </w:lvl>
  </w:abstractNum>
  <w:abstractNum w:abstractNumId="3" w15:restartNumberingAfterBreak="0">
    <w:nsid w:val="23FB059A"/>
    <w:multiLevelType w:val="hybridMultilevel"/>
    <w:tmpl w:val="2BA6C540"/>
    <w:lvl w:ilvl="0" w:tplc="B62687E0">
      <w:numFmt w:val="bullet"/>
      <w:lvlText w:val=""/>
      <w:lvlJc w:val="left"/>
      <w:pPr>
        <w:ind w:left="1182" w:hanging="360"/>
      </w:pPr>
      <w:rPr>
        <w:rFonts w:ascii="Symbol" w:eastAsia="Symbol" w:hAnsi="Symbol" w:cs="Symbol" w:hint="default"/>
        <w:color w:val="0D0D0D"/>
        <w:w w:val="99"/>
        <w:sz w:val="20"/>
        <w:szCs w:val="20"/>
        <w:lang w:val="es-ES" w:eastAsia="en-US" w:bidi="ar-SA"/>
      </w:rPr>
    </w:lvl>
    <w:lvl w:ilvl="1" w:tplc="42005BE6">
      <w:numFmt w:val="bullet"/>
      <w:lvlText w:val="•"/>
      <w:lvlJc w:val="left"/>
      <w:pPr>
        <w:ind w:left="2070" w:hanging="360"/>
      </w:pPr>
      <w:rPr>
        <w:rFonts w:hint="default"/>
        <w:lang w:val="es-ES" w:eastAsia="en-US" w:bidi="ar-SA"/>
      </w:rPr>
    </w:lvl>
    <w:lvl w:ilvl="2" w:tplc="1FF66F56">
      <w:numFmt w:val="bullet"/>
      <w:lvlText w:val="•"/>
      <w:lvlJc w:val="left"/>
      <w:pPr>
        <w:ind w:left="2960" w:hanging="360"/>
      </w:pPr>
      <w:rPr>
        <w:rFonts w:hint="default"/>
        <w:lang w:val="es-ES" w:eastAsia="en-US" w:bidi="ar-SA"/>
      </w:rPr>
    </w:lvl>
    <w:lvl w:ilvl="3" w:tplc="B374DC3C">
      <w:numFmt w:val="bullet"/>
      <w:lvlText w:val="•"/>
      <w:lvlJc w:val="left"/>
      <w:pPr>
        <w:ind w:left="3850" w:hanging="360"/>
      </w:pPr>
      <w:rPr>
        <w:rFonts w:hint="default"/>
        <w:lang w:val="es-ES" w:eastAsia="en-US" w:bidi="ar-SA"/>
      </w:rPr>
    </w:lvl>
    <w:lvl w:ilvl="4" w:tplc="6B3068F6">
      <w:numFmt w:val="bullet"/>
      <w:lvlText w:val="•"/>
      <w:lvlJc w:val="left"/>
      <w:pPr>
        <w:ind w:left="4740" w:hanging="360"/>
      </w:pPr>
      <w:rPr>
        <w:rFonts w:hint="default"/>
        <w:lang w:val="es-ES" w:eastAsia="en-US" w:bidi="ar-SA"/>
      </w:rPr>
    </w:lvl>
    <w:lvl w:ilvl="5" w:tplc="2232243E">
      <w:numFmt w:val="bullet"/>
      <w:lvlText w:val="•"/>
      <w:lvlJc w:val="left"/>
      <w:pPr>
        <w:ind w:left="5630" w:hanging="360"/>
      </w:pPr>
      <w:rPr>
        <w:rFonts w:hint="default"/>
        <w:lang w:val="es-ES" w:eastAsia="en-US" w:bidi="ar-SA"/>
      </w:rPr>
    </w:lvl>
    <w:lvl w:ilvl="6" w:tplc="AC3C2B2C">
      <w:numFmt w:val="bullet"/>
      <w:lvlText w:val="•"/>
      <w:lvlJc w:val="left"/>
      <w:pPr>
        <w:ind w:left="6520" w:hanging="360"/>
      </w:pPr>
      <w:rPr>
        <w:rFonts w:hint="default"/>
        <w:lang w:val="es-ES" w:eastAsia="en-US" w:bidi="ar-SA"/>
      </w:rPr>
    </w:lvl>
    <w:lvl w:ilvl="7" w:tplc="80CA56BC">
      <w:numFmt w:val="bullet"/>
      <w:lvlText w:val="•"/>
      <w:lvlJc w:val="left"/>
      <w:pPr>
        <w:ind w:left="7410" w:hanging="360"/>
      </w:pPr>
      <w:rPr>
        <w:rFonts w:hint="default"/>
        <w:lang w:val="es-ES" w:eastAsia="en-US" w:bidi="ar-SA"/>
      </w:rPr>
    </w:lvl>
    <w:lvl w:ilvl="8" w:tplc="D8024682">
      <w:numFmt w:val="bullet"/>
      <w:lvlText w:val="•"/>
      <w:lvlJc w:val="left"/>
      <w:pPr>
        <w:ind w:left="8300" w:hanging="360"/>
      </w:pPr>
      <w:rPr>
        <w:rFonts w:hint="default"/>
        <w:lang w:val="es-ES" w:eastAsia="en-US" w:bidi="ar-SA"/>
      </w:rPr>
    </w:lvl>
  </w:abstractNum>
  <w:abstractNum w:abstractNumId="4" w15:restartNumberingAfterBreak="0">
    <w:nsid w:val="252C4569"/>
    <w:multiLevelType w:val="hybridMultilevel"/>
    <w:tmpl w:val="095EB204"/>
    <w:lvl w:ilvl="0" w:tplc="B838C90A">
      <w:numFmt w:val="bullet"/>
      <w:lvlText w:val=""/>
      <w:lvlJc w:val="left"/>
      <w:pPr>
        <w:ind w:left="810" w:hanging="360"/>
      </w:pPr>
      <w:rPr>
        <w:rFonts w:ascii="Symbol" w:eastAsia="Symbol" w:hAnsi="Symbol" w:cs="Symbol" w:hint="default"/>
        <w:w w:val="99"/>
        <w:sz w:val="20"/>
        <w:szCs w:val="20"/>
        <w:lang w:val="es-ES" w:eastAsia="en-US" w:bidi="ar-SA"/>
      </w:rPr>
    </w:lvl>
    <w:lvl w:ilvl="1" w:tplc="FA820948">
      <w:numFmt w:val="bullet"/>
      <w:lvlText w:val="•"/>
      <w:lvlJc w:val="left"/>
      <w:pPr>
        <w:ind w:left="1746" w:hanging="360"/>
      </w:pPr>
      <w:rPr>
        <w:rFonts w:hint="default"/>
        <w:lang w:val="es-ES" w:eastAsia="en-US" w:bidi="ar-SA"/>
      </w:rPr>
    </w:lvl>
    <w:lvl w:ilvl="2" w:tplc="65D65604">
      <w:numFmt w:val="bullet"/>
      <w:lvlText w:val="•"/>
      <w:lvlJc w:val="left"/>
      <w:pPr>
        <w:ind w:left="2672" w:hanging="360"/>
      </w:pPr>
      <w:rPr>
        <w:rFonts w:hint="default"/>
        <w:lang w:val="es-ES" w:eastAsia="en-US" w:bidi="ar-SA"/>
      </w:rPr>
    </w:lvl>
    <w:lvl w:ilvl="3" w:tplc="5004412E">
      <w:numFmt w:val="bullet"/>
      <w:lvlText w:val="•"/>
      <w:lvlJc w:val="left"/>
      <w:pPr>
        <w:ind w:left="3598" w:hanging="360"/>
      </w:pPr>
      <w:rPr>
        <w:rFonts w:hint="default"/>
        <w:lang w:val="es-ES" w:eastAsia="en-US" w:bidi="ar-SA"/>
      </w:rPr>
    </w:lvl>
    <w:lvl w:ilvl="4" w:tplc="FAE6DB08">
      <w:numFmt w:val="bullet"/>
      <w:lvlText w:val="•"/>
      <w:lvlJc w:val="left"/>
      <w:pPr>
        <w:ind w:left="4524" w:hanging="360"/>
      </w:pPr>
      <w:rPr>
        <w:rFonts w:hint="default"/>
        <w:lang w:val="es-ES" w:eastAsia="en-US" w:bidi="ar-SA"/>
      </w:rPr>
    </w:lvl>
    <w:lvl w:ilvl="5" w:tplc="794E4214">
      <w:numFmt w:val="bullet"/>
      <w:lvlText w:val="•"/>
      <w:lvlJc w:val="left"/>
      <w:pPr>
        <w:ind w:left="5450" w:hanging="360"/>
      </w:pPr>
      <w:rPr>
        <w:rFonts w:hint="default"/>
        <w:lang w:val="es-ES" w:eastAsia="en-US" w:bidi="ar-SA"/>
      </w:rPr>
    </w:lvl>
    <w:lvl w:ilvl="6" w:tplc="8258F5F8">
      <w:numFmt w:val="bullet"/>
      <w:lvlText w:val="•"/>
      <w:lvlJc w:val="left"/>
      <w:pPr>
        <w:ind w:left="6376" w:hanging="360"/>
      </w:pPr>
      <w:rPr>
        <w:rFonts w:hint="default"/>
        <w:lang w:val="es-ES" w:eastAsia="en-US" w:bidi="ar-SA"/>
      </w:rPr>
    </w:lvl>
    <w:lvl w:ilvl="7" w:tplc="AE9E5714">
      <w:numFmt w:val="bullet"/>
      <w:lvlText w:val="•"/>
      <w:lvlJc w:val="left"/>
      <w:pPr>
        <w:ind w:left="7302" w:hanging="360"/>
      </w:pPr>
      <w:rPr>
        <w:rFonts w:hint="default"/>
        <w:lang w:val="es-ES" w:eastAsia="en-US" w:bidi="ar-SA"/>
      </w:rPr>
    </w:lvl>
    <w:lvl w:ilvl="8" w:tplc="F5E0398C">
      <w:numFmt w:val="bullet"/>
      <w:lvlText w:val="•"/>
      <w:lvlJc w:val="left"/>
      <w:pPr>
        <w:ind w:left="8228" w:hanging="360"/>
      </w:pPr>
      <w:rPr>
        <w:rFonts w:hint="default"/>
        <w:lang w:val="es-ES" w:eastAsia="en-US" w:bidi="ar-SA"/>
      </w:rPr>
    </w:lvl>
  </w:abstractNum>
  <w:abstractNum w:abstractNumId="5" w15:restartNumberingAfterBreak="0">
    <w:nsid w:val="275F2C10"/>
    <w:multiLevelType w:val="hybridMultilevel"/>
    <w:tmpl w:val="1436C4F2"/>
    <w:lvl w:ilvl="0" w:tplc="9A2C1484">
      <w:numFmt w:val="bullet"/>
      <w:lvlText w:val=""/>
      <w:lvlJc w:val="left"/>
      <w:pPr>
        <w:ind w:left="733" w:hanging="360"/>
      </w:pPr>
      <w:rPr>
        <w:rFonts w:ascii="Symbol" w:eastAsia="Symbol" w:hAnsi="Symbol" w:cs="Symbol" w:hint="default"/>
        <w:w w:val="99"/>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BB73A3D"/>
    <w:multiLevelType w:val="hybridMultilevel"/>
    <w:tmpl w:val="E69CA326"/>
    <w:lvl w:ilvl="0" w:tplc="77BA96DA">
      <w:start w:val="1"/>
      <w:numFmt w:val="lowerLetter"/>
      <w:lvlText w:val="%1."/>
      <w:lvlJc w:val="left"/>
      <w:pPr>
        <w:ind w:left="822" w:hanging="360"/>
      </w:pPr>
      <w:rPr>
        <w:rFonts w:hint="default"/>
        <w:spacing w:val="-1"/>
        <w:w w:val="99"/>
        <w:lang w:val="es-ES" w:eastAsia="en-US" w:bidi="ar-SA"/>
      </w:rPr>
    </w:lvl>
    <w:lvl w:ilvl="1" w:tplc="947CD622">
      <w:numFmt w:val="bullet"/>
      <w:lvlText w:val=""/>
      <w:lvlJc w:val="left"/>
      <w:pPr>
        <w:ind w:left="1328" w:hanging="356"/>
      </w:pPr>
      <w:rPr>
        <w:rFonts w:ascii="Symbol" w:eastAsia="Symbol" w:hAnsi="Symbol" w:cs="Symbol" w:hint="default"/>
        <w:w w:val="99"/>
        <w:sz w:val="20"/>
        <w:szCs w:val="20"/>
        <w:lang w:val="es-ES" w:eastAsia="en-US" w:bidi="ar-SA"/>
      </w:rPr>
    </w:lvl>
    <w:lvl w:ilvl="2" w:tplc="8E16727A">
      <w:numFmt w:val="bullet"/>
      <w:lvlText w:val="•"/>
      <w:lvlJc w:val="left"/>
      <w:pPr>
        <w:ind w:left="2293" w:hanging="356"/>
      </w:pPr>
      <w:rPr>
        <w:rFonts w:hint="default"/>
        <w:lang w:val="es-ES" w:eastAsia="en-US" w:bidi="ar-SA"/>
      </w:rPr>
    </w:lvl>
    <w:lvl w:ilvl="3" w:tplc="3FD8CC72">
      <w:numFmt w:val="bullet"/>
      <w:lvlText w:val="•"/>
      <w:lvlJc w:val="left"/>
      <w:pPr>
        <w:ind w:left="3266" w:hanging="356"/>
      </w:pPr>
      <w:rPr>
        <w:rFonts w:hint="default"/>
        <w:lang w:val="es-ES" w:eastAsia="en-US" w:bidi="ar-SA"/>
      </w:rPr>
    </w:lvl>
    <w:lvl w:ilvl="4" w:tplc="AFB2C478">
      <w:numFmt w:val="bullet"/>
      <w:lvlText w:val="•"/>
      <w:lvlJc w:val="left"/>
      <w:pPr>
        <w:ind w:left="4240" w:hanging="356"/>
      </w:pPr>
      <w:rPr>
        <w:rFonts w:hint="default"/>
        <w:lang w:val="es-ES" w:eastAsia="en-US" w:bidi="ar-SA"/>
      </w:rPr>
    </w:lvl>
    <w:lvl w:ilvl="5" w:tplc="C55499D0">
      <w:numFmt w:val="bullet"/>
      <w:lvlText w:val="•"/>
      <w:lvlJc w:val="left"/>
      <w:pPr>
        <w:ind w:left="5213" w:hanging="356"/>
      </w:pPr>
      <w:rPr>
        <w:rFonts w:hint="default"/>
        <w:lang w:val="es-ES" w:eastAsia="en-US" w:bidi="ar-SA"/>
      </w:rPr>
    </w:lvl>
    <w:lvl w:ilvl="6" w:tplc="4176C5F6">
      <w:numFmt w:val="bullet"/>
      <w:lvlText w:val="•"/>
      <w:lvlJc w:val="left"/>
      <w:pPr>
        <w:ind w:left="6186" w:hanging="356"/>
      </w:pPr>
      <w:rPr>
        <w:rFonts w:hint="default"/>
        <w:lang w:val="es-ES" w:eastAsia="en-US" w:bidi="ar-SA"/>
      </w:rPr>
    </w:lvl>
    <w:lvl w:ilvl="7" w:tplc="E03C01B0">
      <w:numFmt w:val="bullet"/>
      <w:lvlText w:val="•"/>
      <w:lvlJc w:val="left"/>
      <w:pPr>
        <w:ind w:left="7160" w:hanging="356"/>
      </w:pPr>
      <w:rPr>
        <w:rFonts w:hint="default"/>
        <w:lang w:val="es-ES" w:eastAsia="en-US" w:bidi="ar-SA"/>
      </w:rPr>
    </w:lvl>
    <w:lvl w:ilvl="8" w:tplc="1206E01C">
      <w:numFmt w:val="bullet"/>
      <w:lvlText w:val="•"/>
      <w:lvlJc w:val="left"/>
      <w:pPr>
        <w:ind w:left="8133" w:hanging="356"/>
      </w:pPr>
      <w:rPr>
        <w:rFonts w:hint="default"/>
        <w:lang w:val="es-ES" w:eastAsia="en-US" w:bidi="ar-SA"/>
      </w:rPr>
    </w:lvl>
  </w:abstractNum>
  <w:abstractNum w:abstractNumId="7" w15:restartNumberingAfterBreak="0">
    <w:nsid w:val="33272B07"/>
    <w:multiLevelType w:val="hybridMultilevel"/>
    <w:tmpl w:val="C1B6024E"/>
    <w:lvl w:ilvl="0" w:tplc="9A2C1484">
      <w:numFmt w:val="bullet"/>
      <w:lvlText w:val=""/>
      <w:lvlJc w:val="left"/>
      <w:pPr>
        <w:ind w:left="733" w:hanging="360"/>
      </w:pPr>
      <w:rPr>
        <w:rFonts w:ascii="Symbol" w:eastAsia="Symbol" w:hAnsi="Symbol" w:cs="Symbol" w:hint="default"/>
        <w:w w:val="99"/>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4334138"/>
    <w:multiLevelType w:val="hybridMultilevel"/>
    <w:tmpl w:val="AB182C44"/>
    <w:lvl w:ilvl="0" w:tplc="A96C3ED6">
      <w:numFmt w:val="bullet"/>
      <w:lvlText w:val=""/>
      <w:lvlJc w:val="left"/>
      <w:pPr>
        <w:ind w:left="462" w:hanging="360"/>
      </w:pPr>
      <w:rPr>
        <w:rFonts w:ascii="Symbol" w:eastAsia="Symbol" w:hAnsi="Symbol" w:cs="Symbol" w:hint="default"/>
        <w:w w:val="99"/>
        <w:sz w:val="20"/>
        <w:szCs w:val="20"/>
        <w:lang w:val="es-ES" w:eastAsia="en-US" w:bidi="ar-SA"/>
      </w:rPr>
    </w:lvl>
    <w:lvl w:ilvl="1" w:tplc="2B78FDEA">
      <w:numFmt w:val="bullet"/>
      <w:lvlText w:val=""/>
      <w:lvlJc w:val="left"/>
      <w:pPr>
        <w:ind w:left="810" w:hanging="360"/>
      </w:pPr>
      <w:rPr>
        <w:rFonts w:ascii="Symbol" w:eastAsia="Symbol" w:hAnsi="Symbol" w:cs="Symbol" w:hint="default"/>
        <w:w w:val="99"/>
        <w:sz w:val="20"/>
        <w:szCs w:val="20"/>
        <w:lang w:val="es-ES" w:eastAsia="en-US" w:bidi="ar-SA"/>
      </w:rPr>
    </w:lvl>
    <w:lvl w:ilvl="2" w:tplc="A48AB632">
      <w:numFmt w:val="bullet"/>
      <w:lvlText w:val="•"/>
      <w:lvlJc w:val="left"/>
      <w:pPr>
        <w:ind w:left="1848" w:hanging="360"/>
      </w:pPr>
      <w:rPr>
        <w:rFonts w:hint="default"/>
        <w:lang w:val="es-ES" w:eastAsia="en-US" w:bidi="ar-SA"/>
      </w:rPr>
    </w:lvl>
    <w:lvl w:ilvl="3" w:tplc="55868ED6">
      <w:numFmt w:val="bullet"/>
      <w:lvlText w:val="•"/>
      <w:lvlJc w:val="left"/>
      <w:pPr>
        <w:ind w:left="2877" w:hanging="360"/>
      </w:pPr>
      <w:rPr>
        <w:rFonts w:hint="default"/>
        <w:lang w:val="es-ES" w:eastAsia="en-US" w:bidi="ar-SA"/>
      </w:rPr>
    </w:lvl>
    <w:lvl w:ilvl="4" w:tplc="2F5436B4">
      <w:numFmt w:val="bullet"/>
      <w:lvlText w:val="•"/>
      <w:lvlJc w:val="left"/>
      <w:pPr>
        <w:ind w:left="3906" w:hanging="360"/>
      </w:pPr>
      <w:rPr>
        <w:rFonts w:hint="default"/>
        <w:lang w:val="es-ES" w:eastAsia="en-US" w:bidi="ar-SA"/>
      </w:rPr>
    </w:lvl>
    <w:lvl w:ilvl="5" w:tplc="EBFE05CC">
      <w:numFmt w:val="bullet"/>
      <w:lvlText w:val="•"/>
      <w:lvlJc w:val="left"/>
      <w:pPr>
        <w:ind w:left="4935" w:hanging="360"/>
      </w:pPr>
      <w:rPr>
        <w:rFonts w:hint="default"/>
        <w:lang w:val="es-ES" w:eastAsia="en-US" w:bidi="ar-SA"/>
      </w:rPr>
    </w:lvl>
    <w:lvl w:ilvl="6" w:tplc="D5469CE8">
      <w:numFmt w:val="bullet"/>
      <w:lvlText w:val="•"/>
      <w:lvlJc w:val="left"/>
      <w:pPr>
        <w:ind w:left="5964" w:hanging="360"/>
      </w:pPr>
      <w:rPr>
        <w:rFonts w:hint="default"/>
        <w:lang w:val="es-ES" w:eastAsia="en-US" w:bidi="ar-SA"/>
      </w:rPr>
    </w:lvl>
    <w:lvl w:ilvl="7" w:tplc="0D6AE786">
      <w:numFmt w:val="bullet"/>
      <w:lvlText w:val="•"/>
      <w:lvlJc w:val="left"/>
      <w:pPr>
        <w:ind w:left="6993" w:hanging="360"/>
      </w:pPr>
      <w:rPr>
        <w:rFonts w:hint="default"/>
        <w:lang w:val="es-ES" w:eastAsia="en-US" w:bidi="ar-SA"/>
      </w:rPr>
    </w:lvl>
    <w:lvl w:ilvl="8" w:tplc="9AF052B8">
      <w:numFmt w:val="bullet"/>
      <w:lvlText w:val="•"/>
      <w:lvlJc w:val="left"/>
      <w:pPr>
        <w:ind w:left="8022" w:hanging="360"/>
      </w:pPr>
      <w:rPr>
        <w:rFonts w:hint="default"/>
        <w:lang w:val="es-ES" w:eastAsia="en-US" w:bidi="ar-SA"/>
      </w:rPr>
    </w:lvl>
  </w:abstractNum>
  <w:abstractNum w:abstractNumId="9" w15:restartNumberingAfterBreak="0">
    <w:nsid w:val="38182672"/>
    <w:multiLevelType w:val="hybridMultilevel"/>
    <w:tmpl w:val="710407D4"/>
    <w:lvl w:ilvl="0" w:tplc="240A0001">
      <w:start w:val="1"/>
      <w:numFmt w:val="bullet"/>
      <w:lvlText w:val=""/>
      <w:lvlJc w:val="left"/>
      <w:pPr>
        <w:ind w:left="465" w:hanging="360"/>
      </w:pPr>
      <w:rPr>
        <w:rFonts w:ascii="Symbol" w:hAnsi="Symbol" w:hint="default"/>
        <w:w w:val="99"/>
        <w:sz w:val="20"/>
        <w:szCs w:val="20"/>
        <w:lang w:val="es-ES" w:eastAsia="en-US" w:bidi="ar-SA"/>
      </w:rPr>
    </w:lvl>
    <w:lvl w:ilvl="1" w:tplc="FFFFFFFF">
      <w:numFmt w:val="bullet"/>
      <w:lvlText w:val="•"/>
      <w:lvlJc w:val="left"/>
      <w:pPr>
        <w:ind w:left="1076" w:hanging="360"/>
      </w:pPr>
      <w:rPr>
        <w:rFonts w:hint="default"/>
        <w:lang w:val="es-ES" w:eastAsia="en-US" w:bidi="ar-SA"/>
      </w:rPr>
    </w:lvl>
    <w:lvl w:ilvl="2" w:tplc="FFFFFFFF">
      <w:numFmt w:val="bullet"/>
      <w:lvlText w:val="•"/>
      <w:lvlJc w:val="left"/>
      <w:pPr>
        <w:ind w:left="1692" w:hanging="360"/>
      </w:pPr>
      <w:rPr>
        <w:rFonts w:hint="default"/>
        <w:lang w:val="es-ES" w:eastAsia="en-US" w:bidi="ar-SA"/>
      </w:rPr>
    </w:lvl>
    <w:lvl w:ilvl="3" w:tplc="FFFFFFFF">
      <w:numFmt w:val="bullet"/>
      <w:lvlText w:val="•"/>
      <w:lvlJc w:val="left"/>
      <w:pPr>
        <w:ind w:left="2308" w:hanging="360"/>
      </w:pPr>
      <w:rPr>
        <w:rFonts w:hint="default"/>
        <w:lang w:val="es-ES" w:eastAsia="en-US" w:bidi="ar-SA"/>
      </w:rPr>
    </w:lvl>
    <w:lvl w:ilvl="4" w:tplc="FFFFFFFF">
      <w:numFmt w:val="bullet"/>
      <w:lvlText w:val="•"/>
      <w:lvlJc w:val="left"/>
      <w:pPr>
        <w:ind w:left="2924" w:hanging="360"/>
      </w:pPr>
      <w:rPr>
        <w:rFonts w:hint="default"/>
        <w:lang w:val="es-ES" w:eastAsia="en-US" w:bidi="ar-SA"/>
      </w:rPr>
    </w:lvl>
    <w:lvl w:ilvl="5" w:tplc="FFFFFFFF">
      <w:numFmt w:val="bullet"/>
      <w:lvlText w:val="•"/>
      <w:lvlJc w:val="left"/>
      <w:pPr>
        <w:ind w:left="3541" w:hanging="360"/>
      </w:pPr>
      <w:rPr>
        <w:rFonts w:hint="default"/>
        <w:lang w:val="es-ES" w:eastAsia="en-US" w:bidi="ar-SA"/>
      </w:rPr>
    </w:lvl>
    <w:lvl w:ilvl="6" w:tplc="FFFFFFFF">
      <w:numFmt w:val="bullet"/>
      <w:lvlText w:val="•"/>
      <w:lvlJc w:val="left"/>
      <w:pPr>
        <w:ind w:left="4157" w:hanging="360"/>
      </w:pPr>
      <w:rPr>
        <w:rFonts w:hint="default"/>
        <w:lang w:val="es-ES" w:eastAsia="en-US" w:bidi="ar-SA"/>
      </w:rPr>
    </w:lvl>
    <w:lvl w:ilvl="7" w:tplc="FFFFFFFF">
      <w:numFmt w:val="bullet"/>
      <w:lvlText w:val="•"/>
      <w:lvlJc w:val="left"/>
      <w:pPr>
        <w:ind w:left="4773" w:hanging="360"/>
      </w:pPr>
      <w:rPr>
        <w:rFonts w:hint="default"/>
        <w:lang w:val="es-ES" w:eastAsia="en-US" w:bidi="ar-SA"/>
      </w:rPr>
    </w:lvl>
    <w:lvl w:ilvl="8" w:tplc="FFFFFFFF">
      <w:numFmt w:val="bullet"/>
      <w:lvlText w:val="•"/>
      <w:lvlJc w:val="left"/>
      <w:pPr>
        <w:ind w:left="5389" w:hanging="360"/>
      </w:pPr>
      <w:rPr>
        <w:rFonts w:hint="default"/>
        <w:lang w:val="es-ES" w:eastAsia="en-US" w:bidi="ar-SA"/>
      </w:rPr>
    </w:lvl>
  </w:abstractNum>
  <w:abstractNum w:abstractNumId="10" w15:restartNumberingAfterBreak="0">
    <w:nsid w:val="3CC17546"/>
    <w:multiLevelType w:val="hybridMultilevel"/>
    <w:tmpl w:val="AC301CAA"/>
    <w:lvl w:ilvl="0" w:tplc="237810E8">
      <w:numFmt w:val="bullet"/>
      <w:lvlText w:val=""/>
      <w:lvlJc w:val="left"/>
      <w:pPr>
        <w:ind w:left="465" w:hanging="360"/>
      </w:pPr>
      <w:rPr>
        <w:rFonts w:ascii="Symbol" w:eastAsia="Symbol" w:hAnsi="Symbol" w:cs="Symbol" w:hint="default"/>
        <w:w w:val="99"/>
        <w:sz w:val="20"/>
        <w:szCs w:val="20"/>
        <w:lang w:val="es-ES" w:eastAsia="en-US" w:bidi="ar-SA"/>
      </w:rPr>
    </w:lvl>
    <w:lvl w:ilvl="1" w:tplc="0C6002D2">
      <w:numFmt w:val="bullet"/>
      <w:lvlText w:val="•"/>
      <w:lvlJc w:val="left"/>
      <w:pPr>
        <w:ind w:left="1076" w:hanging="360"/>
      </w:pPr>
      <w:rPr>
        <w:rFonts w:hint="default"/>
        <w:lang w:val="es-ES" w:eastAsia="en-US" w:bidi="ar-SA"/>
      </w:rPr>
    </w:lvl>
    <w:lvl w:ilvl="2" w:tplc="774406A6">
      <w:numFmt w:val="bullet"/>
      <w:lvlText w:val="•"/>
      <w:lvlJc w:val="left"/>
      <w:pPr>
        <w:ind w:left="1692" w:hanging="360"/>
      </w:pPr>
      <w:rPr>
        <w:rFonts w:hint="default"/>
        <w:lang w:val="es-ES" w:eastAsia="en-US" w:bidi="ar-SA"/>
      </w:rPr>
    </w:lvl>
    <w:lvl w:ilvl="3" w:tplc="51C67244">
      <w:numFmt w:val="bullet"/>
      <w:lvlText w:val="•"/>
      <w:lvlJc w:val="left"/>
      <w:pPr>
        <w:ind w:left="2308" w:hanging="360"/>
      </w:pPr>
      <w:rPr>
        <w:rFonts w:hint="default"/>
        <w:lang w:val="es-ES" w:eastAsia="en-US" w:bidi="ar-SA"/>
      </w:rPr>
    </w:lvl>
    <w:lvl w:ilvl="4" w:tplc="3B9C273C">
      <w:numFmt w:val="bullet"/>
      <w:lvlText w:val="•"/>
      <w:lvlJc w:val="left"/>
      <w:pPr>
        <w:ind w:left="2924" w:hanging="360"/>
      </w:pPr>
      <w:rPr>
        <w:rFonts w:hint="default"/>
        <w:lang w:val="es-ES" w:eastAsia="en-US" w:bidi="ar-SA"/>
      </w:rPr>
    </w:lvl>
    <w:lvl w:ilvl="5" w:tplc="A42EF144">
      <w:numFmt w:val="bullet"/>
      <w:lvlText w:val="•"/>
      <w:lvlJc w:val="left"/>
      <w:pPr>
        <w:ind w:left="3541" w:hanging="360"/>
      </w:pPr>
      <w:rPr>
        <w:rFonts w:hint="default"/>
        <w:lang w:val="es-ES" w:eastAsia="en-US" w:bidi="ar-SA"/>
      </w:rPr>
    </w:lvl>
    <w:lvl w:ilvl="6" w:tplc="82FC862C">
      <w:numFmt w:val="bullet"/>
      <w:lvlText w:val="•"/>
      <w:lvlJc w:val="left"/>
      <w:pPr>
        <w:ind w:left="4157" w:hanging="360"/>
      </w:pPr>
      <w:rPr>
        <w:rFonts w:hint="default"/>
        <w:lang w:val="es-ES" w:eastAsia="en-US" w:bidi="ar-SA"/>
      </w:rPr>
    </w:lvl>
    <w:lvl w:ilvl="7" w:tplc="CDD8872A">
      <w:numFmt w:val="bullet"/>
      <w:lvlText w:val="•"/>
      <w:lvlJc w:val="left"/>
      <w:pPr>
        <w:ind w:left="4773" w:hanging="360"/>
      </w:pPr>
      <w:rPr>
        <w:rFonts w:hint="default"/>
        <w:lang w:val="es-ES" w:eastAsia="en-US" w:bidi="ar-SA"/>
      </w:rPr>
    </w:lvl>
    <w:lvl w:ilvl="8" w:tplc="FC785344">
      <w:numFmt w:val="bullet"/>
      <w:lvlText w:val="•"/>
      <w:lvlJc w:val="left"/>
      <w:pPr>
        <w:ind w:left="5389" w:hanging="360"/>
      </w:pPr>
      <w:rPr>
        <w:rFonts w:hint="default"/>
        <w:lang w:val="es-ES" w:eastAsia="en-US" w:bidi="ar-SA"/>
      </w:rPr>
    </w:lvl>
  </w:abstractNum>
  <w:abstractNum w:abstractNumId="11" w15:restartNumberingAfterBreak="0">
    <w:nsid w:val="553A49EA"/>
    <w:multiLevelType w:val="hybridMultilevel"/>
    <w:tmpl w:val="92B2364C"/>
    <w:lvl w:ilvl="0" w:tplc="8BB2BA6A">
      <w:numFmt w:val="bullet"/>
      <w:lvlText w:val="•"/>
      <w:lvlJc w:val="left"/>
      <w:pPr>
        <w:ind w:left="1068" w:hanging="360"/>
      </w:pPr>
      <w:rPr>
        <w:rFonts w:ascii="Arial MT" w:eastAsia="Arial MT" w:hAnsi="Arial MT" w:cs="Arial MT" w:hint="default"/>
        <w:w w:val="99"/>
        <w:sz w:val="20"/>
        <w:szCs w:val="20"/>
        <w:lang w:val="es-ES" w:eastAsia="en-US" w:bidi="ar-SA"/>
      </w:rPr>
    </w:lvl>
    <w:lvl w:ilvl="1" w:tplc="0DE0BAD8">
      <w:numFmt w:val="bullet"/>
      <w:lvlText w:val="•"/>
      <w:lvlJc w:val="left"/>
      <w:pPr>
        <w:ind w:left="1956" w:hanging="360"/>
      </w:pPr>
      <w:rPr>
        <w:rFonts w:hint="default"/>
        <w:lang w:val="es-ES" w:eastAsia="en-US" w:bidi="ar-SA"/>
      </w:rPr>
    </w:lvl>
    <w:lvl w:ilvl="2" w:tplc="A75268B0">
      <w:numFmt w:val="bullet"/>
      <w:lvlText w:val="•"/>
      <w:lvlJc w:val="left"/>
      <w:pPr>
        <w:ind w:left="2846" w:hanging="360"/>
      </w:pPr>
      <w:rPr>
        <w:rFonts w:hint="default"/>
        <w:lang w:val="es-ES" w:eastAsia="en-US" w:bidi="ar-SA"/>
      </w:rPr>
    </w:lvl>
    <w:lvl w:ilvl="3" w:tplc="802A4BF0">
      <w:numFmt w:val="bullet"/>
      <w:lvlText w:val="•"/>
      <w:lvlJc w:val="left"/>
      <w:pPr>
        <w:ind w:left="3736" w:hanging="360"/>
      </w:pPr>
      <w:rPr>
        <w:rFonts w:hint="default"/>
        <w:lang w:val="es-ES" w:eastAsia="en-US" w:bidi="ar-SA"/>
      </w:rPr>
    </w:lvl>
    <w:lvl w:ilvl="4" w:tplc="C578495C">
      <w:numFmt w:val="bullet"/>
      <w:lvlText w:val="•"/>
      <w:lvlJc w:val="left"/>
      <w:pPr>
        <w:ind w:left="4626" w:hanging="360"/>
      </w:pPr>
      <w:rPr>
        <w:rFonts w:hint="default"/>
        <w:lang w:val="es-ES" w:eastAsia="en-US" w:bidi="ar-SA"/>
      </w:rPr>
    </w:lvl>
    <w:lvl w:ilvl="5" w:tplc="A8BA6F88">
      <w:numFmt w:val="bullet"/>
      <w:lvlText w:val="•"/>
      <w:lvlJc w:val="left"/>
      <w:pPr>
        <w:ind w:left="5516" w:hanging="360"/>
      </w:pPr>
      <w:rPr>
        <w:rFonts w:hint="default"/>
        <w:lang w:val="es-ES" w:eastAsia="en-US" w:bidi="ar-SA"/>
      </w:rPr>
    </w:lvl>
    <w:lvl w:ilvl="6" w:tplc="54AE2CDC">
      <w:numFmt w:val="bullet"/>
      <w:lvlText w:val="•"/>
      <w:lvlJc w:val="left"/>
      <w:pPr>
        <w:ind w:left="6406" w:hanging="360"/>
      </w:pPr>
      <w:rPr>
        <w:rFonts w:hint="default"/>
        <w:lang w:val="es-ES" w:eastAsia="en-US" w:bidi="ar-SA"/>
      </w:rPr>
    </w:lvl>
    <w:lvl w:ilvl="7" w:tplc="68529792">
      <w:numFmt w:val="bullet"/>
      <w:lvlText w:val="•"/>
      <w:lvlJc w:val="left"/>
      <w:pPr>
        <w:ind w:left="7296" w:hanging="360"/>
      </w:pPr>
      <w:rPr>
        <w:rFonts w:hint="default"/>
        <w:lang w:val="es-ES" w:eastAsia="en-US" w:bidi="ar-SA"/>
      </w:rPr>
    </w:lvl>
    <w:lvl w:ilvl="8" w:tplc="4732BA94">
      <w:numFmt w:val="bullet"/>
      <w:lvlText w:val="•"/>
      <w:lvlJc w:val="left"/>
      <w:pPr>
        <w:ind w:left="8186" w:hanging="360"/>
      </w:pPr>
      <w:rPr>
        <w:rFonts w:hint="default"/>
        <w:lang w:val="es-ES" w:eastAsia="en-US" w:bidi="ar-SA"/>
      </w:rPr>
    </w:lvl>
  </w:abstractNum>
  <w:abstractNum w:abstractNumId="12" w15:restartNumberingAfterBreak="0">
    <w:nsid w:val="58365FEC"/>
    <w:multiLevelType w:val="hybridMultilevel"/>
    <w:tmpl w:val="4ACABD1E"/>
    <w:lvl w:ilvl="0" w:tplc="9A2C1484">
      <w:numFmt w:val="bullet"/>
      <w:lvlText w:val=""/>
      <w:lvlJc w:val="left"/>
      <w:pPr>
        <w:ind w:left="733" w:hanging="360"/>
      </w:pPr>
      <w:rPr>
        <w:rFonts w:ascii="Symbol" w:eastAsia="Symbol" w:hAnsi="Symbol" w:cs="Symbol" w:hint="default"/>
        <w:w w:val="99"/>
        <w:sz w:val="20"/>
        <w:szCs w:val="20"/>
        <w:lang w:val="es-ES" w:eastAsia="en-US" w:bidi="ar-SA"/>
      </w:rPr>
    </w:lvl>
    <w:lvl w:ilvl="1" w:tplc="665064E6">
      <w:numFmt w:val="bullet"/>
      <w:lvlText w:val=""/>
      <w:lvlJc w:val="left"/>
      <w:pPr>
        <w:ind w:left="1530" w:hanging="360"/>
      </w:pPr>
      <w:rPr>
        <w:rFonts w:ascii="Symbol" w:eastAsia="Symbol" w:hAnsi="Symbol" w:cs="Symbol" w:hint="default"/>
        <w:w w:val="99"/>
        <w:sz w:val="20"/>
        <w:szCs w:val="20"/>
        <w:lang w:val="es-ES" w:eastAsia="en-US" w:bidi="ar-SA"/>
      </w:rPr>
    </w:lvl>
    <w:lvl w:ilvl="2" w:tplc="2EE46E96">
      <w:numFmt w:val="bullet"/>
      <w:lvlText w:val="•"/>
      <w:lvlJc w:val="left"/>
      <w:pPr>
        <w:ind w:left="2488" w:hanging="360"/>
      </w:pPr>
      <w:rPr>
        <w:rFonts w:hint="default"/>
        <w:lang w:val="es-ES" w:eastAsia="en-US" w:bidi="ar-SA"/>
      </w:rPr>
    </w:lvl>
    <w:lvl w:ilvl="3" w:tplc="F38A8866">
      <w:numFmt w:val="bullet"/>
      <w:lvlText w:val="•"/>
      <w:lvlJc w:val="left"/>
      <w:pPr>
        <w:ind w:left="3437" w:hanging="360"/>
      </w:pPr>
      <w:rPr>
        <w:rFonts w:hint="default"/>
        <w:lang w:val="es-ES" w:eastAsia="en-US" w:bidi="ar-SA"/>
      </w:rPr>
    </w:lvl>
    <w:lvl w:ilvl="4" w:tplc="259E7816">
      <w:numFmt w:val="bullet"/>
      <w:lvlText w:val="•"/>
      <w:lvlJc w:val="left"/>
      <w:pPr>
        <w:ind w:left="4386" w:hanging="360"/>
      </w:pPr>
      <w:rPr>
        <w:rFonts w:hint="default"/>
        <w:lang w:val="es-ES" w:eastAsia="en-US" w:bidi="ar-SA"/>
      </w:rPr>
    </w:lvl>
    <w:lvl w:ilvl="5" w:tplc="521217E6">
      <w:numFmt w:val="bullet"/>
      <w:lvlText w:val="•"/>
      <w:lvlJc w:val="left"/>
      <w:pPr>
        <w:ind w:left="5335" w:hanging="360"/>
      </w:pPr>
      <w:rPr>
        <w:rFonts w:hint="default"/>
        <w:lang w:val="es-ES" w:eastAsia="en-US" w:bidi="ar-SA"/>
      </w:rPr>
    </w:lvl>
    <w:lvl w:ilvl="6" w:tplc="350A25D8">
      <w:numFmt w:val="bullet"/>
      <w:lvlText w:val="•"/>
      <w:lvlJc w:val="left"/>
      <w:pPr>
        <w:ind w:left="6284" w:hanging="360"/>
      </w:pPr>
      <w:rPr>
        <w:rFonts w:hint="default"/>
        <w:lang w:val="es-ES" w:eastAsia="en-US" w:bidi="ar-SA"/>
      </w:rPr>
    </w:lvl>
    <w:lvl w:ilvl="7" w:tplc="4C6E7F50">
      <w:numFmt w:val="bullet"/>
      <w:lvlText w:val="•"/>
      <w:lvlJc w:val="left"/>
      <w:pPr>
        <w:ind w:left="7233" w:hanging="360"/>
      </w:pPr>
      <w:rPr>
        <w:rFonts w:hint="default"/>
        <w:lang w:val="es-ES" w:eastAsia="en-US" w:bidi="ar-SA"/>
      </w:rPr>
    </w:lvl>
    <w:lvl w:ilvl="8" w:tplc="B4522C68">
      <w:numFmt w:val="bullet"/>
      <w:lvlText w:val="•"/>
      <w:lvlJc w:val="left"/>
      <w:pPr>
        <w:ind w:left="8182" w:hanging="360"/>
      </w:pPr>
      <w:rPr>
        <w:rFonts w:hint="default"/>
        <w:lang w:val="es-ES" w:eastAsia="en-US" w:bidi="ar-SA"/>
      </w:rPr>
    </w:lvl>
  </w:abstractNum>
  <w:abstractNum w:abstractNumId="13" w15:restartNumberingAfterBreak="0">
    <w:nsid w:val="6CA37C3F"/>
    <w:multiLevelType w:val="multilevel"/>
    <w:tmpl w:val="996A1714"/>
    <w:lvl w:ilvl="0">
      <w:start w:val="1"/>
      <w:numFmt w:val="decimal"/>
      <w:lvlText w:val="%1."/>
      <w:lvlJc w:val="left"/>
      <w:pPr>
        <w:ind w:left="328" w:hanging="225"/>
      </w:pPr>
      <w:rPr>
        <w:rFonts w:ascii="Segoe UI" w:eastAsia="Segoe UI" w:hAnsi="Segoe UI" w:cs="Segoe UI" w:hint="default"/>
        <w:b/>
        <w:bCs/>
        <w:w w:val="99"/>
        <w:sz w:val="20"/>
        <w:szCs w:val="20"/>
        <w:lang w:val="es-ES" w:eastAsia="en-US" w:bidi="ar-SA"/>
      </w:rPr>
    </w:lvl>
    <w:lvl w:ilvl="1">
      <w:start w:val="1"/>
      <w:numFmt w:val="decimal"/>
      <w:lvlText w:val="%1.%2"/>
      <w:lvlJc w:val="left"/>
      <w:pPr>
        <w:ind w:left="1124" w:hanging="314"/>
      </w:pPr>
      <w:rPr>
        <w:rFonts w:ascii="Segoe UI" w:eastAsia="Segoe UI" w:hAnsi="Segoe UI" w:cs="Segoe UI" w:hint="default"/>
        <w:w w:val="99"/>
        <w:sz w:val="20"/>
        <w:szCs w:val="20"/>
        <w:lang w:val="es-ES" w:eastAsia="en-US" w:bidi="ar-SA"/>
      </w:rPr>
    </w:lvl>
    <w:lvl w:ilvl="2">
      <w:numFmt w:val="bullet"/>
      <w:lvlText w:val="•"/>
      <w:lvlJc w:val="left"/>
      <w:pPr>
        <w:ind w:left="2050" w:hanging="314"/>
      </w:pPr>
      <w:rPr>
        <w:rFonts w:hint="default"/>
        <w:lang w:val="es-ES" w:eastAsia="en-US" w:bidi="ar-SA"/>
      </w:rPr>
    </w:lvl>
    <w:lvl w:ilvl="3">
      <w:numFmt w:val="bullet"/>
      <w:lvlText w:val="•"/>
      <w:lvlJc w:val="left"/>
      <w:pPr>
        <w:ind w:left="2980" w:hanging="314"/>
      </w:pPr>
      <w:rPr>
        <w:rFonts w:hint="default"/>
        <w:lang w:val="es-ES" w:eastAsia="en-US" w:bidi="ar-SA"/>
      </w:rPr>
    </w:lvl>
    <w:lvl w:ilvl="4">
      <w:numFmt w:val="bullet"/>
      <w:lvlText w:val="•"/>
      <w:lvlJc w:val="left"/>
      <w:pPr>
        <w:ind w:left="3911" w:hanging="314"/>
      </w:pPr>
      <w:rPr>
        <w:rFonts w:hint="default"/>
        <w:lang w:val="es-ES" w:eastAsia="en-US" w:bidi="ar-SA"/>
      </w:rPr>
    </w:lvl>
    <w:lvl w:ilvl="5">
      <w:numFmt w:val="bullet"/>
      <w:lvlText w:val="•"/>
      <w:lvlJc w:val="left"/>
      <w:pPr>
        <w:ind w:left="4841" w:hanging="314"/>
      </w:pPr>
      <w:rPr>
        <w:rFonts w:hint="default"/>
        <w:lang w:val="es-ES" w:eastAsia="en-US" w:bidi="ar-SA"/>
      </w:rPr>
    </w:lvl>
    <w:lvl w:ilvl="6">
      <w:numFmt w:val="bullet"/>
      <w:lvlText w:val="•"/>
      <w:lvlJc w:val="left"/>
      <w:pPr>
        <w:ind w:left="5771" w:hanging="314"/>
      </w:pPr>
      <w:rPr>
        <w:rFonts w:hint="default"/>
        <w:lang w:val="es-ES" w:eastAsia="en-US" w:bidi="ar-SA"/>
      </w:rPr>
    </w:lvl>
    <w:lvl w:ilvl="7">
      <w:numFmt w:val="bullet"/>
      <w:lvlText w:val="•"/>
      <w:lvlJc w:val="left"/>
      <w:pPr>
        <w:ind w:left="6702" w:hanging="314"/>
      </w:pPr>
      <w:rPr>
        <w:rFonts w:hint="default"/>
        <w:lang w:val="es-ES" w:eastAsia="en-US" w:bidi="ar-SA"/>
      </w:rPr>
    </w:lvl>
    <w:lvl w:ilvl="8">
      <w:numFmt w:val="bullet"/>
      <w:lvlText w:val="•"/>
      <w:lvlJc w:val="left"/>
      <w:pPr>
        <w:ind w:left="7632" w:hanging="314"/>
      </w:pPr>
      <w:rPr>
        <w:rFonts w:hint="default"/>
        <w:lang w:val="es-ES" w:eastAsia="en-US" w:bidi="ar-SA"/>
      </w:rPr>
    </w:lvl>
  </w:abstractNum>
  <w:abstractNum w:abstractNumId="14" w15:restartNumberingAfterBreak="0">
    <w:nsid w:val="6D291957"/>
    <w:multiLevelType w:val="hybridMultilevel"/>
    <w:tmpl w:val="B650B6AA"/>
    <w:lvl w:ilvl="0" w:tplc="16422992">
      <w:numFmt w:val="bullet"/>
      <w:lvlText w:val=""/>
      <w:lvlJc w:val="left"/>
      <w:pPr>
        <w:ind w:left="465" w:hanging="360"/>
      </w:pPr>
      <w:rPr>
        <w:rFonts w:ascii="Symbol" w:eastAsia="Symbol" w:hAnsi="Symbol" w:cs="Symbol" w:hint="default"/>
        <w:w w:val="99"/>
        <w:sz w:val="20"/>
        <w:szCs w:val="20"/>
        <w:lang w:val="es-ES" w:eastAsia="en-US" w:bidi="ar-SA"/>
      </w:rPr>
    </w:lvl>
    <w:lvl w:ilvl="1" w:tplc="42C60D8A">
      <w:numFmt w:val="bullet"/>
      <w:lvlText w:val="•"/>
      <w:lvlJc w:val="left"/>
      <w:pPr>
        <w:ind w:left="1076" w:hanging="360"/>
      </w:pPr>
      <w:rPr>
        <w:rFonts w:hint="default"/>
        <w:lang w:val="es-ES" w:eastAsia="en-US" w:bidi="ar-SA"/>
      </w:rPr>
    </w:lvl>
    <w:lvl w:ilvl="2" w:tplc="EBE65FF6">
      <w:numFmt w:val="bullet"/>
      <w:lvlText w:val="•"/>
      <w:lvlJc w:val="left"/>
      <w:pPr>
        <w:ind w:left="1692" w:hanging="360"/>
      </w:pPr>
      <w:rPr>
        <w:rFonts w:hint="default"/>
        <w:lang w:val="es-ES" w:eastAsia="en-US" w:bidi="ar-SA"/>
      </w:rPr>
    </w:lvl>
    <w:lvl w:ilvl="3" w:tplc="CB8C76B2">
      <w:numFmt w:val="bullet"/>
      <w:lvlText w:val="•"/>
      <w:lvlJc w:val="left"/>
      <w:pPr>
        <w:ind w:left="2308" w:hanging="360"/>
      </w:pPr>
      <w:rPr>
        <w:rFonts w:hint="default"/>
        <w:lang w:val="es-ES" w:eastAsia="en-US" w:bidi="ar-SA"/>
      </w:rPr>
    </w:lvl>
    <w:lvl w:ilvl="4" w:tplc="F4249106">
      <w:numFmt w:val="bullet"/>
      <w:lvlText w:val="•"/>
      <w:lvlJc w:val="left"/>
      <w:pPr>
        <w:ind w:left="2924" w:hanging="360"/>
      </w:pPr>
      <w:rPr>
        <w:rFonts w:hint="default"/>
        <w:lang w:val="es-ES" w:eastAsia="en-US" w:bidi="ar-SA"/>
      </w:rPr>
    </w:lvl>
    <w:lvl w:ilvl="5" w:tplc="0C86C92A">
      <w:numFmt w:val="bullet"/>
      <w:lvlText w:val="•"/>
      <w:lvlJc w:val="left"/>
      <w:pPr>
        <w:ind w:left="3541" w:hanging="360"/>
      </w:pPr>
      <w:rPr>
        <w:rFonts w:hint="default"/>
        <w:lang w:val="es-ES" w:eastAsia="en-US" w:bidi="ar-SA"/>
      </w:rPr>
    </w:lvl>
    <w:lvl w:ilvl="6" w:tplc="E23C9FA6">
      <w:numFmt w:val="bullet"/>
      <w:lvlText w:val="•"/>
      <w:lvlJc w:val="left"/>
      <w:pPr>
        <w:ind w:left="4157" w:hanging="360"/>
      </w:pPr>
      <w:rPr>
        <w:rFonts w:hint="default"/>
        <w:lang w:val="es-ES" w:eastAsia="en-US" w:bidi="ar-SA"/>
      </w:rPr>
    </w:lvl>
    <w:lvl w:ilvl="7" w:tplc="183AD972">
      <w:numFmt w:val="bullet"/>
      <w:lvlText w:val="•"/>
      <w:lvlJc w:val="left"/>
      <w:pPr>
        <w:ind w:left="4773" w:hanging="360"/>
      </w:pPr>
      <w:rPr>
        <w:rFonts w:hint="default"/>
        <w:lang w:val="es-ES" w:eastAsia="en-US" w:bidi="ar-SA"/>
      </w:rPr>
    </w:lvl>
    <w:lvl w:ilvl="8" w:tplc="72E0661A">
      <w:numFmt w:val="bullet"/>
      <w:lvlText w:val="•"/>
      <w:lvlJc w:val="left"/>
      <w:pPr>
        <w:ind w:left="5389" w:hanging="360"/>
      </w:pPr>
      <w:rPr>
        <w:rFonts w:hint="default"/>
        <w:lang w:val="es-ES" w:eastAsia="en-US" w:bidi="ar-SA"/>
      </w:rPr>
    </w:lvl>
  </w:abstractNum>
  <w:abstractNum w:abstractNumId="15" w15:restartNumberingAfterBreak="0">
    <w:nsid w:val="6E0D2B66"/>
    <w:multiLevelType w:val="hybridMultilevel"/>
    <w:tmpl w:val="383CBB32"/>
    <w:lvl w:ilvl="0" w:tplc="9A2C1484">
      <w:numFmt w:val="bullet"/>
      <w:lvlText w:val=""/>
      <w:lvlJc w:val="left"/>
      <w:pPr>
        <w:ind w:left="733" w:hanging="360"/>
      </w:pPr>
      <w:rPr>
        <w:rFonts w:ascii="Symbol" w:eastAsia="Symbol" w:hAnsi="Symbol" w:cs="Symbol" w:hint="default"/>
        <w:w w:val="99"/>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D1031F8"/>
    <w:multiLevelType w:val="hybridMultilevel"/>
    <w:tmpl w:val="86AA9796"/>
    <w:lvl w:ilvl="0" w:tplc="04E62B9A">
      <w:numFmt w:val="bullet"/>
      <w:lvlText w:val=""/>
      <w:lvlJc w:val="left"/>
      <w:pPr>
        <w:ind w:left="1068" w:hanging="360"/>
      </w:pPr>
      <w:rPr>
        <w:rFonts w:ascii="Symbol" w:eastAsia="Symbol" w:hAnsi="Symbol" w:cs="Symbol" w:hint="default"/>
        <w:color w:val="0D0D0D"/>
        <w:w w:val="99"/>
        <w:sz w:val="20"/>
        <w:szCs w:val="20"/>
        <w:lang w:val="es-ES" w:eastAsia="en-US" w:bidi="ar-SA"/>
      </w:rPr>
    </w:lvl>
    <w:lvl w:ilvl="1" w:tplc="17D48F26">
      <w:numFmt w:val="bullet"/>
      <w:lvlText w:val="•"/>
      <w:lvlJc w:val="left"/>
      <w:pPr>
        <w:ind w:left="1920" w:hanging="360"/>
      </w:pPr>
      <w:rPr>
        <w:rFonts w:hint="default"/>
        <w:lang w:val="es-ES" w:eastAsia="en-US" w:bidi="ar-SA"/>
      </w:rPr>
    </w:lvl>
    <w:lvl w:ilvl="2" w:tplc="0D8626F2">
      <w:numFmt w:val="bullet"/>
      <w:lvlText w:val="•"/>
      <w:lvlJc w:val="left"/>
      <w:pPr>
        <w:ind w:left="2774" w:hanging="360"/>
      </w:pPr>
      <w:rPr>
        <w:rFonts w:hint="default"/>
        <w:lang w:val="es-ES" w:eastAsia="en-US" w:bidi="ar-SA"/>
      </w:rPr>
    </w:lvl>
    <w:lvl w:ilvl="3" w:tplc="6C509C88">
      <w:numFmt w:val="bullet"/>
      <w:lvlText w:val="•"/>
      <w:lvlJc w:val="left"/>
      <w:pPr>
        <w:ind w:left="3628" w:hanging="360"/>
      </w:pPr>
      <w:rPr>
        <w:rFonts w:hint="default"/>
        <w:lang w:val="es-ES" w:eastAsia="en-US" w:bidi="ar-SA"/>
      </w:rPr>
    </w:lvl>
    <w:lvl w:ilvl="4" w:tplc="7C82F500">
      <w:numFmt w:val="bullet"/>
      <w:lvlText w:val="•"/>
      <w:lvlJc w:val="left"/>
      <w:pPr>
        <w:ind w:left="4482" w:hanging="360"/>
      </w:pPr>
      <w:rPr>
        <w:rFonts w:hint="default"/>
        <w:lang w:val="es-ES" w:eastAsia="en-US" w:bidi="ar-SA"/>
      </w:rPr>
    </w:lvl>
    <w:lvl w:ilvl="5" w:tplc="A07ADBC4">
      <w:numFmt w:val="bullet"/>
      <w:lvlText w:val="•"/>
      <w:lvlJc w:val="left"/>
      <w:pPr>
        <w:ind w:left="5336" w:hanging="360"/>
      </w:pPr>
      <w:rPr>
        <w:rFonts w:hint="default"/>
        <w:lang w:val="es-ES" w:eastAsia="en-US" w:bidi="ar-SA"/>
      </w:rPr>
    </w:lvl>
    <w:lvl w:ilvl="6" w:tplc="A1A0E8F0">
      <w:numFmt w:val="bullet"/>
      <w:lvlText w:val="•"/>
      <w:lvlJc w:val="left"/>
      <w:pPr>
        <w:ind w:left="6190" w:hanging="360"/>
      </w:pPr>
      <w:rPr>
        <w:rFonts w:hint="default"/>
        <w:lang w:val="es-ES" w:eastAsia="en-US" w:bidi="ar-SA"/>
      </w:rPr>
    </w:lvl>
    <w:lvl w:ilvl="7" w:tplc="F806C53E">
      <w:numFmt w:val="bullet"/>
      <w:lvlText w:val="•"/>
      <w:lvlJc w:val="left"/>
      <w:pPr>
        <w:ind w:left="7044" w:hanging="360"/>
      </w:pPr>
      <w:rPr>
        <w:rFonts w:hint="default"/>
        <w:lang w:val="es-ES" w:eastAsia="en-US" w:bidi="ar-SA"/>
      </w:rPr>
    </w:lvl>
    <w:lvl w:ilvl="8" w:tplc="6B843CC8">
      <w:numFmt w:val="bullet"/>
      <w:lvlText w:val="•"/>
      <w:lvlJc w:val="left"/>
      <w:pPr>
        <w:ind w:left="7898" w:hanging="360"/>
      </w:pPr>
      <w:rPr>
        <w:rFonts w:hint="default"/>
        <w:lang w:val="es-ES" w:eastAsia="en-US" w:bidi="ar-SA"/>
      </w:rPr>
    </w:lvl>
  </w:abstractNum>
  <w:abstractNum w:abstractNumId="17" w15:restartNumberingAfterBreak="0">
    <w:nsid w:val="7E7C3AAA"/>
    <w:multiLevelType w:val="hybridMultilevel"/>
    <w:tmpl w:val="8A94B396"/>
    <w:lvl w:ilvl="0" w:tplc="FC167B36">
      <w:numFmt w:val="bullet"/>
      <w:lvlText w:val="•"/>
      <w:lvlJc w:val="left"/>
      <w:pPr>
        <w:ind w:left="711" w:hanging="250"/>
      </w:pPr>
      <w:rPr>
        <w:rFonts w:ascii="Arial MT" w:eastAsia="Arial MT" w:hAnsi="Arial MT" w:cs="Arial MT" w:hint="default"/>
        <w:w w:val="99"/>
        <w:sz w:val="20"/>
        <w:szCs w:val="20"/>
        <w:lang w:val="es-ES" w:eastAsia="en-US" w:bidi="ar-SA"/>
      </w:rPr>
    </w:lvl>
    <w:lvl w:ilvl="1" w:tplc="64D6E264">
      <w:numFmt w:val="bullet"/>
      <w:lvlText w:val=""/>
      <w:lvlJc w:val="left"/>
      <w:pPr>
        <w:ind w:left="1431" w:hanging="360"/>
      </w:pPr>
      <w:rPr>
        <w:rFonts w:ascii="Symbol" w:eastAsia="Symbol" w:hAnsi="Symbol" w:cs="Symbol" w:hint="default"/>
        <w:w w:val="99"/>
        <w:sz w:val="20"/>
        <w:szCs w:val="20"/>
        <w:lang w:val="es-ES" w:eastAsia="en-US" w:bidi="ar-SA"/>
      </w:rPr>
    </w:lvl>
    <w:lvl w:ilvl="2" w:tplc="A76EA62C">
      <w:numFmt w:val="bullet"/>
      <w:lvlText w:val="•"/>
      <w:lvlJc w:val="left"/>
      <w:pPr>
        <w:ind w:left="1440" w:hanging="360"/>
      </w:pPr>
      <w:rPr>
        <w:rFonts w:hint="default"/>
        <w:lang w:val="es-ES" w:eastAsia="en-US" w:bidi="ar-SA"/>
      </w:rPr>
    </w:lvl>
    <w:lvl w:ilvl="3" w:tplc="5B60FA6E">
      <w:numFmt w:val="bullet"/>
      <w:lvlText w:val="•"/>
      <w:lvlJc w:val="left"/>
      <w:pPr>
        <w:ind w:left="2520" w:hanging="360"/>
      </w:pPr>
      <w:rPr>
        <w:rFonts w:hint="default"/>
        <w:lang w:val="es-ES" w:eastAsia="en-US" w:bidi="ar-SA"/>
      </w:rPr>
    </w:lvl>
    <w:lvl w:ilvl="4" w:tplc="119865BA">
      <w:numFmt w:val="bullet"/>
      <w:lvlText w:val="•"/>
      <w:lvlJc w:val="left"/>
      <w:pPr>
        <w:ind w:left="3600" w:hanging="360"/>
      </w:pPr>
      <w:rPr>
        <w:rFonts w:hint="default"/>
        <w:lang w:val="es-ES" w:eastAsia="en-US" w:bidi="ar-SA"/>
      </w:rPr>
    </w:lvl>
    <w:lvl w:ilvl="5" w:tplc="282A5256">
      <w:numFmt w:val="bullet"/>
      <w:lvlText w:val="•"/>
      <w:lvlJc w:val="left"/>
      <w:pPr>
        <w:ind w:left="4680" w:hanging="360"/>
      </w:pPr>
      <w:rPr>
        <w:rFonts w:hint="default"/>
        <w:lang w:val="es-ES" w:eastAsia="en-US" w:bidi="ar-SA"/>
      </w:rPr>
    </w:lvl>
    <w:lvl w:ilvl="6" w:tplc="28709CC0">
      <w:numFmt w:val="bullet"/>
      <w:lvlText w:val="•"/>
      <w:lvlJc w:val="left"/>
      <w:pPr>
        <w:ind w:left="5760" w:hanging="360"/>
      </w:pPr>
      <w:rPr>
        <w:rFonts w:hint="default"/>
        <w:lang w:val="es-ES" w:eastAsia="en-US" w:bidi="ar-SA"/>
      </w:rPr>
    </w:lvl>
    <w:lvl w:ilvl="7" w:tplc="E48C4FBA">
      <w:numFmt w:val="bullet"/>
      <w:lvlText w:val="•"/>
      <w:lvlJc w:val="left"/>
      <w:pPr>
        <w:ind w:left="6840" w:hanging="360"/>
      </w:pPr>
      <w:rPr>
        <w:rFonts w:hint="default"/>
        <w:lang w:val="es-ES" w:eastAsia="en-US" w:bidi="ar-SA"/>
      </w:rPr>
    </w:lvl>
    <w:lvl w:ilvl="8" w:tplc="05EA4E98">
      <w:numFmt w:val="bullet"/>
      <w:lvlText w:val="•"/>
      <w:lvlJc w:val="left"/>
      <w:pPr>
        <w:ind w:left="7920" w:hanging="360"/>
      </w:pPr>
      <w:rPr>
        <w:rFonts w:hint="default"/>
        <w:lang w:val="es-ES" w:eastAsia="en-US" w:bidi="ar-SA"/>
      </w:rPr>
    </w:lvl>
  </w:abstractNum>
  <w:num w:numId="1" w16cid:durableId="734548359">
    <w:abstractNumId w:val="3"/>
  </w:num>
  <w:num w:numId="2" w16cid:durableId="215431406">
    <w:abstractNumId w:val="8"/>
  </w:num>
  <w:num w:numId="3" w16cid:durableId="1332368417">
    <w:abstractNumId w:val="4"/>
  </w:num>
  <w:num w:numId="4" w16cid:durableId="633096543">
    <w:abstractNumId w:val="2"/>
  </w:num>
  <w:num w:numId="5" w16cid:durableId="281688587">
    <w:abstractNumId w:val="1"/>
  </w:num>
  <w:num w:numId="6" w16cid:durableId="1794248585">
    <w:abstractNumId w:val="14"/>
  </w:num>
  <w:num w:numId="7" w16cid:durableId="770392564">
    <w:abstractNumId w:val="10"/>
  </w:num>
  <w:num w:numId="8" w16cid:durableId="812336308">
    <w:abstractNumId w:val="6"/>
  </w:num>
  <w:num w:numId="9" w16cid:durableId="1157068607">
    <w:abstractNumId w:val="12"/>
  </w:num>
  <w:num w:numId="10" w16cid:durableId="1319070064">
    <w:abstractNumId w:val="7"/>
  </w:num>
  <w:num w:numId="11" w16cid:durableId="801458829">
    <w:abstractNumId w:val="0"/>
  </w:num>
  <w:num w:numId="12" w16cid:durableId="1474373321">
    <w:abstractNumId w:val="5"/>
  </w:num>
  <w:num w:numId="13" w16cid:durableId="1297878215">
    <w:abstractNumId w:val="15"/>
  </w:num>
  <w:num w:numId="14" w16cid:durableId="1487433625">
    <w:abstractNumId w:val="16"/>
  </w:num>
  <w:num w:numId="15" w16cid:durableId="527908467">
    <w:abstractNumId w:val="17"/>
  </w:num>
  <w:num w:numId="16" w16cid:durableId="1984385758">
    <w:abstractNumId w:val="11"/>
  </w:num>
  <w:num w:numId="17" w16cid:durableId="1227182138">
    <w:abstractNumId w:val="13"/>
  </w:num>
  <w:num w:numId="18" w16cid:durableId="2061388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D88"/>
    <w:rsid w:val="00094BAF"/>
    <w:rsid w:val="000F6005"/>
    <w:rsid w:val="0025725C"/>
    <w:rsid w:val="002B48B2"/>
    <w:rsid w:val="002B7D42"/>
    <w:rsid w:val="003146E5"/>
    <w:rsid w:val="00341570"/>
    <w:rsid w:val="004038B8"/>
    <w:rsid w:val="004B7459"/>
    <w:rsid w:val="005922D8"/>
    <w:rsid w:val="006F0F71"/>
    <w:rsid w:val="007733FA"/>
    <w:rsid w:val="00786657"/>
    <w:rsid w:val="0095770E"/>
    <w:rsid w:val="00997F49"/>
    <w:rsid w:val="009A555A"/>
    <w:rsid w:val="00AD2E7F"/>
    <w:rsid w:val="00B507A8"/>
    <w:rsid w:val="00B51A58"/>
    <w:rsid w:val="00CE6693"/>
    <w:rsid w:val="00D40D8A"/>
    <w:rsid w:val="00D70D88"/>
    <w:rsid w:val="00E304EA"/>
    <w:rsid w:val="00E62799"/>
    <w:rsid w:val="00EF7AB0"/>
    <w:rsid w:val="00F439A0"/>
    <w:rsid w:val="00F941F5"/>
    <w:rsid w:val="00FB15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48937"/>
  <w15:chartTrackingRefBased/>
  <w15:docId w15:val="{60E41687-E4C8-48D1-AE42-96D0DFF9B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4B7459"/>
    <w:pPr>
      <w:widowControl w:val="0"/>
      <w:autoSpaceDE w:val="0"/>
      <w:autoSpaceDN w:val="0"/>
      <w:spacing w:after="0" w:line="240" w:lineRule="auto"/>
      <w:ind w:left="462"/>
      <w:outlineLvl w:val="0"/>
    </w:pPr>
    <w:rPr>
      <w:rFonts w:ascii="Segoe UI" w:eastAsia="Segoe UI" w:hAnsi="Segoe UI" w:cs="Segoe UI"/>
      <w:b/>
      <w:bCs/>
      <w:sz w:val="20"/>
      <w:szCs w:val="20"/>
      <w:lang w:val="es-ES"/>
    </w:rPr>
  </w:style>
  <w:style w:type="paragraph" w:styleId="Ttulo2">
    <w:name w:val="heading 2"/>
    <w:basedOn w:val="Normal"/>
    <w:next w:val="Normal"/>
    <w:link w:val="Ttulo2Car"/>
    <w:uiPriority w:val="9"/>
    <w:semiHidden/>
    <w:unhideWhenUsed/>
    <w:qFormat/>
    <w:rsid w:val="00CE66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D2E7F"/>
    <w:rPr>
      <w:color w:val="0563C1" w:themeColor="hyperlink"/>
      <w:u w:val="single"/>
    </w:rPr>
  </w:style>
  <w:style w:type="character" w:styleId="Mencinsinresolver">
    <w:name w:val="Unresolved Mention"/>
    <w:basedOn w:val="Fuentedeprrafopredeter"/>
    <w:uiPriority w:val="99"/>
    <w:semiHidden/>
    <w:unhideWhenUsed/>
    <w:rsid w:val="00AD2E7F"/>
    <w:rPr>
      <w:color w:val="605E5C"/>
      <w:shd w:val="clear" w:color="auto" w:fill="E1DFDD"/>
    </w:rPr>
  </w:style>
  <w:style w:type="paragraph" w:styleId="Textonotapie">
    <w:name w:val="footnote text"/>
    <w:basedOn w:val="Normal"/>
    <w:link w:val="TextonotapieCar"/>
    <w:uiPriority w:val="99"/>
    <w:semiHidden/>
    <w:unhideWhenUsed/>
    <w:rsid w:val="00AD2E7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D2E7F"/>
    <w:rPr>
      <w:sz w:val="20"/>
      <w:szCs w:val="20"/>
    </w:rPr>
  </w:style>
  <w:style w:type="character" w:styleId="Refdenotaalpie">
    <w:name w:val="footnote reference"/>
    <w:basedOn w:val="Fuentedeprrafopredeter"/>
    <w:uiPriority w:val="99"/>
    <w:semiHidden/>
    <w:unhideWhenUsed/>
    <w:rsid w:val="00AD2E7F"/>
    <w:rPr>
      <w:vertAlign w:val="superscript"/>
    </w:rPr>
  </w:style>
  <w:style w:type="paragraph" w:styleId="Textoindependiente">
    <w:name w:val="Body Text"/>
    <w:basedOn w:val="Normal"/>
    <w:link w:val="TextoindependienteCar"/>
    <w:uiPriority w:val="1"/>
    <w:qFormat/>
    <w:rsid w:val="002B48B2"/>
    <w:pPr>
      <w:widowControl w:val="0"/>
      <w:autoSpaceDE w:val="0"/>
      <w:autoSpaceDN w:val="0"/>
      <w:spacing w:after="0" w:line="240" w:lineRule="auto"/>
    </w:pPr>
    <w:rPr>
      <w:rFonts w:ascii="Segoe UI" w:eastAsia="Segoe UI" w:hAnsi="Segoe UI" w:cs="Segoe UI"/>
      <w:sz w:val="20"/>
      <w:szCs w:val="20"/>
      <w:lang w:val="es-ES"/>
    </w:rPr>
  </w:style>
  <w:style w:type="character" w:customStyle="1" w:styleId="TextoindependienteCar">
    <w:name w:val="Texto independiente Car"/>
    <w:basedOn w:val="Fuentedeprrafopredeter"/>
    <w:link w:val="Textoindependiente"/>
    <w:uiPriority w:val="1"/>
    <w:rsid w:val="002B48B2"/>
    <w:rPr>
      <w:rFonts w:ascii="Segoe UI" w:eastAsia="Segoe UI" w:hAnsi="Segoe UI" w:cs="Segoe UI"/>
      <w:sz w:val="20"/>
      <w:szCs w:val="20"/>
      <w:lang w:val="es-ES"/>
    </w:rPr>
  </w:style>
  <w:style w:type="table" w:styleId="Tablaconcuadrcula">
    <w:name w:val="Table Grid"/>
    <w:basedOn w:val="Tablanormal"/>
    <w:uiPriority w:val="39"/>
    <w:rsid w:val="006F0F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733FA"/>
    <w:pPr>
      <w:ind w:left="720"/>
      <w:contextualSpacing/>
    </w:pPr>
  </w:style>
  <w:style w:type="character" w:customStyle="1" w:styleId="Ttulo1Car">
    <w:name w:val="Título 1 Car"/>
    <w:basedOn w:val="Fuentedeprrafopredeter"/>
    <w:link w:val="Ttulo1"/>
    <w:uiPriority w:val="9"/>
    <w:rsid w:val="004B7459"/>
    <w:rPr>
      <w:rFonts w:ascii="Segoe UI" w:eastAsia="Segoe UI" w:hAnsi="Segoe UI" w:cs="Segoe UI"/>
      <w:b/>
      <w:bCs/>
      <w:sz w:val="20"/>
      <w:szCs w:val="20"/>
      <w:lang w:val="es-ES"/>
    </w:rPr>
  </w:style>
  <w:style w:type="table" w:customStyle="1" w:styleId="TableNormal">
    <w:name w:val="Table Normal"/>
    <w:uiPriority w:val="2"/>
    <w:semiHidden/>
    <w:unhideWhenUsed/>
    <w:qFormat/>
    <w:rsid w:val="004B74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7459"/>
    <w:pPr>
      <w:widowControl w:val="0"/>
      <w:autoSpaceDE w:val="0"/>
      <w:autoSpaceDN w:val="0"/>
      <w:spacing w:after="0" w:line="240" w:lineRule="auto"/>
    </w:pPr>
    <w:rPr>
      <w:rFonts w:ascii="Segoe UI" w:eastAsia="Segoe UI" w:hAnsi="Segoe UI" w:cs="Segoe UI"/>
      <w:lang w:val="es-ES"/>
    </w:rPr>
  </w:style>
  <w:style w:type="character" w:customStyle="1" w:styleId="Ttulo2Car">
    <w:name w:val="Título 2 Car"/>
    <w:basedOn w:val="Fuentedeprrafopredeter"/>
    <w:link w:val="Ttulo2"/>
    <w:uiPriority w:val="9"/>
    <w:semiHidden/>
    <w:rsid w:val="00CE6693"/>
    <w:rPr>
      <w:rFonts w:asciiTheme="majorHAnsi" w:eastAsiaTheme="majorEastAsia" w:hAnsiTheme="majorHAnsi" w:cstheme="majorBidi"/>
      <w:color w:val="2F5496" w:themeColor="accent1" w:themeShade="BF"/>
      <w:sz w:val="26"/>
      <w:szCs w:val="26"/>
    </w:rPr>
  </w:style>
  <w:style w:type="paragraph" w:styleId="Encabezado">
    <w:name w:val="header"/>
    <w:basedOn w:val="Normal"/>
    <w:link w:val="EncabezadoCar"/>
    <w:uiPriority w:val="99"/>
    <w:unhideWhenUsed/>
    <w:rsid w:val="00E6279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2799"/>
  </w:style>
  <w:style w:type="paragraph" w:styleId="Piedepgina">
    <w:name w:val="footer"/>
    <w:basedOn w:val="Normal"/>
    <w:link w:val="PiedepginaCar"/>
    <w:uiPriority w:val="99"/>
    <w:unhideWhenUsed/>
    <w:rsid w:val="00E6279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2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e.tl/t-4pQmumtFFW" TargetMode="External"/><Relationship Id="rId26" Type="http://schemas.openxmlformats.org/officeDocument/2006/relationships/image" Target="media/image6.png"/><Relationship Id="rId39" Type="http://schemas.openxmlformats.org/officeDocument/2006/relationships/hyperlink" Target="https://www.dane.gov.co/index.php/estadisticas-por-tema/demografia-y-poblacion/grupos-etnicos/informacion-tecnica" TargetMode="External"/><Relationship Id="rId21" Type="http://schemas.openxmlformats.org/officeDocument/2006/relationships/hyperlink" Target="https://www.dane.gov.co/index.php/en/estadisticas-por-tema/demografia-y-poblacion/censo-nacional-de-poblacion-y-vivenda-2018/informacion-tecnica" TargetMode="External"/><Relationship Id="rId34" Type="http://schemas.openxmlformats.org/officeDocument/2006/relationships/hyperlink" Target="https://www.dane.gov.co/files/investigaciones/poblacion/bt_estadisticasvitales_defunciones_IItrim_2021pr.pdf" TargetMode="External"/><Relationship Id="rId42" Type="http://schemas.openxmlformats.org/officeDocument/2006/relationships/hyperlink" Target="https://view.officeapps.live.com/op/view.aspx?src=https%3A%2F%2Fwww.dane.gov.co%2Ffiles%2Finvestigaciones%2Fboletines%2Fgrupos-etnicos%2FVisor-TCCN.xlsx&amp;wdOrigin=BROWSELINK" TargetMode="External"/><Relationship Id="rId47" Type="http://schemas.openxmlformats.org/officeDocument/2006/relationships/hyperlink" Target="http://microdatos.dane.gov.co/index.php/catalog/643" TargetMode="External"/><Relationship Id="rId50" Type="http://schemas.openxmlformats.org/officeDocument/2006/relationships/hyperlink" Target="https://www.dane.gov.co/index.php/estadisticas-por-tema/enfoque-diferencial-e-interseccional/autorreconocimiento-etnico"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9.png"/><Relationship Id="rId11" Type="http://schemas.openxmlformats.org/officeDocument/2006/relationships/hyperlink" Target="https://www.dane.gov.co/files/investigaciones/boletines/grupos-etnicos/presentacion-grupos-etnicos-poblacion-NARP-2019.pdf" TargetMode="External"/><Relationship Id="rId24" Type="http://schemas.openxmlformats.org/officeDocument/2006/relationships/hyperlink" Target="https://www.dane.gov.co/files/investigaciones/poblacion/informes-estadisticas-sociodemograficas/2021-11-22-Poblacion-negra-afrocolombiana-raizal-palenquera-en-antioquia.pdf" TargetMode="External"/><Relationship Id="rId32" Type="http://schemas.openxmlformats.org/officeDocument/2006/relationships/hyperlink" Target="https://www.dane.gov.co/files/investigaciones/poblacion/pre_estadisticasvitales_IItrim_2021pr.pdf" TargetMode="External"/><Relationship Id="rId37" Type="http://schemas.openxmlformats.org/officeDocument/2006/relationships/hyperlink" Target="https://www.dane.gov.co/files/investigaciones/poblacion/bt_seguimiento_exceso_mortalidad_covid19_16mar20_06mar22.pdf" TargetMode="External"/><Relationship Id="rId40" Type="http://schemas.openxmlformats.org/officeDocument/2006/relationships/hyperlink" Target="https://www.dane.gov.co/index.php/estadisticas-por-tema/demografia-y-poblacion/grupos-etnicos/informacion-tecnica" TargetMode="External"/><Relationship Id="rId45" Type="http://schemas.openxmlformats.org/officeDocument/2006/relationships/hyperlink" Target="https://view.officeapps.live.com/op/view.aspx?src=https%3A%2F%2Fwww.dane.gov.co%2Ffiles%2Fcenso2018%2Finformacion-tecnica%2FCNPV-2018-NBI-AUTORRECONOCIMIENTO-ETNICO.xlsx&amp;wdOrigin=BROWSELINK" TargetMode="External"/><Relationship Id="rId53" Type="http://schemas.openxmlformats.org/officeDocument/2006/relationships/hyperlink" Target="https://www.cepal.org/es" TargetMode="External"/><Relationship Id="rId58" Type="http://schemas.openxmlformats.org/officeDocument/2006/relationships/customXml" Target="../customXml/item3.xml"/><Relationship Id="rId5" Type="http://schemas.openxmlformats.org/officeDocument/2006/relationships/webSettings" Target="webSettings.xml"/><Relationship Id="rId19" Type="http://schemas.openxmlformats.org/officeDocument/2006/relationships/hyperlink" Target="https://we.tl/t-4pQmumtFFW" TargetMode="External"/><Relationship Id="rId4" Type="http://schemas.openxmlformats.org/officeDocument/2006/relationships/settings" Target="settings.xml"/><Relationship Id="rId9" Type="http://schemas.openxmlformats.org/officeDocument/2006/relationships/hyperlink" Target="https://www.dane.gov.co/files/investigaciones/genero/guia-inclusion-enfoque-difencias-intersecciones-produccion-estadistica-SEN.pdf" TargetMode="External"/><Relationship Id="rId14" Type="http://schemas.openxmlformats.org/officeDocument/2006/relationships/image" Target="media/image2.png"/><Relationship Id="rId22" Type="http://schemas.openxmlformats.org/officeDocument/2006/relationships/hyperlink" Target="https://www.dane.gov.co/index.php/en/estadisticas-por-tema/demografia-y-poblacion/censo-nacional-de-poblacion-y-vivenda-2018/informacion-tecnica" TargetMode="External"/><Relationship Id="rId27" Type="http://schemas.openxmlformats.org/officeDocument/2006/relationships/image" Target="media/image7.png"/><Relationship Id="rId30" Type="http://schemas.openxmlformats.org/officeDocument/2006/relationships/hyperlink" Target="https://www.dane.gov.co/files/investigaciones/boletines/grupos-etnicos/presentacion-grupos-etnicos-conf-reg-poblacion-y-desarrollo-2020-sep.pdf" TargetMode="External"/><Relationship Id="rId35" Type="http://schemas.openxmlformats.org/officeDocument/2006/relationships/image" Target="media/image10.png"/><Relationship Id="rId43" Type="http://schemas.openxmlformats.org/officeDocument/2006/relationships/hyperlink" Target="https://geoportal.dane.gov.co/geovisores/sociedad/autorreconocimiento-etnico/" TargetMode="External"/><Relationship Id="rId48" Type="http://schemas.openxmlformats.org/officeDocument/2006/relationships/hyperlink" Target="http://microdatos.dane.gov.co/index.php/catalog/643" TargetMode="External"/><Relationship Id="rId56" Type="http://schemas.openxmlformats.org/officeDocument/2006/relationships/theme" Target="theme/theme1.xml"/><Relationship Id="rId8" Type="http://schemas.openxmlformats.org/officeDocument/2006/relationships/hyperlink" Target="https://www.dane.gov.co/files/investigaciones/genero/guia-inclusion-enfoque-difencias-intersecciones-produccion-estadistica-SEN.pdf" TargetMode="External"/><Relationship Id="rId51" Type="http://schemas.openxmlformats.org/officeDocument/2006/relationships/hyperlink" Target="https://www.dane.gov.co/index.php/estadisticas-por-tema/enfoque-diferencial-e-interseccional/autorreconocimiento-etnico" TargetMode="External"/><Relationship Id="rId3" Type="http://schemas.openxmlformats.org/officeDocument/2006/relationships/styles" Target="styles.xml"/><Relationship Id="rId12" Type="http://schemas.openxmlformats.org/officeDocument/2006/relationships/hyperlink" Target="https://www.dane.gov.co/files/investigaciones/boletines/grupos-etnicos/presentacion-grupos-etnicos-poblacion-NARP-2019.pdf" TargetMode="External"/><Relationship Id="rId17" Type="http://schemas.openxmlformats.org/officeDocument/2006/relationships/image" Target="media/image5.jpeg"/><Relationship Id="rId25" Type="http://schemas.openxmlformats.org/officeDocument/2006/relationships/hyperlink" Target="https://www.dane.gov.co/files/investigaciones/poblacion/informes-estadisticas-sociodemograficas/2021-11-22-Poblacion-negra-afrocolombiana-raizal-palenquera-en-antioquia.pdf" TargetMode="External"/><Relationship Id="rId33" Type="http://schemas.openxmlformats.org/officeDocument/2006/relationships/hyperlink" Target="https://www.dane.gov.co/files/investigaciones/poblacion/bt_estadisticasvitales_defunciones_IItrim_2021pr." TargetMode="External"/><Relationship Id="rId38" Type="http://schemas.openxmlformats.org/officeDocument/2006/relationships/hyperlink" Target="https://www.dane.gov.co/index.php/estadisticas-por-tema/mercado-laboral/empleo-y-desempleo" TargetMode="External"/><Relationship Id="rId46" Type="http://schemas.openxmlformats.org/officeDocument/2006/relationships/hyperlink" Target="https://view.officeapps.live.com/op/view.aspx?src=https%3A%2F%2Fwww.dane.gov.co%2Ffiles%2Fcenso2018%2Finformacion-tecnica%2FCNPV-2018-NBI-AUTORRECONOCIMIENTO-ETNICO.xlsx&amp;wdOrigin=BROWSELINK" TargetMode="External"/><Relationship Id="rId59" Type="http://schemas.openxmlformats.org/officeDocument/2006/relationships/customXml" Target="../customXml/item4.xml"/><Relationship Id="rId20" Type="http://schemas.openxmlformats.org/officeDocument/2006/relationships/hyperlink" Target="https://we.tl/t-4pQmumtFFW" TargetMode="External"/><Relationship Id="rId41" Type="http://schemas.openxmlformats.org/officeDocument/2006/relationships/hyperlink" Target="https://view.officeapps.live.com/op/view.aspx?src=https%3A%2F%2Fwww.dane.gov.co%2Ffiles%2Finvestigaciones%2Fboletines%2Fgrupos-etnicos%2FVIsor_NARP_Departamento.xlsx&amp;wdOrigin=BROWSELINK"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https://www.dane.gov.co/files/investigaciones/poblacion/informes-estadisticas-sociodemograficas/2021-11-22-Poblacion-negra-afrocolombiana-raizal-palenquera-en-antioquia.pdf" TargetMode="External"/><Relationship Id="rId28" Type="http://schemas.openxmlformats.org/officeDocument/2006/relationships/image" Target="media/image8.png"/><Relationship Id="rId36" Type="http://schemas.openxmlformats.org/officeDocument/2006/relationships/hyperlink" Target="https://www.dane.gov.co/files/investigaciones/poblacion/bt_seguimiento_exceso_mortalidad_covid19_16mar20_06mar22.pdf" TargetMode="External"/><Relationship Id="rId49" Type="http://schemas.openxmlformats.org/officeDocument/2006/relationships/hyperlink" Target="http://systema59.dane.gov.co/bincol/rpwebengine.exe/PortalAction?lang=esp" TargetMode="External"/><Relationship Id="rId57" Type="http://schemas.openxmlformats.org/officeDocument/2006/relationships/customXml" Target="../customXml/item2.xml"/><Relationship Id="rId10" Type="http://schemas.openxmlformats.org/officeDocument/2006/relationships/hyperlink" Target="https://www.funcionpublica.gov.co/eva/gestornormativo/norma.php?i=7388&amp;45" TargetMode="External"/><Relationship Id="rId31" Type="http://schemas.openxmlformats.org/officeDocument/2006/relationships/hyperlink" Target="https://www.dane.gov.co/files/investigaciones/boletines/grupos-etnicos/presentacion-grupos-etnicos-conf-reg-poblacion-y-desarrollo-2020-sep.pdf" TargetMode="External"/><Relationship Id="rId44" Type="http://schemas.openxmlformats.org/officeDocument/2006/relationships/hyperlink" Target="https://geoportal.dane.gov.co/geovisores/sociedad/autorreconocimiento-etnico/" TargetMode="External"/><Relationship Id="rId52" Type="http://schemas.openxmlformats.org/officeDocument/2006/relationships/hyperlink" Target="https://www.dane.gov.co/index.php/estadisticas-por-tema/mercado-laboral/empleo-y-desempleo"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bdigital.unal.edu.co/1238/2/01PREL01.pdf" TargetMode="External"/><Relationship Id="rId13" Type="http://schemas.openxmlformats.org/officeDocument/2006/relationships/hyperlink" Target="https://www.dane.gov.co/index.php/estadisticas-por-tema/encuesta-pulso-social" TargetMode="External"/><Relationship Id="rId3" Type="http://schemas.openxmlformats.org/officeDocument/2006/relationships/hyperlink" Target="https://we.tl/t-Inncc7CiIB" TargetMode="External"/><Relationship Id="rId7" Type="http://schemas.openxmlformats.org/officeDocument/2006/relationships/hyperlink" Target="http://tesis.udea.edu.co/dspace/bitstream/10495/9860/1/EB0352_betsymayelisromana.pdf" TargetMode="External"/><Relationship Id="rId12" Type="http://schemas.openxmlformats.org/officeDocument/2006/relationships/hyperlink" Target="http://www.dane.gov.co/files/censo2018/estudios-%20poscensales/06-analisis-dinamica-intercensal-autorreconocimiento-NARP-%20UNFPA.pdf&amp;ved=2ahUKEwihx4SJpa74AhUjRTABHXNuDI4QFnoECAUQAQ&amp;usg=AOvVaw2W4Pw2E3-nv1QqYkTb0JZz%20" TargetMode="External"/><Relationship Id="rId17" Type="http://schemas.openxmlformats.org/officeDocument/2006/relationships/hyperlink" Target="http://documentos.bancomundial.org/curated/es/316161533724728187/pdf/129298-7-8-2018-17-30-51-AfrodescendientesenLatinoamerica.pdf" TargetMode="External"/><Relationship Id="rId2" Type="http://schemas.openxmlformats.org/officeDocument/2006/relationships/hyperlink" Target="https://we.tl/t-cXHhdrFEWl" TargetMode="External"/><Relationship Id="rId16" Type="http://schemas.openxmlformats.org/officeDocument/2006/relationships/hyperlink" Target="http://documentos.bancomundial.org/curated/es/316161533724728187/pdf/129298-7-8-2018-17-30-51-AfrodescendientesenLatinoamerica.pdf" TargetMode="External"/><Relationship Id="rId1" Type="http://schemas.openxmlformats.org/officeDocument/2006/relationships/hyperlink" Target="https://we.tl/t-4pQmumtFFW" TargetMode="External"/><Relationship Id="rId6" Type="http://schemas.openxmlformats.org/officeDocument/2006/relationships/hyperlink" Target="http://www.bdigital.unal.edu.co/1238/2/01PREL01.pdf" TargetMode="External"/><Relationship Id="rId11" Type="http://schemas.openxmlformats.org/officeDocument/2006/relationships/hyperlink" Target="https://www.youtube.com/watch?v=Tnp17440gv8" TargetMode="External"/><Relationship Id="rId5" Type="http://schemas.openxmlformats.org/officeDocument/2006/relationships/hyperlink" Target="https://www.dane.gov.co/files/investigaciones/boletines/grupos-etnicos/presentacion-grupos-etnicos-poblacion-NARP-2019-debate-ctrl-politico-camara-rep.pdf" TargetMode="External"/><Relationship Id="rId15" Type="http://schemas.openxmlformats.org/officeDocument/2006/relationships/hyperlink" Target="https://www.dane.gov.co/index.php/estadisticas-por-tema/mercado-laboral/empleo-y-desempleo" TargetMode="External"/><Relationship Id="rId10" Type="http://schemas.openxmlformats.org/officeDocument/2006/relationships/hyperlink" Target="http://documentos.bancomundial.org/curated/es/316161533724728187/pdf/129298-7-8-2018-17-30-51-AfrodescendientesenLatinoamerica.pdf" TargetMode="External"/><Relationship Id="rId4" Type="http://schemas.openxmlformats.org/officeDocument/2006/relationships/hyperlink" Target="https://www.dane.gov.co/files/investigaciones/boletines/grupos-etnicos/presentacion-grupos-etnicos-poblacion-NARP-2019-debate-ctrl-politico-camara-rep.pdf" TargetMode="External"/><Relationship Id="rId9" Type="http://schemas.openxmlformats.org/officeDocument/2006/relationships/hyperlink" Target="http://documentos.bancomundial.org/curated/es/316161533724728187/pdf/129298-7-8-2018-17-30-51-AfrodescendientesenLatinoamerica.pdf" TargetMode="External"/><Relationship Id="rId14" Type="http://schemas.openxmlformats.org/officeDocument/2006/relationships/hyperlink" Target="https://www.dane.gov.co/files/investigaciones/boletines/ech/ech/pres_web_empleo_resultados_dic_2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710ED1-961F-4204-831F-44568C4402CB}">
  <ds:schemaRefs>
    <ds:schemaRef ds:uri="http://schemas.openxmlformats.org/officeDocument/2006/bibliography"/>
  </ds:schemaRefs>
</ds:datastoreItem>
</file>

<file path=customXml/itemProps2.xml><?xml version="1.0" encoding="utf-8"?>
<ds:datastoreItem xmlns:ds="http://schemas.openxmlformats.org/officeDocument/2006/customXml" ds:itemID="{8345D6A1-6417-47E8-BE88-D9107D336751}"/>
</file>

<file path=customXml/itemProps3.xml><?xml version="1.0" encoding="utf-8"?>
<ds:datastoreItem xmlns:ds="http://schemas.openxmlformats.org/officeDocument/2006/customXml" ds:itemID="{D0BB8A6B-DF15-4C8D-B2AF-40AA571ECAF8}"/>
</file>

<file path=customXml/itemProps4.xml><?xml version="1.0" encoding="utf-8"?>
<ds:datastoreItem xmlns:ds="http://schemas.openxmlformats.org/officeDocument/2006/customXml" ds:itemID="{B3016FED-DA88-424F-B727-352606B60EC4}"/>
</file>

<file path=docProps/app.xml><?xml version="1.0" encoding="utf-8"?>
<Properties xmlns="http://schemas.openxmlformats.org/officeDocument/2006/extended-properties" xmlns:vt="http://schemas.openxmlformats.org/officeDocument/2006/docPropsVTypes">
  <Template>Normal</Template>
  <TotalTime>129</TotalTime>
  <Pages>40</Pages>
  <Words>16297</Words>
  <Characters>89636</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Valentina Medina Amaranto</dc:creator>
  <cp:keywords/>
  <dc:description/>
  <cp:lastModifiedBy>SUSANA LOZANO RAMOS</cp:lastModifiedBy>
  <cp:revision>5</cp:revision>
  <dcterms:created xsi:type="dcterms:W3CDTF">2022-08-19T16:14:00Z</dcterms:created>
  <dcterms:modified xsi:type="dcterms:W3CDTF">2022-09-26T15:25:00Z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