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8EEC5" w14:textId="387D0EFC" w:rsidR="00111D07" w:rsidRPr="00B85DD0" w:rsidRDefault="00111D07" w:rsidP="00B85DD0">
      <w:pPr>
        <w:spacing w:before="240" w:after="240" w:line="276" w:lineRule="auto"/>
        <w:jc w:val="center"/>
        <w:rPr>
          <w:rFonts w:ascii="Calibri" w:hAnsi="Calibri"/>
          <w:b/>
          <w:bCs/>
          <w:sz w:val="24"/>
          <w:szCs w:val="24"/>
          <w:lang w:val="en-GB"/>
        </w:rPr>
      </w:pPr>
      <w:r w:rsidRPr="00B85DD0">
        <w:rPr>
          <w:rFonts w:ascii="Calibri" w:hAnsi="Calibri"/>
          <w:b/>
          <w:bCs/>
          <w:sz w:val="24"/>
          <w:szCs w:val="24"/>
          <w:lang w:val="en-GB"/>
        </w:rPr>
        <w:t xml:space="preserve">Medical Aid for Palestinians </w:t>
      </w:r>
      <w:bookmarkStart w:id="0" w:name="_Hlk45791219"/>
      <w:r w:rsidR="00CA4122" w:rsidRPr="00B85DD0">
        <w:rPr>
          <w:rFonts w:ascii="Calibri" w:hAnsi="Calibri"/>
          <w:b/>
          <w:bCs/>
          <w:sz w:val="24"/>
          <w:szCs w:val="24"/>
          <w:lang w:val="en-GB"/>
        </w:rPr>
        <w:t>parallel report</w:t>
      </w:r>
      <w:r w:rsidRPr="00B85DD0">
        <w:rPr>
          <w:rFonts w:ascii="Calibri" w:hAnsi="Calibri"/>
          <w:b/>
          <w:bCs/>
          <w:sz w:val="24"/>
          <w:szCs w:val="24"/>
          <w:lang w:val="en-GB"/>
        </w:rPr>
        <w:t xml:space="preserve"> </w:t>
      </w:r>
      <w:r w:rsidR="00CA4122" w:rsidRPr="00B85DD0">
        <w:rPr>
          <w:rFonts w:ascii="Calibri" w:hAnsi="Calibri"/>
          <w:b/>
          <w:bCs/>
          <w:sz w:val="24"/>
          <w:szCs w:val="24"/>
          <w:lang w:val="en-GB"/>
        </w:rPr>
        <w:t>to</w:t>
      </w:r>
      <w:r w:rsidRPr="00B85DD0">
        <w:rPr>
          <w:rFonts w:ascii="Calibri" w:hAnsi="Calibri"/>
          <w:b/>
          <w:bCs/>
          <w:sz w:val="24"/>
          <w:szCs w:val="24"/>
          <w:lang w:val="en-GB"/>
        </w:rPr>
        <w:t xml:space="preserve"> the Committee on the Rights of Persons with Disabilities</w:t>
      </w:r>
      <w:bookmarkEnd w:id="0"/>
      <w:r w:rsidR="00CA4122" w:rsidRPr="00B85DD0">
        <w:rPr>
          <w:rFonts w:ascii="Calibri" w:hAnsi="Calibri"/>
          <w:b/>
          <w:bCs/>
          <w:sz w:val="24"/>
          <w:szCs w:val="24"/>
          <w:lang w:val="en-GB"/>
        </w:rPr>
        <w:t xml:space="preserve"> for its list of issues </w:t>
      </w:r>
      <w:r w:rsidR="00261399">
        <w:rPr>
          <w:rFonts w:ascii="Calibri" w:hAnsi="Calibri"/>
          <w:b/>
          <w:bCs/>
          <w:sz w:val="24"/>
          <w:szCs w:val="24"/>
          <w:lang w:val="en-GB"/>
        </w:rPr>
        <w:t>on Israel’s</w:t>
      </w:r>
      <w:r w:rsidR="00CA4122" w:rsidRPr="00B85DD0">
        <w:rPr>
          <w:rFonts w:ascii="Calibri" w:hAnsi="Calibri"/>
          <w:b/>
          <w:bCs/>
          <w:sz w:val="24"/>
          <w:szCs w:val="24"/>
          <w:lang w:val="en-GB"/>
        </w:rPr>
        <w:t xml:space="preserve"> initial </w:t>
      </w:r>
      <w:r w:rsidR="00261399">
        <w:rPr>
          <w:rFonts w:ascii="Calibri" w:hAnsi="Calibri"/>
          <w:b/>
          <w:bCs/>
          <w:sz w:val="24"/>
          <w:szCs w:val="24"/>
          <w:lang w:val="en-GB"/>
        </w:rPr>
        <w:t>report</w:t>
      </w:r>
    </w:p>
    <w:p w14:paraId="63A874FA" w14:textId="41CF39CD" w:rsidR="00CA4122" w:rsidRPr="00B85DD0" w:rsidRDefault="00CA4122" w:rsidP="00B85DD0">
      <w:pPr>
        <w:spacing w:before="240" w:after="240" w:line="276" w:lineRule="auto"/>
        <w:jc w:val="center"/>
        <w:rPr>
          <w:rFonts w:ascii="Calibri" w:hAnsi="Calibri"/>
          <w:iCs/>
          <w:sz w:val="24"/>
          <w:szCs w:val="24"/>
          <w:lang w:val="en-GB"/>
        </w:rPr>
      </w:pPr>
      <w:r w:rsidRPr="00B85DD0">
        <w:rPr>
          <w:rFonts w:ascii="Calibri" w:hAnsi="Calibri"/>
          <w:iCs/>
          <w:sz w:val="24"/>
          <w:szCs w:val="24"/>
          <w:lang w:val="en-GB"/>
        </w:rPr>
        <w:t xml:space="preserve">Submitted: </w:t>
      </w:r>
      <w:r w:rsidR="00966BE0" w:rsidRPr="00B85DD0">
        <w:rPr>
          <w:rFonts w:ascii="Calibri" w:hAnsi="Calibri"/>
          <w:iCs/>
          <w:sz w:val="24"/>
          <w:szCs w:val="24"/>
          <w:lang w:val="en-GB"/>
        </w:rPr>
        <w:t xml:space="preserve">17 July </w:t>
      </w:r>
      <w:r w:rsidR="007874DC" w:rsidRPr="00B85DD0">
        <w:rPr>
          <w:rFonts w:ascii="Calibri" w:hAnsi="Calibri"/>
          <w:iCs/>
          <w:sz w:val="24"/>
          <w:szCs w:val="24"/>
          <w:lang w:val="en-GB"/>
        </w:rPr>
        <w:t>2020</w:t>
      </w:r>
    </w:p>
    <w:sdt>
      <w:sdtPr>
        <w:rPr>
          <w:rFonts w:asciiTheme="minorHAnsi" w:eastAsiaTheme="minorHAnsi" w:hAnsiTheme="minorHAnsi" w:cstheme="minorBidi"/>
          <w:color w:val="auto"/>
          <w:sz w:val="22"/>
          <w:szCs w:val="22"/>
          <w:lang w:val="en-US"/>
        </w:rPr>
        <w:id w:val="-130029580"/>
        <w:docPartObj>
          <w:docPartGallery w:val="Table of Contents"/>
          <w:docPartUnique/>
        </w:docPartObj>
      </w:sdtPr>
      <w:sdtEndPr>
        <w:rPr>
          <w:rFonts w:ascii="Calibri" w:hAnsi="Calibri"/>
          <w:b/>
          <w:bCs/>
        </w:rPr>
      </w:sdtEndPr>
      <w:sdtContent>
        <w:p w14:paraId="71168468" w14:textId="77777777" w:rsidR="00CA4122" w:rsidRPr="00993BB2" w:rsidRDefault="00CA4122" w:rsidP="00993BB2">
          <w:pPr>
            <w:pStyle w:val="TOCHeading"/>
            <w:numPr>
              <w:ilvl w:val="0"/>
              <w:numId w:val="0"/>
            </w:numPr>
            <w:ind w:left="432" w:hanging="432"/>
            <w:rPr>
              <w:rStyle w:val="Heading1Char"/>
              <w:b/>
              <w:bCs/>
              <w:u w:val="single"/>
            </w:rPr>
          </w:pPr>
          <w:r w:rsidRPr="00993BB2">
            <w:rPr>
              <w:rStyle w:val="Heading1Char"/>
              <w:b/>
              <w:bCs/>
              <w:u w:val="single"/>
            </w:rPr>
            <w:t>Table of Contents</w:t>
          </w:r>
        </w:p>
        <w:p w14:paraId="096AA846" w14:textId="60103C73" w:rsidR="00993BB2" w:rsidRDefault="00CA4122">
          <w:pPr>
            <w:pStyle w:val="TOC1"/>
            <w:tabs>
              <w:tab w:val="left" w:pos="440"/>
              <w:tab w:val="right" w:leader="dot" w:pos="9350"/>
            </w:tabs>
            <w:rPr>
              <w:rFonts w:eastAsiaTheme="minorEastAsia"/>
              <w:noProof/>
              <w:lang w:val="en-GB" w:eastAsia="en-GB"/>
            </w:rPr>
          </w:pPr>
          <w:r w:rsidRPr="00B85DD0">
            <w:rPr>
              <w:rFonts w:ascii="Calibri" w:hAnsi="Calibri"/>
              <w:sz w:val="24"/>
              <w:szCs w:val="24"/>
              <w:lang w:val="en-GB"/>
            </w:rPr>
            <w:fldChar w:fldCharType="begin"/>
          </w:r>
          <w:r w:rsidRPr="00B85DD0">
            <w:rPr>
              <w:rFonts w:ascii="Calibri" w:hAnsi="Calibri"/>
              <w:sz w:val="24"/>
              <w:szCs w:val="24"/>
              <w:lang w:val="en-GB"/>
            </w:rPr>
            <w:instrText xml:space="preserve"> TOC \o "1-3" \h \z \u </w:instrText>
          </w:r>
          <w:r w:rsidRPr="00B85DD0">
            <w:rPr>
              <w:rFonts w:ascii="Calibri" w:hAnsi="Calibri"/>
              <w:sz w:val="24"/>
              <w:szCs w:val="24"/>
              <w:lang w:val="en-GB"/>
            </w:rPr>
            <w:fldChar w:fldCharType="separate"/>
          </w:r>
          <w:hyperlink w:anchor="_Toc45880683" w:history="1">
            <w:r w:rsidR="00993BB2" w:rsidRPr="00B710F5">
              <w:rPr>
                <w:rStyle w:val="Hyperlink"/>
                <w:b/>
                <w:bCs/>
                <w:noProof/>
              </w:rPr>
              <w:t>I.</w:t>
            </w:r>
            <w:r w:rsidR="00993BB2">
              <w:rPr>
                <w:rFonts w:eastAsiaTheme="minorEastAsia"/>
                <w:noProof/>
                <w:lang w:val="en-GB" w:eastAsia="en-GB"/>
              </w:rPr>
              <w:t xml:space="preserve"> </w:t>
            </w:r>
            <w:r w:rsidR="00993BB2" w:rsidRPr="00B710F5">
              <w:rPr>
                <w:rStyle w:val="Hyperlink"/>
                <w:b/>
                <w:bCs/>
                <w:noProof/>
              </w:rPr>
              <w:t>Introduction</w:t>
            </w:r>
            <w:r w:rsidR="00993BB2">
              <w:rPr>
                <w:noProof/>
                <w:webHidden/>
              </w:rPr>
              <w:tab/>
            </w:r>
            <w:r w:rsidR="00993BB2">
              <w:rPr>
                <w:noProof/>
                <w:webHidden/>
              </w:rPr>
              <w:fldChar w:fldCharType="begin"/>
            </w:r>
            <w:r w:rsidR="00993BB2">
              <w:rPr>
                <w:noProof/>
                <w:webHidden/>
              </w:rPr>
              <w:instrText xml:space="preserve"> PAGEREF _Toc45880683 \h </w:instrText>
            </w:r>
            <w:r w:rsidR="00993BB2">
              <w:rPr>
                <w:noProof/>
                <w:webHidden/>
              </w:rPr>
            </w:r>
            <w:r w:rsidR="00993BB2">
              <w:rPr>
                <w:noProof/>
                <w:webHidden/>
              </w:rPr>
              <w:fldChar w:fldCharType="separate"/>
            </w:r>
            <w:r w:rsidR="00993BB2">
              <w:rPr>
                <w:noProof/>
                <w:webHidden/>
              </w:rPr>
              <w:t>1</w:t>
            </w:r>
            <w:r w:rsidR="00993BB2">
              <w:rPr>
                <w:noProof/>
                <w:webHidden/>
              </w:rPr>
              <w:fldChar w:fldCharType="end"/>
            </w:r>
          </w:hyperlink>
        </w:p>
        <w:p w14:paraId="5BC638C1" w14:textId="5C43CDB0" w:rsidR="00993BB2" w:rsidRDefault="009C3345">
          <w:pPr>
            <w:pStyle w:val="TOC1"/>
            <w:tabs>
              <w:tab w:val="left" w:pos="440"/>
              <w:tab w:val="right" w:leader="dot" w:pos="9350"/>
            </w:tabs>
            <w:rPr>
              <w:rFonts w:eastAsiaTheme="minorEastAsia"/>
              <w:noProof/>
              <w:lang w:val="en-GB" w:eastAsia="en-GB"/>
            </w:rPr>
          </w:pPr>
          <w:hyperlink w:anchor="_Toc45880684" w:history="1">
            <w:r w:rsidR="00993BB2" w:rsidRPr="00B710F5">
              <w:rPr>
                <w:rStyle w:val="Hyperlink"/>
                <w:b/>
                <w:bCs/>
                <w:noProof/>
              </w:rPr>
              <w:t>II.</w:t>
            </w:r>
            <w:r w:rsidR="00993BB2">
              <w:rPr>
                <w:rFonts w:eastAsiaTheme="minorEastAsia"/>
                <w:noProof/>
                <w:lang w:val="en-GB" w:eastAsia="en-GB"/>
              </w:rPr>
              <w:t xml:space="preserve"> </w:t>
            </w:r>
            <w:r w:rsidR="00993BB2" w:rsidRPr="00B710F5">
              <w:rPr>
                <w:rStyle w:val="Hyperlink"/>
                <w:b/>
                <w:bCs/>
                <w:noProof/>
              </w:rPr>
              <w:t>Legal framework for disability rights in the occupied Palestinian territory</w:t>
            </w:r>
            <w:r w:rsidR="00993BB2">
              <w:rPr>
                <w:noProof/>
                <w:webHidden/>
              </w:rPr>
              <w:tab/>
            </w:r>
            <w:r w:rsidR="00993BB2">
              <w:rPr>
                <w:noProof/>
                <w:webHidden/>
              </w:rPr>
              <w:fldChar w:fldCharType="begin"/>
            </w:r>
            <w:r w:rsidR="00993BB2">
              <w:rPr>
                <w:noProof/>
                <w:webHidden/>
              </w:rPr>
              <w:instrText xml:space="preserve"> PAGEREF _Toc45880684 \h </w:instrText>
            </w:r>
            <w:r w:rsidR="00993BB2">
              <w:rPr>
                <w:noProof/>
                <w:webHidden/>
              </w:rPr>
            </w:r>
            <w:r w:rsidR="00993BB2">
              <w:rPr>
                <w:noProof/>
                <w:webHidden/>
              </w:rPr>
              <w:fldChar w:fldCharType="separate"/>
            </w:r>
            <w:r w:rsidR="00993BB2">
              <w:rPr>
                <w:noProof/>
                <w:webHidden/>
              </w:rPr>
              <w:t>2</w:t>
            </w:r>
            <w:r w:rsidR="00993BB2">
              <w:rPr>
                <w:noProof/>
                <w:webHidden/>
              </w:rPr>
              <w:fldChar w:fldCharType="end"/>
            </w:r>
          </w:hyperlink>
        </w:p>
        <w:p w14:paraId="5E7C2E36" w14:textId="77F27E18" w:rsidR="00993BB2" w:rsidRDefault="009C3345">
          <w:pPr>
            <w:pStyle w:val="TOC1"/>
            <w:tabs>
              <w:tab w:val="left" w:pos="660"/>
              <w:tab w:val="right" w:leader="dot" w:pos="9350"/>
            </w:tabs>
            <w:rPr>
              <w:rFonts w:eastAsiaTheme="minorEastAsia"/>
              <w:noProof/>
              <w:lang w:val="en-GB" w:eastAsia="en-GB"/>
            </w:rPr>
          </w:pPr>
          <w:hyperlink w:anchor="_Toc45880685" w:history="1">
            <w:r w:rsidR="00993BB2" w:rsidRPr="00B710F5">
              <w:rPr>
                <w:rStyle w:val="Hyperlink"/>
                <w:b/>
                <w:bCs/>
                <w:noProof/>
              </w:rPr>
              <w:t>III.</w:t>
            </w:r>
            <w:r w:rsidR="00993BB2">
              <w:rPr>
                <w:rFonts w:eastAsiaTheme="minorEastAsia"/>
                <w:noProof/>
                <w:lang w:val="en-GB" w:eastAsia="en-GB"/>
              </w:rPr>
              <w:t xml:space="preserve"> </w:t>
            </w:r>
            <w:r w:rsidR="00993BB2" w:rsidRPr="00B710F5">
              <w:rPr>
                <w:rStyle w:val="Hyperlink"/>
                <w:b/>
                <w:bCs/>
                <w:noProof/>
              </w:rPr>
              <w:t>Barriers to disability rights in the occupied Palestinian territory</w:t>
            </w:r>
            <w:r w:rsidR="00993BB2">
              <w:rPr>
                <w:noProof/>
                <w:webHidden/>
              </w:rPr>
              <w:tab/>
            </w:r>
            <w:r w:rsidR="00993BB2">
              <w:rPr>
                <w:noProof/>
                <w:webHidden/>
              </w:rPr>
              <w:fldChar w:fldCharType="begin"/>
            </w:r>
            <w:r w:rsidR="00993BB2">
              <w:rPr>
                <w:noProof/>
                <w:webHidden/>
              </w:rPr>
              <w:instrText xml:space="preserve"> PAGEREF _Toc45880685 \h </w:instrText>
            </w:r>
            <w:r w:rsidR="00993BB2">
              <w:rPr>
                <w:noProof/>
                <w:webHidden/>
              </w:rPr>
            </w:r>
            <w:r w:rsidR="00993BB2">
              <w:rPr>
                <w:noProof/>
                <w:webHidden/>
              </w:rPr>
              <w:fldChar w:fldCharType="separate"/>
            </w:r>
            <w:r w:rsidR="00993BB2">
              <w:rPr>
                <w:noProof/>
                <w:webHidden/>
              </w:rPr>
              <w:t>3</w:t>
            </w:r>
            <w:r w:rsidR="00993BB2">
              <w:rPr>
                <w:noProof/>
                <w:webHidden/>
              </w:rPr>
              <w:fldChar w:fldCharType="end"/>
            </w:r>
          </w:hyperlink>
        </w:p>
        <w:p w14:paraId="5D05AF3F" w14:textId="220F9185" w:rsidR="00993BB2" w:rsidRDefault="009C3345">
          <w:pPr>
            <w:pStyle w:val="TOC1"/>
            <w:tabs>
              <w:tab w:val="left" w:pos="660"/>
              <w:tab w:val="right" w:leader="dot" w:pos="9350"/>
            </w:tabs>
            <w:rPr>
              <w:rFonts w:eastAsiaTheme="minorEastAsia"/>
              <w:noProof/>
              <w:lang w:val="en-GB" w:eastAsia="en-GB"/>
            </w:rPr>
          </w:pPr>
          <w:hyperlink w:anchor="_Toc45880686" w:history="1">
            <w:r w:rsidR="00993BB2" w:rsidRPr="00B710F5">
              <w:rPr>
                <w:rStyle w:val="Hyperlink"/>
                <w:b/>
                <w:bCs/>
                <w:noProof/>
              </w:rPr>
              <w:t>IV.</w:t>
            </w:r>
            <w:r w:rsidR="00993BB2">
              <w:rPr>
                <w:rFonts w:eastAsiaTheme="minorEastAsia"/>
                <w:noProof/>
                <w:lang w:val="en-GB" w:eastAsia="en-GB"/>
              </w:rPr>
              <w:t xml:space="preserve"> </w:t>
            </w:r>
            <w:r w:rsidR="00993BB2" w:rsidRPr="00B710F5">
              <w:rPr>
                <w:rStyle w:val="Hyperlink"/>
                <w:b/>
                <w:bCs/>
                <w:noProof/>
              </w:rPr>
              <w:t>Inadequate protection during hostilities and excessive use of force</w:t>
            </w:r>
            <w:r w:rsidR="00993BB2">
              <w:rPr>
                <w:noProof/>
                <w:webHidden/>
              </w:rPr>
              <w:tab/>
            </w:r>
            <w:r w:rsidR="00993BB2">
              <w:rPr>
                <w:noProof/>
                <w:webHidden/>
              </w:rPr>
              <w:fldChar w:fldCharType="begin"/>
            </w:r>
            <w:r w:rsidR="00993BB2">
              <w:rPr>
                <w:noProof/>
                <w:webHidden/>
              </w:rPr>
              <w:instrText xml:space="preserve"> PAGEREF _Toc45880686 \h </w:instrText>
            </w:r>
            <w:r w:rsidR="00993BB2">
              <w:rPr>
                <w:noProof/>
                <w:webHidden/>
              </w:rPr>
            </w:r>
            <w:r w:rsidR="00993BB2">
              <w:rPr>
                <w:noProof/>
                <w:webHidden/>
              </w:rPr>
              <w:fldChar w:fldCharType="separate"/>
            </w:r>
            <w:r w:rsidR="00993BB2">
              <w:rPr>
                <w:noProof/>
                <w:webHidden/>
              </w:rPr>
              <w:t>4</w:t>
            </w:r>
            <w:r w:rsidR="00993BB2">
              <w:rPr>
                <w:noProof/>
                <w:webHidden/>
              </w:rPr>
              <w:fldChar w:fldCharType="end"/>
            </w:r>
          </w:hyperlink>
        </w:p>
        <w:p w14:paraId="3E20F7BA" w14:textId="3CEEC85A" w:rsidR="00993BB2" w:rsidRDefault="009C3345">
          <w:pPr>
            <w:pStyle w:val="TOC1"/>
            <w:tabs>
              <w:tab w:val="left" w:pos="440"/>
              <w:tab w:val="right" w:leader="dot" w:pos="9350"/>
            </w:tabs>
            <w:rPr>
              <w:rFonts w:eastAsiaTheme="minorEastAsia"/>
              <w:noProof/>
              <w:lang w:val="en-GB" w:eastAsia="en-GB"/>
            </w:rPr>
          </w:pPr>
          <w:hyperlink w:anchor="_Toc45880687" w:history="1">
            <w:r w:rsidR="00993BB2" w:rsidRPr="00B710F5">
              <w:rPr>
                <w:rStyle w:val="Hyperlink"/>
                <w:b/>
                <w:bCs/>
                <w:noProof/>
              </w:rPr>
              <w:t>V.</w:t>
            </w:r>
            <w:r w:rsidR="00993BB2">
              <w:rPr>
                <w:rFonts w:eastAsiaTheme="minorEastAsia"/>
                <w:noProof/>
                <w:lang w:val="en-GB" w:eastAsia="en-GB"/>
              </w:rPr>
              <w:t xml:space="preserve"> </w:t>
            </w:r>
            <w:r w:rsidR="00993BB2" w:rsidRPr="00B710F5">
              <w:rPr>
                <w:rStyle w:val="Hyperlink"/>
                <w:b/>
                <w:bCs/>
                <w:noProof/>
              </w:rPr>
              <w:t>Palestinians with disabilities disproportionately affected by COVID-19</w:t>
            </w:r>
            <w:r w:rsidR="00993BB2">
              <w:rPr>
                <w:noProof/>
                <w:webHidden/>
              </w:rPr>
              <w:tab/>
            </w:r>
            <w:r w:rsidR="00993BB2">
              <w:rPr>
                <w:noProof/>
                <w:webHidden/>
              </w:rPr>
              <w:fldChar w:fldCharType="begin"/>
            </w:r>
            <w:r w:rsidR="00993BB2">
              <w:rPr>
                <w:noProof/>
                <w:webHidden/>
              </w:rPr>
              <w:instrText xml:space="preserve"> PAGEREF _Toc45880687 \h </w:instrText>
            </w:r>
            <w:r w:rsidR="00993BB2">
              <w:rPr>
                <w:noProof/>
                <w:webHidden/>
              </w:rPr>
            </w:r>
            <w:r w:rsidR="00993BB2">
              <w:rPr>
                <w:noProof/>
                <w:webHidden/>
              </w:rPr>
              <w:fldChar w:fldCharType="separate"/>
            </w:r>
            <w:r w:rsidR="00993BB2">
              <w:rPr>
                <w:noProof/>
                <w:webHidden/>
              </w:rPr>
              <w:t>6</w:t>
            </w:r>
            <w:r w:rsidR="00993BB2">
              <w:rPr>
                <w:noProof/>
                <w:webHidden/>
              </w:rPr>
              <w:fldChar w:fldCharType="end"/>
            </w:r>
          </w:hyperlink>
        </w:p>
        <w:p w14:paraId="11CC6D5F" w14:textId="36D8B116" w:rsidR="00993BB2" w:rsidRDefault="009C3345">
          <w:pPr>
            <w:pStyle w:val="TOC1"/>
            <w:tabs>
              <w:tab w:val="left" w:pos="660"/>
              <w:tab w:val="right" w:leader="dot" w:pos="9350"/>
            </w:tabs>
            <w:rPr>
              <w:rFonts w:eastAsiaTheme="minorEastAsia"/>
              <w:noProof/>
              <w:lang w:val="en-GB" w:eastAsia="en-GB"/>
            </w:rPr>
          </w:pPr>
          <w:hyperlink w:anchor="_Toc45880688" w:history="1">
            <w:r w:rsidR="00993BB2" w:rsidRPr="00B710F5">
              <w:rPr>
                <w:rStyle w:val="Hyperlink"/>
                <w:b/>
                <w:bCs/>
                <w:noProof/>
              </w:rPr>
              <w:t>VI.</w:t>
            </w:r>
            <w:r w:rsidR="00993BB2">
              <w:rPr>
                <w:rFonts w:eastAsiaTheme="minorEastAsia"/>
                <w:noProof/>
                <w:lang w:val="en-GB" w:eastAsia="en-GB"/>
              </w:rPr>
              <w:t xml:space="preserve"> </w:t>
            </w:r>
            <w:r w:rsidR="00993BB2" w:rsidRPr="00B710F5">
              <w:rPr>
                <w:rStyle w:val="Hyperlink"/>
                <w:b/>
                <w:bCs/>
                <w:noProof/>
              </w:rPr>
              <w:t>Mental health in the occupied Palestinian territory</w:t>
            </w:r>
            <w:r w:rsidR="00993BB2">
              <w:rPr>
                <w:noProof/>
                <w:webHidden/>
              </w:rPr>
              <w:tab/>
            </w:r>
            <w:r w:rsidR="00993BB2">
              <w:rPr>
                <w:noProof/>
                <w:webHidden/>
              </w:rPr>
              <w:fldChar w:fldCharType="begin"/>
            </w:r>
            <w:r w:rsidR="00993BB2">
              <w:rPr>
                <w:noProof/>
                <w:webHidden/>
              </w:rPr>
              <w:instrText xml:space="preserve"> PAGEREF _Toc45880688 \h </w:instrText>
            </w:r>
            <w:r w:rsidR="00993BB2">
              <w:rPr>
                <w:noProof/>
                <w:webHidden/>
              </w:rPr>
            </w:r>
            <w:r w:rsidR="00993BB2">
              <w:rPr>
                <w:noProof/>
                <w:webHidden/>
              </w:rPr>
              <w:fldChar w:fldCharType="separate"/>
            </w:r>
            <w:r w:rsidR="00993BB2">
              <w:rPr>
                <w:noProof/>
                <w:webHidden/>
              </w:rPr>
              <w:t>8</w:t>
            </w:r>
            <w:r w:rsidR="00993BB2">
              <w:rPr>
                <w:noProof/>
                <w:webHidden/>
              </w:rPr>
              <w:fldChar w:fldCharType="end"/>
            </w:r>
          </w:hyperlink>
        </w:p>
        <w:p w14:paraId="7E9DD992" w14:textId="6A8C7DF9" w:rsidR="00BF644C" w:rsidRPr="00B85DD0" w:rsidRDefault="00CA4122" w:rsidP="00B85DD0">
          <w:pPr>
            <w:tabs>
              <w:tab w:val="left" w:pos="851"/>
            </w:tabs>
            <w:spacing w:after="0" w:line="276" w:lineRule="auto"/>
            <w:ind w:left="425"/>
            <w:rPr>
              <w:rFonts w:ascii="Calibri" w:hAnsi="Calibri"/>
              <w:b/>
              <w:bCs/>
              <w:sz w:val="24"/>
              <w:szCs w:val="24"/>
              <w:lang w:val="en-GB"/>
            </w:rPr>
          </w:pPr>
          <w:r w:rsidRPr="00B85DD0">
            <w:rPr>
              <w:rFonts w:ascii="Calibri" w:hAnsi="Calibri"/>
              <w:b/>
              <w:bCs/>
              <w:noProof/>
              <w:sz w:val="24"/>
              <w:szCs w:val="24"/>
              <w:lang w:val="en-GB"/>
            </w:rPr>
            <w:fldChar w:fldCharType="end"/>
          </w:r>
        </w:p>
      </w:sdtContent>
    </w:sdt>
    <w:p w14:paraId="3D8B9CFD" w14:textId="5D88B8FC" w:rsidR="00CA4122" w:rsidRPr="00993BB2" w:rsidRDefault="00CA4122" w:rsidP="00993BB2">
      <w:pPr>
        <w:pStyle w:val="Heading1"/>
        <w:rPr>
          <w:b/>
          <w:bCs/>
          <w:sz w:val="28"/>
          <w:szCs w:val="28"/>
          <w:u w:val="single"/>
        </w:rPr>
      </w:pPr>
      <w:bookmarkStart w:id="1" w:name="_Toc45880683"/>
      <w:r w:rsidRPr="00993BB2">
        <w:rPr>
          <w:b/>
          <w:bCs/>
          <w:sz w:val="28"/>
          <w:szCs w:val="28"/>
          <w:u w:val="single"/>
        </w:rPr>
        <w:t>Introduction</w:t>
      </w:r>
      <w:bookmarkEnd w:id="1"/>
    </w:p>
    <w:p w14:paraId="53600E15" w14:textId="1F61055F" w:rsidR="00A97635" w:rsidRPr="00976E43" w:rsidRDefault="00FE6EE3" w:rsidP="00B85DD0">
      <w:pPr>
        <w:pStyle w:val="ListParagraph"/>
        <w:numPr>
          <w:ilvl w:val="0"/>
          <w:numId w:val="7"/>
        </w:numPr>
        <w:spacing w:after="240" w:line="276" w:lineRule="auto"/>
        <w:ind w:left="425" w:hanging="425"/>
        <w:contextualSpacing w:val="0"/>
        <w:jc w:val="both"/>
        <w:rPr>
          <w:rFonts w:ascii="Calibri" w:hAnsi="Calibri"/>
        </w:rPr>
      </w:pPr>
      <w:r w:rsidRPr="00B85DD0">
        <w:rPr>
          <w:rFonts w:ascii="Calibri" w:hAnsi="Calibri"/>
          <w:b/>
          <w:bCs/>
          <w:sz w:val="24"/>
          <w:szCs w:val="24"/>
          <w:lang w:val="en-GB"/>
        </w:rPr>
        <w:t>Medical Aid for Palestinians (MAP)</w:t>
      </w:r>
      <w:r w:rsidR="00CA4122" w:rsidRPr="00B85DD0">
        <w:rPr>
          <w:rFonts w:ascii="Calibri" w:hAnsi="Calibri"/>
          <w:sz w:val="24"/>
          <w:szCs w:val="24"/>
          <w:lang w:val="en-GB"/>
        </w:rPr>
        <w:t xml:space="preserve"> herewith presents its parallel report to the United Nations (UN) Committee on the Rights of Persons with Disabilities (hereinafter ‘the Committee’) </w:t>
      </w:r>
      <w:r w:rsidR="00CA1B96" w:rsidRPr="00B85DD0">
        <w:rPr>
          <w:rFonts w:ascii="Calibri" w:hAnsi="Calibri"/>
          <w:sz w:val="24"/>
          <w:szCs w:val="24"/>
          <w:lang w:val="en-GB"/>
        </w:rPr>
        <w:t xml:space="preserve">ahead of its 14th Pre-Sessional Working Group, to be held between 7 and 18 September 2020. This parallel report is presented for consideration by the Committee in its list of issues on </w:t>
      </w:r>
      <w:r w:rsidR="00EF108A" w:rsidRPr="00B85DD0">
        <w:rPr>
          <w:rFonts w:ascii="Calibri" w:hAnsi="Calibri"/>
          <w:sz w:val="24"/>
          <w:szCs w:val="24"/>
          <w:lang w:val="en-GB"/>
        </w:rPr>
        <w:t>the</w:t>
      </w:r>
      <w:r w:rsidR="00CA1B96" w:rsidRPr="00B85DD0">
        <w:rPr>
          <w:rFonts w:ascii="Calibri" w:hAnsi="Calibri"/>
          <w:sz w:val="24"/>
          <w:szCs w:val="24"/>
          <w:lang w:val="en-GB"/>
        </w:rPr>
        <w:t xml:space="preserve"> initial report </w:t>
      </w:r>
      <w:r w:rsidR="00EF108A" w:rsidRPr="00B85DD0">
        <w:rPr>
          <w:rFonts w:ascii="Calibri" w:hAnsi="Calibri"/>
          <w:sz w:val="24"/>
          <w:szCs w:val="24"/>
          <w:lang w:val="en-GB"/>
        </w:rPr>
        <w:t>submitted by Israel</w:t>
      </w:r>
      <w:r w:rsidR="00A97635" w:rsidRPr="00B85DD0">
        <w:rPr>
          <w:rStyle w:val="FootnoteReference"/>
          <w:rFonts w:ascii="Calibri" w:hAnsi="Calibri"/>
          <w:sz w:val="24"/>
          <w:szCs w:val="24"/>
          <w:vertAlign w:val="superscript"/>
          <w:lang w:val="en-GB"/>
        </w:rPr>
        <w:footnoteReference w:id="1"/>
      </w:r>
      <w:r w:rsidR="00A97635" w:rsidRPr="00B85DD0">
        <w:rPr>
          <w:rFonts w:ascii="Calibri" w:hAnsi="Calibri"/>
          <w:sz w:val="24"/>
          <w:szCs w:val="24"/>
          <w:lang w:val="en-GB"/>
        </w:rPr>
        <w:t xml:space="preserve"> </w:t>
      </w:r>
      <w:r w:rsidR="00C56AA0">
        <w:rPr>
          <w:rFonts w:ascii="Calibri" w:hAnsi="Calibri"/>
          <w:sz w:val="24"/>
          <w:szCs w:val="24"/>
          <w:lang w:val="en-GB"/>
        </w:rPr>
        <w:t>in relation to</w:t>
      </w:r>
      <w:r w:rsidR="00A97635" w:rsidRPr="00B85DD0">
        <w:rPr>
          <w:rFonts w:ascii="Calibri" w:hAnsi="Calibri"/>
          <w:sz w:val="24"/>
          <w:szCs w:val="24"/>
          <w:lang w:val="en-GB"/>
        </w:rPr>
        <w:t xml:space="preserve"> its compliance with the Convention on the Rights of Persons with Disabilities (CRPD or ‘the Convention’).</w:t>
      </w:r>
      <w:r w:rsidR="00A97635" w:rsidRPr="00B85DD0">
        <w:rPr>
          <w:rStyle w:val="FootnoteReference"/>
          <w:rFonts w:ascii="Calibri" w:hAnsi="Calibri"/>
          <w:sz w:val="24"/>
          <w:szCs w:val="24"/>
          <w:vertAlign w:val="superscript"/>
          <w:lang w:val="en-GB"/>
        </w:rPr>
        <w:footnoteReference w:id="2"/>
      </w:r>
    </w:p>
    <w:p w14:paraId="2E48B42B" w14:textId="4DFE14DB"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MAP is a humanitarian and development organisation</w:t>
      </w:r>
      <w:r w:rsidR="00E065B0">
        <w:rPr>
          <w:rFonts w:ascii="Calibri" w:hAnsi="Calibri"/>
          <w:sz w:val="24"/>
          <w:szCs w:val="24"/>
          <w:lang w:val="en-GB"/>
        </w:rPr>
        <w:t xml:space="preserve"> with ECOSOC Status</w:t>
      </w:r>
      <w:r w:rsidRPr="00B85DD0">
        <w:rPr>
          <w:rFonts w:ascii="Calibri" w:hAnsi="Calibri"/>
          <w:sz w:val="24"/>
          <w:szCs w:val="24"/>
          <w:lang w:val="en-GB"/>
        </w:rPr>
        <w:t xml:space="preserve">, operating in the occupied Palestinian territory (oPt) and Lebanon since the 1980s. Our key areas of work are women and children’s health; disability; mental health and psychosocial support; and emergency response and emerging needs. In this parallel report, MAP addresses the legal framework for and barriers to disability rights in the </w:t>
      </w:r>
      <w:r w:rsidRPr="009231BA">
        <w:rPr>
          <w:rFonts w:ascii="Calibri" w:hAnsi="Calibri"/>
          <w:sz w:val="24"/>
          <w:szCs w:val="24"/>
          <w:lang w:val="en-GB"/>
        </w:rPr>
        <w:t>oPt</w:t>
      </w:r>
      <w:r w:rsidR="00993BB2">
        <w:rPr>
          <w:rFonts w:ascii="Calibri" w:hAnsi="Calibri"/>
          <w:sz w:val="24"/>
          <w:szCs w:val="24"/>
          <w:lang w:val="en-GB"/>
        </w:rPr>
        <w:t>;</w:t>
      </w:r>
      <w:r w:rsidRPr="00B85DD0">
        <w:rPr>
          <w:rFonts w:ascii="Calibri" w:hAnsi="Calibri"/>
          <w:sz w:val="24"/>
          <w:szCs w:val="24"/>
          <w:lang w:val="en-GB"/>
        </w:rPr>
        <w:t xml:space="preserve"> inadequate protection during hostilities and excessive use of force</w:t>
      </w:r>
      <w:r w:rsidR="00993BB2">
        <w:rPr>
          <w:rFonts w:ascii="Calibri" w:hAnsi="Calibri"/>
          <w:sz w:val="24"/>
          <w:szCs w:val="24"/>
          <w:lang w:val="en-GB"/>
        </w:rPr>
        <w:t>;</w:t>
      </w:r>
      <w:r w:rsidR="00B85DD0">
        <w:rPr>
          <w:rFonts w:ascii="Calibri" w:hAnsi="Calibri"/>
          <w:sz w:val="24"/>
          <w:szCs w:val="24"/>
          <w:lang w:val="en-GB"/>
        </w:rPr>
        <w:t xml:space="preserve"> </w:t>
      </w:r>
      <w:r w:rsidRPr="00B85DD0">
        <w:rPr>
          <w:rFonts w:ascii="Calibri" w:hAnsi="Calibri"/>
          <w:sz w:val="24"/>
          <w:szCs w:val="24"/>
          <w:lang w:val="en-GB"/>
        </w:rPr>
        <w:t>the disproportionate impact of COVID-19 on Palestinians with disabilities</w:t>
      </w:r>
      <w:r w:rsidR="00993BB2">
        <w:rPr>
          <w:rFonts w:ascii="Calibri" w:hAnsi="Calibri"/>
          <w:sz w:val="24"/>
          <w:szCs w:val="24"/>
          <w:lang w:val="en-GB"/>
        </w:rPr>
        <w:t>;</w:t>
      </w:r>
      <w:r w:rsidRPr="00B85DD0">
        <w:rPr>
          <w:rFonts w:ascii="Calibri" w:hAnsi="Calibri"/>
          <w:sz w:val="24"/>
          <w:szCs w:val="24"/>
          <w:lang w:val="en-GB"/>
        </w:rPr>
        <w:t xml:space="preserve"> and mental health in the </w:t>
      </w:r>
      <w:r w:rsidRPr="009231BA">
        <w:rPr>
          <w:rFonts w:ascii="Calibri" w:hAnsi="Calibri"/>
          <w:sz w:val="24"/>
          <w:szCs w:val="24"/>
          <w:lang w:val="en-GB"/>
        </w:rPr>
        <w:t>oPt</w:t>
      </w:r>
      <w:r w:rsidRPr="00B85DD0">
        <w:rPr>
          <w:rFonts w:ascii="Calibri" w:hAnsi="Calibri"/>
          <w:sz w:val="24"/>
          <w:szCs w:val="24"/>
          <w:lang w:val="en-GB"/>
        </w:rPr>
        <w:t>.</w:t>
      </w:r>
      <w:r w:rsidRPr="009231BA">
        <w:rPr>
          <w:rFonts w:ascii="Calibri" w:hAnsi="Calibri"/>
          <w:sz w:val="24"/>
          <w:szCs w:val="24"/>
          <w:lang w:val="en-GB"/>
        </w:rPr>
        <w:t xml:space="preserve"> </w:t>
      </w:r>
      <w:r w:rsidRPr="00B85DD0">
        <w:rPr>
          <w:rFonts w:ascii="Calibri" w:hAnsi="Calibri"/>
          <w:sz w:val="24"/>
          <w:szCs w:val="24"/>
          <w:lang w:val="en-GB"/>
        </w:rPr>
        <w:t xml:space="preserve">Palestinians with disabilities from the oPt played an active role in raising the issues outlined in the submission, providing </w:t>
      </w:r>
      <w:r w:rsidRPr="00B85DD0">
        <w:rPr>
          <w:rFonts w:ascii="Calibri" w:hAnsi="Calibri"/>
          <w:sz w:val="24"/>
          <w:szCs w:val="24"/>
          <w:lang w:val="en-GB"/>
        </w:rPr>
        <w:lastRenderedPageBreak/>
        <w:t xml:space="preserve">information to MAP through focus groups, </w:t>
      </w:r>
      <w:proofErr w:type="gramStart"/>
      <w:r w:rsidRPr="00B85DD0">
        <w:rPr>
          <w:rFonts w:ascii="Calibri" w:hAnsi="Calibri"/>
          <w:sz w:val="24"/>
          <w:szCs w:val="24"/>
          <w:lang w:val="en-GB"/>
        </w:rPr>
        <w:t>interviews</w:t>
      </w:r>
      <w:proofErr w:type="gramEnd"/>
      <w:r w:rsidRPr="00B85DD0">
        <w:rPr>
          <w:rFonts w:ascii="Calibri" w:hAnsi="Calibri"/>
          <w:sz w:val="24"/>
          <w:szCs w:val="24"/>
          <w:lang w:val="en-GB"/>
        </w:rPr>
        <w:t xml:space="preserve"> and a participatory photography project.</w:t>
      </w:r>
    </w:p>
    <w:p w14:paraId="72324D25" w14:textId="609258D4" w:rsidR="00A97635" w:rsidRPr="00993BB2" w:rsidRDefault="00A97635" w:rsidP="00B85DD0">
      <w:pPr>
        <w:pStyle w:val="Heading1"/>
        <w:rPr>
          <w:b/>
          <w:bCs/>
          <w:sz w:val="28"/>
          <w:szCs w:val="28"/>
          <w:u w:val="single"/>
        </w:rPr>
      </w:pPr>
      <w:bookmarkStart w:id="2" w:name="_Toc45733492"/>
      <w:bookmarkStart w:id="3" w:name="_Toc45733507"/>
      <w:bookmarkStart w:id="4" w:name="_Toc45733493"/>
      <w:bookmarkStart w:id="5" w:name="_Toc45733508"/>
      <w:bookmarkStart w:id="6" w:name="_Toc45733494"/>
      <w:bookmarkStart w:id="7" w:name="_Toc45733509"/>
      <w:bookmarkStart w:id="8" w:name="_Toc45733495"/>
      <w:bookmarkStart w:id="9" w:name="_Toc45733510"/>
      <w:bookmarkStart w:id="10" w:name="_Toc45733496"/>
      <w:bookmarkStart w:id="11" w:name="_Toc45733511"/>
      <w:bookmarkStart w:id="12" w:name="_Toc45733497"/>
      <w:bookmarkStart w:id="13" w:name="_Toc45733512"/>
      <w:bookmarkStart w:id="14" w:name="_Toc45733498"/>
      <w:bookmarkStart w:id="15" w:name="_Toc45733513"/>
      <w:bookmarkStart w:id="16" w:name="_Toc45733499"/>
      <w:bookmarkStart w:id="17" w:name="_Toc45733514"/>
      <w:bookmarkStart w:id="18" w:name="_Toc45733500"/>
      <w:bookmarkStart w:id="19" w:name="_Toc45733515"/>
      <w:bookmarkStart w:id="20" w:name="_Toc45733501"/>
      <w:bookmarkStart w:id="21" w:name="_Toc45733516"/>
      <w:bookmarkStart w:id="22" w:name="_Toc4588068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993BB2">
        <w:rPr>
          <w:b/>
          <w:bCs/>
          <w:sz w:val="28"/>
          <w:szCs w:val="28"/>
          <w:u w:val="single"/>
        </w:rPr>
        <w:t>Legal framework for disability rights in the occupied Palestinian territory</w:t>
      </w:r>
      <w:bookmarkEnd w:id="22"/>
    </w:p>
    <w:p w14:paraId="374D6F52" w14:textId="3BA21E48"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As the occupying power in the West Bank, including East Jerusalem, and Gaza, Israel is bound by its duties under international humanitarian law</w:t>
      </w:r>
      <w:r>
        <w:rPr>
          <w:rFonts w:ascii="Calibri" w:hAnsi="Calibri"/>
          <w:sz w:val="24"/>
          <w:szCs w:val="24"/>
          <w:lang w:val="en-GB"/>
        </w:rPr>
        <w:t xml:space="preserve"> in the oPt</w:t>
      </w:r>
      <w:r w:rsidRPr="00B85DD0">
        <w:rPr>
          <w:rFonts w:ascii="Calibri" w:hAnsi="Calibri"/>
          <w:sz w:val="24"/>
          <w:szCs w:val="24"/>
          <w:lang w:val="en-GB"/>
        </w:rPr>
        <w:t xml:space="preserve">. It is concurrently obligated to respect, </w:t>
      </w:r>
      <w:proofErr w:type="gramStart"/>
      <w:r w:rsidRPr="00B85DD0">
        <w:rPr>
          <w:rFonts w:ascii="Calibri" w:hAnsi="Calibri"/>
          <w:sz w:val="24"/>
          <w:szCs w:val="24"/>
          <w:lang w:val="en-GB"/>
        </w:rPr>
        <w:t>protect</w:t>
      </w:r>
      <w:proofErr w:type="gramEnd"/>
      <w:r w:rsidRPr="00B85DD0">
        <w:rPr>
          <w:rFonts w:ascii="Calibri" w:hAnsi="Calibri"/>
          <w:sz w:val="24"/>
          <w:szCs w:val="24"/>
          <w:lang w:val="en-GB"/>
        </w:rPr>
        <w:t xml:space="preserve"> and fulfil the human rights of the local Palestinian population under its effective control in the </w:t>
      </w:r>
      <w:r>
        <w:rPr>
          <w:rFonts w:ascii="Calibri" w:hAnsi="Calibri"/>
          <w:sz w:val="24"/>
          <w:szCs w:val="24"/>
          <w:lang w:val="en-GB"/>
        </w:rPr>
        <w:t>oPt</w:t>
      </w:r>
      <w:r w:rsidRPr="00B85DD0">
        <w:rPr>
          <w:rFonts w:ascii="Calibri" w:hAnsi="Calibri"/>
          <w:sz w:val="24"/>
          <w:szCs w:val="24"/>
          <w:lang w:val="en-GB"/>
        </w:rPr>
        <w:t>, including Palestinians with disabilities.</w:t>
      </w:r>
      <w:r>
        <w:rPr>
          <w:rFonts w:ascii="Calibri" w:hAnsi="Calibri"/>
          <w:sz w:val="24"/>
          <w:szCs w:val="24"/>
          <w:lang w:val="en-GB"/>
        </w:rPr>
        <w:t xml:space="preserve"> </w:t>
      </w:r>
      <w:r w:rsidRPr="00B85DD0">
        <w:rPr>
          <w:rFonts w:ascii="Calibri" w:hAnsi="Calibri"/>
          <w:sz w:val="24"/>
          <w:szCs w:val="24"/>
          <w:lang w:val="en-GB"/>
        </w:rPr>
        <w:t xml:space="preserve">This was </w:t>
      </w:r>
      <w:r w:rsidR="00993BB2">
        <w:rPr>
          <w:rFonts w:ascii="Calibri" w:hAnsi="Calibri"/>
          <w:sz w:val="24"/>
          <w:szCs w:val="24"/>
          <w:lang w:val="en-GB"/>
        </w:rPr>
        <w:t>confirmed</w:t>
      </w:r>
      <w:r w:rsidRPr="00B85DD0">
        <w:rPr>
          <w:rFonts w:ascii="Calibri" w:hAnsi="Calibri"/>
          <w:sz w:val="24"/>
          <w:szCs w:val="24"/>
          <w:lang w:val="en-GB"/>
        </w:rPr>
        <w:t xml:space="preserve"> in the International Court of Justice’s 2004 Advisory Opinion on the Wall in the oPt, which considered that the International Covenant on Civil and Political Rights (ICCPR), the International Covenant on Economic, Social and Cultural Rights (ICESCR) and the Convention on the Rights of the Child (CRC) are applicable in the oPt.</w:t>
      </w:r>
      <w:r w:rsidRPr="00B85DD0">
        <w:rPr>
          <w:vertAlign w:val="superscript"/>
          <w:lang w:val="en-GB"/>
        </w:rPr>
        <w:footnoteReference w:id="3"/>
      </w:r>
      <w:r w:rsidRPr="00B85DD0">
        <w:rPr>
          <w:rFonts w:ascii="Calibri" w:hAnsi="Calibri"/>
          <w:sz w:val="24"/>
          <w:szCs w:val="24"/>
          <w:lang w:val="en-GB"/>
        </w:rPr>
        <w:t xml:space="preserve"> UN treaty bodies have consistently reaffirmed that Israel’s obligations under the international human rights treaties it has ratified apply for the benefit of Palestinians in the oPt and have repeatedly deplored Israel’s </w:t>
      </w:r>
      <w:r w:rsidR="001F47CD">
        <w:rPr>
          <w:rFonts w:ascii="Calibri" w:hAnsi="Calibri"/>
          <w:sz w:val="24"/>
          <w:szCs w:val="24"/>
          <w:lang w:val="en-GB"/>
        </w:rPr>
        <w:t>ongoing</w:t>
      </w:r>
      <w:r w:rsidRPr="00B85DD0">
        <w:rPr>
          <w:rFonts w:ascii="Calibri" w:hAnsi="Calibri"/>
          <w:sz w:val="24"/>
          <w:szCs w:val="24"/>
          <w:lang w:val="en-GB"/>
        </w:rPr>
        <w:t xml:space="preserve"> refusal to accept this applicability.</w:t>
      </w:r>
      <w:r w:rsidRPr="00B85DD0">
        <w:rPr>
          <w:vertAlign w:val="superscript"/>
          <w:lang w:val="en-GB"/>
        </w:rPr>
        <w:footnoteReference w:id="4"/>
      </w:r>
    </w:p>
    <w:p w14:paraId="2F14DC70" w14:textId="1764CAF6" w:rsidR="00A97635" w:rsidRDefault="00A97635">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 xml:space="preserve">Israel ratified the CRPD </w:t>
      </w:r>
      <w:r>
        <w:rPr>
          <w:rFonts w:ascii="Calibri" w:hAnsi="Calibri"/>
          <w:sz w:val="24"/>
          <w:szCs w:val="24"/>
          <w:lang w:val="en-GB"/>
        </w:rPr>
        <w:t>o</w:t>
      </w:r>
      <w:r w:rsidRPr="00B85DD0">
        <w:rPr>
          <w:rFonts w:ascii="Calibri" w:hAnsi="Calibri"/>
          <w:sz w:val="24"/>
          <w:szCs w:val="24"/>
          <w:lang w:val="en-GB"/>
        </w:rPr>
        <w:t>n</w:t>
      </w:r>
      <w:r>
        <w:rPr>
          <w:rFonts w:ascii="Calibri" w:hAnsi="Calibri"/>
          <w:sz w:val="24"/>
          <w:szCs w:val="24"/>
          <w:lang w:val="en-GB"/>
        </w:rPr>
        <w:t xml:space="preserve"> 28 September</w:t>
      </w:r>
      <w:r w:rsidRPr="00B85DD0">
        <w:rPr>
          <w:rFonts w:ascii="Calibri" w:hAnsi="Calibri"/>
          <w:sz w:val="24"/>
          <w:szCs w:val="24"/>
          <w:lang w:val="en-GB"/>
        </w:rPr>
        <w:t xml:space="preserve"> 2012</w:t>
      </w:r>
      <w:r>
        <w:rPr>
          <w:rFonts w:ascii="Calibri" w:hAnsi="Calibri"/>
          <w:sz w:val="24"/>
          <w:szCs w:val="24"/>
          <w:lang w:val="en-GB"/>
        </w:rPr>
        <w:t>.</w:t>
      </w:r>
      <w:r w:rsidRPr="00B85DD0">
        <w:rPr>
          <w:rFonts w:ascii="Calibri" w:hAnsi="Calibri"/>
          <w:sz w:val="24"/>
          <w:szCs w:val="24"/>
          <w:lang w:val="en-GB"/>
        </w:rPr>
        <w:t xml:space="preserve"> It is therefore obligated to </w:t>
      </w:r>
      <w:r>
        <w:rPr>
          <w:rFonts w:ascii="Calibri" w:hAnsi="Calibri"/>
          <w:sz w:val="24"/>
          <w:szCs w:val="24"/>
          <w:lang w:val="en-GB"/>
        </w:rPr>
        <w:t>respect, protect</w:t>
      </w:r>
      <w:r w:rsidRPr="00B85DD0">
        <w:rPr>
          <w:rFonts w:ascii="Calibri" w:hAnsi="Calibri"/>
          <w:sz w:val="24"/>
          <w:szCs w:val="24"/>
          <w:lang w:val="en-GB"/>
        </w:rPr>
        <w:t xml:space="preserve"> and </w:t>
      </w:r>
      <w:r>
        <w:rPr>
          <w:rFonts w:ascii="Calibri" w:hAnsi="Calibri"/>
          <w:sz w:val="24"/>
          <w:szCs w:val="24"/>
          <w:lang w:val="en-GB"/>
        </w:rPr>
        <w:t>fulfil</w:t>
      </w:r>
      <w:r w:rsidRPr="00B85DD0">
        <w:rPr>
          <w:rFonts w:ascii="Calibri" w:hAnsi="Calibri"/>
          <w:sz w:val="24"/>
          <w:szCs w:val="24"/>
          <w:lang w:val="en-GB"/>
        </w:rPr>
        <w:t xml:space="preserve"> the rights of all persons with disabilities, including Palestinians under its effective control in the West Bank, including East Jerusalem, and Gaza.</w:t>
      </w:r>
      <w:r w:rsidRPr="00B85DD0">
        <w:rPr>
          <w:rFonts w:ascii="Calibri" w:hAnsi="Calibri"/>
          <w:sz w:val="24"/>
          <w:szCs w:val="24"/>
          <w:vertAlign w:val="superscript"/>
          <w:lang w:val="en-GB"/>
        </w:rPr>
        <w:footnoteReference w:id="5"/>
      </w:r>
      <w:r w:rsidRPr="00B85DD0">
        <w:rPr>
          <w:rFonts w:ascii="Calibri" w:hAnsi="Calibri"/>
          <w:sz w:val="24"/>
          <w:szCs w:val="24"/>
          <w:lang w:val="en-GB"/>
        </w:rPr>
        <w:t xml:space="preserve"> The Geneva Academy has emphasised, </w:t>
      </w:r>
      <w:r w:rsidRPr="00B85DD0">
        <w:rPr>
          <w:rFonts w:ascii="Calibri" w:hAnsi="Calibri"/>
          <w:i/>
          <w:iCs/>
          <w:sz w:val="24"/>
          <w:szCs w:val="24"/>
          <w:lang w:val="en-GB"/>
        </w:rPr>
        <w:t>“a prolonged occupation will lead to high expectations with regard to fulfilling the occupied population’s human rights, including those contained in the CRPD.”</w:t>
      </w:r>
      <w:r w:rsidRPr="00B85DD0">
        <w:rPr>
          <w:rFonts w:ascii="Calibri" w:hAnsi="Calibri"/>
          <w:sz w:val="24"/>
          <w:szCs w:val="24"/>
          <w:vertAlign w:val="superscript"/>
          <w:lang w:val="en-GB"/>
        </w:rPr>
        <w:footnoteReference w:id="6"/>
      </w:r>
      <w:r>
        <w:rPr>
          <w:rFonts w:ascii="Calibri" w:hAnsi="Calibri"/>
          <w:i/>
          <w:iCs/>
          <w:sz w:val="24"/>
          <w:szCs w:val="24"/>
          <w:lang w:val="en-GB"/>
        </w:rPr>
        <w:t xml:space="preserve"> </w:t>
      </w:r>
      <w:r w:rsidRPr="00B85DD0">
        <w:rPr>
          <w:rFonts w:ascii="Calibri" w:hAnsi="Calibri"/>
          <w:sz w:val="24"/>
          <w:szCs w:val="24"/>
          <w:lang w:val="en-GB"/>
        </w:rPr>
        <w:t xml:space="preserve">The State of Palestine also ratified the CRPD in 2014. Israel’s continuing status as an occupying power limits the State of Palestine’s effective control over its own territory and its </w:t>
      </w:r>
      <w:r>
        <w:rPr>
          <w:rFonts w:ascii="Calibri" w:hAnsi="Calibri"/>
          <w:sz w:val="24"/>
          <w:szCs w:val="24"/>
          <w:lang w:val="en-GB"/>
        </w:rPr>
        <w:t>ability</w:t>
      </w:r>
      <w:r w:rsidRPr="00B85DD0">
        <w:rPr>
          <w:rFonts w:ascii="Calibri" w:hAnsi="Calibri"/>
          <w:sz w:val="24"/>
          <w:szCs w:val="24"/>
          <w:lang w:val="en-GB"/>
        </w:rPr>
        <w:t xml:space="preserve"> to </w:t>
      </w:r>
      <w:r>
        <w:rPr>
          <w:rFonts w:ascii="Calibri" w:hAnsi="Calibri"/>
          <w:sz w:val="24"/>
          <w:szCs w:val="24"/>
          <w:lang w:val="en-GB"/>
        </w:rPr>
        <w:t>fully realise</w:t>
      </w:r>
      <w:r w:rsidRPr="00B85DD0">
        <w:rPr>
          <w:rFonts w:ascii="Calibri" w:hAnsi="Calibri"/>
          <w:sz w:val="24"/>
          <w:szCs w:val="24"/>
          <w:lang w:val="en-GB"/>
        </w:rPr>
        <w:t xml:space="preserve"> the rights of persons with disabilities</w:t>
      </w:r>
      <w:r>
        <w:rPr>
          <w:rFonts w:ascii="Calibri" w:hAnsi="Calibri"/>
          <w:sz w:val="24"/>
          <w:szCs w:val="24"/>
          <w:lang w:val="en-GB"/>
        </w:rPr>
        <w:t xml:space="preserve"> under its jurisdiction</w:t>
      </w:r>
      <w:r w:rsidRPr="00B85DD0">
        <w:rPr>
          <w:rFonts w:ascii="Calibri" w:hAnsi="Calibri"/>
          <w:sz w:val="24"/>
          <w:szCs w:val="24"/>
          <w:lang w:val="en-GB"/>
        </w:rPr>
        <w:t>.</w:t>
      </w:r>
      <w:r>
        <w:rPr>
          <w:rFonts w:ascii="Calibri" w:hAnsi="Calibri"/>
          <w:sz w:val="24"/>
          <w:szCs w:val="24"/>
          <w:lang w:val="en-GB"/>
        </w:rPr>
        <w:t xml:space="preserve"> </w:t>
      </w:r>
      <w:r w:rsidRPr="00B85DD0">
        <w:rPr>
          <w:rFonts w:ascii="Calibri" w:hAnsi="Calibri"/>
          <w:sz w:val="24"/>
          <w:szCs w:val="24"/>
          <w:lang w:val="en-GB"/>
        </w:rPr>
        <w:t xml:space="preserve">A failure to recognise </w:t>
      </w:r>
      <w:r w:rsidRPr="00B85DD0">
        <w:rPr>
          <w:rFonts w:ascii="Calibri" w:hAnsi="Calibri"/>
          <w:sz w:val="24"/>
          <w:szCs w:val="24"/>
          <w:lang w:val="en-GB"/>
        </w:rPr>
        <w:lastRenderedPageBreak/>
        <w:t>Israel</w:t>
      </w:r>
      <w:r>
        <w:rPr>
          <w:rFonts w:ascii="Calibri" w:hAnsi="Calibri"/>
          <w:sz w:val="24"/>
          <w:szCs w:val="24"/>
          <w:lang w:val="en-GB"/>
        </w:rPr>
        <w:t>’</w:t>
      </w:r>
      <w:r w:rsidRPr="00B85DD0">
        <w:rPr>
          <w:rFonts w:ascii="Calibri" w:hAnsi="Calibri"/>
          <w:sz w:val="24"/>
          <w:szCs w:val="24"/>
          <w:lang w:val="en-GB"/>
        </w:rPr>
        <w:t>s obligations</w:t>
      </w:r>
      <w:r>
        <w:rPr>
          <w:rFonts w:ascii="Calibri" w:hAnsi="Calibri"/>
          <w:sz w:val="24"/>
          <w:szCs w:val="24"/>
          <w:lang w:val="en-GB"/>
        </w:rPr>
        <w:t>, as occupying power, under the CRPD</w:t>
      </w:r>
      <w:r w:rsidRPr="00B85DD0">
        <w:rPr>
          <w:rFonts w:ascii="Calibri" w:hAnsi="Calibri"/>
          <w:sz w:val="24"/>
          <w:szCs w:val="24"/>
          <w:lang w:val="en-GB"/>
        </w:rPr>
        <w:t xml:space="preserve"> in the oPt would open Palestinians with disabilities to an unacceptable lacuna in rights protections.</w:t>
      </w:r>
    </w:p>
    <w:p w14:paraId="08C8D0D2" w14:textId="3B0A9C74" w:rsidR="00E065B0" w:rsidRPr="00B85DD0" w:rsidRDefault="00E065B0" w:rsidP="00B85DD0">
      <w:pPr>
        <w:pStyle w:val="ListParagraph"/>
        <w:numPr>
          <w:ilvl w:val="0"/>
          <w:numId w:val="7"/>
        </w:numPr>
        <w:spacing w:after="240" w:line="276" w:lineRule="auto"/>
        <w:ind w:left="425" w:hanging="425"/>
        <w:contextualSpacing w:val="0"/>
        <w:jc w:val="both"/>
        <w:rPr>
          <w:rFonts w:ascii="Calibri" w:hAnsi="Calibri"/>
          <w:b/>
          <w:bCs/>
          <w:sz w:val="24"/>
          <w:szCs w:val="24"/>
          <w:lang w:val="en-GB"/>
        </w:rPr>
      </w:pPr>
      <w:r w:rsidRPr="00C667AD">
        <w:rPr>
          <w:rFonts w:ascii="Calibri" w:hAnsi="Calibri"/>
          <w:b/>
          <w:bCs/>
          <w:sz w:val="24"/>
          <w:szCs w:val="24"/>
          <w:lang w:val="en-GB"/>
        </w:rPr>
        <w:t>Can the State Party evidence and explain the steps taken to respect and fulfil the rights of people with disabilities under its effective control in the occupied Palestinian territory?</w:t>
      </w:r>
    </w:p>
    <w:p w14:paraId="2CC4953F" w14:textId="56DB62BB" w:rsidR="00A97635" w:rsidRPr="00993BB2" w:rsidRDefault="00A97635" w:rsidP="00B85DD0">
      <w:pPr>
        <w:pStyle w:val="Heading1"/>
        <w:rPr>
          <w:b/>
          <w:bCs/>
          <w:sz w:val="28"/>
          <w:szCs w:val="28"/>
          <w:u w:val="single"/>
        </w:rPr>
      </w:pPr>
      <w:bookmarkStart w:id="23" w:name="_Toc45880685"/>
      <w:r w:rsidRPr="00993BB2">
        <w:rPr>
          <w:b/>
          <w:bCs/>
          <w:sz w:val="28"/>
          <w:szCs w:val="28"/>
          <w:u w:val="single"/>
        </w:rPr>
        <w:t>Barriers to disability rights in the occupied Palestinian territory</w:t>
      </w:r>
      <w:bookmarkEnd w:id="23"/>
    </w:p>
    <w:p w14:paraId="4749DDC3" w14:textId="7D7AD0B1" w:rsidR="00A97635" w:rsidRPr="00B85DD0" w:rsidRDefault="00A97635" w:rsidP="00B85DD0">
      <w:pPr>
        <w:pStyle w:val="ListParagraph"/>
        <w:spacing w:after="240" w:line="276" w:lineRule="auto"/>
        <w:ind w:left="425"/>
        <w:contextualSpacing w:val="0"/>
        <w:jc w:val="both"/>
        <w:rPr>
          <w:rFonts w:ascii="Calibri" w:hAnsi="Calibri"/>
          <w:sz w:val="24"/>
          <w:szCs w:val="24"/>
          <w:lang w:val="en-GB"/>
        </w:rPr>
      </w:pPr>
      <w:r w:rsidRPr="00B85DD0">
        <w:rPr>
          <w:rFonts w:ascii="Calibri" w:hAnsi="Calibri"/>
          <w:sz w:val="24"/>
          <w:szCs w:val="24"/>
          <w:lang w:val="en-GB"/>
        </w:rPr>
        <w:t xml:space="preserve">The policies and practices of Israel in its prolonged occupation of Palestinian territory and its illegal closure and blockade of Gaza obstruct Palestinians with disabilities from the full enjoyment of their rights, in contravention of the </w:t>
      </w:r>
      <w:r>
        <w:rPr>
          <w:rFonts w:ascii="Calibri" w:hAnsi="Calibri"/>
          <w:sz w:val="24"/>
          <w:szCs w:val="24"/>
          <w:lang w:val="en-GB"/>
        </w:rPr>
        <w:t xml:space="preserve">object and purpose of the </w:t>
      </w:r>
      <w:r w:rsidRPr="00B85DD0">
        <w:rPr>
          <w:rFonts w:ascii="Calibri" w:hAnsi="Calibri"/>
          <w:sz w:val="24"/>
          <w:szCs w:val="24"/>
          <w:lang w:val="en-GB"/>
        </w:rPr>
        <w:t>CRPD.</w:t>
      </w:r>
      <w:r>
        <w:rPr>
          <w:rFonts w:ascii="Calibri" w:hAnsi="Calibri"/>
          <w:sz w:val="24"/>
          <w:szCs w:val="24"/>
          <w:lang w:val="en-GB"/>
        </w:rPr>
        <w:t xml:space="preserve"> </w:t>
      </w:r>
      <w:r w:rsidRPr="00B85DD0">
        <w:rPr>
          <w:rFonts w:ascii="Calibri" w:hAnsi="Calibri"/>
          <w:sz w:val="24"/>
          <w:szCs w:val="24"/>
          <w:lang w:val="en-GB"/>
        </w:rPr>
        <w:t>According to the Palestinian Central Bureau of Statistics, 255,224 Palestinians have a disability in the oPt, comprising 6.8% of the population in Gaza and 5% in the West Bank.</w:t>
      </w:r>
      <w:r w:rsidRPr="00B85DD0">
        <w:rPr>
          <w:vertAlign w:val="superscript"/>
          <w:lang w:val="en-GB"/>
        </w:rPr>
        <w:footnoteReference w:id="7"/>
      </w:r>
      <w:r w:rsidRPr="00B85DD0">
        <w:rPr>
          <w:rFonts w:ascii="Calibri" w:hAnsi="Calibri"/>
          <w:sz w:val="24"/>
          <w:szCs w:val="24"/>
          <w:lang w:val="en-GB"/>
        </w:rPr>
        <w:t xml:space="preserve"> One fifth of Palestinians with disabilities are children.</w:t>
      </w:r>
      <w:r w:rsidRPr="00B85DD0">
        <w:rPr>
          <w:vertAlign w:val="superscript"/>
          <w:lang w:val="en-GB"/>
        </w:rPr>
        <w:footnoteReference w:id="8"/>
      </w:r>
    </w:p>
    <w:p w14:paraId="7B0D7360" w14:textId="6BA52077"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The occupation and tightening closure detrimentally impact the employment opportunities of Palestinians with disabilities. In Gaza, people with disabilities are disproportionately affected by the poor socio-economic conditions largely caused by the illegal and intensified closure imposed by Israel since 2007,</w:t>
      </w:r>
      <w:r w:rsidRPr="00B85DD0">
        <w:rPr>
          <w:rFonts w:ascii="Calibri" w:hAnsi="Calibri"/>
          <w:sz w:val="24"/>
          <w:szCs w:val="24"/>
          <w:vertAlign w:val="superscript"/>
        </w:rPr>
        <w:footnoteReference w:id="9"/>
      </w:r>
      <w:r w:rsidRPr="00B85DD0">
        <w:rPr>
          <w:rFonts w:ascii="Calibri" w:hAnsi="Calibri"/>
          <w:sz w:val="24"/>
          <w:szCs w:val="24"/>
          <w:lang w:val="en-GB"/>
        </w:rPr>
        <w:t xml:space="preserve"> which is a driver of humanitarian needs and economic near-collapse in Gaza. MAP’s assessment is that the UN’s warning since 2012 that Gaza would be unliveable by 2020 has indeed come true.</w:t>
      </w:r>
      <w:r w:rsidRPr="00B85DD0">
        <w:rPr>
          <w:rFonts w:ascii="Calibri" w:hAnsi="Calibri"/>
          <w:sz w:val="24"/>
          <w:szCs w:val="24"/>
          <w:vertAlign w:val="superscript"/>
        </w:rPr>
        <w:footnoteReference w:id="10"/>
      </w:r>
      <w:r w:rsidRPr="00B85DD0">
        <w:rPr>
          <w:rFonts w:ascii="Calibri" w:hAnsi="Calibri"/>
          <w:sz w:val="24"/>
          <w:szCs w:val="24"/>
          <w:lang w:val="en-GB"/>
        </w:rPr>
        <w:t xml:space="preserve"> Some 96% of aquifer water is undrinkable.</w:t>
      </w:r>
      <w:r w:rsidRPr="00B85DD0">
        <w:rPr>
          <w:rFonts w:ascii="Calibri" w:hAnsi="Calibri"/>
          <w:sz w:val="24"/>
          <w:szCs w:val="24"/>
          <w:vertAlign w:val="superscript"/>
        </w:rPr>
        <w:footnoteReference w:id="11"/>
      </w:r>
      <w:r w:rsidRPr="00B85DD0">
        <w:rPr>
          <w:rFonts w:ascii="Calibri" w:hAnsi="Calibri"/>
          <w:sz w:val="24"/>
          <w:szCs w:val="24"/>
          <w:lang w:val="en-GB"/>
        </w:rPr>
        <w:t xml:space="preserve"> Almost half of the population (46%) lives below poverty line and many residents struggle to afford nutritious food, with 62% of households food insecure.</w:t>
      </w:r>
      <w:r w:rsidRPr="00B85DD0">
        <w:rPr>
          <w:rFonts w:ascii="Calibri" w:hAnsi="Calibri"/>
          <w:sz w:val="24"/>
          <w:szCs w:val="24"/>
          <w:vertAlign w:val="superscript"/>
        </w:rPr>
        <w:footnoteReference w:id="12"/>
      </w:r>
      <w:r w:rsidRPr="00B85DD0">
        <w:rPr>
          <w:rFonts w:ascii="Calibri" w:hAnsi="Calibri"/>
          <w:sz w:val="24"/>
          <w:szCs w:val="24"/>
          <w:lang w:val="en-GB"/>
        </w:rPr>
        <w:t xml:space="preserve"> UN OCHA has stated that people with disabilities in Gaza </w:t>
      </w:r>
      <w:r w:rsidRPr="001F47CD">
        <w:rPr>
          <w:rFonts w:ascii="Calibri" w:hAnsi="Calibri"/>
          <w:i/>
          <w:iCs/>
          <w:sz w:val="24"/>
          <w:szCs w:val="24"/>
          <w:lang w:val="en-GB"/>
        </w:rPr>
        <w:t>“are among the most vulnerable groups in a society already in crisis.”</w:t>
      </w:r>
      <w:r w:rsidRPr="00B85DD0">
        <w:rPr>
          <w:rFonts w:ascii="Calibri" w:hAnsi="Calibri"/>
          <w:sz w:val="24"/>
          <w:szCs w:val="24"/>
          <w:vertAlign w:val="superscript"/>
          <w:lang w:val="en-GB"/>
        </w:rPr>
        <w:footnoteReference w:id="13"/>
      </w:r>
      <w:r w:rsidRPr="00B85DD0">
        <w:rPr>
          <w:rFonts w:ascii="Calibri" w:hAnsi="Calibri"/>
          <w:sz w:val="24"/>
          <w:szCs w:val="24"/>
          <w:lang w:val="en-GB"/>
        </w:rPr>
        <w:t xml:space="preserve"> Unemployment reached 47% in 2019, with unemployment amongst people disabilities recorded as high as 90%.</w:t>
      </w:r>
      <w:r w:rsidRPr="00B85DD0">
        <w:rPr>
          <w:rFonts w:ascii="Calibri" w:hAnsi="Calibri"/>
          <w:sz w:val="24"/>
          <w:szCs w:val="24"/>
          <w:vertAlign w:val="superscript"/>
          <w:lang w:val="en-GB"/>
        </w:rPr>
        <w:footnoteReference w:id="14"/>
      </w:r>
    </w:p>
    <w:p w14:paraId="77B34E69" w14:textId="38DB7356"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lastRenderedPageBreak/>
        <w:t>Limited electricity supply and frequent power cuts impede the rights of Palestinians with disability in Gaza, for instance preventing those with physical disabilities from using lifts to exit their homes and charging electrical wheelchairs. Those with hearing impairments also find it difficult to charge their hearing aids, limiting their ability to communicate with family and friends.</w:t>
      </w:r>
    </w:p>
    <w:p w14:paraId="2DE8F6B8" w14:textId="6CCCA708" w:rsidR="00E065B0" w:rsidRDefault="00E065B0">
      <w:pPr>
        <w:pStyle w:val="ListParagraph"/>
        <w:numPr>
          <w:ilvl w:val="0"/>
          <w:numId w:val="7"/>
        </w:numPr>
        <w:spacing w:after="240" w:line="276" w:lineRule="auto"/>
        <w:ind w:left="425" w:hanging="425"/>
        <w:contextualSpacing w:val="0"/>
        <w:jc w:val="both"/>
        <w:rPr>
          <w:rFonts w:ascii="Calibri" w:hAnsi="Calibri"/>
          <w:b/>
          <w:bCs/>
          <w:sz w:val="24"/>
          <w:szCs w:val="24"/>
          <w:lang w:val="en-GB"/>
        </w:rPr>
      </w:pPr>
      <w:r>
        <w:rPr>
          <w:rFonts w:ascii="Calibri" w:hAnsi="Calibri"/>
          <w:b/>
          <w:bCs/>
          <w:sz w:val="24"/>
          <w:szCs w:val="24"/>
          <w:lang w:val="en-GB"/>
        </w:rPr>
        <w:t>W</w:t>
      </w:r>
      <w:r w:rsidRPr="00E065B0">
        <w:rPr>
          <w:rFonts w:ascii="Calibri" w:hAnsi="Calibri"/>
          <w:b/>
          <w:bCs/>
          <w:sz w:val="24"/>
          <w:szCs w:val="24"/>
          <w:lang w:val="en-GB"/>
        </w:rPr>
        <w:t xml:space="preserve">hat steps </w:t>
      </w:r>
      <w:r w:rsidR="00E62EAE">
        <w:rPr>
          <w:rFonts w:ascii="Calibri" w:hAnsi="Calibri"/>
          <w:b/>
          <w:bCs/>
          <w:sz w:val="24"/>
          <w:szCs w:val="24"/>
          <w:lang w:val="en-GB"/>
        </w:rPr>
        <w:t>has the State Party</w:t>
      </w:r>
      <w:r w:rsidRPr="00E065B0">
        <w:rPr>
          <w:rFonts w:ascii="Calibri" w:hAnsi="Calibri"/>
          <w:b/>
          <w:bCs/>
          <w:sz w:val="24"/>
          <w:szCs w:val="24"/>
          <w:lang w:val="en-GB"/>
        </w:rPr>
        <w:t xml:space="preserve"> tak</w:t>
      </w:r>
      <w:r w:rsidR="00E62EAE">
        <w:rPr>
          <w:rFonts w:ascii="Calibri" w:hAnsi="Calibri"/>
          <w:b/>
          <w:bCs/>
          <w:sz w:val="24"/>
          <w:szCs w:val="24"/>
          <w:lang w:val="en-GB"/>
        </w:rPr>
        <w:t>en</w:t>
      </w:r>
      <w:r w:rsidRPr="00E065B0">
        <w:rPr>
          <w:rFonts w:ascii="Calibri" w:hAnsi="Calibri"/>
          <w:b/>
          <w:bCs/>
          <w:sz w:val="24"/>
          <w:szCs w:val="24"/>
          <w:lang w:val="en-GB"/>
        </w:rPr>
        <w:t xml:space="preserve"> to remove barriers to the full realisation of </w:t>
      </w:r>
      <w:r w:rsidR="00E62EAE" w:rsidRPr="00E62EAE">
        <w:rPr>
          <w:rFonts w:ascii="Calibri" w:hAnsi="Calibri"/>
          <w:b/>
          <w:bCs/>
          <w:sz w:val="24"/>
          <w:szCs w:val="24"/>
          <w:lang w:val="en-GB"/>
        </w:rPr>
        <w:t>the rights of people with disabilities</w:t>
      </w:r>
      <w:r w:rsidR="00E62EAE">
        <w:rPr>
          <w:rFonts w:ascii="Calibri" w:hAnsi="Calibri"/>
          <w:b/>
          <w:bCs/>
          <w:sz w:val="24"/>
          <w:szCs w:val="24"/>
          <w:lang w:val="en-GB"/>
        </w:rPr>
        <w:t>,</w:t>
      </w:r>
      <w:r w:rsidR="00E62EAE" w:rsidRPr="00E62EAE">
        <w:rPr>
          <w:rFonts w:ascii="Calibri" w:hAnsi="Calibri"/>
          <w:b/>
          <w:bCs/>
          <w:sz w:val="24"/>
          <w:szCs w:val="24"/>
          <w:lang w:val="en-GB"/>
        </w:rPr>
        <w:t xml:space="preserve"> </w:t>
      </w:r>
      <w:r w:rsidR="00E62EAE">
        <w:rPr>
          <w:rFonts w:ascii="Calibri" w:hAnsi="Calibri"/>
          <w:b/>
          <w:bCs/>
          <w:sz w:val="24"/>
          <w:szCs w:val="24"/>
          <w:lang w:val="en-GB"/>
        </w:rPr>
        <w:t xml:space="preserve">as enshrined in the </w:t>
      </w:r>
      <w:r w:rsidRPr="00E065B0">
        <w:rPr>
          <w:rFonts w:ascii="Calibri" w:hAnsi="Calibri"/>
          <w:b/>
          <w:bCs/>
          <w:sz w:val="24"/>
          <w:szCs w:val="24"/>
          <w:lang w:val="en-GB"/>
        </w:rPr>
        <w:t>CRPD</w:t>
      </w:r>
      <w:r w:rsidR="00E62EAE">
        <w:rPr>
          <w:rFonts w:ascii="Calibri" w:hAnsi="Calibri"/>
          <w:b/>
          <w:bCs/>
          <w:sz w:val="24"/>
          <w:szCs w:val="24"/>
          <w:lang w:val="en-GB"/>
        </w:rPr>
        <w:t>,</w:t>
      </w:r>
      <w:r w:rsidRPr="00E065B0">
        <w:rPr>
          <w:rFonts w:ascii="Calibri" w:hAnsi="Calibri"/>
          <w:b/>
          <w:bCs/>
          <w:sz w:val="24"/>
          <w:szCs w:val="24"/>
          <w:lang w:val="en-GB"/>
        </w:rPr>
        <w:t xml:space="preserve"> in the oPt, including Gaza</w:t>
      </w:r>
      <w:r w:rsidR="00E62EAE">
        <w:rPr>
          <w:rFonts w:ascii="Calibri" w:hAnsi="Calibri"/>
          <w:b/>
          <w:bCs/>
          <w:sz w:val="24"/>
          <w:szCs w:val="24"/>
          <w:lang w:val="en-GB"/>
        </w:rPr>
        <w:t>?</w:t>
      </w:r>
    </w:p>
    <w:p w14:paraId="40A3169C" w14:textId="769FE2FA" w:rsidR="00E065B0" w:rsidRPr="00B85DD0" w:rsidRDefault="00E065B0" w:rsidP="00B85DD0">
      <w:pPr>
        <w:pStyle w:val="ListParagraph"/>
        <w:numPr>
          <w:ilvl w:val="0"/>
          <w:numId w:val="7"/>
        </w:numPr>
        <w:spacing w:after="240" w:line="276" w:lineRule="auto"/>
        <w:ind w:left="425" w:hanging="425"/>
        <w:contextualSpacing w:val="0"/>
        <w:jc w:val="both"/>
        <w:rPr>
          <w:rFonts w:ascii="Calibri" w:hAnsi="Calibri"/>
          <w:b/>
          <w:bCs/>
          <w:sz w:val="24"/>
          <w:szCs w:val="24"/>
          <w:lang w:val="en-GB"/>
        </w:rPr>
      </w:pPr>
      <w:r w:rsidRPr="00E065B0">
        <w:rPr>
          <w:rFonts w:ascii="Calibri" w:hAnsi="Calibri"/>
          <w:b/>
          <w:bCs/>
          <w:sz w:val="24"/>
          <w:szCs w:val="24"/>
          <w:lang w:val="en-GB"/>
        </w:rPr>
        <w:t>What steps has the State Party taken to lift the closure and blockade on Gaza with immediate effect, as recommended by the UN C</w:t>
      </w:r>
      <w:r>
        <w:rPr>
          <w:rFonts w:ascii="Calibri" w:hAnsi="Calibri"/>
          <w:b/>
          <w:bCs/>
          <w:sz w:val="24"/>
          <w:szCs w:val="24"/>
          <w:lang w:val="en-GB"/>
        </w:rPr>
        <w:t>ommission of Inquiry into the Gaza protests</w:t>
      </w:r>
      <w:r w:rsidRPr="00E065B0">
        <w:rPr>
          <w:rFonts w:ascii="Calibri" w:hAnsi="Calibri"/>
          <w:b/>
          <w:bCs/>
          <w:sz w:val="24"/>
          <w:szCs w:val="24"/>
          <w:lang w:val="en-GB"/>
        </w:rPr>
        <w:t xml:space="preserve">, UN treaty bodies, and most recently the UN Special Rapporteur </w:t>
      </w:r>
      <w:r>
        <w:rPr>
          <w:rFonts w:ascii="Calibri" w:hAnsi="Calibri"/>
          <w:b/>
          <w:bCs/>
          <w:sz w:val="24"/>
          <w:szCs w:val="24"/>
          <w:lang w:val="en-GB"/>
        </w:rPr>
        <w:t>for Human Rights in the Occupied Palestinian territory</w:t>
      </w:r>
      <w:r w:rsidRPr="00E065B0">
        <w:rPr>
          <w:rFonts w:ascii="Calibri" w:hAnsi="Calibri"/>
          <w:b/>
          <w:bCs/>
          <w:sz w:val="24"/>
          <w:szCs w:val="24"/>
          <w:lang w:val="en-GB"/>
        </w:rPr>
        <w:t xml:space="preserve"> in his </w:t>
      </w:r>
      <w:r>
        <w:rPr>
          <w:rFonts w:ascii="Calibri" w:hAnsi="Calibri"/>
          <w:b/>
          <w:bCs/>
          <w:sz w:val="24"/>
          <w:szCs w:val="24"/>
          <w:lang w:val="en-GB"/>
        </w:rPr>
        <w:t xml:space="preserve">report on </w:t>
      </w:r>
      <w:r w:rsidRPr="00E065B0">
        <w:rPr>
          <w:rFonts w:ascii="Calibri" w:hAnsi="Calibri"/>
          <w:b/>
          <w:bCs/>
          <w:sz w:val="24"/>
          <w:szCs w:val="24"/>
          <w:lang w:val="en-GB"/>
        </w:rPr>
        <w:t>collective punishment?</w:t>
      </w:r>
      <w:r w:rsidR="00B85DD0" w:rsidRPr="00B85DD0">
        <w:rPr>
          <w:rStyle w:val="FootnoteReference"/>
          <w:b/>
          <w:bCs/>
          <w:szCs w:val="24"/>
          <w:vertAlign w:val="superscript"/>
          <w:lang w:val="en-GB"/>
        </w:rPr>
        <w:footnoteReference w:id="15"/>
      </w:r>
    </w:p>
    <w:p w14:paraId="402D675A" w14:textId="7EFB87AB" w:rsidR="00A97635" w:rsidRPr="00993BB2" w:rsidRDefault="00A97635" w:rsidP="00B85DD0">
      <w:pPr>
        <w:pStyle w:val="Heading1"/>
        <w:rPr>
          <w:b/>
          <w:bCs/>
          <w:sz w:val="28"/>
          <w:szCs w:val="28"/>
          <w:u w:val="single"/>
        </w:rPr>
      </w:pPr>
      <w:bookmarkStart w:id="24" w:name="_Toc45880686"/>
      <w:r w:rsidRPr="00993BB2">
        <w:rPr>
          <w:b/>
          <w:bCs/>
          <w:sz w:val="28"/>
          <w:szCs w:val="28"/>
          <w:u w:val="single"/>
        </w:rPr>
        <w:t>Inadequate protection during hostilities and excessive use of force</w:t>
      </w:r>
      <w:bookmarkEnd w:id="24"/>
    </w:p>
    <w:p w14:paraId="2806B654" w14:textId="0917BA94"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 xml:space="preserve">During its military offensive on Gaza in 2014, Israel failed to take </w:t>
      </w:r>
      <w:r w:rsidRPr="00B85DD0">
        <w:rPr>
          <w:rFonts w:ascii="Calibri" w:hAnsi="Calibri"/>
          <w:i/>
          <w:iCs/>
          <w:sz w:val="24"/>
          <w:szCs w:val="24"/>
          <w:lang w:val="en-GB"/>
        </w:rPr>
        <w:t>“all necessary measures to ensure the protection and safety of persons with disabilities in situations of risk, including situations of armed conflict”</w:t>
      </w:r>
      <w:r w:rsidRPr="00B85DD0">
        <w:rPr>
          <w:rFonts w:ascii="Calibri" w:hAnsi="Calibri"/>
          <w:sz w:val="24"/>
          <w:szCs w:val="24"/>
          <w:lang w:val="en-GB"/>
        </w:rPr>
        <w:t xml:space="preserve"> as per its obligations under international humanitarian and human rights law as outlined in Article 11</w:t>
      </w:r>
      <w:r w:rsidRPr="00707DC8">
        <w:rPr>
          <w:rFonts w:ascii="Calibri" w:hAnsi="Calibri"/>
          <w:sz w:val="24"/>
          <w:szCs w:val="24"/>
          <w:lang w:val="en-GB"/>
        </w:rPr>
        <w:t xml:space="preserve"> </w:t>
      </w:r>
      <w:r>
        <w:rPr>
          <w:rFonts w:ascii="Calibri" w:hAnsi="Calibri"/>
          <w:sz w:val="24"/>
          <w:szCs w:val="24"/>
          <w:lang w:val="en-GB"/>
        </w:rPr>
        <w:t xml:space="preserve">of the </w:t>
      </w:r>
      <w:r w:rsidRPr="00C32F08">
        <w:rPr>
          <w:rFonts w:ascii="Calibri" w:hAnsi="Calibri"/>
          <w:sz w:val="24"/>
          <w:szCs w:val="24"/>
          <w:lang w:val="en-GB"/>
        </w:rPr>
        <w:t>CRPD</w:t>
      </w:r>
      <w:r w:rsidRPr="00B85DD0">
        <w:rPr>
          <w:rFonts w:ascii="Calibri" w:hAnsi="Calibri"/>
          <w:sz w:val="24"/>
          <w:szCs w:val="24"/>
          <w:lang w:val="en-GB"/>
        </w:rPr>
        <w:t xml:space="preserve">. During the offensive, Palestinians with disabilities </w:t>
      </w:r>
      <w:r>
        <w:rPr>
          <w:rFonts w:ascii="Calibri" w:hAnsi="Calibri"/>
          <w:sz w:val="24"/>
          <w:szCs w:val="24"/>
          <w:lang w:val="en-GB"/>
        </w:rPr>
        <w:t>–</w:t>
      </w:r>
      <w:r w:rsidRPr="00B85DD0">
        <w:rPr>
          <w:rFonts w:ascii="Calibri" w:hAnsi="Calibri"/>
          <w:sz w:val="24"/>
          <w:szCs w:val="24"/>
          <w:lang w:val="en-GB"/>
        </w:rPr>
        <w:t xml:space="preserve"> including those with mobility restrictions, hearing and visual impairments </w:t>
      </w:r>
      <w:r>
        <w:rPr>
          <w:rFonts w:ascii="Calibri" w:hAnsi="Calibri"/>
          <w:sz w:val="24"/>
          <w:szCs w:val="24"/>
          <w:lang w:val="en-GB"/>
        </w:rPr>
        <w:t>–</w:t>
      </w:r>
      <w:r w:rsidRPr="00B85DD0">
        <w:rPr>
          <w:rFonts w:ascii="Calibri" w:hAnsi="Calibri"/>
          <w:sz w:val="24"/>
          <w:szCs w:val="24"/>
          <w:lang w:val="en-GB"/>
        </w:rPr>
        <w:t xml:space="preserve"> had severe difficulty evacuating civilian buildings under attack, increasing their risk of injury and death. When preliminary warnings were given by Israel, these were not effective or advanced enough for individuals with disabilities to evacuate safely. In some circumstances people with disabilities had to be left in their homes, as family members were unable to evacuate them. One of MAP’s beneficiaries, a 17-year-old girl with a physical disability, died from smoke inhalation after being unable to be safely evacuated from her family house during an Israeli military attack on Gaza’s Middle Area on 13 August 2014. She died in hospital four days after the attack.</w:t>
      </w:r>
      <w:r w:rsidRPr="00B85DD0">
        <w:rPr>
          <w:rFonts w:ascii="Calibri" w:hAnsi="Calibri"/>
          <w:sz w:val="24"/>
          <w:szCs w:val="24"/>
          <w:vertAlign w:val="superscript"/>
          <w:lang w:val="en-GB"/>
        </w:rPr>
        <w:footnoteReference w:id="16"/>
      </w:r>
    </w:p>
    <w:p w14:paraId="5B0234DB" w14:textId="2FA6BC01"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According to the Disability Representative Bodies Network, during the 2014 military offensive on Gaza, Israeli forces killed 23 people with disabilities and injured approximately 50, and 2,204 Palestinians with disabilities were forcibly displaced. Five centres for people with disabilities were attacked, leaving them partially or completely destroyed.</w:t>
      </w:r>
      <w:r w:rsidRPr="00B85DD0">
        <w:rPr>
          <w:rFonts w:ascii="Calibri" w:hAnsi="Calibri"/>
          <w:sz w:val="24"/>
          <w:szCs w:val="24"/>
          <w:vertAlign w:val="superscript"/>
        </w:rPr>
        <w:footnoteReference w:id="17"/>
      </w:r>
      <w:r w:rsidRPr="00B85DD0">
        <w:rPr>
          <w:rFonts w:ascii="Calibri" w:hAnsi="Calibri"/>
          <w:sz w:val="24"/>
          <w:szCs w:val="24"/>
          <w:lang w:val="en-GB"/>
        </w:rPr>
        <w:t xml:space="preserve"> The </w:t>
      </w:r>
      <w:proofErr w:type="spellStart"/>
      <w:r w:rsidRPr="00B85DD0">
        <w:rPr>
          <w:rFonts w:ascii="Calibri" w:hAnsi="Calibri"/>
          <w:sz w:val="24"/>
          <w:szCs w:val="24"/>
          <w:lang w:val="en-GB"/>
        </w:rPr>
        <w:t>Mebarret</w:t>
      </w:r>
      <w:proofErr w:type="spellEnd"/>
      <w:r w:rsidRPr="00B85DD0">
        <w:rPr>
          <w:rFonts w:ascii="Calibri" w:hAnsi="Calibri"/>
          <w:sz w:val="24"/>
          <w:szCs w:val="24"/>
          <w:lang w:val="en-GB"/>
        </w:rPr>
        <w:t xml:space="preserve"> Palestine Centre for People with Disabilities, a care centre supporting people with complex cognitive and intellectual impairments, was one of scores of health sector buildings </w:t>
      </w:r>
      <w:r w:rsidRPr="00B85DD0">
        <w:rPr>
          <w:rFonts w:ascii="Calibri" w:hAnsi="Calibri"/>
          <w:sz w:val="24"/>
          <w:szCs w:val="24"/>
          <w:lang w:val="en-GB"/>
        </w:rPr>
        <w:lastRenderedPageBreak/>
        <w:t xml:space="preserve">destroyed during the 2014 offensive. During the attack on 12 July 2014, two women with disabilities were killed and three residents with disabilities and a care support worker were severely injured. One of the women killed, </w:t>
      </w:r>
      <w:proofErr w:type="spellStart"/>
      <w:r w:rsidRPr="00B85DD0">
        <w:rPr>
          <w:rFonts w:ascii="Calibri" w:hAnsi="Calibri"/>
          <w:sz w:val="24"/>
          <w:szCs w:val="24"/>
          <w:lang w:val="en-GB"/>
        </w:rPr>
        <w:t>Suha</w:t>
      </w:r>
      <w:proofErr w:type="spellEnd"/>
      <w:r w:rsidRPr="00B85DD0">
        <w:rPr>
          <w:rFonts w:ascii="Calibri" w:hAnsi="Calibri"/>
          <w:sz w:val="24"/>
          <w:szCs w:val="24"/>
          <w:lang w:val="en-GB"/>
        </w:rPr>
        <w:t xml:space="preserve"> Abu </w:t>
      </w:r>
      <w:proofErr w:type="spellStart"/>
      <w:r w:rsidRPr="00B85DD0">
        <w:rPr>
          <w:rFonts w:ascii="Calibri" w:hAnsi="Calibri"/>
          <w:sz w:val="24"/>
          <w:szCs w:val="24"/>
          <w:lang w:val="en-GB"/>
        </w:rPr>
        <w:t>Saada</w:t>
      </w:r>
      <w:proofErr w:type="spellEnd"/>
      <w:r w:rsidRPr="00B85DD0">
        <w:rPr>
          <w:rFonts w:ascii="Calibri" w:hAnsi="Calibri"/>
          <w:sz w:val="24"/>
          <w:szCs w:val="24"/>
          <w:lang w:val="en-GB"/>
        </w:rPr>
        <w:t>, had lost a leg as a child when her room was hit by Israeli shelling.</w:t>
      </w:r>
      <w:r w:rsidRPr="00B85DD0">
        <w:rPr>
          <w:rFonts w:ascii="Calibri" w:hAnsi="Calibri"/>
          <w:sz w:val="24"/>
          <w:szCs w:val="24"/>
          <w:vertAlign w:val="superscript"/>
          <w:lang w:val="en-GB"/>
        </w:rPr>
        <w:footnoteReference w:id="18"/>
      </w:r>
      <w:r w:rsidRPr="00B85DD0">
        <w:rPr>
          <w:rFonts w:ascii="Calibri" w:hAnsi="Calibri"/>
          <w:sz w:val="24"/>
          <w:szCs w:val="24"/>
          <w:lang w:val="en-GB"/>
        </w:rPr>
        <w:t xml:space="preserve"> Israel’s Military Advocate General decided not to open a criminal investigation into the attack, and there has thus been no accountability or justice for its victims.</w:t>
      </w:r>
      <w:r w:rsidRPr="00B85DD0">
        <w:rPr>
          <w:rFonts w:ascii="Calibri" w:hAnsi="Calibri"/>
          <w:sz w:val="24"/>
          <w:szCs w:val="24"/>
          <w:vertAlign w:val="superscript"/>
        </w:rPr>
        <w:footnoteReference w:id="19"/>
      </w:r>
    </w:p>
    <w:p w14:paraId="6DB3F1E3" w14:textId="0974F9BC"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 xml:space="preserve">Across the oPt, Israeli forces regularly use excessive, </w:t>
      </w:r>
      <w:proofErr w:type="gramStart"/>
      <w:r w:rsidRPr="00B85DD0">
        <w:rPr>
          <w:rFonts w:ascii="Calibri" w:hAnsi="Calibri"/>
          <w:sz w:val="24"/>
          <w:szCs w:val="24"/>
          <w:lang w:val="en-GB"/>
        </w:rPr>
        <w:t>disproportionate</w:t>
      </w:r>
      <w:proofErr w:type="gramEnd"/>
      <w:r w:rsidRPr="00B85DD0">
        <w:rPr>
          <w:rFonts w:ascii="Calibri" w:hAnsi="Calibri"/>
          <w:sz w:val="24"/>
          <w:szCs w:val="24"/>
          <w:lang w:val="en-GB"/>
        </w:rPr>
        <w:t xml:space="preserve"> and indiscriminate force and lethal force against protected Palestinian civilians, including people with disabilities, in violation of Article 10 </w:t>
      </w:r>
      <w:r>
        <w:rPr>
          <w:rFonts w:ascii="Calibri" w:hAnsi="Calibri"/>
          <w:sz w:val="24"/>
          <w:szCs w:val="24"/>
          <w:lang w:val="en-GB"/>
        </w:rPr>
        <w:t xml:space="preserve">of the </w:t>
      </w:r>
      <w:r w:rsidRPr="003166DA">
        <w:rPr>
          <w:rFonts w:ascii="Calibri" w:hAnsi="Calibri"/>
          <w:sz w:val="24"/>
          <w:szCs w:val="24"/>
          <w:lang w:val="en-GB"/>
        </w:rPr>
        <w:t xml:space="preserve">CRPD </w:t>
      </w:r>
      <w:r w:rsidRPr="00B85DD0">
        <w:rPr>
          <w:rFonts w:ascii="Calibri" w:hAnsi="Calibri"/>
          <w:sz w:val="24"/>
          <w:szCs w:val="24"/>
          <w:lang w:val="en-GB"/>
        </w:rPr>
        <w:t xml:space="preserve">on the right to life. Israeli forces killed people with disabilities amid its widespread and systematic use of excessive force, including live ammunition, against protesters taking part in the 2018-2019 ‘Great March of Return’ demonstrations in Gaza. The UN independent Commission of Inquiry into the protests </w:t>
      </w:r>
      <w:r w:rsidRPr="00B85DD0">
        <w:rPr>
          <w:rFonts w:ascii="Calibri" w:hAnsi="Calibri"/>
          <w:i/>
          <w:iCs/>
          <w:sz w:val="24"/>
          <w:szCs w:val="24"/>
          <w:lang w:val="en-GB"/>
        </w:rPr>
        <w:t>“found reasonable grounds to believe that Israeli snipers shot … persons with disabilities, knowing they were clearly recognizable as such.”</w:t>
      </w:r>
      <w:r w:rsidRPr="00B85DD0">
        <w:rPr>
          <w:rFonts w:ascii="Calibri" w:hAnsi="Calibri"/>
          <w:sz w:val="24"/>
          <w:szCs w:val="24"/>
          <w:vertAlign w:val="superscript"/>
          <w:lang w:val="en-GB"/>
        </w:rPr>
        <w:footnoteReference w:id="20"/>
      </w:r>
    </w:p>
    <w:p w14:paraId="268FDE86" w14:textId="71ED8795"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In 2017, Al-Haq documented the killing of 10 Palestinians with disabilities by Israeli forces in the oPt.</w:t>
      </w:r>
      <w:r w:rsidRPr="00B85DD0">
        <w:rPr>
          <w:rStyle w:val="FootnoteReference"/>
          <w:rFonts w:ascii="Calibri" w:hAnsi="Calibri"/>
          <w:sz w:val="24"/>
          <w:szCs w:val="24"/>
          <w:vertAlign w:val="superscript"/>
          <w:lang w:val="en-GB"/>
        </w:rPr>
        <w:footnoteReference w:id="21"/>
      </w:r>
      <w:r w:rsidRPr="00B85DD0">
        <w:rPr>
          <w:rFonts w:ascii="Calibri" w:hAnsi="Calibri"/>
          <w:sz w:val="24"/>
          <w:szCs w:val="24"/>
          <w:lang w:val="en-GB"/>
        </w:rPr>
        <w:t xml:space="preserve"> Al-Haq’s document</w:t>
      </w:r>
      <w:r>
        <w:rPr>
          <w:rFonts w:ascii="Calibri" w:hAnsi="Calibri"/>
          <w:sz w:val="24"/>
          <w:szCs w:val="24"/>
          <w:lang w:val="en-GB"/>
        </w:rPr>
        <w:t>ation</w:t>
      </w:r>
      <w:r w:rsidRPr="00B85DD0">
        <w:rPr>
          <w:rFonts w:ascii="Calibri" w:hAnsi="Calibri"/>
          <w:sz w:val="24"/>
          <w:szCs w:val="24"/>
          <w:lang w:val="en-GB"/>
        </w:rPr>
        <w:t xml:space="preserve"> </w:t>
      </w:r>
      <w:r>
        <w:rPr>
          <w:rFonts w:ascii="Calibri" w:hAnsi="Calibri"/>
          <w:sz w:val="24"/>
          <w:szCs w:val="24"/>
          <w:lang w:val="en-GB"/>
        </w:rPr>
        <w:t>shows</w:t>
      </w:r>
      <w:r w:rsidRPr="00B85DD0">
        <w:rPr>
          <w:rFonts w:ascii="Calibri" w:hAnsi="Calibri"/>
          <w:sz w:val="24"/>
          <w:szCs w:val="24"/>
          <w:lang w:val="en-GB"/>
        </w:rPr>
        <w:t xml:space="preserve"> that </w:t>
      </w:r>
      <w:r w:rsidRPr="00B85DD0">
        <w:rPr>
          <w:rFonts w:ascii="Calibri" w:hAnsi="Calibri"/>
          <w:i/>
          <w:iCs/>
          <w:sz w:val="24"/>
          <w:szCs w:val="24"/>
          <w:lang w:val="en-GB"/>
        </w:rPr>
        <w:t>“Israel rarely carries out genuine or impartial investigations into cases of killings involving Palestinians, thus fostering a prevailing culture of impunity.”</w:t>
      </w:r>
      <w:r w:rsidRPr="00B85DD0">
        <w:rPr>
          <w:rStyle w:val="FootnoteReference"/>
          <w:rFonts w:ascii="Calibri" w:hAnsi="Calibri"/>
          <w:sz w:val="24"/>
          <w:szCs w:val="24"/>
          <w:vertAlign w:val="superscript"/>
          <w:lang w:val="en-GB"/>
        </w:rPr>
        <w:footnoteReference w:id="22"/>
      </w:r>
      <w:r w:rsidRPr="00B85DD0">
        <w:rPr>
          <w:rFonts w:ascii="Calibri" w:hAnsi="Calibri"/>
          <w:sz w:val="24"/>
          <w:szCs w:val="24"/>
          <w:lang w:val="en-GB"/>
        </w:rPr>
        <w:t xml:space="preserve"> Israel’s failure to ensure effective access to justice for people with disabilities violates Article 13</w:t>
      </w:r>
      <w:r>
        <w:rPr>
          <w:rFonts w:ascii="Calibri" w:hAnsi="Calibri"/>
          <w:sz w:val="24"/>
          <w:szCs w:val="24"/>
          <w:lang w:val="en-GB"/>
        </w:rPr>
        <w:t xml:space="preserve"> of </w:t>
      </w:r>
      <w:r w:rsidR="00B85DD0">
        <w:rPr>
          <w:rFonts w:ascii="Calibri" w:hAnsi="Calibri"/>
          <w:sz w:val="24"/>
          <w:szCs w:val="24"/>
          <w:lang w:val="en-GB"/>
        </w:rPr>
        <w:t xml:space="preserve">the </w:t>
      </w:r>
      <w:r w:rsidRPr="00BE4D23">
        <w:rPr>
          <w:rFonts w:ascii="Calibri" w:hAnsi="Calibri"/>
          <w:sz w:val="24"/>
          <w:szCs w:val="24"/>
          <w:lang w:val="en-GB"/>
        </w:rPr>
        <w:t>CRPD</w:t>
      </w:r>
      <w:r w:rsidRPr="00B85DD0">
        <w:rPr>
          <w:rFonts w:ascii="Calibri" w:hAnsi="Calibri"/>
          <w:sz w:val="24"/>
          <w:szCs w:val="24"/>
          <w:lang w:val="en-GB"/>
        </w:rPr>
        <w:t>.</w:t>
      </w:r>
    </w:p>
    <w:p w14:paraId="574F5588" w14:textId="1ED514C0"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 xml:space="preserve">Such killings reached international attention this year when </w:t>
      </w:r>
      <w:proofErr w:type="spellStart"/>
      <w:r w:rsidRPr="00B85DD0">
        <w:rPr>
          <w:rFonts w:ascii="Calibri" w:hAnsi="Calibri"/>
          <w:sz w:val="24"/>
          <w:szCs w:val="24"/>
          <w:lang w:val="en-GB"/>
        </w:rPr>
        <w:t>Eyad</w:t>
      </w:r>
      <w:proofErr w:type="spellEnd"/>
      <w:r w:rsidRPr="00B85DD0">
        <w:rPr>
          <w:rFonts w:ascii="Calibri" w:hAnsi="Calibri"/>
          <w:sz w:val="24"/>
          <w:szCs w:val="24"/>
          <w:lang w:val="en-GB"/>
        </w:rPr>
        <w:t xml:space="preserve"> </w:t>
      </w:r>
      <w:proofErr w:type="spellStart"/>
      <w:r w:rsidRPr="00B85DD0">
        <w:rPr>
          <w:rFonts w:ascii="Calibri" w:hAnsi="Calibri"/>
          <w:sz w:val="24"/>
          <w:szCs w:val="24"/>
          <w:lang w:val="en-GB"/>
        </w:rPr>
        <w:t>Hallaq</w:t>
      </w:r>
      <w:proofErr w:type="spellEnd"/>
      <w:r w:rsidRPr="00B85DD0">
        <w:rPr>
          <w:rFonts w:ascii="Calibri" w:hAnsi="Calibri"/>
          <w:sz w:val="24"/>
          <w:szCs w:val="24"/>
          <w:lang w:val="en-GB"/>
        </w:rPr>
        <w:t>, a 3</w:t>
      </w:r>
      <w:r w:rsidR="00E62EAE">
        <w:rPr>
          <w:rFonts w:ascii="Calibri" w:hAnsi="Calibri"/>
          <w:sz w:val="24"/>
          <w:szCs w:val="24"/>
          <w:lang w:val="en-GB"/>
        </w:rPr>
        <w:t>1-</w:t>
      </w:r>
      <w:r w:rsidRPr="00B85DD0">
        <w:rPr>
          <w:rFonts w:ascii="Calibri" w:hAnsi="Calibri"/>
          <w:sz w:val="24"/>
          <w:szCs w:val="24"/>
          <w:lang w:val="en-GB"/>
        </w:rPr>
        <w:t xml:space="preserve">year-old Palestinian man with autism and a mild learning disability, was fatally shot by Israeli police while on his way to the </w:t>
      </w:r>
      <w:proofErr w:type="spellStart"/>
      <w:r w:rsidRPr="00B85DD0">
        <w:rPr>
          <w:rFonts w:ascii="Calibri" w:hAnsi="Calibri"/>
          <w:sz w:val="24"/>
          <w:szCs w:val="24"/>
          <w:lang w:val="en-GB"/>
        </w:rPr>
        <w:t>Elywn</w:t>
      </w:r>
      <w:proofErr w:type="spellEnd"/>
      <w:r w:rsidRPr="00B85DD0">
        <w:rPr>
          <w:rFonts w:ascii="Calibri" w:hAnsi="Calibri"/>
          <w:sz w:val="24"/>
          <w:szCs w:val="24"/>
          <w:lang w:val="en-GB"/>
        </w:rPr>
        <w:t xml:space="preserve"> El Quds Occupational Training Centre in the Old City of East Jerusalem on 30 </w:t>
      </w:r>
      <w:r>
        <w:rPr>
          <w:rFonts w:ascii="Calibri" w:hAnsi="Calibri"/>
          <w:sz w:val="24"/>
          <w:szCs w:val="24"/>
          <w:lang w:val="en-GB"/>
        </w:rPr>
        <w:t>May</w:t>
      </w:r>
      <w:r w:rsidRPr="00B85DD0">
        <w:rPr>
          <w:rFonts w:ascii="Calibri" w:hAnsi="Calibri"/>
          <w:sz w:val="24"/>
          <w:szCs w:val="24"/>
          <w:lang w:val="en-GB"/>
        </w:rPr>
        <w:t xml:space="preserve"> 2020. </w:t>
      </w:r>
      <w:proofErr w:type="spellStart"/>
      <w:r w:rsidRPr="00B85DD0">
        <w:rPr>
          <w:rFonts w:ascii="Calibri" w:hAnsi="Calibri"/>
          <w:sz w:val="24"/>
          <w:szCs w:val="24"/>
          <w:lang w:val="en-GB"/>
        </w:rPr>
        <w:t>Warde</w:t>
      </w:r>
      <w:proofErr w:type="spellEnd"/>
      <w:r w:rsidRPr="00B85DD0">
        <w:rPr>
          <w:rFonts w:ascii="Calibri" w:hAnsi="Calibri"/>
          <w:sz w:val="24"/>
          <w:szCs w:val="24"/>
          <w:lang w:val="en-GB"/>
        </w:rPr>
        <w:t xml:space="preserve"> Abu Hadid, who worked with </w:t>
      </w:r>
      <w:proofErr w:type="spellStart"/>
      <w:r w:rsidRPr="00B85DD0">
        <w:rPr>
          <w:rFonts w:ascii="Calibri" w:hAnsi="Calibri"/>
          <w:sz w:val="24"/>
          <w:szCs w:val="24"/>
          <w:lang w:val="en-GB"/>
        </w:rPr>
        <w:t>Eyad</w:t>
      </w:r>
      <w:proofErr w:type="spellEnd"/>
      <w:r w:rsidRPr="00B85DD0">
        <w:rPr>
          <w:rFonts w:ascii="Calibri" w:hAnsi="Calibri"/>
          <w:sz w:val="24"/>
          <w:szCs w:val="24"/>
          <w:lang w:val="en-GB"/>
        </w:rPr>
        <w:t xml:space="preserve"> as a trainer at the Centre’s kitchen, witnessed his killing and told MAP:</w:t>
      </w:r>
    </w:p>
    <w:p w14:paraId="09246BCB" w14:textId="6F89DD72" w:rsidR="00A97635" w:rsidRPr="00B85DD0" w:rsidRDefault="00A97635" w:rsidP="00B85DD0">
      <w:pPr>
        <w:spacing w:after="240" w:line="276" w:lineRule="auto"/>
        <w:ind w:left="993"/>
        <w:jc w:val="both"/>
        <w:rPr>
          <w:rFonts w:ascii="Calibri" w:hAnsi="Calibri"/>
          <w:sz w:val="24"/>
          <w:szCs w:val="24"/>
          <w:lang w:val="en-GB"/>
        </w:rPr>
      </w:pPr>
      <w:r w:rsidRPr="00B85DD0">
        <w:rPr>
          <w:rFonts w:ascii="Calibri" w:hAnsi="Calibri"/>
          <w:i/>
          <w:iCs/>
          <w:sz w:val="24"/>
          <w:szCs w:val="24"/>
          <w:lang w:val="en-GB"/>
        </w:rPr>
        <w:t xml:space="preserve">“We usually start working at the kitchen around 6:30 am. I was walking at that time in the Old City, where our centre is located. Suddenly, I heard a number of soldiers shouting, and I looked behind and I saw </w:t>
      </w:r>
      <w:proofErr w:type="spellStart"/>
      <w:r w:rsidRPr="00B85DD0">
        <w:rPr>
          <w:rFonts w:ascii="Calibri" w:hAnsi="Calibri"/>
          <w:i/>
          <w:iCs/>
          <w:sz w:val="24"/>
          <w:szCs w:val="24"/>
          <w:lang w:val="en-GB"/>
        </w:rPr>
        <w:t>Eyad</w:t>
      </w:r>
      <w:proofErr w:type="spellEnd"/>
      <w:r w:rsidRPr="00B85DD0">
        <w:rPr>
          <w:rFonts w:ascii="Calibri" w:hAnsi="Calibri"/>
          <w:i/>
          <w:iCs/>
          <w:sz w:val="24"/>
          <w:szCs w:val="24"/>
          <w:lang w:val="en-GB"/>
        </w:rPr>
        <w:t xml:space="preserve"> running towards me and calling my name. The soldiers started shooting towards us. </w:t>
      </w:r>
      <w:proofErr w:type="spellStart"/>
      <w:r w:rsidRPr="00B85DD0">
        <w:rPr>
          <w:rFonts w:ascii="Calibri" w:hAnsi="Calibri"/>
          <w:i/>
          <w:iCs/>
          <w:sz w:val="24"/>
          <w:szCs w:val="24"/>
          <w:lang w:val="en-GB"/>
        </w:rPr>
        <w:t>Eyad</w:t>
      </w:r>
      <w:proofErr w:type="spellEnd"/>
      <w:r w:rsidRPr="00B85DD0">
        <w:rPr>
          <w:rFonts w:ascii="Calibri" w:hAnsi="Calibri"/>
          <w:i/>
          <w:iCs/>
          <w:sz w:val="24"/>
          <w:szCs w:val="24"/>
          <w:lang w:val="en-GB"/>
        </w:rPr>
        <w:t xml:space="preserve"> managed to reach me and he said “Ms </w:t>
      </w:r>
      <w:proofErr w:type="spellStart"/>
      <w:r w:rsidRPr="00B85DD0">
        <w:rPr>
          <w:rFonts w:ascii="Calibri" w:hAnsi="Calibri"/>
          <w:i/>
          <w:iCs/>
          <w:sz w:val="24"/>
          <w:szCs w:val="24"/>
          <w:lang w:val="en-GB"/>
        </w:rPr>
        <w:t>Warde</w:t>
      </w:r>
      <w:proofErr w:type="spellEnd"/>
      <w:r w:rsidRPr="00B85DD0">
        <w:rPr>
          <w:rFonts w:ascii="Calibri" w:hAnsi="Calibri"/>
          <w:i/>
          <w:iCs/>
          <w:sz w:val="24"/>
          <w:szCs w:val="24"/>
          <w:lang w:val="en-GB"/>
        </w:rPr>
        <w:t xml:space="preserve"> tell them I am with you” and then he was lying on his side and he was bleeding. I started screaming, in Arabic and in Hebrew “Stop he has a learning disability!”. A </w:t>
      </w:r>
      <w:r w:rsidRPr="00B85DD0">
        <w:rPr>
          <w:rFonts w:ascii="Calibri" w:hAnsi="Calibri"/>
          <w:i/>
          <w:iCs/>
          <w:sz w:val="24"/>
          <w:szCs w:val="24"/>
          <w:lang w:val="en-GB"/>
        </w:rPr>
        <w:lastRenderedPageBreak/>
        <w:t xml:space="preserve">group of soldiers approached us and asked us “Where is the gun?”. I said he is with me and we have no gun. Then three bullets were fired at point blank towards </w:t>
      </w:r>
      <w:proofErr w:type="spellStart"/>
      <w:r w:rsidRPr="00B85DD0">
        <w:rPr>
          <w:rFonts w:ascii="Calibri" w:hAnsi="Calibri"/>
          <w:i/>
          <w:iCs/>
          <w:sz w:val="24"/>
          <w:szCs w:val="24"/>
          <w:lang w:val="en-GB"/>
        </w:rPr>
        <w:t>Eyad</w:t>
      </w:r>
      <w:proofErr w:type="spellEnd"/>
      <w:r w:rsidRPr="00B85DD0">
        <w:rPr>
          <w:rFonts w:ascii="Calibri" w:hAnsi="Calibri"/>
          <w:i/>
          <w:iCs/>
          <w:sz w:val="24"/>
          <w:szCs w:val="24"/>
          <w:lang w:val="en-GB"/>
        </w:rPr>
        <w:t>, who was already bleeding on the floor.</w:t>
      </w:r>
    </w:p>
    <w:p w14:paraId="7DB506D8" w14:textId="17013FA3" w:rsidR="00A97635" w:rsidRPr="00B85DD0" w:rsidRDefault="00A97635" w:rsidP="00B85DD0">
      <w:pPr>
        <w:spacing w:after="240" w:line="276" w:lineRule="auto"/>
        <w:ind w:left="993"/>
        <w:jc w:val="both"/>
        <w:rPr>
          <w:rFonts w:ascii="Calibri" w:hAnsi="Calibri"/>
          <w:sz w:val="24"/>
          <w:szCs w:val="24"/>
          <w:lang w:val="en-GB"/>
        </w:rPr>
      </w:pPr>
      <w:r w:rsidRPr="00B85DD0">
        <w:rPr>
          <w:rFonts w:ascii="Calibri" w:hAnsi="Calibri"/>
          <w:i/>
          <w:iCs/>
          <w:sz w:val="24"/>
          <w:szCs w:val="24"/>
          <w:lang w:val="en-GB"/>
        </w:rPr>
        <w:t xml:space="preserve">“I was in full shock. </w:t>
      </w:r>
      <w:proofErr w:type="spellStart"/>
      <w:r w:rsidRPr="00B85DD0">
        <w:rPr>
          <w:rFonts w:ascii="Calibri" w:hAnsi="Calibri"/>
          <w:i/>
          <w:iCs/>
          <w:sz w:val="24"/>
          <w:szCs w:val="24"/>
          <w:lang w:val="en-GB"/>
        </w:rPr>
        <w:t>Eyad</w:t>
      </w:r>
      <w:proofErr w:type="spellEnd"/>
      <w:r w:rsidRPr="00B85DD0">
        <w:rPr>
          <w:rFonts w:ascii="Calibri" w:hAnsi="Calibri"/>
          <w:i/>
          <w:iCs/>
          <w:sz w:val="24"/>
          <w:szCs w:val="24"/>
          <w:lang w:val="en-GB"/>
        </w:rPr>
        <w:t xml:space="preserve"> came to seek my protection, but I could not protect him. At that moment, tens and tens of soldiers rushed towards us. Two female women started aggressively inspecting my body looking for a gun. I was speechless. We had no guns. I was dragged to an investigation room, I thought they were going to shoot me. They just killed </w:t>
      </w:r>
      <w:proofErr w:type="spellStart"/>
      <w:r w:rsidRPr="00B85DD0">
        <w:rPr>
          <w:rFonts w:ascii="Calibri" w:hAnsi="Calibri"/>
          <w:i/>
          <w:iCs/>
          <w:sz w:val="24"/>
          <w:szCs w:val="24"/>
          <w:lang w:val="en-GB"/>
        </w:rPr>
        <w:t>Eyad</w:t>
      </w:r>
      <w:proofErr w:type="spellEnd"/>
      <w:r w:rsidRPr="00B85DD0">
        <w:rPr>
          <w:rFonts w:ascii="Calibri" w:hAnsi="Calibri"/>
          <w:i/>
          <w:iCs/>
          <w:sz w:val="24"/>
          <w:szCs w:val="24"/>
          <w:lang w:val="en-GB"/>
        </w:rPr>
        <w:t xml:space="preserve"> for no reason, and I thought they would kill me next. I was terrified. They kept me until noon at the interrogation, I told them what happened, and they let me out.”</w:t>
      </w:r>
      <w:r w:rsidRPr="00B85DD0">
        <w:rPr>
          <w:rStyle w:val="FootnoteReference"/>
          <w:rFonts w:ascii="Calibri" w:hAnsi="Calibri"/>
          <w:sz w:val="24"/>
          <w:szCs w:val="24"/>
          <w:vertAlign w:val="superscript"/>
          <w:lang w:val="en-GB"/>
        </w:rPr>
        <w:footnoteReference w:id="23"/>
      </w:r>
    </w:p>
    <w:p w14:paraId="7B48BA1D" w14:textId="77E9E312"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The number of Palestinians in Gaza with a disability, whether physical and/or mental, has furthermore increased as a result of Israeli military offensives and use of force. During the 2014 offensive on Gaza, 11,000 Palestinians were injured, 10% of whom were physically disabled.</w:t>
      </w:r>
      <w:r w:rsidRPr="00B85DD0">
        <w:rPr>
          <w:rFonts w:ascii="Calibri" w:hAnsi="Calibri"/>
          <w:sz w:val="24"/>
          <w:szCs w:val="24"/>
          <w:vertAlign w:val="superscript"/>
          <w:lang w:val="en-GB"/>
        </w:rPr>
        <w:footnoteReference w:id="24"/>
      </w:r>
      <w:r w:rsidRPr="00B85DD0">
        <w:rPr>
          <w:rFonts w:ascii="Calibri" w:hAnsi="Calibri"/>
          <w:sz w:val="24"/>
          <w:szCs w:val="24"/>
          <w:lang w:val="en-GB"/>
        </w:rPr>
        <w:t xml:space="preserve"> The Israeli military’s use of force against the ‘Great March of Return’ demonstrations has also caused high numbers of disabling injuries. Between March 2018 and October 2019, 7,996 Palestinians suffered limb gunshot injuries. Among those injured, 149 amputations were carried out, 24 people were paralysed due to spinal cord injuries and 15 people suffered permanent loss of vision as a result of injuries caused during the demonstrations.</w:t>
      </w:r>
      <w:r w:rsidRPr="00B85DD0">
        <w:rPr>
          <w:rFonts w:ascii="Calibri" w:hAnsi="Calibri"/>
          <w:sz w:val="24"/>
          <w:szCs w:val="24"/>
          <w:vertAlign w:val="superscript"/>
          <w:lang w:val="en-GB"/>
        </w:rPr>
        <w:footnoteReference w:id="25"/>
      </w:r>
      <w:r w:rsidRPr="00B85DD0">
        <w:rPr>
          <w:rFonts w:ascii="Calibri" w:hAnsi="Calibri"/>
          <w:sz w:val="24"/>
          <w:szCs w:val="24"/>
          <w:lang w:val="en-GB"/>
        </w:rPr>
        <w:t xml:space="preserve"> An estimated 1,200 Palestinians still require extensive limb reconstruction treatment.</w:t>
      </w:r>
      <w:r w:rsidRPr="00B85DD0">
        <w:rPr>
          <w:rFonts w:ascii="Calibri" w:hAnsi="Calibri"/>
          <w:sz w:val="24"/>
          <w:szCs w:val="24"/>
          <w:vertAlign w:val="superscript"/>
          <w:lang w:val="en-GB"/>
        </w:rPr>
        <w:footnoteReference w:id="26"/>
      </w:r>
      <w:r w:rsidRPr="00B85DD0">
        <w:rPr>
          <w:rFonts w:ascii="Calibri" w:hAnsi="Calibri"/>
          <w:sz w:val="24"/>
          <w:szCs w:val="24"/>
          <w:lang w:val="en-GB"/>
        </w:rPr>
        <w:t xml:space="preserve"> None of these individuals will ever recover to full functionality. Only in the longer term will we be able to say how many will endure significant loss of function and disability </w:t>
      </w:r>
      <w:proofErr w:type="gramStart"/>
      <w:r w:rsidRPr="00B85DD0">
        <w:rPr>
          <w:rFonts w:ascii="Calibri" w:hAnsi="Calibri"/>
          <w:sz w:val="24"/>
          <w:szCs w:val="24"/>
          <w:lang w:val="en-GB"/>
        </w:rPr>
        <w:t>as a result of</w:t>
      </w:r>
      <w:proofErr w:type="gramEnd"/>
      <w:r w:rsidRPr="00B85DD0">
        <w:rPr>
          <w:rFonts w:ascii="Calibri" w:hAnsi="Calibri"/>
          <w:sz w:val="24"/>
          <w:szCs w:val="24"/>
          <w:lang w:val="en-GB"/>
        </w:rPr>
        <w:t xml:space="preserve"> Israel’s use of force against protesters.</w:t>
      </w:r>
    </w:p>
    <w:p w14:paraId="498E2707" w14:textId="71CB2330"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b/>
          <w:bCs/>
          <w:sz w:val="24"/>
          <w:szCs w:val="24"/>
          <w:lang w:val="en-GB"/>
        </w:rPr>
      </w:pPr>
      <w:r w:rsidRPr="00B85DD0">
        <w:rPr>
          <w:rFonts w:ascii="Calibri" w:hAnsi="Calibri"/>
          <w:b/>
          <w:bCs/>
          <w:sz w:val="24"/>
          <w:szCs w:val="24"/>
          <w:lang w:val="en-GB"/>
        </w:rPr>
        <w:t>Can the State Party evidence and explain the measures taken to ensure the protection and safety of persons with disabilities in situations of risk in the occupied Palestinian territory, including situations of armed conflict?</w:t>
      </w:r>
    </w:p>
    <w:p w14:paraId="39E2A0F2" w14:textId="62B92DC9" w:rsidR="00A97635" w:rsidRPr="00993BB2" w:rsidRDefault="00A97635" w:rsidP="00B85DD0">
      <w:pPr>
        <w:pStyle w:val="Heading1"/>
        <w:rPr>
          <w:b/>
          <w:bCs/>
          <w:sz w:val="28"/>
          <w:szCs w:val="28"/>
          <w:u w:val="single"/>
        </w:rPr>
      </w:pPr>
      <w:bookmarkStart w:id="26" w:name="_Toc45880687"/>
      <w:r w:rsidRPr="00993BB2">
        <w:rPr>
          <w:b/>
          <w:bCs/>
          <w:sz w:val="28"/>
          <w:szCs w:val="28"/>
          <w:u w:val="single"/>
        </w:rPr>
        <w:t>Palestinians with disabilities disproportionately affected by COVID-19</w:t>
      </w:r>
      <w:bookmarkEnd w:id="26"/>
    </w:p>
    <w:p w14:paraId="7A7B0FF7" w14:textId="4F05981B"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 xml:space="preserve">Article 11 </w:t>
      </w:r>
      <w:r>
        <w:rPr>
          <w:rFonts w:ascii="Calibri" w:hAnsi="Calibri"/>
          <w:sz w:val="24"/>
          <w:szCs w:val="24"/>
          <w:lang w:val="en-GB"/>
        </w:rPr>
        <w:t xml:space="preserve">of the </w:t>
      </w:r>
      <w:r w:rsidRPr="00BE4D23">
        <w:rPr>
          <w:rFonts w:ascii="Calibri" w:hAnsi="Calibri"/>
          <w:sz w:val="24"/>
          <w:szCs w:val="24"/>
          <w:lang w:val="en-GB"/>
        </w:rPr>
        <w:t xml:space="preserve">CRPD </w:t>
      </w:r>
      <w:r w:rsidRPr="00B85DD0">
        <w:rPr>
          <w:rFonts w:ascii="Calibri" w:hAnsi="Calibri"/>
          <w:sz w:val="24"/>
          <w:szCs w:val="24"/>
          <w:lang w:val="en-GB"/>
        </w:rPr>
        <w:t>outlines that State</w:t>
      </w:r>
      <w:r>
        <w:rPr>
          <w:rFonts w:ascii="Calibri" w:hAnsi="Calibri"/>
          <w:sz w:val="24"/>
          <w:szCs w:val="24"/>
          <w:lang w:val="en-GB"/>
        </w:rPr>
        <w:t>s</w:t>
      </w:r>
      <w:r w:rsidRPr="00B85DD0">
        <w:rPr>
          <w:rFonts w:ascii="Calibri" w:hAnsi="Calibri"/>
          <w:sz w:val="24"/>
          <w:szCs w:val="24"/>
          <w:lang w:val="en-GB"/>
        </w:rPr>
        <w:t xml:space="preserve"> Parties should take all necessary measures to ensure the protection and safety of persons with disabilities in situations of risk, including </w:t>
      </w:r>
      <w:r w:rsidRPr="00B85DD0">
        <w:rPr>
          <w:rFonts w:ascii="Calibri" w:hAnsi="Calibri"/>
          <w:sz w:val="24"/>
          <w:szCs w:val="24"/>
          <w:lang w:val="en-GB"/>
        </w:rPr>
        <w:lastRenderedPageBreak/>
        <w:t>situations of humanitarian emergencies.</w:t>
      </w:r>
      <w:r>
        <w:rPr>
          <w:rFonts w:ascii="Calibri" w:hAnsi="Calibri"/>
          <w:sz w:val="24"/>
          <w:szCs w:val="24"/>
          <w:lang w:val="en-GB"/>
        </w:rPr>
        <w:t xml:space="preserve"> </w:t>
      </w:r>
      <w:r w:rsidR="00E62EAE">
        <w:rPr>
          <w:rFonts w:ascii="Calibri" w:hAnsi="Calibri"/>
          <w:sz w:val="24"/>
          <w:szCs w:val="24"/>
          <w:lang w:val="en-GB"/>
        </w:rPr>
        <w:t xml:space="preserve">Article </w:t>
      </w:r>
      <w:r w:rsidR="00976E43">
        <w:rPr>
          <w:rFonts w:ascii="Calibri" w:hAnsi="Calibri"/>
          <w:sz w:val="24"/>
          <w:szCs w:val="24"/>
          <w:lang w:val="en-GB"/>
        </w:rPr>
        <w:t>25</w:t>
      </w:r>
      <w:r w:rsidR="00E62EAE">
        <w:rPr>
          <w:rFonts w:ascii="Calibri" w:hAnsi="Calibri"/>
          <w:sz w:val="24"/>
          <w:szCs w:val="24"/>
          <w:lang w:val="en-GB"/>
        </w:rPr>
        <w:t xml:space="preserve"> of the CRPD outlines that </w:t>
      </w:r>
      <w:r w:rsidR="00E62EAE" w:rsidRPr="00E62EAE">
        <w:rPr>
          <w:rFonts w:ascii="Calibri" w:hAnsi="Calibri"/>
          <w:sz w:val="24"/>
          <w:szCs w:val="24"/>
        </w:rPr>
        <w:t>States Parties shall take all appropriate measures to ensure access for persons with disabilities to health services</w:t>
      </w:r>
      <w:r w:rsidR="00E62EAE">
        <w:rPr>
          <w:rFonts w:ascii="Calibri" w:hAnsi="Calibri"/>
          <w:sz w:val="24"/>
          <w:szCs w:val="24"/>
        </w:rPr>
        <w:t xml:space="preserve">. </w:t>
      </w:r>
      <w:r w:rsidR="000B011E">
        <w:rPr>
          <w:rFonts w:ascii="Calibri" w:hAnsi="Calibri"/>
          <w:sz w:val="24"/>
          <w:szCs w:val="24"/>
          <w:lang w:val="en-GB"/>
        </w:rPr>
        <w:t xml:space="preserve">Article 5 of the CRPD outlines that persons with disabilities </w:t>
      </w:r>
      <w:r w:rsidR="000B011E" w:rsidRPr="000B011E">
        <w:rPr>
          <w:rFonts w:ascii="Calibri" w:hAnsi="Calibri"/>
          <w:sz w:val="24"/>
          <w:szCs w:val="24"/>
        </w:rPr>
        <w:t>are entitled without any discrimination to equal protection</w:t>
      </w:r>
      <w:r w:rsidR="000B011E">
        <w:rPr>
          <w:rFonts w:ascii="Calibri" w:hAnsi="Calibri"/>
          <w:sz w:val="24"/>
          <w:szCs w:val="24"/>
        </w:rPr>
        <w:t xml:space="preserve">. </w:t>
      </w:r>
      <w:r w:rsidRPr="00B85DD0">
        <w:rPr>
          <w:rFonts w:ascii="Calibri" w:hAnsi="Calibri"/>
          <w:sz w:val="24"/>
          <w:szCs w:val="24"/>
          <w:lang w:val="en-GB"/>
        </w:rPr>
        <w:t xml:space="preserve">Since the outbreak of COVID-19, </w:t>
      </w:r>
      <w:r w:rsidR="000B011E">
        <w:rPr>
          <w:rFonts w:ascii="Calibri" w:hAnsi="Calibri"/>
          <w:sz w:val="24"/>
          <w:szCs w:val="24"/>
          <w:lang w:val="en-GB"/>
        </w:rPr>
        <w:t xml:space="preserve">however, </w:t>
      </w:r>
      <w:r w:rsidRPr="00B85DD0">
        <w:rPr>
          <w:rFonts w:ascii="Calibri" w:hAnsi="Calibri"/>
          <w:sz w:val="24"/>
          <w:szCs w:val="24"/>
          <w:lang w:val="en-GB"/>
        </w:rPr>
        <w:t>Palestinians with disabilities have faced additional vulnerabilities due to pre-existing discrimination and barriers to the full enjoyment of their human rights. As OCHA has highlighted:</w:t>
      </w:r>
    </w:p>
    <w:p w14:paraId="488C9AA7" w14:textId="0DAE0FC3" w:rsidR="00A97635" w:rsidRPr="00B85DD0" w:rsidRDefault="00A97635" w:rsidP="00B85DD0">
      <w:pPr>
        <w:spacing w:after="240" w:line="276" w:lineRule="auto"/>
        <w:ind w:left="993"/>
        <w:jc w:val="both"/>
        <w:rPr>
          <w:rFonts w:ascii="Calibri" w:hAnsi="Calibri"/>
          <w:i/>
          <w:iCs/>
          <w:sz w:val="24"/>
          <w:szCs w:val="24"/>
          <w:lang w:val="en-GB"/>
        </w:rPr>
      </w:pPr>
      <w:r w:rsidRPr="00B85DD0">
        <w:rPr>
          <w:rFonts w:ascii="Calibri" w:hAnsi="Calibri"/>
          <w:i/>
          <w:iCs/>
          <w:sz w:val="24"/>
          <w:szCs w:val="24"/>
          <w:lang w:val="en-GB"/>
        </w:rPr>
        <w:t>“People with seeing, hearing or mobility issues, already experience difficulty in accessing services and information in the oPt, now exacerbated as they seek to protect themselves from the outbreak. Many persons with disabilities depend on services that have been suspended and families report not having enough money to stockpile the specific food and medication</w:t>
      </w:r>
      <w:r>
        <w:rPr>
          <w:rFonts w:ascii="Calibri" w:hAnsi="Calibri"/>
          <w:i/>
          <w:iCs/>
          <w:sz w:val="24"/>
          <w:szCs w:val="24"/>
          <w:lang w:val="en-GB"/>
        </w:rPr>
        <w:t>.</w:t>
      </w:r>
      <w:r w:rsidRPr="00B85DD0">
        <w:rPr>
          <w:rFonts w:ascii="Calibri" w:hAnsi="Calibri"/>
          <w:i/>
          <w:iCs/>
          <w:sz w:val="24"/>
          <w:szCs w:val="24"/>
          <w:lang w:val="en-GB"/>
        </w:rPr>
        <w:t>”</w:t>
      </w:r>
      <w:r w:rsidRPr="00B85DD0">
        <w:rPr>
          <w:rStyle w:val="FootnoteReference"/>
          <w:rFonts w:ascii="Calibri" w:hAnsi="Calibri"/>
          <w:sz w:val="24"/>
          <w:szCs w:val="24"/>
          <w:vertAlign w:val="superscript"/>
          <w:lang w:val="en-GB"/>
        </w:rPr>
        <w:footnoteReference w:id="27"/>
      </w:r>
    </w:p>
    <w:p w14:paraId="7E517087" w14:textId="7384C036"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Across the oPt, poverty rates have worsened as a result of lockdown measures. COVID-19 movement restrictions have drastically reduced domestic economic activity and external trade. Palestinian Authority (PA) monthly revenues have declined to their lowest levels in two decades, with drastic consequences for public welfare, employment, and financial stability.</w:t>
      </w:r>
      <w:r w:rsidRPr="00B85DD0">
        <w:rPr>
          <w:rStyle w:val="FootnoteReference"/>
          <w:rFonts w:ascii="Calibri" w:hAnsi="Calibri"/>
          <w:sz w:val="24"/>
          <w:szCs w:val="24"/>
          <w:vertAlign w:val="superscript"/>
          <w:lang w:val="en-GB"/>
        </w:rPr>
        <w:footnoteReference w:id="28"/>
      </w:r>
      <w:r w:rsidRPr="00B85DD0">
        <w:rPr>
          <w:rFonts w:ascii="Calibri" w:hAnsi="Calibri"/>
          <w:sz w:val="24"/>
          <w:szCs w:val="24"/>
          <w:lang w:val="en-GB"/>
        </w:rPr>
        <w:t xml:space="preserve"> As their access to the workforce is already compromised, this situation will disproportionately affect people with disabilities, pulling them more rapidly into poverty. This was reinforced by a </w:t>
      </w:r>
      <w:r>
        <w:rPr>
          <w:rFonts w:ascii="Calibri" w:hAnsi="Calibri"/>
          <w:sz w:val="24"/>
          <w:szCs w:val="24"/>
          <w:lang w:val="en-GB"/>
        </w:rPr>
        <w:t xml:space="preserve">Palestinian </w:t>
      </w:r>
      <w:r w:rsidRPr="00B85DD0">
        <w:rPr>
          <w:rFonts w:ascii="Calibri" w:hAnsi="Calibri"/>
          <w:sz w:val="24"/>
          <w:szCs w:val="24"/>
          <w:lang w:val="en-GB"/>
        </w:rPr>
        <w:t>man in Gaza who has a physical disability, who told MAP in May 2020:</w:t>
      </w:r>
    </w:p>
    <w:p w14:paraId="2F2701E9" w14:textId="320A1792" w:rsidR="00A97635" w:rsidRPr="00B85DD0" w:rsidRDefault="00A97635" w:rsidP="00B85DD0">
      <w:pPr>
        <w:spacing w:after="240" w:line="276" w:lineRule="auto"/>
        <w:ind w:left="993"/>
        <w:jc w:val="both"/>
        <w:rPr>
          <w:rFonts w:ascii="Calibri" w:hAnsi="Calibri"/>
          <w:i/>
          <w:iCs/>
          <w:sz w:val="24"/>
          <w:szCs w:val="24"/>
          <w:lang w:val="en-GB"/>
        </w:rPr>
      </w:pPr>
      <w:r w:rsidRPr="00B85DD0">
        <w:rPr>
          <w:rFonts w:ascii="Calibri" w:hAnsi="Calibri"/>
          <w:i/>
          <w:iCs/>
          <w:sz w:val="24"/>
          <w:szCs w:val="24"/>
          <w:lang w:val="en-GB"/>
        </w:rPr>
        <w:t xml:space="preserve">“I’ve had no income during this crisis. Even though </w:t>
      </w:r>
      <w:proofErr w:type="gramStart"/>
      <w:r w:rsidRPr="00B85DD0">
        <w:rPr>
          <w:rFonts w:ascii="Calibri" w:hAnsi="Calibri"/>
          <w:i/>
          <w:iCs/>
          <w:sz w:val="24"/>
          <w:szCs w:val="24"/>
          <w:lang w:val="en-GB"/>
        </w:rPr>
        <w:t>I’ve</w:t>
      </w:r>
      <w:proofErr w:type="gramEnd"/>
      <w:r w:rsidRPr="00B85DD0">
        <w:rPr>
          <w:rFonts w:ascii="Calibri" w:hAnsi="Calibri"/>
          <w:i/>
          <w:iCs/>
          <w:sz w:val="24"/>
          <w:szCs w:val="24"/>
          <w:lang w:val="en-GB"/>
        </w:rPr>
        <w:t xml:space="preserve"> never had a stable income, I usually managed to get some cash by participating in trainings or short-term projects.</w:t>
      </w:r>
    </w:p>
    <w:p w14:paraId="26BC233F" w14:textId="48370C96" w:rsidR="00A97635" w:rsidRPr="00B85DD0" w:rsidRDefault="00A97635" w:rsidP="00B85DD0">
      <w:pPr>
        <w:spacing w:after="240" w:line="276" w:lineRule="auto"/>
        <w:ind w:left="993"/>
        <w:jc w:val="both"/>
        <w:rPr>
          <w:rFonts w:ascii="Calibri" w:hAnsi="Calibri"/>
          <w:i/>
          <w:iCs/>
          <w:sz w:val="24"/>
          <w:szCs w:val="24"/>
          <w:lang w:val="en-GB"/>
        </w:rPr>
      </w:pPr>
      <w:r w:rsidRPr="00B85DD0">
        <w:rPr>
          <w:rFonts w:ascii="Calibri" w:hAnsi="Calibri"/>
          <w:i/>
          <w:iCs/>
          <w:sz w:val="24"/>
          <w:szCs w:val="24"/>
          <w:lang w:val="en-GB"/>
        </w:rPr>
        <w:t>“I need medication on a monthly basis, and the organisation that usually provides me with this is closed. I now have to go to the pharmacy and pay for the medicine myself. I managed to do this for two months, but I don’t think I can afford it for a third month. I am scared of the potential discrimination against people with disabilities. In a normal situation, we are marginalised, so I don’t want to imagine what will happen in an emergency. Gaza’s health sector is in on the edge of collapse, so I fear if there is a widespread outbreak, we won’t be the priority for the hospitals […] Generally, in Gaza we have an issue with repairing assistive devices or accessing new ones. I once spent three years looking for a new commode after mine broke. During this crisis, one of the wheels of my wheelchair broke, and I still can’t find anyone who can fix it.”</w:t>
      </w:r>
    </w:p>
    <w:p w14:paraId="4EA4454F" w14:textId="211E7254"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b/>
          <w:bCs/>
          <w:i/>
          <w:iCs/>
          <w:sz w:val="24"/>
          <w:szCs w:val="24"/>
          <w:lang w:val="en-GB"/>
        </w:rPr>
      </w:pPr>
      <w:r w:rsidRPr="00B85DD0">
        <w:rPr>
          <w:rFonts w:ascii="Calibri" w:hAnsi="Calibri"/>
          <w:b/>
          <w:bCs/>
          <w:sz w:val="24"/>
          <w:szCs w:val="24"/>
          <w:lang w:val="en-GB"/>
        </w:rPr>
        <w:lastRenderedPageBreak/>
        <w:t>Can the State Party evidence how it has addressed the specific needs of people with disabilities in the occupied Palestinian territory to maintain their health, safety, dignity, and independence throughout the COVID-19 outbreak and related health emergencies?</w:t>
      </w:r>
    </w:p>
    <w:p w14:paraId="7E3961E5" w14:textId="09010094" w:rsidR="00A97635" w:rsidRPr="00993BB2" w:rsidRDefault="00A97635" w:rsidP="00B85DD0">
      <w:pPr>
        <w:pStyle w:val="Heading1"/>
        <w:rPr>
          <w:b/>
          <w:bCs/>
          <w:sz w:val="28"/>
          <w:szCs w:val="28"/>
          <w:u w:val="single"/>
        </w:rPr>
      </w:pPr>
      <w:bookmarkStart w:id="27" w:name="_Toc30079362"/>
      <w:bookmarkStart w:id="28" w:name="_Toc45880688"/>
      <w:r w:rsidRPr="00993BB2">
        <w:rPr>
          <w:b/>
          <w:bCs/>
          <w:sz w:val="28"/>
          <w:szCs w:val="28"/>
          <w:u w:val="single"/>
        </w:rPr>
        <w:t>Mental health</w:t>
      </w:r>
      <w:bookmarkEnd w:id="27"/>
      <w:r w:rsidRPr="00993BB2">
        <w:rPr>
          <w:b/>
          <w:bCs/>
          <w:sz w:val="28"/>
          <w:szCs w:val="28"/>
          <w:u w:val="single"/>
        </w:rPr>
        <w:t xml:space="preserve"> in the occupied Palestinian territory</w:t>
      </w:r>
      <w:bookmarkEnd w:id="28"/>
    </w:p>
    <w:p w14:paraId="6CC5BBD8" w14:textId="067FF421"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 xml:space="preserve">Israel’s occupation of Palestinian territory and its blockade and closure of Gaza obstruct Palestinians’ rights to the enjoyment of the highest attainable standard of </w:t>
      </w:r>
      <w:r>
        <w:rPr>
          <w:rFonts w:ascii="Calibri" w:hAnsi="Calibri"/>
          <w:sz w:val="24"/>
          <w:szCs w:val="24"/>
          <w:lang w:val="en-GB"/>
        </w:rPr>
        <w:t xml:space="preserve">physical and </w:t>
      </w:r>
      <w:r w:rsidRPr="00B85DD0">
        <w:rPr>
          <w:rFonts w:ascii="Calibri" w:hAnsi="Calibri"/>
          <w:sz w:val="24"/>
          <w:szCs w:val="24"/>
          <w:lang w:val="en-GB"/>
        </w:rPr>
        <w:t>mental health, in violation of Article 25</w:t>
      </w:r>
      <w:r w:rsidRPr="00A964A3">
        <w:rPr>
          <w:rFonts w:ascii="Calibri" w:hAnsi="Calibri"/>
          <w:sz w:val="24"/>
          <w:szCs w:val="24"/>
          <w:lang w:val="en-GB"/>
        </w:rPr>
        <w:t xml:space="preserve"> </w:t>
      </w:r>
      <w:r>
        <w:rPr>
          <w:rFonts w:ascii="Calibri" w:hAnsi="Calibri"/>
          <w:sz w:val="24"/>
          <w:szCs w:val="24"/>
          <w:lang w:val="en-GB"/>
        </w:rPr>
        <w:t xml:space="preserve">of the </w:t>
      </w:r>
      <w:r w:rsidRPr="00511466">
        <w:rPr>
          <w:rFonts w:ascii="Calibri" w:hAnsi="Calibri"/>
          <w:sz w:val="24"/>
          <w:szCs w:val="24"/>
          <w:lang w:val="en-GB"/>
        </w:rPr>
        <w:t>CRPD</w:t>
      </w:r>
      <w:r w:rsidRPr="00B85DD0">
        <w:rPr>
          <w:rFonts w:ascii="Calibri" w:hAnsi="Calibri"/>
          <w:sz w:val="24"/>
          <w:szCs w:val="24"/>
          <w:lang w:val="en-GB"/>
        </w:rPr>
        <w:t>. Common mental health disorders such as depression and anxiety, the severity of which for some sufferers constitutes a disability, have been found to be twice as prevalent among people living in poverty compared to higher income groups in international studies.</w:t>
      </w:r>
      <w:r w:rsidRPr="00B85DD0">
        <w:rPr>
          <w:rStyle w:val="FootnoteReference"/>
          <w:rFonts w:ascii="Calibri" w:hAnsi="Calibri"/>
          <w:sz w:val="24"/>
          <w:szCs w:val="24"/>
          <w:vertAlign w:val="superscript"/>
          <w:lang w:val="en-GB"/>
        </w:rPr>
        <w:footnoteReference w:id="29"/>
      </w:r>
      <w:r w:rsidRPr="00B85DD0">
        <w:rPr>
          <w:rFonts w:ascii="Calibri" w:hAnsi="Calibri"/>
          <w:sz w:val="24"/>
          <w:szCs w:val="24"/>
          <w:lang w:val="en-GB"/>
        </w:rPr>
        <w:t xml:space="preserve"> In Gaza, where approximately 80% of people are dependent on some form of aid, and nearly half live below the poverty line, depressive and anxiety disorders are respectively the second and seventh highest causes of disability in the oPt.</w:t>
      </w:r>
      <w:r w:rsidRPr="00B85DD0">
        <w:rPr>
          <w:rStyle w:val="FootnoteReference"/>
          <w:rFonts w:ascii="Calibri" w:hAnsi="Calibri"/>
          <w:sz w:val="24"/>
          <w:szCs w:val="24"/>
          <w:vertAlign w:val="superscript"/>
          <w:lang w:val="en-GB"/>
        </w:rPr>
        <w:footnoteReference w:id="30"/>
      </w:r>
    </w:p>
    <w:p w14:paraId="7A6D991B" w14:textId="75C5389A"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Israel’s collective punishment of Gaza’s population through 13 years of illegal closure critically undermines the population’s quality of life and is a key driver of psychological distress.</w:t>
      </w:r>
      <w:r w:rsidRPr="00B85DD0">
        <w:rPr>
          <w:rStyle w:val="FootnoteReference"/>
          <w:rFonts w:ascii="Calibri" w:hAnsi="Calibri"/>
          <w:sz w:val="24"/>
          <w:szCs w:val="24"/>
          <w:vertAlign w:val="superscript"/>
          <w:lang w:val="en-GB"/>
        </w:rPr>
        <w:footnoteReference w:id="31"/>
      </w:r>
      <w:r w:rsidRPr="00B85DD0">
        <w:rPr>
          <w:rFonts w:ascii="Calibri" w:hAnsi="Calibri"/>
          <w:sz w:val="24"/>
          <w:szCs w:val="24"/>
          <w:lang w:val="en-GB"/>
        </w:rPr>
        <w:t xml:space="preserve"> Restrictions on the movement of people and goods, deteriorating socio-economic situation, instability, protracted hostilities and</w:t>
      </w:r>
      <w:r w:rsidR="000B011E" w:rsidRPr="000B011E">
        <w:rPr>
          <w:rFonts w:ascii="Arial" w:hAnsi="Arial" w:cs="Arial"/>
          <w:color w:val="000000"/>
        </w:rPr>
        <w:t xml:space="preserve"> </w:t>
      </w:r>
      <w:r w:rsidR="000B011E" w:rsidRPr="000B011E">
        <w:rPr>
          <w:rFonts w:ascii="Calibri" w:hAnsi="Calibri"/>
          <w:sz w:val="24"/>
          <w:szCs w:val="24"/>
        </w:rPr>
        <w:t>Israel’s use of force against demonstrators</w:t>
      </w:r>
      <w:r w:rsidR="000B011E">
        <w:rPr>
          <w:rFonts w:ascii="Calibri" w:hAnsi="Calibri"/>
          <w:sz w:val="24"/>
          <w:szCs w:val="24"/>
        </w:rPr>
        <w:t xml:space="preserve"> at the</w:t>
      </w:r>
      <w:r w:rsidRPr="00B85DD0">
        <w:rPr>
          <w:rFonts w:ascii="Calibri" w:hAnsi="Calibri"/>
          <w:sz w:val="24"/>
          <w:szCs w:val="24"/>
          <w:lang w:val="en-GB"/>
        </w:rPr>
        <w:t xml:space="preserve"> ‘Great March of Return’ events have all increased the need for mental health and psychosocial support for patients, their families and other vulnerable groups in Gaza.</w:t>
      </w:r>
      <w:r w:rsidRPr="00B85DD0">
        <w:rPr>
          <w:rFonts w:ascii="Calibri" w:hAnsi="Calibri"/>
          <w:sz w:val="24"/>
          <w:szCs w:val="24"/>
          <w:vertAlign w:val="superscript"/>
          <w:lang w:val="en-GB"/>
        </w:rPr>
        <w:footnoteReference w:id="32"/>
      </w:r>
      <w:r w:rsidRPr="00B85DD0">
        <w:rPr>
          <w:rFonts w:ascii="Calibri" w:hAnsi="Calibri"/>
          <w:sz w:val="24"/>
          <w:szCs w:val="24"/>
          <w:lang w:val="en-GB"/>
        </w:rPr>
        <w:t xml:space="preserve"> This has become a major humanitarian priority, particularly for children and adolescents, with significant gaps in terms of infrastructure, essential drugs and the availability of suitably qualified and experienced mental health professionals.</w:t>
      </w:r>
    </w:p>
    <w:p w14:paraId="27AFD15C" w14:textId="2A196901"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In 2017, the UN estimated that 25% of children in Gaza (290,000 children) still needed continuous psychosocial support.</w:t>
      </w:r>
      <w:r w:rsidRPr="00B85DD0">
        <w:rPr>
          <w:rFonts w:ascii="Calibri" w:hAnsi="Calibri"/>
          <w:sz w:val="24"/>
          <w:szCs w:val="24"/>
          <w:vertAlign w:val="superscript"/>
          <w:lang w:val="en-GB"/>
        </w:rPr>
        <w:footnoteReference w:id="33"/>
      </w:r>
      <w:r w:rsidRPr="00B85DD0">
        <w:rPr>
          <w:rFonts w:ascii="Calibri" w:hAnsi="Calibri"/>
          <w:sz w:val="24"/>
          <w:szCs w:val="24"/>
          <w:lang w:val="en-GB"/>
        </w:rPr>
        <w:t xml:space="preserve"> This estimation precedes large-scale violence and casualties inflicted during the ‘Great March of Return’ demonstrations. In March 2019, 68% of children living in areas close to the Israeli perimeter fence had clear indicators of psychosocial distress, with the majority reporting that they had been severely affected by </w:t>
      </w:r>
      <w:r w:rsidRPr="00B85DD0">
        <w:rPr>
          <w:rFonts w:ascii="Calibri" w:hAnsi="Calibri"/>
          <w:sz w:val="24"/>
          <w:szCs w:val="24"/>
          <w:lang w:val="en-GB"/>
        </w:rPr>
        <w:lastRenderedPageBreak/>
        <w:t>the sounds of explosions and media images of conflict. More than half (54%) of children reported having no hope for a brighter future.</w:t>
      </w:r>
      <w:r w:rsidRPr="00B85DD0">
        <w:rPr>
          <w:rFonts w:ascii="Calibri" w:hAnsi="Calibri"/>
          <w:sz w:val="24"/>
          <w:szCs w:val="24"/>
          <w:vertAlign w:val="superscript"/>
          <w:lang w:val="en-GB"/>
        </w:rPr>
        <w:footnoteReference w:id="34"/>
      </w:r>
    </w:p>
    <w:p w14:paraId="146EF407" w14:textId="2BDE04FC" w:rsidR="00A97635"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The WHO outlined key challenges to mental health in the oPt in their 2019 report to World Health Assembly:</w:t>
      </w:r>
    </w:p>
    <w:p w14:paraId="1EFF6C39" w14:textId="7F72052B" w:rsidR="00A97635" w:rsidRPr="00B85DD0" w:rsidRDefault="00A97635" w:rsidP="00B85DD0">
      <w:pPr>
        <w:spacing w:after="240" w:line="276" w:lineRule="auto"/>
        <w:ind w:left="993"/>
        <w:jc w:val="both"/>
        <w:rPr>
          <w:rFonts w:ascii="Calibri" w:hAnsi="Calibri"/>
          <w:sz w:val="24"/>
          <w:szCs w:val="24"/>
          <w:lang w:val="en-GB"/>
        </w:rPr>
      </w:pPr>
      <w:r w:rsidRPr="00B85DD0">
        <w:rPr>
          <w:rFonts w:ascii="Calibri" w:hAnsi="Calibri"/>
          <w:i/>
          <w:iCs/>
          <w:sz w:val="24"/>
          <w:szCs w:val="24"/>
          <w:lang w:val="en-GB"/>
        </w:rPr>
        <w:t>“The mental health of Palestinians is affected by the exposure to violence and the context of chronic occupation, with mental ill health representing one of the most significant public health challenges. In the Gaza Strip, over half of conflict-affected children may be affected by post-traumatic stress disorder. Furthermore, an estimated 210 000, or over one in 10, people suffer from severe or moderate mental health disorders in the Gaza Strip. Overall, the occupied Palestinian territory has one of the highest burdens of adolescent mental disorders in the Eastern Mediterranean Region. About 54% of Palestinian boys and 47% of Palestinian girls aged six to 12 years reportedly have emotional and/or behavioural disorders, and the overall disease burden for mental illness is estimated to account for about 3% of disability-adjusted life years.”</w:t>
      </w:r>
      <w:r w:rsidRPr="00B85DD0">
        <w:rPr>
          <w:rFonts w:ascii="Calibri" w:hAnsi="Calibri"/>
          <w:sz w:val="24"/>
          <w:szCs w:val="24"/>
          <w:vertAlign w:val="superscript"/>
          <w:lang w:val="en-GB"/>
        </w:rPr>
        <w:footnoteReference w:id="35"/>
      </w:r>
    </w:p>
    <w:p w14:paraId="631A58B0" w14:textId="0B94500C" w:rsidR="001D08B9" w:rsidRPr="00B85DD0" w:rsidRDefault="00A97635" w:rsidP="00B85DD0">
      <w:pPr>
        <w:pStyle w:val="ListParagraph"/>
        <w:numPr>
          <w:ilvl w:val="0"/>
          <w:numId w:val="7"/>
        </w:numPr>
        <w:spacing w:after="240" w:line="276" w:lineRule="auto"/>
        <w:ind w:left="425" w:hanging="425"/>
        <w:contextualSpacing w:val="0"/>
        <w:jc w:val="both"/>
        <w:rPr>
          <w:rFonts w:ascii="Calibri" w:hAnsi="Calibri"/>
          <w:sz w:val="24"/>
          <w:szCs w:val="24"/>
          <w:lang w:val="en-GB"/>
        </w:rPr>
      </w:pPr>
      <w:r w:rsidRPr="00B85DD0">
        <w:rPr>
          <w:rFonts w:ascii="Calibri" w:hAnsi="Calibri"/>
          <w:sz w:val="24"/>
          <w:szCs w:val="24"/>
          <w:lang w:val="en-GB"/>
        </w:rPr>
        <w:t xml:space="preserve">Speaking to MAP in April 2018, Dr Yasser Abu Jamei, Director of the Gaza Community Mental Health Programme (GCMHP), underlined the burden placed on the mental health of Gaza’s population: </w:t>
      </w:r>
      <w:r w:rsidRPr="00B85DD0">
        <w:rPr>
          <w:rFonts w:ascii="Calibri" w:hAnsi="Calibri"/>
          <w:i/>
          <w:iCs/>
          <w:sz w:val="24"/>
          <w:szCs w:val="24"/>
          <w:lang w:val="en-GB"/>
        </w:rPr>
        <w:t xml:space="preserve">“The </w:t>
      </w:r>
      <w:r w:rsidRPr="00B85DD0">
        <w:rPr>
          <w:rFonts w:ascii="Calibri" w:hAnsi="Calibri"/>
          <w:sz w:val="24"/>
          <w:szCs w:val="24"/>
          <w:lang w:val="en-GB"/>
        </w:rPr>
        <w:t>population</w:t>
      </w:r>
      <w:r w:rsidRPr="00B85DD0">
        <w:rPr>
          <w:rFonts w:ascii="Calibri" w:hAnsi="Calibri"/>
          <w:i/>
          <w:iCs/>
          <w:sz w:val="24"/>
          <w:szCs w:val="24"/>
          <w:lang w:val="en-GB"/>
        </w:rPr>
        <w:t xml:space="preserve"> in Gaza feels suffocated, beyond suffocation the mental health situation in Gaza is one that can be described as heavy with despair, feelings of frustration, and loss of hope.”</w:t>
      </w:r>
      <w:r>
        <w:rPr>
          <w:rFonts w:ascii="Calibri" w:hAnsi="Calibri"/>
          <w:i/>
          <w:iCs/>
          <w:sz w:val="24"/>
          <w:szCs w:val="24"/>
          <w:lang w:val="en-GB"/>
        </w:rPr>
        <w:t xml:space="preserve"> </w:t>
      </w:r>
      <w:r w:rsidRPr="00B85DD0">
        <w:rPr>
          <w:rFonts w:ascii="Calibri" w:hAnsi="Calibri"/>
          <w:sz w:val="24"/>
          <w:szCs w:val="24"/>
          <w:lang w:val="en-GB"/>
        </w:rPr>
        <w:t xml:space="preserve">Dr Abu </w:t>
      </w:r>
      <w:proofErr w:type="spellStart"/>
      <w:r w:rsidRPr="00B85DD0">
        <w:rPr>
          <w:rFonts w:ascii="Calibri" w:hAnsi="Calibri"/>
          <w:sz w:val="24"/>
          <w:szCs w:val="24"/>
          <w:lang w:val="en-GB"/>
        </w:rPr>
        <w:t>Jamei</w:t>
      </w:r>
      <w:proofErr w:type="spellEnd"/>
      <w:r w:rsidRPr="00B85DD0">
        <w:rPr>
          <w:rFonts w:ascii="Calibri" w:hAnsi="Calibri"/>
          <w:sz w:val="24"/>
          <w:szCs w:val="24"/>
          <w:lang w:val="en-GB"/>
        </w:rPr>
        <w:t xml:space="preserve"> reports that GCMHP have </w:t>
      </w:r>
      <w:r w:rsidRPr="00B85DD0">
        <w:rPr>
          <w:rFonts w:ascii="Calibri" w:hAnsi="Calibri"/>
          <w:i/>
          <w:iCs/>
          <w:sz w:val="24"/>
          <w:szCs w:val="24"/>
          <w:lang w:val="en-GB"/>
        </w:rPr>
        <w:t>“observed some children we have been working with that have had PTSD … are currently relapsing because the external environment does not aid their healing and treatment. Since these children remain in the same environment, exposed to these same levels of trauma triggers, then they will surely relapse.”</w:t>
      </w:r>
      <w:r w:rsidRPr="00B85DD0">
        <w:rPr>
          <w:vertAlign w:val="superscript"/>
          <w:lang w:val="en-GB"/>
        </w:rPr>
        <w:footnoteReference w:id="36"/>
      </w:r>
      <w:r w:rsidRPr="00B85DD0">
        <w:rPr>
          <w:rFonts w:ascii="Calibri" w:hAnsi="Calibri"/>
          <w:sz w:val="24"/>
          <w:szCs w:val="24"/>
          <w:lang w:val="en-GB"/>
        </w:rPr>
        <w:t xml:space="preserve"> F</w:t>
      </w:r>
      <w:r w:rsidR="001D08B9" w:rsidRPr="00B85DD0">
        <w:rPr>
          <w:rFonts w:ascii="Calibri" w:hAnsi="Calibri"/>
          <w:sz w:val="24"/>
          <w:szCs w:val="24"/>
          <w:lang w:val="en-GB"/>
        </w:rPr>
        <w:t xml:space="preserve">requent exposure to violence, means that there is no ‘post’ to </w:t>
      </w:r>
      <w:r>
        <w:rPr>
          <w:rFonts w:ascii="Calibri" w:hAnsi="Calibri"/>
          <w:sz w:val="24"/>
          <w:szCs w:val="24"/>
          <w:lang w:val="en-GB"/>
        </w:rPr>
        <w:t>p</w:t>
      </w:r>
      <w:r w:rsidR="001D08B9" w:rsidRPr="00B85DD0">
        <w:rPr>
          <w:rFonts w:ascii="Calibri" w:hAnsi="Calibri"/>
          <w:sz w:val="24"/>
          <w:szCs w:val="24"/>
          <w:lang w:val="en-GB"/>
        </w:rPr>
        <w:t>ost</w:t>
      </w:r>
      <w:r>
        <w:rPr>
          <w:rFonts w:ascii="Calibri" w:hAnsi="Calibri"/>
          <w:sz w:val="24"/>
          <w:szCs w:val="24"/>
          <w:lang w:val="en-GB"/>
        </w:rPr>
        <w:t>-t</w:t>
      </w:r>
      <w:r w:rsidR="001D08B9" w:rsidRPr="00B85DD0">
        <w:rPr>
          <w:rFonts w:ascii="Calibri" w:hAnsi="Calibri"/>
          <w:sz w:val="24"/>
          <w:szCs w:val="24"/>
          <w:lang w:val="en-GB"/>
        </w:rPr>
        <w:t xml:space="preserve">raumatic </w:t>
      </w:r>
      <w:r>
        <w:rPr>
          <w:rFonts w:ascii="Calibri" w:hAnsi="Calibri"/>
          <w:sz w:val="24"/>
          <w:szCs w:val="24"/>
          <w:lang w:val="en-GB"/>
        </w:rPr>
        <w:t>s</w:t>
      </w:r>
      <w:r w:rsidR="001D08B9" w:rsidRPr="00B85DD0">
        <w:rPr>
          <w:rFonts w:ascii="Calibri" w:hAnsi="Calibri"/>
          <w:sz w:val="24"/>
          <w:szCs w:val="24"/>
          <w:lang w:val="en-GB"/>
        </w:rPr>
        <w:t xml:space="preserve">tress </w:t>
      </w:r>
      <w:r>
        <w:rPr>
          <w:rFonts w:ascii="Calibri" w:hAnsi="Calibri"/>
          <w:sz w:val="24"/>
          <w:szCs w:val="24"/>
          <w:lang w:val="en-GB"/>
        </w:rPr>
        <w:t>d</w:t>
      </w:r>
      <w:r w:rsidR="001D08B9" w:rsidRPr="00B85DD0">
        <w:rPr>
          <w:rFonts w:ascii="Calibri" w:hAnsi="Calibri"/>
          <w:sz w:val="24"/>
          <w:szCs w:val="24"/>
          <w:lang w:val="en-GB"/>
        </w:rPr>
        <w:t>isorder in Gaza.</w:t>
      </w:r>
    </w:p>
    <w:p w14:paraId="0B54E431" w14:textId="53CF8AAA" w:rsidR="00DC69B0" w:rsidRDefault="00DC69B0">
      <w:pPr>
        <w:pStyle w:val="ListParagraph"/>
        <w:numPr>
          <w:ilvl w:val="0"/>
          <w:numId w:val="7"/>
        </w:numPr>
        <w:spacing w:after="240" w:line="276" w:lineRule="auto"/>
        <w:ind w:left="425" w:hanging="425"/>
        <w:contextualSpacing w:val="0"/>
        <w:jc w:val="both"/>
        <w:rPr>
          <w:rFonts w:ascii="Calibri" w:hAnsi="Calibri"/>
          <w:b/>
          <w:bCs/>
          <w:sz w:val="24"/>
          <w:szCs w:val="24"/>
          <w:lang w:val="en-GB"/>
        </w:rPr>
      </w:pPr>
      <w:r w:rsidRPr="00B85DD0">
        <w:rPr>
          <w:rFonts w:ascii="Calibri" w:hAnsi="Calibri"/>
          <w:b/>
          <w:bCs/>
          <w:sz w:val="24"/>
          <w:szCs w:val="24"/>
          <w:lang w:val="en-GB"/>
        </w:rPr>
        <w:t xml:space="preserve">Can the State Party evidence and explain </w:t>
      </w:r>
      <w:r w:rsidR="00AA3B19" w:rsidRPr="00B85DD0">
        <w:rPr>
          <w:rFonts w:ascii="Calibri" w:hAnsi="Calibri"/>
          <w:b/>
          <w:bCs/>
          <w:sz w:val="24"/>
          <w:szCs w:val="24"/>
          <w:lang w:val="en-GB"/>
        </w:rPr>
        <w:t xml:space="preserve">the steps taken to fulfil and protect the right to </w:t>
      </w:r>
      <w:r w:rsidR="00A97635">
        <w:rPr>
          <w:rFonts w:ascii="Calibri" w:hAnsi="Calibri"/>
          <w:b/>
          <w:bCs/>
          <w:sz w:val="24"/>
          <w:szCs w:val="24"/>
          <w:lang w:val="en-GB"/>
        </w:rPr>
        <w:t xml:space="preserve">the highest attainable standard of physical and mental </w:t>
      </w:r>
      <w:r w:rsidR="00AA3B19" w:rsidRPr="00B85DD0">
        <w:rPr>
          <w:rFonts w:ascii="Calibri" w:hAnsi="Calibri"/>
          <w:b/>
          <w:bCs/>
          <w:sz w:val="24"/>
          <w:szCs w:val="24"/>
          <w:lang w:val="en-GB"/>
        </w:rPr>
        <w:t>health of Palestinians</w:t>
      </w:r>
      <w:r w:rsidR="00CA075D" w:rsidRPr="00B85DD0">
        <w:rPr>
          <w:rFonts w:ascii="Calibri" w:hAnsi="Calibri"/>
          <w:b/>
          <w:bCs/>
          <w:sz w:val="24"/>
          <w:szCs w:val="24"/>
          <w:lang w:val="en-GB"/>
        </w:rPr>
        <w:t xml:space="preserve"> in the occupied Palestinian territory</w:t>
      </w:r>
      <w:r w:rsidR="00AA3B19" w:rsidRPr="00B85DD0">
        <w:rPr>
          <w:rFonts w:ascii="Calibri" w:hAnsi="Calibri"/>
          <w:b/>
          <w:bCs/>
          <w:sz w:val="24"/>
          <w:szCs w:val="24"/>
          <w:lang w:val="en-GB"/>
        </w:rPr>
        <w:t>, including Palestinians with disabilities?</w:t>
      </w:r>
    </w:p>
    <w:p w14:paraId="26385866" w14:textId="73BE58BE" w:rsidR="000B011E" w:rsidRPr="000B011E" w:rsidRDefault="000B011E" w:rsidP="00B85DD0">
      <w:pPr>
        <w:pStyle w:val="ListParagraph"/>
        <w:ind w:left="360"/>
        <w:rPr>
          <w:lang w:val="en-GB"/>
        </w:rPr>
      </w:pPr>
    </w:p>
    <w:sectPr w:rsidR="000B011E" w:rsidRPr="000B011E" w:rsidSect="007C1B4F">
      <w:headerReference w:type="default" r:id="rId11"/>
      <w:footerReference w:type="even" r:id="rId12"/>
      <w:footerReference w:type="default" r:id="rId13"/>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B7556" w14:textId="77777777" w:rsidR="009C3345" w:rsidRDefault="009C3345" w:rsidP="00B33FF0">
      <w:pPr>
        <w:spacing w:after="0" w:line="240" w:lineRule="auto"/>
      </w:pPr>
      <w:r>
        <w:separator/>
      </w:r>
    </w:p>
  </w:endnote>
  <w:endnote w:type="continuationSeparator" w:id="0">
    <w:p w14:paraId="03945B5E" w14:textId="77777777" w:rsidR="009C3345" w:rsidRDefault="009C3345" w:rsidP="00B33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18AC3" w14:textId="77777777" w:rsidR="00A964A3" w:rsidRDefault="00A964A3" w:rsidP="00B85DD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A9780B" w14:textId="77777777" w:rsidR="00A964A3" w:rsidRDefault="00A964A3" w:rsidP="00B85D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C7EF1" w14:textId="77777777" w:rsidR="00A964A3" w:rsidRPr="009231BA" w:rsidRDefault="00A964A3" w:rsidP="00B85DD0">
    <w:pPr>
      <w:pStyle w:val="Footer"/>
      <w:framePr w:wrap="none" w:vAnchor="text" w:hAnchor="margin" w:xAlign="right" w:y="1"/>
      <w:rPr>
        <w:rStyle w:val="PageNumber"/>
      </w:rPr>
    </w:pPr>
    <w:r w:rsidRPr="009231BA">
      <w:rPr>
        <w:rStyle w:val="PageNumber"/>
      </w:rPr>
      <w:fldChar w:fldCharType="begin"/>
    </w:r>
    <w:r w:rsidRPr="007509A0">
      <w:rPr>
        <w:rStyle w:val="PageNumber"/>
      </w:rPr>
      <w:instrText xml:space="preserve">PAGE  </w:instrText>
    </w:r>
    <w:r w:rsidRPr="009231BA">
      <w:rPr>
        <w:rStyle w:val="PageNumber"/>
      </w:rPr>
      <w:fldChar w:fldCharType="separate"/>
    </w:r>
    <w:r w:rsidR="007550CF">
      <w:rPr>
        <w:rStyle w:val="PageNumber"/>
        <w:noProof/>
      </w:rPr>
      <w:t>4</w:t>
    </w:r>
    <w:r w:rsidRPr="009231BA">
      <w:rPr>
        <w:rStyle w:val="PageNumber"/>
      </w:rPr>
      <w:fldChar w:fldCharType="end"/>
    </w:r>
  </w:p>
  <w:p w14:paraId="599E5FA2" w14:textId="77777777" w:rsidR="00A964A3" w:rsidRPr="009231BA" w:rsidRDefault="00A964A3" w:rsidP="00B85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917A92" w14:textId="77777777" w:rsidR="009C3345" w:rsidRDefault="009C3345" w:rsidP="00B33FF0">
      <w:pPr>
        <w:spacing w:after="0" w:line="240" w:lineRule="auto"/>
      </w:pPr>
      <w:r>
        <w:separator/>
      </w:r>
    </w:p>
  </w:footnote>
  <w:footnote w:type="continuationSeparator" w:id="0">
    <w:p w14:paraId="1A3AAD60" w14:textId="77777777" w:rsidR="009C3345" w:rsidRDefault="009C3345" w:rsidP="00B33FF0">
      <w:pPr>
        <w:spacing w:after="0" w:line="240" w:lineRule="auto"/>
      </w:pPr>
      <w:r>
        <w:continuationSeparator/>
      </w:r>
    </w:p>
  </w:footnote>
  <w:footnote w:id="1">
    <w:p w14:paraId="7511A436" w14:textId="2E96079D" w:rsidR="00A97635" w:rsidRPr="00B85DD0" w:rsidRDefault="00A97635" w:rsidP="00B85DD0">
      <w:pPr>
        <w:spacing w:after="0" w:line="20" w:lineRule="atLeast"/>
        <w:rPr>
          <w:rFonts w:ascii="Calibri" w:hAnsi="Calibri"/>
        </w:rPr>
      </w:pPr>
      <w:r w:rsidRPr="00B85DD0">
        <w:rPr>
          <w:rStyle w:val="FootnoteReference"/>
          <w:rFonts w:ascii="Calibri" w:hAnsi="Calibri"/>
          <w:sz w:val="20"/>
          <w:szCs w:val="20"/>
          <w:vertAlign w:val="superscript"/>
          <w:lang w:val="en-GB"/>
        </w:rPr>
        <w:footnoteRef/>
      </w:r>
      <w:r w:rsidRPr="00B85DD0">
        <w:rPr>
          <w:rFonts w:ascii="Calibri" w:hAnsi="Calibri"/>
          <w:sz w:val="20"/>
          <w:szCs w:val="20"/>
          <w:vertAlign w:val="superscript"/>
          <w:lang w:val="en-GB"/>
        </w:rPr>
        <w:t xml:space="preserve"> </w:t>
      </w:r>
      <w:r w:rsidRPr="00B85DD0">
        <w:rPr>
          <w:rFonts w:ascii="Calibri" w:hAnsi="Calibri"/>
          <w:sz w:val="20"/>
          <w:szCs w:val="20"/>
          <w:lang w:val="en-GB"/>
        </w:rPr>
        <w:t>Committee on the Rights of Persons with Disabilities, Initial re</w:t>
      </w:r>
      <w:r>
        <w:rPr>
          <w:rFonts w:ascii="Calibri" w:hAnsi="Calibri"/>
          <w:sz w:val="20"/>
          <w:szCs w:val="20"/>
          <w:lang w:val="en-GB"/>
        </w:rPr>
        <w:t>port submitted by Israel under A</w:t>
      </w:r>
      <w:r w:rsidRPr="00EF108A">
        <w:rPr>
          <w:rFonts w:ascii="Calibri" w:hAnsi="Calibri"/>
          <w:sz w:val="20"/>
          <w:szCs w:val="20"/>
          <w:lang w:val="en-GB"/>
        </w:rPr>
        <w:t xml:space="preserve">rticle 35 </w:t>
      </w:r>
      <w:r>
        <w:rPr>
          <w:rFonts w:ascii="Calibri" w:hAnsi="Calibri"/>
          <w:sz w:val="20"/>
          <w:szCs w:val="20"/>
          <w:lang w:val="en-GB"/>
        </w:rPr>
        <w:t xml:space="preserve">of the Convention, due in 2014, </w:t>
      </w:r>
      <w:r w:rsidRPr="0024105D">
        <w:rPr>
          <w:rFonts w:ascii="Calibri" w:hAnsi="Calibri"/>
          <w:sz w:val="20"/>
          <w:szCs w:val="20"/>
          <w:lang w:val="en-GB"/>
        </w:rPr>
        <w:t>8 March 2019</w:t>
      </w:r>
      <w:r>
        <w:rPr>
          <w:rFonts w:ascii="Calibri" w:hAnsi="Calibri"/>
          <w:sz w:val="20"/>
          <w:szCs w:val="20"/>
          <w:lang w:val="en-GB"/>
        </w:rPr>
        <w:t xml:space="preserve">, UN Doc </w:t>
      </w:r>
      <w:r w:rsidRPr="0024105D">
        <w:rPr>
          <w:rFonts w:ascii="Calibri" w:hAnsi="Calibri"/>
          <w:sz w:val="20"/>
          <w:szCs w:val="20"/>
          <w:lang w:val="en-GB"/>
        </w:rPr>
        <w:t>CRPD/C/ISR/1</w:t>
      </w:r>
      <w:r>
        <w:rPr>
          <w:rFonts w:ascii="Calibri" w:hAnsi="Calibri"/>
          <w:sz w:val="20"/>
          <w:szCs w:val="20"/>
          <w:lang w:val="en-GB"/>
        </w:rPr>
        <w:t xml:space="preserve"> (hereinafter ‘State report’).</w:t>
      </w:r>
    </w:p>
  </w:footnote>
  <w:footnote w:id="2">
    <w:p w14:paraId="667AC21D" w14:textId="38347210" w:rsidR="00A97635" w:rsidRPr="00B85DD0" w:rsidRDefault="00A97635" w:rsidP="00B85DD0">
      <w:pPr>
        <w:spacing w:after="0" w:line="20" w:lineRule="atLeast"/>
        <w:rPr>
          <w:rFonts w:ascii="Calibri" w:hAnsi="Calibri"/>
        </w:rPr>
      </w:pPr>
      <w:r w:rsidRPr="00B85DD0">
        <w:rPr>
          <w:rStyle w:val="FootnoteReference"/>
          <w:rFonts w:ascii="Calibri" w:hAnsi="Calibri"/>
          <w:sz w:val="20"/>
          <w:szCs w:val="20"/>
          <w:vertAlign w:val="superscript"/>
          <w:lang w:val="en-GB"/>
        </w:rPr>
        <w:footnoteRef/>
      </w:r>
      <w:r w:rsidRPr="00BE4D23">
        <w:rPr>
          <w:rFonts w:ascii="Calibri" w:hAnsi="Calibri"/>
          <w:sz w:val="20"/>
          <w:szCs w:val="20"/>
          <w:vertAlign w:val="superscript"/>
          <w:lang w:val="en-GB"/>
        </w:rPr>
        <w:t xml:space="preserve"> </w:t>
      </w:r>
      <w:r>
        <w:rPr>
          <w:rFonts w:ascii="Calibri" w:hAnsi="Calibri"/>
          <w:i/>
          <w:iCs/>
          <w:sz w:val="20"/>
          <w:szCs w:val="20"/>
          <w:lang w:val="en-GB"/>
        </w:rPr>
        <w:t xml:space="preserve">Convention on the Rights of Persons with Disabilities </w:t>
      </w:r>
      <w:r>
        <w:rPr>
          <w:rFonts w:ascii="Calibri" w:hAnsi="Calibri"/>
          <w:sz w:val="20"/>
          <w:szCs w:val="20"/>
          <w:lang w:val="en-GB"/>
        </w:rPr>
        <w:t xml:space="preserve">(adopted </w:t>
      </w:r>
      <w:r w:rsidRPr="0024105D">
        <w:rPr>
          <w:rFonts w:ascii="Calibri" w:hAnsi="Calibri"/>
          <w:sz w:val="20"/>
          <w:szCs w:val="20"/>
          <w:lang w:val="en-GB"/>
        </w:rPr>
        <w:t>13 December 2006</w:t>
      </w:r>
      <w:r>
        <w:rPr>
          <w:rFonts w:ascii="Calibri" w:hAnsi="Calibri"/>
          <w:sz w:val="20"/>
          <w:szCs w:val="20"/>
          <w:lang w:val="en-GB"/>
        </w:rPr>
        <w:t>, entry into force 3 May 2008) 2515 UNTS 3 (CRPD).</w:t>
      </w:r>
    </w:p>
  </w:footnote>
  <w:footnote w:id="3">
    <w:p w14:paraId="3B3486B8" w14:textId="7949F92B" w:rsidR="00A97635" w:rsidRPr="00B85DD0" w:rsidRDefault="00A97635" w:rsidP="00B85DD0">
      <w:pPr>
        <w:pStyle w:val="FootnoteText"/>
        <w:spacing w:line="20" w:lineRule="atLeast"/>
        <w:rPr>
          <w:rFonts w:ascii="Calibri" w:hAnsi="Calibri"/>
          <w:lang w:val="fr-FR"/>
        </w:rPr>
      </w:pPr>
      <w:r w:rsidRPr="00B85DD0">
        <w:rPr>
          <w:rStyle w:val="FootnoteReference"/>
          <w:rFonts w:ascii="Calibri" w:hAnsi="Calibri"/>
          <w:vertAlign w:val="superscript"/>
          <w:lang w:val="en-GB"/>
        </w:rPr>
        <w:footnoteRef/>
      </w:r>
      <w:r w:rsidRPr="00B85DD0">
        <w:rPr>
          <w:rFonts w:ascii="Calibri" w:hAnsi="Calibri"/>
          <w:lang w:val="fr-FR"/>
        </w:rPr>
        <w:t xml:space="preserve"> ICJ (2004), </w:t>
      </w:r>
      <w:hyperlink r:id="rId1" w:history="1">
        <w:r w:rsidRPr="00B85DD0">
          <w:rPr>
            <w:rStyle w:val="Hyperlink"/>
            <w:rFonts w:ascii="Calibri" w:hAnsi="Calibri"/>
            <w:lang w:val="fr-FR"/>
          </w:rPr>
          <w:t>https://www.icj-cij.org/files/case-related/131/131-20040709-ADV-01-00-EN.pdf</w:t>
        </w:r>
      </w:hyperlink>
      <w:r w:rsidRPr="00B85DD0">
        <w:rPr>
          <w:rFonts w:ascii="Calibri" w:hAnsi="Calibri"/>
          <w:lang w:val="fr-FR"/>
        </w:rPr>
        <w:t xml:space="preserve"> </w:t>
      </w:r>
    </w:p>
  </w:footnote>
  <w:footnote w:id="4">
    <w:p w14:paraId="6180A819" w14:textId="2E3F47AE"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See: CERD (2019), </w:t>
      </w:r>
      <w:hyperlink r:id="rId2" w:tgtFrame="_blank" w:history="1">
        <w:r w:rsidRPr="00B85DD0">
          <w:rPr>
            <w:rStyle w:val="Hyperlink"/>
            <w:rFonts w:ascii="Calibri" w:hAnsi="Calibri"/>
            <w:lang w:val="en-GB"/>
          </w:rPr>
          <w:t>https://tbinternet.ohchr.org/Treaties/CERD/Shared%20Documents/ISR/INT_CERD_COC_ISR_40809_E.pdf</w:t>
        </w:r>
      </w:hyperlink>
      <w:r w:rsidRPr="00B85DD0">
        <w:rPr>
          <w:rFonts w:ascii="Calibri" w:hAnsi="Calibri"/>
          <w:lang w:val="en-GB"/>
        </w:rPr>
        <w:t> (paras 9-10); CESCR (2019), </w:t>
      </w:r>
      <w:hyperlink r:id="rId3" w:tgtFrame="_blank" w:history="1">
        <w:r w:rsidRPr="00B85DD0">
          <w:rPr>
            <w:rStyle w:val="Hyperlink"/>
            <w:rFonts w:ascii="Calibri" w:hAnsi="Calibri"/>
            <w:lang w:val="en-GB"/>
          </w:rPr>
          <w:t>http://docstore.ohchr.org/SelfServices/FilesHandler.ashx?enc=4slQ6QSmlBEDzFEovLCuW0fekJcyLVE4h%2FkYmh4jSatSY66nsJOxboaAu4bfCDK5HY6MTTcGy79Oycfl9hr1wv3zD%2FCRdXz86uGTURl%2BJvrNJQLfgjL9vVSE7OE5dJet</w:t>
        </w:r>
      </w:hyperlink>
      <w:r w:rsidRPr="00B85DD0">
        <w:rPr>
          <w:rFonts w:ascii="Calibri" w:hAnsi="Calibri"/>
          <w:lang w:val="en-GB"/>
        </w:rPr>
        <w:t> (paras 6-7); CEDAW (2018), </w:t>
      </w:r>
      <w:hyperlink r:id="rId4" w:tgtFrame="_blank" w:history="1">
        <w:r w:rsidRPr="00B85DD0">
          <w:rPr>
            <w:rStyle w:val="Hyperlink"/>
            <w:rFonts w:ascii="Calibri" w:hAnsi="Calibri"/>
            <w:lang w:val="en-GB"/>
          </w:rPr>
          <w:t>https://tbinternet.ohchr.org/_layouts/15/treatybodyexternal/Download.aspx?symbolno=CEDAW%2fC%2fISR%2fCO%2f6&amp;Lang=en</w:t>
        </w:r>
      </w:hyperlink>
      <w:r w:rsidRPr="00B85DD0">
        <w:rPr>
          <w:rFonts w:ascii="Calibri" w:hAnsi="Calibri"/>
          <w:lang w:val="en-GB"/>
        </w:rPr>
        <w:t> (paras 14-15); CAT (2016), </w:t>
      </w:r>
      <w:hyperlink r:id="rId5" w:tgtFrame="_blank" w:history="1">
        <w:r w:rsidRPr="00B85DD0">
          <w:rPr>
            <w:rStyle w:val="Hyperlink"/>
            <w:rFonts w:ascii="Calibri" w:hAnsi="Calibri"/>
            <w:lang w:val="en-GB"/>
          </w:rPr>
          <w:t>https://docstore.ohchr.org/SelfServices/FilesHandler.ashx?enc=6QkG1d%2FPPRiCAqhKb7yhsmEKqNhdzbzr4kqou1ZPE79BvBJe97SSM1KP2v4ng3Dhx74ohsby7x4AlEgvGhwtvav7rPvZmtwpwObldkyK%2BM9cNY7svWLlYmp6PB4chW8O</w:t>
        </w:r>
      </w:hyperlink>
      <w:r w:rsidRPr="00B85DD0">
        <w:rPr>
          <w:rFonts w:ascii="Calibri" w:hAnsi="Calibri"/>
          <w:lang w:val="en-GB"/>
        </w:rPr>
        <w:t> (paras 8-9)</w:t>
      </w:r>
    </w:p>
  </w:footnote>
  <w:footnote w:id="5">
    <w:p w14:paraId="1A49E1D8" w14:textId="6327B357"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Geneva Academy (2019), </w:t>
      </w:r>
      <w:hyperlink r:id="rId6" w:history="1">
        <w:r w:rsidRPr="00B85DD0">
          <w:rPr>
            <w:rStyle w:val="Hyperlink"/>
            <w:rFonts w:ascii="Calibri" w:hAnsi="Calibri"/>
            <w:lang w:val="en-GB"/>
          </w:rPr>
          <w:t>https://www.geneva-academy.ch/joomlatools-files/docman-files/Academy%20Briefing%2014-interactif.pdf</w:t>
        </w:r>
      </w:hyperlink>
      <w:r w:rsidRPr="00B85DD0">
        <w:rPr>
          <w:rFonts w:ascii="Calibri" w:hAnsi="Calibri"/>
          <w:lang w:val="en-GB"/>
        </w:rPr>
        <w:t xml:space="preserve"> </w:t>
      </w:r>
    </w:p>
  </w:footnote>
  <w:footnote w:id="6">
    <w:p w14:paraId="238CD0FD" w14:textId="1388A3B0"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Geneva Academy (2019), </w:t>
      </w:r>
      <w:hyperlink r:id="rId7" w:history="1">
        <w:r w:rsidRPr="00B85DD0">
          <w:rPr>
            <w:rStyle w:val="Hyperlink"/>
            <w:rFonts w:ascii="Calibri" w:hAnsi="Calibri"/>
            <w:lang w:val="en-GB"/>
          </w:rPr>
          <w:t>https://www.geneva-academy.ch/joomlatools-files/docman-files/Academy%20Briefing%2014-interactif.pdf</w:t>
        </w:r>
      </w:hyperlink>
    </w:p>
  </w:footnote>
  <w:footnote w:id="7">
    <w:p w14:paraId="1903517F" w14:textId="1C53B472"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PCBS (2018), </w:t>
      </w:r>
      <w:hyperlink r:id="rId8" w:history="1">
        <w:r w:rsidRPr="00B85DD0">
          <w:rPr>
            <w:rStyle w:val="Hyperlink"/>
            <w:rFonts w:ascii="Calibri" w:hAnsi="Calibri"/>
            <w:lang w:val="en-GB"/>
          </w:rPr>
          <w:t>http://www.pcbs.gov.ps/portals/_pcbs/PressRelease/Press_En_Preliminary_Results_Report-en-with-tables.pdf</w:t>
        </w:r>
      </w:hyperlink>
      <w:r w:rsidRPr="00B85DD0">
        <w:rPr>
          <w:rFonts w:ascii="Calibri" w:hAnsi="Calibri"/>
          <w:lang w:val="en-GB"/>
        </w:rPr>
        <w:t xml:space="preserve"> </w:t>
      </w:r>
    </w:p>
  </w:footnote>
  <w:footnote w:id="8">
    <w:p w14:paraId="2A29BAC7" w14:textId="58507C3F"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PCBS (2018), </w:t>
      </w:r>
      <w:hyperlink r:id="rId9" w:history="1">
        <w:r w:rsidRPr="00B85DD0">
          <w:rPr>
            <w:rStyle w:val="Hyperlink"/>
            <w:rFonts w:ascii="Calibri" w:hAnsi="Calibri"/>
            <w:lang w:val="en-GB"/>
          </w:rPr>
          <w:t>http://www.pcbs.gov.ps/portals/_pcbs/PressRelease/Press_En_Preliminary_Results_Report-en-with-tables.pdf</w:t>
        </w:r>
      </w:hyperlink>
      <w:r w:rsidRPr="00B85DD0">
        <w:rPr>
          <w:rFonts w:ascii="Calibri" w:hAnsi="Calibri"/>
          <w:lang w:val="en-GB"/>
        </w:rPr>
        <w:t xml:space="preserve"> </w:t>
      </w:r>
    </w:p>
  </w:footnote>
  <w:footnote w:id="9">
    <w:p w14:paraId="7AAF492C" w14:textId="73421111"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ICRC (2010), </w:t>
      </w:r>
      <w:hyperlink r:id="rId10" w:history="1">
        <w:r w:rsidRPr="00B85DD0">
          <w:rPr>
            <w:rStyle w:val="Hyperlink"/>
            <w:rFonts w:ascii="Calibri" w:hAnsi="Calibri"/>
            <w:lang w:val="en-GB"/>
          </w:rPr>
          <w:t>https://www.icrc.org/en/doc/resources/documents/update/palestine-update-140610.htm</w:t>
        </w:r>
      </w:hyperlink>
    </w:p>
  </w:footnote>
  <w:footnote w:id="10">
    <w:p w14:paraId="2890B408" w14:textId="4B33D626"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UNCT (2012), </w:t>
      </w:r>
      <w:hyperlink r:id="rId11" w:history="1">
        <w:r w:rsidRPr="00B85DD0">
          <w:rPr>
            <w:rStyle w:val="Hyperlink"/>
            <w:rFonts w:ascii="Calibri" w:hAnsi="Calibri"/>
            <w:lang w:val="en-GB"/>
          </w:rPr>
          <w:t>https://www.unrwa.org/userfiles/file/publications/gaza/Gaza%20in%202020.pdf</w:t>
        </w:r>
      </w:hyperlink>
    </w:p>
  </w:footnote>
  <w:footnote w:id="11">
    <w:p w14:paraId="585D1283" w14:textId="37266DAD"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Gisha (2020), </w:t>
      </w:r>
      <w:hyperlink r:id="rId12" w:history="1">
        <w:r w:rsidRPr="00B85DD0">
          <w:rPr>
            <w:rStyle w:val="Hyperlink"/>
            <w:rFonts w:ascii="Calibri" w:hAnsi="Calibri"/>
            <w:lang w:val="en-GB"/>
          </w:rPr>
          <w:t>https://gisha.org/en-blog/2020/01/01/the-un-predicted-gaza-would-be-unlivable-by-2020-they-were-right/</w:t>
        </w:r>
      </w:hyperlink>
    </w:p>
  </w:footnote>
  <w:footnote w:id="12">
    <w:p w14:paraId="0DE561A0" w14:textId="77777777"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OCHA (January 2020), </w:t>
      </w:r>
      <w:hyperlink r:id="rId13" w:history="1">
        <w:r w:rsidRPr="00B85DD0">
          <w:rPr>
            <w:rStyle w:val="Hyperlink"/>
            <w:rFonts w:ascii="Calibri" w:hAnsi="Calibri"/>
            <w:lang w:val="en-GB"/>
          </w:rPr>
          <w:t>https://www.ochaopt.org/sites/default/files/hrp_2020.pdf</w:t>
        </w:r>
      </w:hyperlink>
    </w:p>
  </w:footnote>
  <w:footnote w:id="13">
    <w:p w14:paraId="218AA7C0" w14:textId="77777777"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OCHA (2017), </w:t>
      </w:r>
      <w:hyperlink r:id="rId14" w:history="1">
        <w:r w:rsidRPr="00B85DD0">
          <w:rPr>
            <w:rStyle w:val="Hyperlink"/>
            <w:rFonts w:ascii="Calibri" w:hAnsi="Calibri"/>
            <w:lang w:val="en-GB"/>
          </w:rPr>
          <w:t>https://www.ochaopt.org/content/gaza-people-disabilities-disproportionately-affected-energy-and-salary-crisis</w:t>
        </w:r>
      </w:hyperlink>
    </w:p>
  </w:footnote>
  <w:footnote w:id="14">
    <w:p w14:paraId="56659B42" w14:textId="469A111B" w:rsidR="00A97635" w:rsidRPr="00B85DD0" w:rsidRDefault="00A97635" w:rsidP="00B85DD0">
      <w:pPr>
        <w:pStyle w:val="NoSpacing"/>
        <w:spacing w:line="20" w:lineRule="atLeast"/>
        <w:rPr>
          <w:rFonts w:ascii="Calibri" w:hAnsi="Calibri"/>
          <w:i/>
          <w:iCs/>
          <w:sz w:val="20"/>
          <w:szCs w:val="20"/>
        </w:rPr>
      </w:pPr>
      <w:r w:rsidRPr="00B85DD0">
        <w:rPr>
          <w:rStyle w:val="FootnoteReference"/>
          <w:rFonts w:ascii="Calibri" w:hAnsi="Calibri"/>
          <w:sz w:val="20"/>
          <w:szCs w:val="20"/>
          <w:vertAlign w:val="superscript"/>
        </w:rPr>
        <w:footnoteRef/>
      </w:r>
      <w:r>
        <w:rPr>
          <w:rFonts w:ascii="Calibri" w:hAnsi="Calibri"/>
          <w:sz w:val="20"/>
          <w:szCs w:val="20"/>
        </w:rPr>
        <w:t xml:space="preserve"> </w:t>
      </w:r>
      <w:r w:rsidRPr="00B85DD0">
        <w:rPr>
          <w:rFonts w:ascii="Calibri" w:hAnsi="Calibri"/>
          <w:sz w:val="20"/>
          <w:szCs w:val="20"/>
        </w:rPr>
        <w:t xml:space="preserve">UK Aid (2019), </w:t>
      </w:r>
      <w:hyperlink r:id="rId15" w:history="1">
        <w:r w:rsidRPr="00B85DD0">
          <w:rPr>
            <w:rStyle w:val="Hyperlink"/>
            <w:rFonts w:ascii="Calibri" w:hAnsi="Calibri"/>
            <w:sz w:val="20"/>
            <w:szCs w:val="20"/>
          </w:rPr>
          <w:t>https://assets.publishing.service.gov.uk/government/uploads/system/uploads/attachment_data/file/818130/query-12-Gaza-mapping.pdf</w:t>
        </w:r>
      </w:hyperlink>
      <w:r w:rsidRPr="00B85DD0">
        <w:rPr>
          <w:rFonts w:ascii="Calibri" w:hAnsi="Calibri"/>
          <w:sz w:val="20"/>
          <w:szCs w:val="20"/>
        </w:rPr>
        <w:t xml:space="preserve">. UNRWA also cited in 2016 that in Gaza, only 3,127 (11%) people with disabilities over 18 years of age were in the labour force, </w:t>
      </w:r>
      <w:hyperlink r:id="rId16" w:history="1">
        <w:r w:rsidRPr="00B85DD0">
          <w:rPr>
            <w:rStyle w:val="Hyperlink"/>
            <w:rFonts w:ascii="Calibri" w:hAnsi="Calibri"/>
            <w:sz w:val="20"/>
            <w:szCs w:val="20"/>
          </w:rPr>
          <w:t>https://www.unrwa.org/resources/about-unrwa/supporting-persons-disabilities</w:t>
        </w:r>
      </w:hyperlink>
      <w:r w:rsidRPr="00B85DD0">
        <w:rPr>
          <w:rFonts w:ascii="Calibri" w:hAnsi="Calibri"/>
          <w:sz w:val="20"/>
          <w:szCs w:val="20"/>
        </w:rPr>
        <w:t xml:space="preserve"> </w:t>
      </w:r>
    </w:p>
  </w:footnote>
  <w:footnote w:id="15">
    <w:p w14:paraId="4ED9B1D6" w14:textId="7F341C29" w:rsidR="00B85DD0" w:rsidRPr="00B85DD0" w:rsidRDefault="00B85DD0">
      <w:pPr>
        <w:pStyle w:val="FootnoteText"/>
        <w:rPr>
          <w:lang w:val="en-GB"/>
        </w:rPr>
      </w:pPr>
      <w:r w:rsidRPr="00B85DD0">
        <w:rPr>
          <w:rStyle w:val="FootnoteReference"/>
          <w:vertAlign w:val="superscript"/>
        </w:rPr>
        <w:footnoteRef/>
      </w:r>
      <w:r w:rsidRPr="00B85DD0">
        <w:rPr>
          <w:vertAlign w:val="superscript"/>
        </w:rPr>
        <w:t xml:space="preserve"> </w:t>
      </w:r>
      <w:r>
        <w:t xml:space="preserve">OHCHR (2020), </w:t>
      </w:r>
      <w:hyperlink r:id="rId17" w:history="1">
        <w:r>
          <w:rPr>
            <w:rStyle w:val="Hyperlink"/>
          </w:rPr>
          <w:t>https://www.ohchr.org/EN/NewsEvents/Pages/DisplayNews.aspx?NewsID=26111</w:t>
        </w:r>
      </w:hyperlink>
      <w:r>
        <w:t xml:space="preserve"> </w:t>
      </w:r>
    </w:p>
  </w:footnote>
  <w:footnote w:id="16">
    <w:p w14:paraId="55B52CC0" w14:textId="126AC933"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Information provided by the family to MAP’s staff and partners in Gaza</w:t>
      </w:r>
    </w:p>
  </w:footnote>
  <w:footnote w:id="17">
    <w:p w14:paraId="3BA39A0C" w14:textId="245EC8A3"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Disability Representative Bodies Network (2015), </w:t>
      </w:r>
      <w:r w:rsidR="001F47CD" w:rsidRPr="00B85DD0">
        <w:rPr>
          <w:rFonts w:ascii="Calibri" w:hAnsi="Calibri"/>
          <w:lang w:val="en-GB"/>
        </w:rPr>
        <w:t xml:space="preserve">The Suffering of Persons with Disabilities </w:t>
      </w:r>
      <w:proofErr w:type="gramStart"/>
      <w:r w:rsidR="001F47CD" w:rsidRPr="00B85DD0">
        <w:rPr>
          <w:rFonts w:ascii="Calibri" w:hAnsi="Calibri"/>
          <w:lang w:val="en-GB"/>
        </w:rPr>
        <w:t>From</w:t>
      </w:r>
      <w:proofErr w:type="gramEnd"/>
      <w:r w:rsidR="001F47CD" w:rsidRPr="00B85DD0">
        <w:rPr>
          <w:rFonts w:ascii="Calibri" w:hAnsi="Calibri"/>
          <w:lang w:val="en-GB"/>
        </w:rPr>
        <w:t xml:space="preserve"> The Violations Of Israeli Occupation Forces During the Operation Protective Edge </w:t>
      </w:r>
      <w:r w:rsidRPr="00B85DD0">
        <w:rPr>
          <w:rFonts w:ascii="Calibri" w:hAnsi="Calibri"/>
          <w:lang w:val="en-GB"/>
        </w:rPr>
        <w:t>(pdf of report attached with submission)</w:t>
      </w:r>
    </w:p>
  </w:footnote>
  <w:footnote w:id="18">
    <w:p w14:paraId="7EB2A114" w14:textId="77777777"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MAP (2015), </w:t>
      </w:r>
      <w:hyperlink r:id="rId18" w:history="1">
        <w:r w:rsidRPr="00B85DD0">
          <w:rPr>
            <w:rStyle w:val="Hyperlink"/>
            <w:rFonts w:ascii="Calibri" w:hAnsi="Calibri"/>
            <w:sz w:val="20"/>
            <w:szCs w:val="20"/>
          </w:rPr>
          <w:t>https://www.map.org.uk/downloads/no-more-impunity--gazas-health-sector-under-attack.pdf p15</w:t>
        </w:r>
      </w:hyperlink>
    </w:p>
  </w:footnote>
  <w:footnote w:id="19">
    <w:p w14:paraId="73F688C3" w14:textId="0357CE7A"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MAP, Al Mezan &amp; LPHR (2020) </w:t>
      </w:r>
      <w:hyperlink r:id="rId19" w:history="1">
        <w:r w:rsidRPr="00B85DD0">
          <w:rPr>
            <w:rStyle w:val="Hyperlink"/>
            <w:rFonts w:ascii="Calibri" w:hAnsi="Calibri"/>
            <w:lang w:val="en-GB"/>
          </w:rPr>
          <w:t>https://www.map.org.uk/downloads/chronic-impunity-gazas-health-sector-under-repeated-attack.pdf</w:t>
        </w:r>
      </w:hyperlink>
      <w:r w:rsidRPr="00B85DD0">
        <w:rPr>
          <w:rFonts w:ascii="Calibri" w:hAnsi="Calibri"/>
          <w:lang w:val="en-GB"/>
        </w:rPr>
        <w:t xml:space="preserve"> (p3)</w:t>
      </w:r>
    </w:p>
  </w:footnote>
  <w:footnote w:id="20">
    <w:p w14:paraId="5F48CF5F" w14:textId="7D4C2D40"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OHCHR (2018), </w:t>
      </w:r>
      <w:hyperlink r:id="rId20" w:history="1">
        <w:r w:rsidRPr="00B85DD0">
          <w:rPr>
            <w:rStyle w:val="Hyperlink"/>
            <w:rFonts w:ascii="Calibri" w:hAnsi="Calibri"/>
            <w:sz w:val="20"/>
            <w:szCs w:val="20"/>
          </w:rPr>
          <w:t>https://www.ohchr.org/EN/HRBodies/HRC/Pages/NewsDetail.aspx?NewsID=24226&amp;LangID=E</w:t>
        </w:r>
      </w:hyperlink>
    </w:p>
  </w:footnote>
  <w:footnote w:id="21">
    <w:p w14:paraId="78588142" w14:textId="78F9D838"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w:t>
      </w:r>
      <w:bookmarkStart w:id="25" w:name="_Hlk45792906"/>
      <w:r w:rsidRPr="00B85DD0">
        <w:rPr>
          <w:rFonts w:ascii="Calibri" w:hAnsi="Calibri"/>
          <w:lang w:val="en-GB"/>
        </w:rPr>
        <w:t xml:space="preserve">Al-Haq (2019), </w:t>
      </w:r>
      <w:hyperlink r:id="rId21" w:history="1">
        <w:r w:rsidRPr="00B85DD0">
          <w:rPr>
            <w:rStyle w:val="Hyperlink"/>
            <w:rFonts w:ascii="Calibri" w:hAnsi="Calibri"/>
            <w:lang w:val="en-GB"/>
          </w:rPr>
          <w:t>http://www.alhaq.org/advocacy/6108.html</w:t>
        </w:r>
      </w:hyperlink>
      <w:r w:rsidRPr="00B85DD0">
        <w:rPr>
          <w:rFonts w:ascii="Calibri" w:hAnsi="Calibri"/>
          <w:lang w:val="en-GB"/>
        </w:rPr>
        <w:t xml:space="preserve"> </w:t>
      </w:r>
      <w:bookmarkEnd w:id="25"/>
    </w:p>
  </w:footnote>
  <w:footnote w:id="22">
    <w:p w14:paraId="7663C539" w14:textId="0583271D"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Al-Haq (2019), </w:t>
      </w:r>
      <w:hyperlink r:id="rId22" w:history="1">
        <w:r w:rsidRPr="00B85DD0">
          <w:rPr>
            <w:rStyle w:val="Hyperlink"/>
            <w:rFonts w:ascii="Calibri" w:hAnsi="Calibri"/>
            <w:lang w:val="en-GB"/>
          </w:rPr>
          <w:t>http://www.alhaq.org/advocacy/6108.html</w:t>
        </w:r>
      </w:hyperlink>
      <w:r w:rsidRPr="00B85DD0">
        <w:rPr>
          <w:rFonts w:ascii="Calibri" w:hAnsi="Calibri"/>
          <w:lang w:val="en-GB"/>
        </w:rPr>
        <w:t xml:space="preserve"> </w:t>
      </w:r>
    </w:p>
  </w:footnote>
  <w:footnote w:id="23">
    <w:p w14:paraId="0450A128" w14:textId="3F443ED9"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MAP (2020), </w:t>
      </w:r>
      <w:hyperlink r:id="rId23" w:history="1">
        <w:r w:rsidRPr="00B85DD0">
          <w:rPr>
            <w:rStyle w:val="Hyperlink"/>
            <w:rFonts w:ascii="Calibri" w:hAnsi="Calibri"/>
            <w:lang w:val="en-GB"/>
          </w:rPr>
          <w:t>https://www.map.org.uk/news/archive/post/1125-map-demands-accountability-for-killing-of-eyad-hallaq</w:t>
        </w:r>
      </w:hyperlink>
      <w:r w:rsidRPr="00B85DD0">
        <w:rPr>
          <w:rFonts w:ascii="Calibri" w:hAnsi="Calibri"/>
          <w:lang w:val="en-GB"/>
        </w:rPr>
        <w:t xml:space="preserve"> </w:t>
      </w:r>
    </w:p>
  </w:footnote>
  <w:footnote w:id="24">
    <w:p w14:paraId="3AC7D67E" w14:textId="5BD00FCD"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OHCHR (2015), </w:t>
      </w:r>
      <w:hyperlink r:id="rId24" w:history="1">
        <w:r w:rsidRPr="00B85DD0">
          <w:rPr>
            <w:rStyle w:val="Hyperlink"/>
            <w:rFonts w:ascii="Calibri" w:hAnsi="Calibri"/>
            <w:sz w:val="20"/>
            <w:szCs w:val="20"/>
          </w:rPr>
          <w:t>http://www.ohchr.org/Documents/HRBodies/HRCouncil/CoIGaza/A-HRC-29-52_en.doc</w:t>
        </w:r>
      </w:hyperlink>
    </w:p>
  </w:footnote>
  <w:footnote w:id="25">
    <w:p w14:paraId="1F7C7F62" w14:textId="33603A6C"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Pr>
          <w:rFonts w:ascii="Calibri" w:hAnsi="Calibri"/>
          <w:sz w:val="20"/>
          <w:szCs w:val="20"/>
        </w:rPr>
        <w:t xml:space="preserve"> </w:t>
      </w:r>
      <w:r w:rsidRPr="00B85DD0">
        <w:rPr>
          <w:rFonts w:ascii="Calibri" w:hAnsi="Calibri"/>
          <w:sz w:val="20"/>
          <w:szCs w:val="20"/>
        </w:rPr>
        <w:t xml:space="preserve">WHO (2019), </w:t>
      </w:r>
      <w:hyperlink r:id="rId25" w:history="1">
        <w:r w:rsidRPr="00B85DD0">
          <w:rPr>
            <w:rStyle w:val="Hyperlink"/>
            <w:rFonts w:ascii="Calibri" w:hAnsi="Calibri"/>
            <w:sz w:val="20"/>
            <w:szCs w:val="20"/>
          </w:rPr>
          <w:t>http://www.emro.who.int/images/stories/palestine/documents/SitRep_Aug_2019_v0_SH_rev_GRO.pdf?ua=1</w:t>
        </w:r>
      </w:hyperlink>
    </w:p>
  </w:footnote>
  <w:footnote w:id="26">
    <w:p w14:paraId="062FA3C1" w14:textId="78093D93"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MAP (2019), </w:t>
      </w:r>
      <w:hyperlink r:id="rId26" w:history="1">
        <w:r w:rsidRPr="00B85DD0">
          <w:rPr>
            <w:rStyle w:val="Hyperlink"/>
            <w:rFonts w:ascii="Calibri" w:hAnsi="Calibri"/>
            <w:sz w:val="20"/>
            <w:szCs w:val="20"/>
          </w:rPr>
          <w:t>https://www.map.org.uk/news/archive/post/1058-mapas-largest-limb-reconstruction-mission-to-gaza-yet</w:t>
        </w:r>
      </w:hyperlink>
    </w:p>
  </w:footnote>
  <w:footnote w:id="27">
    <w:p w14:paraId="0B55B6CC" w14:textId="48C3EC2F"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OCHA (April 2020) </w:t>
      </w:r>
      <w:hyperlink r:id="rId27" w:history="1">
        <w:r w:rsidRPr="00B85DD0">
          <w:rPr>
            <w:rStyle w:val="Hyperlink"/>
            <w:rFonts w:ascii="Calibri" w:hAnsi="Calibri"/>
            <w:lang w:val="en-GB"/>
          </w:rPr>
          <w:t>https://www.ochaopt.org/sites/default/files/covid-19-response-plan-inter-agency-opt.pdf</w:t>
        </w:r>
      </w:hyperlink>
      <w:r w:rsidRPr="00B85DD0">
        <w:rPr>
          <w:rFonts w:ascii="Calibri" w:hAnsi="Calibri"/>
          <w:lang w:val="en-GB"/>
        </w:rPr>
        <w:t xml:space="preserve"> (p5)</w:t>
      </w:r>
    </w:p>
  </w:footnote>
  <w:footnote w:id="28">
    <w:p w14:paraId="78094443" w14:textId="1EBBF469"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OCHA (2020), </w:t>
      </w:r>
      <w:hyperlink r:id="rId28" w:history="1">
        <w:r w:rsidRPr="00B85DD0">
          <w:rPr>
            <w:rStyle w:val="Hyperlink"/>
            <w:rFonts w:ascii="Calibri" w:hAnsi="Calibri"/>
            <w:lang w:val="en-GB"/>
          </w:rPr>
          <w:t>https://www.ochaopt.org/content/covid-19-emergency-situation-report-12</w:t>
        </w:r>
      </w:hyperlink>
      <w:r w:rsidRPr="00B85DD0">
        <w:rPr>
          <w:rFonts w:ascii="Calibri" w:hAnsi="Calibri"/>
          <w:lang w:val="en-GB"/>
        </w:rPr>
        <w:t xml:space="preserve"> </w:t>
      </w:r>
    </w:p>
  </w:footnote>
  <w:footnote w:id="29">
    <w:p w14:paraId="08859F2A" w14:textId="1EE3953C"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Patel and Kleinman (2003), </w:t>
      </w:r>
      <w:hyperlink r:id="rId29" w:history="1">
        <w:r w:rsidRPr="00B85DD0">
          <w:rPr>
            <w:rStyle w:val="Hyperlink"/>
            <w:rFonts w:ascii="Calibri" w:hAnsi="Calibri"/>
            <w:lang w:val="en-GB"/>
          </w:rPr>
          <w:t>http://www.who.int/bulletin/volumes/81/8/Patel0803.pdf</w:t>
        </w:r>
      </w:hyperlink>
    </w:p>
  </w:footnote>
  <w:footnote w:id="30">
    <w:p w14:paraId="1D737C23" w14:textId="1BD6D52C"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Institute for Health Metrics and Evaluation (2015),</w:t>
      </w:r>
      <w:hyperlink r:id="rId30" w:history="1">
        <w:r w:rsidRPr="00B85DD0">
          <w:rPr>
            <w:rStyle w:val="Hyperlink"/>
            <w:rFonts w:ascii="Calibri" w:hAnsi="Calibri"/>
            <w:lang w:val="en-GB"/>
          </w:rPr>
          <w:t>http://www.healthdata.org/palestine</w:t>
        </w:r>
      </w:hyperlink>
    </w:p>
  </w:footnote>
  <w:footnote w:id="31">
    <w:p w14:paraId="65EA9AA9" w14:textId="748AF4F0" w:rsidR="00A97635" w:rsidRPr="00B85DD0" w:rsidRDefault="00A97635" w:rsidP="00B85DD0">
      <w:pPr>
        <w:pStyle w:val="FootnoteText"/>
        <w:spacing w:line="20" w:lineRule="atLeast"/>
        <w:rPr>
          <w:rFonts w:ascii="Calibri" w:hAnsi="Calibri"/>
          <w:lang w:val="en-GB"/>
        </w:rPr>
      </w:pPr>
      <w:r w:rsidRPr="00B85DD0">
        <w:rPr>
          <w:rStyle w:val="FootnoteReference"/>
          <w:rFonts w:ascii="Calibri" w:hAnsi="Calibri"/>
          <w:vertAlign w:val="superscript"/>
          <w:lang w:val="en-GB"/>
        </w:rPr>
        <w:footnoteRef/>
      </w:r>
      <w:r w:rsidRPr="00B85DD0">
        <w:rPr>
          <w:rFonts w:ascii="Calibri" w:hAnsi="Calibri"/>
          <w:lang w:val="en-GB"/>
        </w:rPr>
        <w:t xml:space="preserve"> </w:t>
      </w:r>
      <w:r w:rsidR="005D5582">
        <w:rPr>
          <w:rFonts w:ascii="Calibri" w:hAnsi="Calibri"/>
          <w:lang w:val="en-GB"/>
        </w:rPr>
        <w:t xml:space="preserve">UN Commission of Inquiry (2019) </w:t>
      </w:r>
      <w:hyperlink r:id="rId31" w:history="1">
        <w:r w:rsidR="005D5582" w:rsidRPr="007F2833">
          <w:rPr>
            <w:rStyle w:val="Hyperlink"/>
            <w:rFonts w:ascii="Calibri" w:hAnsi="Calibri"/>
            <w:lang w:val="en-GB"/>
          </w:rPr>
          <w:t>https://www.ohchr.org/EN/HRBodies/HRC/RegularSessions/Session44/Documents/A_HRC_44_60.pdf</w:t>
        </w:r>
      </w:hyperlink>
      <w:r w:rsidRPr="00B85DD0">
        <w:rPr>
          <w:rFonts w:ascii="Calibri" w:hAnsi="Calibri"/>
          <w:lang w:val="en-GB"/>
        </w:rPr>
        <w:t xml:space="preserve">; </w:t>
      </w:r>
      <w:r w:rsidR="005D5582">
        <w:rPr>
          <w:rFonts w:ascii="Calibri" w:hAnsi="Calibri"/>
          <w:lang w:val="en-GB"/>
        </w:rPr>
        <w:t xml:space="preserve">MAP (2018) </w:t>
      </w:r>
      <w:hyperlink r:id="rId32" w:history="1">
        <w:r w:rsidR="005D5582" w:rsidRPr="007F2833">
          <w:rPr>
            <w:rStyle w:val="Hyperlink"/>
            <w:rFonts w:ascii="Calibri" w:hAnsi="Calibri"/>
            <w:lang w:val="en-GB"/>
          </w:rPr>
          <w:t>https://www.map.org.uk/downloads/health-under-occupation---map-report-2017.pdf</w:t>
        </w:r>
      </w:hyperlink>
      <w:r w:rsidRPr="00B85DD0">
        <w:rPr>
          <w:rFonts w:ascii="Calibri" w:hAnsi="Calibri"/>
          <w:lang w:val="en-GB"/>
        </w:rPr>
        <w:t xml:space="preserve"> (p19-26)</w:t>
      </w:r>
    </w:p>
  </w:footnote>
  <w:footnote w:id="32">
    <w:p w14:paraId="603BEEBC" w14:textId="47278672"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w:t>
      </w:r>
      <w:r w:rsidR="005D5582">
        <w:rPr>
          <w:rFonts w:ascii="Calibri" w:hAnsi="Calibri"/>
          <w:sz w:val="20"/>
          <w:szCs w:val="20"/>
        </w:rPr>
        <w:t xml:space="preserve">MAP (2018) </w:t>
      </w:r>
      <w:hyperlink r:id="rId33" w:history="1">
        <w:r w:rsidR="005D5582" w:rsidRPr="007F2833">
          <w:rPr>
            <w:rStyle w:val="Hyperlink"/>
            <w:rFonts w:ascii="Calibri" w:hAnsi="Calibri" w:cstheme="minorHAnsi"/>
            <w:sz w:val="20"/>
            <w:szCs w:val="20"/>
          </w:rPr>
          <w:t>https://www.map.org.uk/news/archive/post/915-mapas-director-of-programmes-in-gaza-speaks-at-labour-party-conference</w:t>
        </w:r>
      </w:hyperlink>
    </w:p>
  </w:footnote>
  <w:footnote w:id="33">
    <w:p w14:paraId="22628A5D" w14:textId="158C297D"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UNOCHA (2017), </w:t>
      </w:r>
      <w:hyperlink r:id="rId34" w:history="1">
        <w:r w:rsidRPr="00B85DD0">
          <w:rPr>
            <w:rStyle w:val="Hyperlink"/>
            <w:rFonts w:ascii="Calibri" w:hAnsi="Calibri"/>
            <w:sz w:val="20"/>
            <w:szCs w:val="20"/>
          </w:rPr>
          <w:t>https://www.ochaopt.org/sites/default/files/hno_20_12_2017_final.pdf</w:t>
        </w:r>
      </w:hyperlink>
    </w:p>
  </w:footnote>
  <w:footnote w:id="34">
    <w:p w14:paraId="7625C012" w14:textId="3D206844"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NRC (2019) </w:t>
      </w:r>
      <w:hyperlink r:id="rId35" w:history="1">
        <w:r w:rsidRPr="00B85DD0">
          <w:rPr>
            <w:rStyle w:val="Hyperlink"/>
            <w:rFonts w:ascii="Calibri" w:hAnsi="Calibri"/>
            <w:sz w:val="20"/>
            <w:szCs w:val="20"/>
          </w:rPr>
          <w:t>https://www.nrc.no/news/2019/march/gaza-childrens-mental-health-rapidly-deteriorating/</w:t>
        </w:r>
      </w:hyperlink>
      <w:r w:rsidRPr="00B85DD0">
        <w:rPr>
          <w:rFonts w:ascii="Calibri" w:hAnsi="Calibri"/>
          <w:sz w:val="20"/>
          <w:szCs w:val="20"/>
        </w:rPr>
        <w:t> </w:t>
      </w:r>
    </w:p>
  </w:footnote>
  <w:footnote w:id="35">
    <w:p w14:paraId="3962D705" w14:textId="4EA74366"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WHO (2019), </w:t>
      </w:r>
      <w:hyperlink r:id="rId36" w:history="1">
        <w:r w:rsidRPr="00B85DD0">
          <w:rPr>
            <w:rStyle w:val="Hyperlink"/>
            <w:rFonts w:ascii="Calibri" w:hAnsi="Calibri"/>
            <w:sz w:val="20"/>
            <w:szCs w:val="20"/>
          </w:rPr>
          <w:t>https://apps.who.int/gb/ebwha/pdf_files/WHA72/A72_33-en.pdf</w:t>
        </w:r>
      </w:hyperlink>
    </w:p>
  </w:footnote>
  <w:footnote w:id="36">
    <w:p w14:paraId="6330ED91" w14:textId="5E543E98" w:rsidR="00A97635" w:rsidRPr="00B85DD0" w:rsidRDefault="00A97635" w:rsidP="00B85DD0">
      <w:pPr>
        <w:pStyle w:val="NoSpacing"/>
        <w:spacing w:line="20" w:lineRule="atLeast"/>
        <w:rPr>
          <w:rFonts w:ascii="Calibri" w:hAnsi="Calibri"/>
          <w:sz w:val="20"/>
          <w:szCs w:val="20"/>
        </w:rPr>
      </w:pPr>
      <w:r w:rsidRPr="00B85DD0">
        <w:rPr>
          <w:rStyle w:val="FootnoteReference"/>
          <w:rFonts w:ascii="Calibri" w:hAnsi="Calibri"/>
          <w:sz w:val="20"/>
          <w:szCs w:val="20"/>
          <w:vertAlign w:val="superscript"/>
        </w:rPr>
        <w:footnoteRef/>
      </w:r>
      <w:r w:rsidRPr="00B85DD0">
        <w:rPr>
          <w:rFonts w:ascii="Calibri" w:hAnsi="Calibri"/>
          <w:sz w:val="20"/>
          <w:szCs w:val="20"/>
        </w:rPr>
        <w:t xml:space="preserve"> MAP (2018), </w:t>
      </w:r>
      <w:hyperlink r:id="rId37" w:history="1">
        <w:r w:rsidRPr="00B85DD0">
          <w:rPr>
            <w:rStyle w:val="Hyperlink"/>
            <w:rFonts w:ascii="Calibri" w:hAnsi="Calibri"/>
            <w:sz w:val="20"/>
            <w:szCs w:val="20"/>
          </w:rPr>
          <w:t>https://www.map.org.uk/news/archive/post/831-map-raises-concerns-over-mental-health-impact-of-violence-against-gaza-protesters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910F2" w14:textId="217CF0C9" w:rsidR="00A964A3" w:rsidRDefault="00A964A3">
    <w:pPr>
      <w:pStyle w:val="Header"/>
    </w:pPr>
    <w:r>
      <w:rPr>
        <w:noProof/>
      </w:rPr>
      <w:drawing>
        <wp:anchor distT="0" distB="0" distL="114300" distR="114300" simplePos="0" relativeHeight="251658240" behindDoc="0" locked="0" layoutInCell="1" allowOverlap="1" wp14:anchorId="512E20C4" wp14:editId="6681E48F">
          <wp:simplePos x="0" y="0"/>
          <wp:positionH relativeFrom="column">
            <wp:posOffset>5398618</wp:posOffset>
          </wp:positionH>
          <wp:positionV relativeFrom="paragraph">
            <wp:posOffset>-318694</wp:posOffset>
          </wp:positionV>
          <wp:extent cx="1311360" cy="597193"/>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logo square.JPG"/>
                  <pic:cNvPicPr/>
                </pic:nvPicPr>
                <pic:blipFill rotWithShape="1">
                  <a:blip r:embed="rId1">
                    <a:extLst>
                      <a:ext uri="{28A0092B-C50C-407E-A947-70E740481C1C}">
                        <a14:useLocalDpi xmlns:a14="http://schemas.microsoft.com/office/drawing/2010/main" val="0"/>
                      </a:ext>
                    </a:extLst>
                  </a:blip>
                  <a:srcRect t="17840" b="34325"/>
                  <a:stretch/>
                </pic:blipFill>
                <pic:spPr bwMode="auto">
                  <a:xfrm>
                    <a:off x="0" y="0"/>
                    <a:ext cx="1311360" cy="5971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C024A"/>
    <w:multiLevelType w:val="multilevel"/>
    <w:tmpl w:val="F59C17BE"/>
    <w:lvl w:ilvl="0">
      <w:start w:val="1"/>
      <w:numFmt w:val="upperRoman"/>
      <w:pStyle w:val="Heading1"/>
      <w:lvlText w:val="%1."/>
      <w:lvlJc w:val="righ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AD121F1"/>
    <w:multiLevelType w:val="hybridMultilevel"/>
    <w:tmpl w:val="B5AE575C"/>
    <w:lvl w:ilvl="0" w:tplc="0809000F">
      <w:start w:val="2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1F1E1A"/>
    <w:multiLevelType w:val="hybridMultilevel"/>
    <w:tmpl w:val="43C8CE3E"/>
    <w:lvl w:ilvl="0" w:tplc="EAEC2694">
      <w:start w:val="1"/>
      <w:numFmt w:val="decimal"/>
      <w:lvlText w:val="%1."/>
      <w:lvlJc w:val="left"/>
      <w:pPr>
        <w:ind w:left="0" w:firstLine="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AC3AA4"/>
    <w:multiLevelType w:val="hybridMultilevel"/>
    <w:tmpl w:val="EF425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B22DFB"/>
    <w:multiLevelType w:val="hybridMultilevel"/>
    <w:tmpl w:val="A5843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17EFA"/>
    <w:multiLevelType w:val="hybridMultilevel"/>
    <w:tmpl w:val="5A200B4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F51941"/>
    <w:multiLevelType w:val="hybridMultilevel"/>
    <w:tmpl w:val="6F1A9BA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6613AD"/>
    <w:multiLevelType w:val="multilevel"/>
    <w:tmpl w:val="F88CC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21739C"/>
    <w:multiLevelType w:val="hybridMultilevel"/>
    <w:tmpl w:val="16A4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055265"/>
    <w:multiLevelType w:val="hybridMultilevel"/>
    <w:tmpl w:val="6E7E4058"/>
    <w:lvl w:ilvl="0" w:tplc="4CD64250">
      <w:numFmt w:val="bullet"/>
      <w:lvlText w:val=""/>
      <w:lvlJc w:val="left"/>
      <w:pPr>
        <w:ind w:left="408" w:hanging="360"/>
      </w:pPr>
      <w:rPr>
        <w:rFonts w:ascii="Symbol" w:eastAsiaTheme="minorHAnsi" w:hAnsi="Symbol"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0" w15:restartNumberingAfterBreak="0">
    <w:nsid w:val="6E4B0933"/>
    <w:multiLevelType w:val="hybridMultilevel"/>
    <w:tmpl w:val="55FC2F9C"/>
    <w:lvl w:ilvl="0" w:tplc="D66EBF66">
      <w:start w:val="1"/>
      <w:numFmt w:val="decimal"/>
      <w:lvlText w:val="%1."/>
      <w:lvlJc w:val="left"/>
      <w:pPr>
        <w:ind w:left="36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3"/>
  </w:num>
  <w:num w:numId="4">
    <w:abstractNumId w:val="9"/>
  </w:num>
  <w:num w:numId="5">
    <w:abstractNumId w:val="4"/>
  </w:num>
  <w:num w:numId="6">
    <w:abstractNumId w:val="7"/>
  </w:num>
  <w:num w:numId="7">
    <w:abstractNumId w:val="10"/>
  </w:num>
  <w:num w:numId="8">
    <w:abstractNumId w:val="0"/>
  </w:num>
  <w:num w:numId="9">
    <w:abstractNumId w:val="6"/>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FF0"/>
    <w:rsid w:val="000117D6"/>
    <w:rsid w:val="00013626"/>
    <w:rsid w:val="00026636"/>
    <w:rsid w:val="00034B40"/>
    <w:rsid w:val="00041499"/>
    <w:rsid w:val="000420B8"/>
    <w:rsid w:val="00043267"/>
    <w:rsid w:val="000441F0"/>
    <w:rsid w:val="00045859"/>
    <w:rsid w:val="00047A15"/>
    <w:rsid w:val="00057EDB"/>
    <w:rsid w:val="00065380"/>
    <w:rsid w:val="000812F8"/>
    <w:rsid w:val="000904C6"/>
    <w:rsid w:val="000A512B"/>
    <w:rsid w:val="000B011E"/>
    <w:rsid w:val="000B32F6"/>
    <w:rsid w:val="000B435F"/>
    <w:rsid w:val="000B6DED"/>
    <w:rsid w:val="000E0EA5"/>
    <w:rsid w:val="00101438"/>
    <w:rsid w:val="00111D07"/>
    <w:rsid w:val="00142658"/>
    <w:rsid w:val="00144E57"/>
    <w:rsid w:val="00145FC0"/>
    <w:rsid w:val="00160852"/>
    <w:rsid w:val="00163241"/>
    <w:rsid w:val="00165386"/>
    <w:rsid w:val="00167B3A"/>
    <w:rsid w:val="00170F47"/>
    <w:rsid w:val="00174536"/>
    <w:rsid w:val="0018070B"/>
    <w:rsid w:val="00185E60"/>
    <w:rsid w:val="00191A23"/>
    <w:rsid w:val="001B2C25"/>
    <w:rsid w:val="001B5EEA"/>
    <w:rsid w:val="001C0371"/>
    <w:rsid w:val="001D08B9"/>
    <w:rsid w:val="001D7312"/>
    <w:rsid w:val="001E0DAB"/>
    <w:rsid w:val="001E5162"/>
    <w:rsid w:val="001F47CD"/>
    <w:rsid w:val="00202549"/>
    <w:rsid w:val="00205A3A"/>
    <w:rsid w:val="002146A3"/>
    <w:rsid w:val="00216D58"/>
    <w:rsid w:val="00217D93"/>
    <w:rsid w:val="002264E5"/>
    <w:rsid w:val="00230EC2"/>
    <w:rsid w:val="0023704A"/>
    <w:rsid w:val="0024105D"/>
    <w:rsid w:val="00261399"/>
    <w:rsid w:val="00261516"/>
    <w:rsid w:val="0026647B"/>
    <w:rsid w:val="00273B31"/>
    <w:rsid w:val="00275452"/>
    <w:rsid w:val="002815CE"/>
    <w:rsid w:val="00281691"/>
    <w:rsid w:val="00284195"/>
    <w:rsid w:val="00295C28"/>
    <w:rsid w:val="00296DC7"/>
    <w:rsid w:val="0029702A"/>
    <w:rsid w:val="002A18BA"/>
    <w:rsid w:val="002A6920"/>
    <w:rsid w:val="003124D3"/>
    <w:rsid w:val="003125A4"/>
    <w:rsid w:val="00316156"/>
    <w:rsid w:val="00326074"/>
    <w:rsid w:val="00327512"/>
    <w:rsid w:val="0033604E"/>
    <w:rsid w:val="003400D3"/>
    <w:rsid w:val="003470F1"/>
    <w:rsid w:val="00352A8C"/>
    <w:rsid w:val="00352DDA"/>
    <w:rsid w:val="003619BE"/>
    <w:rsid w:val="00362A03"/>
    <w:rsid w:val="003709EE"/>
    <w:rsid w:val="003737AF"/>
    <w:rsid w:val="00373D3C"/>
    <w:rsid w:val="0038225B"/>
    <w:rsid w:val="00393AEB"/>
    <w:rsid w:val="003D7512"/>
    <w:rsid w:val="00402137"/>
    <w:rsid w:val="00404D4F"/>
    <w:rsid w:val="00405AC5"/>
    <w:rsid w:val="004160A9"/>
    <w:rsid w:val="004219B0"/>
    <w:rsid w:val="00425FB6"/>
    <w:rsid w:val="00432259"/>
    <w:rsid w:val="004418FD"/>
    <w:rsid w:val="00445829"/>
    <w:rsid w:val="00461E43"/>
    <w:rsid w:val="004803EA"/>
    <w:rsid w:val="00486F59"/>
    <w:rsid w:val="00490914"/>
    <w:rsid w:val="00491A59"/>
    <w:rsid w:val="00495847"/>
    <w:rsid w:val="004959C5"/>
    <w:rsid w:val="004A1FF2"/>
    <w:rsid w:val="004A79D4"/>
    <w:rsid w:val="004B6ACE"/>
    <w:rsid w:val="004C2968"/>
    <w:rsid w:val="004C608F"/>
    <w:rsid w:val="004D1D3E"/>
    <w:rsid w:val="004D71C9"/>
    <w:rsid w:val="0050014F"/>
    <w:rsid w:val="005008C2"/>
    <w:rsid w:val="00502BF6"/>
    <w:rsid w:val="00503D89"/>
    <w:rsid w:val="00511516"/>
    <w:rsid w:val="0051600F"/>
    <w:rsid w:val="005237E8"/>
    <w:rsid w:val="005379BD"/>
    <w:rsid w:val="00564340"/>
    <w:rsid w:val="0057097E"/>
    <w:rsid w:val="00573EB4"/>
    <w:rsid w:val="00590C68"/>
    <w:rsid w:val="005A5D4E"/>
    <w:rsid w:val="005B0FAA"/>
    <w:rsid w:val="005B2B41"/>
    <w:rsid w:val="005C44C1"/>
    <w:rsid w:val="005D05C5"/>
    <w:rsid w:val="005D5582"/>
    <w:rsid w:val="005D64B1"/>
    <w:rsid w:val="005D73C0"/>
    <w:rsid w:val="005E1F37"/>
    <w:rsid w:val="005F0B07"/>
    <w:rsid w:val="0060055B"/>
    <w:rsid w:val="00601347"/>
    <w:rsid w:val="00610DD1"/>
    <w:rsid w:val="00616437"/>
    <w:rsid w:val="006166A3"/>
    <w:rsid w:val="00621F10"/>
    <w:rsid w:val="00622ADB"/>
    <w:rsid w:val="0063458E"/>
    <w:rsid w:val="006402A4"/>
    <w:rsid w:val="0064252A"/>
    <w:rsid w:val="006459E9"/>
    <w:rsid w:val="00650C1A"/>
    <w:rsid w:val="00661990"/>
    <w:rsid w:val="00666F41"/>
    <w:rsid w:val="0066754F"/>
    <w:rsid w:val="0067000A"/>
    <w:rsid w:val="0067178E"/>
    <w:rsid w:val="00676925"/>
    <w:rsid w:val="00677779"/>
    <w:rsid w:val="0068068A"/>
    <w:rsid w:val="006A508F"/>
    <w:rsid w:val="006B1AB9"/>
    <w:rsid w:val="006C0366"/>
    <w:rsid w:val="006C11D0"/>
    <w:rsid w:val="006C6950"/>
    <w:rsid w:val="006D02EC"/>
    <w:rsid w:val="006D7C41"/>
    <w:rsid w:val="006F2D1D"/>
    <w:rsid w:val="006F4C97"/>
    <w:rsid w:val="0070643D"/>
    <w:rsid w:val="00707DC8"/>
    <w:rsid w:val="00727943"/>
    <w:rsid w:val="00730AD4"/>
    <w:rsid w:val="007370A0"/>
    <w:rsid w:val="007473E6"/>
    <w:rsid w:val="007509A0"/>
    <w:rsid w:val="007550CF"/>
    <w:rsid w:val="00763A57"/>
    <w:rsid w:val="00772A52"/>
    <w:rsid w:val="00774E03"/>
    <w:rsid w:val="007804F7"/>
    <w:rsid w:val="00783D53"/>
    <w:rsid w:val="007874DC"/>
    <w:rsid w:val="00791FC3"/>
    <w:rsid w:val="007A133C"/>
    <w:rsid w:val="007B546F"/>
    <w:rsid w:val="007C1B4F"/>
    <w:rsid w:val="007D15AB"/>
    <w:rsid w:val="007D3D0B"/>
    <w:rsid w:val="007D4C31"/>
    <w:rsid w:val="007E3A33"/>
    <w:rsid w:val="007E614F"/>
    <w:rsid w:val="007F1376"/>
    <w:rsid w:val="007F7CFE"/>
    <w:rsid w:val="00800E82"/>
    <w:rsid w:val="008024BF"/>
    <w:rsid w:val="0080751F"/>
    <w:rsid w:val="00807A9B"/>
    <w:rsid w:val="0081220E"/>
    <w:rsid w:val="00815C16"/>
    <w:rsid w:val="00815E9D"/>
    <w:rsid w:val="00825DA7"/>
    <w:rsid w:val="00827F7C"/>
    <w:rsid w:val="008306FF"/>
    <w:rsid w:val="008335AB"/>
    <w:rsid w:val="00847B26"/>
    <w:rsid w:val="008612EC"/>
    <w:rsid w:val="00872632"/>
    <w:rsid w:val="0087337B"/>
    <w:rsid w:val="008849CC"/>
    <w:rsid w:val="00885ED4"/>
    <w:rsid w:val="00897729"/>
    <w:rsid w:val="008C2723"/>
    <w:rsid w:val="008C5302"/>
    <w:rsid w:val="008C65DF"/>
    <w:rsid w:val="008D66B3"/>
    <w:rsid w:val="008E60C1"/>
    <w:rsid w:val="008F760C"/>
    <w:rsid w:val="008F7A00"/>
    <w:rsid w:val="00904FFB"/>
    <w:rsid w:val="009231BA"/>
    <w:rsid w:val="00931ACC"/>
    <w:rsid w:val="009339F8"/>
    <w:rsid w:val="00934561"/>
    <w:rsid w:val="00934592"/>
    <w:rsid w:val="00943C0C"/>
    <w:rsid w:val="0094416C"/>
    <w:rsid w:val="00945345"/>
    <w:rsid w:val="00951CB9"/>
    <w:rsid w:val="00960414"/>
    <w:rsid w:val="00961649"/>
    <w:rsid w:val="00966BE0"/>
    <w:rsid w:val="00974B10"/>
    <w:rsid w:val="00976E43"/>
    <w:rsid w:val="00983370"/>
    <w:rsid w:val="00985AF1"/>
    <w:rsid w:val="00993BB2"/>
    <w:rsid w:val="009A25FD"/>
    <w:rsid w:val="009A5589"/>
    <w:rsid w:val="009A6AF7"/>
    <w:rsid w:val="009C3345"/>
    <w:rsid w:val="009C4A37"/>
    <w:rsid w:val="009C75D0"/>
    <w:rsid w:val="009C7E87"/>
    <w:rsid w:val="009E05A1"/>
    <w:rsid w:val="009E7FDC"/>
    <w:rsid w:val="009F4F51"/>
    <w:rsid w:val="00A006F2"/>
    <w:rsid w:val="00A00FFE"/>
    <w:rsid w:val="00A04C32"/>
    <w:rsid w:val="00A07B3C"/>
    <w:rsid w:val="00A12938"/>
    <w:rsid w:val="00A12E29"/>
    <w:rsid w:val="00A15AD8"/>
    <w:rsid w:val="00A21AE0"/>
    <w:rsid w:val="00A225FF"/>
    <w:rsid w:val="00A24D19"/>
    <w:rsid w:val="00A2593B"/>
    <w:rsid w:val="00A37407"/>
    <w:rsid w:val="00A4342D"/>
    <w:rsid w:val="00A44D1D"/>
    <w:rsid w:val="00A45DB0"/>
    <w:rsid w:val="00A5415D"/>
    <w:rsid w:val="00A964A3"/>
    <w:rsid w:val="00A97635"/>
    <w:rsid w:val="00AA0D44"/>
    <w:rsid w:val="00AA3B19"/>
    <w:rsid w:val="00AA4326"/>
    <w:rsid w:val="00AA44FD"/>
    <w:rsid w:val="00AB56B8"/>
    <w:rsid w:val="00AC01F2"/>
    <w:rsid w:val="00AD665B"/>
    <w:rsid w:val="00AE3C7B"/>
    <w:rsid w:val="00AE683C"/>
    <w:rsid w:val="00AF0755"/>
    <w:rsid w:val="00AF7E62"/>
    <w:rsid w:val="00B00A4E"/>
    <w:rsid w:val="00B00B16"/>
    <w:rsid w:val="00B024A9"/>
    <w:rsid w:val="00B12704"/>
    <w:rsid w:val="00B137AA"/>
    <w:rsid w:val="00B16812"/>
    <w:rsid w:val="00B20A0C"/>
    <w:rsid w:val="00B226EA"/>
    <w:rsid w:val="00B26F3B"/>
    <w:rsid w:val="00B310C9"/>
    <w:rsid w:val="00B33FF0"/>
    <w:rsid w:val="00B457BB"/>
    <w:rsid w:val="00B52BFB"/>
    <w:rsid w:val="00B557C8"/>
    <w:rsid w:val="00B5622D"/>
    <w:rsid w:val="00B85DD0"/>
    <w:rsid w:val="00B9178F"/>
    <w:rsid w:val="00BA008C"/>
    <w:rsid w:val="00BA6BF9"/>
    <w:rsid w:val="00BB4865"/>
    <w:rsid w:val="00BB6C1A"/>
    <w:rsid w:val="00BC0894"/>
    <w:rsid w:val="00BC0CEA"/>
    <w:rsid w:val="00BC443E"/>
    <w:rsid w:val="00BD4A39"/>
    <w:rsid w:val="00BE77E8"/>
    <w:rsid w:val="00BF0DB3"/>
    <w:rsid w:val="00BF19A6"/>
    <w:rsid w:val="00BF6101"/>
    <w:rsid w:val="00BF644C"/>
    <w:rsid w:val="00BF68AF"/>
    <w:rsid w:val="00C0435C"/>
    <w:rsid w:val="00C11921"/>
    <w:rsid w:val="00C26D56"/>
    <w:rsid w:val="00C31936"/>
    <w:rsid w:val="00C32FA0"/>
    <w:rsid w:val="00C36136"/>
    <w:rsid w:val="00C4031C"/>
    <w:rsid w:val="00C461F1"/>
    <w:rsid w:val="00C56AA0"/>
    <w:rsid w:val="00C650EA"/>
    <w:rsid w:val="00C72F3F"/>
    <w:rsid w:val="00C8172C"/>
    <w:rsid w:val="00C86B77"/>
    <w:rsid w:val="00C914A9"/>
    <w:rsid w:val="00C9632E"/>
    <w:rsid w:val="00CA075D"/>
    <w:rsid w:val="00CA1B96"/>
    <w:rsid w:val="00CA1BAD"/>
    <w:rsid w:val="00CA4122"/>
    <w:rsid w:val="00CB1191"/>
    <w:rsid w:val="00CC3B59"/>
    <w:rsid w:val="00CE5B47"/>
    <w:rsid w:val="00CF512D"/>
    <w:rsid w:val="00D1139F"/>
    <w:rsid w:val="00D15A25"/>
    <w:rsid w:val="00D21A68"/>
    <w:rsid w:val="00D25CEA"/>
    <w:rsid w:val="00D5183F"/>
    <w:rsid w:val="00D53163"/>
    <w:rsid w:val="00D579A7"/>
    <w:rsid w:val="00D60118"/>
    <w:rsid w:val="00D6156C"/>
    <w:rsid w:val="00D67D1B"/>
    <w:rsid w:val="00D76E63"/>
    <w:rsid w:val="00D97241"/>
    <w:rsid w:val="00D9725A"/>
    <w:rsid w:val="00DA2AEA"/>
    <w:rsid w:val="00DA739B"/>
    <w:rsid w:val="00DB737B"/>
    <w:rsid w:val="00DC225E"/>
    <w:rsid w:val="00DC4493"/>
    <w:rsid w:val="00DC69B0"/>
    <w:rsid w:val="00DC7A56"/>
    <w:rsid w:val="00DE0D2D"/>
    <w:rsid w:val="00DF130A"/>
    <w:rsid w:val="00DF486B"/>
    <w:rsid w:val="00E065B0"/>
    <w:rsid w:val="00E17918"/>
    <w:rsid w:val="00E17F24"/>
    <w:rsid w:val="00E241D8"/>
    <w:rsid w:val="00E27FB2"/>
    <w:rsid w:val="00E318C5"/>
    <w:rsid w:val="00E331FE"/>
    <w:rsid w:val="00E348AD"/>
    <w:rsid w:val="00E3761C"/>
    <w:rsid w:val="00E43DB0"/>
    <w:rsid w:val="00E46172"/>
    <w:rsid w:val="00E62EAE"/>
    <w:rsid w:val="00E73E5D"/>
    <w:rsid w:val="00E82CC5"/>
    <w:rsid w:val="00E925FD"/>
    <w:rsid w:val="00EB2AE5"/>
    <w:rsid w:val="00EC1FA1"/>
    <w:rsid w:val="00EC760B"/>
    <w:rsid w:val="00ED47A1"/>
    <w:rsid w:val="00ED64F8"/>
    <w:rsid w:val="00EE041E"/>
    <w:rsid w:val="00EE49AA"/>
    <w:rsid w:val="00EE52DD"/>
    <w:rsid w:val="00EF108A"/>
    <w:rsid w:val="00EF197E"/>
    <w:rsid w:val="00EF4471"/>
    <w:rsid w:val="00F04E35"/>
    <w:rsid w:val="00F22040"/>
    <w:rsid w:val="00F22843"/>
    <w:rsid w:val="00F25244"/>
    <w:rsid w:val="00F3331B"/>
    <w:rsid w:val="00F401A7"/>
    <w:rsid w:val="00F53599"/>
    <w:rsid w:val="00F54443"/>
    <w:rsid w:val="00F62387"/>
    <w:rsid w:val="00F63B27"/>
    <w:rsid w:val="00F67418"/>
    <w:rsid w:val="00F67C96"/>
    <w:rsid w:val="00F718B2"/>
    <w:rsid w:val="00F8470A"/>
    <w:rsid w:val="00F86CEB"/>
    <w:rsid w:val="00F87060"/>
    <w:rsid w:val="00FA1055"/>
    <w:rsid w:val="00FB1C09"/>
    <w:rsid w:val="00FB2199"/>
    <w:rsid w:val="00FB2BCA"/>
    <w:rsid w:val="00FB70D0"/>
    <w:rsid w:val="00FC4E0E"/>
    <w:rsid w:val="00FD20BE"/>
    <w:rsid w:val="00FD3996"/>
    <w:rsid w:val="00FD3EF1"/>
    <w:rsid w:val="00FD470D"/>
    <w:rsid w:val="00FE22A3"/>
    <w:rsid w:val="00FE6492"/>
    <w:rsid w:val="00FE6EE3"/>
    <w:rsid w:val="00FE76D2"/>
    <w:rsid w:val="00FF20F4"/>
    <w:rsid w:val="00FF75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A087F"/>
  <w15:chartTrackingRefBased/>
  <w15:docId w15:val="{7344775C-CD1B-4B11-BAEE-969C5E7F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FC3"/>
    <w:pPr>
      <w:keepNext/>
      <w:keepLines/>
      <w:numPr>
        <w:numId w:val="8"/>
      </w:numPr>
      <w:spacing w:before="240" w:after="240" w:line="276" w:lineRule="auto"/>
      <w:outlineLvl w:val="0"/>
    </w:pPr>
    <w:rPr>
      <w:rFonts w:asciiTheme="majorHAnsi" w:eastAsiaTheme="majorEastAsia" w:hAnsiTheme="majorHAnsi" w:cstheme="majorBidi"/>
      <w:color w:val="000000" w:themeColor="text1"/>
      <w:sz w:val="24"/>
      <w:szCs w:val="24"/>
      <w:lang w:val="en-GB"/>
    </w:rPr>
  </w:style>
  <w:style w:type="paragraph" w:styleId="Heading2">
    <w:name w:val="heading 2"/>
    <w:basedOn w:val="Normal"/>
    <w:next w:val="Normal"/>
    <w:link w:val="Heading2Char"/>
    <w:uiPriority w:val="9"/>
    <w:unhideWhenUsed/>
    <w:qFormat/>
    <w:rsid w:val="00B9178F"/>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A4122"/>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A4122"/>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A4122"/>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A4122"/>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A4122"/>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A4122"/>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4122"/>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33FF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3FF0"/>
    <w:rPr>
      <w:sz w:val="20"/>
      <w:szCs w:val="20"/>
    </w:rPr>
  </w:style>
  <w:style w:type="character" w:styleId="EndnoteReference">
    <w:name w:val="endnote reference"/>
    <w:basedOn w:val="DefaultParagraphFont"/>
    <w:semiHidden/>
    <w:unhideWhenUsed/>
    <w:rsid w:val="00B33FF0"/>
    <w:rPr>
      <w:vertAlign w:val="superscript"/>
    </w:rPr>
  </w:style>
  <w:style w:type="character" w:styleId="Hyperlink">
    <w:name w:val="Hyperlink"/>
    <w:basedOn w:val="DefaultParagraphFont"/>
    <w:uiPriority w:val="99"/>
    <w:unhideWhenUsed/>
    <w:rsid w:val="00B33FF0"/>
    <w:rPr>
      <w:color w:val="0563C1" w:themeColor="hyperlink"/>
      <w:u w:val="single"/>
    </w:rPr>
  </w:style>
  <w:style w:type="paragraph" w:styleId="NoSpacing">
    <w:name w:val="No Spacing"/>
    <w:uiPriority w:val="1"/>
    <w:qFormat/>
    <w:rsid w:val="001D08B9"/>
    <w:pPr>
      <w:spacing w:after="0" w:line="240" w:lineRule="auto"/>
    </w:pPr>
    <w:rPr>
      <w:lang w:val="en-GB"/>
    </w:rPr>
  </w:style>
  <w:style w:type="paragraph" w:styleId="BalloonText">
    <w:name w:val="Balloon Text"/>
    <w:basedOn w:val="Normal"/>
    <w:link w:val="BalloonTextChar"/>
    <w:uiPriority w:val="99"/>
    <w:semiHidden/>
    <w:unhideWhenUsed/>
    <w:rsid w:val="00CC3B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3B59"/>
    <w:rPr>
      <w:rFonts w:ascii="Segoe UI" w:hAnsi="Segoe UI" w:cs="Segoe UI"/>
      <w:sz w:val="18"/>
      <w:szCs w:val="18"/>
    </w:rPr>
  </w:style>
  <w:style w:type="character" w:customStyle="1" w:styleId="UnresolvedMention1">
    <w:name w:val="Unresolved Mention1"/>
    <w:basedOn w:val="DefaultParagraphFont"/>
    <w:uiPriority w:val="99"/>
    <w:semiHidden/>
    <w:unhideWhenUsed/>
    <w:rsid w:val="00847B26"/>
    <w:rPr>
      <w:color w:val="605E5C"/>
      <w:shd w:val="clear" w:color="auto" w:fill="E1DFDD"/>
    </w:rPr>
  </w:style>
  <w:style w:type="paragraph" w:styleId="FootnoteText">
    <w:name w:val="footnote text"/>
    <w:basedOn w:val="Normal"/>
    <w:link w:val="FootnoteTextChar"/>
    <w:uiPriority w:val="99"/>
    <w:unhideWhenUsed/>
    <w:rsid w:val="00ED47A1"/>
    <w:pPr>
      <w:spacing w:after="0" w:line="240" w:lineRule="auto"/>
    </w:pPr>
    <w:rPr>
      <w:sz w:val="20"/>
      <w:szCs w:val="20"/>
    </w:rPr>
  </w:style>
  <w:style w:type="character" w:customStyle="1" w:styleId="FootnoteTextChar">
    <w:name w:val="Footnote Text Char"/>
    <w:basedOn w:val="DefaultParagraphFont"/>
    <w:link w:val="FootnoteText"/>
    <w:uiPriority w:val="99"/>
    <w:rsid w:val="00ED47A1"/>
    <w:rPr>
      <w:sz w:val="20"/>
      <w:szCs w:val="20"/>
    </w:rPr>
  </w:style>
  <w:style w:type="character" w:styleId="FootnoteReference">
    <w:name w:val="footnote reference"/>
    <w:aliases w:val="4_G"/>
    <w:uiPriority w:val="99"/>
    <w:rsid w:val="00ED47A1"/>
    <w:rPr>
      <w:rFonts w:ascii="Times New Roman" w:hAnsi="Times New Roman"/>
      <w:sz w:val="18"/>
    </w:rPr>
  </w:style>
  <w:style w:type="character" w:styleId="FollowedHyperlink">
    <w:name w:val="FollowedHyperlink"/>
    <w:basedOn w:val="DefaultParagraphFont"/>
    <w:uiPriority w:val="99"/>
    <w:semiHidden/>
    <w:unhideWhenUsed/>
    <w:rsid w:val="00FE22A3"/>
    <w:rPr>
      <w:color w:val="954F72" w:themeColor="followedHyperlink"/>
      <w:u w:val="single"/>
    </w:rPr>
  </w:style>
  <w:style w:type="character" w:styleId="CommentReference">
    <w:name w:val="annotation reference"/>
    <w:basedOn w:val="DefaultParagraphFont"/>
    <w:uiPriority w:val="99"/>
    <w:semiHidden/>
    <w:unhideWhenUsed/>
    <w:rsid w:val="0050014F"/>
    <w:rPr>
      <w:sz w:val="16"/>
      <w:szCs w:val="16"/>
    </w:rPr>
  </w:style>
  <w:style w:type="paragraph" w:styleId="CommentText">
    <w:name w:val="annotation text"/>
    <w:basedOn w:val="Normal"/>
    <w:link w:val="CommentTextChar"/>
    <w:uiPriority w:val="99"/>
    <w:unhideWhenUsed/>
    <w:rsid w:val="0050014F"/>
    <w:pPr>
      <w:spacing w:line="240" w:lineRule="auto"/>
    </w:pPr>
    <w:rPr>
      <w:sz w:val="20"/>
      <w:szCs w:val="20"/>
    </w:rPr>
  </w:style>
  <w:style w:type="character" w:customStyle="1" w:styleId="CommentTextChar">
    <w:name w:val="Comment Text Char"/>
    <w:basedOn w:val="DefaultParagraphFont"/>
    <w:link w:val="CommentText"/>
    <w:uiPriority w:val="99"/>
    <w:rsid w:val="0050014F"/>
    <w:rPr>
      <w:sz w:val="20"/>
      <w:szCs w:val="20"/>
    </w:rPr>
  </w:style>
  <w:style w:type="paragraph" w:styleId="CommentSubject">
    <w:name w:val="annotation subject"/>
    <w:basedOn w:val="CommentText"/>
    <w:next w:val="CommentText"/>
    <w:link w:val="CommentSubjectChar"/>
    <w:uiPriority w:val="99"/>
    <w:semiHidden/>
    <w:unhideWhenUsed/>
    <w:rsid w:val="0050014F"/>
    <w:rPr>
      <w:b/>
      <w:bCs/>
    </w:rPr>
  </w:style>
  <w:style w:type="character" w:customStyle="1" w:styleId="CommentSubjectChar">
    <w:name w:val="Comment Subject Char"/>
    <w:basedOn w:val="CommentTextChar"/>
    <w:link w:val="CommentSubject"/>
    <w:uiPriority w:val="99"/>
    <w:semiHidden/>
    <w:rsid w:val="0050014F"/>
    <w:rPr>
      <w:b/>
      <w:bCs/>
      <w:sz w:val="20"/>
      <w:szCs w:val="20"/>
    </w:rPr>
  </w:style>
  <w:style w:type="paragraph" w:styleId="Header">
    <w:name w:val="header"/>
    <w:basedOn w:val="Normal"/>
    <w:link w:val="HeaderChar"/>
    <w:uiPriority w:val="99"/>
    <w:unhideWhenUsed/>
    <w:rsid w:val="007C1B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B4F"/>
  </w:style>
  <w:style w:type="paragraph" w:styleId="Footer">
    <w:name w:val="footer"/>
    <w:basedOn w:val="Normal"/>
    <w:link w:val="FooterChar"/>
    <w:uiPriority w:val="99"/>
    <w:unhideWhenUsed/>
    <w:rsid w:val="007C1B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B4F"/>
  </w:style>
  <w:style w:type="paragraph" w:customStyle="1" w:styleId="SingleTxtG">
    <w:name w:val="_ Single Txt_G"/>
    <w:basedOn w:val="Normal"/>
    <w:qFormat/>
    <w:rsid w:val="00316156"/>
    <w:pPr>
      <w:spacing w:after="120" w:line="240" w:lineRule="auto"/>
      <w:ind w:left="1134"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791FC3"/>
    <w:rPr>
      <w:rFonts w:asciiTheme="majorHAnsi" w:eastAsiaTheme="majorEastAsia" w:hAnsiTheme="majorHAnsi" w:cstheme="majorBidi"/>
      <w:color w:val="000000" w:themeColor="text1"/>
      <w:sz w:val="24"/>
      <w:szCs w:val="24"/>
      <w:lang w:val="en-GB"/>
    </w:rPr>
  </w:style>
  <w:style w:type="character" w:customStyle="1" w:styleId="Heading2Char">
    <w:name w:val="Heading 2 Char"/>
    <w:basedOn w:val="DefaultParagraphFont"/>
    <w:link w:val="Heading2"/>
    <w:uiPriority w:val="9"/>
    <w:rsid w:val="00B9178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63A57"/>
    <w:pPr>
      <w:outlineLvl w:val="9"/>
    </w:pPr>
  </w:style>
  <w:style w:type="paragraph" w:styleId="TOC2">
    <w:name w:val="toc 2"/>
    <w:basedOn w:val="Normal"/>
    <w:next w:val="Normal"/>
    <w:autoRedefine/>
    <w:uiPriority w:val="39"/>
    <w:unhideWhenUsed/>
    <w:rsid w:val="00763A57"/>
    <w:pPr>
      <w:spacing w:after="100"/>
      <w:ind w:left="220"/>
    </w:pPr>
  </w:style>
  <w:style w:type="paragraph" w:styleId="ListParagraph">
    <w:name w:val="List Paragraph"/>
    <w:basedOn w:val="Normal"/>
    <w:uiPriority w:val="34"/>
    <w:qFormat/>
    <w:rsid w:val="00763A57"/>
    <w:pPr>
      <w:ind w:left="720"/>
      <w:contextualSpacing/>
    </w:pPr>
  </w:style>
  <w:style w:type="character" w:customStyle="1" w:styleId="Heading3Char">
    <w:name w:val="Heading 3 Char"/>
    <w:basedOn w:val="DefaultParagraphFont"/>
    <w:link w:val="Heading3"/>
    <w:uiPriority w:val="9"/>
    <w:semiHidden/>
    <w:rsid w:val="00CA412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A412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A412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A412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A412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A41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A4122"/>
    <w:rPr>
      <w:rFonts w:asciiTheme="majorHAnsi" w:eastAsiaTheme="majorEastAsia" w:hAnsiTheme="majorHAnsi" w:cstheme="majorBidi"/>
      <w:i/>
      <w:iCs/>
      <w:color w:val="272727" w:themeColor="text1" w:themeTint="D8"/>
      <w:sz w:val="21"/>
      <w:szCs w:val="21"/>
    </w:rPr>
  </w:style>
  <w:style w:type="character" w:styleId="PageNumber">
    <w:name w:val="page number"/>
    <w:basedOn w:val="DefaultParagraphFont"/>
    <w:uiPriority w:val="99"/>
    <w:semiHidden/>
    <w:unhideWhenUsed/>
    <w:rsid w:val="00D5183F"/>
  </w:style>
  <w:style w:type="paragraph" w:styleId="TOC1">
    <w:name w:val="toc 1"/>
    <w:basedOn w:val="Normal"/>
    <w:next w:val="Normal"/>
    <w:autoRedefine/>
    <w:uiPriority w:val="39"/>
    <w:unhideWhenUsed/>
    <w:rsid w:val="00C56AA0"/>
    <w:pPr>
      <w:spacing w:after="100"/>
    </w:pPr>
  </w:style>
  <w:style w:type="character" w:styleId="UnresolvedMention">
    <w:name w:val="Unresolved Mention"/>
    <w:basedOn w:val="DefaultParagraphFont"/>
    <w:uiPriority w:val="99"/>
    <w:rsid w:val="005D5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355345">
      <w:bodyDiv w:val="1"/>
      <w:marLeft w:val="0"/>
      <w:marRight w:val="0"/>
      <w:marTop w:val="0"/>
      <w:marBottom w:val="0"/>
      <w:divBdr>
        <w:top w:val="none" w:sz="0" w:space="0" w:color="auto"/>
        <w:left w:val="none" w:sz="0" w:space="0" w:color="auto"/>
        <w:bottom w:val="none" w:sz="0" w:space="0" w:color="auto"/>
        <w:right w:val="none" w:sz="0" w:space="0" w:color="auto"/>
      </w:divBdr>
    </w:div>
    <w:div w:id="297540935">
      <w:bodyDiv w:val="1"/>
      <w:marLeft w:val="0"/>
      <w:marRight w:val="0"/>
      <w:marTop w:val="0"/>
      <w:marBottom w:val="0"/>
      <w:divBdr>
        <w:top w:val="none" w:sz="0" w:space="0" w:color="auto"/>
        <w:left w:val="none" w:sz="0" w:space="0" w:color="auto"/>
        <w:bottom w:val="none" w:sz="0" w:space="0" w:color="auto"/>
        <w:right w:val="none" w:sz="0" w:space="0" w:color="auto"/>
      </w:divBdr>
    </w:div>
    <w:div w:id="340936687">
      <w:bodyDiv w:val="1"/>
      <w:marLeft w:val="0"/>
      <w:marRight w:val="0"/>
      <w:marTop w:val="0"/>
      <w:marBottom w:val="0"/>
      <w:divBdr>
        <w:top w:val="none" w:sz="0" w:space="0" w:color="auto"/>
        <w:left w:val="none" w:sz="0" w:space="0" w:color="auto"/>
        <w:bottom w:val="none" w:sz="0" w:space="0" w:color="auto"/>
        <w:right w:val="none" w:sz="0" w:space="0" w:color="auto"/>
      </w:divBdr>
    </w:div>
    <w:div w:id="344984130">
      <w:bodyDiv w:val="1"/>
      <w:marLeft w:val="0"/>
      <w:marRight w:val="0"/>
      <w:marTop w:val="0"/>
      <w:marBottom w:val="0"/>
      <w:divBdr>
        <w:top w:val="none" w:sz="0" w:space="0" w:color="auto"/>
        <w:left w:val="none" w:sz="0" w:space="0" w:color="auto"/>
        <w:bottom w:val="none" w:sz="0" w:space="0" w:color="auto"/>
        <w:right w:val="none" w:sz="0" w:space="0" w:color="auto"/>
      </w:divBdr>
      <w:divsChild>
        <w:div w:id="1769695497">
          <w:marLeft w:val="0"/>
          <w:marRight w:val="0"/>
          <w:marTop w:val="90"/>
          <w:marBottom w:val="0"/>
          <w:divBdr>
            <w:top w:val="none" w:sz="0" w:space="0" w:color="auto"/>
            <w:left w:val="none" w:sz="0" w:space="0" w:color="auto"/>
            <w:bottom w:val="none" w:sz="0" w:space="0" w:color="auto"/>
            <w:right w:val="none" w:sz="0" w:space="0" w:color="auto"/>
          </w:divBdr>
          <w:divsChild>
            <w:div w:id="686559483">
              <w:marLeft w:val="0"/>
              <w:marRight w:val="0"/>
              <w:marTop w:val="0"/>
              <w:marBottom w:val="420"/>
              <w:divBdr>
                <w:top w:val="none" w:sz="0" w:space="0" w:color="auto"/>
                <w:left w:val="none" w:sz="0" w:space="0" w:color="auto"/>
                <w:bottom w:val="none" w:sz="0" w:space="0" w:color="auto"/>
                <w:right w:val="none" w:sz="0" w:space="0" w:color="auto"/>
              </w:divBdr>
              <w:divsChild>
                <w:div w:id="1013610132">
                  <w:marLeft w:val="0"/>
                  <w:marRight w:val="0"/>
                  <w:marTop w:val="0"/>
                  <w:marBottom w:val="0"/>
                  <w:divBdr>
                    <w:top w:val="none" w:sz="0" w:space="0" w:color="auto"/>
                    <w:left w:val="none" w:sz="0" w:space="0" w:color="auto"/>
                    <w:bottom w:val="none" w:sz="0" w:space="0" w:color="auto"/>
                    <w:right w:val="none" w:sz="0" w:space="0" w:color="auto"/>
                  </w:divBdr>
                  <w:divsChild>
                    <w:div w:id="165514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13469">
      <w:bodyDiv w:val="1"/>
      <w:marLeft w:val="0"/>
      <w:marRight w:val="0"/>
      <w:marTop w:val="0"/>
      <w:marBottom w:val="0"/>
      <w:divBdr>
        <w:top w:val="none" w:sz="0" w:space="0" w:color="auto"/>
        <w:left w:val="none" w:sz="0" w:space="0" w:color="auto"/>
        <w:bottom w:val="none" w:sz="0" w:space="0" w:color="auto"/>
        <w:right w:val="none" w:sz="0" w:space="0" w:color="auto"/>
      </w:divBdr>
    </w:div>
    <w:div w:id="562107962">
      <w:bodyDiv w:val="1"/>
      <w:marLeft w:val="0"/>
      <w:marRight w:val="0"/>
      <w:marTop w:val="0"/>
      <w:marBottom w:val="0"/>
      <w:divBdr>
        <w:top w:val="none" w:sz="0" w:space="0" w:color="auto"/>
        <w:left w:val="none" w:sz="0" w:space="0" w:color="auto"/>
        <w:bottom w:val="none" w:sz="0" w:space="0" w:color="auto"/>
        <w:right w:val="none" w:sz="0" w:space="0" w:color="auto"/>
      </w:divBdr>
      <w:divsChild>
        <w:div w:id="1102915312">
          <w:marLeft w:val="225"/>
          <w:marRight w:val="225"/>
          <w:marTop w:val="0"/>
          <w:marBottom w:val="225"/>
          <w:divBdr>
            <w:top w:val="none" w:sz="0" w:space="0" w:color="auto"/>
            <w:left w:val="none" w:sz="0" w:space="0" w:color="auto"/>
            <w:bottom w:val="none" w:sz="0" w:space="0" w:color="auto"/>
            <w:right w:val="none" w:sz="0" w:space="0" w:color="auto"/>
          </w:divBdr>
        </w:div>
      </w:divsChild>
    </w:div>
    <w:div w:id="628896441">
      <w:bodyDiv w:val="1"/>
      <w:marLeft w:val="0"/>
      <w:marRight w:val="0"/>
      <w:marTop w:val="0"/>
      <w:marBottom w:val="0"/>
      <w:divBdr>
        <w:top w:val="none" w:sz="0" w:space="0" w:color="auto"/>
        <w:left w:val="none" w:sz="0" w:space="0" w:color="auto"/>
        <w:bottom w:val="none" w:sz="0" w:space="0" w:color="auto"/>
        <w:right w:val="none" w:sz="0" w:space="0" w:color="auto"/>
      </w:divBdr>
    </w:div>
    <w:div w:id="859584993">
      <w:bodyDiv w:val="1"/>
      <w:marLeft w:val="0"/>
      <w:marRight w:val="0"/>
      <w:marTop w:val="0"/>
      <w:marBottom w:val="0"/>
      <w:divBdr>
        <w:top w:val="none" w:sz="0" w:space="0" w:color="auto"/>
        <w:left w:val="none" w:sz="0" w:space="0" w:color="auto"/>
        <w:bottom w:val="none" w:sz="0" w:space="0" w:color="auto"/>
        <w:right w:val="none" w:sz="0" w:space="0" w:color="auto"/>
      </w:divBdr>
    </w:div>
    <w:div w:id="925842351">
      <w:bodyDiv w:val="1"/>
      <w:marLeft w:val="0"/>
      <w:marRight w:val="0"/>
      <w:marTop w:val="0"/>
      <w:marBottom w:val="0"/>
      <w:divBdr>
        <w:top w:val="none" w:sz="0" w:space="0" w:color="auto"/>
        <w:left w:val="none" w:sz="0" w:space="0" w:color="auto"/>
        <w:bottom w:val="none" w:sz="0" w:space="0" w:color="auto"/>
        <w:right w:val="none" w:sz="0" w:space="0" w:color="auto"/>
      </w:divBdr>
    </w:div>
    <w:div w:id="1164315664">
      <w:bodyDiv w:val="1"/>
      <w:marLeft w:val="0"/>
      <w:marRight w:val="0"/>
      <w:marTop w:val="0"/>
      <w:marBottom w:val="0"/>
      <w:divBdr>
        <w:top w:val="none" w:sz="0" w:space="0" w:color="auto"/>
        <w:left w:val="none" w:sz="0" w:space="0" w:color="auto"/>
        <w:bottom w:val="none" w:sz="0" w:space="0" w:color="auto"/>
        <w:right w:val="none" w:sz="0" w:space="0" w:color="auto"/>
      </w:divBdr>
    </w:div>
    <w:div w:id="1205412414">
      <w:bodyDiv w:val="1"/>
      <w:marLeft w:val="0"/>
      <w:marRight w:val="0"/>
      <w:marTop w:val="0"/>
      <w:marBottom w:val="0"/>
      <w:divBdr>
        <w:top w:val="none" w:sz="0" w:space="0" w:color="auto"/>
        <w:left w:val="none" w:sz="0" w:space="0" w:color="auto"/>
        <w:bottom w:val="none" w:sz="0" w:space="0" w:color="auto"/>
        <w:right w:val="none" w:sz="0" w:space="0" w:color="auto"/>
      </w:divBdr>
    </w:div>
    <w:div w:id="1404371841">
      <w:bodyDiv w:val="1"/>
      <w:marLeft w:val="0"/>
      <w:marRight w:val="0"/>
      <w:marTop w:val="0"/>
      <w:marBottom w:val="0"/>
      <w:divBdr>
        <w:top w:val="none" w:sz="0" w:space="0" w:color="auto"/>
        <w:left w:val="none" w:sz="0" w:space="0" w:color="auto"/>
        <w:bottom w:val="none" w:sz="0" w:space="0" w:color="auto"/>
        <w:right w:val="none" w:sz="0" w:space="0" w:color="auto"/>
      </w:divBdr>
    </w:div>
    <w:div w:id="1578057026">
      <w:bodyDiv w:val="1"/>
      <w:marLeft w:val="0"/>
      <w:marRight w:val="0"/>
      <w:marTop w:val="0"/>
      <w:marBottom w:val="0"/>
      <w:divBdr>
        <w:top w:val="none" w:sz="0" w:space="0" w:color="auto"/>
        <w:left w:val="none" w:sz="0" w:space="0" w:color="auto"/>
        <w:bottom w:val="none" w:sz="0" w:space="0" w:color="auto"/>
        <w:right w:val="none" w:sz="0" w:space="0" w:color="auto"/>
      </w:divBdr>
      <w:divsChild>
        <w:div w:id="483159498">
          <w:marLeft w:val="0"/>
          <w:marRight w:val="0"/>
          <w:marTop w:val="0"/>
          <w:marBottom w:val="0"/>
          <w:divBdr>
            <w:top w:val="none" w:sz="0" w:space="0" w:color="auto"/>
            <w:left w:val="none" w:sz="0" w:space="0" w:color="auto"/>
            <w:bottom w:val="none" w:sz="0" w:space="0" w:color="auto"/>
            <w:right w:val="none" w:sz="0" w:space="0" w:color="auto"/>
          </w:divBdr>
        </w:div>
      </w:divsChild>
    </w:div>
    <w:div w:id="1670056791">
      <w:bodyDiv w:val="1"/>
      <w:marLeft w:val="0"/>
      <w:marRight w:val="0"/>
      <w:marTop w:val="0"/>
      <w:marBottom w:val="0"/>
      <w:divBdr>
        <w:top w:val="none" w:sz="0" w:space="0" w:color="auto"/>
        <w:left w:val="none" w:sz="0" w:space="0" w:color="auto"/>
        <w:bottom w:val="none" w:sz="0" w:space="0" w:color="auto"/>
        <w:right w:val="none" w:sz="0" w:space="0" w:color="auto"/>
      </w:divBdr>
    </w:div>
    <w:div w:id="1709985218">
      <w:bodyDiv w:val="1"/>
      <w:marLeft w:val="0"/>
      <w:marRight w:val="0"/>
      <w:marTop w:val="0"/>
      <w:marBottom w:val="0"/>
      <w:divBdr>
        <w:top w:val="none" w:sz="0" w:space="0" w:color="auto"/>
        <w:left w:val="none" w:sz="0" w:space="0" w:color="auto"/>
        <w:bottom w:val="none" w:sz="0" w:space="0" w:color="auto"/>
        <w:right w:val="none" w:sz="0" w:space="0" w:color="auto"/>
      </w:divBdr>
    </w:div>
    <w:div w:id="1750426688">
      <w:bodyDiv w:val="1"/>
      <w:marLeft w:val="0"/>
      <w:marRight w:val="0"/>
      <w:marTop w:val="0"/>
      <w:marBottom w:val="0"/>
      <w:divBdr>
        <w:top w:val="none" w:sz="0" w:space="0" w:color="auto"/>
        <w:left w:val="none" w:sz="0" w:space="0" w:color="auto"/>
        <w:bottom w:val="none" w:sz="0" w:space="0" w:color="auto"/>
        <w:right w:val="none" w:sz="0" w:space="0" w:color="auto"/>
      </w:divBdr>
    </w:div>
    <w:div w:id="1770469580">
      <w:bodyDiv w:val="1"/>
      <w:marLeft w:val="0"/>
      <w:marRight w:val="0"/>
      <w:marTop w:val="0"/>
      <w:marBottom w:val="0"/>
      <w:divBdr>
        <w:top w:val="none" w:sz="0" w:space="0" w:color="auto"/>
        <w:left w:val="none" w:sz="0" w:space="0" w:color="auto"/>
        <w:bottom w:val="none" w:sz="0" w:space="0" w:color="auto"/>
        <w:right w:val="none" w:sz="0" w:space="0" w:color="auto"/>
      </w:divBdr>
    </w:div>
    <w:div w:id="1898395757">
      <w:bodyDiv w:val="1"/>
      <w:marLeft w:val="0"/>
      <w:marRight w:val="0"/>
      <w:marTop w:val="0"/>
      <w:marBottom w:val="0"/>
      <w:divBdr>
        <w:top w:val="none" w:sz="0" w:space="0" w:color="auto"/>
        <w:left w:val="none" w:sz="0" w:space="0" w:color="auto"/>
        <w:bottom w:val="none" w:sz="0" w:space="0" w:color="auto"/>
        <w:right w:val="none" w:sz="0" w:space="0" w:color="auto"/>
      </w:divBdr>
    </w:div>
    <w:div w:id="1949503148">
      <w:bodyDiv w:val="1"/>
      <w:marLeft w:val="0"/>
      <w:marRight w:val="0"/>
      <w:marTop w:val="0"/>
      <w:marBottom w:val="0"/>
      <w:divBdr>
        <w:top w:val="none" w:sz="0" w:space="0" w:color="auto"/>
        <w:left w:val="none" w:sz="0" w:space="0" w:color="auto"/>
        <w:bottom w:val="none" w:sz="0" w:space="0" w:color="auto"/>
        <w:right w:val="none" w:sz="0" w:space="0" w:color="auto"/>
      </w:divBdr>
      <w:divsChild>
        <w:div w:id="1318874786">
          <w:marLeft w:val="0"/>
          <w:marRight w:val="0"/>
          <w:marTop w:val="90"/>
          <w:marBottom w:val="0"/>
          <w:divBdr>
            <w:top w:val="none" w:sz="0" w:space="0" w:color="auto"/>
            <w:left w:val="none" w:sz="0" w:space="0" w:color="auto"/>
            <w:bottom w:val="none" w:sz="0" w:space="0" w:color="auto"/>
            <w:right w:val="none" w:sz="0" w:space="0" w:color="auto"/>
          </w:divBdr>
          <w:divsChild>
            <w:div w:id="1610817253">
              <w:marLeft w:val="0"/>
              <w:marRight w:val="0"/>
              <w:marTop w:val="0"/>
              <w:marBottom w:val="420"/>
              <w:divBdr>
                <w:top w:val="none" w:sz="0" w:space="0" w:color="auto"/>
                <w:left w:val="none" w:sz="0" w:space="0" w:color="auto"/>
                <w:bottom w:val="none" w:sz="0" w:space="0" w:color="auto"/>
                <w:right w:val="none" w:sz="0" w:space="0" w:color="auto"/>
              </w:divBdr>
              <w:divsChild>
                <w:div w:id="1877694019">
                  <w:marLeft w:val="0"/>
                  <w:marRight w:val="0"/>
                  <w:marTop w:val="0"/>
                  <w:marBottom w:val="0"/>
                  <w:divBdr>
                    <w:top w:val="none" w:sz="0" w:space="0" w:color="auto"/>
                    <w:left w:val="none" w:sz="0" w:space="0" w:color="auto"/>
                    <w:bottom w:val="none" w:sz="0" w:space="0" w:color="auto"/>
                    <w:right w:val="none" w:sz="0" w:space="0" w:color="auto"/>
                  </w:divBdr>
                  <w:divsChild>
                    <w:div w:id="180322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31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pcbs.gov.ps/portals/_pcbs/PressRelease/Press_En_Preliminary_Results_Report-en-with-tables.pdf" TargetMode="External"/><Relationship Id="rId13" Type="http://schemas.openxmlformats.org/officeDocument/2006/relationships/hyperlink" Target="https://www.ochaopt.org/sites/default/files/hrp_2020.pdf" TargetMode="External"/><Relationship Id="rId18" Type="http://schemas.openxmlformats.org/officeDocument/2006/relationships/hyperlink" Target="https://www.map.org.uk/downloads/no-more-impunity--gazas-health-sector-under-attack.pdf%20p15" TargetMode="External"/><Relationship Id="rId26" Type="http://schemas.openxmlformats.org/officeDocument/2006/relationships/hyperlink" Target="https://www.map.org.uk/news/archive/post/1058-mapas-largest-limb-reconstruction-mission-to-gaza-yet" TargetMode="External"/><Relationship Id="rId3" Type="http://schemas.openxmlformats.org/officeDocument/2006/relationships/hyperlink" Target="http://docstore.ohchr.org/SelfServices/FilesHandler.ashx?enc=4slQ6QSmlBEDzFEovLCuW0fekJcyLVE4h%2FkYmh4jSatSY66nsJOxboaAu4bfCDK5HY6MTTcGy79Oycfl9hr1wv3zD%2FCRdXz86uGTURl%2BJvrNJQLfgjL9vVSE7OE5dJet" TargetMode="External"/><Relationship Id="rId21" Type="http://schemas.openxmlformats.org/officeDocument/2006/relationships/hyperlink" Target="http://www.alhaq.org/advocacy/6108.html" TargetMode="External"/><Relationship Id="rId34" Type="http://schemas.openxmlformats.org/officeDocument/2006/relationships/hyperlink" Target="https://www.ochaopt.org/sites/default/files/hno_20_12_2017_final.pdf" TargetMode="External"/><Relationship Id="rId7" Type="http://schemas.openxmlformats.org/officeDocument/2006/relationships/hyperlink" Target="https://www.geneva-academy.ch/joomlatools-files/docman-files/Academy%20Briefing%2014-interactif.pdf" TargetMode="External"/><Relationship Id="rId12" Type="http://schemas.openxmlformats.org/officeDocument/2006/relationships/hyperlink" Target="https://gisha.org/en-blog/2020/01/01/the-un-predicted-gaza-would-be-unlivable-by-2020-they-were-right/" TargetMode="External"/><Relationship Id="rId17" Type="http://schemas.openxmlformats.org/officeDocument/2006/relationships/hyperlink" Target="https://www.ohchr.org/EN/NewsEvents/Pages/DisplayNews.aspx?NewsID=26111" TargetMode="External"/><Relationship Id="rId25" Type="http://schemas.openxmlformats.org/officeDocument/2006/relationships/hyperlink" Target="http://www.emro.who.int/images/stories/palestine/documents/SitRep_Aug_2019_v0_SH_rev_GRO.pdf?ua=1" TargetMode="External"/><Relationship Id="rId33" Type="http://schemas.openxmlformats.org/officeDocument/2006/relationships/hyperlink" Target="https://www.map.org.uk/news/archive/post/915-mapas-director-of-programmes-in-gaza-speaks-at-labour-party-conference" TargetMode="External"/><Relationship Id="rId2" Type="http://schemas.openxmlformats.org/officeDocument/2006/relationships/hyperlink" Target="https://tbinternet.ohchr.org/Treaties/CERD/Shared%20Documents/ISR/INT_CERD_COC_ISR_40809_E.pdf" TargetMode="External"/><Relationship Id="rId16" Type="http://schemas.openxmlformats.org/officeDocument/2006/relationships/hyperlink" Target="https://www.unrwa.org/resources/about-unrwa/supporting-persons-disabilities" TargetMode="External"/><Relationship Id="rId20" Type="http://schemas.openxmlformats.org/officeDocument/2006/relationships/hyperlink" Target="https://www.ohchr.org/EN/HRBodies/HRC/Pages/NewsDetail.aspx?NewsID=24226&amp;LangID=E" TargetMode="External"/><Relationship Id="rId29" Type="http://schemas.openxmlformats.org/officeDocument/2006/relationships/hyperlink" Target="http://www.who.int/bulletin/volumes/81/8/Patel0803.pdf" TargetMode="External"/><Relationship Id="rId1" Type="http://schemas.openxmlformats.org/officeDocument/2006/relationships/hyperlink" Target="https://www.icj-cij.org/files/case-related/131/131-20040709-ADV-01-00-EN.pdf" TargetMode="External"/><Relationship Id="rId6" Type="http://schemas.openxmlformats.org/officeDocument/2006/relationships/hyperlink" Target="https://www.geneva-academy.ch/joomlatools-files/docman-files/Academy%20Briefing%2014-interactif.pdf" TargetMode="External"/><Relationship Id="rId11" Type="http://schemas.openxmlformats.org/officeDocument/2006/relationships/hyperlink" Target="https://www.unrwa.org/userfiles/file/publications/gaza/Gaza%20in%202020.pdf" TargetMode="External"/><Relationship Id="rId24" Type="http://schemas.openxmlformats.org/officeDocument/2006/relationships/hyperlink" Target="http://www.ohchr.org/Documents/HRBodies/HRCouncil/CoIGaza/A-HRC-29-52_en.doc" TargetMode="External"/><Relationship Id="rId32" Type="http://schemas.openxmlformats.org/officeDocument/2006/relationships/hyperlink" Target="https://www.map.org.uk/downloads/health-under-occupation---map-report-2017.pdf" TargetMode="External"/><Relationship Id="rId37" Type="http://schemas.openxmlformats.org/officeDocument/2006/relationships/hyperlink" Target="https://www.map.org.uk/news/archive/post/831-map-raises-concerns-over-mental-health-impact-of-violence-against-gaza-protesters" TargetMode="External"/><Relationship Id="rId5" Type="http://schemas.openxmlformats.org/officeDocument/2006/relationships/hyperlink" Target="https://docstore.ohchr.org/SelfServices/FilesHandler.ashx?enc=6QkG1d%2FPPRiCAqhKb7yhsmEKqNhdzbzr4kqou1ZPE79BvBJe97SSM1KP2v4ng3Dhx74ohsby7x4AlEgvGhwtvav7rPvZmtwpwObldkyK%2BM9cNY7svWLlYmp6PB4chW8O" TargetMode="External"/><Relationship Id="rId15" Type="http://schemas.openxmlformats.org/officeDocument/2006/relationships/hyperlink" Target="https://assets.publishing.service.gov.uk/government/uploads/system/uploads/attachment_data/file/818130/query-12-Gaza-mapping.pdf" TargetMode="External"/><Relationship Id="rId23" Type="http://schemas.openxmlformats.org/officeDocument/2006/relationships/hyperlink" Target="https://www.map.org.uk/news/archive/post/1125-map-demands-accountability-for-killing-of-eyad-hallaq" TargetMode="External"/><Relationship Id="rId28" Type="http://schemas.openxmlformats.org/officeDocument/2006/relationships/hyperlink" Target="https://www.ochaopt.org/content/covid-19-emergency-situation-report-12" TargetMode="External"/><Relationship Id="rId36" Type="http://schemas.openxmlformats.org/officeDocument/2006/relationships/hyperlink" Target="https://apps.who.int/gb/ebwha/pdf_files/WHA72/A72_33-en.pdf" TargetMode="External"/><Relationship Id="rId10" Type="http://schemas.openxmlformats.org/officeDocument/2006/relationships/hyperlink" Target="https://www.icrc.org/en/doc/resources/documents/update/palestine-update-140610.htm" TargetMode="External"/><Relationship Id="rId19" Type="http://schemas.openxmlformats.org/officeDocument/2006/relationships/hyperlink" Target="https://www.map.org.uk/downloads/chronic-impunity-gazas-health-sector-under-repeated-attack.pdf" TargetMode="External"/><Relationship Id="rId31" Type="http://schemas.openxmlformats.org/officeDocument/2006/relationships/hyperlink" Target="https://www.ohchr.org/EN/HRBodies/HRC/RegularSessions/Session44/Documents/A_HRC_44_60.pdf" TargetMode="External"/><Relationship Id="rId4" Type="http://schemas.openxmlformats.org/officeDocument/2006/relationships/hyperlink" Target="https://tbinternet.ohchr.org/_layouts/15/treatybodyexternal/Download.aspx?symbolno=CEDAW%2fC%2fISR%2fCO%2f6&amp;Lang=en" TargetMode="External"/><Relationship Id="rId9" Type="http://schemas.openxmlformats.org/officeDocument/2006/relationships/hyperlink" Target="http://www.pcbs.gov.ps/portals/_pcbs/PressRelease/Press_En_Preliminary_Results_Report-en-with-tables.pdf" TargetMode="External"/><Relationship Id="rId14" Type="http://schemas.openxmlformats.org/officeDocument/2006/relationships/hyperlink" Target="https://www.ochaopt.org/content/gaza-people-disabilities-disproportionately-affected-energy-and-salary-crisis" TargetMode="External"/><Relationship Id="rId22" Type="http://schemas.openxmlformats.org/officeDocument/2006/relationships/hyperlink" Target="http://www.alhaq.org/advocacy/6108.html" TargetMode="External"/><Relationship Id="rId27" Type="http://schemas.openxmlformats.org/officeDocument/2006/relationships/hyperlink" Target="https://www.ochaopt.org/sites/default/files/covid-19-response-plan-inter-agency-opt.pdf" TargetMode="External"/><Relationship Id="rId30" Type="http://schemas.openxmlformats.org/officeDocument/2006/relationships/hyperlink" Target="http://www.healthdata.org/palestine" TargetMode="External"/><Relationship Id="rId35" Type="http://schemas.openxmlformats.org/officeDocument/2006/relationships/hyperlink" Target="https://www.nrc.no/news/2019/march/gaza-childrens-mental-health-rapidly-deteriorat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F669C3-0BC2-499B-9567-357809818DEC}">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BD29B98-C2FE-9242-BF06-086FB8CD9210}">
  <ds:schemaRefs>
    <ds:schemaRef ds:uri="http://schemas.openxmlformats.org/officeDocument/2006/bibliography"/>
  </ds:schemaRefs>
</ds:datastoreItem>
</file>

<file path=customXml/itemProps3.xml><?xml version="1.0" encoding="utf-8"?>
<ds:datastoreItem xmlns:ds="http://schemas.openxmlformats.org/officeDocument/2006/customXml" ds:itemID="{DCB4E579-3EC2-4953-916E-163EA6CFF6A9}">
  <ds:schemaRefs>
    <ds:schemaRef ds:uri="http://schemas.microsoft.com/sharepoint/v3/contenttype/forms"/>
  </ds:schemaRefs>
</ds:datastoreItem>
</file>

<file path=customXml/itemProps4.xml><?xml version="1.0" encoding="utf-8"?>
<ds:datastoreItem xmlns:ds="http://schemas.openxmlformats.org/officeDocument/2006/customXml" ds:itemID="{EE8A4BE3-686D-4C36-880A-5B0434BEB3D6}"/>
</file>

<file path=docProps/app.xml><?xml version="1.0" encoding="utf-8"?>
<Properties xmlns="http://schemas.openxmlformats.org/officeDocument/2006/extended-properties" xmlns:vt="http://schemas.openxmlformats.org/officeDocument/2006/docPropsVTypes">
  <Template>Normal</Template>
  <TotalTime>2</TotalTime>
  <Pages>9</Pages>
  <Words>3046</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Jacklin</dc:creator>
  <cp:keywords/>
  <dc:description/>
  <cp:lastModifiedBy>Roisin Jacklin</cp:lastModifiedBy>
  <cp:revision>2</cp:revision>
  <cp:lastPrinted>2020-02-14T10:08:00Z</cp:lastPrinted>
  <dcterms:created xsi:type="dcterms:W3CDTF">2020-07-17T12:38:00Z</dcterms:created>
  <dcterms:modified xsi:type="dcterms:W3CDTF">2020-07-17T12:38:00Z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