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3248" w:rsidRDefault="00120920">
      <w:pPr>
        <w:spacing w:after="0" w:line="240" w:lineRule="auto"/>
        <w:jc w:val="right"/>
        <w:rPr>
          <w:rFonts w:ascii="Arial" w:eastAsia="Arial" w:hAnsi="Arial" w:cs="Arial"/>
          <w:b/>
          <w:sz w:val="24"/>
          <w:szCs w:val="24"/>
        </w:rPr>
      </w:pPr>
      <w:bookmarkStart w:id="0" w:name="_heading=h.gjdgxs" w:colFirst="0" w:colLast="0"/>
      <w:bookmarkEnd w:id="0"/>
      <w:r>
        <w:rPr>
          <w:rFonts w:ascii="Arial" w:eastAsia="Arial" w:hAnsi="Arial" w:cs="Arial"/>
          <w:b/>
          <w:sz w:val="24"/>
          <w:szCs w:val="24"/>
        </w:rPr>
        <w:t>Havana, October 12, 2021</w:t>
      </w:r>
    </w:p>
    <w:p w:rsidR="00053248" w:rsidRDefault="00120920">
      <w:pPr>
        <w:spacing w:after="0" w:line="240" w:lineRule="auto"/>
        <w:jc w:val="both"/>
        <w:rPr>
          <w:rFonts w:ascii="Arial" w:eastAsia="Arial" w:hAnsi="Arial" w:cs="Arial"/>
          <w:b/>
          <w:sz w:val="24"/>
          <w:szCs w:val="24"/>
        </w:rPr>
      </w:pPr>
      <w:r>
        <w:rPr>
          <w:rFonts w:ascii="Arial" w:eastAsia="Arial" w:hAnsi="Arial" w:cs="Arial"/>
          <w:b/>
          <w:sz w:val="24"/>
          <w:szCs w:val="24"/>
        </w:rPr>
        <w:t>Individual contribution of the Cuban Union of Jurists, ONG in Consultative Status with ECOSOC, United Nations, to the presentation of the Cuban Report to the Child Rights Committee.</w:t>
      </w:r>
    </w:p>
    <w:p w:rsidR="00053248" w:rsidRDefault="00053248">
      <w:pPr>
        <w:spacing w:after="0" w:line="240" w:lineRule="auto"/>
        <w:jc w:val="both"/>
        <w:rPr>
          <w:rFonts w:ascii="Arial" w:eastAsia="Arial" w:hAnsi="Arial" w:cs="Arial"/>
          <w:b/>
          <w:sz w:val="24"/>
          <w:szCs w:val="24"/>
        </w:rPr>
      </w:pPr>
    </w:p>
    <w:p w:rsidR="00053248" w:rsidRDefault="00120920">
      <w:pPr>
        <w:spacing w:after="0" w:line="240" w:lineRule="auto"/>
        <w:jc w:val="both"/>
        <w:rPr>
          <w:rFonts w:ascii="Arial" w:eastAsia="Arial" w:hAnsi="Arial" w:cs="Arial"/>
          <w:b/>
          <w:sz w:val="24"/>
          <w:szCs w:val="24"/>
        </w:rPr>
      </w:pPr>
      <w:r>
        <w:rPr>
          <w:rFonts w:ascii="Arial" w:eastAsia="Arial" w:hAnsi="Arial" w:cs="Arial"/>
          <w:b/>
          <w:sz w:val="24"/>
          <w:szCs w:val="24"/>
        </w:rPr>
        <w:t>Name of NGO: Cuban Union of Jurists</w:t>
      </w:r>
    </w:p>
    <w:p w:rsidR="00053248" w:rsidRDefault="00120920">
      <w:pPr>
        <w:spacing w:after="0" w:line="240" w:lineRule="auto"/>
        <w:jc w:val="both"/>
        <w:rPr>
          <w:rFonts w:ascii="Arial" w:eastAsia="Arial" w:hAnsi="Arial" w:cs="Arial"/>
          <w:b/>
          <w:sz w:val="24"/>
          <w:szCs w:val="24"/>
        </w:rPr>
      </w:pPr>
      <w:r>
        <w:rPr>
          <w:rFonts w:ascii="Arial" w:eastAsia="Arial" w:hAnsi="Arial" w:cs="Arial"/>
          <w:b/>
          <w:sz w:val="24"/>
          <w:szCs w:val="24"/>
        </w:rPr>
        <w:t>Contact person:</w:t>
      </w:r>
    </w:p>
    <w:p w:rsidR="00053248" w:rsidRDefault="00120920">
      <w:pPr>
        <w:spacing w:after="0" w:line="240" w:lineRule="auto"/>
        <w:jc w:val="both"/>
        <w:rPr>
          <w:rFonts w:ascii="Arial" w:eastAsia="Arial" w:hAnsi="Arial" w:cs="Arial"/>
          <w:b/>
          <w:sz w:val="24"/>
          <w:szCs w:val="24"/>
        </w:rPr>
      </w:pPr>
      <w:r>
        <w:rPr>
          <w:rFonts w:ascii="Arial" w:eastAsia="Arial" w:hAnsi="Arial" w:cs="Arial"/>
          <w:b/>
          <w:sz w:val="24"/>
          <w:szCs w:val="24"/>
        </w:rPr>
        <w:t>Telephones: (537) 832-9680 / 8327562</w:t>
      </w:r>
    </w:p>
    <w:p w:rsidR="00053248" w:rsidRDefault="00120920">
      <w:pPr>
        <w:spacing w:after="0" w:line="240" w:lineRule="auto"/>
        <w:jc w:val="both"/>
        <w:rPr>
          <w:rFonts w:ascii="Arial" w:eastAsia="Arial" w:hAnsi="Arial" w:cs="Arial"/>
          <w:b/>
          <w:sz w:val="24"/>
          <w:szCs w:val="24"/>
        </w:rPr>
      </w:pPr>
      <w:r>
        <w:rPr>
          <w:rFonts w:ascii="Arial" w:eastAsia="Arial" w:hAnsi="Arial" w:cs="Arial"/>
          <w:b/>
          <w:sz w:val="24"/>
          <w:szCs w:val="24"/>
        </w:rPr>
        <w:t xml:space="preserve">E-mail: </w:t>
      </w:r>
    </w:p>
    <w:p w:rsidR="00053248" w:rsidRDefault="00120920">
      <w:pPr>
        <w:spacing w:after="0" w:line="240" w:lineRule="auto"/>
        <w:jc w:val="both"/>
        <w:rPr>
          <w:rFonts w:ascii="Arial" w:eastAsia="Arial" w:hAnsi="Arial" w:cs="Arial"/>
          <w:b/>
          <w:sz w:val="24"/>
          <w:szCs w:val="24"/>
        </w:rPr>
      </w:pPr>
      <w:r>
        <w:rPr>
          <w:rFonts w:ascii="Arial" w:eastAsia="Arial" w:hAnsi="Arial" w:cs="Arial"/>
          <w:b/>
          <w:sz w:val="24"/>
          <w:szCs w:val="24"/>
        </w:rPr>
        <w:t xml:space="preserve">Title: Written presentation by the </w:t>
      </w:r>
      <w:bookmarkStart w:id="1" w:name="_GoBack"/>
      <w:r>
        <w:rPr>
          <w:rFonts w:ascii="Arial" w:eastAsia="Arial" w:hAnsi="Arial" w:cs="Arial"/>
          <w:b/>
          <w:sz w:val="24"/>
          <w:szCs w:val="24"/>
        </w:rPr>
        <w:t xml:space="preserve">Cuban Jurists Union </w:t>
      </w:r>
      <w:bookmarkEnd w:id="1"/>
      <w:r>
        <w:rPr>
          <w:rFonts w:ascii="Arial" w:eastAsia="Arial" w:hAnsi="Arial" w:cs="Arial"/>
          <w:b/>
          <w:sz w:val="24"/>
          <w:szCs w:val="24"/>
        </w:rPr>
        <w:t>on the protection of children and adolescents in the Republic of Cuba.</w:t>
      </w:r>
    </w:p>
    <w:p w:rsidR="00053248" w:rsidRDefault="00053248">
      <w:pPr>
        <w:spacing w:after="0" w:line="240" w:lineRule="auto"/>
        <w:jc w:val="both"/>
        <w:rPr>
          <w:rFonts w:ascii="Arial" w:eastAsia="Arial" w:hAnsi="Arial" w:cs="Arial"/>
          <w:b/>
          <w:sz w:val="24"/>
          <w:szCs w:val="24"/>
        </w:rPr>
      </w:pPr>
    </w:p>
    <w:p w:rsidR="00053248" w:rsidRDefault="00120920">
      <w:pPr>
        <w:spacing w:after="0" w:line="240" w:lineRule="auto"/>
        <w:jc w:val="both"/>
        <w:rPr>
          <w:rFonts w:ascii="Arial" w:eastAsia="Arial" w:hAnsi="Arial" w:cs="Arial"/>
          <w:sz w:val="24"/>
          <w:szCs w:val="24"/>
        </w:rPr>
      </w:pPr>
      <w:r>
        <w:rPr>
          <w:rFonts w:ascii="Arial" w:eastAsia="Arial" w:hAnsi="Arial" w:cs="Arial"/>
          <w:sz w:val="24"/>
          <w:szCs w:val="24"/>
        </w:rPr>
        <w:t xml:space="preserve">The Cuban Jurists Union, (UNJC, according to its acronym in Spanish) is a social organization of Law professionals, constituted on June 8, 1977, under article 7 of the Constitution of the Republic, self-financed, with a scientific and professional profile, ruled by its own Regulations and officially recognized by the Cuban government. It gathers together the majority of jurists in the country, about eighteen thousand members voluntarily affiliated, including litigators, judges, prosecutors, notaries public, police investigators, academics, consultants and legal advisors to agencies and enterprises and, in general, all those who work in the field of Law in Cuba. </w:t>
      </w:r>
    </w:p>
    <w:p w:rsidR="00053248" w:rsidRDefault="00120920">
      <w:pPr>
        <w:spacing w:after="0" w:line="240" w:lineRule="auto"/>
        <w:jc w:val="both"/>
        <w:rPr>
          <w:rFonts w:ascii="Arial" w:eastAsia="Arial" w:hAnsi="Arial" w:cs="Arial"/>
          <w:sz w:val="24"/>
          <w:szCs w:val="24"/>
        </w:rPr>
      </w:pPr>
      <w:r>
        <w:rPr>
          <w:rFonts w:ascii="Arial" w:eastAsia="Arial" w:hAnsi="Arial" w:cs="Arial"/>
          <w:sz w:val="24"/>
          <w:szCs w:val="24"/>
        </w:rPr>
        <w:t>UNJC has as objectives, among others: to link together all Cuban jurists, regarding their specific scientific, professional, academic and cultural goals; to contribute to Law scientific development and practice; to contribute to the production of scientific literature; to encourage the participation of affiliates in scientific research and continuing education activities; to create spaces for the analysis of current problems of Law and their projection both nationally and internationally and to represent Cuban jurists in Cuba and abroad. It has special consultative status with ECOSOC and in virtue of it; it addresses the Children Rights Committee, with the objective of making a modest contribution to the review process the Cuban government will be the object of. To that end, it wishes to express the following considerations:</w:t>
      </w:r>
    </w:p>
    <w:p w:rsidR="00053248" w:rsidRDefault="00120920">
      <w:pPr>
        <w:spacing w:after="0" w:line="240" w:lineRule="auto"/>
        <w:jc w:val="both"/>
        <w:rPr>
          <w:rFonts w:ascii="Arial" w:eastAsia="Arial" w:hAnsi="Arial" w:cs="Arial"/>
          <w:sz w:val="24"/>
          <w:szCs w:val="24"/>
        </w:rPr>
      </w:pPr>
      <w:r>
        <w:rPr>
          <w:rFonts w:ascii="Arial" w:eastAsia="Arial" w:hAnsi="Arial" w:cs="Arial"/>
          <w:sz w:val="24"/>
          <w:szCs w:val="24"/>
        </w:rPr>
        <w:t xml:space="preserve">1. </w:t>
      </w:r>
      <w:r>
        <w:rPr>
          <w:rFonts w:ascii="Arial" w:eastAsia="Arial" w:hAnsi="Arial" w:cs="Arial"/>
          <w:sz w:val="24"/>
          <w:szCs w:val="24"/>
        </w:rPr>
        <w:tab/>
        <w:t>The Cuban revolutionary government has proven since the beginning and for over six decades to acknowledge children and adolescents as privileged recipients of its efforts aimed at the enshrining of rights and prerogatives due to them by their special status as developing persons. As is evident in the constant application by the Cuban Estate of public policies, plans, programs, actions and regulations which, together with the family and society and implemented in a coordinated fashion with its institutions, intend to guarantee that in and effective way and with no discrimination, all Cuban children and adolescents accomplish the fulfillment of their human rights.</w:t>
      </w:r>
    </w:p>
    <w:p w:rsidR="00053248" w:rsidRDefault="00120920">
      <w:pPr>
        <w:spacing w:after="0" w:line="240" w:lineRule="auto"/>
        <w:jc w:val="both"/>
        <w:rPr>
          <w:rFonts w:ascii="Arial" w:eastAsia="Arial" w:hAnsi="Arial" w:cs="Arial"/>
          <w:color w:val="FF0000"/>
          <w:sz w:val="24"/>
          <w:szCs w:val="24"/>
        </w:rPr>
      </w:pPr>
      <w:r>
        <w:rPr>
          <w:rFonts w:ascii="Arial" w:eastAsia="Arial" w:hAnsi="Arial" w:cs="Arial"/>
          <w:sz w:val="24"/>
          <w:szCs w:val="24"/>
        </w:rPr>
        <w:t xml:space="preserve">2. </w:t>
      </w:r>
      <w:r>
        <w:rPr>
          <w:rFonts w:ascii="Arial" w:eastAsia="Arial" w:hAnsi="Arial" w:cs="Arial"/>
          <w:sz w:val="24"/>
          <w:szCs w:val="24"/>
        </w:rPr>
        <w:tab/>
        <w:t xml:space="preserve">These efforts present visible results internationally recognized, among which there are the very low child mortality rate, the high school enrolment rates, the eradication of communicable diseases, the prohibition of child labor, and a wide vaccination program since early ages. To this later achievement, it should be added that Cuba is the first country in the world that is currently vaccinating its pediatric population between 2 and 18 years of age against </w:t>
      </w:r>
      <w:r>
        <w:rPr>
          <w:rFonts w:ascii="Arial" w:eastAsia="Arial" w:hAnsi="Arial" w:cs="Arial"/>
          <w:color w:val="000000"/>
          <w:sz w:val="24"/>
          <w:szCs w:val="24"/>
        </w:rPr>
        <w:t xml:space="preserve">Covid-19; an accomplishment that has been possible with the application of </w:t>
      </w:r>
      <w:r>
        <w:rPr>
          <w:rFonts w:ascii="Arial" w:eastAsia="Arial" w:hAnsi="Arial" w:cs="Arial"/>
          <w:sz w:val="24"/>
          <w:szCs w:val="24"/>
        </w:rPr>
        <w:t xml:space="preserve">one of the 5 Cuban vaccines against that illness that has proven highly effective against the infection. It is also important to point out that all these achievements </w:t>
      </w:r>
      <w:r>
        <w:rPr>
          <w:rFonts w:ascii="Arial" w:eastAsia="Arial" w:hAnsi="Arial" w:cs="Arial"/>
          <w:sz w:val="24"/>
          <w:szCs w:val="24"/>
        </w:rPr>
        <w:lastRenderedPageBreak/>
        <w:t xml:space="preserve">have been accomplished under the constant siege of the economic and financial Blockade imposed by the government of the United States of America against our social system and its escalation with the application of 243 measures in the last three years. </w:t>
      </w:r>
    </w:p>
    <w:p w:rsidR="00053248" w:rsidRDefault="00120920">
      <w:pPr>
        <w:spacing w:after="0" w:line="240" w:lineRule="auto"/>
        <w:jc w:val="both"/>
        <w:rPr>
          <w:rFonts w:ascii="Arial" w:eastAsia="Arial" w:hAnsi="Arial" w:cs="Arial"/>
          <w:sz w:val="24"/>
          <w:szCs w:val="24"/>
        </w:rPr>
      </w:pPr>
      <w:r>
        <w:rPr>
          <w:rFonts w:ascii="Arial" w:eastAsia="Arial" w:hAnsi="Arial" w:cs="Arial"/>
          <w:sz w:val="24"/>
          <w:szCs w:val="24"/>
        </w:rPr>
        <w:t xml:space="preserve">3. </w:t>
      </w:r>
      <w:r>
        <w:rPr>
          <w:rFonts w:ascii="Arial" w:eastAsia="Arial" w:hAnsi="Arial" w:cs="Arial"/>
          <w:sz w:val="24"/>
          <w:szCs w:val="24"/>
        </w:rPr>
        <w:tab/>
        <w:t xml:space="preserve">Public policies such as the National Action Plan for Children Adolescents and Their Families (PANIAF, according to its acronym in Spanish), The Mother and Child Care Program (PAMI, according to its acronym in Spanish), the National Sexual Health and Safety Program (PRONESS, according to its acronym in Spanish) and the Educate Your Child Program, are also clear expressions of the intention to safeguard our children and adolescents. </w:t>
      </w:r>
    </w:p>
    <w:p w:rsidR="00053248" w:rsidRDefault="00120920">
      <w:pPr>
        <w:spacing w:after="0" w:line="240" w:lineRule="auto"/>
        <w:jc w:val="both"/>
        <w:rPr>
          <w:rFonts w:ascii="Arial" w:eastAsia="Arial" w:hAnsi="Arial" w:cs="Arial"/>
          <w:sz w:val="24"/>
          <w:szCs w:val="24"/>
        </w:rPr>
      </w:pPr>
      <w:r>
        <w:rPr>
          <w:rFonts w:ascii="Arial" w:eastAsia="Arial" w:hAnsi="Arial" w:cs="Arial"/>
          <w:sz w:val="24"/>
          <w:szCs w:val="24"/>
        </w:rPr>
        <w:t xml:space="preserve">4. </w:t>
      </w:r>
      <w:r>
        <w:rPr>
          <w:rFonts w:ascii="Arial" w:eastAsia="Arial" w:hAnsi="Arial" w:cs="Arial"/>
          <w:sz w:val="24"/>
          <w:szCs w:val="24"/>
        </w:rPr>
        <w:tab/>
        <w:t xml:space="preserve">As part of the economic and social model update, there is an undergoing analysis on the creation of a permanent coordination mechanism of the policies and programs on children, including the application of the Convention and its Protocols, the PANIAF and the work of the Ministries and institutions. </w:t>
      </w:r>
    </w:p>
    <w:p w:rsidR="00053248" w:rsidRDefault="00120920">
      <w:pPr>
        <w:spacing w:after="0" w:line="240" w:lineRule="auto"/>
        <w:jc w:val="both"/>
        <w:rPr>
          <w:rFonts w:ascii="Arial" w:eastAsia="Arial" w:hAnsi="Arial" w:cs="Arial"/>
          <w:sz w:val="24"/>
          <w:szCs w:val="24"/>
        </w:rPr>
      </w:pPr>
      <w:r>
        <w:rPr>
          <w:rFonts w:ascii="Arial" w:eastAsia="Arial" w:hAnsi="Arial" w:cs="Arial"/>
          <w:sz w:val="24"/>
          <w:szCs w:val="24"/>
        </w:rPr>
        <w:t xml:space="preserve">5.  However, we count on a wide number of institutions the functions of which include the comprehensive protection to the rights of children and adolescents, showing proof of the multisectoriality and multidisciplinarity of this objective in Cuba. </w:t>
      </w:r>
    </w:p>
    <w:p w:rsidR="00053248" w:rsidRDefault="00120920">
      <w:pPr>
        <w:spacing w:after="0" w:line="240" w:lineRule="auto"/>
        <w:jc w:val="both"/>
        <w:rPr>
          <w:rFonts w:ascii="Arial" w:eastAsia="Arial" w:hAnsi="Arial" w:cs="Arial"/>
          <w:sz w:val="24"/>
          <w:szCs w:val="24"/>
        </w:rPr>
      </w:pPr>
      <w:r>
        <w:rPr>
          <w:rFonts w:ascii="Arial" w:eastAsia="Arial" w:hAnsi="Arial" w:cs="Arial"/>
          <w:sz w:val="24"/>
          <w:szCs w:val="24"/>
        </w:rPr>
        <w:t>Among them are the bodies of the People's Power, led by the People's National Assembly with its Standing Committee on Childcare, Youth and Equal Rights for Women, carrying out legislative and programmatic work. There are also the mass organizations with missions like attention to the families, prevention and elimination of violence and the detection and answer to vulnerabilities. The Attorney General's Office has among its missions to ensure strict compliance with the Constitution, the laws and other legal provisions by the bodies of the Estate, the entities and citizens, as regulated by article 156 of the Constitution of the Republic, as well as the representation of children and adolescents against possible infringements of their rights. The popular justice Tribunals are also engaged in the protection of persons under 18 years of age being responsible for the judicial decision making that directly or indirectly affect a child. The ministries, especially the Ministry of Public Health, the Ministry of Education, the Ministry of Interior and the Ministry of Justice, act within their respective spheres of competence, to ensure their access to rights and guarantees such as health, education, safety, identity, leisure and recreation .</w:t>
      </w:r>
    </w:p>
    <w:p w:rsidR="00053248" w:rsidRDefault="00120920">
      <w:pPr>
        <w:spacing w:after="0" w:line="240" w:lineRule="auto"/>
        <w:jc w:val="both"/>
        <w:rPr>
          <w:rFonts w:ascii="Arial" w:eastAsia="Arial" w:hAnsi="Arial" w:cs="Arial"/>
          <w:sz w:val="24"/>
          <w:szCs w:val="24"/>
        </w:rPr>
      </w:pPr>
      <w:r>
        <w:rPr>
          <w:rFonts w:ascii="Arial" w:eastAsia="Arial" w:hAnsi="Arial" w:cs="Arial"/>
          <w:sz w:val="24"/>
          <w:szCs w:val="24"/>
        </w:rPr>
        <w:t xml:space="preserve">5. </w:t>
      </w:r>
      <w:r>
        <w:rPr>
          <w:rFonts w:ascii="Arial" w:eastAsia="Arial" w:hAnsi="Arial" w:cs="Arial"/>
          <w:sz w:val="24"/>
          <w:szCs w:val="24"/>
        </w:rPr>
        <w:tab/>
        <w:t xml:space="preserve">The Cuban government has always also expressed its will to sign those international treaties and instruments that seek the protection of children and adolescents. It thus showed in its swiftness in signing and ratifying the Convention on the Rights of the Child   , as well as its Optional Protocols on the sale of children, child prostitution and child pornography and on the involvement of children in armed conflicts. In addition to these, it has also signed other legal international bodies with great value in the defense of children and adolescents, such as the Convention on the Elimination of All Forms of Discrimination against Women (CEDAW), the Convention on the Rights of Persons with Disabilities and agreements and recommendations of the ILO. </w:t>
      </w:r>
    </w:p>
    <w:p w:rsidR="00053248" w:rsidRDefault="00120920">
      <w:pPr>
        <w:spacing w:after="0" w:line="240" w:lineRule="auto"/>
        <w:jc w:val="both"/>
        <w:rPr>
          <w:rFonts w:ascii="Arial" w:eastAsia="Arial" w:hAnsi="Arial" w:cs="Arial"/>
          <w:sz w:val="24"/>
          <w:szCs w:val="24"/>
        </w:rPr>
      </w:pPr>
      <w:r>
        <w:rPr>
          <w:rFonts w:ascii="Arial" w:eastAsia="Arial" w:hAnsi="Arial" w:cs="Arial"/>
          <w:sz w:val="24"/>
          <w:szCs w:val="24"/>
        </w:rPr>
        <w:t xml:space="preserve">6. </w:t>
      </w:r>
      <w:r>
        <w:rPr>
          <w:rFonts w:ascii="Arial" w:eastAsia="Arial" w:hAnsi="Arial" w:cs="Arial"/>
          <w:sz w:val="24"/>
          <w:szCs w:val="24"/>
        </w:rPr>
        <w:tab/>
        <w:t xml:space="preserve">With the enactment of the Constitution of the Republic of Cuba in  2019,   the notions of the best interest of the child and children as subjects of rights were given constitutional character, thus proving the assimilation by our legal system of the change of paradigm in the conceptions relating the rights of children and adolescents, shifting the paternalistic and protectionist model for the comprehensive protection model not only intending to guarantee a wide </w:t>
      </w:r>
      <w:r>
        <w:rPr>
          <w:rFonts w:ascii="Arial" w:eastAsia="Arial" w:hAnsi="Arial" w:cs="Arial"/>
          <w:sz w:val="24"/>
          <w:szCs w:val="24"/>
        </w:rPr>
        <w:lastRenderedPageBreak/>
        <w:t>catalog of rights for children, but also empowering for their own exercise and defense. The Constitution also regulates the right to nondiscrimination and brings together a large group of prerogatives for our citizens, including those under 18 years, who are guaranteed, among others, the right to life, survival and development.</w:t>
      </w:r>
    </w:p>
    <w:p w:rsidR="00053248" w:rsidRDefault="00120920">
      <w:pPr>
        <w:spacing w:after="0" w:line="240" w:lineRule="auto"/>
        <w:jc w:val="both"/>
        <w:rPr>
          <w:rFonts w:ascii="Arial" w:eastAsia="Arial" w:hAnsi="Arial" w:cs="Arial"/>
          <w:sz w:val="24"/>
          <w:szCs w:val="24"/>
        </w:rPr>
      </w:pPr>
      <w:r>
        <w:rPr>
          <w:rFonts w:ascii="Arial" w:eastAsia="Arial" w:hAnsi="Arial" w:cs="Arial"/>
          <w:sz w:val="24"/>
          <w:szCs w:val="24"/>
        </w:rPr>
        <w:t>7.</w:t>
      </w:r>
      <w:r>
        <w:rPr>
          <w:rFonts w:ascii="Arial" w:eastAsia="Arial" w:hAnsi="Arial" w:cs="Arial"/>
          <w:sz w:val="24"/>
          <w:szCs w:val="24"/>
        </w:rPr>
        <w:tab/>
        <w:t xml:space="preserve">There is no currently in Cuba an especial law that regulates the children and adolescent's comprehensive protection system. We acknowledge that, even when at the time it had a positive and ahead of its time impact, the 1978 Code on Children and Youth Persons, it has become an out-of-date regulation that does not correspond to the conceptions around which the rights of children and adolescents are currently understood. However, it is possible to see within the Cuban legal system the protectionist zeal towards these subjects regulating, in the different laws that organize our social life, their rights, and the means for their exercise and defense. In many cases, the layout of prerogatives for our children and adolescents can be perfected, that is why one of the objectives of the legislative reformation process we are currently undergoing has among its objectives to align the Cuban legislation with the most advanced and just principles relating to the matter of the rights of children and adolescents. </w:t>
      </w:r>
    </w:p>
    <w:p w:rsidR="00053248" w:rsidRDefault="00120920">
      <w:pPr>
        <w:spacing w:after="0" w:line="240" w:lineRule="auto"/>
        <w:jc w:val="both"/>
        <w:rPr>
          <w:rFonts w:ascii="Arial" w:eastAsia="Arial" w:hAnsi="Arial" w:cs="Arial"/>
          <w:sz w:val="24"/>
          <w:szCs w:val="24"/>
        </w:rPr>
      </w:pPr>
      <w:r>
        <w:rPr>
          <w:rFonts w:ascii="Arial" w:eastAsia="Arial" w:hAnsi="Arial" w:cs="Arial"/>
          <w:sz w:val="24"/>
          <w:szCs w:val="24"/>
        </w:rPr>
        <w:t>8.</w:t>
      </w:r>
      <w:r>
        <w:rPr>
          <w:rFonts w:ascii="Arial" w:eastAsia="Arial" w:hAnsi="Arial" w:cs="Arial"/>
          <w:sz w:val="24"/>
          <w:szCs w:val="24"/>
        </w:rPr>
        <w:tab/>
        <w:t>A Preliminary Draft Code of Families was recently released which opens many opportunities regarding the protection to the rights of children and adolescents. Among them: the inclusion of best interest of the child as one of the principles that rule the applicability of the Code with specific elements that should be taken into account to determine it; the regulation of a catalog of exclusive rights for children and adolescents within the family sphere coherent with the articles of the Convention on the Rights of the Child; it also establishes the requirement for specialization of the authorities and officers that take part or resolve family matters; it acknowledges mediation as an alternative method for harmonic conflict resolution; it includes the family Ombudsman's office for children and adolescents, persons with disabilities, the elderly and victims of violence; it acknowledges the violence against subjects these ages as domestic violence and it demands legal protection when detected, with imprescriptible action, and with the possibility of reparation for damages. In addition to that, the draft law proposes a more complex and flexible regulation for adoption; it regulates parental responsibility in detail, including the one that develops in the digital sphere; it expressly regulates the rights of children and adolescents to not being set apart from their parents and to live in a family and the exceptionality of measures jeopardize that. It also expressly states the prohibition of physical punishment and any other type of violence against children. This revolutionary proposal shows the disposition to adjust our legislation to the more advance trends relating to the protection of the rights of children and adolescents</w:t>
      </w:r>
    </w:p>
    <w:p w:rsidR="00053248" w:rsidRDefault="00120920">
      <w:pPr>
        <w:spacing w:after="0" w:line="240" w:lineRule="auto"/>
        <w:jc w:val="both"/>
        <w:rPr>
          <w:rFonts w:ascii="Arial" w:eastAsia="Arial" w:hAnsi="Arial" w:cs="Arial"/>
          <w:sz w:val="24"/>
          <w:szCs w:val="24"/>
        </w:rPr>
      </w:pPr>
      <w:r>
        <w:rPr>
          <w:rFonts w:ascii="Arial" w:eastAsia="Arial" w:hAnsi="Arial" w:cs="Arial"/>
          <w:sz w:val="24"/>
          <w:szCs w:val="24"/>
        </w:rPr>
        <w:t>9.</w:t>
      </w:r>
      <w:r>
        <w:rPr>
          <w:rFonts w:ascii="Arial" w:eastAsia="Arial" w:hAnsi="Arial" w:cs="Arial"/>
          <w:sz w:val="24"/>
          <w:szCs w:val="24"/>
        </w:rPr>
        <w:tab/>
        <w:t>In the procedural sphere, we call the attention on instructions 216 and 217 of the Governing Council of the Popular Supreme Court in charge of, since 2012, introducing in the civil and family processes the listening to the child as an element to take into account in the decision making and of establishing guidelines to do so. These instructions also highlighted the best interest of the child as the primary consideration inspiring that participation.</w:t>
      </w:r>
    </w:p>
    <w:p w:rsidR="00053248" w:rsidRDefault="00120920">
      <w:pPr>
        <w:spacing w:after="0" w:line="240" w:lineRule="auto"/>
        <w:jc w:val="both"/>
        <w:rPr>
          <w:rFonts w:ascii="Arial" w:eastAsia="Arial" w:hAnsi="Arial" w:cs="Arial"/>
          <w:sz w:val="24"/>
          <w:szCs w:val="24"/>
        </w:rPr>
      </w:pPr>
      <w:r>
        <w:rPr>
          <w:rFonts w:ascii="Arial" w:eastAsia="Arial" w:hAnsi="Arial" w:cs="Arial"/>
          <w:sz w:val="24"/>
          <w:szCs w:val="24"/>
        </w:rPr>
        <w:t>10.</w:t>
      </w:r>
      <w:r>
        <w:rPr>
          <w:rFonts w:ascii="Arial" w:eastAsia="Arial" w:hAnsi="Arial" w:cs="Arial"/>
          <w:sz w:val="24"/>
          <w:szCs w:val="24"/>
        </w:rPr>
        <w:tab/>
        <w:t>Recently, the Draft Procedural Code was made public, which will be submitted for approval to the legislature at the next Cuban parliamentary session. This project intends to give force of Law to the right of the under-aged to be heard and their opinions taken into account, in virtue of their progressive capacity and the best interest of the child within legal processes. This draft also gives birth to the figure of the Ombudsman that shall benefit children and other vulnerable people. It presents in a detailed fashion the procedure for listening to children and adolescents, as well as special motivations for sentences in those cases where the interests of at least one child are involved. It also includes a catalog of precautionary measures inspired in the early guarantee of their best interest.</w:t>
      </w:r>
    </w:p>
    <w:p w:rsidR="00053248" w:rsidRDefault="00120920">
      <w:pPr>
        <w:spacing w:after="0" w:line="240" w:lineRule="auto"/>
        <w:jc w:val="both"/>
        <w:rPr>
          <w:rFonts w:ascii="Arial" w:eastAsia="Arial" w:hAnsi="Arial" w:cs="Arial"/>
          <w:sz w:val="24"/>
          <w:szCs w:val="24"/>
        </w:rPr>
      </w:pPr>
      <w:r>
        <w:rPr>
          <w:rFonts w:ascii="Arial" w:eastAsia="Arial" w:hAnsi="Arial" w:cs="Arial"/>
          <w:sz w:val="24"/>
          <w:szCs w:val="24"/>
        </w:rPr>
        <w:t>11.</w:t>
      </w:r>
      <w:r>
        <w:rPr>
          <w:rFonts w:ascii="Arial" w:eastAsia="Arial" w:hAnsi="Arial" w:cs="Arial"/>
          <w:sz w:val="24"/>
          <w:szCs w:val="24"/>
        </w:rPr>
        <w:tab/>
        <w:t>The study of the sentences of the Civil and Administrative Chambear of the Popular Supreme Court between 2017 and 2019 shows a tendency towards the improvement of the procedure of assessment and determination of the children's best interest in every particular case and in the application of the Convention on the Rights of the Child. This is evidenced in the following excerpts from sentences:</w:t>
      </w:r>
    </w:p>
    <w:p w:rsidR="00053248" w:rsidRDefault="00053248">
      <w:pPr>
        <w:spacing w:after="0" w:line="240" w:lineRule="auto"/>
        <w:jc w:val="both"/>
        <w:rPr>
          <w:rFonts w:ascii="Arial" w:eastAsia="Arial" w:hAnsi="Arial" w:cs="Arial"/>
          <w:sz w:val="24"/>
          <w:szCs w:val="24"/>
        </w:rPr>
      </w:pPr>
    </w:p>
    <w:p w:rsidR="00053248" w:rsidRDefault="00120920">
      <w:pPr>
        <w:spacing w:after="0" w:line="240" w:lineRule="auto"/>
        <w:jc w:val="both"/>
        <w:rPr>
          <w:rFonts w:ascii="Arial" w:eastAsia="Arial" w:hAnsi="Arial" w:cs="Arial"/>
          <w:sz w:val="24"/>
          <w:szCs w:val="24"/>
        </w:rPr>
      </w:pPr>
      <w:r>
        <w:rPr>
          <w:rFonts w:ascii="Arial" w:eastAsia="Arial" w:hAnsi="Arial" w:cs="Arial"/>
          <w:sz w:val="24"/>
          <w:szCs w:val="24"/>
        </w:rPr>
        <w:t xml:space="preserve">“…both for the solution of the essential object of the process, and the matter relating to the authorization for the girl to leave the country, it is her interest that should be protected, arranging her circumstances and needs, to the end of achieving her full development; which requires a reasonable decision, fair and comprehensive, with the guarantee of law and order, that sums up the supreme end to protect the family relationships, as reflected in articles thirty-five, thirty-six, thirty-seven and thirty-eight of the Constitution of the Republic and in the provisions three, four and five of the Convention on the Rights of the Child…” </w:t>
      </w:r>
      <w:r>
        <w:rPr>
          <w:rFonts w:ascii="Arial" w:eastAsia="Arial" w:hAnsi="Arial" w:cs="Arial"/>
          <w:sz w:val="24"/>
          <w:szCs w:val="24"/>
          <w:vertAlign w:val="superscript"/>
        </w:rPr>
        <w:footnoteReference w:id="1"/>
      </w:r>
      <w:r>
        <w:rPr>
          <w:rFonts w:ascii="Arial" w:eastAsia="Arial" w:hAnsi="Arial" w:cs="Arial"/>
          <w:sz w:val="24"/>
          <w:szCs w:val="24"/>
        </w:rPr>
        <w:t xml:space="preserve">  </w:t>
      </w:r>
    </w:p>
    <w:p w:rsidR="00053248" w:rsidRDefault="00053248">
      <w:pPr>
        <w:spacing w:after="0" w:line="240" w:lineRule="auto"/>
        <w:jc w:val="both"/>
        <w:rPr>
          <w:rFonts w:ascii="Arial" w:eastAsia="Arial" w:hAnsi="Arial" w:cs="Arial"/>
          <w:sz w:val="24"/>
          <w:szCs w:val="24"/>
        </w:rPr>
      </w:pPr>
    </w:p>
    <w:p w:rsidR="00053248" w:rsidRDefault="00120920">
      <w:pPr>
        <w:spacing w:after="0" w:line="240" w:lineRule="auto"/>
        <w:jc w:val="both"/>
        <w:rPr>
          <w:rFonts w:ascii="Arial" w:eastAsia="Arial" w:hAnsi="Arial" w:cs="Arial"/>
          <w:sz w:val="24"/>
          <w:szCs w:val="24"/>
        </w:rPr>
      </w:pPr>
      <w:r>
        <w:rPr>
          <w:rFonts w:ascii="Arial" w:eastAsia="Arial" w:hAnsi="Arial" w:cs="Arial"/>
          <w:sz w:val="24"/>
          <w:szCs w:val="24"/>
        </w:rPr>
        <w:t xml:space="preserve">“… justify the decisions made during the proceedings and as a way of solution that under the guidance of the parameters that determine in each case the supremacy of the best interest of the child…” </w:t>
      </w:r>
      <w:r>
        <w:rPr>
          <w:rFonts w:ascii="Arial" w:eastAsia="Arial" w:hAnsi="Arial" w:cs="Arial"/>
          <w:sz w:val="24"/>
          <w:szCs w:val="24"/>
          <w:vertAlign w:val="superscript"/>
        </w:rPr>
        <w:footnoteReference w:id="2"/>
      </w:r>
    </w:p>
    <w:p w:rsidR="00053248" w:rsidRDefault="00053248">
      <w:pPr>
        <w:spacing w:after="0" w:line="240" w:lineRule="auto"/>
        <w:jc w:val="both"/>
        <w:rPr>
          <w:rFonts w:ascii="Arial" w:eastAsia="Arial" w:hAnsi="Arial" w:cs="Arial"/>
          <w:sz w:val="24"/>
          <w:szCs w:val="24"/>
        </w:rPr>
      </w:pPr>
    </w:p>
    <w:p w:rsidR="00053248" w:rsidRDefault="00120920">
      <w:pPr>
        <w:spacing w:after="0" w:line="240" w:lineRule="auto"/>
        <w:jc w:val="both"/>
        <w:rPr>
          <w:rFonts w:ascii="Arial" w:eastAsia="Arial" w:hAnsi="Arial" w:cs="Arial"/>
          <w:sz w:val="24"/>
          <w:szCs w:val="24"/>
        </w:rPr>
      </w:pPr>
      <w:r>
        <w:rPr>
          <w:rFonts w:ascii="Arial" w:eastAsia="Arial" w:hAnsi="Arial" w:cs="Arial"/>
          <w:sz w:val="24"/>
          <w:szCs w:val="24"/>
        </w:rPr>
        <w:t>12.</w:t>
      </w:r>
      <w:r>
        <w:rPr>
          <w:rFonts w:ascii="Arial" w:eastAsia="Arial" w:hAnsi="Arial" w:cs="Arial"/>
          <w:sz w:val="24"/>
          <w:szCs w:val="24"/>
        </w:rPr>
        <w:tab/>
        <w:t xml:space="preserve">The Cuban criminal legislation protects children and adolescents by qualifying as offenses and sanctioning conducts that negatively affect the precious legal rights that are their lives, their physical integrity, and the free development of their personality. Among them, there are: the offenses of abandonment of minors, statutory rape, substitution of a child for another, corruption of minors, other acts contrary to the normal development of the minor and the sale and trafficking of minors. In addition to this, there are aggravated forms of the offenses of rape, pederasty with violence, lewd abuse, and others if in the commission of the offense children are involved. </w:t>
      </w:r>
    </w:p>
    <w:p w:rsidR="00053248" w:rsidRDefault="00120920">
      <w:pPr>
        <w:spacing w:after="0" w:line="240" w:lineRule="auto"/>
        <w:jc w:val="both"/>
        <w:rPr>
          <w:rFonts w:ascii="Arial" w:eastAsia="Arial" w:hAnsi="Arial" w:cs="Arial"/>
          <w:sz w:val="24"/>
          <w:szCs w:val="24"/>
        </w:rPr>
      </w:pPr>
      <w:r>
        <w:rPr>
          <w:rFonts w:ascii="Arial" w:eastAsia="Arial" w:hAnsi="Arial" w:cs="Arial"/>
          <w:sz w:val="24"/>
          <w:szCs w:val="24"/>
        </w:rPr>
        <w:t>13.</w:t>
      </w:r>
      <w:r>
        <w:rPr>
          <w:rFonts w:ascii="Arial" w:eastAsia="Arial" w:hAnsi="Arial" w:cs="Arial"/>
          <w:sz w:val="24"/>
          <w:szCs w:val="24"/>
        </w:rPr>
        <w:tab/>
        <w:t xml:space="preserve">Furthermore, a broad-scale preventive work is carried out in order to prevent children and adolescents to become victims or perpetrators of offenses or socially or morally incorrect conducts. It includes the training of relatives and teachers, the diagnosis and early detection of vulnerable subjects, and the link between officers of our educational system and of the agencies of the Ministry of Interior.   </w:t>
      </w:r>
    </w:p>
    <w:p w:rsidR="00053248" w:rsidRDefault="00120920">
      <w:pPr>
        <w:spacing w:after="0" w:line="240" w:lineRule="auto"/>
        <w:jc w:val="both"/>
        <w:rPr>
          <w:rFonts w:ascii="Arial" w:eastAsia="Arial" w:hAnsi="Arial" w:cs="Arial"/>
          <w:sz w:val="24"/>
          <w:szCs w:val="24"/>
        </w:rPr>
      </w:pPr>
      <w:r>
        <w:rPr>
          <w:rFonts w:ascii="Arial" w:eastAsia="Arial" w:hAnsi="Arial" w:cs="Arial"/>
          <w:sz w:val="24"/>
          <w:szCs w:val="24"/>
        </w:rPr>
        <w:t>14.</w:t>
      </w:r>
      <w:r>
        <w:rPr>
          <w:rFonts w:ascii="Arial" w:eastAsia="Arial" w:hAnsi="Arial" w:cs="Arial"/>
          <w:sz w:val="24"/>
          <w:szCs w:val="24"/>
        </w:rPr>
        <w:tab/>
        <w:t xml:space="preserve">Regarding the treatment to children victims of offenses, the Instruction 173/2003 of the Governing Council of the Popular Supreme Court establishes the procedure to prevent children from appearing in court. In the cases where their testimony is indispensable, a favorable environment is created with absolute privacy for their attention at the Women and Family Guidance Homes of the Cuban Women Federation. The more frequent processes are related to litigations on custody and visitation.  Circular 6/2012 and Instruction number 1/2013 of the General Prosecutor establish the methodological indications for action for prosecutors, respectively, in which the action priority is the defense of the best interest of the child. Circular 6/2012 especially defends the under-aged. There are in the country three Centers for the Protection of Children and Adolescents, run by the Ministry of Interior, the mission of which is to prevent secondary victimization by means of inquiring techniques (protective of the intimacy of children) that might be useful, like recorded documented evidence. The objective is to avoid the presence of children and adolescents in trials and to guarantee their intimacy, in accordance with the fact that the procedural legislation acknowledges such protection mechanisms. However, we remind that, as previously stated, with the entry into force of the new regulations, these procedures will be improved, and will show our intolerance to violence and to the commission of offenses of any kind against our children. </w:t>
      </w:r>
    </w:p>
    <w:p w:rsidR="00053248" w:rsidRDefault="00120920">
      <w:pPr>
        <w:spacing w:after="0" w:line="240" w:lineRule="auto"/>
        <w:jc w:val="both"/>
        <w:rPr>
          <w:rFonts w:ascii="Arial" w:eastAsia="Arial" w:hAnsi="Arial" w:cs="Arial"/>
          <w:sz w:val="24"/>
          <w:szCs w:val="24"/>
        </w:rPr>
      </w:pPr>
      <w:bookmarkStart w:id="2" w:name="_heading=h.30j0zll" w:colFirst="0" w:colLast="0"/>
      <w:bookmarkEnd w:id="2"/>
      <w:r>
        <w:rPr>
          <w:rFonts w:ascii="Arial" w:eastAsia="Arial" w:hAnsi="Arial" w:cs="Arial"/>
          <w:sz w:val="24"/>
          <w:szCs w:val="24"/>
        </w:rPr>
        <w:t>15.</w:t>
      </w:r>
      <w:r>
        <w:rPr>
          <w:rFonts w:ascii="Arial" w:eastAsia="Arial" w:hAnsi="Arial" w:cs="Arial"/>
          <w:sz w:val="24"/>
          <w:szCs w:val="24"/>
        </w:rPr>
        <w:tab/>
        <w:t xml:space="preserve"> The age of criminal responsibility in our country is set by the Criminal Code at 16 years of age. This means that those who have not reached that age will never be criminally prosecuted even if they engage in conducts contrary to law and order, whether typified as offenses or not. The children under 16 years who engage in acts of such nature undergo the procedures established by the Decree-Law 64 of 1984. These are solely administrative and involve the participation of the Ministry of Education and the Ministry of Interior. Its aim is the application of one of the measures within its catalog the complexity of which will depend on the severity of the events that took place and the personal characteristics of the child or adolescent involved. The measure to be applied will be temporary and aimed at the re-education and the creation of tools so that these children will live in society in a productive and harmonic fashion. Based on how old this regulation dates from, we acknowledge the need for its updating so as to configure a juvenile criminal justice system much more rights-based and in accordance with the notions of the Best Interest of the Child and the child as subject of rights. </w:t>
      </w:r>
    </w:p>
    <w:p w:rsidR="00053248" w:rsidRDefault="00120920">
      <w:pPr>
        <w:spacing w:after="0" w:line="240" w:lineRule="auto"/>
        <w:jc w:val="both"/>
        <w:rPr>
          <w:rFonts w:ascii="Arial" w:eastAsia="Arial" w:hAnsi="Arial" w:cs="Arial"/>
          <w:sz w:val="24"/>
          <w:szCs w:val="24"/>
        </w:rPr>
      </w:pPr>
      <w:bookmarkStart w:id="3" w:name="_heading=h.1fob9te" w:colFirst="0" w:colLast="0"/>
      <w:bookmarkEnd w:id="3"/>
      <w:r>
        <w:rPr>
          <w:rFonts w:ascii="Arial" w:eastAsia="Arial" w:hAnsi="Arial" w:cs="Arial"/>
          <w:sz w:val="24"/>
          <w:szCs w:val="24"/>
        </w:rPr>
        <w:t>16.</w:t>
      </w:r>
      <w:r>
        <w:rPr>
          <w:rFonts w:ascii="Arial" w:eastAsia="Arial" w:hAnsi="Arial" w:cs="Arial"/>
          <w:sz w:val="24"/>
          <w:szCs w:val="24"/>
        </w:rPr>
        <w:tab/>
        <w:t xml:space="preserve">In the case of adolescents between the ages of 16 and 18 who commit acts qualifying as offenses according to the criminal law, apart from the general procedural guarantees, they are benefited with the possibility of reducing the minimum and maximum penalties. The death penalty may never be carried out upon them and the custodial sanctions shall be served in differentiated penitentiary centers or in special areas within common prisons. When the offender is an adolescent, the criminal sanction will have a more re-educational end that will favor his or her correct social reintegration. During the period of serving the sanction, free access to health, education, instruction and sport services are guaranteed. In addition to this, after the age of 17, they will be able to get gainful employment within the prison. </w:t>
      </w:r>
    </w:p>
    <w:p w:rsidR="00053248" w:rsidRDefault="00120920">
      <w:pPr>
        <w:spacing w:after="0" w:line="240" w:lineRule="auto"/>
        <w:jc w:val="both"/>
        <w:rPr>
          <w:rFonts w:ascii="Arial" w:eastAsia="Arial" w:hAnsi="Arial" w:cs="Arial"/>
          <w:sz w:val="24"/>
          <w:szCs w:val="24"/>
        </w:rPr>
      </w:pPr>
      <w:r>
        <w:rPr>
          <w:rFonts w:ascii="Arial" w:eastAsia="Arial" w:hAnsi="Arial" w:cs="Arial"/>
          <w:sz w:val="24"/>
          <w:szCs w:val="24"/>
        </w:rPr>
        <w:t>17.</w:t>
      </w:r>
      <w:r>
        <w:rPr>
          <w:rFonts w:ascii="Arial" w:eastAsia="Arial" w:hAnsi="Arial" w:cs="Arial"/>
          <w:sz w:val="24"/>
          <w:szCs w:val="24"/>
        </w:rPr>
        <w:tab/>
        <w:t>The signing of the Information Project on Children and Adolescent`s Rights, on January 14, 2000 between the governments of Cuba and Finland together with the Office of the United Nations Children’s Fund (UNICEF), in Havana, and its results until today is a concrete action responding to 42 of the Convention on the Rights of the Child: “States Parties undertake to make the principles and provisions of the Convention widely known, by appropriate and active means, to adults and children alike”. The reference project has as it stated end strengthening the basis for a culture of rights in the society by means of the development of strategies for spreading information on values and national laws and international instruments, especially on the Convention on the Rights of the Child. It is coordinated by the Ministry of Justice, it has a national and cross-sector character, and it opens room for all the institutions and organizations in the country involved, in a sphere or another, to a greater or lesser extent, to the populations in each of the provinces of the country, but taking into account the particularities and potential of each territory. This project has five strategic axes, namely: institutional strengthening, training, communication, research and participation.</w:t>
      </w:r>
    </w:p>
    <w:p w:rsidR="00053248" w:rsidRDefault="00120920">
      <w:pPr>
        <w:spacing w:after="0" w:line="240" w:lineRule="auto"/>
        <w:jc w:val="both"/>
        <w:rPr>
          <w:rFonts w:ascii="Arial" w:eastAsia="Arial" w:hAnsi="Arial" w:cs="Arial"/>
          <w:sz w:val="24"/>
          <w:szCs w:val="24"/>
        </w:rPr>
      </w:pPr>
      <w:r>
        <w:rPr>
          <w:rFonts w:ascii="Arial" w:eastAsia="Arial" w:hAnsi="Arial" w:cs="Arial"/>
          <w:sz w:val="24"/>
          <w:szCs w:val="24"/>
        </w:rPr>
        <w:t>18.</w:t>
      </w:r>
      <w:r>
        <w:rPr>
          <w:rFonts w:ascii="Arial" w:eastAsia="Arial" w:hAnsi="Arial" w:cs="Arial"/>
          <w:sz w:val="24"/>
          <w:szCs w:val="24"/>
        </w:rPr>
        <w:tab/>
        <w:t xml:space="preserve"> The legal studies along the country have contributed, and intend to continue doing so, with the children's comprehensive protection system. The participation in national and international conferences relating to the topic of children's rights, the publishing of materials about it, and the qualitative and quantitative increase of diploma, masters and postgraduate papers relating to this thematic ax also show the commitment of the Cuban legal guild with achieving a coherent legal system and practice that, with a sound and broad scientific basis, is truly in accordance with the principles of the best interest of the child and the child as subject of rights. </w:t>
      </w:r>
    </w:p>
    <w:p w:rsidR="00053248" w:rsidRDefault="00120920">
      <w:pPr>
        <w:spacing w:after="0" w:line="240" w:lineRule="auto"/>
        <w:jc w:val="both"/>
        <w:rPr>
          <w:rFonts w:ascii="Arial" w:eastAsia="Arial" w:hAnsi="Arial" w:cs="Arial"/>
          <w:sz w:val="24"/>
          <w:szCs w:val="24"/>
        </w:rPr>
      </w:pPr>
      <w:r>
        <w:rPr>
          <w:rFonts w:ascii="Arial" w:eastAsia="Arial" w:hAnsi="Arial" w:cs="Arial"/>
          <w:sz w:val="24"/>
          <w:szCs w:val="24"/>
        </w:rPr>
        <w:t>19.</w:t>
      </w:r>
      <w:r>
        <w:rPr>
          <w:rFonts w:ascii="Arial" w:eastAsia="Arial" w:hAnsi="Arial" w:cs="Arial"/>
          <w:sz w:val="24"/>
          <w:szCs w:val="24"/>
        </w:rPr>
        <w:tab/>
        <w:t>In the syllabus for the Law studies there is a mainstreaming of the topics relating to children and adolescents, with an approach from each law field or matter how is the protection of the rights of these subjects expressed. In addition to that, undergraduate courses include an optional subject on the Rights of Children, where we provide future legal operators with tools for a more complete and correct way to apply the Convention on the Rights of the Child and the assimilation of the principles of the best interest of the child and the child as a subject of rights.</w:t>
      </w:r>
    </w:p>
    <w:p w:rsidR="00053248" w:rsidRDefault="00120920">
      <w:pPr>
        <w:spacing w:after="0" w:line="240" w:lineRule="auto"/>
        <w:jc w:val="both"/>
        <w:rPr>
          <w:rFonts w:ascii="Arial" w:eastAsia="Arial" w:hAnsi="Arial" w:cs="Arial"/>
          <w:sz w:val="24"/>
          <w:szCs w:val="24"/>
        </w:rPr>
      </w:pPr>
      <w:r>
        <w:rPr>
          <w:rFonts w:ascii="Arial" w:eastAsia="Arial" w:hAnsi="Arial" w:cs="Arial"/>
          <w:sz w:val="24"/>
          <w:szCs w:val="24"/>
        </w:rPr>
        <w:t>20.</w:t>
      </w:r>
      <w:r>
        <w:rPr>
          <w:rFonts w:ascii="Arial" w:eastAsia="Arial" w:hAnsi="Arial" w:cs="Arial"/>
          <w:sz w:val="24"/>
          <w:szCs w:val="24"/>
        </w:rPr>
        <w:tab/>
        <w:t>In graduate education, among other actions, there is a Postgraduate course on Mediation, Gender and Law, which accounts already for a great number of editions, and devotes one of its modules to the rights of children and adolescents and to the advantages of using, in situations they are involved, mediation as a way to conflict resolution. There has been the recent addition of the Postgraduate course on the Children and Adolescent's Comprehensive Protection, which is now in its first edition and the purpose of which is to set, from the different professional profiles, action models for legal operators to act in an objective fashion towards the Best interest of children and adolescents.</w:t>
      </w:r>
    </w:p>
    <w:p w:rsidR="00053248" w:rsidRDefault="00120920">
      <w:pPr>
        <w:spacing w:after="0" w:line="240" w:lineRule="auto"/>
        <w:jc w:val="both"/>
        <w:rPr>
          <w:rFonts w:ascii="Arial" w:eastAsia="Arial" w:hAnsi="Arial" w:cs="Arial"/>
          <w:sz w:val="24"/>
          <w:szCs w:val="24"/>
        </w:rPr>
      </w:pPr>
      <w:r>
        <w:rPr>
          <w:rFonts w:ascii="Arial" w:eastAsia="Arial" w:hAnsi="Arial" w:cs="Arial"/>
          <w:sz w:val="24"/>
          <w:szCs w:val="24"/>
        </w:rPr>
        <w:t>21.</w:t>
      </w:r>
      <w:r>
        <w:rPr>
          <w:rFonts w:ascii="Arial" w:eastAsia="Arial" w:hAnsi="Arial" w:cs="Arial"/>
          <w:sz w:val="24"/>
          <w:szCs w:val="24"/>
        </w:rPr>
        <w:tab/>
        <w:t xml:space="preserve">Another example of good practice in favor of the rights of children is also born within the framework of the University of Havana and its Law School; which at the same time extends its projects and efforts to the rest of the universities along the country. It is the project «Ismaelillo: a way to foster a political and legal culture in children and youth towards an increasingly prosperous, sustainable, inclusive and participatory socialism». It is a project of basic applied research and of human resources training. Among its general objectives, there is to foster a political and legal culture in children and youth towards an increasingly prosperous, sustainable, inclusive and participatory socialism; based on comprehensive training dynamics, university outreach, local development, management and environmental education, as well as harmonizing public and private interests. Likewise, it intends to contribute to achieving the general end and objectives of Cuban education. It is a project that outstands for its potential for developing different cooperation ways: inter-institutional (with the participation of researchers from several universities in the country), cross-sector (it is structured through the strategic alliance with the Ministry of Education, the Central Institute of Pedagogical Sciences, the People's National Assembly, the Attorney General's Office, the National Electoral Council, the Ministry of Justice, the Cuban Law Firms Organization and organizations from the civil society: Cuban Jurists Union and Cuban Association of the United Nations) and inter and trans disciplinary (which is evident in the composition of the research team in charge). </w:t>
      </w:r>
    </w:p>
    <w:p w:rsidR="00053248" w:rsidRDefault="00120920">
      <w:pPr>
        <w:spacing w:after="0" w:line="240" w:lineRule="auto"/>
        <w:jc w:val="both"/>
        <w:rPr>
          <w:rFonts w:ascii="Arial" w:eastAsia="Arial" w:hAnsi="Arial" w:cs="Arial"/>
          <w:sz w:val="24"/>
          <w:szCs w:val="24"/>
        </w:rPr>
      </w:pPr>
      <w:r>
        <w:rPr>
          <w:rFonts w:ascii="Arial" w:eastAsia="Arial" w:hAnsi="Arial" w:cs="Arial"/>
          <w:sz w:val="24"/>
          <w:szCs w:val="24"/>
        </w:rPr>
        <w:t>22.</w:t>
      </w:r>
      <w:r>
        <w:rPr>
          <w:rFonts w:ascii="Arial" w:eastAsia="Arial" w:hAnsi="Arial" w:cs="Arial"/>
          <w:sz w:val="24"/>
          <w:szCs w:val="24"/>
        </w:rPr>
        <w:tab/>
        <w:t xml:space="preserve">The Cuban Jurists Union, acknowledges that, even when the achievements have been many in this matter there remain important challenges in the enshrinement of a comprehensive protection system for children and adolescents in Cuba. We thus reaffirm the will and the commitment of our guild members to bring about this change. The process of legislative reformation we are undergoing is proving to be a favorable scenario and we recommend as part of it the proposition of the passing of a special Protection Law for children and adolescents based on the principles outlined in the Convention on the Rights of the Child. </w:t>
      </w:r>
    </w:p>
    <w:sectPr w:rsidR="00053248" w:rsidSect="00053248">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0920" w:rsidRDefault="00120920" w:rsidP="00053248">
      <w:pPr>
        <w:spacing w:after="0" w:line="240" w:lineRule="auto"/>
      </w:pPr>
      <w:r>
        <w:separator/>
      </w:r>
    </w:p>
  </w:endnote>
  <w:endnote w:type="continuationSeparator" w:id="0">
    <w:p w:rsidR="00120920" w:rsidRDefault="00120920" w:rsidP="000532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roman"/>
    <w:notTrueType/>
    <w:pitch w:val="default"/>
  </w:font>
  <w:font w:name="Georgia">
    <w:panose1 w:val="02040502050405020303"/>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0920" w:rsidRDefault="00120920" w:rsidP="00053248">
      <w:pPr>
        <w:spacing w:after="0" w:line="240" w:lineRule="auto"/>
      </w:pPr>
      <w:r>
        <w:separator/>
      </w:r>
    </w:p>
  </w:footnote>
  <w:footnote w:type="continuationSeparator" w:id="0">
    <w:p w:rsidR="00120920" w:rsidRDefault="00120920" w:rsidP="00053248">
      <w:pPr>
        <w:spacing w:after="0" w:line="240" w:lineRule="auto"/>
      </w:pPr>
      <w:r>
        <w:continuationSeparator/>
      </w:r>
    </w:p>
  </w:footnote>
  <w:footnote w:id="1">
    <w:p w:rsidR="00053248" w:rsidRDefault="0012092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Sentence No.570 of September 29, 2017 of the Civil and Administrative Chamber of the Supreme Court, Judge Rapporteur Marta Acosta Ricart</w:t>
      </w:r>
    </w:p>
  </w:footnote>
  <w:footnote w:id="2">
    <w:p w:rsidR="00053248" w:rsidRDefault="00120920">
      <w:pPr>
        <w:pBdr>
          <w:top w:val="nil"/>
          <w:left w:val="nil"/>
          <w:bottom w:val="nil"/>
          <w:right w:val="nil"/>
          <w:between w:val="nil"/>
        </w:pBdr>
        <w:spacing w:after="0" w:line="240" w:lineRule="auto"/>
        <w:rPr>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Sentence 211 of March 31, 2017 of the Civil and Administrative Chamber of the Supreme Court, Judge Rapporteur Yanet Alfaro Guillén</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3248"/>
    <w:rsid w:val="00053248"/>
    <w:rsid w:val="00120920"/>
    <w:rsid w:val="005C3E77"/>
    <w:rsid w:val="00E84D2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B09D576-9362-471C-87A3-E76265646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3248"/>
  </w:style>
  <w:style w:type="paragraph" w:styleId="Heading1">
    <w:name w:val="heading 1"/>
    <w:basedOn w:val="Normal1"/>
    <w:next w:val="Normal1"/>
    <w:rsid w:val="00053248"/>
    <w:pPr>
      <w:keepNext/>
      <w:keepLines/>
      <w:spacing w:before="480" w:after="120"/>
      <w:outlineLvl w:val="0"/>
    </w:pPr>
    <w:rPr>
      <w:b/>
      <w:sz w:val="48"/>
      <w:szCs w:val="48"/>
    </w:rPr>
  </w:style>
  <w:style w:type="paragraph" w:styleId="Heading2">
    <w:name w:val="heading 2"/>
    <w:basedOn w:val="Normal1"/>
    <w:next w:val="Normal1"/>
    <w:rsid w:val="00053248"/>
    <w:pPr>
      <w:keepNext/>
      <w:keepLines/>
      <w:spacing w:before="360" w:after="80"/>
      <w:outlineLvl w:val="1"/>
    </w:pPr>
    <w:rPr>
      <w:b/>
      <w:sz w:val="36"/>
      <w:szCs w:val="36"/>
    </w:rPr>
  </w:style>
  <w:style w:type="paragraph" w:styleId="Heading3">
    <w:name w:val="heading 3"/>
    <w:basedOn w:val="Normal1"/>
    <w:next w:val="Normal1"/>
    <w:rsid w:val="00053248"/>
    <w:pPr>
      <w:keepNext/>
      <w:keepLines/>
      <w:spacing w:before="280" w:after="80"/>
      <w:outlineLvl w:val="2"/>
    </w:pPr>
    <w:rPr>
      <w:b/>
      <w:sz w:val="28"/>
      <w:szCs w:val="28"/>
    </w:rPr>
  </w:style>
  <w:style w:type="paragraph" w:styleId="Heading4">
    <w:name w:val="heading 4"/>
    <w:basedOn w:val="Normal1"/>
    <w:next w:val="Normal1"/>
    <w:rsid w:val="00053248"/>
    <w:pPr>
      <w:keepNext/>
      <w:keepLines/>
      <w:spacing w:before="240" w:after="40"/>
      <w:outlineLvl w:val="3"/>
    </w:pPr>
    <w:rPr>
      <w:b/>
      <w:sz w:val="24"/>
      <w:szCs w:val="24"/>
    </w:rPr>
  </w:style>
  <w:style w:type="paragraph" w:styleId="Heading5">
    <w:name w:val="heading 5"/>
    <w:basedOn w:val="Normal1"/>
    <w:next w:val="Normal1"/>
    <w:rsid w:val="00053248"/>
    <w:pPr>
      <w:keepNext/>
      <w:keepLines/>
      <w:spacing w:before="220" w:after="40"/>
      <w:outlineLvl w:val="4"/>
    </w:pPr>
    <w:rPr>
      <w:b/>
    </w:rPr>
  </w:style>
  <w:style w:type="paragraph" w:styleId="Heading6">
    <w:name w:val="heading 6"/>
    <w:basedOn w:val="Normal1"/>
    <w:next w:val="Normal1"/>
    <w:rsid w:val="00053248"/>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053248"/>
  </w:style>
  <w:style w:type="table" w:customStyle="1" w:styleId="TableNormal1">
    <w:name w:val="Table Normal1"/>
    <w:rsid w:val="00053248"/>
    <w:tblPr>
      <w:tblCellMar>
        <w:top w:w="0" w:type="dxa"/>
        <w:left w:w="0" w:type="dxa"/>
        <w:bottom w:w="0" w:type="dxa"/>
        <w:right w:w="0" w:type="dxa"/>
      </w:tblCellMar>
    </w:tblPr>
  </w:style>
  <w:style w:type="paragraph" w:styleId="Title">
    <w:name w:val="Title"/>
    <w:basedOn w:val="Normal1"/>
    <w:next w:val="Normal1"/>
    <w:rsid w:val="00053248"/>
    <w:pPr>
      <w:keepNext/>
      <w:keepLines/>
      <w:spacing w:before="480" w:after="120"/>
    </w:pPr>
    <w:rPr>
      <w:b/>
      <w:sz w:val="72"/>
      <w:szCs w:val="72"/>
    </w:rPr>
  </w:style>
  <w:style w:type="paragraph" w:styleId="FootnoteText">
    <w:name w:val="footnote text"/>
    <w:basedOn w:val="Normal"/>
    <w:link w:val="FootnoteTextChar"/>
    <w:uiPriority w:val="99"/>
    <w:semiHidden/>
    <w:unhideWhenUsed/>
    <w:rsid w:val="00185F7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85F7D"/>
    <w:rPr>
      <w:sz w:val="20"/>
      <w:szCs w:val="20"/>
    </w:rPr>
  </w:style>
  <w:style w:type="character" w:styleId="FootnoteReference">
    <w:name w:val="footnote reference"/>
    <w:basedOn w:val="DefaultParagraphFont"/>
    <w:uiPriority w:val="99"/>
    <w:semiHidden/>
    <w:unhideWhenUsed/>
    <w:rsid w:val="00185F7D"/>
    <w:rPr>
      <w:vertAlign w:val="superscript"/>
    </w:rPr>
  </w:style>
  <w:style w:type="paragraph" w:styleId="BalloonText">
    <w:name w:val="Balloon Text"/>
    <w:basedOn w:val="Normal"/>
    <w:link w:val="BalloonTextChar"/>
    <w:uiPriority w:val="99"/>
    <w:semiHidden/>
    <w:unhideWhenUsed/>
    <w:rsid w:val="00F911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111E"/>
    <w:rPr>
      <w:rFonts w:ascii="Segoe UI" w:hAnsi="Segoe UI" w:cs="Segoe UI"/>
      <w:sz w:val="18"/>
      <w:szCs w:val="18"/>
    </w:rPr>
  </w:style>
  <w:style w:type="paragraph" w:styleId="Revision">
    <w:name w:val="Revision"/>
    <w:hidden/>
    <w:uiPriority w:val="99"/>
    <w:semiHidden/>
    <w:rsid w:val="00063BC5"/>
    <w:pPr>
      <w:spacing w:after="0" w:line="240" w:lineRule="auto"/>
    </w:pPr>
  </w:style>
  <w:style w:type="paragraph" w:styleId="Subtitle">
    <w:name w:val="Subtitle"/>
    <w:basedOn w:val="Normal"/>
    <w:next w:val="Normal"/>
    <w:rsid w:val="00053248"/>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4.xml"/><Relationship Id="rId5" Type="http://schemas.openxmlformats.org/officeDocument/2006/relationships/footnotes" Target="footnotes.xm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bZ6Q4B2yELEiQ0+z4cXnMkjKMFg==">AMUW2mW0wIkaGiA/Nr/S6z/yr2xGAjd8PFoKqVkp1GmGK5dmpHwF0bdcucnVQ642RwTEFQr4T7uZeXcIHKKxOjqxj66G4FwVwE9PM1pEvfrfizwunZQzz/j0T5vKrFYGTpkjF8OhSj9uvQ0F4DVYc0XH/b1qF6t2hg==</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8F22143-55A4-44F1-B73F-BB534C791265}"/>
</file>

<file path=customXml/itemProps3.xml><?xml version="1.0" encoding="utf-8"?>
<ds:datastoreItem xmlns:ds="http://schemas.openxmlformats.org/officeDocument/2006/customXml" ds:itemID="{A3A05210-F0B2-486B-BA47-6C9F67E74133}"/>
</file>

<file path=customXml/itemProps4.xml><?xml version="1.0" encoding="utf-8"?>
<ds:datastoreItem xmlns:ds="http://schemas.openxmlformats.org/officeDocument/2006/customXml" ds:itemID="{8406FCDF-ECDA-4889-B8D7-CAE6F1E75E7C}"/>
</file>

<file path=docProps/app.xml><?xml version="1.0" encoding="utf-8"?>
<Properties xmlns="http://schemas.openxmlformats.org/officeDocument/2006/extended-properties" xmlns:vt="http://schemas.openxmlformats.org/officeDocument/2006/docPropsVTypes">
  <Template>Normal.dotm</Template>
  <TotalTime>2</TotalTime>
  <Pages>7</Pages>
  <Words>3414</Words>
  <Characters>19464</Characters>
  <Application>Microsoft Office Word</Application>
  <DocSecurity>4</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 y Ari</dc:creator>
  <cp:lastModifiedBy>BOIT James</cp:lastModifiedBy>
  <cp:revision>2</cp:revision>
  <dcterms:created xsi:type="dcterms:W3CDTF">2021-12-14T09:37:00Z</dcterms:created>
  <dcterms:modified xsi:type="dcterms:W3CDTF">2021-12-14T09:37:00Z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