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3EF3AF" w14:textId="77777777" w:rsidR="00434DD5" w:rsidRPr="00D66B43" w:rsidRDefault="00434DD5" w:rsidP="0070020A">
      <w:pPr>
        <w:pStyle w:val="BodyText1"/>
        <w:spacing w:after="200" w:line="240" w:lineRule="auto"/>
        <w:jc w:val="both"/>
        <w:rPr>
          <w:rFonts w:ascii="Open Sans" w:eastAsia="Calibri" w:hAnsi="Open Sans" w:cs="Open Sans"/>
          <w:color w:val="000000" w:themeColor="text1"/>
          <w:sz w:val="20"/>
          <w:szCs w:val="20"/>
        </w:rPr>
      </w:pPr>
    </w:p>
    <w:p w14:paraId="2E17875F" w14:textId="77777777" w:rsidR="00434DD5" w:rsidRPr="00D66B43" w:rsidRDefault="00434DD5" w:rsidP="0070020A">
      <w:pPr>
        <w:pStyle w:val="BodyText1"/>
        <w:spacing w:after="200" w:line="240" w:lineRule="auto"/>
        <w:jc w:val="both"/>
        <w:rPr>
          <w:rFonts w:ascii="Open Sans" w:eastAsia="Calibri" w:hAnsi="Open Sans" w:cs="Open Sans"/>
          <w:color w:val="000000" w:themeColor="text1"/>
          <w:sz w:val="20"/>
          <w:szCs w:val="20"/>
        </w:rPr>
      </w:pPr>
    </w:p>
    <w:p w14:paraId="57B118A8" w14:textId="77777777" w:rsidR="00434DD5" w:rsidRPr="00D66B43" w:rsidRDefault="00434DD5" w:rsidP="0070020A">
      <w:pPr>
        <w:pStyle w:val="BodyText1"/>
        <w:spacing w:after="200" w:line="240" w:lineRule="auto"/>
        <w:jc w:val="both"/>
        <w:rPr>
          <w:rFonts w:ascii="Open Sans" w:eastAsia="Calibri" w:hAnsi="Open Sans" w:cs="Open Sans"/>
          <w:color w:val="000000" w:themeColor="text1"/>
          <w:sz w:val="20"/>
          <w:szCs w:val="20"/>
        </w:rPr>
      </w:pPr>
    </w:p>
    <w:p w14:paraId="400BDA5F" w14:textId="55A44995" w:rsidR="00434DD5" w:rsidRPr="00D66B43" w:rsidRDefault="00434DD5" w:rsidP="00975195">
      <w:pPr>
        <w:pStyle w:val="BodyText1"/>
        <w:spacing w:after="200" w:line="240" w:lineRule="auto"/>
        <w:jc w:val="center"/>
        <w:rPr>
          <w:rFonts w:ascii="Open Sans" w:eastAsia="Calibri" w:hAnsi="Open Sans" w:cs="Open Sans"/>
          <w:b/>
          <w:bCs/>
          <w:color w:val="000000" w:themeColor="text1"/>
          <w:sz w:val="24"/>
          <w:szCs w:val="24"/>
        </w:rPr>
      </w:pPr>
      <w:r w:rsidRPr="00D66B43">
        <w:rPr>
          <w:rFonts w:ascii="Open Sans" w:hAnsi="Open Sans" w:cs="Open Sans"/>
          <w:b/>
          <w:bCs/>
          <w:color w:val="000000" w:themeColor="text1"/>
          <w:sz w:val="24"/>
          <w:szCs w:val="24"/>
        </w:rPr>
        <w:t>Submission to the Committee on Elimination of Discrimination Against Women</w:t>
      </w:r>
    </w:p>
    <w:p w14:paraId="21C53339" w14:textId="77777777" w:rsidR="00434DD5" w:rsidRPr="00D66B43" w:rsidRDefault="00434DD5" w:rsidP="00975195">
      <w:pPr>
        <w:pStyle w:val="Body"/>
        <w:spacing w:after="0" w:line="240" w:lineRule="auto"/>
        <w:jc w:val="center"/>
        <w:rPr>
          <w:rFonts w:ascii="Open Sans" w:eastAsia="Calibri" w:hAnsi="Open Sans" w:cs="Open Sans"/>
          <w:color w:val="000000" w:themeColor="text1"/>
          <w:sz w:val="20"/>
          <w:szCs w:val="20"/>
        </w:rPr>
      </w:pPr>
      <w:r w:rsidRPr="00D66B43">
        <w:rPr>
          <w:rFonts w:ascii="Open Sans" w:hAnsi="Open Sans" w:cs="Open Sans"/>
          <w:color w:val="000000" w:themeColor="text1"/>
          <w:sz w:val="20"/>
          <w:szCs w:val="20"/>
          <w:lang w:val="de-DE"/>
        </w:rPr>
        <w:t xml:space="preserve">Pre-Sessional Working Group </w:t>
      </w:r>
      <w:r w:rsidR="00753311" w:rsidRPr="00D66B43">
        <w:rPr>
          <w:rFonts w:ascii="Open Sans" w:hAnsi="Open Sans" w:cs="Open Sans"/>
          <w:color w:val="000000" w:themeColor="text1"/>
          <w:sz w:val="20"/>
          <w:szCs w:val="20"/>
          <w:lang w:val="de-DE"/>
        </w:rPr>
        <w:t xml:space="preserve">77 </w:t>
      </w:r>
      <w:r w:rsidRPr="00D66B43">
        <w:rPr>
          <w:rFonts w:ascii="Open Sans" w:hAnsi="Open Sans" w:cs="Open Sans"/>
          <w:color w:val="000000" w:themeColor="text1"/>
          <w:sz w:val="20"/>
          <w:szCs w:val="20"/>
          <w:lang w:val="de-DE"/>
        </w:rPr>
        <w:t>(</w:t>
      </w:r>
      <w:r w:rsidR="00753311" w:rsidRPr="00D66B43">
        <w:rPr>
          <w:rFonts w:ascii="Open Sans" w:hAnsi="Open Sans" w:cs="Open Sans"/>
          <w:color w:val="000000" w:themeColor="text1"/>
          <w:sz w:val="20"/>
          <w:szCs w:val="20"/>
          <w:lang w:val="de-DE"/>
        </w:rPr>
        <w:t>02 March – 06 March 2020</w:t>
      </w:r>
      <w:r w:rsidRPr="00D66B43">
        <w:rPr>
          <w:rFonts w:ascii="Open Sans" w:hAnsi="Open Sans" w:cs="Open Sans"/>
          <w:color w:val="000000" w:themeColor="text1"/>
          <w:sz w:val="20"/>
          <w:szCs w:val="20"/>
          <w:lang w:val="de-DE"/>
        </w:rPr>
        <w:t>)</w:t>
      </w:r>
    </w:p>
    <w:p w14:paraId="254ADAD7" w14:textId="77777777" w:rsidR="00434DD5" w:rsidRPr="00D66B43" w:rsidRDefault="00434DD5" w:rsidP="00975195">
      <w:pPr>
        <w:pStyle w:val="BodyText1"/>
        <w:spacing w:after="200" w:line="240" w:lineRule="auto"/>
        <w:jc w:val="center"/>
        <w:rPr>
          <w:rFonts w:ascii="Open Sans" w:eastAsia="Calibri" w:hAnsi="Open Sans" w:cs="Open Sans"/>
          <w:color w:val="000000" w:themeColor="text1"/>
          <w:sz w:val="20"/>
          <w:szCs w:val="20"/>
        </w:rPr>
      </w:pPr>
    </w:p>
    <w:p w14:paraId="1AA7B705" w14:textId="77777777" w:rsidR="004F04E0" w:rsidRPr="00D66B43" w:rsidRDefault="004F04E0" w:rsidP="00975195">
      <w:pPr>
        <w:pStyle w:val="BodyText1"/>
        <w:spacing w:after="200" w:line="240" w:lineRule="auto"/>
        <w:jc w:val="center"/>
        <w:rPr>
          <w:rFonts w:ascii="Open Sans" w:eastAsia="Calibri" w:hAnsi="Open Sans" w:cs="Open Sans"/>
          <w:color w:val="000000" w:themeColor="text1"/>
          <w:sz w:val="20"/>
          <w:szCs w:val="20"/>
        </w:rPr>
      </w:pPr>
    </w:p>
    <w:p w14:paraId="2F24F5C9" w14:textId="77777777" w:rsidR="004F04E0" w:rsidRPr="00D66B43" w:rsidRDefault="004F04E0" w:rsidP="00975195">
      <w:pPr>
        <w:pStyle w:val="BodyText1"/>
        <w:spacing w:after="200" w:line="240" w:lineRule="auto"/>
        <w:jc w:val="center"/>
        <w:rPr>
          <w:rFonts w:ascii="Open Sans" w:eastAsia="Calibri" w:hAnsi="Open Sans" w:cs="Open Sans"/>
          <w:color w:val="000000" w:themeColor="text1"/>
          <w:sz w:val="20"/>
          <w:szCs w:val="20"/>
        </w:rPr>
      </w:pPr>
    </w:p>
    <w:p w14:paraId="37F5F7FC" w14:textId="77777777" w:rsidR="004F04E0" w:rsidRPr="00D66B43" w:rsidRDefault="004F04E0" w:rsidP="00975195">
      <w:pPr>
        <w:pStyle w:val="BodyText1"/>
        <w:spacing w:after="200" w:line="240" w:lineRule="auto"/>
        <w:jc w:val="center"/>
        <w:rPr>
          <w:rFonts w:ascii="Open Sans" w:eastAsia="Calibri" w:hAnsi="Open Sans" w:cs="Open Sans"/>
          <w:color w:val="000000" w:themeColor="text1"/>
          <w:sz w:val="20"/>
          <w:szCs w:val="20"/>
        </w:rPr>
      </w:pPr>
    </w:p>
    <w:p w14:paraId="43BA285F" w14:textId="7AB75589" w:rsidR="00434DD5" w:rsidRPr="004E47D3" w:rsidRDefault="00753311" w:rsidP="00975195">
      <w:pPr>
        <w:pStyle w:val="BodyText1"/>
        <w:spacing w:after="200" w:line="240" w:lineRule="auto"/>
        <w:jc w:val="center"/>
        <w:rPr>
          <w:rFonts w:ascii="Open Sans" w:eastAsia="Calibri" w:hAnsi="Open Sans" w:cs="Open Sans"/>
          <w:b/>
          <w:bCs/>
          <w:color w:val="000000" w:themeColor="text1"/>
          <w:sz w:val="24"/>
          <w:szCs w:val="24"/>
        </w:rPr>
      </w:pPr>
      <w:r w:rsidRPr="004E47D3">
        <w:rPr>
          <w:rFonts w:ascii="Open Sans" w:eastAsia="Calibri" w:hAnsi="Open Sans" w:cs="Open Sans"/>
          <w:b/>
          <w:bCs/>
          <w:color w:val="000000" w:themeColor="text1"/>
          <w:sz w:val="24"/>
          <w:szCs w:val="24"/>
        </w:rPr>
        <w:t>South Africa</w:t>
      </w:r>
    </w:p>
    <w:p w14:paraId="63B5A57E" w14:textId="77777777" w:rsidR="00D66B43" w:rsidRPr="00D66B43" w:rsidRDefault="00D66B43" w:rsidP="00D66B43">
      <w:pPr>
        <w:pStyle w:val="BodyText1"/>
        <w:spacing w:after="200" w:line="240" w:lineRule="auto"/>
        <w:jc w:val="center"/>
        <w:rPr>
          <w:rFonts w:ascii="Open Sans" w:eastAsia="Calibri" w:hAnsi="Open Sans" w:cs="Open Sans"/>
          <w:color w:val="000000" w:themeColor="text1"/>
          <w:sz w:val="20"/>
          <w:szCs w:val="20"/>
        </w:rPr>
      </w:pPr>
      <w:r w:rsidRPr="00D66B43">
        <w:rPr>
          <w:rFonts w:ascii="Open Sans" w:hAnsi="Open Sans" w:cs="Open Sans"/>
          <w:color w:val="000000" w:themeColor="text1"/>
          <w:sz w:val="20"/>
          <w:szCs w:val="20"/>
        </w:rPr>
        <w:t>20 January 2020</w:t>
      </w:r>
    </w:p>
    <w:p w14:paraId="66596B38" w14:textId="77777777" w:rsidR="00D66B43" w:rsidRPr="00D66B43" w:rsidRDefault="00D66B43" w:rsidP="00975195">
      <w:pPr>
        <w:pStyle w:val="BodyText1"/>
        <w:spacing w:after="200" w:line="240" w:lineRule="auto"/>
        <w:jc w:val="center"/>
        <w:rPr>
          <w:rFonts w:ascii="Open Sans" w:eastAsia="Calibri" w:hAnsi="Open Sans" w:cs="Open Sans"/>
          <w:b/>
          <w:bCs/>
          <w:color w:val="000000" w:themeColor="text1"/>
          <w:sz w:val="20"/>
          <w:szCs w:val="20"/>
        </w:rPr>
      </w:pPr>
    </w:p>
    <w:p w14:paraId="57AB9C2D" w14:textId="77777777" w:rsidR="00434DD5" w:rsidRPr="00D66B43" w:rsidRDefault="00434DD5" w:rsidP="00975195">
      <w:pPr>
        <w:pStyle w:val="BodyText1"/>
        <w:spacing w:after="200" w:line="240" w:lineRule="auto"/>
        <w:jc w:val="center"/>
        <w:rPr>
          <w:rFonts w:ascii="Open Sans" w:eastAsia="Calibri" w:hAnsi="Open Sans" w:cs="Open Sans"/>
          <w:color w:val="000000" w:themeColor="text1"/>
          <w:sz w:val="20"/>
          <w:szCs w:val="20"/>
        </w:rPr>
      </w:pPr>
    </w:p>
    <w:p w14:paraId="723761D3" w14:textId="77777777" w:rsidR="004F04E0" w:rsidRPr="00D66B43" w:rsidRDefault="004F04E0" w:rsidP="00975195">
      <w:pPr>
        <w:pStyle w:val="BodyText1"/>
        <w:spacing w:after="200" w:line="240" w:lineRule="auto"/>
        <w:jc w:val="center"/>
        <w:rPr>
          <w:rFonts w:ascii="Open Sans" w:eastAsia="Calibri" w:hAnsi="Open Sans" w:cs="Open Sans"/>
          <w:color w:val="000000" w:themeColor="text1"/>
          <w:sz w:val="20"/>
          <w:szCs w:val="20"/>
        </w:rPr>
      </w:pPr>
    </w:p>
    <w:p w14:paraId="6D93581D" w14:textId="77777777" w:rsidR="00434DD5" w:rsidRPr="00D66B43" w:rsidRDefault="00434DD5" w:rsidP="00975195">
      <w:pPr>
        <w:pStyle w:val="BodyText1"/>
        <w:spacing w:after="200" w:line="240" w:lineRule="auto"/>
        <w:jc w:val="center"/>
        <w:rPr>
          <w:rFonts w:ascii="Open Sans" w:eastAsia="Calibri" w:hAnsi="Open Sans" w:cs="Open Sans"/>
          <w:color w:val="000000" w:themeColor="text1"/>
          <w:sz w:val="20"/>
          <w:szCs w:val="20"/>
        </w:rPr>
      </w:pPr>
    </w:p>
    <w:p w14:paraId="7CC68D79" w14:textId="77777777" w:rsidR="00434DD5" w:rsidRPr="00D66B43" w:rsidRDefault="00434DD5" w:rsidP="00975195">
      <w:pPr>
        <w:pStyle w:val="BodyText1"/>
        <w:spacing w:after="200" w:line="240" w:lineRule="auto"/>
        <w:jc w:val="center"/>
        <w:rPr>
          <w:rFonts w:ascii="Open Sans" w:eastAsia="Calibri" w:hAnsi="Open Sans" w:cs="Open Sans"/>
          <w:color w:val="000000" w:themeColor="text1"/>
          <w:sz w:val="20"/>
          <w:szCs w:val="20"/>
        </w:rPr>
      </w:pPr>
    </w:p>
    <w:p w14:paraId="682E6679" w14:textId="733938FF" w:rsidR="00434DD5" w:rsidRPr="00D66B43" w:rsidRDefault="00AF111D" w:rsidP="00AF111D">
      <w:pPr>
        <w:pStyle w:val="BodyText1"/>
        <w:spacing w:after="200" w:line="240" w:lineRule="auto"/>
        <w:rPr>
          <w:rFonts w:ascii="Open Sans" w:eastAsia="Calibri" w:hAnsi="Open Sans" w:cs="Open Sans"/>
          <w:color w:val="000000" w:themeColor="text1"/>
          <w:sz w:val="20"/>
          <w:szCs w:val="20"/>
        </w:rPr>
      </w:pPr>
      <w:r w:rsidRPr="00D66B43">
        <w:rPr>
          <w:rFonts w:ascii="Open Sans" w:eastAsia="Calibri" w:hAnsi="Open Sans" w:cs="Open Sans"/>
          <w:color w:val="000000" w:themeColor="text1"/>
          <w:sz w:val="20"/>
          <w:szCs w:val="20"/>
        </w:rPr>
        <w:t>Submitting organization:</w:t>
      </w:r>
    </w:p>
    <w:p w14:paraId="571E1230" w14:textId="77777777" w:rsidR="00434DD5" w:rsidRPr="00D66B43" w:rsidRDefault="00434DD5" w:rsidP="0070020A">
      <w:pPr>
        <w:pStyle w:val="BodyText1"/>
        <w:spacing w:after="200" w:line="240" w:lineRule="auto"/>
        <w:jc w:val="both"/>
        <w:rPr>
          <w:rFonts w:ascii="Open Sans" w:eastAsia="Calibri" w:hAnsi="Open Sans" w:cs="Open Sans"/>
          <w:color w:val="000000" w:themeColor="text1"/>
          <w:sz w:val="20"/>
          <w:szCs w:val="20"/>
        </w:rPr>
      </w:pPr>
    </w:p>
    <w:p w14:paraId="425D386D" w14:textId="77777777" w:rsidR="00AF111D" w:rsidRPr="00D66B43" w:rsidRDefault="00AF111D" w:rsidP="00AF111D">
      <w:pPr>
        <w:pStyle w:val="BodyText1"/>
        <w:spacing w:after="200" w:line="240" w:lineRule="auto"/>
        <w:jc w:val="both"/>
        <w:rPr>
          <w:rFonts w:ascii="Open Sans" w:hAnsi="Open Sans" w:cs="Open Sans"/>
          <w:color w:val="000000" w:themeColor="text1"/>
          <w:sz w:val="20"/>
          <w:szCs w:val="20"/>
        </w:rPr>
      </w:pPr>
      <w:bookmarkStart w:id="0" w:name="_GoBack"/>
      <w:r w:rsidRPr="00D66B43">
        <w:rPr>
          <w:rFonts w:ascii="Open Sans" w:hAnsi="Open Sans" w:cs="Open Sans"/>
          <w:b/>
          <w:bCs/>
          <w:color w:val="000000" w:themeColor="text1"/>
          <w:sz w:val="20"/>
          <w:szCs w:val="20"/>
        </w:rPr>
        <w:t xml:space="preserve">Harm Reduction International </w:t>
      </w:r>
      <w:bookmarkEnd w:id="0"/>
      <w:r w:rsidRPr="00D66B43">
        <w:rPr>
          <w:rFonts w:ascii="Open Sans" w:hAnsi="Open Sans" w:cs="Open Sans"/>
          <w:b/>
          <w:bCs/>
          <w:color w:val="000000" w:themeColor="text1"/>
          <w:sz w:val="20"/>
          <w:szCs w:val="20"/>
        </w:rPr>
        <w:t xml:space="preserve">(HRI) </w:t>
      </w:r>
      <w:r w:rsidRPr="00D66B43">
        <w:rPr>
          <w:rFonts w:ascii="Open Sans" w:hAnsi="Open Sans" w:cs="Open Sans"/>
          <w:color w:val="000000" w:themeColor="text1"/>
          <w:sz w:val="20"/>
          <w:szCs w:val="20"/>
        </w:rPr>
        <w:t>is a le</w:t>
      </w:r>
      <w:r w:rsidRPr="00D66B43">
        <w:rPr>
          <w:rFonts w:ascii="Open Sans" w:hAnsi="Open Sans" w:cs="Open Sans"/>
          <w:color w:val="000000" w:themeColor="text1"/>
          <w:sz w:val="20"/>
          <w:szCs w:val="20"/>
          <w:shd w:val="clear" w:color="auto" w:fill="FFFFFF"/>
        </w:rPr>
        <w:t>ading NGO dedicated to reducing the negative health, social and legal impacts of drug use and drug policy. HRI promotes the rights of people who use drugs and their communities through research and advocacy to help achieve a world where drug policies and laws contribute to healthier, safer societies.</w:t>
      </w:r>
      <w:r w:rsidRPr="00D66B43">
        <w:rPr>
          <w:rFonts w:ascii="Open Sans" w:hAnsi="Open Sans" w:cs="Open Sans"/>
          <w:color w:val="000000" w:themeColor="text1"/>
          <w:sz w:val="20"/>
          <w:szCs w:val="20"/>
        </w:rPr>
        <w:t xml:space="preserve"> </w:t>
      </w:r>
    </w:p>
    <w:p w14:paraId="0D4A97D9" w14:textId="77777777" w:rsidR="00AF111D" w:rsidRPr="00D66B43" w:rsidRDefault="00AF111D" w:rsidP="00AF111D">
      <w:pPr>
        <w:pStyle w:val="BodyText1"/>
        <w:spacing w:after="200" w:line="240" w:lineRule="auto"/>
        <w:jc w:val="both"/>
        <w:rPr>
          <w:rFonts w:ascii="Open Sans" w:hAnsi="Open Sans" w:cs="Open Sans"/>
          <w:color w:val="000000" w:themeColor="text1"/>
          <w:sz w:val="20"/>
          <w:szCs w:val="20"/>
        </w:rPr>
      </w:pPr>
      <w:r w:rsidRPr="00D66B43">
        <w:rPr>
          <w:rFonts w:ascii="Open Sans" w:hAnsi="Open Sans" w:cs="Open Sans"/>
          <w:color w:val="000000" w:themeColor="text1"/>
          <w:sz w:val="20"/>
          <w:szCs w:val="20"/>
        </w:rPr>
        <w:t>HRI is a non-governmental organization with Special Consultative Status with ECOSOC.</w:t>
      </w:r>
    </w:p>
    <w:p w14:paraId="37AC9A4C" w14:textId="7CDB0B65" w:rsidR="00434DD5" w:rsidRPr="00D66B43" w:rsidRDefault="00434DD5" w:rsidP="0070020A">
      <w:pPr>
        <w:pStyle w:val="BodyText1"/>
        <w:spacing w:after="200" w:line="240" w:lineRule="auto"/>
        <w:jc w:val="both"/>
        <w:rPr>
          <w:rFonts w:ascii="Open Sans" w:hAnsi="Open Sans" w:cs="Open Sans"/>
          <w:color w:val="000000" w:themeColor="text1"/>
          <w:sz w:val="20"/>
          <w:szCs w:val="20"/>
        </w:rPr>
      </w:pPr>
    </w:p>
    <w:p w14:paraId="7A511B86" w14:textId="267653E9" w:rsidR="00D66B43" w:rsidRPr="00D66B43" w:rsidRDefault="00D66B43" w:rsidP="0070020A">
      <w:pPr>
        <w:pStyle w:val="BodyText1"/>
        <w:spacing w:after="200" w:line="240" w:lineRule="auto"/>
        <w:jc w:val="both"/>
        <w:rPr>
          <w:rFonts w:ascii="Open Sans" w:hAnsi="Open Sans" w:cs="Open Sans"/>
          <w:color w:val="000000" w:themeColor="text1"/>
          <w:sz w:val="20"/>
          <w:szCs w:val="20"/>
        </w:rPr>
        <w:sectPr w:rsidR="00D66B43" w:rsidRPr="00D66B43" w:rsidSect="0057467C">
          <w:headerReference w:type="default" r:id="rId8"/>
          <w:footerReference w:type="even" r:id="rId9"/>
          <w:footerReference w:type="default" r:id="rId10"/>
          <w:headerReference w:type="first" r:id="rId11"/>
          <w:pgSz w:w="11900" w:h="16840"/>
          <w:pgMar w:top="1843" w:right="1440" w:bottom="1440" w:left="1440" w:header="708" w:footer="708" w:gutter="0"/>
          <w:pgNumType w:start="0"/>
          <w:cols w:space="720"/>
          <w:titlePg/>
        </w:sectPr>
      </w:pPr>
      <w:r w:rsidRPr="00D66B43">
        <w:rPr>
          <w:rFonts w:ascii="Open Sans" w:hAnsi="Open Sans" w:cs="Open Sans"/>
          <w:color w:val="000000" w:themeColor="text1"/>
          <w:sz w:val="20"/>
          <w:szCs w:val="20"/>
        </w:rPr>
        <w:t>Contact: HRI, 61 Mansell Street, Aldgate, E1 8AN, London</w:t>
      </w:r>
      <w:r w:rsidR="004E47D3">
        <w:rPr>
          <w:rFonts w:ascii="Open Sans" w:hAnsi="Open Sans" w:cs="Open Sans"/>
          <w:color w:val="000000" w:themeColor="text1"/>
          <w:sz w:val="20"/>
          <w:szCs w:val="20"/>
        </w:rPr>
        <w:t xml:space="preserve"> (UK) | giada.girelli@hri.global</w:t>
      </w:r>
    </w:p>
    <w:p w14:paraId="589B52EE" w14:textId="0D3ED5AB" w:rsidR="008F7AD0" w:rsidRPr="00D66B43" w:rsidRDefault="008F7AD0" w:rsidP="0070020A">
      <w:pPr>
        <w:pStyle w:val="CommentText1"/>
        <w:rPr>
          <w:rFonts w:ascii="Open Sans" w:hAnsi="Open Sans" w:cs="Open Sans"/>
          <w:b/>
          <w:bCs/>
          <w:i w:val="0"/>
          <w:iCs w:val="0"/>
          <w:color w:val="000000" w:themeColor="text1"/>
          <w:sz w:val="20"/>
          <w:szCs w:val="20"/>
        </w:rPr>
      </w:pPr>
    </w:p>
    <w:p w14:paraId="1BCD5055" w14:textId="77777777" w:rsidR="00241103" w:rsidRPr="00D66B43" w:rsidRDefault="00241103" w:rsidP="0070020A">
      <w:pPr>
        <w:jc w:val="both"/>
        <w:rPr>
          <w:rFonts w:ascii="Open Sans" w:hAnsi="Open Sans" w:cs="Open Sans"/>
          <w:color w:val="000000" w:themeColor="text1"/>
          <w:sz w:val="20"/>
          <w:szCs w:val="20"/>
        </w:rPr>
      </w:pPr>
    </w:p>
    <w:p w14:paraId="15C7CE9F" w14:textId="3E2807C6" w:rsidR="00753311" w:rsidRPr="00D66B43" w:rsidRDefault="00D66B43" w:rsidP="0070020A">
      <w:pPr>
        <w:jc w:val="both"/>
        <w:rPr>
          <w:rFonts w:ascii="Open Sans" w:hAnsi="Open Sans" w:cs="Open Sans"/>
          <w:b/>
          <w:color w:val="000000" w:themeColor="text1"/>
          <w:sz w:val="20"/>
          <w:szCs w:val="20"/>
        </w:rPr>
      </w:pPr>
      <w:r w:rsidRPr="00D66B43">
        <w:rPr>
          <w:rFonts w:ascii="Open Sans" w:hAnsi="Open Sans" w:cs="Open Sans"/>
          <w:b/>
          <w:color w:val="000000" w:themeColor="text1"/>
          <w:sz w:val="20"/>
          <w:szCs w:val="20"/>
        </w:rPr>
        <w:t>INTRODUCTION</w:t>
      </w:r>
    </w:p>
    <w:p w14:paraId="2D4E5645" w14:textId="77777777" w:rsidR="00753311" w:rsidRPr="00D66B43" w:rsidRDefault="00753311" w:rsidP="0070020A">
      <w:pPr>
        <w:jc w:val="both"/>
        <w:rPr>
          <w:rFonts w:ascii="Open Sans" w:hAnsi="Open Sans" w:cs="Open Sans"/>
          <w:b/>
          <w:color w:val="000000" w:themeColor="text1"/>
          <w:sz w:val="20"/>
          <w:szCs w:val="20"/>
        </w:rPr>
      </w:pPr>
    </w:p>
    <w:p w14:paraId="094D4C79" w14:textId="1F58EA96" w:rsidR="00BC5631" w:rsidRPr="00D66B43" w:rsidRDefault="00BC5631" w:rsidP="0070020A">
      <w:pPr>
        <w:jc w:val="both"/>
        <w:rPr>
          <w:rFonts w:ascii="Open Sans" w:hAnsi="Open Sans" w:cs="Open Sans"/>
          <w:color w:val="000000" w:themeColor="text1"/>
          <w:sz w:val="20"/>
          <w:szCs w:val="20"/>
        </w:rPr>
      </w:pPr>
      <w:r w:rsidRPr="00D66B43">
        <w:rPr>
          <w:rFonts w:ascii="Open Sans" w:hAnsi="Open Sans" w:cs="Open Sans"/>
          <w:color w:val="000000" w:themeColor="text1"/>
          <w:sz w:val="20"/>
          <w:szCs w:val="20"/>
        </w:rPr>
        <w:t xml:space="preserve">HRI </w:t>
      </w:r>
      <w:r w:rsidR="00753311" w:rsidRPr="00D66B43">
        <w:rPr>
          <w:rFonts w:ascii="Open Sans" w:hAnsi="Open Sans" w:cs="Open Sans"/>
          <w:color w:val="000000" w:themeColor="text1"/>
          <w:sz w:val="20"/>
          <w:szCs w:val="20"/>
        </w:rPr>
        <w:t>welcome</w:t>
      </w:r>
      <w:r w:rsidR="00435197" w:rsidRPr="00D66B43">
        <w:rPr>
          <w:rFonts w:ascii="Open Sans" w:hAnsi="Open Sans" w:cs="Open Sans"/>
          <w:color w:val="000000" w:themeColor="text1"/>
          <w:sz w:val="20"/>
          <w:szCs w:val="20"/>
        </w:rPr>
        <w:t>s</w:t>
      </w:r>
      <w:r w:rsidR="00753311" w:rsidRPr="00D66B43">
        <w:rPr>
          <w:rFonts w:ascii="Open Sans" w:hAnsi="Open Sans" w:cs="Open Sans"/>
          <w:color w:val="000000" w:themeColor="text1"/>
          <w:sz w:val="20"/>
          <w:szCs w:val="20"/>
        </w:rPr>
        <w:t xml:space="preserve"> the opportunity to submit information to the UN Committee on the Elimination of Discrimination Against Women (CEDAW) ahead of its review of the periodic report of South Afric</w:t>
      </w:r>
      <w:r w:rsidR="008239A2" w:rsidRPr="00D66B43">
        <w:rPr>
          <w:rFonts w:ascii="Open Sans" w:hAnsi="Open Sans" w:cs="Open Sans"/>
          <w:color w:val="000000" w:themeColor="text1"/>
          <w:sz w:val="20"/>
          <w:szCs w:val="20"/>
        </w:rPr>
        <w:t xml:space="preserve">a </w:t>
      </w:r>
      <w:r w:rsidR="00753311" w:rsidRPr="00D66B43">
        <w:rPr>
          <w:rFonts w:ascii="Open Sans" w:hAnsi="Open Sans" w:cs="Open Sans"/>
          <w:color w:val="000000" w:themeColor="text1"/>
          <w:sz w:val="20"/>
          <w:szCs w:val="20"/>
        </w:rPr>
        <w:t>and the adoption of the List of Issues Prior to Reporting at its 77</w:t>
      </w:r>
      <w:r w:rsidR="00753311" w:rsidRPr="00D66B43">
        <w:rPr>
          <w:rFonts w:ascii="Open Sans" w:hAnsi="Open Sans" w:cs="Open Sans"/>
          <w:color w:val="000000" w:themeColor="text1"/>
          <w:sz w:val="20"/>
          <w:szCs w:val="20"/>
          <w:vertAlign w:val="superscript"/>
        </w:rPr>
        <w:t>th</w:t>
      </w:r>
      <w:r w:rsidR="00753311" w:rsidRPr="00D66B43">
        <w:rPr>
          <w:rFonts w:ascii="Open Sans" w:hAnsi="Open Sans" w:cs="Open Sans"/>
          <w:color w:val="000000" w:themeColor="text1"/>
          <w:sz w:val="20"/>
          <w:szCs w:val="20"/>
        </w:rPr>
        <w:t xml:space="preserve"> Session (2-6 March 2020). </w:t>
      </w:r>
      <w:r w:rsidR="004F04E0" w:rsidRPr="00D66B43">
        <w:rPr>
          <w:rFonts w:ascii="Open Sans" w:hAnsi="Open Sans" w:cs="Open Sans"/>
          <w:color w:val="000000" w:themeColor="text1"/>
          <w:sz w:val="20"/>
          <w:szCs w:val="20"/>
        </w:rPr>
        <w:t xml:space="preserve">This submission considers </w:t>
      </w:r>
      <w:r w:rsidR="00E81D00" w:rsidRPr="00D66B43">
        <w:rPr>
          <w:rFonts w:ascii="Open Sans" w:hAnsi="Open Sans" w:cs="Open Sans"/>
          <w:color w:val="000000" w:themeColor="text1"/>
          <w:sz w:val="20"/>
          <w:szCs w:val="20"/>
        </w:rPr>
        <w:t>the</w:t>
      </w:r>
      <w:r w:rsidR="00753311" w:rsidRPr="00D66B43">
        <w:rPr>
          <w:rFonts w:ascii="Open Sans" w:hAnsi="Open Sans" w:cs="Open Sans"/>
          <w:color w:val="000000" w:themeColor="text1"/>
          <w:sz w:val="20"/>
          <w:szCs w:val="20"/>
        </w:rPr>
        <w:t xml:space="preserve"> rights of women who use drugs</w:t>
      </w:r>
      <w:r w:rsidRPr="00D66B43">
        <w:rPr>
          <w:rFonts w:ascii="Open Sans" w:hAnsi="Open Sans" w:cs="Open Sans"/>
          <w:color w:val="000000" w:themeColor="text1"/>
          <w:sz w:val="20"/>
          <w:szCs w:val="20"/>
        </w:rPr>
        <w:t>, by providing background information and reporting on violations denounced by women in Durban</w:t>
      </w:r>
      <w:r w:rsidR="004F04E0" w:rsidRPr="00D66B43">
        <w:rPr>
          <w:rFonts w:ascii="Open Sans" w:hAnsi="Open Sans" w:cs="Open Sans"/>
          <w:color w:val="000000" w:themeColor="text1"/>
          <w:sz w:val="20"/>
          <w:szCs w:val="20"/>
        </w:rPr>
        <w:t>.</w:t>
      </w:r>
    </w:p>
    <w:p w14:paraId="156CE68A" w14:textId="2C78A697" w:rsidR="00BC5631" w:rsidRPr="00D66B43" w:rsidRDefault="00BC5631">
      <w:pPr>
        <w:pBdr>
          <w:top w:val="none" w:sz="0" w:space="0" w:color="auto"/>
          <w:left w:val="none" w:sz="0" w:space="0" w:color="auto"/>
          <w:bottom w:val="none" w:sz="0" w:space="0" w:color="auto"/>
          <w:right w:val="none" w:sz="0" w:space="0" w:color="auto"/>
          <w:between w:val="none" w:sz="0" w:space="0" w:color="auto"/>
          <w:bar w:val="none" w:sz="0" w:color="auto"/>
        </w:pBdr>
        <w:rPr>
          <w:rFonts w:ascii="Open Sans" w:hAnsi="Open Sans" w:cs="Open Sans"/>
          <w:color w:val="000000" w:themeColor="text1"/>
          <w:sz w:val="20"/>
          <w:szCs w:val="20"/>
        </w:rPr>
      </w:pPr>
    </w:p>
    <w:p w14:paraId="47E1A339" w14:textId="7EBF7753" w:rsidR="00BC5631" w:rsidRPr="00D66B43" w:rsidRDefault="00BC5631" w:rsidP="00BC5631">
      <w:pPr>
        <w:jc w:val="both"/>
        <w:rPr>
          <w:rFonts w:ascii="Open Sans" w:hAnsi="Open Sans" w:cs="Open Sans"/>
          <w:sz w:val="20"/>
          <w:szCs w:val="20"/>
        </w:rPr>
      </w:pPr>
      <w:r w:rsidRPr="00D66B43">
        <w:rPr>
          <w:rFonts w:ascii="Open Sans" w:eastAsiaTheme="minorHAnsi" w:hAnsi="Open Sans" w:cs="Open Sans"/>
          <w:color w:val="000000" w:themeColor="text1"/>
          <w:sz w:val="20"/>
          <w:szCs w:val="20"/>
          <w:bdr w:val="none" w:sz="0" w:space="0" w:color="auto"/>
          <w:lang w:val="en-GB" w:eastAsia="en-GB"/>
        </w:rPr>
        <w:t xml:space="preserve">The analysis is based on primary qualitative research conducted by HRI and </w:t>
      </w:r>
      <w:r w:rsidR="00AF111D" w:rsidRPr="00D66B43">
        <w:rPr>
          <w:rFonts w:ascii="Open Sans" w:eastAsiaTheme="minorHAnsi" w:hAnsi="Open Sans" w:cs="Open Sans"/>
          <w:color w:val="000000" w:themeColor="text1"/>
          <w:sz w:val="20"/>
          <w:szCs w:val="20"/>
          <w:bdr w:val="none" w:sz="0" w:space="0" w:color="auto"/>
          <w:lang w:val="en-GB" w:eastAsia="en-GB"/>
        </w:rPr>
        <w:t>the South African Network of People who Use Drugs (</w:t>
      </w:r>
      <w:r w:rsidR="00435197" w:rsidRPr="00D66B43">
        <w:rPr>
          <w:rFonts w:ascii="Open Sans" w:eastAsiaTheme="minorHAnsi" w:hAnsi="Open Sans" w:cs="Open Sans"/>
          <w:color w:val="000000" w:themeColor="text1"/>
          <w:sz w:val="20"/>
          <w:szCs w:val="20"/>
          <w:bdr w:val="none" w:sz="0" w:space="0" w:color="auto"/>
          <w:lang w:val="en-GB" w:eastAsia="en-GB"/>
        </w:rPr>
        <w:t>SANPUD</w:t>
      </w:r>
      <w:r w:rsidR="00AF111D" w:rsidRPr="00D66B43">
        <w:rPr>
          <w:rFonts w:ascii="Open Sans" w:eastAsiaTheme="minorHAnsi" w:hAnsi="Open Sans" w:cs="Open Sans"/>
          <w:color w:val="000000" w:themeColor="text1"/>
          <w:sz w:val="20"/>
          <w:szCs w:val="20"/>
          <w:bdr w:val="none" w:sz="0" w:space="0" w:color="auto"/>
          <w:lang w:val="en-GB" w:eastAsia="en-GB"/>
        </w:rPr>
        <w:t>)</w:t>
      </w:r>
      <w:r w:rsidRPr="00D66B43">
        <w:rPr>
          <w:rFonts w:ascii="Open Sans" w:eastAsiaTheme="minorHAnsi" w:hAnsi="Open Sans" w:cs="Open Sans"/>
          <w:color w:val="000000" w:themeColor="text1"/>
          <w:sz w:val="20"/>
          <w:szCs w:val="20"/>
          <w:bdr w:val="none" w:sz="0" w:space="0" w:color="auto"/>
          <w:lang w:val="en-GB" w:eastAsia="en-GB"/>
        </w:rPr>
        <w:t xml:space="preserve"> in Durban, South Africa, in 2019 (</w:t>
      </w:r>
      <w:r w:rsidR="00435197" w:rsidRPr="00D66B43">
        <w:rPr>
          <w:rFonts w:ascii="Open Sans" w:eastAsiaTheme="minorHAnsi" w:hAnsi="Open Sans" w:cs="Open Sans"/>
          <w:color w:val="000000" w:themeColor="text1"/>
          <w:sz w:val="20"/>
          <w:szCs w:val="20"/>
          <w:bdr w:val="none" w:sz="0" w:space="0" w:color="auto"/>
          <w:lang w:val="en-GB" w:eastAsia="en-GB"/>
        </w:rPr>
        <w:t>to be published in early 2020</w:t>
      </w:r>
      <w:r w:rsidRPr="00D66B43">
        <w:rPr>
          <w:rFonts w:ascii="Open Sans" w:eastAsiaTheme="minorHAnsi" w:hAnsi="Open Sans" w:cs="Open Sans"/>
          <w:color w:val="000000" w:themeColor="text1"/>
          <w:sz w:val="20"/>
          <w:szCs w:val="20"/>
          <w:bdr w:val="none" w:sz="0" w:space="0" w:color="auto"/>
          <w:lang w:val="en-GB" w:eastAsia="en-GB"/>
        </w:rPr>
        <w:t xml:space="preserve">). The research revealed that women who use drugs in Durban experience violence, abuse, and discrimination, most acutely from law enforcement officers. These </w:t>
      </w:r>
      <w:r w:rsidR="00D66B43" w:rsidRPr="00D66B43">
        <w:rPr>
          <w:rFonts w:ascii="Open Sans" w:eastAsiaTheme="minorHAnsi" w:hAnsi="Open Sans" w:cs="Open Sans"/>
          <w:color w:val="000000" w:themeColor="text1"/>
          <w:sz w:val="20"/>
          <w:szCs w:val="20"/>
          <w:bdr w:val="none" w:sz="0" w:space="0" w:color="auto"/>
          <w:lang w:val="en-GB" w:eastAsia="en-GB"/>
        </w:rPr>
        <w:t xml:space="preserve">widespread and recurring </w:t>
      </w:r>
      <w:r w:rsidRPr="00D66B43">
        <w:rPr>
          <w:rFonts w:ascii="Open Sans" w:eastAsiaTheme="minorHAnsi" w:hAnsi="Open Sans" w:cs="Open Sans"/>
          <w:color w:val="000000" w:themeColor="text1"/>
          <w:sz w:val="20"/>
          <w:szCs w:val="20"/>
          <w:bdr w:val="none" w:sz="0" w:space="0" w:color="auto"/>
          <w:lang w:val="en-GB" w:eastAsia="en-GB"/>
        </w:rPr>
        <w:t xml:space="preserve">violations appear to be rooted in </w:t>
      </w:r>
      <w:r w:rsidR="008239A2" w:rsidRPr="00D66B43">
        <w:rPr>
          <w:rFonts w:ascii="Open Sans" w:eastAsiaTheme="minorHAnsi" w:hAnsi="Open Sans" w:cs="Open Sans"/>
          <w:color w:val="000000" w:themeColor="text1"/>
          <w:sz w:val="20"/>
          <w:szCs w:val="20"/>
          <w:bdr w:val="none" w:sz="0" w:space="0" w:color="auto"/>
          <w:lang w:val="en-GB" w:eastAsia="en-GB"/>
        </w:rPr>
        <w:t>the criminalisation of drugs</w:t>
      </w:r>
      <w:r w:rsidRPr="00D66B43">
        <w:rPr>
          <w:rFonts w:ascii="Open Sans" w:eastAsiaTheme="minorHAnsi" w:hAnsi="Open Sans" w:cs="Open Sans"/>
          <w:color w:val="000000" w:themeColor="text1"/>
          <w:sz w:val="20"/>
          <w:szCs w:val="20"/>
          <w:bdr w:val="none" w:sz="0" w:space="0" w:color="auto"/>
          <w:lang w:val="en-GB" w:eastAsia="en-GB"/>
        </w:rPr>
        <w:t>, and</w:t>
      </w:r>
      <w:r w:rsidR="008239A2" w:rsidRPr="00D66B43">
        <w:rPr>
          <w:rFonts w:ascii="Open Sans" w:eastAsiaTheme="minorHAnsi" w:hAnsi="Open Sans" w:cs="Open Sans"/>
          <w:color w:val="000000" w:themeColor="text1"/>
          <w:sz w:val="20"/>
          <w:szCs w:val="20"/>
          <w:bdr w:val="none" w:sz="0" w:space="0" w:color="auto"/>
          <w:lang w:val="en-GB" w:eastAsia="en-GB"/>
        </w:rPr>
        <w:t xml:space="preserve"> in the</w:t>
      </w:r>
      <w:r w:rsidRPr="00D66B43">
        <w:rPr>
          <w:rFonts w:ascii="Open Sans" w:eastAsiaTheme="minorHAnsi" w:hAnsi="Open Sans" w:cs="Open Sans"/>
          <w:color w:val="000000" w:themeColor="text1"/>
          <w:sz w:val="20"/>
          <w:szCs w:val="20"/>
          <w:bdr w:val="none" w:sz="0" w:space="0" w:color="auto"/>
          <w:lang w:val="en-GB" w:eastAsia="en-GB"/>
        </w:rPr>
        <w:t xml:space="preserve"> profound stigma </w:t>
      </w:r>
      <w:r w:rsidR="008239A2" w:rsidRPr="00D66B43">
        <w:rPr>
          <w:rFonts w:ascii="Open Sans" w:eastAsiaTheme="minorHAnsi" w:hAnsi="Open Sans" w:cs="Open Sans"/>
          <w:color w:val="000000" w:themeColor="text1"/>
          <w:sz w:val="20"/>
          <w:szCs w:val="20"/>
          <w:bdr w:val="none" w:sz="0" w:space="0" w:color="auto"/>
          <w:lang w:val="en-GB" w:eastAsia="en-GB"/>
        </w:rPr>
        <w:t xml:space="preserve">attached to drug use </w:t>
      </w:r>
      <w:r w:rsidRPr="00D66B43">
        <w:rPr>
          <w:rFonts w:ascii="Open Sans" w:eastAsiaTheme="minorHAnsi" w:hAnsi="Open Sans" w:cs="Open Sans"/>
          <w:color w:val="000000" w:themeColor="text1"/>
          <w:sz w:val="20"/>
          <w:szCs w:val="20"/>
          <w:bdr w:val="none" w:sz="0" w:space="0" w:color="auto"/>
          <w:lang w:val="en-GB" w:eastAsia="en-GB"/>
        </w:rPr>
        <w:t>(women</w:t>
      </w:r>
      <w:r w:rsidRPr="00D66B43">
        <w:rPr>
          <w:rFonts w:ascii="Open Sans" w:hAnsi="Open Sans" w:cs="Open Sans"/>
          <w:sz w:val="20"/>
          <w:szCs w:val="20"/>
        </w:rPr>
        <w:t xml:space="preserve"> systematically </w:t>
      </w:r>
      <w:r w:rsidR="00D66B43" w:rsidRPr="00D66B43">
        <w:rPr>
          <w:rFonts w:ascii="Open Sans" w:hAnsi="Open Sans" w:cs="Open Sans"/>
          <w:sz w:val="20"/>
          <w:szCs w:val="20"/>
        </w:rPr>
        <w:t>reported of</w:t>
      </w:r>
      <w:r w:rsidRPr="00D66B43">
        <w:rPr>
          <w:rFonts w:ascii="Open Sans" w:hAnsi="Open Sans" w:cs="Open Sans"/>
          <w:sz w:val="20"/>
          <w:szCs w:val="20"/>
        </w:rPr>
        <w:t xml:space="preserve"> being treated as ‘animals’, called ‘paras’ as shorthand for parasites, and seen by police and prison staff as ‘frogs’ or ‘cockroaches’).</w:t>
      </w:r>
    </w:p>
    <w:p w14:paraId="142515EE" w14:textId="77777777" w:rsidR="00BC5631" w:rsidRPr="00D66B43" w:rsidRDefault="00BC5631" w:rsidP="0070020A">
      <w:pPr>
        <w:jc w:val="both"/>
        <w:rPr>
          <w:rFonts w:ascii="Open Sans" w:hAnsi="Open Sans" w:cs="Open Sans"/>
          <w:color w:val="000000" w:themeColor="text1"/>
          <w:sz w:val="20"/>
          <w:szCs w:val="20"/>
        </w:rPr>
      </w:pPr>
    </w:p>
    <w:p w14:paraId="553B16F7" w14:textId="77777777" w:rsidR="00446E28" w:rsidRPr="00D66B43" w:rsidRDefault="00446E28" w:rsidP="0070020A">
      <w:pPr>
        <w:jc w:val="both"/>
        <w:rPr>
          <w:rFonts w:ascii="Open Sans" w:hAnsi="Open Sans" w:cs="Open Sans"/>
          <w:color w:val="000000" w:themeColor="text1"/>
          <w:sz w:val="20"/>
          <w:szCs w:val="20"/>
        </w:rPr>
      </w:pPr>
    </w:p>
    <w:p w14:paraId="5C8AC76D" w14:textId="77777777" w:rsidR="000E7BA0" w:rsidRPr="00D66B43" w:rsidRDefault="000E7BA0" w:rsidP="0070020A">
      <w:pPr>
        <w:jc w:val="both"/>
        <w:rPr>
          <w:rFonts w:ascii="Open Sans" w:hAnsi="Open Sans" w:cs="Open Sans"/>
          <w:b/>
          <w:color w:val="000000" w:themeColor="text1"/>
          <w:sz w:val="20"/>
          <w:szCs w:val="20"/>
        </w:rPr>
      </w:pPr>
    </w:p>
    <w:p w14:paraId="0F56E653" w14:textId="27A4C31F" w:rsidR="00582D3A" w:rsidRPr="00D66B43" w:rsidRDefault="00D66B43" w:rsidP="0070020A">
      <w:pPr>
        <w:jc w:val="both"/>
        <w:rPr>
          <w:rFonts w:ascii="Open Sans" w:hAnsi="Open Sans" w:cs="Open Sans"/>
          <w:b/>
          <w:color w:val="000000" w:themeColor="text1"/>
          <w:sz w:val="20"/>
          <w:szCs w:val="20"/>
        </w:rPr>
      </w:pPr>
      <w:r w:rsidRPr="00D66B43">
        <w:rPr>
          <w:rFonts w:ascii="Open Sans" w:hAnsi="Open Sans" w:cs="Open Sans"/>
          <w:b/>
          <w:color w:val="000000" w:themeColor="text1"/>
          <w:sz w:val="20"/>
          <w:szCs w:val="20"/>
        </w:rPr>
        <w:t xml:space="preserve">BACKGROUND: ABUSES AND DISCRIMINATION OF WOMEN WHO USE DRUGS </w:t>
      </w:r>
    </w:p>
    <w:p w14:paraId="4272EAEA" w14:textId="0D8BA06B" w:rsidR="0071679B" w:rsidRPr="00D66B43" w:rsidRDefault="0071679B" w:rsidP="0070020A">
      <w:pPr>
        <w:jc w:val="both"/>
        <w:rPr>
          <w:rFonts w:ascii="Open Sans" w:hAnsi="Open Sans" w:cs="Open Sans"/>
          <w:color w:val="000000" w:themeColor="text1"/>
          <w:sz w:val="20"/>
          <w:szCs w:val="20"/>
        </w:rPr>
      </w:pPr>
    </w:p>
    <w:p w14:paraId="5BFED7F5" w14:textId="3BBD2BBF" w:rsidR="000E7BA0" w:rsidRPr="00D66B43" w:rsidRDefault="0071679B" w:rsidP="0070020A">
      <w:pPr>
        <w:jc w:val="both"/>
        <w:rPr>
          <w:rFonts w:ascii="Open Sans" w:hAnsi="Open Sans" w:cs="Open Sans"/>
          <w:color w:val="000000" w:themeColor="text1"/>
          <w:sz w:val="20"/>
          <w:szCs w:val="20"/>
        </w:rPr>
      </w:pPr>
      <w:r w:rsidRPr="00D66B43">
        <w:rPr>
          <w:rFonts w:ascii="Open Sans" w:hAnsi="Open Sans" w:cs="Open Sans"/>
          <w:color w:val="000000" w:themeColor="text1"/>
          <w:sz w:val="20"/>
          <w:szCs w:val="20"/>
        </w:rPr>
        <w:t>There are an estimated 3.2 million women who inject drugs worldwide, constituting 20% of all people who inject drugs.</w:t>
      </w:r>
      <w:r w:rsidR="000E7BA0" w:rsidRPr="00D66B43">
        <w:rPr>
          <w:rStyle w:val="FootnoteReference"/>
          <w:rFonts w:ascii="Open Sans" w:hAnsi="Open Sans" w:cs="Open Sans"/>
          <w:color w:val="000000" w:themeColor="text1"/>
          <w:sz w:val="20"/>
          <w:szCs w:val="20"/>
        </w:rPr>
        <w:footnoteReference w:id="1"/>
      </w:r>
      <w:r w:rsidR="000E7BA0" w:rsidRPr="00D66B43">
        <w:rPr>
          <w:rFonts w:ascii="Open Sans" w:hAnsi="Open Sans" w:cs="Open Sans"/>
          <w:color w:val="000000" w:themeColor="text1"/>
          <w:sz w:val="20"/>
          <w:szCs w:val="20"/>
        </w:rPr>
        <w:t xml:space="preserve"> Accounting for the concealing effects of criminalisation, gender power imbalances and stigma, this number is likely to be an underestimate.</w:t>
      </w:r>
      <w:r w:rsidR="000E7BA0" w:rsidRPr="00D66B43">
        <w:rPr>
          <w:rStyle w:val="FootnoteReference"/>
          <w:rFonts w:ascii="Open Sans" w:hAnsi="Open Sans" w:cs="Open Sans"/>
          <w:color w:val="000000" w:themeColor="text1"/>
          <w:sz w:val="20"/>
          <w:szCs w:val="20"/>
        </w:rPr>
        <w:footnoteReference w:id="2"/>
      </w:r>
      <w:r w:rsidR="000E7BA0" w:rsidRPr="00D66B43">
        <w:rPr>
          <w:rFonts w:ascii="Open Sans" w:hAnsi="Open Sans" w:cs="Open Sans"/>
          <w:color w:val="000000" w:themeColor="text1"/>
          <w:sz w:val="20"/>
          <w:szCs w:val="20"/>
        </w:rPr>
        <w:t xml:space="preserve"> Women who use drugs face multiple and intersecting forms of discrimination on the basis of their sex and drug use. In many cases, they may be socioeconomically marginalised and have intersecting identities or belong to specific marginalised groups, such as women living with HIV/AIDS, sex workers, and/or undocumented migrants, further compounding the exclusion and inequality they face.</w:t>
      </w:r>
      <w:r w:rsidR="000E7BA0" w:rsidRPr="00D66B43">
        <w:rPr>
          <w:rStyle w:val="FootnoteReference"/>
          <w:rFonts w:ascii="Open Sans" w:hAnsi="Open Sans" w:cs="Open Sans"/>
          <w:color w:val="000000" w:themeColor="text1"/>
          <w:sz w:val="20"/>
          <w:szCs w:val="20"/>
        </w:rPr>
        <w:footnoteReference w:id="3"/>
      </w:r>
      <w:r w:rsidR="000E7BA0" w:rsidRPr="00D66B43">
        <w:rPr>
          <w:rFonts w:ascii="Open Sans" w:hAnsi="Open Sans" w:cs="Open Sans"/>
          <w:color w:val="000000" w:themeColor="text1"/>
          <w:sz w:val="20"/>
          <w:szCs w:val="20"/>
        </w:rPr>
        <w:t xml:space="preserve"> Their particular experience of marginalisation is partly due to the historic and systematic inequality between men and women, but also to dominant punitive and prohibitionist approaches to drug control, which have a disproportionate impact on women.</w:t>
      </w:r>
      <w:r w:rsidR="000E7BA0" w:rsidRPr="00D66B43">
        <w:rPr>
          <w:rStyle w:val="FootnoteReference"/>
          <w:rFonts w:ascii="Open Sans" w:hAnsi="Open Sans" w:cs="Open Sans"/>
          <w:color w:val="000000" w:themeColor="text1"/>
          <w:sz w:val="20"/>
          <w:szCs w:val="20"/>
        </w:rPr>
        <w:footnoteReference w:id="4"/>
      </w:r>
      <w:r w:rsidR="000E7BA0" w:rsidRPr="00D66B43">
        <w:rPr>
          <w:rFonts w:ascii="Open Sans" w:hAnsi="Open Sans" w:cs="Open Sans"/>
          <w:color w:val="000000" w:themeColor="text1"/>
          <w:sz w:val="20"/>
          <w:szCs w:val="20"/>
        </w:rPr>
        <w:t xml:space="preserve"> </w:t>
      </w:r>
    </w:p>
    <w:p w14:paraId="7F089444" w14:textId="77777777" w:rsidR="000E7BA0" w:rsidRPr="00D66B43" w:rsidRDefault="000E7BA0" w:rsidP="0070020A">
      <w:pPr>
        <w:jc w:val="both"/>
        <w:rPr>
          <w:rFonts w:ascii="Open Sans" w:hAnsi="Open Sans" w:cs="Open Sans"/>
          <w:color w:val="000000" w:themeColor="text1"/>
          <w:sz w:val="20"/>
          <w:szCs w:val="20"/>
        </w:rPr>
      </w:pPr>
    </w:p>
    <w:p w14:paraId="7418E1DE" w14:textId="1A851002" w:rsidR="000E7BA0" w:rsidRPr="00D66B43" w:rsidRDefault="000E7BA0" w:rsidP="0070020A">
      <w:pPr>
        <w:jc w:val="both"/>
        <w:rPr>
          <w:rFonts w:ascii="Open Sans" w:hAnsi="Open Sans" w:cs="Open Sans"/>
          <w:color w:val="000000" w:themeColor="text1"/>
          <w:sz w:val="20"/>
          <w:szCs w:val="20"/>
        </w:rPr>
      </w:pPr>
      <w:r w:rsidRPr="00D66B43">
        <w:rPr>
          <w:rFonts w:ascii="Open Sans" w:hAnsi="Open Sans" w:cs="Open Sans"/>
          <w:color w:val="000000" w:themeColor="text1"/>
          <w:sz w:val="20"/>
          <w:szCs w:val="20"/>
        </w:rPr>
        <w:t>The limited data that is available suggests that women who inject drugs are at greater risk of HIV and viral hepatitis acquisition than men who inject drugs.</w:t>
      </w:r>
      <w:r w:rsidRPr="00D66B43">
        <w:rPr>
          <w:rStyle w:val="FootnoteReference"/>
          <w:rFonts w:ascii="Open Sans" w:hAnsi="Open Sans" w:cs="Open Sans"/>
          <w:color w:val="000000" w:themeColor="text1"/>
          <w:sz w:val="20"/>
          <w:szCs w:val="20"/>
        </w:rPr>
        <w:footnoteReference w:id="5"/>
      </w:r>
      <w:r w:rsidRPr="00D66B43">
        <w:rPr>
          <w:rFonts w:ascii="Open Sans" w:hAnsi="Open Sans" w:cs="Open Sans"/>
          <w:color w:val="000000" w:themeColor="text1"/>
          <w:sz w:val="20"/>
          <w:szCs w:val="20"/>
        </w:rPr>
        <w:t xml:space="preserve"> This increased vulnerability is a product of a range of environmental, social</w:t>
      </w:r>
      <w:r w:rsidR="00BC5631" w:rsidRPr="00D66B43">
        <w:rPr>
          <w:rFonts w:ascii="Open Sans" w:hAnsi="Open Sans" w:cs="Open Sans"/>
          <w:color w:val="000000" w:themeColor="text1"/>
          <w:sz w:val="20"/>
          <w:szCs w:val="20"/>
        </w:rPr>
        <w:t>,</w:t>
      </w:r>
      <w:r w:rsidRPr="00D66B43">
        <w:rPr>
          <w:rFonts w:ascii="Open Sans" w:hAnsi="Open Sans" w:cs="Open Sans"/>
          <w:color w:val="000000" w:themeColor="text1"/>
          <w:sz w:val="20"/>
          <w:szCs w:val="20"/>
        </w:rPr>
        <w:t xml:space="preserve"> and individual factors affecting women, which also affect their ability to engage in health promoting services such as harm reduction.</w:t>
      </w:r>
    </w:p>
    <w:p w14:paraId="4CCF8A13" w14:textId="77777777" w:rsidR="000E7BA0" w:rsidRPr="00D66B43" w:rsidRDefault="000E7BA0" w:rsidP="0070020A">
      <w:pPr>
        <w:jc w:val="both"/>
        <w:rPr>
          <w:rFonts w:ascii="Open Sans" w:hAnsi="Open Sans" w:cs="Open Sans"/>
          <w:i/>
          <w:color w:val="000000" w:themeColor="text1"/>
          <w:sz w:val="20"/>
          <w:szCs w:val="20"/>
        </w:rPr>
      </w:pPr>
    </w:p>
    <w:p w14:paraId="2628E887" w14:textId="01311C7F" w:rsidR="00826247" w:rsidRDefault="00826247" w:rsidP="0070020A">
      <w:pPr>
        <w:jc w:val="both"/>
        <w:rPr>
          <w:rFonts w:ascii="Open Sans" w:hAnsi="Open Sans" w:cs="Open Sans"/>
          <w:i/>
          <w:color w:val="000000" w:themeColor="text1"/>
          <w:sz w:val="20"/>
          <w:szCs w:val="20"/>
        </w:rPr>
      </w:pPr>
    </w:p>
    <w:p w14:paraId="541EF759" w14:textId="156C76D3" w:rsidR="00960D2E" w:rsidRDefault="00960D2E" w:rsidP="0070020A">
      <w:pPr>
        <w:jc w:val="both"/>
        <w:rPr>
          <w:rFonts w:ascii="Open Sans" w:hAnsi="Open Sans" w:cs="Open Sans"/>
          <w:i/>
          <w:color w:val="000000" w:themeColor="text1"/>
          <w:sz w:val="20"/>
          <w:szCs w:val="20"/>
        </w:rPr>
      </w:pPr>
    </w:p>
    <w:p w14:paraId="7D173F56" w14:textId="3FC047B1" w:rsidR="00960D2E" w:rsidRDefault="00960D2E" w:rsidP="0070020A">
      <w:pPr>
        <w:jc w:val="both"/>
        <w:rPr>
          <w:rFonts w:ascii="Open Sans" w:hAnsi="Open Sans" w:cs="Open Sans"/>
          <w:i/>
          <w:color w:val="000000" w:themeColor="text1"/>
          <w:sz w:val="20"/>
          <w:szCs w:val="20"/>
        </w:rPr>
      </w:pPr>
    </w:p>
    <w:p w14:paraId="4E8B39C1" w14:textId="36E6675D" w:rsidR="00960D2E" w:rsidRDefault="00960D2E" w:rsidP="0070020A">
      <w:pPr>
        <w:jc w:val="both"/>
        <w:rPr>
          <w:rFonts w:ascii="Open Sans" w:hAnsi="Open Sans" w:cs="Open Sans"/>
          <w:i/>
          <w:color w:val="000000" w:themeColor="text1"/>
          <w:sz w:val="20"/>
          <w:szCs w:val="20"/>
        </w:rPr>
      </w:pPr>
    </w:p>
    <w:p w14:paraId="401834D9" w14:textId="579AE6A7" w:rsidR="00960D2E" w:rsidRDefault="00960D2E" w:rsidP="0070020A">
      <w:pPr>
        <w:jc w:val="both"/>
        <w:rPr>
          <w:rFonts w:ascii="Open Sans" w:hAnsi="Open Sans" w:cs="Open Sans"/>
          <w:i/>
          <w:color w:val="000000" w:themeColor="text1"/>
          <w:sz w:val="20"/>
          <w:szCs w:val="20"/>
        </w:rPr>
      </w:pPr>
    </w:p>
    <w:p w14:paraId="6C8F7FAA" w14:textId="77777777" w:rsidR="00960D2E" w:rsidRPr="00D66B43" w:rsidRDefault="00960D2E" w:rsidP="0070020A">
      <w:pPr>
        <w:jc w:val="both"/>
        <w:rPr>
          <w:rFonts w:ascii="Open Sans" w:hAnsi="Open Sans" w:cs="Open Sans"/>
          <w:i/>
          <w:color w:val="000000" w:themeColor="text1"/>
          <w:sz w:val="20"/>
          <w:szCs w:val="20"/>
        </w:rPr>
      </w:pPr>
    </w:p>
    <w:p w14:paraId="0F6CF7D4" w14:textId="77777777" w:rsidR="000E34D1" w:rsidRPr="00D66B43" w:rsidRDefault="000E34D1" w:rsidP="0070020A">
      <w:pPr>
        <w:jc w:val="both"/>
        <w:rPr>
          <w:rFonts w:ascii="Open Sans" w:hAnsi="Open Sans" w:cs="Open Sans"/>
          <w:i/>
          <w:color w:val="000000" w:themeColor="text1"/>
          <w:sz w:val="20"/>
          <w:szCs w:val="20"/>
        </w:rPr>
      </w:pPr>
    </w:p>
    <w:p w14:paraId="01530B76" w14:textId="5A31EDE5" w:rsidR="00715C70" w:rsidRPr="00D66B43" w:rsidRDefault="00D66B43" w:rsidP="0070020A">
      <w:pPr>
        <w:jc w:val="both"/>
        <w:rPr>
          <w:rFonts w:ascii="Open Sans" w:hAnsi="Open Sans" w:cs="Open Sans"/>
          <w:b/>
          <w:color w:val="000000" w:themeColor="text1"/>
          <w:sz w:val="20"/>
          <w:szCs w:val="20"/>
        </w:rPr>
      </w:pPr>
      <w:r w:rsidRPr="00D66B43">
        <w:rPr>
          <w:rFonts w:ascii="Open Sans" w:hAnsi="Open Sans" w:cs="Open Sans"/>
          <w:b/>
          <w:color w:val="000000" w:themeColor="text1"/>
          <w:sz w:val="20"/>
          <w:szCs w:val="20"/>
        </w:rPr>
        <w:t>VIOLATIONS OF THE RIGHTS OF WOMEN WHO USE DRUGS IN DURBAN</w:t>
      </w:r>
    </w:p>
    <w:p w14:paraId="4C6C0561" w14:textId="77777777" w:rsidR="000121BB" w:rsidRPr="00D66B43" w:rsidRDefault="000121BB" w:rsidP="00C77DDA">
      <w:pPr>
        <w:pBdr>
          <w:top w:val="none" w:sz="0" w:space="0" w:color="auto"/>
          <w:left w:val="none" w:sz="0" w:space="0" w:color="auto"/>
          <w:bottom w:val="none" w:sz="0" w:space="0" w:color="auto"/>
          <w:right w:val="none" w:sz="0" w:space="0" w:color="auto"/>
          <w:between w:val="none" w:sz="0" w:space="0" w:color="auto"/>
          <w:bar w:val="none" w:sz="0" w:color="auto"/>
        </w:pBdr>
        <w:rPr>
          <w:rFonts w:ascii="Open Sans" w:hAnsi="Open Sans" w:cs="Open Sans"/>
          <w:color w:val="000000" w:themeColor="text1"/>
          <w:sz w:val="20"/>
          <w:szCs w:val="20"/>
        </w:rPr>
      </w:pPr>
    </w:p>
    <w:p w14:paraId="3E451122" w14:textId="4EE02B6E" w:rsidR="00BC5631" w:rsidRPr="00D66B43" w:rsidRDefault="00D66B43" w:rsidP="00AF2497">
      <w:pPr>
        <w:jc w:val="both"/>
        <w:rPr>
          <w:rFonts w:ascii="Open Sans" w:hAnsi="Open Sans" w:cs="Open Sans"/>
          <w:b/>
          <w:bCs/>
          <w:iCs/>
          <w:color w:val="000000" w:themeColor="text1"/>
          <w:sz w:val="20"/>
          <w:szCs w:val="20"/>
        </w:rPr>
      </w:pPr>
      <w:r w:rsidRPr="00D66B43">
        <w:rPr>
          <w:rFonts w:ascii="Open Sans" w:hAnsi="Open Sans" w:cs="Open Sans"/>
          <w:b/>
          <w:bCs/>
          <w:sz w:val="20"/>
          <w:szCs w:val="20"/>
        </w:rPr>
        <w:t xml:space="preserve">1. </w:t>
      </w:r>
      <w:r w:rsidR="00BC5631" w:rsidRPr="00D66B43">
        <w:rPr>
          <w:rFonts w:ascii="Open Sans" w:hAnsi="Open Sans" w:cs="Open Sans"/>
          <w:b/>
          <w:bCs/>
          <w:iCs/>
          <w:color w:val="000000" w:themeColor="text1"/>
          <w:sz w:val="20"/>
          <w:szCs w:val="20"/>
        </w:rPr>
        <w:t xml:space="preserve">Law and policies that compound discrimination </w:t>
      </w:r>
      <w:r w:rsidRPr="00D66B43">
        <w:rPr>
          <w:rFonts w:ascii="Open Sans" w:hAnsi="Open Sans" w:cs="Open Sans"/>
          <w:b/>
          <w:bCs/>
          <w:iCs/>
          <w:color w:val="000000" w:themeColor="text1"/>
          <w:sz w:val="20"/>
          <w:szCs w:val="20"/>
        </w:rPr>
        <w:t>(Article 2 CEDAW)</w:t>
      </w:r>
    </w:p>
    <w:p w14:paraId="5AA3DC92" w14:textId="5257549C" w:rsidR="00BC5631" w:rsidRPr="00D66B43" w:rsidRDefault="00BC5631" w:rsidP="00AF2497">
      <w:pPr>
        <w:jc w:val="both"/>
        <w:rPr>
          <w:rFonts w:ascii="Open Sans" w:hAnsi="Open Sans" w:cs="Open Sans"/>
          <w:b/>
          <w:bCs/>
          <w:iCs/>
          <w:color w:val="000000" w:themeColor="text1"/>
          <w:sz w:val="20"/>
          <w:szCs w:val="20"/>
        </w:rPr>
      </w:pPr>
    </w:p>
    <w:p w14:paraId="7B55C207" w14:textId="4104BF97" w:rsidR="00BC5631" w:rsidRPr="00D66B43" w:rsidRDefault="00BC5631" w:rsidP="00AF2497">
      <w:pPr>
        <w:jc w:val="both"/>
        <w:rPr>
          <w:rFonts w:ascii="Open Sans" w:hAnsi="Open Sans" w:cs="Open Sans"/>
          <w:iCs/>
          <w:color w:val="000000" w:themeColor="text1"/>
          <w:sz w:val="20"/>
          <w:szCs w:val="20"/>
        </w:rPr>
      </w:pPr>
      <w:r w:rsidRPr="00D66B43">
        <w:rPr>
          <w:rFonts w:ascii="Open Sans" w:hAnsi="Open Sans" w:cs="Open Sans"/>
          <w:iCs/>
          <w:color w:val="000000" w:themeColor="text1"/>
          <w:sz w:val="20"/>
          <w:szCs w:val="20"/>
        </w:rPr>
        <w:lastRenderedPageBreak/>
        <w:t>Article 2 of the Convention on the Elimination of all forms o</w:t>
      </w:r>
      <w:r w:rsidR="005B11E1" w:rsidRPr="00D66B43">
        <w:rPr>
          <w:rFonts w:ascii="Open Sans" w:hAnsi="Open Sans" w:cs="Open Sans"/>
          <w:iCs/>
          <w:color w:val="000000" w:themeColor="text1"/>
          <w:sz w:val="20"/>
          <w:szCs w:val="20"/>
        </w:rPr>
        <w:t>f</w:t>
      </w:r>
      <w:r w:rsidRPr="00D66B43">
        <w:rPr>
          <w:rFonts w:ascii="Open Sans" w:hAnsi="Open Sans" w:cs="Open Sans"/>
          <w:iCs/>
          <w:color w:val="000000" w:themeColor="text1"/>
          <w:sz w:val="20"/>
          <w:szCs w:val="20"/>
        </w:rPr>
        <w:t xml:space="preserve"> Discrimination Against Women (CEDAW) mandates governments to take all relevant measures to tackle discrimination against women in all Its forms</w:t>
      </w:r>
      <w:r w:rsidR="00960D2E">
        <w:rPr>
          <w:rFonts w:ascii="Open Sans" w:hAnsi="Open Sans" w:cs="Open Sans"/>
          <w:iCs/>
          <w:color w:val="000000" w:themeColor="text1"/>
          <w:sz w:val="20"/>
          <w:szCs w:val="20"/>
        </w:rPr>
        <w:t>,</w:t>
      </w:r>
      <w:r w:rsidRPr="00D66B43">
        <w:rPr>
          <w:rFonts w:ascii="Open Sans" w:hAnsi="Open Sans" w:cs="Open Sans"/>
          <w:iCs/>
          <w:color w:val="000000" w:themeColor="text1"/>
          <w:sz w:val="20"/>
          <w:szCs w:val="20"/>
        </w:rPr>
        <w:t xml:space="preserve"> and pursue by all appropriate means a policy of eliminating discrimination against women. This requires addressing not only measures that are overtly discriminatory but also law</w:t>
      </w:r>
      <w:r w:rsidR="00960D2E">
        <w:rPr>
          <w:rFonts w:ascii="Open Sans" w:hAnsi="Open Sans" w:cs="Open Sans"/>
          <w:iCs/>
          <w:color w:val="000000" w:themeColor="text1"/>
          <w:sz w:val="20"/>
          <w:szCs w:val="20"/>
        </w:rPr>
        <w:t>s</w:t>
      </w:r>
      <w:r w:rsidRPr="00D66B43">
        <w:rPr>
          <w:rFonts w:ascii="Open Sans" w:hAnsi="Open Sans" w:cs="Open Sans"/>
          <w:iCs/>
          <w:color w:val="000000" w:themeColor="text1"/>
          <w:sz w:val="20"/>
          <w:szCs w:val="20"/>
        </w:rPr>
        <w:t xml:space="preserve"> and policies that, while ostensibly neutral, have the effect of discriminating – or e</w:t>
      </w:r>
      <w:r w:rsidR="00960D2E">
        <w:rPr>
          <w:rFonts w:ascii="Open Sans" w:hAnsi="Open Sans" w:cs="Open Sans"/>
          <w:iCs/>
          <w:color w:val="000000" w:themeColor="text1"/>
          <w:sz w:val="20"/>
          <w:szCs w:val="20"/>
        </w:rPr>
        <w:t>nabling discrimination, against</w:t>
      </w:r>
      <w:r w:rsidRPr="00D66B43">
        <w:rPr>
          <w:rFonts w:ascii="Open Sans" w:hAnsi="Open Sans" w:cs="Open Sans"/>
          <w:iCs/>
          <w:color w:val="000000" w:themeColor="text1"/>
          <w:sz w:val="20"/>
          <w:szCs w:val="20"/>
        </w:rPr>
        <w:t xml:space="preserve"> women.   </w:t>
      </w:r>
    </w:p>
    <w:p w14:paraId="0515CF7B" w14:textId="42FD9F18" w:rsidR="00BC5631" w:rsidRPr="00D66B43" w:rsidRDefault="00BC5631" w:rsidP="00AF2497">
      <w:pPr>
        <w:jc w:val="both"/>
        <w:rPr>
          <w:rFonts w:ascii="Open Sans" w:hAnsi="Open Sans" w:cs="Open Sans"/>
          <w:b/>
          <w:bCs/>
          <w:iCs/>
          <w:color w:val="000000" w:themeColor="text1"/>
          <w:sz w:val="20"/>
          <w:szCs w:val="20"/>
        </w:rPr>
      </w:pPr>
    </w:p>
    <w:p w14:paraId="16CD38C8" w14:textId="00B5781E" w:rsidR="004E33C2" w:rsidRPr="00D66B43" w:rsidRDefault="004E33C2" w:rsidP="00AF2497">
      <w:pPr>
        <w:jc w:val="both"/>
        <w:rPr>
          <w:rFonts w:ascii="Open Sans" w:hAnsi="Open Sans" w:cs="Open Sans"/>
          <w:b/>
          <w:bCs/>
          <w:iCs/>
          <w:color w:val="000000" w:themeColor="text1"/>
          <w:sz w:val="20"/>
          <w:szCs w:val="20"/>
        </w:rPr>
      </w:pPr>
    </w:p>
    <w:p w14:paraId="4CCDBE4F" w14:textId="51D4F037" w:rsidR="004E33C2" w:rsidRPr="00D66B43" w:rsidRDefault="00D66B43" w:rsidP="00AF2497">
      <w:pPr>
        <w:jc w:val="both"/>
        <w:rPr>
          <w:rFonts w:ascii="Open Sans" w:hAnsi="Open Sans" w:cs="Open Sans"/>
          <w:b/>
          <w:bCs/>
          <w:i/>
          <w:color w:val="000000" w:themeColor="text1"/>
          <w:sz w:val="20"/>
          <w:szCs w:val="20"/>
        </w:rPr>
      </w:pPr>
      <w:r w:rsidRPr="00D66B43">
        <w:rPr>
          <w:rFonts w:ascii="Open Sans" w:hAnsi="Open Sans" w:cs="Open Sans"/>
          <w:b/>
          <w:bCs/>
          <w:i/>
          <w:color w:val="000000" w:themeColor="text1"/>
          <w:sz w:val="20"/>
          <w:szCs w:val="20"/>
        </w:rPr>
        <w:t xml:space="preserve">1.1 </w:t>
      </w:r>
      <w:r w:rsidR="004E33C2" w:rsidRPr="00D66B43">
        <w:rPr>
          <w:rFonts w:ascii="Open Sans" w:hAnsi="Open Sans" w:cs="Open Sans"/>
          <w:b/>
          <w:bCs/>
          <w:i/>
          <w:color w:val="000000" w:themeColor="text1"/>
          <w:sz w:val="20"/>
          <w:szCs w:val="20"/>
        </w:rPr>
        <w:t>Criminalisation of drug use and possession for personal use as a discriminatory measure</w:t>
      </w:r>
    </w:p>
    <w:p w14:paraId="0A3B88D8" w14:textId="77777777" w:rsidR="004E33C2" w:rsidRPr="00D66B43" w:rsidRDefault="004E33C2" w:rsidP="004E33C2">
      <w:pPr>
        <w:jc w:val="both"/>
        <w:rPr>
          <w:rFonts w:ascii="Open Sans" w:hAnsi="Open Sans" w:cs="Open Sans"/>
          <w:i/>
          <w:color w:val="000000" w:themeColor="text1"/>
          <w:sz w:val="20"/>
          <w:szCs w:val="20"/>
        </w:rPr>
      </w:pPr>
    </w:p>
    <w:p w14:paraId="106873D4" w14:textId="77777777" w:rsidR="004E33C2" w:rsidRPr="00D66B43" w:rsidRDefault="004E33C2" w:rsidP="004E33C2">
      <w:pPr>
        <w:jc w:val="both"/>
        <w:rPr>
          <w:rFonts w:ascii="Open Sans" w:hAnsi="Open Sans" w:cs="Open Sans"/>
          <w:color w:val="000000" w:themeColor="text1"/>
          <w:sz w:val="20"/>
          <w:szCs w:val="20"/>
        </w:rPr>
      </w:pPr>
      <w:r w:rsidRPr="00D66B43">
        <w:rPr>
          <w:rFonts w:ascii="Open Sans" w:hAnsi="Open Sans" w:cs="Open Sans"/>
          <w:color w:val="000000" w:themeColor="text1"/>
          <w:sz w:val="20"/>
          <w:szCs w:val="20"/>
        </w:rPr>
        <w:t>Pursuant to the Drugs and Drug Trafficking Act (1992), drug use and possession are criminalised in South Africa, with no distinction between possession for use and possession of larger amounts for sale or trafficking. The Act also empowers police to search premises, vehicles and containers for illegal substances without a warrant if they have “reasonable grounds” to suspect an offence has been committed.</w:t>
      </w:r>
      <w:r w:rsidRPr="00D66B43">
        <w:rPr>
          <w:rStyle w:val="FootnoteReference"/>
          <w:rFonts w:ascii="Open Sans" w:hAnsi="Open Sans" w:cs="Open Sans"/>
          <w:color w:val="000000" w:themeColor="text1"/>
          <w:sz w:val="20"/>
          <w:szCs w:val="20"/>
        </w:rPr>
        <w:footnoteReference w:id="6"/>
      </w:r>
      <w:r w:rsidRPr="00D66B43">
        <w:rPr>
          <w:rFonts w:ascii="Open Sans" w:hAnsi="Open Sans" w:cs="Open Sans"/>
          <w:color w:val="000000" w:themeColor="text1"/>
          <w:sz w:val="20"/>
          <w:szCs w:val="20"/>
        </w:rPr>
        <w:t xml:space="preserve">  </w:t>
      </w:r>
    </w:p>
    <w:p w14:paraId="6124F27E" w14:textId="602F627A" w:rsidR="004E33C2" w:rsidRPr="00D66B43" w:rsidRDefault="004E33C2" w:rsidP="004E33C2">
      <w:pPr>
        <w:jc w:val="both"/>
        <w:rPr>
          <w:rFonts w:ascii="Open Sans" w:hAnsi="Open Sans" w:cs="Open Sans"/>
          <w:color w:val="000000" w:themeColor="text1"/>
          <w:sz w:val="20"/>
          <w:szCs w:val="20"/>
        </w:rPr>
      </w:pPr>
    </w:p>
    <w:p w14:paraId="73747E58" w14:textId="50343D87" w:rsidR="00B10BC7" w:rsidRPr="00D66B43" w:rsidRDefault="00B10BC7" w:rsidP="00B10BC7">
      <w:pPr>
        <w:jc w:val="both"/>
        <w:rPr>
          <w:rFonts w:ascii="Open Sans" w:hAnsi="Open Sans" w:cs="Open Sans"/>
          <w:sz w:val="20"/>
          <w:szCs w:val="20"/>
        </w:rPr>
      </w:pPr>
      <w:r w:rsidRPr="00D66B43">
        <w:rPr>
          <w:rFonts w:ascii="Open Sans" w:hAnsi="Open Sans" w:cs="Open Sans"/>
          <w:color w:val="000000" w:themeColor="text1"/>
          <w:sz w:val="20"/>
          <w:szCs w:val="20"/>
        </w:rPr>
        <w:t xml:space="preserve">Criminalisation fuels stigma, which in turns heightens discrimination and negatively impacts on the enjoyment of fundamental rights. Most notably, </w:t>
      </w:r>
      <w:r w:rsidRPr="00D66B43">
        <w:rPr>
          <w:rFonts w:ascii="Open Sans" w:hAnsi="Open Sans" w:cs="Open Sans"/>
          <w:sz w:val="20"/>
          <w:szCs w:val="20"/>
        </w:rPr>
        <w:t>stigma dissuades women from accessing health services, and can push women who use drugs into hidden and unsafe spaces.</w:t>
      </w:r>
    </w:p>
    <w:p w14:paraId="394C7382" w14:textId="7755C5D4" w:rsidR="00B10BC7" w:rsidRPr="00D66B43" w:rsidRDefault="00B10BC7" w:rsidP="004E33C2">
      <w:pPr>
        <w:jc w:val="both"/>
        <w:rPr>
          <w:rFonts w:ascii="Open Sans" w:hAnsi="Open Sans" w:cs="Open Sans"/>
          <w:color w:val="000000" w:themeColor="text1"/>
          <w:sz w:val="20"/>
          <w:szCs w:val="20"/>
        </w:rPr>
      </w:pPr>
    </w:p>
    <w:p w14:paraId="28FD73CD" w14:textId="5951C398" w:rsidR="00AF111D" w:rsidRPr="00D66B43" w:rsidRDefault="004E33C2" w:rsidP="004E33C2">
      <w:pPr>
        <w:jc w:val="both"/>
        <w:rPr>
          <w:rFonts w:ascii="Open Sans" w:hAnsi="Open Sans" w:cs="Open Sans"/>
          <w:color w:val="000000" w:themeColor="text1"/>
          <w:sz w:val="20"/>
          <w:szCs w:val="20"/>
        </w:rPr>
      </w:pPr>
      <w:r w:rsidRPr="00D66B43">
        <w:rPr>
          <w:rFonts w:ascii="Open Sans" w:hAnsi="Open Sans" w:cs="Open Sans"/>
          <w:sz w:val="20"/>
          <w:szCs w:val="20"/>
        </w:rPr>
        <w:t>Female sex workers who use drugs are subject to even greater stigma, and are more vulnerable to harmful consequences. These women are more likely t</w:t>
      </w:r>
      <w:r w:rsidR="008239A2" w:rsidRPr="00D66B43">
        <w:rPr>
          <w:rFonts w:ascii="Open Sans" w:hAnsi="Open Sans" w:cs="Open Sans"/>
          <w:sz w:val="20"/>
          <w:szCs w:val="20"/>
        </w:rPr>
        <w:t xml:space="preserve">o work in less safe conditions </w:t>
      </w:r>
      <w:r w:rsidRPr="00D66B43">
        <w:rPr>
          <w:rFonts w:ascii="Open Sans" w:hAnsi="Open Sans" w:cs="Open Sans"/>
          <w:sz w:val="20"/>
          <w:szCs w:val="20"/>
        </w:rPr>
        <w:t>than their colleagues who do not use drugs, and as a result are more likely to experience violence and higher-risk sex.</w:t>
      </w:r>
      <w:r w:rsidR="00AF111D" w:rsidRPr="00D66B43">
        <w:rPr>
          <w:rStyle w:val="FootnoteReference"/>
          <w:rFonts w:ascii="Open Sans" w:hAnsi="Open Sans" w:cs="Open Sans"/>
          <w:sz w:val="20"/>
          <w:szCs w:val="20"/>
        </w:rPr>
        <w:footnoteReference w:id="7"/>
      </w:r>
      <w:r w:rsidR="00AF111D" w:rsidRPr="00D66B43">
        <w:rPr>
          <w:rFonts w:ascii="Open Sans" w:hAnsi="Open Sans" w:cs="Open Sans"/>
          <w:sz w:val="20"/>
          <w:szCs w:val="20"/>
        </w:rPr>
        <w:t xml:space="preserve">  In some cases female sex workers face losing clients if their drug use is known, leading to a lack of engagement with harm reduction services.</w:t>
      </w:r>
      <w:r w:rsidR="00AF111D" w:rsidRPr="00D66B43">
        <w:rPr>
          <w:rStyle w:val="FootnoteReference"/>
          <w:rFonts w:ascii="Open Sans" w:hAnsi="Open Sans" w:cs="Open Sans"/>
          <w:sz w:val="20"/>
          <w:szCs w:val="20"/>
        </w:rPr>
        <w:footnoteReference w:id="8"/>
      </w:r>
    </w:p>
    <w:p w14:paraId="2B7B87F7" w14:textId="580635E4" w:rsidR="00AF111D" w:rsidRPr="00D66B43" w:rsidRDefault="00AF111D" w:rsidP="0070020A">
      <w:pPr>
        <w:jc w:val="both"/>
        <w:rPr>
          <w:rFonts w:ascii="Open Sans" w:hAnsi="Open Sans" w:cs="Open Sans"/>
          <w:color w:val="000000" w:themeColor="text1"/>
          <w:sz w:val="20"/>
          <w:szCs w:val="20"/>
        </w:rPr>
      </w:pPr>
    </w:p>
    <w:p w14:paraId="0DE80693" w14:textId="36E06531" w:rsidR="00AF111D" w:rsidRPr="00D66B43" w:rsidRDefault="00AF111D" w:rsidP="0070020A">
      <w:pPr>
        <w:jc w:val="both"/>
        <w:rPr>
          <w:rFonts w:ascii="Open Sans" w:hAnsi="Open Sans" w:cs="Open Sans"/>
          <w:i/>
          <w:color w:val="000000" w:themeColor="text1"/>
          <w:sz w:val="20"/>
          <w:szCs w:val="20"/>
        </w:rPr>
      </w:pPr>
    </w:p>
    <w:p w14:paraId="4F88C767" w14:textId="1700585B" w:rsidR="00AF111D" w:rsidRPr="00D66B43" w:rsidRDefault="00D66B43" w:rsidP="000E34D1">
      <w:pPr>
        <w:jc w:val="both"/>
        <w:rPr>
          <w:rFonts w:ascii="Open Sans" w:hAnsi="Open Sans" w:cs="Open Sans"/>
          <w:b/>
          <w:bCs/>
          <w:i/>
          <w:color w:val="000000" w:themeColor="text1"/>
          <w:sz w:val="20"/>
          <w:szCs w:val="20"/>
        </w:rPr>
      </w:pPr>
      <w:r w:rsidRPr="00D66B43">
        <w:rPr>
          <w:rFonts w:ascii="Open Sans" w:hAnsi="Open Sans" w:cs="Open Sans"/>
          <w:b/>
          <w:bCs/>
          <w:i/>
          <w:color w:val="000000" w:themeColor="text1"/>
          <w:sz w:val="20"/>
          <w:szCs w:val="20"/>
        </w:rPr>
        <w:t xml:space="preserve">1.2. </w:t>
      </w:r>
      <w:r w:rsidR="00AF111D" w:rsidRPr="00D66B43">
        <w:rPr>
          <w:rFonts w:ascii="Open Sans" w:hAnsi="Open Sans" w:cs="Open Sans"/>
          <w:b/>
          <w:bCs/>
          <w:i/>
          <w:color w:val="000000" w:themeColor="text1"/>
          <w:sz w:val="20"/>
          <w:szCs w:val="20"/>
        </w:rPr>
        <w:t xml:space="preserve">Discrimination by public authorities </w:t>
      </w:r>
    </w:p>
    <w:p w14:paraId="2CC47ECA" w14:textId="77777777" w:rsidR="00AF111D" w:rsidRPr="00D66B43" w:rsidRDefault="00AF111D" w:rsidP="000E34D1">
      <w:pPr>
        <w:jc w:val="both"/>
        <w:rPr>
          <w:rFonts w:ascii="Open Sans" w:hAnsi="Open Sans" w:cs="Open Sans"/>
          <w:b/>
          <w:bCs/>
          <w:i/>
          <w:color w:val="000000" w:themeColor="text1"/>
          <w:sz w:val="20"/>
          <w:szCs w:val="20"/>
        </w:rPr>
      </w:pPr>
    </w:p>
    <w:p w14:paraId="5CA01891" w14:textId="534874A0" w:rsidR="00AF111D" w:rsidRPr="00D66B43" w:rsidRDefault="00D66B43" w:rsidP="000E34D1">
      <w:pPr>
        <w:jc w:val="both"/>
        <w:rPr>
          <w:rFonts w:ascii="Open Sans" w:hAnsi="Open Sans" w:cs="Open Sans"/>
          <w:i/>
          <w:color w:val="000000" w:themeColor="text1"/>
          <w:sz w:val="20"/>
          <w:szCs w:val="20"/>
        </w:rPr>
      </w:pPr>
      <w:r w:rsidRPr="00D66B43">
        <w:rPr>
          <w:rFonts w:ascii="Open Sans" w:hAnsi="Open Sans" w:cs="Open Sans"/>
          <w:i/>
          <w:color w:val="000000" w:themeColor="text1"/>
          <w:sz w:val="20"/>
          <w:szCs w:val="20"/>
        </w:rPr>
        <w:t xml:space="preserve">1.2.a. </w:t>
      </w:r>
      <w:r w:rsidR="00AF111D" w:rsidRPr="00D66B43">
        <w:rPr>
          <w:rFonts w:ascii="Open Sans" w:hAnsi="Open Sans" w:cs="Open Sans"/>
          <w:i/>
          <w:color w:val="000000" w:themeColor="text1"/>
          <w:sz w:val="20"/>
          <w:szCs w:val="20"/>
        </w:rPr>
        <w:t>Background</w:t>
      </w:r>
    </w:p>
    <w:p w14:paraId="20B69A0C" w14:textId="77777777" w:rsidR="00AF111D" w:rsidRPr="00D66B43" w:rsidRDefault="00AF111D" w:rsidP="000E34D1">
      <w:pPr>
        <w:jc w:val="both"/>
        <w:rPr>
          <w:rFonts w:ascii="Open Sans" w:hAnsi="Open Sans" w:cs="Open Sans"/>
          <w:i/>
          <w:color w:val="000000" w:themeColor="text1"/>
          <w:sz w:val="20"/>
          <w:szCs w:val="20"/>
        </w:rPr>
      </w:pPr>
    </w:p>
    <w:p w14:paraId="12D851C3" w14:textId="5C92ED18" w:rsidR="00AF111D" w:rsidRPr="00D66B43" w:rsidRDefault="00AF111D" w:rsidP="000E34D1">
      <w:pPr>
        <w:jc w:val="both"/>
        <w:rPr>
          <w:rFonts w:ascii="Open Sans" w:hAnsi="Open Sans" w:cs="Open Sans"/>
          <w:color w:val="000000" w:themeColor="text1"/>
          <w:sz w:val="20"/>
          <w:szCs w:val="20"/>
        </w:rPr>
      </w:pPr>
      <w:r w:rsidRPr="00D66B43">
        <w:rPr>
          <w:rFonts w:ascii="Open Sans" w:hAnsi="Open Sans" w:cs="Open Sans"/>
          <w:color w:val="000000" w:themeColor="text1"/>
          <w:sz w:val="20"/>
          <w:szCs w:val="20"/>
        </w:rPr>
        <w:t>The criminalisation of drug use drives greater interactions between women who use drugs and law enforcement agencies and officers. Drug use is also exploited by police officers as justification for abuse, with aggressive policing techniques that include arresting women for carrying injection or smoking equipment, planting drugs, harassment, soliciting bribes, sexual abuse</w:t>
      </w:r>
      <w:r w:rsidR="00960D2E">
        <w:rPr>
          <w:rFonts w:ascii="Open Sans" w:hAnsi="Open Sans" w:cs="Open Sans"/>
          <w:color w:val="000000" w:themeColor="text1"/>
          <w:sz w:val="20"/>
          <w:szCs w:val="20"/>
        </w:rPr>
        <w:t>,</w:t>
      </w:r>
      <w:r w:rsidRPr="00D66B43">
        <w:rPr>
          <w:rFonts w:ascii="Open Sans" w:hAnsi="Open Sans" w:cs="Open Sans"/>
          <w:color w:val="000000" w:themeColor="text1"/>
          <w:sz w:val="20"/>
          <w:szCs w:val="20"/>
        </w:rPr>
        <w:t xml:space="preserve"> and violence.</w:t>
      </w:r>
      <w:r w:rsidRPr="00D66B43">
        <w:rPr>
          <w:rStyle w:val="FootnoteReference"/>
          <w:rFonts w:ascii="Open Sans" w:hAnsi="Open Sans" w:cs="Open Sans"/>
          <w:color w:val="000000" w:themeColor="text1"/>
          <w:sz w:val="20"/>
          <w:szCs w:val="20"/>
        </w:rPr>
        <w:footnoteReference w:id="9"/>
      </w:r>
      <w:r w:rsidRPr="00D66B43">
        <w:rPr>
          <w:rFonts w:ascii="Open Sans" w:hAnsi="Open Sans" w:cs="Open Sans"/>
          <w:color w:val="000000" w:themeColor="text1"/>
          <w:sz w:val="20"/>
          <w:szCs w:val="20"/>
        </w:rPr>
        <w:t xml:space="preserve"> By giving police licence to arrest and threaten women who use drugs, criminalisation pushes women into more hidden spaces in order to avoid such interaction.</w:t>
      </w:r>
      <w:r w:rsidRPr="00D66B43">
        <w:rPr>
          <w:rStyle w:val="FootnoteReference"/>
          <w:rFonts w:ascii="Open Sans" w:hAnsi="Open Sans" w:cs="Open Sans"/>
          <w:color w:val="000000" w:themeColor="text1"/>
          <w:sz w:val="20"/>
          <w:szCs w:val="20"/>
        </w:rPr>
        <w:footnoteReference w:id="10"/>
      </w:r>
      <w:r w:rsidRPr="00D66B43">
        <w:rPr>
          <w:rFonts w:ascii="Open Sans" w:hAnsi="Open Sans" w:cs="Open Sans"/>
          <w:color w:val="000000" w:themeColor="text1"/>
          <w:sz w:val="20"/>
          <w:szCs w:val="20"/>
        </w:rPr>
        <w:t xml:space="preserve"> Accordingly, research finds that women who use drugs, and particularly female sex workers who use drugs, face harassment and violence at the hands of police.</w:t>
      </w:r>
      <w:r w:rsidRPr="00D66B43">
        <w:rPr>
          <w:rStyle w:val="FootnoteReference"/>
          <w:rFonts w:ascii="Open Sans" w:hAnsi="Open Sans" w:cs="Open Sans"/>
          <w:color w:val="000000" w:themeColor="text1"/>
          <w:sz w:val="20"/>
          <w:szCs w:val="20"/>
        </w:rPr>
        <w:footnoteReference w:id="11"/>
      </w:r>
      <w:r w:rsidRPr="00D66B43">
        <w:rPr>
          <w:rFonts w:ascii="Open Sans" w:hAnsi="Open Sans" w:cs="Open Sans"/>
          <w:color w:val="000000" w:themeColor="text1"/>
          <w:sz w:val="20"/>
          <w:szCs w:val="20"/>
        </w:rPr>
        <w:t xml:space="preserve"> This also has a direct impact on their ability and willingness to access harm reduction services, or to be reached by outreach teams.</w:t>
      </w:r>
      <w:r w:rsidRPr="00D66B43">
        <w:rPr>
          <w:rStyle w:val="FootnoteReference"/>
          <w:rFonts w:ascii="Open Sans" w:hAnsi="Open Sans" w:cs="Open Sans"/>
          <w:color w:val="000000" w:themeColor="text1"/>
          <w:sz w:val="20"/>
          <w:szCs w:val="20"/>
        </w:rPr>
        <w:footnoteReference w:id="12"/>
      </w:r>
    </w:p>
    <w:p w14:paraId="3973DBBA" w14:textId="77777777" w:rsidR="00AF111D" w:rsidRPr="00D66B43" w:rsidRDefault="00AF111D" w:rsidP="000E34D1">
      <w:pPr>
        <w:jc w:val="both"/>
        <w:rPr>
          <w:rFonts w:ascii="Open Sans" w:hAnsi="Open Sans" w:cs="Open Sans"/>
          <w:iCs/>
          <w:color w:val="000000" w:themeColor="text1"/>
          <w:sz w:val="20"/>
          <w:szCs w:val="20"/>
        </w:rPr>
      </w:pPr>
    </w:p>
    <w:p w14:paraId="5E01C303" w14:textId="1AD893D9" w:rsidR="00AF111D" w:rsidRPr="00D66B43" w:rsidRDefault="00D66B43" w:rsidP="000E34D1">
      <w:pPr>
        <w:jc w:val="both"/>
        <w:rPr>
          <w:rFonts w:ascii="Open Sans" w:hAnsi="Open Sans" w:cs="Open Sans"/>
          <w:i/>
          <w:color w:val="000000" w:themeColor="text1"/>
          <w:sz w:val="20"/>
          <w:szCs w:val="20"/>
        </w:rPr>
      </w:pPr>
      <w:r w:rsidRPr="00D66B43">
        <w:rPr>
          <w:rFonts w:ascii="Open Sans" w:hAnsi="Open Sans" w:cs="Open Sans"/>
          <w:i/>
          <w:color w:val="000000" w:themeColor="text1"/>
          <w:sz w:val="20"/>
          <w:szCs w:val="20"/>
        </w:rPr>
        <w:t xml:space="preserve">1.2.b </w:t>
      </w:r>
      <w:r w:rsidR="00AF111D" w:rsidRPr="00D66B43">
        <w:rPr>
          <w:rFonts w:ascii="Open Sans" w:hAnsi="Open Sans" w:cs="Open Sans"/>
          <w:i/>
          <w:color w:val="000000" w:themeColor="text1"/>
          <w:sz w:val="20"/>
          <w:szCs w:val="20"/>
        </w:rPr>
        <w:t>Violation of fundamental rights of women who use drugs in South Africa from law enforcement</w:t>
      </w:r>
    </w:p>
    <w:p w14:paraId="6E0579B8" w14:textId="01002AAA" w:rsidR="00AF111D" w:rsidRPr="00D66B43" w:rsidRDefault="00AF111D" w:rsidP="000E34D1">
      <w:pPr>
        <w:jc w:val="both"/>
        <w:rPr>
          <w:rFonts w:ascii="Open Sans" w:hAnsi="Open Sans" w:cs="Open Sans"/>
          <w:i/>
          <w:color w:val="000000" w:themeColor="text1"/>
          <w:sz w:val="20"/>
          <w:szCs w:val="20"/>
        </w:rPr>
      </w:pPr>
    </w:p>
    <w:p w14:paraId="7E716304" w14:textId="7954A3D4" w:rsidR="00AF111D" w:rsidRPr="00D66B43" w:rsidRDefault="00AF111D" w:rsidP="000E34D1">
      <w:pPr>
        <w:jc w:val="both"/>
        <w:rPr>
          <w:rFonts w:ascii="Open Sans" w:hAnsi="Open Sans" w:cs="Open Sans"/>
          <w:iCs/>
          <w:color w:val="000000" w:themeColor="text1"/>
          <w:sz w:val="20"/>
          <w:szCs w:val="20"/>
        </w:rPr>
      </w:pPr>
      <w:r w:rsidRPr="00D66B43">
        <w:rPr>
          <w:rFonts w:ascii="Open Sans" w:hAnsi="Open Sans" w:cs="Open Sans"/>
          <w:iCs/>
          <w:color w:val="000000" w:themeColor="text1"/>
          <w:sz w:val="20"/>
          <w:szCs w:val="20"/>
        </w:rPr>
        <w:t>Women who use drugs in Durban denounce abuse, discrimination, and physical and psychological violence by law enforcement. Among others, they report:</w:t>
      </w:r>
    </w:p>
    <w:p w14:paraId="6482CC6D" w14:textId="7F0D20C8" w:rsidR="00AF111D" w:rsidRPr="00D66B43" w:rsidRDefault="00AF111D" w:rsidP="000E34D1">
      <w:pPr>
        <w:jc w:val="both"/>
        <w:rPr>
          <w:rFonts w:ascii="Open Sans" w:hAnsi="Open Sans" w:cs="Open Sans"/>
          <w:iCs/>
          <w:color w:val="000000" w:themeColor="text1"/>
          <w:sz w:val="20"/>
          <w:szCs w:val="20"/>
        </w:rPr>
      </w:pPr>
    </w:p>
    <w:p w14:paraId="262AEDFD" w14:textId="41F7F9BB" w:rsidR="00AF111D" w:rsidRPr="00D66B43" w:rsidRDefault="00AF111D" w:rsidP="0057467C">
      <w:pPr>
        <w:pStyle w:val="ListParagraph"/>
        <w:numPr>
          <w:ilvl w:val="0"/>
          <w:numId w:val="7"/>
        </w:numPr>
        <w:jc w:val="both"/>
        <w:rPr>
          <w:rFonts w:ascii="Open Sans" w:hAnsi="Open Sans" w:cs="Open Sans"/>
          <w:sz w:val="20"/>
          <w:szCs w:val="20"/>
        </w:rPr>
      </w:pPr>
      <w:r w:rsidRPr="00D66B43">
        <w:rPr>
          <w:rFonts w:ascii="Open Sans" w:hAnsi="Open Sans" w:cs="Open Sans"/>
          <w:iCs/>
          <w:color w:val="000000" w:themeColor="text1"/>
          <w:sz w:val="20"/>
          <w:szCs w:val="20"/>
        </w:rPr>
        <w:t>Widespread stigma and dehumanisation:</w:t>
      </w:r>
      <w:r w:rsidR="00960D2E">
        <w:rPr>
          <w:rFonts w:ascii="Open Sans" w:hAnsi="Open Sans" w:cs="Open Sans"/>
          <w:iCs/>
          <w:color w:val="000000" w:themeColor="text1"/>
          <w:sz w:val="20"/>
          <w:szCs w:val="20"/>
        </w:rPr>
        <w:t xml:space="preserve"> </w:t>
      </w:r>
      <w:r w:rsidRPr="00D66B43">
        <w:rPr>
          <w:rFonts w:ascii="Open Sans" w:hAnsi="Open Sans" w:cs="Open Sans"/>
          <w:iCs/>
          <w:color w:val="000000" w:themeColor="text1"/>
          <w:sz w:val="20"/>
          <w:szCs w:val="20"/>
        </w:rPr>
        <w:t xml:space="preserve"> “</w:t>
      </w:r>
      <w:r w:rsidRPr="00D66B43">
        <w:rPr>
          <w:rFonts w:ascii="Open Sans" w:hAnsi="Open Sans" w:cs="Open Sans"/>
          <w:sz w:val="20"/>
          <w:szCs w:val="20"/>
        </w:rPr>
        <w:t>We are used to being treated like animals,” said one woman of the treatment she and her peers received at the hands of police.</w:t>
      </w:r>
    </w:p>
    <w:p w14:paraId="7CA99746" w14:textId="77777777" w:rsidR="00AF111D" w:rsidRPr="00D66B43" w:rsidRDefault="00AF111D" w:rsidP="00333177">
      <w:pPr>
        <w:pStyle w:val="ListParagraph"/>
        <w:jc w:val="both"/>
        <w:rPr>
          <w:rFonts w:ascii="Open Sans" w:hAnsi="Open Sans" w:cs="Open Sans"/>
          <w:sz w:val="20"/>
          <w:szCs w:val="20"/>
        </w:rPr>
      </w:pPr>
    </w:p>
    <w:p w14:paraId="7FC8076D" w14:textId="65BA32BC" w:rsidR="00AF111D" w:rsidRPr="00D66B43" w:rsidRDefault="00AF111D" w:rsidP="0057467C">
      <w:pPr>
        <w:pStyle w:val="ListParagraph"/>
        <w:numPr>
          <w:ilvl w:val="0"/>
          <w:numId w:val="7"/>
        </w:numPr>
        <w:jc w:val="both"/>
        <w:rPr>
          <w:rFonts w:ascii="Open Sans" w:hAnsi="Open Sans" w:cs="Open Sans"/>
          <w:iCs/>
          <w:color w:val="000000" w:themeColor="text1"/>
          <w:sz w:val="20"/>
          <w:szCs w:val="20"/>
        </w:rPr>
      </w:pPr>
      <w:r w:rsidRPr="00D66B43">
        <w:rPr>
          <w:rFonts w:ascii="Open Sans" w:hAnsi="Open Sans" w:cs="Open Sans"/>
          <w:iCs/>
          <w:color w:val="000000" w:themeColor="text1"/>
          <w:sz w:val="20"/>
          <w:szCs w:val="20"/>
        </w:rPr>
        <w:t>Lack of protection and discrimination: Police officers systematically refuse to investigate reports of violence and abuse received by women who use drugs (“</w:t>
      </w:r>
      <w:r w:rsidRPr="00D66B43">
        <w:rPr>
          <w:rFonts w:ascii="Open Sans" w:hAnsi="Open Sans" w:cs="Open Sans"/>
          <w:sz w:val="20"/>
          <w:szCs w:val="20"/>
        </w:rPr>
        <w:t>You can’t go to the police. They will never help you. Even if someone is hurting you. […] They will shake hands with the person who is hurting you.”). Women engaged in sex work are in a particular vulnerable position; insomuch that abuse by law enforcement is explained away as a natural consequence of their work, and they describe being ignored or prevented from denouncing abuses against them. Such entrenched stigma is not only a violation of the right to effective remedy, but it also dissuades them from reporting crimes, increasing their vulnerability to violence and ill-health.</w:t>
      </w:r>
    </w:p>
    <w:p w14:paraId="09586402" w14:textId="35A2402D" w:rsidR="00AF111D" w:rsidRPr="00D66B43" w:rsidRDefault="00AF111D" w:rsidP="000E34D1">
      <w:pPr>
        <w:jc w:val="both"/>
        <w:rPr>
          <w:rFonts w:ascii="Open Sans" w:hAnsi="Open Sans" w:cs="Open Sans"/>
          <w:iCs/>
          <w:color w:val="000000" w:themeColor="text1"/>
          <w:sz w:val="20"/>
          <w:szCs w:val="20"/>
        </w:rPr>
      </w:pPr>
    </w:p>
    <w:p w14:paraId="34777242" w14:textId="34E20217" w:rsidR="00AF111D" w:rsidRPr="00D66B43" w:rsidRDefault="00AF111D" w:rsidP="000E34D1">
      <w:pPr>
        <w:pStyle w:val="ListParagraph"/>
        <w:numPr>
          <w:ilvl w:val="0"/>
          <w:numId w:val="7"/>
        </w:numPr>
        <w:jc w:val="both"/>
        <w:rPr>
          <w:rFonts w:ascii="Open Sans" w:hAnsi="Open Sans" w:cs="Open Sans"/>
          <w:iCs/>
          <w:color w:val="000000" w:themeColor="text1"/>
          <w:sz w:val="20"/>
          <w:szCs w:val="20"/>
        </w:rPr>
      </w:pPr>
      <w:r w:rsidRPr="00D66B43">
        <w:rPr>
          <w:rFonts w:ascii="Open Sans" w:hAnsi="Open Sans" w:cs="Open Sans"/>
          <w:iCs/>
          <w:color w:val="000000" w:themeColor="text1"/>
          <w:sz w:val="20"/>
          <w:szCs w:val="20"/>
        </w:rPr>
        <w:t xml:space="preserve">Arbitrary arrest and detention: Women who use drugs in Durban consistently reported being illegally searched, arrested, and detained without charge often for months, or following planting of illicit substances as evidence to justify arrests.  </w:t>
      </w:r>
    </w:p>
    <w:p w14:paraId="676BD630" w14:textId="77777777" w:rsidR="00AF111D" w:rsidRPr="00D66B43" w:rsidRDefault="00AF111D" w:rsidP="005B1129">
      <w:pPr>
        <w:pStyle w:val="ListParagraph"/>
        <w:rPr>
          <w:rFonts w:ascii="Open Sans" w:hAnsi="Open Sans" w:cs="Open Sans"/>
          <w:iCs/>
          <w:color w:val="000000" w:themeColor="text1"/>
          <w:sz w:val="20"/>
          <w:szCs w:val="20"/>
        </w:rPr>
      </w:pPr>
    </w:p>
    <w:p w14:paraId="0F245A61" w14:textId="333AB39E" w:rsidR="00AF111D" w:rsidRPr="00D66B43" w:rsidRDefault="00AF111D" w:rsidP="00A667C3">
      <w:pPr>
        <w:pStyle w:val="ListParagraph"/>
        <w:numPr>
          <w:ilvl w:val="0"/>
          <w:numId w:val="7"/>
        </w:numPr>
        <w:jc w:val="both"/>
        <w:rPr>
          <w:rFonts w:ascii="Open Sans" w:hAnsi="Open Sans" w:cs="Open Sans"/>
          <w:sz w:val="20"/>
          <w:szCs w:val="20"/>
        </w:rPr>
      </w:pPr>
      <w:r w:rsidRPr="00D66B43">
        <w:rPr>
          <w:rFonts w:ascii="Open Sans" w:hAnsi="Open Sans" w:cs="Open Sans"/>
          <w:iCs/>
          <w:color w:val="000000" w:themeColor="text1"/>
          <w:sz w:val="20"/>
          <w:szCs w:val="20"/>
        </w:rPr>
        <w:t>Widespread physical and psychological violence:</w:t>
      </w:r>
      <w:r w:rsidRPr="00D66B43">
        <w:rPr>
          <w:rFonts w:ascii="Open Sans" w:hAnsi="Open Sans" w:cs="Open Sans"/>
          <w:sz w:val="20"/>
          <w:szCs w:val="20"/>
        </w:rPr>
        <w:t xml:space="preserve"> Violence experienced by women who use drugs is frequently sexual in nature, in some cases as part of an effort to humiliate and degrade them; this includes denigratory and unnecessary strip searches – including in private parts – sometimes in groups and in the presence of male officers. This goes in direct contrast with the Mandela Rules</w:t>
      </w:r>
      <w:r w:rsidR="00960D2E">
        <w:rPr>
          <w:rFonts w:ascii="Open Sans" w:hAnsi="Open Sans" w:cs="Open Sans"/>
          <w:sz w:val="20"/>
          <w:szCs w:val="20"/>
        </w:rPr>
        <w:t>, according to which</w:t>
      </w:r>
      <w:r w:rsidRPr="00D66B43">
        <w:rPr>
          <w:rFonts w:ascii="Open Sans" w:hAnsi="Open Sans" w:cs="Open Sans"/>
          <w:sz w:val="20"/>
          <w:szCs w:val="20"/>
        </w:rPr>
        <w:t xml:space="preserve"> prisoners are entitled to be searched in private by properly trained, respectful staff of their own gender. Women also reported being threatened and exploited for sex, and being arrested and/or beaten if they refuse assaults (an officer told one woman, ‘If you don’t like to be arrested, let’s go and book a place and have sex. Then I’ll take you out.’) </w:t>
      </w:r>
    </w:p>
    <w:p w14:paraId="0FCFC0BB" w14:textId="470656A4" w:rsidR="00AF111D" w:rsidRPr="00D66B43" w:rsidRDefault="00AF111D" w:rsidP="0070020A">
      <w:pPr>
        <w:jc w:val="both"/>
        <w:rPr>
          <w:rFonts w:ascii="Open Sans" w:hAnsi="Open Sans" w:cs="Open Sans"/>
          <w:i/>
          <w:color w:val="000000" w:themeColor="text1"/>
          <w:sz w:val="20"/>
          <w:szCs w:val="20"/>
        </w:rPr>
      </w:pPr>
    </w:p>
    <w:p w14:paraId="597BA1D2" w14:textId="77777777" w:rsidR="00AF111D" w:rsidRPr="00D66B43" w:rsidRDefault="00AF111D" w:rsidP="0070020A">
      <w:pPr>
        <w:jc w:val="both"/>
        <w:rPr>
          <w:rFonts w:ascii="Open Sans" w:hAnsi="Open Sans" w:cs="Open Sans"/>
          <w:i/>
          <w:color w:val="000000" w:themeColor="text1"/>
          <w:sz w:val="20"/>
          <w:szCs w:val="20"/>
        </w:rPr>
      </w:pPr>
    </w:p>
    <w:p w14:paraId="3109A241" w14:textId="6FE23DD8" w:rsidR="00AF111D" w:rsidRPr="00D66B43" w:rsidRDefault="00D66B43" w:rsidP="0070020A">
      <w:pPr>
        <w:jc w:val="both"/>
        <w:rPr>
          <w:rFonts w:ascii="Open Sans" w:hAnsi="Open Sans" w:cs="Open Sans"/>
          <w:b/>
          <w:bCs/>
          <w:iCs/>
          <w:color w:val="000000" w:themeColor="text1"/>
          <w:sz w:val="20"/>
          <w:szCs w:val="20"/>
        </w:rPr>
      </w:pPr>
      <w:r w:rsidRPr="00D66B43">
        <w:rPr>
          <w:rFonts w:ascii="Open Sans" w:hAnsi="Open Sans" w:cs="Open Sans"/>
          <w:b/>
          <w:bCs/>
          <w:iCs/>
          <w:color w:val="000000" w:themeColor="text1"/>
          <w:sz w:val="20"/>
          <w:szCs w:val="20"/>
        </w:rPr>
        <w:t>2.</w:t>
      </w:r>
      <w:r w:rsidR="00AF111D" w:rsidRPr="00D66B43">
        <w:rPr>
          <w:rFonts w:ascii="Open Sans" w:hAnsi="Open Sans" w:cs="Open Sans"/>
          <w:b/>
          <w:bCs/>
          <w:iCs/>
          <w:color w:val="000000" w:themeColor="text1"/>
          <w:sz w:val="20"/>
          <w:szCs w:val="20"/>
        </w:rPr>
        <w:t xml:space="preserve"> Discrimi</w:t>
      </w:r>
      <w:r w:rsidRPr="00D66B43">
        <w:rPr>
          <w:rFonts w:ascii="Open Sans" w:hAnsi="Open Sans" w:cs="Open Sans"/>
          <w:b/>
          <w:bCs/>
          <w:iCs/>
          <w:color w:val="000000" w:themeColor="text1"/>
          <w:sz w:val="20"/>
          <w:szCs w:val="20"/>
        </w:rPr>
        <w:t>nation in the field of health (A</w:t>
      </w:r>
      <w:r w:rsidR="00AF111D" w:rsidRPr="00D66B43">
        <w:rPr>
          <w:rFonts w:ascii="Open Sans" w:hAnsi="Open Sans" w:cs="Open Sans"/>
          <w:b/>
          <w:bCs/>
          <w:iCs/>
          <w:color w:val="000000" w:themeColor="text1"/>
          <w:sz w:val="20"/>
          <w:szCs w:val="20"/>
        </w:rPr>
        <w:t>rticle 12</w:t>
      </w:r>
      <w:r w:rsidRPr="00D66B43">
        <w:rPr>
          <w:rFonts w:ascii="Open Sans" w:hAnsi="Open Sans" w:cs="Open Sans"/>
          <w:b/>
          <w:bCs/>
          <w:iCs/>
          <w:color w:val="000000" w:themeColor="text1"/>
          <w:sz w:val="20"/>
          <w:szCs w:val="20"/>
        </w:rPr>
        <w:t xml:space="preserve"> CEDAW</w:t>
      </w:r>
      <w:r w:rsidR="00AF111D" w:rsidRPr="00D66B43">
        <w:rPr>
          <w:rFonts w:ascii="Open Sans" w:hAnsi="Open Sans" w:cs="Open Sans"/>
          <w:b/>
          <w:bCs/>
          <w:iCs/>
          <w:color w:val="000000" w:themeColor="text1"/>
          <w:sz w:val="20"/>
          <w:szCs w:val="20"/>
        </w:rPr>
        <w:t>)</w:t>
      </w:r>
    </w:p>
    <w:p w14:paraId="23EA92A8" w14:textId="43E41DB1" w:rsidR="00AF111D" w:rsidRPr="00D66B43" w:rsidRDefault="00AF111D" w:rsidP="0070020A">
      <w:pPr>
        <w:jc w:val="both"/>
        <w:rPr>
          <w:rFonts w:ascii="Open Sans" w:hAnsi="Open Sans" w:cs="Open Sans"/>
          <w:b/>
          <w:bCs/>
          <w:i/>
          <w:color w:val="000000" w:themeColor="text1"/>
          <w:sz w:val="20"/>
          <w:szCs w:val="20"/>
        </w:rPr>
      </w:pPr>
    </w:p>
    <w:p w14:paraId="2153E386" w14:textId="0872CC8A" w:rsidR="00AF111D" w:rsidRPr="00D66B43" w:rsidRDefault="00AF111D" w:rsidP="0070020A">
      <w:pPr>
        <w:jc w:val="both"/>
        <w:rPr>
          <w:rFonts w:ascii="Open Sans" w:hAnsi="Open Sans" w:cs="Open Sans"/>
          <w:iCs/>
          <w:color w:val="000000" w:themeColor="text1"/>
          <w:sz w:val="20"/>
          <w:szCs w:val="20"/>
        </w:rPr>
      </w:pPr>
      <w:r w:rsidRPr="00D66B43">
        <w:rPr>
          <w:rFonts w:ascii="Open Sans" w:hAnsi="Open Sans" w:cs="Open Sans"/>
          <w:iCs/>
          <w:color w:val="000000" w:themeColor="text1"/>
          <w:sz w:val="20"/>
          <w:szCs w:val="20"/>
        </w:rPr>
        <w:t>Article 12 CEDAW requires all state parties to take all necessary measures to “</w:t>
      </w:r>
      <w:r w:rsidRPr="00D66B43">
        <w:rPr>
          <w:rFonts w:ascii="Open Sans" w:hAnsi="Open Sans" w:cs="Open Sans"/>
          <w:color w:val="000000" w:themeColor="text1"/>
          <w:sz w:val="20"/>
          <w:szCs w:val="20"/>
          <w:shd w:val="clear" w:color="auto" w:fill="FFFFFF"/>
        </w:rPr>
        <w:t xml:space="preserve">eliminate discrimination against women in the field of health care in order to ensure, on a basis of equality of men and women, access to health care services”. General Recommendation no. 24 by this Committee stressed the need for particular attention to women belonging to vulnerable and </w:t>
      </w:r>
      <w:r w:rsidR="00960D2E">
        <w:rPr>
          <w:rFonts w:ascii="Open Sans" w:hAnsi="Open Sans" w:cs="Open Sans"/>
          <w:color w:val="000000" w:themeColor="text1"/>
          <w:sz w:val="20"/>
          <w:szCs w:val="20"/>
          <w:shd w:val="clear" w:color="auto" w:fill="FFFFFF"/>
        </w:rPr>
        <w:t>marginalis</w:t>
      </w:r>
      <w:r w:rsidRPr="00D66B43">
        <w:rPr>
          <w:rFonts w:ascii="Open Sans" w:hAnsi="Open Sans" w:cs="Open Sans"/>
          <w:color w:val="000000" w:themeColor="text1"/>
          <w:sz w:val="20"/>
          <w:szCs w:val="20"/>
          <w:shd w:val="clear" w:color="auto" w:fill="FFFFFF"/>
        </w:rPr>
        <w:t>ed groups; and clarified that from this right also descend an obligation to refrain from obstructing women’s pursuit of their health goals.</w:t>
      </w:r>
      <w:r w:rsidRPr="00D66B43">
        <w:rPr>
          <w:rStyle w:val="FootnoteReference"/>
          <w:rFonts w:ascii="Open Sans" w:hAnsi="Open Sans" w:cs="Open Sans"/>
          <w:color w:val="000000" w:themeColor="text1"/>
          <w:sz w:val="20"/>
          <w:szCs w:val="20"/>
          <w:shd w:val="clear" w:color="auto" w:fill="FFFFFF"/>
        </w:rPr>
        <w:footnoteReference w:id="13"/>
      </w:r>
    </w:p>
    <w:p w14:paraId="527C86C5" w14:textId="77777777" w:rsidR="00AF111D" w:rsidRPr="00D66B43" w:rsidRDefault="00AF111D" w:rsidP="0070020A">
      <w:pPr>
        <w:jc w:val="both"/>
        <w:rPr>
          <w:rFonts w:ascii="Open Sans" w:hAnsi="Open Sans" w:cs="Open Sans"/>
          <w:b/>
          <w:bCs/>
          <w:iCs/>
          <w:color w:val="000000" w:themeColor="text1"/>
          <w:sz w:val="20"/>
          <w:szCs w:val="20"/>
        </w:rPr>
      </w:pPr>
    </w:p>
    <w:p w14:paraId="66883F4D" w14:textId="2E7306DD" w:rsidR="00AF111D" w:rsidRPr="00D66B43" w:rsidRDefault="00D66B43" w:rsidP="000E34D1">
      <w:pPr>
        <w:jc w:val="both"/>
        <w:rPr>
          <w:rFonts w:ascii="Open Sans" w:hAnsi="Open Sans" w:cs="Open Sans"/>
          <w:b/>
          <w:bCs/>
          <w:i/>
          <w:color w:val="000000" w:themeColor="text1"/>
          <w:sz w:val="20"/>
          <w:szCs w:val="20"/>
        </w:rPr>
      </w:pPr>
      <w:r w:rsidRPr="00D66B43">
        <w:rPr>
          <w:rFonts w:ascii="Open Sans" w:hAnsi="Open Sans" w:cs="Open Sans"/>
          <w:b/>
          <w:bCs/>
          <w:i/>
          <w:color w:val="000000" w:themeColor="text1"/>
          <w:sz w:val="20"/>
          <w:szCs w:val="20"/>
        </w:rPr>
        <w:t xml:space="preserve">2.1. </w:t>
      </w:r>
      <w:r w:rsidR="00AF111D" w:rsidRPr="00D66B43">
        <w:rPr>
          <w:rFonts w:ascii="Open Sans" w:hAnsi="Open Sans" w:cs="Open Sans"/>
          <w:b/>
          <w:bCs/>
          <w:i/>
          <w:color w:val="000000" w:themeColor="text1"/>
          <w:sz w:val="20"/>
          <w:szCs w:val="20"/>
        </w:rPr>
        <w:t>Background: Harm reduction as a fundamental component of the right to health</w:t>
      </w:r>
    </w:p>
    <w:p w14:paraId="13F15DE5" w14:textId="77777777" w:rsidR="00AF111D" w:rsidRPr="00D66B43" w:rsidRDefault="00AF111D" w:rsidP="000E34D1">
      <w:pPr>
        <w:pStyle w:val="NoSpacing"/>
        <w:jc w:val="both"/>
        <w:rPr>
          <w:rFonts w:ascii="Open Sans" w:hAnsi="Open Sans" w:cs="Open Sans"/>
          <w:color w:val="000000" w:themeColor="text1"/>
          <w:sz w:val="20"/>
          <w:szCs w:val="20"/>
          <w:lang w:val="en-GB"/>
        </w:rPr>
      </w:pPr>
    </w:p>
    <w:p w14:paraId="1023C2C1" w14:textId="55DF4F83" w:rsidR="00AF111D" w:rsidRPr="00D66B43" w:rsidRDefault="00AF111D" w:rsidP="000E34D1">
      <w:pPr>
        <w:jc w:val="both"/>
        <w:rPr>
          <w:rFonts w:ascii="Open Sans" w:hAnsi="Open Sans" w:cs="Open Sans"/>
          <w:color w:val="000000" w:themeColor="text1"/>
          <w:sz w:val="20"/>
          <w:szCs w:val="20"/>
          <w:lang w:val="en-GB"/>
        </w:rPr>
      </w:pPr>
      <w:r w:rsidRPr="00D66B43">
        <w:rPr>
          <w:rFonts w:ascii="Open Sans" w:hAnsi="Open Sans" w:cs="Open Sans"/>
          <w:color w:val="000000" w:themeColor="text1"/>
          <w:sz w:val="20"/>
          <w:szCs w:val="20"/>
          <w:lang w:val="en-GB"/>
        </w:rPr>
        <w:t>Harm reduction has been recognised as a fundamental component of the right to health, as well as of the right of everyone to enjoy the benefits of scientific progress.</w:t>
      </w:r>
      <w:r w:rsidRPr="00D66B43">
        <w:rPr>
          <w:rStyle w:val="FootnoteReference"/>
          <w:rFonts w:ascii="Open Sans" w:hAnsi="Open Sans" w:cs="Open Sans"/>
          <w:color w:val="000000" w:themeColor="text1"/>
          <w:sz w:val="20"/>
          <w:szCs w:val="20"/>
        </w:rPr>
        <w:footnoteReference w:id="14"/>
      </w:r>
      <w:r w:rsidRPr="00D66B43">
        <w:rPr>
          <w:rFonts w:ascii="Open Sans" w:hAnsi="Open Sans" w:cs="Open Sans"/>
          <w:color w:val="000000" w:themeColor="text1"/>
          <w:sz w:val="20"/>
          <w:szCs w:val="20"/>
          <w:lang w:val="en-GB"/>
        </w:rPr>
        <w:t xml:space="preserve"> Harm reduction has been explicitly endorsed as </w:t>
      </w:r>
      <w:r w:rsidR="00960D2E">
        <w:rPr>
          <w:rFonts w:ascii="Open Sans" w:hAnsi="Open Sans" w:cs="Open Sans"/>
          <w:color w:val="000000" w:themeColor="text1"/>
          <w:sz w:val="20"/>
          <w:szCs w:val="20"/>
          <w:lang w:val="en-GB"/>
        </w:rPr>
        <w:t>a</w:t>
      </w:r>
      <w:r w:rsidRPr="00D66B43">
        <w:rPr>
          <w:rFonts w:ascii="Open Sans" w:hAnsi="Open Sans" w:cs="Open Sans"/>
          <w:color w:val="000000" w:themeColor="text1"/>
          <w:sz w:val="20"/>
          <w:szCs w:val="20"/>
          <w:lang w:val="en-GB"/>
        </w:rPr>
        <w:t>n essential measure for people who use drugs on numerous occasions by this Committee,</w:t>
      </w:r>
      <w:r w:rsidRPr="00D66B43">
        <w:rPr>
          <w:rStyle w:val="FootnoteReference"/>
          <w:rFonts w:ascii="Open Sans" w:hAnsi="Open Sans" w:cs="Open Sans"/>
          <w:color w:val="000000" w:themeColor="text1"/>
          <w:sz w:val="20"/>
          <w:szCs w:val="20"/>
        </w:rPr>
        <w:footnoteReference w:id="15"/>
      </w:r>
      <w:r w:rsidRPr="00D66B43">
        <w:rPr>
          <w:rFonts w:ascii="Open Sans" w:hAnsi="Open Sans" w:cs="Open Sans"/>
          <w:color w:val="000000" w:themeColor="text1"/>
          <w:sz w:val="20"/>
          <w:szCs w:val="20"/>
          <w:lang w:val="en-GB"/>
        </w:rPr>
        <w:t xml:space="preserve"> the Committee on Economic, Social and Cultural Rights,</w:t>
      </w:r>
      <w:r w:rsidRPr="00D66B43">
        <w:rPr>
          <w:rStyle w:val="FootnoteReference"/>
          <w:rFonts w:ascii="Open Sans" w:hAnsi="Open Sans" w:cs="Open Sans"/>
          <w:color w:val="000000" w:themeColor="text1"/>
          <w:sz w:val="20"/>
          <w:szCs w:val="20"/>
        </w:rPr>
        <w:footnoteReference w:id="16"/>
      </w:r>
      <w:r w:rsidRPr="00D66B43">
        <w:rPr>
          <w:rFonts w:ascii="Open Sans" w:hAnsi="Open Sans" w:cs="Open Sans"/>
          <w:color w:val="000000" w:themeColor="text1"/>
          <w:sz w:val="20"/>
          <w:szCs w:val="20"/>
          <w:lang w:val="en-GB"/>
        </w:rPr>
        <w:t xml:space="preserve"> the UN General Assembly,</w:t>
      </w:r>
      <w:r w:rsidRPr="00D66B43">
        <w:rPr>
          <w:rStyle w:val="FootnoteReference"/>
          <w:rFonts w:ascii="Open Sans" w:hAnsi="Open Sans" w:cs="Open Sans"/>
          <w:color w:val="000000" w:themeColor="text1"/>
          <w:sz w:val="20"/>
          <w:szCs w:val="20"/>
        </w:rPr>
        <w:footnoteReference w:id="17"/>
      </w:r>
      <w:r w:rsidRPr="00D66B43">
        <w:rPr>
          <w:rFonts w:ascii="Open Sans" w:hAnsi="Open Sans" w:cs="Open Sans"/>
          <w:color w:val="000000" w:themeColor="text1"/>
          <w:sz w:val="20"/>
          <w:szCs w:val="20"/>
          <w:lang w:val="en-GB"/>
        </w:rPr>
        <w:t xml:space="preserve"> the Human Rights Council,</w:t>
      </w:r>
      <w:r w:rsidRPr="00D66B43">
        <w:rPr>
          <w:rStyle w:val="FootnoteReference"/>
          <w:rFonts w:ascii="Open Sans" w:hAnsi="Open Sans" w:cs="Open Sans"/>
          <w:color w:val="000000" w:themeColor="text1"/>
          <w:sz w:val="20"/>
          <w:szCs w:val="20"/>
        </w:rPr>
        <w:footnoteReference w:id="18"/>
      </w:r>
      <w:r w:rsidRPr="00D66B43">
        <w:rPr>
          <w:rFonts w:ascii="Open Sans" w:hAnsi="Open Sans" w:cs="Open Sans"/>
          <w:color w:val="000000" w:themeColor="text1"/>
          <w:sz w:val="20"/>
          <w:szCs w:val="20"/>
          <w:lang w:val="en-GB"/>
        </w:rPr>
        <w:t xml:space="preserve"> the Committee on the Rights of the Child,</w:t>
      </w:r>
      <w:r w:rsidRPr="00D66B43">
        <w:rPr>
          <w:rStyle w:val="FootnoteReference"/>
          <w:rFonts w:ascii="Open Sans" w:hAnsi="Open Sans" w:cs="Open Sans"/>
          <w:color w:val="000000" w:themeColor="text1"/>
          <w:sz w:val="20"/>
          <w:szCs w:val="20"/>
        </w:rPr>
        <w:footnoteReference w:id="19"/>
      </w:r>
      <w:r w:rsidRPr="00D66B43">
        <w:rPr>
          <w:rFonts w:ascii="Open Sans" w:hAnsi="Open Sans" w:cs="Open Sans"/>
          <w:color w:val="000000" w:themeColor="text1"/>
          <w:sz w:val="20"/>
          <w:szCs w:val="20"/>
          <w:lang w:val="en-GB"/>
        </w:rPr>
        <w:t xml:space="preserve"> the Special Rapporteur on the right of everyone to the enjoyment of the highest attainable standard of physical and mental health,</w:t>
      </w:r>
      <w:r w:rsidRPr="00D66B43">
        <w:rPr>
          <w:rStyle w:val="FootnoteReference"/>
          <w:rFonts w:ascii="Open Sans" w:hAnsi="Open Sans" w:cs="Open Sans"/>
          <w:color w:val="000000" w:themeColor="text1"/>
          <w:sz w:val="20"/>
          <w:szCs w:val="20"/>
        </w:rPr>
        <w:footnoteReference w:id="20"/>
      </w:r>
      <w:r w:rsidRPr="00D66B43">
        <w:rPr>
          <w:rFonts w:ascii="Open Sans" w:hAnsi="Open Sans" w:cs="Open Sans"/>
          <w:color w:val="000000" w:themeColor="text1"/>
          <w:sz w:val="20"/>
          <w:szCs w:val="20"/>
          <w:lang w:val="en-GB"/>
        </w:rPr>
        <w:t xml:space="preserve"> and the Special Rapporteur on torture and other cruel, inhuman or degrading treatment or punishment.</w:t>
      </w:r>
      <w:r w:rsidRPr="00D66B43">
        <w:rPr>
          <w:rStyle w:val="FootnoteReference"/>
          <w:rFonts w:ascii="Open Sans" w:hAnsi="Open Sans" w:cs="Open Sans"/>
          <w:color w:val="000000" w:themeColor="text1"/>
          <w:sz w:val="20"/>
          <w:szCs w:val="20"/>
        </w:rPr>
        <w:footnoteReference w:id="21"/>
      </w:r>
    </w:p>
    <w:p w14:paraId="46F32221" w14:textId="77777777" w:rsidR="00AF111D" w:rsidRPr="00D66B43" w:rsidRDefault="00AF111D" w:rsidP="000E34D1">
      <w:pPr>
        <w:pStyle w:val="ListParagraph"/>
        <w:jc w:val="both"/>
        <w:rPr>
          <w:rFonts w:ascii="Open Sans" w:hAnsi="Open Sans" w:cs="Open Sans"/>
          <w:color w:val="000000" w:themeColor="text1"/>
          <w:sz w:val="20"/>
          <w:szCs w:val="20"/>
          <w:lang w:val="en-GB"/>
        </w:rPr>
      </w:pPr>
    </w:p>
    <w:p w14:paraId="787138C8" w14:textId="77777777" w:rsidR="00AF111D" w:rsidRPr="00D66B43" w:rsidRDefault="00AF111D" w:rsidP="000E34D1">
      <w:pPr>
        <w:jc w:val="both"/>
        <w:rPr>
          <w:rFonts w:ascii="Open Sans" w:hAnsi="Open Sans" w:cs="Open Sans"/>
          <w:color w:val="000000" w:themeColor="text1"/>
          <w:sz w:val="20"/>
          <w:szCs w:val="20"/>
          <w:lang w:val="en-GB"/>
        </w:rPr>
      </w:pPr>
      <w:r w:rsidRPr="00D66B43">
        <w:rPr>
          <w:rFonts w:ascii="Open Sans" w:hAnsi="Open Sans" w:cs="Open Sans"/>
          <w:color w:val="000000" w:themeColor="text1"/>
          <w:sz w:val="20"/>
          <w:szCs w:val="20"/>
          <w:lang w:val="en-GB"/>
        </w:rPr>
        <w:t>The World Health Organization (WHO), UNAIDS and UNODC recognise Needle and Syringe Programs (NSPs) and Opioid Substitution Therapy (OST) as key components of an effective HIV and viral hepatitis response for injecting drug use.</w:t>
      </w:r>
      <w:r w:rsidRPr="00D66B43">
        <w:rPr>
          <w:rFonts w:ascii="Open Sans" w:hAnsi="Open Sans" w:cs="Open Sans"/>
          <w:color w:val="000000" w:themeColor="text1"/>
          <w:sz w:val="20"/>
          <w:szCs w:val="20"/>
          <w:vertAlign w:val="superscript"/>
        </w:rPr>
        <w:footnoteReference w:id="22"/>
      </w:r>
      <w:r w:rsidRPr="00D66B43">
        <w:rPr>
          <w:rFonts w:ascii="Open Sans" w:hAnsi="Open Sans" w:cs="Open Sans"/>
          <w:color w:val="000000" w:themeColor="text1"/>
          <w:sz w:val="20"/>
          <w:szCs w:val="20"/>
          <w:lang w:val="en-GB"/>
        </w:rPr>
        <w:t xml:space="preserve"> These interventions have also been endorsed by the UN General Assembly,</w:t>
      </w:r>
      <w:r w:rsidRPr="00D66B43">
        <w:rPr>
          <w:rStyle w:val="FootnoteReference"/>
          <w:rFonts w:ascii="Open Sans" w:hAnsi="Open Sans" w:cs="Open Sans"/>
          <w:color w:val="000000" w:themeColor="text1"/>
          <w:sz w:val="20"/>
          <w:szCs w:val="20"/>
        </w:rPr>
        <w:footnoteReference w:id="23"/>
      </w:r>
      <w:r w:rsidRPr="00D66B43">
        <w:rPr>
          <w:rFonts w:ascii="Open Sans" w:hAnsi="Open Sans" w:cs="Open Sans"/>
          <w:color w:val="000000" w:themeColor="text1"/>
          <w:sz w:val="20"/>
          <w:szCs w:val="20"/>
          <w:lang w:val="en-GB"/>
        </w:rPr>
        <w:t xml:space="preserve"> the Economic and Social Council,</w:t>
      </w:r>
      <w:r w:rsidRPr="00D66B43">
        <w:rPr>
          <w:rFonts w:ascii="Open Sans" w:hAnsi="Open Sans" w:cs="Open Sans"/>
          <w:color w:val="000000" w:themeColor="text1"/>
          <w:sz w:val="20"/>
          <w:szCs w:val="20"/>
          <w:vertAlign w:val="superscript"/>
        </w:rPr>
        <w:footnoteReference w:id="24"/>
      </w:r>
      <w:r w:rsidRPr="00D66B43">
        <w:rPr>
          <w:rFonts w:ascii="Open Sans" w:hAnsi="Open Sans" w:cs="Open Sans"/>
          <w:color w:val="000000" w:themeColor="text1"/>
          <w:sz w:val="20"/>
          <w:szCs w:val="20"/>
          <w:lang w:val="en-GB"/>
        </w:rPr>
        <w:t xml:space="preserve"> and the Commission on Narcotic Drugs (CND). The CND has highlighted the importance of these interventions to meet SDG targets to end AIDS and tuberculosis, and combat hepatitis by 2030.</w:t>
      </w:r>
      <w:r w:rsidRPr="00D66B43">
        <w:rPr>
          <w:rFonts w:ascii="Open Sans" w:hAnsi="Open Sans" w:cs="Open Sans"/>
          <w:color w:val="000000" w:themeColor="text1"/>
          <w:sz w:val="20"/>
          <w:szCs w:val="20"/>
          <w:vertAlign w:val="superscript"/>
        </w:rPr>
        <w:footnoteReference w:id="25"/>
      </w:r>
      <w:r w:rsidRPr="00D66B43">
        <w:rPr>
          <w:rFonts w:ascii="Open Sans" w:hAnsi="Open Sans" w:cs="Open Sans"/>
          <w:color w:val="000000" w:themeColor="text1"/>
          <w:sz w:val="20"/>
          <w:szCs w:val="20"/>
          <w:lang w:val="en-GB"/>
        </w:rPr>
        <w:t xml:space="preserve"> </w:t>
      </w:r>
    </w:p>
    <w:p w14:paraId="2A9C46F8" w14:textId="77777777" w:rsidR="00AF111D" w:rsidRPr="00D66B43" w:rsidRDefault="00AF111D" w:rsidP="000E34D1">
      <w:pPr>
        <w:jc w:val="both"/>
        <w:rPr>
          <w:rFonts w:ascii="Open Sans" w:hAnsi="Open Sans" w:cs="Open Sans"/>
          <w:color w:val="000000" w:themeColor="text1"/>
          <w:sz w:val="20"/>
          <w:szCs w:val="20"/>
          <w:lang w:val="en-GB"/>
        </w:rPr>
      </w:pPr>
    </w:p>
    <w:p w14:paraId="1EE59858" w14:textId="7710C583" w:rsidR="00AF111D" w:rsidRPr="00D66B43" w:rsidRDefault="00AF111D" w:rsidP="000E34D1">
      <w:pPr>
        <w:jc w:val="both"/>
        <w:rPr>
          <w:rFonts w:ascii="Open Sans" w:hAnsi="Open Sans" w:cs="Open Sans"/>
          <w:color w:val="000000" w:themeColor="text1"/>
          <w:sz w:val="20"/>
          <w:szCs w:val="20"/>
        </w:rPr>
      </w:pPr>
      <w:r w:rsidRPr="00D66B43">
        <w:rPr>
          <w:rFonts w:ascii="Open Sans" w:hAnsi="Open Sans" w:cs="Open Sans"/>
          <w:color w:val="000000" w:themeColor="text1"/>
          <w:sz w:val="20"/>
          <w:szCs w:val="20"/>
        </w:rPr>
        <w:t>More broadly, harm reduction is linked not only to commodities to address HIV and other infectious diseases. It encompasses a range of social services and conditions, the most fundamental of which is respect for the human rights of people who use drugs. It seeks not only to reduce the harms of drug use itself, but also of drug laws and drug policy. As such, harm reduction also includes the provision of housing, psychosocial support and employment initiatives, as well as advocating for alternatives to criminal sanctions for people who use drugs.</w:t>
      </w:r>
      <w:r w:rsidRPr="00D66B43">
        <w:rPr>
          <w:rStyle w:val="FootnoteReference"/>
          <w:rFonts w:ascii="Open Sans" w:hAnsi="Open Sans" w:cs="Open Sans"/>
          <w:color w:val="000000" w:themeColor="text1"/>
          <w:sz w:val="20"/>
          <w:szCs w:val="20"/>
        </w:rPr>
        <w:footnoteReference w:id="26"/>
      </w:r>
    </w:p>
    <w:p w14:paraId="69122602" w14:textId="56D0E30F" w:rsidR="00AF111D" w:rsidRPr="00D66B43" w:rsidRDefault="00AF111D" w:rsidP="000E34D1">
      <w:pPr>
        <w:jc w:val="both"/>
        <w:rPr>
          <w:rFonts w:ascii="Open Sans" w:hAnsi="Open Sans" w:cs="Open Sans"/>
          <w:color w:val="000000" w:themeColor="text1"/>
          <w:sz w:val="20"/>
          <w:szCs w:val="20"/>
        </w:rPr>
      </w:pPr>
    </w:p>
    <w:p w14:paraId="7393DC49" w14:textId="26EB0063" w:rsidR="00AF111D" w:rsidRPr="00D66B43" w:rsidRDefault="00D66B43" w:rsidP="000E34D1">
      <w:pPr>
        <w:jc w:val="both"/>
        <w:rPr>
          <w:rFonts w:ascii="Open Sans" w:hAnsi="Open Sans" w:cs="Open Sans"/>
          <w:i/>
          <w:color w:val="000000" w:themeColor="text1"/>
          <w:sz w:val="20"/>
          <w:szCs w:val="20"/>
        </w:rPr>
      </w:pPr>
      <w:r w:rsidRPr="00D66B43">
        <w:rPr>
          <w:rFonts w:ascii="Open Sans" w:hAnsi="Open Sans" w:cs="Open Sans"/>
          <w:i/>
          <w:color w:val="000000" w:themeColor="text1"/>
          <w:sz w:val="20"/>
          <w:szCs w:val="20"/>
        </w:rPr>
        <w:t xml:space="preserve">2.1.a. </w:t>
      </w:r>
      <w:r w:rsidR="00AF111D" w:rsidRPr="00D66B43">
        <w:rPr>
          <w:rFonts w:ascii="Open Sans" w:hAnsi="Open Sans" w:cs="Open Sans"/>
          <w:i/>
          <w:color w:val="000000" w:themeColor="text1"/>
          <w:sz w:val="20"/>
          <w:szCs w:val="20"/>
        </w:rPr>
        <w:t>Harm Reduction and Women</w:t>
      </w:r>
    </w:p>
    <w:p w14:paraId="0A76DF20" w14:textId="77777777" w:rsidR="00AF111D" w:rsidRPr="00D66B43" w:rsidRDefault="00AF111D" w:rsidP="000E34D1">
      <w:pPr>
        <w:jc w:val="both"/>
        <w:rPr>
          <w:rFonts w:ascii="Open Sans" w:hAnsi="Open Sans" w:cs="Open Sans"/>
          <w:i/>
          <w:color w:val="000000" w:themeColor="text1"/>
          <w:sz w:val="20"/>
          <w:szCs w:val="20"/>
        </w:rPr>
      </w:pPr>
    </w:p>
    <w:p w14:paraId="0D5A72D2" w14:textId="780E816A" w:rsidR="00AF111D" w:rsidRPr="00D66B43" w:rsidRDefault="00AF111D" w:rsidP="000E34D1">
      <w:pPr>
        <w:jc w:val="both"/>
        <w:rPr>
          <w:rFonts w:ascii="Open Sans" w:hAnsi="Open Sans" w:cs="Open Sans"/>
          <w:color w:val="000000" w:themeColor="text1"/>
          <w:sz w:val="20"/>
          <w:szCs w:val="20"/>
        </w:rPr>
      </w:pPr>
      <w:r w:rsidRPr="00D66B43">
        <w:rPr>
          <w:rFonts w:ascii="Open Sans" w:hAnsi="Open Sans" w:cs="Open Sans"/>
          <w:color w:val="000000" w:themeColor="text1"/>
          <w:sz w:val="20"/>
          <w:szCs w:val="20"/>
        </w:rPr>
        <w:t>Research demonstrates that women face unique challenges in accessing health services in general, and harm reduction specifically.</w:t>
      </w:r>
      <w:r w:rsidRPr="00D66B43">
        <w:rPr>
          <w:rStyle w:val="FootnoteReference"/>
          <w:rFonts w:ascii="Open Sans" w:hAnsi="Open Sans" w:cs="Open Sans"/>
          <w:color w:val="000000" w:themeColor="text1"/>
          <w:sz w:val="20"/>
          <w:szCs w:val="20"/>
        </w:rPr>
        <w:footnoteReference w:id="27"/>
      </w:r>
    </w:p>
    <w:p w14:paraId="07E02E2A" w14:textId="7922A036" w:rsidR="00AF111D" w:rsidRPr="00D66B43" w:rsidRDefault="00AF111D" w:rsidP="000E34D1">
      <w:pPr>
        <w:jc w:val="both"/>
        <w:rPr>
          <w:rFonts w:ascii="Open Sans" w:hAnsi="Open Sans" w:cs="Open Sans"/>
          <w:color w:val="000000" w:themeColor="text1"/>
          <w:sz w:val="20"/>
          <w:szCs w:val="20"/>
        </w:rPr>
      </w:pPr>
    </w:p>
    <w:p w14:paraId="3E57BD47" w14:textId="77777777" w:rsidR="00AF111D" w:rsidRPr="00D66B43" w:rsidRDefault="00AF111D" w:rsidP="000E34D1">
      <w:pPr>
        <w:jc w:val="both"/>
        <w:rPr>
          <w:rFonts w:ascii="Open Sans" w:hAnsi="Open Sans" w:cs="Open Sans"/>
          <w:color w:val="000000" w:themeColor="text1"/>
          <w:sz w:val="20"/>
          <w:szCs w:val="20"/>
        </w:rPr>
      </w:pPr>
      <w:r w:rsidRPr="00D66B43">
        <w:rPr>
          <w:rFonts w:ascii="Open Sans" w:hAnsi="Open Sans" w:cs="Open Sans"/>
          <w:color w:val="000000" w:themeColor="text1"/>
          <w:sz w:val="20"/>
          <w:szCs w:val="20"/>
        </w:rPr>
        <w:t>Women’s access to harm reduction services is hindered by structural violence and stigma that result from patriarchal social norms and attitudes, and which can be compounded by other identities such as race, class and sexuality. With regard to barriers to harm reduction services for women, structural violence is apparent in the greater stigma faced by women who use drugs compared with men.</w:t>
      </w:r>
    </w:p>
    <w:p w14:paraId="4705133A" w14:textId="77777777" w:rsidR="00AF111D" w:rsidRPr="00D66B43" w:rsidRDefault="00AF111D" w:rsidP="000E34D1">
      <w:pPr>
        <w:jc w:val="both"/>
        <w:rPr>
          <w:rFonts w:ascii="Open Sans" w:hAnsi="Open Sans" w:cs="Open Sans"/>
          <w:color w:val="000000" w:themeColor="text1"/>
          <w:sz w:val="20"/>
          <w:szCs w:val="20"/>
        </w:rPr>
      </w:pPr>
    </w:p>
    <w:p w14:paraId="3983B5D4" w14:textId="7E411FCA" w:rsidR="00AF111D" w:rsidRPr="00D66B43" w:rsidRDefault="00AF111D" w:rsidP="00A667C3">
      <w:pPr>
        <w:jc w:val="both"/>
        <w:rPr>
          <w:rFonts w:ascii="Open Sans" w:hAnsi="Open Sans" w:cs="Open Sans"/>
          <w:color w:val="000000" w:themeColor="text1"/>
          <w:sz w:val="20"/>
          <w:szCs w:val="20"/>
        </w:rPr>
      </w:pPr>
      <w:r w:rsidRPr="00D66B43">
        <w:rPr>
          <w:rFonts w:ascii="Open Sans" w:hAnsi="Open Sans" w:cs="Open Sans"/>
          <w:color w:val="000000" w:themeColor="text1"/>
          <w:sz w:val="20"/>
          <w:szCs w:val="20"/>
        </w:rPr>
        <w:t>Qualitative studies have consistently found that women report facing greater stigma based on drug use than men, and that women fear disclosing drug use because of the risk of stigma and social sanctions.</w:t>
      </w:r>
      <w:r w:rsidRPr="00D66B43">
        <w:rPr>
          <w:rStyle w:val="FootnoteReference"/>
          <w:rFonts w:ascii="Open Sans" w:hAnsi="Open Sans" w:cs="Open Sans"/>
          <w:color w:val="000000" w:themeColor="text1"/>
          <w:sz w:val="20"/>
          <w:szCs w:val="20"/>
        </w:rPr>
        <w:footnoteReference w:id="28"/>
      </w:r>
      <w:r w:rsidRPr="00D66B43">
        <w:rPr>
          <w:rFonts w:ascii="Open Sans" w:hAnsi="Open Sans" w:cs="Open Sans"/>
          <w:color w:val="000000" w:themeColor="text1"/>
          <w:sz w:val="20"/>
          <w:szCs w:val="20"/>
        </w:rPr>
        <w:t xml:space="preserve"> This has direct consequences on the ability and willingness of women to access harm reduction services. Indeed, stigma discourages women from accessing services for fear of being identified as a drug user, which also means women who use drugs can be pushed into hidden and unsafe spaces in order to ensure that their drug use is not made public. </w:t>
      </w:r>
    </w:p>
    <w:p w14:paraId="353CFDE6" w14:textId="77777777" w:rsidR="00AF111D" w:rsidRPr="00D66B43" w:rsidRDefault="00AF111D" w:rsidP="000E34D1">
      <w:pPr>
        <w:jc w:val="both"/>
        <w:rPr>
          <w:rFonts w:ascii="Open Sans" w:hAnsi="Open Sans" w:cs="Open Sans"/>
          <w:color w:val="000000" w:themeColor="text1"/>
          <w:sz w:val="20"/>
          <w:szCs w:val="20"/>
        </w:rPr>
      </w:pPr>
    </w:p>
    <w:p w14:paraId="718ACF01" w14:textId="77777777" w:rsidR="00AF111D" w:rsidRPr="00D66B43" w:rsidRDefault="00AF111D" w:rsidP="000E34D1">
      <w:pPr>
        <w:jc w:val="both"/>
        <w:rPr>
          <w:rFonts w:ascii="Open Sans" w:hAnsi="Open Sans" w:cs="Open Sans"/>
          <w:color w:val="000000" w:themeColor="text1"/>
          <w:sz w:val="20"/>
          <w:szCs w:val="20"/>
        </w:rPr>
      </w:pPr>
    </w:p>
    <w:p w14:paraId="242595F8" w14:textId="59B954FB" w:rsidR="00AF111D" w:rsidRPr="00D66B43" w:rsidRDefault="00D66B43" w:rsidP="000E34D1">
      <w:pPr>
        <w:jc w:val="both"/>
        <w:rPr>
          <w:rFonts w:ascii="Open Sans" w:hAnsi="Open Sans" w:cs="Open Sans"/>
          <w:i/>
          <w:color w:val="000000" w:themeColor="text1"/>
          <w:sz w:val="20"/>
          <w:szCs w:val="20"/>
        </w:rPr>
      </w:pPr>
      <w:r w:rsidRPr="00D66B43">
        <w:rPr>
          <w:rFonts w:ascii="Open Sans" w:hAnsi="Open Sans" w:cs="Open Sans"/>
          <w:i/>
          <w:color w:val="000000" w:themeColor="text1"/>
          <w:sz w:val="20"/>
          <w:szCs w:val="20"/>
        </w:rPr>
        <w:t xml:space="preserve">2.1.b. </w:t>
      </w:r>
      <w:r w:rsidR="00AF111D" w:rsidRPr="00D66B43">
        <w:rPr>
          <w:rFonts w:ascii="Open Sans" w:hAnsi="Open Sans" w:cs="Open Sans"/>
          <w:i/>
          <w:color w:val="000000" w:themeColor="text1"/>
          <w:sz w:val="20"/>
          <w:szCs w:val="20"/>
        </w:rPr>
        <w:t xml:space="preserve">Harm reduction in South Africa </w:t>
      </w:r>
    </w:p>
    <w:p w14:paraId="50F70191" w14:textId="77777777" w:rsidR="00AF111D" w:rsidRPr="00D66B43" w:rsidRDefault="00AF111D" w:rsidP="000E34D1">
      <w:pPr>
        <w:jc w:val="both"/>
        <w:rPr>
          <w:rFonts w:ascii="Open Sans" w:hAnsi="Open Sans" w:cs="Open Sans"/>
          <w:i/>
          <w:color w:val="000000" w:themeColor="text1"/>
          <w:sz w:val="20"/>
          <w:szCs w:val="20"/>
        </w:rPr>
      </w:pPr>
    </w:p>
    <w:p w14:paraId="2F03F38A" w14:textId="673C4EFF" w:rsidR="00AF111D" w:rsidRPr="00D66B43" w:rsidRDefault="00AF111D" w:rsidP="000E34D1">
      <w:pPr>
        <w:jc w:val="both"/>
        <w:rPr>
          <w:rFonts w:ascii="Open Sans" w:hAnsi="Open Sans" w:cs="Open Sans"/>
          <w:color w:val="000000" w:themeColor="text1"/>
          <w:sz w:val="20"/>
          <w:szCs w:val="20"/>
        </w:rPr>
      </w:pPr>
      <w:r w:rsidRPr="00D66B43">
        <w:rPr>
          <w:rFonts w:ascii="Open Sans" w:hAnsi="Open Sans" w:cs="Open Sans"/>
          <w:color w:val="000000" w:themeColor="text1"/>
          <w:sz w:val="20"/>
          <w:szCs w:val="20"/>
        </w:rPr>
        <w:t xml:space="preserve">There are an estimated 76,000 people who inject drugs in South Africa. A recent systematic review has estimated that between 16% and 23% of these people are women. </w:t>
      </w:r>
    </w:p>
    <w:p w14:paraId="6EC888A7" w14:textId="64DA147B" w:rsidR="00AF111D" w:rsidRPr="00D66B43" w:rsidRDefault="00AF111D" w:rsidP="000E34D1">
      <w:pPr>
        <w:jc w:val="both"/>
        <w:rPr>
          <w:rFonts w:ascii="Open Sans" w:hAnsi="Open Sans" w:cs="Open Sans"/>
          <w:color w:val="000000" w:themeColor="text1"/>
          <w:sz w:val="20"/>
          <w:szCs w:val="20"/>
        </w:rPr>
      </w:pPr>
    </w:p>
    <w:p w14:paraId="1E2F4E6E" w14:textId="238A915C" w:rsidR="00AF111D" w:rsidRPr="00D66B43" w:rsidRDefault="00AF111D" w:rsidP="000E34D1">
      <w:pPr>
        <w:jc w:val="both"/>
        <w:rPr>
          <w:rFonts w:ascii="Open Sans" w:hAnsi="Open Sans" w:cs="Open Sans"/>
          <w:color w:val="000000" w:themeColor="text1"/>
          <w:sz w:val="20"/>
          <w:szCs w:val="20"/>
        </w:rPr>
      </w:pPr>
      <w:r w:rsidRPr="00D66B43">
        <w:rPr>
          <w:rFonts w:ascii="Open Sans" w:hAnsi="Open Sans" w:cs="Open Sans"/>
          <w:color w:val="000000" w:themeColor="text1"/>
          <w:sz w:val="20"/>
          <w:szCs w:val="20"/>
        </w:rPr>
        <w:t>HIV in South Africa is a generalised epidemic, with general adult population prevalence standing at 18.8%.</w:t>
      </w:r>
      <w:r w:rsidRPr="00D66B43">
        <w:rPr>
          <w:rStyle w:val="FootnoteReference"/>
          <w:rFonts w:ascii="Open Sans" w:hAnsi="Open Sans" w:cs="Open Sans"/>
          <w:color w:val="000000" w:themeColor="text1"/>
          <w:sz w:val="20"/>
          <w:szCs w:val="20"/>
        </w:rPr>
        <w:footnoteReference w:id="29"/>
      </w:r>
      <w:r w:rsidRPr="00D66B43">
        <w:rPr>
          <w:rFonts w:ascii="Open Sans" w:hAnsi="Open Sans" w:cs="Open Sans"/>
          <w:color w:val="000000" w:themeColor="text1"/>
          <w:sz w:val="20"/>
          <w:szCs w:val="20"/>
        </w:rPr>
        <w:t xml:space="preserve"> Prevalence among people who inject drugs is estima</w:t>
      </w:r>
      <w:r w:rsidR="00960D2E">
        <w:rPr>
          <w:rFonts w:ascii="Open Sans" w:hAnsi="Open Sans" w:cs="Open Sans"/>
          <w:color w:val="000000" w:themeColor="text1"/>
          <w:sz w:val="20"/>
          <w:szCs w:val="20"/>
        </w:rPr>
        <w:t xml:space="preserve">ted to be more than double, </w:t>
      </w:r>
      <w:r w:rsidRPr="00D66B43">
        <w:rPr>
          <w:rFonts w:ascii="Open Sans" w:hAnsi="Open Sans" w:cs="Open Sans"/>
          <w:color w:val="000000" w:themeColor="text1"/>
          <w:sz w:val="20"/>
          <w:szCs w:val="20"/>
        </w:rPr>
        <w:t>at 46.4%.</w:t>
      </w:r>
      <w:r w:rsidRPr="00D66B43">
        <w:rPr>
          <w:rStyle w:val="FootnoteReference"/>
          <w:rFonts w:ascii="Open Sans" w:hAnsi="Open Sans" w:cs="Open Sans"/>
          <w:color w:val="000000" w:themeColor="text1"/>
          <w:sz w:val="20"/>
          <w:szCs w:val="20"/>
        </w:rPr>
        <w:footnoteReference w:id="30"/>
      </w:r>
      <w:r w:rsidRPr="00D66B43">
        <w:rPr>
          <w:rFonts w:ascii="Open Sans" w:hAnsi="Open Sans" w:cs="Open Sans"/>
          <w:color w:val="000000" w:themeColor="text1"/>
          <w:sz w:val="20"/>
          <w:szCs w:val="20"/>
        </w:rPr>
        <w:t xml:space="preserve"> This is also more than double the estimated global prevalence among people who inject drugs of 17.8%. Hepatitis C prevalence among people who inject drugs is slightly above the global figure at 54.7%, while hepatitis B prevalence is 5%.</w:t>
      </w:r>
      <w:r w:rsidRPr="00D66B43">
        <w:rPr>
          <w:rStyle w:val="FootnoteReference"/>
          <w:rFonts w:ascii="Open Sans" w:hAnsi="Open Sans" w:cs="Open Sans"/>
          <w:color w:val="000000" w:themeColor="text1"/>
          <w:sz w:val="20"/>
          <w:szCs w:val="20"/>
        </w:rPr>
        <w:footnoteReference w:id="31"/>
      </w:r>
      <w:r w:rsidRPr="00D66B43">
        <w:rPr>
          <w:rFonts w:ascii="Open Sans" w:hAnsi="Open Sans" w:cs="Open Sans"/>
          <w:color w:val="000000" w:themeColor="text1"/>
          <w:sz w:val="20"/>
          <w:szCs w:val="20"/>
        </w:rPr>
        <w:t xml:space="preserve"> No estimate is available for HIV prevalence among women who inject drugs. </w:t>
      </w:r>
    </w:p>
    <w:p w14:paraId="17E08AD6" w14:textId="77777777" w:rsidR="00AF111D" w:rsidRPr="00D66B43" w:rsidRDefault="00AF111D" w:rsidP="000E34D1">
      <w:pPr>
        <w:jc w:val="both"/>
        <w:rPr>
          <w:rFonts w:ascii="Open Sans" w:hAnsi="Open Sans" w:cs="Open Sans"/>
          <w:color w:val="000000" w:themeColor="text1"/>
          <w:sz w:val="20"/>
          <w:szCs w:val="20"/>
        </w:rPr>
      </w:pPr>
    </w:p>
    <w:p w14:paraId="1C3AE20D" w14:textId="071E7270" w:rsidR="00AF111D" w:rsidRPr="00D66B43" w:rsidRDefault="00AF111D" w:rsidP="000E34D1">
      <w:pPr>
        <w:jc w:val="both"/>
        <w:rPr>
          <w:rFonts w:ascii="Open Sans" w:hAnsi="Open Sans" w:cs="Open Sans"/>
          <w:color w:val="000000" w:themeColor="text1"/>
          <w:sz w:val="20"/>
          <w:szCs w:val="20"/>
        </w:rPr>
      </w:pPr>
      <w:r w:rsidRPr="00D66B43">
        <w:rPr>
          <w:rFonts w:ascii="Open Sans" w:hAnsi="Open Sans" w:cs="Open Sans"/>
          <w:color w:val="000000" w:themeColor="text1"/>
          <w:sz w:val="20"/>
          <w:szCs w:val="20"/>
        </w:rPr>
        <w:t xml:space="preserve">South Africa is one of just four countries in sub-Saharan Africa in which both </w:t>
      </w:r>
      <w:r w:rsidR="006B2AAE">
        <w:rPr>
          <w:rFonts w:ascii="Open Sans" w:hAnsi="Open Sans" w:cs="Open Sans"/>
          <w:color w:val="000000" w:themeColor="text1"/>
          <w:sz w:val="20"/>
          <w:szCs w:val="20"/>
        </w:rPr>
        <w:t>NSPs and OST</w:t>
      </w:r>
      <w:r w:rsidRPr="00D66B43">
        <w:rPr>
          <w:rFonts w:ascii="Open Sans" w:hAnsi="Open Sans" w:cs="Open Sans"/>
          <w:color w:val="000000" w:themeColor="text1"/>
          <w:sz w:val="20"/>
          <w:szCs w:val="20"/>
        </w:rPr>
        <w:t xml:space="preserve"> are available.</w:t>
      </w:r>
      <w:r w:rsidRPr="00D66B43">
        <w:rPr>
          <w:rStyle w:val="FootnoteReference"/>
          <w:rFonts w:ascii="Open Sans" w:hAnsi="Open Sans" w:cs="Open Sans"/>
          <w:color w:val="000000" w:themeColor="text1"/>
          <w:sz w:val="20"/>
          <w:szCs w:val="20"/>
        </w:rPr>
        <w:footnoteReference w:id="32"/>
      </w:r>
      <w:r w:rsidRPr="00D66B43">
        <w:rPr>
          <w:rFonts w:ascii="Open Sans" w:hAnsi="Open Sans" w:cs="Open Sans"/>
          <w:color w:val="000000" w:themeColor="text1"/>
          <w:sz w:val="20"/>
          <w:szCs w:val="20"/>
        </w:rPr>
        <w:t xml:space="preserve"> However, the scale of implementation remains small, with just four </w:t>
      </w:r>
      <w:r w:rsidR="006B2AAE">
        <w:rPr>
          <w:rFonts w:ascii="Open Sans" w:hAnsi="Open Sans" w:cs="Open Sans"/>
          <w:color w:val="000000" w:themeColor="text1"/>
          <w:sz w:val="20"/>
          <w:szCs w:val="20"/>
        </w:rPr>
        <w:t>NSPs</w:t>
      </w:r>
      <w:r w:rsidRPr="00D66B43">
        <w:rPr>
          <w:rFonts w:ascii="Open Sans" w:hAnsi="Open Sans" w:cs="Open Sans"/>
          <w:color w:val="000000" w:themeColor="text1"/>
          <w:sz w:val="20"/>
          <w:szCs w:val="20"/>
        </w:rPr>
        <w:t xml:space="preserve"> and 11 sites providing </w:t>
      </w:r>
      <w:r w:rsidR="006B2AAE">
        <w:rPr>
          <w:rFonts w:ascii="Open Sans" w:hAnsi="Open Sans" w:cs="Open Sans"/>
          <w:color w:val="000000" w:themeColor="text1"/>
          <w:sz w:val="20"/>
          <w:szCs w:val="20"/>
        </w:rPr>
        <w:t>OST</w:t>
      </w:r>
      <w:r w:rsidRPr="00D66B43">
        <w:rPr>
          <w:rFonts w:ascii="Open Sans" w:hAnsi="Open Sans" w:cs="Open Sans"/>
          <w:color w:val="000000" w:themeColor="text1"/>
          <w:sz w:val="20"/>
          <w:szCs w:val="20"/>
        </w:rPr>
        <w:t>. None of these services are tailored to the needs of women who inject drugs.</w:t>
      </w:r>
      <w:r w:rsidRPr="00D66B43">
        <w:rPr>
          <w:rStyle w:val="FootnoteReference"/>
          <w:rFonts w:ascii="Open Sans" w:hAnsi="Open Sans" w:cs="Open Sans"/>
          <w:color w:val="000000" w:themeColor="text1"/>
          <w:sz w:val="20"/>
          <w:szCs w:val="20"/>
        </w:rPr>
        <w:footnoteReference w:id="33"/>
      </w:r>
      <w:r w:rsidRPr="00D66B43">
        <w:rPr>
          <w:rFonts w:ascii="Open Sans" w:hAnsi="Open Sans" w:cs="Open Sans"/>
          <w:color w:val="000000" w:themeColor="text1"/>
          <w:sz w:val="20"/>
          <w:szCs w:val="20"/>
        </w:rPr>
        <w:t xml:space="preserve"> No services are available in prisons.</w:t>
      </w:r>
    </w:p>
    <w:p w14:paraId="6E7488E7" w14:textId="2F45D310" w:rsidR="00AF111D" w:rsidRPr="00D66B43" w:rsidRDefault="00AF111D" w:rsidP="000E34D1">
      <w:pPr>
        <w:jc w:val="both"/>
        <w:rPr>
          <w:rFonts w:ascii="Open Sans" w:hAnsi="Open Sans" w:cs="Open Sans"/>
          <w:color w:val="000000" w:themeColor="text1"/>
          <w:sz w:val="20"/>
          <w:szCs w:val="20"/>
        </w:rPr>
      </w:pPr>
    </w:p>
    <w:p w14:paraId="06C4F4BA" w14:textId="0F103B93" w:rsidR="00AF111D" w:rsidRPr="00D66B43" w:rsidRDefault="00AF111D" w:rsidP="00D66B43">
      <w:pPr>
        <w:jc w:val="both"/>
        <w:rPr>
          <w:rFonts w:ascii="Open Sans" w:hAnsi="Open Sans" w:cs="Open Sans"/>
          <w:sz w:val="20"/>
          <w:szCs w:val="20"/>
        </w:rPr>
      </w:pPr>
      <w:r w:rsidRPr="00D66B43">
        <w:rPr>
          <w:rFonts w:ascii="Open Sans" w:hAnsi="Open Sans" w:cs="Open Sans"/>
          <w:sz w:val="20"/>
          <w:szCs w:val="20"/>
        </w:rPr>
        <w:t>In Durban, the Step Up project has operated since 2015 with the support of the TB/HIV Care Association. It currently provides people who use drugs in the city with information on harm reduction interventions and practices, and linkage to health services. Un</w:t>
      </w:r>
      <w:r w:rsidR="006B2AAE">
        <w:rPr>
          <w:rFonts w:ascii="Open Sans" w:hAnsi="Open Sans" w:cs="Open Sans"/>
          <w:sz w:val="20"/>
          <w:szCs w:val="20"/>
        </w:rPr>
        <w:t>til 2018, Step Up also provided</w:t>
      </w:r>
      <w:r w:rsidRPr="00D66B43">
        <w:rPr>
          <w:rFonts w:ascii="Open Sans" w:hAnsi="Open Sans" w:cs="Open Sans"/>
          <w:sz w:val="20"/>
          <w:szCs w:val="20"/>
        </w:rPr>
        <w:t xml:space="preserve"> a needle and syringe programme. However, the local government forced the closure of the programme citing discarded needles and syringes in public spaces. Since then, Step Up, TB/HIV Care and local organisations of people who use drugs have been advocating for the re-opening of this essential service. </w:t>
      </w:r>
    </w:p>
    <w:p w14:paraId="24BED053" w14:textId="77777777" w:rsidR="00AF111D" w:rsidRPr="00D66B43" w:rsidRDefault="00AF111D" w:rsidP="000E34D1">
      <w:pPr>
        <w:jc w:val="both"/>
        <w:rPr>
          <w:rFonts w:ascii="Open Sans" w:hAnsi="Open Sans" w:cs="Open Sans"/>
          <w:color w:val="000000" w:themeColor="text1"/>
          <w:sz w:val="20"/>
          <w:szCs w:val="20"/>
        </w:rPr>
      </w:pPr>
    </w:p>
    <w:p w14:paraId="19FEC9F1" w14:textId="77777777" w:rsidR="00AF111D" w:rsidRPr="00D66B43" w:rsidRDefault="00AF111D" w:rsidP="000E34D1">
      <w:pPr>
        <w:jc w:val="both"/>
        <w:rPr>
          <w:rFonts w:ascii="Open Sans" w:hAnsi="Open Sans" w:cs="Open Sans"/>
          <w:color w:val="000000" w:themeColor="text1"/>
          <w:sz w:val="20"/>
          <w:szCs w:val="20"/>
        </w:rPr>
      </w:pPr>
    </w:p>
    <w:p w14:paraId="59A26217" w14:textId="6F44584E" w:rsidR="00AF111D" w:rsidRPr="00D66B43" w:rsidRDefault="00D66B43" w:rsidP="0070020A">
      <w:pPr>
        <w:jc w:val="both"/>
        <w:rPr>
          <w:rFonts w:ascii="Open Sans" w:hAnsi="Open Sans" w:cs="Open Sans"/>
          <w:b/>
          <w:bCs/>
          <w:i/>
          <w:color w:val="000000" w:themeColor="text1"/>
          <w:sz w:val="20"/>
          <w:szCs w:val="20"/>
        </w:rPr>
      </w:pPr>
      <w:r w:rsidRPr="00D66B43">
        <w:rPr>
          <w:rFonts w:ascii="Open Sans" w:hAnsi="Open Sans" w:cs="Open Sans"/>
          <w:b/>
          <w:bCs/>
          <w:i/>
          <w:color w:val="000000" w:themeColor="text1"/>
          <w:sz w:val="20"/>
          <w:szCs w:val="20"/>
        </w:rPr>
        <w:t xml:space="preserve">2.2. </w:t>
      </w:r>
      <w:r w:rsidR="00AF111D" w:rsidRPr="00D66B43">
        <w:rPr>
          <w:rFonts w:ascii="Open Sans" w:hAnsi="Open Sans" w:cs="Open Sans"/>
          <w:b/>
          <w:bCs/>
          <w:i/>
          <w:color w:val="000000" w:themeColor="text1"/>
          <w:sz w:val="20"/>
          <w:szCs w:val="20"/>
        </w:rPr>
        <w:t>Discrimination in accessing essential health services in South Africa</w:t>
      </w:r>
    </w:p>
    <w:p w14:paraId="0033B00C" w14:textId="77777777" w:rsidR="00AF111D" w:rsidRPr="00D66B43" w:rsidRDefault="00AF111D" w:rsidP="001A55B1">
      <w:pPr>
        <w:jc w:val="both"/>
        <w:rPr>
          <w:rFonts w:ascii="Open Sans" w:hAnsi="Open Sans" w:cs="Open Sans"/>
          <w:color w:val="000000" w:themeColor="text1"/>
          <w:sz w:val="20"/>
          <w:szCs w:val="20"/>
        </w:rPr>
      </w:pPr>
    </w:p>
    <w:p w14:paraId="23B04B35" w14:textId="77777777" w:rsidR="00AF111D" w:rsidRPr="00D66B43" w:rsidRDefault="00AF111D" w:rsidP="00A607CD">
      <w:pPr>
        <w:jc w:val="both"/>
        <w:rPr>
          <w:rFonts w:ascii="Open Sans" w:hAnsi="Open Sans" w:cs="Open Sans"/>
          <w:color w:val="000000" w:themeColor="text1"/>
          <w:sz w:val="20"/>
          <w:szCs w:val="20"/>
        </w:rPr>
      </w:pPr>
      <w:r w:rsidRPr="00D66B43">
        <w:rPr>
          <w:rFonts w:ascii="Open Sans" w:hAnsi="Open Sans" w:cs="Open Sans"/>
          <w:color w:val="000000" w:themeColor="text1"/>
          <w:sz w:val="20"/>
          <w:szCs w:val="20"/>
        </w:rPr>
        <w:t xml:space="preserve">Women in Durban report a reluctance to access any health service due to experienced stigma, and due to interference by the part of law enforcement officers. </w:t>
      </w:r>
    </w:p>
    <w:p w14:paraId="3EDF95DF" w14:textId="77777777" w:rsidR="00AF111D" w:rsidRPr="00D66B43" w:rsidRDefault="00AF111D" w:rsidP="00A607CD">
      <w:pPr>
        <w:jc w:val="both"/>
        <w:rPr>
          <w:rFonts w:ascii="Open Sans" w:hAnsi="Open Sans" w:cs="Open Sans"/>
          <w:color w:val="000000" w:themeColor="text1"/>
          <w:sz w:val="20"/>
          <w:szCs w:val="20"/>
        </w:rPr>
      </w:pPr>
    </w:p>
    <w:p w14:paraId="63843BBE" w14:textId="5161C3A2" w:rsidR="00AF111D" w:rsidRPr="00D66B43" w:rsidRDefault="00AF111D" w:rsidP="00A607CD">
      <w:pPr>
        <w:jc w:val="both"/>
        <w:rPr>
          <w:rFonts w:ascii="Open Sans" w:hAnsi="Open Sans" w:cs="Open Sans"/>
          <w:iCs/>
          <w:color w:val="000000" w:themeColor="text1"/>
          <w:sz w:val="20"/>
          <w:szCs w:val="20"/>
        </w:rPr>
      </w:pPr>
      <w:r w:rsidRPr="00D66B43">
        <w:rPr>
          <w:rFonts w:ascii="Open Sans" w:hAnsi="Open Sans" w:cs="Open Sans"/>
          <w:color w:val="000000" w:themeColor="text1"/>
          <w:sz w:val="20"/>
          <w:szCs w:val="20"/>
        </w:rPr>
        <w:t>With regards to the former, women reported being arbitrarily</w:t>
      </w:r>
      <w:r w:rsidRPr="00D66B43">
        <w:rPr>
          <w:rFonts w:ascii="Open Sans" w:hAnsi="Open Sans" w:cs="Open Sans"/>
          <w:iCs/>
          <w:color w:val="000000" w:themeColor="text1"/>
          <w:sz w:val="20"/>
          <w:szCs w:val="20"/>
        </w:rPr>
        <w:t xml:space="preserve"> deprived of essential commodities (such as clothes and blankets), health and harm reduction equipment (such as sterile syringes), and medication such as HIV treatment. This directly impinges on these women’s ability to ob</w:t>
      </w:r>
      <w:r w:rsidRPr="00D66B43">
        <w:rPr>
          <w:rFonts w:ascii="Open Sans" w:hAnsi="Open Sans" w:cs="Open Sans"/>
          <w:sz w:val="20"/>
          <w:szCs w:val="20"/>
        </w:rPr>
        <w:t>tain and maintain good health.</w:t>
      </w:r>
    </w:p>
    <w:p w14:paraId="0436DE57" w14:textId="661560EE" w:rsidR="00AF111D" w:rsidRPr="00D66B43" w:rsidRDefault="00AF111D" w:rsidP="0070020A">
      <w:pPr>
        <w:jc w:val="both"/>
        <w:rPr>
          <w:rFonts w:ascii="Open Sans" w:hAnsi="Open Sans" w:cs="Open Sans"/>
          <w:sz w:val="20"/>
          <w:szCs w:val="20"/>
        </w:rPr>
      </w:pPr>
    </w:p>
    <w:p w14:paraId="57E62948" w14:textId="440765FC" w:rsidR="00AF111D" w:rsidRPr="00D66B43" w:rsidRDefault="00AF111D" w:rsidP="00A667C3">
      <w:pPr>
        <w:jc w:val="both"/>
        <w:rPr>
          <w:rFonts w:ascii="Open Sans" w:hAnsi="Open Sans" w:cs="Open Sans"/>
          <w:color w:val="000000" w:themeColor="text1"/>
          <w:sz w:val="20"/>
          <w:szCs w:val="20"/>
        </w:rPr>
      </w:pPr>
      <w:r w:rsidRPr="00D66B43">
        <w:rPr>
          <w:rFonts w:ascii="Open Sans" w:hAnsi="Open Sans" w:cs="Open Sans"/>
          <w:sz w:val="20"/>
          <w:szCs w:val="20"/>
        </w:rPr>
        <w:t>Concerning stigma, w</w:t>
      </w:r>
      <w:r w:rsidRPr="00D66B43">
        <w:rPr>
          <w:rFonts w:ascii="Open Sans" w:hAnsi="Open Sans" w:cs="Open Sans"/>
          <w:color w:val="000000" w:themeColor="text1"/>
          <w:sz w:val="20"/>
          <w:szCs w:val="20"/>
        </w:rPr>
        <w:t>omen who use drugs reported not only experience generalised social stigma, but also direct stigma and discrimination from health professionals, including those involved in providing harm reduction services. As in the wider public, this stigma is more acute for women than men because of wider social expectations about womanhood and the role of women. Women have reported pervasive stigma across the health system in studies conducted around the world, including in South Africa.</w:t>
      </w:r>
      <w:r w:rsidRPr="00D66B43">
        <w:rPr>
          <w:rStyle w:val="FootnoteReference"/>
          <w:rFonts w:ascii="Open Sans" w:hAnsi="Open Sans" w:cs="Open Sans"/>
          <w:color w:val="000000" w:themeColor="text1"/>
          <w:sz w:val="20"/>
          <w:szCs w:val="20"/>
        </w:rPr>
        <w:footnoteReference w:id="34"/>
      </w:r>
    </w:p>
    <w:p w14:paraId="33CA8BB2" w14:textId="77777777" w:rsidR="00AF111D" w:rsidRPr="00D66B43" w:rsidRDefault="00AF111D" w:rsidP="00A667C3">
      <w:pPr>
        <w:jc w:val="both"/>
        <w:rPr>
          <w:rFonts w:ascii="Open Sans" w:hAnsi="Open Sans" w:cs="Open Sans"/>
          <w:color w:val="000000" w:themeColor="text1"/>
          <w:sz w:val="20"/>
          <w:szCs w:val="20"/>
        </w:rPr>
      </w:pPr>
    </w:p>
    <w:p w14:paraId="089A5270" w14:textId="4A06D720" w:rsidR="00AF111D" w:rsidRPr="00D66B43" w:rsidRDefault="00AF111D" w:rsidP="0070020A">
      <w:pPr>
        <w:jc w:val="both"/>
        <w:rPr>
          <w:rFonts w:ascii="Open Sans" w:hAnsi="Open Sans" w:cs="Open Sans"/>
          <w:color w:val="000000" w:themeColor="text1"/>
          <w:sz w:val="20"/>
          <w:szCs w:val="20"/>
        </w:rPr>
      </w:pPr>
      <w:r w:rsidRPr="00D66B43">
        <w:rPr>
          <w:rFonts w:ascii="Open Sans" w:hAnsi="Open Sans" w:cs="Open Sans"/>
          <w:color w:val="000000" w:themeColor="text1"/>
          <w:sz w:val="20"/>
          <w:szCs w:val="20"/>
        </w:rPr>
        <w:t>A systematic review of stigma towards people who use drugs from health professionals found that negative attitudes are pervasive and that they lead people who use drugs avoiding health and harm reduction services.</w:t>
      </w:r>
      <w:r w:rsidRPr="00D66B43">
        <w:rPr>
          <w:rStyle w:val="FootnoteReference"/>
          <w:rFonts w:ascii="Open Sans" w:hAnsi="Open Sans" w:cs="Open Sans"/>
          <w:color w:val="000000" w:themeColor="text1"/>
          <w:sz w:val="20"/>
          <w:szCs w:val="20"/>
        </w:rPr>
        <w:footnoteReference w:id="35"/>
      </w:r>
      <w:r w:rsidRPr="00D66B43">
        <w:rPr>
          <w:rFonts w:ascii="Open Sans" w:hAnsi="Open Sans" w:cs="Open Sans"/>
          <w:color w:val="000000" w:themeColor="text1"/>
          <w:sz w:val="20"/>
          <w:szCs w:val="20"/>
        </w:rPr>
        <w:t xml:space="preserve"> Experienced stigma leads to the anticipation of stigma, which discourages people who use drugs – and particularly women who use drugs who face greater stigma – from accessing services.</w:t>
      </w:r>
    </w:p>
    <w:p w14:paraId="10285477" w14:textId="6CCCF139" w:rsidR="00AF111D" w:rsidRPr="00D66B43" w:rsidRDefault="00AF111D" w:rsidP="0070020A">
      <w:pPr>
        <w:jc w:val="both"/>
        <w:rPr>
          <w:rFonts w:ascii="Open Sans" w:hAnsi="Open Sans" w:cs="Open Sans"/>
          <w:i/>
          <w:iCs/>
          <w:sz w:val="20"/>
          <w:szCs w:val="20"/>
        </w:rPr>
      </w:pPr>
    </w:p>
    <w:p w14:paraId="4770C25D" w14:textId="77777777" w:rsidR="00AF111D" w:rsidRPr="00D66B43" w:rsidRDefault="00AF111D" w:rsidP="0070020A">
      <w:pPr>
        <w:jc w:val="both"/>
        <w:rPr>
          <w:rFonts w:ascii="Open Sans" w:hAnsi="Open Sans" w:cs="Open Sans"/>
          <w:i/>
          <w:iCs/>
          <w:sz w:val="20"/>
          <w:szCs w:val="20"/>
        </w:rPr>
      </w:pPr>
    </w:p>
    <w:p w14:paraId="68290329" w14:textId="55077F8B" w:rsidR="00AF111D" w:rsidRPr="00D66B43" w:rsidRDefault="00D66B43" w:rsidP="0070020A">
      <w:pPr>
        <w:jc w:val="both"/>
        <w:rPr>
          <w:rFonts w:ascii="Open Sans" w:hAnsi="Open Sans" w:cs="Open Sans"/>
          <w:b/>
          <w:bCs/>
          <w:i/>
          <w:iCs/>
          <w:sz w:val="20"/>
          <w:szCs w:val="20"/>
        </w:rPr>
      </w:pPr>
      <w:r w:rsidRPr="00D66B43">
        <w:rPr>
          <w:rFonts w:ascii="Open Sans" w:hAnsi="Open Sans" w:cs="Open Sans"/>
          <w:b/>
          <w:bCs/>
          <w:i/>
          <w:iCs/>
          <w:sz w:val="20"/>
          <w:szCs w:val="20"/>
        </w:rPr>
        <w:t xml:space="preserve">2.3. </w:t>
      </w:r>
      <w:r w:rsidR="00AF111D" w:rsidRPr="00D66B43">
        <w:rPr>
          <w:rFonts w:ascii="Open Sans" w:hAnsi="Open Sans" w:cs="Open Sans"/>
          <w:b/>
          <w:bCs/>
          <w:i/>
          <w:iCs/>
          <w:sz w:val="20"/>
          <w:szCs w:val="20"/>
        </w:rPr>
        <w:t>Barriers to healthcare in detention</w:t>
      </w:r>
    </w:p>
    <w:p w14:paraId="41B3BFFF" w14:textId="34EC38D1" w:rsidR="00AF111D" w:rsidRPr="00D66B43" w:rsidRDefault="00AF111D" w:rsidP="0070020A">
      <w:pPr>
        <w:jc w:val="both"/>
        <w:rPr>
          <w:rFonts w:ascii="Open Sans" w:hAnsi="Open Sans" w:cs="Open Sans"/>
          <w:i/>
          <w:iCs/>
          <w:sz w:val="20"/>
          <w:szCs w:val="20"/>
        </w:rPr>
      </w:pPr>
    </w:p>
    <w:p w14:paraId="691E6BF2" w14:textId="3B477F83" w:rsidR="00AF111D" w:rsidRPr="00D66B43" w:rsidRDefault="00AF111D" w:rsidP="008239A2">
      <w:pPr>
        <w:pStyle w:val="CommentText1"/>
        <w:rPr>
          <w:rFonts w:ascii="Open Sans" w:hAnsi="Open Sans" w:cs="Open Sans"/>
          <w:sz w:val="20"/>
          <w:szCs w:val="20"/>
          <w:shd w:val="clear" w:color="auto" w:fill="FFFFFF"/>
        </w:rPr>
      </w:pPr>
      <w:r w:rsidRPr="00D66B43">
        <w:rPr>
          <w:rFonts w:ascii="Open Sans" w:hAnsi="Open Sans" w:cs="Open Sans"/>
          <w:i w:val="0"/>
          <w:iCs w:val="0"/>
          <w:color w:val="000000" w:themeColor="text1"/>
          <w:sz w:val="20"/>
          <w:szCs w:val="20"/>
        </w:rPr>
        <w:t>States have a heightened obligation to protect the fundamental rights of people in detention:</w:t>
      </w:r>
      <w:r w:rsidRPr="00D66B43">
        <w:rPr>
          <w:rStyle w:val="FootnoteReference"/>
          <w:rFonts w:ascii="Open Sans" w:hAnsi="Open Sans" w:cs="Open Sans"/>
          <w:i w:val="0"/>
          <w:iCs w:val="0"/>
          <w:sz w:val="20"/>
          <w:szCs w:val="20"/>
        </w:rPr>
        <w:footnoteReference w:id="36"/>
      </w:r>
      <w:r w:rsidRPr="00D66B43">
        <w:rPr>
          <w:rFonts w:ascii="Open Sans" w:hAnsi="Open Sans" w:cs="Open Sans"/>
          <w:i w:val="0"/>
          <w:iCs w:val="0"/>
          <w:sz w:val="20"/>
          <w:szCs w:val="20"/>
        </w:rPr>
        <w:t xml:space="preserve"> </w:t>
      </w:r>
      <w:r w:rsidRPr="00D66B43">
        <w:rPr>
          <w:rFonts w:ascii="Open Sans" w:hAnsi="Open Sans" w:cs="Open Sans"/>
          <w:i w:val="0"/>
          <w:iCs w:val="0"/>
          <w:sz w:val="20"/>
          <w:szCs w:val="20"/>
          <w:shd w:val="clear" w:color="auto" w:fill="FFFFFF"/>
        </w:rPr>
        <w:t>by arresting and depriving individuals of their liberty, states assume the responsibility to care for their life and bodily integrity, and to take appropriate measures to protect their right to life. Furthermore, under the principle of equivalence of care, detainees should have access to healthcare in custody that is at least equivalent to that available in the community.</w:t>
      </w:r>
      <w:r w:rsidRPr="00D66B43">
        <w:rPr>
          <w:rStyle w:val="FootnoteReference"/>
          <w:rFonts w:ascii="Open Sans" w:hAnsi="Open Sans" w:cs="Open Sans"/>
          <w:i w:val="0"/>
          <w:iCs w:val="0"/>
          <w:sz w:val="20"/>
          <w:szCs w:val="20"/>
          <w:shd w:val="clear" w:color="auto" w:fill="FFFFFF"/>
        </w:rPr>
        <w:footnoteReference w:id="37"/>
      </w:r>
    </w:p>
    <w:p w14:paraId="4F1FFFE6" w14:textId="77777777" w:rsidR="00AF111D" w:rsidRPr="00D66B43" w:rsidRDefault="00AF111D" w:rsidP="008239A2">
      <w:pPr>
        <w:jc w:val="both"/>
        <w:rPr>
          <w:rFonts w:ascii="Open Sans" w:hAnsi="Open Sans" w:cs="Open Sans"/>
          <w:color w:val="000000" w:themeColor="text1"/>
          <w:sz w:val="20"/>
          <w:szCs w:val="20"/>
        </w:rPr>
      </w:pPr>
      <w:r w:rsidRPr="00D66B43">
        <w:rPr>
          <w:rFonts w:ascii="Open Sans" w:hAnsi="Open Sans" w:cs="Open Sans"/>
          <w:color w:val="000000" w:themeColor="text1"/>
          <w:sz w:val="20"/>
          <w:szCs w:val="20"/>
        </w:rPr>
        <w:t>Access to harm reduction in prisons is severely limited worldwide, and there is a grave dearth of data on prisoner health.</w:t>
      </w:r>
      <w:r w:rsidRPr="00D66B43">
        <w:rPr>
          <w:rStyle w:val="FootnoteReference"/>
          <w:rFonts w:ascii="Open Sans" w:hAnsi="Open Sans" w:cs="Open Sans"/>
          <w:color w:val="000000" w:themeColor="text1"/>
          <w:sz w:val="20"/>
          <w:szCs w:val="20"/>
        </w:rPr>
        <w:footnoteReference w:id="38"/>
      </w:r>
      <w:r w:rsidRPr="00D66B43">
        <w:rPr>
          <w:rFonts w:ascii="Open Sans" w:hAnsi="Open Sans" w:cs="Open Sans"/>
          <w:color w:val="000000" w:themeColor="text1"/>
          <w:sz w:val="20"/>
          <w:szCs w:val="20"/>
        </w:rPr>
        <w:t xml:space="preserve"> HIV, viral hepatitis and tuberculosis treatment and prevention, including needle and syringe programmes and opioid substitution therapy, are near universally less accessible in prison that outside.</w:t>
      </w:r>
      <w:r w:rsidRPr="00D66B43">
        <w:rPr>
          <w:rStyle w:val="FootnoteReference"/>
          <w:rFonts w:ascii="Open Sans" w:hAnsi="Open Sans" w:cs="Open Sans"/>
          <w:color w:val="000000" w:themeColor="text1"/>
          <w:sz w:val="20"/>
          <w:szCs w:val="20"/>
        </w:rPr>
        <w:footnoteReference w:id="39"/>
      </w:r>
      <w:r w:rsidRPr="00D66B43">
        <w:rPr>
          <w:rFonts w:ascii="Open Sans" w:hAnsi="Open Sans" w:cs="Open Sans"/>
          <w:color w:val="000000" w:themeColor="text1"/>
          <w:sz w:val="20"/>
          <w:szCs w:val="20"/>
        </w:rPr>
        <w:t xml:space="preserve"> This translates in a violation of the right to health of people who use drugs in prison, and in some cases reaches the threshold of ill-treatment.</w:t>
      </w:r>
    </w:p>
    <w:p w14:paraId="19A9045B" w14:textId="77777777" w:rsidR="00AF111D" w:rsidRPr="00D66B43" w:rsidRDefault="00AF111D" w:rsidP="008239A2">
      <w:pPr>
        <w:jc w:val="both"/>
        <w:rPr>
          <w:rFonts w:ascii="Open Sans" w:hAnsi="Open Sans" w:cs="Open Sans"/>
          <w:color w:val="000000" w:themeColor="text1"/>
          <w:sz w:val="20"/>
          <w:szCs w:val="20"/>
        </w:rPr>
      </w:pPr>
    </w:p>
    <w:p w14:paraId="0418DCD2" w14:textId="77777777" w:rsidR="00AF111D" w:rsidRPr="00D66B43" w:rsidRDefault="00AF111D" w:rsidP="008239A2">
      <w:pPr>
        <w:jc w:val="both"/>
        <w:rPr>
          <w:rFonts w:ascii="Open Sans" w:hAnsi="Open Sans" w:cs="Open Sans"/>
          <w:sz w:val="20"/>
          <w:szCs w:val="20"/>
        </w:rPr>
      </w:pPr>
      <w:r w:rsidRPr="00D66B43">
        <w:rPr>
          <w:rFonts w:ascii="Open Sans" w:hAnsi="Open Sans" w:cs="Open Sans"/>
          <w:color w:val="000000" w:themeColor="text1"/>
          <w:sz w:val="20"/>
          <w:szCs w:val="20"/>
        </w:rPr>
        <w:t>The situation is particularly dire for women in prison. The female prison population is increasing, with (often minor) drug offences driving this trend. Increasing numbers of women are incarcerated worldwide, including large proportions of those for drug offences, and substance use is clearly present in women’s prisons.</w:t>
      </w:r>
      <w:r w:rsidRPr="00D66B43">
        <w:rPr>
          <w:rStyle w:val="FootnoteReference"/>
          <w:rFonts w:ascii="Open Sans" w:hAnsi="Open Sans" w:cs="Open Sans"/>
          <w:color w:val="000000" w:themeColor="text1"/>
          <w:sz w:val="20"/>
          <w:szCs w:val="20"/>
        </w:rPr>
        <w:footnoteReference w:id="40"/>
      </w:r>
      <w:r w:rsidRPr="00D66B43">
        <w:rPr>
          <w:rFonts w:ascii="Open Sans" w:hAnsi="Open Sans" w:cs="Open Sans"/>
          <w:color w:val="000000" w:themeColor="text1"/>
          <w:sz w:val="20"/>
          <w:szCs w:val="20"/>
        </w:rPr>
        <w:t xml:space="preserve"> Indeed, a higher proportion of women than men are incarcerated for drug-related offences.</w:t>
      </w:r>
      <w:r w:rsidRPr="00D66B43">
        <w:rPr>
          <w:rStyle w:val="FootnoteReference"/>
          <w:rFonts w:ascii="Open Sans" w:hAnsi="Open Sans" w:cs="Open Sans"/>
          <w:color w:val="000000" w:themeColor="text1"/>
          <w:sz w:val="20"/>
          <w:szCs w:val="20"/>
        </w:rPr>
        <w:footnoteReference w:id="41"/>
      </w:r>
      <w:r w:rsidRPr="00D66B43">
        <w:rPr>
          <w:rFonts w:ascii="Open Sans" w:hAnsi="Open Sans" w:cs="Open Sans"/>
          <w:color w:val="000000" w:themeColor="text1"/>
          <w:sz w:val="20"/>
          <w:szCs w:val="20"/>
        </w:rPr>
        <w:t xml:space="preserve"> Sex workers who use drugs are particularly vulnerable, with the dual criminalisation of sex work and drug possession putting them at particularly high risk of incarceration.</w:t>
      </w:r>
      <w:r w:rsidRPr="00D66B43">
        <w:rPr>
          <w:rStyle w:val="FootnoteReference"/>
          <w:rFonts w:ascii="Open Sans" w:hAnsi="Open Sans" w:cs="Open Sans"/>
          <w:color w:val="000000" w:themeColor="text1"/>
          <w:sz w:val="20"/>
          <w:szCs w:val="20"/>
        </w:rPr>
        <w:footnoteReference w:id="42"/>
      </w:r>
      <w:r w:rsidRPr="00D66B43">
        <w:rPr>
          <w:rFonts w:ascii="Open Sans" w:hAnsi="Open Sans" w:cs="Open Sans"/>
          <w:color w:val="000000" w:themeColor="text1"/>
          <w:sz w:val="20"/>
          <w:szCs w:val="20"/>
        </w:rPr>
        <w:t xml:space="preserve"> Despite the growing population of incarcerated women, antiretroviral therapy for HIV treatment, opioid substitution therapy and needle and syringe programmes are all more widely available in male prisons than in female prisons.</w:t>
      </w:r>
      <w:r w:rsidRPr="00D66B43">
        <w:rPr>
          <w:rStyle w:val="FootnoteReference"/>
          <w:rFonts w:ascii="Open Sans" w:hAnsi="Open Sans" w:cs="Open Sans"/>
          <w:color w:val="000000" w:themeColor="text1"/>
          <w:sz w:val="20"/>
          <w:szCs w:val="20"/>
        </w:rPr>
        <w:footnoteReference w:id="43"/>
      </w:r>
      <w:r w:rsidRPr="00D66B43">
        <w:rPr>
          <w:rFonts w:ascii="Open Sans" w:hAnsi="Open Sans" w:cs="Open Sans"/>
          <w:sz w:val="20"/>
          <w:szCs w:val="20"/>
        </w:rPr>
        <w:t xml:space="preserve"> Men are consistently prioritised for prison health services, due to the larger number of men incarcerated and therefore the greater urgency and cost-effectiveness of providing services to male prisoners.</w:t>
      </w:r>
      <w:r w:rsidRPr="00D66B43">
        <w:rPr>
          <w:rStyle w:val="FootnoteReference"/>
          <w:rFonts w:ascii="Open Sans" w:hAnsi="Open Sans" w:cs="Open Sans"/>
          <w:sz w:val="20"/>
          <w:szCs w:val="20"/>
        </w:rPr>
        <w:footnoteReference w:id="44"/>
      </w:r>
      <w:r w:rsidRPr="00D66B43">
        <w:rPr>
          <w:rFonts w:ascii="Open Sans" w:hAnsi="Open Sans" w:cs="Open Sans"/>
          <w:sz w:val="20"/>
          <w:szCs w:val="20"/>
        </w:rPr>
        <w:t xml:space="preserve"> Women consistently report unsafe injection behaviour in prison in the absence of accessible sterile injecting equipment.</w:t>
      </w:r>
      <w:r w:rsidRPr="00D66B43">
        <w:rPr>
          <w:rStyle w:val="FootnoteReference"/>
          <w:rFonts w:ascii="Open Sans" w:hAnsi="Open Sans" w:cs="Open Sans"/>
          <w:sz w:val="20"/>
          <w:szCs w:val="20"/>
        </w:rPr>
        <w:footnoteReference w:id="45"/>
      </w:r>
    </w:p>
    <w:p w14:paraId="654C7693" w14:textId="5EDDB774" w:rsidR="008239A2" w:rsidRPr="00D66B43" w:rsidRDefault="008239A2" w:rsidP="0070020A">
      <w:pPr>
        <w:jc w:val="both"/>
        <w:rPr>
          <w:rFonts w:ascii="Open Sans" w:hAnsi="Open Sans" w:cs="Open Sans"/>
          <w:sz w:val="20"/>
          <w:szCs w:val="20"/>
        </w:rPr>
      </w:pPr>
    </w:p>
    <w:p w14:paraId="453FB97D" w14:textId="6A7FE34F" w:rsidR="00091613" w:rsidRPr="00D66B43" w:rsidRDefault="00091613" w:rsidP="0070020A">
      <w:pPr>
        <w:jc w:val="both"/>
        <w:rPr>
          <w:rFonts w:ascii="Open Sans" w:hAnsi="Open Sans" w:cs="Open Sans"/>
          <w:i/>
          <w:iCs/>
          <w:sz w:val="20"/>
          <w:szCs w:val="20"/>
        </w:rPr>
      </w:pPr>
    </w:p>
    <w:p w14:paraId="4740394C" w14:textId="19C412CB" w:rsidR="00091613" w:rsidRPr="00D66B43" w:rsidRDefault="00091613" w:rsidP="0070020A">
      <w:pPr>
        <w:jc w:val="both"/>
        <w:rPr>
          <w:rFonts w:ascii="Open Sans" w:hAnsi="Open Sans" w:cs="Open Sans"/>
          <w:sz w:val="20"/>
          <w:szCs w:val="20"/>
        </w:rPr>
      </w:pPr>
      <w:r w:rsidRPr="00D66B43">
        <w:rPr>
          <w:rFonts w:ascii="Open Sans" w:hAnsi="Open Sans" w:cs="Open Sans"/>
          <w:sz w:val="20"/>
          <w:szCs w:val="20"/>
        </w:rPr>
        <w:t>When women</w:t>
      </w:r>
      <w:r w:rsidR="00CE6D34" w:rsidRPr="00D66B43">
        <w:rPr>
          <w:rFonts w:ascii="Open Sans" w:hAnsi="Open Sans" w:cs="Open Sans"/>
          <w:sz w:val="20"/>
          <w:szCs w:val="20"/>
        </w:rPr>
        <w:t xml:space="preserve"> who use drugs</w:t>
      </w:r>
      <w:r w:rsidRPr="00D66B43">
        <w:rPr>
          <w:rFonts w:ascii="Open Sans" w:hAnsi="Open Sans" w:cs="Open Sans"/>
          <w:sz w:val="20"/>
          <w:szCs w:val="20"/>
        </w:rPr>
        <w:t xml:space="preserve"> are held in prison or police detention, access to health and harm reduction services is frequently made impossible. This relates</w:t>
      </w:r>
      <w:r w:rsidR="00CE6D34" w:rsidRPr="00D66B43">
        <w:rPr>
          <w:rFonts w:ascii="Open Sans" w:hAnsi="Open Sans" w:cs="Open Sans"/>
          <w:sz w:val="20"/>
          <w:szCs w:val="20"/>
        </w:rPr>
        <w:t xml:space="preserve"> in part</w:t>
      </w:r>
      <w:r w:rsidRPr="00D66B43">
        <w:rPr>
          <w:rFonts w:ascii="Open Sans" w:hAnsi="Open Sans" w:cs="Open Sans"/>
          <w:sz w:val="20"/>
          <w:szCs w:val="20"/>
        </w:rPr>
        <w:t xml:space="preserve"> to the total absence of harm reduction services in South African prisons: </w:t>
      </w:r>
      <w:r w:rsidR="005B11E1" w:rsidRPr="00D66B43">
        <w:rPr>
          <w:rFonts w:ascii="Open Sans" w:hAnsi="Open Sans" w:cs="Open Sans"/>
          <w:sz w:val="20"/>
          <w:szCs w:val="20"/>
        </w:rPr>
        <w:t xml:space="preserve">HRI’s research indicates </w:t>
      </w:r>
      <w:r w:rsidRPr="00D66B43">
        <w:rPr>
          <w:rFonts w:ascii="Open Sans" w:hAnsi="Open Sans" w:cs="Open Sans"/>
          <w:sz w:val="20"/>
          <w:szCs w:val="20"/>
        </w:rPr>
        <w:t xml:space="preserve">no </w:t>
      </w:r>
      <w:r w:rsidR="006B2AAE">
        <w:rPr>
          <w:rFonts w:ascii="Open Sans" w:hAnsi="Open Sans" w:cs="Open Sans"/>
          <w:sz w:val="20"/>
          <w:szCs w:val="20"/>
        </w:rPr>
        <w:t>NSP</w:t>
      </w:r>
      <w:r w:rsidRPr="00D66B43">
        <w:rPr>
          <w:rFonts w:ascii="Open Sans" w:hAnsi="Open Sans" w:cs="Open Sans"/>
          <w:sz w:val="20"/>
          <w:szCs w:val="20"/>
        </w:rPr>
        <w:t xml:space="preserve"> or </w:t>
      </w:r>
      <w:r w:rsidR="006B2AAE">
        <w:rPr>
          <w:rFonts w:ascii="Open Sans" w:hAnsi="Open Sans" w:cs="Open Sans"/>
          <w:sz w:val="20"/>
          <w:szCs w:val="20"/>
        </w:rPr>
        <w:t>OST</w:t>
      </w:r>
      <w:r w:rsidRPr="00D66B43">
        <w:rPr>
          <w:rFonts w:ascii="Open Sans" w:hAnsi="Open Sans" w:cs="Open Sans"/>
          <w:sz w:val="20"/>
          <w:szCs w:val="20"/>
        </w:rPr>
        <w:t xml:space="preserve"> is available in any detention centre in the country.</w:t>
      </w:r>
      <w:r w:rsidR="00AF111D" w:rsidRPr="00D66B43">
        <w:rPr>
          <w:rStyle w:val="FootnoteReference"/>
          <w:rFonts w:ascii="Open Sans" w:hAnsi="Open Sans" w:cs="Open Sans"/>
          <w:sz w:val="20"/>
          <w:szCs w:val="20"/>
        </w:rPr>
        <w:footnoteReference w:id="46"/>
      </w:r>
      <w:r w:rsidRPr="00D66B43">
        <w:rPr>
          <w:rFonts w:ascii="Open Sans" w:hAnsi="Open Sans" w:cs="Open Sans"/>
          <w:sz w:val="20"/>
          <w:szCs w:val="20"/>
        </w:rPr>
        <w:t xml:space="preserve"> </w:t>
      </w:r>
      <w:r w:rsidR="005B11E1" w:rsidRPr="00D66B43">
        <w:rPr>
          <w:rFonts w:ascii="Open Sans" w:hAnsi="Open Sans" w:cs="Open Sans"/>
          <w:sz w:val="20"/>
          <w:szCs w:val="20"/>
        </w:rPr>
        <w:t>This</w:t>
      </w:r>
      <w:r w:rsidRPr="00D66B43">
        <w:rPr>
          <w:rFonts w:ascii="Open Sans" w:hAnsi="Open Sans" w:cs="Open Sans"/>
          <w:sz w:val="20"/>
          <w:szCs w:val="20"/>
        </w:rPr>
        <w:t xml:space="preserve"> is exacerbated by the discriminatory and stigmatising attitudes of police and prison staff when dealing with women who use drugs with medical concerns</w:t>
      </w:r>
      <w:r w:rsidR="00535CD8" w:rsidRPr="00D66B43">
        <w:rPr>
          <w:rFonts w:ascii="Open Sans" w:hAnsi="Open Sans" w:cs="Open Sans"/>
          <w:sz w:val="20"/>
          <w:szCs w:val="20"/>
        </w:rPr>
        <w:t>.</w:t>
      </w:r>
    </w:p>
    <w:p w14:paraId="5E647C9C" w14:textId="77777777" w:rsidR="005B11E1" w:rsidRPr="00D66B43" w:rsidRDefault="005B11E1" w:rsidP="0070020A">
      <w:pPr>
        <w:jc w:val="both"/>
        <w:rPr>
          <w:rFonts w:ascii="Open Sans" w:hAnsi="Open Sans" w:cs="Open Sans"/>
          <w:sz w:val="20"/>
          <w:szCs w:val="20"/>
        </w:rPr>
      </w:pPr>
    </w:p>
    <w:p w14:paraId="3C292C7D" w14:textId="02C355B6" w:rsidR="00535CD8" w:rsidRPr="00D66B43" w:rsidRDefault="00535CD8" w:rsidP="0070020A">
      <w:pPr>
        <w:jc w:val="both"/>
        <w:rPr>
          <w:rFonts w:ascii="Open Sans" w:hAnsi="Open Sans" w:cs="Open Sans"/>
          <w:sz w:val="20"/>
          <w:szCs w:val="20"/>
        </w:rPr>
      </w:pPr>
      <w:r w:rsidRPr="00D66B43">
        <w:rPr>
          <w:rFonts w:ascii="Open Sans" w:hAnsi="Open Sans" w:cs="Open Sans"/>
          <w:sz w:val="20"/>
          <w:szCs w:val="20"/>
        </w:rPr>
        <w:t xml:space="preserve">Women report being denied medical care because of their status as </w:t>
      </w:r>
      <w:r w:rsidR="005B11E1" w:rsidRPr="00D66B43">
        <w:rPr>
          <w:rFonts w:ascii="Open Sans" w:hAnsi="Open Sans" w:cs="Open Sans"/>
          <w:sz w:val="20"/>
          <w:szCs w:val="20"/>
        </w:rPr>
        <w:t>women who use drugs</w:t>
      </w:r>
      <w:r w:rsidR="00986FEB" w:rsidRPr="00D66B43">
        <w:rPr>
          <w:rFonts w:ascii="Open Sans" w:hAnsi="Open Sans" w:cs="Open Sans"/>
          <w:sz w:val="20"/>
          <w:szCs w:val="20"/>
        </w:rPr>
        <w:t>, for pre-existing conditions, illnesses,</w:t>
      </w:r>
      <w:r w:rsidR="005B11E1" w:rsidRPr="00D66B43">
        <w:rPr>
          <w:rFonts w:ascii="Open Sans" w:hAnsi="Open Sans" w:cs="Open Sans"/>
          <w:sz w:val="20"/>
          <w:szCs w:val="20"/>
        </w:rPr>
        <w:t xml:space="preserve"> and</w:t>
      </w:r>
      <w:r w:rsidR="00D66B43">
        <w:rPr>
          <w:rFonts w:ascii="Open Sans" w:hAnsi="Open Sans" w:cs="Open Sans"/>
          <w:sz w:val="20"/>
          <w:szCs w:val="20"/>
        </w:rPr>
        <w:t xml:space="preserve"> when </w:t>
      </w:r>
      <w:r w:rsidR="00986FEB" w:rsidRPr="00D66B43">
        <w:rPr>
          <w:rFonts w:ascii="Open Sans" w:hAnsi="Open Sans" w:cs="Open Sans"/>
          <w:sz w:val="20"/>
          <w:szCs w:val="20"/>
        </w:rPr>
        <w:t>exp</w:t>
      </w:r>
      <w:r w:rsidR="00AF111D" w:rsidRPr="00D66B43">
        <w:rPr>
          <w:rFonts w:ascii="Open Sans" w:hAnsi="Open Sans" w:cs="Open Sans"/>
          <w:sz w:val="20"/>
          <w:szCs w:val="20"/>
        </w:rPr>
        <w:t xml:space="preserve">eriencing withdrawal symptoms. </w:t>
      </w:r>
      <w:r w:rsidR="005B11E1" w:rsidRPr="00D66B43">
        <w:rPr>
          <w:rFonts w:ascii="Open Sans" w:hAnsi="Open Sans" w:cs="Open Sans"/>
          <w:sz w:val="20"/>
          <w:szCs w:val="20"/>
        </w:rPr>
        <w:t>In recent research</w:t>
      </w:r>
      <w:r w:rsidR="00C969BF" w:rsidRPr="00D66B43">
        <w:rPr>
          <w:rFonts w:ascii="Open Sans" w:hAnsi="Open Sans" w:cs="Open Sans"/>
          <w:sz w:val="20"/>
          <w:szCs w:val="20"/>
        </w:rPr>
        <w:t xml:space="preserve"> conducted by HRI and SANPUD</w:t>
      </w:r>
      <w:r w:rsidR="005B11E1" w:rsidRPr="00D66B43">
        <w:rPr>
          <w:rFonts w:ascii="Open Sans" w:hAnsi="Open Sans" w:cs="Open Sans"/>
          <w:sz w:val="20"/>
          <w:szCs w:val="20"/>
        </w:rPr>
        <w:t>, w</w:t>
      </w:r>
      <w:r w:rsidR="00986FEB" w:rsidRPr="00D66B43">
        <w:rPr>
          <w:rFonts w:ascii="Open Sans" w:hAnsi="Open Sans" w:cs="Open Sans"/>
          <w:sz w:val="20"/>
          <w:szCs w:val="20"/>
        </w:rPr>
        <w:t>omen reported symptoms are s</w:t>
      </w:r>
      <w:r w:rsidR="00CE6D34" w:rsidRPr="00D66B43">
        <w:rPr>
          <w:rFonts w:ascii="Open Sans" w:hAnsi="Open Sans" w:cs="Open Sans"/>
          <w:sz w:val="20"/>
          <w:szCs w:val="20"/>
        </w:rPr>
        <w:t>o grave that at least one woman</w:t>
      </w:r>
      <w:r w:rsidR="0057467C" w:rsidRPr="00D66B43">
        <w:rPr>
          <w:rFonts w:ascii="Open Sans" w:hAnsi="Open Sans" w:cs="Open Sans"/>
          <w:sz w:val="20"/>
          <w:szCs w:val="20"/>
        </w:rPr>
        <w:t xml:space="preserve"> </w:t>
      </w:r>
      <w:r w:rsidR="00986FEB" w:rsidRPr="00D66B43">
        <w:rPr>
          <w:rFonts w:ascii="Open Sans" w:hAnsi="Open Sans" w:cs="Open Sans"/>
          <w:sz w:val="20"/>
          <w:szCs w:val="20"/>
        </w:rPr>
        <w:t>ended up committing suicide while in detention</w:t>
      </w:r>
      <w:r w:rsidR="005B11E1" w:rsidRPr="00D66B43">
        <w:rPr>
          <w:rFonts w:ascii="Open Sans" w:hAnsi="Open Sans" w:cs="Open Sans"/>
          <w:sz w:val="20"/>
          <w:szCs w:val="20"/>
        </w:rPr>
        <w:t>.</w:t>
      </w:r>
      <w:r w:rsidR="00986FEB" w:rsidRPr="00D66B43">
        <w:rPr>
          <w:rFonts w:ascii="Open Sans" w:hAnsi="Open Sans" w:cs="Open Sans"/>
          <w:sz w:val="20"/>
          <w:szCs w:val="20"/>
        </w:rPr>
        <w:t xml:space="preserve"> </w:t>
      </w:r>
    </w:p>
    <w:p w14:paraId="7922CF8C" w14:textId="72E877C7" w:rsidR="00CE6D34" w:rsidRPr="00D66B43" w:rsidRDefault="00CE6D34" w:rsidP="0070020A">
      <w:pPr>
        <w:jc w:val="both"/>
        <w:rPr>
          <w:rFonts w:ascii="Open Sans" w:hAnsi="Open Sans" w:cs="Open Sans"/>
          <w:sz w:val="20"/>
          <w:szCs w:val="20"/>
        </w:rPr>
      </w:pPr>
    </w:p>
    <w:p w14:paraId="5B4803C1" w14:textId="65C463AE" w:rsidR="00CE6D34" w:rsidRPr="00D66B43" w:rsidRDefault="00CE6D34" w:rsidP="0070020A">
      <w:pPr>
        <w:jc w:val="both"/>
        <w:rPr>
          <w:rFonts w:ascii="Open Sans" w:hAnsi="Open Sans" w:cs="Open Sans"/>
          <w:sz w:val="20"/>
          <w:szCs w:val="20"/>
        </w:rPr>
      </w:pPr>
    </w:p>
    <w:p w14:paraId="3A30FA9B" w14:textId="1677A130" w:rsidR="00CE6D34" w:rsidRPr="00D66B43" w:rsidRDefault="00CE6D34" w:rsidP="0070020A">
      <w:pPr>
        <w:jc w:val="both"/>
        <w:rPr>
          <w:rFonts w:ascii="Open Sans" w:hAnsi="Open Sans" w:cs="Open Sans"/>
          <w:sz w:val="20"/>
          <w:szCs w:val="20"/>
        </w:rPr>
      </w:pPr>
    </w:p>
    <w:p w14:paraId="066F599A" w14:textId="0238AF80" w:rsidR="00CE6D34" w:rsidRPr="00D66B43" w:rsidRDefault="00D66B43" w:rsidP="0070020A">
      <w:pPr>
        <w:jc w:val="both"/>
        <w:rPr>
          <w:rFonts w:ascii="Open Sans" w:hAnsi="Open Sans" w:cs="Open Sans"/>
          <w:b/>
          <w:bCs/>
          <w:sz w:val="20"/>
          <w:szCs w:val="20"/>
        </w:rPr>
      </w:pPr>
      <w:r w:rsidRPr="00D66B43">
        <w:rPr>
          <w:rFonts w:ascii="Open Sans" w:hAnsi="Open Sans" w:cs="Open Sans"/>
          <w:b/>
          <w:bCs/>
          <w:sz w:val="20"/>
          <w:szCs w:val="20"/>
        </w:rPr>
        <w:t>SUGGESTIONS FOR LIST OF ISSUES</w:t>
      </w:r>
    </w:p>
    <w:p w14:paraId="28FCA862" w14:textId="79F313F5" w:rsidR="00D82F46" w:rsidRPr="00D66B43" w:rsidRDefault="00D82F46" w:rsidP="0070020A">
      <w:pPr>
        <w:jc w:val="both"/>
        <w:rPr>
          <w:rFonts w:ascii="Open Sans" w:hAnsi="Open Sans" w:cs="Open Sans"/>
          <w:b/>
          <w:bCs/>
          <w:sz w:val="20"/>
          <w:szCs w:val="20"/>
        </w:rPr>
      </w:pPr>
    </w:p>
    <w:p w14:paraId="7D519CDB" w14:textId="39726D87" w:rsidR="00D82F46" w:rsidRPr="00D66B43" w:rsidRDefault="00D82F46" w:rsidP="0070020A">
      <w:pPr>
        <w:jc w:val="both"/>
        <w:rPr>
          <w:rFonts w:ascii="Open Sans" w:hAnsi="Open Sans" w:cs="Open Sans"/>
          <w:b/>
          <w:bCs/>
          <w:sz w:val="20"/>
          <w:szCs w:val="20"/>
        </w:rPr>
      </w:pPr>
    </w:p>
    <w:p w14:paraId="75E0A26A" w14:textId="16B4F2E0" w:rsidR="00D82F46" w:rsidRDefault="006B2AAE" w:rsidP="0070020A">
      <w:pPr>
        <w:jc w:val="both"/>
        <w:rPr>
          <w:rFonts w:ascii="Open Sans" w:hAnsi="Open Sans" w:cs="Open Sans"/>
          <w:sz w:val="20"/>
          <w:szCs w:val="20"/>
        </w:rPr>
      </w:pPr>
      <w:r>
        <w:rPr>
          <w:rFonts w:ascii="Open Sans" w:hAnsi="Open Sans" w:cs="Open Sans"/>
          <w:sz w:val="20"/>
          <w:szCs w:val="20"/>
        </w:rPr>
        <w:t>We</w:t>
      </w:r>
      <w:r w:rsidR="00D82F46" w:rsidRPr="00D66B43">
        <w:rPr>
          <w:rFonts w:ascii="Open Sans" w:hAnsi="Open Sans" w:cs="Open Sans"/>
          <w:sz w:val="20"/>
          <w:szCs w:val="20"/>
        </w:rPr>
        <w:t xml:space="preserve"> respectfully </w:t>
      </w:r>
      <w:r w:rsidR="00435197" w:rsidRPr="00D66B43">
        <w:rPr>
          <w:rFonts w:ascii="Open Sans" w:hAnsi="Open Sans" w:cs="Open Sans"/>
          <w:sz w:val="20"/>
          <w:szCs w:val="20"/>
        </w:rPr>
        <w:t>recommend</w:t>
      </w:r>
      <w:r w:rsidR="00D82F46" w:rsidRPr="00D66B43">
        <w:rPr>
          <w:rFonts w:ascii="Open Sans" w:hAnsi="Open Sans" w:cs="Open Sans"/>
          <w:sz w:val="20"/>
          <w:szCs w:val="20"/>
        </w:rPr>
        <w:t xml:space="preserve"> this Committee to </w:t>
      </w:r>
      <w:r>
        <w:rPr>
          <w:rFonts w:ascii="Open Sans" w:hAnsi="Open Sans" w:cs="Open Sans"/>
          <w:sz w:val="20"/>
          <w:szCs w:val="20"/>
        </w:rPr>
        <w:t>raise the above-described issues with the Government of South Africa, including by submitting</w:t>
      </w:r>
      <w:r w:rsidR="00D82F46" w:rsidRPr="00D66B43">
        <w:rPr>
          <w:rFonts w:ascii="Open Sans" w:hAnsi="Open Sans" w:cs="Open Sans"/>
          <w:sz w:val="20"/>
          <w:szCs w:val="20"/>
        </w:rPr>
        <w:t xml:space="preserve"> the following </w:t>
      </w:r>
      <w:r>
        <w:rPr>
          <w:rFonts w:ascii="Open Sans" w:hAnsi="Open Sans" w:cs="Open Sans"/>
          <w:sz w:val="20"/>
          <w:szCs w:val="20"/>
        </w:rPr>
        <w:t>questions</w:t>
      </w:r>
      <w:r w:rsidR="00D82F46" w:rsidRPr="00D66B43">
        <w:rPr>
          <w:rFonts w:ascii="Open Sans" w:hAnsi="Open Sans" w:cs="Open Sans"/>
          <w:sz w:val="20"/>
          <w:szCs w:val="20"/>
        </w:rPr>
        <w:t>:</w:t>
      </w:r>
    </w:p>
    <w:p w14:paraId="36D6281C" w14:textId="049B38E5" w:rsidR="006B2AAE" w:rsidRDefault="006B2AAE" w:rsidP="0070020A">
      <w:pPr>
        <w:jc w:val="both"/>
        <w:rPr>
          <w:rFonts w:ascii="Open Sans" w:hAnsi="Open Sans" w:cs="Open Sans"/>
          <w:sz w:val="20"/>
          <w:szCs w:val="20"/>
        </w:rPr>
      </w:pPr>
    </w:p>
    <w:p w14:paraId="51E2662F" w14:textId="366B385B" w:rsidR="006B2AAE" w:rsidRDefault="006B2AAE" w:rsidP="006B2AAE">
      <w:pPr>
        <w:pStyle w:val="ListParagraph"/>
        <w:numPr>
          <w:ilvl w:val="0"/>
          <w:numId w:val="7"/>
        </w:numPr>
        <w:jc w:val="both"/>
        <w:rPr>
          <w:rFonts w:ascii="Open Sans" w:hAnsi="Open Sans" w:cs="Open Sans"/>
          <w:sz w:val="20"/>
          <w:szCs w:val="20"/>
        </w:rPr>
      </w:pPr>
      <w:r>
        <w:rPr>
          <w:rFonts w:ascii="Open Sans" w:hAnsi="Open Sans" w:cs="Open Sans"/>
          <w:sz w:val="20"/>
          <w:szCs w:val="20"/>
        </w:rPr>
        <w:t>Elaborate on the compatibility of the criminalization of drug use and possession for personal use with its obligations under Article 2 CEDAW, and on how criminalization impacts upon the realization of other fundamental rights of women who use drugs;</w:t>
      </w:r>
    </w:p>
    <w:p w14:paraId="4A5DDBF1" w14:textId="77777777" w:rsidR="006B2AAE" w:rsidRDefault="006B2AAE" w:rsidP="006B2AAE">
      <w:pPr>
        <w:pStyle w:val="ListParagraph"/>
        <w:jc w:val="both"/>
        <w:rPr>
          <w:rFonts w:ascii="Open Sans" w:hAnsi="Open Sans" w:cs="Open Sans"/>
          <w:sz w:val="20"/>
          <w:szCs w:val="20"/>
        </w:rPr>
      </w:pPr>
    </w:p>
    <w:p w14:paraId="07508650" w14:textId="2DBA7BBE" w:rsidR="006B2AAE" w:rsidRDefault="006B2AAE" w:rsidP="006B2AAE">
      <w:pPr>
        <w:pStyle w:val="ListParagraph"/>
        <w:numPr>
          <w:ilvl w:val="0"/>
          <w:numId w:val="7"/>
        </w:numPr>
        <w:jc w:val="both"/>
        <w:rPr>
          <w:rFonts w:ascii="Open Sans" w:hAnsi="Open Sans" w:cs="Open Sans"/>
          <w:sz w:val="20"/>
          <w:szCs w:val="20"/>
        </w:rPr>
      </w:pPr>
      <w:r>
        <w:rPr>
          <w:rFonts w:ascii="Open Sans" w:hAnsi="Open Sans" w:cs="Open Sans"/>
          <w:sz w:val="20"/>
          <w:szCs w:val="20"/>
        </w:rPr>
        <w:t>Which measures has the government adopted to prevent violence (including sexual violence), arbitrary arrest, and discriminatory action by law enforcement against women who use drugs and women sex workers specifically? How was the effectiveness of these measures assessed?</w:t>
      </w:r>
    </w:p>
    <w:p w14:paraId="3E0ABAD3" w14:textId="77777777" w:rsidR="006B2AAE" w:rsidRPr="006B2AAE" w:rsidRDefault="006B2AAE" w:rsidP="006B2AAE">
      <w:pPr>
        <w:pStyle w:val="ListParagraph"/>
        <w:rPr>
          <w:rFonts w:ascii="Open Sans" w:hAnsi="Open Sans" w:cs="Open Sans"/>
          <w:sz w:val="20"/>
          <w:szCs w:val="20"/>
        </w:rPr>
      </w:pPr>
    </w:p>
    <w:p w14:paraId="6629E324" w14:textId="0BE38FB2" w:rsidR="006B2AAE" w:rsidRPr="006B2AAE" w:rsidRDefault="006B2AAE" w:rsidP="006B2AAE">
      <w:pPr>
        <w:pStyle w:val="ListParagraph"/>
        <w:numPr>
          <w:ilvl w:val="0"/>
          <w:numId w:val="7"/>
        </w:numPr>
        <w:jc w:val="both"/>
        <w:rPr>
          <w:rFonts w:ascii="Open Sans" w:hAnsi="Open Sans" w:cs="Open Sans"/>
          <w:sz w:val="20"/>
          <w:szCs w:val="20"/>
        </w:rPr>
      </w:pPr>
      <w:r>
        <w:rPr>
          <w:rFonts w:ascii="Open Sans" w:hAnsi="Open Sans" w:cs="Open Sans"/>
          <w:sz w:val="20"/>
          <w:szCs w:val="20"/>
        </w:rPr>
        <w:t>How many claims of arbitrary arrest and detention, physical and sexual violence have been submitted by women who use drugs and sex workers against law enforcement in the reporting period? How many of these have been investigated, how many individuals prosecuted, and what was the outcome of these proceedings?</w:t>
      </w:r>
      <w:r>
        <w:t xml:space="preserve"> </w:t>
      </w:r>
    </w:p>
    <w:p w14:paraId="170C7363" w14:textId="25A700F0" w:rsidR="006B2AAE" w:rsidRDefault="006B2AAE" w:rsidP="006B2AAE">
      <w:pPr>
        <w:pStyle w:val="ListParagraph"/>
        <w:rPr>
          <w:rFonts w:ascii="Open Sans" w:hAnsi="Open Sans" w:cs="Open Sans"/>
          <w:sz w:val="20"/>
          <w:szCs w:val="20"/>
        </w:rPr>
      </w:pPr>
    </w:p>
    <w:p w14:paraId="58FE19C3" w14:textId="7247DBA3" w:rsidR="009F3173" w:rsidRDefault="009F3173" w:rsidP="009F3173">
      <w:pPr>
        <w:pStyle w:val="ListParagraph"/>
        <w:numPr>
          <w:ilvl w:val="0"/>
          <w:numId w:val="7"/>
        </w:numPr>
        <w:jc w:val="both"/>
        <w:rPr>
          <w:rFonts w:ascii="Open Sans" w:hAnsi="Open Sans" w:cs="Open Sans"/>
          <w:sz w:val="20"/>
          <w:szCs w:val="20"/>
        </w:rPr>
      </w:pPr>
      <w:r>
        <w:rPr>
          <w:rFonts w:ascii="Open Sans" w:hAnsi="Open Sans" w:cs="Open Sans"/>
          <w:sz w:val="20"/>
          <w:szCs w:val="20"/>
        </w:rPr>
        <w:t>What measures have been adopted at the legislative, policy, and practical level to ensure women who use drugs have access to quality harm reduction services on a non-discriminatory basis?</w:t>
      </w:r>
    </w:p>
    <w:p w14:paraId="6D5B1E87" w14:textId="77777777" w:rsidR="009F3173" w:rsidRPr="009F3173" w:rsidRDefault="009F3173" w:rsidP="009F3173">
      <w:pPr>
        <w:pStyle w:val="ListParagraph"/>
        <w:rPr>
          <w:rFonts w:ascii="Open Sans" w:hAnsi="Open Sans" w:cs="Open Sans"/>
          <w:sz w:val="20"/>
          <w:szCs w:val="20"/>
        </w:rPr>
      </w:pPr>
    </w:p>
    <w:p w14:paraId="49C1DFF2" w14:textId="7EDC0211" w:rsidR="009F3173" w:rsidRPr="006B2AAE" w:rsidRDefault="009F3173" w:rsidP="009F3173">
      <w:pPr>
        <w:pStyle w:val="ListParagraph"/>
        <w:numPr>
          <w:ilvl w:val="0"/>
          <w:numId w:val="7"/>
        </w:numPr>
        <w:jc w:val="both"/>
        <w:rPr>
          <w:rFonts w:ascii="Open Sans" w:hAnsi="Open Sans" w:cs="Open Sans"/>
          <w:sz w:val="20"/>
          <w:szCs w:val="20"/>
        </w:rPr>
      </w:pPr>
      <w:r>
        <w:rPr>
          <w:rFonts w:ascii="Open Sans" w:hAnsi="Open Sans" w:cs="Open Sans"/>
          <w:sz w:val="20"/>
          <w:szCs w:val="20"/>
        </w:rPr>
        <w:t>Elaborate on the compatibility of the closure of the Needle and Syringe Programme in Durban with the prohibition of retrogressive measures enshrined in the Covenant on Economic, Social and Cultural Rights;</w:t>
      </w:r>
    </w:p>
    <w:p w14:paraId="12DBBCA6" w14:textId="571EB99F" w:rsidR="009F3173" w:rsidRPr="009F3173" w:rsidRDefault="009F3173" w:rsidP="009F3173">
      <w:pPr>
        <w:rPr>
          <w:rFonts w:ascii="Open Sans" w:hAnsi="Open Sans" w:cs="Open Sans"/>
          <w:sz w:val="20"/>
          <w:szCs w:val="20"/>
        </w:rPr>
      </w:pPr>
    </w:p>
    <w:p w14:paraId="340C61FA" w14:textId="56F34980" w:rsidR="006B2AAE" w:rsidRDefault="006B2AAE" w:rsidP="006B2AAE">
      <w:pPr>
        <w:pStyle w:val="ListParagraph"/>
        <w:numPr>
          <w:ilvl w:val="0"/>
          <w:numId w:val="7"/>
        </w:numPr>
        <w:jc w:val="both"/>
        <w:rPr>
          <w:rFonts w:ascii="Open Sans" w:hAnsi="Open Sans" w:cs="Open Sans"/>
          <w:sz w:val="20"/>
          <w:szCs w:val="20"/>
        </w:rPr>
      </w:pPr>
      <w:r>
        <w:rPr>
          <w:rFonts w:ascii="Open Sans" w:hAnsi="Open Sans" w:cs="Open Sans"/>
          <w:sz w:val="20"/>
          <w:szCs w:val="20"/>
        </w:rPr>
        <w:t>What measures has the government undertaken to ensure and monitor the implementation of the Mandela Rules, including with specific regard to the provisions on strip searches?</w:t>
      </w:r>
    </w:p>
    <w:p w14:paraId="33318351" w14:textId="77777777" w:rsidR="009F3173" w:rsidRPr="009F3173" w:rsidRDefault="009F3173" w:rsidP="009F3173">
      <w:pPr>
        <w:pStyle w:val="ListParagraph"/>
        <w:rPr>
          <w:rFonts w:ascii="Open Sans" w:hAnsi="Open Sans" w:cs="Open Sans"/>
          <w:sz w:val="20"/>
          <w:szCs w:val="20"/>
        </w:rPr>
      </w:pPr>
    </w:p>
    <w:p w14:paraId="4E579DF9" w14:textId="75B3A0CA" w:rsidR="009F3173" w:rsidRPr="009F3173" w:rsidRDefault="009F3173" w:rsidP="006B2AAE">
      <w:pPr>
        <w:pStyle w:val="ListParagraph"/>
        <w:numPr>
          <w:ilvl w:val="0"/>
          <w:numId w:val="7"/>
        </w:numPr>
        <w:jc w:val="both"/>
        <w:rPr>
          <w:rFonts w:ascii="Open Sans" w:hAnsi="Open Sans" w:cs="Open Sans"/>
          <w:sz w:val="20"/>
          <w:szCs w:val="20"/>
        </w:rPr>
      </w:pPr>
      <w:r>
        <w:rPr>
          <w:rFonts w:ascii="Open Sans" w:hAnsi="Open Sans" w:cs="Open Sans"/>
          <w:sz w:val="20"/>
          <w:szCs w:val="20"/>
        </w:rPr>
        <w:t xml:space="preserve">Elaborate </w:t>
      </w:r>
      <w:r w:rsidRPr="009F3173">
        <w:rPr>
          <w:rFonts w:ascii="Open Sans" w:hAnsi="Open Sans" w:cs="Open Sans"/>
          <w:sz w:val="20"/>
          <w:szCs w:val="20"/>
        </w:rPr>
        <w:t>on the compatibility of the lack of harm reduction services in prison with the right to health;</w:t>
      </w:r>
    </w:p>
    <w:p w14:paraId="451B47BA" w14:textId="77777777" w:rsidR="009F3173" w:rsidRPr="009F3173" w:rsidRDefault="009F3173" w:rsidP="009F3173">
      <w:pPr>
        <w:pStyle w:val="ListParagraph"/>
        <w:rPr>
          <w:rFonts w:ascii="Open Sans" w:hAnsi="Open Sans" w:cs="Open Sans"/>
          <w:sz w:val="20"/>
          <w:szCs w:val="20"/>
        </w:rPr>
      </w:pPr>
    </w:p>
    <w:p w14:paraId="6ECF4D61" w14:textId="51F1EB2B" w:rsidR="009F3173" w:rsidRPr="009F3173" w:rsidRDefault="009F3173" w:rsidP="003A3DB2">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Open Sans" w:hAnsi="Open Sans" w:cs="Open Sans"/>
          <w:sz w:val="20"/>
          <w:szCs w:val="20"/>
        </w:rPr>
      </w:pPr>
      <w:r w:rsidRPr="009F3173">
        <w:rPr>
          <w:rFonts w:ascii="Open Sans" w:hAnsi="Open Sans" w:cs="Open Sans"/>
          <w:sz w:val="20"/>
          <w:szCs w:val="20"/>
        </w:rPr>
        <w:t>Which measures have been adopted at the legislative, policy and practical level to prevent and redress discrimination against women who use drugs in healthcare services</w:t>
      </w:r>
      <w:r>
        <w:rPr>
          <w:rFonts w:ascii="Open Sans" w:hAnsi="Open Sans" w:cs="Open Sans"/>
          <w:sz w:val="20"/>
          <w:szCs w:val="20"/>
        </w:rPr>
        <w:t>?</w:t>
      </w:r>
    </w:p>
    <w:p w14:paraId="5571D4F0" w14:textId="36C75749" w:rsidR="00C77DDA" w:rsidRPr="007F4EA3" w:rsidRDefault="00C77DDA" w:rsidP="007F4EA3">
      <w:pPr>
        <w:pStyle w:val="ListParagraph"/>
        <w:jc w:val="both"/>
        <w:rPr>
          <w:rFonts w:ascii="Open Sans" w:hAnsi="Open Sans" w:cs="Open Sans"/>
          <w:sz w:val="20"/>
          <w:szCs w:val="20"/>
        </w:rPr>
      </w:pPr>
    </w:p>
    <w:sectPr w:rsidR="00C77DDA" w:rsidRPr="007F4EA3" w:rsidSect="00AB085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76FC8D" w14:textId="77777777" w:rsidR="00A638E6" w:rsidRDefault="00A638E6" w:rsidP="00582D3A">
      <w:r>
        <w:separator/>
      </w:r>
    </w:p>
  </w:endnote>
  <w:endnote w:type="continuationSeparator" w:id="0">
    <w:p w14:paraId="520C7559" w14:textId="77777777" w:rsidR="00A638E6" w:rsidRDefault="00A638E6" w:rsidP="00582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Open Sans">
    <w:altName w:val="Tahoma"/>
    <w:charset w:val="00"/>
    <w:family w:val="swiss"/>
    <w:pitch w:val="variable"/>
    <w:sig w:usb0="00000001"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CB2D0" w14:textId="77777777" w:rsidR="0057467C" w:rsidRDefault="0057467C" w:rsidP="0057467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D4A61D" w14:textId="77777777" w:rsidR="0057467C" w:rsidRDefault="0057467C" w:rsidP="0057467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F054E" w14:textId="45D8AE8D" w:rsidR="0057467C" w:rsidRDefault="0057467C" w:rsidP="0057467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E56FE">
      <w:rPr>
        <w:rStyle w:val="PageNumber"/>
        <w:noProof/>
      </w:rPr>
      <w:t>7</w:t>
    </w:r>
    <w:r>
      <w:rPr>
        <w:rStyle w:val="PageNumber"/>
      </w:rPr>
      <w:fldChar w:fldCharType="end"/>
    </w:r>
  </w:p>
  <w:p w14:paraId="114B4779" w14:textId="77777777" w:rsidR="0057467C" w:rsidRDefault="0057467C" w:rsidP="0057467C">
    <w:pPr>
      <w:pStyle w:val="Footer"/>
      <w:tabs>
        <w:tab w:val="clear" w:pos="9026"/>
        <w:tab w:val="right" w:pos="9000"/>
      </w:tabs>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17C578" w14:textId="77777777" w:rsidR="00A638E6" w:rsidRDefault="00A638E6" w:rsidP="00582D3A">
      <w:r>
        <w:separator/>
      </w:r>
    </w:p>
  </w:footnote>
  <w:footnote w:type="continuationSeparator" w:id="0">
    <w:p w14:paraId="5F4AC58B" w14:textId="77777777" w:rsidR="00A638E6" w:rsidRDefault="00A638E6" w:rsidP="00582D3A">
      <w:r>
        <w:continuationSeparator/>
      </w:r>
    </w:p>
  </w:footnote>
  <w:footnote w:id="1">
    <w:p w14:paraId="2F30AAD2" w14:textId="4327783E" w:rsidR="0057467C" w:rsidRPr="00D66B43" w:rsidRDefault="0057467C" w:rsidP="0071679B">
      <w:pPr>
        <w:pStyle w:val="FootnoteText"/>
        <w:rPr>
          <w:rFonts w:cs="Open Sans"/>
          <w:sz w:val="16"/>
          <w:szCs w:val="16"/>
        </w:rPr>
      </w:pPr>
      <w:r w:rsidRPr="00D66B43">
        <w:rPr>
          <w:rFonts w:cs="Open Sans"/>
          <w:sz w:val="16"/>
          <w:szCs w:val="16"/>
        </w:rPr>
        <w:t xml:space="preserve"> </w:t>
      </w:r>
      <w:r w:rsidRPr="00D66B43">
        <w:rPr>
          <w:rStyle w:val="FootnoteReference"/>
          <w:rFonts w:cs="Open Sans"/>
          <w:sz w:val="16"/>
          <w:szCs w:val="16"/>
        </w:rPr>
        <w:footnoteRef/>
      </w:r>
      <w:r w:rsidRPr="00D66B43">
        <w:rPr>
          <w:rFonts w:cs="Open Sans"/>
          <w:sz w:val="16"/>
          <w:szCs w:val="16"/>
        </w:rPr>
        <w:t xml:space="preserve"> Degenhardt, L. et al., 2017. ‘Global prevalence of injecting drug use and sociodemographic characteristics and prevalence of HIV, HBV, and HCV in people who inject drugs: a multistage systematic review.’ </w:t>
      </w:r>
      <w:r w:rsidRPr="00D66B43">
        <w:rPr>
          <w:rFonts w:cs="Open Sans"/>
          <w:i/>
          <w:sz w:val="16"/>
          <w:szCs w:val="16"/>
        </w:rPr>
        <w:t>Lancet Global Health</w:t>
      </w:r>
      <w:r w:rsidRPr="00D66B43">
        <w:rPr>
          <w:rFonts w:cs="Open Sans"/>
          <w:sz w:val="16"/>
          <w:szCs w:val="16"/>
        </w:rPr>
        <w:t>, 5(12), pp.1192-1207.</w:t>
      </w:r>
    </w:p>
  </w:footnote>
  <w:footnote w:id="2">
    <w:p w14:paraId="7915F4CE" w14:textId="77777777" w:rsidR="0057467C" w:rsidRPr="00D66B43" w:rsidRDefault="0057467C" w:rsidP="0071679B">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International AIDS Society, 2019. </w:t>
      </w:r>
      <w:r w:rsidRPr="00D66B43">
        <w:rPr>
          <w:rFonts w:cs="Open Sans"/>
          <w:i/>
          <w:sz w:val="16"/>
          <w:szCs w:val="16"/>
        </w:rPr>
        <w:t>Women who inject drugs: Overlooked, yet visible</w:t>
      </w:r>
      <w:r w:rsidRPr="00D66B43">
        <w:rPr>
          <w:rFonts w:cs="Open Sans"/>
          <w:sz w:val="16"/>
          <w:szCs w:val="16"/>
        </w:rPr>
        <w:t>. Geneva: International AIDS Society.</w:t>
      </w:r>
    </w:p>
  </w:footnote>
  <w:footnote w:id="3">
    <w:p w14:paraId="1079E84D" w14:textId="781CD799" w:rsidR="0057467C" w:rsidRPr="00D66B43" w:rsidRDefault="0057467C">
      <w:pPr>
        <w:pStyle w:val="FootnoteText"/>
        <w:rPr>
          <w:rFonts w:cs="Open Sans"/>
          <w:sz w:val="16"/>
          <w:szCs w:val="16"/>
          <w:lang w:val="en-GB"/>
        </w:rPr>
      </w:pPr>
      <w:r w:rsidRPr="00D66B43">
        <w:rPr>
          <w:rStyle w:val="FootnoteReference"/>
          <w:rFonts w:cs="Open Sans"/>
          <w:sz w:val="16"/>
          <w:szCs w:val="16"/>
        </w:rPr>
        <w:footnoteRef/>
      </w:r>
      <w:r w:rsidRPr="00D66B43">
        <w:rPr>
          <w:rFonts w:cs="Open Sans"/>
          <w:sz w:val="16"/>
          <w:szCs w:val="16"/>
        </w:rPr>
        <w:t xml:space="preserve"> </w:t>
      </w:r>
      <w:r w:rsidRPr="00D66B43">
        <w:rPr>
          <w:rFonts w:cs="Open Sans"/>
          <w:sz w:val="16"/>
          <w:szCs w:val="16"/>
          <w:lang w:val="en-GB"/>
        </w:rPr>
        <w:t>CEDAW AND WWUD, p. 8.</w:t>
      </w:r>
    </w:p>
  </w:footnote>
  <w:footnote w:id="4">
    <w:p w14:paraId="6D84797C" w14:textId="60F84143" w:rsidR="0057467C" w:rsidRPr="00D66B43" w:rsidRDefault="0057467C">
      <w:pPr>
        <w:pStyle w:val="FootnoteText"/>
        <w:rPr>
          <w:rFonts w:cs="Open Sans"/>
          <w:sz w:val="16"/>
          <w:szCs w:val="16"/>
          <w:lang w:val="en-GB"/>
        </w:rPr>
      </w:pPr>
      <w:r w:rsidRPr="00D66B43">
        <w:rPr>
          <w:rStyle w:val="FootnoteReference"/>
          <w:rFonts w:cs="Open Sans"/>
          <w:sz w:val="16"/>
          <w:szCs w:val="16"/>
        </w:rPr>
        <w:footnoteRef/>
      </w:r>
      <w:r w:rsidRPr="00D66B43">
        <w:rPr>
          <w:rFonts w:cs="Open Sans"/>
          <w:sz w:val="16"/>
          <w:szCs w:val="16"/>
        </w:rPr>
        <w:t xml:space="preserve"> </w:t>
      </w:r>
      <w:r w:rsidRPr="00D66B43">
        <w:rPr>
          <w:rFonts w:cs="Open Sans"/>
          <w:sz w:val="16"/>
          <w:szCs w:val="16"/>
          <w:lang w:val="en-GB"/>
        </w:rPr>
        <w:t>Ibid., p.9.</w:t>
      </w:r>
    </w:p>
  </w:footnote>
  <w:footnote w:id="5">
    <w:p w14:paraId="4F8AE745" w14:textId="77777777" w:rsidR="0057467C" w:rsidRPr="00D66B43" w:rsidRDefault="0057467C" w:rsidP="001A12C0">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Des Jarlais D. C. et al., 2012. ‘Are females who inject drugs at higher risk for HIV infection than males who inject drugs: an international systematic review of high seroprevalence areas.’ </w:t>
      </w:r>
      <w:r w:rsidRPr="00D66B43">
        <w:rPr>
          <w:rFonts w:cs="Open Sans"/>
          <w:i/>
          <w:sz w:val="16"/>
          <w:szCs w:val="16"/>
        </w:rPr>
        <w:t>Drug Alcohol Depend</w:t>
      </w:r>
      <w:r w:rsidRPr="00D66B43">
        <w:rPr>
          <w:rFonts w:cs="Open Sans"/>
          <w:sz w:val="16"/>
          <w:szCs w:val="16"/>
        </w:rPr>
        <w:t xml:space="preserve"> 124(2), pp.95–107.</w:t>
      </w:r>
    </w:p>
  </w:footnote>
  <w:footnote w:id="6">
    <w:p w14:paraId="7D055A66" w14:textId="77777777" w:rsidR="0057467C" w:rsidRPr="00D66B43" w:rsidRDefault="0057467C" w:rsidP="004E33C2">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Republic of South Africa, 1992. </w:t>
      </w:r>
      <w:r w:rsidRPr="00D66B43">
        <w:rPr>
          <w:rFonts w:cs="Open Sans"/>
          <w:i/>
          <w:sz w:val="16"/>
          <w:szCs w:val="16"/>
        </w:rPr>
        <w:t>Drugs and Drug Trafficking Act.</w:t>
      </w:r>
    </w:p>
  </w:footnote>
  <w:footnote w:id="7">
    <w:p w14:paraId="70B25581" w14:textId="77777777" w:rsidR="00AF111D" w:rsidRPr="00D66B43" w:rsidRDefault="00AF111D" w:rsidP="004E33C2">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Pinkham, S. &amp; Malinowska-Sempruch, K., 2008. ‘Women, harm reduction and HIV.’ </w:t>
      </w:r>
      <w:r w:rsidRPr="00D66B43">
        <w:rPr>
          <w:rFonts w:cs="Open Sans"/>
          <w:i/>
          <w:sz w:val="16"/>
          <w:szCs w:val="16"/>
        </w:rPr>
        <w:t xml:space="preserve">Reprod Health Matters, </w:t>
      </w:r>
      <w:r w:rsidRPr="00D66B43">
        <w:rPr>
          <w:rFonts w:cs="Open Sans"/>
          <w:sz w:val="16"/>
          <w:szCs w:val="16"/>
        </w:rPr>
        <w:t xml:space="preserve">16(31), pp.168–81; Azim, T. et al., 2015. ‘Women, drugs and HIV.’ </w:t>
      </w:r>
      <w:r w:rsidRPr="00D66B43">
        <w:rPr>
          <w:rFonts w:cs="Open Sans"/>
          <w:i/>
          <w:sz w:val="16"/>
          <w:szCs w:val="16"/>
        </w:rPr>
        <w:t>Int J Drug Policy</w:t>
      </w:r>
      <w:r w:rsidRPr="00D66B43">
        <w:rPr>
          <w:rFonts w:cs="Open Sans"/>
          <w:sz w:val="16"/>
          <w:szCs w:val="16"/>
        </w:rPr>
        <w:t xml:space="preserve">, 26(Suppl 1), pp.16-21; Rusakova, M. et al., 2015. ‘Why are sex workers who use substances at risk for HIV?’ </w:t>
      </w:r>
      <w:r w:rsidRPr="00D66B43">
        <w:rPr>
          <w:rFonts w:cs="Open Sans"/>
          <w:i/>
          <w:sz w:val="16"/>
          <w:szCs w:val="16"/>
        </w:rPr>
        <w:t>The Lancet,</w:t>
      </w:r>
      <w:r w:rsidRPr="00D66B43">
        <w:rPr>
          <w:rFonts w:cs="Open Sans"/>
          <w:sz w:val="16"/>
          <w:szCs w:val="16"/>
        </w:rPr>
        <w:t xml:space="preserve"> 385(9964), pp.211–2; Deering, K. N., 1999. ‘Client demands for unsafe sex: The socio-economic risk environment for HIV among street and off-street sex.’ </w:t>
      </w:r>
      <w:r w:rsidRPr="00D66B43">
        <w:rPr>
          <w:rFonts w:cs="Open Sans"/>
          <w:i/>
          <w:sz w:val="16"/>
          <w:szCs w:val="16"/>
        </w:rPr>
        <w:t>J Acquired Immune Defic Syndr</w:t>
      </w:r>
      <w:r w:rsidRPr="00D66B43">
        <w:rPr>
          <w:rFonts w:cs="Open Sans"/>
          <w:sz w:val="16"/>
          <w:szCs w:val="16"/>
        </w:rPr>
        <w:t xml:space="preserve">, 63(4), pp.522-31; Tran, T. N., 2004. ‘Drug use, sexual behaviours and practices among female sex workers in Hanoi, Viet Nam – a qualitative study.’ </w:t>
      </w:r>
      <w:r w:rsidRPr="00D66B43">
        <w:rPr>
          <w:rFonts w:cs="Open Sans"/>
          <w:i/>
          <w:sz w:val="16"/>
          <w:szCs w:val="16"/>
        </w:rPr>
        <w:t>Int J Drug Policy</w:t>
      </w:r>
      <w:r w:rsidRPr="00D66B43">
        <w:rPr>
          <w:rFonts w:cs="Open Sans"/>
          <w:sz w:val="16"/>
          <w:szCs w:val="16"/>
        </w:rPr>
        <w:t xml:space="preserve">, 15(3), pp.189-95; UNAIDS, 2009. </w:t>
      </w:r>
      <w:r w:rsidRPr="00D66B43">
        <w:rPr>
          <w:rFonts w:cs="Open Sans"/>
          <w:i/>
          <w:sz w:val="16"/>
          <w:szCs w:val="16"/>
        </w:rPr>
        <w:t>Guidance note on HIV and sex work</w:t>
      </w:r>
      <w:r w:rsidRPr="00D66B43">
        <w:rPr>
          <w:rFonts w:cs="Open Sans"/>
          <w:sz w:val="16"/>
          <w:szCs w:val="16"/>
        </w:rPr>
        <w:t>. Geneva: Joint United Nations Programme on HIV/AIDS.</w:t>
      </w:r>
    </w:p>
  </w:footnote>
  <w:footnote w:id="8">
    <w:p w14:paraId="04872536" w14:textId="77777777" w:rsidR="00AF111D" w:rsidRPr="00D66B43" w:rsidRDefault="00AF111D" w:rsidP="004E33C2">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Pinkham, S. &amp; Malinowska-Sempruch, K., 2008. ‘Women, harm reduction and HIV.’ </w:t>
      </w:r>
      <w:r w:rsidRPr="00D66B43">
        <w:rPr>
          <w:rFonts w:cs="Open Sans"/>
          <w:i/>
          <w:sz w:val="16"/>
          <w:szCs w:val="16"/>
        </w:rPr>
        <w:t xml:space="preserve">Reprod Health Matters, </w:t>
      </w:r>
      <w:r w:rsidRPr="00D66B43">
        <w:rPr>
          <w:rFonts w:cs="Open Sans"/>
          <w:sz w:val="16"/>
          <w:szCs w:val="16"/>
        </w:rPr>
        <w:t>16(31), pp.168–81.</w:t>
      </w:r>
    </w:p>
  </w:footnote>
  <w:footnote w:id="9">
    <w:p w14:paraId="0FC54E9B" w14:textId="77777777" w:rsidR="00AF111D" w:rsidRPr="00D66B43" w:rsidRDefault="00AF111D" w:rsidP="000E34D1">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El-Bassel, N. &amp; Strathdee, S. A., 1999. ‘Women who use or inject drugs: an action agenda for women-specific, multilevel and combination HIV prevention and research.’ </w:t>
      </w:r>
      <w:r w:rsidRPr="00D66B43">
        <w:rPr>
          <w:rFonts w:cs="Open Sans"/>
          <w:i/>
          <w:sz w:val="16"/>
          <w:szCs w:val="16"/>
        </w:rPr>
        <w:t>J Acquir Immune Defic Syndr,</w:t>
      </w:r>
      <w:r w:rsidRPr="00D66B43">
        <w:rPr>
          <w:rFonts w:cs="Open Sans"/>
          <w:sz w:val="16"/>
          <w:szCs w:val="16"/>
        </w:rPr>
        <w:t xml:space="preserve"> 1(69, Suppl 2), pp.182–90.</w:t>
      </w:r>
    </w:p>
  </w:footnote>
  <w:footnote w:id="10">
    <w:p w14:paraId="1F653C98" w14:textId="77777777" w:rsidR="00AF111D" w:rsidRPr="00D66B43" w:rsidRDefault="00AF111D" w:rsidP="000E34D1">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Shannon, K. &amp; Csete, J., 2010. ‘Violence, condom negotiation, and HIV/STI risk among sex workers.’ </w:t>
      </w:r>
      <w:r w:rsidRPr="00D66B43">
        <w:rPr>
          <w:rFonts w:cs="Open Sans"/>
          <w:i/>
          <w:sz w:val="16"/>
          <w:szCs w:val="16"/>
        </w:rPr>
        <w:t xml:space="preserve">JAMA, </w:t>
      </w:r>
      <w:r w:rsidRPr="00D66B43">
        <w:rPr>
          <w:rFonts w:cs="Open Sans"/>
          <w:sz w:val="16"/>
          <w:szCs w:val="16"/>
        </w:rPr>
        <w:t>4(5), pp.573–4.</w:t>
      </w:r>
    </w:p>
  </w:footnote>
  <w:footnote w:id="11">
    <w:p w14:paraId="09D2541C" w14:textId="77777777" w:rsidR="00AF111D" w:rsidRPr="00D66B43" w:rsidRDefault="00AF111D" w:rsidP="000E34D1">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El-Bassel, N. &amp; Strathdee, S. A., 1999. ‘Women who use or inject drugs: an action agenda for women-specific, multilevel and combination HIV prevention and research.’ </w:t>
      </w:r>
      <w:r w:rsidRPr="00D66B43">
        <w:rPr>
          <w:rFonts w:cs="Open Sans"/>
          <w:i/>
          <w:sz w:val="16"/>
          <w:szCs w:val="16"/>
          <w:lang w:val="fr-BE"/>
        </w:rPr>
        <w:t xml:space="preserve">J Acquir Immune Defic Syndr, </w:t>
      </w:r>
      <w:r w:rsidRPr="00D66B43">
        <w:rPr>
          <w:rFonts w:cs="Open Sans"/>
          <w:sz w:val="16"/>
          <w:szCs w:val="16"/>
          <w:lang w:val="fr-BE"/>
        </w:rPr>
        <w:t xml:space="preserve">1(69, Suppl 2), pp.182–90; Rusakova, M. et al., 2015. </w:t>
      </w:r>
      <w:r w:rsidRPr="00D66B43">
        <w:rPr>
          <w:rFonts w:cs="Open Sans"/>
          <w:sz w:val="16"/>
          <w:szCs w:val="16"/>
        </w:rPr>
        <w:t xml:space="preserve">‘Why are sex workers who use substances at risk for HIV?’ </w:t>
      </w:r>
      <w:r w:rsidRPr="00D66B43">
        <w:rPr>
          <w:rFonts w:cs="Open Sans"/>
          <w:i/>
          <w:sz w:val="16"/>
          <w:szCs w:val="16"/>
        </w:rPr>
        <w:t>The Lancet</w:t>
      </w:r>
      <w:r w:rsidRPr="00D66B43">
        <w:rPr>
          <w:rFonts w:cs="Open Sans"/>
          <w:sz w:val="16"/>
          <w:szCs w:val="16"/>
        </w:rPr>
        <w:t>. 385(9964), pp.211–2.</w:t>
      </w:r>
    </w:p>
  </w:footnote>
  <w:footnote w:id="12">
    <w:p w14:paraId="1E298310" w14:textId="77777777" w:rsidR="00AF111D" w:rsidRPr="00D66B43" w:rsidRDefault="00AF111D" w:rsidP="000E34D1">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Azim, T. et al., 2015. ‘Women, drugs and HIV.’ </w:t>
      </w:r>
      <w:r w:rsidRPr="00D66B43">
        <w:rPr>
          <w:rFonts w:cs="Open Sans"/>
          <w:i/>
          <w:sz w:val="16"/>
          <w:szCs w:val="16"/>
        </w:rPr>
        <w:t>Int J Drug Policy</w:t>
      </w:r>
      <w:r w:rsidRPr="00D66B43">
        <w:rPr>
          <w:rFonts w:cs="Open Sans"/>
          <w:sz w:val="16"/>
          <w:szCs w:val="16"/>
        </w:rPr>
        <w:t xml:space="preserve"> 26(Suppl 1), pp.16-21; Davis, S. L. et al., 2009. ‘Survey of abuses against injecting drug users in Indonesia.’ Harm Reduct J, 24(1), pp.28.</w:t>
      </w:r>
    </w:p>
  </w:footnote>
  <w:footnote w:id="13">
    <w:p w14:paraId="261B9278" w14:textId="26B89204" w:rsidR="00AF111D" w:rsidRPr="00D66B43" w:rsidRDefault="00AF111D">
      <w:pPr>
        <w:pStyle w:val="FootnoteText"/>
        <w:rPr>
          <w:rFonts w:cs="Open Sans"/>
          <w:sz w:val="16"/>
          <w:szCs w:val="16"/>
          <w:lang w:val="en-GB"/>
        </w:rPr>
      </w:pPr>
      <w:r w:rsidRPr="00D66B43">
        <w:rPr>
          <w:rStyle w:val="FootnoteReference"/>
          <w:rFonts w:cs="Open Sans"/>
          <w:sz w:val="16"/>
          <w:szCs w:val="16"/>
        </w:rPr>
        <w:footnoteRef/>
      </w:r>
      <w:r w:rsidRPr="00D66B43">
        <w:rPr>
          <w:rFonts w:cs="Open Sans"/>
          <w:sz w:val="16"/>
          <w:szCs w:val="16"/>
        </w:rPr>
        <w:t xml:space="preserve"> </w:t>
      </w:r>
      <w:r w:rsidRPr="00D66B43">
        <w:rPr>
          <w:rFonts w:cs="Open Sans"/>
          <w:sz w:val="16"/>
          <w:szCs w:val="16"/>
          <w:lang w:val="en-GB"/>
        </w:rPr>
        <w:t>CEDAW (Twentieth Session:1999), General Recommendation no. 24: Article 12 of the Convention (women and health).</w:t>
      </w:r>
    </w:p>
  </w:footnote>
  <w:footnote w:id="14">
    <w:p w14:paraId="39AC5502" w14:textId="77777777" w:rsidR="00AF111D" w:rsidRPr="00D66B43" w:rsidRDefault="00AF111D" w:rsidP="000E34D1">
      <w:pPr>
        <w:pStyle w:val="FootnoteText"/>
        <w:contextualSpacing/>
        <w:rPr>
          <w:rFonts w:cs="Open Sans"/>
          <w:color w:val="000000" w:themeColor="text1"/>
          <w:sz w:val="16"/>
          <w:szCs w:val="16"/>
        </w:rPr>
      </w:pPr>
      <w:r w:rsidRPr="00D66B43">
        <w:rPr>
          <w:rStyle w:val="FootnoteReference"/>
          <w:rFonts w:cs="Open Sans"/>
          <w:sz w:val="16"/>
          <w:szCs w:val="16"/>
        </w:rPr>
        <w:footnoteRef/>
      </w:r>
      <w:r w:rsidRPr="00D66B43">
        <w:rPr>
          <w:rFonts w:cs="Open Sans"/>
          <w:color w:val="000000" w:themeColor="text1"/>
          <w:sz w:val="16"/>
          <w:szCs w:val="16"/>
        </w:rPr>
        <w:t xml:space="preserve"> Among others, see: </w:t>
      </w:r>
      <w:r w:rsidRPr="00D66B43">
        <w:rPr>
          <w:rFonts w:cs="Open Sans"/>
          <w:sz w:val="16"/>
          <w:szCs w:val="16"/>
        </w:rPr>
        <w:t>Paul Hunt, ‘Human rights, health, and harm reduction’, 8;</w:t>
      </w:r>
      <w:r w:rsidRPr="00D66B43">
        <w:rPr>
          <w:rFonts w:cs="Open Sans"/>
          <w:color w:val="000000" w:themeColor="text1"/>
          <w:sz w:val="16"/>
          <w:szCs w:val="16"/>
        </w:rPr>
        <w:t xml:space="preserve"> Report of the Special Rapporteur on the right of everyone to the enjoyment of the highest attainable standard of physical and mental health, Anand Grover(2010) A/65/255, para. 55; CESCR, Concluding Observations on the combined initial and second periodic reports of Thailand, UN Doc. E//C.12/THA/CO/1-2; CEDAW, Concluding Observations on the combined fourth and fifth periodic reports of Georgia (2014), UN Doc. CEDAW/C/GEO/CO/4-5, para. 31(e); Report of the Special Rapporteur on the right of everyone to the enjoyment of the highest attainable standard of physical and mental health, Anand Grover, Mission to Poland (2010) A/HRC/14/20/Add.3, para. 86; CESCR, 2016, Concluding Observations on the sixth periodic report of Sweden. UN Doc. E/C.12/SWE/CO/6.</w:t>
      </w:r>
    </w:p>
    <w:p w14:paraId="2345EE2B" w14:textId="77777777" w:rsidR="00AF111D" w:rsidRPr="00D66B43" w:rsidRDefault="00AF111D" w:rsidP="000E34D1">
      <w:pPr>
        <w:pStyle w:val="FootnoteText"/>
        <w:contextualSpacing/>
        <w:rPr>
          <w:rFonts w:cs="Open Sans"/>
          <w:color w:val="000000" w:themeColor="text1"/>
          <w:sz w:val="16"/>
          <w:szCs w:val="16"/>
        </w:rPr>
      </w:pPr>
      <w:r w:rsidRPr="00D66B43">
        <w:rPr>
          <w:rFonts w:cs="Open Sans"/>
          <w:color w:val="000000" w:themeColor="text1"/>
          <w:sz w:val="16"/>
          <w:szCs w:val="16"/>
        </w:rPr>
        <w:t>For more information, see: International Centre on Human Rights and Drug Policy/UNDP, International Guidelines on Human Rights and Drug Policy</w:t>
      </w:r>
    </w:p>
  </w:footnote>
  <w:footnote w:id="15">
    <w:p w14:paraId="4CCEA330" w14:textId="77777777" w:rsidR="00AF111D" w:rsidRPr="00D66B43" w:rsidRDefault="00AF111D" w:rsidP="000E34D1">
      <w:pPr>
        <w:pStyle w:val="FootnoteText"/>
        <w:contextualSpacing/>
        <w:rPr>
          <w:rFonts w:cs="Open Sans"/>
          <w:sz w:val="16"/>
          <w:szCs w:val="16"/>
          <w:lang w:val="en-GB"/>
        </w:rPr>
      </w:pPr>
      <w:r w:rsidRPr="00D66B43">
        <w:rPr>
          <w:rStyle w:val="FootnoteReference"/>
          <w:rFonts w:cs="Open Sans"/>
          <w:sz w:val="16"/>
          <w:szCs w:val="16"/>
        </w:rPr>
        <w:footnoteRef/>
      </w:r>
      <w:r w:rsidRPr="00D66B43">
        <w:rPr>
          <w:rFonts w:cs="Open Sans"/>
          <w:sz w:val="16"/>
          <w:szCs w:val="16"/>
          <w:lang w:val="en-GB"/>
        </w:rPr>
        <w:t>In CEDAW/C/GEO/CO/4-5 and CEDAW/C/CAN/CO/8-9.</w:t>
      </w:r>
    </w:p>
  </w:footnote>
  <w:footnote w:id="16">
    <w:p w14:paraId="2E5751CA" w14:textId="77777777" w:rsidR="00AF111D" w:rsidRPr="00D66B43" w:rsidRDefault="00AF111D" w:rsidP="000E34D1">
      <w:pPr>
        <w:pStyle w:val="FootnoteText"/>
        <w:contextualSpacing/>
        <w:rPr>
          <w:rFonts w:cs="Open Sans"/>
          <w:sz w:val="16"/>
          <w:szCs w:val="16"/>
          <w:lang w:val="en-GB"/>
        </w:rPr>
      </w:pPr>
      <w:r w:rsidRPr="00D66B43">
        <w:rPr>
          <w:rStyle w:val="FootnoteReference"/>
          <w:rFonts w:cs="Open Sans"/>
          <w:sz w:val="16"/>
          <w:szCs w:val="16"/>
        </w:rPr>
        <w:footnoteRef/>
      </w:r>
      <w:r w:rsidRPr="00D66B43">
        <w:rPr>
          <w:rFonts w:cs="Open Sans"/>
          <w:sz w:val="16"/>
          <w:szCs w:val="16"/>
          <w:lang w:val="en-GB"/>
        </w:rPr>
        <w:t xml:space="preserve">In E/C.12/RUS/CO/5, E/C.12/LTU/CO/2, E/C.12/EST/CO/2 and E/C.12/UKR/CO/5. </w:t>
      </w:r>
    </w:p>
  </w:footnote>
  <w:footnote w:id="17">
    <w:p w14:paraId="66E974B1" w14:textId="77777777" w:rsidR="00AF111D" w:rsidRPr="00D66B43" w:rsidRDefault="00AF111D" w:rsidP="000E34D1">
      <w:pPr>
        <w:pStyle w:val="FootnoteText"/>
        <w:contextualSpacing/>
        <w:rPr>
          <w:rFonts w:eastAsiaTheme="minorHAnsi" w:cs="Open Sans"/>
          <w:sz w:val="16"/>
          <w:szCs w:val="16"/>
          <w:lang w:val="en-GB" w:eastAsia="en-US"/>
        </w:rPr>
      </w:pPr>
      <w:r w:rsidRPr="00D66B43">
        <w:rPr>
          <w:rStyle w:val="FootnoteReference"/>
          <w:rFonts w:cs="Open Sans"/>
          <w:sz w:val="16"/>
          <w:szCs w:val="16"/>
        </w:rPr>
        <w:footnoteRef/>
      </w:r>
      <w:r w:rsidRPr="00D66B43">
        <w:rPr>
          <w:rFonts w:cs="Open Sans"/>
          <w:sz w:val="16"/>
          <w:szCs w:val="16"/>
          <w:lang w:val="en-GB"/>
        </w:rPr>
        <w:t>In its resolution 65/277.</w:t>
      </w:r>
    </w:p>
  </w:footnote>
  <w:footnote w:id="18">
    <w:p w14:paraId="252EA0FD" w14:textId="77777777" w:rsidR="00AF111D" w:rsidRPr="00D66B43" w:rsidRDefault="00AF111D" w:rsidP="000E34D1">
      <w:pPr>
        <w:pStyle w:val="FootnoteText"/>
        <w:contextualSpacing/>
        <w:rPr>
          <w:rFonts w:cs="Open Sans"/>
          <w:sz w:val="16"/>
          <w:szCs w:val="16"/>
          <w:lang w:val="en-GB"/>
        </w:rPr>
      </w:pPr>
      <w:r w:rsidRPr="00D66B43">
        <w:rPr>
          <w:rStyle w:val="FootnoteReference"/>
          <w:rFonts w:cs="Open Sans"/>
          <w:sz w:val="16"/>
          <w:szCs w:val="16"/>
        </w:rPr>
        <w:footnoteRef/>
      </w:r>
      <w:r w:rsidRPr="00D66B43">
        <w:rPr>
          <w:rFonts w:cs="Open Sans"/>
          <w:sz w:val="16"/>
          <w:szCs w:val="16"/>
          <w:lang w:val="en-GB"/>
        </w:rPr>
        <w:t>In its resolution 12/27.</w:t>
      </w:r>
    </w:p>
  </w:footnote>
  <w:footnote w:id="19">
    <w:p w14:paraId="08E2D8F7" w14:textId="77777777" w:rsidR="00AF111D" w:rsidRPr="00D66B43" w:rsidRDefault="00AF111D" w:rsidP="000E34D1">
      <w:pPr>
        <w:pStyle w:val="FootnoteText"/>
        <w:contextualSpacing/>
        <w:rPr>
          <w:rFonts w:cs="Open Sans"/>
          <w:sz w:val="16"/>
          <w:szCs w:val="16"/>
          <w:lang w:val="en-GB"/>
        </w:rPr>
      </w:pPr>
      <w:r w:rsidRPr="00D66B43">
        <w:rPr>
          <w:rStyle w:val="FootnoteReference"/>
          <w:rFonts w:cs="Open Sans"/>
          <w:sz w:val="16"/>
          <w:szCs w:val="16"/>
        </w:rPr>
        <w:footnoteRef/>
      </w:r>
      <w:r w:rsidRPr="00D66B43">
        <w:rPr>
          <w:rFonts w:cs="Open Sans"/>
          <w:sz w:val="16"/>
          <w:szCs w:val="16"/>
          <w:lang w:val="en-GB"/>
        </w:rPr>
        <w:t>See the Committee’s general comment No. 15 (2013) on the right of the child to the enjoyment of the highest attainable standard of health.</w:t>
      </w:r>
    </w:p>
  </w:footnote>
  <w:footnote w:id="20">
    <w:p w14:paraId="01AA210D" w14:textId="77777777" w:rsidR="00AF111D" w:rsidRPr="00D66B43" w:rsidRDefault="00AF111D" w:rsidP="000E34D1">
      <w:pPr>
        <w:pStyle w:val="FootnoteText"/>
        <w:contextualSpacing/>
        <w:rPr>
          <w:rFonts w:cs="Open Sans"/>
          <w:sz w:val="16"/>
          <w:szCs w:val="16"/>
          <w:lang w:val="en-GB"/>
        </w:rPr>
      </w:pPr>
      <w:r w:rsidRPr="00D66B43">
        <w:rPr>
          <w:rStyle w:val="FootnoteReference"/>
          <w:rFonts w:cs="Open Sans"/>
          <w:sz w:val="16"/>
          <w:szCs w:val="16"/>
        </w:rPr>
        <w:footnoteRef/>
      </w:r>
      <w:r w:rsidRPr="00D66B43">
        <w:rPr>
          <w:rFonts w:cs="Open Sans"/>
          <w:sz w:val="16"/>
          <w:szCs w:val="16"/>
          <w:lang w:val="en-GB"/>
        </w:rPr>
        <w:t>In A/65/255.</w:t>
      </w:r>
    </w:p>
  </w:footnote>
  <w:footnote w:id="21">
    <w:p w14:paraId="76C28E5E" w14:textId="77777777" w:rsidR="00AF111D" w:rsidRPr="00D66B43" w:rsidRDefault="00AF111D" w:rsidP="000E34D1">
      <w:pPr>
        <w:pStyle w:val="FootnoteText"/>
        <w:contextualSpacing/>
        <w:rPr>
          <w:rFonts w:cs="Open Sans"/>
          <w:sz w:val="16"/>
          <w:szCs w:val="16"/>
          <w:lang w:val="en-GB"/>
        </w:rPr>
      </w:pPr>
      <w:r w:rsidRPr="00D66B43">
        <w:rPr>
          <w:rStyle w:val="FootnoteReference"/>
          <w:rFonts w:cs="Open Sans"/>
          <w:sz w:val="16"/>
          <w:szCs w:val="16"/>
        </w:rPr>
        <w:footnoteRef/>
      </w:r>
      <w:r w:rsidRPr="00D66B43">
        <w:rPr>
          <w:rFonts w:cs="Open Sans"/>
          <w:sz w:val="16"/>
          <w:szCs w:val="16"/>
          <w:lang w:val="en-GB"/>
        </w:rPr>
        <w:t>In A/HRC/22/53.</w:t>
      </w:r>
    </w:p>
  </w:footnote>
  <w:footnote w:id="22">
    <w:p w14:paraId="20DC9128" w14:textId="77777777" w:rsidR="00AF111D" w:rsidRPr="00D66B43" w:rsidRDefault="00AF111D" w:rsidP="000E34D1">
      <w:pPr>
        <w:pStyle w:val="FootnoteText"/>
        <w:contextualSpacing/>
        <w:rPr>
          <w:rFonts w:cs="Open Sans"/>
          <w:color w:val="000000" w:themeColor="text1"/>
          <w:sz w:val="16"/>
          <w:szCs w:val="16"/>
        </w:rPr>
      </w:pPr>
      <w:r w:rsidRPr="00D66B43">
        <w:rPr>
          <w:rStyle w:val="FootnoteReference"/>
          <w:rFonts w:cs="Open Sans"/>
          <w:color w:val="000000" w:themeColor="text1"/>
          <w:sz w:val="16"/>
          <w:szCs w:val="16"/>
        </w:rPr>
        <w:footnoteRef/>
      </w:r>
      <w:r w:rsidRPr="00D66B43">
        <w:rPr>
          <w:rFonts w:cs="Open Sans"/>
          <w:color w:val="000000" w:themeColor="text1"/>
          <w:sz w:val="16"/>
          <w:szCs w:val="16"/>
        </w:rPr>
        <w:t>WHO, UNODC and UNAIDS, WHO, UNODC, UNAIDS Technical Guide for Countries to Set Targets for Universal Access to HIV Prevention, Treatment and Care for Injecting Drug Users: 2012 Revision (Geneva, WHO, 2012).</w:t>
      </w:r>
    </w:p>
  </w:footnote>
  <w:footnote w:id="23">
    <w:p w14:paraId="48B964DA" w14:textId="77777777" w:rsidR="00AF111D" w:rsidRPr="00D66B43" w:rsidRDefault="00AF111D" w:rsidP="000E34D1">
      <w:pPr>
        <w:pStyle w:val="FootnoteText"/>
        <w:contextualSpacing/>
        <w:rPr>
          <w:rFonts w:cs="Open Sans"/>
          <w:sz w:val="16"/>
          <w:szCs w:val="16"/>
          <w:lang w:val="en-GB"/>
        </w:rPr>
      </w:pPr>
      <w:r w:rsidRPr="00D66B43">
        <w:rPr>
          <w:rStyle w:val="FootnoteReference"/>
          <w:rFonts w:cs="Open Sans"/>
          <w:sz w:val="16"/>
          <w:szCs w:val="16"/>
        </w:rPr>
        <w:footnoteRef/>
      </w:r>
      <w:r w:rsidRPr="00D66B43">
        <w:rPr>
          <w:rFonts w:cs="Open Sans"/>
          <w:color w:val="000000" w:themeColor="text1"/>
          <w:sz w:val="16"/>
          <w:szCs w:val="16"/>
          <w:lang w:val="en-GB"/>
        </w:rPr>
        <w:t>Political Declaration on HIV/AIDS: Intensifying our Efforts to Eliminate HIV/AIDS (General Assembly resolution 65/277, annex).</w:t>
      </w:r>
    </w:p>
  </w:footnote>
  <w:footnote w:id="24">
    <w:p w14:paraId="0B5ED751" w14:textId="77777777" w:rsidR="00AF111D" w:rsidRPr="00D66B43" w:rsidRDefault="00AF111D" w:rsidP="000E34D1">
      <w:pPr>
        <w:pStyle w:val="FootnoteText"/>
        <w:contextualSpacing/>
        <w:rPr>
          <w:rFonts w:cs="Open Sans"/>
          <w:color w:val="000000" w:themeColor="text1"/>
          <w:sz w:val="16"/>
          <w:szCs w:val="16"/>
        </w:rPr>
      </w:pPr>
      <w:r w:rsidRPr="00D66B43">
        <w:rPr>
          <w:rStyle w:val="FootnoteReference"/>
          <w:rFonts w:cs="Open Sans"/>
          <w:color w:val="000000" w:themeColor="text1"/>
          <w:sz w:val="16"/>
          <w:szCs w:val="16"/>
        </w:rPr>
        <w:footnoteRef/>
      </w:r>
      <w:r w:rsidRPr="00D66B43">
        <w:rPr>
          <w:rFonts w:cs="Open Sans"/>
          <w:color w:val="000000" w:themeColor="text1"/>
          <w:sz w:val="16"/>
          <w:szCs w:val="16"/>
        </w:rPr>
        <w:t xml:space="preserve"> Economic and Social Council resolution 2009/6.</w:t>
      </w:r>
    </w:p>
  </w:footnote>
  <w:footnote w:id="25">
    <w:p w14:paraId="5076E2EA" w14:textId="77777777" w:rsidR="00AF111D" w:rsidRPr="00D66B43" w:rsidRDefault="00AF111D" w:rsidP="000E34D1">
      <w:pPr>
        <w:pStyle w:val="FootnoteText"/>
        <w:contextualSpacing/>
        <w:rPr>
          <w:rFonts w:cs="Open Sans"/>
          <w:color w:val="000000" w:themeColor="text1"/>
          <w:sz w:val="16"/>
          <w:szCs w:val="16"/>
        </w:rPr>
      </w:pPr>
      <w:r w:rsidRPr="00D66B43">
        <w:rPr>
          <w:rStyle w:val="FootnoteReference"/>
          <w:rFonts w:cs="Open Sans"/>
          <w:color w:val="000000" w:themeColor="text1"/>
          <w:sz w:val="16"/>
          <w:szCs w:val="16"/>
        </w:rPr>
        <w:footnoteRef/>
      </w:r>
      <w:r w:rsidRPr="00D66B43">
        <w:rPr>
          <w:rFonts w:cs="Open Sans"/>
          <w:color w:val="000000" w:themeColor="text1"/>
          <w:sz w:val="16"/>
          <w:szCs w:val="16"/>
        </w:rPr>
        <w:t xml:space="preserve"> CND Resolution 60/8; Promoting measures to prevent HIV and other blood-borne diseases associated with the use of drugs, and increasing financing for the global HIV/AIDS response and for drug use prevention and other drug demand reduction measures (2017)</w:t>
      </w:r>
    </w:p>
  </w:footnote>
  <w:footnote w:id="26">
    <w:p w14:paraId="517A6935" w14:textId="4F3A20EB" w:rsidR="00AF111D" w:rsidRPr="00D66B43" w:rsidRDefault="00AF111D">
      <w:pPr>
        <w:pStyle w:val="FootnoteText"/>
        <w:rPr>
          <w:rFonts w:cs="Open Sans"/>
          <w:sz w:val="16"/>
          <w:szCs w:val="16"/>
          <w:lang w:val="en-GB"/>
        </w:rPr>
      </w:pPr>
      <w:r w:rsidRPr="00D66B43">
        <w:rPr>
          <w:rStyle w:val="FootnoteReference"/>
          <w:rFonts w:cs="Open Sans"/>
          <w:sz w:val="16"/>
          <w:szCs w:val="16"/>
        </w:rPr>
        <w:footnoteRef/>
      </w:r>
      <w:r w:rsidRPr="00D66B43">
        <w:rPr>
          <w:rFonts w:cs="Open Sans"/>
          <w:sz w:val="16"/>
          <w:szCs w:val="16"/>
        </w:rPr>
        <w:t xml:space="preserve"> </w:t>
      </w:r>
      <w:r w:rsidR="00D66B43" w:rsidRPr="00D66B43">
        <w:rPr>
          <w:rFonts w:cs="Open Sans"/>
          <w:i/>
          <w:iCs/>
          <w:sz w:val="16"/>
          <w:szCs w:val="16"/>
          <w:lang w:val="en-GB"/>
        </w:rPr>
        <w:t xml:space="preserve">Women and harm reduction: Global State of Harm Reduction 2018 Briefing, </w:t>
      </w:r>
      <w:r w:rsidR="00D66B43" w:rsidRPr="00D66B43">
        <w:rPr>
          <w:rFonts w:cs="Open Sans"/>
          <w:sz w:val="16"/>
          <w:szCs w:val="16"/>
          <w:lang w:val="en-GB"/>
        </w:rPr>
        <w:t>2019</w:t>
      </w:r>
      <w:r w:rsidR="00D66B43" w:rsidRPr="00D66B43">
        <w:rPr>
          <w:rFonts w:cs="Open Sans"/>
          <w:i/>
          <w:iCs/>
          <w:sz w:val="16"/>
          <w:szCs w:val="16"/>
          <w:lang w:val="en-GB"/>
        </w:rPr>
        <w:t xml:space="preserve"> </w:t>
      </w:r>
      <w:r w:rsidR="00D66B43" w:rsidRPr="00D66B43">
        <w:rPr>
          <w:rFonts w:cs="Open Sans"/>
          <w:sz w:val="16"/>
          <w:szCs w:val="16"/>
          <w:lang w:val="en-GB"/>
        </w:rPr>
        <w:t xml:space="preserve">London: Harm Reduction International, </w:t>
      </w:r>
      <w:hyperlink r:id="rId1" w:history="1">
        <w:r w:rsidR="00D66B43" w:rsidRPr="00D66B43">
          <w:rPr>
            <w:rStyle w:val="Hyperlink"/>
            <w:rFonts w:eastAsia="Arial Unicode MS" w:cs="Open Sans"/>
            <w:sz w:val="16"/>
            <w:szCs w:val="16"/>
          </w:rPr>
          <w:t>https://www.hri.global/files/2019/03/06/women-harm-reduction-2018.pdf</w:t>
        </w:r>
      </w:hyperlink>
    </w:p>
  </w:footnote>
  <w:footnote w:id="27">
    <w:p w14:paraId="5F87C301" w14:textId="726A6145" w:rsidR="00AF111D" w:rsidRPr="00D66B43" w:rsidRDefault="00AF111D">
      <w:pPr>
        <w:pStyle w:val="FootnoteText"/>
        <w:rPr>
          <w:rFonts w:cs="Open Sans"/>
          <w:sz w:val="16"/>
          <w:szCs w:val="16"/>
          <w:lang w:val="en-GB"/>
        </w:rPr>
      </w:pPr>
      <w:r w:rsidRPr="00D66B43">
        <w:rPr>
          <w:rStyle w:val="FootnoteReference"/>
          <w:rFonts w:cs="Open Sans"/>
          <w:sz w:val="16"/>
          <w:szCs w:val="16"/>
        </w:rPr>
        <w:footnoteRef/>
      </w:r>
      <w:r w:rsidRPr="00D66B43">
        <w:rPr>
          <w:rFonts w:cs="Open Sans"/>
          <w:sz w:val="16"/>
          <w:szCs w:val="16"/>
        </w:rPr>
        <w:t xml:space="preserve"> </w:t>
      </w:r>
      <w:r w:rsidR="00D66B43" w:rsidRPr="00D66B43">
        <w:rPr>
          <w:rFonts w:cs="Open Sans"/>
          <w:sz w:val="16"/>
          <w:szCs w:val="16"/>
          <w:lang w:val="en-GB"/>
        </w:rPr>
        <w:t xml:space="preserve">Ibid. </w:t>
      </w:r>
    </w:p>
  </w:footnote>
  <w:footnote w:id="28">
    <w:p w14:paraId="15899661" w14:textId="77777777" w:rsidR="00AF111D" w:rsidRPr="00D66B43" w:rsidRDefault="00AF111D" w:rsidP="000E34D1">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Zamudio-Haas, S., 2016. ‘Generating trust: Programmatic strategies to reach women who inject drugs with harm reduction services in Dar es Salaam, Tanzania.’ </w:t>
      </w:r>
      <w:r w:rsidRPr="00D66B43">
        <w:rPr>
          <w:rFonts w:cs="Open Sans"/>
          <w:i/>
          <w:sz w:val="16"/>
          <w:szCs w:val="16"/>
        </w:rPr>
        <w:t>Int J Drug Policy,</w:t>
      </w:r>
      <w:r w:rsidRPr="00D66B43">
        <w:rPr>
          <w:rFonts w:cs="Open Sans"/>
          <w:sz w:val="16"/>
          <w:szCs w:val="16"/>
        </w:rPr>
        <w:t xml:space="preserve"> 30, pp.43–51; Myers, B. et al., 2016. ‘”Not on the agenda”: A qualitative study of influences on health services use among poor young women who use drugs in Cape Town, South Africa.’ </w:t>
      </w:r>
      <w:r w:rsidRPr="00D66B43">
        <w:rPr>
          <w:rFonts w:cs="Open Sans"/>
          <w:i/>
          <w:sz w:val="16"/>
          <w:szCs w:val="16"/>
        </w:rPr>
        <w:t xml:space="preserve">Int J Drug Policy, </w:t>
      </w:r>
      <w:r w:rsidRPr="00D66B43">
        <w:rPr>
          <w:rFonts w:cs="Open Sans"/>
          <w:sz w:val="16"/>
          <w:szCs w:val="16"/>
        </w:rPr>
        <w:t xml:space="preserve">30, pp.52–8; Otiashvili, D. et al., 2013. ‘Access to treatment for substance-using women in the Republic of Georgia: socio-cultural and structural barriers.’ </w:t>
      </w:r>
      <w:r w:rsidRPr="00D66B43">
        <w:rPr>
          <w:rFonts w:cs="Open Sans"/>
          <w:i/>
          <w:sz w:val="16"/>
          <w:szCs w:val="16"/>
        </w:rPr>
        <w:t>Int J Drug Policy,</w:t>
      </w:r>
      <w:r w:rsidRPr="00D66B43">
        <w:rPr>
          <w:rFonts w:cs="Open Sans"/>
          <w:sz w:val="16"/>
          <w:szCs w:val="16"/>
        </w:rPr>
        <w:t xml:space="preserve"> 24(6), pp.566–72.</w:t>
      </w:r>
    </w:p>
  </w:footnote>
  <w:footnote w:id="29">
    <w:p w14:paraId="7D3A0D1A" w14:textId="77777777" w:rsidR="00AF111D" w:rsidRPr="00D66B43" w:rsidRDefault="00AF111D" w:rsidP="000E34D1">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UNAIDS, 2019. </w:t>
      </w:r>
      <w:r w:rsidRPr="00D66B43">
        <w:rPr>
          <w:rFonts w:cs="Open Sans"/>
          <w:i/>
          <w:sz w:val="16"/>
          <w:szCs w:val="16"/>
        </w:rPr>
        <w:t xml:space="preserve">UNAIDS Data 2019. </w:t>
      </w:r>
      <w:r w:rsidRPr="00D66B43">
        <w:rPr>
          <w:rFonts w:cs="Open Sans"/>
          <w:sz w:val="16"/>
          <w:szCs w:val="16"/>
        </w:rPr>
        <w:t>Geneva: Joint United Nations Programme on HIV/AIDS.</w:t>
      </w:r>
    </w:p>
  </w:footnote>
  <w:footnote w:id="30">
    <w:p w14:paraId="37158A0B" w14:textId="77777777" w:rsidR="00AF111D" w:rsidRPr="00D66B43" w:rsidRDefault="00AF111D" w:rsidP="000E34D1">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UNAIDS, 2019. </w:t>
      </w:r>
      <w:r w:rsidRPr="00D66B43">
        <w:rPr>
          <w:rFonts w:cs="Open Sans"/>
          <w:i/>
          <w:sz w:val="16"/>
          <w:szCs w:val="16"/>
        </w:rPr>
        <w:t xml:space="preserve">UNAIDS Data 2019. </w:t>
      </w:r>
      <w:r w:rsidRPr="00D66B43">
        <w:rPr>
          <w:rFonts w:cs="Open Sans"/>
          <w:sz w:val="16"/>
          <w:szCs w:val="16"/>
        </w:rPr>
        <w:t>Geneva: Joint United Nations Programme on HIV/AIDS.</w:t>
      </w:r>
    </w:p>
  </w:footnote>
  <w:footnote w:id="31">
    <w:p w14:paraId="505D9B8A" w14:textId="77777777" w:rsidR="00AF111D" w:rsidRPr="00D66B43" w:rsidRDefault="00AF111D" w:rsidP="000E34D1">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Scheibe, A. et al., 2017. </w:t>
      </w:r>
      <w:r w:rsidRPr="00D66B43">
        <w:rPr>
          <w:rFonts w:cs="Open Sans"/>
          <w:i/>
          <w:sz w:val="16"/>
          <w:szCs w:val="16"/>
        </w:rPr>
        <w:t xml:space="preserve">Programmatic surveillance of viral hepatitis and HIV co-infection among key populations from seven South African cities: Data to inform unmet need. </w:t>
      </w:r>
      <w:r w:rsidRPr="00D66B43">
        <w:rPr>
          <w:rFonts w:cs="Open Sans"/>
          <w:sz w:val="16"/>
          <w:szCs w:val="16"/>
        </w:rPr>
        <w:t xml:space="preserve">South Africa.; TB/HIV Care, 2018. </w:t>
      </w:r>
      <w:r w:rsidRPr="00D66B43">
        <w:rPr>
          <w:rFonts w:cs="Open Sans"/>
          <w:i/>
          <w:sz w:val="16"/>
          <w:szCs w:val="16"/>
        </w:rPr>
        <w:t xml:space="preserve">Viral hepatitis C initiative for key populations in South Africa: Summary Sheet. </w:t>
      </w:r>
      <w:r w:rsidRPr="00D66B43">
        <w:rPr>
          <w:rFonts w:cs="Open Sans"/>
          <w:sz w:val="16"/>
          <w:szCs w:val="16"/>
        </w:rPr>
        <w:t>Cape Town: TB/HIV Care Association</w:t>
      </w:r>
    </w:p>
  </w:footnote>
  <w:footnote w:id="32">
    <w:p w14:paraId="3224EB47" w14:textId="77777777" w:rsidR="00AF111D" w:rsidRPr="00D66B43" w:rsidRDefault="00AF111D" w:rsidP="000E34D1">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Stone, K. &amp; Shirley-Beavan, S., 2018. </w:t>
      </w:r>
      <w:r w:rsidRPr="00D66B43">
        <w:rPr>
          <w:rFonts w:cs="Open Sans"/>
          <w:i/>
          <w:sz w:val="16"/>
          <w:szCs w:val="16"/>
        </w:rPr>
        <w:t>The Global State of Harm Reduction 2018</w:t>
      </w:r>
      <w:r w:rsidRPr="00D66B43">
        <w:rPr>
          <w:rFonts w:cs="Open Sans"/>
          <w:sz w:val="16"/>
          <w:szCs w:val="16"/>
        </w:rPr>
        <w:t>. London: Harm Reduction International.</w:t>
      </w:r>
    </w:p>
  </w:footnote>
  <w:footnote w:id="33">
    <w:p w14:paraId="4D62DD15" w14:textId="77777777" w:rsidR="00AF111D" w:rsidRPr="00D66B43" w:rsidRDefault="00AF111D" w:rsidP="000E34D1">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Stone, K. &amp; Shirley-Beavan, S., 2018. </w:t>
      </w:r>
      <w:r w:rsidRPr="00D66B43">
        <w:rPr>
          <w:rFonts w:cs="Open Sans"/>
          <w:i/>
          <w:sz w:val="16"/>
          <w:szCs w:val="16"/>
        </w:rPr>
        <w:t>The Global State of Harm Reduction 2018</w:t>
      </w:r>
      <w:r w:rsidRPr="00D66B43">
        <w:rPr>
          <w:rFonts w:cs="Open Sans"/>
          <w:sz w:val="16"/>
          <w:szCs w:val="16"/>
        </w:rPr>
        <w:t>. London: Harm Reduction International.</w:t>
      </w:r>
    </w:p>
  </w:footnote>
  <w:footnote w:id="34">
    <w:p w14:paraId="5BCDE909" w14:textId="77777777" w:rsidR="00AF111D" w:rsidRPr="00D66B43" w:rsidRDefault="00AF111D" w:rsidP="00A667C3">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Myers, B. et al., 2016. ‘”Not on the agenda”: A qualitative study of influences on health services use among poor young women who use drugs in Cape Town, South Africa.’ Int J Drug Policy, 30, pp.52–8.</w:t>
      </w:r>
    </w:p>
  </w:footnote>
  <w:footnote w:id="35">
    <w:p w14:paraId="0571DF9B" w14:textId="77777777" w:rsidR="00AF111D" w:rsidRPr="00D66B43" w:rsidRDefault="00AF111D" w:rsidP="00A667C3">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Van Boekal, L. C., 2013. ‘Stigma among health professionals towards patients with substance use disorders and its consequences for healthcare delivery: A systematic review.’ </w:t>
      </w:r>
      <w:r w:rsidRPr="00D66B43">
        <w:rPr>
          <w:rFonts w:cs="Open Sans"/>
          <w:i/>
          <w:sz w:val="16"/>
          <w:szCs w:val="16"/>
        </w:rPr>
        <w:t>Drug Alcohol Depend</w:t>
      </w:r>
      <w:r w:rsidRPr="00D66B43">
        <w:rPr>
          <w:rFonts w:cs="Open Sans"/>
          <w:sz w:val="16"/>
          <w:szCs w:val="16"/>
        </w:rPr>
        <w:t>, 131(1-2), pp.23-35.</w:t>
      </w:r>
    </w:p>
  </w:footnote>
  <w:footnote w:id="36">
    <w:p w14:paraId="2F9C7592" w14:textId="77777777" w:rsidR="00AF111D" w:rsidRPr="00D66B43" w:rsidRDefault="00AF111D" w:rsidP="008239A2">
      <w:pPr>
        <w:pStyle w:val="Heading3"/>
        <w:spacing w:before="0" w:line="240" w:lineRule="auto"/>
        <w:rPr>
          <w:rFonts w:ascii="Open Sans" w:hAnsi="Open Sans" w:cs="Open Sans"/>
          <w:color w:val="000000"/>
          <w:sz w:val="16"/>
          <w:szCs w:val="16"/>
        </w:rPr>
      </w:pPr>
      <w:r w:rsidRPr="00D66B43">
        <w:rPr>
          <w:rStyle w:val="FootnoteReference"/>
          <w:rFonts w:ascii="Open Sans" w:hAnsi="Open Sans" w:cs="Open Sans"/>
          <w:color w:val="auto"/>
          <w:sz w:val="16"/>
          <w:szCs w:val="16"/>
        </w:rPr>
        <w:footnoteRef/>
      </w:r>
      <w:r w:rsidRPr="00D66B43">
        <w:rPr>
          <w:rFonts w:ascii="Open Sans" w:hAnsi="Open Sans" w:cs="Open Sans"/>
          <w:color w:val="auto"/>
          <w:sz w:val="16"/>
          <w:szCs w:val="16"/>
        </w:rPr>
        <w:t xml:space="preserve"> </w:t>
      </w:r>
      <w:r w:rsidRPr="00D66B43">
        <w:rPr>
          <w:rFonts w:ascii="Open Sans" w:hAnsi="Open Sans" w:cs="Open Sans"/>
          <w:color w:val="000000"/>
          <w:sz w:val="16"/>
          <w:szCs w:val="16"/>
        </w:rPr>
        <w:t>Communication No. 763/1997</w:t>
      </w:r>
    </w:p>
  </w:footnote>
  <w:footnote w:id="37">
    <w:p w14:paraId="20573D87" w14:textId="77777777" w:rsidR="00AF111D" w:rsidRPr="00D66B43" w:rsidRDefault="00AF111D" w:rsidP="008239A2">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UNHCHR, report on the human rights in the administration of justice, para. 34. </w:t>
      </w:r>
      <w:hyperlink r:id="rId2" w:history="1">
        <w:r w:rsidRPr="00D66B43">
          <w:rPr>
            <w:rStyle w:val="Hyperlink"/>
            <w:rFonts w:cs="Open Sans"/>
            <w:sz w:val="16"/>
            <w:szCs w:val="16"/>
          </w:rPr>
          <w:t>https://www.ohchr.org/Documents/Issues/RuleOfLaw/Violence/A_HRC_42_20_AUV_EN.pdf</w:t>
        </w:r>
      </w:hyperlink>
    </w:p>
  </w:footnote>
  <w:footnote w:id="38">
    <w:p w14:paraId="488BA9C0" w14:textId="77777777" w:rsidR="00AF111D" w:rsidRPr="00D66B43" w:rsidRDefault="00AF111D" w:rsidP="008239A2">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Sander, G. et al., 2019. ‘The Global State of Harm Reduction in Prisons.’ </w:t>
      </w:r>
      <w:r w:rsidRPr="00D66B43">
        <w:rPr>
          <w:rFonts w:cs="Open Sans"/>
          <w:i/>
          <w:sz w:val="16"/>
          <w:szCs w:val="16"/>
        </w:rPr>
        <w:t xml:space="preserve">J Correct Health Care </w:t>
      </w:r>
      <w:r w:rsidRPr="00D66B43">
        <w:rPr>
          <w:rFonts w:cs="Open Sans"/>
          <w:sz w:val="16"/>
          <w:szCs w:val="16"/>
        </w:rPr>
        <w:t>25(2), pp.105–20.</w:t>
      </w:r>
    </w:p>
  </w:footnote>
  <w:footnote w:id="39">
    <w:p w14:paraId="30FC0D95" w14:textId="77777777" w:rsidR="00AF111D" w:rsidRPr="00D66B43" w:rsidRDefault="00AF111D" w:rsidP="008239A2">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Sander, G. et al., 2019. ‘The Global State of Harm Reduction in Prisons.’ J Correct Health Care 25(2), pp.105–20; Strathdee, S. A. et al., 1999. ‘Substance Use and HIV Among Female Sex Workers and Female Prisoners: Risk Environments and Implications for Prevention, Treatment, and Policies.’ </w:t>
      </w:r>
      <w:r w:rsidRPr="00D66B43">
        <w:rPr>
          <w:rFonts w:cs="Open Sans"/>
          <w:i/>
          <w:sz w:val="16"/>
          <w:szCs w:val="16"/>
        </w:rPr>
        <w:t>J Acquir Immune Defic Syndr</w:t>
      </w:r>
      <w:r w:rsidRPr="00D66B43">
        <w:rPr>
          <w:rFonts w:cs="Open Sans"/>
          <w:sz w:val="16"/>
          <w:szCs w:val="16"/>
        </w:rPr>
        <w:t>, 1(69, Suppl 2), pp.110-117.</w:t>
      </w:r>
    </w:p>
  </w:footnote>
  <w:footnote w:id="40">
    <w:p w14:paraId="50A1D702" w14:textId="77777777" w:rsidR="00AF111D" w:rsidRPr="00D66B43" w:rsidRDefault="00AF111D" w:rsidP="008239A2">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Pinkham, S. et al., 2012. ‘Developing effective health interventions for women who inject drugs: key areas and recommendations for program development and policy.’ </w:t>
      </w:r>
      <w:r w:rsidRPr="00D66B43">
        <w:rPr>
          <w:rFonts w:cs="Open Sans"/>
          <w:i/>
          <w:sz w:val="16"/>
          <w:szCs w:val="16"/>
        </w:rPr>
        <w:t>Adv Prev Med</w:t>
      </w:r>
      <w:r w:rsidRPr="00D66B43">
        <w:rPr>
          <w:rFonts w:cs="Open Sans"/>
          <w:sz w:val="16"/>
          <w:szCs w:val="16"/>
        </w:rPr>
        <w:t>.</w:t>
      </w:r>
    </w:p>
  </w:footnote>
  <w:footnote w:id="41">
    <w:p w14:paraId="6BC2454F" w14:textId="77777777" w:rsidR="00AF111D" w:rsidRPr="00D66B43" w:rsidRDefault="00AF111D" w:rsidP="008239A2">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UNODC, 2018. </w:t>
      </w:r>
      <w:r w:rsidRPr="00D66B43">
        <w:rPr>
          <w:rFonts w:cs="Open Sans"/>
          <w:i/>
          <w:sz w:val="16"/>
          <w:szCs w:val="16"/>
        </w:rPr>
        <w:t>World Drug Report 2018</w:t>
      </w:r>
      <w:r w:rsidRPr="00D66B43">
        <w:rPr>
          <w:rFonts w:cs="Open Sans"/>
          <w:sz w:val="16"/>
          <w:szCs w:val="16"/>
        </w:rPr>
        <w:t>. Vienna: United Nations Office on Drugs and Crime.</w:t>
      </w:r>
    </w:p>
  </w:footnote>
  <w:footnote w:id="42">
    <w:p w14:paraId="16E9E2E2" w14:textId="77777777" w:rsidR="00AF111D" w:rsidRPr="00D66B43" w:rsidRDefault="00AF111D" w:rsidP="008239A2">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Pinkham, S. et al., 2012. ‘Developing effective health interventions for women who inject drugs: key areas and recommendations for program development and policy.’ </w:t>
      </w:r>
      <w:r w:rsidRPr="00D66B43">
        <w:rPr>
          <w:rFonts w:cs="Open Sans"/>
          <w:i/>
          <w:sz w:val="16"/>
          <w:szCs w:val="16"/>
        </w:rPr>
        <w:t>Adv Prev Med</w:t>
      </w:r>
      <w:r w:rsidRPr="00D66B43">
        <w:rPr>
          <w:rFonts w:cs="Open Sans"/>
          <w:sz w:val="16"/>
          <w:szCs w:val="16"/>
        </w:rPr>
        <w:t>.</w:t>
      </w:r>
    </w:p>
  </w:footnote>
  <w:footnote w:id="43">
    <w:p w14:paraId="25B1C342" w14:textId="77777777" w:rsidR="00AF111D" w:rsidRPr="00D66B43" w:rsidRDefault="00AF111D" w:rsidP="008239A2">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El-Bassel, N. &amp; Strathdee, S. A., 1999. ‘Women who use or inject drugs: an action agenda for women-specific, multilevel and combination HIV prevention and research.’ </w:t>
      </w:r>
      <w:r w:rsidRPr="00D66B43">
        <w:rPr>
          <w:rFonts w:cs="Open Sans"/>
          <w:sz w:val="16"/>
          <w:szCs w:val="16"/>
          <w:lang w:val="fr-BE"/>
        </w:rPr>
        <w:t xml:space="preserve">J Acquir Immune Defic Syndr, 1(69, Suppl 2), pp.182–90; Sander, G. et al., 2019. </w:t>
      </w:r>
      <w:r w:rsidRPr="00D66B43">
        <w:rPr>
          <w:rFonts w:cs="Open Sans"/>
          <w:sz w:val="16"/>
          <w:szCs w:val="16"/>
        </w:rPr>
        <w:t>‘The Global State of Harm Reduction in Prisons.’ J Correct Health Care 25(2), pp.105–20.</w:t>
      </w:r>
    </w:p>
  </w:footnote>
  <w:footnote w:id="44">
    <w:p w14:paraId="4DE03590" w14:textId="77777777" w:rsidR="00AF111D" w:rsidRPr="00D66B43" w:rsidRDefault="00AF111D" w:rsidP="008239A2">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Fair, H., 2009. </w:t>
      </w:r>
      <w:r w:rsidRPr="00D66B43">
        <w:rPr>
          <w:rFonts w:cs="Open Sans"/>
          <w:i/>
          <w:sz w:val="16"/>
          <w:szCs w:val="16"/>
        </w:rPr>
        <w:t>International review of women’s prisons</w:t>
      </w:r>
      <w:r w:rsidRPr="00D66B43">
        <w:rPr>
          <w:rFonts w:cs="Open Sans"/>
          <w:sz w:val="16"/>
          <w:szCs w:val="16"/>
        </w:rPr>
        <w:t xml:space="preserve">. London: International Centre for Prison Studies, Kings College London.; Burns, K., 2009. </w:t>
      </w:r>
      <w:r w:rsidRPr="00D66B43">
        <w:rPr>
          <w:rFonts w:cs="Open Sans"/>
          <w:i/>
          <w:sz w:val="16"/>
          <w:szCs w:val="16"/>
        </w:rPr>
        <w:t>Women, Harm Reduction and HIV: Key findings from Azerbaijan, Georgia, Kyrgyzstan, Russia and Ukraine</w:t>
      </w:r>
      <w:r w:rsidRPr="00D66B43">
        <w:rPr>
          <w:rFonts w:cs="Open Sans"/>
          <w:sz w:val="16"/>
          <w:szCs w:val="16"/>
        </w:rPr>
        <w:t xml:space="preserve">. New York: Open Society Foundations; van der Meulen, E. et al., 2018. ‘A legacy of harm: Punitive drug policies and women’s carceral experiences in Canada.’ </w:t>
      </w:r>
      <w:r w:rsidRPr="00D66B43">
        <w:rPr>
          <w:rFonts w:cs="Open Sans"/>
          <w:i/>
          <w:sz w:val="16"/>
          <w:szCs w:val="16"/>
        </w:rPr>
        <w:t>Women Crim Justice</w:t>
      </w:r>
      <w:r w:rsidRPr="00D66B43">
        <w:rPr>
          <w:rFonts w:cs="Open Sans"/>
          <w:sz w:val="16"/>
          <w:szCs w:val="16"/>
        </w:rPr>
        <w:t>, 28(2), pp.81-99.</w:t>
      </w:r>
    </w:p>
  </w:footnote>
  <w:footnote w:id="45">
    <w:p w14:paraId="2D73C721" w14:textId="77777777" w:rsidR="00AF111D" w:rsidRPr="00D66B43" w:rsidRDefault="00AF111D" w:rsidP="008239A2">
      <w:pPr>
        <w:pStyle w:val="FootnoteText"/>
        <w:rPr>
          <w:rFonts w:cs="Open Sans"/>
          <w:sz w:val="16"/>
          <w:szCs w:val="16"/>
        </w:rPr>
      </w:pPr>
      <w:r w:rsidRPr="00D66B43">
        <w:rPr>
          <w:rStyle w:val="FootnoteReference"/>
          <w:rFonts w:cs="Open Sans"/>
          <w:sz w:val="16"/>
          <w:szCs w:val="16"/>
        </w:rPr>
        <w:footnoteRef/>
      </w:r>
      <w:r w:rsidRPr="00D66B43">
        <w:rPr>
          <w:rFonts w:cs="Open Sans"/>
          <w:sz w:val="16"/>
          <w:szCs w:val="16"/>
        </w:rPr>
        <w:t xml:space="preserve"> Strathdee, S. A., 1999. ‘Substance Use and HIV Among Female Sex Workers and Female Prisoners: Risk Environments and Implications for Prevention, Treatment, and Policies.’ </w:t>
      </w:r>
      <w:r w:rsidRPr="00D66B43">
        <w:rPr>
          <w:rFonts w:cs="Open Sans"/>
          <w:i/>
          <w:sz w:val="16"/>
          <w:szCs w:val="16"/>
          <w:lang w:val="fr-BE"/>
        </w:rPr>
        <w:t>J Acquir Immune Defic Syndr,</w:t>
      </w:r>
      <w:r w:rsidRPr="00D66B43">
        <w:rPr>
          <w:rFonts w:cs="Open Sans"/>
          <w:sz w:val="16"/>
          <w:szCs w:val="16"/>
          <w:lang w:val="fr-BE"/>
        </w:rPr>
        <w:t xml:space="preserve"> 1(69, Suppl 2), pp.110-117; Dolan, K. et al., 1996. </w:t>
      </w:r>
      <w:r w:rsidRPr="00D66B43">
        <w:rPr>
          <w:rFonts w:cs="Open Sans"/>
          <w:sz w:val="16"/>
          <w:szCs w:val="16"/>
        </w:rPr>
        <w:t xml:space="preserve">‘HIV risk behaviour of IDUs before, during and after imprisonment in New South Wales.’ </w:t>
      </w:r>
      <w:r w:rsidRPr="00D66B43">
        <w:rPr>
          <w:rFonts w:cs="Open Sans"/>
          <w:i/>
          <w:sz w:val="16"/>
          <w:szCs w:val="16"/>
        </w:rPr>
        <w:t>Addict Res</w:t>
      </w:r>
      <w:r w:rsidRPr="00D66B43">
        <w:rPr>
          <w:rFonts w:cs="Open Sans"/>
          <w:sz w:val="16"/>
          <w:szCs w:val="16"/>
        </w:rPr>
        <w:t xml:space="preserve">, 4(2), pp.151-60; Rehman, L. et al., 2004. ‘Harm reduction and women in the Canadian national prison system: Policy or practice?’ </w:t>
      </w:r>
      <w:r w:rsidRPr="00D66B43">
        <w:rPr>
          <w:rFonts w:cs="Open Sans"/>
          <w:i/>
          <w:sz w:val="16"/>
          <w:szCs w:val="16"/>
        </w:rPr>
        <w:t>Women Health</w:t>
      </w:r>
      <w:r w:rsidRPr="00D66B43">
        <w:rPr>
          <w:rFonts w:cs="Open Sans"/>
          <w:sz w:val="16"/>
          <w:szCs w:val="16"/>
        </w:rPr>
        <w:t xml:space="preserve">, 40(4), pp.57-73; Dolan, K. et al., 2009. ‘Presence of hepatitis C virus in syringes confiscated in prisons in Australia.’ </w:t>
      </w:r>
      <w:r w:rsidRPr="00D66B43">
        <w:rPr>
          <w:rFonts w:cs="Open Sans"/>
          <w:i/>
          <w:sz w:val="16"/>
          <w:szCs w:val="16"/>
        </w:rPr>
        <w:t>J Gastroenterol Hepatol</w:t>
      </w:r>
      <w:r w:rsidRPr="00D66B43">
        <w:rPr>
          <w:rFonts w:cs="Open Sans"/>
          <w:sz w:val="16"/>
          <w:szCs w:val="16"/>
        </w:rPr>
        <w:t>, 24(10), pp.1655-7.</w:t>
      </w:r>
    </w:p>
  </w:footnote>
  <w:footnote w:id="46">
    <w:p w14:paraId="097835BA" w14:textId="3F86AF5C" w:rsidR="00AF111D" w:rsidRPr="00D66B43" w:rsidRDefault="00AF111D">
      <w:pPr>
        <w:pStyle w:val="FootnoteText"/>
        <w:rPr>
          <w:rFonts w:cs="Open Sans"/>
          <w:sz w:val="16"/>
          <w:szCs w:val="16"/>
          <w:lang w:val="en-GB"/>
        </w:rPr>
      </w:pPr>
      <w:r w:rsidRPr="00D66B43">
        <w:rPr>
          <w:rStyle w:val="FootnoteReference"/>
          <w:rFonts w:cs="Open Sans"/>
          <w:sz w:val="16"/>
          <w:szCs w:val="16"/>
        </w:rPr>
        <w:footnoteRef/>
      </w:r>
      <w:r w:rsidRPr="00D66B43">
        <w:rPr>
          <w:rFonts w:cs="Open Sans"/>
          <w:sz w:val="16"/>
          <w:szCs w:val="16"/>
        </w:rPr>
        <w:t xml:space="preserve"> Stone, K. &amp; Shirley-Beavan, S., 2018. </w:t>
      </w:r>
      <w:r w:rsidRPr="00D66B43">
        <w:rPr>
          <w:rFonts w:cs="Open Sans"/>
          <w:i/>
          <w:sz w:val="16"/>
          <w:szCs w:val="16"/>
        </w:rPr>
        <w:t>The Global State of Harm Reduction 2018</w:t>
      </w:r>
      <w:r w:rsidRPr="00D66B43">
        <w:rPr>
          <w:rFonts w:cs="Open Sans"/>
          <w:sz w:val="16"/>
          <w:szCs w:val="16"/>
        </w:rPr>
        <w:t>. London: Harm Reduction International.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14FC1" w14:textId="77777777" w:rsidR="0057467C" w:rsidRDefault="0057467C">
    <w:pPr>
      <w:pStyle w:val="Header"/>
      <w:tabs>
        <w:tab w:val="clear" w:pos="4513"/>
        <w:tab w:val="clear" w:pos="9026"/>
        <w:tab w:val="left" w:pos="1702"/>
      </w:tabs>
    </w:pPr>
    <w:r>
      <w:rPr>
        <w:noProof/>
        <w:lang w:val="en-GB" w:eastAsia="en-GB"/>
      </w:rPr>
      <w:drawing>
        <wp:anchor distT="152400" distB="152400" distL="152400" distR="152400" simplePos="0" relativeHeight="251659264" behindDoc="1" locked="0" layoutInCell="1" allowOverlap="1" wp14:anchorId="0B3B1536" wp14:editId="74A962B9">
          <wp:simplePos x="0" y="0"/>
          <wp:positionH relativeFrom="page">
            <wp:posOffset>2337435</wp:posOffset>
          </wp:positionH>
          <wp:positionV relativeFrom="page">
            <wp:posOffset>346777</wp:posOffset>
          </wp:positionV>
          <wp:extent cx="2559050" cy="618856"/>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extLst/>
                  </a:blip>
                  <a:stretch>
                    <a:fillRect/>
                  </a:stretch>
                </pic:blipFill>
                <pic:spPr>
                  <a:xfrm>
                    <a:off x="0" y="0"/>
                    <a:ext cx="2559050" cy="618856"/>
                  </a:xfrm>
                  <a:prstGeom prst="rect">
                    <a:avLst/>
                  </a:prstGeom>
                  <a:ln w="12700" cap="flat">
                    <a:noFill/>
                    <a:miter lim="400000"/>
                  </a:ln>
                  <a:effectLst/>
                </pic:spPr>
              </pic:pic>
            </a:graphicData>
          </a:graphic>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8105D6" w14:textId="50293D9D" w:rsidR="00D66B43" w:rsidRDefault="00D66B43">
    <w:pPr>
      <w:pStyle w:val="Header"/>
    </w:pPr>
    <w:r>
      <w:rPr>
        <w:noProof/>
        <w:lang w:val="en-GB" w:eastAsia="en-GB"/>
      </w:rPr>
      <w:drawing>
        <wp:anchor distT="152400" distB="152400" distL="152400" distR="152400" simplePos="0" relativeHeight="251661312" behindDoc="1" locked="0" layoutInCell="1" allowOverlap="1" wp14:anchorId="592D8095" wp14:editId="09D67534">
          <wp:simplePos x="0" y="0"/>
          <wp:positionH relativeFrom="margin">
            <wp:align>center</wp:align>
          </wp:positionH>
          <wp:positionV relativeFrom="page">
            <wp:posOffset>327025</wp:posOffset>
          </wp:positionV>
          <wp:extent cx="2559050" cy="618856"/>
          <wp:effectExtent l="0" t="0" r="0" b="0"/>
          <wp:wrapNone/>
          <wp:docPr id="1"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extLst/>
                  </a:blip>
                  <a:stretch>
                    <a:fillRect/>
                  </a:stretch>
                </pic:blipFill>
                <pic:spPr>
                  <a:xfrm>
                    <a:off x="0" y="0"/>
                    <a:ext cx="2559050" cy="618856"/>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80FBD"/>
    <w:multiLevelType w:val="hybridMultilevel"/>
    <w:tmpl w:val="D95A097C"/>
    <w:lvl w:ilvl="0" w:tplc="F37807BA">
      <w:numFmt w:val="bullet"/>
      <w:lvlText w:val="-"/>
      <w:lvlJc w:val="left"/>
      <w:pPr>
        <w:ind w:left="720" w:hanging="360"/>
      </w:pPr>
      <w:rPr>
        <w:rFonts w:ascii="Calibri" w:eastAsia="Arial Unicode MS"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C1F25"/>
    <w:multiLevelType w:val="hybridMultilevel"/>
    <w:tmpl w:val="48D48504"/>
    <w:numStyleLink w:val="ImportedStyle1"/>
  </w:abstractNum>
  <w:abstractNum w:abstractNumId="2" w15:restartNumberingAfterBreak="0">
    <w:nsid w:val="10B3545E"/>
    <w:multiLevelType w:val="hybridMultilevel"/>
    <w:tmpl w:val="D5F6D3A6"/>
    <w:lvl w:ilvl="0" w:tplc="EB3CD99C">
      <w:start w:val="2"/>
      <w:numFmt w:val="bullet"/>
      <w:lvlText w:val="-"/>
      <w:lvlJc w:val="left"/>
      <w:pPr>
        <w:ind w:left="720" w:hanging="360"/>
      </w:pPr>
      <w:rPr>
        <w:rFonts w:ascii="Calibri" w:eastAsia="Arial Unicode MS"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9F22C7"/>
    <w:multiLevelType w:val="hybridMultilevel"/>
    <w:tmpl w:val="AD40261C"/>
    <w:lvl w:ilvl="0" w:tplc="DBA60D4E">
      <w:numFmt w:val="bullet"/>
      <w:lvlText w:val="-"/>
      <w:lvlJc w:val="left"/>
      <w:pPr>
        <w:ind w:left="720" w:hanging="360"/>
      </w:pPr>
      <w:rPr>
        <w:rFonts w:ascii="Calibri" w:eastAsia="Arial Unicode MS"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5C0237"/>
    <w:multiLevelType w:val="hybridMultilevel"/>
    <w:tmpl w:val="635671F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1D591B"/>
    <w:multiLevelType w:val="hybridMultilevel"/>
    <w:tmpl w:val="48D48504"/>
    <w:styleLink w:val="ImportedStyle1"/>
    <w:lvl w:ilvl="0" w:tplc="8A3455E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4B2966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9A64E98">
      <w:start w:val="1"/>
      <w:numFmt w:val="lowerRoman"/>
      <w:lvlText w:val="%3."/>
      <w:lvlJc w:val="left"/>
      <w:pPr>
        <w:ind w:left="2160" w:hanging="267"/>
      </w:pPr>
      <w:rPr>
        <w:rFonts w:hAnsi="Arial Unicode MS"/>
        <w:caps w:val="0"/>
        <w:smallCaps w:val="0"/>
        <w:strike w:val="0"/>
        <w:dstrike w:val="0"/>
        <w:outline w:val="0"/>
        <w:emboss w:val="0"/>
        <w:imprint w:val="0"/>
        <w:spacing w:val="0"/>
        <w:w w:val="100"/>
        <w:kern w:val="0"/>
        <w:position w:val="0"/>
        <w:highlight w:val="none"/>
        <w:vertAlign w:val="baseline"/>
      </w:rPr>
    </w:lvl>
    <w:lvl w:ilvl="3" w:tplc="B58E88F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098B89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D80B9D0">
      <w:start w:val="1"/>
      <w:numFmt w:val="lowerRoman"/>
      <w:lvlText w:val="%6."/>
      <w:lvlJc w:val="left"/>
      <w:pPr>
        <w:ind w:left="4320" w:hanging="267"/>
      </w:pPr>
      <w:rPr>
        <w:rFonts w:hAnsi="Arial Unicode MS"/>
        <w:caps w:val="0"/>
        <w:smallCaps w:val="0"/>
        <w:strike w:val="0"/>
        <w:dstrike w:val="0"/>
        <w:outline w:val="0"/>
        <w:emboss w:val="0"/>
        <w:imprint w:val="0"/>
        <w:spacing w:val="0"/>
        <w:w w:val="100"/>
        <w:kern w:val="0"/>
        <w:position w:val="0"/>
        <w:highlight w:val="none"/>
        <w:vertAlign w:val="baseline"/>
      </w:rPr>
    </w:lvl>
    <w:lvl w:ilvl="6" w:tplc="E1203DB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F04602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2F246C8">
      <w:start w:val="1"/>
      <w:numFmt w:val="lowerRoman"/>
      <w:lvlText w:val="%9."/>
      <w:lvlJc w:val="left"/>
      <w:pPr>
        <w:ind w:left="6480" w:hanging="26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5BF47AB1"/>
    <w:multiLevelType w:val="hybridMultilevel"/>
    <w:tmpl w:val="ED103710"/>
    <w:lvl w:ilvl="0" w:tplc="5F083B08">
      <w:numFmt w:val="bullet"/>
      <w:lvlText w:val="-"/>
      <w:lvlJc w:val="left"/>
      <w:pPr>
        <w:ind w:left="720" w:hanging="360"/>
      </w:pPr>
      <w:rPr>
        <w:rFonts w:ascii="Calibri" w:eastAsia="Arial Unicode MS"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993A9E"/>
    <w:multiLevelType w:val="hybridMultilevel"/>
    <w:tmpl w:val="E68E7FE4"/>
    <w:lvl w:ilvl="0" w:tplc="08090013">
      <w:start w:val="1"/>
      <w:numFmt w:val="upperRoman"/>
      <w:lvlText w:val="%1."/>
      <w:lvlJc w:val="right"/>
      <w:pPr>
        <w:ind w:left="1080" w:hanging="360"/>
      </w:pPr>
      <w:rPr>
        <w:rFonts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1"/>
    <w:lvlOverride w:ilvl="0">
      <w:lvl w:ilvl="0" w:tplc="8C6EDD2E">
        <w:start w:val="1"/>
        <w:numFmt w:val="decimal"/>
        <w:lvlText w:val="%1."/>
        <w:lvlJc w:val="left"/>
        <w:pPr>
          <w:ind w:left="720" w:hanging="360"/>
        </w:pPr>
        <w:rPr>
          <w:rFonts w:ascii="Calibri" w:hAnsi="Calibri" w:cs="Times New Roman" w:hint="default"/>
          <w:caps w:val="0"/>
          <w:smallCaps w:val="0"/>
          <w:strike w:val="0"/>
          <w:dstrike w:val="0"/>
          <w:outline w:val="0"/>
          <w:emboss w:val="0"/>
          <w:imprint w:val="0"/>
          <w:spacing w:val="0"/>
          <w:w w:val="100"/>
          <w:kern w:val="0"/>
          <w:position w:val="0"/>
          <w:sz w:val="22"/>
          <w:szCs w:val="22"/>
          <w:highlight w:val="none"/>
          <w:vertAlign w:val="baseline"/>
        </w:rPr>
      </w:lvl>
    </w:lvlOverride>
  </w:num>
  <w:num w:numId="3">
    <w:abstractNumId w:val="4"/>
  </w:num>
  <w:num w:numId="4">
    <w:abstractNumId w:val="3"/>
  </w:num>
  <w:num w:numId="5">
    <w:abstractNumId w:val="0"/>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DD5"/>
    <w:rsid w:val="00001D53"/>
    <w:rsid w:val="000121BB"/>
    <w:rsid w:val="00073F16"/>
    <w:rsid w:val="00091613"/>
    <w:rsid w:val="000C37CC"/>
    <w:rsid w:val="000E34D1"/>
    <w:rsid w:val="000E7BA0"/>
    <w:rsid w:val="001146D6"/>
    <w:rsid w:val="00140425"/>
    <w:rsid w:val="00143E44"/>
    <w:rsid w:val="00161274"/>
    <w:rsid w:val="001A12C0"/>
    <w:rsid w:val="001A55B1"/>
    <w:rsid w:val="001A7EE4"/>
    <w:rsid w:val="001B5E9C"/>
    <w:rsid w:val="001D1D39"/>
    <w:rsid w:val="00241103"/>
    <w:rsid w:val="00267917"/>
    <w:rsid w:val="0027146B"/>
    <w:rsid w:val="00296939"/>
    <w:rsid w:val="002B7582"/>
    <w:rsid w:val="002F2AEE"/>
    <w:rsid w:val="002F6D43"/>
    <w:rsid w:val="0030607E"/>
    <w:rsid w:val="00333177"/>
    <w:rsid w:val="003404E7"/>
    <w:rsid w:val="00383FF0"/>
    <w:rsid w:val="003F13AB"/>
    <w:rsid w:val="00434CBF"/>
    <w:rsid w:val="00434DD5"/>
    <w:rsid w:val="00435197"/>
    <w:rsid w:val="00446E28"/>
    <w:rsid w:val="004D4C5E"/>
    <w:rsid w:val="004E33C2"/>
    <w:rsid w:val="004E47D3"/>
    <w:rsid w:val="004F04E0"/>
    <w:rsid w:val="00502FF7"/>
    <w:rsid w:val="00533005"/>
    <w:rsid w:val="00535CD8"/>
    <w:rsid w:val="005621CD"/>
    <w:rsid w:val="0057467C"/>
    <w:rsid w:val="0057744C"/>
    <w:rsid w:val="00582D3A"/>
    <w:rsid w:val="00591E59"/>
    <w:rsid w:val="005B0267"/>
    <w:rsid w:val="005B1129"/>
    <w:rsid w:val="005B11E1"/>
    <w:rsid w:val="00621AD0"/>
    <w:rsid w:val="0063776E"/>
    <w:rsid w:val="00656F00"/>
    <w:rsid w:val="006A3985"/>
    <w:rsid w:val="006B2AAE"/>
    <w:rsid w:val="0070020A"/>
    <w:rsid w:val="00715C70"/>
    <w:rsid w:val="0071679B"/>
    <w:rsid w:val="0072641F"/>
    <w:rsid w:val="00750BE3"/>
    <w:rsid w:val="00753311"/>
    <w:rsid w:val="007677C3"/>
    <w:rsid w:val="00793302"/>
    <w:rsid w:val="0079434F"/>
    <w:rsid w:val="00796788"/>
    <w:rsid w:val="007C7DA1"/>
    <w:rsid w:val="007F4EA3"/>
    <w:rsid w:val="00807D33"/>
    <w:rsid w:val="008239A2"/>
    <w:rsid w:val="00826247"/>
    <w:rsid w:val="00831695"/>
    <w:rsid w:val="008316FD"/>
    <w:rsid w:val="008554A3"/>
    <w:rsid w:val="008F7AD0"/>
    <w:rsid w:val="00960D2E"/>
    <w:rsid w:val="00975195"/>
    <w:rsid w:val="00986FEB"/>
    <w:rsid w:val="0099631F"/>
    <w:rsid w:val="009A0E79"/>
    <w:rsid w:val="009A6B50"/>
    <w:rsid w:val="009F1C33"/>
    <w:rsid w:val="009F3173"/>
    <w:rsid w:val="00A607CD"/>
    <w:rsid w:val="00A638E6"/>
    <w:rsid w:val="00A667C3"/>
    <w:rsid w:val="00AB0854"/>
    <w:rsid w:val="00AC761E"/>
    <w:rsid w:val="00AE0D39"/>
    <w:rsid w:val="00AE3D54"/>
    <w:rsid w:val="00AE4B7B"/>
    <w:rsid w:val="00AF111D"/>
    <w:rsid w:val="00AF2497"/>
    <w:rsid w:val="00B046A3"/>
    <w:rsid w:val="00B10BC7"/>
    <w:rsid w:val="00B23014"/>
    <w:rsid w:val="00B30F82"/>
    <w:rsid w:val="00BC5631"/>
    <w:rsid w:val="00BF3DF0"/>
    <w:rsid w:val="00C438AC"/>
    <w:rsid w:val="00C72454"/>
    <w:rsid w:val="00C77DDA"/>
    <w:rsid w:val="00C969BF"/>
    <w:rsid w:val="00CA5EEE"/>
    <w:rsid w:val="00CD3497"/>
    <w:rsid w:val="00CD72DF"/>
    <w:rsid w:val="00CE6D34"/>
    <w:rsid w:val="00D3102A"/>
    <w:rsid w:val="00D54FD7"/>
    <w:rsid w:val="00D66B43"/>
    <w:rsid w:val="00D736B5"/>
    <w:rsid w:val="00D82F46"/>
    <w:rsid w:val="00DC7B8F"/>
    <w:rsid w:val="00DF0EB2"/>
    <w:rsid w:val="00E0126A"/>
    <w:rsid w:val="00E01ED3"/>
    <w:rsid w:val="00E25060"/>
    <w:rsid w:val="00E41660"/>
    <w:rsid w:val="00E5528E"/>
    <w:rsid w:val="00E55734"/>
    <w:rsid w:val="00E81D00"/>
    <w:rsid w:val="00E93E5B"/>
    <w:rsid w:val="00EF5E6E"/>
    <w:rsid w:val="00F102DC"/>
    <w:rsid w:val="00F13AB8"/>
    <w:rsid w:val="00F40ECE"/>
    <w:rsid w:val="00F41814"/>
    <w:rsid w:val="00F77260"/>
    <w:rsid w:val="00F92C23"/>
    <w:rsid w:val="00F9551F"/>
    <w:rsid w:val="00FE56FE"/>
    <w:rsid w:val="00FE7C4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3D568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34DD5"/>
    <w:pPr>
      <w:pBdr>
        <w:top w:val="nil"/>
        <w:left w:val="nil"/>
        <w:bottom w:val="nil"/>
        <w:right w:val="nil"/>
        <w:between w:val="nil"/>
        <w:bar w:val="nil"/>
      </w:pBdr>
    </w:pPr>
    <w:rPr>
      <w:rFonts w:ascii="Times New Roman" w:eastAsia="Arial Unicode MS" w:hAnsi="Times New Roman" w:cs="Times New Roman"/>
      <w:sz w:val="24"/>
      <w:szCs w:val="24"/>
      <w:bdr w:val="nil"/>
    </w:rPr>
  </w:style>
  <w:style w:type="paragraph" w:styleId="Heading3">
    <w:name w:val="heading 3"/>
    <w:basedOn w:val="Normal"/>
    <w:next w:val="Normal"/>
    <w:link w:val="Heading3Char"/>
    <w:uiPriority w:val="9"/>
    <w:unhideWhenUsed/>
    <w:rsid w:val="00CD72D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6" w:lineRule="auto"/>
      <w:outlineLvl w:val="2"/>
    </w:pPr>
    <w:rPr>
      <w:rFonts w:asciiTheme="majorHAnsi" w:eastAsiaTheme="majorEastAsia" w:hAnsiTheme="majorHAnsi" w:cstheme="majorBidi"/>
      <w:color w:val="1F4D78" w:themeColor="accent1" w:themeShade="7F"/>
      <w:bdr w:val="none" w:sz="0" w:space="0" w:color="auto"/>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434DD5"/>
    <w:pPr>
      <w:pBdr>
        <w:top w:val="nil"/>
        <w:left w:val="nil"/>
        <w:bottom w:val="nil"/>
        <w:right w:val="nil"/>
        <w:between w:val="nil"/>
        <w:bar w:val="nil"/>
      </w:pBdr>
      <w:tabs>
        <w:tab w:val="center" w:pos="4513"/>
        <w:tab w:val="right" w:pos="9026"/>
      </w:tabs>
    </w:pPr>
    <w:rPr>
      <w:rFonts w:ascii="Lucida Grande" w:eastAsia="Arial Unicode MS" w:hAnsi="Lucida Grande" w:cs="Arial Unicode MS"/>
      <w:color w:val="000000"/>
      <w:u w:color="000000"/>
      <w:bdr w:val="nil"/>
    </w:rPr>
  </w:style>
  <w:style w:type="character" w:customStyle="1" w:styleId="HeaderChar">
    <w:name w:val="Header Char"/>
    <w:basedOn w:val="DefaultParagraphFont"/>
    <w:link w:val="Header"/>
    <w:rsid w:val="00434DD5"/>
    <w:rPr>
      <w:rFonts w:ascii="Lucida Grande" w:eastAsia="Arial Unicode MS" w:hAnsi="Lucida Grande" w:cs="Arial Unicode MS"/>
      <w:color w:val="000000"/>
      <w:u w:color="000000"/>
      <w:bdr w:val="nil"/>
    </w:rPr>
  </w:style>
  <w:style w:type="paragraph" w:styleId="Footer">
    <w:name w:val="footer"/>
    <w:link w:val="FooterChar"/>
    <w:rsid w:val="00434DD5"/>
    <w:pPr>
      <w:pBdr>
        <w:top w:val="nil"/>
        <w:left w:val="nil"/>
        <w:bottom w:val="nil"/>
        <w:right w:val="nil"/>
        <w:between w:val="nil"/>
        <w:bar w:val="nil"/>
      </w:pBdr>
      <w:tabs>
        <w:tab w:val="center" w:pos="4513"/>
        <w:tab w:val="right" w:pos="9026"/>
      </w:tabs>
    </w:pPr>
    <w:rPr>
      <w:rFonts w:ascii="Lucida Grande" w:eastAsia="Arial Unicode MS" w:hAnsi="Lucida Grande" w:cs="Arial Unicode MS"/>
      <w:color w:val="000000"/>
      <w:u w:color="000000"/>
      <w:bdr w:val="nil"/>
    </w:rPr>
  </w:style>
  <w:style w:type="character" w:customStyle="1" w:styleId="FooterChar">
    <w:name w:val="Footer Char"/>
    <w:basedOn w:val="DefaultParagraphFont"/>
    <w:link w:val="Footer"/>
    <w:rsid w:val="00434DD5"/>
    <w:rPr>
      <w:rFonts w:ascii="Lucida Grande" w:eastAsia="Arial Unicode MS" w:hAnsi="Lucida Grande" w:cs="Arial Unicode MS"/>
      <w:color w:val="000000"/>
      <w:u w:color="000000"/>
      <w:bdr w:val="nil"/>
    </w:rPr>
  </w:style>
  <w:style w:type="paragraph" w:customStyle="1" w:styleId="Body">
    <w:name w:val="Body"/>
    <w:rsid w:val="00434DD5"/>
    <w:pPr>
      <w:pBdr>
        <w:top w:val="nil"/>
        <w:left w:val="nil"/>
        <w:bottom w:val="nil"/>
        <w:right w:val="nil"/>
        <w:between w:val="nil"/>
        <w:bar w:val="nil"/>
      </w:pBdr>
      <w:spacing w:after="160" w:line="256" w:lineRule="auto"/>
    </w:pPr>
    <w:rPr>
      <w:rFonts w:ascii="Lucida Grande" w:eastAsia="Arial Unicode MS" w:hAnsi="Lucida Grande" w:cs="Arial Unicode MS"/>
      <w:color w:val="000000"/>
      <w:u w:color="000000"/>
      <w:bdr w:val="nil"/>
    </w:rPr>
  </w:style>
  <w:style w:type="paragraph" w:customStyle="1" w:styleId="BodyText1">
    <w:name w:val="Body Text1"/>
    <w:rsid w:val="00434DD5"/>
    <w:pPr>
      <w:pBdr>
        <w:top w:val="nil"/>
        <w:left w:val="nil"/>
        <w:bottom w:val="nil"/>
        <w:right w:val="nil"/>
        <w:between w:val="nil"/>
        <w:bar w:val="nil"/>
      </w:pBdr>
      <w:spacing w:after="120" w:line="256" w:lineRule="auto"/>
    </w:pPr>
    <w:rPr>
      <w:rFonts w:ascii="Lucida Grande" w:eastAsia="Arial Unicode MS" w:hAnsi="Lucida Grande" w:cs="Arial Unicode MS"/>
      <w:color w:val="000000"/>
      <w:u w:color="000000"/>
      <w:bdr w:val="nil"/>
    </w:rPr>
  </w:style>
  <w:style w:type="paragraph" w:customStyle="1" w:styleId="CommentText1">
    <w:name w:val="Comment Text1"/>
    <w:rsid w:val="00434DD5"/>
    <w:pPr>
      <w:pBdr>
        <w:top w:val="nil"/>
        <w:left w:val="nil"/>
        <w:bottom w:val="nil"/>
        <w:right w:val="nil"/>
        <w:between w:val="nil"/>
        <w:bar w:val="nil"/>
      </w:pBdr>
      <w:spacing w:after="120"/>
      <w:jc w:val="both"/>
    </w:pPr>
    <w:rPr>
      <w:rFonts w:ascii="Calibri" w:eastAsia="Arial Unicode MS" w:hAnsi="Calibri" w:cs="Arial Unicode MS"/>
      <w:i/>
      <w:iCs/>
      <w:color w:val="000000"/>
      <w:u w:color="000000"/>
      <w:bdr w:val="nil"/>
    </w:rPr>
  </w:style>
  <w:style w:type="numbering" w:customStyle="1" w:styleId="ImportedStyle1">
    <w:name w:val="Imported Style 1"/>
    <w:rsid w:val="00434DD5"/>
    <w:pPr>
      <w:numPr>
        <w:numId w:val="1"/>
      </w:numPr>
    </w:pPr>
  </w:style>
  <w:style w:type="character" w:customStyle="1" w:styleId="Hyperlink0">
    <w:name w:val="Hyperlink.0"/>
    <w:basedOn w:val="DefaultParagraphFont"/>
    <w:rsid w:val="00434DD5"/>
    <w:rPr>
      <w:rFonts w:ascii="Calibri" w:eastAsia="Calibri" w:hAnsi="Calibri" w:cs="Calibri"/>
      <w:color w:val="000000"/>
      <w:sz w:val="22"/>
      <w:szCs w:val="22"/>
      <w:u w:val="single" w:color="000000"/>
    </w:rPr>
  </w:style>
  <w:style w:type="character" w:styleId="PageNumber">
    <w:name w:val="page number"/>
    <w:basedOn w:val="DefaultParagraphFont"/>
    <w:uiPriority w:val="99"/>
    <w:semiHidden/>
    <w:unhideWhenUsed/>
    <w:rsid w:val="00434DD5"/>
  </w:style>
  <w:style w:type="paragraph" w:styleId="ListParagraph">
    <w:name w:val="List Paragraph"/>
    <w:basedOn w:val="Normal"/>
    <w:uiPriority w:val="34"/>
    <w:qFormat/>
    <w:rsid w:val="00753311"/>
    <w:pPr>
      <w:ind w:left="720"/>
      <w:contextualSpacing/>
    </w:pPr>
  </w:style>
  <w:style w:type="paragraph" w:styleId="FootnoteText">
    <w:name w:val="footnote text"/>
    <w:aliases w:val="ft,single space,5_G,Footnote Text Char Char,Footnote Text Char1 Char Char,Footnote Text Char Char Char Char,Footnote Text Char Char1,Texto nota pie Car,Texto nota pie Car Car Car,Texto nota pie Car Car Car Car Car Car"/>
    <w:basedOn w:val="Normal"/>
    <w:link w:val="FootnoteTextChar"/>
    <w:uiPriority w:val="99"/>
    <w:unhideWhenUsed/>
    <w:qFormat/>
    <w:rsid w:val="00582D3A"/>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Open Sans" w:eastAsia="Times New Roman" w:hAnsi="Open Sans"/>
      <w:sz w:val="20"/>
      <w:szCs w:val="20"/>
      <w:bdr w:val="none" w:sz="0" w:space="0" w:color="auto"/>
      <w:lang w:val="it-IT" w:eastAsia="it-IT"/>
    </w:rPr>
  </w:style>
  <w:style w:type="character" w:customStyle="1" w:styleId="FootnoteTextChar">
    <w:name w:val="Footnote Text Char"/>
    <w:aliases w:val="ft Char,single space Char,5_G Char,Footnote Text Char Char Char,Footnote Text Char1 Char Char Char,Footnote Text Char Char Char Char Char,Footnote Text Char Char1 Char,Texto nota pie Car Char,Texto nota pie Car Car Car Char"/>
    <w:basedOn w:val="DefaultParagraphFont"/>
    <w:link w:val="FootnoteText"/>
    <w:uiPriority w:val="99"/>
    <w:rsid w:val="00582D3A"/>
    <w:rPr>
      <w:rFonts w:ascii="Open Sans" w:eastAsia="Times New Roman" w:hAnsi="Open Sans" w:cs="Times New Roman"/>
      <w:sz w:val="20"/>
      <w:szCs w:val="20"/>
      <w:lang w:val="it-IT" w:eastAsia="it-IT"/>
    </w:rPr>
  </w:style>
  <w:style w:type="character" w:styleId="FootnoteReference">
    <w:name w:val="footnote reference"/>
    <w:aliases w:val="ftref,Footnotes refss,4_G,Footnote text,16 Point,Superscript 6 Point,Footnote + Arial,10 pt,Black,Footnote,(NECG) Footnote Reference,Footnote Text1,Ref,de nota al pie,Footnote number, BVI fnr,BVI fnr, BVI fnr Car Car,Re,f"/>
    <w:basedOn w:val="DefaultParagraphFont"/>
    <w:link w:val="BVIfnrCarCharChar1CharCharCharChar"/>
    <w:uiPriority w:val="99"/>
    <w:unhideWhenUsed/>
    <w:qFormat/>
    <w:rsid w:val="00582D3A"/>
    <w:rPr>
      <w:vertAlign w:val="superscript"/>
    </w:rPr>
  </w:style>
  <w:style w:type="paragraph" w:styleId="EndnoteText">
    <w:name w:val="endnote text"/>
    <w:aliases w:val="2_G"/>
    <w:basedOn w:val="Normal"/>
    <w:link w:val="EndnoteTextChar"/>
    <w:uiPriority w:val="99"/>
    <w:unhideWhenUsed/>
    <w:rsid w:val="00582D3A"/>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Theme="minorHAnsi" w:eastAsia="Cambria" w:hAnsiTheme="minorHAnsi"/>
      <w:sz w:val="18"/>
      <w:bdr w:val="none" w:sz="0" w:space="0" w:color="auto"/>
      <w:lang w:val="en-GB" w:eastAsia="en-GB" w:bidi="he-IL"/>
    </w:rPr>
  </w:style>
  <w:style w:type="character" w:customStyle="1" w:styleId="EndnoteTextChar">
    <w:name w:val="Endnote Text Char"/>
    <w:aliases w:val="2_G Char"/>
    <w:basedOn w:val="DefaultParagraphFont"/>
    <w:link w:val="EndnoteText"/>
    <w:uiPriority w:val="99"/>
    <w:rsid w:val="00582D3A"/>
    <w:rPr>
      <w:rFonts w:eastAsia="Cambria" w:cs="Times New Roman"/>
      <w:sz w:val="18"/>
      <w:szCs w:val="24"/>
      <w:lang w:val="en-GB" w:eastAsia="en-GB" w:bidi="he-IL"/>
    </w:rPr>
  </w:style>
  <w:style w:type="paragraph" w:customStyle="1" w:styleId="BVIfnrCarCharChar1CharCharCharChar">
    <w:name w:val="BVI fnr Car Char Char1 Char Char Char Char"/>
    <w:aliases w:val="BVI fnr Car Char Char Char Char Char Char,BVI fnr Car Car Car Char Char Char Char Char Char,BVI fnr Car Car Char Char Char Char Char Char"/>
    <w:basedOn w:val="Normal"/>
    <w:link w:val="FootnoteReference"/>
    <w:uiPriority w:val="99"/>
    <w:rsid w:val="00582D3A"/>
    <w:pPr>
      <w:pBdr>
        <w:top w:val="none" w:sz="0" w:space="0" w:color="auto"/>
        <w:left w:val="none" w:sz="0" w:space="0" w:color="auto"/>
        <w:bottom w:val="none" w:sz="0" w:space="0" w:color="auto"/>
        <w:right w:val="none" w:sz="0" w:space="0" w:color="auto"/>
        <w:between w:val="none" w:sz="0" w:space="0" w:color="auto"/>
        <w:bar w:val="none" w:sz="0" w:color="auto"/>
      </w:pBdr>
      <w:spacing w:after="160" w:line="240" w:lineRule="exact"/>
      <w:jc w:val="both"/>
    </w:pPr>
    <w:rPr>
      <w:rFonts w:asciiTheme="minorHAnsi" w:eastAsiaTheme="minorHAnsi" w:hAnsiTheme="minorHAnsi" w:cstheme="minorBidi"/>
      <w:sz w:val="22"/>
      <w:szCs w:val="22"/>
      <w:bdr w:val="none" w:sz="0" w:space="0" w:color="auto"/>
      <w:vertAlign w:val="superscript"/>
    </w:rPr>
  </w:style>
  <w:style w:type="paragraph" w:styleId="NoSpacing">
    <w:name w:val="No Spacing"/>
    <w:aliases w:val="Para"/>
    <w:uiPriority w:val="1"/>
    <w:qFormat/>
    <w:rsid w:val="00582D3A"/>
    <w:rPr>
      <w:rFonts w:ascii="Times New Roman" w:eastAsia="Times New Roman" w:hAnsi="Times New Roman" w:cs="Times New Roman"/>
      <w:b/>
      <w:szCs w:val="24"/>
      <w:lang w:val="it-IT" w:eastAsia="it-IT"/>
    </w:rPr>
  </w:style>
  <w:style w:type="character" w:styleId="CommentReference">
    <w:name w:val="annotation reference"/>
    <w:basedOn w:val="DefaultParagraphFont"/>
    <w:uiPriority w:val="99"/>
    <w:semiHidden/>
    <w:unhideWhenUsed/>
    <w:rsid w:val="00826247"/>
    <w:rPr>
      <w:sz w:val="16"/>
      <w:szCs w:val="16"/>
    </w:rPr>
  </w:style>
  <w:style w:type="paragraph" w:styleId="CommentText">
    <w:name w:val="annotation text"/>
    <w:basedOn w:val="Normal"/>
    <w:link w:val="CommentTextChar"/>
    <w:uiPriority w:val="99"/>
    <w:semiHidden/>
    <w:unhideWhenUsed/>
    <w:rsid w:val="00826247"/>
    <w:pPr>
      <w:pBdr>
        <w:top w:val="none" w:sz="0" w:space="0" w:color="auto"/>
        <w:left w:val="none" w:sz="0" w:space="0" w:color="auto"/>
        <w:bottom w:val="none" w:sz="0" w:space="0" w:color="auto"/>
        <w:right w:val="none" w:sz="0" w:space="0" w:color="auto"/>
        <w:between w:val="none" w:sz="0" w:space="0" w:color="auto"/>
        <w:bar w:val="none" w:sz="0" w:color="auto"/>
      </w:pBdr>
      <w:spacing w:after="160"/>
      <w:jc w:val="both"/>
    </w:pPr>
    <w:rPr>
      <w:rFonts w:ascii="Open Sans" w:eastAsiaTheme="minorHAnsi" w:hAnsi="Open Sans" w:cstheme="minorBidi"/>
      <w:sz w:val="20"/>
      <w:szCs w:val="20"/>
      <w:bdr w:val="none" w:sz="0" w:space="0" w:color="auto"/>
    </w:rPr>
  </w:style>
  <w:style w:type="character" w:customStyle="1" w:styleId="CommentTextChar">
    <w:name w:val="Comment Text Char"/>
    <w:basedOn w:val="DefaultParagraphFont"/>
    <w:link w:val="CommentText"/>
    <w:uiPriority w:val="99"/>
    <w:semiHidden/>
    <w:rsid w:val="00826247"/>
    <w:rPr>
      <w:rFonts w:ascii="Open Sans" w:hAnsi="Open Sans"/>
      <w:sz w:val="20"/>
      <w:szCs w:val="20"/>
    </w:rPr>
  </w:style>
  <w:style w:type="character" w:styleId="EndnoteReference">
    <w:name w:val="endnote reference"/>
    <w:aliases w:val="1_G"/>
    <w:basedOn w:val="DefaultParagraphFont"/>
    <w:uiPriority w:val="99"/>
    <w:unhideWhenUsed/>
    <w:rsid w:val="00826247"/>
    <w:rPr>
      <w:vertAlign w:val="superscript"/>
    </w:rPr>
  </w:style>
  <w:style w:type="paragraph" w:styleId="BalloonText">
    <w:name w:val="Balloon Text"/>
    <w:basedOn w:val="Normal"/>
    <w:link w:val="BalloonTextChar"/>
    <w:uiPriority w:val="99"/>
    <w:semiHidden/>
    <w:unhideWhenUsed/>
    <w:rsid w:val="00826247"/>
    <w:rPr>
      <w:sz w:val="18"/>
      <w:szCs w:val="18"/>
    </w:rPr>
  </w:style>
  <w:style w:type="character" w:customStyle="1" w:styleId="BalloonTextChar">
    <w:name w:val="Balloon Text Char"/>
    <w:basedOn w:val="DefaultParagraphFont"/>
    <w:link w:val="BalloonText"/>
    <w:uiPriority w:val="99"/>
    <w:semiHidden/>
    <w:rsid w:val="00826247"/>
    <w:rPr>
      <w:rFonts w:ascii="Times New Roman" w:eastAsia="Arial Unicode MS" w:hAnsi="Times New Roman" w:cs="Times New Roman"/>
      <w:sz w:val="18"/>
      <w:szCs w:val="18"/>
      <w:bdr w:val="nil"/>
    </w:rPr>
  </w:style>
  <w:style w:type="paragraph" w:styleId="CommentSubject">
    <w:name w:val="annotation subject"/>
    <w:basedOn w:val="CommentText"/>
    <w:next w:val="CommentText"/>
    <w:link w:val="CommentSubjectChar"/>
    <w:uiPriority w:val="99"/>
    <w:semiHidden/>
    <w:unhideWhenUsed/>
    <w:rsid w:val="007C7DA1"/>
    <w:pPr>
      <w:pBdr>
        <w:top w:val="nil"/>
        <w:left w:val="nil"/>
        <w:bottom w:val="nil"/>
        <w:right w:val="nil"/>
        <w:between w:val="nil"/>
        <w:bar w:val="nil"/>
      </w:pBdr>
      <w:spacing w:after="0"/>
      <w:jc w:val="left"/>
    </w:pPr>
    <w:rPr>
      <w:rFonts w:ascii="Times New Roman" w:eastAsia="Arial Unicode MS" w:hAnsi="Times New Roman" w:cs="Times New Roman"/>
      <w:b/>
      <w:bCs/>
      <w:bdr w:val="nil"/>
    </w:rPr>
  </w:style>
  <w:style w:type="character" w:customStyle="1" w:styleId="CommentSubjectChar">
    <w:name w:val="Comment Subject Char"/>
    <w:basedOn w:val="CommentTextChar"/>
    <w:link w:val="CommentSubject"/>
    <w:uiPriority w:val="99"/>
    <w:semiHidden/>
    <w:rsid w:val="007C7DA1"/>
    <w:rPr>
      <w:rFonts w:ascii="Times New Roman" w:eastAsia="Arial Unicode MS" w:hAnsi="Times New Roman" w:cs="Times New Roman"/>
      <w:b/>
      <w:bCs/>
      <w:sz w:val="20"/>
      <w:szCs w:val="20"/>
      <w:bdr w:val="nil"/>
    </w:rPr>
  </w:style>
  <w:style w:type="character" w:customStyle="1" w:styleId="Heading3Char">
    <w:name w:val="Heading 3 Char"/>
    <w:basedOn w:val="DefaultParagraphFont"/>
    <w:link w:val="Heading3"/>
    <w:uiPriority w:val="9"/>
    <w:rsid w:val="00CD72DF"/>
    <w:rPr>
      <w:rFonts w:asciiTheme="majorHAnsi" w:eastAsiaTheme="majorEastAsia" w:hAnsiTheme="majorHAnsi" w:cstheme="majorBidi"/>
      <w:color w:val="1F4D78" w:themeColor="accent1" w:themeShade="7F"/>
      <w:sz w:val="24"/>
      <w:szCs w:val="24"/>
      <w:lang w:val="en-GB"/>
    </w:rPr>
  </w:style>
  <w:style w:type="character" w:styleId="Hyperlink">
    <w:name w:val="Hyperlink"/>
    <w:basedOn w:val="DefaultParagraphFont"/>
    <w:uiPriority w:val="99"/>
    <w:unhideWhenUsed/>
    <w:rsid w:val="00CD72DF"/>
    <w:rPr>
      <w:color w:val="0000FF"/>
      <w:u w:val="single"/>
    </w:rPr>
  </w:style>
  <w:style w:type="character" w:styleId="FollowedHyperlink">
    <w:name w:val="FollowedHyperlink"/>
    <w:basedOn w:val="DefaultParagraphFont"/>
    <w:uiPriority w:val="99"/>
    <w:semiHidden/>
    <w:unhideWhenUsed/>
    <w:rsid w:val="00AF11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71290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Documents/Issues/RuleOfLaw/Violence/A_HRC_42_20_AUV_EN.pdf" TargetMode="External"/><Relationship Id="rId1" Type="http://schemas.openxmlformats.org/officeDocument/2006/relationships/hyperlink" Target="https://www.hri.global/files/2019/03/06/women-harm-reduction-201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306E36-D8B5-4035-8A4C-AA38071881B1}">
  <ds:schemaRefs>
    <ds:schemaRef ds:uri="http://schemas.openxmlformats.org/officeDocument/2006/bibliography"/>
  </ds:schemaRefs>
</ds:datastoreItem>
</file>

<file path=customXml/itemProps2.xml><?xml version="1.0" encoding="utf-8"?>
<ds:datastoreItem xmlns:ds="http://schemas.openxmlformats.org/officeDocument/2006/customXml" ds:itemID="{ACECC592-0D72-4772-87E2-80452D6472A0}"/>
</file>

<file path=customXml/itemProps3.xml><?xml version="1.0" encoding="utf-8"?>
<ds:datastoreItem xmlns:ds="http://schemas.openxmlformats.org/officeDocument/2006/customXml" ds:itemID="{F8D6BD16-9136-45DB-83C3-98F917AFF9F8}"/>
</file>

<file path=customXml/itemProps4.xml><?xml version="1.0" encoding="utf-8"?>
<ds:datastoreItem xmlns:ds="http://schemas.openxmlformats.org/officeDocument/2006/customXml" ds:itemID="{F44FDD5B-5280-4317-A48E-D4A87FC829F7}"/>
</file>

<file path=docProps/app.xml><?xml version="1.0" encoding="utf-8"?>
<Properties xmlns="http://schemas.openxmlformats.org/officeDocument/2006/extended-properties" xmlns:vt="http://schemas.openxmlformats.org/officeDocument/2006/docPropsVTypes">
  <Template>Normal.dotm</Template>
  <TotalTime>1</TotalTime>
  <Pages>8</Pages>
  <Words>3022</Words>
  <Characters>16572</Characters>
  <Application>Microsoft Office Word</Application>
  <DocSecurity>4</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HRI</Company>
  <LinksUpToDate>false</LinksUpToDate>
  <CharactersWithSpaces>19555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 Sander</dc:creator>
  <cp:keywords/>
  <dc:description/>
  <cp:lastModifiedBy>Fleche Isabelle</cp:lastModifiedBy>
  <cp:revision>2</cp:revision>
  <cp:lastPrinted>2020-01-20T17:16:00Z</cp:lastPrinted>
  <dcterms:created xsi:type="dcterms:W3CDTF">2020-01-21T17:26:00Z</dcterms:created>
  <dcterms:modified xsi:type="dcterms:W3CDTF">2020-01-21T17:26:00Z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