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9026"/>
      </w:tblGrid>
      <w:tr w:rsidR="00A602FD" w:rsidRPr="00530A99" w14:paraId="63983677" w14:textId="77777777" w:rsidTr="002408F2">
        <w:tc>
          <w:tcPr>
            <w:tcW w:w="9779" w:type="dxa"/>
            <w:shd w:val="clear" w:color="auto" w:fill="auto"/>
          </w:tcPr>
          <w:p w14:paraId="2A8A85FC" w14:textId="77777777" w:rsidR="00A602FD" w:rsidRPr="00530A99" w:rsidRDefault="00A602FD" w:rsidP="002408F2">
            <w:pPr>
              <w:jc w:val="center"/>
              <w:rPr>
                <w:lang w:eastAsia="fr-FR"/>
              </w:rPr>
            </w:pPr>
            <w:r w:rsidRPr="00530A99">
              <w:rPr>
                <w:noProof/>
                <w:lang w:eastAsia="fr-FR"/>
              </w:rPr>
              <w:drawing>
                <wp:inline distT="0" distB="0" distL="0" distR="0" wp14:anchorId="20A44944" wp14:editId="599B73BE">
                  <wp:extent cx="967795" cy="920199"/>
                  <wp:effectExtent l="0" t="0" r="381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76050" cy="928048"/>
                          </a:xfrm>
                          <a:prstGeom prst="rect">
                            <a:avLst/>
                          </a:prstGeom>
                          <a:noFill/>
                        </pic:spPr>
                      </pic:pic>
                    </a:graphicData>
                  </a:graphic>
                </wp:inline>
              </w:drawing>
            </w:r>
          </w:p>
          <w:p w14:paraId="1F42E001" w14:textId="77777777" w:rsidR="00A602FD" w:rsidRPr="005A4433" w:rsidRDefault="00A602FD" w:rsidP="002408F2">
            <w:pPr>
              <w:rPr>
                <w:sz w:val="20"/>
                <w:szCs w:val="20"/>
                <w:lang w:eastAsia="fr-FR"/>
              </w:rPr>
            </w:pPr>
          </w:p>
        </w:tc>
      </w:tr>
      <w:tr w:rsidR="00A602FD" w:rsidRPr="00530A99" w14:paraId="08EBA243" w14:textId="77777777" w:rsidTr="002408F2">
        <w:tc>
          <w:tcPr>
            <w:tcW w:w="9779" w:type="dxa"/>
            <w:shd w:val="clear" w:color="auto" w:fill="auto"/>
          </w:tcPr>
          <w:p w14:paraId="616E6498" w14:textId="77777777" w:rsidR="00A602FD" w:rsidRPr="008F67E6" w:rsidRDefault="00A602FD" w:rsidP="002408F2">
            <w:pPr>
              <w:pStyle w:val="NoSpacing"/>
            </w:pPr>
            <w:r w:rsidRPr="008F67E6">
              <w:t xml:space="preserve">Commission consultative </w:t>
            </w:r>
          </w:p>
          <w:p w14:paraId="6316149A" w14:textId="77777777" w:rsidR="00A602FD" w:rsidRPr="008F67E6" w:rsidRDefault="00A602FD" w:rsidP="002408F2">
            <w:pPr>
              <w:pStyle w:val="NoSpacing"/>
            </w:pPr>
            <w:proofErr w:type="gramStart"/>
            <w:r w:rsidRPr="008F67E6">
              <w:t>des</w:t>
            </w:r>
            <w:proofErr w:type="gramEnd"/>
            <w:r w:rsidRPr="008F67E6">
              <w:t xml:space="preserve"> Droits de l’Homme</w:t>
            </w:r>
          </w:p>
          <w:p w14:paraId="61213BAC" w14:textId="77777777" w:rsidR="00A602FD" w:rsidRPr="008F67E6" w:rsidRDefault="00A602FD" w:rsidP="002408F2">
            <w:pPr>
              <w:pStyle w:val="NoSpacing"/>
            </w:pPr>
            <w:proofErr w:type="gramStart"/>
            <w:r w:rsidRPr="008F67E6">
              <w:t>du</w:t>
            </w:r>
            <w:proofErr w:type="gramEnd"/>
            <w:r w:rsidRPr="008F67E6">
              <w:t xml:space="preserve"> Grand-Duché de Luxembourg</w:t>
            </w:r>
          </w:p>
          <w:p w14:paraId="52FB2C9F" w14:textId="77777777" w:rsidR="00A602FD" w:rsidRPr="00530A99" w:rsidRDefault="00A602FD" w:rsidP="002408F2">
            <w:pPr>
              <w:rPr>
                <w:lang w:eastAsia="fr-FR"/>
              </w:rPr>
            </w:pPr>
          </w:p>
        </w:tc>
      </w:tr>
    </w:tbl>
    <w:p w14:paraId="52BC974A" w14:textId="77777777" w:rsidR="00A602FD" w:rsidRPr="005A4433" w:rsidRDefault="00A602FD" w:rsidP="00A602FD">
      <w:pPr>
        <w:pStyle w:val="NoSpacing"/>
        <w:spacing w:line="312" w:lineRule="auto"/>
        <w:rPr>
          <w:sz w:val="24"/>
        </w:rPr>
      </w:pPr>
    </w:p>
    <w:p w14:paraId="2804DF81" w14:textId="77777777" w:rsidR="00A602FD" w:rsidRPr="005A4433" w:rsidRDefault="00A602FD" w:rsidP="00A602FD">
      <w:pPr>
        <w:pStyle w:val="NoSpacing"/>
        <w:rPr>
          <w:sz w:val="24"/>
          <w:szCs w:val="24"/>
        </w:rPr>
      </w:pPr>
    </w:p>
    <w:p w14:paraId="5DFF27BC" w14:textId="6AE0B47F" w:rsidR="00A602FD" w:rsidRPr="00984FAA" w:rsidRDefault="00A602FD" w:rsidP="00A602FD">
      <w:pPr>
        <w:pStyle w:val="NoSpacing"/>
        <w:rPr>
          <w:sz w:val="24"/>
          <w:szCs w:val="24"/>
        </w:rPr>
      </w:pPr>
      <w:r>
        <w:rPr>
          <w:sz w:val="24"/>
          <w:szCs w:val="24"/>
        </w:rPr>
        <w:t>90</w:t>
      </w:r>
      <w:r w:rsidRPr="005A4433">
        <w:rPr>
          <w:sz w:val="24"/>
          <w:szCs w:val="24"/>
          <w:vertAlign w:val="superscript"/>
        </w:rPr>
        <w:t>e</w:t>
      </w:r>
      <w:r>
        <w:rPr>
          <w:sz w:val="24"/>
          <w:szCs w:val="24"/>
        </w:rPr>
        <w:t xml:space="preserve"> session du </w:t>
      </w:r>
      <w:r w:rsidRPr="00A602FD">
        <w:rPr>
          <w:sz w:val="24"/>
          <w:szCs w:val="24"/>
        </w:rPr>
        <w:t>Comité pour l’élimination de la discrimination à l’égard des femmes</w:t>
      </w:r>
    </w:p>
    <w:p w14:paraId="61E15C0A" w14:textId="77777777" w:rsidR="00FC24B8" w:rsidRDefault="00FC24B8"/>
    <w:p w14:paraId="5B548531" w14:textId="77777777" w:rsidR="006D7CC5" w:rsidRDefault="006D7CC5" w:rsidP="00852BA8">
      <w:pPr>
        <w:jc w:val="left"/>
      </w:pPr>
    </w:p>
    <w:p w14:paraId="458ED03E" w14:textId="1C113615" w:rsidR="006D7CC5" w:rsidRDefault="006D7CC5" w:rsidP="009E00CD">
      <w:pPr>
        <w:jc w:val="left"/>
      </w:pPr>
      <w:r>
        <w:t>La Commission consultative des Droits de l’Homme du Luxembourg (CCDH) remercie le Comité pour l’élimination de la discrimination à l’égard des femmes de l’opportunité qui lui est donnée de s’exprimer dans le cadre du 8e rapport périodique du Luxembourg.</w:t>
      </w:r>
    </w:p>
    <w:p w14:paraId="5EC1A5B5" w14:textId="77777777" w:rsidR="00852BA8" w:rsidRDefault="00852BA8" w:rsidP="009E00CD">
      <w:pPr>
        <w:jc w:val="left"/>
      </w:pPr>
    </w:p>
    <w:p w14:paraId="12D7AB60" w14:textId="055CDD03" w:rsidR="006D7CC5" w:rsidRDefault="00710997" w:rsidP="009E00CD">
      <w:pPr>
        <w:jc w:val="left"/>
      </w:pPr>
      <w:r>
        <w:t xml:space="preserve">La CCDH salue les efforts que l’État luxembourgeois a </w:t>
      </w:r>
      <w:r w:rsidR="00CC5C08">
        <w:t>déployés</w:t>
      </w:r>
      <w:r>
        <w:t xml:space="preserve"> </w:t>
      </w:r>
      <w:r w:rsidR="009E00CD">
        <w:t>pour lutter</w:t>
      </w:r>
      <w:r>
        <w:t xml:space="preserve"> contre la discrimination à l’égard des femmes depuis le dernier rapport. </w:t>
      </w:r>
      <w:r w:rsidR="00CC5C08">
        <w:t>Ces avancées, bien qu’encourageantes, soulignent toutefois des lacunes persistantes qu</w:t>
      </w:r>
      <w:r w:rsidR="005176D7">
        <w:t>e la CCDH</w:t>
      </w:r>
      <w:r w:rsidR="00CC5C08">
        <w:t xml:space="preserve"> </w:t>
      </w:r>
      <w:r w:rsidR="00BF4ED4">
        <w:t>entend</w:t>
      </w:r>
      <w:r w:rsidR="00CC5C08">
        <w:t xml:space="preserve"> mettre en lumière.</w:t>
      </w:r>
    </w:p>
    <w:p w14:paraId="76E0D279" w14:textId="77777777" w:rsidR="006D7CC5" w:rsidRDefault="006D7CC5" w:rsidP="009E00CD">
      <w:pPr>
        <w:jc w:val="left"/>
      </w:pPr>
    </w:p>
    <w:p w14:paraId="2C72F513" w14:textId="0F153E47" w:rsidR="009E00CD" w:rsidRDefault="005176D7" w:rsidP="009E00CD">
      <w:pPr>
        <w:jc w:val="left"/>
        <w:rPr>
          <w:rFonts w:cstheme="minorHAnsi"/>
          <w:color w:val="000000" w:themeColor="text1"/>
        </w:rPr>
      </w:pPr>
      <w:r>
        <w:t>Premièrement, b</w:t>
      </w:r>
      <w:r w:rsidR="009E00CD" w:rsidRPr="00C90185">
        <w:t xml:space="preserve">ien qu’il </w:t>
      </w:r>
      <w:r w:rsidR="00542D48">
        <w:t>existe de nombreux</w:t>
      </w:r>
      <w:r w:rsidR="009E00CD" w:rsidRPr="00C90185">
        <w:t xml:space="preserve"> défis en matière </w:t>
      </w:r>
      <w:r w:rsidR="00EB1ACF">
        <w:t xml:space="preserve">d’égalité des genres </w:t>
      </w:r>
      <w:r w:rsidR="009E00CD" w:rsidRPr="00C90185">
        <w:t xml:space="preserve">au </w:t>
      </w:r>
      <w:r w:rsidR="00542D48">
        <w:t xml:space="preserve">Luxembourg, </w:t>
      </w:r>
      <w:r w:rsidR="009E00CD" w:rsidRPr="00C90185">
        <w:t xml:space="preserve">la CCDH souhaite attirer l’attention sur le défi principal à </w:t>
      </w:r>
      <w:r w:rsidR="009E00CD" w:rsidRPr="00C90185">
        <w:rPr>
          <w:color w:val="000000" w:themeColor="text1"/>
        </w:rPr>
        <w:t xml:space="preserve">l’origine </w:t>
      </w:r>
      <w:r w:rsidR="00D878CB">
        <w:rPr>
          <w:color w:val="000000" w:themeColor="text1"/>
        </w:rPr>
        <w:t>de la discrimination à l’égard des femmes</w:t>
      </w:r>
      <w:r w:rsidR="009E00CD" w:rsidRPr="00C90185">
        <w:rPr>
          <w:color w:val="000000" w:themeColor="text1"/>
        </w:rPr>
        <w:t xml:space="preserve">, à savoir </w:t>
      </w:r>
      <w:r w:rsidR="00BF6BE2">
        <w:rPr>
          <w:color w:val="000000" w:themeColor="text1"/>
        </w:rPr>
        <w:t xml:space="preserve">la persistance </w:t>
      </w:r>
      <w:r w:rsidR="009E00CD" w:rsidRPr="00C90185">
        <w:rPr>
          <w:color w:val="000000" w:themeColor="text1"/>
        </w:rPr>
        <w:t xml:space="preserve">d’un système </w:t>
      </w:r>
      <w:r w:rsidR="009E00CD">
        <w:rPr>
          <w:color w:val="000000" w:themeColor="text1"/>
        </w:rPr>
        <w:t xml:space="preserve">social </w:t>
      </w:r>
      <w:r w:rsidR="009E00CD" w:rsidRPr="00C90185">
        <w:rPr>
          <w:color w:val="000000" w:themeColor="text1"/>
        </w:rPr>
        <w:t>de domination généralisé</w:t>
      </w:r>
      <w:r w:rsidR="009E00CD">
        <w:rPr>
          <w:color w:val="000000" w:themeColor="text1"/>
        </w:rPr>
        <w:t>e</w:t>
      </w:r>
      <w:r w:rsidR="009E00CD" w:rsidRPr="00C90185">
        <w:rPr>
          <w:color w:val="000000" w:themeColor="text1"/>
        </w:rPr>
        <w:t xml:space="preserve"> qui </w:t>
      </w:r>
      <w:r w:rsidR="009E00CD" w:rsidRPr="00C90185">
        <w:rPr>
          <w:rFonts w:cstheme="minorHAnsi"/>
          <w:color w:val="000000" w:themeColor="text1"/>
        </w:rPr>
        <w:t xml:space="preserve">maintient </w:t>
      </w:r>
      <w:r w:rsidR="007A0D02">
        <w:rPr>
          <w:rFonts w:cstheme="minorHAnsi"/>
          <w:color w:val="000000" w:themeColor="text1"/>
        </w:rPr>
        <w:t xml:space="preserve">les femmes </w:t>
      </w:r>
      <w:r w:rsidR="009E00CD" w:rsidRPr="00C90185">
        <w:rPr>
          <w:rFonts w:cstheme="minorHAnsi"/>
          <w:color w:val="000000" w:themeColor="text1"/>
        </w:rPr>
        <w:t>dans une position de subordination par rapport aux hommes.</w:t>
      </w:r>
    </w:p>
    <w:p w14:paraId="773B940A" w14:textId="77777777" w:rsidR="00EA1B19" w:rsidRPr="00C90185" w:rsidRDefault="00EA1B19" w:rsidP="009E00CD">
      <w:pPr>
        <w:jc w:val="left"/>
        <w:rPr>
          <w:rFonts w:cstheme="minorHAnsi"/>
          <w:color w:val="000000" w:themeColor="text1"/>
        </w:rPr>
      </w:pPr>
    </w:p>
    <w:p w14:paraId="10B4D3BE" w14:textId="31829D81" w:rsidR="00FB3AB9" w:rsidRDefault="00542D48" w:rsidP="00FB3AB9">
      <w:pPr>
        <w:jc w:val="left"/>
      </w:pPr>
      <w:r>
        <w:rPr>
          <w:color w:val="000000" w:themeColor="text1"/>
        </w:rPr>
        <w:t>La</w:t>
      </w:r>
      <w:r w:rsidR="009E00CD" w:rsidRPr="00C90185">
        <w:rPr>
          <w:color w:val="000000" w:themeColor="text1"/>
        </w:rPr>
        <w:t xml:space="preserve"> CCDH </w:t>
      </w:r>
      <w:r>
        <w:rPr>
          <w:color w:val="000000" w:themeColor="text1"/>
        </w:rPr>
        <w:t xml:space="preserve">note </w:t>
      </w:r>
      <w:r w:rsidR="009E00CD">
        <w:rPr>
          <w:color w:val="000000" w:themeColor="text1"/>
        </w:rPr>
        <w:t xml:space="preserve">avec </w:t>
      </w:r>
      <w:r>
        <w:rPr>
          <w:color w:val="000000" w:themeColor="text1"/>
        </w:rPr>
        <w:t xml:space="preserve">une </w:t>
      </w:r>
      <w:r w:rsidR="009E00CD">
        <w:rPr>
          <w:color w:val="000000" w:themeColor="text1"/>
        </w:rPr>
        <w:t xml:space="preserve">inquiétude </w:t>
      </w:r>
      <w:r>
        <w:rPr>
          <w:color w:val="000000" w:themeColor="text1"/>
        </w:rPr>
        <w:t xml:space="preserve">croissante </w:t>
      </w:r>
      <w:r w:rsidR="009E00CD">
        <w:rPr>
          <w:color w:val="000000" w:themeColor="text1"/>
        </w:rPr>
        <w:t xml:space="preserve">que </w:t>
      </w:r>
      <w:r w:rsidR="009E00CD" w:rsidRPr="00C90185">
        <w:rPr>
          <w:color w:val="000000" w:themeColor="text1"/>
        </w:rPr>
        <w:t>la</w:t>
      </w:r>
      <w:r w:rsidR="009E00CD">
        <w:rPr>
          <w:color w:val="000000" w:themeColor="text1"/>
        </w:rPr>
        <w:t xml:space="preserve"> politique </w:t>
      </w:r>
      <w:r w:rsidR="00EA1B19">
        <w:rPr>
          <w:color w:val="000000" w:themeColor="text1"/>
        </w:rPr>
        <w:t>du gouvernement luxembourgeois</w:t>
      </w:r>
      <w:r w:rsidR="009E00CD" w:rsidRPr="00C90185">
        <w:rPr>
          <w:color w:val="000000" w:themeColor="text1"/>
        </w:rPr>
        <w:t xml:space="preserve"> </w:t>
      </w:r>
      <w:r w:rsidR="009E00CD">
        <w:rPr>
          <w:color w:val="000000" w:themeColor="text1"/>
        </w:rPr>
        <w:t xml:space="preserve">continue </w:t>
      </w:r>
      <w:r w:rsidR="007C397F">
        <w:rPr>
          <w:color w:val="000000" w:themeColor="text1"/>
        </w:rPr>
        <w:t>de</w:t>
      </w:r>
      <w:r w:rsidR="009E00CD">
        <w:rPr>
          <w:color w:val="000000" w:themeColor="text1"/>
        </w:rPr>
        <w:t xml:space="preserve"> </w:t>
      </w:r>
      <w:r w:rsidR="009E00CD" w:rsidRPr="00C90185">
        <w:rPr>
          <w:color w:val="000000" w:themeColor="text1"/>
        </w:rPr>
        <w:t xml:space="preserve">ne </w:t>
      </w:r>
      <w:r w:rsidR="009E00CD">
        <w:rPr>
          <w:color w:val="000000" w:themeColor="text1"/>
        </w:rPr>
        <w:t xml:space="preserve">pas </w:t>
      </w:r>
      <w:r w:rsidR="00511142">
        <w:rPr>
          <w:color w:val="000000" w:themeColor="text1"/>
        </w:rPr>
        <w:t xml:space="preserve">reconnaître l’existence de </w:t>
      </w:r>
      <w:r w:rsidR="009E00CD" w:rsidRPr="00C90185">
        <w:rPr>
          <w:color w:val="000000" w:themeColor="text1"/>
        </w:rPr>
        <w:t>ce</w:t>
      </w:r>
      <w:r w:rsidR="00511142">
        <w:rPr>
          <w:color w:val="000000" w:themeColor="text1"/>
        </w:rPr>
        <w:t>tte subordination systémique</w:t>
      </w:r>
      <w:r w:rsidR="009E00CD">
        <w:rPr>
          <w:color w:val="000000" w:themeColor="text1"/>
        </w:rPr>
        <w:t xml:space="preserve">, privilégiant </w:t>
      </w:r>
      <w:r w:rsidR="009E00CD" w:rsidRPr="00C90185">
        <w:rPr>
          <w:color w:val="000000" w:themeColor="text1"/>
        </w:rPr>
        <w:t>une approche « </w:t>
      </w:r>
      <w:r w:rsidR="009E00CD" w:rsidRPr="00EA1B19">
        <w:rPr>
          <w:i/>
          <w:iCs/>
          <w:color w:val="000000" w:themeColor="text1"/>
        </w:rPr>
        <w:t>neutre</w:t>
      </w:r>
      <w:r w:rsidR="009E00CD" w:rsidRPr="00C90185">
        <w:rPr>
          <w:color w:val="000000" w:themeColor="text1"/>
        </w:rPr>
        <w:t> »</w:t>
      </w:r>
      <w:r w:rsidR="009E00CD">
        <w:rPr>
          <w:color w:val="000000" w:themeColor="text1"/>
        </w:rPr>
        <w:t xml:space="preserve"> qui n’est pas sensible au genre.</w:t>
      </w:r>
      <w:r>
        <w:rPr>
          <w:color w:val="000000" w:themeColor="text1"/>
        </w:rPr>
        <w:t xml:space="preserve"> </w:t>
      </w:r>
      <w:r w:rsidR="00FB3AB9">
        <w:t xml:space="preserve">A titre d’exemple, lors de </w:t>
      </w:r>
      <w:r w:rsidR="00FB3AB9" w:rsidRPr="00E515D5">
        <w:t>l’évaluation des incidences de nouvelles lois</w:t>
      </w:r>
      <w:r w:rsidR="00787A09">
        <w:t>,</w:t>
      </w:r>
      <w:r w:rsidR="00FB3AB9">
        <w:t xml:space="preserve"> </w:t>
      </w:r>
      <w:r w:rsidR="00FB3AB9" w:rsidRPr="00E515D5">
        <w:t xml:space="preserve">la grande majorité </w:t>
      </w:r>
      <w:r w:rsidR="00787A09">
        <w:t>d</w:t>
      </w:r>
      <w:r w:rsidR="007C397F">
        <w:t>’entre elles</w:t>
      </w:r>
      <w:r w:rsidR="00FB3AB9" w:rsidRPr="00E515D5">
        <w:t xml:space="preserve"> est qualifiée </w:t>
      </w:r>
      <w:r w:rsidR="00787A09">
        <w:t>par le législateur</w:t>
      </w:r>
      <w:r w:rsidR="00787A09" w:rsidRPr="00E515D5">
        <w:t xml:space="preserve"> </w:t>
      </w:r>
      <w:r w:rsidR="00FB3AB9" w:rsidRPr="00E515D5">
        <w:t xml:space="preserve">comme « </w:t>
      </w:r>
      <w:r w:rsidR="00FB3AB9" w:rsidRPr="00FB3AB9">
        <w:rPr>
          <w:i/>
          <w:iCs/>
        </w:rPr>
        <w:t xml:space="preserve">neutre en matière d’égalité des femmes et des hommes </w:t>
      </w:r>
      <w:r w:rsidR="00FB3AB9" w:rsidRPr="00E515D5">
        <w:t>»</w:t>
      </w:r>
      <w:r w:rsidR="00787A09">
        <w:t>,</w:t>
      </w:r>
      <w:r w:rsidR="00787A09" w:rsidRPr="00FB3AB9">
        <w:t xml:space="preserve"> </w:t>
      </w:r>
      <w:r w:rsidR="00FB3AB9" w:rsidRPr="00E515D5">
        <w:t xml:space="preserve">sans </w:t>
      </w:r>
      <w:r w:rsidR="00787A09">
        <w:t xml:space="preserve">fournir </w:t>
      </w:r>
      <w:r w:rsidR="00FB3AB9" w:rsidRPr="00E515D5">
        <w:t>la moindre explication</w:t>
      </w:r>
      <w:r w:rsidR="00EB1ACF">
        <w:t xml:space="preserve"> ou analyse.</w:t>
      </w:r>
      <w:r w:rsidR="002B1CCE">
        <w:t xml:space="preserve"> </w:t>
      </w:r>
    </w:p>
    <w:p w14:paraId="22E18A34" w14:textId="77777777" w:rsidR="00FB3AB9" w:rsidRDefault="00FB3AB9" w:rsidP="00FB3AB9">
      <w:pPr>
        <w:jc w:val="left"/>
      </w:pPr>
    </w:p>
    <w:p w14:paraId="3FA7C31A" w14:textId="535B8ED0" w:rsidR="009E56C6" w:rsidRDefault="00FB3AB9" w:rsidP="00852BA8">
      <w:pPr>
        <w:jc w:val="left"/>
      </w:pPr>
      <w:r w:rsidRPr="00852BA8">
        <w:t xml:space="preserve">Dans ce contexte, </w:t>
      </w:r>
      <w:r w:rsidR="00576DAD">
        <w:t>il est crucial de</w:t>
      </w:r>
      <w:r w:rsidRPr="00852BA8">
        <w:t xml:space="preserve"> rappeler que l’adoption de mesures d’apparence neutre</w:t>
      </w:r>
      <w:r>
        <w:t xml:space="preserve"> </w:t>
      </w:r>
      <w:r w:rsidRPr="00852BA8">
        <w:t xml:space="preserve">est susceptible d’avoir des impacts différents sur des personnes qui </w:t>
      </w:r>
      <w:r w:rsidR="007C4D09">
        <w:t xml:space="preserve">se trouvent </w:t>
      </w:r>
      <w:r w:rsidRPr="00852BA8">
        <w:t xml:space="preserve">traditionnellement dans une situation défavorisée, </w:t>
      </w:r>
      <w:r w:rsidR="00576DAD">
        <w:t>notamment</w:t>
      </w:r>
      <w:r w:rsidRPr="00852BA8">
        <w:t xml:space="preserve"> les femmes.</w:t>
      </w:r>
      <w:r w:rsidR="002154D9">
        <w:t xml:space="preserve"> En effet, </w:t>
      </w:r>
      <w:r w:rsidR="00E515D5" w:rsidRPr="00E515D5">
        <w:t xml:space="preserve">en l’absence de considérations spécifiques, </w:t>
      </w:r>
      <w:r w:rsidR="002154D9">
        <w:t xml:space="preserve">de telles mesures risquent de </w:t>
      </w:r>
      <w:r w:rsidR="00E515D5" w:rsidRPr="00E515D5">
        <w:t xml:space="preserve">créer ou </w:t>
      </w:r>
      <w:r w:rsidR="002154D9">
        <w:t>d</w:t>
      </w:r>
      <w:r w:rsidR="00576DAD">
        <w:t xml:space="preserve">’exacerber </w:t>
      </w:r>
      <w:r w:rsidR="00E515D5" w:rsidRPr="00E515D5">
        <w:t>des situations discriminatoires.</w:t>
      </w:r>
      <w:r w:rsidR="00AE31E8">
        <w:t xml:space="preserve"> </w:t>
      </w:r>
      <w:r w:rsidR="002154D9">
        <w:t>Ainsi, une</w:t>
      </w:r>
      <w:r w:rsidR="009E56C6" w:rsidRPr="009E56C6">
        <w:t xml:space="preserve"> approche « </w:t>
      </w:r>
      <w:r w:rsidR="009E56C6" w:rsidRPr="002154D9">
        <w:rPr>
          <w:i/>
          <w:iCs/>
        </w:rPr>
        <w:t>neutre</w:t>
      </w:r>
      <w:r w:rsidR="009E56C6" w:rsidRPr="009E56C6">
        <w:t xml:space="preserve"> »,</w:t>
      </w:r>
      <w:r w:rsidR="00AE31E8">
        <w:t xml:space="preserve"> </w:t>
      </w:r>
      <w:r w:rsidR="009E56C6" w:rsidRPr="009E56C6">
        <w:t>adoptée au nom de l’égalité des genres, entrave en réalité tout progrès vers celle-ci en se limitant à combattre les symptômes de l'inégalité plutôt que ses causes.</w:t>
      </w:r>
    </w:p>
    <w:p w14:paraId="4FF44810" w14:textId="77777777" w:rsidR="003B3009" w:rsidRDefault="003B3009" w:rsidP="00852BA8">
      <w:pPr>
        <w:jc w:val="left"/>
      </w:pPr>
    </w:p>
    <w:p w14:paraId="0DF24155" w14:textId="4F21E666" w:rsidR="003B3009" w:rsidRDefault="00576DAD" w:rsidP="00852BA8">
      <w:pPr>
        <w:jc w:val="left"/>
      </w:pPr>
      <w:r>
        <w:lastRenderedPageBreak/>
        <w:t>Pour remédier à cette situation</w:t>
      </w:r>
      <w:r w:rsidR="003B3009" w:rsidRPr="003B3009">
        <w:t>, la CCDH exhorte les responsables politiques à reconnaître</w:t>
      </w:r>
      <w:r w:rsidR="00180F8B">
        <w:t xml:space="preserve"> ouvertement cette</w:t>
      </w:r>
      <w:r w:rsidR="003B3009" w:rsidRPr="003B3009">
        <w:t xml:space="preserve"> domination </w:t>
      </w:r>
      <w:r w:rsidR="00180F8B">
        <w:t xml:space="preserve">patriarcale </w:t>
      </w:r>
      <w:r w:rsidR="003B3009" w:rsidRPr="003B3009">
        <w:t>systémique</w:t>
      </w:r>
      <w:r w:rsidR="00180F8B">
        <w:t xml:space="preserve"> </w:t>
      </w:r>
      <w:r w:rsidR="003B3009" w:rsidRPr="003B3009">
        <w:t xml:space="preserve">et </w:t>
      </w:r>
      <w:r w:rsidR="00180F8B">
        <w:t>à</w:t>
      </w:r>
      <w:r w:rsidR="003B3009" w:rsidRPr="003B3009">
        <w:t xml:space="preserve"> faire de la déconstruction de ce mécanisme une priorité</w:t>
      </w:r>
      <w:r w:rsidR="003B3009">
        <w:t>. À cette fin</w:t>
      </w:r>
      <w:r w:rsidR="003B3009" w:rsidRPr="003B3009">
        <w:t xml:space="preserve">, </w:t>
      </w:r>
      <w:r w:rsidR="00180F8B">
        <w:t>il est impératif</w:t>
      </w:r>
      <w:r w:rsidR="003B3009" w:rsidRPr="003B3009">
        <w:t xml:space="preserve"> </w:t>
      </w:r>
      <w:r w:rsidR="00180F8B">
        <w:t>que</w:t>
      </w:r>
      <w:r w:rsidR="003B3009" w:rsidRPr="003B3009">
        <w:t xml:space="preserve"> le gouvernement </w:t>
      </w:r>
      <w:r w:rsidR="007A0D02">
        <w:t>mette</w:t>
      </w:r>
      <w:r w:rsidR="00180F8B">
        <w:t xml:space="preserve"> enfin</w:t>
      </w:r>
      <w:r w:rsidR="007A0D02">
        <w:t xml:space="preserve"> en œuvre</w:t>
      </w:r>
      <w:r w:rsidR="003B3009" w:rsidRPr="003B3009">
        <w:t xml:space="preserve"> le principe du </w:t>
      </w:r>
      <w:proofErr w:type="spellStart"/>
      <w:r w:rsidR="003B3009" w:rsidRPr="003B3009">
        <w:rPr>
          <w:i/>
          <w:iCs/>
        </w:rPr>
        <w:t>gender</w:t>
      </w:r>
      <w:proofErr w:type="spellEnd"/>
      <w:r w:rsidR="003B3009" w:rsidRPr="003B3009">
        <w:rPr>
          <w:i/>
          <w:iCs/>
        </w:rPr>
        <w:t xml:space="preserve"> </w:t>
      </w:r>
      <w:proofErr w:type="spellStart"/>
      <w:r w:rsidR="003B3009" w:rsidRPr="003B3009">
        <w:rPr>
          <w:i/>
          <w:iCs/>
        </w:rPr>
        <w:t>mainstreaming</w:t>
      </w:r>
      <w:proofErr w:type="spellEnd"/>
      <w:r w:rsidR="003B3009" w:rsidRPr="003B3009">
        <w:t xml:space="preserve"> </w:t>
      </w:r>
      <w:r w:rsidR="00BF4ED4">
        <w:t>de manière</w:t>
      </w:r>
      <w:r w:rsidR="003B3009" w:rsidRPr="003B3009">
        <w:t xml:space="preserve"> transversale dans l’ensemble de ses politiques</w:t>
      </w:r>
      <w:r w:rsidR="00180F8B">
        <w:t>, garantissant ainsi une prise en compte systématique des enjeux de genre dans chaque aspect de la législation et de l’administration publique.</w:t>
      </w:r>
    </w:p>
    <w:p w14:paraId="3732B637" w14:textId="724415D0" w:rsidR="003B3009" w:rsidRDefault="003B3009" w:rsidP="006925C9">
      <w:pPr>
        <w:jc w:val="left"/>
      </w:pPr>
    </w:p>
    <w:p w14:paraId="16016CB7" w14:textId="17ED730D" w:rsidR="00BC11D1" w:rsidRDefault="00BF6E6A" w:rsidP="006925C9">
      <w:pPr>
        <w:jc w:val="left"/>
      </w:pPr>
      <w:r>
        <w:t>En plus de l’absence d’une approche sensible au genre, la CCDH estime que les efforts en matière d’égalité de la part du gouvernement luxembourgeois manquent également d’une approche intersectionnelle.</w:t>
      </w:r>
      <w:r w:rsidR="002B1CCE">
        <w:t xml:space="preserve"> </w:t>
      </w:r>
      <w:r w:rsidR="000C591E">
        <w:t>De</w:t>
      </w:r>
      <w:r w:rsidR="006925C9" w:rsidRPr="00852BA8">
        <w:t xml:space="preserve"> manière générale, la CCDH déplore le fait que le </w:t>
      </w:r>
      <w:r w:rsidR="003B3009">
        <w:t>g</w:t>
      </w:r>
      <w:r w:rsidR="006925C9" w:rsidRPr="00852BA8">
        <w:t xml:space="preserve">ouvernement </w:t>
      </w:r>
      <w:r w:rsidR="00BC11D1">
        <w:t xml:space="preserve">n’aborde que rarement </w:t>
      </w:r>
      <w:r w:rsidR="006925C9" w:rsidRPr="00852BA8">
        <w:t xml:space="preserve">les formes multiples et croisées de discrimination. </w:t>
      </w:r>
      <w:r w:rsidR="00BC11D1" w:rsidRPr="00BC11D1">
        <w:t xml:space="preserve">Par exemple, le handicap est remarquablement absent du Plan d’action national pour une égalité entre les femmes et les hommes, tandis que la dimension de genre est négligée dans le Plan d’action national </w:t>
      </w:r>
      <w:r w:rsidR="00DE4C63">
        <w:t>handicap</w:t>
      </w:r>
      <w:r w:rsidR="00BC11D1" w:rsidRPr="00BC11D1">
        <w:t>.</w:t>
      </w:r>
      <w:r w:rsidR="00BC11D1">
        <w:t xml:space="preserve"> </w:t>
      </w:r>
    </w:p>
    <w:p w14:paraId="54A8DE24" w14:textId="77777777" w:rsidR="00BC11D1" w:rsidRDefault="00BC11D1" w:rsidP="006925C9">
      <w:pPr>
        <w:jc w:val="left"/>
      </w:pPr>
    </w:p>
    <w:p w14:paraId="2EC8B746" w14:textId="753542BE" w:rsidR="003B3009" w:rsidRDefault="00BC11D1" w:rsidP="006925C9">
      <w:pPr>
        <w:jc w:val="left"/>
      </w:pPr>
      <w:r>
        <w:t>Dans ce contexte, la CCDH souligne qu’à</w:t>
      </w:r>
      <w:r w:rsidRPr="00F104FE">
        <w:t xml:space="preserve"> défaut d’une </w:t>
      </w:r>
      <w:r>
        <w:t>approche intersectionnelle</w:t>
      </w:r>
      <w:r w:rsidRPr="00F104FE">
        <w:t xml:space="preserve">, toute mesure visant à </w:t>
      </w:r>
      <w:r>
        <w:t>lutter contre les discriminations à l’égard des femmes</w:t>
      </w:r>
      <w:r w:rsidRPr="00F104FE">
        <w:t xml:space="preserve"> n’a</w:t>
      </w:r>
      <w:r w:rsidR="006505F7">
        <w:t>ura</w:t>
      </w:r>
      <w:r w:rsidRPr="00F104FE">
        <w:t xml:space="preserve"> qu’un effet positif très limité, avançant l’égalité</w:t>
      </w:r>
      <w:r w:rsidR="00BF4ED4">
        <w:t xml:space="preserve"> uniquement</w:t>
      </w:r>
      <w:r w:rsidRPr="00F104FE">
        <w:t xml:space="preserve"> pour une partie </w:t>
      </w:r>
      <w:r>
        <w:t xml:space="preserve">privilégiée et </w:t>
      </w:r>
      <w:r w:rsidRPr="00F104FE">
        <w:t xml:space="preserve">très restreinte </w:t>
      </w:r>
      <w:r w:rsidR="007A0D02">
        <w:t>des femmes</w:t>
      </w:r>
      <w:r>
        <w:t xml:space="preserve"> (p.ex. : femmes </w:t>
      </w:r>
      <w:r w:rsidR="00134D96">
        <w:t>sans</w:t>
      </w:r>
      <w:r>
        <w:t xml:space="preserve"> handicap, femmes </w:t>
      </w:r>
      <w:r w:rsidR="007C4D09">
        <w:t>cisgenres</w:t>
      </w:r>
      <w:r>
        <w:t xml:space="preserve">, femmes de nationalité luxembourgeoise, etc.). </w:t>
      </w:r>
      <w:r w:rsidRPr="00BC11D1">
        <w:t xml:space="preserve">En </w:t>
      </w:r>
      <w:r>
        <w:t>revanche,</w:t>
      </w:r>
      <w:r w:rsidR="00134D96">
        <w:t xml:space="preserve"> en </w:t>
      </w:r>
      <w:r w:rsidRPr="00BC11D1">
        <w:t xml:space="preserve">intégrant </w:t>
      </w:r>
      <w:r>
        <w:t>le concept de l’intersectionnalité</w:t>
      </w:r>
      <w:r w:rsidRPr="00BC11D1">
        <w:t xml:space="preserve">, les politiques publiques </w:t>
      </w:r>
      <w:r w:rsidR="00FC50A4" w:rsidRPr="00FC50A4">
        <w:t>reconnaiss</w:t>
      </w:r>
      <w:r w:rsidR="00FC50A4">
        <w:t>ent</w:t>
      </w:r>
      <w:r w:rsidR="00FC50A4" w:rsidRPr="00FC50A4">
        <w:t xml:space="preserve"> que les femmes ne forment pas un groupe homogène, mais que leurs expériences de discrimination et d’inégalité varient considérablement</w:t>
      </w:r>
      <w:r w:rsidR="00FC50A4">
        <w:t>.</w:t>
      </w:r>
    </w:p>
    <w:p w14:paraId="60417805" w14:textId="77777777" w:rsidR="00810BF3" w:rsidRDefault="00810BF3" w:rsidP="006925C9">
      <w:pPr>
        <w:jc w:val="left"/>
      </w:pPr>
    </w:p>
    <w:p w14:paraId="299E2E4E" w14:textId="7BD091ED" w:rsidR="002F71FA" w:rsidRDefault="00810BF3" w:rsidP="002F71FA">
      <w:pPr>
        <w:jc w:val="left"/>
      </w:pPr>
      <w:r>
        <w:t xml:space="preserve">Pour mettre en œuvre une telle approche intersectionnelle, il est essentiel de disposer de données </w:t>
      </w:r>
      <w:r w:rsidR="002F71FA">
        <w:t>détaillées</w:t>
      </w:r>
      <w:r w:rsidR="007C4D09">
        <w:t xml:space="preserve">, </w:t>
      </w:r>
      <w:r>
        <w:t>ventilées par sexe, âge, origine ethnique, handicap, niveau d’éducation</w:t>
      </w:r>
      <w:r w:rsidR="007C4D09">
        <w:t>,</w:t>
      </w:r>
      <w:r>
        <w:t xml:space="preserve"> et bien plus.</w:t>
      </w:r>
      <w:r w:rsidR="002F71FA">
        <w:t xml:space="preserve"> </w:t>
      </w:r>
      <w:r>
        <w:t xml:space="preserve">Ces données fournissent des informations cruciales </w:t>
      </w:r>
      <w:r w:rsidR="00986482">
        <w:t>pour</w:t>
      </w:r>
      <w:r>
        <w:t xml:space="preserve"> </w:t>
      </w:r>
      <w:r w:rsidR="002F71FA">
        <w:t>mieux comprendre et aborder l</w:t>
      </w:r>
      <w:r>
        <w:t>es</w:t>
      </w:r>
      <w:r w:rsidR="002F71FA">
        <w:t xml:space="preserve"> </w:t>
      </w:r>
      <w:r>
        <w:t xml:space="preserve">différentes </w:t>
      </w:r>
      <w:r w:rsidR="00D76383">
        <w:t>formes</w:t>
      </w:r>
      <w:r>
        <w:t xml:space="preserve"> de </w:t>
      </w:r>
      <w:r w:rsidR="002F71FA">
        <w:t xml:space="preserve">discrimination </w:t>
      </w:r>
      <w:r w:rsidR="00BF4ED4">
        <w:t>auxquelles les femmes sont confrontées</w:t>
      </w:r>
      <w:r>
        <w:t>. Ce</w:t>
      </w:r>
      <w:r w:rsidR="007C397F">
        <w:t>la</w:t>
      </w:r>
      <w:r>
        <w:t xml:space="preserve"> permet également d’</w:t>
      </w:r>
      <w:r w:rsidR="002F71FA">
        <w:t xml:space="preserve">identifier les lacunes dans les politiques existantes et </w:t>
      </w:r>
      <w:r>
        <w:t>d’</w:t>
      </w:r>
      <w:r w:rsidR="002F71FA">
        <w:t>évaluer l’impact des mesures mises en place.</w:t>
      </w:r>
      <w:r w:rsidR="00D76383">
        <w:t xml:space="preserve"> </w:t>
      </w:r>
      <w:r>
        <w:t xml:space="preserve">Ainsi, </w:t>
      </w:r>
      <w:r w:rsidRPr="00810BF3">
        <w:t xml:space="preserve">les politiques publiques peuvent être mieux orientées pour cibler les </w:t>
      </w:r>
      <w:r>
        <w:t xml:space="preserve">besoins </w:t>
      </w:r>
      <w:r w:rsidRPr="00810BF3">
        <w:t>spécifiques</w:t>
      </w:r>
      <w:r w:rsidR="00BD0867">
        <w:t xml:space="preserve"> de </w:t>
      </w:r>
      <w:r w:rsidRPr="00810BF3">
        <w:t>toutes les femmes, quel que soit leur parcours</w:t>
      </w:r>
      <w:r w:rsidR="00BD0867">
        <w:t>.</w:t>
      </w:r>
    </w:p>
    <w:p w14:paraId="0A1EDC7B" w14:textId="77777777" w:rsidR="003C50CE" w:rsidRDefault="003C50CE" w:rsidP="002F71FA">
      <w:pPr>
        <w:jc w:val="left"/>
      </w:pPr>
    </w:p>
    <w:p w14:paraId="391FE7CC" w14:textId="1788F69F" w:rsidR="00B02D9B" w:rsidRPr="00CB6DFB" w:rsidRDefault="003C50CE">
      <w:pPr>
        <w:jc w:val="left"/>
        <w:rPr>
          <w:b/>
          <w:bCs/>
        </w:rPr>
      </w:pPr>
      <w:r>
        <w:t>Je vous remercie pour votre attention.</w:t>
      </w:r>
    </w:p>
    <w:sectPr w:rsidR="00B02D9B" w:rsidRPr="00CB6DF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3DEB38" w14:textId="77777777" w:rsidR="00F3302D" w:rsidRDefault="00F3302D" w:rsidP="00F3302D">
      <w:r>
        <w:separator/>
      </w:r>
    </w:p>
  </w:endnote>
  <w:endnote w:type="continuationSeparator" w:id="0">
    <w:p w14:paraId="1888C320" w14:textId="77777777" w:rsidR="00F3302D" w:rsidRDefault="00F3302D" w:rsidP="00F33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F888B" w14:textId="77777777" w:rsidR="00F3302D" w:rsidRDefault="00F3302D" w:rsidP="00F3302D">
      <w:r>
        <w:separator/>
      </w:r>
    </w:p>
  </w:footnote>
  <w:footnote w:type="continuationSeparator" w:id="0">
    <w:p w14:paraId="3AF3AF72" w14:textId="77777777" w:rsidR="00F3302D" w:rsidRDefault="00F3302D" w:rsidP="00F330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A2541C"/>
    <w:multiLevelType w:val="hybridMultilevel"/>
    <w:tmpl w:val="98B86FDC"/>
    <w:lvl w:ilvl="0" w:tplc="AF96A514">
      <w:numFmt w:val="bullet"/>
      <w:lvlText w:val=""/>
      <w:lvlJc w:val="left"/>
      <w:pPr>
        <w:ind w:left="720" w:hanging="360"/>
      </w:pPr>
      <w:rPr>
        <w:rFonts w:ascii="Wingdings" w:eastAsiaTheme="minorHAnsi"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9E507B5"/>
    <w:multiLevelType w:val="hybridMultilevel"/>
    <w:tmpl w:val="CFA6BFA2"/>
    <w:lvl w:ilvl="0" w:tplc="3C866C8C">
      <w:numFmt w:val="bullet"/>
      <w:lvlText w:val=""/>
      <w:lvlJc w:val="left"/>
      <w:pPr>
        <w:ind w:left="720" w:hanging="360"/>
      </w:pPr>
      <w:rPr>
        <w:rFonts w:ascii="Wingdings" w:eastAsiaTheme="minorHAnsi"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40520570">
    <w:abstractNumId w:val="1"/>
  </w:num>
  <w:num w:numId="2" w16cid:durableId="7372888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2FD"/>
    <w:rsid w:val="000278E1"/>
    <w:rsid w:val="00033B4B"/>
    <w:rsid w:val="0005697F"/>
    <w:rsid w:val="000C591E"/>
    <w:rsid w:val="00134D96"/>
    <w:rsid w:val="00180F8B"/>
    <w:rsid w:val="002154D9"/>
    <w:rsid w:val="002B1CCE"/>
    <w:rsid w:val="002F71FA"/>
    <w:rsid w:val="00342FD1"/>
    <w:rsid w:val="00394E24"/>
    <w:rsid w:val="003B3009"/>
    <w:rsid w:val="003C50CE"/>
    <w:rsid w:val="00511142"/>
    <w:rsid w:val="005176D7"/>
    <w:rsid w:val="00542D48"/>
    <w:rsid w:val="00576DAD"/>
    <w:rsid w:val="005C0EB1"/>
    <w:rsid w:val="006505F7"/>
    <w:rsid w:val="006925C9"/>
    <w:rsid w:val="006C6ACC"/>
    <w:rsid w:val="006C70D2"/>
    <w:rsid w:val="006C7D32"/>
    <w:rsid w:val="006D7CC5"/>
    <w:rsid w:val="00710997"/>
    <w:rsid w:val="0077246A"/>
    <w:rsid w:val="00787A09"/>
    <w:rsid w:val="007A0D02"/>
    <w:rsid w:val="007C397F"/>
    <w:rsid w:val="007C4D09"/>
    <w:rsid w:val="00810BF3"/>
    <w:rsid w:val="008235B5"/>
    <w:rsid w:val="008377FC"/>
    <w:rsid w:val="00852BA8"/>
    <w:rsid w:val="00976F9D"/>
    <w:rsid w:val="00986482"/>
    <w:rsid w:val="009E00CD"/>
    <w:rsid w:val="009E2159"/>
    <w:rsid w:val="009E56C6"/>
    <w:rsid w:val="00A602FD"/>
    <w:rsid w:val="00A9190B"/>
    <w:rsid w:val="00AE31E8"/>
    <w:rsid w:val="00B02D9B"/>
    <w:rsid w:val="00B240C2"/>
    <w:rsid w:val="00B6460D"/>
    <w:rsid w:val="00B707E4"/>
    <w:rsid w:val="00BC11D1"/>
    <w:rsid w:val="00BD0867"/>
    <w:rsid w:val="00BE72D1"/>
    <w:rsid w:val="00BF4ED4"/>
    <w:rsid w:val="00BF6BE2"/>
    <w:rsid w:val="00BF6E6A"/>
    <w:rsid w:val="00C16A9B"/>
    <w:rsid w:val="00C356A2"/>
    <w:rsid w:val="00CA11AC"/>
    <w:rsid w:val="00CB6DFB"/>
    <w:rsid w:val="00CC5C08"/>
    <w:rsid w:val="00CF5161"/>
    <w:rsid w:val="00D76383"/>
    <w:rsid w:val="00D878CB"/>
    <w:rsid w:val="00DE4C63"/>
    <w:rsid w:val="00DF043F"/>
    <w:rsid w:val="00E515D5"/>
    <w:rsid w:val="00EA1B19"/>
    <w:rsid w:val="00EA442E"/>
    <w:rsid w:val="00EB1ACF"/>
    <w:rsid w:val="00ED22E2"/>
    <w:rsid w:val="00F24008"/>
    <w:rsid w:val="00F3302D"/>
    <w:rsid w:val="00FB3AB9"/>
    <w:rsid w:val="00FC24B8"/>
    <w:rsid w:val="00FC50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67201"/>
  <w15:chartTrackingRefBased/>
  <w15:docId w15:val="{6ABF9194-8DDD-47DB-9E64-DA1552E6F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2FD"/>
    <w:pPr>
      <w:spacing w:after="0" w:line="240" w:lineRule="auto"/>
      <w:jc w:val="both"/>
    </w:pPr>
    <w:rPr>
      <w:rFonts w:ascii="Arial" w:hAnsi="Arial" w:cs="Arial"/>
      <w:kern w:val="0"/>
      <w:sz w:val="24"/>
      <w:szCs w:val="24"/>
      <w:lang w:val="fr-FR"/>
      <w14:ligatures w14:val="none"/>
    </w:rPr>
  </w:style>
  <w:style w:type="paragraph" w:styleId="Heading1">
    <w:name w:val="heading 1"/>
    <w:basedOn w:val="Normal"/>
    <w:next w:val="Normal"/>
    <w:link w:val="Heading1Char"/>
    <w:uiPriority w:val="9"/>
    <w:qFormat/>
    <w:rsid w:val="009E2159"/>
    <w:pPr>
      <w:keepNext/>
      <w:keepLines/>
      <w:spacing w:before="240"/>
      <w:jc w:val="center"/>
      <w:outlineLvl w:val="0"/>
    </w:pPr>
    <w:rPr>
      <w:rFonts w:eastAsiaTheme="majorEastAsia" w:cstheme="majorBidi"/>
      <w:b/>
      <w:kern w:val="2"/>
      <w:sz w:val="36"/>
      <w:szCs w:val="32"/>
      <w:lang w:val="en-US"/>
      <w14:ligatures w14:val="standardContextual"/>
    </w:rPr>
  </w:style>
  <w:style w:type="paragraph" w:styleId="Heading2">
    <w:name w:val="heading 2"/>
    <w:basedOn w:val="Normal"/>
    <w:next w:val="Normal"/>
    <w:link w:val="Heading2Char"/>
    <w:uiPriority w:val="9"/>
    <w:semiHidden/>
    <w:unhideWhenUsed/>
    <w:qFormat/>
    <w:rsid w:val="009E2159"/>
    <w:pPr>
      <w:keepNext/>
      <w:keepLines/>
      <w:spacing w:before="40"/>
      <w:jc w:val="left"/>
      <w:outlineLvl w:val="1"/>
    </w:pPr>
    <w:rPr>
      <w:rFonts w:eastAsiaTheme="majorEastAsia" w:cstheme="majorBidi"/>
      <w:b/>
      <w:kern w:val="2"/>
      <w:sz w:val="32"/>
      <w:szCs w:val="26"/>
      <w:lang w:val="en-US"/>
      <w14:ligatures w14:val="standardContextual"/>
    </w:rPr>
  </w:style>
  <w:style w:type="paragraph" w:styleId="Heading3">
    <w:name w:val="heading 3"/>
    <w:basedOn w:val="Normal"/>
    <w:next w:val="Normal"/>
    <w:link w:val="Heading3Char"/>
    <w:uiPriority w:val="9"/>
    <w:semiHidden/>
    <w:unhideWhenUsed/>
    <w:qFormat/>
    <w:rsid w:val="009E2159"/>
    <w:pPr>
      <w:keepNext/>
      <w:keepLines/>
      <w:spacing w:before="40"/>
      <w:jc w:val="left"/>
      <w:outlineLvl w:val="2"/>
    </w:pPr>
    <w:rPr>
      <w:rFonts w:eastAsiaTheme="majorEastAsia" w:cstheme="majorBidi"/>
      <w:kern w:val="2"/>
      <w:sz w:val="28"/>
      <w:lang w:val="en-US"/>
      <w14:ligatures w14:val="standardContextual"/>
    </w:rPr>
  </w:style>
  <w:style w:type="paragraph" w:styleId="Heading4">
    <w:name w:val="heading 4"/>
    <w:basedOn w:val="Normal"/>
    <w:next w:val="Normal"/>
    <w:link w:val="Heading4Char"/>
    <w:uiPriority w:val="9"/>
    <w:semiHidden/>
    <w:unhideWhenUsed/>
    <w:qFormat/>
    <w:rsid w:val="009E2159"/>
    <w:pPr>
      <w:keepNext/>
      <w:keepLines/>
      <w:spacing w:before="40"/>
      <w:jc w:val="left"/>
      <w:outlineLvl w:val="3"/>
    </w:pPr>
    <w:rPr>
      <w:rFonts w:eastAsiaTheme="majorEastAsia" w:cstheme="majorBidi"/>
      <w:b/>
      <w:iCs/>
      <w:kern w:val="2"/>
      <w:szCs w:val="22"/>
      <w:u w:val="single"/>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2159"/>
    <w:rPr>
      <w:rFonts w:ascii="Arial" w:eastAsiaTheme="majorEastAsia" w:hAnsi="Arial" w:cstheme="majorBidi"/>
      <w:b/>
      <w:sz w:val="36"/>
      <w:szCs w:val="32"/>
    </w:rPr>
  </w:style>
  <w:style w:type="character" w:customStyle="1" w:styleId="Heading2Char">
    <w:name w:val="Heading 2 Char"/>
    <w:basedOn w:val="DefaultParagraphFont"/>
    <w:link w:val="Heading2"/>
    <w:uiPriority w:val="9"/>
    <w:semiHidden/>
    <w:rsid w:val="009E2159"/>
    <w:rPr>
      <w:rFonts w:ascii="Arial" w:eastAsiaTheme="majorEastAsia" w:hAnsi="Arial" w:cstheme="majorBidi"/>
      <w:b/>
      <w:sz w:val="32"/>
      <w:szCs w:val="26"/>
    </w:rPr>
  </w:style>
  <w:style w:type="character" w:customStyle="1" w:styleId="Heading3Char">
    <w:name w:val="Heading 3 Char"/>
    <w:basedOn w:val="DefaultParagraphFont"/>
    <w:link w:val="Heading3"/>
    <w:uiPriority w:val="9"/>
    <w:semiHidden/>
    <w:rsid w:val="009E2159"/>
    <w:rPr>
      <w:rFonts w:ascii="Arial" w:eastAsiaTheme="majorEastAsia" w:hAnsi="Arial" w:cstheme="majorBidi"/>
      <w:sz w:val="28"/>
      <w:szCs w:val="24"/>
    </w:rPr>
  </w:style>
  <w:style w:type="character" w:customStyle="1" w:styleId="Heading4Char">
    <w:name w:val="Heading 4 Char"/>
    <w:basedOn w:val="DefaultParagraphFont"/>
    <w:link w:val="Heading4"/>
    <w:uiPriority w:val="9"/>
    <w:semiHidden/>
    <w:rsid w:val="009E2159"/>
    <w:rPr>
      <w:rFonts w:ascii="Arial" w:eastAsiaTheme="majorEastAsia" w:hAnsi="Arial" w:cstheme="majorBidi"/>
      <w:b/>
      <w:iCs/>
      <w:sz w:val="24"/>
      <w:u w:val="single"/>
    </w:rPr>
  </w:style>
  <w:style w:type="paragraph" w:styleId="NoSpacing">
    <w:name w:val="No Spacing"/>
    <w:aliases w:val="Page de garde"/>
    <w:basedOn w:val="Normal"/>
    <w:uiPriority w:val="1"/>
    <w:qFormat/>
    <w:rsid w:val="00A602FD"/>
    <w:pPr>
      <w:jc w:val="center"/>
    </w:pPr>
    <w:rPr>
      <w:rFonts w:eastAsia="Times New Roman"/>
      <w:b/>
      <w:sz w:val="28"/>
      <w:szCs w:val="28"/>
      <w:lang w:eastAsia="fr-FR"/>
    </w:rPr>
  </w:style>
  <w:style w:type="character" w:styleId="Hyperlink">
    <w:name w:val="Hyperlink"/>
    <w:basedOn w:val="DefaultParagraphFont"/>
    <w:uiPriority w:val="99"/>
    <w:unhideWhenUsed/>
    <w:rsid w:val="00F3302D"/>
    <w:rPr>
      <w:color w:val="0563C1" w:themeColor="hyperlink"/>
      <w:u w:val="single"/>
    </w:rPr>
  </w:style>
  <w:style w:type="paragraph" w:styleId="FootnoteText">
    <w:name w:val="footnote text"/>
    <w:basedOn w:val="Normal"/>
    <w:link w:val="FootnoteTextChar"/>
    <w:uiPriority w:val="99"/>
    <w:semiHidden/>
    <w:unhideWhenUsed/>
    <w:rsid w:val="00F3302D"/>
    <w:pPr>
      <w:jc w:val="left"/>
    </w:pPr>
    <w:rPr>
      <w:rFonts w:asciiTheme="minorHAnsi" w:hAnsiTheme="minorHAnsi" w:cstheme="minorBidi"/>
      <w:sz w:val="20"/>
      <w:szCs w:val="20"/>
      <w:lang w:val="en-US"/>
    </w:rPr>
  </w:style>
  <w:style w:type="character" w:customStyle="1" w:styleId="FootnoteTextChar">
    <w:name w:val="Footnote Text Char"/>
    <w:basedOn w:val="DefaultParagraphFont"/>
    <w:link w:val="FootnoteText"/>
    <w:uiPriority w:val="99"/>
    <w:semiHidden/>
    <w:rsid w:val="00F3302D"/>
    <w:rPr>
      <w:kern w:val="0"/>
      <w:sz w:val="20"/>
      <w:szCs w:val="20"/>
      <w14:ligatures w14:val="none"/>
    </w:rPr>
  </w:style>
  <w:style w:type="character" w:styleId="FootnoteReference">
    <w:name w:val="footnote reference"/>
    <w:basedOn w:val="DefaultParagraphFont"/>
    <w:uiPriority w:val="99"/>
    <w:semiHidden/>
    <w:unhideWhenUsed/>
    <w:rsid w:val="00F3302D"/>
    <w:rPr>
      <w:vertAlign w:val="superscript"/>
    </w:rPr>
  </w:style>
  <w:style w:type="paragraph" w:styleId="ListParagraph">
    <w:name w:val="List Paragraph"/>
    <w:basedOn w:val="Normal"/>
    <w:uiPriority w:val="34"/>
    <w:qFormat/>
    <w:rsid w:val="003B30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2025-01-29T17:11:19+00:00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6039FC3-8040-446E-B3D2-43732248AB69}"/>
</file>

<file path=customXml/itemProps2.xml><?xml version="1.0" encoding="utf-8"?>
<ds:datastoreItem xmlns:ds="http://schemas.openxmlformats.org/officeDocument/2006/customXml" ds:itemID="{9B80B736-F29A-4936-BE52-F417CE411B46}"/>
</file>

<file path=customXml/itemProps3.xml><?xml version="1.0" encoding="utf-8"?>
<ds:datastoreItem xmlns:ds="http://schemas.openxmlformats.org/officeDocument/2006/customXml" ds:itemID="{7DFBF775-60BC-4C52-88BC-131A65B890F4}"/>
</file>

<file path=docProps/app.xml><?xml version="1.0" encoding="utf-8"?>
<Properties xmlns="http://schemas.openxmlformats.org/officeDocument/2006/extended-properties" xmlns:vt="http://schemas.openxmlformats.org/officeDocument/2006/docPropsVTypes">
  <Template>Normal.dotm</Template>
  <TotalTime>0</TotalTime>
  <Pages>2</Pages>
  <Words>672</Words>
  <Characters>3832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CTIE</Company>
  <LinksUpToDate>false</LinksUpToDate>
  <CharactersWithSpaces>4496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Carocha</dc:creator>
  <cp:keywords/>
  <dc:description/>
  <cp:lastModifiedBy>Laura Carocha</cp:lastModifiedBy>
  <cp:revision>55</cp:revision>
  <dcterms:created xsi:type="dcterms:W3CDTF">2025-01-22T12:16:00Z</dcterms:created>
  <dcterms:modified xsi:type="dcterms:W3CDTF">2025-01-29T14:10:00Z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