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540E098C" w14:textId="77777777" w:rsidR="000E03A6" w:rsidRDefault="000E03A6"/>
    <w:p w14:paraId="399121CB" w14:textId="609BBCDF" w:rsidR="000E03A6" w:rsidRPr="00613BE8" w:rsidRDefault="00231F7D" w:rsidP="000E03A6">
      <w:pPr>
        <w:pStyle w:val="Title"/>
        <w:jc w:val="center"/>
      </w:pPr>
      <w:r>
        <w:t>ToGO</w:t>
      </w:r>
    </w:p>
    <w:p w14:paraId="0FCA2BBC" w14:textId="77777777" w:rsidR="000E03A6" w:rsidRPr="00613BE8" w:rsidRDefault="000E03A6" w:rsidP="000E03A6">
      <w:pPr>
        <w:keepNext/>
        <w:keepLines/>
        <w:spacing w:before="400" w:after="40" w:line="360" w:lineRule="auto"/>
        <w:jc w:val="center"/>
        <w:outlineLvl w:val="0"/>
        <w:rPr>
          <w:rFonts w:asciiTheme="majorHAnsi" w:eastAsiaTheme="majorEastAsia" w:hAnsiTheme="majorHAnsi" w:cstheme="majorBidi"/>
          <w:iCs/>
          <w:color w:val="253356" w:themeColor="accent1" w:themeShade="80"/>
          <w:sz w:val="24"/>
          <w:szCs w:val="24"/>
        </w:rPr>
      </w:pPr>
      <w:bookmarkStart w:id="0" w:name="_Toc53065022"/>
      <w:bookmarkStart w:id="1" w:name="_Toc53065044"/>
      <w:bookmarkStart w:id="2" w:name="_Toc53065073"/>
      <w:bookmarkStart w:id="3" w:name="_Toc53066329"/>
      <w:bookmarkStart w:id="4" w:name="_Toc53066384"/>
      <w:bookmarkStart w:id="5" w:name="_Toc61000647"/>
      <w:bookmarkStart w:id="6" w:name="_Toc61000716"/>
      <w:bookmarkStart w:id="7" w:name="_Toc61512349"/>
      <w:bookmarkStart w:id="8" w:name="_Toc61512447"/>
      <w:bookmarkStart w:id="9" w:name="_Toc114838089"/>
      <w:r w:rsidRPr="00613BE8">
        <w:rPr>
          <w:rFonts w:asciiTheme="majorHAnsi" w:eastAsiaTheme="majorEastAsia" w:hAnsiTheme="majorHAnsi" w:cstheme="majorBidi"/>
          <w:color w:val="253356" w:themeColor="accent1" w:themeShade="80"/>
          <w:sz w:val="24"/>
          <w:szCs w:val="24"/>
        </w:rPr>
        <w:t>Submission</w:t>
      </w:r>
      <w:r w:rsidRPr="00613BE8">
        <w:rPr>
          <w:rFonts w:asciiTheme="majorHAnsi" w:eastAsiaTheme="majorEastAsia" w:hAnsiTheme="majorHAnsi" w:cstheme="majorBidi"/>
          <w:color w:val="253356" w:themeColor="accent1" w:themeShade="80"/>
          <w:sz w:val="28"/>
          <w:szCs w:val="28"/>
        </w:rPr>
        <w:t xml:space="preserve"> </w:t>
      </w:r>
      <w:bookmarkStart w:id="10" w:name="_Hlk53070371"/>
      <w:r w:rsidRPr="00613BE8">
        <w:rPr>
          <w:rFonts w:asciiTheme="majorHAnsi" w:eastAsiaTheme="majorEastAsia" w:hAnsiTheme="majorHAnsi" w:cstheme="majorBidi"/>
          <w:iCs/>
          <w:color w:val="253356" w:themeColor="accent1" w:themeShade="80"/>
          <w:sz w:val="24"/>
          <w:szCs w:val="24"/>
        </w:rPr>
        <w:t>to the Committee on the Rights of the Child</w:t>
      </w:r>
      <w:bookmarkEnd w:id="0"/>
      <w:bookmarkEnd w:id="1"/>
      <w:bookmarkEnd w:id="2"/>
      <w:bookmarkEnd w:id="3"/>
      <w:bookmarkEnd w:id="4"/>
      <w:bookmarkEnd w:id="5"/>
      <w:bookmarkEnd w:id="6"/>
      <w:bookmarkEnd w:id="7"/>
      <w:bookmarkEnd w:id="8"/>
      <w:bookmarkEnd w:id="9"/>
    </w:p>
    <w:p w14:paraId="59FC8D9B" w14:textId="456FE601" w:rsidR="000E03A6" w:rsidRPr="00613BE8" w:rsidRDefault="006D6DE2"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11" w:name="_Toc53065023"/>
      <w:bookmarkStart w:id="12" w:name="_Toc53065045"/>
      <w:bookmarkStart w:id="13" w:name="_Toc53065074"/>
      <w:bookmarkStart w:id="14" w:name="_Toc53066330"/>
      <w:bookmarkStart w:id="15" w:name="_Toc53066385"/>
      <w:bookmarkStart w:id="16" w:name="_Toc61000648"/>
      <w:bookmarkStart w:id="17" w:name="_Toc61000717"/>
      <w:bookmarkStart w:id="18" w:name="_Toc61512350"/>
      <w:bookmarkStart w:id="19" w:name="_Toc61512448"/>
      <w:bookmarkStart w:id="20" w:name="_Toc114838090"/>
      <w:r w:rsidRPr="006D6DE2">
        <w:rPr>
          <w:rFonts w:asciiTheme="majorHAnsi" w:eastAsiaTheme="majorEastAsia" w:hAnsiTheme="majorHAnsi" w:cstheme="majorBidi"/>
          <w:iCs/>
          <w:color w:val="253356" w:themeColor="accent1" w:themeShade="80"/>
          <w:sz w:val="24"/>
          <w:szCs w:val="24"/>
        </w:rPr>
        <w:t>94</w:t>
      </w:r>
      <w:r w:rsidRPr="006D6DE2">
        <w:rPr>
          <w:rFonts w:asciiTheme="majorHAnsi" w:eastAsiaTheme="majorEastAsia" w:hAnsiTheme="majorHAnsi" w:cstheme="majorBidi"/>
          <w:iCs/>
          <w:color w:val="253356" w:themeColor="accent1" w:themeShade="80"/>
          <w:sz w:val="24"/>
          <w:szCs w:val="24"/>
          <w:vertAlign w:val="superscript"/>
        </w:rPr>
        <w:t>th</w:t>
      </w:r>
      <w:r w:rsidRPr="006D6DE2">
        <w:rPr>
          <w:rFonts w:asciiTheme="majorHAnsi" w:eastAsiaTheme="majorEastAsia" w:hAnsiTheme="majorHAnsi" w:cstheme="majorBidi"/>
          <w:iCs/>
          <w:color w:val="253356" w:themeColor="accent1" w:themeShade="80"/>
          <w:sz w:val="24"/>
          <w:szCs w:val="24"/>
        </w:rPr>
        <w:t xml:space="preserve"> </w:t>
      </w:r>
      <w:r w:rsidR="000E03A6" w:rsidRPr="006D6DE2">
        <w:rPr>
          <w:rFonts w:asciiTheme="majorHAnsi" w:eastAsiaTheme="majorEastAsia" w:hAnsiTheme="majorHAnsi" w:cstheme="majorBidi"/>
          <w:iCs/>
          <w:color w:val="253356" w:themeColor="accent1" w:themeShade="80"/>
          <w:sz w:val="24"/>
          <w:szCs w:val="24"/>
        </w:rPr>
        <w:t xml:space="preserve">Pre-Sessional Working Group, </w:t>
      </w:r>
      <w:bookmarkEnd w:id="11"/>
      <w:bookmarkEnd w:id="12"/>
      <w:bookmarkEnd w:id="13"/>
      <w:bookmarkEnd w:id="14"/>
      <w:bookmarkEnd w:id="15"/>
      <w:bookmarkEnd w:id="16"/>
      <w:bookmarkEnd w:id="17"/>
      <w:bookmarkEnd w:id="18"/>
      <w:bookmarkEnd w:id="19"/>
      <w:bookmarkEnd w:id="20"/>
      <w:r w:rsidRPr="006D6DE2">
        <w:rPr>
          <w:rFonts w:asciiTheme="majorHAnsi" w:eastAsiaTheme="majorEastAsia" w:hAnsiTheme="majorHAnsi" w:cstheme="majorBidi"/>
          <w:iCs/>
          <w:color w:val="253356" w:themeColor="accent1" w:themeShade="80"/>
          <w:sz w:val="24"/>
          <w:szCs w:val="24"/>
        </w:rPr>
        <w:t>February 2023</w:t>
      </w:r>
    </w:p>
    <w:p w14:paraId="48D169FF"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21" w:name="_Toc53065024"/>
      <w:bookmarkStart w:id="22" w:name="_Toc53065046"/>
      <w:bookmarkStart w:id="23" w:name="_Toc53065075"/>
      <w:bookmarkStart w:id="24" w:name="_Toc53066331"/>
      <w:bookmarkStart w:id="25" w:name="_Toc53066386"/>
      <w:bookmarkStart w:id="26" w:name="_Toc61000649"/>
      <w:bookmarkStart w:id="27" w:name="_Toc61000718"/>
      <w:bookmarkStart w:id="28" w:name="_Toc61512351"/>
      <w:bookmarkStart w:id="29" w:name="_Toc61512449"/>
      <w:bookmarkStart w:id="30" w:name="_Toc114838091"/>
      <w:r w:rsidRPr="00613BE8">
        <w:rPr>
          <w:rFonts w:asciiTheme="majorHAnsi" w:eastAsiaTheme="majorEastAsia" w:hAnsiTheme="majorHAnsi" w:cstheme="majorBidi"/>
          <w:iCs/>
          <w:color w:val="253356" w:themeColor="accent1" w:themeShade="80"/>
          <w:sz w:val="24"/>
          <w:szCs w:val="24"/>
        </w:rPr>
        <w:t>NGO Report</w:t>
      </w:r>
      <w:bookmarkEnd w:id="21"/>
      <w:bookmarkEnd w:id="22"/>
      <w:bookmarkEnd w:id="23"/>
      <w:bookmarkEnd w:id="24"/>
      <w:bookmarkEnd w:id="25"/>
      <w:bookmarkEnd w:id="26"/>
      <w:bookmarkEnd w:id="27"/>
      <w:bookmarkEnd w:id="28"/>
      <w:bookmarkEnd w:id="29"/>
      <w:bookmarkEnd w:id="30"/>
    </w:p>
    <w:p w14:paraId="24DC2AB0" w14:textId="77777777" w:rsidR="000E03A6" w:rsidRPr="00613BE8" w:rsidRDefault="000E03A6" w:rsidP="000E03A6">
      <w:pPr>
        <w:spacing w:before="0" w:after="160" w:line="259" w:lineRule="auto"/>
        <w:jc w:val="center"/>
        <w:rPr>
          <w:sz w:val="22"/>
          <w:szCs w:val="22"/>
        </w:rPr>
      </w:pPr>
    </w:p>
    <w:p w14:paraId="2D5E6D9E" w14:textId="77777777" w:rsidR="000E03A6" w:rsidRPr="00613BE8" w:rsidRDefault="000E03A6" w:rsidP="000E03A6">
      <w:pPr>
        <w:spacing w:before="0" w:after="160" w:line="259" w:lineRule="auto"/>
        <w:jc w:val="center"/>
        <w:rPr>
          <w:sz w:val="22"/>
          <w:szCs w:val="22"/>
        </w:rPr>
      </w:pPr>
    </w:p>
    <w:p w14:paraId="1AA00B69" w14:textId="77777777" w:rsidR="000E03A6" w:rsidRPr="00613BE8" w:rsidRDefault="000E03A6" w:rsidP="000E03A6"/>
    <w:p w14:paraId="08E279CA" w14:textId="77777777" w:rsidR="000E03A6" w:rsidRPr="00613BE8" w:rsidRDefault="000E03A6" w:rsidP="000E03A6"/>
    <w:p w14:paraId="7366E82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4DE56C6C"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757D4B1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2B5B13A"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6F5CE731"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A1E3CEF"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551479A9" w14:textId="77777777" w:rsidR="000E03A6" w:rsidRDefault="000E03A6" w:rsidP="000E03A6">
      <w:pPr>
        <w:rPr>
          <w:rFonts w:asciiTheme="majorHAnsi" w:eastAsiaTheme="majorEastAsia" w:hAnsiTheme="majorHAnsi" w:cstheme="majorBidi"/>
          <w:iCs/>
          <w:color w:val="253356" w:themeColor="accent1" w:themeShade="80"/>
          <w:sz w:val="24"/>
          <w:szCs w:val="24"/>
        </w:rPr>
      </w:pPr>
    </w:p>
    <w:p w14:paraId="0D8C2443" w14:textId="77777777" w:rsidR="000E03A6" w:rsidRPr="00613BE8" w:rsidRDefault="000E03A6" w:rsidP="000E03A6">
      <w:pPr>
        <w:rPr>
          <w:rFonts w:asciiTheme="majorHAnsi" w:eastAsiaTheme="majorEastAsia" w:hAnsiTheme="majorHAnsi" w:cstheme="majorBidi"/>
          <w:iCs/>
          <w:color w:val="253356" w:themeColor="accent1" w:themeShade="80"/>
          <w:sz w:val="24"/>
          <w:szCs w:val="24"/>
        </w:rPr>
      </w:pPr>
    </w:p>
    <w:p w14:paraId="5457C5FA"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b/>
          <w:iCs/>
          <w:color w:val="253356" w:themeColor="accent1" w:themeShade="80"/>
          <w:sz w:val="24"/>
          <w:szCs w:val="24"/>
        </w:rPr>
      </w:pPr>
      <w:bookmarkStart w:id="31" w:name="_Toc53065025"/>
      <w:bookmarkStart w:id="32" w:name="_Toc53065047"/>
      <w:bookmarkStart w:id="33" w:name="_Toc53065076"/>
      <w:bookmarkStart w:id="34" w:name="_Toc53066332"/>
      <w:bookmarkStart w:id="35" w:name="_Toc53066387"/>
      <w:bookmarkStart w:id="36" w:name="_Toc61000650"/>
      <w:bookmarkStart w:id="37" w:name="_Toc61000719"/>
      <w:bookmarkStart w:id="38" w:name="_Toc61512352"/>
      <w:bookmarkStart w:id="39" w:name="_Toc61512450"/>
      <w:bookmarkStart w:id="40" w:name="_Toc114838092"/>
      <w:r w:rsidRPr="00613BE8">
        <w:rPr>
          <w:rFonts w:asciiTheme="majorHAnsi" w:eastAsiaTheme="majorEastAsia" w:hAnsiTheme="majorHAnsi" w:cstheme="majorBidi"/>
          <w:b/>
          <w:iCs/>
          <w:color w:val="253356" w:themeColor="accent1" w:themeShade="80"/>
          <w:sz w:val="24"/>
          <w:szCs w:val="24"/>
        </w:rPr>
        <w:t>Submitted By</w:t>
      </w:r>
      <w:bookmarkEnd w:id="31"/>
      <w:bookmarkEnd w:id="32"/>
      <w:bookmarkEnd w:id="33"/>
      <w:bookmarkEnd w:id="34"/>
      <w:bookmarkEnd w:id="35"/>
      <w:bookmarkEnd w:id="36"/>
      <w:bookmarkEnd w:id="37"/>
      <w:bookmarkEnd w:id="38"/>
      <w:bookmarkEnd w:id="39"/>
      <w:bookmarkEnd w:id="40"/>
    </w:p>
    <w:p w14:paraId="4652E508"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41" w:name="_Toc53065026"/>
      <w:bookmarkStart w:id="42" w:name="_Toc53065048"/>
      <w:bookmarkStart w:id="43" w:name="_Toc53065077"/>
      <w:bookmarkStart w:id="44" w:name="_Toc53066333"/>
      <w:bookmarkStart w:id="45" w:name="_Toc53066388"/>
      <w:bookmarkStart w:id="46" w:name="_Toc61000651"/>
      <w:bookmarkStart w:id="47" w:name="_Toc61000720"/>
      <w:bookmarkStart w:id="48" w:name="_Toc61512353"/>
      <w:bookmarkStart w:id="49" w:name="_Toc61512451"/>
      <w:bookmarkStart w:id="50" w:name="_Toc114838093"/>
      <w:r w:rsidRPr="00613BE8">
        <w:rPr>
          <w:rFonts w:asciiTheme="majorHAnsi" w:eastAsiaTheme="majorEastAsia" w:hAnsiTheme="majorHAnsi" w:cstheme="majorBidi"/>
          <w:iCs/>
          <w:color w:val="253356" w:themeColor="accent1" w:themeShade="80"/>
          <w:sz w:val="24"/>
          <w:szCs w:val="24"/>
        </w:rPr>
        <w:t>The WORLD Policy Analysis Center</w:t>
      </w:r>
      <w:bookmarkEnd w:id="41"/>
      <w:bookmarkEnd w:id="42"/>
      <w:bookmarkEnd w:id="43"/>
      <w:bookmarkEnd w:id="44"/>
      <w:bookmarkEnd w:id="45"/>
      <w:bookmarkEnd w:id="46"/>
      <w:bookmarkEnd w:id="47"/>
      <w:bookmarkEnd w:id="48"/>
      <w:bookmarkEnd w:id="49"/>
      <w:bookmarkEnd w:id="50"/>
    </w:p>
    <w:p w14:paraId="75293C3E" w14:textId="77777777" w:rsidR="000E03A6" w:rsidRPr="00613BE8" w:rsidRDefault="000E03A6" w:rsidP="000E03A6">
      <w:pPr>
        <w:keepNext/>
        <w:keepLines/>
        <w:spacing w:before="0" w:after="40" w:line="360" w:lineRule="auto"/>
        <w:jc w:val="center"/>
        <w:outlineLvl w:val="0"/>
        <w:rPr>
          <w:rFonts w:asciiTheme="majorHAnsi" w:eastAsiaTheme="majorEastAsia" w:hAnsiTheme="majorHAnsi" w:cstheme="majorBidi"/>
          <w:iCs/>
          <w:color w:val="253356" w:themeColor="accent1" w:themeShade="80"/>
          <w:sz w:val="24"/>
          <w:szCs w:val="24"/>
        </w:rPr>
      </w:pPr>
      <w:bookmarkStart w:id="51" w:name="_Toc53065027"/>
      <w:bookmarkStart w:id="52" w:name="_Toc53065049"/>
      <w:bookmarkStart w:id="53" w:name="_Toc53065078"/>
      <w:bookmarkStart w:id="54" w:name="_Toc53066334"/>
      <w:bookmarkStart w:id="55" w:name="_Toc53066389"/>
      <w:bookmarkStart w:id="56" w:name="_Toc61000652"/>
      <w:bookmarkStart w:id="57" w:name="_Toc61000721"/>
      <w:bookmarkStart w:id="58" w:name="_Toc61512354"/>
      <w:bookmarkStart w:id="59" w:name="_Toc61512452"/>
      <w:bookmarkStart w:id="60" w:name="_Toc114838094"/>
      <w:r w:rsidRPr="00613BE8">
        <w:rPr>
          <w:rFonts w:asciiTheme="majorHAnsi" w:eastAsiaTheme="majorEastAsia" w:hAnsiTheme="majorHAnsi" w:cstheme="majorBidi"/>
          <w:iCs/>
          <w:color w:val="253356" w:themeColor="accent1" w:themeShade="80"/>
          <w:sz w:val="24"/>
          <w:szCs w:val="24"/>
        </w:rPr>
        <w:t>University of California, Los Angeles</w:t>
      </w:r>
      <w:bookmarkEnd w:id="51"/>
      <w:bookmarkEnd w:id="52"/>
      <w:bookmarkEnd w:id="53"/>
      <w:bookmarkEnd w:id="54"/>
      <w:bookmarkEnd w:id="55"/>
      <w:bookmarkEnd w:id="56"/>
      <w:bookmarkEnd w:id="57"/>
      <w:bookmarkEnd w:id="58"/>
      <w:bookmarkEnd w:id="59"/>
      <w:bookmarkEnd w:id="60"/>
      <w:r w:rsidRPr="00613BE8">
        <w:rPr>
          <w:rFonts w:asciiTheme="majorHAnsi" w:eastAsiaTheme="majorEastAsia" w:hAnsiTheme="majorHAnsi" w:cstheme="majorBidi"/>
          <w:iCs/>
          <w:color w:val="253356" w:themeColor="accent1" w:themeShade="80"/>
          <w:sz w:val="24"/>
          <w:szCs w:val="24"/>
        </w:rPr>
        <w:t xml:space="preserve"> </w:t>
      </w:r>
    </w:p>
    <w:bookmarkEnd w:id="10"/>
    <w:p w14:paraId="25943A3F" w14:textId="7FF423CA" w:rsidR="00001F72" w:rsidRDefault="00001F72">
      <w:r>
        <w:br w:type="page"/>
      </w:r>
    </w:p>
    <w:sdt>
      <w:sdtPr>
        <w:rPr>
          <w:caps w:val="0"/>
          <w:color w:val="auto"/>
          <w:spacing w:val="0"/>
          <w:sz w:val="20"/>
          <w:szCs w:val="20"/>
        </w:rPr>
        <w:id w:val="-327053117"/>
        <w:docPartObj>
          <w:docPartGallery w:val="Table of Contents"/>
          <w:docPartUnique/>
        </w:docPartObj>
      </w:sdtPr>
      <w:sdtEndPr>
        <w:rPr>
          <w:b/>
          <w:bCs/>
          <w:noProof/>
          <w:sz w:val="22"/>
          <w:szCs w:val="22"/>
        </w:rPr>
      </w:sdtEndPr>
      <w:sdtContent>
        <w:p w14:paraId="57A9F7E8" w14:textId="77777777" w:rsidR="000E03A6" w:rsidRPr="00797031" w:rsidRDefault="000E03A6" w:rsidP="000E03A6">
          <w:pPr>
            <w:pStyle w:val="TOCHeading"/>
            <w:rPr>
              <w:b/>
              <w:bCs/>
            </w:rPr>
          </w:pPr>
          <w:r w:rsidRPr="00797031">
            <w:rPr>
              <w:b/>
              <w:bCs/>
            </w:rPr>
            <w:t>Table of Contents</w:t>
          </w:r>
        </w:p>
        <w:p w14:paraId="4B250A32" w14:textId="5432E9E9" w:rsidR="000D0E93" w:rsidRDefault="000E03A6" w:rsidP="000D0E93">
          <w:pPr>
            <w:pStyle w:val="TOC1"/>
            <w:tabs>
              <w:tab w:val="right" w:leader="dot" w:pos="9350"/>
            </w:tabs>
            <w:rPr>
              <w:noProof/>
              <w:sz w:val="22"/>
              <w:szCs w:val="22"/>
            </w:rPr>
          </w:pPr>
          <w:r w:rsidRPr="00AE464B">
            <w:rPr>
              <w:sz w:val="22"/>
              <w:szCs w:val="22"/>
            </w:rPr>
            <w:fldChar w:fldCharType="begin"/>
          </w:r>
          <w:r w:rsidRPr="00AE464B">
            <w:rPr>
              <w:sz w:val="22"/>
              <w:szCs w:val="22"/>
            </w:rPr>
            <w:instrText xml:space="preserve"> TOC \o "1-3" \h \z \u </w:instrText>
          </w:r>
          <w:r w:rsidRPr="00AE464B">
            <w:rPr>
              <w:sz w:val="22"/>
              <w:szCs w:val="22"/>
            </w:rPr>
            <w:fldChar w:fldCharType="separate"/>
          </w:r>
        </w:p>
        <w:p w14:paraId="6704FAC0" w14:textId="36D0FC01" w:rsidR="000D0E93" w:rsidRDefault="00FB1C77">
          <w:pPr>
            <w:pStyle w:val="TOC1"/>
            <w:tabs>
              <w:tab w:val="right" w:leader="dot" w:pos="9350"/>
            </w:tabs>
            <w:rPr>
              <w:noProof/>
              <w:sz w:val="22"/>
              <w:szCs w:val="22"/>
            </w:rPr>
          </w:pPr>
          <w:hyperlink w:anchor="_Toc114838095" w:history="1">
            <w:r w:rsidR="000D0E93" w:rsidRPr="00E165AC">
              <w:rPr>
                <w:rStyle w:val="Hyperlink"/>
                <w:b/>
                <w:bCs/>
                <w:noProof/>
              </w:rPr>
              <w:t>Introduction</w:t>
            </w:r>
            <w:r w:rsidR="000D0E93">
              <w:rPr>
                <w:noProof/>
                <w:webHidden/>
              </w:rPr>
              <w:tab/>
            </w:r>
            <w:r w:rsidR="000D0E93">
              <w:rPr>
                <w:noProof/>
                <w:webHidden/>
              </w:rPr>
              <w:fldChar w:fldCharType="begin"/>
            </w:r>
            <w:r w:rsidR="000D0E93">
              <w:rPr>
                <w:noProof/>
                <w:webHidden/>
              </w:rPr>
              <w:instrText xml:space="preserve"> PAGEREF _Toc114838095 \h </w:instrText>
            </w:r>
            <w:r w:rsidR="000D0E93">
              <w:rPr>
                <w:noProof/>
                <w:webHidden/>
              </w:rPr>
            </w:r>
            <w:r w:rsidR="000D0E93">
              <w:rPr>
                <w:noProof/>
                <w:webHidden/>
              </w:rPr>
              <w:fldChar w:fldCharType="separate"/>
            </w:r>
            <w:r w:rsidR="000D0E93">
              <w:rPr>
                <w:noProof/>
                <w:webHidden/>
              </w:rPr>
              <w:t>1</w:t>
            </w:r>
            <w:r w:rsidR="000D0E93">
              <w:rPr>
                <w:noProof/>
                <w:webHidden/>
              </w:rPr>
              <w:fldChar w:fldCharType="end"/>
            </w:r>
          </w:hyperlink>
        </w:p>
        <w:p w14:paraId="451488BE" w14:textId="3D7429C7" w:rsidR="000D0E93" w:rsidRDefault="00FB1C77">
          <w:pPr>
            <w:pStyle w:val="TOC1"/>
            <w:tabs>
              <w:tab w:val="right" w:leader="dot" w:pos="9350"/>
            </w:tabs>
            <w:rPr>
              <w:noProof/>
              <w:sz w:val="22"/>
              <w:szCs w:val="22"/>
            </w:rPr>
          </w:pPr>
          <w:hyperlink w:anchor="_Toc114838096" w:history="1">
            <w:r w:rsidR="000D0E93" w:rsidRPr="00E165AC">
              <w:rPr>
                <w:rStyle w:val="Hyperlink"/>
                <w:b/>
                <w:bCs/>
                <w:noProof/>
              </w:rPr>
              <w:t>Summary of Findings and Recommendations</w:t>
            </w:r>
            <w:r w:rsidR="000D0E93">
              <w:rPr>
                <w:noProof/>
                <w:webHidden/>
              </w:rPr>
              <w:tab/>
            </w:r>
            <w:r w:rsidR="000D0E93">
              <w:rPr>
                <w:noProof/>
                <w:webHidden/>
              </w:rPr>
              <w:fldChar w:fldCharType="begin"/>
            </w:r>
            <w:r w:rsidR="000D0E93">
              <w:rPr>
                <w:noProof/>
                <w:webHidden/>
              </w:rPr>
              <w:instrText xml:space="preserve"> PAGEREF _Toc114838096 \h </w:instrText>
            </w:r>
            <w:r w:rsidR="000D0E93">
              <w:rPr>
                <w:noProof/>
                <w:webHidden/>
              </w:rPr>
            </w:r>
            <w:r w:rsidR="000D0E93">
              <w:rPr>
                <w:noProof/>
                <w:webHidden/>
              </w:rPr>
              <w:fldChar w:fldCharType="separate"/>
            </w:r>
            <w:r w:rsidR="000D0E93">
              <w:rPr>
                <w:noProof/>
                <w:webHidden/>
              </w:rPr>
              <w:t>2</w:t>
            </w:r>
            <w:r w:rsidR="000D0E93">
              <w:rPr>
                <w:noProof/>
                <w:webHidden/>
              </w:rPr>
              <w:fldChar w:fldCharType="end"/>
            </w:r>
          </w:hyperlink>
        </w:p>
        <w:p w14:paraId="3FCEB791" w14:textId="7F57959F" w:rsidR="000D0E93" w:rsidRDefault="00FB1C77">
          <w:pPr>
            <w:pStyle w:val="TOC2"/>
            <w:tabs>
              <w:tab w:val="left" w:pos="660"/>
              <w:tab w:val="right" w:leader="dot" w:pos="9350"/>
            </w:tabs>
            <w:rPr>
              <w:rFonts w:eastAsiaTheme="minorEastAsia"/>
              <w:noProof/>
              <w:sz w:val="22"/>
              <w:szCs w:val="22"/>
            </w:rPr>
          </w:pPr>
          <w:hyperlink w:anchor="_Toc114838097" w:history="1">
            <w:r w:rsidR="000D0E93" w:rsidRPr="00E165AC">
              <w:rPr>
                <w:rStyle w:val="Hyperlink"/>
                <w:rFonts w:ascii="Calibri Light" w:eastAsia="Times New Roman" w:hAnsi="Calibri Light" w:cs="Times New Roman"/>
                <w:bCs/>
                <w:noProof/>
              </w:rPr>
              <w:t>1.</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General Principles: Equality and Non-Discrimination (Article 2)</w:t>
            </w:r>
            <w:r w:rsidR="000D0E93">
              <w:rPr>
                <w:noProof/>
                <w:webHidden/>
              </w:rPr>
              <w:tab/>
            </w:r>
            <w:r w:rsidR="000D0E93">
              <w:rPr>
                <w:noProof/>
                <w:webHidden/>
              </w:rPr>
              <w:fldChar w:fldCharType="begin"/>
            </w:r>
            <w:r w:rsidR="000D0E93">
              <w:rPr>
                <w:noProof/>
                <w:webHidden/>
              </w:rPr>
              <w:instrText xml:space="preserve"> PAGEREF _Toc114838097 \h </w:instrText>
            </w:r>
            <w:r w:rsidR="000D0E93">
              <w:rPr>
                <w:noProof/>
                <w:webHidden/>
              </w:rPr>
            </w:r>
            <w:r w:rsidR="000D0E93">
              <w:rPr>
                <w:noProof/>
                <w:webHidden/>
              </w:rPr>
              <w:fldChar w:fldCharType="separate"/>
            </w:r>
            <w:r w:rsidR="000D0E93">
              <w:rPr>
                <w:noProof/>
                <w:webHidden/>
              </w:rPr>
              <w:t>2</w:t>
            </w:r>
            <w:r w:rsidR="000D0E93">
              <w:rPr>
                <w:noProof/>
                <w:webHidden/>
              </w:rPr>
              <w:fldChar w:fldCharType="end"/>
            </w:r>
          </w:hyperlink>
        </w:p>
        <w:p w14:paraId="786507A5" w14:textId="5A9478FF" w:rsidR="000D0E93" w:rsidRDefault="00FB1C77">
          <w:pPr>
            <w:pStyle w:val="TOC2"/>
            <w:tabs>
              <w:tab w:val="left" w:pos="660"/>
              <w:tab w:val="right" w:leader="dot" w:pos="9350"/>
            </w:tabs>
            <w:rPr>
              <w:rFonts w:eastAsiaTheme="minorEastAsia"/>
              <w:noProof/>
              <w:sz w:val="22"/>
              <w:szCs w:val="22"/>
            </w:rPr>
          </w:pPr>
          <w:hyperlink w:anchor="_Toc114838098" w:history="1">
            <w:r w:rsidR="000D0E93" w:rsidRPr="00E165AC">
              <w:rPr>
                <w:rStyle w:val="Hyperlink"/>
                <w:rFonts w:ascii="Calibri Light" w:eastAsia="Times New Roman" w:hAnsi="Calibri Light" w:cs="Times New Roman"/>
                <w:bCs/>
                <w:noProof/>
              </w:rPr>
              <w:t>2.</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Special Protection Measures: Child Marriage (Articles 19, 24, 28, 34, and General Comment No. 4)</w:t>
            </w:r>
            <w:r w:rsidR="000D0E93">
              <w:rPr>
                <w:noProof/>
                <w:webHidden/>
              </w:rPr>
              <w:tab/>
            </w:r>
            <w:r w:rsidR="000D0E93">
              <w:rPr>
                <w:noProof/>
                <w:webHidden/>
              </w:rPr>
              <w:fldChar w:fldCharType="begin"/>
            </w:r>
            <w:r w:rsidR="000D0E93">
              <w:rPr>
                <w:noProof/>
                <w:webHidden/>
              </w:rPr>
              <w:instrText xml:space="preserve"> PAGEREF _Toc114838098 \h </w:instrText>
            </w:r>
            <w:r w:rsidR="000D0E93">
              <w:rPr>
                <w:noProof/>
                <w:webHidden/>
              </w:rPr>
            </w:r>
            <w:r w:rsidR="000D0E93">
              <w:rPr>
                <w:noProof/>
                <w:webHidden/>
              </w:rPr>
              <w:fldChar w:fldCharType="separate"/>
            </w:r>
            <w:r w:rsidR="000D0E93">
              <w:rPr>
                <w:noProof/>
                <w:webHidden/>
              </w:rPr>
              <w:t>2</w:t>
            </w:r>
            <w:r w:rsidR="000D0E93">
              <w:rPr>
                <w:noProof/>
                <w:webHidden/>
              </w:rPr>
              <w:fldChar w:fldCharType="end"/>
            </w:r>
          </w:hyperlink>
        </w:p>
        <w:p w14:paraId="663CC111" w14:textId="645E3414" w:rsidR="000D0E93" w:rsidRDefault="00FB1C77">
          <w:pPr>
            <w:pStyle w:val="TOC2"/>
            <w:tabs>
              <w:tab w:val="left" w:pos="660"/>
              <w:tab w:val="right" w:leader="dot" w:pos="9350"/>
            </w:tabs>
            <w:rPr>
              <w:noProof/>
            </w:rPr>
          </w:pPr>
          <w:hyperlink w:anchor="_Toc114838100" w:history="1">
            <w:r w:rsidR="000D0E93" w:rsidRPr="00E165AC">
              <w:rPr>
                <w:rStyle w:val="Hyperlink"/>
                <w:rFonts w:ascii="Calibri Light" w:eastAsia="Times New Roman" w:hAnsi="Calibri Light" w:cs="Times New Roman"/>
                <w:bCs/>
                <w:noProof/>
              </w:rPr>
              <w:t>4.</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Special Protection Measures: Children in Situations of Emergency (Detention based on Immigration Status) (Articles 9, 24, 28, 37)</w:t>
            </w:r>
            <w:r w:rsidR="000D0E93">
              <w:rPr>
                <w:noProof/>
                <w:webHidden/>
              </w:rPr>
              <w:tab/>
            </w:r>
            <w:r w:rsidR="000D0E93">
              <w:rPr>
                <w:noProof/>
                <w:webHidden/>
              </w:rPr>
              <w:fldChar w:fldCharType="begin"/>
            </w:r>
            <w:r w:rsidR="000D0E93">
              <w:rPr>
                <w:noProof/>
                <w:webHidden/>
              </w:rPr>
              <w:instrText xml:space="preserve"> PAGEREF _Toc114838100 \h </w:instrText>
            </w:r>
            <w:r w:rsidR="000D0E93">
              <w:rPr>
                <w:noProof/>
                <w:webHidden/>
              </w:rPr>
            </w:r>
            <w:r w:rsidR="000D0E93">
              <w:rPr>
                <w:noProof/>
                <w:webHidden/>
              </w:rPr>
              <w:fldChar w:fldCharType="separate"/>
            </w:r>
            <w:r w:rsidR="000D0E93">
              <w:rPr>
                <w:noProof/>
                <w:webHidden/>
              </w:rPr>
              <w:t>3</w:t>
            </w:r>
            <w:r w:rsidR="000D0E93">
              <w:rPr>
                <w:noProof/>
                <w:webHidden/>
              </w:rPr>
              <w:fldChar w:fldCharType="end"/>
            </w:r>
          </w:hyperlink>
        </w:p>
        <w:p w14:paraId="0D00C14E" w14:textId="77777777" w:rsidR="00892667" w:rsidRPr="00892667" w:rsidRDefault="00892667" w:rsidP="00892667"/>
        <w:p w14:paraId="43C7A3C2" w14:textId="0631D42B" w:rsidR="000D0E93" w:rsidRDefault="00FB1C77">
          <w:pPr>
            <w:pStyle w:val="TOC1"/>
            <w:tabs>
              <w:tab w:val="right" w:leader="dot" w:pos="9350"/>
            </w:tabs>
            <w:rPr>
              <w:noProof/>
              <w:sz w:val="22"/>
              <w:szCs w:val="22"/>
            </w:rPr>
          </w:pPr>
          <w:hyperlink w:anchor="_Toc114838101" w:history="1">
            <w:r w:rsidR="000D0E93" w:rsidRPr="00E165AC">
              <w:rPr>
                <w:rStyle w:val="Hyperlink"/>
                <w:b/>
                <w:bCs/>
                <w:noProof/>
              </w:rPr>
              <w:t>Detail of Constitutional and Legislative Findings</w:t>
            </w:r>
            <w:r w:rsidR="000D0E93">
              <w:rPr>
                <w:noProof/>
                <w:webHidden/>
              </w:rPr>
              <w:tab/>
            </w:r>
            <w:r w:rsidR="00803C44">
              <w:rPr>
                <w:noProof/>
                <w:webHidden/>
              </w:rPr>
              <w:t>3</w:t>
            </w:r>
          </w:hyperlink>
        </w:p>
        <w:p w14:paraId="5CE2299C" w14:textId="1DB5D845" w:rsidR="000D0E93" w:rsidRDefault="00FB1C77">
          <w:pPr>
            <w:pStyle w:val="TOC2"/>
            <w:tabs>
              <w:tab w:val="left" w:pos="660"/>
              <w:tab w:val="right" w:leader="dot" w:pos="9350"/>
            </w:tabs>
            <w:rPr>
              <w:rFonts w:eastAsiaTheme="minorEastAsia"/>
              <w:noProof/>
              <w:sz w:val="22"/>
              <w:szCs w:val="22"/>
            </w:rPr>
          </w:pPr>
          <w:hyperlink w:anchor="_Toc114838102" w:history="1">
            <w:r w:rsidR="000D0E93" w:rsidRPr="00E165AC">
              <w:rPr>
                <w:rStyle w:val="Hyperlink"/>
                <w:rFonts w:ascii="Calibri Light" w:eastAsia="Times New Roman" w:hAnsi="Calibri Light" w:cs="Times New Roman"/>
                <w:bCs/>
                <w:noProof/>
              </w:rPr>
              <w:t>1.</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General Principles: Equality and Non-Discrimination (Article 2)</w:t>
            </w:r>
            <w:r w:rsidR="000D0E93">
              <w:rPr>
                <w:noProof/>
                <w:webHidden/>
              </w:rPr>
              <w:tab/>
            </w:r>
            <w:r w:rsidR="00803C44">
              <w:rPr>
                <w:noProof/>
                <w:webHidden/>
              </w:rPr>
              <w:t>3</w:t>
            </w:r>
          </w:hyperlink>
        </w:p>
        <w:p w14:paraId="6B63213B" w14:textId="7C002C6B" w:rsidR="000D0E93" w:rsidRDefault="00FB1C77">
          <w:pPr>
            <w:pStyle w:val="TOC2"/>
            <w:tabs>
              <w:tab w:val="left" w:pos="660"/>
              <w:tab w:val="right" w:leader="dot" w:pos="9350"/>
            </w:tabs>
            <w:rPr>
              <w:rFonts w:eastAsiaTheme="minorEastAsia"/>
              <w:noProof/>
              <w:sz w:val="22"/>
              <w:szCs w:val="22"/>
            </w:rPr>
          </w:pPr>
          <w:hyperlink w:anchor="_Toc114838103" w:history="1">
            <w:r w:rsidR="000D0E93" w:rsidRPr="00E165AC">
              <w:rPr>
                <w:rStyle w:val="Hyperlink"/>
                <w:rFonts w:ascii="Calibri Light" w:eastAsia="Times New Roman" w:hAnsi="Calibri Light" w:cs="Times New Roman"/>
                <w:bCs/>
                <w:noProof/>
              </w:rPr>
              <w:t>2.</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Special Protection Measures: Child Marriage (Articles 19, 24, 28, 34, and General Comment No. 4)</w:t>
            </w:r>
            <w:r w:rsidR="000D0E93">
              <w:rPr>
                <w:noProof/>
                <w:webHidden/>
              </w:rPr>
              <w:tab/>
            </w:r>
            <w:r w:rsidR="000D0E93">
              <w:rPr>
                <w:noProof/>
                <w:webHidden/>
              </w:rPr>
              <w:fldChar w:fldCharType="begin"/>
            </w:r>
            <w:r w:rsidR="000D0E93">
              <w:rPr>
                <w:noProof/>
                <w:webHidden/>
              </w:rPr>
              <w:instrText xml:space="preserve"> PAGEREF _Toc114838103 \h </w:instrText>
            </w:r>
            <w:r w:rsidR="000D0E93">
              <w:rPr>
                <w:noProof/>
                <w:webHidden/>
              </w:rPr>
            </w:r>
            <w:r w:rsidR="000D0E93">
              <w:rPr>
                <w:noProof/>
                <w:webHidden/>
              </w:rPr>
              <w:fldChar w:fldCharType="separate"/>
            </w:r>
            <w:r w:rsidR="000D0E93">
              <w:rPr>
                <w:noProof/>
                <w:webHidden/>
              </w:rPr>
              <w:t>5</w:t>
            </w:r>
            <w:r w:rsidR="000D0E93">
              <w:rPr>
                <w:noProof/>
                <w:webHidden/>
              </w:rPr>
              <w:fldChar w:fldCharType="end"/>
            </w:r>
          </w:hyperlink>
        </w:p>
        <w:p w14:paraId="4EFC854A" w14:textId="45662BAF" w:rsidR="000D0E93" w:rsidRDefault="00FB1C77">
          <w:pPr>
            <w:pStyle w:val="TOC2"/>
            <w:tabs>
              <w:tab w:val="left" w:pos="660"/>
              <w:tab w:val="right" w:leader="dot" w:pos="9350"/>
            </w:tabs>
            <w:rPr>
              <w:rFonts w:eastAsiaTheme="minorEastAsia"/>
              <w:noProof/>
              <w:sz w:val="22"/>
              <w:szCs w:val="22"/>
            </w:rPr>
          </w:pPr>
          <w:hyperlink w:anchor="_Toc114838105" w:history="1">
            <w:r w:rsidR="000D0E93" w:rsidRPr="00E165AC">
              <w:rPr>
                <w:rStyle w:val="Hyperlink"/>
                <w:rFonts w:ascii="Calibri Light" w:eastAsia="Times New Roman" w:hAnsi="Calibri Light" w:cs="Times New Roman"/>
                <w:bCs/>
                <w:noProof/>
              </w:rPr>
              <w:t>4.</w:t>
            </w:r>
            <w:r w:rsidR="000D0E93">
              <w:rPr>
                <w:rFonts w:eastAsiaTheme="minorEastAsia"/>
                <w:noProof/>
                <w:sz w:val="22"/>
                <w:szCs w:val="22"/>
              </w:rPr>
              <w:tab/>
            </w:r>
            <w:r w:rsidR="000D0E93" w:rsidRPr="00E165AC">
              <w:rPr>
                <w:rStyle w:val="Hyperlink"/>
                <w:rFonts w:ascii="Calibri Light" w:eastAsia="Times New Roman" w:hAnsi="Calibri Light" w:cs="Times New Roman"/>
                <w:bCs/>
                <w:noProof/>
              </w:rPr>
              <w:t>Special Protection Measures: Children in Situations of Emergency (Detention based on Immigration Status) (Articles 9, 24, 28, 37)</w:t>
            </w:r>
            <w:r w:rsidR="000D0E93">
              <w:rPr>
                <w:noProof/>
                <w:webHidden/>
              </w:rPr>
              <w:tab/>
            </w:r>
            <w:r w:rsidR="000D0E93">
              <w:rPr>
                <w:noProof/>
                <w:webHidden/>
              </w:rPr>
              <w:fldChar w:fldCharType="begin"/>
            </w:r>
            <w:r w:rsidR="000D0E93">
              <w:rPr>
                <w:noProof/>
                <w:webHidden/>
              </w:rPr>
              <w:instrText xml:space="preserve"> PAGEREF _Toc114838105 \h </w:instrText>
            </w:r>
            <w:r w:rsidR="000D0E93">
              <w:rPr>
                <w:noProof/>
                <w:webHidden/>
              </w:rPr>
            </w:r>
            <w:r w:rsidR="000D0E93">
              <w:rPr>
                <w:noProof/>
                <w:webHidden/>
              </w:rPr>
              <w:fldChar w:fldCharType="separate"/>
            </w:r>
            <w:r w:rsidR="000D0E93">
              <w:rPr>
                <w:noProof/>
                <w:webHidden/>
              </w:rPr>
              <w:t>6</w:t>
            </w:r>
            <w:r w:rsidR="000D0E93">
              <w:rPr>
                <w:noProof/>
                <w:webHidden/>
              </w:rPr>
              <w:fldChar w:fldCharType="end"/>
            </w:r>
          </w:hyperlink>
        </w:p>
        <w:p w14:paraId="399CE49C" w14:textId="489245B1" w:rsidR="000E03A6" w:rsidRPr="00AE464B" w:rsidRDefault="000E03A6" w:rsidP="000E03A6">
          <w:pPr>
            <w:rPr>
              <w:b/>
              <w:bCs/>
              <w:noProof/>
              <w:sz w:val="22"/>
              <w:szCs w:val="22"/>
            </w:rPr>
          </w:pPr>
          <w:r w:rsidRPr="00AE464B">
            <w:rPr>
              <w:sz w:val="22"/>
              <w:szCs w:val="22"/>
            </w:rPr>
            <w:fldChar w:fldCharType="end"/>
          </w:r>
        </w:p>
      </w:sdtContent>
    </w:sdt>
    <w:p w14:paraId="799B07D9" w14:textId="26B08B80" w:rsidR="00001F72" w:rsidRDefault="00001F72" w:rsidP="00001F72"/>
    <w:p w14:paraId="5DE47C19" w14:textId="77777777" w:rsidR="00AA36D1" w:rsidRDefault="00AA36D1" w:rsidP="00001F72"/>
    <w:p w14:paraId="4B891128" w14:textId="77777777" w:rsidR="00001F72" w:rsidRDefault="00001F72" w:rsidP="00001F72"/>
    <w:p w14:paraId="64641926" w14:textId="77777777" w:rsidR="007C3BE7" w:rsidRDefault="007C3BE7" w:rsidP="00001F72"/>
    <w:p w14:paraId="6F25BD0A" w14:textId="77777777" w:rsidR="007C3BE7" w:rsidRDefault="007C3BE7" w:rsidP="00001F72"/>
    <w:p w14:paraId="15D21A9A" w14:textId="77777777" w:rsidR="007C3BE7" w:rsidRDefault="007C3BE7" w:rsidP="00001F72"/>
    <w:p w14:paraId="38534410" w14:textId="77777777" w:rsidR="007C3BE7" w:rsidRDefault="007C3BE7" w:rsidP="00001F72"/>
    <w:p w14:paraId="6D66E38A" w14:textId="77777777" w:rsidR="007C3BE7" w:rsidRDefault="007C3BE7" w:rsidP="00001F72"/>
    <w:p w14:paraId="1F341B26" w14:textId="77777777" w:rsidR="007C3BE7" w:rsidRDefault="007C3BE7" w:rsidP="00001F72"/>
    <w:p w14:paraId="2D023794" w14:textId="77777777" w:rsidR="007C3BE7" w:rsidRDefault="007C3BE7" w:rsidP="00001F72"/>
    <w:p w14:paraId="491AFA23" w14:textId="77777777" w:rsidR="007C3BE7" w:rsidRDefault="007C3BE7" w:rsidP="00001F72"/>
    <w:p w14:paraId="2AFAF499" w14:textId="77777777" w:rsidR="00167519" w:rsidRDefault="007C3BE7">
      <w:pPr>
        <w:sectPr w:rsidR="00167519" w:rsidSect="00E96637">
          <w:headerReference w:type="default" r:id="rId8"/>
          <w:footerReference w:type="default" r:id="rId9"/>
          <w:pgSz w:w="12240" w:h="15840"/>
          <w:pgMar w:top="1440" w:right="1440" w:bottom="1440" w:left="1440" w:header="720" w:footer="720" w:gutter="0"/>
          <w:pgNumType w:start="1"/>
          <w:cols w:space="720"/>
          <w:docGrid w:linePitch="360"/>
        </w:sectPr>
      </w:pPr>
      <w:r>
        <w:br w:type="page"/>
      </w:r>
    </w:p>
    <w:p w14:paraId="105913AE" w14:textId="77777777" w:rsidR="00B5302D" w:rsidRDefault="00B5302D" w:rsidP="00B5302D">
      <w:pPr>
        <w:pStyle w:val="Heading1"/>
        <w:spacing w:before="200"/>
        <w:rPr>
          <w:b/>
          <w:bCs/>
          <w:caps w:val="0"/>
        </w:rPr>
      </w:pPr>
      <w:bookmarkStart w:id="61" w:name="_Toc61000653"/>
      <w:bookmarkStart w:id="62" w:name="_Toc61000722"/>
      <w:bookmarkStart w:id="63" w:name="_Toc114838095"/>
      <w:bookmarkStart w:id="64" w:name="_Hlk52631114"/>
      <w:r>
        <w:rPr>
          <w:b/>
          <w:bCs/>
        </w:rPr>
        <w:lastRenderedPageBreak/>
        <w:t>Introduction</w:t>
      </w:r>
      <w:bookmarkEnd w:id="61"/>
      <w:bookmarkEnd w:id="62"/>
      <w:bookmarkEnd w:id="63"/>
    </w:p>
    <w:bookmarkEnd w:id="64"/>
    <w:p w14:paraId="15574804" w14:textId="58C4A12D" w:rsidR="00355FA7" w:rsidRPr="000E03A6" w:rsidRDefault="00355FA7" w:rsidP="00355FA7">
      <w:pPr>
        <w:rPr>
          <w:sz w:val="22"/>
          <w:szCs w:val="22"/>
        </w:rPr>
      </w:pPr>
      <w:r w:rsidRPr="000E03A6">
        <w:rPr>
          <w:sz w:val="22"/>
          <w:szCs w:val="22"/>
        </w:rPr>
        <w:t>The WORLD Policy</w:t>
      </w:r>
      <w:r w:rsidRPr="000E03A6">
        <w:rPr>
          <w:color w:val="000000" w:themeColor="text1"/>
          <w:sz w:val="22"/>
          <w:szCs w:val="22"/>
        </w:rPr>
        <w:t xml:space="preserve"> Analysis Center, based at the University of California, Los Angeles, captures quantitative policy data on more than 2,000 indicators that matter to equality, health, and well-being. We strive to improve the quantity and quality of globally comparative data avail</w:t>
      </w:r>
      <w:r w:rsidRPr="000E03A6">
        <w:rPr>
          <w:sz w:val="22"/>
          <w:szCs w:val="22"/>
        </w:rPr>
        <w:t>able to policymakers, citizens, national governments, intergovernmental organizations, civil society, and researchers for all 193 UN member states.</w:t>
      </w:r>
      <w:r w:rsidR="009D7B63" w:rsidRPr="000E03A6">
        <w:rPr>
          <w:sz w:val="22"/>
          <w:szCs w:val="22"/>
        </w:rPr>
        <w:t xml:space="preserve"> </w:t>
      </w:r>
      <w:r w:rsidRPr="000E03A6">
        <w:rPr>
          <w:sz w:val="22"/>
          <w:szCs w:val="22"/>
        </w:rPr>
        <w:t>We submit the following brief in advance of the</w:t>
      </w:r>
      <w:r w:rsidR="009D7B63" w:rsidRPr="000E03A6">
        <w:rPr>
          <w:sz w:val="22"/>
          <w:szCs w:val="22"/>
        </w:rPr>
        <w:t xml:space="preserve"> </w:t>
      </w:r>
      <w:r w:rsidR="00892667">
        <w:rPr>
          <w:sz w:val="22"/>
          <w:szCs w:val="22"/>
        </w:rPr>
        <w:t>94</w:t>
      </w:r>
      <w:r w:rsidR="00892667" w:rsidRPr="00892667">
        <w:rPr>
          <w:sz w:val="22"/>
          <w:szCs w:val="22"/>
          <w:vertAlign w:val="superscript"/>
        </w:rPr>
        <w:t>th</w:t>
      </w:r>
      <w:r w:rsidR="00892667">
        <w:rPr>
          <w:sz w:val="22"/>
          <w:szCs w:val="22"/>
        </w:rPr>
        <w:t xml:space="preserve"> </w:t>
      </w:r>
      <w:r w:rsidR="009D7B63" w:rsidRPr="000E03A6">
        <w:rPr>
          <w:sz w:val="22"/>
          <w:szCs w:val="22"/>
        </w:rPr>
        <w:t xml:space="preserve">Pre-Sessional Working Group of the Committee on the Rights of the Child.  </w:t>
      </w:r>
    </w:p>
    <w:p w14:paraId="3A38D1D2" w14:textId="065A4B4E" w:rsidR="009D7B63" w:rsidRPr="000E03A6" w:rsidRDefault="009D7B63" w:rsidP="00355FA7">
      <w:pPr>
        <w:rPr>
          <w:sz w:val="22"/>
          <w:szCs w:val="22"/>
        </w:rPr>
      </w:pPr>
      <w:r w:rsidRPr="000E03A6">
        <w:rPr>
          <w:sz w:val="22"/>
          <w:szCs w:val="22"/>
        </w:rPr>
        <w:t>This brief will focus on the following areas:</w:t>
      </w:r>
    </w:p>
    <w:p w14:paraId="30D63504" w14:textId="096071E9" w:rsidR="009D7B63" w:rsidRPr="000E03A6" w:rsidRDefault="009D7B63" w:rsidP="009D7B63">
      <w:pPr>
        <w:pStyle w:val="ListParagraph"/>
        <w:numPr>
          <w:ilvl w:val="0"/>
          <w:numId w:val="2"/>
        </w:numPr>
        <w:spacing w:line="360" w:lineRule="auto"/>
        <w:rPr>
          <w:sz w:val="22"/>
          <w:szCs w:val="22"/>
        </w:rPr>
      </w:pPr>
      <w:r w:rsidRPr="000E03A6">
        <w:rPr>
          <w:sz w:val="22"/>
          <w:szCs w:val="22"/>
        </w:rPr>
        <w:t xml:space="preserve">General Principles: </w:t>
      </w:r>
      <w:r w:rsidRPr="000E03A6">
        <w:rPr>
          <w:b/>
          <w:sz w:val="22"/>
          <w:szCs w:val="22"/>
        </w:rPr>
        <w:t>Equality and Non-Discrimination</w:t>
      </w:r>
    </w:p>
    <w:p w14:paraId="24BC981F" w14:textId="6A83A8F1" w:rsidR="009D7B63" w:rsidRPr="00D70E05" w:rsidRDefault="00036502" w:rsidP="009D7B63">
      <w:pPr>
        <w:pStyle w:val="ListParagraph"/>
        <w:numPr>
          <w:ilvl w:val="0"/>
          <w:numId w:val="2"/>
        </w:numPr>
        <w:spacing w:line="360" w:lineRule="auto"/>
        <w:rPr>
          <w:sz w:val="22"/>
          <w:szCs w:val="22"/>
        </w:rPr>
      </w:pPr>
      <w:r w:rsidRPr="000E03A6">
        <w:rPr>
          <w:sz w:val="22"/>
          <w:szCs w:val="22"/>
        </w:rPr>
        <w:t>Special Protection Measures</w:t>
      </w:r>
      <w:r w:rsidR="00355FA7" w:rsidRPr="000E03A6">
        <w:rPr>
          <w:sz w:val="22"/>
          <w:szCs w:val="22"/>
        </w:rPr>
        <w:t xml:space="preserve">: </w:t>
      </w:r>
      <w:r w:rsidR="00355FA7" w:rsidRPr="000E03A6">
        <w:rPr>
          <w:b/>
          <w:sz w:val="22"/>
          <w:szCs w:val="22"/>
        </w:rPr>
        <w:t>Child Marriage</w:t>
      </w:r>
    </w:p>
    <w:p w14:paraId="4F218F7C" w14:textId="1ED66643" w:rsidR="00802CDD" w:rsidRPr="006D6DE2" w:rsidRDefault="00802CDD" w:rsidP="006D6DE2">
      <w:pPr>
        <w:pStyle w:val="ListParagraph"/>
        <w:numPr>
          <w:ilvl w:val="0"/>
          <w:numId w:val="2"/>
        </w:numPr>
        <w:rPr>
          <w:sz w:val="22"/>
          <w:szCs w:val="22"/>
        </w:rPr>
      </w:pPr>
      <w:r>
        <w:rPr>
          <w:sz w:val="22"/>
          <w:szCs w:val="22"/>
        </w:rPr>
        <w:t xml:space="preserve">Special Protection Measures: </w:t>
      </w:r>
      <w:bookmarkStart w:id="65" w:name="_Hlk73690884"/>
      <w:r>
        <w:rPr>
          <w:b/>
          <w:bCs/>
          <w:sz w:val="22"/>
          <w:szCs w:val="22"/>
        </w:rPr>
        <w:t xml:space="preserve">Children in Situations of Emergency (Detention based on Immigration Status) </w:t>
      </w:r>
      <w:bookmarkEnd w:id="65"/>
    </w:p>
    <w:p w14:paraId="4035319E" w14:textId="51B8F4C9" w:rsidR="008C3BEA" w:rsidRPr="000E03A6" w:rsidRDefault="008C3BEA" w:rsidP="008C3BEA">
      <w:pPr>
        <w:rPr>
          <w:sz w:val="22"/>
          <w:szCs w:val="22"/>
        </w:rPr>
      </w:pPr>
      <w:r w:rsidRPr="000E03A6">
        <w:rPr>
          <w:sz w:val="22"/>
          <w:szCs w:val="22"/>
        </w:rPr>
        <w:t xml:space="preserve">We have collected and analyzed information on rights, laws, and policies in these areas for all 193 UN member states </w:t>
      </w:r>
      <w:r w:rsidR="006D6DE2">
        <w:rPr>
          <w:sz w:val="22"/>
          <w:szCs w:val="22"/>
        </w:rPr>
        <w:t xml:space="preserve">(150 in the case of detention based on immigration status) </w:t>
      </w:r>
      <w:r w:rsidRPr="000E03A6">
        <w:rPr>
          <w:sz w:val="22"/>
          <w:szCs w:val="22"/>
        </w:rPr>
        <w:t>using a variety of sources, including primary national legal sources (e.g. original legislation and constitutions), national reports on policies and laws to the United Nations and official global and regional bodies, and secondary sources where clarification or corroboration of primary data is needed. Using a rigorous double-coding process, we create original databases which distill thousands of pages of text to highlight the essential features of each right, law, or policy. These original databases are the reference for the following brief. When drafting each brief, we perform a series of additional verifications to ensure the data provided reflects the current constitutional and legal landscape of a country.</w:t>
      </w:r>
    </w:p>
    <w:p w14:paraId="1804AD28" w14:textId="744C8C2F" w:rsidR="00A567C8" w:rsidRPr="000E03A6" w:rsidRDefault="001136CA" w:rsidP="00A567C8">
      <w:pPr>
        <w:rPr>
          <w:sz w:val="22"/>
          <w:szCs w:val="22"/>
        </w:rPr>
      </w:pPr>
      <w:bookmarkStart w:id="66" w:name="_Hlk63414085"/>
      <w:r w:rsidRPr="000E03A6">
        <w:rPr>
          <w:sz w:val="22"/>
          <w:szCs w:val="22"/>
        </w:rPr>
        <w:t>In this report we</w:t>
      </w:r>
      <w:r w:rsidR="009111BF">
        <w:rPr>
          <w:sz w:val="22"/>
          <w:szCs w:val="22"/>
        </w:rPr>
        <w:t xml:space="preserve"> first</w:t>
      </w:r>
      <w:r w:rsidRPr="000E03A6">
        <w:rPr>
          <w:sz w:val="22"/>
          <w:szCs w:val="22"/>
        </w:rPr>
        <w:t xml:space="preserve"> provide </w:t>
      </w:r>
      <w:r w:rsidR="00660556">
        <w:rPr>
          <w:sz w:val="22"/>
          <w:szCs w:val="22"/>
        </w:rPr>
        <w:t xml:space="preserve">a summary of our </w:t>
      </w:r>
      <w:r w:rsidRPr="000E03A6">
        <w:rPr>
          <w:sz w:val="22"/>
          <w:szCs w:val="22"/>
        </w:rPr>
        <w:t xml:space="preserve">constitutional and legislative </w:t>
      </w:r>
      <w:r w:rsidR="00660556">
        <w:rPr>
          <w:sz w:val="22"/>
          <w:szCs w:val="22"/>
        </w:rPr>
        <w:t xml:space="preserve">findings, </w:t>
      </w:r>
      <w:r w:rsidR="00660556" w:rsidRPr="00DC3D8E">
        <w:rPr>
          <w:sz w:val="22"/>
          <w:szCs w:val="22"/>
        </w:rPr>
        <w:t xml:space="preserve">as well as suggested questions for the Committee to ask </w:t>
      </w:r>
      <w:r w:rsidR="00231F7D" w:rsidRPr="00231F7D">
        <w:rPr>
          <w:sz w:val="22"/>
          <w:szCs w:val="22"/>
        </w:rPr>
        <w:t>T</w:t>
      </w:r>
      <w:r w:rsidR="00231F7D">
        <w:rPr>
          <w:sz w:val="22"/>
          <w:szCs w:val="22"/>
        </w:rPr>
        <w:t>ogo</w:t>
      </w:r>
      <w:r w:rsidR="00660556" w:rsidRPr="00231F7D">
        <w:rPr>
          <w:sz w:val="22"/>
          <w:szCs w:val="22"/>
        </w:rPr>
        <w:t>, and topics we hope the Committee will address in its concluding observations.</w:t>
      </w:r>
      <w:r w:rsidRPr="00231F7D">
        <w:rPr>
          <w:sz w:val="22"/>
          <w:szCs w:val="22"/>
        </w:rPr>
        <w:t xml:space="preserve"> </w:t>
      </w:r>
      <w:r w:rsidR="00660556" w:rsidRPr="00231F7D">
        <w:rPr>
          <w:sz w:val="22"/>
          <w:szCs w:val="22"/>
        </w:rPr>
        <w:t xml:space="preserve">This summary is </w:t>
      </w:r>
      <w:r w:rsidRPr="00231F7D">
        <w:rPr>
          <w:sz w:val="22"/>
          <w:szCs w:val="22"/>
        </w:rPr>
        <w:t>followed by</w:t>
      </w:r>
      <w:r w:rsidR="00660556" w:rsidRPr="00231F7D">
        <w:rPr>
          <w:sz w:val="22"/>
          <w:szCs w:val="22"/>
        </w:rPr>
        <w:t xml:space="preserve"> detailed constitution</w:t>
      </w:r>
      <w:r w:rsidR="0037600D" w:rsidRPr="00231F7D">
        <w:rPr>
          <w:sz w:val="22"/>
          <w:szCs w:val="22"/>
        </w:rPr>
        <w:t>al</w:t>
      </w:r>
      <w:r w:rsidR="00660556" w:rsidRPr="00231F7D">
        <w:rPr>
          <w:sz w:val="22"/>
          <w:szCs w:val="22"/>
        </w:rPr>
        <w:t xml:space="preserve"> and legislative excerpts</w:t>
      </w:r>
      <w:r w:rsidRPr="00231F7D">
        <w:rPr>
          <w:sz w:val="22"/>
          <w:szCs w:val="22"/>
        </w:rPr>
        <w:t xml:space="preserve"> </w:t>
      </w:r>
      <w:r w:rsidR="00660556" w:rsidRPr="00231F7D">
        <w:rPr>
          <w:sz w:val="22"/>
          <w:szCs w:val="22"/>
        </w:rPr>
        <w:t>documenting our findings</w:t>
      </w:r>
      <w:r w:rsidRPr="00231F7D">
        <w:rPr>
          <w:sz w:val="22"/>
          <w:szCs w:val="22"/>
        </w:rPr>
        <w:t xml:space="preserve">. We hope the Committee will recommend that </w:t>
      </w:r>
      <w:r w:rsidR="00231F7D" w:rsidRPr="00231F7D">
        <w:rPr>
          <w:sz w:val="22"/>
          <w:szCs w:val="22"/>
        </w:rPr>
        <w:t>T</w:t>
      </w:r>
      <w:r w:rsidR="00231F7D">
        <w:rPr>
          <w:sz w:val="22"/>
          <w:szCs w:val="22"/>
        </w:rPr>
        <w:t>ogo</w:t>
      </w:r>
      <w:r w:rsidRPr="00231F7D">
        <w:rPr>
          <w:sz w:val="22"/>
          <w:szCs w:val="22"/>
        </w:rPr>
        <w:t xml:space="preserve"> address any gaps in consultation and collaboration with relevant stakeholders, including civil society organizations.</w:t>
      </w:r>
      <w:r w:rsidR="00A567C8" w:rsidRPr="00231F7D">
        <w:rPr>
          <w:sz w:val="22"/>
          <w:szCs w:val="22"/>
        </w:rPr>
        <w:t xml:space="preserve"> </w:t>
      </w:r>
      <w:bookmarkStart w:id="67" w:name="_Hlk63413560"/>
      <w:r w:rsidR="00A567C8" w:rsidRPr="00231F7D">
        <w:rPr>
          <w:color w:val="000000" w:themeColor="text1"/>
          <w:sz w:val="22"/>
          <w:szCs w:val="22"/>
        </w:rPr>
        <w:t xml:space="preserve">We also recognize that while having strong laws and policies in place are necessary first steps, implementation is also of paramount importance. In areas where we have commended </w:t>
      </w:r>
      <w:r w:rsidR="00231F7D" w:rsidRPr="00231F7D">
        <w:rPr>
          <w:color w:val="000000" w:themeColor="text1"/>
          <w:sz w:val="22"/>
          <w:szCs w:val="22"/>
        </w:rPr>
        <w:t>T</w:t>
      </w:r>
      <w:r w:rsidR="00231F7D">
        <w:rPr>
          <w:color w:val="000000" w:themeColor="text1"/>
          <w:sz w:val="22"/>
          <w:szCs w:val="22"/>
        </w:rPr>
        <w:t>ogo</w:t>
      </w:r>
      <w:r w:rsidR="00A567C8" w:rsidRPr="00231F7D">
        <w:rPr>
          <w:color w:val="000000" w:themeColor="text1"/>
          <w:sz w:val="22"/>
          <w:szCs w:val="22"/>
        </w:rPr>
        <w:t xml:space="preserve"> for having provisions in place, we hope the Committee will recommend that </w:t>
      </w:r>
      <w:r w:rsidR="00231F7D" w:rsidRPr="00231F7D">
        <w:rPr>
          <w:color w:val="000000" w:themeColor="text1"/>
          <w:sz w:val="22"/>
          <w:szCs w:val="22"/>
        </w:rPr>
        <w:t>T</w:t>
      </w:r>
      <w:r w:rsidR="00231F7D">
        <w:rPr>
          <w:color w:val="000000" w:themeColor="text1"/>
          <w:sz w:val="22"/>
          <w:szCs w:val="22"/>
        </w:rPr>
        <w:t>ogo</w:t>
      </w:r>
      <w:r w:rsidR="00A567C8" w:rsidRPr="00231F7D">
        <w:rPr>
          <w:color w:val="000000" w:themeColor="text1"/>
          <w:sz w:val="22"/>
          <w:szCs w:val="22"/>
        </w:rPr>
        <w:t xml:space="preserve"> work with stakeholders to overcome any obstacles in implementing these provisions.</w:t>
      </w:r>
      <w:bookmarkEnd w:id="67"/>
    </w:p>
    <w:bookmarkEnd w:id="66"/>
    <w:p w14:paraId="7224A38B" w14:textId="0673A815" w:rsidR="007C3BE7" w:rsidRPr="000E03A6" w:rsidRDefault="00001F72">
      <w:pPr>
        <w:rPr>
          <w:sz w:val="22"/>
          <w:szCs w:val="22"/>
        </w:rPr>
      </w:pPr>
      <w:r w:rsidRPr="000E03A6">
        <w:rPr>
          <w:sz w:val="22"/>
          <w:szCs w:val="22"/>
        </w:rPr>
        <w:br w:type="page"/>
      </w:r>
    </w:p>
    <w:p w14:paraId="344B64A8" w14:textId="478A7E37" w:rsidR="00660556" w:rsidRPr="00D006A1" w:rsidRDefault="009D7B63" w:rsidP="00D006A1">
      <w:pPr>
        <w:pStyle w:val="Heading1"/>
        <w:spacing w:before="200" w:after="100"/>
        <w:rPr>
          <w:b/>
          <w:bCs/>
        </w:rPr>
      </w:pPr>
      <w:bookmarkStart w:id="68" w:name="_Toc114838096"/>
      <w:r w:rsidRPr="000E03A6">
        <w:rPr>
          <w:b/>
          <w:bCs/>
        </w:rPr>
        <w:t>S</w:t>
      </w:r>
      <w:r w:rsidR="00660556">
        <w:rPr>
          <w:b/>
          <w:bCs/>
        </w:rPr>
        <w:t>ummary</w:t>
      </w:r>
      <w:r w:rsidRPr="000E03A6">
        <w:rPr>
          <w:b/>
          <w:bCs/>
        </w:rPr>
        <w:t xml:space="preserve"> </w:t>
      </w:r>
      <w:r w:rsidR="002E5044">
        <w:rPr>
          <w:b/>
          <w:bCs/>
        </w:rPr>
        <w:t>of</w:t>
      </w:r>
      <w:r w:rsidRPr="000E03A6">
        <w:rPr>
          <w:b/>
          <w:bCs/>
        </w:rPr>
        <w:t xml:space="preserve"> </w:t>
      </w:r>
      <w:r w:rsidR="00DB42CE" w:rsidRPr="000E03A6">
        <w:rPr>
          <w:b/>
          <w:bCs/>
        </w:rPr>
        <w:t xml:space="preserve">Findings and </w:t>
      </w:r>
      <w:r w:rsidR="002E5044">
        <w:rPr>
          <w:b/>
          <w:bCs/>
        </w:rPr>
        <w:t>Recommendations</w:t>
      </w:r>
      <w:bookmarkEnd w:id="68"/>
    </w:p>
    <w:p w14:paraId="559CF37A" w14:textId="5114DA06" w:rsidR="00660556" w:rsidRPr="00A87CC8" w:rsidRDefault="00660556" w:rsidP="00D006A1">
      <w:pPr>
        <w:keepNext/>
        <w:keepLines/>
        <w:numPr>
          <w:ilvl w:val="0"/>
          <w:numId w:val="8"/>
        </w:numPr>
        <w:pBdr>
          <w:bottom w:val="single" w:sz="6" w:space="1" w:color="auto"/>
        </w:pBdr>
        <w:spacing w:before="40" w:after="100" w:line="259" w:lineRule="auto"/>
        <w:outlineLvl w:val="1"/>
        <w:rPr>
          <w:rFonts w:ascii="Calibri Light" w:eastAsia="Times New Roman" w:hAnsi="Calibri Light" w:cs="Times New Roman"/>
          <w:bCs/>
          <w:color w:val="4A66AC" w:themeColor="accent1"/>
          <w:sz w:val="26"/>
          <w:szCs w:val="26"/>
        </w:rPr>
      </w:pPr>
      <w:bookmarkStart w:id="69" w:name="_Toc58844324"/>
      <w:bookmarkStart w:id="70" w:name="_Toc60999820"/>
      <w:bookmarkStart w:id="71" w:name="_Toc114838097"/>
      <w:bookmarkStart w:id="72" w:name="_Hlk63413663"/>
      <w:r w:rsidRPr="00A87CC8">
        <w:rPr>
          <w:rFonts w:ascii="Calibri Light" w:eastAsia="Times New Roman" w:hAnsi="Calibri Light" w:cs="Times New Roman"/>
          <w:bCs/>
          <w:color w:val="4A66AC" w:themeColor="accent1"/>
          <w:sz w:val="26"/>
          <w:szCs w:val="26"/>
        </w:rPr>
        <w:t>General Principles: Equality and Non-Discrimination (Article 2)</w:t>
      </w:r>
      <w:bookmarkEnd w:id="69"/>
      <w:bookmarkEnd w:id="70"/>
      <w:bookmarkEnd w:id="71"/>
    </w:p>
    <w:bookmarkEnd w:id="72"/>
    <w:p w14:paraId="5F8B01CC" w14:textId="53C301C5" w:rsidR="000D0E93" w:rsidRDefault="000D0E93" w:rsidP="000D0E93">
      <w:pPr>
        <w:rPr>
          <w:bCs/>
          <w:sz w:val="22"/>
          <w:szCs w:val="22"/>
        </w:rPr>
      </w:pPr>
      <w:r w:rsidRPr="000D0E93">
        <w:rPr>
          <w:sz w:val="22"/>
          <w:szCs w:val="22"/>
        </w:rPr>
        <w:t>Togo’s constitution guarantees equality before the law to all citizens without distinction of race, sex, religion</w:t>
      </w:r>
      <w:r>
        <w:rPr>
          <w:sz w:val="22"/>
          <w:szCs w:val="22"/>
        </w:rPr>
        <w:t xml:space="preserve">, </w:t>
      </w:r>
      <w:r w:rsidR="006F1AD5" w:rsidRPr="000D0E93">
        <w:rPr>
          <w:sz w:val="22"/>
          <w:szCs w:val="22"/>
        </w:rPr>
        <w:t>origin,</w:t>
      </w:r>
      <w:r w:rsidR="006F1AD5">
        <w:rPr>
          <w:sz w:val="22"/>
          <w:szCs w:val="22"/>
        </w:rPr>
        <w:t xml:space="preserve"> and </w:t>
      </w:r>
      <w:r w:rsidR="006F1AD5" w:rsidRPr="000D0E93">
        <w:rPr>
          <w:sz w:val="22"/>
          <w:szCs w:val="22"/>
        </w:rPr>
        <w:t>social class</w:t>
      </w:r>
      <w:r w:rsidR="006F1AD5">
        <w:rPr>
          <w:sz w:val="22"/>
          <w:szCs w:val="22"/>
        </w:rPr>
        <w:t>,</w:t>
      </w:r>
      <w:r w:rsidR="006F1AD5" w:rsidRPr="000D0E93">
        <w:rPr>
          <w:sz w:val="22"/>
          <w:szCs w:val="22"/>
        </w:rPr>
        <w:t xml:space="preserve"> </w:t>
      </w:r>
      <w:r>
        <w:rPr>
          <w:sz w:val="22"/>
          <w:szCs w:val="22"/>
        </w:rPr>
        <w:t xml:space="preserve">and </w:t>
      </w:r>
      <w:r w:rsidRPr="000D0E93">
        <w:rPr>
          <w:sz w:val="22"/>
          <w:szCs w:val="22"/>
        </w:rPr>
        <w:t>further prohibits discrimination on the basis of family, ethnic or regional origin, social or economic status, and religious, political, philosophical, or other convictions.</w:t>
      </w:r>
      <w:r w:rsidR="002433C2">
        <w:rPr>
          <w:sz w:val="22"/>
          <w:szCs w:val="22"/>
        </w:rPr>
        <w:t xml:space="preserve"> </w:t>
      </w:r>
      <w:r w:rsidR="002433C2" w:rsidRPr="00CC2432">
        <w:rPr>
          <w:sz w:val="22"/>
          <w:szCs w:val="22"/>
        </w:rPr>
        <w:t>The</w:t>
      </w:r>
      <w:r w:rsidR="002433C2">
        <w:rPr>
          <w:sz w:val="22"/>
          <w:szCs w:val="22"/>
        </w:rPr>
        <w:t xml:space="preserve">se protections do not, however, include some of the groups included </w:t>
      </w:r>
      <w:r w:rsidR="002433C2" w:rsidRPr="00CC2432">
        <w:rPr>
          <w:sz w:val="22"/>
          <w:szCs w:val="22"/>
        </w:rPr>
        <w:t xml:space="preserve">in Article 2.1 of the </w:t>
      </w:r>
      <w:r w:rsidR="002433C2">
        <w:rPr>
          <w:sz w:val="22"/>
          <w:szCs w:val="22"/>
        </w:rPr>
        <w:t>Convention</w:t>
      </w:r>
      <w:r w:rsidR="002433C2" w:rsidRPr="00CC2432">
        <w:rPr>
          <w:bCs/>
          <w:sz w:val="22"/>
          <w:szCs w:val="22"/>
        </w:rPr>
        <w:t>, including children facing discrimination based on disability or language</w:t>
      </w:r>
      <w:r w:rsidR="002433C2">
        <w:rPr>
          <w:bCs/>
          <w:sz w:val="22"/>
          <w:szCs w:val="22"/>
        </w:rPr>
        <w:t xml:space="preserve"> status</w:t>
      </w:r>
      <w:r w:rsidR="006F1AD5">
        <w:rPr>
          <w:bCs/>
          <w:sz w:val="22"/>
          <w:szCs w:val="22"/>
        </w:rPr>
        <w:t>.</w:t>
      </w:r>
    </w:p>
    <w:p w14:paraId="499CAE78" w14:textId="479F3DBA" w:rsidR="00AB4948" w:rsidRPr="00D006A1" w:rsidRDefault="00D006A1" w:rsidP="00D006A1">
      <w:pPr>
        <w:rPr>
          <w:sz w:val="22"/>
          <w:szCs w:val="22"/>
        </w:rPr>
      </w:pPr>
      <w:r>
        <w:rPr>
          <w:noProof/>
          <w:color w:val="000000" w:themeColor="text1"/>
          <w:sz w:val="22"/>
          <w:szCs w:val="22"/>
        </w:rPr>
        <mc:AlternateContent>
          <mc:Choice Requires="wps">
            <w:drawing>
              <wp:inline distT="0" distB="0" distL="0" distR="0" wp14:anchorId="64035180" wp14:editId="3DA1251F">
                <wp:extent cx="5876925" cy="2125980"/>
                <wp:effectExtent l="38100" t="38100" r="123825" b="121920"/>
                <wp:docPr id="1" name="Text Box 1"/>
                <wp:cNvGraphicFramePr/>
                <a:graphic xmlns:a="http://schemas.openxmlformats.org/drawingml/2006/main">
                  <a:graphicData uri="http://schemas.microsoft.com/office/word/2010/wordprocessingShape">
                    <wps:wsp>
                      <wps:cNvSpPr txBox="1"/>
                      <wps:spPr>
                        <a:xfrm>
                          <a:off x="0" y="0"/>
                          <a:ext cx="5876925" cy="212598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17740E4" w14:textId="0A6828D2" w:rsidR="00D006A1" w:rsidRPr="00892667" w:rsidRDefault="00D006A1" w:rsidP="00892667">
                            <w:pPr>
                              <w:pStyle w:val="Heading2"/>
                              <w:jc w:val="center"/>
                              <w:rPr>
                                <w:b/>
                              </w:rPr>
                            </w:pPr>
                            <w:r w:rsidRPr="00072ECE">
                              <w:rPr>
                                <w:b/>
                              </w:rPr>
                              <w:t>Recommended</w:t>
                            </w:r>
                            <w:r>
                              <w:rPr>
                                <w:b/>
                              </w:rPr>
                              <w:t xml:space="preserve"> </w:t>
                            </w:r>
                            <w:r w:rsidRPr="00072ECE">
                              <w:rPr>
                                <w:b/>
                              </w:rPr>
                              <w:t>Concluding Observation</w:t>
                            </w:r>
                          </w:p>
                          <w:p w14:paraId="5EE56A4F" w14:textId="77777777" w:rsidR="00D006A1" w:rsidRPr="00D006A1" w:rsidRDefault="00D006A1" w:rsidP="00D006A1">
                            <w:pPr>
                              <w:spacing w:after="0"/>
                              <w:rPr>
                                <w:rFonts w:eastAsia="Times New Roman"/>
                                <w:bCs/>
                                <w:sz w:val="22"/>
                                <w:szCs w:val="22"/>
                              </w:rPr>
                            </w:pPr>
                            <w:r w:rsidRPr="00D006A1">
                              <w:rPr>
                                <w:rFonts w:eastAsia="Times New Roman"/>
                                <w:bCs/>
                                <w:sz w:val="22"/>
                                <w:szCs w:val="22"/>
                              </w:rPr>
                              <w:t>We hope the Committee will:</w:t>
                            </w:r>
                          </w:p>
                          <w:p w14:paraId="222C4C9E" w14:textId="7411FEEA" w:rsidR="00D006A1" w:rsidRPr="00D006A1" w:rsidRDefault="00D006A1" w:rsidP="00D006A1">
                            <w:pPr>
                              <w:pStyle w:val="ListParagraph"/>
                              <w:numPr>
                                <w:ilvl w:val="0"/>
                                <w:numId w:val="14"/>
                              </w:numPr>
                              <w:spacing w:after="0"/>
                              <w:rPr>
                                <w:rFonts w:eastAsia="Times New Roman"/>
                                <w:sz w:val="22"/>
                                <w:szCs w:val="22"/>
                              </w:rPr>
                            </w:pPr>
                            <w:r w:rsidRPr="00D006A1">
                              <w:rPr>
                                <w:sz w:val="22"/>
                                <w:szCs w:val="22"/>
                              </w:rPr>
                              <w:t xml:space="preserve">Recommend in its concluding observations that Togo amend its constitution to add explicit guarantees of equality and non-discrimination regardless of </w:t>
                            </w:r>
                            <w:r w:rsidRPr="00D006A1">
                              <w:rPr>
                                <w:bCs/>
                                <w:sz w:val="22"/>
                                <w:szCs w:val="22"/>
                              </w:rPr>
                              <w:t>disability and language status</w:t>
                            </w:r>
                            <w:r w:rsidRPr="00D006A1">
                              <w:rPr>
                                <w:sz w:val="22"/>
                                <w:szCs w:val="22"/>
                              </w:rPr>
                              <w:t xml:space="preserve">, consistent with CRC commitments. </w:t>
                            </w:r>
                            <w:r w:rsidRPr="00D006A1">
                              <w:rPr>
                                <w:sz w:val="22"/>
                                <w:szCs w:val="28"/>
                              </w:rPr>
                              <w:t>These guarantees could be added to Article 2 of the constitution, which guarantees equality before the law based on other personal and social characteristics, and/or to Article 11, which prohibits discrimination</w:t>
                            </w:r>
                            <w:r w:rsidR="00892667">
                              <w:rPr>
                                <w:sz w:val="22"/>
                                <w:szCs w:val="28"/>
                              </w:rPr>
                              <w:t xml:space="preserve"> </w:t>
                            </w:r>
                            <w:r w:rsidRPr="00D006A1">
                              <w:rPr>
                                <w:sz w:val="22"/>
                                <w:szCs w:val="28"/>
                              </w:rPr>
                              <w:t>against a similar list of personal and social characteristics.</w:t>
                            </w:r>
                          </w:p>
                          <w:p w14:paraId="6D0962B5" w14:textId="77777777" w:rsidR="00D006A1" w:rsidRDefault="00D006A1" w:rsidP="00D006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type w14:anchorId="64035180" id="_x0000_t202" coordsize="21600,21600" o:spt="202" path="m,l,21600r21600,l21600,xe">
                <v:stroke joinstyle="miter"/>
                <v:path gradientshapeok="t" o:connecttype="rect"/>
              </v:shapetype>
              <v:shape id="Text Box 1" o:spid="_x0000_s1026" type="#_x0000_t202" style="width:462.75pt;height:167.4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" fillcolor="white [3201]" strokeweight=".5pt">
                <v:shadow on="t" color="black" opacity="26214f" origin="-.5,-.5" offset=".74836mm,.74836mm"/>
                <v:textbox>
                  <w:txbxContent>
                    <w:p w14:paraId="717740E4" w14:textId="0A6828D2" w:rsidR="00D006A1" w:rsidRPr="00892667" w:rsidRDefault="00D006A1" w:rsidP="00892667">
                      <w:pPr>
                        <w:pStyle w:val="Heading2"/>
                        <w:jc w:val="center"/>
                        <w:rPr>
                          <w:b/>
                        </w:rPr>
                      </w:pPr>
                      <w:r w:rsidRPr="00072ECE">
                        <w:rPr>
                          <w:b/>
                        </w:rPr>
                        <w:t>Recommended</w:t>
                      </w:r>
                      <w:r>
                        <w:rPr>
                          <w:b/>
                        </w:rPr>
                        <w:t xml:space="preserve"> </w:t>
                      </w:r>
                      <w:r w:rsidRPr="00072ECE">
                        <w:rPr>
                          <w:b/>
                        </w:rPr>
                        <w:t>Concluding Observation</w:t>
                      </w:r>
                    </w:p>
                    <w:p w14:paraId="5EE56A4F" w14:textId="77777777" w:rsidR="00D006A1" w:rsidRPr="00D006A1" w:rsidRDefault="00D006A1" w:rsidP="00D006A1">
                      <w:pPr>
                        <w:spacing w:after="0"/>
                        <w:rPr>
                          <w:rFonts w:eastAsia="Times New Roman"/>
                          <w:bCs/>
                          <w:sz w:val="22"/>
                          <w:szCs w:val="22"/>
                        </w:rPr>
                      </w:pPr>
                      <w:r w:rsidRPr="00D006A1">
                        <w:rPr>
                          <w:rFonts w:eastAsia="Times New Roman"/>
                          <w:bCs/>
                          <w:sz w:val="22"/>
                          <w:szCs w:val="22"/>
                        </w:rPr>
                        <w:t>We hope the Committee will:</w:t>
                      </w:r>
                    </w:p>
                    <w:p w14:paraId="222C4C9E" w14:textId="7411FEEA" w:rsidR="00D006A1" w:rsidRPr="00D006A1" w:rsidRDefault="00D006A1" w:rsidP="00D006A1">
                      <w:pPr>
                        <w:pStyle w:val="ListParagraph"/>
                        <w:numPr>
                          <w:ilvl w:val="0"/>
                          <w:numId w:val="14"/>
                        </w:numPr>
                        <w:spacing w:after="0"/>
                        <w:rPr>
                          <w:rFonts w:eastAsia="Times New Roman"/>
                          <w:sz w:val="22"/>
                          <w:szCs w:val="22"/>
                        </w:rPr>
                      </w:pPr>
                      <w:r w:rsidRPr="00D006A1">
                        <w:rPr>
                          <w:sz w:val="22"/>
                          <w:szCs w:val="22"/>
                        </w:rPr>
                        <w:t xml:space="preserve">Recommend in its concluding observations that Togo amend its constitution to add explicit guarantees of equality and non-discrimination regardless of </w:t>
                      </w:r>
                      <w:r w:rsidRPr="00D006A1">
                        <w:rPr>
                          <w:bCs/>
                          <w:sz w:val="22"/>
                          <w:szCs w:val="22"/>
                        </w:rPr>
                        <w:t>disability and language status</w:t>
                      </w:r>
                      <w:r w:rsidRPr="00D006A1">
                        <w:rPr>
                          <w:sz w:val="22"/>
                          <w:szCs w:val="22"/>
                        </w:rPr>
                        <w:t xml:space="preserve">, consistent with CRC commitments. </w:t>
                      </w:r>
                      <w:r w:rsidRPr="00D006A1">
                        <w:rPr>
                          <w:sz w:val="22"/>
                          <w:szCs w:val="28"/>
                        </w:rPr>
                        <w:t>These guarantees could be added to Article 2 of the constitution, which guarantees equality before the law based on other personal and social characteristics, and/or to Article 11, which prohibits discrimination</w:t>
                      </w:r>
                      <w:r w:rsidR="00892667">
                        <w:rPr>
                          <w:sz w:val="22"/>
                          <w:szCs w:val="28"/>
                        </w:rPr>
                        <w:t xml:space="preserve"> </w:t>
                      </w:r>
                      <w:r w:rsidRPr="00D006A1">
                        <w:rPr>
                          <w:sz w:val="22"/>
                          <w:szCs w:val="28"/>
                        </w:rPr>
                        <w:t>against a similar list of personal and social characteristics.</w:t>
                      </w:r>
                    </w:p>
                    <w:p w14:paraId="6D0962B5" w14:textId="77777777" w:rsidR="00D006A1" w:rsidRDefault="00D006A1" w:rsidP="00D006A1"/>
                  </w:txbxContent>
                </v:textbox>
                <w10:anchorlock/>
              </v:shape>
            </w:pict>
          </mc:Fallback>
        </mc:AlternateContent>
      </w:r>
    </w:p>
    <w:p w14:paraId="28CBE28B" w14:textId="0BB402CC" w:rsidR="002E5044" w:rsidRPr="00A87CC8" w:rsidRDefault="002E5044" w:rsidP="002E5044">
      <w:pPr>
        <w:keepNext/>
        <w:keepLines/>
        <w:numPr>
          <w:ilvl w:val="0"/>
          <w:numId w:val="8"/>
        </w:numPr>
        <w:pBdr>
          <w:bottom w:val="single" w:sz="6" w:space="1" w:color="auto"/>
        </w:pBdr>
        <w:spacing w:before="40" w:after="0" w:line="259" w:lineRule="auto"/>
        <w:outlineLvl w:val="1"/>
        <w:rPr>
          <w:rFonts w:ascii="Calibri Light" w:eastAsia="Times New Roman" w:hAnsi="Calibri Light" w:cs="Times New Roman"/>
          <w:bCs/>
          <w:color w:val="4A66AC" w:themeColor="accent1"/>
          <w:sz w:val="26"/>
          <w:szCs w:val="26"/>
        </w:rPr>
      </w:pPr>
      <w:bookmarkStart w:id="73" w:name="_Toc114838098"/>
      <w:bookmarkStart w:id="74" w:name="_Hlk63413678"/>
      <w:r w:rsidRPr="00A87CC8">
        <w:rPr>
          <w:rFonts w:ascii="Calibri Light" w:eastAsia="Times New Roman" w:hAnsi="Calibri Light" w:cs="Times New Roman"/>
          <w:bCs/>
          <w:color w:val="4A66AC" w:themeColor="accent1"/>
          <w:sz w:val="26"/>
          <w:szCs w:val="26"/>
        </w:rPr>
        <w:t xml:space="preserve">Special Protection Measures: Child Marriage (Articles 19, 24, 28, 34, and General Comment No. </w:t>
      </w:r>
      <w:r w:rsidR="003407C9">
        <w:rPr>
          <w:rFonts w:ascii="Calibri Light" w:eastAsia="Times New Roman" w:hAnsi="Calibri Light" w:cs="Times New Roman"/>
          <w:bCs/>
          <w:color w:val="4A66AC" w:themeColor="accent1"/>
          <w:sz w:val="26"/>
          <w:szCs w:val="26"/>
        </w:rPr>
        <w:t>4</w:t>
      </w:r>
      <w:r w:rsidRPr="00A87CC8">
        <w:rPr>
          <w:rFonts w:ascii="Calibri Light" w:eastAsia="Times New Roman" w:hAnsi="Calibri Light" w:cs="Times New Roman"/>
          <w:bCs/>
          <w:color w:val="4A66AC" w:themeColor="accent1"/>
          <w:sz w:val="26"/>
          <w:szCs w:val="26"/>
        </w:rPr>
        <w:t>)</w:t>
      </w:r>
      <w:bookmarkEnd w:id="73"/>
    </w:p>
    <w:bookmarkEnd w:id="74"/>
    <w:p w14:paraId="4CB340B6" w14:textId="430FDDB0" w:rsidR="00BC21B7" w:rsidRDefault="00BC21B7" w:rsidP="00BC21B7">
      <w:pPr>
        <w:rPr>
          <w:bCs/>
          <w:sz w:val="22"/>
          <w:szCs w:val="22"/>
        </w:rPr>
      </w:pPr>
      <w:r>
        <w:rPr>
          <w:sz w:val="22"/>
          <w:szCs w:val="22"/>
        </w:rPr>
        <w:t xml:space="preserve">Based on our review, </w:t>
      </w:r>
      <w:r w:rsidR="00AB4948">
        <w:rPr>
          <w:sz w:val="22"/>
          <w:szCs w:val="22"/>
        </w:rPr>
        <w:t>Togo explicitly prohibits the marriage of all children, with very narrow exceptions that require court authorization, since 2007</w:t>
      </w:r>
      <w:r>
        <w:rPr>
          <w:sz w:val="22"/>
          <w:szCs w:val="22"/>
        </w:rPr>
        <w:t xml:space="preserve">. </w:t>
      </w:r>
      <w:r w:rsidR="00AB4948" w:rsidRPr="00DB3A36">
        <w:rPr>
          <w:bCs/>
          <w:sz w:val="22"/>
          <w:szCs w:val="22"/>
        </w:rPr>
        <w:t>Ho</w:t>
      </w:r>
      <w:r w:rsidR="00AB4948">
        <w:rPr>
          <w:bCs/>
          <w:sz w:val="22"/>
          <w:szCs w:val="22"/>
        </w:rPr>
        <w:t xml:space="preserve">wever, as recently as 2017, data from UNICEF’s Multiple Indicator Cluster Surveys </w:t>
      </w:r>
      <w:r w:rsidR="00AB4948" w:rsidRPr="00DB3A36">
        <w:rPr>
          <w:bCs/>
          <w:sz w:val="22"/>
          <w:szCs w:val="22"/>
        </w:rPr>
        <w:t xml:space="preserve">indicated that </w:t>
      </w:r>
      <w:r w:rsidR="00AB4948">
        <w:rPr>
          <w:bCs/>
          <w:sz w:val="22"/>
          <w:szCs w:val="22"/>
        </w:rPr>
        <w:t xml:space="preserve">the rates of </w:t>
      </w:r>
      <w:r w:rsidR="00AB4948" w:rsidRPr="00DB3A36">
        <w:rPr>
          <w:bCs/>
          <w:sz w:val="22"/>
          <w:szCs w:val="22"/>
        </w:rPr>
        <w:t xml:space="preserve">child marriage </w:t>
      </w:r>
      <w:r w:rsidR="00AB4948">
        <w:rPr>
          <w:bCs/>
          <w:sz w:val="22"/>
          <w:szCs w:val="22"/>
        </w:rPr>
        <w:t>remain high in Togo</w:t>
      </w:r>
      <w:r w:rsidR="00AB4948" w:rsidRPr="00DB3A36">
        <w:rPr>
          <w:bCs/>
          <w:sz w:val="22"/>
          <w:szCs w:val="22"/>
        </w:rPr>
        <w:t xml:space="preserve">; </w:t>
      </w:r>
      <w:r w:rsidR="00AB4948">
        <w:rPr>
          <w:bCs/>
          <w:sz w:val="22"/>
          <w:szCs w:val="22"/>
        </w:rPr>
        <w:t>at the time of survey, 11% of girls aged 15-19 were already married, 6% of women aged 20 to 24 had been married before age 15, and 25% of women aged 20 to 24 had been married before age 18.</w:t>
      </w:r>
    </w:p>
    <w:p w14:paraId="10FBD054" w14:textId="43227818" w:rsidR="006F1AD5" w:rsidRPr="00D006A1" w:rsidRDefault="00D006A1" w:rsidP="00A34ADF">
      <w:pPr>
        <w:rPr>
          <w:rFonts w:eastAsia="Times New Roman" w:cstheme="minorHAnsi"/>
          <w:b/>
          <w:color w:val="000000"/>
          <w:sz w:val="22"/>
          <w:szCs w:val="22"/>
        </w:rPr>
      </w:pPr>
      <w:r>
        <w:rPr>
          <w:noProof/>
          <w:color w:val="000000" w:themeColor="text1"/>
          <w:sz w:val="22"/>
          <w:szCs w:val="22"/>
        </w:rPr>
        <mc:AlternateContent>
          <mc:Choice Requires="wps">
            <w:drawing>
              <wp:inline distT="0" distB="0" distL="0" distR="0" wp14:anchorId="114F4786" wp14:editId="34554D7D">
                <wp:extent cx="5876925" cy="1760220"/>
                <wp:effectExtent l="38100" t="38100" r="123825" b="106680"/>
                <wp:docPr id="3" name="Text Box 3"/>
                <wp:cNvGraphicFramePr/>
                <a:graphic xmlns:a="http://schemas.openxmlformats.org/drawingml/2006/main">
                  <a:graphicData uri="http://schemas.microsoft.com/office/word/2010/wordprocessingShape">
                    <wps:wsp>
                      <wps:cNvSpPr txBox="1"/>
                      <wps:spPr>
                        <a:xfrm>
                          <a:off x="0" y="0"/>
                          <a:ext cx="5876925" cy="176022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7C6F652C" w14:textId="62604E04" w:rsidR="00D006A1" w:rsidRPr="00072ECE" w:rsidRDefault="00D006A1" w:rsidP="00D006A1">
                            <w:pPr>
                              <w:pStyle w:val="Heading2"/>
                              <w:jc w:val="center"/>
                              <w:rPr>
                                <w:b/>
                              </w:rPr>
                            </w:pPr>
                            <w:r w:rsidRPr="00072ECE">
                              <w:rPr>
                                <w:b/>
                              </w:rPr>
                              <w:t>Recommended</w:t>
                            </w:r>
                            <w:r>
                              <w:rPr>
                                <w:b/>
                              </w:rPr>
                              <w:t xml:space="preserve"> question for the list of issues and </w:t>
                            </w:r>
                            <w:r w:rsidRPr="00072ECE">
                              <w:rPr>
                                <w:b/>
                              </w:rPr>
                              <w:t>Concluding Observation</w:t>
                            </w:r>
                          </w:p>
                          <w:p w14:paraId="5889351B" w14:textId="77777777" w:rsidR="00D006A1" w:rsidRDefault="00D006A1" w:rsidP="00D006A1">
                            <w:pPr>
                              <w:spacing w:before="0" w:after="0"/>
                              <w:rPr>
                                <w:rFonts w:eastAsia="Times New Roman"/>
                                <w:bCs/>
                                <w:sz w:val="22"/>
                                <w:szCs w:val="22"/>
                              </w:rPr>
                            </w:pPr>
                          </w:p>
                          <w:p w14:paraId="2AAFE544" w14:textId="77777777" w:rsidR="00D006A1" w:rsidRDefault="00D006A1" w:rsidP="00D006A1">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38FB2F08" w14:textId="77777777" w:rsidR="00D006A1" w:rsidRPr="004A7486" w:rsidRDefault="00D006A1" w:rsidP="00D006A1">
                            <w:pPr>
                              <w:pStyle w:val="ListParagraph"/>
                              <w:numPr>
                                <w:ilvl w:val="0"/>
                                <w:numId w:val="16"/>
                              </w:numPr>
                              <w:spacing w:before="0" w:after="160"/>
                              <w:rPr>
                                <w:color w:val="000000" w:themeColor="text1"/>
                                <w:sz w:val="22"/>
                                <w:szCs w:val="22"/>
                              </w:rPr>
                            </w:pPr>
                            <w:r>
                              <w:rPr>
                                <w:color w:val="000000" w:themeColor="text1"/>
                                <w:sz w:val="22"/>
                                <w:szCs w:val="22"/>
                              </w:rPr>
                              <w:t xml:space="preserve">In its list of issues, ask Togo: Can Togo outline how it will effectively enforce the provisions in </w:t>
                            </w:r>
                            <w:r w:rsidRPr="00AB4948">
                              <w:rPr>
                                <w:color w:val="000000" w:themeColor="text1"/>
                                <w:sz w:val="22"/>
                                <w:szCs w:val="22"/>
                              </w:rPr>
                              <w:t>the Children’s Code that</w:t>
                            </w:r>
                            <w:r>
                              <w:rPr>
                                <w:color w:val="000000" w:themeColor="text1"/>
                                <w:sz w:val="22"/>
                                <w:szCs w:val="22"/>
                              </w:rPr>
                              <w:t xml:space="preserve"> generally prohibit marriage before age 18?</w:t>
                            </w:r>
                          </w:p>
                          <w:p w14:paraId="17480AC5" w14:textId="77777777" w:rsidR="00D006A1" w:rsidRDefault="00D006A1" w:rsidP="00D006A1">
                            <w:pPr>
                              <w:pStyle w:val="ListParagraph"/>
                              <w:numPr>
                                <w:ilvl w:val="1"/>
                                <w:numId w:val="16"/>
                              </w:numPr>
                              <w:spacing w:before="0" w:after="160"/>
                              <w:rPr>
                                <w:color w:val="000000" w:themeColor="text1"/>
                                <w:sz w:val="22"/>
                                <w:szCs w:val="22"/>
                              </w:rPr>
                            </w:pPr>
                            <w:r>
                              <w:rPr>
                                <w:color w:val="000000" w:themeColor="text1"/>
                                <w:sz w:val="22"/>
                                <w:szCs w:val="22"/>
                              </w:rPr>
                              <w:t>If Togo has no concrete plans to improve enforcement of the minimum age of marriage, recommend that Togo formulate concrete, near-term plans to do so.</w:t>
                            </w:r>
                          </w:p>
                          <w:p w14:paraId="5EFB9D16" w14:textId="77777777" w:rsidR="00D006A1" w:rsidRDefault="00D006A1" w:rsidP="00D006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14F4786" id="Text Box 3" o:spid="_x0000_s1027" type="#_x0000_t202" style="width:462.75pt;height:138.6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" fillcolor="white [3201]" strokeweight=".5pt">
                <v:shadow on="t" color="black" opacity="26214f" origin="-.5,-.5" offset=".74836mm,.74836mm"/>
                <v:textbox>
                  <w:txbxContent>
                    <w:p w14:paraId="7C6F652C" w14:textId="62604E04" w:rsidR="00D006A1" w:rsidRPr="00072ECE" w:rsidRDefault="00D006A1" w:rsidP="00D006A1">
                      <w:pPr>
                        <w:pStyle w:val="Heading2"/>
                        <w:jc w:val="center"/>
                        <w:rPr>
                          <w:b/>
                        </w:rPr>
                      </w:pPr>
                      <w:r w:rsidRPr="00072ECE">
                        <w:rPr>
                          <w:b/>
                        </w:rPr>
                        <w:t>Recommended</w:t>
                      </w:r>
                      <w:r>
                        <w:rPr>
                          <w:b/>
                        </w:rPr>
                        <w:t xml:space="preserve"> question for the list of issues and</w:t>
                      </w:r>
                      <w:r>
                        <w:rPr>
                          <w:b/>
                        </w:rPr>
                        <w:t xml:space="preserve"> </w:t>
                      </w:r>
                      <w:r w:rsidRPr="00072ECE">
                        <w:rPr>
                          <w:b/>
                        </w:rPr>
                        <w:t>Concluding Observation</w:t>
                      </w:r>
                    </w:p>
                    <w:p w14:paraId="5889351B" w14:textId="77777777" w:rsidR="00D006A1" w:rsidRDefault="00D006A1" w:rsidP="00D006A1">
                      <w:pPr>
                        <w:spacing w:before="0" w:after="0"/>
                        <w:rPr>
                          <w:rFonts w:eastAsia="Times New Roman"/>
                          <w:bCs/>
                          <w:sz w:val="22"/>
                          <w:szCs w:val="22"/>
                        </w:rPr>
                      </w:pPr>
                    </w:p>
                    <w:p w14:paraId="2AAFE544" w14:textId="77777777" w:rsidR="00D006A1" w:rsidRDefault="00D006A1" w:rsidP="00D006A1">
                      <w:pPr>
                        <w:spacing w:after="0" w:line="360" w:lineRule="auto"/>
                        <w:rPr>
                          <w:rFonts w:eastAsia="Times New Roman" w:cstheme="minorHAnsi"/>
                          <w:b/>
                          <w:color w:val="000000"/>
                          <w:sz w:val="22"/>
                          <w:szCs w:val="22"/>
                        </w:rPr>
                      </w:pPr>
                      <w:r>
                        <w:rPr>
                          <w:rFonts w:eastAsia="Times New Roman" w:cstheme="minorHAnsi"/>
                          <w:b/>
                          <w:color w:val="000000"/>
                          <w:sz w:val="22"/>
                          <w:szCs w:val="22"/>
                        </w:rPr>
                        <w:t>We hope the Committee will:</w:t>
                      </w:r>
                    </w:p>
                    <w:p w14:paraId="38FB2F08" w14:textId="77777777" w:rsidR="00D006A1" w:rsidRPr="004A7486" w:rsidRDefault="00D006A1" w:rsidP="00D006A1">
                      <w:pPr>
                        <w:pStyle w:val="ListParagraph"/>
                        <w:numPr>
                          <w:ilvl w:val="0"/>
                          <w:numId w:val="16"/>
                        </w:numPr>
                        <w:spacing w:before="0" w:after="160"/>
                        <w:rPr>
                          <w:color w:val="000000" w:themeColor="text1"/>
                          <w:sz w:val="22"/>
                          <w:szCs w:val="22"/>
                        </w:rPr>
                      </w:pPr>
                      <w:r>
                        <w:rPr>
                          <w:color w:val="000000" w:themeColor="text1"/>
                          <w:sz w:val="22"/>
                          <w:szCs w:val="22"/>
                        </w:rPr>
                        <w:t xml:space="preserve">In its list of issues, ask Togo: Can Togo outline how it will effectively enforce the provisions in </w:t>
                      </w:r>
                      <w:r w:rsidRPr="00AB4948">
                        <w:rPr>
                          <w:color w:val="000000" w:themeColor="text1"/>
                          <w:sz w:val="22"/>
                          <w:szCs w:val="22"/>
                        </w:rPr>
                        <w:t>the Children’s Code that</w:t>
                      </w:r>
                      <w:r>
                        <w:rPr>
                          <w:color w:val="000000" w:themeColor="text1"/>
                          <w:sz w:val="22"/>
                          <w:szCs w:val="22"/>
                        </w:rPr>
                        <w:t xml:space="preserve"> generally prohibit marriage before age 18?</w:t>
                      </w:r>
                    </w:p>
                    <w:p w14:paraId="17480AC5" w14:textId="77777777" w:rsidR="00D006A1" w:rsidRDefault="00D006A1" w:rsidP="00D006A1">
                      <w:pPr>
                        <w:pStyle w:val="ListParagraph"/>
                        <w:numPr>
                          <w:ilvl w:val="1"/>
                          <w:numId w:val="16"/>
                        </w:numPr>
                        <w:spacing w:before="0" w:after="160"/>
                        <w:rPr>
                          <w:color w:val="000000" w:themeColor="text1"/>
                          <w:sz w:val="22"/>
                          <w:szCs w:val="22"/>
                        </w:rPr>
                      </w:pPr>
                      <w:r>
                        <w:rPr>
                          <w:color w:val="000000" w:themeColor="text1"/>
                          <w:sz w:val="22"/>
                          <w:szCs w:val="22"/>
                        </w:rPr>
                        <w:t>If Togo has no concrete plans to improve enforcement of the minimum age of marriage, recommend that Togo formulate concrete, near-term plans to do so.</w:t>
                      </w:r>
                    </w:p>
                    <w:p w14:paraId="5EFB9D16" w14:textId="77777777" w:rsidR="00D006A1" w:rsidRDefault="00D006A1" w:rsidP="00D006A1"/>
                  </w:txbxContent>
                </v:textbox>
                <w10:anchorlock/>
              </v:shape>
            </w:pict>
          </mc:Fallback>
        </mc:AlternateContent>
      </w:r>
    </w:p>
    <w:p w14:paraId="5D49D463" w14:textId="77777777" w:rsidR="00802CDD" w:rsidRDefault="00802CDD" w:rsidP="00802CDD">
      <w:pPr>
        <w:pStyle w:val="ListParagraph"/>
        <w:keepNext/>
        <w:keepLines/>
        <w:numPr>
          <w:ilvl w:val="0"/>
          <w:numId w:val="13"/>
        </w:numPr>
        <w:pBdr>
          <w:bottom w:val="single" w:sz="6" w:space="1" w:color="auto"/>
        </w:pBdr>
        <w:spacing w:before="40" w:after="0" w:line="256" w:lineRule="auto"/>
        <w:outlineLvl w:val="1"/>
        <w:rPr>
          <w:rFonts w:ascii="Calibri Light" w:eastAsia="Times New Roman" w:hAnsi="Calibri Light" w:cs="Times New Roman"/>
          <w:bCs/>
          <w:color w:val="4A66AC" w:themeColor="accent1"/>
          <w:sz w:val="26"/>
          <w:szCs w:val="26"/>
        </w:rPr>
      </w:pPr>
      <w:bookmarkStart w:id="75" w:name="_Toc104472612"/>
      <w:bookmarkStart w:id="76" w:name="_Toc114838100"/>
      <w:r>
        <w:rPr>
          <w:rFonts w:ascii="Calibri Light" w:eastAsia="Times New Roman" w:hAnsi="Calibri Light" w:cs="Times New Roman"/>
          <w:bCs/>
          <w:color w:val="4A66AC" w:themeColor="accent1"/>
          <w:sz w:val="26"/>
          <w:szCs w:val="26"/>
        </w:rPr>
        <w:t>Special Protection Measures: Children in Situations of Emergency (Detention based on Immigration Status) (Articles 9, 24, 28, 37)</w:t>
      </w:r>
      <w:bookmarkEnd w:id="75"/>
      <w:bookmarkEnd w:id="76"/>
    </w:p>
    <w:p w14:paraId="421F9EA9" w14:textId="2DA227DF" w:rsidR="00DD1A7D" w:rsidRDefault="00D26DFF" w:rsidP="006F1AD5">
      <w:pPr>
        <w:rPr>
          <w:sz w:val="22"/>
          <w:szCs w:val="22"/>
        </w:rPr>
      </w:pPr>
      <w:r w:rsidRPr="00D26DFF">
        <w:rPr>
          <w:sz w:val="22"/>
          <w:szCs w:val="22"/>
        </w:rPr>
        <w:t xml:space="preserve">Our review of legislation, regulations and decrees finds that the </w:t>
      </w:r>
      <w:r>
        <w:rPr>
          <w:sz w:val="22"/>
          <w:szCs w:val="22"/>
        </w:rPr>
        <w:t>Togo’s immigration law</w:t>
      </w:r>
      <w:r w:rsidRPr="00D26DFF">
        <w:rPr>
          <w:sz w:val="22"/>
          <w:szCs w:val="22"/>
        </w:rPr>
        <w:t xml:space="preserve"> </w:t>
      </w:r>
      <w:r w:rsidRPr="00D26DFF">
        <w:rPr>
          <w:b/>
          <w:bCs/>
          <w:sz w:val="22"/>
          <w:szCs w:val="22"/>
        </w:rPr>
        <w:t>generally permits</w:t>
      </w:r>
      <w:r w:rsidR="00A7696E">
        <w:rPr>
          <w:b/>
          <w:bCs/>
          <w:sz w:val="22"/>
          <w:szCs w:val="22"/>
        </w:rPr>
        <w:t xml:space="preserve"> the</w:t>
      </w:r>
      <w:r w:rsidRPr="00D26DFF">
        <w:rPr>
          <w:b/>
          <w:bCs/>
          <w:sz w:val="22"/>
          <w:szCs w:val="22"/>
        </w:rPr>
        <w:t xml:space="preserve"> imprisonment of foreigners without constraints and without specifying ages</w:t>
      </w:r>
      <w:r w:rsidRPr="00D26DFF">
        <w:rPr>
          <w:sz w:val="22"/>
          <w:szCs w:val="22"/>
        </w:rPr>
        <w:t>, and contains no provisions on alternatives to detention.</w:t>
      </w:r>
    </w:p>
    <w:p w14:paraId="40E06656" w14:textId="6E49BA35" w:rsidR="00D006A1" w:rsidRPr="006F1AD5" w:rsidRDefault="00D006A1" w:rsidP="006F1AD5">
      <w:pPr>
        <w:rPr>
          <w:sz w:val="22"/>
          <w:szCs w:val="22"/>
        </w:rPr>
      </w:pPr>
      <w:r>
        <w:rPr>
          <w:noProof/>
          <w:color w:val="000000" w:themeColor="text1"/>
          <w:sz w:val="22"/>
          <w:szCs w:val="22"/>
        </w:rPr>
        <mc:AlternateContent>
          <mc:Choice Requires="wps">
            <w:drawing>
              <wp:inline distT="0" distB="0" distL="0" distR="0" wp14:anchorId="1D7972E6" wp14:editId="52A1A7E1">
                <wp:extent cx="5876925" cy="3444240"/>
                <wp:effectExtent l="38100" t="38100" r="123825" b="118110"/>
                <wp:docPr id="4" name="Text Box 4"/>
                <wp:cNvGraphicFramePr/>
                <a:graphic xmlns:a="http://schemas.openxmlformats.org/drawingml/2006/main">
                  <a:graphicData uri="http://schemas.microsoft.com/office/word/2010/wordprocessingShape">
                    <wps:wsp>
                      <wps:cNvSpPr txBox="1"/>
                      <wps:spPr>
                        <a:xfrm>
                          <a:off x="0" y="0"/>
                          <a:ext cx="5876925" cy="3444240"/>
                        </a:xfrm>
                        <a:prstGeom prst="rect">
                          <a:avLst/>
                        </a:prstGeom>
                        <a:solidFill>
                          <a:schemeClr val="lt1"/>
                        </a:solidFill>
                        <a:ln w="6350">
                          <a:solidFill>
                            <a:prstClr val="black"/>
                          </a:solidFill>
                        </a:ln>
                        <a:effectLst>
                          <a:outerShdw blurRad="50800" dist="38100" dir="2700000" algn="tl" rotWithShape="0">
                            <a:prstClr val="black">
                              <a:alpha val="40000"/>
                            </a:prstClr>
                          </a:outerShdw>
                        </a:effectLst>
                      </wps:spPr>
                      <wps:txbx>
                        <w:txbxContent>
                          <w:p w14:paraId="37C3F142" w14:textId="716D3AA9" w:rsidR="00D006A1" w:rsidRPr="00072ECE" w:rsidRDefault="00D006A1" w:rsidP="00D006A1">
                            <w:pPr>
                              <w:pStyle w:val="Heading2"/>
                              <w:jc w:val="center"/>
                              <w:rPr>
                                <w:b/>
                              </w:rPr>
                            </w:pPr>
                            <w:r w:rsidRPr="00072ECE">
                              <w:rPr>
                                <w:b/>
                              </w:rPr>
                              <w:t>Recommended</w:t>
                            </w:r>
                            <w:r>
                              <w:rPr>
                                <w:b/>
                              </w:rPr>
                              <w:t xml:space="preserve"> questions for the list of issues and </w:t>
                            </w:r>
                            <w:r w:rsidRPr="00072ECE">
                              <w:rPr>
                                <w:b/>
                              </w:rPr>
                              <w:t>Concluding Observation</w:t>
                            </w:r>
                            <w:r w:rsidR="00892667">
                              <w:rPr>
                                <w:b/>
                              </w:rPr>
                              <w:t>S</w:t>
                            </w:r>
                          </w:p>
                          <w:p w14:paraId="730B3DA0" w14:textId="77777777" w:rsidR="00D006A1" w:rsidRDefault="00D006A1" w:rsidP="00D006A1">
                            <w:pPr>
                              <w:spacing w:before="0" w:after="0"/>
                              <w:rPr>
                                <w:rFonts w:eastAsia="Times New Roman"/>
                                <w:bCs/>
                                <w:sz w:val="22"/>
                                <w:szCs w:val="22"/>
                              </w:rPr>
                            </w:pPr>
                          </w:p>
                          <w:p w14:paraId="6BF9A9A8" w14:textId="77777777" w:rsidR="00D006A1" w:rsidRPr="00D26DFF" w:rsidRDefault="00D006A1" w:rsidP="00D006A1">
                            <w:pPr>
                              <w:spacing w:after="0" w:line="360" w:lineRule="auto"/>
                              <w:rPr>
                                <w:rFonts w:eastAsia="Times New Roman" w:cstheme="minorHAnsi"/>
                                <w:b/>
                                <w:color w:val="000000"/>
                                <w:sz w:val="22"/>
                                <w:szCs w:val="22"/>
                              </w:rPr>
                            </w:pPr>
                            <w:r w:rsidRPr="00D26DFF">
                              <w:rPr>
                                <w:rFonts w:eastAsia="Times New Roman" w:cstheme="minorHAnsi"/>
                                <w:b/>
                                <w:color w:val="000000"/>
                                <w:sz w:val="22"/>
                                <w:szCs w:val="22"/>
                              </w:rPr>
                              <w:t>We hope the Committee will:</w:t>
                            </w:r>
                          </w:p>
                          <w:p w14:paraId="63EE85F2" w14:textId="77777777" w:rsidR="00D006A1" w:rsidRDefault="00D006A1" w:rsidP="00D006A1">
                            <w:pPr>
                              <w:pStyle w:val="ListParagraph"/>
                              <w:numPr>
                                <w:ilvl w:val="0"/>
                                <w:numId w:val="15"/>
                              </w:numPr>
                              <w:spacing w:after="0"/>
                              <w:rPr>
                                <w:sz w:val="22"/>
                                <w:szCs w:val="22"/>
                              </w:rPr>
                            </w:pPr>
                            <w:r>
                              <w:rPr>
                                <w:sz w:val="22"/>
                                <w:szCs w:val="22"/>
                              </w:rPr>
                              <w:t xml:space="preserve">In its list of issues, ask Togo: given the absence of explicit legal provisions on the detention of minor migrants and minor asylum-seekers in both the </w:t>
                            </w:r>
                            <w:r w:rsidRPr="007775A1">
                              <w:rPr>
                                <w:rFonts w:cstheme="minorHAnsi"/>
                                <w:i/>
                                <w:iCs/>
                                <w:sz w:val="22"/>
                                <w:szCs w:val="22"/>
                              </w:rPr>
                              <w:t>Loi relative à la police des étrangers</w:t>
                            </w:r>
                            <w:r>
                              <w:rPr>
                                <w:rFonts w:cstheme="minorHAnsi"/>
                                <w:iCs/>
                                <w:sz w:val="22"/>
                                <w:szCs w:val="22"/>
                              </w:rPr>
                              <w:t xml:space="preserve"> and the </w:t>
                            </w:r>
                            <w:r w:rsidRPr="007775A1">
                              <w:rPr>
                                <w:rFonts w:cstheme="minorHAnsi"/>
                                <w:i/>
                                <w:iCs/>
                                <w:sz w:val="22"/>
                                <w:szCs w:val="22"/>
                              </w:rPr>
                              <w:t>Loi portant statut de refugié</w:t>
                            </w:r>
                            <w:r>
                              <w:rPr>
                                <w:rFonts w:cstheme="minorHAnsi"/>
                                <w:iCs/>
                                <w:sz w:val="22"/>
                                <w:szCs w:val="22"/>
                              </w:rPr>
                              <w:t>, can Togo</w:t>
                            </w:r>
                            <w:r>
                              <w:rPr>
                                <w:sz w:val="22"/>
                                <w:szCs w:val="22"/>
                              </w:rPr>
                              <w:t xml:space="preserve"> provide: </w:t>
                            </w:r>
                          </w:p>
                          <w:p w14:paraId="50956EC1" w14:textId="77777777" w:rsidR="00D006A1" w:rsidRDefault="00D006A1" w:rsidP="00D006A1">
                            <w:pPr>
                              <w:pStyle w:val="ListParagraph"/>
                              <w:numPr>
                                <w:ilvl w:val="1"/>
                                <w:numId w:val="15"/>
                              </w:numPr>
                              <w:rPr>
                                <w:sz w:val="22"/>
                                <w:szCs w:val="22"/>
                              </w:rPr>
                            </w:pPr>
                            <w:r>
                              <w:rPr>
                                <w:sz w:val="22"/>
                                <w:szCs w:val="22"/>
                              </w:rPr>
                              <w:t>details on the current rates of detention among minor migrants?</w:t>
                            </w:r>
                          </w:p>
                          <w:p w14:paraId="0FC6B3CA" w14:textId="77777777" w:rsidR="00D006A1" w:rsidRDefault="00D006A1" w:rsidP="00D006A1">
                            <w:pPr>
                              <w:pStyle w:val="ListParagraph"/>
                              <w:numPr>
                                <w:ilvl w:val="1"/>
                                <w:numId w:val="15"/>
                              </w:numPr>
                              <w:rPr>
                                <w:sz w:val="22"/>
                                <w:szCs w:val="22"/>
                              </w:rPr>
                            </w:pPr>
                            <w:r>
                              <w:rPr>
                                <w:sz w:val="22"/>
                                <w:szCs w:val="22"/>
                              </w:rPr>
                              <w:t>details on the current rates of detention among minor asylum-seekers?</w:t>
                            </w:r>
                          </w:p>
                          <w:p w14:paraId="54EBFF68" w14:textId="77777777" w:rsidR="00D006A1" w:rsidRDefault="00D006A1" w:rsidP="00D006A1">
                            <w:pPr>
                              <w:pStyle w:val="ListParagraph"/>
                              <w:numPr>
                                <w:ilvl w:val="0"/>
                                <w:numId w:val="15"/>
                              </w:numPr>
                              <w:spacing w:after="0"/>
                              <w:rPr>
                                <w:sz w:val="22"/>
                                <w:szCs w:val="22"/>
                              </w:rPr>
                            </w:pPr>
                            <w:r>
                              <w:rPr>
                                <w:sz w:val="22"/>
                                <w:szCs w:val="22"/>
                              </w:rPr>
                              <w:t xml:space="preserve">In its list of issues, ask Togo: given the absence of explicit legal provisions on detention of minor migrants and minor asylum-seekers in both the </w:t>
                            </w:r>
                            <w:r w:rsidRPr="006F1AD5">
                              <w:rPr>
                                <w:rFonts w:cstheme="minorHAnsi"/>
                                <w:i/>
                                <w:iCs/>
                                <w:sz w:val="22"/>
                                <w:szCs w:val="22"/>
                              </w:rPr>
                              <w:t>Loi relative à la police des étrangers</w:t>
                            </w:r>
                            <w:r>
                              <w:rPr>
                                <w:rFonts w:cstheme="minorHAnsi"/>
                                <w:iCs/>
                                <w:sz w:val="22"/>
                                <w:szCs w:val="22"/>
                              </w:rPr>
                              <w:t xml:space="preserve"> and the </w:t>
                            </w:r>
                            <w:r w:rsidRPr="006F1AD5">
                              <w:rPr>
                                <w:rFonts w:cstheme="minorHAnsi"/>
                                <w:i/>
                                <w:iCs/>
                                <w:sz w:val="22"/>
                                <w:szCs w:val="22"/>
                              </w:rPr>
                              <w:t>Loi portant statut de refugié</w:t>
                            </w:r>
                            <w:r>
                              <w:rPr>
                                <w:sz w:val="22"/>
                                <w:szCs w:val="22"/>
                              </w:rPr>
                              <w:t>, can Togo provide details on any specific steps it is taking to explicitly prohibit the detention of minor migrants and minor asylum-seekers?</w:t>
                            </w:r>
                          </w:p>
                          <w:p w14:paraId="7CB22D5E" w14:textId="77777777" w:rsidR="00D006A1" w:rsidRPr="00F0757E" w:rsidRDefault="00D006A1" w:rsidP="00D006A1">
                            <w:pPr>
                              <w:pStyle w:val="ListParagraph"/>
                              <w:numPr>
                                <w:ilvl w:val="1"/>
                                <w:numId w:val="15"/>
                              </w:numPr>
                              <w:rPr>
                                <w:sz w:val="22"/>
                                <w:szCs w:val="22"/>
                              </w:rPr>
                            </w:pPr>
                            <w:r>
                              <w:rPr>
                                <w:sz w:val="22"/>
                                <w:szCs w:val="22"/>
                              </w:rPr>
                              <w:t>If Togo is not taking any specific steps to explicitly prohibit the detention of minor migrants and minor asylum-seekers, recommend that Togo pass and implement legislation against immigration detention of minors.</w:t>
                            </w:r>
                          </w:p>
                          <w:p w14:paraId="403F3D2A" w14:textId="77777777" w:rsidR="00D006A1" w:rsidRDefault="00D006A1" w:rsidP="00D006A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inline>
            </w:drawing>
          </mc:Choice>
          <mc:Fallback>
            <w:pict>
              <v:shape w14:anchorId="1D7972E6" id="Text Box 4" o:spid="_x0000_s1028" type="#_x0000_t202" style="width:462.75pt;height:271.2pt;visibility:visible;mso-wrap-style:square;mso-left-percent:-10001;mso-top-percent:-10001;mso-position-horizontal:absolute;mso-position-horizontal-relative:char;mso-position-vertical:absolute;mso-position-vertical-relative:line;mso-left-percent:-10001;mso-top-percent:-10001;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" fillcolor="white [3201]" strokeweight=".5pt">
                <v:shadow on="t" color="black" opacity="26214f" origin="-.5,-.5" offset=".74836mm,.74836mm"/>
                <v:textbox>
                  <w:txbxContent>
                    <w:p w14:paraId="37C3F142" w14:textId="716D3AA9" w:rsidR="00D006A1" w:rsidRPr="00072ECE" w:rsidRDefault="00D006A1" w:rsidP="00D006A1">
                      <w:pPr>
                        <w:pStyle w:val="Heading2"/>
                        <w:jc w:val="center"/>
                        <w:rPr>
                          <w:b/>
                        </w:rPr>
                      </w:pPr>
                      <w:r w:rsidRPr="00072ECE">
                        <w:rPr>
                          <w:b/>
                        </w:rPr>
                        <w:t>Recommended</w:t>
                      </w:r>
                      <w:r>
                        <w:rPr>
                          <w:b/>
                        </w:rPr>
                        <w:t xml:space="preserve"> question</w:t>
                      </w:r>
                      <w:r>
                        <w:rPr>
                          <w:b/>
                        </w:rPr>
                        <w:t>s</w:t>
                      </w:r>
                      <w:r>
                        <w:rPr>
                          <w:b/>
                        </w:rPr>
                        <w:t xml:space="preserve"> for the list of issues and </w:t>
                      </w:r>
                      <w:r w:rsidRPr="00072ECE">
                        <w:rPr>
                          <w:b/>
                        </w:rPr>
                        <w:t>Concluding Observation</w:t>
                      </w:r>
                      <w:r w:rsidR="00892667">
                        <w:rPr>
                          <w:b/>
                        </w:rPr>
                        <w:t>S</w:t>
                      </w:r>
                    </w:p>
                    <w:p w14:paraId="730B3DA0" w14:textId="77777777" w:rsidR="00D006A1" w:rsidRDefault="00D006A1" w:rsidP="00D006A1">
                      <w:pPr>
                        <w:spacing w:before="0" w:after="0"/>
                        <w:rPr>
                          <w:rFonts w:eastAsia="Times New Roman"/>
                          <w:bCs/>
                          <w:sz w:val="22"/>
                          <w:szCs w:val="22"/>
                        </w:rPr>
                      </w:pPr>
                    </w:p>
                    <w:p w14:paraId="6BF9A9A8" w14:textId="77777777" w:rsidR="00D006A1" w:rsidRPr="00D26DFF" w:rsidRDefault="00D006A1" w:rsidP="00D006A1">
                      <w:pPr>
                        <w:spacing w:after="0" w:line="360" w:lineRule="auto"/>
                        <w:rPr>
                          <w:rFonts w:eastAsia="Times New Roman" w:cstheme="minorHAnsi"/>
                          <w:b/>
                          <w:color w:val="000000"/>
                          <w:sz w:val="22"/>
                          <w:szCs w:val="22"/>
                        </w:rPr>
                      </w:pPr>
                      <w:r w:rsidRPr="00D26DFF">
                        <w:rPr>
                          <w:rFonts w:eastAsia="Times New Roman" w:cstheme="minorHAnsi"/>
                          <w:b/>
                          <w:color w:val="000000"/>
                          <w:sz w:val="22"/>
                          <w:szCs w:val="22"/>
                        </w:rPr>
                        <w:t>We hope the Committee will:</w:t>
                      </w:r>
                    </w:p>
                    <w:p w14:paraId="63EE85F2" w14:textId="77777777" w:rsidR="00D006A1" w:rsidRDefault="00D006A1" w:rsidP="00D006A1">
                      <w:pPr>
                        <w:pStyle w:val="ListParagraph"/>
                        <w:numPr>
                          <w:ilvl w:val="0"/>
                          <w:numId w:val="15"/>
                        </w:numPr>
                        <w:spacing w:after="0"/>
                        <w:rPr>
                          <w:sz w:val="22"/>
                          <w:szCs w:val="22"/>
                        </w:rPr>
                      </w:pPr>
                      <w:r>
                        <w:rPr>
                          <w:sz w:val="22"/>
                          <w:szCs w:val="22"/>
                        </w:rPr>
                        <w:t xml:space="preserve">In its list of issues, ask Togo: given the absence of explicit legal provisions on the detention of minor migrants and minor asylum-seekers in both the </w:t>
                      </w:r>
                      <w:proofErr w:type="spellStart"/>
                      <w:r w:rsidRPr="007775A1">
                        <w:rPr>
                          <w:rFonts w:cstheme="minorHAnsi"/>
                          <w:i/>
                          <w:iCs/>
                          <w:sz w:val="22"/>
                          <w:szCs w:val="22"/>
                        </w:rPr>
                        <w:t>Loi</w:t>
                      </w:r>
                      <w:proofErr w:type="spellEnd"/>
                      <w:r w:rsidRPr="007775A1">
                        <w:rPr>
                          <w:rFonts w:cstheme="minorHAnsi"/>
                          <w:i/>
                          <w:iCs/>
                          <w:sz w:val="22"/>
                          <w:szCs w:val="22"/>
                        </w:rPr>
                        <w:t xml:space="preserve"> relative à la police des </w:t>
                      </w:r>
                      <w:proofErr w:type="spellStart"/>
                      <w:r w:rsidRPr="007775A1">
                        <w:rPr>
                          <w:rFonts w:cstheme="minorHAnsi"/>
                          <w:i/>
                          <w:iCs/>
                          <w:sz w:val="22"/>
                          <w:szCs w:val="22"/>
                        </w:rPr>
                        <w:t>étrangers</w:t>
                      </w:r>
                      <w:proofErr w:type="spellEnd"/>
                      <w:r>
                        <w:rPr>
                          <w:rFonts w:cstheme="minorHAnsi"/>
                          <w:iCs/>
                          <w:sz w:val="22"/>
                          <w:szCs w:val="22"/>
                        </w:rPr>
                        <w:t xml:space="preserve"> and the </w:t>
                      </w:r>
                      <w:proofErr w:type="spellStart"/>
                      <w:r w:rsidRPr="007775A1">
                        <w:rPr>
                          <w:rFonts w:cstheme="minorHAnsi"/>
                          <w:i/>
                          <w:iCs/>
                          <w:sz w:val="22"/>
                          <w:szCs w:val="22"/>
                        </w:rPr>
                        <w:t>Loi</w:t>
                      </w:r>
                      <w:proofErr w:type="spellEnd"/>
                      <w:r w:rsidRPr="007775A1">
                        <w:rPr>
                          <w:rFonts w:cstheme="minorHAnsi"/>
                          <w:i/>
                          <w:iCs/>
                          <w:sz w:val="22"/>
                          <w:szCs w:val="22"/>
                        </w:rPr>
                        <w:t xml:space="preserve"> </w:t>
                      </w:r>
                      <w:proofErr w:type="spellStart"/>
                      <w:r w:rsidRPr="007775A1">
                        <w:rPr>
                          <w:rFonts w:cstheme="minorHAnsi"/>
                          <w:i/>
                          <w:iCs/>
                          <w:sz w:val="22"/>
                          <w:szCs w:val="22"/>
                        </w:rPr>
                        <w:t>portant</w:t>
                      </w:r>
                      <w:proofErr w:type="spellEnd"/>
                      <w:r w:rsidRPr="007775A1">
                        <w:rPr>
                          <w:rFonts w:cstheme="minorHAnsi"/>
                          <w:i/>
                          <w:iCs/>
                          <w:sz w:val="22"/>
                          <w:szCs w:val="22"/>
                        </w:rPr>
                        <w:t xml:space="preserve"> </w:t>
                      </w:r>
                      <w:proofErr w:type="spellStart"/>
                      <w:r w:rsidRPr="007775A1">
                        <w:rPr>
                          <w:rFonts w:cstheme="minorHAnsi"/>
                          <w:i/>
                          <w:iCs/>
                          <w:sz w:val="22"/>
                          <w:szCs w:val="22"/>
                        </w:rPr>
                        <w:t>statut</w:t>
                      </w:r>
                      <w:proofErr w:type="spellEnd"/>
                      <w:r w:rsidRPr="007775A1">
                        <w:rPr>
                          <w:rFonts w:cstheme="minorHAnsi"/>
                          <w:i/>
                          <w:iCs/>
                          <w:sz w:val="22"/>
                          <w:szCs w:val="22"/>
                        </w:rPr>
                        <w:t xml:space="preserve"> de </w:t>
                      </w:r>
                      <w:proofErr w:type="spellStart"/>
                      <w:r w:rsidRPr="007775A1">
                        <w:rPr>
                          <w:rFonts w:cstheme="minorHAnsi"/>
                          <w:i/>
                          <w:iCs/>
                          <w:sz w:val="22"/>
                          <w:szCs w:val="22"/>
                        </w:rPr>
                        <w:t>refugié</w:t>
                      </w:r>
                      <w:proofErr w:type="spellEnd"/>
                      <w:r>
                        <w:rPr>
                          <w:rFonts w:cstheme="minorHAnsi"/>
                          <w:iCs/>
                          <w:sz w:val="22"/>
                          <w:szCs w:val="22"/>
                        </w:rPr>
                        <w:t>, can Togo</w:t>
                      </w:r>
                      <w:r>
                        <w:rPr>
                          <w:sz w:val="22"/>
                          <w:szCs w:val="22"/>
                        </w:rPr>
                        <w:t xml:space="preserve"> provide: </w:t>
                      </w:r>
                    </w:p>
                    <w:p w14:paraId="50956EC1" w14:textId="77777777" w:rsidR="00D006A1" w:rsidRDefault="00D006A1" w:rsidP="00D006A1">
                      <w:pPr>
                        <w:pStyle w:val="ListParagraph"/>
                        <w:numPr>
                          <w:ilvl w:val="1"/>
                          <w:numId w:val="15"/>
                        </w:numPr>
                        <w:rPr>
                          <w:sz w:val="22"/>
                          <w:szCs w:val="22"/>
                        </w:rPr>
                      </w:pPr>
                      <w:r>
                        <w:rPr>
                          <w:sz w:val="22"/>
                          <w:szCs w:val="22"/>
                        </w:rPr>
                        <w:t>details on the current rates of detention among minor migrants?</w:t>
                      </w:r>
                    </w:p>
                    <w:p w14:paraId="0FC6B3CA" w14:textId="77777777" w:rsidR="00D006A1" w:rsidRDefault="00D006A1" w:rsidP="00D006A1">
                      <w:pPr>
                        <w:pStyle w:val="ListParagraph"/>
                        <w:numPr>
                          <w:ilvl w:val="1"/>
                          <w:numId w:val="15"/>
                        </w:numPr>
                        <w:rPr>
                          <w:sz w:val="22"/>
                          <w:szCs w:val="22"/>
                        </w:rPr>
                      </w:pPr>
                      <w:r>
                        <w:rPr>
                          <w:sz w:val="22"/>
                          <w:szCs w:val="22"/>
                        </w:rPr>
                        <w:t>details on the current rates of detention among minor asylum-seekers?</w:t>
                      </w:r>
                    </w:p>
                    <w:p w14:paraId="54EBFF68" w14:textId="77777777" w:rsidR="00D006A1" w:rsidRDefault="00D006A1" w:rsidP="00D006A1">
                      <w:pPr>
                        <w:pStyle w:val="ListParagraph"/>
                        <w:numPr>
                          <w:ilvl w:val="0"/>
                          <w:numId w:val="15"/>
                        </w:numPr>
                        <w:spacing w:after="0"/>
                        <w:rPr>
                          <w:sz w:val="22"/>
                          <w:szCs w:val="22"/>
                        </w:rPr>
                      </w:pPr>
                      <w:r>
                        <w:rPr>
                          <w:sz w:val="22"/>
                          <w:szCs w:val="22"/>
                        </w:rPr>
                        <w:t xml:space="preserve">In its list of issues, ask Togo: given the absence of explicit legal provisions on detention of minor migrants and minor asylum-seekers in both the </w:t>
                      </w:r>
                      <w:proofErr w:type="spellStart"/>
                      <w:r w:rsidRPr="006F1AD5">
                        <w:rPr>
                          <w:rFonts w:cstheme="minorHAnsi"/>
                          <w:i/>
                          <w:iCs/>
                          <w:sz w:val="22"/>
                          <w:szCs w:val="22"/>
                        </w:rPr>
                        <w:t>Loi</w:t>
                      </w:r>
                      <w:proofErr w:type="spellEnd"/>
                      <w:r w:rsidRPr="006F1AD5">
                        <w:rPr>
                          <w:rFonts w:cstheme="minorHAnsi"/>
                          <w:i/>
                          <w:iCs/>
                          <w:sz w:val="22"/>
                          <w:szCs w:val="22"/>
                        </w:rPr>
                        <w:t xml:space="preserve"> relative à la police des </w:t>
                      </w:r>
                      <w:proofErr w:type="spellStart"/>
                      <w:r w:rsidRPr="006F1AD5">
                        <w:rPr>
                          <w:rFonts w:cstheme="minorHAnsi"/>
                          <w:i/>
                          <w:iCs/>
                          <w:sz w:val="22"/>
                          <w:szCs w:val="22"/>
                        </w:rPr>
                        <w:t>étrangers</w:t>
                      </w:r>
                      <w:proofErr w:type="spellEnd"/>
                      <w:r>
                        <w:rPr>
                          <w:rFonts w:cstheme="minorHAnsi"/>
                          <w:iCs/>
                          <w:sz w:val="22"/>
                          <w:szCs w:val="22"/>
                        </w:rPr>
                        <w:t xml:space="preserve"> and the </w:t>
                      </w:r>
                      <w:proofErr w:type="spellStart"/>
                      <w:r w:rsidRPr="006F1AD5">
                        <w:rPr>
                          <w:rFonts w:cstheme="minorHAnsi"/>
                          <w:i/>
                          <w:iCs/>
                          <w:sz w:val="22"/>
                          <w:szCs w:val="22"/>
                        </w:rPr>
                        <w:t>Loi</w:t>
                      </w:r>
                      <w:proofErr w:type="spellEnd"/>
                      <w:r w:rsidRPr="006F1AD5">
                        <w:rPr>
                          <w:rFonts w:cstheme="minorHAnsi"/>
                          <w:i/>
                          <w:iCs/>
                          <w:sz w:val="22"/>
                          <w:szCs w:val="22"/>
                        </w:rPr>
                        <w:t xml:space="preserve"> </w:t>
                      </w:r>
                      <w:proofErr w:type="spellStart"/>
                      <w:r w:rsidRPr="006F1AD5">
                        <w:rPr>
                          <w:rFonts w:cstheme="minorHAnsi"/>
                          <w:i/>
                          <w:iCs/>
                          <w:sz w:val="22"/>
                          <w:szCs w:val="22"/>
                        </w:rPr>
                        <w:t>portant</w:t>
                      </w:r>
                      <w:proofErr w:type="spellEnd"/>
                      <w:r w:rsidRPr="006F1AD5">
                        <w:rPr>
                          <w:rFonts w:cstheme="minorHAnsi"/>
                          <w:i/>
                          <w:iCs/>
                          <w:sz w:val="22"/>
                          <w:szCs w:val="22"/>
                        </w:rPr>
                        <w:t xml:space="preserve"> </w:t>
                      </w:r>
                      <w:proofErr w:type="spellStart"/>
                      <w:r w:rsidRPr="006F1AD5">
                        <w:rPr>
                          <w:rFonts w:cstheme="minorHAnsi"/>
                          <w:i/>
                          <w:iCs/>
                          <w:sz w:val="22"/>
                          <w:szCs w:val="22"/>
                        </w:rPr>
                        <w:t>statut</w:t>
                      </w:r>
                      <w:proofErr w:type="spellEnd"/>
                      <w:r w:rsidRPr="006F1AD5">
                        <w:rPr>
                          <w:rFonts w:cstheme="minorHAnsi"/>
                          <w:i/>
                          <w:iCs/>
                          <w:sz w:val="22"/>
                          <w:szCs w:val="22"/>
                        </w:rPr>
                        <w:t xml:space="preserve"> de </w:t>
                      </w:r>
                      <w:proofErr w:type="spellStart"/>
                      <w:r w:rsidRPr="006F1AD5">
                        <w:rPr>
                          <w:rFonts w:cstheme="minorHAnsi"/>
                          <w:i/>
                          <w:iCs/>
                          <w:sz w:val="22"/>
                          <w:szCs w:val="22"/>
                        </w:rPr>
                        <w:t>refugié</w:t>
                      </w:r>
                      <w:proofErr w:type="spellEnd"/>
                      <w:r>
                        <w:rPr>
                          <w:sz w:val="22"/>
                          <w:szCs w:val="22"/>
                        </w:rPr>
                        <w:t>, can Togo provide details on any specific steps it is taking to explicitly prohibit the detention of minor migrants and minor asylum-seekers?</w:t>
                      </w:r>
                    </w:p>
                    <w:p w14:paraId="7CB22D5E" w14:textId="77777777" w:rsidR="00D006A1" w:rsidRPr="00F0757E" w:rsidRDefault="00D006A1" w:rsidP="00D006A1">
                      <w:pPr>
                        <w:pStyle w:val="ListParagraph"/>
                        <w:numPr>
                          <w:ilvl w:val="1"/>
                          <w:numId w:val="15"/>
                        </w:numPr>
                        <w:rPr>
                          <w:sz w:val="22"/>
                          <w:szCs w:val="22"/>
                        </w:rPr>
                      </w:pPr>
                      <w:r>
                        <w:rPr>
                          <w:sz w:val="22"/>
                          <w:szCs w:val="22"/>
                        </w:rPr>
                        <w:t>If Togo is not taking any specific steps to explicitly prohibit the detention of minor migrants and minor asylum-seekers, recommend that Togo pass and implement legislation against immigration detention of minors.</w:t>
                      </w:r>
                    </w:p>
                    <w:p w14:paraId="403F3D2A" w14:textId="77777777" w:rsidR="00D006A1" w:rsidRDefault="00D006A1" w:rsidP="00D006A1"/>
                  </w:txbxContent>
                </v:textbox>
                <w10:anchorlock/>
              </v:shape>
            </w:pict>
          </mc:Fallback>
        </mc:AlternateContent>
      </w:r>
    </w:p>
    <w:p w14:paraId="08C0BC4F" w14:textId="77777777" w:rsidR="000E03A6" w:rsidRPr="00CB11B2" w:rsidRDefault="000E03A6" w:rsidP="000E03A6">
      <w:pPr>
        <w:pStyle w:val="Heading1"/>
        <w:spacing w:before="200"/>
        <w:rPr>
          <w:b/>
          <w:bCs/>
          <w:caps w:val="0"/>
        </w:rPr>
      </w:pPr>
      <w:bookmarkStart w:id="77" w:name="_Toc53067140"/>
      <w:bookmarkStart w:id="78" w:name="_Toc114838101"/>
      <w:bookmarkStart w:id="79" w:name="_Hlk52631351"/>
      <w:r w:rsidRPr="00CB11B2">
        <w:rPr>
          <w:b/>
          <w:bCs/>
        </w:rPr>
        <w:t>Detail</w:t>
      </w:r>
      <w:bookmarkEnd w:id="77"/>
      <w:r>
        <w:rPr>
          <w:b/>
          <w:bCs/>
        </w:rPr>
        <w:t xml:space="preserve"> of Constitutional and Legislative Findings</w:t>
      </w:r>
      <w:bookmarkEnd w:id="78"/>
    </w:p>
    <w:bookmarkEnd w:id="79"/>
    <w:p w14:paraId="6C2F0110" w14:textId="039D7F6A" w:rsidR="005E4090" w:rsidRPr="00D9766F" w:rsidRDefault="00D9766F" w:rsidP="00D9766F">
      <w:pPr>
        <w:rPr>
          <w:sz w:val="22"/>
          <w:szCs w:val="22"/>
        </w:rPr>
      </w:pPr>
      <w:r w:rsidRPr="00675444">
        <w:rPr>
          <w:sz w:val="22"/>
          <w:szCs w:val="22"/>
        </w:rPr>
        <w:t>While the following review is systematic and rigorous, we recognize that there may be laws or policies governing these areas that we have not captured, including new legislation or policies that have not yet been published globally.</w:t>
      </w:r>
    </w:p>
    <w:p w14:paraId="01FD52D0" w14:textId="771FB925" w:rsidR="005E4090" w:rsidRPr="00DD1A7D" w:rsidRDefault="005E4090" w:rsidP="00DD1A7D">
      <w:pPr>
        <w:pStyle w:val="ListParagraph"/>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0" w:name="_Toc114838102"/>
      <w:bookmarkStart w:id="81" w:name="_Hlk55550751"/>
      <w:r w:rsidRPr="00DD1A7D">
        <w:rPr>
          <w:rFonts w:ascii="Calibri Light" w:eastAsia="Times New Roman" w:hAnsi="Calibri Light" w:cs="Times New Roman"/>
          <w:bCs/>
          <w:color w:val="4A66AC" w:themeColor="accent1"/>
          <w:sz w:val="26"/>
          <w:szCs w:val="26"/>
        </w:rPr>
        <w:t>General Principles: Equality and Non-Discrimination (Article 2)</w:t>
      </w:r>
      <w:bookmarkEnd w:id="80"/>
    </w:p>
    <w:bookmarkEnd w:id="81"/>
    <w:p w14:paraId="44487FB0" w14:textId="2BD043AD" w:rsidR="009D7B63" w:rsidRPr="000E03A6" w:rsidRDefault="009D7B63" w:rsidP="009D7B63">
      <w:pPr>
        <w:rPr>
          <w:sz w:val="22"/>
          <w:szCs w:val="22"/>
        </w:rPr>
      </w:pPr>
      <w:r w:rsidRPr="000E03A6">
        <w:rPr>
          <w:sz w:val="22"/>
          <w:szCs w:val="22"/>
        </w:rPr>
        <w:t>Article 2.1 of the C</w:t>
      </w:r>
      <w:r w:rsidR="001D3E65">
        <w:rPr>
          <w:sz w:val="22"/>
          <w:szCs w:val="22"/>
        </w:rPr>
        <w:t>onvention</w:t>
      </w:r>
      <w:r w:rsidRPr="000E03A6">
        <w:rPr>
          <w:sz w:val="22"/>
          <w:szCs w:val="22"/>
        </w:rPr>
        <w:t xml:space="preserve"> states that: </w:t>
      </w:r>
    </w:p>
    <w:p w14:paraId="2C575343" w14:textId="77777777" w:rsidR="009D7B63" w:rsidRPr="000E03A6" w:rsidRDefault="009D7B63" w:rsidP="00777108">
      <w:pPr>
        <w:ind w:left="450" w:right="900"/>
        <w:rPr>
          <w:i/>
          <w:sz w:val="22"/>
          <w:szCs w:val="22"/>
        </w:rPr>
      </w:pPr>
      <w:r w:rsidRPr="000E03A6">
        <w:rPr>
          <w:i/>
          <w:sz w:val="22"/>
          <w:szCs w:val="22"/>
        </w:rPr>
        <w:t xml:space="preserve">States Parties shall respect and ensure the rights set forth in the present Convention to each child within their jurisdiction without discrimination of any kind, irrespective of the child's or his or her parent's or legal guardian's race, </w:t>
      </w:r>
      <w:proofErr w:type="spellStart"/>
      <w:r w:rsidRPr="000E03A6">
        <w:rPr>
          <w:i/>
          <w:sz w:val="22"/>
          <w:szCs w:val="22"/>
        </w:rPr>
        <w:t>colour</w:t>
      </w:r>
      <w:proofErr w:type="spellEnd"/>
      <w:r w:rsidRPr="000E03A6">
        <w:rPr>
          <w:i/>
          <w:sz w:val="22"/>
          <w:szCs w:val="22"/>
        </w:rPr>
        <w:t>, sex, language, religion, political or other opinion, national, ethnic or social origin, property, disability, birth or other status.</w:t>
      </w:r>
    </w:p>
    <w:p w14:paraId="3F21A895" w14:textId="77777777" w:rsidR="003E25FE" w:rsidRPr="000E03A6" w:rsidRDefault="003E25FE" w:rsidP="003E25FE">
      <w:pPr>
        <w:rPr>
          <w:rFonts w:eastAsia="Times New Roman"/>
          <w:sz w:val="22"/>
          <w:szCs w:val="22"/>
        </w:rPr>
      </w:pPr>
      <w:r w:rsidRPr="000E03A6">
        <w:rPr>
          <w:sz w:val="22"/>
          <w:szCs w:val="22"/>
        </w:rPr>
        <w:t>Constitutions state the values of a country, outlining the rights of people living within the country and profoundly influencing norms and practices. In nearly all countries, constitutions take precedence over other sources of law—making them critical tools for delineating and implementing equal rights. New constitutions and new rights guaranteed in constitutions can be used to overturn discriminatory laws, as well as to legislate non-discrimination guarantees. Moreover, constitutions can offer protection against policy and legal changes during periods of social and political shifts that may seek to undermine equal rights. For these reasons and others</w:t>
      </w:r>
      <w:r w:rsidRPr="000E03A6">
        <w:rPr>
          <w:rFonts w:eastAsia="Times New Roman"/>
          <w:sz w:val="22"/>
          <w:szCs w:val="22"/>
        </w:rPr>
        <w:t xml:space="preserve">, as the foundational document setting out the rights of all human beings in a country, a constitution and the rights contained therein are essential to realizing equal rights. </w:t>
      </w:r>
    </w:p>
    <w:p w14:paraId="094D227E" w14:textId="77777777" w:rsidR="003E25FE" w:rsidRPr="000E03A6" w:rsidRDefault="003E25FE" w:rsidP="003E25FE">
      <w:pPr>
        <w:rPr>
          <w:sz w:val="22"/>
          <w:szCs w:val="22"/>
        </w:rPr>
      </w:pPr>
      <w:r w:rsidRPr="000E03A6">
        <w:rPr>
          <w:sz w:val="22"/>
          <w:szCs w:val="22"/>
        </w:rPr>
        <w:t>We reviewed full text constitutions for all 193 UN member states available from official government sources to determine whether the constitution took any approach to equality across the grounds listed in article 2.1 of the CRC by prohibiting discrimination based on each specific status, guaranteeing equal rights, guaranteeing equality before the law, or guaranteeing overall equality or equal opportunities.</w:t>
      </w:r>
    </w:p>
    <w:p w14:paraId="3D50987B" w14:textId="1287A416" w:rsidR="00231F7D" w:rsidRPr="00C26D27" w:rsidRDefault="00231F7D" w:rsidP="00231F7D">
      <w:pPr>
        <w:keepNext/>
        <w:keepLines/>
        <w:spacing w:before="40" w:afterLines="100" w:after="240"/>
        <w:outlineLvl w:val="3"/>
        <w:rPr>
          <w:rFonts w:ascii="Calibri Light" w:eastAsia="Times New Roman" w:hAnsi="Calibri Light" w:cs="Times New Roman"/>
          <w:i/>
          <w:iCs/>
          <w:color w:val="4A66AC" w:themeColor="accent1"/>
          <w:sz w:val="22"/>
          <w:szCs w:val="22"/>
        </w:rPr>
      </w:pPr>
      <w:bookmarkStart w:id="82" w:name="_Hlk55550909"/>
      <w:r>
        <w:rPr>
          <w:rFonts w:ascii="Calibri Light" w:eastAsia="Times New Roman" w:hAnsi="Calibri Light" w:cs="Times New Roman"/>
          <w:i/>
          <w:iCs/>
          <w:color w:val="4A66AC" w:themeColor="accent1"/>
          <w:sz w:val="22"/>
          <w:szCs w:val="22"/>
        </w:rPr>
        <w:t>TOGO</w:t>
      </w:r>
      <w:r w:rsidRPr="00C26D27">
        <w:rPr>
          <w:rFonts w:ascii="Calibri Light" w:eastAsia="Times New Roman" w:hAnsi="Calibri Light" w:cs="Times New Roman"/>
          <w:i/>
          <w:iCs/>
          <w:color w:val="4A66AC" w:themeColor="accent1"/>
          <w:sz w:val="22"/>
          <w:szCs w:val="22"/>
        </w:rPr>
        <w:t>’</w:t>
      </w:r>
      <w:r w:rsidRPr="00A87CC8">
        <w:rPr>
          <w:rFonts w:ascii="Calibri Light" w:eastAsia="Times New Roman" w:hAnsi="Calibri Light" w:cs="Times New Roman"/>
          <w:i/>
          <w:iCs/>
          <w:color w:val="4A66AC" w:themeColor="accent1"/>
          <w:sz w:val="22"/>
          <w:szCs w:val="22"/>
        </w:rPr>
        <w:t xml:space="preserve">S CONSTITUTIONAL PROVISIONS: </w:t>
      </w:r>
      <w:r>
        <w:rPr>
          <w:rFonts w:ascii="Calibri Light" w:eastAsia="Times New Roman" w:hAnsi="Calibri Light" w:cs="Times New Roman"/>
          <w:i/>
          <w:iCs/>
          <w:color w:val="4A66AC" w:themeColor="accent1"/>
          <w:sz w:val="22"/>
          <w:szCs w:val="22"/>
        </w:rPr>
        <w:t>MISSING EXPLICIT GUARANTEES OF EQUALITY AND NON-DISCRIMINATION BASED ON DISABILITY AND LANGUAGE</w:t>
      </w:r>
      <w:bookmarkEnd w:id="82"/>
    </w:p>
    <w:p w14:paraId="57F679DA" w14:textId="1416AE57" w:rsidR="00231F7D" w:rsidRPr="00D26DFF" w:rsidRDefault="00231F7D" w:rsidP="00231F7D">
      <w:pPr>
        <w:rPr>
          <w:sz w:val="22"/>
          <w:szCs w:val="22"/>
        </w:rPr>
      </w:pPr>
      <w:r w:rsidRPr="00D26DFF">
        <w:rPr>
          <w:sz w:val="22"/>
          <w:szCs w:val="22"/>
        </w:rPr>
        <w:t xml:space="preserve">Article 2 of Togo’s constitution guarantees equality before the law </w:t>
      </w:r>
      <w:r w:rsidR="000D0E93" w:rsidRPr="00D26DFF">
        <w:rPr>
          <w:sz w:val="22"/>
          <w:szCs w:val="22"/>
        </w:rPr>
        <w:t xml:space="preserve">to all citizens without distinction of </w:t>
      </w:r>
      <w:r w:rsidR="007775A1">
        <w:rPr>
          <w:sz w:val="22"/>
          <w:szCs w:val="22"/>
        </w:rPr>
        <w:t>race, sex, religion, origin, and social class</w:t>
      </w:r>
      <w:r w:rsidR="000D0E93" w:rsidRPr="00D26DFF">
        <w:rPr>
          <w:sz w:val="22"/>
          <w:szCs w:val="22"/>
        </w:rPr>
        <w:t>. Article 11 further prohibits discrimination on the basis of</w:t>
      </w:r>
      <w:r w:rsidR="007775A1">
        <w:rPr>
          <w:sz w:val="22"/>
          <w:szCs w:val="22"/>
        </w:rPr>
        <w:t xml:space="preserve"> religious, political, philosophical or other convictions,</w:t>
      </w:r>
      <w:r w:rsidR="000D0E93" w:rsidRPr="00D26DFF">
        <w:rPr>
          <w:sz w:val="22"/>
          <w:szCs w:val="22"/>
        </w:rPr>
        <w:t xml:space="preserve"> </w:t>
      </w:r>
      <w:r w:rsidR="007775A1">
        <w:rPr>
          <w:sz w:val="22"/>
          <w:szCs w:val="22"/>
        </w:rPr>
        <w:t xml:space="preserve">ethnic origin, social or economic status, </w:t>
      </w:r>
      <w:r w:rsidR="000D0E93" w:rsidRPr="00D26DFF">
        <w:rPr>
          <w:sz w:val="22"/>
          <w:szCs w:val="22"/>
        </w:rPr>
        <w:t xml:space="preserve">family, </w:t>
      </w:r>
      <w:r w:rsidR="007775A1">
        <w:rPr>
          <w:sz w:val="22"/>
          <w:szCs w:val="22"/>
        </w:rPr>
        <w:t xml:space="preserve">and </w:t>
      </w:r>
      <w:r w:rsidR="000D0E93" w:rsidRPr="00D26DFF">
        <w:rPr>
          <w:sz w:val="22"/>
          <w:szCs w:val="22"/>
        </w:rPr>
        <w:t>regional origin</w:t>
      </w:r>
      <w:r w:rsidR="007775A1">
        <w:rPr>
          <w:sz w:val="22"/>
          <w:szCs w:val="22"/>
        </w:rPr>
        <w:t>.</w:t>
      </w:r>
    </w:p>
    <w:p w14:paraId="1E19E449" w14:textId="77777777" w:rsidR="00231F7D" w:rsidRPr="00D26DFF" w:rsidRDefault="00231F7D" w:rsidP="00231F7D">
      <w:pPr>
        <w:ind w:left="720"/>
        <w:rPr>
          <w:i/>
          <w:iCs/>
          <w:sz w:val="22"/>
          <w:szCs w:val="22"/>
          <w:u w:val="single"/>
        </w:rPr>
      </w:pPr>
      <w:r w:rsidRPr="00D26DFF">
        <w:rPr>
          <w:i/>
          <w:iCs/>
          <w:sz w:val="22"/>
          <w:szCs w:val="22"/>
          <w:u w:val="single"/>
        </w:rPr>
        <w:t>Constitution of Togo, amended to 2019</w:t>
      </w:r>
    </w:p>
    <w:p w14:paraId="28282D50" w14:textId="6B00F091" w:rsidR="00231F7D" w:rsidRPr="006D6DE2" w:rsidRDefault="00231F7D" w:rsidP="00231F7D">
      <w:pPr>
        <w:ind w:left="720"/>
        <w:rPr>
          <w:i/>
          <w:iCs/>
          <w:sz w:val="22"/>
          <w:szCs w:val="22"/>
          <w:lang w:val="fr-CA"/>
        </w:rPr>
      </w:pPr>
      <w:r w:rsidRPr="006D6DE2">
        <w:rPr>
          <w:i/>
          <w:iCs/>
          <w:sz w:val="22"/>
          <w:szCs w:val="22"/>
          <w:lang w:val="fr-CA"/>
        </w:rPr>
        <w:t xml:space="preserve">Article 2 </w:t>
      </w:r>
    </w:p>
    <w:p w14:paraId="285F0F3C" w14:textId="77777777" w:rsidR="00231F7D" w:rsidRPr="00D26DFF" w:rsidRDefault="00231F7D" w:rsidP="00231F7D">
      <w:pPr>
        <w:ind w:left="720"/>
        <w:rPr>
          <w:i/>
          <w:iCs/>
          <w:sz w:val="22"/>
          <w:szCs w:val="22"/>
          <w:lang w:val="fr-CA"/>
        </w:rPr>
      </w:pPr>
      <w:r w:rsidRPr="00D26DFF">
        <w:rPr>
          <w:i/>
          <w:iCs/>
          <w:sz w:val="22"/>
          <w:szCs w:val="22"/>
          <w:lang w:val="fr-CA"/>
        </w:rPr>
        <w:t xml:space="preserve">La République togolaise assure l'égalité devant la loi de tous les citoyens sans distinction d'origine, de race, de sexe, de condition sociale ou de religion. </w:t>
      </w:r>
    </w:p>
    <w:p w14:paraId="61D83AF9" w14:textId="77777777" w:rsidR="00231F7D" w:rsidRPr="00D26DFF" w:rsidRDefault="00231F7D" w:rsidP="00231F7D">
      <w:pPr>
        <w:ind w:left="720"/>
        <w:rPr>
          <w:i/>
          <w:iCs/>
          <w:sz w:val="22"/>
          <w:szCs w:val="22"/>
          <w:lang w:val="fr-CA"/>
        </w:rPr>
      </w:pPr>
      <w:r w:rsidRPr="00D26DFF">
        <w:rPr>
          <w:i/>
          <w:iCs/>
          <w:sz w:val="22"/>
          <w:szCs w:val="22"/>
          <w:lang w:val="fr-CA"/>
        </w:rPr>
        <w:t xml:space="preserve">Elle respecte toutes les opinions politiques, philosophiques ainsi que toutes les croyances religieuses. Son principe est le gouvernement du peuple par le peuple et pour le peuple. </w:t>
      </w:r>
    </w:p>
    <w:p w14:paraId="3F5B5BEB" w14:textId="77777777" w:rsidR="00231F7D" w:rsidRPr="00D26DFF" w:rsidRDefault="00231F7D" w:rsidP="00231F7D">
      <w:pPr>
        <w:ind w:left="720"/>
        <w:rPr>
          <w:i/>
          <w:iCs/>
          <w:sz w:val="22"/>
          <w:szCs w:val="22"/>
          <w:lang w:val="fr-CA"/>
        </w:rPr>
      </w:pPr>
      <w:r w:rsidRPr="00D26DFF">
        <w:rPr>
          <w:i/>
          <w:iCs/>
          <w:sz w:val="22"/>
          <w:szCs w:val="22"/>
          <w:lang w:val="fr-CA"/>
        </w:rPr>
        <w:t>Sa devise est : « Travail - Liberté - Patrie. »</w:t>
      </w:r>
    </w:p>
    <w:p w14:paraId="30C18E68" w14:textId="77777777" w:rsidR="00231F7D" w:rsidRPr="00D26DFF" w:rsidRDefault="00231F7D" w:rsidP="00231F7D">
      <w:pPr>
        <w:ind w:left="720"/>
        <w:rPr>
          <w:i/>
          <w:iCs/>
          <w:sz w:val="22"/>
          <w:szCs w:val="22"/>
          <w:lang w:val="fr-CA"/>
        </w:rPr>
      </w:pPr>
      <w:r w:rsidRPr="00D26DFF">
        <w:rPr>
          <w:i/>
          <w:iCs/>
          <w:sz w:val="22"/>
          <w:szCs w:val="22"/>
          <w:lang w:val="fr-CA"/>
        </w:rPr>
        <w:t xml:space="preserve">Article 11 </w:t>
      </w:r>
    </w:p>
    <w:p w14:paraId="0C80FEA8" w14:textId="77777777" w:rsidR="00231F7D" w:rsidRPr="00D26DFF" w:rsidRDefault="00231F7D" w:rsidP="00231F7D">
      <w:pPr>
        <w:ind w:left="720"/>
        <w:rPr>
          <w:i/>
          <w:iCs/>
          <w:sz w:val="22"/>
          <w:szCs w:val="22"/>
          <w:lang w:val="fr-CA"/>
        </w:rPr>
      </w:pPr>
      <w:r w:rsidRPr="00D26DFF">
        <w:rPr>
          <w:i/>
          <w:iCs/>
          <w:sz w:val="22"/>
          <w:szCs w:val="22"/>
          <w:lang w:val="fr-CA"/>
        </w:rPr>
        <w:t xml:space="preserve">Tous les êtres humains sont égaux en dignité et en droit. </w:t>
      </w:r>
    </w:p>
    <w:p w14:paraId="4BB62276" w14:textId="77777777" w:rsidR="00231F7D" w:rsidRPr="00D26DFF" w:rsidRDefault="00231F7D" w:rsidP="00231F7D">
      <w:pPr>
        <w:ind w:left="720"/>
        <w:rPr>
          <w:i/>
          <w:iCs/>
          <w:sz w:val="22"/>
          <w:szCs w:val="22"/>
          <w:lang w:val="fr-CA"/>
        </w:rPr>
      </w:pPr>
      <w:r w:rsidRPr="00D26DFF">
        <w:rPr>
          <w:i/>
          <w:iCs/>
          <w:sz w:val="22"/>
          <w:szCs w:val="22"/>
          <w:lang w:val="fr-CA"/>
        </w:rPr>
        <w:t xml:space="preserve">L'homme et la femme sont égaux devant la loi. </w:t>
      </w:r>
    </w:p>
    <w:p w14:paraId="2B8DE7BA" w14:textId="64369592" w:rsidR="000D0E93" w:rsidRPr="00803C44" w:rsidRDefault="00231F7D" w:rsidP="00803C44">
      <w:pPr>
        <w:ind w:left="720"/>
        <w:rPr>
          <w:i/>
          <w:iCs/>
          <w:sz w:val="22"/>
          <w:szCs w:val="22"/>
          <w:lang w:val="fr-CA"/>
        </w:rPr>
      </w:pPr>
      <w:r w:rsidRPr="00D26DFF">
        <w:rPr>
          <w:i/>
          <w:iCs/>
          <w:sz w:val="22"/>
          <w:szCs w:val="22"/>
          <w:lang w:val="fr-CA"/>
        </w:rPr>
        <w:t>Nul ne peut être favorisé ou désavantagé en raison de son origine familiale, ethnique ou régionale, de sa situation économique ou sociale, de ses convictions politiques, religieuses, philosophiques ou autres.</w:t>
      </w:r>
    </w:p>
    <w:p w14:paraId="057C7B21" w14:textId="7A501E9D" w:rsidR="005E4090" w:rsidRPr="0055195B" w:rsidRDefault="00231F7D" w:rsidP="005E4090">
      <w:pPr>
        <w:rPr>
          <w:b/>
          <w:sz w:val="22"/>
          <w:szCs w:val="22"/>
        </w:rPr>
      </w:pPr>
      <w:r w:rsidRPr="007775A1">
        <w:rPr>
          <w:b/>
          <w:sz w:val="22"/>
          <w:szCs w:val="22"/>
        </w:rPr>
        <w:t xml:space="preserve">There are, however, some </w:t>
      </w:r>
      <w:r w:rsidR="000D0E93" w:rsidRPr="007775A1">
        <w:rPr>
          <w:b/>
          <w:sz w:val="22"/>
          <w:szCs w:val="22"/>
        </w:rPr>
        <w:t>groups</w:t>
      </w:r>
      <w:r w:rsidRPr="007775A1">
        <w:rPr>
          <w:b/>
          <w:sz w:val="22"/>
          <w:szCs w:val="22"/>
        </w:rPr>
        <w:t xml:space="preserve"> guaranteed equality in Article 2.1 of the </w:t>
      </w:r>
      <w:r w:rsidR="000D0E93" w:rsidRPr="007775A1">
        <w:rPr>
          <w:b/>
          <w:sz w:val="22"/>
          <w:szCs w:val="22"/>
        </w:rPr>
        <w:t>Convention</w:t>
      </w:r>
      <w:r w:rsidRPr="007775A1">
        <w:rPr>
          <w:b/>
          <w:sz w:val="22"/>
          <w:szCs w:val="22"/>
        </w:rPr>
        <w:t xml:space="preserve"> which are not explicitly included in </w:t>
      </w:r>
      <w:r w:rsidR="000D0E93" w:rsidRPr="007775A1">
        <w:rPr>
          <w:b/>
          <w:sz w:val="22"/>
          <w:szCs w:val="22"/>
        </w:rPr>
        <w:t>these provisions</w:t>
      </w:r>
      <w:r w:rsidRPr="007775A1">
        <w:rPr>
          <w:b/>
          <w:sz w:val="22"/>
          <w:szCs w:val="22"/>
        </w:rPr>
        <w:t>, including children facing discrimination based on disability or language status.</w:t>
      </w:r>
    </w:p>
    <w:p w14:paraId="4C7F1A80" w14:textId="609976FD" w:rsidR="005E4090" w:rsidRPr="00A87CC8" w:rsidRDefault="005E4090" w:rsidP="00DD1A7D">
      <w:pPr>
        <w:keepNext/>
        <w:keepLines/>
        <w:numPr>
          <w:ilvl w:val="0"/>
          <w:numId w:val="10"/>
        </w:numPr>
        <w:pBdr>
          <w:bottom w:val="single" w:sz="6" w:space="1" w:color="auto"/>
        </w:pBdr>
        <w:spacing w:before="40" w:after="0" w:line="259" w:lineRule="auto"/>
        <w:ind w:left="360"/>
        <w:outlineLvl w:val="1"/>
        <w:rPr>
          <w:rFonts w:ascii="Calibri Light" w:eastAsia="Times New Roman" w:hAnsi="Calibri Light" w:cs="Times New Roman"/>
          <w:bCs/>
          <w:color w:val="4A66AC" w:themeColor="accent1"/>
          <w:sz w:val="26"/>
          <w:szCs w:val="26"/>
        </w:rPr>
      </w:pPr>
      <w:bookmarkStart w:id="83" w:name="_Toc114838103"/>
      <w:bookmarkStart w:id="84" w:name="_Hlk52631293"/>
      <w:r w:rsidRPr="00A87CC8">
        <w:rPr>
          <w:rFonts w:ascii="Calibri Light" w:eastAsia="Times New Roman" w:hAnsi="Calibri Light" w:cs="Times New Roman"/>
          <w:bCs/>
          <w:color w:val="4A66AC" w:themeColor="accent1"/>
          <w:sz w:val="26"/>
          <w:szCs w:val="26"/>
        </w:rPr>
        <w:t>Special Protection Measures: Child Marriage (Articles 19, 24, 28, 34, and General Comment No. 4)</w:t>
      </w:r>
      <w:bookmarkEnd w:id="83"/>
    </w:p>
    <w:bookmarkEnd w:id="84"/>
    <w:p w14:paraId="026BCC34" w14:textId="632E6BA8" w:rsidR="007F217D" w:rsidRPr="000E03A6" w:rsidRDefault="007F217D" w:rsidP="009D7B63">
      <w:pPr>
        <w:spacing w:line="360" w:lineRule="auto"/>
        <w:rPr>
          <w:sz w:val="22"/>
          <w:szCs w:val="22"/>
        </w:rPr>
      </w:pPr>
      <w:r w:rsidRPr="000E03A6">
        <w:rPr>
          <w:sz w:val="22"/>
          <w:szCs w:val="22"/>
        </w:rPr>
        <w:t>General Comment No. 4 (2003) states that:</w:t>
      </w:r>
    </w:p>
    <w:p w14:paraId="106562E1" w14:textId="3F25557F" w:rsidR="007F217D" w:rsidRPr="000E03A6" w:rsidRDefault="007F217D" w:rsidP="00777108">
      <w:pPr>
        <w:ind w:left="720"/>
        <w:rPr>
          <w:i/>
          <w:sz w:val="22"/>
          <w:szCs w:val="22"/>
        </w:rPr>
      </w:pPr>
      <w:r w:rsidRPr="000E03A6">
        <w:rPr>
          <w:i/>
          <w:sz w:val="22"/>
          <w:szCs w:val="22"/>
        </w:rPr>
        <w:t>The Committee strongly recommends that States parties review and, where necessary, reform their legislation and practice to increase the minimum age for marriage with and without parental consent to 18 years, for both girls and boys.</w:t>
      </w:r>
    </w:p>
    <w:p w14:paraId="39D8766A" w14:textId="77777777" w:rsidR="00547101" w:rsidRPr="000E03A6" w:rsidRDefault="00547101" w:rsidP="00547101">
      <w:pPr>
        <w:rPr>
          <w:sz w:val="22"/>
          <w:szCs w:val="22"/>
        </w:rPr>
      </w:pPr>
      <w:r w:rsidRPr="000E03A6">
        <w:rPr>
          <w:sz w:val="22"/>
          <w:szCs w:val="22"/>
        </w:rPr>
        <w:t>Child marriage has life-long health, educational, and economic consequences. For girls in particular, child brides are more likely to drop out of school, be victims of domestic abuse, and experience pregnancy and childbirth complications due to early childbearing, all of which affect core rights of the Convention, specifically the right to protection from violence (Article 19), the right to health (Article 24), the right to education (Article 28), and the right to protection from sexual exploitation and abuse (Article 34).</w:t>
      </w:r>
    </w:p>
    <w:p w14:paraId="08BC4A1A" w14:textId="75B475E6" w:rsidR="003E25FE" w:rsidRDefault="003E25FE" w:rsidP="003E25FE">
      <w:pPr>
        <w:rPr>
          <w:sz w:val="22"/>
          <w:szCs w:val="22"/>
        </w:rPr>
      </w:pPr>
      <w:r w:rsidRPr="000E03A6">
        <w:rPr>
          <w:sz w:val="22"/>
          <w:szCs w:val="22"/>
        </w:rPr>
        <w:t xml:space="preserve">We systematically reviewed national civil codes and child-related legislation for all 193 UN member states to determine whether national legislation established a minimum age of marriage for both girls and boys generally, with parental consent, and under religious and customary law. We reviewed all legislation available through the </w:t>
      </w:r>
      <w:proofErr w:type="spellStart"/>
      <w:r w:rsidRPr="000E03A6">
        <w:rPr>
          <w:sz w:val="22"/>
          <w:szCs w:val="22"/>
        </w:rPr>
        <w:t>Lexadin</w:t>
      </w:r>
      <w:proofErr w:type="spellEnd"/>
      <w:r w:rsidRPr="000E03A6">
        <w:rPr>
          <w:sz w:val="22"/>
          <w:szCs w:val="22"/>
        </w:rPr>
        <w:t xml:space="preserve"> World Law Guide, Foreign Law Guide, International </w:t>
      </w:r>
      <w:proofErr w:type="spellStart"/>
      <w:r w:rsidRPr="000E03A6">
        <w:rPr>
          <w:sz w:val="22"/>
          <w:szCs w:val="22"/>
        </w:rPr>
        <w:t>Labour</w:t>
      </w:r>
      <w:proofErr w:type="spellEnd"/>
      <w:r w:rsidRPr="000E03A6">
        <w:rPr>
          <w:sz w:val="22"/>
          <w:szCs w:val="22"/>
        </w:rPr>
        <w:t xml:space="preserve"> Organization’s NATLEX database, Pacific Islands Legal Information Institute, Asian Legal Information Institute, </w:t>
      </w:r>
      <w:proofErr w:type="spellStart"/>
      <w:r w:rsidRPr="000E03A6">
        <w:rPr>
          <w:sz w:val="22"/>
          <w:szCs w:val="22"/>
        </w:rPr>
        <w:t>JaFBase</w:t>
      </w:r>
      <w:proofErr w:type="spellEnd"/>
      <w:r w:rsidRPr="000E03A6">
        <w:rPr>
          <w:sz w:val="22"/>
          <w:szCs w:val="22"/>
        </w:rPr>
        <w:t>, and official country websites.</w:t>
      </w:r>
    </w:p>
    <w:p w14:paraId="28BFE9B8" w14:textId="1F071277" w:rsidR="00D26DFF" w:rsidRPr="007775A1" w:rsidRDefault="00D26DFF" w:rsidP="00D26DFF">
      <w:pPr>
        <w:keepNext/>
        <w:keepLines/>
        <w:spacing w:before="40" w:afterLines="100" w:after="240"/>
        <w:outlineLvl w:val="3"/>
        <w:rPr>
          <w:rFonts w:ascii="Calibri Light" w:eastAsia="Times New Roman" w:hAnsi="Calibri Light" w:cs="Times New Roman"/>
          <w:i/>
          <w:color w:val="4A66AC" w:themeColor="accent1"/>
          <w:sz w:val="22"/>
          <w:szCs w:val="22"/>
        </w:rPr>
      </w:pPr>
      <w:r w:rsidRPr="007775A1">
        <w:rPr>
          <w:rFonts w:asciiTheme="majorHAnsi" w:hAnsiTheme="majorHAnsi" w:cstheme="majorHAnsi"/>
          <w:i/>
          <w:color w:val="234F77" w:themeColor="accent2" w:themeShade="80"/>
          <w:sz w:val="22"/>
          <w:szCs w:val="22"/>
        </w:rPr>
        <w:t xml:space="preserve">TOGO’S </w:t>
      </w:r>
      <w:r w:rsidRPr="007775A1">
        <w:rPr>
          <w:rFonts w:asciiTheme="majorHAnsi" w:eastAsia="Times New Roman" w:hAnsiTheme="majorHAnsi" w:cstheme="majorHAnsi"/>
          <w:i/>
          <w:color w:val="234F77" w:themeColor="accent2" w:themeShade="80"/>
          <w:sz w:val="22"/>
          <w:szCs w:val="22"/>
        </w:rPr>
        <w:t>LEGISLATIVE PROVISIONS</w:t>
      </w:r>
      <w:r w:rsidRPr="007775A1">
        <w:rPr>
          <w:rFonts w:ascii="Calibri Light" w:eastAsia="Times New Roman" w:hAnsi="Calibri Light" w:cs="Times New Roman"/>
          <w:i/>
          <w:color w:val="4A66AC" w:themeColor="accent1"/>
          <w:sz w:val="22"/>
          <w:szCs w:val="22"/>
        </w:rPr>
        <w:t xml:space="preserve">: </w:t>
      </w:r>
      <w:r w:rsidR="007A2CCC">
        <w:rPr>
          <w:rFonts w:ascii="Calibri Light" w:eastAsia="Times New Roman" w:hAnsi="Calibri Light" w:cs="Times New Roman"/>
          <w:i/>
          <w:color w:val="4A66AC" w:themeColor="accent1"/>
          <w:sz w:val="22"/>
          <w:szCs w:val="22"/>
        </w:rPr>
        <w:t xml:space="preserve">MONITORING IMPLEMENTATION OF MARRIAGEABLE AGE </w:t>
      </w:r>
    </w:p>
    <w:p w14:paraId="7B74D08E" w14:textId="3FE794CA" w:rsidR="00D26DFF" w:rsidRPr="00DB3A36" w:rsidRDefault="00D26DFF" w:rsidP="007775A1">
      <w:pPr>
        <w:rPr>
          <w:i/>
          <w:iCs/>
          <w:sz w:val="22"/>
          <w:szCs w:val="22"/>
        </w:rPr>
      </w:pPr>
      <w:r>
        <w:rPr>
          <w:sz w:val="22"/>
          <w:szCs w:val="22"/>
        </w:rPr>
        <w:t>Since 2007, Togo’s Children’s Code prohibits all marriages of children under the age of 18 with exceptions to be granted only for serious reasons by the court.</w:t>
      </w:r>
    </w:p>
    <w:p w14:paraId="4B71DED5" w14:textId="77777777" w:rsidR="00D26DFF" w:rsidRPr="009C33F1" w:rsidRDefault="00D26DFF" w:rsidP="00D26DFF">
      <w:pPr>
        <w:ind w:left="720"/>
        <w:rPr>
          <w:i/>
          <w:iCs/>
          <w:sz w:val="22"/>
          <w:szCs w:val="22"/>
          <w:u w:val="single"/>
          <w:lang w:val="fr-CA"/>
        </w:rPr>
      </w:pPr>
      <w:r w:rsidRPr="009C33F1">
        <w:rPr>
          <w:i/>
          <w:iCs/>
          <w:sz w:val="22"/>
          <w:szCs w:val="22"/>
          <w:u w:val="single"/>
          <w:lang w:val="fr-CA"/>
        </w:rPr>
        <w:t>Loi 2007 - 017 Portant code de l'enfant, 2007</w:t>
      </w:r>
    </w:p>
    <w:p w14:paraId="6A7E65F8" w14:textId="77777777" w:rsidR="00D26DFF" w:rsidRPr="009C33F1" w:rsidRDefault="00D26DFF" w:rsidP="00D26DFF">
      <w:pPr>
        <w:ind w:left="720"/>
        <w:rPr>
          <w:i/>
          <w:iCs/>
          <w:sz w:val="22"/>
          <w:szCs w:val="22"/>
          <w:lang w:val="fr-CA"/>
        </w:rPr>
      </w:pPr>
      <w:r w:rsidRPr="009C33F1">
        <w:rPr>
          <w:i/>
          <w:iCs/>
          <w:sz w:val="22"/>
          <w:szCs w:val="22"/>
          <w:lang w:val="fr-CA"/>
        </w:rPr>
        <w:t>Art. 2 - Aux termes du présent code, on entend par enfant tout être humain âgé de moins de dix-huit (18) ans. Le terme mineur prend le même sens que celui d'enfant.</w:t>
      </w:r>
    </w:p>
    <w:p w14:paraId="37C61F7F" w14:textId="452B00CB" w:rsidR="00D26DFF" w:rsidRPr="00BF7FA5" w:rsidRDefault="00D26DFF" w:rsidP="00BF7FA5">
      <w:pPr>
        <w:ind w:left="720"/>
        <w:rPr>
          <w:lang w:val="fr-CA"/>
        </w:rPr>
      </w:pPr>
      <w:r w:rsidRPr="009C33F1">
        <w:rPr>
          <w:i/>
          <w:iCs/>
          <w:sz w:val="22"/>
          <w:szCs w:val="22"/>
          <w:lang w:val="fr-CA"/>
        </w:rPr>
        <w:t>Art. 267 - Le mariage des enfants est interdit. L'âge de la nuptialité est fixé à dix-huit</w:t>
      </w:r>
      <w:r>
        <w:rPr>
          <w:i/>
          <w:iCs/>
          <w:sz w:val="22"/>
          <w:szCs w:val="22"/>
          <w:lang w:val="fr-CA"/>
        </w:rPr>
        <w:t xml:space="preserve"> </w:t>
      </w:r>
      <w:r w:rsidRPr="009C33F1">
        <w:rPr>
          <w:i/>
          <w:iCs/>
          <w:sz w:val="22"/>
          <w:szCs w:val="22"/>
          <w:lang w:val="fr-CA"/>
        </w:rPr>
        <w:t>(18) ans révolus</w:t>
      </w:r>
      <w:r w:rsidRPr="009C33F1">
        <w:rPr>
          <w:i/>
          <w:iCs/>
          <w:caps/>
          <w:color w:val="374C80" w:themeColor="accent1" w:themeShade="BF"/>
          <w:spacing w:val="10"/>
          <w:sz w:val="22"/>
          <w:szCs w:val="22"/>
          <w:lang w:val="fr-CA"/>
        </w:rPr>
        <w:t>.</w:t>
      </w:r>
      <w:r>
        <w:rPr>
          <w:i/>
          <w:iCs/>
          <w:caps/>
          <w:color w:val="374C80" w:themeColor="accent1" w:themeShade="BF"/>
          <w:spacing w:val="10"/>
          <w:sz w:val="22"/>
          <w:szCs w:val="22"/>
          <w:lang w:val="fr-CA"/>
        </w:rPr>
        <w:t xml:space="preserve"> </w:t>
      </w:r>
      <w:r w:rsidRPr="00DB3A36">
        <w:rPr>
          <w:lang w:val="fr-CA"/>
        </w:rPr>
        <w:t>Cependant, le président du tribunal de première instance peut accorder des dispenses aux enfants des deux sexes âgés de seize (16) ans révolus pour motifs sérieux.</w:t>
      </w:r>
    </w:p>
    <w:p w14:paraId="1B21AA65" w14:textId="4E37F12C" w:rsidR="009C33F1" w:rsidRPr="00F0757E" w:rsidRDefault="00D26DFF" w:rsidP="000354F2">
      <w:pPr>
        <w:rPr>
          <w:b/>
          <w:bCs/>
          <w:sz w:val="22"/>
          <w:szCs w:val="22"/>
        </w:rPr>
      </w:pPr>
      <w:r w:rsidRPr="007775A1">
        <w:rPr>
          <w:b/>
          <w:bCs/>
          <w:sz w:val="22"/>
          <w:szCs w:val="22"/>
        </w:rPr>
        <w:t xml:space="preserve">However, as recently as 2017, data from UNICEF’s Multiple Indicator Cluster Surveys indicated that child marriage remains a significant concern in Togo; </w:t>
      </w:r>
      <w:r w:rsidRPr="00BF7FA5">
        <w:rPr>
          <w:bCs/>
          <w:sz w:val="22"/>
          <w:szCs w:val="22"/>
        </w:rPr>
        <w:t>at the time of survey, 11% of girls aged 15-19 were already married, 6% of women aged 20 to 24 had been married before age 15, and 25% of women aged 20 to 24 had been married before age 18.</w:t>
      </w:r>
      <w:r w:rsidRPr="00BF7FA5">
        <w:rPr>
          <w:rStyle w:val="FootnoteReference"/>
          <w:bCs/>
          <w:sz w:val="22"/>
          <w:szCs w:val="22"/>
        </w:rPr>
        <w:footnoteReference w:id="1"/>
      </w:r>
    </w:p>
    <w:p w14:paraId="58E08D87" w14:textId="70043535" w:rsidR="00802CDD" w:rsidRPr="00802CDD" w:rsidRDefault="00802CDD" w:rsidP="007A2CCC">
      <w:pPr>
        <w:pStyle w:val="ListParagraph"/>
        <w:keepNext/>
        <w:keepLines/>
        <w:numPr>
          <w:ilvl w:val="0"/>
          <w:numId w:val="10"/>
        </w:numPr>
        <w:pBdr>
          <w:bottom w:val="single" w:sz="6" w:space="1" w:color="auto"/>
        </w:pBdr>
        <w:spacing w:before="40" w:after="0" w:line="256" w:lineRule="auto"/>
        <w:ind w:left="360"/>
        <w:outlineLvl w:val="1"/>
        <w:rPr>
          <w:rFonts w:ascii="Calibri Light" w:eastAsia="Times New Roman" w:hAnsi="Calibri Light" w:cs="Times New Roman"/>
          <w:bCs/>
          <w:color w:val="4A66AC" w:themeColor="accent1"/>
          <w:sz w:val="26"/>
          <w:szCs w:val="26"/>
        </w:rPr>
      </w:pPr>
      <w:bookmarkStart w:id="85" w:name="_Toc114838105"/>
      <w:r w:rsidRPr="00802CDD">
        <w:rPr>
          <w:rFonts w:ascii="Calibri Light" w:eastAsia="Times New Roman" w:hAnsi="Calibri Light" w:cs="Times New Roman"/>
          <w:bCs/>
          <w:color w:val="4A66AC" w:themeColor="accent1"/>
          <w:sz w:val="26"/>
          <w:szCs w:val="26"/>
        </w:rPr>
        <w:t>Special Protection Measures: Children in Situations of Emergency (Detention based on Immigration Status) (Articles 9, 24, 28, 37)</w:t>
      </w:r>
      <w:bookmarkEnd w:id="85"/>
    </w:p>
    <w:p w14:paraId="57B06703" w14:textId="4D81B937" w:rsidR="00DD1A7D" w:rsidRDefault="00DD1A7D" w:rsidP="00D95C20">
      <w:pPr>
        <w:rPr>
          <w:sz w:val="22"/>
          <w:szCs w:val="22"/>
        </w:rPr>
      </w:pPr>
      <w:r w:rsidRPr="00D95C20">
        <w:rPr>
          <w:sz w:val="22"/>
          <w:szCs w:val="22"/>
        </w:rPr>
        <w:t>As noted in</w:t>
      </w:r>
      <w:r w:rsidR="00D95C20" w:rsidRPr="00D95C20">
        <w:rPr>
          <w:sz w:val="22"/>
          <w:szCs w:val="22"/>
        </w:rPr>
        <w:t xml:space="preserve"> the 2002 Committee’s Report on the </w:t>
      </w:r>
      <w:r w:rsidR="00D95C20" w:rsidRPr="007775A1">
        <w:rPr>
          <w:i/>
          <w:sz w:val="22"/>
          <w:szCs w:val="22"/>
        </w:rPr>
        <w:t>Rights of All Children in the Context of International Migration</w:t>
      </w:r>
      <w:r w:rsidR="00D95C20">
        <w:rPr>
          <w:sz w:val="22"/>
          <w:szCs w:val="22"/>
        </w:rPr>
        <w:t xml:space="preserve">, migrant children may experience heightened vulnerabilities. Particularly, the detention of children based on immigration status </w:t>
      </w:r>
      <w:r w:rsidR="00D5202D">
        <w:rPr>
          <w:sz w:val="22"/>
          <w:szCs w:val="22"/>
        </w:rPr>
        <w:t>violates</w:t>
      </w:r>
      <w:r w:rsidR="00D95C20">
        <w:rPr>
          <w:sz w:val="22"/>
          <w:szCs w:val="22"/>
        </w:rPr>
        <w:t xml:space="preserve"> </w:t>
      </w:r>
      <w:r w:rsidR="00D5202D">
        <w:rPr>
          <w:sz w:val="22"/>
          <w:szCs w:val="22"/>
        </w:rPr>
        <w:t xml:space="preserve">the </w:t>
      </w:r>
      <w:r w:rsidR="00D5202D" w:rsidRPr="00D5202D">
        <w:rPr>
          <w:sz w:val="22"/>
          <w:szCs w:val="22"/>
        </w:rPr>
        <w:t>principle of the best interests of the child</w:t>
      </w:r>
      <w:r w:rsidR="00D5202D">
        <w:rPr>
          <w:sz w:val="22"/>
          <w:szCs w:val="22"/>
        </w:rPr>
        <w:t xml:space="preserve"> and infringes on </w:t>
      </w:r>
      <w:r w:rsidR="00D95C20">
        <w:rPr>
          <w:sz w:val="22"/>
          <w:szCs w:val="22"/>
        </w:rPr>
        <w:t xml:space="preserve">core values outlined in the Convention including the right to liberty (Article 37) </w:t>
      </w:r>
      <w:r w:rsidR="00540D6F">
        <w:rPr>
          <w:sz w:val="22"/>
          <w:szCs w:val="22"/>
        </w:rPr>
        <w:t>and</w:t>
      </w:r>
      <w:r w:rsidR="00D95C20">
        <w:rPr>
          <w:sz w:val="22"/>
          <w:szCs w:val="22"/>
        </w:rPr>
        <w:t xml:space="preserve"> the right to not be separated from their family (Article 9)</w:t>
      </w:r>
      <w:r w:rsidR="00540D6F">
        <w:rPr>
          <w:sz w:val="22"/>
          <w:szCs w:val="22"/>
        </w:rPr>
        <w:t xml:space="preserve">. Children held in detention may also face barriers accessing education (Article 28) and health services (Article 24). </w:t>
      </w:r>
    </w:p>
    <w:p w14:paraId="25AD54FD" w14:textId="2C2924FA" w:rsidR="00BF4793" w:rsidRDefault="002F3441" w:rsidP="00555A67">
      <w:pPr>
        <w:spacing w:afterLines="100" w:after="240" w:line="360" w:lineRule="auto"/>
        <w:ind w:right="900"/>
        <w:rPr>
          <w:sz w:val="22"/>
          <w:szCs w:val="22"/>
        </w:rPr>
      </w:pPr>
      <w:r>
        <w:rPr>
          <w:sz w:val="22"/>
          <w:szCs w:val="22"/>
        </w:rPr>
        <w:t xml:space="preserve">Article 37.b. specifically states: </w:t>
      </w:r>
    </w:p>
    <w:p w14:paraId="417C63C3" w14:textId="14ABD113" w:rsidR="002F3441" w:rsidRPr="002F3441" w:rsidRDefault="002F3441" w:rsidP="002F3441">
      <w:pPr>
        <w:spacing w:afterLines="100" w:after="240" w:line="360" w:lineRule="auto"/>
        <w:ind w:left="720"/>
        <w:rPr>
          <w:i/>
          <w:iCs/>
          <w:sz w:val="22"/>
          <w:szCs w:val="22"/>
        </w:rPr>
      </w:pPr>
      <w:r w:rsidRPr="002F3441">
        <w:rPr>
          <w:i/>
          <w:iCs/>
          <w:sz w:val="22"/>
          <w:szCs w:val="22"/>
        </w:rPr>
        <w:t>No child shall be deprived of his or her liberty unlawfully or arbitrarily. The arrest, detention or imprisonment of a child shall be in conformity with the law and shall be used only as a measure of last resort and for the shortest appropriate period of time;</w:t>
      </w:r>
    </w:p>
    <w:p w14:paraId="489C4370" w14:textId="03BE1D4D" w:rsidR="000E03A6" w:rsidRDefault="00D5202D" w:rsidP="000E03A6">
      <w:pPr>
        <w:spacing w:line="360" w:lineRule="auto"/>
        <w:rPr>
          <w:sz w:val="22"/>
          <w:szCs w:val="22"/>
        </w:rPr>
      </w:pPr>
      <w:r>
        <w:rPr>
          <w:sz w:val="22"/>
          <w:szCs w:val="22"/>
        </w:rPr>
        <w:t>Article 9.1 affirms the right to family unity</w:t>
      </w:r>
      <w:r w:rsidR="007A2CCC">
        <w:rPr>
          <w:sz w:val="22"/>
          <w:szCs w:val="22"/>
        </w:rPr>
        <w:t>,</w:t>
      </w:r>
      <w:r>
        <w:rPr>
          <w:sz w:val="22"/>
          <w:szCs w:val="22"/>
        </w:rPr>
        <w:t xml:space="preserve"> stating: </w:t>
      </w:r>
    </w:p>
    <w:p w14:paraId="3EA161F3" w14:textId="17CDAEE3" w:rsidR="00DC55F6" w:rsidRPr="00DC55F6" w:rsidRDefault="00DC55F6" w:rsidP="007775A1">
      <w:pPr>
        <w:spacing w:line="360" w:lineRule="auto"/>
        <w:ind w:left="720"/>
        <w:rPr>
          <w:i/>
          <w:iCs/>
          <w:sz w:val="22"/>
          <w:szCs w:val="22"/>
        </w:rPr>
      </w:pPr>
      <w:r w:rsidRPr="00DC55F6">
        <w:rPr>
          <w:i/>
          <w:iCs/>
          <w:sz w:val="22"/>
          <w:szCs w:val="22"/>
        </w:rPr>
        <w:t>1.</w:t>
      </w:r>
      <w:r>
        <w:rPr>
          <w:i/>
          <w:iCs/>
          <w:sz w:val="22"/>
          <w:szCs w:val="22"/>
        </w:rPr>
        <w:t xml:space="preserve"> </w:t>
      </w:r>
      <w:r w:rsidR="00D5202D" w:rsidRPr="00DC55F6">
        <w:rPr>
          <w:i/>
          <w:iCs/>
          <w:sz w:val="22"/>
          <w:szCs w:val="22"/>
        </w:rPr>
        <w:t>States Parties shall ensure that a child shall not be separated from his or her parents against their will, except when competent authorities subject to judicial review determine, in accordance with applicable law and procedures, that such separation is necessary for the best interests of the child. […]</w:t>
      </w:r>
    </w:p>
    <w:p w14:paraId="6672A9D2" w14:textId="48BAED57" w:rsidR="00DC55F6" w:rsidRPr="00A87CC8" w:rsidRDefault="00231F7D" w:rsidP="00DC55F6">
      <w:pPr>
        <w:keepNext/>
        <w:keepLines/>
        <w:spacing w:before="40" w:afterLines="100" w:after="240"/>
        <w:outlineLvl w:val="3"/>
        <w:rPr>
          <w:rFonts w:ascii="Calibri Light" w:eastAsia="Times New Roman" w:hAnsi="Calibri Light" w:cs="Times New Roman"/>
          <w:i/>
          <w:iCs/>
          <w:color w:val="4A66AC" w:themeColor="accent1"/>
          <w:sz w:val="22"/>
          <w:szCs w:val="22"/>
        </w:rPr>
      </w:pPr>
      <w:r w:rsidRPr="005833A4">
        <w:rPr>
          <w:rFonts w:ascii="Calibri Light" w:eastAsia="Times New Roman" w:hAnsi="Calibri Light" w:cs="Times New Roman"/>
          <w:i/>
          <w:iCs/>
          <w:color w:val="4A66AC" w:themeColor="accent1"/>
          <w:sz w:val="22"/>
          <w:szCs w:val="22"/>
        </w:rPr>
        <w:t>TOGO</w:t>
      </w:r>
      <w:r w:rsidR="00DC55F6" w:rsidRPr="005833A4">
        <w:rPr>
          <w:rFonts w:ascii="Calibri Light" w:eastAsia="Times New Roman" w:hAnsi="Calibri Light" w:cs="Times New Roman"/>
          <w:i/>
          <w:iCs/>
          <w:color w:val="4A66AC" w:themeColor="accent1"/>
          <w:sz w:val="22"/>
          <w:szCs w:val="22"/>
        </w:rPr>
        <w:t>’S L</w:t>
      </w:r>
      <w:r w:rsidR="00DC55F6" w:rsidRPr="00A87CC8">
        <w:rPr>
          <w:rFonts w:ascii="Calibri Light" w:eastAsia="Times New Roman" w:hAnsi="Calibri Light" w:cs="Times New Roman"/>
          <w:i/>
          <w:iCs/>
          <w:color w:val="4A66AC" w:themeColor="accent1"/>
          <w:sz w:val="22"/>
          <w:szCs w:val="22"/>
        </w:rPr>
        <w:t>EGISLATIVE PROV</w:t>
      </w:r>
      <w:r w:rsidR="00DC55F6">
        <w:rPr>
          <w:rFonts w:ascii="Calibri Light" w:eastAsia="Times New Roman" w:hAnsi="Calibri Light" w:cs="Times New Roman"/>
          <w:i/>
          <w:iCs/>
          <w:color w:val="4A66AC" w:themeColor="accent1"/>
          <w:sz w:val="22"/>
          <w:szCs w:val="22"/>
        </w:rPr>
        <w:t>I</w:t>
      </w:r>
      <w:r w:rsidR="00DC55F6" w:rsidRPr="00A87CC8">
        <w:rPr>
          <w:rFonts w:ascii="Calibri Light" w:eastAsia="Times New Roman" w:hAnsi="Calibri Light" w:cs="Times New Roman"/>
          <w:i/>
          <w:iCs/>
          <w:color w:val="4A66AC" w:themeColor="accent1"/>
          <w:sz w:val="22"/>
          <w:szCs w:val="22"/>
        </w:rPr>
        <w:t xml:space="preserve">SIONS: </w:t>
      </w:r>
      <w:r w:rsidR="007A2CCC">
        <w:rPr>
          <w:rFonts w:ascii="Calibri Light" w:eastAsia="Times New Roman" w:hAnsi="Calibri Light" w:cs="Times New Roman"/>
          <w:i/>
          <w:iCs/>
          <w:color w:val="4A66AC" w:themeColor="accent1"/>
          <w:sz w:val="22"/>
          <w:szCs w:val="22"/>
        </w:rPr>
        <w:t>NO EXPLICIT PROVISION ON DETENTION OF MINORS</w:t>
      </w:r>
    </w:p>
    <w:p w14:paraId="18FEC167" w14:textId="6EB37148" w:rsidR="00D26DFF" w:rsidRPr="0055195B" w:rsidRDefault="005833A4" w:rsidP="0055195B">
      <w:pPr>
        <w:rPr>
          <w:sz w:val="22"/>
          <w:szCs w:val="22"/>
        </w:rPr>
      </w:pPr>
      <w:r>
        <w:rPr>
          <w:sz w:val="22"/>
          <w:szCs w:val="22"/>
        </w:rPr>
        <w:t>Our review of legislation, regulations and decrees finds that Togo’s 2016 law on refugees contains no provisions on detention.</w:t>
      </w:r>
      <w:r w:rsidR="002566C8">
        <w:rPr>
          <w:sz w:val="22"/>
          <w:szCs w:val="22"/>
        </w:rPr>
        <w:t xml:space="preserve"> Togo passed law 2022-005 earlier this year; this law applies to all foreigners within Togolese territory, and generally </w:t>
      </w:r>
      <w:r>
        <w:rPr>
          <w:b/>
          <w:bCs/>
          <w:sz w:val="22"/>
          <w:szCs w:val="22"/>
        </w:rPr>
        <w:t xml:space="preserve">permits </w:t>
      </w:r>
      <w:r w:rsidR="00D26DFF">
        <w:rPr>
          <w:b/>
          <w:bCs/>
          <w:sz w:val="22"/>
          <w:szCs w:val="22"/>
        </w:rPr>
        <w:t>imprisonment</w:t>
      </w:r>
      <w:r>
        <w:rPr>
          <w:b/>
          <w:bCs/>
          <w:sz w:val="22"/>
          <w:szCs w:val="22"/>
        </w:rPr>
        <w:t xml:space="preserve"> without constraints and without specifying ages</w:t>
      </w:r>
      <w:r w:rsidR="002566C8">
        <w:rPr>
          <w:sz w:val="22"/>
          <w:szCs w:val="22"/>
        </w:rPr>
        <w:t>. It does not contain</w:t>
      </w:r>
      <w:r>
        <w:rPr>
          <w:sz w:val="22"/>
          <w:szCs w:val="22"/>
        </w:rPr>
        <w:t xml:space="preserve"> further provisions </w:t>
      </w:r>
      <w:r w:rsidR="00D26DFF">
        <w:rPr>
          <w:sz w:val="22"/>
          <w:szCs w:val="22"/>
        </w:rPr>
        <w:t xml:space="preserve">on </w:t>
      </w:r>
      <w:r>
        <w:rPr>
          <w:sz w:val="22"/>
          <w:szCs w:val="22"/>
        </w:rPr>
        <w:t xml:space="preserve">alternatives to detention. </w:t>
      </w:r>
    </w:p>
    <w:p w14:paraId="2E52D07A" w14:textId="5DBC39B5" w:rsidR="005833A4" w:rsidRPr="00B177FF" w:rsidRDefault="00B177FF" w:rsidP="00B177FF">
      <w:pPr>
        <w:ind w:firstLine="720"/>
        <w:rPr>
          <w:rFonts w:cstheme="minorHAnsi"/>
          <w:i/>
          <w:sz w:val="22"/>
          <w:szCs w:val="22"/>
          <w:u w:val="single"/>
          <w:lang w:val="fr-CA"/>
        </w:rPr>
      </w:pPr>
      <w:r w:rsidRPr="00B177FF">
        <w:rPr>
          <w:rFonts w:cstheme="minorHAnsi"/>
          <w:i/>
          <w:sz w:val="22"/>
          <w:szCs w:val="22"/>
          <w:u w:val="single"/>
          <w:lang w:val="fr-CA"/>
        </w:rPr>
        <w:t>Loi 2022-005 relative à la police des étrangers en République Togolaise</w:t>
      </w:r>
    </w:p>
    <w:p w14:paraId="16C72E70" w14:textId="5EC835CA" w:rsidR="00B177FF" w:rsidRPr="00B177FF" w:rsidRDefault="00B177FF" w:rsidP="00B177FF">
      <w:pPr>
        <w:autoSpaceDE w:val="0"/>
        <w:autoSpaceDN w:val="0"/>
        <w:adjustRightInd w:val="0"/>
        <w:spacing w:before="0" w:after="0" w:line="240" w:lineRule="auto"/>
        <w:ind w:left="720"/>
        <w:rPr>
          <w:rFonts w:cstheme="minorHAnsi"/>
          <w:i/>
          <w:sz w:val="22"/>
          <w:szCs w:val="22"/>
          <w:lang w:val="fr-CA"/>
        </w:rPr>
      </w:pPr>
      <w:r w:rsidRPr="00B177FF">
        <w:rPr>
          <w:rFonts w:cstheme="minorHAnsi"/>
          <w:b/>
          <w:bCs/>
          <w:i/>
          <w:sz w:val="22"/>
          <w:szCs w:val="22"/>
          <w:lang w:val="fr-CA"/>
        </w:rPr>
        <w:t xml:space="preserve">Art. 27 </w:t>
      </w:r>
      <w:r w:rsidRPr="00B177FF">
        <w:rPr>
          <w:rFonts w:cstheme="minorHAnsi"/>
          <w:i/>
          <w:sz w:val="22"/>
          <w:szCs w:val="22"/>
          <w:lang w:val="fr-CA"/>
        </w:rPr>
        <w:t>: Violation des règles relatives au séjour d’un étranger au Togo</w:t>
      </w:r>
    </w:p>
    <w:p w14:paraId="26C02FF7" w14:textId="77777777" w:rsidR="00B177FF" w:rsidRPr="00B177FF" w:rsidRDefault="00B177FF" w:rsidP="00B177FF">
      <w:pPr>
        <w:autoSpaceDE w:val="0"/>
        <w:autoSpaceDN w:val="0"/>
        <w:adjustRightInd w:val="0"/>
        <w:spacing w:before="0" w:after="0" w:line="240" w:lineRule="auto"/>
        <w:ind w:left="720"/>
        <w:rPr>
          <w:rFonts w:cstheme="minorHAnsi"/>
          <w:i/>
          <w:sz w:val="22"/>
          <w:szCs w:val="22"/>
          <w:lang w:val="fr-CA"/>
        </w:rPr>
      </w:pPr>
    </w:p>
    <w:p w14:paraId="6636A50A" w14:textId="0665FA1F" w:rsidR="00B177FF" w:rsidRPr="00B177FF" w:rsidRDefault="00B177FF" w:rsidP="00B177FF">
      <w:pPr>
        <w:autoSpaceDE w:val="0"/>
        <w:autoSpaceDN w:val="0"/>
        <w:adjustRightInd w:val="0"/>
        <w:spacing w:before="0" w:after="0" w:line="240" w:lineRule="auto"/>
        <w:ind w:left="720"/>
        <w:rPr>
          <w:rFonts w:cstheme="minorHAnsi"/>
          <w:i/>
          <w:sz w:val="22"/>
          <w:szCs w:val="22"/>
          <w:lang w:val="fr-CA"/>
        </w:rPr>
      </w:pPr>
      <w:r w:rsidRPr="00B177FF">
        <w:rPr>
          <w:rFonts w:cstheme="minorHAnsi"/>
          <w:i/>
          <w:sz w:val="22"/>
          <w:szCs w:val="22"/>
          <w:lang w:val="fr-CA"/>
        </w:rPr>
        <w:t>Est passible d’une peine d’emprisonnement de trois (3) mois à douze (12) mois et d’une amende de deux cent mille (200 000) à cinq cent mille (500 000) francs CFA ou de l’une de ces deux (2) peines, l’étranger qui :</w:t>
      </w:r>
    </w:p>
    <w:p w14:paraId="1CDB46FE" w14:textId="29F754F7" w:rsidR="00B177FF" w:rsidRPr="00B177FF" w:rsidRDefault="00B177FF" w:rsidP="00B177FF">
      <w:pPr>
        <w:autoSpaceDE w:val="0"/>
        <w:autoSpaceDN w:val="0"/>
        <w:adjustRightInd w:val="0"/>
        <w:spacing w:before="0" w:after="0" w:line="240" w:lineRule="auto"/>
        <w:ind w:left="720"/>
        <w:rPr>
          <w:rFonts w:cstheme="minorHAnsi"/>
          <w:i/>
          <w:sz w:val="22"/>
          <w:szCs w:val="22"/>
          <w:lang w:val="fr-CA"/>
        </w:rPr>
      </w:pPr>
      <w:r w:rsidRPr="00B177FF">
        <w:rPr>
          <w:rFonts w:cstheme="minorHAnsi"/>
          <w:i/>
          <w:sz w:val="22"/>
          <w:szCs w:val="22"/>
          <w:lang w:val="fr-CA"/>
        </w:rPr>
        <w:t>(…)</w:t>
      </w:r>
    </w:p>
    <w:p w14:paraId="44AF64EC" w14:textId="0875233C" w:rsidR="00B177FF" w:rsidRPr="00B177FF" w:rsidRDefault="00B177FF" w:rsidP="00B177FF">
      <w:pPr>
        <w:autoSpaceDE w:val="0"/>
        <w:autoSpaceDN w:val="0"/>
        <w:adjustRightInd w:val="0"/>
        <w:spacing w:before="0" w:after="0" w:line="240" w:lineRule="auto"/>
        <w:ind w:left="720"/>
        <w:rPr>
          <w:rFonts w:cstheme="minorHAnsi"/>
          <w:i/>
          <w:sz w:val="22"/>
          <w:szCs w:val="22"/>
          <w:lang w:val="fr-CA"/>
        </w:rPr>
      </w:pPr>
      <w:r w:rsidRPr="00B177FF">
        <w:rPr>
          <w:rFonts w:cstheme="minorHAnsi"/>
          <w:i/>
          <w:sz w:val="22"/>
          <w:szCs w:val="22"/>
          <w:lang w:val="fr-CA"/>
        </w:rPr>
        <w:t>- sans avoir reçu l’autorisation appropriée ou après l’expiration du délai fixé par l’autorisation, séjourne ou s’établit au Togo.</w:t>
      </w:r>
    </w:p>
    <w:p w14:paraId="44FB26EB" w14:textId="6002F71E" w:rsidR="00DC55F6" w:rsidRPr="00B177FF" w:rsidRDefault="00DC55F6" w:rsidP="00DC55F6">
      <w:pPr>
        <w:rPr>
          <w:lang w:val="fr-CA"/>
        </w:rPr>
      </w:pPr>
    </w:p>
    <w:p w14:paraId="6CCF244B" w14:textId="374F62F9" w:rsidR="00DC55F6" w:rsidRPr="00B177FF" w:rsidRDefault="00DC55F6" w:rsidP="00DC55F6">
      <w:pPr>
        <w:rPr>
          <w:lang w:val="fr-CA"/>
        </w:rPr>
      </w:pPr>
    </w:p>
    <w:p w14:paraId="7B94CD6F" w14:textId="77777777" w:rsidR="00DC55F6" w:rsidRPr="00B177FF" w:rsidRDefault="00DC55F6" w:rsidP="00DC55F6">
      <w:pPr>
        <w:rPr>
          <w:lang w:val="fr-CA"/>
        </w:rPr>
      </w:pPr>
    </w:p>
    <w:p w14:paraId="211D0471" w14:textId="15E50B83" w:rsidR="009D7B63" w:rsidRPr="000E03A6" w:rsidRDefault="00355FA7" w:rsidP="00547101">
      <w:pPr>
        <w:pStyle w:val="Heading4"/>
        <w:rPr>
          <w:i/>
          <w:sz w:val="18"/>
          <w:szCs w:val="18"/>
        </w:rPr>
      </w:pPr>
      <w:bookmarkStart w:id="86" w:name="_Hlk55551988"/>
      <w:r w:rsidRPr="000E03A6">
        <w:rPr>
          <w:i/>
          <w:sz w:val="18"/>
          <w:szCs w:val="18"/>
        </w:rPr>
        <w:t>Brief</w:t>
      </w:r>
      <w:r w:rsidR="00DB42CE" w:rsidRPr="000E03A6">
        <w:rPr>
          <w:i/>
          <w:sz w:val="18"/>
          <w:szCs w:val="18"/>
        </w:rPr>
        <w:t>ing</w:t>
      </w:r>
      <w:r w:rsidR="009D7B63" w:rsidRPr="000E03A6">
        <w:rPr>
          <w:i/>
          <w:sz w:val="18"/>
          <w:szCs w:val="18"/>
        </w:rPr>
        <w:t xml:space="preserve"> prepared by the WORLD Policy Analysis Center, University of California, Los Angeles</w:t>
      </w:r>
    </w:p>
    <w:bookmarkEnd w:id="86"/>
    <w:p w14:paraId="71402A9B" w14:textId="77777777" w:rsidR="00885A45" w:rsidRPr="00885A45" w:rsidRDefault="00885A45" w:rsidP="00547101">
      <w:pPr>
        <w:pStyle w:val="NoSpacing"/>
      </w:pPr>
    </w:p>
    <w:sectPr w:rsidR="00885A45" w:rsidRPr="00885A45" w:rsidSect="00E96637">
      <w:footerReference w:type="default" r:id="rId10"/>
      <w:pgSz w:w="12240" w:h="15840"/>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5389C80D" w14:textId="77777777" w:rsidR="00203B57" w:rsidRDefault="00203B57" w:rsidP="00001F72">
      <w:pPr>
        <w:spacing w:after="0" w:line="240" w:lineRule="auto"/>
      </w:pPr>
      <w:r>
        <w:separator/>
      </w:r>
    </w:p>
  </w:endnote>
  <w:endnote w:type="continuationSeparator" w:id="0">
    <w:p w14:paraId="2B35D7C0" w14:textId="77777777" w:rsidR="00203B57" w:rsidRDefault="00203B57" w:rsidP="00001F7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6C9B9493" w14:textId="77777777" w:rsidR="00001F72" w:rsidRDefault="00001F72" w:rsidP="00E96637">
    <w:pPr>
      <w:pStyle w:val="Footer"/>
      <w:tabs>
        <w:tab w:val="clear" w:pos="4680"/>
        <w:tab w:val="clear" w:pos="9360"/>
        <w:tab w:val="left" w:pos="4155"/>
        <w:tab w:val="left" w:pos="5953"/>
      </w:tabs>
      <w:jc w:val="both"/>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2034109498"/>
      <w:docPartObj>
        <w:docPartGallery w:val="Page Numbers (Bottom of Page)"/>
        <w:docPartUnique/>
      </w:docPartObj>
    </w:sdtPr>
    <w:sdtEndPr>
      <w:rPr>
        <w:color w:val="7F7F7F" w:themeColor="background1" w:themeShade="7F"/>
        <w:spacing w:val="60"/>
      </w:rPr>
    </w:sdtEndPr>
    <w:sdtContent>
      <w:p w14:paraId="68B323EC" w14:textId="3A1143C0" w:rsidR="00AE464B" w:rsidRDefault="00AE464B">
        <w:pPr>
          <w:pStyle w:val="Footer"/>
          <w:pBdr>
            <w:top w:val="single" w:sz="4" w:space="1" w:color="D9D9D9" w:themeColor="background1" w:themeShade="D9"/>
          </w:pBdr>
          <w:jc w:val="right"/>
        </w:pPr>
        <w:r>
          <w:fldChar w:fldCharType="begin"/>
        </w:r>
        <w:r>
          <w:instrText xml:space="preserve"> PAGE   \* MERGEFORMAT </w:instrText>
        </w:r>
        <w:r>
          <w:fldChar w:fldCharType="separate"/>
        </w:r>
        <w:r>
          <w:rPr>
            <w:noProof/>
          </w:rPr>
          <w:t>2</w:t>
        </w:r>
        <w:r>
          <w:rPr>
            <w:noProof/>
          </w:rPr>
          <w:fldChar w:fldCharType="end"/>
        </w:r>
        <w:r>
          <w:t xml:space="preserve"> | </w:t>
        </w:r>
        <w:r>
          <w:rPr>
            <w:color w:val="7F7F7F" w:themeColor="background1" w:themeShade="7F"/>
            <w:spacing w:val="60"/>
          </w:rPr>
          <w:t>Page</w:t>
        </w:r>
      </w:p>
    </w:sdtContent>
  </w:sdt>
  <w:p w14:paraId="1E03C1DE" w14:textId="021F0281" w:rsidR="00E96637" w:rsidRDefault="00E96637">
    <w:pPr>
      <w:pStyle w:val="Footer"/>
      <w:jc w:val="right"/>
    </w:pPr>
  </w:p>
  <w:p w14:paraId="11311859" w14:textId="2E656424" w:rsidR="00E96637" w:rsidRDefault="00E96637" w:rsidP="00E96637">
    <w:pPr>
      <w:pStyle w:val="Footer"/>
      <w:tabs>
        <w:tab w:val="clear" w:pos="4680"/>
        <w:tab w:val="clear" w:pos="9360"/>
        <w:tab w:val="left" w:pos="4155"/>
        <w:tab w:val="left" w:pos="5953"/>
      </w:tabs>
      <w:jc w:val="both"/>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A54D0EC" w14:textId="77777777" w:rsidR="00203B57" w:rsidRDefault="00203B57" w:rsidP="00001F72">
      <w:pPr>
        <w:spacing w:after="0" w:line="240" w:lineRule="auto"/>
      </w:pPr>
      <w:r>
        <w:separator/>
      </w:r>
    </w:p>
  </w:footnote>
  <w:footnote w:type="continuationSeparator" w:id="0">
    <w:p w14:paraId="2DE404FB" w14:textId="77777777" w:rsidR="00203B57" w:rsidRDefault="00203B57" w:rsidP="00001F72">
      <w:pPr>
        <w:spacing w:after="0" w:line="240" w:lineRule="auto"/>
      </w:pPr>
      <w:r>
        <w:continuationSeparator/>
      </w:r>
    </w:p>
  </w:footnote>
  <w:footnote w:id="1">
    <w:p w14:paraId="61B27B96" w14:textId="77777777" w:rsidR="00D26DFF" w:rsidRPr="009C2051" w:rsidRDefault="00D26DFF" w:rsidP="00D26DFF">
      <w:pPr>
        <w:pStyle w:val="FootnoteText"/>
      </w:pPr>
      <w:r>
        <w:rPr>
          <w:rStyle w:val="FootnoteReference"/>
        </w:rPr>
        <w:footnoteRef/>
      </w:r>
      <w:r>
        <w:t xml:space="preserve">UNICEF data – Child Marriage. Retrieved September 23, 2022 from </w:t>
      </w:r>
      <w:hyperlink r:id="rId1" w:history="1">
        <w:r w:rsidRPr="00E01181">
          <w:rPr>
            <w:rStyle w:val="Hyperlink"/>
          </w:rPr>
          <w:t>https://data.unicef.org/topic/child-protection/child-marriage/</w:t>
        </w:r>
      </w:hyperlink>
      <w:r>
        <w:t xml:space="preserve"> </w:t>
      </w:r>
    </w:p>
    <w:p w14:paraId="173C0C66" w14:textId="77777777" w:rsidR="00D26DFF" w:rsidRPr="009C2051" w:rsidRDefault="00D26DFF" w:rsidP="00D26DFF">
      <w:pPr>
        <w:pStyle w:val="FootnoteText"/>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7B7D347" w14:textId="2E51BE07" w:rsidR="00001F72" w:rsidRDefault="00364EAE" w:rsidP="00036502">
    <w:pPr>
      <w:pStyle w:val="Header"/>
      <w:tabs>
        <w:tab w:val="clear" w:pos="4680"/>
        <w:tab w:val="clear" w:pos="9360"/>
        <w:tab w:val="left" w:pos="3450"/>
      </w:tabs>
    </w:pPr>
    <w:r>
      <w:rPr>
        <w:noProof/>
      </w:rPr>
      <w:drawing>
        <wp:anchor distT="0" distB="0" distL="114300" distR="114300" simplePos="0" relativeHeight="251660288" behindDoc="1" locked="0" layoutInCell="1" allowOverlap="1" wp14:anchorId="7BD51DF1" wp14:editId="39EA9AC4">
          <wp:simplePos x="0" y="0"/>
          <wp:positionH relativeFrom="column">
            <wp:posOffset>-805218</wp:posOffset>
          </wp:positionH>
          <wp:positionV relativeFrom="paragraph">
            <wp:posOffset>-354785</wp:posOffset>
          </wp:positionV>
          <wp:extent cx="3048006" cy="704089"/>
          <wp:effectExtent l="0" t="0" r="0" b="1270"/>
          <wp:wrapTight wrapText="bothSides">
            <wp:wrapPolygon edited="0">
              <wp:start x="3240" y="585"/>
              <wp:lineTo x="405" y="3509"/>
              <wp:lineTo x="270" y="7018"/>
              <wp:lineTo x="2160" y="11112"/>
              <wp:lineTo x="2700" y="21054"/>
              <wp:lineTo x="3375" y="21054"/>
              <wp:lineTo x="20925" y="17545"/>
              <wp:lineTo x="21060" y="11112"/>
              <wp:lineTo x="20385" y="11112"/>
              <wp:lineTo x="20250" y="4094"/>
              <wp:lineTo x="4320" y="585"/>
              <wp:lineTo x="3240" y="585"/>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WORLD logo rectangle small clear.png"/>
                  <pic:cNvPicPr/>
                </pic:nvPicPr>
                <pic:blipFill>
                  <a:blip r:embed="rId1" cstate="print">
                    <a:extLst>
                      <a:ext uri="{28A0092B-C50C-407E-A947-70E740481C1C}">
                        <a14:useLocalDpi xmlns:a14="http://schemas.microsoft.com/office/drawing/2010/main" val="0"/>
                      </a:ext>
                    </a:extLst>
                  </a:blip>
                  <a:stretch>
                    <a:fillRect/>
                  </a:stretch>
                </pic:blipFill>
                <pic:spPr>
                  <a:xfrm>
                    <a:off x="0" y="0"/>
                    <a:ext cx="3048006" cy="704089"/>
                  </a:xfrm>
                  <a:prstGeom prst="rect">
                    <a:avLst/>
                  </a:prstGeom>
                </pic:spPr>
              </pic:pic>
            </a:graphicData>
          </a:graphic>
        </wp:anchor>
      </w:drawing>
    </w:r>
    <w:r w:rsidR="00036502">
      <w:tab/>
    </w:r>
    <w:r w:rsidR="00036502">
      <w:tab/>
    </w:r>
    <w:r w:rsidR="00036502">
      <w:tab/>
    </w:r>
    <w:r w:rsidR="00036502">
      <w:tab/>
    </w:r>
    <w:r w:rsidR="00036502">
      <w:tab/>
    </w:r>
    <w:r w:rsidR="00036502">
      <w:tab/>
    </w:r>
    <w:r w:rsidR="00036502">
      <w:tab/>
    </w:r>
    <w:r w:rsidR="00803C44" w:rsidRPr="00803C44">
      <w:t>October 27, 2022</w:t>
    </w:r>
    <w:r w:rsidR="00036502">
      <w:tab/>
    </w:r>
    <w:r w:rsidR="00036502">
      <w:tab/>
    </w:r>
  </w:p>
  <w:p w14:paraId="32310ED4" w14:textId="77777777" w:rsidR="00001F72" w:rsidRDefault="00001F7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A830526"/>
    <w:multiLevelType w:val="hybridMultilevel"/>
    <w:tmpl w:val="A4668DB8"/>
    <w:lvl w:ilvl="0" w:tplc="1C904858">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6A14C24"/>
    <w:multiLevelType w:val="hybridMultilevel"/>
    <w:tmpl w:val="780CDCA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70E2CCF"/>
    <w:multiLevelType w:val="hybridMultilevel"/>
    <w:tmpl w:val="451488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7B6F08"/>
    <w:multiLevelType w:val="hybridMultilevel"/>
    <w:tmpl w:val="4818342A"/>
    <w:lvl w:ilvl="0" w:tplc="5C72093A">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7973F6C"/>
    <w:multiLevelType w:val="hybridMultilevel"/>
    <w:tmpl w:val="4DBEDAC2"/>
    <w:lvl w:ilvl="0" w:tplc="182EECD6">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19B7464A"/>
    <w:multiLevelType w:val="hybridMultilevel"/>
    <w:tmpl w:val="72800E9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F2F0577"/>
    <w:multiLevelType w:val="hybridMultilevel"/>
    <w:tmpl w:val="9C68BFA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cs="Courier New" w:hint="default"/>
      </w:rPr>
    </w:lvl>
    <w:lvl w:ilvl="2" w:tplc="04090005" w:tentative="1">
      <w:start w:val="1"/>
      <w:numFmt w:val="bullet"/>
      <w:lvlText w:val=""/>
      <w:lvlJc w:val="left"/>
      <w:pPr>
        <w:ind w:left="2610" w:hanging="360"/>
      </w:pPr>
      <w:rPr>
        <w:rFonts w:ascii="Wingdings" w:hAnsi="Wingdings" w:hint="default"/>
      </w:rPr>
    </w:lvl>
    <w:lvl w:ilvl="3" w:tplc="04090001" w:tentative="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cs="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cs="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7" w15:restartNumberingAfterBreak="0">
    <w:nsid w:val="270F305C"/>
    <w:multiLevelType w:val="hybridMultilevel"/>
    <w:tmpl w:val="D308902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39175882"/>
    <w:multiLevelType w:val="hybridMultilevel"/>
    <w:tmpl w:val="2DE88C6E"/>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start w:val="1"/>
      <w:numFmt w:val="bullet"/>
      <w:lvlText w:val=""/>
      <w:lvlJc w:val="left"/>
      <w:pPr>
        <w:ind w:left="2160" w:hanging="360"/>
      </w:pPr>
      <w:rPr>
        <w:rFonts w:ascii="Wingdings" w:hAnsi="Wingdings" w:hint="default"/>
      </w:rPr>
    </w:lvl>
    <w:lvl w:ilvl="3" w:tplc="10090001">
      <w:start w:val="1"/>
      <w:numFmt w:val="bullet"/>
      <w:lvlText w:val=""/>
      <w:lvlJc w:val="left"/>
      <w:pPr>
        <w:ind w:left="2880" w:hanging="360"/>
      </w:pPr>
      <w:rPr>
        <w:rFonts w:ascii="Symbol" w:hAnsi="Symbol" w:hint="default"/>
      </w:rPr>
    </w:lvl>
    <w:lvl w:ilvl="4" w:tplc="10090003">
      <w:start w:val="1"/>
      <w:numFmt w:val="bullet"/>
      <w:lvlText w:val="o"/>
      <w:lvlJc w:val="left"/>
      <w:pPr>
        <w:ind w:left="3600" w:hanging="360"/>
      </w:pPr>
      <w:rPr>
        <w:rFonts w:ascii="Courier New" w:hAnsi="Courier New" w:cs="Courier New" w:hint="default"/>
      </w:rPr>
    </w:lvl>
    <w:lvl w:ilvl="5" w:tplc="10090005">
      <w:start w:val="1"/>
      <w:numFmt w:val="bullet"/>
      <w:lvlText w:val=""/>
      <w:lvlJc w:val="left"/>
      <w:pPr>
        <w:ind w:left="4320" w:hanging="360"/>
      </w:pPr>
      <w:rPr>
        <w:rFonts w:ascii="Wingdings" w:hAnsi="Wingdings" w:hint="default"/>
      </w:rPr>
    </w:lvl>
    <w:lvl w:ilvl="6" w:tplc="10090001">
      <w:start w:val="1"/>
      <w:numFmt w:val="bullet"/>
      <w:lvlText w:val=""/>
      <w:lvlJc w:val="left"/>
      <w:pPr>
        <w:ind w:left="5040" w:hanging="360"/>
      </w:pPr>
      <w:rPr>
        <w:rFonts w:ascii="Symbol" w:hAnsi="Symbol" w:hint="default"/>
      </w:rPr>
    </w:lvl>
    <w:lvl w:ilvl="7" w:tplc="10090003">
      <w:start w:val="1"/>
      <w:numFmt w:val="bullet"/>
      <w:lvlText w:val="o"/>
      <w:lvlJc w:val="left"/>
      <w:pPr>
        <w:ind w:left="5760" w:hanging="360"/>
      </w:pPr>
      <w:rPr>
        <w:rFonts w:ascii="Courier New" w:hAnsi="Courier New" w:cs="Courier New" w:hint="default"/>
      </w:rPr>
    </w:lvl>
    <w:lvl w:ilvl="8" w:tplc="10090005">
      <w:start w:val="1"/>
      <w:numFmt w:val="bullet"/>
      <w:lvlText w:val=""/>
      <w:lvlJc w:val="left"/>
      <w:pPr>
        <w:ind w:left="6480" w:hanging="360"/>
      </w:pPr>
      <w:rPr>
        <w:rFonts w:ascii="Wingdings" w:hAnsi="Wingdings" w:hint="default"/>
      </w:rPr>
    </w:lvl>
  </w:abstractNum>
  <w:abstractNum w:abstractNumId="9" w15:restartNumberingAfterBreak="0">
    <w:nsid w:val="4BD3229A"/>
    <w:multiLevelType w:val="hybridMultilevel"/>
    <w:tmpl w:val="4FEA1F58"/>
    <w:lvl w:ilvl="0" w:tplc="D4B4A07C">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08768DC"/>
    <w:multiLevelType w:val="hybridMultilevel"/>
    <w:tmpl w:val="B1FA7B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40A243F"/>
    <w:multiLevelType w:val="hybridMultilevel"/>
    <w:tmpl w:val="5C2EA848"/>
    <w:lvl w:ilvl="0" w:tplc="722EEFA4">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700C4E66"/>
    <w:multiLevelType w:val="hybridMultilevel"/>
    <w:tmpl w:val="017EC05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 w15:restartNumberingAfterBreak="0">
    <w:nsid w:val="7DB54BDF"/>
    <w:multiLevelType w:val="hybridMultilevel"/>
    <w:tmpl w:val="4ED6CA7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num w:numId="1">
    <w:abstractNumId w:val="4"/>
  </w:num>
  <w:num w:numId="2">
    <w:abstractNumId w:val="7"/>
  </w:num>
  <w:num w:numId="3">
    <w:abstractNumId w:val="6"/>
  </w:num>
  <w:num w:numId="4">
    <w:abstractNumId w:val="5"/>
  </w:num>
  <w:num w:numId="5">
    <w:abstractNumId w:val="3"/>
  </w:num>
  <w:num w:numId="6">
    <w:abstractNumId w:val="9"/>
  </w:num>
  <w:num w:numId="7">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10"/>
  </w:num>
  <w:num w:numId="10">
    <w:abstractNumId w:val="2"/>
  </w:num>
  <w:num w:numId="11">
    <w:abstractNumId w:val="0"/>
  </w:num>
  <w:num w:numId="12">
    <w:abstractNumId w:val="7"/>
  </w:num>
  <w:num w:numId="13">
    <w:abstractNumId w:val="11"/>
  </w:num>
  <w:num w:numId="14">
    <w:abstractNumId w:val="1"/>
  </w:num>
  <w:num w:numId="15">
    <w:abstractNumId w:val="13"/>
  </w:num>
  <w:num w:numId="16">
    <w:abstractNumId w:val="8"/>
  </w:num>
  <w:num w:numId="17">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writeProtection w:recommended="1"/>
  <w:zoom w:percent="100"/>
  <w:proofState w:spelling="clean" w:grammar="clean"/>
  <w:defaultTabStop w:val="720"/>
  <w:characterSpacingControl w:val="doNotCompress"/>
  <w:hdrShapeDefaults>
    <o:shapedefaults v:ext="edit" spidmax="8193"/>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50C8C"/>
    <w:rsid w:val="00001F72"/>
    <w:rsid w:val="000257E5"/>
    <w:rsid w:val="000354F2"/>
    <w:rsid w:val="00036502"/>
    <w:rsid w:val="00047B11"/>
    <w:rsid w:val="00064CE3"/>
    <w:rsid w:val="000667EC"/>
    <w:rsid w:val="00084AA0"/>
    <w:rsid w:val="000C1859"/>
    <w:rsid w:val="000D0E93"/>
    <w:rsid w:val="000E03A6"/>
    <w:rsid w:val="001136CA"/>
    <w:rsid w:val="001208F7"/>
    <w:rsid w:val="00124E5E"/>
    <w:rsid w:val="00135514"/>
    <w:rsid w:val="00161D88"/>
    <w:rsid w:val="00167519"/>
    <w:rsid w:val="001D3E65"/>
    <w:rsid w:val="001E5E46"/>
    <w:rsid w:val="00203B57"/>
    <w:rsid w:val="00222D7F"/>
    <w:rsid w:val="00231F7D"/>
    <w:rsid w:val="002433C2"/>
    <w:rsid w:val="002444B6"/>
    <w:rsid w:val="002566C8"/>
    <w:rsid w:val="00266515"/>
    <w:rsid w:val="002968A5"/>
    <w:rsid w:val="002E5044"/>
    <w:rsid w:val="002F3441"/>
    <w:rsid w:val="003407C9"/>
    <w:rsid w:val="00355FA7"/>
    <w:rsid w:val="00364EAE"/>
    <w:rsid w:val="0037600D"/>
    <w:rsid w:val="00376438"/>
    <w:rsid w:val="00383B43"/>
    <w:rsid w:val="00392F5D"/>
    <w:rsid w:val="003E04AB"/>
    <w:rsid w:val="003E25FE"/>
    <w:rsid w:val="00427E38"/>
    <w:rsid w:val="00433749"/>
    <w:rsid w:val="00497315"/>
    <w:rsid w:val="004A7486"/>
    <w:rsid w:val="00540D6F"/>
    <w:rsid w:val="00547101"/>
    <w:rsid w:val="0055195B"/>
    <w:rsid w:val="0055459D"/>
    <w:rsid w:val="00555A67"/>
    <w:rsid w:val="005833A4"/>
    <w:rsid w:val="005D2778"/>
    <w:rsid w:val="005D2F09"/>
    <w:rsid w:val="005E4090"/>
    <w:rsid w:val="006230D4"/>
    <w:rsid w:val="00650165"/>
    <w:rsid w:val="00660556"/>
    <w:rsid w:val="006816E9"/>
    <w:rsid w:val="006D6DE2"/>
    <w:rsid w:val="006D7949"/>
    <w:rsid w:val="006E5AFD"/>
    <w:rsid w:val="006F1AD5"/>
    <w:rsid w:val="00750250"/>
    <w:rsid w:val="00777108"/>
    <w:rsid w:val="007775A1"/>
    <w:rsid w:val="00792E04"/>
    <w:rsid w:val="007A2CCC"/>
    <w:rsid w:val="007C3BE7"/>
    <w:rsid w:val="007D217A"/>
    <w:rsid w:val="007F217D"/>
    <w:rsid w:val="00802CDD"/>
    <w:rsid w:val="00803C44"/>
    <w:rsid w:val="00813C20"/>
    <w:rsid w:val="00885A45"/>
    <w:rsid w:val="00892667"/>
    <w:rsid w:val="008B0E14"/>
    <w:rsid w:val="008C3BEA"/>
    <w:rsid w:val="00901AB0"/>
    <w:rsid w:val="009111BF"/>
    <w:rsid w:val="00927C60"/>
    <w:rsid w:val="00957E6D"/>
    <w:rsid w:val="0099220A"/>
    <w:rsid w:val="009C2051"/>
    <w:rsid w:val="009C33F1"/>
    <w:rsid w:val="009D0094"/>
    <w:rsid w:val="009D7B63"/>
    <w:rsid w:val="00A220E5"/>
    <w:rsid w:val="00A26246"/>
    <w:rsid w:val="00A34ADF"/>
    <w:rsid w:val="00A53FFC"/>
    <w:rsid w:val="00A567C8"/>
    <w:rsid w:val="00A7696E"/>
    <w:rsid w:val="00A87CC8"/>
    <w:rsid w:val="00AA36D1"/>
    <w:rsid w:val="00AB4948"/>
    <w:rsid w:val="00AE464B"/>
    <w:rsid w:val="00B177FF"/>
    <w:rsid w:val="00B5302D"/>
    <w:rsid w:val="00B729E4"/>
    <w:rsid w:val="00B76C3E"/>
    <w:rsid w:val="00B929EF"/>
    <w:rsid w:val="00BC21B7"/>
    <w:rsid w:val="00BF4793"/>
    <w:rsid w:val="00BF7FA5"/>
    <w:rsid w:val="00C079EE"/>
    <w:rsid w:val="00CA0626"/>
    <w:rsid w:val="00CF3269"/>
    <w:rsid w:val="00D006A1"/>
    <w:rsid w:val="00D26DFF"/>
    <w:rsid w:val="00D5202D"/>
    <w:rsid w:val="00D53009"/>
    <w:rsid w:val="00D608D0"/>
    <w:rsid w:val="00D70E05"/>
    <w:rsid w:val="00D84376"/>
    <w:rsid w:val="00D95C20"/>
    <w:rsid w:val="00D9766F"/>
    <w:rsid w:val="00DB3A36"/>
    <w:rsid w:val="00DB42CE"/>
    <w:rsid w:val="00DC55F6"/>
    <w:rsid w:val="00DD1A7D"/>
    <w:rsid w:val="00DD541A"/>
    <w:rsid w:val="00E50C8C"/>
    <w:rsid w:val="00E96637"/>
    <w:rsid w:val="00EB4D10"/>
    <w:rsid w:val="00ED4244"/>
    <w:rsid w:val="00EE6BCE"/>
    <w:rsid w:val="00F0757E"/>
    <w:rsid w:val="00F4142B"/>
    <w:rsid w:val="00F61B16"/>
    <w:rsid w:val="00FA1300"/>
    <w:rsid w:val="00FB1C7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497FEBCD"/>
  <w15:chartTrackingRefBased/>
  <w15:docId w15:val="{3596CE34-14BB-4D65-923A-97F12A6EA11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lang w:val="en-US" w:eastAsia="en-US" w:bidi="ar-SA"/>
      </w:rPr>
    </w:rPrDefault>
    <w:pPrDefault>
      <w:pPr>
        <w:spacing w:before="100"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E03A6"/>
  </w:style>
  <w:style w:type="paragraph" w:styleId="Heading1">
    <w:name w:val="heading 1"/>
    <w:basedOn w:val="Normal"/>
    <w:next w:val="Normal"/>
    <w:link w:val="Heading1Char"/>
    <w:uiPriority w:val="9"/>
    <w:qFormat/>
    <w:rsid w:val="000E03A6"/>
    <w:pPr>
      <w:pBdr>
        <w:top w:val="single" w:sz="24" w:space="0" w:color="4A66AC" w:themeColor="accent1"/>
        <w:left w:val="single" w:sz="24" w:space="0" w:color="4A66AC" w:themeColor="accent1"/>
        <w:bottom w:val="single" w:sz="24" w:space="0" w:color="4A66AC" w:themeColor="accent1"/>
        <w:right w:val="single" w:sz="24" w:space="0" w:color="4A66AC" w:themeColor="accent1"/>
      </w:pBdr>
      <w:shd w:val="clear" w:color="auto" w:fill="4A66AC" w:themeFill="accent1"/>
      <w:spacing w:after="0"/>
      <w:outlineLvl w:val="0"/>
    </w:pPr>
    <w:rPr>
      <w:caps/>
      <w:color w:val="FFFFFF" w:themeColor="background1"/>
      <w:spacing w:val="15"/>
      <w:sz w:val="22"/>
      <w:szCs w:val="22"/>
    </w:rPr>
  </w:style>
  <w:style w:type="paragraph" w:styleId="Heading2">
    <w:name w:val="heading 2"/>
    <w:basedOn w:val="Normal"/>
    <w:next w:val="Normal"/>
    <w:link w:val="Heading2Char"/>
    <w:uiPriority w:val="9"/>
    <w:unhideWhenUsed/>
    <w:qFormat/>
    <w:rsid w:val="000E03A6"/>
    <w:pPr>
      <w:pBdr>
        <w:top w:val="single" w:sz="24" w:space="0" w:color="D9DFEF" w:themeColor="accent1" w:themeTint="33"/>
        <w:left w:val="single" w:sz="24" w:space="0" w:color="D9DFEF" w:themeColor="accent1" w:themeTint="33"/>
        <w:bottom w:val="single" w:sz="24" w:space="0" w:color="D9DFEF" w:themeColor="accent1" w:themeTint="33"/>
        <w:right w:val="single" w:sz="24" w:space="0" w:color="D9DFEF" w:themeColor="accent1" w:themeTint="33"/>
      </w:pBdr>
      <w:shd w:val="clear" w:color="auto" w:fill="D9DFEF" w:themeFill="accent1" w:themeFillTint="33"/>
      <w:spacing w:after="0"/>
      <w:outlineLvl w:val="1"/>
    </w:pPr>
    <w:rPr>
      <w:caps/>
      <w:spacing w:val="15"/>
    </w:rPr>
  </w:style>
  <w:style w:type="paragraph" w:styleId="Heading3">
    <w:name w:val="heading 3"/>
    <w:basedOn w:val="Normal"/>
    <w:next w:val="Normal"/>
    <w:link w:val="Heading3Char"/>
    <w:uiPriority w:val="9"/>
    <w:unhideWhenUsed/>
    <w:qFormat/>
    <w:rsid w:val="000E03A6"/>
    <w:pPr>
      <w:pBdr>
        <w:top w:val="single" w:sz="6" w:space="2" w:color="4A66AC" w:themeColor="accent1"/>
      </w:pBdr>
      <w:spacing w:before="300" w:after="0"/>
      <w:outlineLvl w:val="2"/>
    </w:pPr>
    <w:rPr>
      <w:caps/>
      <w:color w:val="243255" w:themeColor="accent1" w:themeShade="7F"/>
      <w:spacing w:val="15"/>
    </w:rPr>
  </w:style>
  <w:style w:type="paragraph" w:styleId="Heading4">
    <w:name w:val="heading 4"/>
    <w:basedOn w:val="Normal"/>
    <w:next w:val="Normal"/>
    <w:link w:val="Heading4Char"/>
    <w:uiPriority w:val="9"/>
    <w:unhideWhenUsed/>
    <w:qFormat/>
    <w:rsid w:val="000E03A6"/>
    <w:pPr>
      <w:pBdr>
        <w:top w:val="dotted" w:sz="6" w:space="2" w:color="4A66AC" w:themeColor="accent1"/>
      </w:pBdr>
      <w:spacing w:before="200" w:after="0"/>
      <w:outlineLvl w:val="3"/>
    </w:pPr>
    <w:rPr>
      <w:caps/>
      <w:color w:val="374C80" w:themeColor="accent1" w:themeShade="BF"/>
      <w:spacing w:val="10"/>
    </w:rPr>
  </w:style>
  <w:style w:type="paragraph" w:styleId="Heading5">
    <w:name w:val="heading 5"/>
    <w:basedOn w:val="Normal"/>
    <w:next w:val="Normal"/>
    <w:link w:val="Heading5Char"/>
    <w:uiPriority w:val="9"/>
    <w:semiHidden/>
    <w:unhideWhenUsed/>
    <w:qFormat/>
    <w:rsid w:val="000E03A6"/>
    <w:pPr>
      <w:pBdr>
        <w:bottom w:val="single" w:sz="6" w:space="1" w:color="4A66AC" w:themeColor="accent1"/>
      </w:pBdr>
      <w:spacing w:before="200" w:after="0"/>
      <w:outlineLvl w:val="4"/>
    </w:pPr>
    <w:rPr>
      <w:caps/>
      <w:color w:val="374C80" w:themeColor="accent1" w:themeShade="BF"/>
      <w:spacing w:val="10"/>
    </w:rPr>
  </w:style>
  <w:style w:type="paragraph" w:styleId="Heading6">
    <w:name w:val="heading 6"/>
    <w:basedOn w:val="Normal"/>
    <w:next w:val="Normal"/>
    <w:link w:val="Heading6Char"/>
    <w:uiPriority w:val="9"/>
    <w:semiHidden/>
    <w:unhideWhenUsed/>
    <w:qFormat/>
    <w:rsid w:val="000E03A6"/>
    <w:pPr>
      <w:pBdr>
        <w:bottom w:val="dotted" w:sz="6" w:space="1" w:color="4A66AC" w:themeColor="accent1"/>
      </w:pBdr>
      <w:spacing w:before="200" w:after="0"/>
      <w:outlineLvl w:val="5"/>
    </w:pPr>
    <w:rPr>
      <w:caps/>
      <w:color w:val="374C80" w:themeColor="accent1" w:themeShade="BF"/>
      <w:spacing w:val="10"/>
    </w:rPr>
  </w:style>
  <w:style w:type="paragraph" w:styleId="Heading7">
    <w:name w:val="heading 7"/>
    <w:basedOn w:val="Normal"/>
    <w:next w:val="Normal"/>
    <w:link w:val="Heading7Char"/>
    <w:uiPriority w:val="9"/>
    <w:semiHidden/>
    <w:unhideWhenUsed/>
    <w:qFormat/>
    <w:rsid w:val="000E03A6"/>
    <w:pPr>
      <w:spacing w:before="200" w:after="0"/>
      <w:outlineLvl w:val="6"/>
    </w:pPr>
    <w:rPr>
      <w:caps/>
      <w:color w:val="374C80" w:themeColor="accent1" w:themeShade="BF"/>
      <w:spacing w:val="10"/>
    </w:rPr>
  </w:style>
  <w:style w:type="paragraph" w:styleId="Heading8">
    <w:name w:val="heading 8"/>
    <w:basedOn w:val="Normal"/>
    <w:next w:val="Normal"/>
    <w:link w:val="Heading8Char"/>
    <w:uiPriority w:val="9"/>
    <w:semiHidden/>
    <w:unhideWhenUsed/>
    <w:qFormat/>
    <w:rsid w:val="000E03A6"/>
    <w:pPr>
      <w:spacing w:before="200" w:after="0"/>
      <w:outlineLvl w:val="7"/>
    </w:pPr>
    <w:rPr>
      <w:caps/>
      <w:spacing w:val="10"/>
      <w:sz w:val="18"/>
      <w:szCs w:val="18"/>
    </w:rPr>
  </w:style>
  <w:style w:type="paragraph" w:styleId="Heading9">
    <w:name w:val="heading 9"/>
    <w:basedOn w:val="Normal"/>
    <w:next w:val="Normal"/>
    <w:link w:val="Heading9Char"/>
    <w:uiPriority w:val="9"/>
    <w:semiHidden/>
    <w:unhideWhenUsed/>
    <w:qFormat/>
    <w:rsid w:val="000E03A6"/>
    <w:pPr>
      <w:spacing w:before="200" w:after="0"/>
      <w:outlineLvl w:val="8"/>
    </w:pPr>
    <w:rPr>
      <w:i/>
      <w:iCs/>
      <w:caps/>
      <w:spacing w:val="10"/>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0E03A6"/>
    <w:rPr>
      <w:caps/>
      <w:color w:val="FFFFFF" w:themeColor="background1"/>
      <w:spacing w:val="15"/>
      <w:sz w:val="22"/>
      <w:szCs w:val="22"/>
      <w:shd w:val="clear" w:color="auto" w:fill="4A66AC" w:themeFill="accent1"/>
    </w:rPr>
  </w:style>
  <w:style w:type="paragraph" w:styleId="Header">
    <w:name w:val="header"/>
    <w:basedOn w:val="Normal"/>
    <w:link w:val="HeaderChar"/>
    <w:uiPriority w:val="99"/>
    <w:unhideWhenUsed/>
    <w:rsid w:val="00001F72"/>
    <w:pPr>
      <w:tabs>
        <w:tab w:val="center" w:pos="4680"/>
        <w:tab w:val="right" w:pos="9360"/>
      </w:tabs>
      <w:spacing w:after="0" w:line="240" w:lineRule="auto"/>
    </w:pPr>
  </w:style>
  <w:style w:type="character" w:customStyle="1" w:styleId="HeaderChar">
    <w:name w:val="Header Char"/>
    <w:basedOn w:val="DefaultParagraphFont"/>
    <w:link w:val="Header"/>
    <w:uiPriority w:val="99"/>
    <w:rsid w:val="00001F72"/>
  </w:style>
  <w:style w:type="paragraph" w:styleId="Footer">
    <w:name w:val="footer"/>
    <w:basedOn w:val="Normal"/>
    <w:link w:val="FooterChar"/>
    <w:uiPriority w:val="99"/>
    <w:unhideWhenUsed/>
    <w:rsid w:val="00001F72"/>
    <w:pPr>
      <w:tabs>
        <w:tab w:val="center" w:pos="4680"/>
        <w:tab w:val="right" w:pos="9360"/>
      </w:tabs>
      <w:spacing w:after="0" w:line="240" w:lineRule="auto"/>
    </w:pPr>
  </w:style>
  <w:style w:type="character" w:customStyle="1" w:styleId="FooterChar">
    <w:name w:val="Footer Char"/>
    <w:basedOn w:val="DefaultParagraphFont"/>
    <w:link w:val="Footer"/>
    <w:uiPriority w:val="99"/>
    <w:rsid w:val="00001F72"/>
  </w:style>
  <w:style w:type="character" w:customStyle="1" w:styleId="Heading2Char">
    <w:name w:val="Heading 2 Char"/>
    <w:basedOn w:val="DefaultParagraphFont"/>
    <w:link w:val="Heading2"/>
    <w:uiPriority w:val="9"/>
    <w:rsid w:val="000E03A6"/>
    <w:rPr>
      <w:caps/>
      <w:spacing w:val="15"/>
      <w:shd w:val="clear" w:color="auto" w:fill="D9DFEF" w:themeFill="accent1" w:themeFillTint="33"/>
    </w:rPr>
  </w:style>
  <w:style w:type="character" w:customStyle="1" w:styleId="Heading3Char">
    <w:name w:val="Heading 3 Char"/>
    <w:basedOn w:val="DefaultParagraphFont"/>
    <w:link w:val="Heading3"/>
    <w:uiPriority w:val="9"/>
    <w:rsid w:val="000E03A6"/>
    <w:rPr>
      <w:caps/>
      <w:color w:val="243255" w:themeColor="accent1" w:themeShade="7F"/>
      <w:spacing w:val="15"/>
    </w:rPr>
  </w:style>
  <w:style w:type="character" w:customStyle="1" w:styleId="Heading4Char">
    <w:name w:val="Heading 4 Char"/>
    <w:basedOn w:val="DefaultParagraphFont"/>
    <w:link w:val="Heading4"/>
    <w:uiPriority w:val="9"/>
    <w:rsid w:val="000E03A6"/>
    <w:rPr>
      <w:caps/>
      <w:color w:val="374C80" w:themeColor="accent1" w:themeShade="BF"/>
      <w:spacing w:val="10"/>
    </w:rPr>
  </w:style>
  <w:style w:type="character" w:customStyle="1" w:styleId="Heading5Char">
    <w:name w:val="Heading 5 Char"/>
    <w:basedOn w:val="DefaultParagraphFont"/>
    <w:link w:val="Heading5"/>
    <w:uiPriority w:val="9"/>
    <w:semiHidden/>
    <w:rsid w:val="000E03A6"/>
    <w:rPr>
      <w:caps/>
      <w:color w:val="374C80" w:themeColor="accent1" w:themeShade="BF"/>
      <w:spacing w:val="10"/>
    </w:rPr>
  </w:style>
  <w:style w:type="character" w:customStyle="1" w:styleId="Heading6Char">
    <w:name w:val="Heading 6 Char"/>
    <w:basedOn w:val="DefaultParagraphFont"/>
    <w:link w:val="Heading6"/>
    <w:uiPriority w:val="9"/>
    <w:semiHidden/>
    <w:rsid w:val="000E03A6"/>
    <w:rPr>
      <w:caps/>
      <w:color w:val="374C80" w:themeColor="accent1" w:themeShade="BF"/>
      <w:spacing w:val="10"/>
    </w:rPr>
  </w:style>
  <w:style w:type="character" w:customStyle="1" w:styleId="Heading7Char">
    <w:name w:val="Heading 7 Char"/>
    <w:basedOn w:val="DefaultParagraphFont"/>
    <w:link w:val="Heading7"/>
    <w:uiPriority w:val="9"/>
    <w:semiHidden/>
    <w:rsid w:val="000E03A6"/>
    <w:rPr>
      <w:caps/>
      <w:color w:val="374C80" w:themeColor="accent1" w:themeShade="BF"/>
      <w:spacing w:val="10"/>
    </w:rPr>
  </w:style>
  <w:style w:type="character" w:customStyle="1" w:styleId="Heading8Char">
    <w:name w:val="Heading 8 Char"/>
    <w:basedOn w:val="DefaultParagraphFont"/>
    <w:link w:val="Heading8"/>
    <w:uiPriority w:val="9"/>
    <w:semiHidden/>
    <w:rsid w:val="000E03A6"/>
    <w:rPr>
      <w:caps/>
      <w:spacing w:val="10"/>
      <w:sz w:val="18"/>
      <w:szCs w:val="18"/>
    </w:rPr>
  </w:style>
  <w:style w:type="character" w:customStyle="1" w:styleId="Heading9Char">
    <w:name w:val="Heading 9 Char"/>
    <w:basedOn w:val="DefaultParagraphFont"/>
    <w:link w:val="Heading9"/>
    <w:uiPriority w:val="9"/>
    <w:semiHidden/>
    <w:rsid w:val="000E03A6"/>
    <w:rPr>
      <w:i/>
      <w:iCs/>
      <w:caps/>
      <w:spacing w:val="10"/>
      <w:sz w:val="18"/>
      <w:szCs w:val="18"/>
    </w:rPr>
  </w:style>
  <w:style w:type="paragraph" w:styleId="Caption">
    <w:name w:val="caption"/>
    <w:basedOn w:val="Normal"/>
    <w:next w:val="Normal"/>
    <w:uiPriority w:val="35"/>
    <w:semiHidden/>
    <w:unhideWhenUsed/>
    <w:qFormat/>
    <w:rsid w:val="000E03A6"/>
    <w:rPr>
      <w:b/>
      <w:bCs/>
      <w:color w:val="374C80" w:themeColor="accent1" w:themeShade="BF"/>
      <w:sz w:val="16"/>
      <w:szCs w:val="16"/>
    </w:rPr>
  </w:style>
  <w:style w:type="paragraph" w:styleId="Title">
    <w:name w:val="Title"/>
    <w:basedOn w:val="Normal"/>
    <w:next w:val="Normal"/>
    <w:link w:val="TitleChar"/>
    <w:uiPriority w:val="10"/>
    <w:qFormat/>
    <w:rsid w:val="000E03A6"/>
    <w:pPr>
      <w:spacing w:before="0" w:after="0"/>
    </w:pPr>
    <w:rPr>
      <w:rFonts w:asciiTheme="majorHAnsi" w:eastAsiaTheme="majorEastAsia" w:hAnsiTheme="majorHAnsi" w:cstheme="majorBidi"/>
      <w:caps/>
      <w:color w:val="4A66AC" w:themeColor="accent1"/>
      <w:spacing w:val="10"/>
      <w:sz w:val="52"/>
      <w:szCs w:val="52"/>
    </w:rPr>
  </w:style>
  <w:style w:type="character" w:customStyle="1" w:styleId="TitleChar">
    <w:name w:val="Title Char"/>
    <w:basedOn w:val="DefaultParagraphFont"/>
    <w:link w:val="Title"/>
    <w:uiPriority w:val="10"/>
    <w:rsid w:val="000E03A6"/>
    <w:rPr>
      <w:rFonts w:asciiTheme="majorHAnsi" w:eastAsiaTheme="majorEastAsia" w:hAnsiTheme="majorHAnsi" w:cstheme="majorBidi"/>
      <w:caps/>
      <w:color w:val="4A66AC" w:themeColor="accent1"/>
      <w:spacing w:val="10"/>
      <w:sz w:val="52"/>
      <w:szCs w:val="52"/>
    </w:rPr>
  </w:style>
  <w:style w:type="paragraph" w:styleId="Subtitle">
    <w:name w:val="Subtitle"/>
    <w:basedOn w:val="Normal"/>
    <w:next w:val="Normal"/>
    <w:link w:val="SubtitleChar"/>
    <w:uiPriority w:val="11"/>
    <w:qFormat/>
    <w:rsid w:val="000E03A6"/>
    <w:pPr>
      <w:spacing w:before="0" w:after="500" w:line="240" w:lineRule="auto"/>
    </w:pPr>
    <w:rPr>
      <w:caps/>
      <w:color w:val="595959" w:themeColor="text1" w:themeTint="A6"/>
      <w:spacing w:val="10"/>
      <w:sz w:val="21"/>
      <w:szCs w:val="21"/>
    </w:rPr>
  </w:style>
  <w:style w:type="character" w:customStyle="1" w:styleId="SubtitleChar">
    <w:name w:val="Subtitle Char"/>
    <w:basedOn w:val="DefaultParagraphFont"/>
    <w:link w:val="Subtitle"/>
    <w:uiPriority w:val="11"/>
    <w:rsid w:val="000E03A6"/>
    <w:rPr>
      <w:caps/>
      <w:color w:val="595959" w:themeColor="text1" w:themeTint="A6"/>
      <w:spacing w:val="10"/>
      <w:sz w:val="21"/>
      <w:szCs w:val="21"/>
    </w:rPr>
  </w:style>
  <w:style w:type="character" w:styleId="Strong">
    <w:name w:val="Strong"/>
    <w:uiPriority w:val="22"/>
    <w:qFormat/>
    <w:rsid w:val="000E03A6"/>
    <w:rPr>
      <w:b/>
      <w:bCs/>
    </w:rPr>
  </w:style>
  <w:style w:type="character" w:styleId="Emphasis">
    <w:name w:val="Emphasis"/>
    <w:uiPriority w:val="20"/>
    <w:qFormat/>
    <w:rsid w:val="000E03A6"/>
    <w:rPr>
      <w:caps/>
      <w:color w:val="243255" w:themeColor="accent1" w:themeShade="7F"/>
      <w:spacing w:val="5"/>
    </w:rPr>
  </w:style>
  <w:style w:type="paragraph" w:styleId="NoSpacing">
    <w:name w:val="No Spacing"/>
    <w:link w:val="NoSpacingChar"/>
    <w:uiPriority w:val="1"/>
    <w:qFormat/>
    <w:rsid w:val="000E03A6"/>
    <w:pPr>
      <w:spacing w:after="0" w:line="240" w:lineRule="auto"/>
    </w:pPr>
  </w:style>
  <w:style w:type="paragraph" w:styleId="Quote">
    <w:name w:val="Quote"/>
    <w:basedOn w:val="Normal"/>
    <w:next w:val="Normal"/>
    <w:link w:val="QuoteChar"/>
    <w:uiPriority w:val="29"/>
    <w:qFormat/>
    <w:rsid w:val="000E03A6"/>
    <w:rPr>
      <w:i/>
      <w:iCs/>
      <w:sz w:val="24"/>
      <w:szCs w:val="24"/>
    </w:rPr>
  </w:style>
  <w:style w:type="character" w:customStyle="1" w:styleId="QuoteChar">
    <w:name w:val="Quote Char"/>
    <w:basedOn w:val="DefaultParagraphFont"/>
    <w:link w:val="Quote"/>
    <w:uiPriority w:val="29"/>
    <w:rsid w:val="000E03A6"/>
    <w:rPr>
      <w:i/>
      <w:iCs/>
      <w:sz w:val="24"/>
      <w:szCs w:val="24"/>
    </w:rPr>
  </w:style>
  <w:style w:type="paragraph" w:styleId="IntenseQuote">
    <w:name w:val="Intense Quote"/>
    <w:basedOn w:val="Normal"/>
    <w:next w:val="Normal"/>
    <w:link w:val="IntenseQuoteChar"/>
    <w:uiPriority w:val="30"/>
    <w:qFormat/>
    <w:rsid w:val="000E03A6"/>
    <w:pPr>
      <w:spacing w:before="240" w:after="240" w:line="240" w:lineRule="auto"/>
      <w:ind w:left="1080" w:right="1080"/>
      <w:jc w:val="center"/>
    </w:pPr>
    <w:rPr>
      <w:color w:val="4A66AC" w:themeColor="accent1"/>
      <w:sz w:val="24"/>
      <w:szCs w:val="24"/>
    </w:rPr>
  </w:style>
  <w:style w:type="character" w:customStyle="1" w:styleId="IntenseQuoteChar">
    <w:name w:val="Intense Quote Char"/>
    <w:basedOn w:val="DefaultParagraphFont"/>
    <w:link w:val="IntenseQuote"/>
    <w:uiPriority w:val="30"/>
    <w:rsid w:val="000E03A6"/>
    <w:rPr>
      <w:color w:val="4A66AC" w:themeColor="accent1"/>
      <w:sz w:val="24"/>
      <w:szCs w:val="24"/>
    </w:rPr>
  </w:style>
  <w:style w:type="character" w:styleId="SubtleEmphasis">
    <w:name w:val="Subtle Emphasis"/>
    <w:uiPriority w:val="19"/>
    <w:qFormat/>
    <w:rsid w:val="000E03A6"/>
    <w:rPr>
      <w:i/>
      <w:iCs/>
      <w:color w:val="243255" w:themeColor="accent1" w:themeShade="7F"/>
    </w:rPr>
  </w:style>
  <w:style w:type="character" w:styleId="IntenseEmphasis">
    <w:name w:val="Intense Emphasis"/>
    <w:uiPriority w:val="21"/>
    <w:qFormat/>
    <w:rsid w:val="000E03A6"/>
    <w:rPr>
      <w:b/>
      <w:bCs/>
      <w:caps/>
      <w:color w:val="243255" w:themeColor="accent1" w:themeShade="7F"/>
      <w:spacing w:val="10"/>
    </w:rPr>
  </w:style>
  <w:style w:type="character" w:styleId="SubtleReference">
    <w:name w:val="Subtle Reference"/>
    <w:uiPriority w:val="31"/>
    <w:qFormat/>
    <w:rsid w:val="000E03A6"/>
    <w:rPr>
      <w:b/>
      <w:bCs/>
      <w:color w:val="4A66AC" w:themeColor="accent1"/>
    </w:rPr>
  </w:style>
  <w:style w:type="character" w:styleId="IntenseReference">
    <w:name w:val="Intense Reference"/>
    <w:uiPriority w:val="32"/>
    <w:qFormat/>
    <w:rsid w:val="000E03A6"/>
    <w:rPr>
      <w:b/>
      <w:bCs/>
      <w:i/>
      <w:iCs/>
      <w:caps/>
      <w:color w:val="4A66AC" w:themeColor="accent1"/>
    </w:rPr>
  </w:style>
  <w:style w:type="character" w:styleId="BookTitle">
    <w:name w:val="Book Title"/>
    <w:uiPriority w:val="33"/>
    <w:qFormat/>
    <w:rsid w:val="000E03A6"/>
    <w:rPr>
      <w:b/>
      <w:bCs/>
      <w:i/>
      <w:iCs/>
      <w:spacing w:val="0"/>
    </w:rPr>
  </w:style>
  <w:style w:type="paragraph" w:styleId="TOCHeading">
    <w:name w:val="TOC Heading"/>
    <w:basedOn w:val="Heading1"/>
    <w:next w:val="Normal"/>
    <w:uiPriority w:val="39"/>
    <w:semiHidden/>
    <w:unhideWhenUsed/>
    <w:qFormat/>
    <w:rsid w:val="000E03A6"/>
    <w:pPr>
      <w:outlineLvl w:val="9"/>
    </w:pPr>
  </w:style>
  <w:style w:type="paragraph" w:styleId="ListParagraph">
    <w:name w:val="List Paragraph"/>
    <w:basedOn w:val="Normal"/>
    <w:link w:val="ListParagraphChar"/>
    <w:uiPriority w:val="34"/>
    <w:qFormat/>
    <w:rsid w:val="002444B6"/>
    <w:pPr>
      <w:ind w:left="720"/>
      <w:contextualSpacing/>
    </w:pPr>
  </w:style>
  <w:style w:type="character" w:customStyle="1" w:styleId="NoSpacingChar">
    <w:name w:val="No Spacing Char"/>
    <w:basedOn w:val="DefaultParagraphFont"/>
    <w:link w:val="NoSpacing"/>
    <w:uiPriority w:val="1"/>
    <w:rsid w:val="009D7B63"/>
  </w:style>
  <w:style w:type="character" w:styleId="CommentReference">
    <w:name w:val="annotation reference"/>
    <w:basedOn w:val="DefaultParagraphFont"/>
    <w:uiPriority w:val="99"/>
    <w:semiHidden/>
    <w:unhideWhenUsed/>
    <w:rsid w:val="00DD541A"/>
    <w:rPr>
      <w:sz w:val="16"/>
      <w:szCs w:val="16"/>
    </w:rPr>
  </w:style>
  <w:style w:type="paragraph" w:styleId="CommentText">
    <w:name w:val="annotation text"/>
    <w:basedOn w:val="Normal"/>
    <w:link w:val="CommentTextChar"/>
    <w:uiPriority w:val="99"/>
    <w:unhideWhenUsed/>
    <w:rsid w:val="00DD541A"/>
    <w:pPr>
      <w:spacing w:line="240" w:lineRule="auto"/>
    </w:pPr>
  </w:style>
  <w:style w:type="character" w:customStyle="1" w:styleId="CommentTextChar">
    <w:name w:val="Comment Text Char"/>
    <w:basedOn w:val="DefaultParagraphFont"/>
    <w:link w:val="CommentText"/>
    <w:uiPriority w:val="99"/>
    <w:rsid w:val="00DD541A"/>
    <w:rPr>
      <w:sz w:val="20"/>
      <w:szCs w:val="20"/>
    </w:rPr>
  </w:style>
  <w:style w:type="paragraph" w:styleId="CommentSubject">
    <w:name w:val="annotation subject"/>
    <w:basedOn w:val="CommentText"/>
    <w:next w:val="CommentText"/>
    <w:link w:val="CommentSubjectChar"/>
    <w:uiPriority w:val="99"/>
    <w:semiHidden/>
    <w:unhideWhenUsed/>
    <w:rsid w:val="00DD541A"/>
    <w:rPr>
      <w:b/>
      <w:bCs/>
    </w:rPr>
  </w:style>
  <w:style w:type="character" w:customStyle="1" w:styleId="CommentSubjectChar">
    <w:name w:val="Comment Subject Char"/>
    <w:basedOn w:val="CommentTextChar"/>
    <w:link w:val="CommentSubject"/>
    <w:uiPriority w:val="99"/>
    <w:semiHidden/>
    <w:rsid w:val="00DD541A"/>
    <w:rPr>
      <w:b/>
      <w:bCs/>
      <w:sz w:val="20"/>
      <w:szCs w:val="20"/>
    </w:rPr>
  </w:style>
  <w:style w:type="paragraph" w:styleId="BalloonText">
    <w:name w:val="Balloon Text"/>
    <w:basedOn w:val="Normal"/>
    <w:link w:val="BalloonTextChar"/>
    <w:uiPriority w:val="99"/>
    <w:semiHidden/>
    <w:unhideWhenUsed/>
    <w:rsid w:val="00DD541A"/>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DD541A"/>
    <w:rPr>
      <w:rFonts w:ascii="Segoe UI" w:hAnsi="Segoe UI" w:cs="Segoe UI"/>
      <w:sz w:val="18"/>
      <w:szCs w:val="18"/>
    </w:rPr>
  </w:style>
  <w:style w:type="paragraph" w:styleId="NormalWeb">
    <w:name w:val="Normal (Web)"/>
    <w:basedOn w:val="Normal"/>
    <w:uiPriority w:val="99"/>
    <w:semiHidden/>
    <w:unhideWhenUsed/>
    <w:rsid w:val="00B929EF"/>
    <w:pPr>
      <w:spacing w:beforeAutospacing="1" w:after="100" w:afterAutospacing="1" w:line="240" w:lineRule="auto"/>
    </w:pPr>
    <w:rPr>
      <w:rFonts w:ascii="Times New Roman" w:eastAsia="Times New Roman" w:hAnsi="Times New Roman" w:cs="Times New Roman"/>
      <w:sz w:val="24"/>
      <w:szCs w:val="24"/>
    </w:rPr>
  </w:style>
  <w:style w:type="paragraph" w:customStyle="1" w:styleId="ng-scope">
    <w:name w:val="ng-scope"/>
    <w:basedOn w:val="Normal"/>
    <w:rsid w:val="00B929EF"/>
    <w:pPr>
      <w:spacing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B929EF"/>
    <w:rPr>
      <w:color w:val="0000FF"/>
      <w:u w:val="single"/>
    </w:rPr>
  </w:style>
  <w:style w:type="paragraph" w:styleId="TOC2">
    <w:name w:val="toc 2"/>
    <w:basedOn w:val="Normal"/>
    <w:next w:val="Normal"/>
    <w:autoRedefine/>
    <w:uiPriority w:val="39"/>
    <w:unhideWhenUsed/>
    <w:rsid w:val="00AA36D1"/>
    <w:pPr>
      <w:spacing w:after="100"/>
      <w:ind w:left="220"/>
    </w:pPr>
    <w:rPr>
      <w:rFonts w:eastAsiaTheme="minorHAnsi"/>
    </w:rPr>
  </w:style>
  <w:style w:type="paragraph" w:styleId="TOC1">
    <w:name w:val="toc 1"/>
    <w:basedOn w:val="Normal"/>
    <w:next w:val="Normal"/>
    <w:autoRedefine/>
    <w:uiPriority w:val="39"/>
    <w:unhideWhenUsed/>
    <w:rsid w:val="00AA36D1"/>
    <w:pPr>
      <w:spacing w:after="100"/>
    </w:pPr>
  </w:style>
  <w:style w:type="paragraph" w:styleId="TOC3">
    <w:name w:val="toc 3"/>
    <w:basedOn w:val="Normal"/>
    <w:next w:val="Normal"/>
    <w:autoRedefine/>
    <w:uiPriority w:val="39"/>
    <w:unhideWhenUsed/>
    <w:rsid w:val="000E03A6"/>
    <w:pPr>
      <w:spacing w:after="100"/>
      <w:ind w:left="400"/>
    </w:pPr>
  </w:style>
  <w:style w:type="paragraph" w:styleId="FootnoteText">
    <w:name w:val="footnote text"/>
    <w:basedOn w:val="Normal"/>
    <w:link w:val="FootnoteTextChar"/>
    <w:uiPriority w:val="99"/>
    <w:semiHidden/>
    <w:unhideWhenUsed/>
    <w:rsid w:val="00DB3A36"/>
    <w:pPr>
      <w:spacing w:before="0" w:after="0" w:line="240" w:lineRule="auto"/>
    </w:pPr>
  </w:style>
  <w:style w:type="character" w:customStyle="1" w:styleId="FootnoteTextChar">
    <w:name w:val="Footnote Text Char"/>
    <w:basedOn w:val="DefaultParagraphFont"/>
    <w:link w:val="FootnoteText"/>
    <w:uiPriority w:val="99"/>
    <w:semiHidden/>
    <w:rsid w:val="00DB3A36"/>
  </w:style>
  <w:style w:type="character" w:styleId="FootnoteReference">
    <w:name w:val="footnote reference"/>
    <w:basedOn w:val="DefaultParagraphFont"/>
    <w:uiPriority w:val="99"/>
    <w:semiHidden/>
    <w:unhideWhenUsed/>
    <w:rsid w:val="00DB3A36"/>
    <w:rPr>
      <w:vertAlign w:val="superscript"/>
    </w:rPr>
  </w:style>
  <w:style w:type="character" w:styleId="UnresolvedMention">
    <w:name w:val="Unresolved Mention"/>
    <w:basedOn w:val="DefaultParagraphFont"/>
    <w:uiPriority w:val="99"/>
    <w:semiHidden/>
    <w:unhideWhenUsed/>
    <w:rsid w:val="00DB3A36"/>
    <w:rPr>
      <w:color w:val="605E5C"/>
      <w:shd w:val="clear" w:color="auto" w:fill="E1DFDD"/>
    </w:rPr>
  </w:style>
  <w:style w:type="paragraph" w:styleId="Revision">
    <w:name w:val="Revision"/>
    <w:hidden/>
    <w:uiPriority w:val="99"/>
    <w:semiHidden/>
    <w:rsid w:val="00064CE3"/>
    <w:pPr>
      <w:spacing w:before="0" w:after="0" w:line="240" w:lineRule="auto"/>
    </w:pPr>
  </w:style>
  <w:style w:type="character" w:customStyle="1" w:styleId="ListParagraphChar">
    <w:name w:val="List Paragraph Char"/>
    <w:basedOn w:val="DefaultParagraphFont"/>
    <w:link w:val="ListParagraph"/>
    <w:uiPriority w:val="34"/>
    <w:locked/>
    <w:rsid w:val="00D006A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1770181">
      <w:bodyDiv w:val="1"/>
      <w:marLeft w:val="0"/>
      <w:marRight w:val="0"/>
      <w:marTop w:val="0"/>
      <w:marBottom w:val="0"/>
      <w:divBdr>
        <w:top w:val="none" w:sz="0" w:space="0" w:color="auto"/>
        <w:left w:val="none" w:sz="0" w:space="0" w:color="auto"/>
        <w:bottom w:val="none" w:sz="0" w:space="0" w:color="auto"/>
        <w:right w:val="none" w:sz="0" w:space="0" w:color="auto"/>
      </w:divBdr>
    </w:div>
    <w:div w:id="458496446">
      <w:bodyDiv w:val="1"/>
      <w:marLeft w:val="0"/>
      <w:marRight w:val="0"/>
      <w:marTop w:val="0"/>
      <w:marBottom w:val="0"/>
      <w:divBdr>
        <w:top w:val="none" w:sz="0" w:space="0" w:color="auto"/>
        <w:left w:val="none" w:sz="0" w:space="0" w:color="auto"/>
        <w:bottom w:val="none" w:sz="0" w:space="0" w:color="auto"/>
        <w:right w:val="none" w:sz="0" w:space="0" w:color="auto"/>
      </w:divBdr>
    </w:div>
    <w:div w:id="530724714">
      <w:bodyDiv w:val="1"/>
      <w:marLeft w:val="0"/>
      <w:marRight w:val="0"/>
      <w:marTop w:val="0"/>
      <w:marBottom w:val="0"/>
      <w:divBdr>
        <w:top w:val="none" w:sz="0" w:space="0" w:color="auto"/>
        <w:left w:val="none" w:sz="0" w:space="0" w:color="auto"/>
        <w:bottom w:val="none" w:sz="0" w:space="0" w:color="auto"/>
        <w:right w:val="none" w:sz="0" w:space="0" w:color="auto"/>
      </w:divBdr>
    </w:div>
    <w:div w:id="533618576">
      <w:bodyDiv w:val="1"/>
      <w:marLeft w:val="0"/>
      <w:marRight w:val="0"/>
      <w:marTop w:val="0"/>
      <w:marBottom w:val="0"/>
      <w:divBdr>
        <w:top w:val="none" w:sz="0" w:space="0" w:color="auto"/>
        <w:left w:val="none" w:sz="0" w:space="0" w:color="auto"/>
        <w:bottom w:val="none" w:sz="0" w:space="0" w:color="auto"/>
        <w:right w:val="none" w:sz="0" w:space="0" w:color="auto"/>
      </w:divBdr>
    </w:div>
    <w:div w:id="603802072">
      <w:bodyDiv w:val="1"/>
      <w:marLeft w:val="0"/>
      <w:marRight w:val="0"/>
      <w:marTop w:val="0"/>
      <w:marBottom w:val="0"/>
      <w:divBdr>
        <w:top w:val="none" w:sz="0" w:space="0" w:color="auto"/>
        <w:left w:val="none" w:sz="0" w:space="0" w:color="auto"/>
        <w:bottom w:val="none" w:sz="0" w:space="0" w:color="auto"/>
        <w:right w:val="none" w:sz="0" w:space="0" w:color="auto"/>
      </w:divBdr>
    </w:div>
    <w:div w:id="859004746">
      <w:bodyDiv w:val="1"/>
      <w:marLeft w:val="0"/>
      <w:marRight w:val="0"/>
      <w:marTop w:val="0"/>
      <w:marBottom w:val="0"/>
      <w:divBdr>
        <w:top w:val="none" w:sz="0" w:space="0" w:color="auto"/>
        <w:left w:val="none" w:sz="0" w:space="0" w:color="auto"/>
        <w:bottom w:val="none" w:sz="0" w:space="0" w:color="auto"/>
        <w:right w:val="none" w:sz="0" w:space="0" w:color="auto"/>
      </w:divBdr>
    </w:div>
    <w:div w:id="1062296209">
      <w:bodyDiv w:val="1"/>
      <w:marLeft w:val="0"/>
      <w:marRight w:val="0"/>
      <w:marTop w:val="0"/>
      <w:marBottom w:val="0"/>
      <w:divBdr>
        <w:top w:val="none" w:sz="0" w:space="0" w:color="auto"/>
        <w:left w:val="none" w:sz="0" w:space="0" w:color="auto"/>
        <w:bottom w:val="none" w:sz="0" w:space="0" w:color="auto"/>
        <w:right w:val="none" w:sz="0" w:space="0" w:color="auto"/>
      </w:divBdr>
    </w:div>
    <w:div w:id="1205749775">
      <w:bodyDiv w:val="1"/>
      <w:marLeft w:val="0"/>
      <w:marRight w:val="0"/>
      <w:marTop w:val="0"/>
      <w:marBottom w:val="0"/>
      <w:divBdr>
        <w:top w:val="none" w:sz="0" w:space="0" w:color="auto"/>
        <w:left w:val="none" w:sz="0" w:space="0" w:color="auto"/>
        <w:bottom w:val="none" w:sz="0" w:space="0" w:color="auto"/>
        <w:right w:val="none" w:sz="0" w:space="0" w:color="auto"/>
      </w:divBdr>
    </w:div>
    <w:div w:id="1214345989">
      <w:bodyDiv w:val="1"/>
      <w:marLeft w:val="0"/>
      <w:marRight w:val="0"/>
      <w:marTop w:val="0"/>
      <w:marBottom w:val="0"/>
      <w:divBdr>
        <w:top w:val="none" w:sz="0" w:space="0" w:color="auto"/>
        <w:left w:val="none" w:sz="0" w:space="0" w:color="auto"/>
        <w:bottom w:val="none" w:sz="0" w:space="0" w:color="auto"/>
        <w:right w:val="none" w:sz="0" w:space="0" w:color="auto"/>
      </w:divBdr>
    </w:div>
    <w:div w:id="1263343391">
      <w:bodyDiv w:val="1"/>
      <w:marLeft w:val="0"/>
      <w:marRight w:val="0"/>
      <w:marTop w:val="0"/>
      <w:marBottom w:val="0"/>
      <w:divBdr>
        <w:top w:val="none" w:sz="0" w:space="0" w:color="auto"/>
        <w:left w:val="none" w:sz="0" w:space="0" w:color="auto"/>
        <w:bottom w:val="none" w:sz="0" w:space="0" w:color="auto"/>
        <w:right w:val="none" w:sz="0" w:space="0" w:color="auto"/>
      </w:divBdr>
    </w:div>
    <w:div w:id="1279216012">
      <w:bodyDiv w:val="1"/>
      <w:marLeft w:val="0"/>
      <w:marRight w:val="0"/>
      <w:marTop w:val="0"/>
      <w:marBottom w:val="0"/>
      <w:divBdr>
        <w:top w:val="none" w:sz="0" w:space="0" w:color="auto"/>
        <w:left w:val="none" w:sz="0" w:space="0" w:color="auto"/>
        <w:bottom w:val="none" w:sz="0" w:space="0" w:color="auto"/>
        <w:right w:val="none" w:sz="0" w:space="0" w:color="auto"/>
      </w:divBdr>
    </w:div>
    <w:div w:id="1529444337">
      <w:bodyDiv w:val="1"/>
      <w:marLeft w:val="0"/>
      <w:marRight w:val="0"/>
      <w:marTop w:val="0"/>
      <w:marBottom w:val="0"/>
      <w:divBdr>
        <w:top w:val="none" w:sz="0" w:space="0" w:color="auto"/>
        <w:left w:val="none" w:sz="0" w:space="0" w:color="auto"/>
        <w:bottom w:val="none" w:sz="0" w:space="0" w:color="auto"/>
        <w:right w:val="none" w:sz="0" w:space="0" w:color="auto"/>
      </w:divBdr>
    </w:div>
    <w:div w:id="212383761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customXml" Target="../customXml/item4.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_rels/footnotes.xml.rels><?xml version="1.0" encoding="UTF-8" standalone="yes"?>
<Relationships xmlns="http://schemas.openxmlformats.org/package/2006/relationships"><Relationship Id="rId1" Type="http://schemas.openxmlformats.org/officeDocument/2006/relationships/hyperlink" Target="https://data.unicef.org/topic/child-protection/child-marriage/"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Blue Warm">
      <a:dk1>
        <a:sysClr val="windowText" lastClr="000000"/>
      </a:dk1>
      <a:lt1>
        <a:sysClr val="window" lastClr="FFFFFF"/>
      </a:lt1>
      <a:dk2>
        <a:srgbClr val="242852"/>
      </a:dk2>
      <a:lt2>
        <a:srgbClr val="ACCBF9"/>
      </a:lt2>
      <a:accent1>
        <a:srgbClr val="4A66AC"/>
      </a:accent1>
      <a:accent2>
        <a:srgbClr val="629DD1"/>
      </a:accent2>
      <a:accent3>
        <a:srgbClr val="297FD5"/>
      </a:accent3>
      <a:accent4>
        <a:srgbClr val="7F8FA9"/>
      </a:accent4>
      <a:accent5>
        <a:srgbClr val="5AA2AE"/>
      </a:accent5>
      <a:accent6>
        <a:srgbClr val="9D90A0"/>
      </a:accent6>
      <a:hlink>
        <a:srgbClr val="9454C3"/>
      </a:hlink>
      <a:folHlink>
        <a:srgbClr val="3EBBF0"/>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0A2EFB0846309C4280BBEF2F95FCFF71" ma:contentTypeVersion="0" ma:contentTypeDescription="Create a new document." ma:contentTypeScope="" ma:versionID="4191732259f5f252909a37c27cd4b1dc">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362680D2-7931-40C8-9320-0F668F3802C4}">
  <ds:schemaRefs>
    <ds:schemaRef ds:uri="http://schemas.openxmlformats.org/officeDocument/2006/bibliography"/>
  </ds:schemaRefs>
</ds:datastoreItem>
</file>

<file path=customXml/itemProps2.xml><?xml version="1.0" encoding="utf-8"?>
<ds:datastoreItem xmlns:ds="http://schemas.openxmlformats.org/officeDocument/2006/customXml" ds:itemID="{8F8249BF-ED26-4A4D-8BEE-AA56722CBE99}"/>
</file>

<file path=customXml/itemProps3.xml><?xml version="1.0" encoding="utf-8"?>
<ds:datastoreItem xmlns:ds="http://schemas.openxmlformats.org/officeDocument/2006/customXml" ds:itemID="{A8FCC2BE-CD90-4EF8-899B-C101F74B8827}"/>
</file>

<file path=customXml/itemProps4.xml><?xml version="1.0" encoding="utf-8"?>
<ds:datastoreItem xmlns:ds="http://schemas.openxmlformats.org/officeDocument/2006/customXml" ds:itemID="{1052F696-9AFD-41F5-83F7-FC0128FA8F35}"/>
</file>

<file path=docProps/app.xml><?xml version="1.0" encoding="utf-8"?>
<Properties xmlns="http://schemas.openxmlformats.org/officeDocument/2006/extended-properties" xmlns:vt="http://schemas.openxmlformats.org/officeDocument/2006/docPropsVTypes">
  <Template>Normal.dotm</Template>
  <TotalTime>1</TotalTime>
  <Pages>9</Pages>
  <Words>2100</Words>
  <Characters>11970</Characters>
  <Application>Microsoft Office Word</Application>
  <DocSecurity>6</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UCLA</Company>
  <LinksUpToDate>false</LinksUpToDate>
  <CharactersWithSpaces>14042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Erin Bresnahan</dc:creator>
  <cp:keywords/>
  <dc:description/>
  <cp:lastModifiedBy>FLECHE Isabelle</cp:lastModifiedBy>
  <cp:revision>2</cp:revision>
  <dcterms:created xsi:type="dcterms:W3CDTF">2022-11-11T16:04:00Z</dcterms:created>
  <dcterms:modified xsi:type="dcterms:W3CDTF">2022-11-11T16:04:00Z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0x0101000A2EFB0846309C4280BBEF2F95FCFF71</vt:lpwstr>
  </property>
</Properties>
</file>