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7547E" w14:textId="7FF29A17" w:rsidR="002011CC" w:rsidRPr="00ED11AF" w:rsidRDefault="002011CC" w:rsidP="000A7293">
      <w:pPr>
        <w:pStyle w:val="Normal1"/>
        <w:jc w:val="center"/>
        <w:rPr>
          <w:bCs/>
          <w:smallCaps/>
        </w:rPr>
      </w:pPr>
      <w:bookmarkStart w:id="0" w:name="_GoBack"/>
      <w:bookmarkEnd w:id="0"/>
      <w:r w:rsidRPr="00ED11AF">
        <w:rPr>
          <w:rFonts w:ascii="Times New Roman" w:eastAsia="Times New Roman" w:hAnsi="Times New Roman" w:cs="Times New Roman"/>
          <w:b/>
          <w:bCs/>
          <w:smallCaps/>
          <w:color w:val="252525"/>
          <w:sz w:val="28"/>
          <w:szCs w:val="28"/>
          <w:highlight w:val="white"/>
          <w:u w:val="single"/>
        </w:rPr>
        <w:t>T</w:t>
      </w:r>
      <w:r w:rsidRPr="00ED11AF">
        <w:rPr>
          <w:rFonts w:ascii="Times New Roman" w:eastAsia="Times New Roman" w:hAnsi="Times New Roman" w:cs="Times New Roman"/>
          <w:b/>
          <w:bCs/>
          <w:smallCaps/>
          <w:color w:val="252525"/>
          <w:sz w:val="24"/>
          <w:szCs w:val="24"/>
          <w:highlight w:val="white"/>
          <w:u w:val="single"/>
        </w:rPr>
        <w:t xml:space="preserve">OBACCO </w:t>
      </w:r>
      <w:r w:rsidRPr="00ED11AF">
        <w:rPr>
          <w:rFonts w:ascii="Times New Roman" w:eastAsia="Times New Roman" w:hAnsi="Times New Roman" w:cs="Times New Roman"/>
          <w:b/>
          <w:bCs/>
          <w:smallCaps/>
          <w:color w:val="252525"/>
          <w:sz w:val="28"/>
          <w:szCs w:val="28"/>
          <w:highlight w:val="white"/>
          <w:u w:val="single"/>
        </w:rPr>
        <w:t>C</w:t>
      </w:r>
      <w:r w:rsidRPr="00ED11AF">
        <w:rPr>
          <w:rFonts w:ascii="Times New Roman" w:eastAsia="Times New Roman" w:hAnsi="Times New Roman" w:cs="Times New Roman"/>
          <w:b/>
          <w:bCs/>
          <w:smallCaps/>
          <w:color w:val="252525"/>
          <w:sz w:val="24"/>
          <w:szCs w:val="24"/>
          <w:highlight w:val="white"/>
          <w:u w:val="single"/>
        </w:rPr>
        <w:t>ONTROL</w:t>
      </w:r>
      <w:r w:rsidRPr="00ED11AF">
        <w:rPr>
          <w:rFonts w:ascii="Times New Roman" w:eastAsia="Times New Roman" w:hAnsi="Times New Roman" w:cs="Times New Roman"/>
          <w:b/>
          <w:bCs/>
          <w:smallCaps/>
          <w:color w:val="252525"/>
          <w:highlight w:val="white"/>
          <w:u w:val="single"/>
        </w:rPr>
        <w:t xml:space="preserve"> IN</w:t>
      </w:r>
      <w:r w:rsidRPr="00ED11AF">
        <w:rPr>
          <w:rFonts w:ascii="Times New Roman" w:eastAsia="Times New Roman" w:hAnsi="Times New Roman" w:cs="Times New Roman"/>
          <w:b/>
          <w:bCs/>
          <w:smallCaps/>
          <w:color w:val="252525"/>
          <w:sz w:val="28"/>
          <w:szCs w:val="28"/>
          <w:highlight w:val="white"/>
          <w:u w:val="single"/>
        </w:rPr>
        <w:t xml:space="preserve"> T</w:t>
      </w:r>
      <w:r w:rsidRPr="00ED11AF">
        <w:rPr>
          <w:rFonts w:ascii="Times New Roman" w:eastAsia="Times New Roman" w:hAnsi="Times New Roman" w:cs="Times New Roman"/>
          <w:b/>
          <w:bCs/>
          <w:smallCaps/>
          <w:color w:val="252525"/>
          <w:sz w:val="24"/>
          <w:szCs w:val="24"/>
          <w:highlight w:val="white"/>
          <w:u w:val="single"/>
        </w:rPr>
        <w:t>UNISIA</w:t>
      </w:r>
    </w:p>
    <w:p w14:paraId="17413ABF" w14:textId="77777777" w:rsidR="002011CC" w:rsidRDefault="002011CC" w:rsidP="00BA4EE4">
      <w:pPr>
        <w:pStyle w:val="Normal1"/>
        <w:jc w:val="center"/>
      </w:pPr>
    </w:p>
    <w:p w14:paraId="3C77641D" w14:textId="77777777" w:rsidR="002011CC" w:rsidRDefault="002011CC" w:rsidP="00BA4EE4">
      <w:pPr>
        <w:pStyle w:val="Normal1"/>
        <w:jc w:val="both"/>
      </w:pPr>
      <w:r>
        <w:rPr>
          <w:rFonts w:ascii="Times New Roman" w:eastAsia="Times New Roman" w:hAnsi="Times New Roman" w:cs="Times New Roman"/>
          <w:b/>
          <w:i/>
          <w:color w:val="252525"/>
          <w:sz w:val="24"/>
          <w:szCs w:val="24"/>
          <w:highlight w:val="white"/>
          <w:u w:val="single"/>
        </w:rPr>
        <w:t>Executive Summary</w:t>
      </w:r>
      <w:r>
        <w:rPr>
          <w:rFonts w:ascii="Times New Roman" w:eastAsia="Times New Roman" w:hAnsi="Times New Roman" w:cs="Times New Roman"/>
          <w:b/>
          <w:i/>
          <w:color w:val="252525"/>
          <w:sz w:val="24"/>
          <w:szCs w:val="24"/>
          <w:highlight w:val="white"/>
        </w:rPr>
        <w:t>:</w:t>
      </w:r>
    </w:p>
    <w:p w14:paraId="4B488540" w14:textId="77777777" w:rsidR="002011CC" w:rsidRDefault="002011CC" w:rsidP="00BA4EE4">
      <w:pPr>
        <w:pStyle w:val="Normal1"/>
        <w:jc w:val="both"/>
      </w:pPr>
    </w:p>
    <w:p w14:paraId="382CC47D" w14:textId="2EBDA4DE" w:rsidR="002011CC" w:rsidRDefault="002011CC" w:rsidP="00BA4EE4">
      <w:pPr>
        <w:pStyle w:val="Normal1"/>
        <w:spacing w:line="360" w:lineRule="auto"/>
        <w:jc w:val="both"/>
      </w:pPr>
      <w:r>
        <w:rPr>
          <w:rFonts w:ascii="Times New Roman" w:eastAsia="Times New Roman" w:hAnsi="Times New Roman" w:cs="Times New Roman"/>
          <w:i/>
          <w:color w:val="252525"/>
          <w:sz w:val="24"/>
          <w:szCs w:val="24"/>
          <w:highlight w:val="white"/>
        </w:rPr>
        <w:t xml:space="preserve">The tobacco epidemic is one of the most pressing public health issues throughout the world. According to the World Health Organization, of the one billion smokers globally, approximately six million people will die annually as a result of tobacco-related diseases. The two most important international treaties on this subject are the UN International Covenant on Economic, Social, and Cultural Rights (“ICESCR”) and the WHO Framework Convention on Tobacco Control (“FCTC”). With respect to tobacco control policy, Tunisia has progressively implemented measures to combat this tobacco epidemic–particularly through its 1998 enactment of </w:t>
      </w:r>
      <w:r>
        <w:rPr>
          <w:rFonts w:ascii="Times New Roman" w:eastAsia="Times New Roman" w:hAnsi="Times New Roman" w:cs="Times New Roman"/>
          <w:i/>
          <w:sz w:val="24"/>
          <w:szCs w:val="24"/>
        </w:rPr>
        <w:t xml:space="preserve">Law 98-17, “Relating to the Prevention of the Detrimental Effects of Tobacco” </w:t>
      </w:r>
      <w:r>
        <w:rPr>
          <w:rFonts w:ascii="Times New Roman" w:eastAsia="Times New Roman" w:hAnsi="Times New Roman" w:cs="Times New Roman"/>
          <w:i/>
          <w:color w:val="252525"/>
          <w:sz w:val="24"/>
          <w:szCs w:val="24"/>
          <w:highlight w:val="white"/>
        </w:rPr>
        <w:t>(“1998 Tobacco Control Law”). However, Tunisia must do more to address the very high smoking rate in its country, especially among men.</w:t>
      </w:r>
      <w:r>
        <w:rPr>
          <w:rFonts w:ascii="Times New Roman" w:eastAsia="Times New Roman" w:hAnsi="Times New Roman" w:cs="Times New Roman"/>
          <w:i/>
          <w:color w:val="252525"/>
          <w:sz w:val="24"/>
          <w:szCs w:val="24"/>
          <w:highlight w:val="white"/>
          <w:vertAlign w:val="superscript"/>
        </w:rPr>
        <w:footnoteReference w:id="1"/>
      </w:r>
      <w:r>
        <w:rPr>
          <w:rFonts w:ascii="Times New Roman" w:eastAsia="Times New Roman" w:hAnsi="Times New Roman" w:cs="Times New Roman"/>
          <w:i/>
          <w:color w:val="252525"/>
          <w:sz w:val="24"/>
          <w:szCs w:val="24"/>
          <w:highlight w:val="white"/>
        </w:rPr>
        <w:t xml:space="preserve"> In order to be in accordance with the FCTC, of which Tunisia is a party, Tunisia must improve upon–among others–the following areas of concern: (1) tobacco use among minors; (2) elimination of tobacco marketing; (3) enhancement of health warnings (including pictorial images on tobacco packaging); (4) protecting the public from secondhand smoke; (5) comprehensive tobacco product packaging regulations; and (6) raising existing excise tax rates on the retail price of cigarette packs. The strengths and weaknesses of Tunisia’s tobacco control policies are further elucidated below. </w:t>
      </w:r>
    </w:p>
    <w:p w14:paraId="287AB9E4" w14:textId="77777777" w:rsidR="002011CC" w:rsidRDefault="002011CC" w:rsidP="00BA4EE4">
      <w:pPr>
        <w:pStyle w:val="Normal1"/>
        <w:spacing w:line="360" w:lineRule="auto"/>
        <w:jc w:val="both"/>
      </w:pPr>
    </w:p>
    <w:p w14:paraId="073A2870" w14:textId="77777777" w:rsidR="002011CC" w:rsidRDefault="002011CC" w:rsidP="00BA4EE4">
      <w:pPr>
        <w:pStyle w:val="Normal1"/>
        <w:spacing w:line="360" w:lineRule="auto"/>
        <w:jc w:val="both"/>
      </w:pPr>
    </w:p>
    <w:p w14:paraId="5D2E0489" w14:textId="77777777" w:rsidR="002011CC" w:rsidRDefault="002011CC" w:rsidP="00BA4EE4">
      <w:pPr>
        <w:pStyle w:val="Normal1"/>
        <w:spacing w:line="360" w:lineRule="auto"/>
        <w:jc w:val="both"/>
      </w:pPr>
    </w:p>
    <w:p w14:paraId="5B105DD7" w14:textId="77777777" w:rsidR="00ED11AF" w:rsidRDefault="00ED11AF" w:rsidP="00BA4EE4">
      <w:pPr>
        <w:pStyle w:val="Normal1"/>
        <w:spacing w:line="360" w:lineRule="auto"/>
        <w:jc w:val="both"/>
      </w:pPr>
    </w:p>
    <w:p w14:paraId="1DECE01E" w14:textId="77777777" w:rsidR="00ED11AF" w:rsidRDefault="00ED11AF" w:rsidP="00BA4EE4">
      <w:pPr>
        <w:pStyle w:val="Normal1"/>
        <w:spacing w:line="360" w:lineRule="auto"/>
        <w:jc w:val="both"/>
      </w:pPr>
    </w:p>
    <w:p w14:paraId="235E9EAA" w14:textId="77777777" w:rsidR="00ED11AF" w:rsidRDefault="00ED11AF" w:rsidP="00BA4EE4">
      <w:pPr>
        <w:pStyle w:val="Normal1"/>
        <w:spacing w:line="360" w:lineRule="auto"/>
        <w:jc w:val="both"/>
      </w:pPr>
    </w:p>
    <w:p w14:paraId="7FF9A955" w14:textId="77777777" w:rsidR="00ED11AF" w:rsidRDefault="00ED11AF" w:rsidP="00BA4EE4">
      <w:pPr>
        <w:pStyle w:val="Normal1"/>
        <w:spacing w:line="360" w:lineRule="auto"/>
        <w:jc w:val="both"/>
      </w:pPr>
    </w:p>
    <w:p w14:paraId="27E23052" w14:textId="77777777" w:rsidR="00ED11AF" w:rsidRDefault="00ED11AF" w:rsidP="00BA4EE4">
      <w:pPr>
        <w:pStyle w:val="Normal1"/>
        <w:spacing w:line="360" w:lineRule="auto"/>
        <w:jc w:val="both"/>
      </w:pPr>
    </w:p>
    <w:p w14:paraId="512AD79D" w14:textId="77777777" w:rsidR="000A7293" w:rsidRDefault="000A7293" w:rsidP="00BA4EE4">
      <w:pPr>
        <w:pStyle w:val="Normal1"/>
        <w:spacing w:line="360" w:lineRule="auto"/>
        <w:jc w:val="both"/>
      </w:pPr>
    </w:p>
    <w:p w14:paraId="739E8563" w14:textId="77777777" w:rsidR="000A7293" w:rsidRDefault="000A7293" w:rsidP="00BA4EE4">
      <w:pPr>
        <w:pStyle w:val="Normal1"/>
        <w:spacing w:line="360" w:lineRule="auto"/>
        <w:jc w:val="both"/>
      </w:pPr>
    </w:p>
    <w:p w14:paraId="4970F048" w14:textId="77777777" w:rsidR="002011CC" w:rsidRDefault="002011CC" w:rsidP="00BA4EE4">
      <w:pPr>
        <w:pStyle w:val="Normal1"/>
        <w:spacing w:line="360" w:lineRule="auto"/>
        <w:jc w:val="both"/>
      </w:pPr>
    </w:p>
    <w:p w14:paraId="5DE94FD3" w14:textId="77777777" w:rsidR="002011CC" w:rsidRDefault="002011CC" w:rsidP="00BA4EE4">
      <w:pPr>
        <w:pStyle w:val="Normal1"/>
        <w:jc w:val="both"/>
      </w:pPr>
    </w:p>
    <w:p w14:paraId="5AA84B8F" w14:textId="77777777" w:rsidR="002011CC" w:rsidRDefault="002011CC" w:rsidP="00BA4EE4">
      <w:pPr>
        <w:pStyle w:val="Normal1"/>
        <w:jc w:val="center"/>
      </w:pPr>
      <w:r>
        <w:rPr>
          <w:rFonts w:ascii="Times New Roman" w:eastAsia="Times New Roman" w:hAnsi="Times New Roman" w:cs="Times New Roman"/>
          <w:b/>
          <w:color w:val="252525"/>
          <w:sz w:val="24"/>
          <w:szCs w:val="24"/>
          <w:highlight w:val="white"/>
          <w:u w:val="single"/>
        </w:rPr>
        <w:lastRenderedPageBreak/>
        <w:t>P</w:t>
      </w:r>
      <w:r>
        <w:rPr>
          <w:rFonts w:ascii="Times New Roman" w:eastAsia="Times New Roman" w:hAnsi="Times New Roman" w:cs="Times New Roman"/>
          <w:b/>
          <w:color w:val="252525"/>
          <w:highlight w:val="white"/>
          <w:u w:val="single"/>
        </w:rPr>
        <w:t>ART</w:t>
      </w:r>
      <w:r>
        <w:rPr>
          <w:rFonts w:ascii="Times New Roman" w:eastAsia="Times New Roman" w:hAnsi="Times New Roman" w:cs="Times New Roman"/>
          <w:b/>
          <w:color w:val="252525"/>
          <w:sz w:val="24"/>
          <w:szCs w:val="24"/>
          <w:highlight w:val="white"/>
          <w:u w:val="single"/>
        </w:rPr>
        <w:t xml:space="preserve"> I: ICESCR </w:t>
      </w:r>
      <w:r>
        <w:rPr>
          <w:rFonts w:ascii="Times New Roman" w:eastAsia="Times New Roman" w:hAnsi="Times New Roman" w:cs="Times New Roman"/>
          <w:b/>
          <w:color w:val="252525"/>
          <w:sz w:val="20"/>
          <w:szCs w:val="20"/>
          <w:highlight w:val="white"/>
          <w:u w:val="single"/>
        </w:rPr>
        <w:t xml:space="preserve">AND </w:t>
      </w:r>
      <w:r>
        <w:rPr>
          <w:rFonts w:ascii="Times New Roman" w:eastAsia="Times New Roman" w:hAnsi="Times New Roman" w:cs="Times New Roman"/>
          <w:b/>
          <w:color w:val="252525"/>
          <w:sz w:val="24"/>
          <w:szCs w:val="24"/>
          <w:highlight w:val="white"/>
          <w:u w:val="single"/>
        </w:rPr>
        <w:t>FCTC</w:t>
      </w:r>
    </w:p>
    <w:p w14:paraId="05679B19" w14:textId="77777777" w:rsidR="002011CC" w:rsidRDefault="002011CC" w:rsidP="00BA4EE4">
      <w:pPr>
        <w:pStyle w:val="Normal1"/>
        <w:jc w:val="center"/>
      </w:pPr>
    </w:p>
    <w:p w14:paraId="72B5C201" w14:textId="612C2EDB" w:rsidR="002011CC" w:rsidRDefault="002011CC" w:rsidP="00BA4EE4">
      <w:pPr>
        <w:pStyle w:val="Normal1"/>
        <w:spacing w:line="480" w:lineRule="auto"/>
        <w:ind w:firstLine="720"/>
        <w:jc w:val="both"/>
      </w:pPr>
      <w:r>
        <w:rPr>
          <w:rFonts w:ascii="Times New Roman" w:eastAsia="Times New Roman" w:hAnsi="Times New Roman" w:cs="Times New Roman"/>
          <w:sz w:val="24"/>
          <w:szCs w:val="24"/>
          <w:highlight w:val="white"/>
        </w:rPr>
        <w:t>“The right to the highest attainable standard of health,” implies both freedoms and entitlements, and includes within its purview concerns regarding tobacco use and abuse. The globalization of the tobacco epidemic has led to increased tobacco control worldwide, particularly with the aid of international legal instruments like the WHO Framework Convention on Tobacco Control (“FCTC”). The FCTC imposes tobacco control obligations on state parties with regard to: smoke-free environments, regulation of tobacco industry advertising and marketing, health warnings and access to information regarding tobacco-related health risks, taxes</w:t>
      </w:r>
      <w:r w:rsidR="00FA157D">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and other regulatory mechanisms to deter consumption of tobacco products</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The UN International Covenant on Economic, Social, and Cultural Rights (“ICESCR”), on the other hand, is a human rights treaty that highlights the important categorization of the </w:t>
      </w:r>
      <w:r>
        <w:rPr>
          <w:rFonts w:ascii="Times New Roman" w:eastAsia="Times New Roman" w:hAnsi="Times New Roman" w:cs="Times New Roman"/>
          <w:i/>
          <w:sz w:val="24"/>
          <w:szCs w:val="24"/>
          <w:highlight w:val="white"/>
        </w:rPr>
        <w:t>right to health</w:t>
      </w:r>
      <w:r>
        <w:rPr>
          <w:rFonts w:ascii="Times New Roman" w:eastAsia="Times New Roman" w:hAnsi="Times New Roman" w:cs="Times New Roman"/>
          <w:sz w:val="24"/>
          <w:szCs w:val="24"/>
          <w:highlight w:val="white"/>
        </w:rPr>
        <w:t xml:space="preserve"> as a fundamental human right. </w:t>
      </w:r>
    </w:p>
    <w:p w14:paraId="41E09BD8" w14:textId="59E6A03E" w:rsidR="002011CC" w:rsidRDefault="002011CC" w:rsidP="00BA4EE4">
      <w:pPr>
        <w:pStyle w:val="Normal1"/>
        <w:spacing w:line="480" w:lineRule="auto"/>
        <w:ind w:firstLine="720"/>
        <w:jc w:val="both"/>
      </w:pPr>
      <w:r>
        <w:rPr>
          <w:rFonts w:ascii="Times New Roman" w:eastAsia="Times New Roman" w:hAnsi="Times New Roman" w:cs="Times New Roman"/>
          <w:sz w:val="24"/>
          <w:szCs w:val="24"/>
          <w:highlight w:val="white"/>
        </w:rPr>
        <w:t>Together, these two international treaties, ICESCR and FCTC, form a tangible bond between tobacco control policy and the right to health as a human right. A country party to both of these instruments which does not uphold its obligations under the FCTC is simultaneously in violation of Article 12 of the ICESCR—namely a state party’s obligation to respect, protect, and fulfill the fu</w:t>
      </w:r>
      <w:r w:rsidR="00122992">
        <w:rPr>
          <w:rFonts w:ascii="Times New Roman" w:eastAsia="Times New Roman" w:hAnsi="Times New Roman" w:cs="Times New Roman"/>
          <w:sz w:val="24"/>
          <w:szCs w:val="24"/>
          <w:highlight w:val="white"/>
        </w:rPr>
        <w:t xml:space="preserve">ndamental right to health as a </w:t>
      </w:r>
      <w:r>
        <w:rPr>
          <w:rFonts w:ascii="Times New Roman" w:eastAsia="Times New Roman" w:hAnsi="Times New Roman" w:cs="Times New Roman"/>
          <w:sz w:val="24"/>
          <w:szCs w:val="24"/>
          <w:highlight w:val="white"/>
        </w:rPr>
        <w:t xml:space="preserve">human right.  Essentially, the ICESCR and FCTC are treaties whose rights and obligations are substantively coextensive. </w:t>
      </w:r>
    </w:p>
    <w:p w14:paraId="60C7947E" w14:textId="19275535" w:rsidR="002011CC" w:rsidRDefault="002011CC" w:rsidP="00BA4EE4">
      <w:pPr>
        <w:pStyle w:val="Normal1"/>
        <w:spacing w:line="480" w:lineRule="auto"/>
        <w:ind w:firstLine="720"/>
        <w:jc w:val="both"/>
      </w:pPr>
      <w:r>
        <w:rPr>
          <w:rFonts w:ascii="Times New Roman" w:eastAsia="Times New Roman" w:hAnsi="Times New Roman" w:cs="Times New Roman"/>
          <w:sz w:val="24"/>
          <w:szCs w:val="24"/>
          <w:highlight w:val="white"/>
        </w:rPr>
        <w:t xml:space="preserve">As a state party to both of these treaties, Tunisia has undertaken tobacco control initiatives, including </w:t>
      </w:r>
      <w:r>
        <w:rPr>
          <w:rFonts w:ascii="Times New Roman" w:eastAsia="Times New Roman" w:hAnsi="Times New Roman" w:cs="Times New Roman"/>
          <w:sz w:val="24"/>
          <w:szCs w:val="24"/>
        </w:rPr>
        <w:t>Law 98-17, “Relating to the Prevention of the Detrimental Effects of Tobacco” in 1998.</w:t>
      </w:r>
      <w:r>
        <w:rPr>
          <w:rFonts w:ascii="Times New Roman" w:eastAsia="Times New Roman" w:hAnsi="Times New Roman" w:cs="Times New Roman"/>
          <w:sz w:val="24"/>
          <w:szCs w:val="24"/>
          <w:highlight w:val="white"/>
        </w:rPr>
        <w:t xml:space="preserve">  However, more action is required on behalf of the Tunisian government in order to fully effectuate </w:t>
      </w:r>
      <w:r w:rsidR="00525C42">
        <w:rPr>
          <w:rFonts w:ascii="Times New Roman" w:eastAsia="Times New Roman" w:hAnsi="Times New Roman" w:cs="Times New Roman"/>
          <w:sz w:val="24"/>
          <w:szCs w:val="24"/>
          <w:highlight w:val="white"/>
        </w:rPr>
        <w:t xml:space="preserve">the right to health </w:t>
      </w:r>
      <w:r w:rsidR="00FA157D">
        <w:rPr>
          <w:rFonts w:ascii="Times New Roman" w:eastAsia="Times New Roman" w:hAnsi="Times New Roman" w:cs="Times New Roman"/>
          <w:sz w:val="24"/>
          <w:szCs w:val="24"/>
          <w:highlight w:val="white"/>
        </w:rPr>
        <w:t xml:space="preserve">pursuant to Article 12 of the </w:t>
      </w:r>
      <w:r>
        <w:rPr>
          <w:rFonts w:ascii="Times New Roman" w:eastAsia="Times New Roman" w:hAnsi="Times New Roman" w:cs="Times New Roman"/>
          <w:sz w:val="24"/>
          <w:szCs w:val="24"/>
          <w:highlight w:val="white"/>
        </w:rPr>
        <w:t>ICESCR and the corresponding tobacco control obligations under the FCTC.</w:t>
      </w:r>
    </w:p>
    <w:p w14:paraId="63989C9C" w14:textId="77777777" w:rsidR="002011CC" w:rsidRDefault="002011CC" w:rsidP="00BA4EE4">
      <w:pPr>
        <w:pStyle w:val="Normal1"/>
        <w:jc w:val="center"/>
      </w:pPr>
      <w:r>
        <w:rPr>
          <w:rFonts w:ascii="Times New Roman" w:eastAsia="Times New Roman" w:hAnsi="Times New Roman" w:cs="Times New Roman"/>
          <w:b/>
          <w:color w:val="252525"/>
          <w:sz w:val="24"/>
          <w:szCs w:val="24"/>
          <w:highlight w:val="white"/>
          <w:u w:val="single"/>
        </w:rPr>
        <w:lastRenderedPageBreak/>
        <w:t>P</w:t>
      </w:r>
      <w:r>
        <w:rPr>
          <w:rFonts w:ascii="Times New Roman" w:eastAsia="Times New Roman" w:hAnsi="Times New Roman" w:cs="Times New Roman"/>
          <w:b/>
          <w:color w:val="252525"/>
          <w:highlight w:val="white"/>
          <w:u w:val="single"/>
        </w:rPr>
        <w:t>ART</w:t>
      </w:r>
      <w:r>
        <w:rPr>
          <w:rFonts w:ascii="Times New Roman" w:eastAsia="Times New Roman" w:hAnsi="Times New Roman" w:cs="Times New Roman"/>
          <w:b/>
          <w:color w:val="252525"/>
          <w:sz w:val="24"/>
          <w:szCs w:val="24"/>
          <w:highlight w:val="white"/>
          <w:u w:val="single"/>
        </w:rPr>
        <w:t xml:space="preserve"> II: C</w:t>
      </w:r>
      <w:r>
        <w:rPr>
          <w:rFonts w:ascii="Times New Roman" w:eastAsia="Times New Roman" w:hAnsi="Times New Roman" w:cs="Times New Roman"/>
          <w:b/>
          <w:color w:val="252525"/>
          <w:highlight w:val="white"/>
          <w:u w:val="single"/>
        </w:rPr>
        <w:t>ALL</w:t>
      </w:r>
      <w:r>
        <w:rPr>
          <w:rFonts w:ascii="Times New Roman" w:eastAsia="Times New Roman" w:hAnsi="Times New Roman" w:cs="Times New Roman"/>
          <w:b/>
          <w:color w:val="252525"/>
          <w:sz w:val="24"/>
          <w:szCs w:val="24"/>
          <w:highlight w:val="white"/>
          <w:u w:val="single"/>
        </w:rPr>
        <w:t xml:space="preserve"> </w:t>
      </w:r>
      <w:r>
        <w:rPr>
          <w:rFonts w:ascii="Times New Roman" w:eastAsia="Times New Roman" w:hAnsi="Times New Roman" w:cs="Times New Roman"/>
          <w:b/>
          <w:color w:val="252525"/>
          <w:sz w:val="20"/>
          <w:szCs w:val="20"/>
          <w:highlight w:val="white"/>
          <w:u w:val="single"/>
        </w:rPr>
        <w:t>TO</w:t>
      </w:r>
      <w:r>
        <w:rPr>
          <w:rFonts w:ascii="Times New Roman" w:eastAsia="Times New Roman" w:hAnsi="Times New Roman" w:cs="Times New Roman"/>
          <w:b/>
          <w:color w:val="252525"/>
          <w:sz w:val="24"/>
          <w:szCs w:val="24"/>
          <w:highlight w:val="white"/>
          <w:u w:val="single"/>
        </w:rPr>
        <w:t xml:space="preserve"> A</w:t>
      </w:r>
      <w:r>
        <w:rPr>
          <w:rFonts w:ascii="Times New Roman" w:eastAsia="Times New Roman" w:hAnsi="Times New Roman" w:cs="Times New Roman"/>
          <w:b/>
          <w:color w:val="252525"/>
          <w:highlight w:val="white"/>
          <w:u w:val="single"/>
        </w:rPr>
        <w:t>CTION</w:t>
      </w:r>
    </w:p>
    <w:p w14:paraId="70BCE9A8" w14:textId="77777777" w:rsidR="002011CC" w:rsidRDefault="002011CC" w:rsidP="00BA4EE4">
      <w:pPr>
        <w:pStyle w:val="Normal1"/>
        <w:jc w:val="both"/>
      </w:pPr>
    </w:p>
    <w:p w14:paraId="1A5CBBD5" w14:textId="77777777" w:rsidR="002011CC" w:rsidRDefault="002011CC" w:rsidP="00BA4EE4">
      <w:pPr>
        <w:pStyle w:val="Normal1"/>
        <w:jc w:val="both"/>
      </w:pPr>
      <w:r>
        <w:rPr>
          <w:rFonts w:ascii="Times New Roman" w:eastAsia="Times New Roman" w:hAnsi="Times New Roman" w:cs="Times New Roman"/>
          <w:b/>
          <w:color w:val="252525"/>
          <w:sz w:val="24"/>
          <w:szCs w:val="24"/>
          <w:highlight w:val="white"/>
        </w:rPr>
        <w:t xml:space="preserve">A. </w:t>
      </w:r>
      <w:r>
        <w:rPr>
          <w:rFonts w:ascii="Times New Roman" w:eastAsia="Times New Roman" w:hAnsi="Times New Roman" w:cs="Times New Roman"/>
          <w:b/>
          <w:color w:val="252525"/>
          <w:sz w:val="24"/>
          <w:szCs w:val="24"/>
          <w:highlight w:val="white"/>
          <w:u w:val="single"/>
        </w:rPr>
        <w:t>Minors</w:t>
      </w:r>
    </w:p>
    <w:p w14:paraId="729EA022" w14:textId="77777777" w:rsidR="002011CC" w:rsidRDefault="002011CC" w:rsidP="00BA4EE4">
      <w:pPr>
        <w:pStyle w:val="Normal1"/>
        <w:jc w:val="both"/>
      </w:pPr>
    </w:p>
    <w:p w14:paraId="4A723CAD" w14:textId="776EF71A" w:rsidR="002011CC" w:rsidRDefault="002011CC" w:rsidP="00BA4EE4">
      <w:pPr>
        <w:pStyle w:val="Normal1"/>
        <w:spacing w:line="480" w:lineRule="auto"/>
        <w:ind w:firstLine="720"/>
        <w:jc w:val="both"/>
      </w:pPr>
      <w:r>
        <w:rPr>
          <w:rFonts w:ascii="Times New Roman" w:eastAsia="Times New Roman" w:hAnsi="Times New Roman" w:cs="Times New Roman"/>
          <w:color w:val="252525"/>
          <w:sz w:val="24"/>
          <w:szCs w:val="24"/>
          <w:highlight w:val="white"/>
        </w:rPr>
        <w:t>Despite tobacco-use being viewed as an adult centric activity, ninety percent of adult smokers worldwide begin smoking prior to age nineteen.</w:t>
      </w:r>
      <w:r>
        <w:rPr>
          <w:rFonts w:ascii="Times New Roman" w:eastAsia="Times New Roman" w:hAnsi="Times New Roman" w:cs="Times New Roman"/>
          <w:color w:val="252525"/>
          <w:sz w:val="24"/>
          <w:szCs w:val="24"/>
          <w:highlight w:val="white"/>
          <w:vertAlign w:val="superscript"/>
        </w:rPr>
        <w:footnoteReference w:id="2"/>
      </w:r>
      <w:r>
        <w:rPr>
          <w:rFonts w:ascii="Times New Roman" w:eastAsia="Times New Roman" w:hAnsi="Times New Roman" w:cs="Times New Roman"/>
          <w:color w:val="252525"/>
          <w:sz w:val="24"/>
          <w:szCs w:val="24"/>
          <w:highlight w:val="white"/>
        </w:rPr>
        <w:t xml:space="preserve"> Approximately 1.5 million packs of cigarettes are purchased by minors annually around the world.</w:t>
      </w:r>
      <w:r>
        <w:rPr>
          <w:rFonts w:ascii="Times New Roman" w:eastAsia="Times New Roman" w:hAnsi="Times New Roman" w:cs="Times New Roman"/>
          <w:color w:val="252525"/>
          <w:sz w:val="24"/>
          <w:szCs w:val="24"/>
          <w:highlight w:val="white"/>
          <w:vertAlign w:val="superscript"/>
        </w:rPr>
        <w:footnoteReference w:id="3"/>
      </w:r>
      <w:r>
        <w:rPr>
          <w:rFonts w:ascii="Times New Roman" w:eastAsia="Times New Roman" w:hAnsi="Times New Roman" w:cs="Times New Roman"/>
          <w:color w:val="252525"/>
          <w:sz w:val="24"/>
          <w:szCs w:val="24"/>
          <w:highlight w:val="white"/>
        </w:rPr>
        <w:t xml:space="preserve"> The addiction rate for smoking is higher than those for marijuana, cocaine,</w:t>
      </w:r>
      <w:r w:rsidR="00711061">
        <w:rPr>
          <w:rFonts w:ascii="Times New Roman" w:eastAsia="Times New Roman" w:hAnsi="Times New Roman" w:cs="Times New Roman"/>
          <w:color w:val="252525"/>
          <w:sz w:val="24"/>
          <w:szCs w:val="24"/>
          <w:highlight w:val="white"/>
        </w:rPr>
        <w:t xml:space="preserve"> and</w:t>
      </w:r>
      <w:r>
        <w:rPr>
          <w:rFonts w:ascii="Times New Roman" w:eastAsia="Times New Roman" w:hAnsi="Times New Roman" w:cs="Times New Roman"/>
          <w:color w:val="252525"/>
          <w:sz w:val="24"/>
          <w:szCs w:val="24"/>
          <w:highlight w:val="white"/>
        </w:rPr>
        <w:t xml:space="preserve"> alcohol. Further, teen smokers are more likely to get into fights,</w:t>
      </w:r>
      <w:r>
        <w:rPr>
          <w:rFonts w:ascii="Times New Roman" w:eastAsia="Times New Roman" w:hAnsi="Times New Roman" w:cs="Times New Roman"/>
          <w:color w:val="252525"/>
          <w:sz w:val="24"/>
          <w:szCs w:val="24"/>
          <w:highlight w:val="white"/>
          <w:vertAlign w:val="superscript"/>
        </w:rPr>
        <w:footnoteReference w:id="4"/>
      </w:r>
      <w:r>
        <w:rPr>
          <w:rFonts w:ascii="Times New Roman" w:eastAsia="Times New Roman" w:hAnsi="Times New Roman" w:cs="Times New Roman"/>
          <w:color w:val="252525"/>
          <w:sz w:val="24"/>
          <w:szCs w:val="24"/>
          <w:highlight w:val="white"/>
        </w:rPr>
        <w:t xml:space="preserve"> carry weapons, attempt suicide, indulge in high-risk sexual </w:t>
      </w:r>
      <w:r w:rsidR="00BA4EE4">
        <w:rPr>
          <w:rFonts w:ascii="Times New Roman" w:eastAsia="Times New Roman" w:hAnsi="Times New Roman" w:cs="Times New Roman"/>
          <w:color w:val="252525"/>
          <w:sz w:val="24"/>
          <w:szCs w:val="24"/>
          <w:highlight w:val="white"/>
        </w:rPr>
        <w:t>behaviors</w:t>
      </w:r>
      <w:r>
        <w:rPr>
          <w:rFonts w:ascii="Times New Roman" w:eastAsia="Times New Roman" w:hAnsi="Times New Roman" w:cs="Times New Roman"/>
          <w:color w:val="252525"/>
          <w:sz w:val="24"/>
          <w:szCs w:val="24"/>
          <w:highlight w:val="white"/>
        </w:rPr>
        <w:t>, and suffer from mental health issues like depression, panic attacks and anxiety disorders.</w:t>
      </w:r>
      <w:r>
        <w:rPr>
          <w:rFonts w:ascii="Times New Roman" w:eastAsia="Times New Roman" w:hAnsi="Times New Roman" w:cs="Times New Roman"/>
          <w:color w:val="252525"/>
          <w:sz w:val="24"/>
          <w:szCs w:val="24"/>
          <w:highlight w:val="white"/>
          <w:vertAlign w:val="superscript"/>
        </w:rPr>
        <w:footnoteReference w:id="5"/>
      </w:r>
      <w:r>
        <w:rPr>
          <w:rFonts w:ascii="Times New Roman" w:eastAsia="Times New Roman" w:hAnsi="Times New Roman" w:cs="Times New Roman"/>
          <w:color w:val="252525"/>
          <w:sz w:val="24"/>
          <w:szCs w:val="24"/>
          <w:highlight w:val="white"/>
        </w:rPr>
        <w:t xml:space="preserve"> Symptoms of addiction to tobacco show up as early as a few days or weeks after smoking begins.</w:t>
      </w:r>
      <w:r>
        <w:rPr>
          <w:rFonts w:ascii="Times New Roman" w:eastAsia="Times New Roman" w:hAnsi="Times New Roman" w:cs="Times New Roman"/>
          <w:color w:val="252525"/>
          <w:sz w:val="24"/>
          <w:szCs w:val="24"/>
          <w:highlight w:val="white"/>
          <w:vertAlign w:val="superscript"/>
        </w:rPr>
        <w:footnoteReference w:id="6"/>
      </w:r>
      <w:r>
        <w:rPr>
          <w:rFonts w:ascii="Times New Roman" w:eastAsia="Times New Roman" w:hAnsi="Times New Roman" w:cs="Times New Roman"/>
          <w:color w:val="252525"/>
          <w:sz w:val="24"/>
          <w:szCs w:val="24"/>
          <w:highlight w:val="white"/>
        </w:rPr>
        <w:t xml:space="preserve"> Since adolescence is such a critical stage for both the mental and physical development of an individual, it is imperative that legislation protect</w:t>
      </w:r>
      <w:r w:rsidR="00FA157D">
        <w:rPr>
          <w:rFonts w:ascii="Times New Roman" w:eastAsia="Times New Roman" w:hAnsi="Times New Roman" w:cs="Times New Roman"/>
          <w:color w:val="252525"/>
          <w:sz w:val="24"/>
          <w:szCs w:val="24"/>
          <w:highlight w:val="white"/>
        </w:rPr>
        <w:t>s</w:t>
      </w:r>
      <w:r>
        <w:rPr>
          <w:rFonts w:ascii="Times New Roman" w:eastAsia="Times New Roman" w:hAnsi="Times New Roman" w:cs="Times New Roman"/>
          <w:color w:val="252525"/>
          <w:sz w:val="24"/>
          <w:szCs w:val="24"/>
          <w:highlight w:val="white"/>
        </w:rPr>
        <w:t xml:space="preserve"> minors from tobacco use. This is the driving force behind States throughout the world establishing a minimum legal </w:t>
      </w:r>
      <w:r w:rsidR="00FA157D">
        <w:rPr>
          <w:rFonts w:ascii="Times New Roman" w:eastAsia="Times New Roman" w:hAnsi="Times New Roman" w:cs="Times New Roman"/>
          <w:color w:val="252525"/>
          <w:sz w:val="24"/>
          <w:szCs w:val="24"/>
          <w:highlight w:val="white"/>
        </w:rPr>
        <w:t xml:space="preserve">sale </w:t>
      </w:r>
      <w:r>
        <w:rPr>
          <w:rFonts w:ascii="Times New Roman" w:eastAsia="Times New Roman" w:hAnsi="Times New Roman" w:cs="Times New Roman"/>
          <w:color w:val="252525"/>
          <w:sz w:val="24"/>
          <w:szCs w:val="24"/>
          <w:highlight w:val="white"/>
        </w:rPr>
        <w:t>age</w:t>
      </w:r>
      <w:r w:rsidR="001D26C7">
        <w:rPr>
          <w:rFonts w:ascii="Times New Roman" w:eastAsia="Times New Roman" w:hAnsi="Times New Roman" w:cs="Times New Roman"/>
          <w:color w:val="252525"/>
          <w:sz w:val="24"/>
          <w:szCs w:val="24"/>
        </w:rPr>
        <w:t xml:space="preserve"> (MLSA)</w:t>
      </w:r>
      <w:r w:rsidR="00FA157D">
        <w:rPr>
          <w:rFonts w:ascii="Times New Roman" w:eastAsia="Times New Roman" w:hAnsi="Times New Roman" w:cs="Times New Roman"/>
          <w:color w:val="252525"/>
          <w:sz w:val="24"/>
          <w:szCs w:val="24"/>
        </w:rPr>
        <w:t xml:space="preserve"> for tobacco products</w:t>
      </w:r>
      <w:r>
        <w:rPr>
          <w:rFonts w:ascii="Times New Roman" w:eastAsia="Times New Roman" w:hAnsi="Times New Roman" w:cs="Times New Roman"/>
          <w:color w:val="252525"/>
          <w:sz w:val="24"/>
          <w:szCs w:val="24"/>
          <w:highlight w:val="white"/>
        </w:rPr>
        <w:t xml:space="preserve">. As per the National Tobacco Youth Survey Report, a shift from </w:t>
      </w:r>
      <w:r w:rsidR="00215BB6">
        <w:rPr>
          <w:rFonts w:ascii="Times New Roman" w:eastAsia="Times New Roman" w:hAnsi="Times New Roman" w:cs="Times New Roman"/>
          <w:color w:val="252525"/>
          <w:sz w:val="24"/>
          <w:szCs w:val="24"/>
          <w:highlight w:val="white"/>
        </w:rPr>
        <w:t>the globally accepted 18</w:t>
      </w:r>
      <w:r w:rsidR="00FA157D">
        <w:rPr>
          <w:rFonts w:ascii="Times New Roman" w:eastAsia="Times New Roman" w:hAnsi="Times New Roman" w:cs="Times New Roman"/>
          <w:color w:val="252525"/>
          <w:sz w:val="24"/>
          <w:szCs w:val="24"/>
          <w:highlight w:val="white"/>
        </w:rPr>
        <w:t xml:space="preserve"> </w:t>
      </w:r>
      <w:r>
        <w:rPr>
          <w:rFonts w:ascii="Times New Roman" w:eastAsia="Times New Roman" w:hAnsi="Times New Roman" w:cs="Times New Roman"/>
          <w:color w:val="252525"/>
          <w:sz w:val="24"/>
          <w:szCs w:val="24"/>
          <w:highlight w:val="white"/>
        </w:rPr>
        <w:t xml:space="preserve">year </w:t>
      </w:r>
      <w:proofErr w:type="gramStart"/>
      <w:r w:rsidR="001D26C7">
        <w:rPr>
          <w:rFonts w:ascii="Times New Roman" w:eastAsia="Times New Roman" w:hAnsi="Times New Roman" w:cs="Times New Roman"/>
          <w:color w:val="252525"/>
          <w:sz w:val="24"/>
          <w:szCs w:val="24"/>
          <w:highlight w:val="white"/>
        </w:rPr>
        <w:t>MLSA</w:t>
      </w:r>
      <w:r>
        <w:rPr>
          <w:rFonts w:ascii="Times New Roman" w:eastAsia="Times New Roman" w:hAnsi="Times New Roman" w:cs="Times New Roman"/>
          <w:color w:val="252525"/>
          <w:sz w:val="24"/>
          <w:szCs w:val="24"/>
          <w:highlight w:val="white"/>
        </w:rPr>
        <w:t>,</w:t>
      </w:r>
      <w:proofErr w:type="gramEnd"/>
      <w:r>
        <w:rPr>
          <w:rFonts w:ascii="Times New Roman" w:eastAsia="Times New Roman" w:hAnsi="Times New Roman" w:cs="Times New Roman"/>
          <w:color w:val="252525"/>
          <w:sz w:val="24"/>
          <w:szCs w:val="24"/>
          <w:highlight w:val="white"/>
        </w:rPr>
        <w:t xml:space="preserve"> is being made towards a 21 year </w:t>
      </w:r>
      <w:r w:rsidR="001D26C7">
        <w:rPr>
          <w:rFonts w:ascii="Times New Roman" w:eastAsia="Times New Roman" w:hAnsi="Times New Roman" w:cs="Times New Roman"/>
          <w:color w:val="252525"/>
          <w:sz w:val="24"/>
          <w:szCs w:val="24"/>
          <w:highlight w:val="white"/>
        </w:rPr>
        <w:t>MLSA</w:t>
      </w:r>
      <w:r>
        <w:rPr>
          <w:rFonts w:ascii="Times New Roman" w:eastAsia="Times New Roman" w:hAnsi="Times New Roman" w:cs="Times New Roman"/>
          <w:color w:val="252525"/>
          <w:sz w:val="24"/>
          <w:szCs w:val="24"/>
          <w:highlight w:val="white"/>
        </w:rPr>
        <w:t>,</w:t>
      </w:r>
      <w:r>
        <w:rPr>
          <w:rFonts w:ascii="Times New Roman" w:eastAsia="Times New Roman" w:hAnsi="Times New Roman" w:cs="Times New Roman"/>
          <w:color w:val="252525"/>
          <w:sz w:val="24"/>
          <w:szCs w:val="24"/>
          <w:highlight w:val="white"/>
          <w:vertAlign w:val="superscript"/>
        </w:rPr>
        <w:footnoteReference w:id="7"/>
      </w:r>
      <w:r>
        <w:rPr>
          <w:rFonts w:ascii="Times New Roman" w:eastAsia="Times New Roman" w:hAnsi="Times New Roman" w:cs="Times New Roman"/>
          <w:color w:val="252525"/>
          <w:sz w:val="24"/>
          <w:szCs w:val="24"/>
          <w:highlight w:val="white"/>
        </w:rPr>
        <w:t xml:space="preserve"> which is reflective of the same concerns. </w:t>
      </w:r>
    </w:p>
    <w:p w14:paraId="1B8E8A4C" w14:textId="770AA55E" w:rsidR="002011CC" w:rsidRDefault="002011CC" w:rsidP="00BA4EE4">
      <w:pPr>
        <w:pStyle w:val="Normal1"/>
        <w:spacing w:line="480" w:lineRule="auto"/>
        <w:ind w:firstLine="720"/>
        <w:jc w:val="both"/>
      </w:pPr>
      <w:r>
        <w:rPr>
          <w:rFonts w:ascii="Times New Roman" w:eastAsia="Times New Roman" w:hAnsi="Times New Roman" w:cs="Times New Roman"/>
          <w:color w:val="252525"/>
          <w:sz w:val="24"/>
          <w:szCs w:val="24"/>
          <w:highlight w:val="white"/>
        </w:rPr>
        <w:t xml:space="preserve">On the other hand, tobacco producing companies are well aware that it is easier to get an adolescent hooked on tobacco, as the President of Lorillard stated. “The base of our business is the high school student,” R.J. Reynolds said, “Younger adult smokers are the only source of replacement smokers, if younger adults turn away from smoking, the industry shuts.” These are </w:t>
      </w:r>
      <w:r>
        <w:rPr>
          <w:rFonts w:ascii="Times New Roman" w:eastAsia="Times New Roman" w:hAnsi="Times New Roman" w:cs="Times New Roman"/>
          <w:color w:val="252525"/>
          <w:sz w:val="24"/>
          <w:szCs w:val="24"/>
          <w:highlight w:val="white"/>
        </w:rPr>
        <w:lastRenderedPageBreak/>
        <w:t>the reasons behind marketing and advertising targeting the youth all over the world</w:t>
      </w:r>
      <w:r w:rsidR="00FA157D">
        <w:rPr>
          <w:rFonts w:ascii="Times New Roman" w:eastAsia="Times New Roman" w:hAnsi="Times New Roman" w:cs="Times New Roman"/>
          <w:color w:val="252525"/>
          <w:sz w:val="24"/>
          <w:szCs w:val="24"/>
          <w:highlight w:val="white"/>
        </w:rPr>
        <w:t>, including</w:t>
      </w:r>
      <w:r>
        <w:rPr>
          <w:rFonts w:ascii="Times New Roman" w:eastAsia="Times New Roman" w:hAnsi="Times New Roman" w:cs="Times New Roman"/>
          <w:color w:val="252525"/>
          <w:sz w:val="24"/>
          <w:szCs w:val="24"/>
          <w:highlight w:val="white"/>
        </w:rPr>
        <w:t xml:space="preserve"> in Tunisia. </w:t>
      </w:r>
    </w:p>
    <w:p w14:paraId="465C4A18" w14:textId="6664E4D2" w:rsidR="002011CC" w:rsidRDefault="002011CC" w:rsidP="00BA4EE4">
      <w:pPr>
        <w:pStyle w:val="Normal1"/>
        <w:spacing w:line="480" w:lineRule="auto"/>
        <w:ind w:firstLine="720"/>
        <w:jc w:val="both"/>
      </w:pPr>
      <w:r>
        <w:rPr>
          <w:rFonts w:ascii="Times New Roman" w:eastAsia="Times New Roman" w:hAnsi="Times New Roman" w:cs="Times New Roman"/>
          <w:color w:val="252525"/>
          <w:sz w:val="24"/>
          <w:szCs w:val="24"/>
          <w:highlight w:val="white"/>
        </w:rPr>
        <w:t>Unlike most countries, Tunisia’s 1998 Tobacco Control Law</w:t>
      </w:r>
      <w:r>
        <w:rPr>
          <w:rFonts w:ascii="Times New Roman" w:eastAsia="Times New Roman" w:hAnsi="Times New Roman" w:cs="Times New Roman"/>
          <w:color w:val="252525"/>
          <w:sz w:val="24"/>
          <w:szCs w:val="24"/>
          <w:highlight w:val="white"/>
          <w:vertAlign w:val="superscript"/>
        </w:rPr>
        <w:footnoteReference w:id="8"/>
      </w:r>
      <w:r>
        <w:rPr>
          <w:rFonts w:ascii="Times New Roman" w:eastAsia="Times New Roman" w:hAnsi="Times New Roman" w:cs="Times New Roman"/>
          <w:color w:val="252525"/>
          <w:sz w:val="24"/>
          <w:szCs w:val="24"/>
          <w:highlight w:val="white"/>
        </w:rPr>
        <w:t xml:space="preserve"> makes no mention of an age limit</w:t>
      </w:r>
      <w:r>
        <w:rPr>
          <w:rFonts w:ascii="Times New Roman" w:eastAsia="Times New Roman" w:hAnsi="Times New Roman" w:cs="Times New Roman"/>
          <w:color w:val="252525"/>
          <w:sz w:val="24"/>
          <w:szCs w:val="24"/>
          <w:highlight w:val="white"/>
          <w:vertAlign w:val="superscript"/>
        </w:rPr>
        <w:footnoteReference w:id="9"/>
      </w:r>
      <w:r>
        <w:rPr>
          <w:rFonts w:ascii="Times New Roman" w:eastAsia="Times New Roman" w:hAnsi="Times New Roman" w:cs="Times New Roman"/>
          <w:color w:val="252525"/>
          <w:sz w:val="24"/>
          <w:szCs w:val="24"/>
          <w:highlight w:val="white"/>
        </w:rPr>
        <w:t xml:space="preserve"> in the form of either a minimum </w:t>
      </w:r>
      <w:r w:rsidR="005A5BD4">
        <w:rPr>
          <w:rFonts w:ascii="Times New Roman" w:eastAsia="Times New Roman" w:hAnsi="Times New Roman" w:cs="Times New Roman"/>
          <w:color w:val="252525"/>
          <w:sz w:val="24"/>
          <w:szCs w:val="24"/>
          <w:highlight w:val="white"/>
        </w:rPr>
        <w:t>smoking</w:t>
      </w:r>
      <w:r>
        <w:rPr>
          <w:rFonts w:ascii="Times New Roman" w:eastAsia="Times New Roman" w:hAnsi="Times New Roman" w:cs="Times New Roman"/>
          <w:color w:val="252525"/>
          <w:sz w:val="24"/>
          <w:szCs w:val="24"/>
          <w:highlight w:val="white"/>
        </w:rPr>
        <w:t xml:space="preserve"> age (MSA) or a </w:t>
      </w:r>
      <w:r w:rsidR="001D26C7">
        <w:rPr>
          <w:rFonts w:ascii="Times New Roman" w:eastAsia="Times New Roman" w:hAnsi="Times New Roman" w:cs="Times New Roman"/>
          <w:color w:val="252525"/>
          <w:sz w:val="24"/>
          <w:szCs w:val="24"/>
          <w:highlight w:val="white"/>
        </w:rPr>
        <w:t>MLSA</w:t>
      </w:r>
      <w:r>
        <w:rPr>
          <w:rFonts w:ascii="Times New Roman" w:eastAsia="Times New Roman" w:hAnsi="Times New Roman" w:cs="Times New Roman"/>
          <w:color w:val="252525"/>
          <w:sz w:val="24"/>
          <w:szCs w:val="24"/>
          <w:highlight w:val="white"/>
        </w:rPr>
        <w:t>.</w:t>
      </w:r>
      <w:r>
        <w:rPr>
          <w:rFonts w:ascii="Times New Roman" w:eastAsia="Times New Roman" w:hAnsi="Times New Roman" w:cs="Times New Roman"/>
          <w:color w:val="252525"/>
          <w:sz w:val="24"/>
          <w:szCs w:val="24"/>
          <w:highlight w:val="white"/>
          <w:vertAlign w:val="superscript"/>
        </w:rPr>
        <w:footnoteReference w:id="10"/>
      </w:r>
      <w:r>
        <w:rPr>
          <w:rFonts w:ascii="Times New Roman" w:eastAsia="Times New Roman" w:hAnsi="Times New Roman" w:cs="Times New Roman"/>
          <w:color w:val="252525"/>
          <w:sz w:val="24"/>
          <w:szCs w:val="24"/>
          <w:highlight w:val="white"/>
        </w:rPr>
        <w:t xml:space="preserve"> </w:t>
      </w:r>
      <w:r w:rsidR="005A5BD4">
        <w:rPr>
          <w:rFonts w:ascii="Times New Roman" w:eastAsia="Times New Roman" w:hAnsi="Times New Roman" w:cs="Times New Roman"/>
          <w:color w:val="252525"/>
          <w:sz w:val="24"/>
          <w:szCs w:val="24"/>
          <w:highlight w:val="white"/>
        </w:rPr>
        <w:t>That being said, research suggests a minimum smoking age of 18 years</w:t>
      </w:r>
      <w:r w:rsidR="005A5BD4">
        <w:rPr>
          <w:rStyle w:val="FootnoteReference"/>
          <w:rFonts w:ascii="Times New Roman" w:eastAsia="Times New Roman" w:hAnsi="Times New Roman" w:cs="Times New Roman"/>
          <w:color w:val="252525"/>
          <w:sz w:val="24"/>
          <w:szCs w:val="24"/>
          <w:highlight w:val="white"/>
        </w:rPr>
        <w:footnoteReference w:id="11"/>
      </w:r>
      <w:r w:rsidR="005A5BD4">
        <w:rPr>
          <w:rFonts w:ascii="Times New Roman" w:eastAsia="Times New Roman" w:hAnsi="Times New Roman" w:cs="Times New Roman"/>
          <w:color w:val="252525"/>
          <w:sz w:val="24"/>
          <w:szCs w:val="24"/>
          <w:highlight w:val="white"/>
        </w:rPr>
        <w:t xml:space="preserve">, which is adhered to within the country. It is not known, however, if this is a legal codified standard or just a widely enforced and acceptable age in Tunisia. </w:t>
      </w:r>
    </w:p>
    <w:p w14:paraId="5D93554E" w14:textId="77777777" w:rsidR="002011CC" w:rsidRDefault="002011CC" w:rsidP="00BA4EE4">
      <w:pPr>
        <w:pStyle w:val="Normal1"/>
        <w:ind w:firstLine="720"/>
        <w:jc w:val="both"/>
      </w:pPr>
      <w:r>
        <w:rPr>
          <w:rFonts w:ascii="Times New Roman" w:eastAsia="Times New Roman" w:hAnsi="Times New Roman" w:cs="Times New Roman"/>
          <w:color w:val="252525"/>
          <w:sz w:val="24"/>
          <w:szCs w:val="24"/>
          <w:highlight w:val="white"/>
        </w:rPr>
        <w:t>We make the following recommendations:</w:t>
      </w:r>
    </w:p>
    <w:p w14:paraId="4460A70F" w14:textId="38D6A482" w:rsidR="002011CC" w:rsidRPr="00525C42" w:rsidRDefault="002011CC" w:rsidP="00525C42">
      <w:pPr>
        <w:pStyle w:val="Normal1"/>
        <w:numPr>
          <w:ilvl w:val="0"/>
          <w:numId w:val="8"/>
        </w:numPr>
        <w:ind w:hanging="360"/>
        <w:contextualSpacing/>
        <w:jc w:val="both"/>
        <w:rPr>
          <w:rFonts w:ascii="Times New Roman" w:eastAsia="Times New Roman" w:hAnsi="Times New Roman" w:cs="Times New Roman"/>
          <w:color w:val="252525"/>
          <w:sz w:val="24"/>
          <w:szCs w:val="24"/>
          <w:highlight w:val="white"/>
        </w:rPr>
      </w:pPr>
      <w:r>
        <w:rPr>
          <w:rFonts w:ascii="Times New Roman" w:eastAsia="Times New Roman" w:hAnsi="Times New Roman" w:cs="Times New Roman"/>
          <w:color w:val="252525"/>
          <w:sz w:val="24"/>
          <w:szCs w:val="24"/>
          <w:highlight w:val="white"/>
        </w:rPr>
        <w:t xml:space="preserve">Establish and enforce a minimum legal </w:t>
      </w:r>
      <w:r w:rsidR="001D26C7">
        <w:rPr>
          <w:rFonts w:ascii="Times New Roman" w:eastAsia="Times New Roman" w:hAnsi="Times New Roman" w:cs="Times New Roman"/>
          <w:color w:val="252525"/>
          <w:sz w:val="24"/>
          <w:szCs w:val="24"/>
          <w:highlight w:val="white"/>
        </w:rPr>
        <w:t xml:space="preserve">sale </w:t>
      </w:r>
      <w:r>
        <w:rPr>
          <w:rFonts w:ascii="Times New Roman" w:eastAsia="Times New Roman" w:hAnsi="Times New Roman" w:cs="Times New Roman"/>
          <w:color w:val="252525"/>
          <w:sz w:val="24"/>
          <w:szCs w:val="24"/>
          <w:highlight w:val="white"/>
        </w:rPr>
        <w:t>age of 21 years</w:t>
      </w:r>
      <w:r w:rsidR="00D004C7">
        <w:rPr>
          <w:rFonts w:ascii="Times New Roman" w:eastAsia="Times New Roman" w:hAnsi="Times New Roman" w:cs="Times New Roman"/>
          <w:color w:val="252525"/>
          <w:sz w:val="24"/>
          <w:szCs w:val="24"/>
          <w:highlight w:val="white"/>
        </w:rPr>
        <w:t>, including sales by minors</w:t>
      </w:r>
      <w:r w:rsidR="00B8415D">
        <w:rPr>
          <w:rFonts w:ascii="Times New Roman" w:eastAsia="Times New Roman" w:hAnsi="Times New Roman" w:cs="Times New Roman"/>
          <w:color w:val="252525"/>
          <w:sz w:val="24"/>
          <w:szCs w:val="24"/>
          <w:highlight w:val="white"/>
        </w:rPr>
        <w:t>.</w:t>
      </w:r>
      <w:r w:rsidR="00B8415D">
        <w:rPr>
          <w:rStyle w:val="FootnoteReference"/>
          <w:rFonts w:ascii="Times New Roman" w:eastAsia="Times New Roman" w:hAnsi="Times New Roman" w:cs="Times New Roman"/>
          <w:color w:val="252525"/>
          <w:sz w:val="24"/>
          <w:szCs w:val="24"/>
          <w:highlight w:val="white"/>
        </w:rPr>
        <w:footnoteReference w:id="12"/>
      </w:r>
      <w:r>
        <w:rPr>
          <w:rFonts w:ascii="Times New Roman" w:eastAsia="Times New Roman" w:hAnsi="Times New Roman" w:cs="Times New Roman"/>
          <w:color w:val="252525"/>
          <w:sz w:val="24"/>
          <w:szCs w:val="24"/>
          <w:highlight w:val="white"/>
        </w:rPr>
        <w:t xml:space="preserve"> </w:t>
      </w:r>
    </w:p>
    <w:p w14:paraId="4AF5BC7F" w14:textId="333E22EC" w:rsidR="002011CC" w:rsidRDefault="00D004C7" w:rsidP="00BA4EE4">
      <w:pPr>
        <w:pStyle w:val="Normal1"/>
        <w:numPr>
          <w:ilvl w:val="0"/>
          <w:numId w:val="8"/>
        </w:numPr>
        <w:ind w:hanging="360"/>
        <w:contextualSpacing/>
        <w:jc w:val="both"/>
        <w:rPr>
          <w:rFonts w:ascii="Times New Roman" w:eastAsia="Times New Roman" w:hAnsi="Times New Roman" w:cs="Times New Roman"/>
          <w:color w:val="252525"/>
          <w:sz w:val="24"/>
          <w:szCs w:val="24"/>
          <w:highlight w:val="white"/>
        </w:rPr>
      </w:pPr>
      <w:r>
        <w:rPr>
          <w:rFonts w:ascii="Times New Roman" w:eastAsia="Times New Roman" w:hAnsi="Times New Roman" w:cs="Times New Roman"/>
          <w:color w:val="252525"/>
          <w:sz w:val="24"/>
          <w:szCs w:val="24"/>
          <w:highlight w:val="white"/>
        </w:rPr>
        <w:t xml:space="preserve">Require that tobacco product retailers 1) post signage at the point of sale about the prohibition of sales to minors and 2) request appropriate evidence of having reached the full legal age. </w:t>
      </w:r>
    </w:p>
    <w:p w14:paraId="7A165D8A" w14:textId="77777777" w:rsidR="00ED11AF" w:rsidRDefault="00ED11AF" w:rsidP="00BA4EE4">
      <w:pPr>
        <w:pStyle w:val="Normal1"/>
        <w:jc w:val="both"/>
      </w:pPr>
    </w:p>
    <w:p w14:paraId="3B514859" w14:textId="77777777" w:rsidR="002011CC" w:rsidRDefault="002011CC" w:rsidP="00BA4EE4">
      <w:pPr>
        <w:pStyle w:val="Normal1"/>
        <w:jc w:val="both"/>
        <w:rPr>
          <w:rFonts w:ascii="Times New Roman" w:eastAsia="Times New Roman" w:hAnsi="Times New Roman" w:cs="Times New Roman"/>
          <w:b/>
          <w:color w:val="252525"/>
          <w:sz w:val="24"/>
          <w:szCs w:val="24"/>
          <w:u w:val="single"/>
        </w:rPr>
      </w:pPr>
      <w:r>
        <w:rPr>
          <w:rFonts w:ascii="Times New Roman" w:eastAsia="Times New Roman" w:hAnsi="Times New Roman" w:cs="Times New Roman"/>
          <w:b/>
          <w:color w:val="252525"/>
          <w:sz w:val="24"/>
          <w:szCs w:val="24"/>
          <w:highlight w:val="white"/>
        </w:rPr>
        <w:t xml:space="preserve">B. </w:t>
      </w:r>
      <w:r>
        <w:rPr>
          <w:rFonts w:ascii="Times New Roman" w:eastAsia="Times New Roman" w:hAnsi="Times New Roman" w:cs="Times New Roman"/>
          <w:b/>
          <w:color w:val="252525"/>
          <w:sz w:val="24"/>
          <w:szCs w:val="24"/>
          <w:highlight w:val="white"/>
          <w:u w:val="single"/>
        </w:rPr>
        <w:t>Marketing</w:t>
      </w:r>
    </w:p>
    <w:p w14:paraId="474B3EA6" w14:textId="77777777" w:rsidR="00FE7612" w:rsidRDefault="00FE7612" w:rsidP="00BA4EE4">
      <w:pPr>
        <w:pStyle w:val="Normal1"/>
        <w:jc w:val="both"/>
      </w:pPr>
    </w:p>
    <w:p w14:paraId="38514BF5" w14:textId="089165E8"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Eliminating tobacco product marketing is an essential measure to reduce tobacco consumption and to realize the right to health. In fact, the Committee on Economic, Social and Cultural Rights (CESCR) articulated in General Comment No. 14 that discouraging tobacco marketing is a part of a State's obligation to protect the right to health.</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Article 13 of FCTC requires state parties to undertake a comprehensive ban of all tobacco advertising, promotion and sponsorship (TAPS).</w:t>
      </w:r>
    </w:p>
    <w:p w14:paraId="21DBD6BD" w14:textId="123BCA06"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lastRenderedPageBreak/>
        <w:t>Tunisia has a comprehensive ban on TAPS regulated by its 1998 anti-tobacco law. TAPS is prohibited on radio, television, and posters, as well as through publications intended for the youth and through sport and cultural events sponsorships intended for minors. However, the law explicitly permits three exceptions to the prohibition: advertisement ins</w:t>
      </w:r>
      <w:r w:rsidR="00215BB6">
        <w:rPr>
          <w:rFonts w:ascii="Times New Roman" w:eastAsia="Times New Roman" w:hAnsi="Times New Roman" w:cs="Times New Roman"/>
          <w:sz w:val="24"/>
          <w:szCs w:val="24"/>
        </w:rPr>
        <w:t>ide tobacco shops, some sporting</w:t>
      </w:r>
      <w:r>
        <w:rPr>
          <w:rFonts w:ascii="Times New Roman" w:eastAsia="Times New Roman" w:hAnsi="Times New Roman" w:cs="Times New Roman"/>
          <w:sz w:val="24"/>
          <w:szCs w:val="24"/>
        </w:rPr>
        <w:t xml:space="preserve"> events reserved for engine vehicles, and written press not intended for minors.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The law also allows tobacco products to be visible and displayed at point of sale, as well as TAPS on the Internet.</w:t>
      </w:r>
      <w:r>
        <w:rPr>
          <w:rFonts w:ascii="Times New Roman" w:eastAsia="Times New Roman" w:hAnsi="Times New Roman" w:cs="Times New Roman"/>
          <w:sz w:val="24"/>
          <w:szCs w:val="24"/>
          <w:vertAlign w:val="superscript"/>
        </w:rPr>
        <w:footnoteReference w:id="15"/>
      </w:r>
    </w:p>
    <w:p w14:paraId="09C9D73F" w14:textId="427157AC"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Tunisia has a high tobacco consumption rate and high prevalence of chronic obstructive pulmonary disease (CORD), which represents a major public health problem in this region. Smoking cessation is an effective measure to inhibit the growth.</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In reaction to the health hazard imposed by tobacco use, Tunisia has made remarkable achievements by introducing regulations for smoking cessation services and decreasing the tobacco consumption rate compared with other countries in the region.</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However, allowing TAPS exceptions and ambiguity will decrease the regular smokers’ ability to quit smoking and will undermine the effectiveness of existing tobacco control measures. It is well documented that TAPS will increase consumption, glamorize tobacco use, reduce motivation to quit, and mislead consumers.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Moreover, tobacco companies continue to target youth with sophisticated marketing campaigns, because tobacco marketing is a strong </w:t>
      </w:r>
      <w:r>
        <w:rPr>
          <w:rFonts w:ascii="Times New Roman" w:eastAsia="Times New Roman" w:hAnsi="Times New Roman" w:cs="Times New Roman"/>
          <w:sz w:val="24"/>
          <w:szCs w:val="24"/>
        </w:rPr>
        <w:lastRenderedPageBreak/>
        <w:t>influence in encouraging adolescents to initiate the smoking.</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Both Tunisian adul</w:t>
      </w:r>
      <w:r w:rsidR="00FE7612">
        <w:rPr>
          <w:rFonts w:ascii="Times New Roman" w:eastAsia="Times New Roman" w:hAnsi="Times New Roman" w:cs="Times New Roman"/>
          <w:sz w:val="24"/>
          <w:szCs w:val="24"/>
        </w:rPr>
        <w:t xml:space="preserve">ts and adolescents are exposed </w:t>
      </w:r>
      <w:r>
        <w:rPr>
          <w:rFonts w:ascii="Times New Roman" w:eastAsia="Times New Roman" w:hAnsi="Times New Roman" w:cs="Times New Roman"/>
          <w:sz w:val="24"/>
          <w:szCs w:val="24"/>
        </w:rPr>
        <w:t>to the TAPS by virtue of the existing exceptions and ambiguity in law. This is especially concerning regarding the lack of TAPS regulation on the Internet. Tunisia has 4.82 million Internet users (43.8% of the population), which continue to increase.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Nowadays, the Internet is a primary source of information and entertainment for people, and the tobacco industry is increasingly using this medium to market and advertise tobacco products.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 antiquated tobacco control law fails to react to the dramatic increase of the Internet users to address the blast of TAPS on the Internet.</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Likewise, the tobacco industry has increasingly used tobacco product displays at the point of sale to market its products, precisely because tobacco product displays at the point of sale are not prohibited under current law.</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Tobacco product displays at the point of sale are an important means for the tobacco industry to advertise its products in order to normalize tobacco use, increase youth experimentation and initiation, and impede users to quit.</w:t>
      </w:r>
      <w:r>
        <w:rPr>
          <w:rFonts w:ascii="Times New Roman" w:eastAsia="Times New Roman" w:hAnsi="Times New Roman" w:cs="Times New Roman"/>
          <w:sz w:val="24"/>
          <w:szCs w:val="24"/>
          <w:vertAlign w:val="superscript"/>
        </w:rPr>
        <w:footnoteReference w:id="24"/>
      </w:r>
    </w:p>
    <w:p w14:paraId="777DF546" w14:textId="470F5EAF" w:rsidR="00FE7612" w:rsidRDefault="002011CC" w:rsidP="00ED11AF">
      <w:pPr>
        <w:pStyle w:val="Normal1"/>
        <w:spacing w:line="480" w:lineRule="auto"/>
        <w:ind w:firstLine="720"/>
        <w:jc w:val="both"/>
      </w:pPr>
      <w:r>
        <w:rPr>
          <w:rFonts w:ascii="Times New Roman" w:eastAsia="Times New Roman" w:hAnsi="Times New Roman" w:cs="Times New Roman"/>
          <w:sz w:val="24"/>
          <w:szCs w:val="24"/>
        </w:rPr>
        <w:t>FCTC Article 13 requires state parties to comprehensively ban all forms of TAPS.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corresponding FCTC Guideline recommends that “a comprehensive ban on TAPS should cover all advertising and promotion, as well as sponsorship, without exemption”.</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TAPS on the Internet should be covered in the comprehensive ban pursuant to the Guideline. According to the guideline,  “display and visibility of tobacco products at points of sale constitutes advertising and </w:t>
      </w:r>
      <w:r>
        <w:rPr>
          <w:rFonts w:ascii="Times New Roman" w:eastAsia="Times New Roman" w:hAnsi="Times New Roman" w:cs="Times New Roman"/>
          <w:sz w:val="24"/>
          <w:szCs w:val="24"/>
        </w:rPr>
        <w:lastRenderedPageBreak/>
        <w:t>promotion and should therefore be banned.”</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Therefore, in order to further comply with the FCTC and ICESCR and to realize citizens’ right to health, Tunisia should take appropriate measures to comprehensively ban all forms of TAPS, including those on the Internet and products displays at the point of sale without exception.</w:t>
      </w:r>
    </w:p>
    <w:p w14:paraId="3E364BFD" w14:textId="77777777" w:rsidR="00BA4EE4" w:rsidRDefault="002011CC" w:rsidP="00BA4EE4">
      <w:pPr>
        <w:pStyle w:val="Normal1"/>
        <w:jc w:val="both"/>
        <w:rPr>
          <w:rFonts w:ascii="Times New Roman" w:eastAsia="Times New Roman" w:hAnsi="Times New Roman" w:cs="Times New Roman"/>
          <w:b/>
          <w:color w:val="252525"/>
          <w:sz w:val="24"/>
          <w:szCs w:val="24"/>
          <w:u w:val="single"/>
        </w:rPr>
      </w:pPr>
      <w:r>
        <w:rPr>
          <w:rFonts w:ascii="Times New Roman" w:eastAsia="Times New Roman" w:hAnsi="Times New Roman" w:cs="Times New Roman"/>
          <w:b/>
          <w:color w:val="252525"/>
          <w:sz w:val="24"/>
          <w:szCs w:val="24"/>
          <w:highlight w:val="white"/>
        </w:rPr>
        <w:t xml:space="preserve">C. </w:t>
      </w:r>
      <w:r>
        <w:rPr>
          <w:rFonts w:ascii="Times New Roman" w:eastAsia="Times New Roman" w:hAnsi="Times New Roman" w:cs="Times New Roman"/>
          <w:b/>
          <w:color w:val="252525"/>
          <w:sz w:val="24"/>
          <w:szCs w:val="24"/>
          <w:highlight w:val="white"/>
          <w:u w:val="single"/>
        </w:rPr>
        <w:t>Secondhand Smoke</w:t>
      </w:r>
    </w:p>
    <w:p w14:paraId="440E0B5E" w14:textId="77777777" w:rsidR="002011CC" w:rsidRDefault="002011CC" w:rsidP="00BA4EE4">
      <w:pPr>
        <w:pStyle w:val="Normal1"/>
        <w:jc w:val="both"/>
      </w:pPr>
      <w:r>
        <w:rPr>
          <w:rFonts w:ascii="Times New Roman" w:eastAsia="Times New Roman" w:hAnsi="Times New Roman" w:cs="Times New Roman"/>
          <w:sz w:val="24"/>
          <w:szCs w:val="24"/>
        </w:rPr>
        <w:tab/>
      </w:r>
    </w:p>
    <w:p w14:paraId="69D6E28C" w14:textId="77777777" w:rsidR="002011CC" w:rsidRDefault="002011CC" w:rsidP="00BA4EE4">
      <w:pPr>
        <w:pStyle w:val="Normal1"/>
        <w:ind w:left="900" w:right="990"/>
        <w:jc w:val="both"/>
      </w:pPr>
      <w:r>
        <w:rPr>
          <w:rFonts w:ascii="Times New Roman" w:eastAsia="Times New Roman" w:hAnsi="Times New Roman" w:cs="Times New Roman"/>
          <w:i/>
          <w:sz w:val="24"/>
          <w:szCs w:val="24"/>
        </w:rPr>
        <w:t>The evidence is clear, there is no safe level of exposure to secondhand tobacco smoke. I urge all countries that have not yet done so to take this immediate and important step to protect the health of all by passing laws requiring all indoor workplaces and public places to be 100% smoke-free.</w:t>
      </w:r>
    </w:p>
    <w:p w14:paraId="73BE070C" w14:textId="77777777" w:rsidR="002011CC" w:rsidRDefault="002011CC" w:rsidP="00BA4EE4">
      <w:pPr>
        <w:pStyle w:val="Normal1"/>
        <w:ind w:left="720" w:firstLine="720"/>
      </w:pPr>
    </w:p>
    <w:p w14:paraId="5C2150AB" w14:textId="77777777" w:rsidR="002011CC" w:rsidRDefault="002011CC" w:rsidP="00BA4EE4">
      <w:pPr>
        <w:pStyle w:val="Normal1"/>
        <w:ind w:left="720" w:firstLine="720"/>
      </w:pPr>
      <w:r>
        <w:rPr>
          <w:rFonts w:ascii="Times New Roman" w:eastAsia="Times New Roman" w:hAnsi="Times New Roman" w:cs="Times New Roman"/>
          <w:sz w:val="24"/>
          <w:szCs w:val="24"/>
        </w:rPr>
        <w:t>— Dr. Margaret Chan, Director-General, World Health Organization</w:t>
      </w:r>
      <w:r>
        <w:rPr>
          <w:rFonts w:ascii="Times New Roman" w:eastAsia="Times New Roman" w:hAnsi="Times New Roman" w:cs="Times New Roman"/>
          <w:sz w:val="24"/>
          <w:szCs w:val="24"/>
          <w:vertAlign w:val="superscript"/>
        </w:rPr>
        <w:footnoteReference w:id="28"/>
      </w:r>
    </w:p>
    <w:p w14:paraId="05208CF6" w14:textId="77777777" w:rsidR="002011CC" w:rsidRDefault="002011CC" w:rsidP="00BA4EE4">
      <w:pPr>
        <w:pStyle w:val="Normal1"/>
        <w:jc w:val="both"/>
      </w:pPr>
    </w:p>
    <w:p w14:paraId="4CCC6EDE" w14:textId="77777777"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Every year, secondhand smoke causes over 600,000 premature deaths worldwide.</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Secondhand smoke is a major health risk that causes non-communicable diseases, including lung cancer, heart disease, and premature death.</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Children are especially affected and are at greater risk of sudden infant death syndrome (SIDs), respiratory diseases, middle ear infections, and asthma.</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14:paraId="59C608A6" w14:textId="11AC1A9E"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Tunisia prohibits smoking in certain public areas, which helps lessen the effects of secondhand smoke. In 1990, Tunisia passed an order prohibiting smoking on public transportation.</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Then in 1998, Tunisia passed Law 98-17, which forbids smoking in “areas designated for common use” and in areas designated for preparation of commercial food </w:t>
      </w:r>
      <w:r>
        <w:rPr>
          <w:rFonts w:ascii="Times New Roman" w:eastAsia="Times New Roman" w:hAnsi="Times New Roman" w:cs="Times New Roman"/>
          <w:sz w:val="24"/>
          <w:szCs w:val="24"/>
        </w:rPr>
        <w:lastRenderedPageBreak/>
        <w:t>products.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In regard to other areas, a 1998 ordinance stated that where smoking was not banned in public spaces, smokers must have separate designated areas.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A decree from 2009 specified which kinds of restaurants and tourist establishments would be protected from secondhand smoke; however this decree maintained separate smoking areas.</w:t>
      </w:r>
      <w:r>
        <w:rPr>
          <w:rFonts w:ascii="Times New Roman" w:eastAsia="Times New Roman" w:hAnsi="Times New Roman" w:cs="Times New Roman"/>
          <w:sz w:val="24"/>
          <w:szCs w:val="24"/>
          <w:vertAlign w:val="superscript"/>
        </w:rPr>
        <w:footnoteReference w:id="35"/>
      </w:r>
      <w:r w:rsidR="00B8415D">
        <w:rPr>
          <w:rFonts w:ascii="Times New Roman" w:eastAsia="Times New Roman" w:hAnsi="Times New Roman" w:cs="Times New Roman"/>
          <w:sz w:val="24"/>
          <w:szCs w:val="24"/>
        </w:rPr>
        <w:t>,</w:t>
      </w:r>
      <w:r w:rsidR="00B8415D">
        <w:rPr>
          <w:rStyle w:val="FootnoteReference"/>
          <w:rFonts w:ascii="Times New Roman" w:eastAsia="Times New Roman" w:hAnsi="Times New Roman" w:cs="Times New Roman"/>
          <w:sz w:val="24"/>
          <w:szCs w:val="24"/>
        </w:rPr>
        <w:footnoteReference w:id="36"/>
      </w:r>
      <w:r>
        <w:rPr>
          <w:rFonts w:ascii="Times New Roman" w:eastAsia="Times New Roman" w:hAnsi="Times New Roman" w:cs="Times New Roman"/>
          <w:sz w:val="24"/>
          <w:szCs w:val="24"/>
        </w:rPr>
        <w:t xml:space="preserve"> Therefore, while the most recent Tunisia law makes some strides against exposure to secondhand smoke, the country still allows for smoking in designated areas. </w:t>
      </w:r>
    </w:p>
    <w:p w14:paraId="1D46A585" w14:textId="77777777"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While Tunisia’s laws move in the positive direction for tobacco control, Tunisia should move forward for a full public smoking ban to be in full compliance with the FCTC and realize the full right to health. The FCTC Guidelines require a 100% smoke-free law.</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This is because scientific evidence has proven that the only effective way to protect the public from secondhand smoke is to fully ban all public smoking.</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Alternative approaches, such as designated smoking areas or separate ventilation, do not provide adequate health protection to the public.</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p>
    <w:p w14:paraId="3A48914B" w14:textId="77777777"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 xml:space="preserve">There have been some positive recent steps towards further tobacco control in Tunisia. In the spring of 2015, the Tunisian Office of Civil Aviation and Airports (OACA) began a campaign to raise awareness of the smoking ban in public spaces implemented in 1998. The Law, Articles 10 and 13 of the Law No. 17, protects against secondhand smoke in certain public </w:t>
      </w:r>
      <w:r>
        <w:rPr>
          <w:rFonts w:ascii="Times New Roman" w:eastAsia="Times New Roman" w:hAnsi="Times New Roman" w:cs="Times New Roman"/>
          <w:sz w:val="24"/>
          <w:szCs w:val="24"/>
        </w:rPr>
        <w:lastRenderedPageBreak/>
        <w:t>spaces, and OACA initiated the campaign to raise enforcement of the law throughout all Tunisian airports.</w:t>
      </w:r>
      <w:r>
        <w:rPr>
          <w:rFonts w:ascii="Times New Roman" w:eastAsia="Times New Roman" w:hAnsi="Times New Roman" w:cs="Times New Roman"/>
          <w:sz w:val="24"/>
          <w:szCs w:val="24"/>
          <w:vertAlign w:val="superscript"/>
        </w:rPr>
        <w:footnoteReference w:id="40"/>
      </w:r>
    </w:p>
    <w:p w14:paraId="0CFACA02" w14:textId="77777777"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Tunisian school children believe a smoke-free environment is important. Currently 3 in 5 students are exposed to secondhand smoke outside their home, and 4 in 5 students think smoking should be banned in public spaces.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Additionally, half of Tunisian school children live in homes where they are exposed to secondhand smoke regularly.</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To tackle the significant negative health effects of secondhand smoke, Tunisia should consider implementing further laws and regulations to deter its people from smoking, in addition to the laws against smoking in public areas and workplaces. </w:t>
      </w:r>
    </w:p>
    <w:p w14:paraId="0C246773" w14:textId="77777777" w:rsidR="002011CC" w:rsidRDefault="002011CC" w:rsidP="00BA4EE4">
      <w:pPr>
        <w:pStyle w:val="Normal1"/>
        <w:ind w:firstLine="720"/>
      </w:pPr>
      <w:r>
        <w:rPr>
          <w:rFonts w:ascii="Times New Roman" w:eastAsia="Times New Roman" w:hAnsi="Times New Roman" w:cs="Times New Roman"/>
          <w:sz w:val="24"/>
          <w:szCs w:val="24"/>
        </w:rPr>
        <w:t>Recommendations:</w:t>
      </w:r>
    </w:p>
    <w:p w14:paraId="6BA16D82" w14:textId="77777777" w:rsidR="002011CC" w:rsidRDefault="002011CC" w:rsidP="00BA4EE4">
      <w:pPr>
        <w:pStyle w:val="Normal1"/>
        <w:numPr>
          <w:ilvl w:val="0"/>
          <w:numId w:val="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Expand smoke free places to include more outdoor spaces and public spaces in accordance with the FCTC.</w:t>
      </w:r>
    </w:p>
    <w:p w14:paraId="2AF3000D" w14:textId="77777777" w:rsidR="002011CC" w:rsidRDefault="002011CC" w:rsidP="00BA4EE4">
      <w:pPr>
        <w:pStyle w:val="Normal1"/>
        <w:numPr>
          <w:ilvl w:val="0"/>
          <w:numId w:val="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Expand smoke free places in full; do not allow for designated smoking areas or ventilation systems.</w:t>
      </w:r>
    </w:p>
    <w:p w14:paraId="4755B4E2" w14:textId="77777777" w:rsidR="002011CC" w:rsidRDefault="002011CC" w:rsidP="00BA4EE4">
      <w:pPr>
        <w:pStyle w:val="Normal1"/>
        <w:numPr>
          <w:ilvl w:val="0"/>
          <w:numId w:val="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to educate the public about serious health risks of smoking and initiate other tobacco control measures in order to lessen the amount of children who are exposed to secondhand smoke in their homes.</w:t>
      </w:r>
    </w:p>
    <w:p w14:paraId="3E092ADA" w14:textId="77777777" w:rsidR="002011CC" w:rsidRDefault="002011CC" w:rsidP="00BA4EE4">
      <w:pPr>
        <w:pStyle w:val="Normal1"/>
        <w:jc w:val="both"/>
      </w:pPr>
    </w:p>
    <w:p w14:paraId="00BDC47E" w14:textId="77777777" w:rsidR="002011CC" w:rsidRDefault="002011CC" w:rsidP="00BA4EE4">
      <w:pPr>
        <w:pStyle w:val="Normal1"/>
        <w:spacing w:line="360" w:lineRule="auto"/>
        <w:jc w:val="both"/>
      </w:pPr>
      <w:r>
        <w:rPr>
          <w:rFonts w:ascii="Times New Roman" w:eastAsia="Times New Roman" w:hAnsi="Times New Roman" w:cs="Times New Roman"/>
          <w:b/>
          <w:sz w:val="24"/>
          <w:szCs w:val="24"/>
        </w:rPr>
        <w:t xml:space="preserve">D. </w:t>
      </w:r>
      <w:r>
        <w:rPr>
          <w:rFonts w:ascii="Times New Roman" w:eastAsia="Times New Roman" w:hAnsi="Times New Roman" w:cs="Times New Roman"/>
          <w:b/>
          <w:sz w:val="24"/>
          <w:szCs w:val="24"/>
          <w:u w:val="single"/>
        </w:rPr>
        <w:t>Graphic Health Warnings and Standardized Packaging</w:t>
      </w:r>
    </w:p>
    <w:p w14:paraId="0B27BA58" w14:textId="1FEB81AE"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Tunisian law currently requires that the following health warning appear on all tobacco product packaging: “Important Notice: Smoking damages your health.”</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Furthermore, tobacco control laws in Tunisia also require that tobacco product packaging display “average content of tar and nicotine”</w:t>
      </w:r>
      <w:r w:rsidR="00BA4E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 products.</w:t>
      </w:r>
      <w:r>
        <w:rPr>
          <w:rFonts w:ascii="Times New Roman" w:eastAsia="Times New Roman" w:hAnsi="Times New Roman" w:cs="Times New Roman"/>
          <w:sz w:val="24"/>
          <w:szCs w:val="24"/>
          <w:vertAlign w:val="superscript"/>
        </w:rPr>
        <w:footnoteReference w:id="44"/>
      </w:r>
      <w:r w:rsidR="00215BB6">
        <w:rPr>
          <w:rFonts w:ascii="Times New Roman" w:eastAsia="Times New Roman" w:hAnsi="Times New Roman" w:cs="Times New Roman"/>
          <w:sz w:val="24"/>
          <w:szCs w:val="24"/>
        </w:rPr>
        <w:t xml:space="preserve"> Notably, all of these health </w:t>
      </w:r>
      <w:r>
        <w:rPr>
          <w:rFonts w:ascii="Times New Roman" w:eastAsia="Times New Roman" w:hAnsi="Times New Roman" w:cs="Times New Roman"/>
          <w:sz w:val="24"/>
          <w:szCs w:val="24"/>
        </w:rPr>
        <w:t xml:space="preserve">warning requirements under Tunisian tobacco control legislation are merely </w:t>
      </w:r>
      <w:r>
        <w:rPr>
          <w:rFonts w:ascii="Times New Roman" w:eastAsia="Times New Roman" w:hAnsi="Times New Roman" w:cs="Times New Roman"/>
          <w:i/>
          <w:sz w:val="24"/>
          <w:szCs w:val="24"/>
        </w:rPr>
        <w:t>textual</w:t>
      </w:r>
      <w:r>
        <w:rPr>
          <w:rFonts w:ascii="Times New Roman" w:eastAsia="Times New Roman" w:hAnsi="Times New Roman" w:cs="Times New Roman"/>
          <w:sz w:val="24"/>
          <w:szCs w:val="24"/>
        </w:rPr>
        <w:t>, written in the national language of Arabic.</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w:t>
      </w:r>
    </w:p>
    <w:p w14:paraId="0E2467AA" w14:textId="765C0B12"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lastRenderedPageBreak/>
        <w:t>While textual warnings can potentially inform tobacco users of the risks associated with tobacco products, more is required on behalf of Tunisia with regard to this topic of packaging. The WHO recommends–pursuant to FCTC Article 11.1(b</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v)–that state parties employ pictorial (or graphic) health warnings on tobacco products. Graphic warnings depicting pictures of the health consequences of using tobacco have–according to the WHO–caused tobacco consumption rates to fall. Specifically, </w:t>
      </w:r>
      <w:r>
        <w:rPr>
          <w:rFonts w:ascii="Times New Roman" w:eastAsia="Times New Roman" w:hAnsi="Times New Roman" w:cs="Times New Roman"/>
          <w:sz w:val="24"/>
          <w:szCs w:val="24"/>
          <w:highlight w:val="white"/>
        </w:rPr>
        <w:t>empirical research conducted after the implementation of pictorial package warnings in Brazil, Canada, Singapore and Thailand concluded that pictorial warnings significantly increases an individual’s awareness of the harms of tobacco use.</w:t>
      </w:r>
      <w:r>
        <w:rPr>
          <w:rFonts w:ascii="Times New Roman" w:eastAsia="Times New Roman" w:hAnsi="Times New Roman" w:cs="Times New Roman"/>
          <w:sz w:val="24"/>
          <w:szCs w:val="24"/>
          <w:highlight w:val="white"/>
          <w:vertAlign w:val="superscript"/>
        </w:rPr>
        <w:footnoteReference w:id="46"/>
      </w:r>
      <w:r>
        <w:rPr>
          <w:rFonts w:ascii="Times New Roman" w:eastAsia="Times New Roman" w:hAnsi="Times New Roman" w:cs="Times New Roman"/>
          <w:sz w:val="24"/>
          <w:szCs w:val="24"/>
        </w:rPr>
        <w:t xml:space="preserve"> </w:t>
      </w:r>
    </w:p>
    <w:p w14:paraId="25A98B63" w14:textId="77777777"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But unfortunately, “</w:t>
      </w:r>
      <w:r>
        <w:rPr>
          <w:rFonts w:ascii="Times New Roman" w:eastAsia="Times New Roman" w:hAnsi="Times New Roman" w:cs="Times New Roman"/>
          <w:sz w:val="24"/>
          <w:szCs w:val="24"/>
          <w:highlight w:val="white"/>
        </w:rPr>
        <w:t>Only 42 countries, representing 19% of the world's population, meet the best practice for pictorial warnings, which includes the warnings in the local language and cover an average of at least half of the front and back of cigarette packs.” Legislators in Tunisia, in order to more fully implement effective tobacco control measures, must adopt laws aimed at requiring graphic health warning packaging on tobacco products. Such measures are particularly important because 20% of Tunisia’s population is illiterate.</w:t>
      </w:r>
      <w:r>
        <w:rPr>
          <w:rFonts w:ascii="Times New Roman" w:eastAsia="Times New Roman" w:hAnsi="Times New Roman" w:cs="Times New Roman"/>
          <w:sz w:val="24"/>
          <w:szCs w:val="24"/>
          <w:highlight w:val="white"/>
          <w:vertAlign w:val="superscript"/>
        </w:rPr>
        <w:footnoteReference w:id="47"/>
      </w:r>
      <w:r>
        <w:rPr>
          <w:rFonts w:ascii="Times New Roman" w:eastAsia="Times New Roman" w:hAnsi="Times New Roman" w:cs="Times New Roman"/>
          <w:sz w:val="24"/>
          <w:szCs w:val="24"/>
          <w:highlight w:val="white"/>
        </w:rPr>
        <w:t xml:space="preserve"> Thus, textual warnings are lost upon the underserved members of Tunisian society; graphic warnings are the only way to properly inform the general population of the serious health risks associated with consuming tobacco.</w:t>
      </w:r>
    </w:p>
    <w:p w14:paraId="74550DA5" w14:textId="77777777" w:rsidR="002011CC" w:rsidRDefault="002011CC" w:rsidP="00BA4EE4">
      <w:pPr>
        <w:pStyle w:val="Normal1"/>
        <w:spacing w:line="480" w:lineRule="auto"/>
        <w:ind w:firstLine="720"/>
        <w:jc w:val="both"/>
      </w:pPr>
      <w:r>
        <w:rPr>
          <w:rFonts w:ascii="Times New Roman" w:eastAsia="Times New Roman" w:hAnsi="Times New Roman" w:cs="Times New Roman"/>
          <w:sz w:val="24"/>
          <w:szCs w:val="24"/>
          <w:highlight w:val="white"/>
        </w:rPr>
        <w:t>Used in conjunction with graphic health warning labels, standardized packaging requirements have had the effect of substantially reducing smoking rates. Australia has been a pioneer and global leader on tobacco control</w:t>
      </w:r>
      <w:r>
        <w:rPr>
          <w:rFonts w:ascii="Times New Roman" w:eastAsia="Times New Roman" w:hAnsi="Times New Roman" w:cs="Times New Roman"/>
          <w:sz w:val="24"/>
          <w:szCs w:val="24"/>
        </w:rPr>
        <w:t xml:space="preserve">–especially with respect to tobacco packaging regulations. Data and tobacco statistics indicate that </w:t>
      </w:r>
      <w:r>
        <w:rPr>
          <w:rFonts w:ascii="Times New Roman" w:eastAsia="Times New Roman" w:hAnsi="Times New Roman" w:cs="Times New Roman"/>
          <w:sz w:val="24"/>
          <w:szCs w:val="24"/>
          <w:highlight w:val="white"/>
        </w:rPr>
        <w:t xml:space="preserve">Australian adult smoking prevalence fell by </w:t>
      </w:r>
      <w:r>
        <w:rPr>
          <w:rFonts w:ascii="Times New Roman" w:eastAsia="Times New Roman" w:hAnsi="Times New Roman" w:cs="Times New Roman"/>
          <w:sz w:val="24"/>
          <w:szCs w:val="24"/>
          <w:highlight w:val="white"/>
        </w:rPr>
        <w:lastRenderedPageBreak/>
        <w:t>15% within only a year of its standardized packaging law being enacted in December 2012.</w:t>
      </w:r>
      <w:r>
        <w:rPr>
          <w:rFonts w:ascii="Times New Roman" w:eastAsia="Times New Roman" w:hAnsi="Times New Roman" w:cs="Times New Roman"/>
          <w:sz w:val="24"/>
          <w:szCs w:val="24"/>
          <w:highlight w:val="white"/>
          <w:vertAlign w:val="superscript"/>
        </w:rPr>
        <w:footnoteReference w:id="48"/>
      </w:r>
      <w:r>
        <w:rPr>
          <w:rFonts w:ascii="Times New Roman" w:eastAsia="Times New Roman" w:hAnsi="Times New Roman" w:cs="Times New Roman"/>
          <w:sz w:val="24"/>
          <w:szCs w:val="24"/>
          <w:highlight w:val="white"/>
        </w:rPr>
        <w:t xml:space="preserve"> Accordingly, the Tunisian legislature, in addition to adopting graphic warning labels, should incorporate standardized packaging as a way to effectively deter tobacco consumption and properly inform consumers of the serious health risks of tobacco use. </w:t>
      </w:r>
    </w:p>
    <w:p w14:paraId="7DF96FBB" w14:textId="77777777" w:rsidR="00BA4EE4" w:rsidRDefault="00BA4EE4" w:rsidP="00BA4EE4">
      <w:pPr>
        <w:pStyle w:val="Normal1"/>
        <w:spacing w:line="480" w:lineRule="auto"/>
        <w:ind w:firstLine="720"/>
        <w:jc w:val="both"/>
      </w:pPr>
    </w:p>
    <w:p w14:paraId="65405A08" w14:textId="77777777" w:rsidR="002011CC" w:rsidRDefault="002011CC" w:rsidP="00BA4EE4">
      <w:pPr>
        <w:pStyle w:val="Normal1"/>
        <w:spacing w:line="360" w:lineRule="auto"/>
      </w:pPr>
      <w:r>
        <w:rPr>
          <w:rFonts w:ascii="Times New Roman" w:eastAsia="Times New Roman" w:hAnsi="Times New Roman" w:cs="Times New Roman"/>
          <w:b/>
          <w:sz w:val="24"/>
          <w:szCs w:val="24"/>
        </w:rPr>
        <w:t xml:space="preserve">E. </w:t>
      </w:r>
      <w:r>
        <w:rPr>
          <w:rFonts w:ascii="Times New Roman" w:eastAsia="Times New Roman" w:hAnsi="Times New Roman" w:cs="Times New Roman"/>
          <w:b/>
          <w:sz w:val="24"/>
          <w:szCs w:val="24"/>
          <w:u w:val="single"/>
        </w:rPr>
        <w:t>Taxation of Tobacco Products</w:t>
      </w:r>
    </w:p>
    <w:p w14:paraId="70CAE3E8" w14:textId="77777777" w:rsidR="002011CC" w:rsidRDefault="002011CC" w:rsidP="00BA4EE4">
      <w:pPr>
        <w:pStyle w:val="Normal1"/>
        <w:spacing w:line="480" w:lineRule="auto"/>
        <w:ind w:firstLine="720"/>
        <w:jc w:val="both"/>
      </w:pPr>
      <w:r>
        <w:rPr>
          <w:rFonts w:ascii="Times New Roman" w:eastAsia="Times New Roman" w:hAnsi="Times New Roman" w:cs="Times New Roman"/>
          <w:sz w:val="24"/>
          <w:szCs w:val="24"/>
        </w:rPr>
        <w:t xml:space="preserve">Taxing tobacco products is one of the most effective ways to deter consumption of tobacco, and it also provides the state with added revenue. The WHO acknowledges this important deterrence mechanism in stating that: </w:t>
      </w:r>
    </w:p>
    <w:p w14:paraId="329636EA" w14:textId="77777777" w:rsidR="002011CC" w:rsidRDefault="002011CC" w:rsidP="00BA4EE4">
      <w:pPr>
        <w:pStyle w:val="Normal1"/>
        <w:ind w:left="1080" w:right="1080"/>
        <w:jc w:val="both"/>
      </w:pPr>
      <w:r>
        <w:rPr>
          <w:rFonts w:ascii="Times New Roman" w:eastAsia="Times New Roman" w:hAnsi="Times New Roman" w:cs="Times New Roman"/>
          <w:sz w:val="24"/>
          <w:szCs w:val="24"/>
        </w:rPr>
        <w:t>Growing evidence clearly shows that as taxes on tobacco products increase, a significant number of premature deaths will be averted as youth are deterred from taking up tobacco use and adult users quit, leading to substantial reductions in the health and economic burden caused by tobacco use.</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w:t>
      </w:r>
    </w:p>
    <w:p w14:paraId="47C57DC2" w14:textId="77777777" w:rsidR="002011CC" w:rsidRDefault="002011CC" w:rsidP="00BA4EE4">
      <w:pPr>
        <w:pStyle w:val="Normal1"/>
        <w:ind w:left="1080" w:right="1080"/>
        <w:jc w:val="both"/>
      </w:pPr>
    </w:p>
    <w:p w14:paraId="7E7651A4" w14:textId="77777777" w:rsidR="002011CC" w:rsidRDefault="002011CC" w:rsidP="00BA4EE4">
      <w:pPr>
        <w:pStyle w:val="Normal1"/>
        <w:spacing w:line="480" w:lineRule="auto"/>
        <w:jc w:val="both"/>
      </w:pPr>
      <w:r>
        <w:rPr>
          <w:rFonts w:ascii="Times New Roman" w:eastAsia="Times New Roman" w:hAnsi="Times New Roman" w:cs="Times New Roman"/>
          <w:sz w:val="24"/>
          <w:szCs w:val="24"/>
        </w:rPr>
        <w:t>Currently, Tunisia has excise taxes that account for approximately 70% of the retail prices of cigarettes.</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This progressive tobacco control measure is only 5% below the WHO’s benchmark for excise tax as a percentage of cigarette price.</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Similar to the aforementioned labeling and packaging issues, state parties to FCTC recognize (through the ratification of the treaty) that: “[p]rice and tax measures are an effective and important means of reducing tobacco consumption by various segments of the population, in particular young persons.”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Specifically, the WHO highlights the effectiveness of raising excise tax rates in stating that: </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On average, a 10 percent </w:t>
      </w:r>
      <w:r>
        <w:rPr>
          <w:rFonts w:ascii="Times New Roman" w:eastAsia="Times New Roman" w:hAnsi="Times New Roman" w:cs="Times New Roman"/>
          <w:sz w:val="24"/>
          <w:szCs w:val="24"/>
        </w:rPr>
        <w:lastRenderedPageBreak/>
        <w:t>price increase on a pack of cigarettes would be expected to reduce demand for cigarettes by about 4 percent in high-income countries and by about 8 percent in low- and middle-income countries."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w:t>
      </w:r>
    </w:p>
    <w:p w14:paraId="1C26FC70" w14:textId="132B381F" w:rsidR="002011CC" w:rsidRDefault="00DA66C2" w:rsidP="00BA4EE4">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2011CC">
        <w:rPr>
          <w:rFonts w:ascii="Times New Roman" w:eastAsia="Times New Roman" w:hAnsi="Times New Roman" w:cs="Times New Roman"/>
          <w:sz w:val="24"/>
          <w:szCs w:val="24"/>
        </w:rPr>
        <w:t>hile Tunisia does currently have excise taxes on cigarettes, more progress in this area is required because the current excise tax is not effectively deterring tobacco consumption rates–with 45% of men smoking tobacco daily in Tunisia.</w:t>
      </w:r>
      <w:r w:rsidR="002011CC">
        <w:rPr>
          <w:rFonts w:ascii="Times New Roman" w:eastAsia="Times New Roman" w:hAnsi="Times New Roman" w:cs="Times New Roman"/>
          <w:sz w:val="24"/>
          <w:szCs w:val="24"/>
          <w:vertAlign w:val="superscript"/>
        </w:rPr>
        <w:footnoteReference w:id="54"/>
      </w:r>
      <w:r w:rsidR="002011CC">
        <w:rPr>
          <w:rFonts w:ascii="Times New Roman" w:eastAsia="Times New Roman" w:hAnsi="Times New Roman" w:cs="Times New Roman"/>
          <w:sz w:val="24"/>
          <w:szCs w:val="24"/>
        </w:rPr>
        <w:t xml:space="preserve"> Because the cost of a pack of Marlboro cigarettes is about the same price (approximately $2.73) as a gallon of milk (approx</w:t>
      </w:r>
      <w:r>
        <w:rPr>
          <w:rFonts w:ascii="Times New Roman" w:eastAsia="Times New Roman" w:hAnsi="Times New Roman" w:cs="Times New Roman"/>
          <w:sz w:val="24"/>
          <w:szCs w:val="24"/>
        </w:rPr>
        <w:t>imately</w:t>
      </w:r>
      <w:r w:rsidR="002011CC">
        <w:rPr>
          <w:rFonts w:ascii="Times New Roman" w:eastAsia="Times New Roman" w:hAnsi="Times New Roman" w:cs="Times New Roman"/>
          <w:sz w:val="24"/>
          <w:szCs w:val="24"/>
        </w:rPr>
        <w:t xml:space="preserve"> $2.11) in Tunisia, even the WHO 75% excise tax benchmark may not be enough in deterring consumers from purchasing tobacco products.</w:t>
      </w:r>
      <w:r w:rsidR="002011CC">
        <w:rPr>
          <w:rFonts w:ascii="Times New Roman" w:eastAsia="Times New Roman" w:hAnsi="Times New Roman" w:cs="Times New Roman"/>
          <w:sz w:val="24"/>
          <w:szCs w:val="24"/>
          <w:vertAlign w:val="superscript"/>
        </w:rPr>
        <w:footnoteReference w:id="55"/>
      </w:r>
      <w:r w:rsidR="002011CC">
        <w:rPr>
          <w:rFonts w:ascii="Times New Roman" w:eastAsia="Times New Roman" w:hAnsi="Times New Roman" w:cs="Times New Roman"/>
          <w:sz w:val="24"/>
          <w:szCs w:val="24"/>
        </w:rPr>
        <w:t xml:space="preserve"> Tunisia may have to adopt an excise tax closer to 100% of the retail price of tobacco products due to the fact that these tobacco products are already so inexpensive. Raising the excise tax of the retail price on cigarettes beyond the </w:t>
      </w:r>
      <w:proofErr w:type="gramStart"/>
      <w:r w:rsidR="002011CC">
        <w:rPr>
          <w:rFonts w:ascii="Times New Roman" w:eastAsia="Times New Roman" w:hAnsi="Times New Roman" w:cs="Times New Roman"/>
          <w:sz w:val="24"/>
          <w:szCs w:val="24"/>
        </w:rPr>
        <w:t>WHO’s</w:t>
      </w:r>
      <w:proofErr w:type="gramEnd"/>
      <w:r w:rsidR="002011CC">
        <w:rPr>
          <w:rFonts w:ascii="Times New Roman" w:eastAsia="Times New Roman" w:hAnsi="Times New Roman" w:cs="Times New Roman"/>
          <w:sz w:val="24"/>
          <w:szCs w:val="24"/>
        </w:rPr>
        <w:t xml:space="preserve"> recommended level of 75% is necessary here for the reasons stated above. Not only will such a tobacco control policy further deter tobacco consumption by making this harmful product more expensive, it will also increase revenue for the Tunisian government.  This is a very practical recommendation considering the legislation for an excise tax is already in place (it simply needs to be increased).</w:t>
      </w:r>
      <w:r w:rsidR="002011CC">
        <w:rPr>
          <w:rFonts w:ascii="Times New Roman" w:eastAsia="Times New Roman" w:hAnsi="Times New Roman" w:cs="Times New Roman"/>
          <w:sz w:val="24"/>
          <w:szCs w:val="24"/>
          <w:vertAlign w:val="superscript"/>
        </w:rPr>
        <w:footnoteReference w:id="56"/>
      </w:r>
    </w:p>
    <w:p w14:paraId="2AA2F519" w14:textId="77777777" w:rsidR="008E2686" w:rsidRDefault="008E2686" w:rsidP="00BA4EE4">
      <w:pPr>
        <w:pStyle w:val="Normal1"/>
        <w:spacing w:line="480" w:lineRule="auto"/>
        <w:ind w:firstLine="720"/>
        <w:jc w:val="both"/>
      </w:pPr>
    </w:p>
    <w:p w14:paraId="71F7AEC5" w14:textId="7B0DBF3B" w:rsidR="006D06C9" w:rsidRPr="008E2686" w:rsidRDefault="008E2686" w:rsidP="008E2686">
      <w:pPr>
        <w:spacing w:line="480" w:lineRule="auto"/>
        <w:rPr>
          <w:rFonts w:ascii="Times New Roman" w:hAnsi="Times New Roman" w:cs="Times New Roman"/>
          <w:b/>
          <w:sz w:val="24"/>
          <w:szCs w:val="24"/>
          <w:u w:val="single"/>
        </w:rPr>
      </w:pPr>
      <w:r w:rsidRPr="008E2686">
        <w:rPr>
          <w:rFonts w:ascii="Times New Roman" w:hAnsi="Times New Roman" w:cs="Times New Roman"/>
          <w:b/>
          <w:sz w:val="24"/>
          <w:szCs w:val="24"/>
          <w:u w:val="single"/>
        </w:rPr>
        <w:t xml:space="preserve">F. </w:t>
      </w:r>
      <w:r w:rsidR="006D06C9" w:rsidRPr="008E2686">
        <w:rPr>
          <w:rFonts w:ascii="Times New Roman" w:hAnsi="Times New Roman" w:cs="Times New Roman"/>
          <w:b/>
          <w:sz w:val="24"/>
          <w:szCs w:val="24"/>
          <w:u w:val="single"/>
        </w:rPr>
        <w:t>Conclusion</w:t>
      </w:r>
    </w:p>
    <w:p w14:paraId="08781FB2" w14:textId="48A19CEB" w:rsidR="003F1F08" w:rsidRPr="008E2686" w:rsidRDefault="003F1F08" w:rsidP="008E2686">
      <w:pPr>
        <w:spacing w:line="480" w:lineRule="auto"/>
        <w:ind w:firstLine="720"/>
        <w:rPr>
          <w:rFonts w:ascii="Times New Roman" w:hAnsi="Times New Roman" w:cs="Times New Roman"/>
          <w:color w:val="auto"/>
          <w:sz w:val="24"/>
          <w:szCs w:val="24"/>
        </w:rPr>
      </w:pPr>
      <w:r w:rsidRPr="008E2686">
        <w:rPr>
          <w:rFonts w:ascii="Times New Roman" w:hAnsi="Times New Roman" w:cs="Times New Roman"/>
          <w:color w:val="auto"/>
          <w:sz w:val="24"/>
          <w:szCs w:val="24"/>
        </w:rPr>
        <w:t xml:space="preserve">Tunisia has had some great successes in tobacco control, and is a leader in the region. However, there is much more to be done.  In particular, tobacco control efforts should focus on </w:t>
      </w:r>
      <w:r w:rsidRPr="008E2686">
        <w:rPr>
          <w:rFonts w:ascii="Times New Roman" w:eastAsia="Times New Roman" w:hAnsi="Times New Roman" w:cs="Times New Roman"/>
          <w:color w:val="auto"/>
          <w:sz w:val="24"/>
          <w:szCs w:val="24"/>
          <w:highlight w:val="white"/>
        </w:rPr>
        <w:lastRenderedPageBreak/>
        <w:t>(1) use among minors; (2) elimination of tobacco marketing; (3) enhancement of health warnings (including pictorial images on tobacco packaging); (4) protecting the public from secondhand smoke; (5) comprehensive tobacco product packaging regulations; and (6) raising existing excise tax rates on the retail price of cigarette packs</w:t>
      </w:r>
      <w:r w:rsidRPr="008E2686">
        <w:rPr>
          <w:rFonts w:ascii="Times New Roman" w:eastAsia="Times New Roman" w:hAnsi="Times New Roman" w:cs="Times New Roman"/>
          <w:color w:val="auto"/>
          <w:sz w:val="24"/>
          <w:szCs w:val="24"/>
        </w:rPr>
        <w:t xml:space="preserve">, as highlighted above. </w:t>
      </w:r>
    </w:p>
    <w:p w14:paraId="0364A026" w14:textId="7BAA3094" w:rsidR="003F1F08" w:rsidRPr="008E2686" w:rsidRDefault="003F1F08" w:rsidP="008E2686">
      <w:pPr>
        <w:spacing w:line="480" w:lineRule="auto"/>
        <w:ind w:firstLine="720"/>
        <w:rPr>
          <w:rFonts w:ascii="Times New Roman" w:hAnsi="Times New Roman" w:cs="Times New Roman"/>
          <w:sz w:val="24"/>
          <w:szCs w:val="24"/>
        </w:rPr>
      </w:pPr>
      <w:r w:rsidRPr="008E2686">
        <w:rPr>
          <w:rFonts w:ascii="Times New Roman" w:hAnsi="Times New Roman" w:cs="Times New Roman"/>
          <w:sz w:val="24"/>
          <w:szCs w:val="24"/>
        </w:rPr>
        <w:t>While many do not view tobacco as a pressing human rights issues, particularly among the economic and social struggles currently facing Tunisia, tobacco control should be a priority. Tobacco consumption contributes to poverty through “loss of income, loss of productivity, disease and death. Together, tobacco and poverty form a vicious circle from which it is often difficult to escape.”</w:t>
      </w:r>
      <w:r w:rsidRPr="008E2686">
        <w:rPr>
          <w:rStyle w:val="FootnoteReference"/>
          <w:rFonts w:ascii="Times New Roman" w:hAnsi="Times New Roman" w:cs="Times New Roman"/>
          <w:sz w:val="24"/>
          <w:szCs w:val="24"/>
        </w:rPr>
        <w:footnoteReference w:id="57"/>
      </w:r>
      <w:r w:rsidRPr="008E2686">
        <w:rPr>
          <w:rFonts w:ascii="Times New Roman" w:hAnsi="Times New Roman" w:cs="Times New Roman"/>
          <w:sz w:val="24"/>
          <w:szCs w:val="24"/>
        </w:rPr>
        <w:t xml:space="preserve"> Taking further steps to end the tobacco epidemic is important to the health and development of Tunisia. </w:t>
      </w:r>
    </w:p>
    <w:p w14:paraId="0361AE8D" w14:textId="77777777" w:rsidR="006D06C9" w:rsidRDefault="006D06C9" w:rsidP="00BA4EE4">
      <w:pPr>
        <w:rPr>
          <w:rFonts w:ascii="Times New Roman" w:hAnsi="Times New Roman" w:cs="Times New Roman"/>
        </w:rPr>
      </w:pPr>
    </w:p>
    <w:p w14:paraId="34ADB41A" w14:textId="77777777" w:rsidR="006D06C9" w:rsidRDefault="006D06C9" w:rsidP="00BA4EE4">
      <w:pPr>
        <w:rPr>
          <w:rFonts w:ascii="Times New Roman" w:hAnsi="Times New Roman" w:cs="Times New Roman"/>
        </w:rPr>
      </w:pPr>
    </w:p>
    <w:p w14:paraId="4EF6656C" w14:textId="108851B3" w:rsidR="006D06C9" w:rsidRPr="00D20F6C" w:rsidRDefault="006D06C9" w:rsidP="00BA4EE4">
      <w:pPr>
        <w:rPr>
          <w:rFonts w:ascii="Times New Roman" w:hAnsi="Times New Roman" w:cs="Times New Roman"/>
        </w:rPr>
      </w:pPr>
    </w:p>
    <w:sectPr w:rsidR="006D06C9" w:rsidRPr="00D20F6C">
      <w:headerReference w:type="default" r:id="rId9"/>
      <w:footerReference w:type="default" r:id="rId10"/>
      <w:headerReference w:type="first" r:id="rId11"/>
      <w:pgSz w:w="12240" w:h="15840"/>
      <w:pgMar w:top="1440" w:right="1440" w:bottom="1440" w:left="1440" w:header="720" w:footer="720" w:gutter="0"/>
      <w:pgNumType w:start="0"/>
      <w:cols w:space="720"/>
      <w:titlePg/>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3310DD" w15:done="0"/>
  <w15:commentEx w15:paraId="1615BEB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05CEB9" w14:textId="77777777" w:rsidR="00C420A8" w:rsidRDefault="00C420A8" w:rsidP="00013FDF">
      <w:pPr>
        <w:spacing w:line="240" w:lineRule="auto"/>
      </w:pPr>
      <w:r>
        <w:separator/>
      </w:r>
    </w:p>
  </w:endnote>
  <w:endnote w:type="continuationSeparator" w:id="0">
    <w:p w14:paraId="18C95A6D" w14:textId="77777777" w:rsidR="00C420A8" w:rsidRDefault="00C420A8" w:rsidP="00013F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46238" w14:textId="77777777" w:rsidR="00ED11AF" w:rsidRPr="00D20F6C" w:rsidRDefault="00ED11AF" w:rsidP="00D20F6C">
    <w:pPr>
      <w:pStyle w:val="Normal1"/>
      <w:jc w:val="right"/>
      <w:rPr>
        <w:rFonts w:ascii="Times New Roman" w:hAnsi="Times New Roman" w:cs="Times New Roman"/>
        <w:sz w:val="24"/>
        <w:szCs w:val="24"/>
      </w:rPr>
    </w:pPr>
    <w:r w:rsidRPr="00D20F6C">
      <w:rPr>
        <w:rFonts w:ascii="Times New Roman" w:hAnsi="Times New Roman" w:cs="Times New Roman"/>
        <w:sz w:val="24"/>
        <w:szCs w:val="24"/>
      </w:rPr>
      <w:fldChar w:fldCharType="begin"/>
    </w:r>
    <w:r w:rsidRPr="00D20F6C">
      <w:rPr>
        <w:rFonts w:ascii="Times New Roman" w:hAnsi="Times New Roman" w:cs="Times New Roman"/>
        <w:sz w:val="24"/>
        <w:szCs w:val="24"/>
      </w:rPr>
      <w:instrText>PAGE</w:instrText>
    </w:r>
    <w:r w:rsidRPr="00D20F6C">
      <w:rPr>
        <w:rFonts w:ascii="Times New Roman" w:hAnsi="Times New Roman" w:cs="Times New Roman"/>
        <w:sz w:val="24"/>
        <w:szCs w:val="24"/>
      </w:rPr>
      <w:fldChar w:fldCharType="separate"/>
    </w:r>
    <w:r w:rsidR="00086B91">
      <w:rPr>
        <w:rFonts w:ascii="Times New Roman" w:hAnsi="Times New Roman" w:cs="Times New Roman"/>
        <w:noProof/>
        <w:sz w:val="24"/>
        <w:szCs w:val="24"/>
      </w:rPr>
      <w:t>1</w:t>
    </w:r>
    <w:r w:rsidRPr="00D20F6C">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6FC55" w14:textId="77777777" w:rsidR="00C420A8" w:rsidRDefault="00C420A8" w:rsidP="00013FDF">
      <w:pPr>
        <w:spacing w:line="240" w:lineRule="auto"/>
      </w:pPr>
      <w:r>
        <w:separator/>
      </w:r>
    </w:p>
  </w:footnote>
  <w:footnote w:type="continuationSeparator" w:id="0">
    <w:p w14:paraId="3604C7B8" w14:textId="77777777" w:rsidR="00C420A8" w:rsidRDefault="00C420A8" w:rsidP="00013FDF">
      <w:pPr>
        <w:spacing w:line="240" w:lineRule="auto"/>
      </w:pPr>
      <w:r>
        <w:continuationSeparator/>
      </w:r>
    </w:p>
  </w:footnote>
  <w:footnote w:id="1">
    <w:p w14:paraId="0136CFB0"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In Tunisia, the male smoking rate is almost 50%.</w:t>
      </w:r>
    </w:p>
  </w:footnote>
  <w:footnote w:id="2">
    <w:p w14:paraId="2ECA4092" w14:textId="3CD4B5A8"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sz w:val="18"/>
          <w:szCs w:val="18"/>
        </w:rPr>
        <w:t xml:space="preserve">Centers for Disease Control and Prevention. "Youth and Tobacco Use." Centers for Disease Control and Prevention.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http://www.cdc.gov/tobacco/data_statistics/fact_sheets/youth_data/tobacco_use/index.htm</w:t>
      </w:r>
    </w:p>
  </w:footnote>
  <w:footnote w:id="3">
    <w:p w14:paraId="201BEC45" w14:textId="494A82DB"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Do Something, “11 Facts About Teen Smoking,”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https://www.dosomething.org/facts/11-facts-about-teen-smoking</w:t>
      </w:r>
    </w:p>
  </w:footnote>
  <w:footnote w:id="4">
    <w:p w14:paraId="6A43E021" w14:textId="4749CDA4"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"Underage Smoking Statistics." Statistic Brain RSS.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http://www.statisticbrain.com/underage-smoking-statistics/</w:t>
      </w:r>
    </w:p>
  </w:footnote>
  <w:footnote w:id="5">
    <w:p w14:paraId="48FA3801" w14:textId="72D115C8"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ABC News Network. "Study Links Smoking to Anxiety Disorders." ABC News,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http://abcnews.go.com/Health/story?id=117838</w:t>
      </w:r>
    </w:p>
  </w:footnote>
  <w:footnote w:id="6">
    <w:p w14:paraId="424350A2" w14:textId="5A3D82B4"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Campaign for Tobacco Free Kids, "Health Harms from Smoking and other Tobacco Use,"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 xml:space="preserve">http://www.tobaccofreekids.org/research/factsheets/pdf/0194.pdf </w:t>
      </w:r>
    </w:p>
  </w:footnote>
  <w:footnote w:id="7">
    <w:p w14:paraId="2B7941A0"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National Tobacco Youth Survey Report,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www.tobaccofreekids.org</w:t>
      </w:r>
    </w:p>
    <w:p w14:paraId="65D76ABE" w14:textId="77777777" w:rsidR="00ED11AF" w:rsidRPr="00ED11AF" w:rsidRDefault="00ED11AF" w:rsidP="00BA4EE4">
      <w:pPr>
        <w:pStyle w:val="Normal1"/>
        <w:spacing w:line="240" w:lineRule="auto"/>
        <w:rPr>
          <w:rFonts w:ascii="Times New Roman" w:hAnsi="Times New Roman" w:cs="Times New Roman"/>
          <w:sz w:val="18"/>
          <w:szCs w:val="18"/>
        </w:rPr>
      </w:pPr>
    </w:p>
  </w:footnote>
  <w:footnote w:id="8">
    <w:p w14:paraId="1426F024" w14:textId="269BEFCC"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sz w:val="18"/>
          <w:szCs w:val="18"/>
        </w:rPr>
        <w:t xml:space="preserve">Law 98-17, dated February 23, 1998, “Relating to the Prevention of the Detrimental Effects of Tobacco,” </w:t>
      </w:r>
      <w:r w:rsidRPr="00ED11AF">
        <w:rPr>
          <w:rFonts w:ascii="Times New Roman" w:eastAsia="Times New Roman" w:hAnsi="Times New Roman" w:cs="Times New Roman"/>
          <w:i/>
          <w:sz w:val="18"/>
          <w:szCs w:val="18"/>
        </w:rPr>
        <w:t>English translation available at:</w:t>
      </w:r>
      <w:r w:rsidRPr="00ED11AF">
        <w:rPr>
          <w:rFonts w:ascii="Times New Roman" w:eastAsia="Times New Roman" w:hAnsi="Times New Roman" w:cs="Times New Roman"/>
          <w:sz w:val="18"/>
          <w:szCs w:val="18"/>
        </w:rPr>
        <w:t xml:space="preserve"> http://www.rnta-mtk.com.tn/en/loi.pdf.</w:t>
      </w:r>
    </w:p>
  </w:footnote>
  <w:footnote w:id="9">
    <w:p w14:paraId="34D744E2" w14:textId="0D3D6E0B"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Junji Kato, Miyachiyo Kato Clinic, “Minimum Legal Ages for Smoking and Purchase of Tobacco Around the World,” 2002, </w:t>
      </w:r>
      <w:r w:rsidRPr="00ED11AF">
        <w:rPr>
          <w:rFonts w:ascii="Times New Roman" w:hAnsi="Times New Roman" w:cs="Times New Roman"/>
          <w:i/>
          <w:sz w:val="18"/>
          <w:szCs w:val="18"/>
        </w:rPr>
        <w:t>available at:</w:t>
      </w:r>
      <w:r w:rsidRPr="00ED11AF">
        <w:rPr>
          <w:rFonts w:ascii="Times New Roman" w:hAnsi="Times New Roman" w:cs="Times New Roman"/>
          <w:sz w:val="18"/>
          <w:szCs w:val="18"/>
        </w:rPr>
        <w:t xml:space="preserve"> </w:t>
      </w:r>
      <w:hyperlink r:id="rId1">
        <w:r w:rsidRPr="00ED11AF">
          <w:rPr>
            <w:rFonts w:ascii="Times New Roman" w:eastAsia="Times New Roman" w:hAnsi="Times New Roman" w:cs="Times New Roman"/>
            <w:sz w:val="18"/>
            <w:szCs w:val="18"/>
          </w:rPr>
          <w:t>http://www.geocities.jp/m_kato_clinic/mini-age-tobacco-eng-1.ht</w:t>
        </w:r>
      </w:hyperlink>
      <w:r w:rsidRPr="00ED11AF">
        <w:rPr>
          <w:rFonts w:ascii="Times New Roman" w:eastAsia="Times New Roman" w:hAnsi="Times New Roman" w:cs="Times New Roman"/>
          <w:sz w:val="18"/>
          <w:szCs w:val="18"/>
        </w:rPr>
        <w:t>ml</w:t>
      </w:r>
    </w:p>
  </w:footnote>
  <w:footnote w:id="10">
    <w:p w14:paraId="417A6798"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Id. </w:t>
      </w:r>
    </w:p>
  </w:footnote>
  <w:footnote w:id="11">
    <w:p w14:paraId="4162CC37" w14:textId="41676A57" w:rsidR="00ED11AF" w:rsidRPr="00ED11AF" w:rsidRDefault="00ED11AF">
      <w:pPr>
        <w:pStyle w:val="FootnoteText"/>
        <w:rPr>
          <w:rFonts w:ascii="Times New Roman" w:hAnsi="Times New Roman" w:cs="Times New Roman"/>
          <w:sz w:val="18"/>
          <w:szCs w:val="18"/>
        </w:rPr>
      </w:pPr>
      <w:r w:rsidRPr="00ED11AF">
        <w:rPr>
          <w:rStyle w:val="FootnoteReference"/>
          <w:rFonts w:ascii="Times New Roman" w:hAnsi="Times New Roman" w:cs="Times New Roman"/>
          <w:sz w:val="18"/>
          <w:szCs w:val="18"/>
        </w:rPr>
        <w:footnoteRef/>
      </w:r>
      <w:r w:rsidRPr="00ED11AF">
        <w:rPr>
          <w:rFonts w:ascii="Times New Roman" w:hAnsi="Times New Roman" w:cs="Times New Roman"/>
          <w:sz w:val="18"/>
          <w:szCs w:val="18"/>
        </w:rPr>
        <w:t xml:space="preserve"> Sylvie Floris, European Union, EuroMed Youth III Programs, Studies on Youth Policies in the Mediterranean Partner Country Tunisia, </w:t>
      </w:r>
      <w:r w:rsidRPr="00ED11AF">
        <w:rPr>
          <w:rFonts w:ascii="Times New Roman" w:hAnsi="Times New Roman" w:cs="Times New Roman"/>
          <w:i/>
          <w:sz w:val="18"/>
          <w:szCs w:val="18"/>
        </w:rPr>
        <w:t>available at:</w:t>
      </w:r>
      <w:r w:rsidRPr="00ED11AF">
        <w:rPr>
          <w:rFonts w:ascii="Times New Roman" w:hAnsi="Times New Roman" w:cs="Times New Roman"/>
          <w:sz w:val="18"/>
          <w:szCs w:val="18"/>
        </w:rPr>
        <w:t xml:space="preserve"> http://www.euromedyouth.net/IMG/pdf/09-EuroMedJeunesse-Etude_TUNISIA.pdf.</w:t>
      </w:r>
    </w:p>
  </w:footnote>
  <w:footnote w:id="12">
    <w:p w14:paraId="04E927F7" w14:textId="27CCB5DF" w:rsidR="00B8415D" w:rsidRPr="00B8415D" w:rsidRDefault="00B8415D">
      <w:pPr>
        <w:pStyle w:val="FootnoteText"/>
        <w:rPr>
          <w:rFonts w:ascii="Times New Roman" w:hAnsi="Times New Roman" w:cs="Times New Roman"/>
          <w:sz w:val="18"/>
          <w:szCs w:val="18"/>
        </w:rPr>
      </w:pPr>
      <w:r w:rsidRPr="00B8415D">
        <w:rPr>
          <w:rStyle w:val="FootnoteReference"/>
          <w:rFonts w:ascii="Times New Roman" w:hAnsi="Times New Roman" w:cs="Times New Roman"/>
          <w:sz w:val="18"/>
          <w:szCs w:val="18"/>
        </w:rPr>
        <w:footnoteRef/>
      </w:r>
      <w:r w:rsidRPr="00B8415D">
        <w:rPr>
          <w:rFonts w:ascii="Times New Roman" w:hAnsi="Times New Roman" w:cs="Times New Roman"/>
          <w:sz w:val="18"/>
          <w:szCs w:val="18"/>
        </w:rPr>
        <w:t xml:space="preserve"> This is a separate issue from the age of marriage, determined by the civil code. Enforcing a minimum legal purchase age of 21 for tobacco will have no effect on the age of marriage.</w:t>
      </w:r>
    </w:p>
  </w:footnote>
  <w:footnote w:id="13">
    <w:p w14:paraId="0FE515BA"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See</w:t>
      </w:r>
      <w:r w:rsidRPr="00ED11AF">
        <w:rPr>
          <w:rFonts w:ascii="Times New Roman" w:eastAsia="Times New Roman" w:hAnsi="Times New Roman" w:cs="Times New Roman"/>
          <w:sz w:val="18"/>
          <w:szCs w:val="18"/>
        </w:rPr>
        <w:t xml:space="preserve"> UN Economic and Social Council [ECOSOC] Committee on Economic, Social and Cultural Rights, ‘General Comment No. 14: The Right to the Highest Attainable Standard of Health’ (11 August 2000) UN Doc. E/C.12/2000/4.</w:t>
      </w:r>
    </w:p>
  </w:footnote>
  <w:footnote w:id="14">
    <w:p w14:paraId="627F3C70" w14:textId="26F5B623"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See</w:t>
      </w:r>
      <w:r w:rsidRPr="00ED11AF">
        <w:rPr>
          <w:rFonts w:ascii="Times New Roman" w:eastAsia="Times New Roman" w:hAnsi="Times New Roman" w:cs="Times New Roman"/>
          <w:sz w:val="18"/>
          <w:szCs w:val="18"/>
        </w:rPr>
        <w:t xml:space="preserve"> Article 2-7, Law 98-17 dated February 23, 1998 relating to the prevention of the detrimental effects of tobacco. </w:t>
      </w:r>
      <w:r w:rsidRPr="00ED11AF">
        <w:rPr>
          <w:rFonts w:ascii="Times New Roman" w:eastAsia="Times New Roman" w:hAnsi="Times New Roman" w:cs="Times New Roman"/>
          <w:i/>
          <w:sz w:val="18"/>
          <w:szCs w:val="18"/>
        </w:rPr>
        <w:t>See also</w:t>
      </w:r>
      <w:r w:rsidRPr="00ED11AF">
        <w:rPr>
          <w:rFonts w:ascii="Times New Roman" w:eastAsia="Times New Roman" w:hAnsi="Times New Roman" w:cs="Times New Roman"/>
          <w:sz w:val="18"/>
          <w:szCs w:val="18"/>
        </w:rPr>
        <w:t xml:space="preserve"> Radhouane Fakhfakh, Mohamed Hsairi, Noureddine Achour, “Epidemiology and prevention of tobacco use in Tunisia”, 655,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 xml:space="preserve">https://www.researchgate.net/profile/Radhouane_Fakhfakh3/publication/8974326_Epidemiology_and_prevention_of_smoking_in_Tunisia_current_situation_and_perspectives/links/0deec52e296194f5d8000000.pdf. </w:t>
      </w:r>
    </w:p>
  </w:footnote>
  <w:footnote w:id="15">
    <w:p w14:paraId="463E738C"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WHO FCTC implementation database Tunisia,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 xml:space="preserve">http://apps.who.int/fctc/implementation/database/parties/Tunisia/factsheet#, </w:t>
      </w:r>
      <w:r w:rsidRPr="00ED11AF">
        <w:rPr>
          <w:rFonts w:ascii="Times New Roman" w:eastAsia="Times New Roman" w:hAnsi="Times New Roman" w:cs="Times New Roman"/>
          <w:i/>
          <w:sz w:val="18"/>
          <w:szCs w:val="18"/>
        </w:rPr>
        <w:t xml:space="preserve">See also </w:t>
      </w:r>
      <w:r w:rsidRPr="00ED11AF">
        <w:rPr>
          <w:rFonts w:ascii="Times New Roman" w:eastAsia="Times New Roman" w:hAnsi="Times New Roman" w:cs="Times New Roman"/>
          <w:sz w:val="18"/>
          <w:szCs w:val="18"/>
        </w:rPr>
        <w:t xml:space="preserve">WHO FCTC state report, Tunisia 2014,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http://apps.who.int/fctc/implementation/database/sites/implementation/files/documents/reports/tunisia_2014_report_final.pdf.</w:t>
      </w:r>
    </w:p>
  </w:footnote>
  <w:footnote w:id="16">
    <w:p w14:paraId="64E39A0C"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Hager Daldoul 1,†, Meriam Denguezli, Anamika Jithoo, Louisa Gnatiuc, Sonia Buist, Prevalence of COPD and Tobacco Smoking in Tunisia — Results from the BOLD Study, International Journal of Environmental Research and Public Health.</w:t>
      </w:r>
    </w:p>
  </w:footnote>
  <w:footnote w:id="17">
    <w:p w14:paraId="0A99B68C"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G. Heydari, F. Talischi, M.R. Masjedi, H. Alguomani, L. Joossens and M.Ghafari, “Comparison of tobacco control policies in the Eastern Mediterranean countries based on tobacco control scale scores” 805, Eastern Mediterranean Health Journal (La Revue de Santé de la Méditerranée orientale), Vol. 18 No. 8, 2012.</w:t>
      </w:r>
    </w:p>
  </w:footnote>
  <w:footnote w:id="18">
    <w:p w14:paraId="45FCD9D2"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Arthur Farkas, Elizabeth Gilpin, Charles Berry, John P. Pierce, Influence of Tobacco Marketing and Exposure to Smokers on Adolescent Susceptibility to Smoking,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http://jnci.oxfordjournals.org/content/87/20/1538.full.pdf</w:t>
      </w:r>
    </w:p>
  </w:footnote>
  <w:footnote w:id="19">
    <w:p w14:paraId="103D39A3" w14:textId="657B1AB1"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i/>
          <w:sz w:val="18"/>
          <w:szCs w:val="18"/>
        </w:rPr>
        <w:t>See</w:t>
      </w:r>
      <w:r w:rsidRPr="00ED11AF">
        <w:rPr>
          <w:rFonts w:ascii="Times New Roman" w:hAnsi="Times New Roman" w:cs="Times New Roman"/>
          <w:i/>
          <w:sz w:val="18"/>
          <w:szCs w:val="18"/>
        </w:rPr>
        <w:t xml:space="preserve"> </w:t>
      </w:r>
      <w:r w:rsidRPr="00ED11AF">
        <w:rPr>
          <w:rFonts w:ascii="Times New Roman" w:eastAsia="Times New Roman" w:hAnsi="Times New Roman" w:cs="Times New Roman"/>
          <w:sz w:val="18"/>
          <w:szCs w:val="18"/>
        </w:rPr>
        <w:t xml:space="preserve">Campaign for Tobacco Free Kids, “Trends in Tobacco Industry Marketing”,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“https://www.tobaccofreekids.org/research/factsheets/pdf/0156.pdf”; </w:t>
      </w:r>
      <w:r w:rsidRPr="00ED11AF">
        <w:rPr>
          <w:rFonts w:ascii="Times New Roman" w:eastAsia="Times New Roman" w:hAnsi="Times New Roman" w:cs="Times New Roman"/>
          <w:i/>
          <w:sz w:val="18"/>
          <w:szCs w:val="18"/>
        </w:rPr>
        <w:t>See also</w:t>
      </w:r>
      <w:r w:rsidRPr="00ED11AF">
        <w:rPr>
          <w:rFonts w:ascii="Times New Roman" w:eastAsia="Times New Roman" w:hAnsi="Times New Roman" w:cs="Times New Roman"/>
          <w:sz w:val="18"/>
          <w:szCs w:val="18"/>
        </w:rPr>
        <w:t xml:space="preserve"> Nicola Evans, Arthur Farkas,  “Influence of Tobacco Marketing and Exposure to Smokers on Adolescent Susceptibility to Smoking” 1545, Journal of the National Cancer Institute, Vol. 87, No. 20, October 18, 1995,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http://jnci.oxfordjournals.org/content/87/20/1538.full.pdf+html.</w:t>
      </w:r>
    </w:p>
  </w:footnote>
  <w:footnote w:id="20">
    <w:p w14:paraId="17D8EEB8" w14:textId="48E664D1"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World Bank Data,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http://data.worldbank.org/indicator/IT.NET.USER.P2.</w:t>
      </w:r>
    </w:p>
  </w:footnote>
  <w:footnote w:id="21">
    <w:p w14:paraId="784ACDC6"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Campaign for Tobacco Free Kids, “Tobacco Product Marketing on the Internet”,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https://www.tobaccofreekids.org/research/factsheets/pdf/0081.pdf.</w:t>
      </w:r>
    </w:p>
  </w:footnote>
  <w:footnote w:id="22">
    <w:p w14:paraId="68C52953" w14:textId="77777777" w:rsidR="00ED11AF" w:rsidRPr="00ED11AF" w:rsidRDefault="00ED11AF" w:rsidP="00BA4EE4">
      <w:pPr>
        <w:pStyle w:val="Normal1"/>
        <w:widowControl w:val="0"/>
        <w:spacing w:line="240" w:lineRule="auto"/>
        <w:rPr>
          <w:rFonts w:ascii="Times New Roman" w:hAnsi="Times New Roman" w:cs="Times New Roman"/>
          <w:sz w:val="18"/>
          <w:szCs w:val="18"/>
        </w:rPr>
      </w:pPr>
      <w:bookmarkStart w:id="1" w:name="h.30j0zll" w:colFirst="0" w:colLast="0"/>
      <w:bookmarkEnd w:id="1"/>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Id.</w:t>
      </w:r>
    </w:p>
  </w:footnote>
  <w:footnote w:id="23">
    <w:p w14:paraId="6ECF53DB" w14:textId="77777777" w:rsidR="00ED11AF" w:rsidRPr="00ED11AF" w:rsidRDefault="00ED11AF" w:rsidP="00BA4EE4">
      <w:pPr>
        <w:pStyle w:val="Normal1"/>
        <w:widowControl w:val="0"/>
        <w:spacing w:line="240" w:lineRule="auto"/>
        <w:rPr>
          <w:rFonts w:ascii="Times New Roman" w:hAnsi="Times New Roman" w:cs="Times New Roman"/>
          <w:sz w:val="18"/>
          <w:szCs w:val="18"/>
        </w:rPr>
      </w:pPr>
      <w:bookmarkStart w:id="2" w:name="h.1fob9te" w:colFirst="0" w:colLast="0"/>
      <w:bookmarkEnd w:id="2"/>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Campaign for Tobacco Free Kids, “Point of Sale Tobacco Product Displays”,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http://global.tobaccofreekids.org/files/pdfs/en/APS_posDisplay_en.pdf.</w:t>
      </w:r>
    </w:p>
  </w:footnote>
  <w:footnote w:id="24">
    <w:p w14:paraId="22D0D852"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Id.</w:t>
      </w:r>
    </w:p>
  </w:footnote>
  <w:footnote w:id="25">
    <w:p w14:paraId="41077AA9" w14:textId="363782C1"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FCTC Article 13.</w:t>
      </w:r>
    </w:p>
  </w:footnote>
  <w:footnote w:id="26">
    <w:p w14:paraId="56F97A10" w14:textId="77777777" w:rsidR="00ED11AF" w:rsidRPr="00ED11AF" w:rsidRDefault="00ED11AF" w:rsidP="00BA4EE4">
      <w:pPr>
        <w:pStyle w:val="Normal1"/>
        <w:widowControl w:val="0"/>
        <w:spacing w:line="240" w:lineRule="auto"/>
        <w:rPr>
          <w:rFonts w:ascii="Times New Roman" w:hAnsi="Times New Roman" w:cs="Times New Roman"/>
          <w:sz w:val="18"/>
          <w:szCs w:val="18"/>
        </w:rPr>
      </w:pPr>
      <w:bookmarkStart w:id="3" w:name="h.3znysh7" w:colFirst="0" w:colLast="0"/>
      <w:bookmarkEnd w:id="3"/>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Guidelines for Implementation of the WHO FCTC, </w:t>
      </w:r>
      <w:r w:rsidRPr="00ED11AF">
        <w:rPr>
          <w:rFonts w:ascii="Times New Roman" w:eastAsia="Times New Roman" w:hAnsi="Times New Roman" w:cs="Times New Roman"/>
          <w:i/>
          <w:sz w:val="18"/>
          <w:szCs w:val="18"/>
        </w:rPr>
        <w:t xml:space="preserve">available at: </w:t>
      </w:r>
      <w:hyperlink r:id="rId2">
        <w:r w:rsidRPr="00ED11AF">
          <w:rPr>
            <w:rFonts w:ascii="Times New Roman" w:eastAsia="Times New Roman" w:hAnsi="Times New Roman" w:cs="Times New Roman"/>
            <w:sz w:val="18"/>
            <w:szCs w:val="18"/>
          </w:rPr>
          <w:t>http://www.who.int/fctc/guidelines/adopted/guidel_2011/en/</w:t>
        </w:r>
      </w:hyperlink>
      <w:r w:rsidRPr="00ED11AF">
        <w:rPr>
          <w:rFonts w:ascii="Times New Roman" w:eastAsia="Times New Roman" w:hAnsi="Times New Roman" w:cs="Times New Roman"/>
          <w:sz w:val="18"/>
          <w:szCs w:val="18"/>
        </w:rPr>
        <w:t>, 96</w:t>
      </w:r>
    </w:p>
  </w:footnote>
  <w:footnote w:id="27">
    <w:p w14:paraId="3BCC9B65" w14:textId="77777777" w:rsidR="00ED11AF" w:rsidRPr="00ED11AF" w:rsidRDefault="00ED11AF" w:rsidP="00BA4EE4">
      <w:pPr>
        <w:pStyle w:val="Normal1"/>
        <w:widowControl w:val="0"/>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Guidelines for Implementation of the WHO FCTC, </w:t>
      </w:r>
      <w:r w:rsidRPr="00ED11AF">
        <w:rPr>
          <w:rFonts w:ascii="Times New Roman" w:eastAsia="Times New Roman" w:hAnsi="Times New Roman" w:cs="Times New Roman"/>
          <w:i/>
          <w:sz w:val="18"/>
          <w:szCs w:val="18"/>
        </w:rPr>
        <w:t xml:space="preserve">available at: </w:t>
      </w:r>
      <w:hyperlink r:id="rId3">
        <w:r w:rsidRPr="00ED11AF">
          <w:rPr>
            <w:rFonts w:ascii="Times New Roman" w:eastAsia="Times New Roman" w:hAnsi="Times New Roman" w:cs="Times New Roman"/>
            <w:sz w:val="18"/>
            <w:szCs w:val="18"/>
          </w:rPr>
          <w:t>http://www.who.int/fctc/guidelines/adopted/guidel_2011/en/</w:t>
        </w:r>
      </w:hyperlink>
      <w:r w:rsidRPr="00ED11AF">
        <w:rPr>
          <w:rFonts w:ascii="Times New Roman" w:eastAsia="Times New Roman" w:hAnsi="Times New Roman" w:cs="Times New Roman"/>
          <w:sz w:val="18"/>
          <w:szCs w:val="18"/>
        </w:rPr>
        <w:t>, 98</w:t>
      </w:r>
    </w:p>
  </w:footnote>
  <w:footnote w:id="28">
    <w:p w14:paraId="33723487"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Campaign for Tobacco Free Kids, International Issues: Smoke-Free Laws,</w:t>
      </w:r>
      <w:r w:rsidRPr="00ED11AF">
        <w:rPr>
          <w:rFonts w:ascii="Times New Roman" w:eastAsia="Times New Roman" w:hAnsi="Times New Roman" w:cs="Times New Roman"/>
          <w:i/>
          <w:sz w:val="18"/>
          <w:szCs w:val="18"/>
        </w:rPr>
        <w:t xml:space="preserve"> available at: </w:t>
      </w:r>
      <w:r w:rsidRPr="00ED11AF">
        <w:rPr>
          <w:rFonts w:ascii="Times New Roman" w:eastAsia="Times New Roman" w:hAnsi="Times New Roman" w:cs="Times New Roman"/>
          <w:sz w:val="18"/>
          <w:szCs w:val="18"/>
        </w:rPr>
        <w:t>http://global.tobaccofreekids.org/en/solutions/international_issues/smoke_free_laws/</w:t>
      </w:r>
    </w:p>
  </w:footnote>
  <w:footnote w:id="29">
    <w:p w14:paraId="3F55F9C8"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sz w:val="18"/>
          <w:szCs w:val="18"/>
        </w:rPr>
        <w:t xml:space="preserve">Campaign for Tobacco Free Kids, Smoke Free Environments: Essential Facts, August 2011,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http://global.tobaccofreekids.org/files/pdfs/en/SF_facts_en.pdf.</w:t>
      </w:r>
    </w:p>
  </w:footnote>
  <w:footnote w:id="30">
    <w:p w14:paraId="605C4638"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i/>
          <w:sz w:val="18"/>
          <w:szCs w:val="18"/>
        </w:rPr>
        <w:t xml:space="preserve"> </w:t>
      </w:r>
      <w:r w:rsidRPr="00ED11AF">
        <w:rPr>
          <w:rFonts w:ascii="Times New Roman" w:eastAsia="Times New Roman" w:hAnsi="Times New Roman" w:cs="Times New Roman"/>
          <w:sz w:val="18"/>
          <w:szCs w:val="18"/>
        </w:rPr>
        <w:t>Campaign for Tobacco Free Kids, International Issues: Smoke-Free Laws.</w:t>
      </w:r>
    </w:p>
  </w:footnote>
  <w:footnote w:id="31">
    <w:p w14:paraId="4EFEC702"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Esquiel, Luis Sandi, WHO Smoke Free Places in Costa Rica, page 3,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 xml:space="preserve">http://www.who.int/tobacco/training/success_stories/TfiR3hrCRs.pdf. </w:t>
      </w:r>
    </w:p>
  </w:footnote>
  <w:footnote w:id="32">
    <w:p w14:paraId="1F256A73"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Tobacco Control Laws Organization, Country Details for Tunisia,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 xml:space="preserve">http://www.tobaccocontrollaws.org/legislation/country/tunisia/laws/desc. </w:t>
      </w:r>
    </w:p>
  </w:footnote>
  <w:footnote w:id="33">
    <w:p w14:paraId="797185A1"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Law 98-17, dated February 23, 1998, “Relating to the Prevention of the Detrimental Effects of Tobacco” Article 10 and Article 11. </w:t>
      </w:r>
      <w:r w:rsidRPr="00ED11AF">
        <w:rPr>
          <w:rFonts w:ascii="Times New Roman" w:eastAsia="Times New Roman" w:hAnsi="Times New Roman" w:cs="Times New Roman"/>
          <w:i/>
          <w:sz w:val="18"/>
          <w:szCs w:val="18"/>
        </w:rPr>
        <w:t>English translation available at:</w:t>
      </w:r>
      <w:r w:rsidRPr="00ED11AF">
        <w:rPr>
          <w:rFonts w:ascii="Times New Roman" w:eastAsia="Times New Roman" w:hAnsi="Times New Roman" w:cs="Times New Roman"/>
          <w:sz w:val="18"/>
          <w:szCs w:val="18"/>
        </w:rPr>
        <w:t xml:space="preserve"> http://www.rnta-mtk.com.tn/en/loi.pdf.</w:t>
      </w:r>
    </w:p>
  </w:footnote>
  <w:footnote w:id="34">
    <w:p w14:paraId="1320791D"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WHO, Tobacco Control, Appendix B: Legislation,</w:t>
      </w:r>
      <w:r w:rsidRPr="00ED11AF">
        <w:rPr>
          <w:rFonts w:ascii="Times New Roman" w:eastAsia="Times New Roman" w:hAnsi="Times New Roman" w:cs="Times New Roman"/>
          <w:i/>
          <w:sz w:val="18"/>
          <w:szCs w:val="18"/>
        </w:rPr>
        <w:t xml:space="preserve"> available at: </w:t>
      </w:r>
      <w:r w:rsidRPr="00ED11AF">
        <w:rPr>
          <w:rFonts w:ascii="Times New Roman" w:eastAsia="Times New Roman" w:hAnsi="Times New Roman" w:cs="Times New Roman"/>
          <w:sz w:val="18"/>
          <w:szCs w:val="18"/>
        </w:rPr>
        <w:t>http://www.who.int/tobacco/global_data/country_profiles/Appendix_B.pdf.</w:t>
      </w:r>
    </w:p>
  </w:footnote>
  <w:footnote w:id="35">
    <w:p w14:paraId="5FD2F851"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Official Gazette of the Republic of Tunisia, Decree n° 2009-2611 dated 14 September 2009, 18 September 2009, page 1104,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http://www.rnta-mtk.com.tn/en/arrete1.pdf.</w:t>
      </w:r>
    </w:p>
  </w:footnote>
  <w:footnote w:id="36">
    <w:p w14:paraId="1285EC94" w14:textId="31D492CF" w:rsidR="00B8415D" w:rsidRPr="00D004C7" w:rsidRDefault="00B8415D" w:rsidP="00D004C7">
      <w:pPr>
        <w:rPr>
          <w:rFonts w:eastAsia="Times New Roman"/>
        </w:rPr>
      </w:pPr>
      <w:r>
        <w:rPr>
          <w:rStyle w:val="FootnoteReference"/>
        </w:rPr>
        <w:footnoteRef/>
      </w:r>
      <w:r>
        <w:t xml:space="preserve"> </w:t>
      </w:r>
      <w:r w:rsidRPr="00B8415D">
        <w:rPr>
          <w:rFonts w:ascii="Times New Roman" w:eastAsia="Times New Roman" w:hAnsi="Times New Roman" w:cs="Times New Roman"/>
          <w:sz w:val="18"/>
          <w:szCs w:val="18"/>
        </w:rPr>
        <w:t>The political transition and Tunisian revolution of 2011 made it more difficult to enforce the law with smoke free environment despite the very impressive efforts done in 2009 before the revolution. A movement should be made to go back to the higher levels of enforcement.</w:t>
      </w:r>
      <w:r>
        <w:rPr>
          <w:rFonts w:eastAsia="Times New Roman"/>
        </w:rPr>
        <w:t xml:space="preserve"> </w:t>
      </w:r>
    </w:p>
  </w:footnote>
  <w:footnote w:id="37">
    <w:p w14:paraId="3B8D30C4"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Campaign for Tobacco Free Kids, International Issues: Smoke-Free Laws; </w:t>
      </w:r>
      <w:r w:rsidRPr="00ED11AF">
        <w:rPr>
          <w:rFonts w:ascii="Times New Roman" w:eastAsia="Times New Roman" w:hAnsi="Times New Roman" w:cs="Times New Roman"/>
          <w:i/>
          <w:sz w:val="18"/>
          <w:szCs w:val="18"/>
        </w:rPr>
        <w:t>see also</w:t>
      </w:r>
      <w:r w:rsidRPr="00ED11AF">
        <w:rPr>
          <w:rFonts w:ascii="Times New Roman" w:eastAsia="Times New Roman" w:hAnsi="Times New Roman" w:cs="Times New Roman"/>
          <w:sz w:val="18"/>
          <w:szCs w:val="18"/>
        </w:rPr>
        <w:t xml:space="preserve"> FCTC Guidelines for Article 8.</w:t>
      </w:r>
    </w:p>
  </w:footnote>
  <w:footnote w:id="38">
    <w:p w14:paraId="329493EA"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sz w:val="18"/>
          <w:szCs w:val="18"/>
        </w:rPr>
        <w:t xml:space="preserve">Campaign for Tobacco Free Kids, Smoke Free Environments: Essential Facts, August 2011,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http://global.tobaccofreekids.org/files/pdfs/en/SF_facts_en.pdf.</w:t>
      </w:r>
    </w:p>
  </w:footnote>
  <w:footnote w:id="39">
    <w:p w14:paraId="08FB4124"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i/>
          <w:sz w:val="18"/>
          <w:szCs w:val="18"/>
        </w:rPr>
        <w:t xml:space="preserve"> Id.</w:t>
      </w:r>
    </w:p>
  </w:footnote>
  <w:footnote w:id="40">
    <w:p w14:paraId="29FEC058"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All Africa, “Tunisia: Campaign Raises Awareness of Smoking Ban in Tunis Carthage Airport”, March 11, 2015,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http://allafrica.com/stories/201503121551.html.</w:t>
      </w:r>
    </w:p>
  </w:footnote>
  <w:footnote w:id="41">
    <w:p w14:paraId="2D25C7A3"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Centers for Disease Control and Prevention, Tunisia 2010 (Ages 13-15) Global Youth Tobacco Survey (GYTS) Fact Sheet, </w:t>
      </w:r>
      <w:r w:rsidRPr="00ED11AF">
        <w:rPr>
          <w:rFonts w:ascii="Times New Roman" w:eastAsia="Times New Roman" w:hAnsi="Times New Roman" w:cs="Times New Roman"/>
          <w:i/>
          <w:sz w:val="18"/>
          <w:szCs w:val="18"/>
        </w:rPr>
        <w:t>available at:</w:t>
      </w:r>
      <w:r w:rsidRPr="00ED11AF">
        <w:rPr>
          <w:rFonts w:ascii="Times New Roman" w:eastAsia="Times New Roman" w:hAnsi="Times New Roman" w:cs="Times New Roman"/>
          <w:sz w:val="18"/>
          <w:szCs w:val="18"/>
        </w:rPr>
        <w:t xml:space="preserve"> http://nccd.cdc.gov/gtssdata/Ancillary/DownloadAttachment.aspx?ID=1174.</w:t>
      </w:r>
    </w:p>
  </w:footnote>
  <w:footnote w:id="42">
    <w:p w14:paraId="1D687FA0"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i/>
          <w:sz w:val="18"/>
          <w:szCs w:val="18"/>
        </w:rPr>
        <w:t xml:space="preserve"> Id.</w:t>
      </w:r>
    </w:p>
  </w:footnote>
  <w:footnote w:id="43">
    <w:p w14:paraId="4CF4D492" w14:textId="1FC78218"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Law 98-17, Article 8 (1998),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 xml:space="preserve">http://www.rnta-mtk.com.tn/en/loi.pdf. </w:t>
      </w:r>
    </w:p>
  </w:footnote>
  <w:footnote w:id="44">
    <w:p w14:paraId="678BCEC3" w14:textId="1D20CEFF"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Id</w:t>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but see</w:t>
      </w:r>
      <w:r w:rsidRPr="00ED11AF">
        <w:rPr>
          <w:rFonts w:ascii="Times New Roman" w:eastAsia="Times New Roman" w:hAnsi="Times New Roman" w:cs="Times New Roman"/>
          <w:sz w:val="18"/>
          <w:szCs w:val="18"/>
        </w:rPr>
        <w:t xml:space="preserve"> Center for Disease Control Fact Sheet,</w:t>
      </w:r>
      <w:r w:rsidRPr="00ED11AF">
        <w:rPr>
          <w:rFonts w:ascii="Times New Roman" w:eastAsia="Times New Roman" w:hAnsi="Times New Roman" w:cs="Times New Roman"/>
          <w:i/>
          <w:sz w:val="18"/>
          <w:szCs w:val="18"/>
        </w:rPr>
        <w:t xml:space="preserve"> available at: </w:t>
      </w:r>
      <w:r w:rsidRPr="00ED11AF">
        <w:rPr>
          <w:rFonts w:ascii="Times New Roman" w:eastAsia="Times New Roman" w:hAnsi="Times New Roman" w:cs="Times New Roman"/>
          <w:sz w:val="18"/>
          <w:szCs w:val="18"/>
        </w:rPr>
        <w:t xml:space="preserve">http://www.cdc.gov/tobacco/data_statistics/fact_sheets/tobacco_industry/low_yield_cigarettes/ (Where research indicates that the private tobacco industry has traditionally adopted marketing strategies employing “low tar” and “low nicotine” constituent labeling as a way to mislead consumers into believing that such products are healthy alternatives to regular cigarettes). </w:t>
      </w:r>
    </w:p>
  </w:footnote>
  <w:footnote w:id="45">
    <w:p w14:paraId="7987F3FD"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i/>
          <w:sz w:val="18"/>
          <w:szCs w:val="18"/>
        </w:rPr>
        <w:t>Id</w:t>
      </w:r>
      <w:r w:rsidRPr="00ED11AF">
        <w:rPr>
          <w:rFonts w:ascii="Times New Roman" w:eastAsia="Times New Roman" w:hAnsi="Times New Roman" w:cs="Times New Roman"/>
          <w:sz w:val="18"/>
          <w:szCs w:val="18"/>
        </w:rPr>
        <w:t xml:space="preserve">. </w:t>
      </w:r>
    </w:p>
  </w:footnote>
  <w:footnote w:id="46">
    <w:p w14:paraId="6FA8395A"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WHO Factsheet on Tobacco Control, </w:t>
      </w:r>
      <w:r w:rsidRPr="00ED11AF">
        <w:rPr>
          <w:rFonts w:ascii="Times New Roman" w:eastAsia="Times New Roman" w:hAnsi="Times New Roman" w:cs="Times New Roman"/>
          <w:i/>
          <w:sz w:val="18"/>
          <w:szCs w:val="18"/>
        </w:rPr>
        <w:t xml:space="preserve">available </w:t>
      </w:r>
      <w:r w:rsidRPr="00ED11AF">
        <w:rPr>
          <w:rFonts w:ascii="Times New Roman" w:eastAsia="Times New Roman" w:hAnsi="Times New Roman" w:cs="Times New Roman"/>
          <w:sz w:val="18"/>
          <w:szCs w:val="18"/>
        </w:rPr>
        <w:t xml:space="preserve">at http://www.who.int/mediacentre/factsheets/fs339/en/. </w:t>
      </w:r>
    </w:p>
  </w:footnote>
  <w:footnote w:id="47">
    <w:p w14:paraId="23AD290F"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UNICEF Country Statistics, </w:t>
      </w:r>
      <w:r w:rsidRPr="00ED11AF">
        <w:rPr>
          <w:rFonts w:ascii="Times New Roman" w:eastAsia="Times New Roman" w:hAnsi="Times New Roman" w:cs="Times New Roman"/>
          <w:i/>
          <w:sz w:val="18"/>
          <w:szCs w:val="18"/>
        </w:rPr>
        <w:t xml:space="preserve">available </w:t>
      </w:r>
      <w:r w:rsidRPr="00ED11AF">
        <w:rPr>
          <w:rFonts w:ascii="Times New Roman" w:eastAsia="Times New Roman" w:hAnsi="Times New Roman" w:cs="Times New Roman"/>
          <w:sz w:val="18"/>
          <w:szCs w:val="18"/>
        </w:rPr>
        <w:t>at http://www.unicef.org/infobycountry/Tunisia_statistics.html.</w:t>
      </w:r>
    </w:p>
  </w:footnote>
  <w:footnote w:id="48">
    <w:p w14:paraId="450CE590" w14:textId="728DD472"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sz w:val="18"/>
          <w:szCs w:val="18"/>
          <w:highlight w:val="white"/>
        </w:rPr>
        <w:t>Kmietowicz Z. Australia sees large fall in smoking after introduction of standardized packs. BMJ. 2014 Jul 17;349(jul17 10):g4689\uc0\u8211{}g4689.</w:t>
      </w:r>
    </w:p>
  </w:footnote>
  <w:footnote w:id="49">
    <w:p w14:paraId="1ACF993C"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Calibri" w:hAnsi="Times New Roman" w:cs="Times New Roman"/>
          <w:sz w:val="18"/>
          <w:szCs w:val="18"/>
        </w:rPr>
        <w:t xml:space="preserve"> </w:t>
      </w:r>
      <w:r w:rsidRPr="00ED11AF">
        <w:rPr>
          <w:rFonts w:ascii="Times New Roman" w:eastAsia="Times New Roman" w:hAnsi="Times New Roman" w:cs="Times New Roman"/>
          <w:i/>
          <w:sz w:val="18"/>
          <w:szCs w:val="18"/>
        </w:rPr>
        <w:t>See</w:t>
      </w:r>
      <w:r w:rsidRPr="00ED11AF">
        <w:rPr>
          <w:rFonts w:ascii="Times New Roman" w:eastAsia="Times New Roman" w:hAnsi="Times New Roman" w:cs="Times New Roman"/>
          <w:sz w:val="18"/>
          <w:szCs w:val="18"/>
        </w:rPr>
        <w:t xml:space="preserve"> WHO Technical Manual on Tobacco Tax Administration at 76; </w:t>
      </w:r>
      <w:r w:rsidRPr="00ED11AF">
        <w:rPr>
          <w:rFonts w:ascii="Times New Roman" w:eastAsia="Times New Roman" w:hAnsi="Times New Roman" w:cs="Times New Roman"/>
          <w:i/>
          <w:sz w:val="18"/>
          <w:szCs w:val="18"/>
        </w:rPr>
        <w:t>see also The Potential and Peril of Health Insurance Tobacco Surcharge Programs: Evidence from Georgia’s State Employees’ Health Benefit Plan. Nicotine</w:t>
      </w:r>
      <w:r w:rsidRPr="00ED11AF">
        <w:rPr>
          <w:rFonts w:ascii="Times New Roman" w:eastAsia="Times New Roman" w:hAnsi="Times New Roman" w:cs="Times New Roman"/>
          <w:sz w:val="18"/>
          <w:szCs w:val="18"/>
        </w:rPr>
        <w:t xml:space="preserve"> (2014), statistics </w:t>
      </w:r>
      <w:r w:rsidRPr="00ED11AF">
        <w:rPr>
          <w:rFonts w:ascii="Times New Roman" w:eastAsia="Times New Roman" w:hAnsi="Times New Roman" w:cs="Times New Roman"/>
          <w:i/>
          <w:sz w:val="18"/>
          <w:szCs w:val="18"/>
        </w:rPr>
        <w:t>available</w:t>
      </w:r>
      <w:r w:rsidRPr="00ED11AF">
        <w:rPr>
          <w:rFonts w:ascii="Times New Roman" w:eastAsia="Times New Roman" w:hAnsi="Times New Roman" w:cs="Times New Roman"/>
          <w:sz w:val="18"/>
          <w:szCs w:val="18"/>
        </w:rPr>
        <w:t xml:space="preserve"> at http://www.tobaccoatlas.org/topic/taxes/ (where empirical evidence from a health insurance program study indicated that a surcharge on tobacco use–which equated to a $2.25 increase in cost of smoking per day–resulted in a 40% reduction in the tobacco usage rate). </w:t>
      </w:r>
    </w:p>
  </w:footnote>
  <w:footnote w:id="50">
    <w:p w14:paraId="2936570F" w14:textId="4FF0B249"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Calibri" w:hAnsi="Times New Roman" w:cs="Times New Roman"/>
          <w:sz w:val="18"/>
          <w:szCs w:val="18"/>
        </w:rPr>
        <w:t xml:space="preserve"> </w:t>
      </w:r>
      <w:r w:rsidRPr="00ED11AF">
        <w:rPr>
          <w:rFonts w:ascii="Times New Roman" w:eastAsia="Times New Roman" w:hAnsi="Times New Roman" w:cs="Times New Roman"/>
          <w:i/>
          <w:sz w:val="18"/>
          <w:szCs w:val="18"/>
        </w:rPr>
        <w:t>See</w:t>
      </w:r>
      <w:r w:rsidRPr="00ED11AF">
        <w:rPr>
          <w:rFonts w:ascii="Times New Roman" w:eastAsia="Times New Roman" w:hAnsi="Times New Roman" w:cs="Times New Roman"/>
          <w:sz w:val="18"/>
          <w:szCs w:val="18"/>
        </w:rPr>
        <w:t xml:space="preserve"> WHO Tunisia Country Report</w:t>
      </w:r>
      <w:r w:rsidRPr="00ED11AF">
        <w:rPr>
          <w:rFonts w:ascii="Times New Roman" w:eastAsia="Calibri" w:hAnsi="Times New Roman" w:cs="Times New Roman"/>
          <w:sz w:val="18"/>
          <w:szCs w:val="18"/>
        </w:rPr>
        <w:t xml:space="preserve">,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http://www.who.int/tobacco/surveillance/policy/country_profile/tun.pdf.</w:t>
      </w:r>
    </w:p>
  </w:footnote>
  <w:footnote w:id="51">
    <w:p w14:paraId="24B6A022" w14:textId="7449C110"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Calibri" w:hAnsi="Times New Roman" w:cs="Times New Roman"/>
          <w:sz w:val="18"/>
          <w:szCs w:val="18"/>
        </w:rPr>
        <w:t xml:space="preserve"> </w:t>
      </w:r>
      <w:r w:rsidRPr="00ED11AF">
        <w:rPr>
          <w:rFonts w:ascii="Times New Roman" w:eastAsia="Times New Roman" w:hAnsi="Times New Roman" w:cs="Times New Roman"/>
          <w:i/>
          <w:sz w:val="18"/>
          <w:szCs w:val="18"/>
        </w:rPr>
        <w:t>See</w:t>
      </w:r>
      <w:r w:rsidRPr="00ED11AF">
        <w:rPr>
          <w:rFonts w:ascii="Times New Roman" w:eastAsia="Times New Roman" w:hAnsi="Times New Roman" w:cs="Times New Roman"/>
          <w:sz w:val="18"/>
          <w:szCs w:val="18"/>
        </w:rPr>
        <w:t xml:space="preserve"> WHO Tobacco Control Fact Sheet,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 xml:space="preserve">http://www.who.int/mediacentre/factsheets/fs339/en/. </w:t>
      </w:r>
    </w:p>
  </w:footnote>
  <w:footnote w:id="52">
    <w:p w14:paraId="0D2A0F59"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eastAsia="Calibri" w:hAnsi="Times New Roman" w:cs="Times New Roman"/>
          <w:sz w:val="18"/>
          <w:szCs w:val="18"/>
        </w:rPr>
        <w:t xml:space="preserve"> </w:t>
      </w:r>
      <w:r w:rsidRPr="00ED11AF">
        <w:rPr>
          <w:rFonts w:ascii="Times New Roman" w:eastAsia="Times New Roman" w:hAnsi="Times New Roman" w:cs="Times New Roman"/>
          <w:i/>
          <w:sz w:val="18"/>
          <w:szCs w:val="18"/>
        </w:rPr>
        <w:t>See</w:t>
      </w:r>
      <w:r w:rsidRPr="00ED11AF">
        <w:rPr>
          <w:rFonts w:ascii="Times New Roman" w:eastAsia="Times New Roman" w:hAnsi="Times New Roman" w:cs="Times New Roman"/>
          <w:sz w:val="18"/>
          <w:szCs w:val="18"/>
        </w:rPr>
        <w:t xml:space="preserve"> FCTC Article 6.1. </w:t>
      </w:r>
    </w:p>
  </w:footnote>
  <w:footnote w:id="53">
    <w:p w14:paraId="219B7864" w14:textId="647FB599"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i/>
          <w:sz w:val="18"/>
          <w:szCs w:val="18"/>
        </w:rPr>
        <w:t xml:space="preserve">See </w:t>
      </w:r>
      <w:r w:rsidRPr="00ED11AF">
        <w:rPr>
          <w:rFonts w:ascii="Times New Roman" w:eastAsia="Times New Roman" w:hAnsi="Times New Roman" w:cs="Times New Roman"/>
          <w:sz w:val="18"/>
          <w:szCs w:val="18"/>
        </w:rPr>
        <w:t xml:space="preserve">WHO Economics and Elasticity Data Regarding Tobacco Control,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highlight w:val="white"/>
        </w:rPr>
        <w:t>http://www.who.int/tobacco/research/economics/prices_taxes_revenues/en/</w:t>
      </w:r>
      <w:r w:rsidRPr="00ED11AF">
        <w:rPr>
          <w:rFonts w:ascii="Times New Roman" w:eastAsia="Times New Roman" w:hAnsi="Times New Roman" w:cs="Times New Roman"/>
          <w:sz w:val="18"/>
          <w:szCs w:val="18"/>
        </w:rPr>
        <w:t xml:space="preserve">. </w:t>
      </w:r>
    </w:p>
  </w:footnote>
  <w:footnote w:id="54">
    <w:p w14:paraId="64664A80" w14:textId="77777777"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sz w:val="18"/>
          <w:szCs w:val="18"/>
        </w:rPr>
        <w:t>See Tobacco Atlas Statistics on Tunisia.</w:t>
      </w:r>
    </w:p>
  </w:footnote>
  <w:footnote w:id="55">
    <w:p w14:paraId="4344F6DA" w14:textId="70BF6A3E" w:rsidR="00ED11AF" w:rsidRPr="00ED11AF" w:rsidRDefault="00ED11AF" w:rsidP="00BA4EE4">
      <w:pPr>
        <w:pStyle w:val="Normal1"/>
        <w:spacing w:line="240" w:lineRule="auto"/>
        <w:rPr>
          <w:rFonts w:ascii="Times New Roman" w:hAnsi="Times New Roman" w:cs="Times New Roman"/>
          <w:sz w:val="18"/>
          <w:szCs w:val="18"/>
        </w:rPr>
      </w:pPr>
      <w:r w:rsidRPr="00ED11AF">
        <w:rPr>
          <w:rFonts w:ascii="Times New Roman" w:hAnsi="Times New Roman" w:cs="Times New Roman"/>
          <w:sz w:val="18"/>
          <w:szCs w:val="18"/>
          <w:vertAlign w:val="superscript"/>
        </w:rPr>
        <w:footnoteRef/>
      </w:r>
      <w:r w:rsidRPr="00ED11AF">
        <w:rPr>
          <w:rFonts w:ascii="Times New Roman" w:hAnsi="Times New Roman" w:cs="Times New Roman"/>
          <w:sz w:val="18"/>
          <w:szCs w:val="18"/>
        </w:rPr>
        <w:t xml:space="preserve"> </w:t>
      </w:r>
      <w:r w:rsidRPr="00ED11AF">
        <w:rPr>
          <w:rFonts w:ascii="Times New Roman" w:eastAsia="Times New Roman" w:hAnsi="Times New Roman" w:cs="Times New Roman"/>
          <w:sz w:val="18"/>
          <w:szCs w:val="18"/>
        </w:rPr>
        <w:t xml:space="preserve">See Global Cost of Living Database, </w:t>
      </w:r>
      <w:r w:rsidRPr="00ED11AF">
        <w:rPr>
          <w:rFonts w:ascii="Times New Roman" w:eastAsia="Times New Roman" w:hAnsi="Times New Roman" w:cs="Times New Roman"/>
          <w:i/>
          <w:sz w:val="18"/>
          <w:szCs w:val="18"/>
        </w:rPr>
        <w:t xml:space="preserve">available at: </w:t>
      </w:r>
      <w:r w:rsidRPr="00ED11AF">
        <w:rPr>
          <w:rFonts w:ascii="Times New Roman" w:eastAsia="Times New Roman" w:hAnsi="Times New Roman" w:cs="Times New Roman"/>
          <w:sz w:val="18"/>
          <w:szCs w:val="18"/>
        </w:rPr>
        <w:t>http://www.numbeo.com/cost-of-living/country_result.jsp?country=Tunisia&amp;displayCurrency=USD.</w:t>
      </w:r>
    </w:p>
  </w:footnote>
  <w:footnote w:id="56">
    <w:p w14:paraId="47BEE7AE" w14:textId="77777777" w:rsidR="00ED11AF" w:rsidRDefault="00ED11AF" w:rsidP="00BA4EE4">
      <w:pPr>
        <w:pStyle w:val="Normal1"/>
        <w:spacing w:line="240" w:lineRule="auto"/>
      </w:pPr>
      <w:r w:rsidRPr="00ED11AF">
        <w:rPr>
          <w:rFonts w:ascii="Times New Roman" w:hAnsi="Times New Roman" w:cs="Times New Roman"/>
          <w:sz w:val="18"/>
          <w:szCs w:val="18"/>
          <w:vertAlign w:val="superscript"/>
        </w:rPr>
        <w:footnoteRef/>
      </w:r>
      <w:r w:rsidRPr="00ED11AF">
        <w:rPr>
          <w:rFonts w:ascii="Times New Roman" w:eastAsia="Calibri" w:hAnsi="Times New Roman" w:cs="Times New Roman"/>
          <w:sz w:val="18"/>
          <w:szCs w:val="18"/>
        </w:rPr>
        <w:t xml:space="preserve"> </w:t>
      </w:r>
      <w:r w:rsidRPr="00ED11AF">
        <w:rPr>
          <w:rFonts w:ascii="Times New Roman" w:eastAsia="Times New Roman" w:hAnsi="Times New Roman" w:cs="Times New Roman"/>
          <w:i/>
          <w:sz w:val="18"/>
          <w:szCs w:val="18"/>
        </w:rPr>
        <w:t>Id</w:t>
      </w:r>
      <w:r w:rsidRPr="00ED11AF">
        <w:rPr>
          <w:rFonts w:ascii="Times New Roman" w:eastAsia="Times New Roman" w:hAnsi="Times New Roman" w:cs="Times New Roman"/>
          <w:sz w:val="18"/>
          <w:szCs w:val="18"/>
        </w:rPr>
        <w:t>.</w:t>
      </w:r>
      <w:r w:rsidRPr="00ED11AF">
        <w:rPr>
          <w:rFonts w:ascii="Times New Roman" w:eastAsia="Calibri" w:hAnsi="Times New Roman" w:cs="Times New Roman"/>
          <w:sz w:val="18"/>
          <w:szCs w:val="18"/>
        </w:rPr>
        <w:t xml:space="preserve"> </w:t>
      </w:r>
      <w:r w:rsidRPr="00ED11AF">
        <w:rPr>
          <w:rFonts w:ascii="Times New Roman" w:eastAsia="Times New Roman" w:hAnsi="Times New Roman" w:cs="Times New Roman"/>
          <w:sz w:val="18"/>
          <w:szCs w:val="18"/>
        </w:rPr>
        <w:t>at 138 (showing that Slovakia and Bulgaria have been leaders with respect to their excise taxes on cigarettes–both of which surpass WHO’s 70% benchmark).</w:t>
      </w:r>
      <w:r>
        <w:rPr>
          <w:rFonts w:ascii="Calibri" w:eastAsia="Calibri" w:hAnsi="Calibri" w:cs="Calibri"/>
          <w:sz w:val="16"/>
          <w:szCs w:val="16"/>
        </w:rPr>
        <w:t xml:space="preserve"> </w:t>
      </w:r>
    </w:p>
  </w:footnote>
  <w:footnote w:id="57">
    <w:p w14:paraId="466072EC" w14:textId="529B4B42" w:rsidR="003F1F08" w:rsidRDefault="003F1F08" w:rsidP="003F1F08">
      <w:pPr>
        <w:pStyle w:val="FootnoteText"/>
      </w:pPr>
      <w:r>
        <w:rPr>
          <w:rStyle w:val="FootnoteReference"/>
        </w:rPr>
        <w:footnoteRef/>
      </w:r>
      <w:r>
        <w:t xml:space="preserve"> </w:t>
      </w:r>
      <w:r w:rsidRPr="003B4B80">
        <w:rPr>
          <w:rFonts w:ascii="Times New Roman" w:hAnsi="Times New Roman" w:cs="Times New Roman"/>
          <w:sz w:val="18"/>
          <w:szCs w:val="18"/>
        </w:rPr>
        <w:t>See To</w:t>
      </w:r>
      <w:r w:rsidR="008E2686">
        <w:rPr>
          <w:rFonts w:ascii="Times New Roman" w:hAnsi="Times New Roman" w:cs="Times New Roman"/>
          <w:sz w:val="18"/>
          <w:szCs w:val="18"/>
        </w:rPr>
        <w:t>b</w:t>
      </w:r>
      <w:r w:rsidRPr="003B4B80">
        <w:rPr>
          <w:rFonts w:ascii="Times New Roman" w:hAnsi="Times New Roman" w:cs="Times New Roman"/>
          <w:sz w:val="18"/>
          <w:szCs w:val="18"/>
        </w:rPr>
        <w:t xml:space="preserve">acco and Poverty: A Vicious Cycle, </w:t>
      </w:r>
      <w:r w:rsidRPr="003B4B80">
        <w:rPr>
          <w:rFonts w:ascii="Times New Roman" w:hAnsi="Times New Roman" w:cs="Times New Roman"/>
          <w:i/>
          <w:sz w:val="18"/>
          <w:szCs w:val="18"/>
        </w:rPr>
        <w:t>available at</w:t>
      </w:r>
      <w:r>
        <w:rPr>
          <w:rFonts w:ascii="Times New Roman" w:hAnsi="Times New Roman" w:cs="Times New Roman"/>
          <w:sz w:val="18"/>
          <w:szCs w:val="18"/>
        </w:rPr>
        <w:t xml:space="preserve"> </w:t>
      </w:r>
      <w:hyperlink r:id="rId4" w:history="1">
        <w:r w:rsidRPr="003B4B80">
          <w:rPr>
            <w:rStyle w:val="Hyperlink"/>
            <w:rFonts w:ascii="Times New Roman" w:hAnsi="Times New Roman" w:cs="Times New Roman"/>
            <w:sz w:val="18"/>
            <w:szCs w:val="18"/>
          </w:rPr>
          <w:t>http://www.who.int/tobacco/communications/events/wntd/2004/en/wntd2004_brochure_en.pdf</w:t>
        </w:r>
      </w:hyperlink>
      <w:r>
        <w:rPr>
          <w:rFonts w:ascii="Times New Roman" w:hAnsi="Times New Roman" w:cs="Times New Roman"/>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F6043" w14:textId="77777777" w:rsidR="00ED11AF" w:rsidRPr="00D20F6C" w:rsidRDefault="00ED11AF" w:rsidP="00013FDF">
    <w:pPr>
      <w:pStyle w:val="Normal1"/>
      <w:rPr>
        <w:rFonts w:ascii="Times New Roman" w:hAnsi="Times New Roman" w:cs="Times New Roman"/>
      </w:rPr>
    </w:pPr>
  </w:p>
  <w:p w14:paraId="4536441D" w14:textId="77777777" w:rsidR="00ED11AF" w:rsidRDefault="00ED11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E0E2A" w14:textId="77777777" w:rsidR="00ED11AF" w:rsidRDefault="00ED11AF">
    <w:pPr>
      <w:pStyle w:val="Normal1"/>
    </w:pPr>
  </w:p>
  <w:p w14:paraId="3EE25552" w14:textId="77777777" w:rsidR="00ED11AF" w:rsidRDefault="00ED11AF">
    <w:pPr>
      <w:pStyle w:val="Normal1"/>
    </w:pPr>
  </w:p>
  <w:p w14:paraId="0BF0127E" w14:textId="77777777" w:rsidR="00ED11AF" w:rsidRDefault="00ED11AF">
    <w:pPr>
      <w:pStyle w:val="Normal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009DA"/>
    <w:multiLevelType w:val="multilevel"/>
    <w:tmpl w:val="4088357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13F26861"/>
    <w:multiLevelType w:val="multilevel"/>
    <w:tmpl w:val="3AD0AD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5533E9A"/>
    <w:multiLevelType w:val="multilevel"/>
    <w:tmpl w:val="9D30B5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20D83EE8"/>
    <w:multiLevelType w:val="multilevel"/>
    <w:tmpl w:val="F50C65E6"/>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4">
    <w:nsid w:val="39C02833"/>
    <w:multiLevelType w:val="multilevel"/>
    <w:tmpl w:val="C368EF8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50DC612F"/>
    <w:multiLevelType w:val="multilevel"/>
    <w:tmpl w:val="1FA8EB2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5A6F1605"/>
    <w:multiLevelType w:val="multilevel"/>
    <w:tmpl w:val="D94E0DFC"/>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66593A46"/>
    <w:multiLevelType w:val="multilevel"/>
    <w:tmpl w:val="A148C37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69A0662E"/>
    <w:multiLevelType w:val="multilevel"/>
    <w:tmpl w:val="62B8C6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8"/>
  </w:num>
  <w:num w:numId="2">
    <w:abstractNumId w:val="3"/>
  </w:num>
  <w:num w:numId="3">
    <w:abstractNumId w:val="6"/>
  </w:num>
  <w:num w:numId="4">
    <w:abstractNumId w:val="7"/>
  </w:num>
  <w:num w:numId="5">
    <w:abstractNumId w:val="4"/>
  </w:num>
  <w:num w:numId="6">
    <w:abstractNumId w:val="5"/>
  </w:num>
  <w:num w:numId="7">
    <w:abstractNumId w:val="0"/>
  </w:num>
  <w:num w:numId="8">
    <w:abstractNumId w:val="1"/>
  </w:num>
  <w:num w:numId="9">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h A Roache">
    <w15:presenceInfo w15:providerId="AD" w15:userId="S-1-5-21-17264431-2116576262-347745105-563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009"/>
    <w:rsid w:val="00013FDF"/>
    <w:rsid w:val="00086B91"/>
    <w:rsid w:val="000A7293"/>
    <w:rsid w:val="00122992"/>
    <w:rsid w:val="00123C78"/>
    <w:rsid w:val="001343D7"/>
    <w:rsid w:val="001D26C7"/>
    <w:rsid w:val="001E4E5C"/>
    <w:rsid w:val="002011CC"/>
    <w:rsid w:val="00215BB6"/>
    <w:rsid w:val="003F1F08"/>
    <w:rsid w:val="00452321"/>
    <w:rsid w:val="004839AB"/>
    <w:rsid w:val="004A6261"/>
    <w:rsid w:val="004B7D0F"/>
    <w:rsid w:val="00525C42"/>
    <w:rsid w:val="00530009"/>
    <w:rsid w:val="005A5BD4"/>
    <w:rsid w:val="006D06C9"/>
    <w:rsid w:val="00711061"/>
    <w:rsid w:val="0078326E"/>
    <w:rsid w:val="008E2686"/>
    <w:rsid w:val="009932CE"/>
    <w:rsid w:val="00A11A7F"/>
    <w:rsid w:val="00AB345A"/>
    <w:rsid w:val="00AF0AC5"/>
    <w:rsid w:val="00B22FE5"/>
    <w:rsid w:val="00B35894"/>
    <w:rsid w:val="00B57813"/>
    <w:rsid w:val="00B706D2"/>
    <w:rsid w:val="00B8415D"/>
    <w:rsid w:val="00BA4EE4"/>
    <w:rsid w:val="00C420A8"/>
    <w:rsid w:val="00D004C7"/>
    <w:rsid w:val="00D20F6C"/>
    <w:rsid w:val="00DA66C2"/>
    <w:rsid w:val="00DB6E42"/>
    <w:rsid w:val="00ED11AF"/>
    <w:rsid w:val="00FA157D"/>
    <w:rsid w:val="00FE76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2D1F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FDF"/>
    <w:pPr>
      <w:spacing w:line="276" w:lineRule="auto"/>
    </w:pPr>
    <w:rPr>
      <w:rFonts w:ascii="Arial" w:eastAsia="Arial" w:hAnsi="Arial" w:cs="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3FDF"/>
    <w:pPr>
      <w:spacing w:line="276" w:lineRule="auto"/>
    </w:pPr>
    <w:rPr>
      <w:rFonts w:ascii="Arial" w:eastAsia="Arial" w:hAnsi="Arial" w:cs="Arial"/>
      <w:color w:val="000000"/>
      <w:sz w:val="22"/>
      <w:szCs w:val="22"/>
    </w:rPr>
  </w:style>
  <w:style w:type="paragraph" w:styleId="Header">
    <w:name w:val="header"/>
    <w:basedOn w:val="Normal"/>
    <w:link w:val="HeaderChar"/>
    <w:uiPriority w:val="99"/>
    <w:unhideWhenUsed/>
    <w:rsid w:val="00013FDF"/>
    <w:pPr>
      <w:tabs>
        <w:tab w:val="center" w:pos="4320"/>
        <w:tab w:val="right" w:pos="8640"/>
      </w:tabs>
      <w:spacing w:line="240" w:lineRule="auto"/>
    </w:pPr>
  </w:style>
  <w:style w:type="character" w:customStyle="1" w:styleId="HeaderChar">
    <w:name w:val="Header Char"/>
    <w:basedOn w:val="DefaultParagraphFont"/>
    <w:link w:val="Header"/>
    <w:uiPriority w:val="99"/>
    <w:rsid w:val="00013FDF"/>
    <w:rPr>
      <w:rFonts w:ascii="Arial" w:eastAsia="Arial" w:hAnsi="Arial" w:cs="Arial"/>
      <w:color w:val="000000"/>
      <w:sz w:val="22"/>
      <w:szCs w:val="22"/>
    </w:rPr>
  </w:style>
  <w:style w:type="paragraph" w:styleId="Footer">
    <w:name w:val="footer"/>
    <w:basedOn w:val="Normal"/>
    <w:link w:val="FooterChar"/>
    <w:uiPriority w:val="99"/>
    <w:unhideWhenUsed/>
    <w:rsid w:val="00013FDF"/>
    <w:pPr>
      <w:tabs>
        <w:tab w:val="center" w:pos="4320"/>
        <w:tab w:val="right" w:pos="8640"/>
      </w:tabs>
      <w:spacing w:line="240" w:lineRule="auto"/>
    </w:pPr>
  </w:style>
  <w:style w:type="character" w:customStyle="1" w:styleId="FooterChar">
    <w:name w:val="Footer Char"/>
    <w:basedOn w:val="DefaultParagraphFont"/>
    <w:link w:val="Footer"/>
    <w:uiPriority w:val="99"/>
    <w:rsid w:val="00013FDF"/>
    <w:rPr>
      <w:rFonts w:ascii="Arial" w:eastAsia="Arial" w:hAnsi="Arial" w:cs="Arial"/>
      <w:color w:val="000000"/>
      <w:sz w:val="22"/>
      <w:szCs w:val="22"/>
    </w:rPr>
  </w:style>
  <w:style w:type="paragraph" w:styleId="FootnoteText">
    <w:name w:val="footnote text"/>
    <w:basedOn w:val="Normal"/>
    <w:link w:val="FootnoteTextChar"/>
    <w:uiPriority w:val="99"/>
    <w:unhideWhenUsed/>
    <w:rsid w:val="005A5BD4"/>
    <w:pPr>
      <w:spacing w:line="240" w:lineRule="auto"/>
    </w:pPr>
    <w:rPr>
      <w:sz w:val="24"/>
      <w:szCs w:val="24"/>
    </w:rPr>
  </w:style>
  <w:style w:type="character" w:customStyle="1" w:styleId="FootnoteTextChar">
    <w:name w:val="Footnote Text Char"/>
    <w:basedOn w:val="DefaultParagraphFont"/>
    <w:link w:val="FootnoteText"/>
    <w:uiPriority w:val="99"/>
    <w:rsid w:val="005A5BD4"/>
    <w:rPr>
      <w:rFonts w:ascii="Arial" w:eastAsia="Arial" w:hAnsi="Arial" w:cs="Arial"/>
      <w:color w:val="000000"/>
    </w:rPr>
  </w:style>
  <w:style w:type="character" w:styleId="FootnoteReference">
    <w:name w:val="footnote reference"/>
    <w:basedOn w:val="DefaultParagraphFont"/>
    <w:uiPriority w:val="99"/>
    <w:unhideWhenUsed/>
    <w:rsid w:val="005A5BD4"/>
    <w:rPr>
      <w:vertAlign w:val="superscript"/>
    </w:rPr>
  </w:style>
  <w:style w:type="character" w:styleId="CommentReference">
    <w:name w:val="annotation reference"/>
    <w:basedOn w:val="DefaultParagraphFont"/>
    <w:uiPriority w:val="99"/>
    <w:semiHidden/>
    <w:unhideWhenUsed/>
    <w:rsid w:val="006D06C9"/>
    <w:rPr>
      <w:sz w:val="16"/>
      <w:szCs w:val="16"/>
    </w:rPr>
  </w:style>
  <w:style w:type="paragraph" w:styleId="CommentText">
    <w:name w:val="annotation text"/>
    <w:basedOn w:val="Normal"/>
    <w:link w:val="CommentTextChar"/>
    <w:uiPriority w:val="99"/>
    <w:semiHidden/>
    <w:unhideWhenUsed/>
    <w:rsid w:val="006D06C9"/>
    <w:pPr>
      <w:spacing w:line="240" w:lineRule="auto"/>
    </w:pPr>
    <w:rPr>
      <w:sz w:val="20"/>
      <w:szCs w:val="20"/>
    </w:rPr>
  </w:style>
  <w:style w:type="character" w:customStyle="1" w:styleId="CommentTextChar">
    <w:name w:val="Comment Text Char"/>
    <w:basedOn w:val="DefaultParagraphFont"/>
    <w:link w:val="CommentText"/>
    <w:uiPriority w:val="99"/>
    <w:semiHidden/>
    <w:rsid w:val="006D06C9"/>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6D06C9"/>
    <w:rPr>
      <w:b/>
      <w:bCs/>
    </w:rPr>
  </w:style>
  <w:style w:type="character" w:customStyle="1" w:styleId="CommentSubjectChar">
    <w:name w:val="Comment Subject Char"/>
    <w:basedOn w:val="CommentTextChar"/>
    <w:link w:val="CommentSubject"/>
    <w:uiPriority w:val="99"/>
    <w:semiHidden/>
    <w:rsid w:val="006D06C9"/>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6D06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6C9"/>
    <w:rPr>
      <w:rFonts w:ascii="Tahoma" w:eastAsia="Arial" w:hAnsi="Tahoma" w:cs="Tahoma"/>
      <w:color w:val="000000"/>
      <w:sz w:val="16"/>
      <w:szCs w:val="16"/>
    </w:rPr>
  </w:style>
  <w:style w:type="character" w:styleId="Hyperlink">
    <w:name w:val="Hyperlink"/>
    <w:basedOn w:val="DefaultParagraphFont"/>
    <w:uiPriority w:val="99"/>
    <w:unhideWhenUsed/>
    <w:rsid w:val="003F1F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FDF"/>
    <w:pPr>
      <w:spacing w:line="276" w:lineRule="auto"/>
    </w:pPr>
    <w:rPr>
      <w:rFonts w:ascii="Arial" w:eastAsia="Arial" w:hAnsi="Arial" w:cs="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3FDF"/>
    <w:pPr>
      <w:spacing w:line="276" w:lineRule="auto"/>
    </w:pPr>
    <w:rPr>
      <w:rFonts w:ascii="Arial" w:eastAsia="Arial" w:hAnsi="Arial" w:cs="Arial"/>
      <w:color w:val="000000"/>
      <w:sz w:val="22"/>
      <w:szCs w:val="22"/>
    </w:rPr>
  </w:style>
  <w:style w:type="paragraph" w:styleId="Header">
    <w:name w:val="header"/>
    <w:basedOn w:val="Normal"/>
    <w:link w:val="HeaderChar"/>
    <w:uiPriority w:val="99"/>
    <w:unhideWhenUsed/>
    <w:rsid w:val="00013FDF"/>
    <w:pPr>
      <w:tabs>
        <w:tab w:val="center" w:pos="4320"/>
        <w:tab w:val="right" w:pos="8640"/>
      </w:tabs>
      <w:spacing w:line="240" w:lineRule="auto"/>
    </w:pPr>
  </w:style>
  <w:style w:type="character" w:customStyle="1" w:styleId="HeaderChar">
    <w:name w:val="Header Char"/>
    <w:basedOn w:val="DefaultParagraphFont"/>
    <w:link w:val="Header"/>
    <w:uiPriority w:val="99"/>
    <w:rsid w:val="00013FDF"/>
    <w:rPr>
      <w:rFonts w:ascii="Arial" w:eastAsia="Arial" w:hAnsi="Arial" w:cs="Arial"/>
      <w:color w:val="000000"/>
      <w:sz w:val="22"/>
      <w:szCs w:val="22"/>
    </w:rPr>
  </w:style>
  <w:style w:type="paragraph" w:styleId="Footer">
    <w:name w:val="footer"/>
    <w:basedOn w:val="Normal"/>
    <w:link w:val="FooterChar"/>
    <w:uiPriority w:val="99"/>
    <w:unhideWhenUsed/>
    <w:rsid w:val="00013FDF"/>
    <w:pPr>
      <w:tabs>
        <w:tab w:val="center" w:pos="4320"/>
        <w:tab w:val="right" w:pos="8640"/>
      </w:tabs>
      <w:spacing w:line="240" w:lineRule="auto"/>
    </w:pPr>
  </w:style>
  <w:style w:type="character" w:customStyle="1" w:styleId="FooterChar">
    <w:name w:val="Footer Char"/>
    <w:basedOn w:val="DefaultParagraphFont"/>
    <w:link w:val="Footer"/>
    <w:uiPriority w:val="99"/>
    <w:rsid w:val="00013FDF"/>
    <w:rPr>
      <w:rFonts w:ascii="Arial" w:eastAsia="Arial" w:hAnsi="Arial" w:cs="Arial"/>
      <w:color w:val="000000"/>
      <w:sz w:val="22"/>
      <w:szCs w:val="22"/>
    </w:rPr>
  </w:style>
  <w:style w:type="paragraph" w:styleId="FootnoteText">
    <w:name w:val="footnote text"/>
    <w:basedOn w:val="Normal"/>
    <w:link w:val="FootnoteTextChar"/>
    <w:uiPriority w:val="99"/>
    <w:unhideWhenUsed/>
    <w:rsid w:val="005A5BD4"/>
    <w:pPr>
      <w:spacing w:line="240" w:lineRule="auto"/>
    </w:pPr>
    <w:rPr>
      <w:sz w:val="24"/>
      <w:szCs w:val="24"/>
    </w:rPr>
  </w:style>
  <w:style w:type="character" w:customStyle="1" w:styleId="FootnoteTextChar">
    <w:name w:val="Footnote Text Char"/>
    <w:basedOn w:val="DefaultParagraphFont"/>
    <w:link w:val="FootnoteText"/>
    <w:uiPriority w:val="99"/>
    <w:rsid w:val="005A5BD4"/>
    <w:rPr>
      <w:rFonts w:ascii="Arial" w:eastAsia="Arial" w:hAnsi="Arial" w:cs="Arial"/>
      <w:color w:val="000000"/>
    </w:rPr>
  </w:style>
  <w:style w:type="character" w:styleId="FootnoteReference">
    <w:name w:val="footnote reference"/>
    <w:basedOn w:val="DefaultParagraphFont"/>
    <w:uiPriority w:val="99"/>
    <w:unhideWhenUsed/>
    <w:rsid w:val="005A5BD4"/>
    <w:rPr>
      <w:vertAlign w:val="superscript"/>
    </w:rPr>
  </w:style>
  <w:style w:type="character" w:styleId="CommentReference">
    <w:name w:val="annotation reference"/>
    <w:basedOn w:val="DefaultParagraphFont"/>
    <w:uiPriority w:val="99"/>
    <w:semiHidden/>
    <w:unhideWhenUsed/>
    <w:rsid w:val="006D06C9"/>
    <w:rPr>
      <w:sz w:val="16"/>
      <w:szCs w:val="16"/>
    </w:rPr>
  </w:style>
  <w:style w:type="paragraph" w:styleId="CommentText">
    <w:name w:val="annotation text"/>
    <w:basedOn w:val="Normal"/>
    <w:link w:val="CommentTextChar"/>
    <w:uiPriority w:val="99"/>
    <w:semiHidden/>
    <w:unhideWhenUsed/>
    <w:rsid w:val="006D06C9"/>
    <w:pPr>
      <w:spacing w:line="240" w:lineRule="auto"/>
    </w:pPr>
    <w:rPr>
      <w:sz w:val="20"/>
      <w:szCs w:val="20"/>
    </w:rPr>
  </w:style>
  <w:style w:type="character" w:customStyle="1" w:styleId="CommentTextChar">
    <w:name w:val="Comment Text Char"/>
    <w:basedOn w:val="DefaultParagraphFont"/>
    <w:link w:val="CommentText"/>
    <w:uiPriority w:val="99"/>
    <w:semiHidden/>
    <w:rsid w:val="006D06C9"/>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6D06C9"/>
    <w:rPr>
      <w:b/>
      <w:bCs/>
    </w:rPr>
  </w:style>
  <w:style w:type="character" w:customStyle="1" w:styleId="CommentSubjectChar">
    <w:name w:val="Comment Subject Char"/>
    <w:basedOn w:val="CommentTextChar"/>
    <w:link w:val="CommentSubject"/>
    <w:uiPriority w:val="99"/>
    <w:semiHidden/>
    <w:rsid w:val="006D06C9"/>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6D06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6C9"/>
    <w:rPr>
      <w:rFonts w:ascii="Tahoma" w:eastAsia="Arial" w:hAnsi="Tahoma" w:cs="Tahoma"/>
      <w:color w:val="000000"/>
      <w:sz w:val="16"/>
      <w:szCs w:val="16"/>
    </w:rPr>
  </w:style>
  <w:style w:type="character" w:styleId="Hyperlink">
    <w:name w:val="Hyperlink"/>
    <w:basedOn w:val="DefaultParagraphFont"/>
    <w:uiPriority w:val="99"/>
    <w:unhideWhenUsed/>
    <w:rsid w:val="003F1F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502311">
      <w:bodyDiv w:val="1"/>
      <w:marLeft w:val="0"/>
      <w:marRight w:val="0"/>
      <w:marTop w:val="0"/>
      <w:marBottom w:val="0"/>
      <w:divBdr>
        <w:top w:val="none" w:sz="0" w:space="0" w:color="auto"/>
        <w:left w:val="none" w:sz="0" w:space="0" w:color="auto"/>
        <w:bottom w:val="none" w:sz="0" w:space="0" w:color="auto"/>
        <w:right w:val="none" w:sz="0" w:space="0" w:color="auto"/>
      </w:divBdr>
    </w:div>
    <w:div w:id="440613375">
      <w:bodyDiv w:val="1"/>
      <w:marLeft w:val="0"/>
      <w:marRight w:val="0"/>
      <w:marTop w:val="0"/>
      <w:marBottom w:val="0"/>
      <w:divBdr>
        <w:top w:val="none" w:sz="0" w:space="0" w:color="auto"/>
        <w:left w:val="none" w:sz="0" w:space="0" w:color="auto"/>
        <w:bottom w:val="none" w:sz="0" w:space="0" w:color="auto"/>
        <w:right w:val="none" w:sz="0" w:space="0" w:color="auto"/>
      </w:divBdr>
    </w:div>
    <w:div w:id="911278444">
      <w:bodyDiv w:val="1"/>
      <w:marLeft w:val="0"/>
      <w:marRight w:val="0"/>
      <w:marTop w:val="0"/>
      <w:marBottom w:val="0"/>
      <w:divBdr>
        <w:top w:val="none" w:sz="0" w:space="0" w:color="auto"/>
        <w:left w:val="none" w:sz="0" w:space="0" w:color="auto"/>
        <w:bottom w:val="none" w:sz="0" w:space="0" w:color="auto"/>
        <w:right w:val="none" w:sz="0" w:space="0" w:color="auto"/>
      </w:divBdr>
    </w:div>
    <w:div w:id="1122656184">
      <w:bodyDiv w:val="1"/>
      <w:marLeft w:val="0"/>
      <w:marRight w:val="0"/>
      <w:marTop w:val="0"/>
      <w:marBottom w:val="0"/>
      <w:divBdr>
        <w:top w:val="none" w:sz="0" w:space="0" w:color="auto"/>
        <w:left w:val="none" w:sz="0" w:space="0" w:color="auto"/>
        <w:bottom w:val="none" w:sz="0" w:space="0" w:color="auto"/>
        <w:right w:val="none" w:sz="0" w:space="0" w:color="auto"/>
      </w:divBdr>
    </w:div>
    <w:div w:id="1398893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3" Type="http://schemas.openxmlformats.org/officeDocument/2006/relationships/hyperlink" Target="http://www.who.int/fctc/guidelines/adopted/guidel_2011/en/" TargetMode="External"/><Relationship Id="rId2" Type="http://schemas.openxmlformats.org/officeDocument/2006/relationships/hyperlink" Target="http://www.who.int/fctc/guidelines/adopted/guidel_2011/en/" TargetMode="External"/><Relationship Id="rId1" Type="http://schemas.openxmlformats.org/officeDocument/2006/relationships/hyperlink" Target="http://www.geocities.jp/m_kato_clinic/mini-age-tobacco-eng-1.html" TargetMode="External"/><Relationship Id="rId4" Type="http://schemas.openxmlformats.org/officeDocument/2006/relationships/hyperlink" Target="http://www.who.int/tobacco/communications/events/wntd/2004/en/wntd2004_brochure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E0F57C-8B36-465E-B602-DE1647F05673}"/>
</file>

<file path=customXml/itemProps2.xml><?xml version="1.0" encoding="utf-8"?>
<ds:datastoreItem xmlns:ds="http://schemas.openxmlformats.org/officeDocument/2006/customXml" ds:itemID="{593120D9-5F0D-4A13-A809-53F35B58F06E}"/>
</file>

<file path=customXml/itemProps3.xml><?xml version="1.0" encoding="utf-8"?>
<ds:datastoreItem xmlns:ds="http://schemas.openxmlformats.org/officeDocument/2006/customXml" ds:itemID="{B22F6347-F7F8-49C6-9A9E-FEA02FE2429C}"/>
</file>

<file path=customXml/itemProps4.xml><?xml version="1.0" encoding="utf-8"?>
<ds:datastoreItem xmlns:ds="http://schemas.openxmlformats.org/officeDocument/2006/customXml" ds:itemID="{79181967-9909-4501-ACC7-BC6E021C8D1E}"/>
</file>

<file path=docProps/app.xml><?xml version="1.0" encoding="utf-8"?>
<Properties xmlns="http://schemas.openxmlformats.org/officeDocument/2006/extended-properties" xmlns:vt="http://schemas.openxmlformats.org/officeDocument/2006/docPropsVTypes">
  <Template>Normal.dotm</Template>
  <TotalTime>1</TotalTime>
  <Pages>13</Pages>
  <Words>2934</Words>
  <Characters>16727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Romeo-Stuppy</dc:creator>
  <cp:lastModifiedBy>CESCR Intern2 OHCHR</cp:lastModifiedBy>
  <cp:revision>2</cp:revision>
  <cp:lastPrinted>2016-08-15T13:52:00Z</cp:lastPrinted>
  <dcterms:created xsi:type="dcterms:W3CDTF">2016-08-26T10:35:00Z</dcterms:created>
  <dcterms:modified xsi:type="dcterms:W3CDTF">2016-08-26T10:35:00Z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