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DAD768" w14:textId="0713F142" w:rsidR="00BD5D1A" w:rsidRDefault="009B6E1E" w:rsidP="007E3409">
      <w:r>
        <w:rPr>
          <w:noProof/>
          <w:lang w:val="fr-FR" w:eastAsia="fr-FR"/>
        </w:rPr>
        <w:drawing>
          <wp:anchor distT="0" distB="0" distL="114300" distR="114300" simplePos="0" relativeHeight="251658240" behindDoc="1" locked="0" layoutInCell="1" allowOverlap="1" wp14:anchorId="79985943" wp14:editId="6E729188">
            <wp:simplePos x="0" y="0"/>
            <wp:positionH relativeFrom="column">
              <wp:posOffset>-914400</wp:posOffset>
            </wp:positionH>
            <wp:positionV relativeFrom="paragraph">
              <wp:posOffset>2979420</wp:posOffset>
            </wp:positionV>
            <wp:extent cx="7573010" cy="5168900"/>
            <wp:effectExtent l="0" t="0" r="0" b="12700"/>
            <wp:wrapTight wrapText="bothSides">
              <wp:wrapPolygon edited="0">
                <wp:start x="0" y="0"/>
                <wp:lineTo x="0" y="21547"/>
                <wp:lineTo x="21517" y="21547"/>
                <wp:lineTo x="215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9-13 at 10.54.53.png"/>
                    <pic:cNvPicPr/>
                  </pic:nvPicPr>
                  <pic:blipFill>
                    <a:blip r:embed="rId7"/>
                    <a:stretch>
                      <a:fillRect/>
                    </a:stretch>
                  </pic:blipFill>
                  <pic:spPr>
                    <a:xfrm>
                      <a:off x="0" y="0"/>
                      <a:ext cx="7573010" cy="5168900"/>
                    </a:xfrm>
                    <a:prstGeom prst="rect">
                      <a:avLst/>
                    </a:prstGeom>
                  </pic:spPr>
                </pic:pic>
              </a:graphicData>
            </a:graphic>
            <wp14:sizeRelH relativeFrom="page">
              <wp14:pctWidth>0</wp14:pctWidth>
            </wp14:sizeRelH>
            <wp14:sizeRelV relativeFrom="page">
              <wp14:pctHeight>0</wp14:pctHeight>
            </wp14:sizeRelV>
          </wp:anchor>
        </w:drawing>
      </w:r>
      <w:r>
        <w:rPr>
          <w:noProof/>
          <w:lang w:val="fr-FR" w:eastAsia="fr-FR"/>
        </w:rPr>
        <mc:AlternateContent>
          <mc:Choice Requires="wps">
            <w:drawing>
              <wp:anchor distT="0" distB="457200" distL="114300" distR="114300" simplePos="0" relativeHeight="251654656" behindDoc="0" locked="0" layoutInCell="1" allowOverlap="1" wp14:anchorId="70788B17" wp14:editId="349C2302">
                <wp:simplePos x="0" y="0"/>
                <wp:positionH relativeFrom="margin">
                  <wp:posOffset>-914400</wp:posOffset>
                </wp:positionH>
                <wp:positionV relativeFrom="paragraph">
                  <wp:posOffset>0</wp:posOffset>
                </wp:positionV>
                <wp:extent cx="7552690" cy="3716020"/>
                <wp:effectExtent l="0" t="0" r="3810" b="5080"/>
                <wp:wrapThrough wrapText="bothSides">
                  <wp:wrapPolygon edited="0">
                    <wp:start x="0" y="0"/>
                    <wp:lineTo x="0" y="21556"/>
                    <wp:lineTo x="21575" y="21556"/>
                    <wp:lineTo x="21575" y="0"/>
                    <wp:lineTo x="0" y="0"/>
                  </wp:wrapPolygon>
                </wp:wrapThrough>
                <wp:docPr id="5" name="Rectangle 5" descr="Title: Titr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2690" cy="3716020"/>
                        </a:xfrm>
                        <a:prstGeom prst="rect">
                          <a:avLst/>
                        </a:prstGeom>
                        <a:solidFill>
                          <a:srgbClr val="0070C0">
                            <a:alpha val="85000"/>
                          </a:srgbClr>
                        </a:solidFill>
                        <a:ln>
                          <a:noFill/>
                        </a:ln>
                      </wps:spPr>
                      <wps:txbx>
                        <w:txbxContent>
                          <w:p w14:paraId="53F8B4E3" w14:textId="3D649EA7" w:rsidR="00EB598C" w:rsidRPr="005230F9" w:rsidRDefault="00EB598C" w:rsidP="005230F9">
                            <w:pPr>
                              <w:pStyle w:val="Heading1"/>
                              <w:numPr>
                                <w:ilvl w:val="0"/>
                                <w:numId w:val="0"/>
                              </w:numPr>
                              <w:ind w:left="1418" w:right="1011"/>
                              <w:jc w:val="right"/>
                              <w:rPr>
                                <w:rFonts w:ascii="Century Gothic" w:hAnsi="Century Gothic"/>
                                <w:b w:val="0"/>
                                <w:bCs w:val="0"/>
                                <w:color w:val="FFFFFF" w:themeColor="background1"/>
                                <w:lang w:val="en-US"/>
                              </w:rPr>
                            </w:pPr>
                            <w:r>
                              <w:rPr>
                                <w:rFonts w:ascii="Century Gothic" w:hAnsi="Century Gothic"/>
                                <w:color w:val="FFFFFF" w:themeColor="background1"/>
                                <w:lang w:val="en-US"/>
                              </w:rPr>
                              <w:t>CSO follow-up report on the implementation of the Human Rights Committee’s recommendations</w:t>
                            </w:r>
                          </w:p>
                          <w:p w14:paraId="0740406F" w14:textId="77777777" w:rsidR="00EB598C" w:rsidRPr="004715EA" w:rsidRDefault="00EB598C" w:rsidP="005230F9">
                            <w:pPr>
                              <w:ind w:right="1011"/>
                              <w:jc w:val="right"/>
                              <w:rPr>
                                <w:rFonts w:ascii="Century Gothic" w:eastAsia="MS Gothic" w:hAnsi="Century Gothic"/>
                                <w:b/>
                                <w:bCs/>
                                <w:color w:val="FFFFFF" w:themeColor="background1"/>
                                <w:sz w:val="110"/>
                                <w:szCs w:val="110"/>
                                <w:lang w:val="en-US"/>
                              </w:rPr>
                            </w:pPr>
                            <w:r w:rsidRPr="004715EA">
                              <w:rPr>
                                <w:rFonts w:ascii="Century Gothic" w:eastAsia="MS Gothic" w:hAnsi="Century Gothic"/>
                                <w:b/>
                                <w:bCs/>
                                <w:color w:val="FFFFFF" w:themeColor="background1"/>
                                <w:sz w:val="110"/>
                                <w:szCs w:val="110"/>
                                <w:lang w:val="en-US"/>
                              </w:rPr>
                              <w:t>Jamaica</w:t>
                            </w:r>
                          </w:p>
                          <w:p w14:paraId="46F49F3E" w14:textId="70758531" w:rsidR="00EB598C" w:rsidRPr="005230F9" w:rsidRDefault="001D459A" w:rsidP="005230F9">
                            <w:pPr>
                              <w:ind w:right="1011"/>
                              <w:jc w:val="right"/>
                              <w:rPr>
                                <w:rFonts w:ascii="Century Gothic" w:eastAsia="MS Gothic" w:hAnsi="Century Gothic"/>
                                <w:b/>
                                <w:bCs/>
                                <w:color w:val="FFFFFF" w:themeColor="background1"/>
                                <w:sz w:val="28"/>
                                <w:szCs w:val="28"/>
                                <w:lang w:val="en-US"/>
                              </w:rPr>
                            </w:pPr>
                            <w:r>
                              <w:rPr>
                                <w:rFonts w:ascii="Century Gothic" w:eastAsia="MS Gothic" w:hAnsi="Century Gothic"/>
                                <w:b/>
                                <w:bCs/>
                                <w:color w:val="FFFFFF" w:themeColor="background1"/>
                                <w:sz w:val="28"/>
                                <w:szCs w:val="28"/>
                                <w:lang w:val="en-US"/>
                              </w:rPr>
                              <w:t>March</w:t>
                            </w:r>
                            <w:r w:rsidR="00376112">
                              <w:rPr>
                                <w:rFonts w:ascii="Century Gothic" w:eastAsia="MS Gothic" w:hAnsi="Century Gothic"/>
                                <w:b/>
                                <w:bCs/>
                                <w:color w:val="FFFFFF" w:themeColor="background1"/>
                                <w:sz w:val="28"/>
                                <w:szCs w:val="28"/>
                                <w:lang w:val="en-US"/>
                              </w:rPr>
                              <w:t xml:space="preserve"> 2019</w:t>
                            </w:r>
                          </w:p>
                          <w:p w14:paraId="0182CA28" w14:textId="77777777" w:rsidR="00EB598C" w:rsidRPr="00510280" w:rsidRDefault="00EB598C" w:rsidP="005230F9">
                            <w:pPr>
                              <w:ind w:right="1011"/>
                              <w:jc w:val="right"/>
                              <w:rPr>
                                <w:rFonts w:ascii="Century Gothic" w:eastAsia="MS Gothic" w:hAnsi="Century Gothic"/>
                                <w:b/>
                                <w:bCs/>
                                <w:color w:val="FFFFFF" w:themeColor="background1"/>
                                <w:sz w:val="28"/>
                                <w:szCs w:val="28"/>
                                <w:lang w:val="en-US"/>
                              </w:rPr>
                            </w:pPr>
                          </w:p>
                          <w:p w14:paraId="1192168F" w14:textId="77777777" w:rsidR="00EB598C" w:rsidRPr="00510280" w:rsidRDefault="00EB598C" w:rsidP="005230F9">
                            <w:pPr>
                              <w:ind w:left="1418" w:right="1011"/>
                              <w:jc w:val="right"/>
                              <w:rPr>
                                <w:rFonts w:ascii="Century Gothic" w:eastAsiaTheme="majorEastAsia" w:hAnsi="Century Gothic"/>
                                <w:b/>
                                <w:color w:val="FFFFFF" w:themeColor="background1"/>
                                <w:sz w:val="48"/>
                                <w:szCs w:val="48"/>
                                <w:lang w:val="en-US"/>
                              </w:rPr>
                            </w:pPr>
                          </w:p>
                          <w:p w14:paraId="2C781E01" w14:textId="77777777" w:rsidR="00EB598C" w:rsidRPr="00510280" w:rsidRDefault="00EB598C" w:rsidP="005230F9">
                            <w:pPr>
                              <w:ind w:left="1418" w:right="1011"/>
                              <w:jc w:val="right"/>
                              <w:rPr>
                                <w:rFonts w:ascii="Century Gothic" w:eastAsiaTheme="majorEastAsia" w:hAnsi="Century Gothic"/>
                                <w:b/>
                                <w:color w:val="FFFFFF" w:themeColor="background1"/>
                                <w:sz w:val="48"/>
                                <w:szCs w:val="48"/>
                                <w:lang w:val="en-US"/>
                              </w:rPr>
                            </w:pPr>
                          </w:p>
                          <w:p w14:paraId="1723D83B" w14:textId="77777777" w:rsidR="00EB598C" w:rsidRPr="00510280" w:rsidRDefault="00EB598C" w:rsidP="005230F9">
                            <w:pPr>
                              <w:ind w:left="1418" w:right="1011"/>
                              <w:jc w:val="right"/>
                              <w:rPr>
                                <w:rFonts w:ascii="Century Gothic" w:eastAsiaTheme="majorEastAsia" w:hAnsi="Century Gothic"/>
                                <w:b/>
                                <w:color w:val="FFFFFF" w:themeColor="background1"/>
                                <w:sz w:val="48"/>
                                <w:szCs w:val="48"/>
                                <w:lang w:val="en-US"/>
                              </w:rPr>
                            </w:pPr>
                          </w:p>
                        </w:txbxContent>
                      </wps:txbx>
                      <wps:bodyPr rot="0" vert="horz" wrap="square" lIns="146304" tIns="228600" rIns="146304" bIns="9144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70788B17" id="Rectangle 5" o:spid="_x0000_s1026" alt="Title: Titre" style="position:absolute;margin-left:-1in;margin-top:0;width:594.7pt;height:292.6pt;z-index:251654656;visibility:visible;mso-wrap-style:square;mso-width-percent:0;mso-height-percent:0;mso-wrap-distance-left:9pt;mso-wrap-distance-top:0;mso-wrap-distance-right:9pt;mso-wrap-distance-bottom:36pt;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" fillcolor="#0070c0" stroked="f">
                <v:fill opacity="55769f"/>
                <v:textbox inset="11.52pt,18pt,11.52pt,7.2pt">
                  <w:txbxContent>
                    <w:p w14:paraId="53F8B4E3" w14:textId="3D649EA7" w:rsidR="00EB598C" w:rsidRPr="005230F9" w:rsidRDefault="00EB598C" w:rsidP="005230F9">
                      <w:pPr>
                        <w:pStyle w:val="Heading1"/>
                        <w:numPr>
                          <w:ilvl w:val="0"/>
                          <w:numId w:val="0"/>
                        </w:numPr>
                        <w:ind w:left="1418" w:right="1011"/>
                        <w:jc w:val="right"/>
                        <w:rPr>
                          <w:rFonts w:ascii="Century Gothic" w:hAnsi="Century Gothic"/>
                          <w:b w:val="0"/>
                          <w:bCs w:val="0"/>
                          <w:color w:val="FFFFFF" w:themeColor="background1"/>
                          <w:lang w:val="en-US"/>
                        </w:rPr>
                      </w:pPr>
                      <w:r>
                        <w:rPr>
                          <w:rFonts w:ascii="Century Gothic" w:hAnsi="Century Gothic"/>
                          <w:color w:val="FFFFFF" w:themeColor="background1"/>
                          <w:lang w:val="en-US"/>
                        </w:rPr>
                        <w:t>CSO follow-up report on the implementation of the Human Rights Committee’s recommendations</w:t>
                      </w:r>
                    </w:p>
                    <w:p w14:paraId="0740406F" w14:textId="77777777" w:rsidR="00EB598C" w:rsidRPr="004715EA" w:rsidRDefault="00EB598C" w:rsidP="005230F9">
                      <w:pPr>
                        <w:ind w:right="1011"/>
                        <w:jc w:val="right"/>
                        <w:rPr>
                          <w:rFonts w:ascii="Century Gothic" w:eastAsia="MS Gothic" w:hAnsi="Century Gothic"/>
                          <w:b/>
                          <w:bCs/>
                          <w:color w:val="FFFFFF" w:themeColor="background1"/>
                          <w:sz w:val="110"/>
                          <w:szCs w:val="110"/>
                          <w:lang w:val="en-US"/>
                        </w:rPr>
                      </w:pPr>
                      <w:r w:rsidRPr="004715EA">
                        <w:rPr>
                          <w:rFonts w:ascii="Century Gothic" w:eastAsia="MS Gothic" w:hAnsi="Century Gothic"/>
                          <w:b/>
                          <w:bCs/>
                          <w:color w:val="FFFFFF" w:themeColor="background1"/>
                          <w:sz w:val="110"/>
                          <w:szCs w:val="110"/>
                          <w:lang w:val="en-US"/>
                        </w:rPr>
                        <w:t>Jamaica</w:t>
                      </w:r>
                    </w:p>
                    <w:p w14:paraId="46F49F3E" w14:textId="70758531" w:rsidR="00EB598C" w:rsidRPr="005230F9" w:rsidRDefault="001D459A" w:rsidP="005230F9">
                      <w:pPr>
                        <w:ind w:right="1011"/>
                        <w:jc w:val="right"/>
                        <w:rPr>
                          <w:rFonts w:ascii="Century Gothic" w:eastAsia="MS Gothic" w:hAnsi="Century Gothic"/>
                          <w:b/>
                          <w:bCs/>
                          <w:color w:val="FFFFFF" w:themeColor="background1"/>
                          <w:sz w:val="28"/>
                          <w:szCs w:val="28"/>
                          <w:lang w:val="en-US"/>
                        </w:rPr>
                      </w:pPr>
                      <w:r>
                        <w:rPr>
                          <w:rFonts w:ascii="Century Gothic" w:eastAsia="MS Gothic" w:hAnsi="Century Gothic"/>
                          <w:b/>
                          <w:bCs/>
                          <w:color w:val="FFFFFF" w:themeColor="background1"/>
                          <w:sz w:val="28"/>
                          <w:szCs w:val="28"/>
                          <w:lang w:val="en-US"/>
                        </w:rPr>
                        <w:t>March</w:t>
                      </w:r>
                      <w:r w:rsidR="00376112">
                        <w:rPr>
                          <w:rFonts w:ascii="Century Gothic" w:eastAsia="MS Gothic" w:hAnsi="Century Gothic"/>
                          <w:b/>
                          <w:bCs/>
                          <w:color w:val="FFFFFF" w:themeColor="background1"/>
                          <w:sz w:val="28"/>
                          <w:szCs w:val="28"/>
                          <w:lang w:val="en-US"/>
                        </w:rPr>
                        <w:t xml:space="preserve"> 2019</w:t>
                      </w:r>
                    </w:p>
                    <w:p w14:paraId="0182CA28" w14:textId="77777777" w:rsidR="00EB598C" w:rsidRPr="00510280" w:rsidRDefault="00EB598C" w:rsidP="005230F9">
                      <w:pPr>
                        <w:ind w:right="1011"/>
                        <w:jc w:val="right"/>
                        <w:rPr>
                          <w:rFonts w:ascii="Century Gothic" w:eastAsia="MS Gothic" w:hAnsi="Century Gothic"/>
                          <w:b/>
                          <w:bCs/>
                          <w:color w:val="FFFFFF" w:themeColor="background1"/>
                          <w:sz w:val="28"/>
                          <w:szCs w:val="28"/>
                          <w:lang w:val="en-US"/>
                        </w:rPr>
                      </w:pPr>
                    </w:p>
                    <w:p w14:paraId="1192168F" w14:textId="77777777" w:rsidR="00EB598C" w:rsidRPr="00510280" w:rsidRDefault="00EB598C" w:rsidP="005230F9">
                      <w:pPr>
                        <w:ind w:left="1418" w:right="1011"/>
                        <w:jc w:val="right"/>
                        <w:rPr>
                          <w:rFonts w:ascii="Century Gothic" w:eastAsiaTheme="majorEastAsia" w:hAnsi="Century Gothic"/>
                          <w:b/>
                          <w:color w:val="FFFFFF" w:themeColor="background1"/>
                          <w:sz w:val="48"/>
                          <w:szCs w:val="48"/>
                          <w:lang w:val="en-US"/>
                        </w:rPr>
                      </w:pPr>
                    </w:p>
                    <w:p w14:paraId="2C781E01" w14:textId="77777777" w:rsidR="00EB598C" w:rsidRPr="00510280" w:rsidRDefault="00EB598C" w:rsidP="005230F9">
                      <w:pPr>
                        <w:ind w:left="1418" w:right="1011"/>
                        <w:jc w:val="right"/>
                        <w:rPr>
                          <w:rFonts w:ascii="Century Gothic" w:eastAsiaTheme="majorEastAsia" w:hAnsi="Century Gothic"/>
                          <w:b/>
                          <w:color w:val="FFFFFF" w:themeColor="background1"/>
                          <w:sz w:val="48"/>
                          <w:szCs w:val="48"/>
                          <w:lang w:val="en-US"/>
                        </w:rPr>
                      </w:pPr>
                    </w:p>
                    <w:p w14:paraId="1723D83B" w14:textId="77777777" w:rsidR="00EB598C" w:rsidRPr="00510280" w:rsidRDefault="00EB598C" w:rsidP="005230F9">
                      <w:pPr>
                        <w:ind w:left="1418" w:right="1011"/>
                        <w:jc w:val="right"/>
                        <w:rPr>
                          <w:rFonts w:ascii="Century Gothic" w:eastAsiaTheme="majorEastAsia" w:hAnsi="Century Gothic"/>
                          <w:b/>
                          <w:color w:val="FFFFFF" w:themeColor="background1"/>
                          <w:sz w:val="48"/>
                          <w:szCs w:val="48"/>
                          <w:lang w:val="en-US"/>
                        </w:rPr>
                      </w:pPr>
                    </w:p>
                  </w:txbxContent>
                </v:textbox>
                <w10:wrap type="through" anchorx="margin"/>
              </v:rect>
            </w:pict>
          </mc:Fallback>
        </mc:AlternateContent>
      </w:r>
    </w:p>
    <w:p w14:paraId="458698A2" w14:textId="08C26CAF" w:rsidR="007E3409" w:rsidRDefault="007E3409" w:rsidP="007E3409"/>
    <w:p w14:paraId="579A4F66" w14:textId="6BBB439C" w:rsidR="007E3409" w:rsidRDefault="007E3409" w:rsidP="007E3409"/>
    <w:p w14:paraId="0CC69447" w14:textId="583EBFB3" w:rsidR="00B4742B" w:rsidRDefault="00BE6359" w:rsidP="00BE6359">
      <w:pPr>
        <w:pStyle w:val="SingleTxtG"/>
        <w:spacing w:line="360" w:lineRule="auto"/>
        <w:ind w:left="0" w:right="-22"/>
        <w:jc w:val="center"/>
        <w:rPr>
          <w:rFonts w:asciiTheme="minorHAnsi" w:eastAsiaTheme="minorEastAsia" w:hAnsiTheme="minorHAnsi"/>
          <w:color w:val="000000" w:themeColor="text1"/>
          <w:sz w:val="24"/>
          <w:szCs w:val="24"/>
          <w:lang w:val="en-US"/>
        </w:rPr>
      </w:pPr>
      <w:r>
        <w:rPr>
          <w:rFonts w:asciiTheme="minorHAnsi" w:eastAsiaTheme="minorEastAsia" w:hAnsiTheme="minorHAnsi"/>
          <w:color w:val="000000" w:themeColor="text1"/>
          <w:sz w:val="24"/>
          <w:szCs w:val="24"/>
          <w:lang w:val="en-US"/>
        </w:rPr>
        <w:t xml:space="preserve">With the support of </w:t>
      </w:r>
      <w:r>
        <w:rPr>
          <w:rFonts w:asciiTheme="minorHAnsi" w:eastAsiaTheme="minorEastAsia" w:hAnsiTheme="minorHAnsi"/>
          <w:noProof/>
          <w:color w:val="000000" w:themeColor="text1"/>
          <w:sz w:val="24"/>
          <w:szCs w:val="24"/>
          <w:lang w:val="fr-FR" w:eastAsia="fr-FR"/>
        </w:rPr>
        <w:drawing>
          <wp:inline distT="0" distB="0" distL="0" distR="0" wp14:anchorId="323076B3" wp14:editId="680C1049">
            <wp:extent cx="1711960" cy="528158"/>
            <wp:effectExtent l="0" t="0" r="0" b="5715"/>
            <wp:docPr id="1" name="Image 1" descr="Google Drive:My Drive:CCPR-Centre Admin (staff):D. Communication:12. Logo:Logo - Dark for prin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Drive:My Drive:CCPR-Centre Admin (staff):D. Communication:12. Logo:Logo - Dark for printi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2275" cy="528255"/>
                    </a:xfrm>
                    <a:prstGeom prst="rect">
                      <a:avLst/>
                    </a:prstGeom>
                    <a:noFill/>
                    <a:ln>
                      <a:noFill/>
                    </a:ln>
                  </pic:spPr>
                </pic:pic>
              </a:graphicData>
            </a:graphic>
          </wp:inline>
        </w:drawing>
      </w:r>
    </w:p>
    <w:p w14:paraId="393314AD" w14:textId="77777777" w:rsidR="00B4742B" w:rsidRDefault="00B4742B" w:rsidP="00B4742B">
      <w:pPr>
        <w:pStyle w:val="SingleTxtG"/>
        <w:spacing w:line="360" w:lineRule="auto"/>
        <w:ind w:left="0" w:right="-22"/>
        <w:rPr>
          <w:rFonts w:asciiTheme="minorHAnsi" w:eastAsiaTheme="minorEastAsia" w:hAnsiTheme="minorHAnsi"/>
          <w:color w:val="000000" w:themeColor="text1"/>
          <w:sz w:val="24"/>
          <w:szCs w:val="24"/>
          <w:lang w:val="en-US"/>
        </w:rPr>
      </w:pPr>
    </w:p>
    <w:p w14:paraId="65C272F8" w14:textId="77777777" w:rsidR="009B6E1E" w:rsidRDefault="009B6E1E" w:rsidP="009B6E1E">
      <w:pPr>
        <w:pStyle w:val="SingleTxtG"/>
        <w:spacing w:line="360" w:lineRule="auto"/>
        <w:ind w:left="1080" w:right="-22"/>
        <w:rPr>
          <w:rFonts w:asciiTheme="minorHAnsi" w:eastAsiaTheme="minorEastAsia" w:hAnsiTheme="minorHAnsi"/>
          <w:b/>
          <w:color w:val="000000" w:themeColor="text1"/>
          <w:sz w:val="24"/>
          <w:szCs w:val="24"/>
          <w:u w:val="single"/>
          <w:lang w:val="en-US"/>
        </w:rPr>
      </w:pPr>
      <w:bookmarkStart w:id="0" w:name="_GoBack"/>
      <w:bookmarkEnd w:id="0"/>
    </w:p>
    <w:p w14:paraId="6AF0D801" w14:textId="77777777" w:rsidR="009B6E1E" w:rsidRDefault="009B6E1E" w:rsidP="009B6E1E">
      <w:pPr>
        <w:pStyle w:val="SingleTxtG"/>
        <w:spacing w:line="360" w:lineRule="auto"/>
        <w:ind w:left="1080" w:right="-22"/>
        <w:rPr>
          <w:rFonts w:asciiTheme="minorHAnsi" w:eastAsiaTheme="minorEastAsia" w:hAnsiTheme="minorHAnsi"/>
          <w:b/>
          <w:color w:val="000000" w:themeColor="text1"/>
          <w:sz w:val="24"/>
          <w:szCs w:val="24"/>
          <w:u w:val="single"/>
          <w:lang w:val="en-US"/>
        </w:rPr>
      </w:pPr>
    </w:p>
    <w:p w14:paraId="29AFE7B3" w14:textId="6FC16FF4" w:rsidR="00ED7845" w:rsidRPr="00F80DA7" w:rsidRDefault="00ED7845" w:rsidP="00ED7845">
      <w:pPr>
        <w:pStyle w:val="SingleTxtG"/>
        <w:numPr>
          <w:ilvl w:val="0"/>
          <w:numId w:val="2"/>
        </w:numPr>
        <w:spacing w:line="360" w:lineRule="auto"/>
        <w:ind w:right="-22"/>
        <w:rPr>
          <w:rFonts w:asciiTheme="minorHAnsi" w:eastAsiaTheme="minorEastAsia" w:hAnsiTheme="minorHAnsi"/>
          <w:b/>
          <w:color w:val="000000" w:themeColor="text1"/>
          <w:sz w:val="24"/>
          <w:szCs w:val="24"/>
          <w:u w:val="single"/>
          <w:lang w:val="en-US"/>
        </w:rPr>
      </w:pPr>
      <w:r w:rsidRPr="00F80DA7">
        <w:rPr>
          <w:rFonts w:asciiTheme="minorHAnsi" w:eastAsiaTheme="minorEastAsia" w:hAnsiTheme="minorHAnsi"/>
          <w:b/>
          <w:color w:val="000000" w:themeColor="text1"/>
          <w:sz w:val="24"/>
          <w:szCs w:val="24"/>
          <w:u w:val="single"/>
          <w:lang w:val="en-US"/>
        </w:rPr>
        <w:t>INTRODUCTION</w:t>
      </w:r>
    </w:p>
    <w:p w14:paraId="5B196019" w14:textId="77777777" w:rsidR="00F80DA7" w:rsidRDefault="00F80DA7" w:rsidP="00F80DA7">
      <w:pPr>
        <w:pStyle w:val="SingleTxtG"/>
        <w:spacing w:line="360" w:lineRule="auto"/>
        <w:ind w:left="1080" w:right="-22"/>
        <w:rPr>
          <w:rFonts w:asciiTheme="minorHAnsi" w:eastAsiaTheme="minorEastAsia" w:hAnsiTheme="minorHAnsi"/>
          <w:b/>
          <w:color w:val="000000" w:themeColor="text1"/>
          <w:sz w:val="22"/>
          <w:szCs w:val="22"/>
          <w:u w:val="single"/>
          <w:lang w:val="en-US"/>
        </w:rPr>
      </w:pPr>
    </w:p>
    <w:p w14:paraId="395D0841" w14:textId="5C2E8068" w:rsidR="00ED7845" w:rsidRPr="00ED7845" w:rsidRDefault="005230F9" w:rsidP="00ED7845">
      <w:pPr>
        <w:pStyle w:val="SingleTxtG"/>
        <w:spacing w:line="360" w:lineRule="auto"/>
        <w:ind w:left="0" w:right="-22"/>
        <w:rPr>
          <w:rFonts w:asciiTheme="minorHAnsi" w:eastAsiaTheme="minorEastAsia" w:hAnsiTheme="minorHAnsi"/>
          <w:color w:val="000000" w:themeColor="text1"/>
          <w:sz w:val="22"/>
          <w:szCs w:val="22"/>
          <w:lang w:val="en-US"/>
        </w:rPr>
      </w:pPr>
      <w:r w:rsidRPr="00ED7845">
        <w:rPr>
          <w:rFonts w:asciiTheme="minorHAnsi" w:eastAsiaTheme="minorEastAsia" w:hAnsiTheme="minorHAnsi"/>
          <w:color w:val="000000" w:themeColor="text1"/>
          <w:sz w:val="22"/>
          <w:szCs w:val="22"/>
          <w:lang w:val="en-US"/>
        </w:rPr>
        <w:t xml:space="preserve">The </w:t>
      </w:r>
      <w:r w:rsidRPr="00ED7845">
        <w:rPr>
          <w:rFonts w:asciiTheme="minorHAnsi" w:eastAsiaTheme="minorEastAsia" w:hAnsiTheme="minorHAnsi"/>
          <w:b/>
          <w:color w:val="000000" w:themeColor="text1"/>
          <w:sz w:val="22"/>
          <w:szCs w:val="22"/>
          <w:lang w:val="en-US"/>
        </w:rPr>
        <w:t>fourth periodic report of Jamaica</w:t>
      </w:r>
      <w:r w:rsidR="00B4742B" w:rsidRPr="00ED7845">
        <w:rPr>
          <w:rFonts w:asciiTheme="minorHAnsi" w:eastAsiaTheme="minorEastAsia" w:hAnsiTheme="minorHAnsi"/>
          <w:b/>
          <w:color w:val="000000" w:themeColor="text1"/>
          <w:sz w:val="22"/>
          <w:szCs w:val="22"/>
          <w:lang w:val="en-US"/>
        </w:rPr>
        <w:t>,</w:t>
      </w:r>
      <w:r w:rsidRPr="00ED7845">
        <w:rPr>
          <w:rFonts w:asciiTheme="minorHAnsi" w:eastAsiaTheme="minorEastAsia" w:hAnsiTheme="minorHAnsi"/>
          <w:b/>
          <w:color w:val="000000" w:themeColor="text1"/>
          <w:sz w:val="22"/>
          <w:szCs w:val="22"/>
          <w:lang w:val="en-US"/>
        </w:rPr>
        <w:t xml:space="preserve"> </w:t>
      </w:r>
      <w:r w:rsidRPr="00ED7845">
        <w:rPr>
          <w:rFonts w:asciiTheme="minorHAnsi" w:eastAsiaTheme="minorEastAsia" w:hAnsiTheme="minorHAnsi"/>
          <w:color w:val="000000" w:themeColor="text1"/>
          <w:sz w:val="22"/>
          <w:szCs w:val="22"/>
          <w:lang w:val="en-US"/>
        </w:rPr>
        <w:t>on the State’s compliance with the International Covenant on Civil and Political Rights (ICCPR)</w:t>
      </w:r>
      <w:r w:rsidR="00B4742B" w:rsidRPr="00ED7845">
        <w:rPr>
          <w:rFonts w:asciiTheme="minorHAnsi" w:eastAsiaTheme="minorEastAsia" w:hAnsiTheme="minorHAnsi"/>
          <w:color w:val="000000" w:themeColor="text1"/>
          <w:sz w:val="22"/>
          <w:szCs w:val="22"/>
          <w:lang w:val="en-US"/>
        </w:rPr>
        <w:t>,</w:t>
      </w:r>
      <w:r w:rsidRPr="00ED7845">
        <w:rPr>
          <w:rFonts w:asciiTheme="minorHAnsi" w:eastAsiaTheme="minorEastAsia" w:hAnsiTheme="minorHAnsi"/>
          <w:color w:val="000000" w:themeColor="text1"/>
          <w:sz w:val="22"/>
          <w:szCs w:val="22"/>
          <w:lang w:val="en-US"/>
        </w:rPr>
        <w:t xml:space="preserve"> was reviewed by the </w:t>
      </w:r>
      <w:r w:rsidRPr="00ED7845">
        <w:rPr>
          <w:rFonts w:asciiTheme="minorHAnsi" w:eastAsiaTheme="minorEastAsia" w:hAnsiTheme="minorHAnsi"/>
          <w:b/>
          <w:color w:val="000000" w:themeColor="text1"/>
          <w:sz w:val="22"/>
          <w:szCs w:val="22"/>
          <w:lang w:val="en-US"/>
        </w:rPr>
        <w:t>UN Human Rights Committee</w:t>
      </w:r>
      <w:r w:rsidRPr="00ED7845">
        <w:rPr>
          <w:rFonts w:asciiTheme="minorHAnsi" w:eastAsiaTheme="minorEastAsia" w:hAnsiTheme="minorHAnsi"/>
          <w:color w:val="000000" w:themeColor="text1"/>
          <w:sz w:val="22"/>
          <w:szCs w:val="22"/>
          <w:lang w:val="en-US"/>
        </w:rPr>
        <w:t xml:space="preserve"> (the Committee) in </w:t>
      </w:r>
      <w:r w:rsidRPr="00ED7845">
        <w:rPr>
          <w:rFonts w:asciiTheme="minorHAnsi" w:eastAsiaTheme="minorEastAsia" w:hAnsiTheme="minorHAnsi"/>
          <w:b/>
          <w:color w:val="000000" w:themeColor="text1"/>
          <w:sz w:val="22"/>
          <w:szCs w:val="22"/>
          <w:lang w:val="en-US"/>
        </w:rPr>
        <w:t>November 2016</w:t>
      </w:r>
      <w:r w:rsidR="00EB598C">
        <w:rPr>
          <w:rFonts w:asciiTheme="minorHAnsi" w:eastAsiaTheme="minorEastAsia" w:hAnsiTheme="minorHAnsi"/>
          <w:color w:val="000000" w:themeColor="text1"/>
          <w:sz w:val="22"/>
          <w:szCs w:val="22"/>
          <w:lang w:val="en-US"/>
        </w:rPr>
        <w:t>. As the result of the review</w:t>
      </w:r>
      <w:r w:rsidRPr="00ED7845">
        <w:rPr>
          <w:rFonts w:asciiTheme="minorHAnsi" w:eastAsiaTheme="minorEastAsia" w:hAnsiTheme="minorHAnsi"/>
          <w:color w:val="000000" w:themeColor="text1"/>
          <w:sz w:val="22"/>
          <w:szCs w:val="22"/>
          <w:lang w:val="en-US"/>
        </w:rPr>
        <w:t xml:space="preserve">, the Committee issued its Concluding Observations </w:t>
      </w:r>
      <w:r w:rsidRPr="00ED7845">
        <w:rPr>
          <w:rFonts w:asciiTheme="minorHAnsi" w:hAnsiTheme="minorHAnsi"/>
          <w:color w:val="000000" w:themeColor="text1"/>
          <w:sz w:val="22"/>
          <w:szCs w:val="22"/>
          <w:lang w:val="en-US"/>
        </w:rPr>
        <w:t>(CCPR/C/JAM/</w:t>
      </w:r>
      <w:r w:rsidR="00EB598C">
        <w:rPr>
          <w:rFonts w:asciiTheme="minorHAnsi" w:hAnsiTheme="minorHAnsi"/>
          <w:color w:val="000000" w:themeColor="text1"/>
          <w:sz w:val="22"/>
          <w:szCs w:val="22"/>
          <w:lang w:val="en-US"/>
        </w:rPr>
        <w:t>CO/</w:t>
      </w:r>
      <w:r w:rsidRPr="00ED7845">
        <w:rPr>
          <w:rFonts w:asciiTheme="minorHAnsi" w:hAnsiTheme="minorHAnsi"/>
          <w:color w:val="000000" w:themeColor="text1"/>
          <w:sz w:val="22"/>
          <w:szCs w:val="22"/>
          <w:lang w:val="en-US"/>
        </w:rPr>
        <w:t xml:space="preserve">4) </w:t>
      </w:r>
      <w:r w:rsidR="00BE6359" w:rsidRPr="00ED7845">
        <w:rPr>
          <w:rFonts w:asciiTheme="minorHAnsi" w:hAnsiTheme="minorHAnsi"/>
          <w:color w:val="000000" w:themeColor="text1"/>
          <w:sz w:val="22"/>
          <w:szCs w:val="22"/>
          <w:lang w:val="en-US"/>
        </w:rPr>
        <w:t xml:space="preserve">and </w:t>
      </w:r>
      <w:r w:rsidR="00BE6359" w:rsidRPr="00ED7845">
        <w:rPr>
          <w:rFonts w:asciiTheme="minorHAnsi" w:eastAsiaTheme="minorEastAsia" w:hAnsiTheme="minorHAnsi"/>
          <w:color w:val="000000" w:themeColor="text1"/>
          <w:sz w:val="22"/>
          <w:szCs w:val="22"/>
          <w:lang w:val="en-US"/>
        </w:rPr>
        <w:t>made</w:t>
      </w:r>
      <w:r w:rsidRPr="00ED7845">
        <w:rPr>
          <w:rFonts w:asciiTheme="minorHAnsi" w:eastAsiaTheme="minorEastAsia" w:hAnsiTheme="minorHAnsi"/>
          <w:color w:val="000000" w:themeColor="text1"/>
          <w:sz w:val="22"/>
          <w:szCs w:val="22"/>
          <w:lang w:val="en-US"/>
        </w:rPr>
        <w:t xml:space="preserve"> recommendations to the State party.</w:t>
      </w:r>
      <w:r w:rsidR="00EB598C">
        <w:rPr>
          <w:rStyle w:val="FootnoteReference"/>
          <w:rFonts w:asciiTheme="minorHAnsi" w:eastAsiaTheme="minorEastAsia" w:hAnsiTheme="minorHAnsi"/>
          <w:color w:val="000000" w:themeColor="text1"/>
          <w:sz w:val="22"/>
          <w:szCs w:val="22"/>
          <w:lang w:val="en-US"/>
        </w:rPr>
        <w:footnoteReference w:id="1"/>
      </w:r>
      <w:r w:rsidRPr="00ED7845">
        <w:rPr>
          <w:rFonts w:asciiTheme="minorHAnsi" w:eastAsiaTheme="minorEastAsia" w:hAnsiTheme="minorHAnsi"/>
          <w:color w:val="000000" w:themeColor="text1"/>
          <w:sz w:val="22"/>
          <w:szCs w:val="22"/>
          <w:lang w:val="en-US"/>
        </w:rPr>
        <w:t xml:space="preserve"> The Concluding Observation</w:t>
      </w:r>
      <w:r w:rsidR="00EB598C">
        <w:rPr>
          <w:rFonts w:asciiTheme="minorHAnsi" w:eastAsiaTheme="minorEastAsia" w:hAnsiTheme="minorHAnsi"/>
          <w:color w:val="000000" w:themeColor="text1"/>
          <w:sz w:val="22"/>
          <w:szCs w:val="22"/>
          <w:lang w:val="en-US"/>
        </w:rPr>
        <w:t>s also state</w:t>
      </w:r>
      <w:r w:rsidRPr="00ED7845">
        <w:rPr>
          <w:rFonts w:asciiTheme="minorHAnsi" w:eastAsiaTheme="minorEastAsia" w:hAnsiTheme="minorHAnsi"/>
          <w:color w:val="000000" w:themeColor="text1"/>
          <w:sz w:val="22"/>
          <w:szCs w:val="22"/>
          <w:lang w:val="en-US"/>
        </w:rPr>
        <w:t xml:space="preserve"> in paragraph 50 </w:t>
      </w:r>
      <w:r w:rsidRPr="00ED7845">
        <w:rPr>
          <w:rFonts w:asciiTheme="minorHAnsi" w:hAnsiTheme="minorHAnsi"/>
          <w:color w:val="000000" w:themeColor="text1"/>
          <w:sz w:val="22"/>
          <w:szCs w:val="22"/>
          <w:lang w:val="en-US"/>
        </w:rPr>
        <w:t xml:space="preserve">that </w:t>
      </w:r>
      <w:r w:rsidRPr="00ED7845">
        <w:rPr>
          <w:rFonts w:asciiTheme="minorHAnsi" w:hAnsiTheme="minorHAnsi"/>
          <w:b/>
          <w:color w:val="000000" w:themeColor="text1"/>
          <w:sz w:val="22"/>
          <w:szCs w:val="22"/>
          <w:lang w:val="en-US"/>
        </w:rPr>
        <w:t>“</w:t>
      </w:r>
      <w:r w:rsidRPr="00ED7845">
        <w:rPr>
          <w:rFonts w:asciiTheme="minorHAnsi" w:hAnsiTheme="minorHAnsi"/>
          <w:b/>
          <w:bCs/>
          <w:color w:val="000000" w:themeColor="text1"/>
          <w:sz w:val="22"/>
          <w:szCs w:val="22"/>
          <w:lang w:val="en-US"/>
        </w:rPr>
        <w:t>In accordance with rule 71, paragraph 5, of the Committee’s rules of procedure, the State party is requested to provide, within one year of the adoption of the present concluding observations, information on the implementation of the recommendations made by the Committee in paragraphs 26 (voluntary termination of pregnancy), 32 (prohibition of torture and other cruel, inhuman or degrading treatment or punishment) and 44 (rights of the child) above”.</w:t>
      </w:r>
      <w:r w:rsidR="00ED7845" w:rsidRPr="00ED7845">
        <w:rPr>
          <w:rFonts w:asciiTheme="minorHAnsi" w:hAnsiTheme="minorHAnsi"/>
          <w:b/>
          <w:bCs/>
          <w:color w:val="000000" w:themeColor="text1"/>
          <w:sz w:val="22"/>
          <w:szCs w:val="22"/>
          <w:lang w:val="en-US"/>
        </w:rPr>
        <w:t xml:space="preserve"> </w:t>
      </w:r>
      <w:r w:rsidRPr="00ED7845">
        <w:rPr>
          <w:rFonts w:asciiTheme="minorHAnsi" w:eastAsiaTheme="minorEastAsia" w:hAnsiTheme="minorHAnsi"/>
          <w:color w:val="000000" w:themeColor="text1"/>
          <w:sz w:val="22"/>
          <w:szCs w:val="22"/>
          <w:lang w:val="en-US"/>
        </w:rPr>
        <w:t>Th</w:t>
      </w:r>
      <w:r w:rsidR="00ED7845" w:rsidRPr="00ED7845">
        <w:rPr>
          <w:rFonts w:asciiTheme="minorHAnsi" w:eastAsiaTheme="minorEastAsia" w:hAnsiTheme="minorHAnsi"/>
          <w:color w:val="000000" w:themeColor="text1"/>
          <w:sz w:val="22"/>
          <w:szCs w:val="22"/>
          <w:lang w:val="en-US"/>
        </w:rPr>
        <w:t>e State provided the requested information</w:t>
      </w:r>
      <w:r w:rsidR="00BE6359" w:rsidRPr="00ED7845">
        <w:rPr>
          <w:rFonts w:asciiTheme="minorHAnsi" w:eastAsiaTheme="minorEastAsia" w:hAnsiTheme="minorHAnsi"/>
          <w:color w:val="000000" w:themeColor="text1"/>
          <w:sz w:val="22"/>
          <w:szCs w:val="22"/>
          <w:lang w:val="en-US"/>
        </w:rPr>
        <w:t xml:space="preserve"> to the Committee </w:t>
      </w:r>
      <w:r w:rsidR="00ED7845" w:rsidRPr="00ED7845">
        <w:rPr>
          <w:rFonts w:asciiTheme="minorHAnsi" w:eastAsiaTheme="minorEastAsia" w:hAnsiTheme="minorHAnsi"/>
          <w:color w:val="000000" w:themeColor="text1"/>
          <w:sz w:val="22"/>
          <w:szCs w:val="22"/>
          <w:lang w:val="en-US"/>
        </w:rPr>
        <w:t>on 9 May 2018.</w:t>
      </w:r>
      <w:r w:rsidR="00ED7845" w:rsidRPr="00ED7845">
        <w:rPr>
          <w:rStyle w:val="FootnoteReference"/>
          <w:rFonts w:asciiTheme="minorHAnsi" w:eastAsiaTheme="minorEastAsia" w:hAnsiTheme="minorHAnsi"/>
          <w:color w:val="000000" w:themeColor="text1"/>
          <w:sz w:val="22"/>
          <w:szCs w:val="22"/>
          <w:lang w:val="en-US"/>
        </w:rPr>
        <w:footnoteReference w:id="2"/>
      </w:r>
      <w:r w:rsidR="00ED7845" w:rsidRPr="00ED7845">
        <w:rPr>
          <w:rFonts w:asciiTheme="minorHAnsi" w:eastAsiaTheme="minorEastAsia" w:hAnsiTheme="minorHAnsi"/>
          <w:color w:val="000000" w:themeColor="text1"/>
          <w:sz w:val="22"/>
          <w:szCs w:val="22"/>
          <w:lang w:val="en-US"/>
        </w:rPr>
        <w:t xml:space="preserve"> </w:t>
      </w:r>
    </w:p>
    <w:p w14:paraId="7C742509" w14:textId="77777777" w:rsidR="00ED7845" w:rsidRPr="00ED7845" w:rsidRDefault="00ED7845" w:rsidP="00ED7845">
      <w:pPr>
        <w:pStyle w:val="SingleTxtG"/>
        <w:spacing w:line="360" w:lineRule="auto"/>
        <w:ind w:left="0" w:right="-22"/>
        <w:rPr>
          <w:rFonts w:asciiTheme="minorHAnsi" w:eastAsiaTheme="minorEastAsia" w:hAnsiTheme="minorHAnsi"/>
          <w:color w:val="000000" w:themeColor="text1"/>
          <w:sz w:val="22"/>
          <w:szCs w:val="22"/>
          <w:lang w:val="en-US"/>
        </w:rPr>
      </w:pPr>
    </w:p>
    <w:p w14:paraId="38198CBA" w14:textId="77777777" w:rsidR="00ED7845" w:rsidRPr="00ED7845" w:rsidRDefault="00ED7845" w:rsidP="00ED7845">
      <w:pPr>
        <w:pStyle w:val="SingleTxtG"/>
        <w:spacing w:line="360" w:lineRule="auto"/>
        <w:ind w:left="0" w:right="-22"/>
        <w:rPr>
          <w:rFonts w:asciiTheme="minorHAnsi" w:eastAsiaTheme="minorEastAsia" w:hAnsiTheme="minorHAnsi"/>
          <w:color w:val="000000" w:themeColor="text1"/>
          <w:sz w:val="22"/>
          <w:szCs w:val="22"/>
          <w:lang w:val="en-US"/>
        </w:rPr>
      </w:pPr>
      <w:r w:rsidRPr="00ED7845">
        <w:rPr>
          <w:rFonts w:asciiTheme="minorHAnsi" w:eastAsiaTheme="minorEastAsia" w:hAnsiTheme="minorHAnsi"/>
          <w:color w:val="000000" w:themeColor="text1"/>
          <w:sz w:val="22"/>
          <w:szCs w:val="22"/>
          <w:lang w:val="en-US"/>
        </w:rPr>
        <w:t xml:space="preserve">This CSO report aims at providing the assessment from a civil society perspective about the measures taken by the State to implement the recommendations selected by the Committee for the follow-up procedure. </w:t>
      </w:r>
    </w:p>
    <w:p w14:paraId="60C2EF13" w14:textId="77777777" w:rsidR="00ED7845" w:rsidRPr="00ED7845" w:rsidRDefault="00ED7845" w:rsidP="00ED7845">
      <w:pPr>
        <w:pStyle w:val="SingleTxtG"/>
        <w:spacing w:line="360" w:lineRule="auto"/>
        <w:ind w:left="0" w:right="-22"/>
        <w:rPr>
          <w:rFonts w:asciiTheme="minorHAnsi" w:eastAsiaTheme="minorEastAsia" w:hAnsiTheme="minorHAnsi"/>
          <w:color w:val="000000" w:themeColor="text1"/>
          <w:sz w:val="22"/>
          <w:szCs w:val="22"/>
          <w:lang w:val="en-US"/>
        </w:rPr>
      </w:pPr>
    </w:p>
    <w:p w14:paraId="1F3539C9" w14:textId="47389542" w:rsidR="005230F9" w:rsidRPr="00ED7845" w:rsidRDefault="00ED7845" w:rsidP="00ED7845">
      <w:pPr>
        <w:pStyle w:val="SingleTxtG"/>
        <w:spacing w:line="360" w:lineRule="auto"/>
        <w:ind w:left="0" w:right="-22"/>
        <w:rPr>
          <w:rFonts w:asciiTheme="minorHAnsi" w:eastAsiaTheme="minorEastAsia" w:hAnsiTheme="minorHAnsi"/>
          <w:color w:val="000000" w:themeColor="text1"/>
          <w:sz w:val="22"/>
          <w:szCs w:val="22"/>
          <w:lang w:val="en-US"/>
        </w:rPr>
      </w:pPr>
      <w:r w:rsidRPr="00ED7845">
        <w:rPr>
          <w:rFonts w:asciiTheme="minorHAnsi" w:eastAsiaTheme="minorEastAsia" w:hAnsiTheme="minorHAnsi"/>
          <w:color w:val="000000" w:themeColor="text1"/>
          <w:sz w:val="22"/>
          <w:szCs w:val="22"/>
          <w:lang w:val="en-US"/>
        </w:rPr>
        <w:t>It is submitted on behalf of:</w:t>
      </w:r>
    </w:p>
    <w:p w14:paraId="79ADF7BF" w14:textId="433DFCF4" w:rsidR="00ED7845" w:rsidRPr="00ED7845" w:rsidRDefault="00376112" w:rsidP="00ED7845">
      <w:pPr>
        <w:pStyle w:val="SingleTxtG"/>
        <w:spacing w:line="360" w:lineRule="auto"/>
        <w:ind w:left="0" w:right="-22"/>
        <w:rPr>
          <w:rFonts w:asciiTheme="minorHAnsi" w:eastAsiaTheme="minorEastAsia" w:hAnsiTheme="minorHAnsi"/>
          <w:color w:val="000000" w:themeColor="text1"/>
          <w:sz w:val="22"/>
          <w:szCs w:val="22"/>
          <w:lang w:val="en-US"/>
        </w:rPr>
      </w:pPr>
      <w:r>
        <w:rPr>
          <w:rFonts w:asciiTheme="minorHAnsi" w:eastAsiaTheme="minorEastAsia" w:hAnsiTheme="minorHAnsi"/>
          <w:color w:val="000000" w:themeColor="text1"/>
          <w:sz w:val="22"/>
          <w:szCs w:val="22"/>
          <w:lang w:val="en-US"/>
        </w:rPr>
        <w:t>Jamaicans for Justice</w:t>
      </w:r>
    </w:p>
    <w:p w14:paraId="67725453" w14:textId="141D71B5" w:rsidR="00ED7845" w:rsidRPr="00ED7845" w:rsidRDefault="00ED7845" w:rsidP="00ED7845">
      <w:pPr>
        <w:pStyle w:val="SingleTxtG"/>
        <w:spacing w:line="360" w:lineRule="auto"/>
        <w:ind w:left="0" w:right="-22"/>
        <w:rPr>
          <w:rFonts w:asciiTheme="minorHAnsi" w:hAnsiTheme="minorHAnsi"/>
          <w:b/>
          <w:bCs/>
          <w:color w:val="000000" w:themeColor="text1"/>
          <w:sz w:val="22"/>
          <w:szCs w:val="22"/>
          <w:lang w:val="en-US"/>
        </w:rPr>
      </w:pPr>
      <w:r w:rsidRPr="00ED7845">
        <w:rPr>
          <w:rFonts w:asciiTheme="minorHAnsi" w:eastAsiaTheme="minorEastAsia" w:hAnsiTheme="minorHAnsi"/>
          <w:color w:val="000000" w:themeColor="text1"/>
          <w:sz w:val="22"/>
          <w:szCs w:val="22"/>
          <w:lang w:val="en-US"/>
        </w:rPr>
        <w:t>With the support of the Centre for Civil and Political Rights.</w:t>
      </w:r>
    </w:p>
    <w:p w14:paraId="23E04E40" w14:textId="3A0CFA8B" w:rsidR="007E3409" w:rsidRPr="00ED7845" w:rsidRDefault="007E3409" w:rsidP="005230F9">
      <w:pPr>
        <w:spacing w:line="360" w:lineRule="auto"/>
        <w:rPr>
          <w:lang w:val="en-US"/>
        </w:rPr>
      </w:pPr>
    </w:p>
    <w:p w14:paraId="6F26BA80" w14:textId="77777777" w:rsidR="007E3409" w:rsidRPr="00ED7845" w:rsidRDefault="007E3409" w:rsidP="005230F9">
      <w:pPr>
        <w:spacing w:line="360" w:lineRule="auto"/>
      </w:pPr>
    </w:p>
    <w:p w14:paraId="4173EED0" w14:textId="77777777" w:rsidR="00510280" w:rsidRPr="00ED7845" w:rsidRDefault="00510280" w:rsidP="00F80DA7">
      <w:pPr>
        <w:pStyle w:val="SingleTxtG"/>
        <w:spacing w:line="360" w:lineRule="auto"/>
        <w:ind w:left="0"/>
        <w:rPr>
          <w:rFonts w:asciiTheme="minorHAnsi" w:hAnsiTheme="minorHAnsi"/>
          <w:b/>
          <w:sz w:val="22"/>
          <w:szCs w:val="22"/>
        </w:rPr>
        <w:sectPr w:rsidR="00510280" w:rsidRPr="00ED7845" w:rsidSect="009B6E1E">
          <w:footerReference w:type="default" r:id="rId9"/>
          <w:pgSz w:w="11900" w:h="16840"/>
          <w:pgMar w:top="0" w:right="1440" w:bottom="1814" w:left="1440" w:header="709" w:footer="709" w:gutter="0"/>
          <w:cols w:space="708"/>
          <w:docGrid w:linePitch="360"/>
        </w:sectPr>
      </w:pPr>
    </w:p>
    <w:p w14:paraId="179D672C" w14:textId="77777777" w:rsidR="00510280" w:rsidRDefault="00510280" w:rsidP="00F80DA7">
      <w:pPr>
        <w:pStyle w:val="SingleTxtG"/>
        <w:spacing w:line="360" w:lineRule="auto"/>
        <w:ind w:left="0"/>
        <w:rPr>
          <w:rFonts w:asciiTheme="minorHAnsi" w:hAnsiTheme="minorHAnsi"/>
          <w:b/>
          <w:sz w:val="22"/>
          <w:szCs w:val="22"/>
        </w:rPr>
      </w:pPr>
    </w:p>
    <w:p w14:paraId="1E9ABF54" w14:textId="5A5DA0C2" w:rsidR="00533E65" w:rsidRPr="00F80DA7" w:rsidRDefault="00ED7845" w:rsidP="00EB598C">
      <w:pPr>
        <w:pStyle w:val="SingleTxtG"/>
        <w:numPr>
          <w:ilvl w:val="0"/>
          <w:numId w:val="2"/>
        </w:numPr>
        <w:spacing w:line="360" w:lineRule="auto"/>
        <w:ind w:left="142" w:right="-22"/>
        <w:rPr>
          <w:rFonts w:asciiTheme="minorHAnsi" w:eastAsiaTheme="minorEastAsia" w:hAnsiTheme="minorHAnsi"/>
          <w:b/>
          <w:color w:val="000000" w:themeColor="text1"/>
          <w:sz w:val="24"/>
          <w:szCs w:val="24"/>
          <w:u w:val="single"/>
          <w:lang w:val="en-US"/>
        </w:rPr>
      </w:pPr>
      <w:r w:rsidRPr="00F80DA7">
        <w:rPr>
          <w:rFonts w:asciiTheme="minorHAnsi" w:eastAsiaTheme="minorEastAsia" w:hAnsiTheme="minorHAnsi"/>
          <w:b/>
          <w:color w:val="000000" w:themeColor="text1"/>
          <w:sz w:val="24"/>
          <w:szCs w:val="24"/>
          <w:u w:val="single"/>
          <w:lang w:val="en-US"/>
        </w:rPr>
        <w:t>VOLUNTARY TERMINATION OF PREGNANCY</w:t>
      </w:r>
    </w:p>
    <w:p w14:paraId="31AACD5D" w14:textId="066C921B" w:rsidR="00533E65" w:rsidRPr="00533E65" w:rsidRDefault="00533E65" w:rsidP="00EB598C">
      <w:pPr>
        <w:pStyle w:val="SingleTxtG"/>
        <w:tabs>
          <w:tab w:val="left" w:pos="8931"/>
        </w:tabs>
        <w:spacing w:line="360" w:lineRule="auto"/>
        <w:ind w:left="-709" w:right="89"/>
        <w:rPr>
          <w:rFonts w:asciiTheme="minorHAnsi" w:hAnsiTheme="minorHAnsi"/>
          <w:sz w:val="22"/>
          <w:szCs w:val="22"/>
        </w:rPr>
      </w:pPr>
      <w:r w:rsidRPr="00533E65">
        <w:rPr>
          <w:rFonts w:asciiTheme="minorHAnsi" w:hAnsiTheme="minorHAnsi"/>
          <w:sz w:val="22"/>
          <w:szCs w:val="22"/>
        </w:rPr>
        <w:t xml:space="preserve">“The Committee is concerned at the high levels of maternal mortality resulting from unsafe abortions and the lack of official data on the number of clandestine abortions and their linkage to high maternal mortality. It reiterates its concern at the general criminalization of abortion in the Offences against the Person Act (see CCPR/C/JAMCO/3, para. 14), including in cases of pregnancies resulting from rape, incest and fatal </w:t>
      </w:r>
      <w:proofErr w:type="spellStart"/>
      <w:r w:rsidRPr="00533E65">
        <w:rPr>
          <w:rFonts w:asciiTheme="minorHAnsi" w:hAnsiTheme="minorHAnsi"/>
          <w:sz w:val="22"/>
          <w:szCs w:val="22"/>
        </w:rPr>
        <w:t>fetal</w:t>
      </w:r>
      <w:proofErr w:type="spellEnd"/>
      <w:r w:rsidRPr="00533E65">
        <w:rPr>
          <w:rFonts w:asciiTheme="minorHAnsi" w:hAnsiTheme="minorHAnsi"/>
          <w:sz w:val="22"/>
          <w:szCs w:val="22"/>
        </w:rPr>
        <w:t xml:space="preserve"> abnormality. The Committee is also concerned about the lack of access by girls below the age of 16 years to sexual and reproductive health information and services without parental consent, especially in the light of the high incidence of adolescent pregnancy and incest in the State party (arts. 3, 6, 7 and 17)”.</w:t>
      </w:r>
      <w:r w:rsidR="00EB598C">
        <w:rPr>
          <w:rStyle w:val="FootnoteReference"/>
          <w:rFonts w:asciiTheme="minorHAnsi" w:hAnsiTheme="minorHAnsi"/>
          <w:sz w:val="22"/>
          <w:szCs w:val="22"/>
        </w:rPr>
        <w:footnoteReference w:id="3"/>
      </w:r>
      <w:r w:rsidRPr="00533E65">
        <w:rPr>
          <w:rFonts w:asciiTheme="minorHAnsi" w:hAnsiTheme="minorHAnsi"/>
          <w:sz w:val="22"/>
          <w:szCs w:val="22"/>
        </w:rPr>
        <w:t xml:space="preserve"> </w:t>
      </w:r>
    </w:p>
    <w:tbl>
      <w:tblPr>
        <w:tblStyle w:val="TableGrid"/>
        <w:tblpPr w:leftFromText="180" w:rightFromText="180" w:vertAnchor="text" w:horzAnchor="margin" w:tblpXSpec="center" w:tblpY="447"/>
        <w:tblW w:w="10438" w:type="dxa"/>
        <w:tblLook w:val="04A0" w:firstRow="1" w:lastRow="0" w:firstColumn="1" w:lastColumn="0" w:noHBand="0" w:noVBand="1"/>
      </w:tblPr>
      <w:tblGrid>
        <w:gridCol w:w="4390"/>
        <w:gridCol w:w="6048"/>
      </w:tblGrid>
      <w:tr w:rsidR="00533E65" w:rsidRPr="00533E65" w14:paraId="76713702" w14:textId="77777777" w:rsidTr="00E32516">
        <w:trPr>
          <w:trHeight w:val="860"/>
        </w:trPr>
        <w:tc>
          <w:tcPr>
            <w:tcW w:w="4390" w:type="dxa"/>
          </w:tcPr>
          <w:p w14:paraId="00952615" w14:textId="77777777" w:rsidR="00533E65" w:rsidRDefault="00533E65" w:rsidP="00EB598C">
            <w:pPr>
              <w:jc w:val="center"/>
              <w:rPr>
                <w:rFonts w:asciiTheme="minorHAnsi" w:hAnsiTheme="minorHAnsi"/>
                <w:b/>
              </w:rPr>
            </w:pPr>
            <w:r w:rsidRPr="00533E65">
              <w:rPr>
                <w:rFonts w:asciiTheme="minorHAnsi" w:hAnsiTheme="minorHAnsi"/>
                <w:b/>
              </w:rPr>
              <w:t>Recommendation by Committee:</w:t>
            </w:r>
          </w:p>
          <w:p w14:paraId="74E29711" w14:textId="77777777" w:rsidR="00A01754" w:rsidRPr="00533E65" w:rsidRDefault="00A01754" w:rsidP="00EB598C">
            <w:pPr>
              <w:jc w:val="center"/>
              <w:rPr>
                <w:rFonts w:asciiTheme="minorHAnsi" w:hAnsiTheme="minorHAnsi"/>
                <w:b/>
              </w:rPr>
            </w:pPr>
            <w:r>
              <w:rPr>
                <w:rFonts w:asciiTheme="minorHAnsi" w:hAnsiTheme="minorHAnsi"/>
                <w:b/>
              </w:rPr>
              <w:t>(Paragraph 26)</w:t>
            </w:r>
          </w:p>
        </w:tc>
        <w:tc>
          <w:tcPr>
            <w:tcW w:w="6048" w:type="dxa"/>
          </w:tcPr>
          <w:p w14:paraId="33CA6429" w14:textId="77777777" w:rsidR="00533E65" w:rsidRPr="00533E65" w:rsidRDefault="00533E65" w:rsidP="00EB598C">
            <w:pPr>
              <w:jc w:val="center"/>
              <w:rPr>
                <w:rFonts w:asciiTheme="minorHAnsi" w:hAnsiTheme="minorHAnsi"/>
              </w:rPr>
            </w:pPr>
            <w:r w:rsidRPr="00533E65">
              <w:rPr>
                <w:rFonts w:asciiTheme="minorHAnsi" w:hAnsiTheme="minorHAnsi"/>
                <w:b/>
              </w:rPr>
              <w:t>Actions taken by the State party (if any) and current situation:</w:t>
            </w:r>
          </w:p>
        </w:tc>
      </w:tr>
      <w:tr w:rsidR="00533E65" w:rsidRPr="00533E65" w14:paraId="6BAECE52" w14:textId="77777777" w:rsidTr="00E32516">
        <w:trPr>
          <w:trHeight w:val="1957"/>
        </w:trPr>
        <w:tc>
          <w:tcPr>
            <w:tcW w:w="4390" w:type="dxa"/>
          </w:tcPr>
          <w:p w14:paraId="705837D1" w14:textId="77777777" w:rsidR="00533E65" w:rsidRPr="00533E65" w:rsidRDefault="00533E65" w:rsidP="00EB598C">
            <w:pPr>
              <w:jc w:val="both"/>
              <w:rPr>
                <w:rFonts w:asciiTheme="minorHAnsi" w:hAnsiTheme="minorHAnsi"/>
              </w:rPr>
            </w:pPr>
            <w:r w:rsidRPr="00533E65">
              <w:rPr>
                <w:rFonts w:asciiTheme="minorHAnsi" w:hAnsiTheme="minorHAnsi"/>
                <w:bCs/>
              </w:rPr>
              <w:t xml:space="preserve">The State party should, as a matter of priority, amend its abortion legislation to help women address unplanned pregnancies and not resort to illegal abortions that could put their lives at risk. </w:t>
            </w:r>
          </w:p>
        </w:tc>
        <w:tc>
          <w:tcPr>
            <w:tcW w:w="6048" w:type="dxa"/>
          </w:tcPr>
          <w:p w14:paraId="269B9DF1" w14:textId="53BA0FF0" w:rsidR="0060471E" w:rsidRPr="00BB34F8" w:rsidRDefault="00396838"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 xml:space="preserve">In June 2018, </w:t>
            </w:r>
            <w:r w:rsidR="0060471E" w:rsidRPr="00BB34F8">
              <w:rPr>
                <w:rFonts w:asciiTheme="minorHAnsi" w:hAnsiTheme="minorHAnsi"/>
                <w:color w:val="000000" w:themeColor="text1"/>
                <w:sz w:val="22"/>
                <w:szCs w:val="22"/>
              </w:rPr>
              <w:t xml:space="preserve">Parliamentarian Juliet Cuthbert-Flynn moved a motion for the Government to decriminalise abortion and provide women with safe and affordable methods to terminate pregnancy. </w:t>
            </w:r>
            <w:r w:rsidRPr="00BB34F8">
              <w:rPr>
                <w:rFonts w:asciiTheme="minorHAnsi" w:hAnsiTheme="minorHAnsi"/>
                <w:color w:val="000000" w:themeColor="text1"/>
                <w:sz w:val="22"/>
                <w:szCs w:val="22"/>
              </w:rPr>
              <w:t xml:space="preserve">She highlighted </w:t>
            </w:r>
            <w:r w:rsidR="0060471E" w:rsidRPr="00BB34F8">
              <w:rPr>
                <w:rFonts w:asciiTheme="minorHAnsi" w:hAnsiTheme="minorHAnsi"/>
                <w:color w:val="000000" w:themeColor="text1"/>
                <w:sz w:val="22"/>
                <w:szCs w:val="22"/>
              </w:rPr>
              <w:t>that the Government ratified the Convention on the Elimination of All Forms of Discrimination Against Women, which mandates that steps should be taken to reduce maternal mortality by tackling contributing factors, such as unsafe abortions.</w:t>
            </w:r>
          </w:p>
          <w:p w14:paraId="25873B49" w14:textId="77777777" w:rsidR="00396838" w:rsidRPr="00BB34F8" w:rsidRDefault="00396838" w:rsidP="00BB34F8">
            <w:pPr>
              <w:jc w:val="both"/>
              <w:rPr>
                <w:rFonts w:asciiTheme="minorHAnsi" w:hAnsiTheme="minorHAnsi"/>
                <w:color w:val="000000" w:themeColor="text1"/>
                <w:sz w:val="22"/>
                <w:szCs w:val="22"/>
              </w:rPr>
            </w:pPr>
          </w:p>
          <w:p w14:paraId="4FFA24FA" w14:textId="4A77FFD9" w:rsidR="00396838" w:rsidRPr="00BB34F8" w:rsidRDefault="00396838"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The motion read:</w:t>
            </w:r>
          </w:p>
          <w:p w14:paraId="73B193A9" w14:textId="439656C4" w:rsidR="0060471E" w:rsidRPr="00BB34F8" w:rsidRDefault="00396838" w:rsidP="00BB34F8">
            <w:pPr>
              <w:jc w:val="both"/>
              <w:rPr>
                <w:rFonts w:asciiTheme="minorHAnsi" w:hAnsiTheme="minorHAnsi"/>
                <w:i/>
                <w:color w:val="000000" w:themeColor="text1"/>
                <w:sz w:val="22"/>
                <w:szCs w:val="22"/>
              </w:rPr>
            </w:pPr>
            <w:r w:rsidRPr="00BB34F8">
              <w:rPr>
                <w:rFonts w:asciiTheme="minorHAnsi" w:hAnsiTheme="minorHAnsi"/>
                <w:i/>
                <w:color w:val="000000" w:themeColor="text1"/>
                <w:sz w:val="22"/>
                <w:szCs w:val="22"/>
              </w:rPr>
              <w:t xml:space="preserve">“Be it resolved </w:t>
            </w:r>
            <w:r w:rsidR="0060471E" w:rsidRPr="00BB34F8">
              <w:rPr>
                <w:rFonts w:asciiTheme="minorHAnsi" w:hAnsiTheme="minorHAnsi"/>
                <w:i/>
                <w:color w:val="000000" w:themeColor="text1"/>
                <w:sz w:val="22"/>
                <w:szCs w:val="22"/>
              </w:rPr>
              <w:t>that this Honourable House consider the recommendations of the Abortion Policy Group, which was established to provide guidance to allow women the right to choose</w:t>
            </w:r>
          </w:p>
          <w:p w14:paraId="38C8F4C3" w14:textId="77777777" w:rsidR="00396838" w:rsidRPr="00BB34F8" w:rsidRDefault="00396838" w:rsidP="00BB34F8">
            <w:pPr>
              <w:jc w:val="both"/>
              <w:rPr>
                <w:rFonts w:asciiTheme="minorHAnsi" w:hAnsiTheme="minorHAnsi"/>
                <w:i/>
                <w:color w:val="000000" w:themeColor="text1"/>
                <w:sz w:val="22"/>
                <w:szCs w:val="22"/>
              </w:rPr>
            </w:pPr>
          </w:p>
          <w:p w14:paraId="7E7AB5A6" w14:textId="539FD680" w:rsidR="0060471E" w:rsidRPr="00BB34F8" w:rsidRDefault="00396838" w:rsidP="00BB34F8">
            <w:pPr>
              <w:jc w:val="both"/>
              <w:rPr>
                <w:rFonts w:asciiTheme="minorHAnsi" w:hAnsiTheme="minorHAnsi"/>
                <w:i/>
                <w:color w:val="000000" w:themeColor="text1"/>
                <w:sz w:val="22"/>
                <w:szCs w:val="22"/>
              </w:rPr>
            </w:pPr>
            <w:r w:rsidRPr="00BB34F8">
              <w:rPr>
                <w:rFonts w:asciiTheme="minorHAnsi" w:hAnsiTheme="minorHAnsi"/>
                <w:i/>
                <w:color w:val="000000" w:themeColor="text1"/>
                <w:sz w:val="22"/>
                <w:szCs w:val="22"/>
              </w:rPr>
              <w:t xml:space="preserve">“Be it further resolved </w:t>
            </w:r>
            <w:r w:rsidR="0060471E" w:rsidRPr="00BB34F8">
              <w:rPr>
                <w:rFonts w:asciiTheme="minorHAnsi" w:hAnsiTheme="minorHAnsi"/>
                <w:i/>
                <w:color w:val="000000" w:themeColor="text1"/>
                <w:sz w:val="22"/>
                <w:szCs w:val="22"/>
              </w:rPr>
              <w:t>that this Honourable House take steps to repeal sections 72 and 73 of the Offences Against the Persons Act, and substitute therewith a civil law titled “Termination of Pregnancy Act”, as recommended by the Abortion Policy Review Group in 2007”.</w:t>
            </w:r>
          </w:p>
          <w:p w14:paraId="35F4CF8E" w14:textId="77777777" w:rsidR="00396838" w:rsidRPr="00BB34F8" w:rsidRDefault="00396838" w:rsidP="00BB34F8">
            <w:pPr>
              <w:jc w:val="both"/>
              <w:rPr>
                <w:rFonts w:asciiTheme="minorHAnsi" w:hAnsiTheme="minorHAnsi"/>
                <w:color w:val="000000" w:themeColor="text1"/>
                <w:sz w:val="22"/>
                <w:szCs w:val="22"/>
              </w:rPr>
            </w:pPr>
          </w:p>
          <w:p w14:paraId="256494DA" w14:textId="77777777" w:rsidR="00455B39" w:rsidRPr="00BB34F8" w:rsidRDefault="006977BA" w:rsidP="00BB34F8">
            <w:pPr>
              <w:pStyle w:val="NormalWeb"/>
              <w:spacing w:before="187" w:beforeAutospacing="0" w:after="0" w:afterAutospacing="0"/>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In December 2018</w:t>
            </w:r>
            <w:r w:rsidR="00E32516" w:rsidRPr="00BB34F8">
              <w:rPr>
                <w:rFonts w:asciiTheme="minorHAnsi" w:hAnsiTheme="minorHAnsi"/>
                <w:color w:val="000000" w:themeColor="text1"/>
                <w:sz w:val="22"/>
                <w:szCs w:val="22"/>
              </w:rPr>
              <w:t xml:space="preserve"> the Report of the Joint Select Committee appointed to review the  </w:t>
            </w:r>
            <w:r w:rsidR="00455B39" w:rsidRPr="00BB34F8">
              <w:rPr>
                <w:rFonts w:asciiTheme="minorHAnsi" w:hAnsiTheme="minorHAnsi"/>
                <w:color w:val="000000" w:themeColor="text1"/>
                <w:sz w:val="22"/>
                <w:szCs w:val="22"/>
              </w:rPr>
              <w:t xml:space="preserve">Sexual Offences Act along with </w:t>
            </w:r>
            <w:r w:rsidR="00E32516" w:rsidRPr="00BB34F8">
              <w:rPr>
                <w:rFonts w:asciiTheme="minorHAnsi" w:hAnsiTheme="minorHAnsi"/>
                <w:color w:val="000000" w:themeColor="text1"/>
                <w:sz w:val="22"/>
                <w:szCs w:val="22"/>
              </w:rPr>
              <w:t>the Offences Against the Perso</w:t>
            </w:r>
            <w:r w:rsidR="00455B39" w:rsidRPr="00BB34F8">
              <w:rPr>
                <w:rFonts w:asciiTheme="minorHAnsi" w:hAnsiTheme="minorHAnsi"/>
                <w:color w:val="000000" w:themeColor="text1"/>
                <w:sz w:val="22"/>
                <w:szCs w:val="22"/>
              </w:rPr>
              <w:t>n</w:t>
            </w:r>
            <w:r w:rsidR="00E32516" w:rsidRPr="00BB34F8">
              <w:rPr>
                <w:rFonts w:asciiTheme="minorHAnsi" w:hAnsiTheme="minorHAnsi"/>
                <w:color w:val="000000" w:themeColor="text1"/>
                <w:sz w:val="22"/>
                <w:szCs w:val="22"/>
              </w:rPr>
              <w:t>s Act, the</w:t>
            </w:r>
            <w:r w:rsidR="00455B39" w:rsidRPr="00BB34F8">
              <w:rPr>
                <w:rFonts w:asciiTheme="minorHAnsi" w:hAnsiTheme="minorHAnsi"/>
                <w:color w:val="000000" w:themeColor="text1"/>
                <w:sz w:val="22"/>
                <w:szCs w:val="22"/>
              </w:rPr>
              <w:t xml:space="preserve"> Domestic Violence Act and the Child Care and Protection </w:t>
            </w:r>
            <w:r w:rsidR="00E32516" w:rsidRPr="00BB34F8">
              <w:rPr>
                <w:rFonts w:asciiTheme="minorHAnsi" w:hAnsiTheme="minorHAnsi"/>
                <w:color w:val="000000" w:themeColor="text1"/>
                <w:sz w:val="22"/>
                <w:szCs w:val="22"/>
              </w:rPr>
              <w:t>Act</w:t>
            </w:r>
            <w:r w:rsidR="00455B39" w:rsidRPr="00BB34F8">
              <w:rPr>
                <w:rFonts w:asciiTheme="minorHAnsi" w:hAnsiTheme="minorHAnsi"/>
                <w:color w:val="000000" w:themeColor="text1"/>
                <w:sz w:val="22"/>
                <w:szCs w:val="22"/>
              </w:rPr>
              <w:t xml:space="preserve"> was released. The report recommended that </w:t>
            </w:r>
            <w:r w:rsidR="00455B39" w:rsidRPr="00BB34F8">
              <w:rPr>
                <w:rFonts w:asciiTheme="minorHAnsi" w:hAnsiTheme="minorHAnsi" w:cs="Courier New"/>
                <w:bCs/>
                <w:iCs/>
                <w:color w:val="000000" w:themeColor="text1"/>
                <w:sz w:val="22"/>
                <w:szCs w:val="22"/>
              </w:rPr>
              <w:t>P</w:t>
            </w:r>
            <w:r w:rsidR="00455B39" w:rsidRPr="00BB34F8">
              <w:rPr>
                <w:rFonts w:asciiTheme="minorHAnsi" w:hAnsiTheme="minorHAnsi" w:cs="Arial"/>
                <w:bCs/>
                <w:iCs/>
                <w:color w:val="000000" w:themeColor="text1"/>
                <w:sz w:val="22"/>
                <w:szCs w:val="22"/>
              </w:rPr>
              <w:t xml:space="preserve">arliament considers reconstituting the Joint </w:t>
            </w:r>
            <w:r w:rsidR="00455B39" w:rsidRPr="00BB34F8">
              <w:rPr>
                <w:rFonts w:asciiTheme="minorHAnsi" w:hAnsiTheme="minorHAnsi" w:cs="Arial"/>
                <w:bCs/>
                <w:iCs/>
                <w:color w:val="000000" w:themeColor="text1"/>
                <w:sz w:val="22"/>
                <w:szCs w:val="22"/>
              </w:rPr>
              <w:lastRenderedPageBreak/>
              <w:t>Select Comm</w:t>
            </w:r>
            <w:r w:rsidR="00455B39" w:rsidRPr="00BB34F8">
              <w:rPr>
                <w:rFonts w:asciiTheme="minorHAnsi" w:hAnsiTheme="minorHAnsi"/>
                <w:bCs/>
                <w:iCs/>
                <w:color w:val="000000" w:themeColor="text1"/>
                <w:sz w:val="22"/>
                <w:szCs w:val="22"/>
              </w:rPr>
              <w:t>i</w:t>
            </w:r>
            <w:r w:rsidR="00455B39" w:rsidRPr="00BB34F8">
              <w:rPr>
                <w:rFonts w:asciiTheme="minorHAnsi" w:hAnsiTheme="minorHAnsi" w:cs="Arial"/>
                <w:bCs/>
                <w:iCs/>
                <w:color w:val="000000" w:themeColor="text1"/>
                <w:sz w:val="22"/>
                <w:szCs w:val="22"/>
              </w:rPr>
              <w:t xml:space="preserve">ttee that deliberated on this matter or determine the method by which the draft report which had been prepared could be reviewed and submitted to Parliament. </w:t>
            </w:r>
          </w:p>
          <w:p w14:paraId="164BAED0" w14:textId="77777777" w:rsidR="00E32516" w:rsidRPr="00BB34F8" w:rsidRDefault="00E32516" w:rsidP="00BB34F8">
            <w:pPr>
              <w:jc w:val="both"/>
              <w:rPr>
                <w:rFonts w:asciiTheme="minorHAnsi" w:hAnsiTheme="minorHAnsi"/>
                <w:color w:val="000000" w:themeColor="text1"/>
                <w:sz w:val="22"/>
                <w:szCs w:val="22"/>
              </w:rPr>
            </w:pPr>
          </w:p>
          <w:p w14:paraId="7C065385" w14:textId="65B12CDA" w:rsidR="00E32516" w:rsidRPr="00BB34F8" w:rsidRDefault="00F17BCA"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I</w:t>
            </w:r>
            <w:r w:rsidR="00E32516" w:rsidRPr="00BB34F8">
              <w:rPr>
                <w:rFonts w:asciiTheme="minorHAnsi" w:hAnsiTheme="minorHAnsi"/>
                <w:color w:val="000000" w:themeColor="text1"/>
                <w:sz w:val="22"/>
                <w:szCs w:val="22"/>
              </w:rPr>
              <w:t>t was</w:t>
            </w:r>
            <w:r w:rsidR="00455B39" w:rsidRPr="00BB34F8">
              <w:rPr>
                <w:rFonts w:asciiTheme="minorHAnsi" w:hAnsiTheme="minorHAnsi"/>
                <w:color w:val="000000" w:themeColor="text1"/>
                <w:sz w:val="22"/>
                <w:szCs w:val="22"/>
              </w:rPr>
              <w:t xml:space="preserve"> thereafter</w:t>
            </w:r>
            <w:r w:rsidR="00E32516" w:rsidRPr="00BB34F8">
              <w:rPr>
                <w:rFonts w:asciiTheme="minorHAnsi" w:hAnsiTheme="minorHAnsi"/>
                <w:color w:val="000000" w:themeColor="text1"/>
                <w:sz w:val="22"/>
                <w:szCs w:val="22"/>
              </w:rPr>
              <w:t xml:space="preserve"> announced that the</w:t>
            </w:r>
            <w:r w:rsidR="00E32516" w:rsidRPr="00BB34F8">
              <w:rPr>
                <w:rFonts w:asciiTheme="minorHAnsi" w:hAnsiTheme="minorHAnsi" w:cs="Arial"/>
                <w:color w:val="000000" w:themeColor="text1"/>
                <w:sz w:val="22"/>
                <w:szCs w:val="22"/>
                <w:shd w:val="clear" w:color="auto" w:fill="FFFFFF"/>
              </w:rPr>
              <w:t xml:space="preserve"> Human Resources and Social Development Committee (HRSDC), chaired by Opposition Member of Parliament Ronald Thwaites, a Roman Catholic church deacon</w:t>
            </w:r>
            <w:r w:rsidRPr="00BB34F8">
              <w:rPr>
                <w:rFonts w:asciiTheme="minorHAnsi" w:hAnsiTheme="minorHAnsi" w:cs="Arial"/>
                <w:color w:val="000000" w:themeColor="text1"/>
                <w:sz w:val="22"/>
                <w:szCs w:val="22"/>
                <w:shd w:val="clear" w:color="auto" w:fill="FFFFFF"/>
              </w:rPr>
              <w:t>,</w:t>
            </w:r>
            <w:r w:rsidR="00455B39" w:rsidRPr="00BB34F8">
              <w:rPr>
                <w:rFonts w:asciiTheme="minorHAnsi" w:hAnsiTheme="minorHAnsi" w:cs="Arial"/>
                <w:color w:val="000000" w:themeColor="text1"/>
                <w:sz w:val="22"/>
                <w:szCs w:val="22"/>
                <w:shd w:val="clear" w:color="auto" w:fill="FFFFFF"/>
              </w:rPr>
              <w:t xml:space="preserve"> would review the motion by </w:t>
            </w:r>
            <w:r w:rsidR="00455B39" w:rsidRPr="00BB34F8">
              <w:rPr>
                <w:rFonts w:asciiTheme="minorHAnsi" w:hAnsiTheme="minorHAnsi"/>
                <w:color w:val="000000" w:themeColor="text1"/>
                <w:sz w:val="22"/>
                <w:szCs w:val="22"/>
              </w:rPr>
              <w:t>Parliamentarian Juliet Cuthbert-Flynn.</w:t>
            </w:r>
          </w:p>
          <w:p w14:paraId="59128DD9" w14:textId="77777777" w:rsidR="00F17BCA" w:rsidRPr="00BB34F8" w:rsidRDefault="00F17BCA" w:rsidP="00BB34F8">
            <w:pPr>
              <w:jc w:val="both"/>
              <w:rPr>
                <w:rFonts w:asciiTheme="minorHAnsi" w:hAnsiTheme="minorHAnsi"/>
                <w:color w:val="000000" w:themeColor="text1"/>
                <w:sz w:val="22"/>
                <w:szCs w:val="22"/>
              </w:rPr>
            </w:pPr>
          </w:p>
          <w:p w14:paraId="7977A58C" w14:textId="19C9BD53" w:rsidR="00533E65" w:rsidRPr="00BB34F8" w:rsidRDefault="00762B00"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The HRSDC has since heard submissions from numerous civil society</w:t>
            </w:r>
            <w:r w:rsidR="00A45710" w:rsidRPr="00BB34F8">
              <w:rPr>
                <w:rFonts w:asciiTheme="minorHAnsi" w:hAnsiTheme="minorHAnsi"/>
                <w:color w:val="000000" w:themeColor="text1"/>
                <w:sz w:val="22"/>
                <w:szCs w:val="22"/>
              </w:rPr>
              <w:t xml:space="preserve"> groups,</w:t>
            </w:r>
            <w:r w:rsidR="00F17BCA" w:rsidRPr="00BB34F8">
              <w:rPr>
                <w:rFonts w:asciiTheme="minorHAnsi" w:hAnsiTheme="minorHAnsi"/>
                <w:color w:val="000000" w:themeColor="text1"/>
                <w:sz w:val="22"/>
                <w:szCs w:val="22"/>
              </w:rPr>
              <w:t xml:space="preserve"> and conservative and</w:t>
            </w:r>
            <w:r w:rsidRPr="00BB34F8">
              <w:rPr>
                <w:rFonts w:asciiTheme="minorHAnsi" w:hAnsiTheme="minorHAnsi"/>
                <w:color w:val="000000" w:themeColor="text1"/>
                <w:sz w:val="22"/>
                <w:szCs w:val="22"/>
              </w:rPr>
              <w:t xml:space="preserve"> religious based groups </w:t>
            </w:r>
            <w:r w:rsidR="00A45710" w:rsidRPr="00BB34F8">
              <w:rPr>
                <w:rFonts w:asciiTheme="minorHAnsi" w:hAnsiTheme="minorHAnsi"/>
                <w:color w:val="000000" w:themeColor="text1"/>
                <w:sz w:val="22"/>
                <w:szCs w:val="22"/>
              </w:rPr>
              <w:t>and individuals on the issue.</w:t>
            </w:r>
            <w:r w:rsidR="00F17BCA" w:rsidRPr="00BB34F8">
              <w:rPr>
                <w:rFonts w:asciiTheme="minorHAnsi" w:hAnsiTheme="minorHAnsi"/>
                <w:color w:val="000000" w:themeColor="text1"/>
                <w:sz w:val="22"/>
                <w:szCs w:val="22"/>
              </w:rPr>
              <w:t xml:space="preserve"> The Committee</w:t>
            </w:r>
            <w:r w:rsidR="00862C5A" w:rsidRPr="00BB34F8">
              <w:rPr>
                <w:rFonts w:asciiTheme="minorHAnsi" w:hAnsiTheme="minorHAnsi"/>
                <w:color w:val="000000" w:themeColor="text1"/>
                <w:sz w:val="22"/>
                <w:szCs w:val="22"/>
              </w:rPr>
              <w:t xml:space="preserve"> is scheduled to hear oral </w:t>
            </w:r>
            <w:r w:rsidR="002823F6" w:rsidRPr="00BB34F8">
              <w:rPr>
                <w:rFonts w:asciiTheme="minorHAnsi" w:hAnsiTheme="minorHAnsi"/>
                <w:color w:val="000000" w:themeColor="text1"/>
                <w:sz w:val="22"/>
                <w:szCs w:val="22"/>
              </w:rPr>
              <w:t>submissions until June</w:t>
            </w:r>
            <w:r w:rsidR="00F17BCA" w:rsidRPr="00BB34F8">
              <w:rPr>
                <w:rFonts w:asciiTheme="minorHAnsi" w:hAnsiTheme="minorHAnsi"/>
                <w:color w:val="000000" w:themeColor="text1"/>
                <w:sz w:val="22"/>
                <w:szCs w:val="22"/>
              </w:rPr>
              <w:t xml:space="preserve"> 2019. It is anticipated that the report stemming from the various submissions and with recommendations from the Committee will be released before the end of 2019 and will significantly impact the direction of the discourse.</w:t>
            </w:r>
          </w:p>
          <w:p w14:paraId="52060124" w14:textId="77777777" w:rsidR="00F17BCA" w:rsidRPr="00BB34F8" w:rsidRDefault="00F17BCA" w:rsidP="00BB34F8">
            <w:pPr>
              <w:jc w:val="both"/>
              <w:rPr>
                <w:rFonts w:asciiTheme="minorHAnsi" w:hAnsiTheme="minorHAnsi"/>
                <w:color w:val="000000" w:themeColor="text1"/>
                <w:sz w:val="22"/>
                <w:szCs w:val="22"/>
              </w:rPr>
            </w:pPr>
          </w:p>
          <w:p w14:paraId="319BE457" w14:textId="7A9D3C90" w:rsidR="00B77CA9" w:rsidRPr="00BB34F8" w:rsidRDefault="00B77CA9" w:rsidP="00BB34F8">
            <w:pPr>
              <w:pStyle w:val="NormalWeb"/>
              <w:spacing w:before="0" w:beforeAutospacing="0" w:after="0" w:afterAutospacing="0"/>
              <w:jc w:val="both"/>
              <w:rPr>
                <w:rFonts w:asciiTheme="minorHAnsi" w:hAnsiTheme="minorHAnsi" w:cs="Arial"/>
                <w:color w:val="000000" w:themeColor="text1"/>
                <w:sz w:val="22"/>
                <w:szCs w:val="22"/>
              </w:rPr>
            </w:pPr>
            <w:r w:rsidRPr="00BB34F8">
              <w:rPr>
                <w:rFonts w:asciiTheme="minorHAnsi" w:hAnsiTheme="minorHAnsi"/>
                <w:color w:val="000000" w:themeColor="text1"/>
                <w:sz w:val="22"/>
                <w:szCs w:val="22"/>
              </w:rPr>
              <w:t>It is 2</w:t>
            </w:r>
            <w:r w:rsidRPr="00BB34F8">
              <w:rPr>
                <w:rFonts w:asciiTheme="minorHAnsi" w:hAnsiTheme="minorHAnsi" w:cs="Arial"/>
                <w:color w:val="000000" w:themeColor="text1"/>
                <w:sz w:val="22"/>
                <w:szCs w:val="22"/>
              </w:rPr>
              <w:t>016 there were 1,177 admissions to Victoria Jubilee Hospital for complications threatening the viability of a pregnancy including incomplete, inevitable and threatened pregnancies, and spontaneous abortions, as well as induced termination of pregnancy. 47 (4 per cent) of these patients were admitted with complications of either a failed attempt or completed induced termination of pregnancy.</w:t>
            </w:r>
          </w:p>
          <w:p w14:paraId="1C0A6ECC" w14:textId="77777777" w:rsidR="00B77CA9" w:rsidRPr="00BB34F8" w:rsidRDefault="00B77CA9" w:rsidP="00BB34F8">
            <w:pPr>
              <w:pStyle w:val="NormalWeb"/>
              <w:spacing w:before="0" w:beforeAutospacing="0" w:after="0" w:afterAutospacing="0"/>
              <w:jc w:val="both"/>
              <w:rPr>
                <w:rFonts w:asciiTheme="minorHAnsi" w:hAnsiTheme="minorHAnsi" w:cs="Arial"/>
                <w:color w:val="000000" w:themeColor="text1"/>
                <w:sz w:val="22"/>
                <w:szCs w:val="22"/>
              </w:rPr>
            </w:pPr>
          </w:p>
          <w:p w14:paraId="5A0C118F" w14:textId="77777777" w:rsidR="00B77CA9" w:rsidRPr="00BB34F8" w:rsidRDefault="00B77CA9"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 xml:space="preserve">While the current Minister of Health, </w:t>
            </w:r>
            <w:proofErr w:type="spellStart"/>
            <w:r w:rsidRPr="00BB34F8">
              <w:rPr>
                <w:rFonts w:asciiTheme="minorHAnsi" w:hAnsiTheme="minorHAnsi"/>
                <w:color w:val="000000" w:themeColor="text1"/>
                <w:sz w:val="22"/>
                <w:szCs w:val="22"/>
              </w:rPr>
              <w:t>Dr.</w:t>
            </w:r>
            <w:proofErr w:type="spellEnd"/>
            <w:r w:rsidRPr="00BB34F8">
              <w:rPr>
                <w:rFonts w:asciiTheme="minorHAnsi" w:hAnsiTheme="minorHAnsi"/>
                <w:color w:val="000000" w:themeColor="text1"/>
                <w:sz w:val="22"/>
                <w:szCs w:val="22"/>
              </w:rPr>
              <w:t xml:space="preserve"> Christopher </w:t>
            </w:r>
            <w:proofErr w:type="spellStart"/>
            <w:r w:rsidRPr="00BB34F8">
              <w:rPr>
                <w:rFonts w:asciiTheme="minorHAnsi" w:hAnsiTheme="minorHAnsi"/>
                <w:color w:val="000000" w:themeColor="text1"/>
                <w:sz w:val="22"/>
                <w:szCs w:val="22"/>
              </w:rPr>
              <w:t>Tufton</w:t>
            </w:r>
            <w:proofErr w:type="spellEnd"/>
            <w:r w:rsidRPr="00BB34F8">
              <w:rPr>
                <w:rFonts w:asciiTheme="minorHAnsi" w:hAnsiTheme="minorHAnsi"/>
                <w:color w:val="000000" w:themeColor="text1"/>
                <w:sz w:val="22"/>
                <w:szCs w:val="22"/>
              </w:rPr>
              <w:t xml:space="preserve">, has indicated that the Ministry of Health </w:t>
            </w:r>
            <w:r w:rsidRPr="00BB34F8">
              <w:rPr>
                <w:rFonts w:asciiTheme="minorHAnsi" w:hAnsiTheme="minorHAnsi" w:cs="Arial"/>
                <w:color w:val="000000" w:themeColor="text1"/>
                <w:sz w:val="22"/>
                <w:szCs w:val="22"/>
                <w:shd w:val="clear" w:color="auto" w:fill="FFFFFF"/>
              </w:rPr>
              <w:t xml:space="preserve">is ‘…ready to participate in the discussions and to implement policies and procedures that will result in a healthy and stable population that is empowered to reach its fullest potential…’  </w:t>
            </w:r>
            <w:r w:rsidRPr="00BB34F8">
              <w:rPr>
                <w:rFonts w:asciiTheme="minorHAnsi" w:hAnsiTheme="minorHAnsi"/>
                <w:color w:val="000000" w:themeColor="text1"/>
                <w:sz w:val="22"/>
                <w:szCs w:val="22"/>
              </w:rPr>
              <w:t xml:space="preserve">there is genuine concern from civil society organisations that the report stemming from the </w:t>
            </w:r>
            <w:r w:rsidRPr="00BB34F8">
              <w:rPr>
                <w:rFonts w:asciiTheme="minorHAnsi" w:hAnsiTheme="minorHAnsi" w:cs="Arial"/>
                <w:color w:val="000000" w:themeColor="text1"/>
                <w:sz w:val="22"/>
                <w:szCs w:val="22"/>
                <w:shd w:val="clear" w:color="auto" w:fill="FFFFFF"/>
              </w:rPr>
              <w:t xml:space="preserve">Human Resources and Social Development </w:t>
            </w:r>
            <w:r w:rsidRPr="00BB34F8">
              <w:rPr>
                <w:rFonts w:asciiTheme="minorHAnsi" w:hAnsiTheme="minorHAnsi"/>
                <w:color w:val="000000" w:themeColor="text1"/>
                <w:sz w:val="22"/>
                <w:szCs w:val="22"/>
              </w:rPr>
              <w:t xml:space="preserve">Committee will be reflective of the campaign which has been mounted by fundamentalist conservative groups to prevent the provision of abortion services in any setting. </w:t>
            </w:r>
          </w:p>
          <w:p w14:paraId="269856C7" w14:textId="3D45D886" w:rsidR="00B77CA9" w:rsidRPr="00BB34F8" w:rsidRDefault="00B77CA9" w:rsidP="00BB34F8">
            <w:pPr>
              <w:jc w:val="both"/>
              <w:rPr>
                <w:rFonts w:asciiTheme="minorHAnsi" w:hAnsiTheme="minorHAnsi"/>
                <w:color w:val="000000" w:themeColor="text1"/>
                <w:sz w:val="22"/>
                <w:szCs w:val="22"/>
              </w:rPr>
            </w:pPr>
          </w:p>
          <w:p w14:paraId="08FBD604" w14:textId="47A52C11" w:rsidR="00F17BCA" w:rsidRPr="00BB34F8" w:rsidRDefault="00F17BCA"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W</w:t>
            </w:r>
            <w:r w:rsidR="00B77CA9" w:rsidRPr="00BB34F8">
              <w:rPr>
                <w:rFonts w:asciiTheme="minorHAnsi" w:hAnsiTheme="minorHAnsi"/>
                <w:color w:val="000000" w:themeColor="text1"/>
                <w:sz w:val="22"/>
                <w:szCs w:val="22"/>
              </w:rPr>
              <w:t xml:space="preserve">e reiterate that the </w:t>
            </w:r>
            <w:r w:rsidRPr="00BB34F8">
              <w:rPr>
                <w:rFonts w:asciiTheme="minorHAnsi" w:hAnsiTheme="minorHAnsi"/>
                <w:color w:val="000000" w:themeColor="text1"/>
                <w:sz w:val="22"/>
                <w:szCs w:val="22"/>
              </w:rPr>
              <w:t xml:space="preserve">high rates of maternal mortality and morbidity </w:t>
            </w:r>
            <w:r w:rsidR="00B77CA9" w:rsidRPr="00BB34F8">
              <w:rPr>
                <w:rFonts w:asciiTheme="minorHAnsi" w:hAnsiTheme="minorHAnsi"/>
                <w:color w:val="000000" w:themeColor="text1"/>
                <w:sz w:val="22"/>
                <w:szCs w:val="22"/>
              </w:rPr>
              <w:t>stemming from botched abortions</w:t>
            </w:r>
            <w:r w:rsidRPr="00BB34F8">
              <w:rPr>
                <w:rFonts w:asciiTheme="minorHAnsi" w:hAnsiTheme="minorHAnsi"/>
                <w:color w:val="000000" w:themeColor="text1"/>
                <w:sz w:val="22"/>
                <w:szCs w:val="22"/>
              </w:rPr>
              <w:t xml:space="preserve"> and the </w:t>
            </w:r>
            <w:r w:rsidR="00B77CA9" w:rsidRPr="00BB34F8">
              <w:rPr>
                <w:rFonts w:asciiTheme="minorHAnsi" w:hAnsiTheme="minorHAnsi"/>
                <w:color w:val="000000" w:themeColor="text1"/>
                <w:sz w:val="22"/>
                <w:szCs w:val="22"/>
              </w:rPr>
              <w:t>a</w:t>
            </w:r>
            <w:r w:rsidRPr="00BB34F8">
              <w:rPr>
                <w:rFonts w:asciiTheme="minorHAnsi" w:hAnsiTheme="minorHAnsi"/>
                <w:color w:val="000000" w:themeColor="text1"/>
                <w:sz w:val="22"/>
                <w:szCs w:val="22"/>
              </w:rPr>
              <w:t xml:space="preserve">bsence of </w:t>
            </w:r>
            <w:r w:rsidR="00B77CA9" w:rsidRPr="00BB34F8">
              <w:rPr>
                <w:rFonts w:asciiTheme="minorHAnsi" w:hAnsiTheme="minorHAnsi"/>
                <w:color w:val="000000" w:themeColor="text1"/>
                <w:sz w:val="22"/>
                <w:szCs w:val="22"/>
              </w:rPr>
              <w:t xml:space="preserve">laws to decriminalise the procurement and performance of abortions has significant impacts on </w:t>
            </w:r>
            <w:r w:rsidRPr="00BB34F8">
              <w:rPr>
                <w:rFonts w:asciiTheme="minorHAnsi" w:hAnsiTheme="minorHAnsi"/>
                <w:color w:val="000000" w:themeColor="text1"/>
                <w:sz w:val="22"/>
                <w:szCs w:val="22"/>
              </w:rPr>
              <w:t xml:space="preserve">the reproductive health of women, especially those who are young, single, unemployed or in low paying employment </w:t>
            </w:r>
            <w:r w:rsidR="00B77CA9" w:rsidRPr="00BB34F8">
              <w:rPr>
                <w:rFonts w:asciiTheme="minorHAnsi" w:hAnsiTheme="minorHAnsi"/>
                <w:color w:val="000000" w:themeColor="text1"/>
                <w:sz w:val="22"/>
                <w:szCs w:val="22"/>
              </w:rPr>
              <w:t xml:space="preserve">and it is essential that the </w:t>
            </w:r>
            <w:r w:rsidRPr="00BB34F8">
              <w:rPr>
                <w:rFonts w:asciiTheme="minorHAnsi" w:hAnsiTheme="minorHAnsi"/>
                <w:color w:val="000000" w:themeColor="text1"/>
                <w:sz w:val="22"/>
                <w:szCs w:val="22"/>
              </w:rPr>
              <w:t xml:space="preserve">state take </w:t>
            </w:r>
            <w:r w:rsidR="00B77CA9" w:rsidRPr="00BB34F8">
              <w:rPr>
                <w:rFonts w:asciiTheme="minorHAnsi" w:hAnsiTheme="minorHAnsi"/>
                <w:color w:val="000000" w:themeColor="text1"/>
                <w:sz w:val="22"/>
                <w:szCs w:val="22"/>
              </w:rPr>
              <w:t xml:space="preserve">urgent steps </w:t>
            </w:r>
            <w:r w:rsidRPr="00BB34F8">
              <w:rPr>
                <w:rFonts w:asciiTheme="minorHAnsi" w:hAnsiTheme="minorHAnsi"/>
                <w:color w:val="000000" w:themeColor="text1"/>
                <w:sz w:val="22"/>
                <w:szCs w:val="22"/>
              </w:rPr>
              <w:t xml:space="preserve"> to protect the health and wellbeing of women and girls</w:t>
            </w:r>
            <w:r w:rsidR="00B77CA9" w:rsidRPr="00BB34F8">
              <w:rPr>
                <w:rFonts w:asciiTheme="minorHAnsi" w:hAnsiTheme="minorHAnsi"/>
                <w:color w:val="000000" w:themeColor="text1"/>
                <w:sz w:val="22"/>
                <w:szCs w:val="22"/>
              </w:rPr>
              <w:t>.</w:t>
            </w:r>
          </w:p>
          <w:p w14:paraId="036242F1" w14:textId="7E16F6C6" w:rsidR="00F17BCA" w:rsidRPr="00BB34F8" w:rsidRDefault="00F17BCA" w:rsidP="00BB34F8">
            <w:pPr>
              <w:jc w:val="both"/>
              <w:rPr>
                <w:rFonts w:asciiTheme="minorHAnsi" w:hAnsiTheme="minorHAnsi"/>
                <w:color w:val="000000" w:themeColor="text1"/>
                <w:sz w:val="22"/>
                <w:szCs w:val="22"/>
              </w:rPr>
            </w:pPr>
          </w:p>
        </w:tc>
      </w:tr>
      <w:tr w:rsidR="00533E65" w:rsidRPr="00533E65" w14:paraId="3B1D3367" w14:textId="77777777" w:rsidTr="00E32516">
        <w:trPr>
          <w:trHeight w:val="3201"/>
        </w:trPr>
        <w:tc>
          <w:tcPr>
            <w:tcW w:w="4390" w:type="dxa"/>
          </w:tcPr>
          <w:p w14:paraId="2C2E1787" w14:textId="77777777" w:rsidR="00533E65" w:rsidRPr="00533E65" w:rsidRDefault="00533E65" w:rsidP="00EB598C">
            <w:pPr>
              <w:jc w:val="both"/>
              <w:rPr>
                <w:rFonts w:asciiTheme="minorHAnsi" w:hAnsiTheme="minorHAnsi"/>
              </w:rPr>
            </w:pPr>
            <w:r w:rsidRPr="00533E65">
              <w:rPr>
                <w:rFonts w:asciiTheme="minorHAnsi" w:hAnsiTheme="minorHAnsi"/>
                <w:bCs/>
              </w:rPr>
              <w:lastRenderedPageBreak/>
              <w:t>It should take measures to protect women against the health risks associated with unsafe abortions by improving its monitoring and data collection on women’s access to health care and by enabling access to sexual and reproductive health information and services to all women, including girls under the age of 16.</w:t>
            </w:r>
          </w:p>
        </w:tc>
        <w:tc>
          <w:tcPr>
            <w:tcW w:w="6048" w:type="dxa"/>
          </w:tcPr>
          <w:p w14:paraId="1403FC44" w14:textId="16847A66" w:rsidR="00C125EF" w:rsidRPr="00BB34F8" w:rsidRDefault="00C125EF"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 xml:space="preserve">The efforts made to address sexual and reproductive health of women and girls including the provision of information, services and commodities remains dependent on short term programmatic initiatives that are not enshrined in a sexual and reproductive law or policy through which accountability and consistency in implementation could be assured. </w:t>
            </w:r>
          </w:p>
          <w:p w14:paraId="73586395" w14:textId="77777777" w:rsidR="00C125EF" w:rsidRPr="00BB34F8" w:rsidRDefault="00C125EF" w:rsidP="00BB34F8">
            <w:pPr>
              <w:jc w:val="both"/>
              <w:rPr>
                <w:rFonts w:asciiTheme="minorHAnsi" w:hAnsiTheme="minorHAnsi"/>
                <w:color w:val="000000" w:themeColor="text1"/>
                <w:sz w:val="22"/>
                <w:szCs w:val="22"/>
              </w:rPr>
            </w:pPr>
          </w:p>
          <w:p w14:paraId="20F144BD" w14:textId="23C481CE" w:rsidR="00C125EF" w:rsidRPr="00BB34F8" w:rsidRDefault="00C125EF"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The government through the Minister of Health has again indicated tha</w:t>
            </w:r>
            <w:r w:rsidR="00A35D4C" w:rsidRPr="00BB34F8">
              <w:rPr>
                <w:rFonts w:asciiTheme="minorHAnsi" w:hAnsiTheme="minorHAnsi"/>
                <w:color w:val="000000" w:themeColor="text1"/>
                <w:sz w:val="22"/>
                <w:szCs w:val="22"/>
              </w:rPr>
              <w:t>t there are plans to develop a</w:t>
            </w:r>
            <w:r w:rsidRPr="00BB34F8">
              <w:rPr>
                <w:rFonts w:asciiTheme="minorHAnsi" w:hAnsiTheme="minorHAnsi"/>
                <w:color w:val="000000" w:themeColor="text1"/>
                <w:sz w:val="22"/>
                <w:szCs w:val="22"/>
              </w:rPr>
              <w:t xml:space="preserve"> Sexual and Reproductiv</w:t>
            </w:r>
            <w:r w:rsidR="002F262B" w:rsidRPr="00BB34F8">
              <w:rPr>
                <w:rFonts w:asciiTheme="minorHAnsi" w:hAnsiTheme="minorHAnsi"/>
                <w:color w:val="000000" w:themeColor="text1"/>
                <w:sz w:val="22"/>
                <w:szCs w:val="22"/>
              </w:rPr>
              <w:t xml:space="preserve">e Health Policy. Despite these iterations since as far back as 2016, no such policy has been tabled and the progress </w:t>
            </w:r>
            <w:r w:rsidR="00A35D4C" w:rsidRPr="00BB34F8">
              <w:rPr>
                <w:rFonts w:asciiTheme="minorHAnsi" w:hAnsiTheme="minorHAnsi"/>
                <w:color w:val="000000" w:themeColor="text1"/>
                <w:sz w:val="22"/>
                <w:szCs w:val="22"/>
              </w:rPr>
              <w:t>of its development and the timeline for its completion have not been shared with the public.</w:t>
            </w:r>
          </w:p>
          <w:p w14:paraId="05723025" w14:textId="77777777" w:rsidR="002F262B" w:rsidRPr="00BB34F8" w:rsidRDefault="002F262B" w:rsidP="00BB34F8">
            <w:pPr>
              <w:jc w:val="both"/>
              <w:rPr>
                <w:rFonts w:asciiTheme="minorHAnsi" w:hAnsiTheme="minorHAnsi"/>
                <w:color w:val="000000" w:themeColor="text1"/>
                <w:sz w:val="22"/>
                <w:szCs w:val="22"/>
              </w:rPr>
            </w:pPr>
          </w:p>
          <w:p w14:paraId="6044A1DA" w14:textId="5EF138BD" w:rsidR="00A35D4C" w:rsidRPr="00BB34F8" w:rsidRDefault="00A35D4C"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 xml:space="preserve">We reiterate that to ensure that there is adequate protection for the sexual and reproductive health and rights of women, there must be a Sexual and Reproductive Health law which is legally enforceable, and which will work in conjunction with other laws and policies around HIV or AIDS and sexual harassment and violence to ensure accountability for all entities vested in health. </w:t>
            </w:r>
          </w:p>
          <w:p w14:paraId="671A992D" w14:textId="77777777" w:rsidR="00A35D4C" w:rsidRPr="00BB34F8" w:rsidRDefault="00A35D4C" w:rsidP="00BB34F8">
            <w:pPr>
              <w:jc w:val="both"/>
              <w:rPr>
                <w:rFonts w:asciiTheme="minorHAnsi" w:hAnsiTheme="minorHAnsi"/>
                <w:color w:val="000000" w:themeColor="text1"/>
                <w:sz w:val="22"/>
                <w:szCs w:val="22"/>
              </w:rPr>
            </w:pPr>
          </w:p>
          <w:p w14:paraId="750E3F3A" w14:textId="27094144" w:rsidR="00B60313" w:rsidRPr="00BB34F8" w:rsidRDefault="00A35D4C"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The small-scale efforts by the Ministry of Health and the National Family Planning Board to implement p</w:t>
            </w:r>
            <w:r w:rsidR="00B60313" w:rsidRPr="00BB34F8">
              <w:rPr>
                <w:rFonts w:asciiTheme="minorHAnsi" w:hAnsiTheme="minorHAnsi"/>
                <w:color w:val="000000" w:themeColor="text1"/>
                <w:sz w:val="22"/>
                <w:szCs w:val="22"/>
              </w:rPr>
              <w:t>rograms that only reach a miniscule portion of the population of women and girls is ineffective and inefficient to have a substantive impact on the sexual and reproductive health of Jamaican women and girls broadly.</w:t>
            </w:r>
          </w:p>
          <w:p w14:paraId="559F80DF" w14:textId="77777777" w:rsidR="00B60313" w:rsidRPr="00BB34F8" w:rsidRDefault="00B60313" w:rsidP="00BB34F8">
            <w:pPr>
              <w:jc w:val="both"/>
              <w:rPr>
                <w:rFonts w:asciiTheme="minorHAnsi" w:hAnsiTheme="minorHAnsi"/>
                <w:color w:val="000000" w:themeColor="text1"/>
                <w:sz w:val="22"/>
                <w:szCs w:val="22"/>
              </w:rPr>
            </w:pPr>
          </w:p>
          <w:p w14:paraId="3D3EA3A9" w14:textId="2C34AD54" w:rsidR="000F5CD6" w:rsidRPr="00BB34F8" w:rsidRDefault="00B60313" w:rsidP="00BB34F8">
            <w:pPr>
              <w:jc w:val="both"/>
              <w:rPr>
                <w:rFonts w:asciiTheme="minorHAnsi" w:hAnsiTheme="minorHAnsi" w:cs="Arial"/>
                <w:iCs/>
                <w:color w:val="000000" w:themeColor="text1"/>
                <w:sz w:val="22"/>
                <w:szCs w:val="22"/>
                <w:lang w:val="en-GB"/>
              </w:rPr>
            </w:pPr>
            <w:r w:rsidRPr="00BB34F8">
              <w:rPr>
                <w:rFonts w:asciiTheme="minorHAnsi" w:hAnsiTheme="minorHAnsi"/>
                <w:color w:val="000000" w:themeColor="text1"/>
                <w:sz w:val="22"/>
                <w:szCs w:val="22"/>
              </w:rPr>
              <w:t>The implementation of the</w:t>
            </w:r>
            <w:r w:rsidRPr="00BB34F8">
              <w:rPr>
                <w:rFonts w:asciiTheme="minorHAnsi" w:hAnsiTheme="minorHAnsi" w:cs="Arial"/>
                <w:iCs/>
                <w:color w:val="000000" w:themeColor="text1"/>
                <w:sz w:val="22"/>
                <w:szCs w:val="22"/>
                <w:lang w:val="en-GB"/>
              </w:rPr>
              <w:t xml:space="preserve"> Health and Family Life curriculum in schools remains highly subjec</w:t>
            </w:r>
            <w:r w:rsidR="006E3C4A" w:rsidRPr="00BB34F8">
              <w:rPr>
                <w:rFonts w:asciiTheme="minorHAnsi" w:hAnsiTheme="minorHAnsi" w:cs="Arial"/>
                <w:iCs/>
                <w:color w:val="000000" w:themeColor="text1"/>
                <w:sz w:val="22"/>
                <w:szCs w:val="22"/>
                <w:lang w:val="en-GB"/>
              </w:rPr>
              <w:t>tive and schools can unilaterally</w:t>
            </w:r>
            <w:r w:rsidRPr="00BB34F8">
              <w:rPr>
                <w:rFonts w:asciiTheme="minorHAnsi" w:hAnsiTheme="minorHAnsi" w:cs="Arial"/>
                <w:iCs/>
                <w:color w:val="000000" w:themeColor="text1"/>
                <w:sz w:val="22"/>
                <w:szCs w:val="22"/>
                <w:lang w:val="en-GB"/>
              </w:rPr>
              <w:t xml:space="preserve"> determine the </w:t>
            </w:r>
            <w:r w:rsidR="000F5CD6" w:rsidRPr="00BB34F8">
              <w:rPr>
                <w:rFonts w:asciiTheme="minorHAnsi" w:hAnsiTheme="minorHAnsi" w:cs="Arial"/>
                <w:iCs/>
                <w:color w:val="000000" w:themeColor="text1"/>
                <w:sz w:val="22"/>
                <w:szCs w:val="22"/>
                <w:lang w:val="en-GB"/>
              </w:rPr>
              <w:t xml:space="preserve">content which they opt to teach. </w:t>
            </w:r>
            <w:r w:rsidRPr="00BB34F8">
              <w:rPr>
                <w:rFonts w:asciiTheme="minorHAnsi" w:hAnsiTheme="minorHAnsi" w:cs="Arial"/>
                <w:iCs/>
                <w:color w:val="000000" w:themeColor="text1"/>
                <w:sz w:val="22"/>
                <w:szCs w:val="22"/>
                <w:lang w:val="en-GB"/>
              </w:rPr>
              <w:t>This curriculum is the main avenue through which many of the issues around sexual and reproductive health</w:t>
            </w:r>
            <w:r w:rsidR="006E3C4A" w:rsidRPr="00BB34F8">
              <w:rPr>
                <w:rFonts w:asciiTheme="minorHAnsi" w:hAnsiTheme="minorHAnsi" w:cs="Arial"/>
                <w:iCs/>
                <w:color w:val="000000" w:themeColor="text1"/>
                <w:sz w:val="22"/>
                <w:szCs w:val="22"/>
                <w:lang w:val="en-GB"/>
              </w:rPr>
              <w:t xml:space="preserve"> can be addressed</w:t>
            </w:r>
            <w:r w:rsidRPr="00BB34F8">
              <w:rPr>
                <w:rFonts w:asciiTheme="minorHAnsi" w:hAnsiTheme="minorHAnsi" w:cs="Arial"/>
                <w:iCs/>
                <w:color w:val="000000" w:themeColor="text1"/>
                <w:sz w:val="22"/>
                <w:szCs w:val="22"/>
                <w:lang w:val="en-GB"/>
              </w:rPr>
              <w:t xml:space="preserve"> and many of the misconceptions can be tackled. However, its implementation remains weak</w:t>
            </w:r>
            <w:r w:rsidR="000F5CD6" w:rsidRPr="00BB34F8">
              <w:rPr>
                <w:rFonts w:asciiTheme="minorHAnsi" w:hAnsiTheme="minorHAnsi" w:cs="Arial"/>
                <w:iCs/>
                <w:color w:val="000000" w:themeColor="text1"/>
                <w:sz w:val="22"/>
                <w:szCs w:val="22"/>
                <w:lang w:val="en-GB"/>
              </w:rPr>
              <w:t xml:space="preserve"> with concerns constantly being raised about the capacity of teachers to correctly deliver the content and the requirement that it need only be taught up to the 9</w:t>
            </w:r>
            <w:r w:rsidR="000F5CD6" w:rsidRPr="00BB34F8">
              <w:rPr>
                <w:rFonts w:asciiTheme="minorHAnsi" w:hAnsiTheme="minorHAnsi" w:cs="Arial"/>
                <w:iCs/>
                <w:color w:val="000000" w:themeColor="text1"/>
                <w:sz w:val="22"/>
                <w:szCs w:val="22"/>
                <w:vertAlign w:val="superscript"/>
                <w:lang w:val="en-GB"/>
              </w:rPr>
              <w:t>th</w:t>
            </w:r>
            <w:r w:rsidR="000F5CD6" w:rsidRPr="00BB34F8">
              <w:rPr>
                <w:rFonts w:asciiTheme="minorHAnsi" w:hAnsiTheme="minorHAnsi" w:cs="Arial"/>
                <w:iCs/>
                <w:color w:val="000000" w:themeColor="text1"/>
                <w:sz w:val="22"/>
                <w:szCs w:val="22"/>
                <w:lang w:val="en-GB"/>
              </w:rPr>
              <w:t xml:space="preserve"> grade level, and there are no clear</w:t>
            </w:r>
            <w:r w:rsidRPr="00BB34F8">
              <w:rPr>
                <w:rFonts w:asciiTheme="minorHAnsi" w:hAnsiTheme="minorHAnsi" w:cs="Arial"/>
                <w:iCs/>
                <w:color w:val="000000" w:themeColor="text1"/>
                <w:sz w:val="22"/>
                <w:szCs w:val="22"/>
                <w:lang w:val="en-GB"/>
              </w:rPr>
              <w:t xml:space="preserve"> mechanisms for monitoring and evaluation of its implementation</w:t>
            </w:r>
            <w:r w:rsidR="000F5CD6" w:rsidRPr="00BB34F8">
              <w:rPr>
                <w:rFonts w:asciiTheme="minorHAnsi" w:hAnsiTheme="minorHAnsi" w:cs="Arial"/>
                <w:iCs/>
                <w:color w:val="000000" w:themeColor="text1"/>
                <w:sz w:val="22"/>
                <w:szCs w:val="22"/>
                <w:lang w:val="en-GB"/>
              </w:rPr>
              <w:t>.</w:t>
            </w:r>
          </w:p>
          <w:p w14:paraId="0C1CF8B3" w14:textId="77777777" w:rsidR="000F5CD6" w:rsidRPr="00BB34F8" w:rsidRDefault="000F5CD6" w:rsidP="00BB34F8">
            <w:pPr>
              <w:jc w:val="both"/>
              <w:rPr>
                <w:rFonts w:asciiTheme="minorHAnsi" w:hAnsiTheme="minorHAnsi" w:cs="Arial"/>
                <w:iCs/>
                <w:color w:val="000000" w:themeColor="text1"/>
                <w:sz w:val="22"/>
                <w:szCs w:val="22"/>
                <w:lang w:val="en-GB"/>
              </w:rPr>
            </w:pPr>
          </w:p>
          <w:p w14:paraId="54497EB1" w14:textId="77777777" w:rsidR="000F5CD6" w:rsidRPr="00BB34F8" w:rsidRDefault="000F5CD6"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 xml:space="preserve">The state must develop sustained public campaigns promoting the sexual and reproductive health of women including vulnerable women and marginalised women and girls including adolescents, lesbian, bisexual and transgender (LBT) women, women living with HIV, women with disabilities, and women and girls whose engaged in sex work. </w:t>
            </w:r>
          </w:p>
          <w:p w14:paraId="228E1E80" w14:textId="77777777" w:rsidR="000F5CD6" w:rsidRPr="00BB34F8" w:rsidRDefault="000F5CD6" w:rsidP="00BB34F8">
            <w:pPr>
              <w:jc w:val="both"/>
              <w:rPr>
                <w:rFonts w:asciiTheme="minorHAnsi" w:hAnsiTheme="minorHAnsi"/>
                <w:color w:val="000000" w:themeColor="text1"/>
                <w:sz w:val="22"/>
                <w:szCs w:val="22"/>
              </w:rPr>
            </w:pPr>
          </w:p>
          <w:p w14:paraId="6004259F" w14:textId="4495CAAE" w:rsidR="000F5CD6" w:rsidRPr="00BB34F8" w:rsidRDefault="000F5CD6"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 xml:space="preserve">The state must also provide women and girls with sexual and reproductive services and commodities at affordable rates, reduced costs or at no cost, including menstrual hygiene products, </w:t>
            </w:r>
            <w:r w:rsidRPr="00BB34F8">
              <w:rPr>
                <w:rFonts w:asciiTheme="minorHAnsi" w:hAnsiTheme="minorHAnsi"/>
                <w:color w:val="000000" w:themeColor="text1"/>
                <w:sz w:val="22"/>
                <w:szCs w:val="22"/>
              </w:rPr>
              <w:lastRenderedPageBreak/>
              <w:t xml:space="preserve">condoms, female condoms, and contraceptive pills, and other forms of contraception towards empowering women to take charge of their own sexual and reproductive health. </w:t>
            </w:r>
          </w:p>
          <w:p w14:paraId="76B10BDF" w14:textId="77777777" w:rsidR="000F5CD6" w:rsidRPr="00BB34F8" w:rsidRDefault="000F5CD6" w:rsidP="00BB34F8">
            <w:pPr>
              <w:jc w:val="both"/>
              <w:rPr>
                <w:rFonts w:asciiTheme="minorHAnsi" w:hAnsiTheme="minorHAnsi"/>
                <w:color w:val="000000" w:themeColor="text1"/>
                <w:sz w:val="22"/>
                <w:szCs w:val="22"/>
              </w:rPr>
            </w:pPr>
          </w:p>
          <w:p w14:paraId="29198D2B" w14:textId="665D890A" w:rsidR="000F5CD6" w:rsidRPr="00BB34F8" w:rsidRDefault="000F5CD6"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Additionally, there must be greater efforts to research social and cultural drivers which impact women’s sexual and reproductive health. A thorough examination of the role of gender roles, gender based violence including sexual violence and intimate partner violence and its impact on women’s sexual and reproductive health is essential.</w:t>
            </w:r>
          </w:p>
          <w:p w14:paraId="418D575E" w14:textId="77777777" w:rsidR="000F5CD6" w:rsidRPr="00BB34F8" w:rsidRDefault="000F5CD6" w:rsidP="00BB34F8">
            <w:pPr>
              <w:jc w:val="both"/>
              <w:rPr>
                <w:rFonts w:asciiTheme="minorHAnsi" w:hAnsiTheme="minorHAnsi"/>
                <w:color w:val="000000" w:themeColor="text1"/>
                <w:sz w:val="22"/>
                <w:szCs w:val="22"/>
              </w:rPr>
            </w:pPr>
          </w:p>
          <w:p w14:paraId="07B96858" w14:textId="77777777" w:rsidR="00533E65" w:rsidRPr="00BB34F8" w:rsidRDefault="000F5CD6"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 xml:space="preserve">The Joint Select Committee  appointed to review the  Sexual Offences Act along with the Offences Against the Persons Act, the Domestic Violence Act and the Child Care and Protection Act recommended in its December 2018 report that the age of consent to sexual </w:t>
            </w:r>
            <w:r w:rsidR="006E3C4A" w:rsidRPr="00BB34F8">
              <w:rPr>
                <w:rFonts w:asciiTheme="minorHAnsi" w:hAnsiTheme="minorHAnsi"/>
                <w:color w:val="000000" w:themeColor="text1"/>
                <w:sz w:val="22"/>
                <w:szCs w:val="22"/>
              </w:rPr>
              <w:t>intercourse should remain at 16 years and not be raised to 18 years and that the law should allow for a close-in-age exception for up to four years. It is anticipated that the government will follow these recommendations and will accordingly not introduce a new barrier to young women accessing information services and commodities.</w:t>
            </w:r>
          </w:p>
          <w:p w14:paraId="7F4953B5" w14:textId="01ED31AF" w:rsidR="006E3C4A" w:rsidRPr="00BB34F8" w:rsidRDefault="006E3C4A" w:rsidP="00BB34F8">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 xml:space="preserve">Cultural norms still make it difficult for </w:t>
            </w:r>
            <w:r w:rsidR="000A059C" w:rsidRPr="00BB34F8">
              <w:rPr>
                <w:rFonts w:asciiTheme="minorHAnsi" w:hAnsiTheme="minorHAnsi"/>
                <w:color w:val="000000" w:themeColor="text1"/>
                <w:sz w:val="22"/>
                <w:szCs w:val="22"/>
              </w:rPr>
              <w:t xml:space="preserve">young people to readily access </w:t>
            </w:r>
            <w:r w:rsidR="002B303B" w:rsidRPr="00BB34F8">
              <w:rPr>
                <w:rFonts w:asciiTheme="minorHAnsi" w:hAnsiTheme="minorHAnsi"/>
                <w:color w:val="000000" w:themeColor="text1"/>
                <w:sz w:val="22"/>
                <w:szCs w:val="22"/>
              </w:rPr>
              <w:t>information</w:t>
            </w:r>
            <w:r w:rsidR="00FF522C" w:rsidRPr="00BB34F8">
              <w:rPr>
                <w:rFonts w:asciiTheme="minorHAnsi" w:hAnsiTheme="minorHAnsi"/>
                <w:color w:val="000000" w:themeColor="text1"/>
                <w:sz w:val="22"/>
                <w:szCs w:val="22"/>
              </w:rPr>
              <w:t xml:space="preserve"> and services. Accordingly it becomes essential that </w:t>
            </w:r>
            <w:r w:rsidR="001D2B87" w:rsidRPr="00BB34F8">
              <w:rPr>
                <w:rFonts w:asciiTheme="minorHAnsi" w:hAnsiTheme="minorHAnsi"/>
                <w:color w:val="000000" w:themeColor="text1"/>
                <w:sz w:val="22"/>
                <w:szCs w:val="22"/>
              </w:rPr>
              <w:t>the government develops</w:t>
            </w:r>
            <w:r w:rsidR="004D7623" w:rsidRPr="00BB34F8">
              <w:rPr>
                <w:rFonts w:asciiTheme="minorHAnsi" w:hAnsiTheme="minorHAnsi"/>
                <w:color w:val="000000" w:themeColor="text1"/>
                <w:sz w:val="22"/>
                <w:szCs w:val="22"/>
              </w:rPr>
              <w:t xml:space="preserve"> laws and policies to be the foundation for sustained advocacy and sensitization around the provision of </w:t>
            </w:r>
            <w:r w:rsidR="001D2B87" w:rsidRPr="00BB34F8">
              <w:rPr>
                <w:rFonts w:asciiTheme="minorHAnsi" w:hAnsiTheme="minorHAnsi"/>
                <w:color w:val="000000" w:themeColor="text1"/>
                <w:sz w:val="22"/>
                <w:szCs w:val="22"/>
              </w:rPr>
              <w:t xml:space="preserve"> </w:t>
            </w:r>
            <w:r w:rsidR="004D7623" w:rsidRPr="00BB34F8">
              <w:rPr>
                <w:rFonts w:asciiTheme="minorHAnsi" w:hAnsiTheme="minorHAnsi"/>
                <w:color w:val="000000" w:themeColor="text1"/>
                <w:sz w:val="22"/>
                <w:szCs w:val="22"/>
              </w:rPr>
              <w:t>information and services.</w:t>
            </w:r>
          </w:p>
        </w:tc>
      </w:tr>
    </w:tbl>
    <w:p w14:paraId="6B2ACD43" w14:textId="77777777" w:rsidR="00510280" w:rsidRDefault="00510280" w:rsidP="00B4742B">
      <w:pPr>
        <w:pStyle w:val="SingleTxtG"/>
        <w:spacing w:line="360" w:lineRule="auto"/>
        <w:rPr>
          <w:rFonts w:asciiTheme="minorHAnsi" w:hAnsiTheme="minorHAnsi"/>
          <w:b/>
          <w:sz w:val="22"/>
          <w:szCs w:val="22"/>
        </w:rPr>
        <w:sectPr w:rsidR="00510280" w:rsidSect="006B1C75">
          <w:pgSz w:w="11900" w:h="16840"/>
          <w:pgMar w:top="1440" w:right="985" w:bottom="1814" w:left="1440" w:header="708" w:footer="708" w:gutter="0"/>
          <w:cols w:space="708"/>
          <w:docGrid w:linePitch="360"/>
        </w:sectPr>
      </w:pPr>
    </w:p>
    <w:p w14:paraId="6F46271B" w14:textId="77777777" w:rsidR="002C7123" w:rsidRDefault="002C7123" w:rsidP="002C7123">
      <w:pPr>
        <w:pStyle w:val="SingleTxtG"/>
        <w:spacing w:line="360" w:lineRule="auto"/>
        <w:ind w:left="0"/>
        <w:rPr>
          <w:rFonts w:asciiTheme="minorHAnsi" w:hAnsiTheme="minorHAnsi"/>
          <w:b/>
          <w:sz w:val="22"/>
          <w:szCs w:val="22"/>
        </w:rPr>
      </w:pPr>
    </w:p>
    <w:p w14:paraId="377C33FA" w14:textId="304B75A0" w:rsidR="00ED7845" w:rsidRPr="00ED7845" w:rsidRDefault="00ED7845" w:rsidP="00EB598C">
      <w:pPr>
        <w:pStyle w:val="SingleTxtG"/>
        <w:numPr>
          <w:ilvl w:val="0"/>
          <w:numId w:val="2"/>
        </w:numPr>
        <w:spacing w:line="360" w:lineRule="auto"/>
        <w:ind w:left="142" w:right="-22"/>
        <w:rPr>
          <w:rFonts w:asciiTheme="minorHAnsi" w:hAnsiTheme="minorHAnsi"/>
          <w:sz w:val="24"/>
          <w:szCs w:val="22"/>
        </w:rPr>
      </w:pPr>
      <w:r w:rsidRPr="00ED7845">
        <w:rPr>
          <w:rFonts w:asciiTheme="minorHAnsi" w:eastAsiaTheme="minorEastAsia" w:hAnsiTheme="minorHAnsi"/>
          <w:b/>
          <w:color w:val="000000" w:themeColor="text1"/>
          <w:sz w:val="24"/>
          <w:szCs w:val="22"/>
          <w:u w:val="single"/>
          <w:lang w:val="en-US"/>
        </w:rPr>
        <w:t>PROHIBITION OF TORTURE AND OTHER CRUEL, INHUMAN OR DEGRADING TREATMENT OR PUNISHMENT</w:t>
      </w:r>
      <w:r w:rsidRPr="00ED7845">
        <w:rPr>
          <w:rFonts w:asciiTheme="minorHAnsi" w:hAnsiTheme="minorHAnsi"/>
          <w:sz w:val="24"/>
          <w:szCs w:val="22"/>
        </w:rPr>
        <w:t xml:space="preserve"> </w:t>
      </w:r>
    </w:p>
    <w:p w14:paraId="441809FA" w14:textId="2FCDF3F6" w:rsidR="00533E65" w:rsidRDefault="00533E65" w:rsidP="00ED7845">
      <w:pPr>
        <w:pStyle w:val="SingleTxtG"/>
        <w:tabs>
          <w:tab w:val="left" w:pos="9781"/>
        </w:tabs>
        <w:spacing w:line="360" w:lineRule="auto"/>
        <w:ind w:left="-567" w:right="-52"/>
        <w:rPr>
          <w:rFonts w:asciiTheme="minorHAnsi" w:hAnsiTheme="minorHAnsi"/>
          <w:sz w:val="22"/>
          <w:szCs w:val="22"/>
        </w:rPr>
      </w:pPr>
      <w:r w:rsidRPr="00533E65">
        <w:rPr>
          <w:rFonts w:asciiTheme="minorHAnsi" w:hAnsiTheme="minorHAnsi"/>
          <w:sz w:val="22"/>
          <w:szCs w:val="22"/>
        </w:rPr>
        <w:t>“The Committee remains concerned about the deplorable conditions in the State party’s prisons and detention facilities, including overcrowding, poor sanitary conditions and lack of medical care. It is also concerned about the lack of a clear statutory framework governing the treatment of persons in pretrial detention and failure to hold accused persons separately from convicted persons (arts. 7 and 10)”.</w:t>
      </w:r>
      <w:r w:rsidR="00EB598C">
        <w:rPr>
          <w:rStyle w:val="FootnoteReference"/>
          <w:rFonts w:asciiTheme="minorHAnsi" w:hAnsiTheme="minorHAnsi"/>
          <w:sz w:val="22"/>
          <w:szCs w:val="22"/>
        </w:rPr>
        <w:footnoteReference w:id="4"/>
      </w:r>
    </w:p>
    <w:tbl>
      <w:tblPr>
        <w:tblStyle w:val="TableGrid"/>
        <w:tblW w:w="0" w:type="auto"/>
        <w:tblInd w:w="-459" w:type="dxa"/>
        <w:tblLook w:val="04A0" w:firstRow="1" w:lastRow="0" w:firstColumn="1" w:lastColumn="0" w:noHBand="0" w:noVBand="1"/>
      </w:tblPr>
      <w:tblGrid>
        <w:gridCol w:w="4423"/>
        <w:gridCol w:w="5084"/>
      </w:tblGrid>
      <w:tr w:rsidR="00EB598C" w:rsidRPr="00EB598C" w14:paraId="27066927" w14:textId="77777777" w:rsidTr="002734BB">
        <w:tc>
          <w:tcPr>
            <w:tcW w:w="4423" w:type="dxa"/>
          </w:tcPr>
          <w:p w14:paraId="23E18653" w14:textId="77777777" w:rsidR="00EB598C" w:rsidRPr="00EB598C" w:rsidRDefault="00EB598C" w:rsidP="00EB598C">
            <w:pPr>
              <w:jc w:val="center"/>
              <w:rPr>
                <w:rFonts w:asciiTheme="minorHAnsi" w:hAnsiTheme="minorHAnsi"/>
                <w:b/>
              </w:rPr>
            </w:pPr>
            <w:r w:rsidRPr="00EB598C">
              <w:rPr>
                <w:rFonts w:asciiTheme="minorHAnsi" w:hAnsiTheme="minorHAnsi"/>
                <w:b/>
              </w:rPr>
              <w:t>Recommendation by Committee:</w:t>
            </w:r>
          </w:p>
          <w:p w14:paraId="184A7716" w14:textId="1DEAEF01" w:rsidR="00EB598C" w:rsidRPr="00EB598C" w:rsidRDefault="00EB598C" w:rsidP="00EB598C">
            <w:pPr>
              <w:pStyle w:val="SingleTxtG"/>
              <w:tabs>
                <w:tab w:val="left" w:pos="9781"/>
              </w:tabs>
              <w:spacing w:line="240" w:lineRule="auto"/>
              <w:ind w:left="-142" w:right="-52"/>
              <w:jc w:val="center"/>
              <w:rPr>
                <w:rFonts w:asciiTheme="minorHAnsi" w:hAnsiTheme="minorHAnsi"/>
                <w:sz w:val="22"/>
                <w:szCs w:val="22"/>
              </w:rPr>
            </w:pPr>
            <w:r w:rsidRPr="00EB598C">
              <w:rPr>
                <w:rFonts w:asciiTheme="minorHAnsi" w:hAnsiTheme="minorHAnsi"/>
                <w:b/>
                <w:sz w:val="22"/>
                <w:szCs w:val="22"/>
              </w:rPr>
              <w:t>(Paragraph 32)</w:t>
            </w:r>
          </w:p>
        </w:tc>
        <w:tc>
          <w:tcPr>
            <w:tcW w:w="5084" w:type="dxa"/>
          </w:tcPr>
          <w:p w14:paraId="7BC74747" w14:textId="7DFF7CD6" w:rsidR="00EB598C" w:rsidRPr="00EB598C" w:rsidRDefault="00EB598C" w:rsidP="00EB598C">
            <w:pPr>
              <w:pStyle w:val="SingleTxtG"/>
              <w:tabs>
                <w:tab w:val="left" w:pos="9781"/>
              </w:tabs>
              <w:spacing w:line="240" w:lineRule="auto"/>
              <w:ind w:left="0" w:right="-52"/>
              <w:jc w:val="center"/>
              <w:rPr>
                <w:rFonts w:asciiTheme="minorHAnsi" w:hAnsiTheme="minorHAnsi"/>
                <w:sz w:val="22"/>
                <w:szCs w:val="22"/>
              </w:rPr>
            </w:pPr>
            <w:r w:rsidRPr="00EB598C">
              <w:rPr>
                <w:rFonts w:asciiTheme="minorHAnsi" w:hAnsiTheme="minorHAnsi"/>
                <w:b/>
                <w:sz w:val="22"/>
                <w:szCs w:val="22"/>
              </w:rPr>
              <w:t>Actions taken by t</w:t>
            </w:r>
            <w:r>
              <w:rPr>
                <w:rFonts w:asciiTheme="minorHAnsi" w:hAnsiTheme="minorHAnsi"/>
                <w:b/>
                <w:sz w:val="22"/>
                <w:szCs w:val="22"/>
              </w:rPr>
              <w:t xml:space="preserve">he State party (if any) </w:t>
            </w:r>
            <w:r w:rsidRPr="00EB598C">
              <w:rPr>
                <w:rFonts w:asciiTheme="minorHAnsi" w:hAnsiTheme="minorHAnsi"/>
                <w:b/>
                <w:sz w:val="22"/>
                <w:szCs w:val="22"/>
              </w:rPr>
              <w:t>and current situation:</w:t>
            </w:r>
          </w:p>
        </w:tc>
      </w:tr>
      <w:tr w:rsidR="00EB598C" w:rsidRPr="002734BB" w14:paraId="7D3798A7" w14:textId="77777777" w:rsidTr="002734BB">
        <w:tc>
          <w:tcPr>
            <w:tcW w:w="4423" w:type="dxa"/>
          </w:tcPr>
          <w:p w14:paraId="3BFCC879" w14:textId="3AB6B661" w:rsidR="00EB598C" w:rsidRPr="002734BB" w:rsidRDefault="00EB598C" w:rsidP="00EB598C">
            <w:pPr>
              <w:pStyle w:val="SingleTxtG"/>
              <w:tabs>
                <w:tab w:val="left" w:pos="9781"/>
              </w:tabs>
              <w:spacing w:line="240" w:lineRule="auto"/>
              <w:ind w:left="0" w:right="-52"/>
              <w:rPr>
                <w:rFonts w:asciiTheme="minorHAnsi" w:hAnsiTheme="minorHAnsi"/>
                <w:sz w:val="22"/>
                <w:szCs w:val="22"/>
              </w:rPr>
            </w:pPr>
            <w:r w:rsidRPr="002734BB">
              <w:rPr>
                <w:rFonts w:asciiTheme="minorHAnsi" w:hAnsiTheme="minorHAnsi"/>
                <w:bCs/>
                <w:sz w:val="22"/>
                <w:szCs w:val="22"/>
              </w:rPr>
              <w:t>The State party should expedite its efforts to reduce overcrowding in places of detention, including by resorting to alternatives to imprisonment, and improve conditions of detention, particularly with regard to sanitary conditions and access to medical care, in accordance with article 10 of the Covenant and the United Nations Standard Minimum Rules for the Treatment of Prisoners (the Nelson Mandela rules) (General Assembly resolution 70/175, annex).</w:t>
            </w:r>
          </w:p>
        </w:tc>
        <w:tc>
          <w:tcPr>
            <w:tcW w:w="5084" w:type="dxa"/>
          </w:tcPr>
          <w:p w14:paraId="1D0E1CE2" w14:textId="7068D621" w:rsidR="0060471E" w:rsidRPr="00BB34F8" w:rsidRDefault="0060471E" w:rsidP="00BB34F8">
            <w:pPr>
              <w:pStyle w:val="SingleTxtG"/>
              <w:tabs>
                <w:tab w:val="left" w:pos="9781"/>
              </w:tabs>
              <w:spacing w:line="240" w:lineRule="auto"/>
              <w:ind w:left="0" w:right="-52"/>
              <w:rPr>
                <w:rFonts w:asciiTheme="minorHAnsi" w:hAnsiTheme="minorHAnsi"/>
                <w:color w:val="000000" w:themeColor="text1"/>
                <w:sz w:val="22"/>
                <w:szCs w:val="22"/>
              </w:rPr>
            </w:pPr>
            <w:r w:rsidRPr="00BB34F8">
              <w:rPr>
                <w:rFonts w:asciiTheme="minorHAnsi" w:hAnsiTheme="minorHAnsi"/>
                <w:color w:val="000000" w:themeColor="text1"/>
                <w:sz w:val="22"/>
                <w:szCs w:val="22"/>
              </w:rPr>
              <w:t>The State party systematically violates Articles 6, 7 and 10 of the Covenant. Jamaica’s places of detention are manifestly cruel, inhumane and degrading. The physical condition of lockups and prisons is indisputably deplorable, the treatment of detainees deeply discomforting, and the State party’s response indifferent.</w:t>
            </w:r>
          </w:p>
          <w:p w14:paraId="4176D841" w14:textId="023AA0C9" w:rsidR="0060471E" w:rsidRPr="00BB34F8" w:rsidRDefault="0060471E" w:rsidP="00BB34F8">
            <w:pPr>
              <w:pStyle w:val="SingleTxtG"/>
              <w:tabs>
                <w:tab w:val="left" w:pos="9781"/>
              </w:tabs>
              <w:spacing w:line="240" w:lineRule="auto"/>
              <w:ind w:left="0"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US"/>
              </w:rPr>
              <w:t>The implementation of the state of eme</w:t>
            </w:r>
            <w:r w:rsidR="000922BD" w:rsidRPr="00BB34F8">
              <w:rPr>
                <w:rFonts w:asciiTheme="minorHAnsi" w:hAnsiTheme="minorHAnsi"/>
                <w:color w:val="000000" w:themeColor="text1"/>
                <w:sz w:val="22"/>
                <w:szCs w:val="22"/>
                <w:lang w:val="en-US"/>
              </w:rPr>
              <w:t>rgency as a crime fighting measure</w:t>
            </w:r>
            <w:r w:rsidRPr="00BB34F8">
              <w:rPr>
                <w:rFonts w:asciiTheme="minorHAnsi" w:hAnsiTheme="minorHAnsi"/>
                <w:color w:val="000000" w:themeColor="text1"/>
                <w:sz w:val="22"/>
                <w:szCs w:val="22"/>
                <w:lang w:val="en-US"/>
              </w:rPr>
              <w:t xml:space="preserve"> has further led to the </w:t>
            </w:r>
            <w:r w:rsidR="000922BD" w:rsidRPr="00BB34F8">
              <w:rPr>
                <w:rFonts w:asciiTheme="minorHAnsi" w:hAnsiTheme="minorHAnsi"/>
                <w:color w:val="000000" w:themeColor="text1"/>
                <w:sz w:val="22"/>
                <w:szCs w:val="22"/>
                <w:lang w:val="en-US"/>
              </w:rPr>
              <w:t>inhumane treatment of citizens.  P</w:t>
            </w:r>
            <w:r w:rsidRPr="00BB34F8">
              <w:rPr>
                <w:rFonts w:asciiTheme="minorHAnsi" w:hAnsiTheme="minorHAnsi"/>
                <w:color w:val="000000" w:themeColor="text1"/>
                <w:sz w:val="22"/>
                <w:szCs w:val="22"/>
                <w:lang w:val="en-US"/>
              </w:rPr>
              <w:t>ersons who have been detained have complained of a number of violations including being unaware of:</w:t>
            </w:r>
          </w:p>
          <w:p w14:paraId="4219DEEC" w14:textId="77777777" w:rsidR="0060471E" w:rsidRPr="00BB34F8" w:rsidRDefault="0060471E" w:rsidP="00BB34F8">
            <w:pPr>
              <w:pStyle w:val="SingleTxtG"/>
              <w:numPr>
                <w:ilvl w:val="0"/>
                <w:numId w:val="7"/>
              </w:numPr>
              <w:tabs>
                <w:tab w:val="left" w:pos="9781"/>
              </w:tabs>
              <w:ind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US"/>
              </w:rPr>
              <w:t>The persons within their own area who reviews detentions decisions</w:t>
            </w:r>
          </w:p>
          <w:p w14:paraId="7589E19E" w14:textId="77777777" w:rsidR="0060471E" w:rsidRPr="00BB34F8" w:rsidRDefault="0060471E" w:rsidP="00BB34F8">
            <w:pPr>
              <w:pStyle w:val="SingleTxtG"/>
              <w:numPr>
                <w:ilvl w:val="0"/>
                <w:numId w:val="7"/>
              </w:numPr>
              <w:tabs>
                <w:tab w:val="left" w:pos="9781"/>
              </w:tabs>
              <w:ind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US"/>
              </w:rPr>
              <w:t>The reasons for their detention</w:t>
            </w:r>
          </w:p>
          <w:p w14:paraId="4EBFEC67" w14:textId="33DCFB84" w:rsidR="00BF2F85" w:rsidRPr="00BB34F8" w:rsidRDefault="00BF2F85" w:rsidP="00BB34F8">
            <w:pPr>
              <w:pStyle w:val="SingleTxtG"/>
              <w:numPr>
                <w:ilvl w:val="0"/>
                <w:numId w:val="7"/>
              </w:numPr>
              <w:tabs>
                <w:tab w:val="left" w:pos="9781"/>
              </w:tabs>
              <w:ind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US"/>
              </w:rPr>
              <w:t>When they would be released</w:t>
            </w:r>
          </w:p>
          <w:p w14:paraId="45A15B17" w14:textId="66D81B70" w:rsidR="0060471E" w:rsidRPr="00BB34F8" w:rsidRDefault="000922BD" w:rsidP="00BB34F8">
            <w:pPr>
              <w:pStyle w:val="SingleTxtG"/>
              <w:numPr>
                <w:ilvl w:val="0"/>
                <w:numId w:val="7"/>
              </w:numPr>
              <w:tabs>
                <w:tab w:val="left" w:pos="9781"/>
              </w:tabs>
              <w:ind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US"/>
              </w:rPr>
              <w:t xml:space="preserve"> W</w:t>
            </w:r>
            <w:r w:rsidR="0060471E" w:rsidRPr="00BB34F8">
              <w:rPr>
                <w:rFonts w:asciiTheme="minorHAnsi" w:hAnsiTheme="minorHAnsi"/>
                <w:color w:val="000000" w:themeColor="text1"/>
                <w:sz w:val="22"/>
                <w:szCs w:val="22"/>
                <w:lang w:val="en-US"/>
              </w:rPr>
              <w:t>hether there is</w:t>
            </w:r>
            <w:r w:rsidRPr="00BB34F8">
              <w:rPr>
                <w:rFonts w:asciiTheme="minorHAnsi" w:hAnsiTheme="minorHAnsi"/>
                <w:color w:val="000000" w:themeColor="text1"/>
                <w:sz w:val="22"/>
                <w:szCs w:val="22"/>
                <w:lang w:val="en-US"/>
              </w:rPr>
              <w:t xml:space="preserve"> a</w:t>
            </w:r>
            <w:r w:rsidR="0060471E" w:rsidRPr="00BB34F8">
              <w:rPr>
                <w:rFonts w:asciiTheme="minorHAnsi" w:hAnsiTheme="minorHAnsi"/>
                <w:color w:val="000000" w:themeColor="text1"/>
                <w:sz w:val="22"/>
                <w:szCs w:val="22"/>
                <w:lang w:val="en-US"/>
              </w:rPr>
              <w:t xml:space="preserve"> timeline for review of the specific reason for their detention </w:t>
            </w:r>
          </w:p>
          <w:p w14:paraId="5A306263" w14:textId="14B758A3" w:rsidR="0060471E" w:rsidRPr="00BB34F8" w:rsidRDefault="000922BD" w:rsidP="00BB34F8">
            <w:pPr>
              <w:pStyle w:val="SingleTxtG"/>
              <w:numPr>
                <w:ilvl w:val="0"/>
                <w:numId w:val="7"/>
              </w:numPr>
              <w:tabs>
                <w:tab w:val="left" w:pos="9781"/>
              </w:tabs>
              <w:ind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US"/>
              </w:rPr>
              <w:t xml:space="preserve"> The exact location </w:t>
            </w:r>
            <w:r w:rsidR="0060471E" w:rsidRPr="00BB34F8">
              <w:rPr>
                <w:rFonts w:asciiTheme="minorHAnsi" w:hAnsiTheme="minorHAnsi"/>
                <w:color w:val="000000" w:themeColor="text1"/>
                <w:sz w:val="22"/>
                <w:szCs w:val="22"/>
                <w:lang w:val="en-US"/>
              </w:rPr>
              <w:t>and composition of th</w:t>
            </w:r>
            <w:r w:rsidRPr="00BB34F8">
              <w:rPr>
                <w:rFonts w:asciiTheme="minorHAnsi" w:hAnsiTheme="minorHAnsi"/>
                <w:color w:val="000000" w:themeColor="text1"/>
                <w:sz w:val="22"/>
                <w:szCs w:val="22"/>
                <w:lang w:val="en-US"/>
              </w:rPr>
              <w:t>eir respective review tribunals</w:t>
            </w:r>
          </w:p>
          <w:p w14:paraId="0D3B526D" w14:textId="43E1830A" w:rsidR="0060471E" w:rsidRPr="00BB34F8" w:rsidRDefault="000922BD" w:rsidP="00BB34F8">
            <w:pPr>
              <w:pStyle w:val="SingleTxtG"/>
              <w:numPr>
                <w:ilvl w:val="0"/>
                <w:numId w:val="7"/>
              </w:numPr>
              <w:tabs>
                <w:tab w:val="left" w:pos="9781"/>
              </w:tabs>
              <w:ind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US"/>
              </w:rPr>
              <w:t xml:space="preserve">How they can lodge </w:t>
            </w:r>
            <w:r w:rsidR="0060471E" w:rsidRPr="00BB34F8">
              <w:rPr>
                <w:rFonts w:asciiTheme="minorHAnsi" w:hAnsiTheme="minorHAnsi"/>
                <w:color w:val="000000" w:themeColor="text1"/>
                <w:sz w:val="22"/>
                <w:szCs w:val="22"/>
                <w:lang w:val="en-US"/>
              </w:rPr>
              <w:t xml:space="preserve">challenges to their detention to </w:t>
            </w:r>
            <w:r w:rsidRPr="00BB34F8">
              <w:rPr>
                <w:rFonts w:asciiTheme="minorHAnsi" w:hAnsiTheme="minorHAnsi"/>
                <w:color w:val="000000" w:themeColor="text1"/>
                <w:sz w:val="22"/>
                <w:szCs w:val="22"/>
                <w:lang w:val="en-US"/>
              </w:rPr>
              <w:t>the respective bodies/person(s)</w:t>
            </w:r>
          </w:p>
          <w:p w14:paraId="37D5C6A3" w14:textId="77777777" w:rsidR="0060471E" w:rsidRPr="00BB34F8" w:rsidRDefault="0060471E" w:rsidP="00BB34F8">
            <w:pPr>
              <w:pStyle w:val="SingleTxtG"/>
              <w:numPr>
                <w:ilvl w:val="0"/>
                <w:numId w:val="7"/>
              </w:numPr>
              <w:tabs>
                <w:tab w:val="left" w:pos="9781"/>
              </w:tabs>
              <w:ind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US"/>
              </w:rPr>
              <w:t>Whether there is any form for them to complete to lodge requests for review</w:t>
            </w:r>
          </w:p>
          <w:p w14:paraId="1F32270B" w14:textId="6B22FFB5" w:rsidR="0060471E" w:rsidRPr="00BB34F8" w:rsidRDefault="0060471E" w:rsidP="00BB34F8">
            <w:pPr>
              <w:pStyle w:val="SingleTxtG"/>
              <w:numPr>
                <w:ilvl w:val="0"/>
                <w:numId w:val="7"/>
              </w:numPr>
              <w:tabs>
                <w:tab w:val="left" w:pos="9781"/>
              </w:tabs>
              <w:ind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US"/>
              </w:rPr>
              <w:t>Whether citizens or detainees can appr</w:t>
            </w:r>
            <w:r w:rsidR="007F0FB8" w:rsidRPr="00BB34F8">
              <w:rPr>
                <w:rFonts w:asciiTheme="minorHAnsi" w:hAnsiTheme="minorHAnsi"/>
                <w:color w:val="000000" w:themeColor="text1"/>
                <w:sz w:val="22"/>
                <w:szCs w:val="22"/>
                <w:lang w:val="en-US"/>
              </w:rPr>
              <w:t>oach the tribunals without an Attorney-at-L</w:t>
            </w:r>
            <w:r w:rsidRPr="00BB34F8">
              <w:rPr>
                <w:rFonts w:asciiTheme="minorHAnsi" w:hAnsiTheme="minorHAnsi"/>
                <w:color w:val="000000" w:themeColor="text1"/>
                <w:sz w:val="22"/>
                <w:szCs w:val="22"/>
                <w:lang w:val="en-US"/>
              </w:rPr>
              <w:t>aw</w:t>
            </w:r>
          </w:p>
          <w:p w14:paraId="6210A3F1" w14:textId="77777777" w:rsidR="0060471E" w:rsidRPr="00BB34F8" w:rsidRDefault="0060471E" w:rsidP="00BB34F8">
            <w:pPr>
              <w:pStyle w:val="SingleTxtG"/>
              <w:numPr>
                <w:ilvl w:val="0"/>
                <w:numId w:val="7"/>
              </w:numPr>
              <w:tabs>
                <w:tab w:val="left" w:pos="9781"/>
              </w:tabs>
              <w:ind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US"/>
              </w:rPr>
              <w:lastRenderedPageBreak/>
              <w:t>Any proposed meeting dates for the respective tribunals or even an idea as to what would trigger the meeting of the review tribunal</w:t>
            </w:r>
          </w:p>
          <w:p w14:paraId="132A24F4" w14:textId="77777777" w:rsidR="00BF2F85" w:rsidRPr="00BB34F8" w:rsidRDefault="007F0FB8" w:rsidP="00BB34F8">
            <w:pPr>
              <w:pStyle w:val="SingleTxtG"/>
              <w:tabs>
                <w:tab w:val="left" w:pos="9781"/>
              </w:tabs>
              <w:spacing w:line="240" w:lineRule="auto"/>
              <w:ind w:left="0"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JM"/>
              </w:rPr>
              <w:t>The report of the Public Defender highlighted that at the Freeport Police Station Lock-Up which is the main lock-up for the St. James state of emergency, there was not enough space to accommodate the detainees which has led to massive overcrowding in the cage</w:t>
            </w:r>
            <w:r w:rsidR="00BF2F85" w:rsidRPr="00BB34F8">
              <w:rPr>
                <w:rFonts w:asciiTheme="minorHAnsi" w:hAnsiTheme="minorHAnsi"/>
                <w:color w:val="000000" w:themeColor="text1"/>
                <w:sz w:val="22"/>
                <w:szCs w:val="22"/>
                <w:lang w:val="en-JM"/>
              </w:rPr>
              <w:t>s</w:t>
            </w:r>
            <w:r w:rsidRPr="00BB34F8">
              <w:rPr>
                <w:rFonts w:asciiTheme="minorHAnsi" w:hAnsiTheme="minorHAnsi"/>
                <w:color w:val="000000" w:themeColor="text1"/>
                <w:sz w:val="22"/>
                <w:szCs w:val="22"/>
                <w:lang w:val="en-JM"/>
              </w:rPr>
              <w:t xml:space="preserve"> and cells. </w:t>
            </w:r>
            <w:r w:rsidR="00BF2F85" w:rsidRPr="00BB34F8">
              <w:rPr>
                <w:rFonts w:asciiTheme="minorHAnsi" w:hAnsiTheme="minorHAnsi"/>
                <w:color w:val="000000" w:themeColor="text1"/>
                <w:sz w:val="22"/>
                <w:szCs w:val="22"/>
                <w:lang w:val="en-JM"/>
              </w:rPr>
              <w:t xml:space="preserve">The cells are 8 feet by 6 feet and houses at least 6 men. </w:t>
            </w:r>
          </w:p>
          <w:p w14:paraId="6CB71FE3" w14:textId="09E68E83" w:rsidR="0060471E" w:rsidRPr="00BB34F8" w:rsidRDefault="007F0FB8" w:rsidP="00BB34F8">
            <w:pPr>
              <w:pStyle w:val="SingleTxtG"/>
              <w:tabs>
                <w:tab w:val="left" w:pos="9781"/>
              </w:tabs>
              <w:spacing w:line="240" w:lineRule="auto"/>
              <w:ind w:left="0"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JM"/>
              </w:rPr>
              <w:t>It was noted that in some instances there was only standing room available and detainees were not even provided with cardboard or newspaper on which to sit or sleep.</w:t>
            </w:r>
            <w:r w:rsidR="00BF2F85" w:rsidRPr="00BB34F8">
              <w:rPr>
                <w:rFonts w:asciiTheme="minorHAnsi" w:hAnsiTheme="minorHAnsi"/>
                <w:color w:val="000000" w:themeColor="text1"/>
                <w:sz w:val="22"/>
                <w:szCs w:val="22"/>
                <w:lang w:val="en-JM"/>
              </w:rPr>
              <w:t xml:space="preserve"> The concrete floor was the only bed.</w:t>
            </w:r>
          </w:p>
          <w:p w14:paraId="021AE208" w14:textId="6CF5EF8F" w:rsidR="007F0FB8" w:rsidRPr="00BB34F8" w:rsidRDefault="00BF2F85" w:rsidP="00BB34F8">
            <w:pPr>
              <w:pStyle w:val="SingleTxtG"/>
              <w:tabs>
                <w:tab w:val="left" w:pos="9781"/>
              </w:tabs>
              <w:spacing w:line="240" w:lineRule="auto"/>
              <w:ind w:left="0"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JM"/>
              </w:rPr>
              <w:t>There wa</w:t>
            </w:r>
            <w:r w:rsidR="0077741E" w:rsidRPr="00BB34F8">
              <w:rPr>
                <w:rFonts w:asciiTheme="minorHAnsi" w:hAnsiTheme="minorHAnsi"/>
                <w:color w:val="000000" w:themeColor="text1"/>
                <w:sz w:val="22"/>
                <w:szCs w:val="22"/>
                <w:lang w:val="en-JM"/>
              </w:rPr>
              <w:t>s a notable lack of basic amenities such as lighting and ventilation and the cells are noted as being ‘hot, filthy, dirty, with wet floors, and walls’</w:t>
            </w:r>
            <w:r w:rsidRPr="00BB34F8">
              <w:rPr>
                <w:rFonts w:asciiTheme="minorHAnsi" w:hAnsiTheme="minorHAnsi"/>
                <w:color w:val="000000" w:themeColor="text1"/>
                <w:sz w:val="22"/>
                <w:szCs w:val="22"/>
                <w:lang w:val="en-JM"/>
              </w:rPr>
              <w:t xml:space="preserve">. </w:t>
            </w:r>
            <w:r w:rsidR="0077741E" w:rsidRPr="00BB34F8">
              <w:rPr>
                <w:rFonts w:asciiTheme="minorHAnsi" w:hAnsiTheme="minorHAnsi"/>
                <w:color w:val="000000" w:themeColor="text1"/>
                <w:sz w:val="22"/>
                <w:szCs w:val="22"/>
                <w:lang w:val="en-JM"/>
              </w:rPr>
              <w:t xml:space="preserve">There is no internal sanitation such as a toilet or wash basin and detainees are given buckets for their waste. Detainees </w:t>
            </w:r>
            <w:r w:rsidR="00E275B2" w:rsidRPr="00BB34F8">
              <w:rPr>
                <w:rFonts w:asciiTheme="minorHAnsi" w:hAnsiTheme="minorHAnsi"/>
                <w:color w:val="000000" w:themeColor="text1"/>
                <w:sz w:val="22"/>
                <w:szCs w:val="22"/>
                <w:lang w:val="en-JM"/>
              </w:rPr>
              <w:t xml:space="preserve">complained of hunger, late or inadequate meals and  </w:t>
            </w:r>
            <w:r w:rsidRPr="00BB34F8">
              <w:rPr>
                <w:rFonts w:asciiTheme="minorHAnsi" w:hAnsiTheme="minorHAnsi"/>
                <w:color w:val="000000" w:themeColor="text1"/>
                <w:sz w:val="22"/>
                <w:szCs w:val="22"/>
                <w:lang w:val="en-JM"/>
              </w:rPr>
              <w:t>there were concerns that the food served was not always maintained at safe temperatures.</w:t>
            </w:r>
          </w:p>
          <w:p w14:paraId="254A9706" w14:textId="35DF4761" w:rsidR="0077741E" w:rsidRPr="00BB34F8" w:rsidRDefault="0077741E" w:rsidP="00BB34F8">
            <w:pPr>
              <w:pStyle w:val="SingleTxtG"/>
              <w:tabs>
                <w:tab w:val="left" w:pos="9781"/>
              </w:tabs>
              <w:spacing w:line="240" w:lineRule="auto"/>
              <w:ind w:left="0"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JM"/>
              </w:rPr>
              <w:t>A visit to the Freeport Lockup</w:t>
            </w:r>
            <w:r w:rsidR="00E275B2" w:rsidRPr="00BB34F8">
              <w:rPr>
                <w:rFonts w:asciiTheme="minorHAnsi" w:hAnsiTheme="minorHAnsi"/>
                <w:color w:val="000000" w:themeColor="text1"/>
                <w:sz w:val="22"/>
                <w:szCs w:val="22"/>
                <w:lang w:val="en-JM"/>
              </w:rPr>
              <w:t xml:space="preserve"> by the Ministry of Health</w:t>
            </w:r>
            <w:r w:rsidRPr="00BB34F8">
              <w:rPr>
                <w:rFonts w:asciiTheme="minorHAnsi" w:hAnsiTheme="minorHAnsi"/>
                <w:color w:val="000000" w:themeColor="text1"/>
                <w:sz w:val="22"/>
                <w:szCs w:val="22"/>
                <w:lang w:val="en-JM"/>
              </w:rPr>
              <w:t xml:space="preserve"> in January 2018 revealed that one hundred and sixteen persons (116) were occupying thirty (30) cells. And the team diagnosed ten (10) people with fungal rashes, one (1) with scabies, four (4) with respiratory illnesses among other notable adverse health issues. </w:t>
            </w:r>
          </w:p>
          <w:p w14:paraId="6D557133" w14:textId="681CBFF1" w:rsidR="0077741E" w:rsidRPr="00BB34F8" w:rsidRDefault="0077741E" w:rsidP="00BB34F8">
            <w:pPr>
              <w:pStyle w:val="SingleTxtG"/>
              <w:tabs>
                <w:tab w:val="left" w:pos="9781"/>
              </w:tabs>
              <w:spacing w:line="240" w:lineRule="auto"/>
              <w:ind w:left="0"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JM"/>
              </w:rPr>
              <w:t>By April 2018 there</w:t>
            </w:r>
            <w:r w:rsidR="00E275B2" w:rsidRPr="00BB34F8">
              <w:rPr>
                <w:rFonts w:asciiTheme="minorHAnsi" w:hAnsiTheme="minorHAnsi"/>
                <w:color w:val="000000" w:themeColor="text1"/>
                <w:sz w:val="22"/>
                <w:szCs w:val="22"/>
                <w:lang w:val="en-JM"/>
              </w:rPr>
              <w:t xml:space="preserve"> was a massive outbreak of</w:t>
            </w:r>
            <w:r w:rsidRPr="00BB34F8">
              <w:rPr>
                <w:rFonts w:asciiTheme="minorHAnsi" w:hAnsiTheme="minorHAnsi"/>
                <w:color w:val="000000" w:themeColor="text1"/>
                <w:sz w:val="22"/>
                <w:szCs w:val="22"/>
                <w:lang w:val="en-JM"/>
              </w:rPr>
              <w:t xml:space="preserve"> gastrointestinal illness which affected one hundred and five </w:t>
            </w:r>
            <w:r w:rsidR="00E275B2" w:rsidRPr="00BB34F8">
              <w:rPr>
                <w:rFonts w:asciiTheme="minorHAnsi" w:hAnsiTheme="minorHAnsi"/>
                <w:color w:val="000000" w:themeColor="text1"/>
                <w:sz w:val="22"/>
                <w:szCs w:val="22"/>
                <w:lang w:val="en-JM"/>
              </w:rPr>
              <w:t xml:space="preserve">(105) </w:t>
            </w:r>
            <w:r w:rsidRPr="00BB34F8">
              <w:rPr>
                <w:rFonts w:asciiTheme="minorHAnsi" w:hAnsiTheme="minorHAnsi"/>
                <w:color w:val="000000" w:themeColor="text1"/>
                <w:sz w:val="22"/>
                <w:szCs w:val="22"/>
                <w:lang w:val="en-JM"/>
              </w:rPr>
              <w:t xml:space="preserve">persons </w:t>
            </w:r>
            <w:r w:rsidR="00E275B2" w:rsidRPr="00BB34F8">
              <w:rPr>
                <w:rFonts w:asciiTheme="minorHAnsi" w:hAnsiTheme="minorHAnsi"/>
                <w:color w:val="000000" w:themeColor="text1"/>
                <w:sz w:val="22"/>
                <w:szCs w:val="22"/>
                <w:lang w:val="en-JM"/>
              </w:rPr>
              <w:t xml:space="preserve">who were </w:t>
            </w:r>
            <w:r w:rsidRPr="00BB34F8">
              <w:rPr>
                <w:rFonts w:asciiTheme="minorHAnsi" w:hAnsiTheme="minorHAnsi"/>
                <w:color w:val="000000" w:themeColor="text1"/>
                <w:sz w:val="22"/>
                <w:szCs w:val="22"/>
                <w:lang w:val="en-JM"/>
              </w:rPr>
              <w:t>detained.</w:t>
            </w:r>
          </w:p>
          <w:p w14:paraId="6BA3927C" w14:textId="738C5C7F" w:rsidR="00EB598C" w:rsidRPr="00BB34F8" w:rsidRDefault="0077741E" w:rsidP="00BB34F8">
            <w:pPr>
              <w:pStyle w:val="SingleTxtG"/>
              <w:tabs>
                <w:tab w:val="left" w:pos="9781"/>
              </w:tabs>
              <w:spacing w:line="240" w:lineRule="auto"/>
              <w:ind w:left="0"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JM"/>
              </w:rPr>
              <w:t>The Public Defender</w:t>
            </w:r>
            <w:r w:rsidR="00BF2F85" w:rsidRPr="00BB34F8">
              <w:rPr>
                <w:rFonts w:asciiTheme="minorHAnsi" w:hAnsiTheme="minorHAnsi"/>
                <w:color w:val="000000" w:themeColor="text1"/>
                <w:sz w:val="22"/>
                <w:szCs w:val="22"/>
                <w:lang w:val="en-JM"/>
              </w:rPr>
              <w:t xml:space="preserve"> has noted that the conditions we</w:t>
            </w:r>
            <w:r w:rsidRPr="00BB34F8">
              <w:rPr>
                <w:rFonts w:asciiTheme="minorHAnsi" w:hAnsiTheme="minorHAnsi"/>
                <w:color w:val="000000" w:themeColor="text1"/>
                <w:sz w:val="22"/>
                <w:szCs w:val="22"/>
                <w:lang w:val="en-JM"/>
              </w:rPr>
              <w:t>re an assault on the dignity of each person.</w:t>
            </w:r>
          </w:p>
        </w:tc>
      </w:tr>
      <w:tr w:rsidR="00EB598C" w:rsidRPr="002734BB" w14:paraId="4A7B0FC5" w14:textId="77777777" w:rsidTr="002734BB">
        <w:tc>
          <w:tcPr>
            <w:tcW w:w="4423" w:type="dxa"/>
          </w:tcPr>
          <w:p w14:paraId="58E83760" w14:textId="0DD1536E" w:rsidR="00EB598C" w:rsidRPr="002734BB" w:rsidRDefault="00EB598C" w:rsidP="00EB598C">
            <w:pPr>
              <w:pStyle w:val="SingleTxtG"/>
              <w:tabs>
                <w:tab w:val="left" w:pos="9781"/>
              </w:tabs>
              <w:spacing w:line="240" w:lineRule="auto"/>
              <w:ind w:left="0" w:right="-52"/>
              <w:rPr>
                <w:rFonts w:asciiTheme="minorHAnsi" w:hAnsiTheme="minorHAnsi"/>
                <w:sz w:val="22"/>
                <w:szCs w:val="22"/>
              </w:rPr>
            </w:pPr>
            <w:r w:rsidRPr="002734BB">
              <w:rPr>
                <w:rFonts w:asciiTheme="minorHAnsi" w:hAnsiTheme="minorHAnsi"/>
                <w:bCs/>
                <w:sz w:val="22"/>
                <w:szCs w:val="22"/>
              </w:rPr>
              <w:t>The State party should adopt legislation governing pretrial detention and put in place a system to detain accused persons separately from convicted persons.</w:t>
            </w:r>
          </w:p>
        </w:tc>
        <w:tc>
          <w:tcPr>
            <w:tcW w:w="5084" w:type="dxa"/>
          </w:tcPr>
          <w:p w14:paraId="3C3B4F91" w14:textId="77777777" w:rsidR="0060471E" w:rsidRPr="00BB34F8" w:rsidRDefault="0060471E" w:rsidP="00BB34F8">
            <w:pPr>
              <w:pStyle w:val="SingleTxtG"/>
              <w:tabs>
                <w:tab w:val="left" w:pos="9781"/>
              </w:tabs>
              <w:spacing w:line="240" w:lineRule="auto"/>
              <w:ind w:left="0"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JM"/>
              </w:rPr>
              <w:t xml:space="preserve">In Jamaica, there is currently no clear statutory framework governing the treatment of persons in pre-trial detention. The majority are held in police lockups – dungeon style areas inside police stations originally intended to be short-term holding areas. Police lockups have become long- term detention environments and incubators for the worst human rights violations, including killings and torture, already established by this Committee in its previous reviews. </w:t>
            </w:r>
          </w:p>
          <w:p w14:paraId="4A684B69" w14:textId="32805133" w:rsidR="0060471E" w:rsidRPr="00BB34F8" w:rsidRDefault="00BF2F85" w:rsidP="00BB34F8">
            <w:pPr>
              <w:pStyle w:val="SingleTxtG"/>
              <w:tabs>
                <w:tab w:val="left" w:pos="9781"/>
              </w:tabs>
              <w:spacing w:line="240" w:lineRule="auto"/>
              <w:ind w:left="0"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JM"/>
              </w:rPr>
              <w:t>N</w:t>
            </w:r>
            <w:r w:rsidR="0060471E" w:rsidRPr="00BB34F8">
              <w:rPr>
                <w:rFonts w:asciiTheme="minorHAnsi" w:hAnsiTheme="minorHAnsi"/>
                <w:color w:val="000000" w:themeColor="text1"/>
                <w:sz w:val="22"/>
                <w:szCs w:val="22"/>
                <w:lang w:val="en-JM"/>
              </w:rPr>
              <w:t xml:space="preserve">early all places of detention fall well below international minimum standards, and offend our collective humanity. Widespread unlawful detention exists, places of detention remain overcrowded public </w:t>
            </w:r>
            <w:r w:rsidR="0060471E" w:rsidRPr="00BB34F8">
              <w:rPr>
                <w:rFonts w:asciiTheme="minorHAnsi" w:hAnsiTheme="minorHAnsi"/>
                <w:color w:val="000000" w:themeColor="text1"/>
                <w:sz w:val="22"/>
                <w:szCs w:val="22"/>
                <w:lang w:val="en-JM"/>
              </w:rPr>
              <w:lastRenderedPageBreak/>
              <w:t xml:space="preserve">health hazards, and officials in charge of places of detention routinely abuse those in their care with impunity. </w:t>
            </w:r>
          </w:p>
          <w:p w14:paraId="77E44949" w14:textId="77777777" w:rsidR="0060471E" w:rsidRPr="00BB34F8" w:rsidRDefault="0060471E" w:rsidP="00BB34F8">
            <w:pPr>
              <w:pStyle w:val="SingleTxtG"/>
              <w:tabs>
                <w:tab w:val="left" w:pos="9781"/>
              </w:tabs>
              <w:spacing w:line="240" w:lineRule="auto"/>
              <w:ind w:left="0"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JM"/>
              </w:rPr>
              <w:t>Places of detention are still filthy, unhealthy environments that precipitate health emergencies. At many places of detention and prisons, rats, roaches, lice, and crabs have overrun the facilities. t is standard practice for inmates to urinate and defecate in their cells, normally in lose bags and bottles they have acquired. Unsurprisingly, reports of infections and other sicknesses are high. To exacerbate that situation, prison officials routinely deny detainees and inmates access to medical care – in many cases as a punitive measure.</w:t>
            </w:r>
          </w:p>
          <w:p w14:paraId="369D2493" w14:textId="0D70ED67" w:rsidR="00365D23" w:rsidRPr="00BB34F8" w:rsidRDefault="00BF2F85" w:rsidP="00BB34F8">
            <w:pPr>
              <w:pStyle w:val="SingleTxtG"/>
              <w:tabs>
                <w:tab w:val="left" w:pos="9781"/>
              </w:tabs>
              <w:spacing w:line="240" w:lineRule="auto"/>
              <w:ind w:left="0" w:right="-52"/>
              <w:rPr>
                <w:rFonts w:asciiTheme="minorHAnsi" w:hAnsiTheme="minorHAnsi"/>
                <w:color w:val="000000" w:themeColor="text1"/>
                <w:sz w:val="22"/>
                <w:szCs w:val="22"/>
                <w:lang w:val="en-JM"/>
              </w:rPr>
            </w:pPr>
            <w:r w:rsidRPr="00BB34F8">
              <w:rPr>
                <w:rFonts w:asciiTheme="minorHAnsi" w:hAnsiTheme="minorHAnsi"/>
                <w:color w:val="000000" w:themeColor="text1"/>
                <w:sz w:val="22"/>
                <w:szCs w:val="22"/>
                <w:lang w:val="en-JM"/>
              </w:rPr>
              <w:t>The November 2018 report of the</w:t>
            </w:r>
            <w:r w:rsidR="007F0FB8" w:rsidRPr="00BB34F8">
              <w:rPr>
                <w:rFonts w:asciiTheme="minorHAnsi" w:hAnsiTheme="minorHAnsi"/>
                <w:color w:val="000000" w:themeColor="text1"/>
                <w:sz w:val="22"/>
                <w:szCs w:val="22"/>
                <w:lang w:val="en-JM"/>
              </w:rPr>
              <w:t xml:space="preserve"> Public Defender </w:t>
            </w:r>
            <w:r w:rsidRPr="00BB34F8">
              <w:rPr>
                <w:rFonts w:asciiTheme="minorHAnsi" w:hAnsiTheme="minorHAnsi"/>
                <w:color w:val="000000" w:themeColor="text1"/>
                <w:sz w:val="22"/>
                <w:szCs w:val="22"/>
                <w:lang w:val="en-JM"/>
              </w:rPr>
              <w:t xml:space="preserve">on the State of Emergency </w:t>
            </w:r>
            <w:r w:rsidR="007F0FB8" w:rsidRPr="00BB34F8">
              <w:rPr>
                <w:rFonts w:asciiTheme="minorHAnsi" w:hAnsiTheme="minorHAnsi"/>
                <w:color w:val="000000" w:themeColor="text1"/>
                <w:sz w:val="22"/>
                <w:szCs w:val="22"/>
                <w:lang w:val="en-JM"/>
              </w:rPr>
              <w:t>noted that the fact that detainees are not to be housed in the same space as persons</w:t>
            </w:r>
            <w:r w:rsidR="0077741E" w:rsidRPr="00BB34F8">
              <w:rPr>
                <w:rFonts w:asciiTheme="minorHAnsi" w:hAnsiTheme="minorHAnsi"/>
                <w:color w:val="000000" w:themeColor="text1"/>
                <w:sz w:val="22"/>
                <w:szCs w:val="22"/>
                <w:lang w:val="en-JM"/>
              </w:rPr>
              <w:t xml:space="preserve"> who are charged with criminal off</w:t>
            </w:r>
            <w:r w:rsidR="007F0FB8" w:rsidRPr="00BB34F8">
              <w:rPr>
                <w:rFonts w:asciiTheme="minorHAnsi" w:hAnsiTheme="minorHAnsi"/>
                <w:color w:val="000000" w:themeColor="text1"/>
                <w:sz w:val="22"/>
                <w:szCs w:val="22"/>
                <w:lang w:val="en-JM"/>
              </w:rPr>
              <w:t>ences is seemingly unknown t</w:t>
            </w:r>
            <w:r w:rsidR="0077741E" w:rsidRPr="00BB34F8">
              <w:rPr>
                <w:rFonts w:asciiTheme="minorHAnsi" w:hAnsiTheme="minorHAnsi"/>
                <w:color w:val="000000" w:themeColor="text1"/>
                <w:sz w:val="22"/>
                <w:szCs w:val="22"/>
                <w:lang w:val="en-JM"/>
              </w:rPr>
              <w:t xml:space="preserve">o the JCF and other authorities. </w:t>
            </w:r>
            <w:r w:rsidRPr="00BB34F8">
              <w:rPr>
                <w:rFonts w:asciiTheme="minorHAnsi" w:hAnsiTheme="minorHAnsi"/>
                <w:color w:val="000000" w:themeColor="text1"/>
                <w:sz w:val="22"/>
                <w:szCs w:val="22"/>
                <w:lang w:val="en-JM"/>
              </w:rPr>
              <w:t xml:space="preserve">Detainees who were locked up at the Freeport </w:t>
            </w:r>
            <w:r w:rsidR="00365D23" w:rsidRPr="00BB34F8">
              <w:rPr>
                <w:rFonts w:asciiTheme="minorHAnsi" w:hAnsiTheme="minorHAnsi"/>
                <w:color w:val="000000" w:themeColor="text1"/>
                <w:sz w:val="22"/>
                <w:szCs w:val="22"/>
                <w:lang w:val="en-JM"/>
              </w:rPr>
              <w:t>Police Station Lock Up</w:t>
            </w:r>
            <w:r w:rsidRPr="00BB34F8">
              <w:rPr>
                <w:rFonts w:asciiTheme="minorHAnsi" w:hAnsiTheme="minorHAnsi"/>
                <w:color w:val="000000" w:themeColor="text1"/>
                <w:sz w:val="22"/>
                <w:szCs w:val="22"/>
                <w:lang w:val="en-JM"/>
              </w:rPr>
              <w:t xml:space="preserve"> were placed with persons who are charged. </w:t>
            </w:r>
            <w:r w:rsidR="00365D23" w:rsidRPr="00BB34F8">
              <w:rPr>
                <w:rFonts w:asciiTheme="minorHAnsi" w:hAnsiTheme="minorHAnsi"/>
                <w:color w:val="000000" w:themeColor="text1"/>
                <w:sz w:val="22"/>
                <w:szCs w:val="22"/>
                <w:lang w:val="en-JM"/>
              </w:rPr>
              <w:t xml:space="preserve">The Public defender noted that detainees and persons charged are comingled, blended and mixed throughout the Lock up. </w:t>
            </w:r>
          </w:p>
          <w:p w14:paraId="5FA14FB1" w14:textId="4E03BF45" w:rsidR="00EB598C" w:rsidRPr="00BB34F8" w:rsidRDefault="00365D23" w:rsidP="00BB34F8">
            <w:pPr>
              <w:pStyle w:val="SingleTxtG"/>
              <w:tabs>
                <w:tab w:val="left" w:pos="9781"/>
              </w:tabs>
              <w:spacing w:line="240" w:lineRule="auto"/>
              <w:ind w:left="0" w:right="-52"/>
              <w:rPr>
                <w:rFonts w:asciiTheme="minorHAnsi" w:hAnsiTheme="minorHAnsi"/>
                <w:color w:val="000000" w:themeColor="text1"/>
                <w:sz w:val="22"/>
                <w:szCs w:val="22"/>
              </w:rPr>
            </w:pPr>
            <w:r w:rsidRPr="00BB34F8">
              <w:rPr>
                <w:rFonts w:asciiTheme="minorHAnsi" w:hAnsiTheme="minorHAnsi"/>
                <w:color w:val="000000" w:themeColor="text1"/>
                <w:sz w:val="22"/>
                <w:szCs w:val="22"/>
                <w:lang w:val="en-JM"/>
              </w:rPr>
              <w:t xml:space="preserve">This was compounded by  the fact that </w:t>
            </w:r>
            <w:r w:rsidR="0077741E" w:rsidRPr="00BB34F8">
              <w:rPr>
                <w:rFonts w:asciiTheme="minorHAnsi" w:hAnsiTheme="minorHAnsi"/>
                <w:color w:val="000000" w:themeColor="text1"/>
                <w:sz w:val="22"/>
                <w:szCs w:val="22"/>
                <w:lang w:val="en-JM"/>
              </w:rPr>
              <w:t xml:space="preserve">these persons are </w:t>
            </w:r>
            <w:r w:rsidRPr="00BB34F8">
              <w:rPr>
                <w:rFonts w:asciiTheme="minorHAnsi" w:hAnsiTheme="minorHAnsi"/>
                <w:color w:val="000000" w:themeColor="text1"/>
                <w:sz w:val="22"/>
                <w:szCs w:val="22"/>
                <w:lang w:val="en-JM"/>
              </w:rPr>
              <w:t xml:space="preserve">being kept in spaces which the Public Defender described as </w:t>
            </w:r>
            <w:r w:rsidR="0077741E" w:rsidRPr="00BB34F8">
              <w:rPr>
                <w:rFonts w:asciiTheme="minorHAnsi" w:hAnsiTheme="minorHAnsi"/>
                <w:color w:val="000000" w:themeColor="text1"/>
                <w:sz w:val="22"/>
                <w:szCs w:val="22"/>
                <w:lang w:val="en-JM"/>
              </w:rPr>
              <w:t xml:space="preserve">‘abject, subhuman and unfit for human habitation’. </w:t>
            </w:r>
          </w:p>
        </w:tc>
      </w:tr>
    </w:tbl>
    <w:p w14:paraId="3A1DEAFD" w14:textId="77777777" w:rsidR="00EB598C" w:rsidRPr="002734BB" w:rsidRDefault="00EB598C" w:rsidP="00ED7845">
      <w:pPr>
        <w:pStyle w:val="SingleTxtG"/>
        <w:tabs>
          <w:tab w:val="left" w:pos="9781"/>
        </w:tabs>
        <w:spacing w:line="360" w:lineRule="auto"/>
        <w:ind w:left="-567" w:right="-52"/>
        <w:rPr>
          <w:rFonts w:asciiTheme="minorHAnsi" w:hAnsiTheme="minorHAnsi"/>
          <w:sz w:val="22"/>
          <w:szCs w:val="22"/>
        </w:rPr>
      </w:pPr>
    </w:p>
    <w:p w14:paraId="0B62B062" w14:textId="77777777" w:rsidR="00533E65" w:rsidRPr="002734BB" w:rsidRDefault="00533E65" w:rsidP="00A01754">
      <w:pPr>
        <w:pStyle w:val="SingleTxtG"/>
        <w:spacing w:line="360" w:lineRule="auto"/>
        <w:ind w:left="0"/>
        <w:rPr>
          <w:rFonts w:asciiTheme="minorHAnsi" w:hAnsiTheme="minorHAnsi"/>
          <w:b/>
          <w:sz w:val="22"/>
          <w:szCs w:val="22"/>
        </w:rPr>
      </w:pPr>
    </w:p>
    <w:p w14:paraId="0F495950" w14:textId="77777777" w:rsidR="00510280" w:rsidRDefault="00510280" w:rsidP="00533E65">
      <w:pPr>
        <w:pStyle w:val="SingleTxtG"/>
        <w:spacing w:line="360" w:lineRule="auto"/>
        <w:rPr>
          <w:rFonts w:asciiTheme="minorHAnsi" w:hAnsiTheme="minorHAnsi"/>
          <w:b/>
          <w:sz w:val="22"/>
          <w:szCs w:val="22"/>
        </w:rPr>
        <w:sectPr w:rsidR="00510280" w:rsidSect="00ED7845">
          <w:pgSz w:w="11900" w:h="16840"/>
          <w:pgMar w:top="1440" w:right="985" w:bottom="1814" w:left="1440" w:header="708" w:footer="708" w:gutter="0"/>
          <w:cols w:space="708"/>
          <w:docGrid w:linePitch="360"/>
        </w:sectPr>
      </w:pPr>
    </w:p>
    <w:p w14:paraId="0B6C58EC" w14:textId="3EF31E6E" w:rsidR="00ED7845" w:rsidRPr="00F80DA7" w:rsidRDefault="00ED7845" w:rsidP="00F80DA7">
      <w:pPr>
        <w:pStyle w:val="SingleTxtG"/>
        <w:numPr>
          <w:ilvl w:val="0"/>
          <w:numId w:val="2"/>
        </w:numPr>
        <w:spacing w:line="360" w:lineRule="auto"/>
        <w:ind w:left="142" w:right="-22"/>
        <w:rPr>
          <w:rFonts w:asciiTheme="minorHAnsi" w:hAnsiTheme="minorHAnsi"/>
          <w:sz w:val="24"/>
          <w:szCs w:val="24"/>
          <w:u w:val="single"/>
        </w:rPr>
      </w:pPr>
      <w:r w:rsidRPr="00F80DA7">
        <w:rPr>
          <w:rFonts w:asciiTheme="minorHAnsi" w:hAnsiTheme="minorHAnsi"/>
          <w:b/>
          <w:bCs/>
          <w:color w:val="000000" w:themeColor="text1"/>
          <w:sz w:val="24"/>
          <w:szCs w:val="24"/>
          <w:u w:val="single"/>
          <w:lang w:val="en-US"/>
        </w:rPr>
        <w:lastRenderedPageBreak/>
        <w:t>RIGHTS OF THE CHILD</w:t>
      </w:r>
      <w:r w:rsidRPr="00F80DA7">
        <w:rPr>
          <w:rFonts w:asciiTheme="minorHAnsi" w:hAnsiTheme="minorHAnsi"/>
          <w:sz w:val="24"/>
          <w:szCs w:val="24"/>
          <w:u w:val="single"/>
        </w:rPr>
        <w:t xml:space="preserve"> </w:t>
      </w:r>
    </w:p>
    <w:p w14:paraId="08408EE0" w14:textId="42FCCCE8" w:rsidR="002C7123" w:rsidRDefault="00533E65" w:rsidP="00F80DA7">
      <w:pPr>
        <w:pStyle w:val="SingleTxtG"/>
        <w:tabs>
          <w:tab w:val="left" w:pos="8931"/>
        </w:tabs>
        <w:spacing w:line="360" w:lineRule="auto"/>
        <w:ind w:left="-567" w:right="-52"/>
        <w:rPr>
          <w:rFonts w:asciiTheme="minorHAnsi" w:hAnsiTheme="minorHAnsi"/>
          <w:sz w:val="22"/>
          <w:szCs w:val="22"/>
        </w:rPr>
      </w:pPr>
      <w:r w:rsidRPr="00533E65">
        <w:rPr>
          <w:rFonts w:asciiTheme="minorHAnsi" w:hAnsiTheme="minorHAnsi"/>
          <w:sz w:val="22"/>
          <w:szCs w:val="22"/>
        </w:rPr>
        <w:t>“The Committee welcomes the efforts of the State party to review the Child Care and Protection Act, including the removal of the possibility of incarcerating a child on the basis of him or her being “beyond parental control”, and provision of psychological and mental health services to children and their families by the Child Development Agency and Department of Correctional Services. Despite the fact that the number of correctional orders has significantly decreased, the Committee is concerned about reports that there are still children serving such orders. It is also concerned that minors are held in police lock-ups on a regular basis, often for more than 24 hours (arts. 9, 10 and 24)”.</w:t>
      </w:r>
      <w:r w:rsidR="00EB598C">
        <w:rPr>
          <w:rStyle w:val="FootnoteReference"/>
          <w:rFonts w:asciiTheme="minorHAnsi" w:hAnsiTheme="minorHAnsi"/>
          <w:sz w:val="22"/>
          <w:szCs w:val="22"/>
        </w:rPr>
        <w:footnoteReference w:id="5"/>
      </w:r>
    </w:p>
    <w:tbl>
      <w:tblPr>
        <w:tblStyle w:val="TableGrid"/>
        <w:tblpPr w:leftFromText="180" w:rightFromText="180" w:vertAnchor="text" w:horzAnchor="margin" w:tblpX="-420" w:tblpY="217"/>
        <w:tblW w:w="9998" w:type="dxa"/>
        <w:tblLook w:val="04A0" w:firstRow="1" w:lastRow="0" w:firstColumn="1" w:lastColumn="0" w:noHBand="0" w:noVBand="1"/>
      </w:tblPr>
      <w:tblGrid>
        <w:gridCol w:w="4531"/>
        <w:gridCol w:w="5467"/>
      </w:tblGrid>
      <w:tr w:rsidR="00510280" w:rsidRPr="00533E65" w14:paraId="0CBA10EB" w14:textId="77777777" w:rsidTr="002734BB">
        <w:trPr>
          <w:trHeight w:val="549"/>
        </w:trPr>
        <w:tc>
          <w:tcPr>
            <w:tcW w:w="4531" w:type="dxa"/>
          </w:tcPr>
          <w:p w14:paraId="0D47BD5B" w14:textId="77777777" w:rsidR="00510280" w:rsidRDefault="00510280" w:rsidP="00F80DA7">
            <w:pPr>
              <w:jc w:val="center"/>
              <w:rPr>
                <w:rFonts w:asciiTheme="minorHAnsi" w:hAnsiTheme="minorHAnsi"/>
                <w:b/>
              </w:rPr>
            </w:pPr>
            <w:r w:rsidRPr="00533E65">
              <w:rPr>
                <w:rFonts w:asciiTheme="minorHAnsi" w:hAnsiTheme="minorHAnsi"/>
                <w:b/>
              </w:rPr>
              <w:t>Recommendation by Committee:</w:t>
            </w:r>
          </w:p>
          <w:p w14:paraId="14380A2D" w14:textId="77777777" w:rsidR="00510280" w:rsidRPr="00533E65" w:rsidRDefault="00510280" w:rsidP="00F80DA7">
            <w:pPr>
              <w:jc w:val="center"/>
              <w:rPr>
                <w:rFonts w:asciiTheme="minorHAnsi" w:hAnsiTheme="minorHAnsi"/>
                <w:b/>
              </w:rPr>
            </w:pPr>
            <w:r>
              <w:rPr>
                <w:rFonts w:asciiTheme="minorHAnsi" w:hAnsiTheme="minorHAnsi"/>
                <w:b/>
              </w:rPr>
              <w:t>(Paragraph 44)</w:t>
            </w:r>
          </w:p>
        </w:tc>
        <w:tc>
          <w:tcPr>
            <w:tcW w:w="5467" w:type="dxa"/>
          </w:tcPr>
          <w:p w14:paraId="44EB2A14" w14:textId="77777777" w:rsidR="00510280" w:rsidRPr="00533E65" w:rsidRDefault="00510280" w:rsidP="00F80DA7">
            <w:pPr>
              <w:jc w:val="center"/>
              <w:rPr>
                <w:rFonts w:asciiTheme="minorHAnsi" w:hAnsiTheme="minorHAnsi"/>
              </w:rPr>
            </w:pPr>
            <w:r w:rsidRPr="00533E65">
              <w:rPr>
                <w:rFonts w:asciiTheme="minorHAnsi" w:hAnsiTheme="minorHAnsi"/>
                <w:b/>
              </w:rPr>
              <w:t>Actions taken by the State party (if any) and current situation:</w:t>
            </w:r>
          </w:p>
        </w:tc>
      </w:tr>
      <w:tr w:rsidR="00510280" w:rsidRPr="00533E65" w14:paraId="55B33F8D" w14:textId="77777777" w:rsidTr="002734BB">
        <w:trPr>
          <w:trHeight w:val="1228"/>
        </w:trPr>
        <w:tc>
          <w:tcPr>
            <w:tcW w:w="4531" w:type="dxa"/>
          </w:tcPr>
          <w:p w14:paraId="7318B1D8" w14:textId="77777777" w:rsidR="00510280" w:rsidRDefault="00510280" w:rsidP="00F80DA7">
            <w:pPr>
              <w:jc w:val="both"/>
              <w:rPr>
                <w:rFonts w:asciiTheme="minorHAnsi" w:hAnsiTheme="minorHAnsi"/>
                <w:bCs/>
              </w:rPr>
            </w:pPr>
            <w:r w:rsidRPr="00533E65">
              <w:rPr>
                <w:rFonts w:asciiTheme="minorHAnsi" w:hAnsiTheme="minorHAnsi"/>
                <w:bCs/>
              </w:rPr>
              <w:t>The State party should amend its law in a timely manner in order to remove the possibility of incarcerating a child on the basis of him or her being “beyond parental control” and to address gaps in: service delivery to children in conflict with the law, the coordination and oversight of the child protection sector, support to families and rehabilitation of children who experienced exploitation, abuse and other trauma.</w:t>
            </w:r>
          </w:p>
          <w:p w14:paraId="5927BE11" w14:textId="77777777" w:rsidR="00F80DA7" w:rsidRPr="00533E65" w:rsidRDefault="00F80DA7" w:rsidP="00F80DA7">
            <w:pPr>
              <w:jc w:val="both"/>
              <w:rPr>
                <w:rFonts w:asciiTheme="minorHAnsi" w:hAnsiTheme="minorHAnsi"/>
              </w:rPr>
            </w:pPr>
          </w:p>
        </w:tc>
        <w:tc>
          <w:tcPr>
            <w:tcW w:w="5467" w:type="dxa"/>
          </w:tcPr>
          <w:p w14:paraId="2233E5F0" w14:textId="77777777" w:rsidR="0060471E" w:rsidRPr="00BB34F8" w:rsidRDefault="0060471E" w:rsidP="006B457A">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 xml:space="preserve">With regard to the status of reforms, the State Party has failed to deliver on the changes to the Child Care and Protection Act that it has promised reforms for over a decade. It’s commitments to this Committee are not new, and its assertion that a reform proposal is “under review,” has little value. The possibility of incarcerating a child on the basis of being beyond parental control exists in Jamaica, and is still being utilized. </w:t>
            </w:r>
          </w:p>
          <w:p w14:paraId="1D04F9B1" w14:textId="77777777" w:rsidR="002734BB" w:rsidRPr="00BB34F8" w:rsidRDefault="002734BB" w:rsidP="006B457A">
            <w:pPr>
              <w:jc w:val="both"/>
              <w:rPr>
                <w:rFonts w:asciiTheme="minorHAnsi" w:hAnsiTheme="minorHAnsi"/>
                <w:color w:val="000000" w:themeColor="text1"/>
                <w:sz w:val="22"/>
                <w:szCs w:val="22"/>
              </w:rPr>
            </w:pPr>
          </w:p>
          <w:p w14:paraId="271CE9D6" w14:textId="1499D0AB" w:rsidR="00220481" w:rsidRPr="00BB34F8" w:rsidRDefault="00220481" w:rsidP="006B457A">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The December 2018 report from the Joint Select Committee  appointed to review the  Sexual Offences Act along with the Offences Against the Persons Act, the Domestic Violence Act and the Child Care and Protection Act in considering Section 8</w:t>
            </w:r>
            <w:r w:rsidR="00960AE3" w:rsidRPr="00BB34F8">
              <w:rPr>
                <w:rFonts w:asciiTheme="minorHAnsi" w:hAnsiTheme="minorHAnsi"/>
                <w:color w:val="000000" w:themeColor="text1"/>
                <w:sz w:val="22"/>
                <w:szCs w:val="22"/>
              </w:rPr>
              <w:t xml:space="preserve"> and Section 24</w:t>
            </w:r>
            <w:r w:rsidRPr="00BB34F8">
              <w:rPr>
                <w:rFonts w:asciiTheme="minorHAnsi" w:hAnsiTheme="minorHAnsi"/>
                <w:color w:val="000000" w:themeColor="text1"/>
                <w:sz w:val="22"/>
                <w:szCs w:val="22"/>
              </w:rPr>
              <w:t xml:space="preserve"> of the Child Care and Protection Act and the circumstances in which a child may be deemed to be in care and protection</w:t>
            </w:r>
            <w:r w:rsidR="00960AE3" w:rsidRPr="00BB34F8">
              <w:rPr>
                <w:rFonts w:asciiTheme="minorHAnsi" w:hAnsiTheme="minorHAnsi"/>
                <w:color w:val="000000" w:themeColor="text1"/>
                <w:sz w:val="22"/>
                <w:szCs w:val="22"/>
              </w:rPr>
              <w:t xml:space="preserve"> and  the power of parents to bring a</w:t>
            </w:r>
            <w:r w:rsidR="00D45A28" w:rsidRPr="00BB34F8">
              <w:rPr>
                <w:rFonts w:asciiTheme="minorHAnsi" w:hAnsiTheme="minorHAnsi"/>
                <w:color w:val="000000" w:themeColor="text1"/>
                <w:sz w:val="22"/>
                <w:szCs w:val="22"/>
              </w:rPr>
              <w:t xml:space="preserve">n ‘uncontrollable’ child before the courts, </w:t>
            </w:r>
            <w:r w:rsidRPr="00BB34F8">
              <w:rPr>
                <w:rFonts w:asciiTheme="minorHAnsi" w:hAnsiTheme="minorHAnsi"/>
                <w:color w:val="000000" w:themeColor="text1"/>
                <w:sz w:val="22"/>
                <w:szCs w:val="22"/>
              </w:rPr>
              <w:t>did not recommend the removal of the section of the law speaking to children being beyond parental control.</w:t>
            </w:r>
          </w:p>
          <w:p w14:paraId="221CCE36" w14:textId="77777777" w:rsidR="00220481" w:rsidRPr="00BB34F8" w:rsidRDefault="00220481" w:rsidP="006B457A">
            <w:pPr>
              <w:jc w:val="both"/>
              <w:rPr>
                <w:rFonts w:asciiTheme="minorHAnsi" w:hAnsiTheme="minorHAnsi"/>
                <w:color w:val="000000" w:themeColor="text1"/>
                <w:sz w:val="22"/>
                <w:szCs w:val="22"/>
              </w:rPr>
            </w:pPr>
          </w:p>
          <w:p w14:paraId="461FAC8F" w14:textId="28766EE7" w:rsidR="00220481" w:rsidRPr="00BB34F8" w:rsidRDefault="00220481" w:rsidP="006B457A">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 xml:space="preserve">The Committee </w:t>
            </w:r>
            <w:r w:rsidR="00D45A28" w:rsidRPr="00BB34F8">
              <w:rPr>
                <w:rFonts w:asciiTheme="minorHAnsi" w:hAnsiTheme="minorHAnsi"/>
                <w:color w:val="000000" w:themeColor="text1"/>
                <w:sz w:val="22"/>
                <w:szCs w:val="22"/>
              </w:rPr>
              <w:t>reiterated</w:t>
            </w:r>
            <w:r w:rsidRPr="00BB34F8">
              <w:rPr>
                <w:rFonts w:asciiTheme="minorHAnsi" w:hAnsiTheme="minorHAnsi"/>
                <w:color w:val="000000" w:themeColor="text1"/>
                <w:sz w:val="22"/>
                <w:szCs w:val="22"/>
              </w:rPr>
              <w:t xml:space="preserve"> its support for the retention of this aspect of the law, leaning towards submissions which were made to ensure that the Child Care and Protection Act had provisions for </w:t>
            </w:r>
            <w:r w:rsidRPr="00BB34F8">
              <w:rPr>
                <w:rFonts w:asciiTheme="minorHAnsi" w:hAnsiTheme="minorHAnsi"/>
                <w:i/>
                <w:color w:val="000000" w:themeColor="text1"/>
                <w:sz w:val="22"/>
                <w:szCs w:val="22"/>
              </w:rPr>
              <w:t>‘caring parents who are not necessarily unfit but are unable to exercise proper care for their child because of that child’s aggressive and rebellious behaviour…thereby rendering the parent powerless…’</w:t>
            </w:r>
            <w:r w:rsidR="006B457A" w:rsidRPr="00BB34F8">
              <w:rPr>
                <w:rFonts w:asciiTheme="minorHAnsi" w:hAnsiTheme="minorHAnsi"/>
                <w:i/>
                <w:color w:val="000000" w:themeColor="text1"/>
                <w:sz w:val="22"/>
                <w:szCs w:val="22"/>
              </w:rPr>
              <w:t xml:space="preserve"> </w:t>
            </w:r>
            <w:r w:rsidR="006B457A" w:rsidRPr="00BB34F8">
              <w:rPr>
                <w:rFonts w:asciiTheme="minorHAnsi" w:hAnsiTheme="minorHAnsi"/>
                <w:color w:val="000000" w:themeColor="text1"/>
                <w:sz w:val="22"/>
                <w:szCs w:val="22"/>
              </w:rPr>
              <w:t xml:space="preserve">They added that the Child Diversion process, which has yet to be developed in alignment with the 2018 Child Diversion Act and should be an alternative to the formal court system, </w:t>
            </w:r>
            <w:r w:rsidR="006B457A" w:rsidRPr="00BB34F8">
              <w:rPr>
                <w:rFonts w:asciiTheme="minorHAnsi" w:hAnsiTheme="minorHAnsi"/>
                <w:color w:val="000000" w:themeColor="text1"/>
                <w:sz w:val="22"/>
                <w:szCs w:val="22"/>
              </w:rPr>
              <w:lastRenderedPageBreak/>
              <w:t>may not be the solution to treat with children with serious behavioural problems.</w:t>
            </w:r>
          </w:p>
          <w:p w14:paraId="513F7A1B" w14:textId="77777777" w:rsidR="00D45A28" w:rsidRPr="00BB34F8" w:rsidRDefault="00D45A28" w:rsidP="006B457A">
            <w:pPr>
              <w:jc w:val="both"/>
              <w:rPr>
                <w:rFonts w:asciiTheme="minorHAnsi" w:hAnsiTheme="minorHAnsi"/>
                <w:color w:val="000000" w:themeColor="text1"/>
                <w:sz w:val="22"/>
                <w:szCs w:val="22"/>
              </w:rPr>
            </w:pPr>
          </w:p>
          <w:p w14:paraId="35F400F4" w14:textId="6F3E0D44" w:rsidR="00D45A28" w:rsidRPr="00BB34F8" w:rsidRDefault="00D45A28" w:rsidP="006B457A">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 xml:space="preserve">The Committee rejected the recommendation that Section 24 of the law should be repealed or amended to remove the provision  allowing an ‘uncontrollable child’ to be placed in a correctional facility through a correctional order and instead allow for a more therapeutic approach to be devised for these children. The Committee noted that removing the option of the Court to make a correctional order would limit the capacity of the Court and that a correctional order could also include a therapeutic order. </w:t>
            </w:r>
            <w:r w:rsidR="006B457A" w:rsidRPr="00BB34F8">
              <w:rPr>
                <w:rFonts w:asciiTheme="minorHAnsi" w:hAnsiTheme="minorHAnsi"/>
                <w:color w:val="000000" w:themeColor="text1"/>
                <w:sz w:val="22"/>
                <w:szCs w:val="22"/>
              </w:rPr>
              <w:t xml:space="preserve">The Committee however conceded that prior to making Orders in respect of. A child that a mental health professional should be consulted by the court in determining the appropriate order, where practicable. </w:t>
            </w:r>
          </w:p>
          <w:p w14:paraId="41E52996" w14:textId="77777777" w:rsidR="00960AE3" w:rsidRPr="00BB34F8" w:rsidRDefault="00960AE3" w:rsidP="006B457A">
            <w:pPr>
              <w:jc w:val="both"/>
              <w:rPr>
                <w:rFonts w:asciiTheme="minorHAnsi" w:hAnsiTheme="minorHAnsi"/>
                <w:color w:val="000000" w:themeColor="text1"/>
                <w:sz w:val="22"/>
                <w:szCs w:val="22"/>
              </w:rPr>
            </w:pPr>
          </w:p>
          <w:p w14:paraId="1A83AC0E" w14:textId="77777777" w:rsidR="006B457A" w:rsidRPr="00BB34F8" w:rsidRDefault="00960AE3" w:rsidP="006B457A">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This remains deeply problematic given the fact that children can still be forced out of their homes and into places of detention on the basis that their parents find their behaviour to be aggressive or rebellious.</w:t>
            </w:r>
            <w:r w:rsidR="006B457A" w:rsidRPr="00BB34F8">
              <w:rPr>
                <w:rFonts w:asciiTheme="minorHAnsi" w:hAnsiTheme="minorHAnsi"/>
                <w:color w:val="000000" w:themeColor="text1"/>
                <w:sz w:val="22"/>
                <w:szCs w:val="22"/>
              </w:rPr>
              <w:t xml:space="preserve"> The penal attitude towards children remains unchanged and a desire to place them before the criminal justice system persists despite clear indications that alternative therapeutic routes of dealing with children with behavioural issues is preferred and likely to have the positive long term impacts.</w:t>
            </w:r>
          </w:p>
          <w:p w14:paraId="7E17233F" w14:textId="77777777" w:rsidR="006B457A" w:rsidRPr="00BB34F8" w:rsidRDefault="006B457A" w:rsidP="006B457A">
            <w:pPr>
              <w:jc w:val="both"/>
              <w:rPr>
                <w:rFonts w:asciiTheme="minorHAnsi" w:hAnsiTheme="minorHAnsi"/>
                <w:color w:val="000000" w:themeColor="text1"/>
                <w:sz w:val="22"/>
                <w:szCs w:val="22"/>
              </w:rPr>
            </w:pPr>
          </w:p>
          <w:p w14:paraId="55FA1B8E" w14:textId="77777777" w:rsidR="00AC71F7" w:rsidRPr="00BB34F8" w:rsidRDefault="006B457A" w:rsidP="006B457A">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Though the inclusion of a mental health professional in the making of Court Orders will be beneficial, the proviso that these professionals should be included ‘where practicable’ can easily lead to the lack of resources and time limitations within Court processes being used to justify their exclusion.</w:t>
            </w:r>
          </w:p>
          <w:p w14:paraId="552186F9" w14:textId="77777777" w:rsidR="00AC71F7" w:rsidRPr="00BB34F8" w:rsidRDefault="00AC71F7" w:rsidP="006B457A">
            <w:pPr>
              <w:jc w:val="both"/>
              <w:rPr>
                <w:rFonts w:asciiTheme="minorHAnsi" w:hAnsiTheme="minorHAnsi"/>
                <w:color w:val="000000" w:themeColor="text1"/>
                <w:sz w:val="22"/>
                <w:szCs w:val="22"/>
              </w:rPr>
            </w:pPr>
          </w:p>
          <w:p w14:paraId="0F793BE2" w14:textId="36489B20" w:rsidR="00960AE3" w:rsidRPr="00BB34F8" w:rsidRDefault="00AC71F7" w:rsidP="006B457A">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If the drafting of the amendments to the law follows these recommendations, it is likely that the notion of uncontrollable children will persist and the trend children being wrongfully detained on the basis of behavioural issues will continue.</w:t>
            </w:r>
            <w:r w:rsidR="006B457A" w:rsidRPr="00BB34F8">
              <w:rPr>
                <w:rFonts w:asciiTheme="minorHAnsi" w:hAnsiTheme="minorHAnsi"/>
                <w:color w:val="000000" w:themeColor="text1"/>
                <w:sz w:val="22"/>
                <w:szCs w:val="22"/>
              </w:rPr>
              <w:t xml:space="preserve">  </w:t>
            </w:r>
          </w:p>
          <w:p w14:paraId="7B996068" w14:textId="77777777" w:rsidR="00220481" w:rsidRPr="006B457A" w:rsidRDefault="00220481" w:rsidP="006B457A">
            <w:pPr>
              <w:jc w:val="both"/>
              <w:rPr>
                <w:rFonts w:asciiTheme="minorHAnsi" w:hAnsiTheme="minorHAnsi"/>
                <w:color w:val="000000" w:themeColor="text1"/>
                <w:sz w:val="22"/>
                <w:szCs w:val="22"/>
              </w:rPr>
            </w:pPr>
          </w:p>
          <w:p w14:paraId="64B382F1" w14:textId="1E5A1BAE" w:rsidR="0060471E" w:rsidRPr="00533E65" w:rsidRDefault="0060471E" w:rsidP="006B457A">
            <w:pPr>
              <w:rPr>
                <w:rFonts w:asciiTheme="minorHAnsi" w:hAnsiTheme="minorHAnsi"/>
              </w:rPr>
            </w:pPr>
          </w:p>
        </w:tc>
      </w:tr>
      <w:tr w:rsidR="00510280" w:rsidRPr="00533E65" w14:paraId="560688E0" w14:textId="77777777" w:rsidTr="002734BB">
        <w:trPr>
          <w:trHeight w:val="3383"/>
        </w:trPr>
        <w:tc>
          <w:tcPr>
            <w:tcW w:w="4531" w:type="dxa"/>
          </w:tcPr>
          <w:p w14:paraId="156B93FF" w14:textId="77777777" w:rsidR="00510280" w:rsidRDefault="00510280" w:rsidP="00F80DA7">
            <w:pPr>
              <w:jc w:val="both"/>
              <w:rPr>
                <w:rFonts w:asciiTheme="minorHAnsi" w:hAnsiTheme="minorHAnsi"/>
                <w:bCs/>
              </w:rPr>
            </w:pPr>
            <w:r w:rsidRPr="00533E65">
              <w:rPr>
                <w:rFonts w:asciiTheme="minorHAnsi" w:hAnsiTheme="minorHAnsi"/>
                <w:bCs/>
              </w:rPr>
              <w:lastRenderedPageBreak/>
              <w:t>The State party should detain children only as a last resort and for the shortest possible period provided by law; continue establishing child-friendly holding cells; and provide alternative arrangements to detention, in line with the Covenant. It should continue to provide children in conflict with law with alternative support, including psychological and rehabilitation services and conflict resolution programmes. access to sexual and reproductive health information and services to all women, including girls under the age of 16.</w:t>
            </w:r>
          </w:p>
          <w:p w14:paraId="5899E28E" w14:textId="77777777" w:rsidR="00F80DA7" w:rsidRPr="00533E65" w:rsidRDefault="00F80DA7" w:rsidP="00F80DA7">
            <w:pPr>
              <w:jc w:val="both"/>
              <w:rPr>
                <w:rFonts w:asciiTheme="minorHAnsi" w:hAnsiTheme="minorHAnsi"/>
              </w:rPr>
            </w:pPr>
          </w:p>
        </w:tc>
        <w:tc>
          <w:tcPr>
            <w:tcW w:w="5467" w:type="dxa"/>
          </w:tcPr>
          <w:p w14:paraId="73CDAF2C" w14:textId="6CE449D3" w:rsidR="0060471E" w:rsidRPr="00BB34F8" w:rsidRDefault="0060471E" w:rsidP="00AC71F7">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The detention of children as a last resort for the shortest possible time remains a concern for human rights actors. With the State of Emergency operating throughout various parts of the island, there have been concerns raised about the arrest and detention of children within this framework. There are concerns that children are being held in inhuman situations</w:t>
            </w:r>
            <w:r w:rsidR="00AC71F7" w:rsidRPr="00BB34F8">
              <w:rPr>
                <w:rFonts w:asciiTheme="minorHAnsi" w:hAnsiTheme="minorHAnsi"/>
                <w:color w:val="000000" w:themeColor="text1"/>
                <w:sz w:val="22"/>
                <w:szCs w:val="22"/>
              </w:rPr>
              <w:t>.</w:t>
            </w:r>
          </w:p>
          <w:p w14:paraId="178B61D0" w14:textId="77777777" w:rsidR="00AC71F7" w:rsidRPr="00BB34F8" w:rsidRDefault="00AC71F7" w:rsidP="00AC71F7">
            <w:pPr>
              <w:jc w:val="both"/>
              <w:rPr>
                <w:rFonts w:asciiTheme="minorHAnsi" w:hAnsiTheme="minorHAnsi"/>
                <w:color w:val="000000" w:themeColor="text1"/>
                <w:sz w:val="22"/>
                <w:szCs w:val="22"/>
              </w:rPr>
            </w:pPr>
          </w:p>
          <w:p w14:paraId="403E30A2" w14:textId="6D403950" w:rsidR="00AC71F7" w:rsidRPr="00BB34F8" w:rsidRDefault="00AC71F7" w:rsidP="00AC71F7">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 xml:space="preserve">The report of the Public Defender on the State of Emergency noted that persons under 18 were detained and kept in overcrowded and shameful conditions at the Freeport Police Station Lock Up. </w:t>
            </w:r>
          </w:p>
          <w:p w14:paraId="104A453B" w14:textId="77777777" w:rsidR="00AC71F7" w:rsidRPr="00BB34F8" w:rsidRDefault="00AC71F7" w:rsidP="00AC71F7">
            <w:pPr>
              <w:jc w:val="both"/>
              <w:rPr>
                <w:rFonts w:asciiTheme="minorHAnsi" w:hAnsiTheme="minorHAnsi"/>
                <w:color w:val="000000" w:themeColor="text1"/>
                <w:sz w:val="22"/>
                <w:szCs w:val="22"/>
              </w:rPr>
            </w:pPr>
          </w:p>
          <w:p w14:paraId="6AF9AB05" w14:textId="5DE036BB" w:rsidR="00AC71F7" w:rsidRPr="00BB34F8" w:rsidRDefault="00AC71F7" w:rsidP="00AC71F7">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In October 2018 the St. James Police Division’s statistics revealed that 7 children who were younger than fifteen year olds and 98 children between the ages of fifteen and seventeen years old had been detained during the State of Emergency.</w:t>
            </w:r>
          </w:p>
          <w:p w14:paraId="580FF021" w14:textId="77777777" w:rsidR="00AC71F7" w:rsidRPr="00BB34F8" w:rsidRDefault="00AC71F7" w:rsidP="00AC71F7">
            <w:pPr>
              <w:jc w:val="both"/>
              <w:rPr>
                <w:rFonts w:asciiTheme="minorHAnsi" w:hAnsiTheme="minorHAnsi"/>
                <w:color w:val="000000" w:themeColor="text1"/>
                <w:sz w:val="22"/>
                <w:szCs w:val="22"/>
              </w:rPr>
            </w:pPr>
          </w:p>
          <w:p w14:paraId="35FE9A73" w14:textId="2C8B5566" w:rsidR="0060471E" w:rsidRPr="00BB34F8" w:rsidRDefault="009921A0" w:rsidP="009921A0">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lang w:val="en-US"/>
              </w:rPr>
              <w:t>In a January 2018 article in the Jamaican Gleaner a parent noted that the police had picked</w:t>
            </w:r>
            <w:r w:rsidR="0002555C" w:rsidRPr="00BB34F8">
              <w:rPr>
                <w:rFonts w:asciiTheme="minorHAnsi" w:hAnsiTheme="minorHAnsi"/>
                <w:color w:val="000000" w:themeColor="text1"/>
                <w:sz w:val="22"/>
                <w:szCs w:val="22"/>
                <w:lang w:val="en-US"/>
              </w:rPr>
              <w:t xml:space="preserve"> up his 17-year-</w:t>
            </w:r>
            <w:r w:rsidRPr="00BB34F8">
              <w:rPr>
                <w:rFonts w:asciiTheme="minorHAnsi" w:hAnsiTheme="minorHAnsi"/>
                <w:color w:val="000000" w:themeColor="text1"/>
                <w:sz w:val="22"/>
                <w:szCs w:val="22"/>
                <w:lang w:val="en-US"/>
              </w:rPr>
              <w:t xml:space="preserve">old son and he was not able </w:t>
            </w:r>
            <w:r w:rsidR="0060471E" w:rsidRPr="00BB34F8">
              <w:rPr>
                <w:rFonts w:asciiTheme="minorHAnsi" w:hAnsiTheme="minorHAnsi"/>
                <w:color w:val="000000" w:themeColor="text1"/>
                <w:sz w:val="22"/>
                <w:szCs w:val="22"/>
              </w:rPr>
              <w:t xml:space="preserve">to get any information on him </w:t>
            </w:r>
            <w:r w:rsidRPr="00BB34F8">
              <w:rPr>
                <w:rFonts w:asciiTheme="minorHAnsi" w:hAnsiTheme="minorHAnsi"/>
                <w:color w:val="000000" w:themeColor="text1"/>
                <w:sz w:val="22"/>
                <w:szCs w:val="22"/>
              </w:rPr>
              <w:t>because families were not allowed any visits. He added “</w:t>
            </w:r>
            <w:r w:rsidR="0060471E" w:rsidRPr="00BB34F8">
              <w:rPr>
                <w:rFonts w:asciiTheme="minorHAnsi" w:hAnsiTheme="minorHAnsi"/>
                <w:color w:val="000000" w:themeColor="text1"/>
                <w:sz w:val="22"/>
                <w:szCs w:val="22"/>
              </w:rPr>
              <w:t>My son is not a criminal; he is a student at the Spot Valley High School, where he represe</w:t>
            </w:r>
            <w:r w:rsidRPr="00BB34F8">
              <w:rPr>
                <w:rFonts w:asciiTheme="minorHAnsi" w:hAnsiTheme="minorHAnsi"/>
                <w:color w:val="000000" w:themeColor="text1"/>
                <w:sz w:val="22"/>
                <w:szCs w:val="22"/>
              </w:rPr>
              <w:t>nts the school's football team…</w:t>
            </w:r>
            <w:r w:rsidR="0060471E" w:rsidRPr="00BB34F8">
              <w:rPr>
                <w:rFonts w:asciiTheme="minorHAnsi" w:hAnsiTheme="minorHAnsi"/>
                <w:color w:val="000000" w:themeColor="text1"/>
                <w:sz w:val="22"/>
                <w:szCs w:val="22"/>
              </w:rPr>
              <w:t>I understand that they are holding him at the lock-up at the Barrett Town Police Station and my information is that there is no water at the police station. It means he has not had a bath or ch</w:t>
            </w:r>
            <w:r w:rsidRPr="00BB34F8">
              <w:rPr>
                <w:rFonts w:asciiTheme="minorHAnsi" w:hAnsiTheme="minorHAnsi"/>
                <w:color w:val="000000" w:themeColor="text1"/>
                <w:sz w:val="22"/>
                <w:szCs w:val="22"/>
              </w:rPr>
              <w:t>ange of clothes since Saturday…”</w:t>
            </w:r>
          </w:p>
          <w:p w14:paraId="1CDC9889" w14:textId="77777777" w:rsidR="0060471E" w:rsidRPr="00BB34F8" w:rsidRDefault="0060471E" w:rsidP="009921A0">
            <w:pPr>
              <w:jc w:val="both"/>
              <w:rPr>
                <w:rFonts w:asciiTheme="minorHAnsi" w:hAnsiTheme="minorHAnsi"/>
                <w:color w:val="000000" w:themeColor="text1"/>
                <w:sz w:val="22"/>
                <w:szCs w:val="22"/>
              </w:rPr>
            </w:pPr>
          </w:p>
          <w:p w14:paraId="5B320B0A" w14:textId="634A52E6" w:rsidR="009921A0" w:rsidRPr="00BB34F8" w:rsidRDefault="009921A0" w:rsidP="009921A0">
            <w:pPr>
              <w:jc w:val="both"/>
              <w:rPr>
                <w:rFonts w:asciiTheme="minorHAnsi" w:hAnsiTheme="minorHAnsi"/>
                <w:color w:val="000000" w:themeColor="text1"/>
                <w:sz w:val="22"/>
                <w:szCs w:val="22"/>
              </w:rPr>
            </w:pPr>
            <w:r w:rsidRPr="00BB34F8">
              <w:rPr>
                <w:rFonts w:asciiTheme="minorHAnsi" w:hAnsiTheme="minorHAnsi"/>
                <w:color w:val="000000" w:themeColor="text1"/>
                <w:sz w:val="22"/>
                <w:szCs w:val="22"/>
              </w:rPr>
              <w:t>The implementation of the state of emergency as a crime fighting method has proven to be disastrous to the rig</w:t>
            </w:r>
            <w:r w:rsidR="0002555C" w:rsidRPr="00BB34F8">
              <w:rPr>
                <w:rFonts w:asciiTheme="minorHAnsi" w:hAnsiTheme="minorHAnsi"/>
                <w:color w:val="000000" w:themeColor="text1"/>
                <w:sz w:val="22"/>
                <w:szCs w:val="22"/>
              </w:rPr>
              <w:t xml:space="preserve">hts of citizens, including </w:t>
            </w:r>
            <w:r w:rsidRPr="00BB34F8">
              <w:rPr>
                <w:rFonts w:asciiTheme="minorHAnsi" w:hAnsiTheme="minorHAnsi"/>
                <w:color w:val="000000" w:themeColor="text1"/>
                <w:sz w:val="22"/>
                <w:szCs w:val="22"/>
              </w:rPr>
              <w:t>children who are being locked up and housed with adult detainees who have been picked up by the police for processing and adults who have been charged.</w:t>
            </w:r>
            <w:r w:rsidR="0002555C" w:rsidRPr="00BB34F8">
              <w:rPr>
                <w:rFonts w:asciiTheme="minorHAnsi" w:hAnsiTheme="minorHAnsi"/>
                <w:color w:val="000000" w:themeColor="text1"/>
                <w:sz w:val="22"/>
                <w:szCs w:val="22"/>
              </w:rPr>
              <w:t xml:space="preserve"> </w:t>
            </w:r>
            <w:r w:rsidRPr="00BB34F8">
              <w:rPr>
                <w:rFonts w:asciiTheme="minorHAnsi" w:hAnsiTheme="minorHAnsi"/>
                <w:color w:val="000000" w:themeColor="text1"/>
                <w:sz w:val="22"/>
                <w:szCs w:val="22"/>
              </w:rPr>
              <w:t xml:space="preserve">The lack of care for children and </w:t>
            </w:r>
            <w:r w:rsidR="0002555C" w:rsidRPr="00BB34F8">
              <w:rPr>
                <w:rFonts w:asciiTheme="minorHAnsi" w:hAnsiTheme="minorHAnsi"/>
                <w:color w:val="000000" w:themeColor="text1"/>
                <w:sz w:val="22"/>
                <w:szCs w:val="22"/>
              </w:rPr>
              <w:t xml:space="preserve">the </w:t>
            </w:r>
            <w:r w:rsidRPr="00BB34F8">
              <w:rPr>
                <w:rFonts w:asciiTheme="minorHAnsi" w:hAnsiTheme="minorHAnsi"/>
                <w:color w:val="000000" w:themeColor="text1"/>
                <w:sz w:val="22"/>
                <w:szCs w:val="22"/>
              </w:rPr>
              <w:t>long term traumatic effects which being detained in inhumane conditions may have on them is not prioritised by the State. The length and conditions of their detention have been treated with wanton disregard.</w:t>
            </w:r>
          </w:p>
          <w:p w14:paraId="229555BA" w14:textId="1F5FC6D1" w:rsidR="00510280" w:rsidRPr="00BB34F8" w:rsidRDefault="00510280" w:rsidP="00F80DA7">
            <w:pPr>
              <w:jc w:val="both"/>
              <w:rPr>
                <w:rFonts w:asciiTheme="minorHAnsi" w:hAnsiTheme="minorHAnsi"/>
                <w:color w:val="000000" w:themeColor="text1"/>
              </w:rPr>
            </w:pPr>
          </w:p>
        </w:tc>
      </w:tr>
    </w:tbl>
    <w:p w14:paraId="45713B83" w14:textId="77777777" w:rsidR="007E3409" w:rsidRPr="00533E65" w:rsidRDefault="007E3409" w:rsidP="002C7123">
      <w:pPr>
        <w:spacing w:line="360" w:lineRule="auto"/>
        <w:jc w:val="both"/>
        <w:rPr>
          <w:rFonts w:asciiTheme="minorHAnsi" w:hAnsiTheme="minorHAnsi"/>
        </w:rPr>
      </w:pPr>
    </w:p>
    <w:sectPr w:rsidR="007E3409" w:rsidRPr="00533E65" w:rsidSect="002C7123">
      <w:pgSz w:w="11900" w:h="16840"/>
      <w:pgMar w:top="1440"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B7F3A" w14:textId="77777777" w:rsidR="00502DEB" w:rsidRDefault="00502DEB" w:rsidP="00BD5D1A">
      <w:r>
        <w:separator/>
      </w:r>
    </w:p>
  </w:endnote>
  <w:endnote w:type="continuationSeparator" w:id="0">
    <w:p w14:paraId="48442FC1" w14:textId="77777777" w:rsidR="00502DEB" w:rsidRDefault="00502DEB" w:rsidP="00BD5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ucida Grande">
    <w:panose1 w:val="020B0600040502020204"/>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E1F27" w14:textId="77777777" w:rsidR="00EB598C" w:rsidRDefault="00EB598C">
    <w:pPr>
      <w:pStyle w:val="Footer"/>
    </w:pPr>
  </w:p>
  <w:p w14:paraId="14CDD5B1" w14:textId="77777777" w:rsidR="00EB598C" w:rsidRDefault="00EB598C">
    <w:pPr>
      <w:pStyle w:val="Footer"/>
    </w:pPr>
  </w:p>
  <w:p w14:paraId="378B9575" w14:textId="77777777" w:rsidR="00EB598C" w:rsidRDefault="00EB598C">
    <w:pPr>
      <w:pStyle w:val="Footer"/>
    </w:pPr>
  </w:p>
  <w:p w14:paraId="00F17F27" w14:textId="77777777" w:rsidR="00EB598C" w:rsidRDefault="00EB5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17393A" w14:textId="77777777" w:rsidR="00502DEB" w:rsidRDefault="00502DEB" w:rsidP="00BD5D1A">
      <w:r>
        <w:separator/>
      </w:r>
    </w:p>
  </w:footnote>
  <w:footnote w:type="continuationSeparator" w:id="0">
    <w:p w14:paraId="79B30C1E" w14:textId="77777777" w:rsidR="00502DEB" w:rsidRDefault="00502DEB" w:rsidP="00BD5D1A">
      <w:r>
        <w:continuationSeparator/>
      </w:r>
    </w:p>
  </w:footnote>
  <w:footnote w:id="1">
    <w:p w14:paraId="390402C4" w14:textId="4C914077" w:rsidR="00EB598C" w:rsidRPr="009B6E1E" w:rsidRDefault="00EB598C">
      <w:pPr>
        <w:pStyle w:val="FootnoteText"/>
        <w:rPr>
          <w:sz w:val="22"/>
          <w:szCs w:val="22"/>
          <w:lang w:val="en-US"/>
        </w:rPr>
      </w:pPr>
      <w:r w:rsidRPr="00EB598C">
        <w:rPr>
          <w:rStyle w:val="FootnoteReference"/>
          <w:sz w:val="22"/>
          <w:szCs w:val="22"/>
        </w:rPr>
        <w:footnoteRef/>
      </w:r>
      <w:r w:rsidRPr="00EB598C">
        <w:rPr>
          <w:sz w:val="22"/>
          <w:szCs w:val="22"/>
        </w:rPr>
        <w:t xml:space="preserve"> </w:t>
      </w:r>
      <w:r w:rsidRPr="009B6E1E">
        <w:rPr>
          <w:sz w:val="22"/>
          <w:szCs w:val="22"/>
          <w:lang w:val="en-US"/>
        </w:rPr>
        <w:t xml:space="preserve">Concluding Observations available at : </w:t>
      </w:r>
      <w:hyperlink r:id="rId1" w:history="1">
        <w:r w:rsidRPr="009B6E1E">
          <w:rPr>
            <w:rStyle w:val="Hyperlink"/>
            <w:sz w:val="22"/>
            <w:szCs w:val="22"/>
            <w:lang w:val="en-US"/>
          </w:rPr>
          <w:t>https://tbinternet.ohchr.org/_layouts/treatybodyexternal/Download.aspx?symbolno=CCPR%2fC%2fJAM%2fCO%2f4&amp;Lang=en</w:t>
        </w:r>
      </w:hyperlink>
      <w:r w:rsidRPr="009B6E1E">
        <w:rPr>
          <w:sz w:val="22"/>
          <w:szCs w:val="22"/>
          <w:lang w:val="en-US"/>
        </w:rPr>
        <w:t xml:space="preserve"> </w:t>
      </w:r>
    </w:p>
  </w:footnote>
  <w:footnote w:id="2">
    <w:p w14:paraId="51D71506" w14:textId="438F3D6A" w:rsidR="00EB598C" w:rsidRPr="009B6E1E" w:rsidRDefault="00EB598C">
      <w:pPr>
        <w:pStyle w:val="FootnoteText"/>
        <w:rPr>
          <w:lang w:val="en-US"/>
        </w:rPr>
      </w:pPr>
      <w:r w:rsidRPr="00EB598C">
        <w:rPr>
          <w:rStyle w:val="FootnoteReference"/>
          <w:sz w:val="22"/>
          <w:szCs w:val="22"/>
        </w:rPr>
        <w:footnoteRef/>
      </w:r>
      <w:r w:rsidRPr="00EB598C">
        <w:rPr>
          <w:sz w:val="22"/>
          <w:szCs w:val="22"/>
        </w:rPr>
        <w:t xml:space="preserve"> </w:t>
      </w:r>
      <w:r w:rsidRPr="009B6E1E">
        <w:rPr>
          <w:sz w:val="22"/>
          <w:szCs w:val="22"/>
          <w:lang w:val="en-US"/>
        </w:rPr>
        <w:t xml:space="preserve">State report available at : </w:t>
      </w:r>
      <w:hyperlink r:id="rId2" w:history="1">
        <w:r w:rsidRPr="009B6E1E">
          <w:rPr>
            <w:rStyle w:val="Hyperlink"/>
            <w:sz w:val="22"/>
            <w:szCs w:val="22"/>
            <w:lang w:val="en-US"/>
          </w:rPr>
          <w:t>https://tbinternet.ohchr.org/_layouts/treatybodyexternal/Download.aspx?symbolno=INT%2fCCPR%2fFCO%2fJAM%2f31882&amp;Lang=en</w:t>
        </w:r>
      </w:hyperlink>
      <w:r w:rsidRPr="009B6E1E">
        <w:rPr>
          <w:lang w:val="en-US"/>
        </w:rPr>
        <w:t xml:space="preserve"> </w:t>
      </w:r>
    </w:p>
  </w:footnote>
  <w:footnote w:id="3">
    <w:p w14:paraId="0E2DC2D8" w14:textId="506BF869" w:rsidR="00EB598C" w:rsidRPr="009B6E1E" w:rsidRDefault="00EB598C" w:rsidP="00EB598C">
      <w:pPr>
        <w:pStyle w:val="FootnoteText"/>
        <w:jc w:val="both"/>
        <w:rPr>
          <w:sz w:val="22"/>
          <w:szCs w:val="22"/>
          <w:lang w:val="en-US"/>
        </w:rPr>
      </w:pPr>
      <w:r w:rsidRPr="00EB598C">
        <w:rPr>
          <w:rStyle w:val="FootnoteReference"/>
          <w:sz w:val="22"/>
          <w:szCs w:val="22"/>
        </w:rPr>
        <w:footnoteRef/>
      </w:r>
      <w:r w:rsidRPr="00EB598C">
        <w:rPr>
          <w:sz w:val="22"/>
          <w:szCs w:val="22"/>
        </w:rPr>
        <w:t xml:space="preserve"> </w:t>
      </w:r>
      <w:r w:rsidRPr="009B6E1E">
        <w:rPr>
          <w:sz w:val="22"/>
          <w:szCs w:val="22"/>
          <w:lang w:val="en-US"/>
        </w:rPr>
        <w:t xml:space="preserve">Human Rights Committtee’s </w:t>
      </w:r>
      <w:r w:rsidRPr="00EB598C">
        <w:rPr>
          <w:sz w:val="22"/>
          <w:szCs w:val="22"/>
        </w:rPr>
        <w:t>Concluding observations on the fourth periodic report of Jamaica</w:t>
      </w:r>
      <w:r w:rsidRPr="00EB598C">
        <w:rPr>
          <w:bCs/>
          <w:sz w:val="22"/>
          <w:szCs w:val="22"/>
        </w:rPr>
        <w:t>, paragraph 25.</w:t>
      </w:r>
    </w:p>
  </w:footnote>
  <w:footnote w:id="4">
    <w:p w14:paraId="0B14DF31" w14:textId="7141BC96" w:rsidR="00EB598C" w:rsidRPr="009B6E1E" w:rsidRDefault="00EB598C">
      <w:pPr>
        <w:pStyle w:val="FootnoteText"/>
        <w:rPr>
          <w:lang w:val="en-US"/>
        </w:rPr>
      </w:pPr>
      <w:r>
        <w:rPr>
          <w:rStyle w:val="FootnoteReference"/>
        </w:rPr>
        <w:footnoteRef/>
      </w:r>
      <w:r>
        <w:t xml:space="preserve"> </w:t>
      </w:r>
      <w:r w:rsidRPr="009B6E1E">
        <w:rPr>
          <w:sz w:val="22"/>
          <w:szCs w:val="22"/>
          <w:lang w:val="en-US"/>
        </w:rPr>
        <w:t xml:space="preserve">Human Rights Committtee’s </w:t>
      </w:r>
      <w:r w:rsidRPr="00EB598C">
        <w:rPr>
          <w:sz w:val="22"/>
          <w:szCs w:val="22"/>
        </w:rPr>
        <w:t>Concluding observations on the fourth periodic report of Jamaica</w:t>
      </w:r>
      <w:r>
        <w:rPr>
          <w:bCs/>
          <w:sz w:val="22"/>
          <w:szCs w:val="22"/>
        </w:rPr>
        <w:t>, paragraph 31.</w:t>
      </w:r>
    </w:p>
  </w:footnote>
  <w:footnote w:id="5">
    <w:p w14:paraId="774DAFA1" w14:textId="22047B40" w:rsidR="00EB598C" w:rsidRPr="009B6E1E" w:rsidRDefault="00EB598C">
      <w:pPr>
        <w:pStyle w:val="FootnoteText"/>
        <w:rPr>
          <w:lang w:val="en-US"/>
        </w:rPr>
      </w:pPr>
      <w:r>
        <w:rPr>
          <w:rStyle w:val="FootnoteReference"/>
        </w:rPr>
        <w:footnoteRef/>
      </w:r>
      <w:r>
        <w:t xml:space="preserve"> </w:t>
      </w:r>
      <w:r w:rsidRPr="009B6E1E">
        <w:rPr>
          <w:sz w:val="22"/>
          <w:szCs w:val="22"/>
          <w:lang w:val="en-US"/>
        </w:rPr>
        <w:t xml:space="preserve">Human Rights Committtee’s </w:t>
      </w:r>
      <w:r w:rsidRPr="00EB598C">
        <w:rPr>
          <w:sz w:val="22"/>
          <w:szCs w:val="22"/>
        </w:rPr>
        <w:t>Concluding observations on the fourth periodic report of Jamaica</w:t>
      </w:r>
      <w:r>
        <w:rPr>
          <w:bCs/>
          <w:sz w:val="22"/>
          <w:szCs w:val="22"/>
        </w:rPr>
        <w:t>, paragraph 43</w:t>
      </w:r>
      <w:r w:rsidRPr="00EB598C">
        <w:rPr>
          <w:bCs/>
          <w:sz w:val="22"/>
          <w:szCs w:val="22"/>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4434A"/>
    <w:multiLevelType w:val="hybridMultilevel"/>
    <w:tmpl w:val="862E01EE"/>
    <w:lvl w:ilvl="0" w:tplc="6204A63C">
      <w:start w:val="1"/>
      <w:numFmt w:val="bullet"/>
      <w:lvlText w:val="•"/>
      <w:lvlJc w:val="left"/>
      <w:pPr>
        <w:tabs>
          <w:tab w:val="num" w:pos="720"/>
        </w:tabs>
        <w:ind w:left="720" w:hanging="360"/>
      </w:pPr>
      <w:rPr>
        <w:rFonts w:ascii="Arial" w:hAnsi="Arial" w:hint="default"/>
      </w:rPr>
    </w:lvl>
    <w:lvl w:ilvl="1" w:tplc="D87A622A" w:tentative="1">
      <w:start w:val="1"/>
      <w:numFmt w:val="bullet"/>
      <w:lvlText w:val="•"/>
      <w:lvlJc w:val="left"/>
      <w:pPr>
        <w:tabs>
          <w:tab w:val="num" w:pos="1440"/>
        </w:tabs>
        <w:ind w:left="1440" w:hanging="360"/>
      </w:pPr>
      <w:rPr>
        <w:rFonts w:ascii="Arial" w:hAnsi="Arial" w:hint="default"/>
      </w:rPr>
    </w:lvl>
    <w:lvl w:ilvl="2" w:tplc="734CC510" w:tentative="1">
      <w:start w:val="1"/>
      <w:numFmt w:val="bullet"/>
      <w:lvlText w:val="•"/>
      <w:lvlJc w:val="left"/>
      <w:pPr>
        <w:tabs>
          <w:tab w:val="num" w:pos="2160"/>
        </w:tabs>
        <w:ind w:left="2160" w:hanging="360"/>
      </w:pPr>
      <w:rPr>
        <w:rFonts w:ascii="Arial" w:hAnsi="Arial" w:hint="default"/>
      </w:rPr>
    </w:lvl>
    <w:lvl w:ilvl="3" w:tplc="A3FA3C1C" w:tentative="1">
      <w:start w:val="1"/>
      <w:numFmt w:val="bullet"/>
      <w:lvlText w:val="•"/>
      <w:lvlJc w:val="left"/>
      <w:pPr>
        <w:tabs>
          <w:tab w:val="num" w:pos="2880"/>
        </w:tabs>
        <w:ind w:left="2880" w:hanging="360"/>
      </w:pPr>
      <w:rPr>
        <w:rFonts w:ascii="Arial" w:hAnsi="Arial" w:hint="default"/>
      </w:rPr>
    </w:lvl>
    <w:lvl w:ilvl="4" w:tplc="9120F100" w:tentative="1">
      <w:start w:val="1"/>
      <w:numFmt w:val="bullet"/>
      <w:lvlText w:val="•"/>
      <w:lvlJc w:val="left"/>
      <w:pPr>
        <w:tabs>
          <w:tab w:val="num" w:pos="3600"/>
        </w:tabs>
        <w:ind w:left="3600" w:hanging="360"/>
      </w:pPr>
      <w:rPr>
        <w:rFonts w:ascii="Arial" w:hAnsi="Arial" w:hint="default"/>
      </w:rPr>
    </w:lvl>
    <w:lvl w:ilvl="5" w:tplc="1CAC7D52" w:tentative="1">
      <w:start w:val="1"/>
      <w:numFmt w:val="bullet"/>
      <w:lvlText w:val="•"/>
      <w:lvlJc w:val="left"/>
      <w:pPr>
        <w:tabs>
          <w:tab w:val="num" w:pos="4320"/>
        </w:tabs>
        <w:ind w:left="4320" w:hanging="360"/>
      </w:pPr>
      <w:rPr>
        <w:rFonts w:ascii="Arial" w:hAnsi="Arial" w:hint="default"/>
      </w:rPr>
    </w:lvl>
    <w:lvl w:ilvl="6" w:tplc="55E0E33C" w:tentative="1">
      <w:start w:val="1"/>
      <w:numFmt w:val="bullet"/>
      <w:lvlText w:val="•"/>
      <w:lvlJc w:val="left"/>
      <w:pPr>
        <w:tabs>
          <w:tab w:val="num" w:pos="5040"/>
        </w:tabs>
        <w:ind w:left="5040" w:hanging="360"/>
      </w:pPr>
      <w:rPr>
        <w:rFonts w:ascii="Arial" w:hAnsi="Arial" w:hint="default"/>
      </w:rPr>
    </w:lvl>
    <w:lvl w:ilvl="7" w:tplc="FA04F7A4" w:tentative="1">
      <w:start w:val="1"/>
      <w:numFmt w:val="bullet"/>
      <w:lvlText w:val="•"/>
      <w:lvlJc w:val="left"/>
      <w:pPr>
        <w:tabs>
          <w:tab w:val="num" w:pos="5760"/>
        </w:tabs>
        <w:ind w:left="5760" w:hanging="360"/>
      </w:pPr>
      <w:rPr>
        <w:rFonts w:ascii="Arial" w:hAnsi="Arial" w:hint="default"/>
      </w:rPr>
    </w:lvl>
    <w:lvl w:ilvl="8" w:tplc="030E68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650C19"/>
    <w:multiLevelType w:val="hybridMultilevel"/>
    <w:tmpl w:val="A5FC3B0C"/>
    <w:lvl w:ilvl="0" w:tplc="99CCA8FA">
      <w:start w:val="1"/>
      <w:numFmt w:val="bullet"/>
      <w:lvlText w:val="•"/>
      <w:lvlJc w:val="left"/>
      <w:pPr>
        <w:tabs>
          <w:tab w:val="num" w:pos="720"/>
        </w:tabs>
        <w:ind w:left="720" w:hanging="360"/>
      </w:pPr>
      <w:rPr>
        <w:rFonts w:ascii="Arial" w:hAnsi="Arial" w:hint="default"/>
      </w:rPr>
    </w:lvl>
    <w:lvl w:ilvl="1" w:tplc="EC1E0430" w:tentative="1">
      <w:start w:val="1"/>
      <w:numFmt w:val="bullet"/>
      <w:lvlText w:val="•"/>
      <w:lvlJc w:val="left"/>
      <w:pPr>
        <w:tabs>
          <w:tab w:val="num" w:pos="1440"/>
        </w:tabs>
        <w:ind w:left="1440" w:hanging="360"/>
      </w:pPr>
      <w:rPr>
        <w:rFonts w:ascii="Arial" w:hAnsi="Arial" w:hint="default"/>
      </w:rPr>
    </w:lvl>
    <w:lvl w:ilvl="2" w:tplc="DD0E245C" w:tentative="1">
      <w:start w:val="1"/>
      <w:numFmt w:val="bullet"/>
      <w:lvlText w:val="•"/>
      <w:lvlJc w:val="left"/>
      <w:pPr>
        <w:tabs>
          <w:tab w:val="num" w:pos="2160"/>
        </w:tabs>
        <w:ind w:left="2160" w:hanging="360"/>
      </w:pPr>
      <w:rPr>
        <w:rFonts w:ascii="Arial" w:hAnsi="Arial" w:hint="default"/>
      </w:rPr>
    </w:lvl>
    <w:lvl w:ilvl="3" w:tplc="692C46F6" w:tentative="1">
      <w:start w:val="1"/>
      <w:numFmt w:val="bullet"/>
      <w:lvlText w:val="•"/>
      <w:lvlJc w:val="left"/>
      <w:pPr>
        <w:tabs>
          <w:tab w:val="num" w:pos="2880"/>
        </w:tabs>
        <w:ind w:left="2880" w:hanging="360"/>
      </w:pPr>
      <w:rPr>
        <w:rFonts w:ascii="Arial" w:hAnsi="Arial" w:hint="default"/>
      </w:rPr>
    </w:lvl>
    <w:lvl w:ilvl="4" w:tplc="9F562B60" w:tentative="1">
      <w:start w:val="1"/>
      <w:numFmt w:val="bullet"/>
      <w:lvlText w:val="•"/>
      <w:lvlJc w:val="left"/>
      <w:pPr>
        <w:tabs>
          <w:tab w:val="num" w:pos="3600"/>
        </w:tabs>
        <w:ind w:left="3600" w:hanging="360"/>
      </w:pPr>
      <w:rPr>
        <w:rFonts w:ascii="Arial" w:hAnsi="Arial" w:hint="default"/>
      </w:rPr>
    </w:lvl>
    <w:lvl w:ilvl="5" w:tplc="798EC69C" w:tentative="1">
      <w:start w:val="1"/>
      <w:numFmt w:val="bullet"/>
      <w:lvlText w:val="•"/>
      <w:lvlJc w:val="left"/>
      <w:pPr>
        <w:tabs>
          <w:tab w:val="num" w:pos="4320"/>
        </w:tabs>
        <w:ind w:left="4320" w:hanging="360"/>
      </w:pPr>
      <w:rPr>
        <w:rFonts w:ascii="Arial" w:hAnsi="Arial" w:hint="default"/>
      </w:rPr>
    </w:lvl>
    <w:lvl w:ilvl="6" w:tplc="CF348DE2" w:tentative="1">
      <w:start w:val="1"/>
      <w:numFmt w:val="bullet"/>
      <w:lvlText w:val="•"/>
      <w:lvlJc w:val="left"/>
      <w:pPr>
        <w:tabs>
          <w:tab w:val="num" w:pos="5040"/>
        </w:tabs>
        <w:ind w:left="5040" w:hanging="360"/>
      </w:pPr>
      <w:rPr>
        <w:rFonts w:ascii="Arial" w:hAnsi="Arial" w:hint="default"/>
      </w:rPr>
    </w:lvl>
    <w:lvl w:ilvl="7" w:tplc="9C78361E" w:tentative="1">
      <w:start w:val="1"/>
      <w:numFmt w:val="bullet"/>
      <w:lvlText w:val="•"/>
      <w:lvlJc w:val="left"/>
      <w:pPr>
        <w:tabs>
          <w:tab w:val="num" w:pos="5760"/>
        </w:tabs>
        <w:ind w:left="5760" w:hanging="360"/>
      </w:pPr>
      <w:rPr>
        <w:rFonts w:ascii="Arial" w:hAnsi="Arial" w:hint="default"/>
      </w:rPr>
    </w:lvl>
    <w:lvl w:ilvl="8" w:tplc="739E18E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432679"/>
    <w:multiLevelType w:val="hybridMultilevel"/>
    <w:tmpl w:val="31EA28FC"/>
    <w:lvl w:ilvl="0" w:tplc="BA56E332">
      <w:start w:val="1"/>
      <w:numFmt w:val="bullet"/>
      <w:lvlText w:val="•"/>
      <w:lvlJc w:val="left"/>
      <w:pPr>
        <w:tabs>
          <w:tab w:val="num" w:pos="720"/>
        </w:tabs>
        <w:ind w:left="720" w:hanging="360"/>
      </w:pPr>
      <w:rPr>
        <w:rFonts w:ascii="Arial" w:hAnsi="Arial" w:hint="default"/>
      </w:rPr>
    </w:lvl>
    <w:lvl w:ilvl="1" w:tplc="97621080" w:tentative="1">
      <w:start w:val="1"/>
      <w:numFmt w:val="bullet"/>
      <w:lvlText w:val="•"/>
      <w:lvlJc w:val="left"/>
      <w:pPr>
        <w:tabs>
          <w:tab w:val="num" w:pos="1440"/>
        </w:tabs>
        <w:ind w:left="1440" w:hanging="360"/>
      </w:pPr>
      <w:rPr>
        <w:rFonts w:ascii="Arial" w:hAnsi="Arial" w:hint="default"/>
      </w:rPr>
    </w:lvl>
    <w:lvl w:ilvl="2" w:tplc="52D6677E" w:tentative="1">
      <w:start w:val="1"/>
      <w:numFmt w:val="bullet"/>
      <w:lvlText w:val="•"/>
      <w:lvlJc w:val="left"/>
      <w:pPr>
        <w:tabs>
          <w:tab w:val="num" w:pos="2160"/>
        </w:tabs>
        <w:ind w:left="2160" w:hanging="360"/>
      </w:pPr>
      <w:rPr>
        <w:rFonts w:ascii="Arial" w:hAnsi="Arial" w:hint="default"/>
      </w:rPr>
    </w:lvl>
    <w:lvl w:ilvl="3" w:tplc="DFA20190" w:tentative="1">
      <w:start w:val="1"/>
      <w:numFmt w:val="bullet"/>
      <w:lvlText w:val="•"/>
      <w:lvlJc w:val="left"/>
      <w:pPr>
        <w:tabs>
          <w:tab w:val="num" w:pos="2880"/>
        </w:tabs>
        <w:ind w:left="2880" w:hanging="360"/>
      </w:pPr>
      <w:rPr>
        <w:rFonts w:ascii="Arial" w:hAnsi="Arial" w:hint="default"/>
      </w:rPr>
    </w:lvl>
    <w:lvl w:ilvl="4" w:tplc="67129A20" w:tentative="1">
      <w:start w:val="1"/>
      <w:numFmt w:val="bullet"/>
      <w:lvlText w:val="•"/>
      <w:lvlJc w:val="left"/>
      <w:pPr>
        <w:tabs>
          <w:tab w:val="num" w:pos="3600"/>
        </w:tabs>
        <w:ind w:left="3600" w:hanging="360"/>
      </w:pPr>
      <w:rPr>
        <w:rFonts w:ascii="Arial" w:hAnsi="Arial" w:hint="default"/>
      </w:rPr>
    </w:lvl>
    <w:lvl w:ilvl="5" w:tplc="49721774" w:tentative="1">
      <w:start w:val="1"/>
      <w:numFmt w:val="bullet"/>
      <w:lvlText w:val="•"/>
      <w:lvlJc w:val="left"/>
      <w:pPr>
        <w:tabs>
          <w:tab w:val="num" w:pos="4320"/>
        </w:tabs>
        <w:ind w:left="4320" w:hanging="360"/>
      </w:pPr>
      <w:rPr>
        <w:rFonts w:ascii="Arial" w:hAnsi="Arial" w:hint="default"/>
      </w:rPr>
    </w:lvl>
    <w:lvl w:ilvl="6" w:tplc="3CD29108" w:tentative="1">
      <w:start w:val="1"/>
      <w:numFmt w:val="bullet"/>
      <w:lvlText w:val="•"/>
      <w:lvlJc w:val="left"/>
      <w:pPr>
        <w:tabs>
          <w:tab w:val="num" w:pos="5040"/>
        </w:tabs>
        <w:ind w:left="5040" w:hanging="360"/>
      </w:pPr>
      <w:rPr>
        <w:rFonts w:ascii="Arial" w:hAnsi="Arial" w:hint="default"/>
      </w:rPr>
    </w:lvl>
    <w:lvl w:ilvl="7" w:tplc="70804F80" w:tentative="1">
      <w:start w:val="1"/>
      <w:numFmt w:val="bullet"/>
      <w:lvlText w:val="•"/>
      <w:lvlJc w:val="left"/>
      <w:pPr>
        <w:tabs>
          <w:tab w:val="num" w:pos="5760"/>
        </w:tabs>
        <w:ind w:left="5760" w:hanging="360"/>
      </w:pPr>
      <w:rPr>
        <w:rFonts w:ascii="Arial" w:hAnsi="Arial" w:hint="default"/>
      </w:rPr>
    </w:lvl>
    <w:lvl w:ilvl="8" w:tplc="313C316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395221"/>
    <w:multiLevelType w:val="hybridMultilevel"/>
    <w:tmpl w:val="0C043552"/>
    <w:lvl w:ilvl="0" w:tplc="F2C89EBA">
      <w:start w:val="1"/>
      <w:numFmt w:val="bullet"/>
      <w:lvlText w:val="•"/>
      <w:lvlJc w:val="left"/>
      <w:pPr>
        <w:tabs>
          <w:tab w:val="num" w:pos="720"/>
        </w:tabs>
        <w:ind w:left="720" w:hanging="360"/>
      </w:pPr>
      <w:rPr>
        <w:rFonts w:ascii="Arial" w:hAnsi="Arial" w:hint="default"/>
      </w:rPr>
    </w:lvl>
    <w:lvl w:ilvl="1" w:tplc="B6963B8A" w:tentative="1">
      <w:start w:val="1"/>
      <w:numFmt w:val="bullet"/>
      <w:lvlText w:val="•"/>
      <w:lvlJc w:val="left"/>
      <w:pPr>
        <w:tabs>
          <w:tab w:val="num" w:pos="1440"/>
        </w:tabs>
        <w:ind w:left="1440" w:hanging="360"/>
      </w:pPr>
      <w:rPr>
        <w:rFonts w:ascii="Arial" w:hAnsi="Arial" w:hint="default"/>
      </w:rPr>
    </w:lvl>
    <w:lvl w:ilvl="2" w:tplc="7454161C" w:tentative="1">
      <w:start w:val="1"/>
      <w:numFmt w:val="bullet"/>
      <w:lvlText w:val="•"/>
      <w:lvlJc w:val="left"/>
      <w:pPr>
        <w:tabs>
          <w:tab w:val="num" w:pos="2160"/>
        </w:tabs>
        <w:ind w:left="2160" w:hanging="360"/>
      </w:pPr>
      <w:rPr>
        <w:rFonts w:ascii="Arial" w:hAnsi="Arial" w:hint="default"/>
      </w:rPr>
    </w:lvl>
    <w:lvl w:ilvl="3" w:tplc="75DE28AA" w:tentative="1">
      <w:start w:val="1"/>
      <w:numFmt w:val="bullet"/>
      <w:lvlText w:val="•"/>
      <w:lvlJc w:val="left"/>
      <w:pPr>
        <w:tabs>
          <w:tab w:val="num" w:pos="2880"/>
        </w:tabs>
        <w:ind w:left="2880" w:hanging="360"/>
      </w:pPr>
      <w:rPr>
        <w:rFonts w:ascii="Arial" w:hAnsi="Arial" w:hint="default"/>
      </w:rPr>
    </w:lvl>
    <w:lvl w:ilvl="4" w:tplc="85C8DEB6" w:tentative="1">
      <w:start w:val="1"/>
      <w:numFmt w:val="bullet"/>
      <w:lvlText w:val="•"/>
      <w:lvlJc w:val="left"/>
      <w:pPr>
        <w:tabs>
          <w:tab w:val="num" w:pos="3600"/>
        </w:tabs>
        <w:ind w:left="3600" w:hanging="360"/>
      </w:pPr>
      <w:rPr>
        <w:rFonts w:ascii="Arial" w:hAnsi="Arial" w:hint="default"/>
      </w:rPr>
    </w:lvl>
    <w:lvl w:ilvl="5" w:tplc="A0C2AD2C" w:tentative="1">
      <w:start w:val="1"/>
      <w:numFmt w:val="bullet"/>
      <w:lvlText w:val="•"/>
      <w:lvlJc w:val="left"/>
      <w:pPr>
        <w:tabs>
          <w:tab w:val="num" w:pos="4320"/>
        </w:tabs>
        <w:ind w:left="4320" w:hanging="360"/>
      </w:pPr>
      <w:rPr>
        <w:rFonts w:ascii="Arial" w:hAnsi="Arial" w:hint="default"/>
      </w:rPr>
    </w:lvl>
    <w:lvl w:ilvl="6" w:tplc="FD4C171E" w:tentative="1">
      <w:start w:val="1"/>
      <w:numFmt w:val="bullet"/>
      <w:lvlText w:val="•"/>
      <w:lvlJc w:val="left"/>
      <w:pPr>
        <w:tabs>
          <w:tab w:val="num" w:pos="5040"/>
        </w:tabs>
        <w:ind w:left="5040" w:hanging="360"/>
      </w:pPr>
      <w:rPr>
        <w:rFonts w:ascii="Arial" w:hAnsi="Arial" w:hint="default"/>
      </w:rPr>
    </w:lvl>
    <w:lvl w:ilvl="7" w:tplc="5FDC0250" w:tentative="1">
      <w:start w:val="1"/>
      <w:numFmt w:val="bullet"/>
      <w:lvlText w:val="•"/>
      <w:lvlJc w:val="left"/>
      <w:pPr>
        <w:tabs>
          <w:tab w:val="num" w:pos="5760"/>
        </w:tabs>
        <w:ind w:left="5760" w:hanging="360"/>
      </w:pPr>
      <w:rPr>
        <w:rFonts w:ascii="Arial" w:hAnsi="Arial" w:hint="default"/>
      </w:rPr>
    </w:lvl>
    <w:lvl w:ilvl="8" w:tplc="0CA0A32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7B077CF"/>
    <w:multiLevelType w:val="hybridMultilevel"/>
    <w:tmpl w:val="320C7C54"/>
    <w:lvl w:ilvl="0" w:tplc="1FB258B0">
      <w:start w:val="1"/>
      <w:numFmt w:val="bullet"/>
      <w:lvlText w:val="•"/>
      <w:lvlJc w:val="left"/>
      <w:pPr>
        <w:tabs>
          <w:tab w:val="num" w:pos="720"/>
        </w:tabs>
        <w:ind w:left="720" w:hanging="360"/>
      </w:pPr>
      <w:rPr>
        <w:rFonts w:ascii="Arial" w:hAnsi="Arial" w:hint="default"/>
      </w:rPr>
    </w:lvl>
    <w:lvl w:ilvl="1" w:tplc="B3648500" w:tentative="1">
      <w:start w:val="1"/>
      <w:numFmt w:val="bullet"/>
      <w:lvlText w:val="•"/>
      <w:lvlJc w:val="left"/>
      <w:pPr>
        <w:tabs>
          <w:tab w:val="num" w:pos="1440"/>
        </w:tabs>
        <w:ind w:left="1440" w:hanging="360"/>
      </w:pPr>
      <w:rPr>
        <w:rFonts w:ascii="Arial" w:hAnsi="Arial" w:hint="default"/>
      </w:rPr>
    </w:lvl>
    <w:lvl w:ilvl="2" w:tplc="C4CA2FC8" w:tentative="1">
      <w:start w:val="1"/>
      <w:numFmt w:val="bullet"/>
      <w:lvlText w:val="•"/>
      <w:lvlJc w:val="left"/>
      <w:pPr>
        <w:tabs>
          <w:tab w:val="num" w:pos="2160"/>
        </w:tabs>
        <w:ind w:left="2160" w:hanging="360"/>
      </w:pPr>
      <w:rPr>
        <w:rFonts w:ascii="Arial" w:hAnsi="Arial" w:hint="default"/>
      </w:rPr>
    </w:lvl>
    <w:lvl w:ilvl="3" w:tplc="863E5710" w:tentative="1">
      <w:start w:val="1"/>
      <w:numFmt w:val="bullet"/>
      <w:lvlText w:val="•"/>
      <w:lvlJc w:val="left"/>
      <w:pPr>
        <w:tabs>
          <w:tab w:val="num" w:pos="2880"/>
        </w:tabs>
        <w:ind w:left="2880" w:hanging="360"/>
      </w:pPr>
      <w:rPr>
        <w:rFonts w:ascii="Arial" w:hAnsi="Arial" w:hint="default"/>
      </w:rPr>
    </w:lvl>
    <w:lvl w:ilvl="4" w:tplc="83E08ECA" w:tentative="1">
      <w:start w:val="1"/>
      <w:numFmt w:val="bullet"/>
      <w:lvlText w:val="•"/>
      <w:lvlJc w:val="left"/>
      <w:pPr>
        <w:tabs>
          <w:tab w:val="num" w:pos="3600"/>
        </w:tabs>
        <w:ind w:left="3600" w:hanging="360"/>
      </w:pPr>
      <w:rPr>
        <w:rFonts w:ascii="Arial" w:hAnsi="Arial" w:hint="default"/>
      </w:rPr>
    </w:lvl>
    <w:lvl w:ilvl="5" w:tplc="5450F4DE" w:tentative="1">
      <w:start w:val="1"/>
      <w:numFmt w:val="bullet"/>
      <w:lvlText w:val="•"/>
      <w:lvlJc w:val="left"/>
      <w:pPr>
        <w:tabs>
          <w:tab w:val="num" w:pos="4320"/>
        </w:tabs>
        <w:ind w:left="4320" w:hanging="360"/>
      </w:pPr>
      <w:rPr>
        <w:rFonts w:ascii="Arial" w:hAnsi="Arial" w:hint="default"/>
      </w:rPr>
    </w:lvl>
    <w:lvl w:ilvl="6" w:tplc="B3403CC6" w:tentative="1">
      <w:start w:val="1"/>
      <w:numFmt w:val="bullet"/>
      <w:lvlText w:val="•"/>
      <w:lvlJc w:val="left"/>
      <w:pPr>
        <w:tabs>
          <w:tab w:val="num" w:pos="5040"/>
        </w:tabs>
        <w:ind w:left="5040" w:hanging="360"/>
      </w:pPr>
      <w:rPr>
        <w:rFonts w:ascii="Arial" w:hAnsi="Arial" w:hint="default"/>
      </w:rPr>
    </w:lvl>
    <w:lvl w:ilvl="7" w:tplc="07D25B1C" w:tentative="1">
      <w:start w:val="1"/>
      <w:numFmt w:val="bullet"/>
      <w:lvlText w:val="•"/>
      <w:lvlJc w:val="left"/>
      <w:pPr>
        <w:tabs>
          <w:tab w:val="num" w:pos="5760"/>
        </w:tabs>
        <w:ind w:left="5760" w:hanging="360"/>
      </w:pPr>
      <w:rPr>
        <w:rFonts w:ascii="Arial" w:hAnsi="Arial" w:hint="default"/>
      </w:rPr>
    </w:lvl>
    <w:lvl w:ilvl="8" w:tplc="CCD0F4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146A31"/>
    <w:multiLevelType w:val="hybridMultilevel"/>
    <w:tmpl w:val="328C7204"/>
    <w:lvl w:ilvl="0" w:tplc="92D6A3B6">
      <w:start w:val="1"/>
      <w:numFmt w:val="bullet"/>
      <w:lvlText w:val="•"/>
      <w:lvlJc w:val="left"/>
      <w:pPr>
        <w:tabs>
          <w:tab w:val="num" w:pos="720"/>
        </w:tabs>
        <w:ind w:left="720" w:hanging="360"/>
      </w:pPr>
      <w:rPr>
        <w:rFonts w:ascii="Arial" w:hAnsi="Arial" w:hint="default"/>
      </w:rPr>
    </w:lvl>
    <w:lvl w:ilvl="1" w:tplc="075A6EEA" w:tentative="1">
      <w:start w:val="1"/>
      <w:numFmt w:val="bullet"/>
      <w:lvlText w:val="•"/>
      <w:lvlJc w:val="left"/>
      <w:pPr>
        <w:tabs>
          <w:tab w:val="num" w:pos="1440"/>
        </w:tabs>
        <w:ind w:left="1440" w:hanging="360"/>
      </w:pPr>
      <w:rPr>
        <w:rFonts w:ascii="Arial" w:hAnsi="Arial" w:hint="default"/>
      </w:rPr>
    </w:lvl>
    <w:lvl w:ilvl="2" w:tplc="8AECFB3E" w:tentative="1">
      <w:start w:val="1"/>
      <w:numFmt w:val="bullet"/>
      <w:lvlText w:val="•"/>
      <w:lvlJc w:val="left"/>
      <w:pPr>
        <w:tabs>
          <w:tab w:val="num" w:pos="2160"/>
        </w:tabs>
        <w:ind w:left="2160" w:hanging="360"/>
      </w:pPr>
      <w:rPr>
        <w:rFonts w:ascii="Arial" w:hAnsi="Arial" w:hint="default"/>
      </w:rPr>
    </w:lvl>
    <w:lvl w:ilvl="3" w:tplc="2D4AFFA0" w:tentative="1">
      <w:start w:val="1"/>
      <w:numFmt w:val="bullet"/>
      <w:lvlText w:val="•"/>
      <w:lvlJc w:val="left"/>
      <w:pPr>
        <w:tabs>
          <w:tab w:val="num" w:pos="2880"/>
        </w:tabs>
        <w:ind w:left="2880" w:hanging="360"/>
      </w:pPr>
      <w:rPr>
        <w:rFonts w:ascii="Arial" w:hAnsi="Arial" w:hint="default"/>
      </w:rPr>
    </w:lvl>
    <w:lvl w:ilvl="4" w:tplc="3034806A" w:tentative="1">
      <w:start w:val="1"/>
      <w:numFmt w:val="bullet"/>
      <w:lvlText w:val="•"/>
      <w:lvlJc w:val="left"/>
      <w:pPr>
        <w:tabs>
          <w:tab w:val="num" w:pos="3600"/>
        </w:tabs>
        <w:ind w:left="3600" w:hanging="360"/>
      </w:pPr>
      <w:rPr>
        <w:rFonts w:ascii="Arial" w:hAnsi="Arial" w:hint="default"/>
      </w:rPr>
    </w:lvl>
    <w:lvl w:ilvl="5" w:tplc="C4626770" w:tentative="1">
      <w:start w:val="1"/>
      <w:numFmt w:val="bullet"/>
      <w:lvlText w:val="•"/>
      <w:lvlJc w:val="left"/>
      <w:pPr>
        <w:tabs>
          <w:tab w:val="num" w:pos="4320"/>
        </w:tabs>
        <w:ind w:left="4320" w:hanging="360"/>
      </w:pPr>
      <w:rPr>
        <w:rFonts w:ascii="Arial" w:hAnsi="Arial" w:hint="default"/>
      </w:rPr>
    </w:lvl>
    <w:lvl w:ilvl="6" w:tplc="C8B6769E" w:tentative="1">
      <w:start w:val="1"/>
      <w:numFmt w:val="bullet"/>
      <w:lvlText w:val="•"/>
      <w:lvlJc w:val="left"/>
      <w:pPr>
        <w:tabs>
          <w:tab w:val="num" w:pos="5040"/>
        </w:tabs>
        <w:ind w:left="5040" w:hanging="360"/>
      </w:pPr>
      <w:rPr>
        <w:rFonts w:ascii="Arial" w:hAnsi="Arial" w:hint="default"/>
      </w:rPr>
    </w:lvl>
    <w:lvl w:ilvl="7" w:tplc="FE3007AE" w:tentative="1">
      <w:start w:val="1"/>
      <w:numFmt w:val="bullet"/>
      <w:lvlText w:val="•"/>
      <w:lvlJc w:val="left"/>
      <w:pPr>
        <w:tabs>
          <w:tab w:val="num" w:pos="5760"/>
        </w:tabs>
        <w:ind w:left="5760" w:hanging="360"/>
      </w:pPr>
      <w:rPr>
        <w:rFonts w:ascii="Arial" w:hAnsi="Arial" w:hint="default"/>
      </w:rPr>
    </w:lvl>
    <w:lvl w:ilvl="8" w:tplc="085C1A0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902E95"/>
    <w:multiLevelType w:val="hybridMultilevel"/>
    <w:tmpl w:val="A1188F32"/>
    <w:lvl w:ilvl="0" w:tplc="0506285C">
      <w:start w:val="1"/>
      <w:numFmt w:val="bullet"/>
      <w:lvlText w:val="•"/>
      <w:lvlJc w:val="left"/>
      <w:pPr>
        <w:tabs>
          <w:tab w:val="num" w:pos="720"/>
        </w:tabs>
        <w:ind w:left="720" w:hanging="360"/>
      </w:pPr>
      <w:rPr>
        <w:rFonts w:ascii="Arial" w:hAnsi="Arial" w:hint="default"/>
      </w:rPr>
    </w:lvl>
    <w:lvl w:ilvl="1" w:tplc="AD0ACB82" w:tentative="1">
      <w:start w:val="1"/>
      <w:numFmt w:val="bullet"/>
      <w:lvlText w:val="•"/>
      <w:lvlJc w:val="left"/>
      <w:pPr>
        <w:tabs>
          <w:tab w:val="num" w:pos="1440"/>
        </w:tabs>
        <w:ind w:left="1440" w:hanging="360"/>
      </w:pPr>
      <w:rPr>
        <w:rFonts w:ascii="Arial" w:hAnsi="Arial" w:hint="default"/>
      </w:rPr>
    </w:lvl>
    <w:lvl w:ilvl="2" w:tplc="F51E27C6" w:tentative="1">
      <w:start w:val="1"/>
      <w:numFmt w:val="bullet"/>
      <w:lvlText w:val="•"/>
      <w:lvlJc w:val="left"/>
      <w:pPr>
        <w:tabs>
          <w:tab w:val="num" w:pos="2160"/>
        </w:tabs>
        <w:ind w:left="2160" w:hanging="360"/>
      </w:pPr>
      <w:rPr>
        <w:rFonts w:ascii="Arial" w:hAnsi="Arial" w:hint="default"/>
      </w:rPr>
    </w:lvl>
    <w:lvl w:ilvl="3" w:tplc="4B403FAC" w:tentative="1">
      <w:start w:val="1"/>
      <w:numFmt w:val="bullet"/>
      <w:lvlText w:val="•"/>
      <w:lvlJc w:val="left"/>
      <w:pPr>
        <w:tabs>
          <w:tab w:val="num" w:pos="2880"/>
        </w:tabs>
        <w:ind w:left="2880" w:hanging="360"/>
      </w:pPr>
      <w:rPr>
        <w:rFonts w:ascii="Arial" w:hAnsi="Arial" w:hint="default"/>
      </w:rPr>
    </w:lvl>
    <w:lvl w:ilvl="4" w:tplc="100CD8F0" w:tentative="1">
      <w:start w:val="1"/>
      <w:numFmt w:val="bullet"/>
      <w:lvlText w:val="•"/>
      <w:lvlJc w:val="left"/>
      <w:pPr>
        <w:tabs>
          <w:tab w:val="num" w:pos="3600"/>
        </w:tabs>
        <w:ind w:left="3600" w:hanging="360"/>
      </w:pPr>
      <w:rPr>
        <w:rFonts w:ascii="Arial" w:hAnsi="Arial" w:hint="default"/>
      </w:rPr>
    </w:lvl>
    <w:lvl w:ilvl="5" w:tplc="E7E27CFC" w:tentative="1">
      <w:start w:val="1"/>
      <w:numFmt w:val="bullet"/>
      <w:lvlText w:val="•"/>
      <w:lvlJc w:val="left"/>
      <w:pPr>
        <w:tabs>
          <w:tab w:val="num" w:pos="4320"/>
        </w:tabs>
        <w:ind w:left="4320" w:hanging="360"/>
      </w:pPr>
      <w:rPr>
        <w:rFonts w:ascii="Arial" w:hAnsi="Arial" w:hint="default"/>
      </w:rPr>
    </w:lvl>
    <w:lvl w:ilvl="6" w:tplc="4AA86E44" w:tentative="1">
      <w:start w:val="1"/>
      <w:numFmt w:val="bullet"/>
      <w:lvlText w:val="•"/>
      <w:lvlJc w:val="left"/>
      <w:pPr>
        <w:tabs>
          <w:tab w:val="num" w:pos="5040"/>
        </w:tabs>
        <w:ind w:left="5040" w:hanging="360"/>
      </w:pPr>
      <w:rPr>
        <w:rFonts w:ascii="Arial" w:hAnsi="Arial" w:hint="default"/>
      </w:rPr>
    </w:lvl>
    <w:lvl w:ilvl="7" w:tplc="80EE8B82" w:tentative="1">
      <w:start w:val="1"/>
      <w:numFmt w:val="bullet"/>
      <w:lvlText w:val="•"/>
      <w:lvlJc w:val="left"/>
      <w:pPr>
        <w:tabs>
          <w:tab w:val="num" w:pos="5760"/>
        </w:tabs>
        <w:ind w:left="5760" w:hanging="360"/>
      </w:pPr>
      <w:rPr>
        <w:rFonts w:ascii="Arial" w:hAnsi="Arial" w:hint="default"/>
      </w:rPr>
    </w:lvl>
    <w:lvl w:ilvl="8" w:tplc="74F0A9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D005BDC"/>
    <w:multiLevelType w:val="hybridMultilevel"/>
    <w:tmpl w:val="A48AB1A6"/>
    <w:lvl w:ilvl="0" w:tplc="AF5C0A8E">
      <w:start w:val="1"/>
      <w:numFmt w:val="bullet"/>
      <w:lvlText w:val="•"/>
      <w:lvlJc w:val="left"/>
      <w:pPr>
        <w:tabs>
          <w:tab w:val="num" w:pos="720"/>
        </w:tabs>
        <w:ind w:left="720" w:hanging="360"/>
      </w:pPr>
      <w:rPr>
        <w:rFonts w:ascii="Arial" w:hAnsi="Arial" w:hint="default"/>
      </w:rPr>
    </w:lvl>
    <w:lvl w:ilvl="1" w:tplc="3F3C3A46" w:tentative="1">
      <w:start w:val="1"/>
      <w:numFmt w:val="bullet"/>
      <w:lvlText w:val="•"/>
      <w:lvlJc w:val="left"/>
      <w:pPr>
        <w:tabs>
          <w:tab w:val="num" w:pos="1440"/>
        </w:tabs>
        <w:ind w:left="1440" w:hanging="360"/>
      </w:pPr>
      <w:rPr>
        <w:rFonts w:ascii="Arial" w:hAnsi="Arial" w:hint="default"/>
      </w:rPr>
    </w:lvl>
    <w:lvl w:ilvl="2" w:tplc="F550B8F6" w:tentative="1">
      <w:start w:val="1"/>
      <w:numFmt w:val="bullet"/>
      <w:lvlText w:val="•"/>
      <w:lvlJc w:val="left"/>
      <w:pPr>
        <w:tabs>
          <w:tab w:val="num" w:pos="2160"/>
        </w:tabs>
        <w:ind w:left="2160" w:hanging="360"/>
      </w:pPr>
      <w:rPr>
        <w:rFonts w:ascii="Arial" w:hAnsi="Arial" w:hint="default"/>
      </w:rPr>
    </w:lvl>
    <w:lvl w:ilvl="3" w:tplc="63621230" w:tentative="1">
      <w:start w:val="1"/>
      <w:numFmt w:val="bullet"/>
      <w:lvlText w:val="•"/>
      <w:lvlJc w:val="left"/>
      <w:pPr>
        <w:tabs>
          <w:tab w:val="num" w:pos="2880"/>
        </w:tabs>
        <w:ind w:left="2880" w:hanging="360"/>
      </w:pPr>
      <w:rPr>
        <w:rFonts w:ascii="Arial" w:hAnsi="Arial" w:hint="default"/>
      </w:rPr>
    </w:lvl>
    <w:lvl w:ilvl="4" w:tplc="33546E00" w:tentative="1">
      <w:start w:val="1"/>
      <w:numFmt w:val="bullet"/>
      <w:lvlText w:val="•"/>
      <w:lvlJc w:val="left"/>
      <w:pPr>
        <w:tabs>
          <w:tab w:val="num" w:pos="3600"/>
        </w:tabs>
        <w:ind w:left="3600" w:hanging="360"/>
      </w:pPr>
      <w:rPr>
        <w:rFonts w:ascii="Arial" w:hAnsi="Arial" w:hint="default"/>
      </w:rPr>
    </w:lvl>
    <w:lvl w:ilvl="5" w:tplc="72209046" w:tentative="1">
      <w:start w:val="1"/>
      <w:numFmt w:val="bullet"/>
      <w:lvlText w:val="•"/>
      <w:lvlJc w:val="left"/>
      <w:pPr>
        <w:tabs>
          <w:tab w:val="num" w:pos="4320"/>
        </w:tabs>
        <w:ind w:left="4320" w:hanging="360"/>
      </w:pPr>
      <w:rPr>
        <w:rFonts w:ascii="Arial" w:hAnsi="Arial" w:hint="default"/>
      </w:rPr>
    </w:lvl>
    <w:lvl w:ilvl="6" w:tplc="4C000416" w:tentative="1">
      <w:start w:val="1"/>
      <w:numFmt w:val="bullet"/>
      <w:lvlText w:val="•"/>
      <w:lvlJc w:val="left"/>
      <w:pPr>
        <w:tabs>
          <w:tab w:val="num" w:pos="5040"/>
        </w:tabs>
        <w:ind w:left="5040" w:hanging="360"/>
      </w:pPr>
      <w:rPr>
        <w:rFonts w:ascii="Arial" w:hAnsi="Arial" w:hint="default"/>
      </w:rPr>
    </w:lvl>
    <w:lvl w:ilvl="7" w:tplc="020E0D14" w:tentative="1">
      <w:start w:val="1"/>
      <w:numFmt w:val="bullet"/>
      <w:lvlText w:val="•"/>
      <w:lvlJc w:val="left"/>
      <w:pPr>
        <w:tabs>
          <w:tab w:val="num" w:pos="5760"/>
        </w:tabs>
        <w:ind w:left="5760" w:hanging="360"/>
      </w:pPr>
      <w:rPr>
        <w:rFonts w:ascii="Arial" w:hAnsi="Arial" w:hint="default"/>
      </w:rPr>
    </w:lvl>
    <w:lvl w:ilvl="8" w:tplc="29F0210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1644F23"/>
    <w:multiLevelType w:val="hybridMultilevel"/>
    <w:tmpl w:val="63EE23FE"/>
    <w:lvl w:ilvl="0" w:tplc="22FA188C">
      <w:start w:val="1"/>
      <w:numFmt w:val="bullet"/>
      <w:lvlText w:val="•"/>
      <w:lvlJc w:val="left"/>
      <w:pPr>
        <w:tabs>
          <w:tab w:val="num" w:pos="720"/>
        </w:tabs>
        <w:ind w:left="720" w:hanging="360"/>
      </w:pPr>
      <w:rPr>
        <w:rFonts w:ascii="Arial" w:hAnsi="Arial" w:hint="default"/>
      </w:rPr>
    </w:lvl>
    <w:lvl w:ilvl="1" w:tplc="35BE2326" w:tentative="1">
      <w:start w:val="1"/>
      <w:numFmt w:val="bullet"/>
      <w:lvlText w:val="•"/>
      <w:lvlJc w:val="left"/>
      <w:pPr>
        <w:tabs>
          <w:tab w:val="num" w:pos="1440"/>
        </w:tabs>
        <w:ind w:left="1440" w:hanging="360"/>
      </w:pPr>
      <w:rPr>
        <w:rFonts w:ascii="Arial" w:hAnsi="Arial" w:hint="default"/>
      </w:rPr>
    </w:lvl>
    <w:lvl w:ilvl="2" w:tplc="F5D226DA" w:tentative="1">
      <w:start w:val="1"/>
      <w:numFmt w:val="bullet"/>
      <w:lvlText w:val="•"/>
      <w:lvlJc w:val="left"/>
      <w:pPr>
        <w:tabs>
          <w:tab w:val="num" w:pos="2160"/>
        </w:tabs>
        <w:ind w:left="2160" w:hanging="360"/>
      </w:pPr>
      <w:rPr>
        <w:rFonts w:ascii="Arial" w:hAnsi="Arial" w:hint="default"/>
      </w:rPr>
    </w:lvl>
    <w:lvl w:ilvl="3" w:tplc="E71CB61E" w:tentative="1">
      <w:start w:val="1"/>
      <w:numFmt w:val="bullet"/>
      <w:lvlText w:val="•"/>
      <w:lvlJc w:val="left"/>
      <w:pPr>
        <w:tabs>
          <w:tab w:val="num" w:pos="2880"/>
        </w:tabs>
        <w:ind w:left="2880" w:hanging="360"/>
      </w:pPr>
      <w:rPr>
        <w:rFonts w:ascii="Arial" w:hAnsi="Arial" w:hint="default"/>
      </w:rPr>
    </w:lvl>
    <w:lvl w:ilvl="4" w:tplc="166A3788" w:tentative="1">
      <w:start w:val="1"/>
      <w:numFmt w:val="bullet"/>
      <w:lvlText w:val="•"/>
      <w:lvlJc w:val="left"/>
      <w:pPr>
        <w:tabs>
          <w:tab w:val="num" w:pos="3600"/>
        </w:tabs>
        <w:ind w:left="3600" w:hanging="360"/>
      </w:pPr>
      <w:rPr>
        <w:rFonts w:ascii="Arial" w:hAnsi="Arial" w:hint="default"/>
      </w:rPr>
    </w:lvl>
    <w:lvl w:ilvl="5" w:tplc="CCB49EAE" w:tentative="1">
      <w:start w:val="1"/>
      <w:numFmt w:val="bullet"/>
      <w:lvlText w:val="•"/>
      <w:lvlJc w:val="left"/>
      <w:pPr>
        <w:tabs>
          <w:tab w:val="num" w:pos="4320"/>
        </w:tabs>
        <w:ind w:left="4320" w:hanging="360"/>
      </w:pPr>
      <w:rPr>
        <w:rFonts w:ascii="Arial" w:hAnsi="Arial" w:hint="default"/>
      </w:rPr>
    </w:lvl>
    <w:lvl w:ilvl="6" w:tplc="000C1772" w:tentative="1">
      <w:start w:val="1"/>
      <w:numFmt w:val="bullet"/>
      <w:lvlText w:val="•"/>
      <w:lvlJc w:val="left"/>
      <w:pPr>
        <w:tabs>
          <w:tab w:val="num" w:pos="5040"/>
        </w:tabs>
        <w:ind w:left="5040" w:hanging="360"/>
      </w:pPr>
      <w:rPr>
        <w:rFonts w:ascii="Arial" w:hAnsi="Arial" w:hint="default"/>
      </w:rPr>
    </w:lvl>
    <w:lvl w:ilvl="7" w:tplc="DC9CCF4C" w:tentative="1">
      <w:start w:val="1"/>
      <w:numFmt w:val="bullet"/>
      <w:lvlText w:val="•"/>
      <w:lvlJc w:val="left"/>
      <w:pPr>
        <w:tabs>
          <w:tab w:val="num" w:pos="5760"/>
        </w:tabs>
        <w:ind w:left="5760" w:hanging="360"/>
      </w:pPr>
      <w:rPr>
        <w:rFonts w:ascii="Arial" w:hAnsi="Arial" w:hint="default"/>
      </w:rPr>
    </w:lvl>
    <w:lvl w:ilvl="8" w:tplc="1200D51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7BE01B9"/>
    <w:multiLevelType w:val="hybridMultilevel"/>
    <w:tmpl w:val="9FA05316"/>
    <w:lvl w:ilvl="0" w:tplc="CD3AC412">
      <w:start w:val="1"/>
      <w:numFmt w:val="bullet"/>
      <w:lvlText w:val="•"/>
      <w:lvlJc w:val="left"/>
      <w:pPr>
        <w:tabs>
          <w:tab w:val="num" w:pos="720"/>
        </w:tabs>
        <w:ind w:left="720" w:hanging="360"/>
      </w:pPr>
      <w:rPr>
        <w:rFonts w:ascii="Arial" w:hAnsi="Arial" w:hint="default"/>
      </w:rPr>
    </w:lvl>
    <w:lvl w:ilvl="1" w:tplc="A3D259FA" w:tentative="1">
      <w:start w:val="1"/>
      <w:numFmt w:val="bullet"/>
      <w:lvlText w:val="•"/>
      <w:lvlJc w:val="left"/>
      <w:pPr>
        <w:tabs>
          <w:tab w:val="num" w:pos="1440"/>
        </w:tabs>
        <w:ind w:left="1440" w:hanging="360"/>
      </w:pPr>
      <w:rPr>
        <w:rFonts w:ascii="Arial" w:hAnsi="Arial" w:hint="default"/>
      </w:rPr>
    </w:lvl>
    <w:lvl w:ilvl="2" w:tplc="4C329660" w:tentative="1">
      <w:start w:val="1"/>
      <w:numFmt w:val="bullet"/>
      <w:lvlText w:val="•"/>
      <w:lvlJc w:val="left"/>
      <w:pPr>
        <w:tabs>
          <w:tab w:val="num" w:pos="2160"/>
        </w:tabs>
        <w:ind w:left="2160" w:hanging="360"/>
      </w:pPr>
      <w:rPr>
        <w:rFonts w:ascii="Arial" w:hAnsi="Arial" w:hint="default"/>
      </w:rPr>
    </w:lvl>
    <w:lvl w:ilvl="3" w:tplc="46C8F93A" w:tentative="1">
      <w:start w:val="1"/>
      <w:numFmt w:val="bullet"/>
      <w:lvlText w:val="•"/>
      <w:lvlJc w:val="left"/>
      <w:pPr>
        <w:tabs>
          <w:tab w:val="num" w:pos="2880"/>
        </w:tabs>
        <w:ind w:left="2880" w:hanging="360"/>
      </w:pPr>
      <w:rPr>
        <w:rFonts w:ascii="Arial" w:hAnsi="Arial" w:hint="default"/>
      </w:rPr>
    </w:lvl>
    <w:lvl w:ilvl="4" w:tplc="D27C8DA6" w:tentative="1">
      <w:start w:val="1"/>
      <w:numFmt w:val="bullet"/>
      <w:lvlText w:val="•"/>
      <w:lvlJc w:val="left"/>
      <w:pPr>
        <w:tabs>
          <w:tab w:val="num" w:pos="3600"/>
        </w:tabs>
        <w:ind w:left="3600" w:hanging="360"/>
      </w:pPr>
      <w:rPr>
        <w:rFonts w:ascii="Arial" w:hAnsi="Arial" w:hint="default"/>
      </w:rPr>
    </w:lvl>
    <w:lvl w:ilvl="5" w:tplc="79F40116" w:tentative="1">
      <w:start w:val="1"/>
      <w:numFmt w:val="bullet"/>
      <w:lvlText w:val="•"/>
      <w:lvlJc w:val="left"/>
      <w:pPr>
        <w:tabs>
          <w:tab w:val="num" w:pos="4320"/>
        </w:tabs>
        <w:ind w:left="4320" w:hanging="360"/>
      </w:pPr>
      <w:rPr>
        <w:rFonts w:ascii="Arial" w:hAnsi="Arial" w:hint="default"/>
      </w:rPr>
    </w:lvl>
    <w:lvl w:ilvl="6" w:tplc="24B485A8" w:tentative="1">
      <w:start w:val="1"/>
      <w:numFmt w:val="bullet"/>
      <w:lvlText w:val="•"/>
      <w:lvlJc w:val="left"/>
      <w:pPr>
        <w:tabs>
          <w:tab w:val="num" w:pos="5040"/>
        </w:tabs>
        <w:ind w:left="5040" w:hanging="360"/>
      </w:pPr>
      <w:rPr>
        <w:rFonts w:ascii="Arial" w:hAnsi="Arial" w:hint="default"/>
      </w:rPr>
    </w:lvl>
    <w:lvl w:ilvl="7" w:tplc="F7BA2B6A" w:tentative="1">
      <w:start w:val="1"/>
      <w:numFmt w:val="bullet"/>
      <w:lvlText w:val="•"/>
      <w:lvlJc w:val="left"/>
      <w:pPr>
        <w:tabs>
          <w:tab w:val="num" w:pos="5760"/>
        </w:tabs>
        <w:ind w:left="5760" w:hanging="360"/>
      </w:pPr>
      <w:rPr>
        <w:rFonts w:ascii="Arial" w:hAnsi="Arial" w:hint="default"/>
      </w:rPr>
    </w:lvl>
    <w:lvl w:ilvl="8" w:tplc="ED1AC26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4243514"/>
    <w:multiLevelType w:val="hybridMultilevel"/>
    <w:tmpl w:val="32F2D28E"/>
    <w:lvl w:ilvl="0" w:tplc="39864696">
      <w:start w:val="1"/>
      <w:numFmt w:val="upperRoman"/>
      <w:pStyle w:val="Heading1"/>
      <w:lvlText w:val="%1."/>
      <w:lvlJc w:val="left"/>
      <w:pPr>
        <w:ind w:left="1440" w:hanging="72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15:restartNumberingAfterBreak="0">
    <w:nsid w:val="60A44866"/>
    <w:multiLevelType w:val="hybridMultilevel"/>
    <w:tmpl w:val="775C68C2"/>
    <w:lvl w:ilvl="0" w:tplc="446C49C4">
      <w:start w:val="1"/>
      <w:numFmt w:val="bullet"/>
      <w:lvlText w:val="•"/>
      <w:lvlJc w:val="left"/>
      <w:pPr>
        <w:tabs>
          <w:tab w:val="num" w:pos="720"/>
        </w:tabs>
        <w:ind w:left="720" w:hanging="360"/>
      </w:pPr>
      <w:rPr>
        <w:rFonts w:ascii="Arial" w:hAnsi="Arial" w:hint="default"/>
      </w:rPr>
    </w:lvl>
    <w:lvl w:ilvl="1" w:tplc="45EA8336" w:tentative="1">
      <w:start w:val="1"/>
      <w:numFmt w:val="bullet"/>
      <w:lvlText w:val="•"/>
      <w:lvlJc w:val="left"/>
      <w:pPr>
        <w:tabs>
          <w:tab w:val="num" w:pos="1440"/>
        </w:tabs>
        <w:ind w:left="1440" w:hanging="360"/>
      </w:pPr>
      <w:rPr>
        <w:rFonts w:ascii="Arial" w:hAnsi="Arial" w:hint="default"/>
      </w:rPr>
    </w:lvl>
    <w:lvl w:ilvl="2" w:tplc="159E9D2C" w:tentative="1">
      <w:start w:val="1"/>
      <w:numFmt w:val="bullet"/>
      <w:lvlText w:val="•"/>
      <w:lvlJc w:val="left"/>
      <w:pPr>
        <w:tabs>
          <w:tab w:val="num" w:pos="2160"/>
        </w:tabs>
        <w:ind w:left="2160" w:hanging="360"/>
      </w:pPr>
      <w:rPr>
        <w:rFonts w:ascii="Arial" w:hAnsi="Arial" w:hint="default"/>
      </w:rPr>
    </w:lvl>
    <w:lvl w:ilvl="3" w:tplc="3B0EE80C" w:tentative="1">
      <w:start w:val="1"/>
      <w:numFmt w:val="bullet"/>
      <w:lvlText w:val="•"/>
      <w:lvlJc w:val="left"/>
      <w:pPr>
        <w:tabs>
          <w:tab w:val="num" w:pos="2880"/>
        </w:tabs>
        <w:ind w:left="2880" w:hanging="360"/>
      </w:pPr>
      <w:rPr>
        <w:rFonts w:ascii="Arial" w:hAnsi="Arial" w:hint="default"/>
      </w:rPr>
    </w:lvl>
    <w:lvl w:ilvl="4" w:tplc="D73CAA0A" w:tentative="1">
      <w:start w:val="1"/>
      <w:numFmt w:val="bullet"/>
      <w:lvlText w:val="•"/>
      <w:lvlJc w:val="left"/>
      <w:pPr>
        <w:tabs>
          <w:tab w:val="num" w:pos="3600"/>
        </w:tabs>
        <w:ind w:left="3600" w:hanging="360"/>
      </w:pPr>
      <w:rPr>
        <w:rFonts w:ascii="Arial" w:hAnsi="Arial" w:hint="default"/>
      </w:rPr>
    </w:lvl>
    <w:lvl w:ilvl="5" w:tplc="F2B83062" w:tentative="1">
      <w:start w:val="1"/>
      <w:numFmt w:val="bullet"/>
      <w:lvlText w:val="•"/>
      <w:lvlJc w:val="left"/>
      <w:pPr>
        <w:tabs>
          <w:tab w:val="num" w:pos="4320"/>
        </w:tabs>
        <w:ind w:left="4320" w:hanging="360"/>
      </w:pPr>
      <w:rPr>
        <w:rFonts w:ascii="Arial" w:hAnsi="Arial" w:hint="default"/>
      </w:rPr>
    </w:lvl>
    <w:lvl w:ilvl="6" w:tplc="9C7E025E" w:tentative="1">
      <w:start w:val="1"/>
      <w:numFmt w:val="bullet"/>
      <w:lvlText w:val="•"/>
      <w:lvlJc w:val="left"/>
      <w:pPr>
        <w:tabs>
          <w:tab w:val="num" w:pos="5040"/>
        </w:tabs>
        <w:ind w:left="5040" w:hanging="360"/>
      </w:pPr>
      <w:rPr>
        <w:rFonts w:ascii="Arial" w:hAnsi="Arial" w:hint="default"/>
      </w:rPr>
    </w:lvl>
    <w:lvl w:ilvl="7" w:tplc="29CE2FC0" w:tentative="1">
      <w:start w:val="1"/>
      <w:numFmt w:val="bullet"/>
      <w:lvlText w:val="•"/>
      <w:lvlJc w:val="left"/>
      <w:pPr>
        <w:tabs>
          <w:tab w:val="num" w:pos="5760"/>
        </w:tabs>
        <w:ind w:left="5760" w:hanging="360"/>
      </w:pPr>
      <w:rPr>
        <w:rFonts w:ascii="Arial" w:hAnsi="Arial" w:hint="default"/>
      </w:rPr>
    </w:lvl>
    <w:lvl w:ilvl="8" w:tplc="408811C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6B66AFE"/>
    <w:multiLevelType w:val="hybridMultilevel"/>
    <w:tmpl w:val="E00E06F6"/>
    <w:lvl w:ilvl="0" w:tplc="55783790">
      <w:start w:val="1"/>
      <w:numFmt w:val="upperRoman"/>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12"/>
  </w:num>
  <w:num w:numId="3">
    <w:abstractNumId w:val="4"/>
  </w:num>
  <w:num w:numId="4">
    <w:abstractNumId w:val="11"/>
  </w:num>
  <w:num w:numId="5">
    <w:abstractNumId w:val="8"/>
  </w:num>
  <w:num w:numId="6">
    <w:abstractNumId w:val="6"/>
  </w:num>
  <w:num w:numId="7">
    <w:abstractNumId w:val="2"/>
  </w:num>
  <w:num w:numId="8">
    <w:abstractNumId w:val="7"/>
  </w:num>
  <w:num w:numId="9">
    <w:abstractNumId w:val="0"/>
  </w:num>
  <w:num w:numId="10">
    <w:abstractNumId w:val="9"/>
  </w:num>
  <w:num w:numId="11">
    <w:abstractNumId w:val="3"/>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D1A"/>
    <w:rsid w:val="0002555C"/>
    <w:rsid w:val="000842FF"/>
    <w:rsid w:val="000922BD"/>
    <w:rsid w:val="000A059C"/>
    <w:rsid w:val="000F5CD6"/>
    <w:rsid w:val="00183022"/>
    <w:rsid w:val="001A11DC"/>
    <w:rsid w:val="001C27B6"/>
    <w:rsid w:val="001D2B87"/>
    <w:rsid w:val="001D459A"/>
    <w:rsid w:val="001E24F9"/>
    <w:rsid w:val="00203334"/>
    <w:rsid w:val="00220481"/>
    <w:rsid w:val="00252BCB"/>
    <w:rsid w:val="002544C4"/>
    <w:rsid w:val="002734BB"/>
    <w:rsid w:val="002823F6"/>
    <w:rsid w:val="002B303B"/>
    <w:rsid w:val="002C7123"/>
    <w:rsid w:val="002F262B"/>
    <w:rsid w:val="00365D23"/>
    <w:rsid w:val="00373BEA"/>
    <w:rsid w:val="00376112"/>
    <w:rsid w:val="00396838"/>
    <w:rsid w:val="003E3F96"/>
    <w:rsid w:val="00455B39"/>
    <w:rsid w:val="004715EA"/>
    <w:rsid w:val="00477D80"/>
    <w:rsid w:val="00483687"/>
    <w:rsid w:val="004D7623"/>
    <w:rsid w:val="00502DEB"/>
    <w:rsid w:val="00510280"/>
    <w:rsid w:val="005230F9"/>
    <w:rsid w:val="00530D7C"/>
    <w:rsid w:val="00533E65"/>
    <w:rsid w:val="00565ED4"/>
    <w:rsid w:val="0060471E"/>
    <w:rsid w:val="006977BA"/>
    <w:rsid w:val="006B1C75"/>
    <w:rsid w:val="006B457A"/>
    <w:rsid w:val="006E3C4A"/>
    <w:rsid w:val="00762B00"/>
    <w:rsid w:val="0077741E"/>
    <w:rsid w:val="007E3409"/>
    <w:rsid w:val="007F0FB8"/>
    <w:rsid w:val="00854864"/>
    <w:rsid w:val="00862C5A"/>
    <w:rsid w:val="008A59DE"/>
    <w:rsid w:val="00960AE3"/>
    <w:rsid w:val="009921A0"/>
    <w:rsid w:val="009B6E1E"/>
    <w:rsid w:val="009D44D2"/>
    <w:rsid w:val="009E3343"/>
    <w:rsid w:val="00A01754"/>
    <w:rsid w:val="00A076B6"/>
    <w:rsid w:val="00A35D4C"/>
    <w:rsid w:val="00A45710"/>
    <w:rsid w:val="00A900DC"/>
    <w:rsid w:val="00AC71F7"/>
    <w:rsid w:val="00B079C0"/>
    <w:rsid w:val="00B4742B"/>
    <w:rsid w:val="00B60313"/>
    <w:rsid w:val="00B77CA9"/>
    <w:rsid w:val="00BB34F8"/>
    <w:rsid w:val="00BD5D1A"/>
    <w:rsid w:val="00BE6359"/>
    <w:rsid w:val="00BF2F85"/>
    <w:rsid w:val="00C10783"/>
    <w:rsid w:val="00C125EF"/>
    <w:rsid w:val="00C5287E"/>
    <w:rsid w:val="00CB730A"/>
    <w:rsid w:val="00D34191"/>
    <w:rsid w:val="00D45A28"/>
    <w:rsid w:val="00DC1A8A"/>
    <w:rsid w:val="00DE1F03"/>
    <w:rsid w:val="00E275B2"/>
    <w:rsid w:val="00E32516"/>
    <w:rsid w:val="00E37EEA"/>
    <w:rsid w:val="00EB598C"/>
    <w:rsid w:val="00ED69A4"/>
    <w:rsid w:val="00ED7845"/>
    <w:rsid w:val="00F17BCA"/>
    <w:rsid w:val="00F80DA7"/>
    <w:rsid w:val="00FF52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2BA8BC"/>
  <w15:docId w15:val="{04C73BBD-1F69-2244-8933-A16421C1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CA9"/>
    <w:rPr>
      <w:rFonts w:ascii="Times New Roman" w:eastAsia="Times New Roman" w:hAnsi="Times New Roman" w:cs="Times New Roman"/>
      <w:lang w:val="en-JM"/>
    </w:rPr>
  </w:style>
  <w:style w:type="paragraph" w:styleId="Heading1">
    <w:name w:val="heading 1"/>
    <w:basedOn w:val="Normal"/>
    <w:next w:val="Normal"/>
    <w:link w:val="Heading1Char"/>
    <w:uiPriority w:val="9"/>
    <w:qFormat/>
    <w:rsid w:val="005230F9"/>
    <w:pPr>
      <w:keepNext/>
      <w:keepLines/>
      <w:numPr>
        <w:numId w:val="1"/>
      </w:numPr>
      <w:spacing w:before="480"/>
      <w:jc w:val="both"/>
      <w:outlineLvl w:val="0"/>
    </w:pPr>
    <w:rPr>
      <w:rFonts w:ascii="Arial" w:eastAsia="MS Gothic" w:hAnsi="Arial" w:cs="Arial"/>
      <w:b/>
      <w:bCs/>
      <w:color w:val="8496B0" w:themeColor="text2" w:themeTint="99"/>
      <w:sz w:val="28"/>
      <w:szCs w:val="28"/>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D5D1A"/>
    <w:pPr>
      <w:tabs>
        <w:tab w:val="center" w:pos="4680"/>
        <w:tab w:val="right" w:pos="9360"/>
      </w:tabs>
      <w:suppressAutoHyphens/>
    </w:pPr>
    <w:rPr>
      <w:rFonts w:ascii="Calibri" w:eastAsia="Calibri" w:hAnsi="Calibri"/>
      <w:sz w:val="22"/>
      <w:szCs w:val="22"/>
      <w:lang w:val="en-GB"/>
    </w:rPr>
  </w:style>
  <w:style w:type="character" w:customStyle="1" w:styleId="HeaderChar">
    <w:name w:val="Header Char"/>
    <w:basedOn w:val="DefaultParagraphFont"/>
    <w:link w:val="Header"/>
    <w:rsid w:val="00BD5D1A"/>
  </w:style>
  <w:style w:type="paragraph" w:styleId="Footer">
    <w:name w:val="footer"/>
    <w:basedOn w:val="Normal"/>
    <w:link w:val="FooterChar"/>
    <w:uiPriority w:val="99"/>
    <w:unhideWhenUsed/>
    <w:rsid w:val="00BD5D1A"/>
    <w:pPr>
      <w:tabs>
        <w:tab w:val="center" w:pos="4680"/>
        <w:tab w:val="right" w:pos="9360"/>
      </w:tabs>
      <w:suppressAutoHyphens/>
    </w:pPr>
    <w:rPr>
      <w:rFonts w:ascii="Calibri" w:eastAsia="Calibri" w:hAnsi="Calibri"/>
      <w:sz w:val="22"/>
      <w:szCs w:val="22"/>
      <w:lang w:val="en-GB"/>
    </w:rPr>
  </w:style>
  <w:style w:type="character" w:customStyle="1" w:styleId="FooterChar">
    <w:name w:val="Footer Char"/>
    <w:basedOn w:val="DefaultParagraphFont"/>
    <w:link w:val="Footer"/>
    <w:uiPriority w:val="99"/>
    <w:rsid w:val="00BD5D1A"/>
  </w:style>
  <w:style w:type="paragraph" w:customStyle="1" w:styleId="SingleTxtG">
    <w:name w:val="_ Single Txt_G"/>
    <w:basedOn w:val="Normal"/>
    <w:link w:val="SingleTxtGChar"/>
    <w:rsid w:val="007E3409"/>
    <w:pPr>
      <w:suppressAutoHyphens/>
      <w:spacing w:after="120" w:line="240" w:lineRule="atLeast"/>
      <w:ind w:left="1134" w:right="1134"/>
      <w:jc w:val="both"/>
    </w:pPr>
    <w:rPr>
      <w:rFonts w:eastAsia="SimSun"/>
      <w:sz w:val="20"/>
      <w:szCs w:val="20"/>
      <w:lang w:val="en-GB" w:eastAsia="zh-CN"/>
    </w:rPr>
  </w:style>
  <w:style w:type="table" w:styleId="TableGrid">
    <w:name w:val="Table Grid"/>
    <w:basedOn w:val="TableNormal"/>
    <w:uiPriority w:val="39"/>
    <w:rsid w:val="00203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5230F9"/>
    <w:rPr>
      <w:rFonts w:ascii="Times New Roman" w:eastAsia="SimSun" w:hAnsi="Times New Roman" w:cs="Times New Roman"/>
      <w:sz w:val="20"/>
      <w:szCs w:val="20"/>
      <w:lang w:val="en-GB" w:eastAsia="zh-CN"/>
    </w:rPr>
  </w:style>
  <w:style w:type="character" w:customStyle="1" w:styleId="Heading1Char">
    <w:name w:val="Heading 1 Char"/>
    <w:basedOn w:val="DefaultParagraphFont"/>
    <w:link w:val="Heading1"/>
    <w:uiPriority w:val="9"/>
    <w:rsid w:val="005230F9"/>
    <w:rPr>
      <w:rFonts w:ascii="Arial" w:eastAsia="MS Gothic" w:hAnsi="Arial" w:cs="Arial"/>
      <w:b/>
      <w:bCs/>
      <w:color w:val="8496B0" w:themeColor="text2" w:themeTint="99"/>
      <w:sz w:val="28"/>
      <w:szCs w:val="28"/>
      <w:lang w:val="fr-FR"/>
    </w:rPr>
  </w:style>
  <w:style w:type="character" w:styleId="Emphasis">
    <w:name w:val="Emphasis"/>
    <w:basedOn w:val="DefaultParagraphFont"/>
    <w:uiPriority w:val="20"/>
    <w:qFormat/>
    <w:rsid w:val="00B4742B"/>
    <w:rPr>
      <w:i/>
      <w:iCs/>
    </w:rPr>
  </w:style>
  <w:style w:type="paragraph" w:styleId="BalloonText">
    <w:name w:val="Balloon Text"/>
    <w:basedOn w:val="Normal"/>
    <w:link w:val="BalloonTextChar"/>
    <w:uiPriority w:val="99"/>
    <w:semiHidden/>
    <w:unhideWhenUsed/>
    <w:rsid w:val="00BE635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6359"/>
    <w:rPr>
      <w:rFonts w:ascii="Lucida Grande" w:eastAsia="Calibri" w:hAnsi="Lucida Grande" w:cs="Lucida Grande"/>
      <w:sz w:val="18"/>
      <w:szCs w:val="18"/>
      <w:lang w:val="en-GB"/>
    </w:rPr>
  </w:style>
  <w:style w:type="paragraph" w:styleId="FootnoteText">
    <w:name w:val="footnote text"/>
    <w:basedOn w:val="Normal"/>
    <w:link w:val="FootnoteTextChar"/>
    <w:uiPriority w:val="99"/>
    <w:unhideWhenUsed/>
    <w:rsid w:val="00ED7845"/>
    <w:pPr>
      <w:suppressAutoHyphens/>
    </w:pPr>
    <w:rPr>
      <w:rFonts w:ascii="Calibri" w:eastAsia="Calibri" w:hAnsi="Calibri"/>
      <w:lang w:val="en-GB"/>
    </w:rPr>
  </w:style>
  <w:style w:type="character" w:customStyle="1" w:styleId="FootnoteTextChar">
    <w:name w:val="Footnote Text Char"/>
    <w:basedOn w:val="DefaultParagraphFont"/>
    <w:link w:val="FootnoteText"/>
    <w:uiPriority w:val="99"/>
    <w:rsid w:val="00ED7845"/>
    <w:rPr>
      <w:rFonts w:ascii="Calibri" w:eastAsia="Calibri" w:hAnsi="Calibri" w:cs="Times New Roman"/>
      <w:lang w:val="en-GB"/>
    </w:rPr>
  </w:style>
  <w:style w:type="character" w:styleId="FootnoteReference">
    <w:name w:val="footnote reference"/>
    <w:basedOn w:val="DefaultParagraphFont"/>
    <w:uiPriority w:val="99"/>
    <w:unhideWhenUsed/>
    <w:rsid w:val="00ED7845"/>
    <w:rPr>
      <w:vertAlign w:val="superscript"/>
    </w:rPr>
  </w:style>
  <w:style w:type="character" w:styleId="Hyperlink">
    <w:name w:val="Hyperlink"/>
    <w:basedOn w:val="DefaultParagraphFont"/>
    <w:uiPriority w:val="99"/>
    <w:unhideWhenUsed/>
    <w:rsid w:val="00ED7845"/>
    <w:rPr>
      <w:color w:val="0563C1" w:themeColor="hyperlink"/>
      <w:u w:val="single"/>
    </w:rPr>
  </w:style>
  <w:style w:type="character" w:styleId="FollowedHyperlink">
    <w:name w:val="FollowedHyperlink"/>
    <w:basedOn w:val="DefaultParagraphFont"/>
    <w:uiPriority w:val="99"/>
    <w:semiHidden/>
    <w:unhideWhenUsed/>
    <w:rsid w:val="00E32516"/>
    <w:rPr>
      <w:color w:val="954F72" w:themeColor="followedHyperlink"/>
      <w:u w:val="single"/>
    </w:rPr>
  </w:style>
  <w:style w:type="paragraph" w:styleId="NormalWeb">
    <w:name w:val="Normal (Web)"/>
    <w:basedOn w:val="Normal"/>
    <w:uiPriority w:val="99"/>
    <w:semiHidden/>
    <w:unhideWhenUsed/>
    <w:rsid w:val="00455B3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21514">
      <w:bodyDiv w:val="1"/>
      <w:marLeft w:val="0"/>
      <w:marRight w:val="0"/>
      <w:marTop w:val="0"/>
      <w:marBottom w:val="0"/>
      <w:divBdr>
        <w:top w:val="none" w:sz="0" w:space="0" w:color="auto"/>
        <w:left w:val="none" w:sz="0" w:space="0" w:color="auto"/>
        <w:bottom w:val="none" w:sz="0" w:space="0" w:color="auto"/>
        <w:right w:val="none" w:sz="0" w:space="0" w:color="auto"/>
      </w:divBdr>
      <w:divsChild>
        <w:div w:id="646013281">
          <w:marLeft w:val="446"/>
          <w:marRight w:val="0"/>
          <w:marTop w:val="96"/>
          <w:marBottom w:val="120"/>
          <w:divBdr>
            <w:top w:val="none" w:sz="0" w:space="0" w:color="auto"/>
            <w:left w:val="none" w:sz="0" w:space="0" w:color="auto"/>
            <w:bottom w:val="none" w:sz="0" w:space="0" w:color="auto"/>
            <w:right w:val="none" w:sz="0" w:space="0" w:color="auto"/>
          </w:divBdr>
        </w:div>
        <w:div w:id="263458960">
          <w:marLeft w:val="446"/>
          <w:marRight w:val="0"/>
          <w:marTop w:val="96"/>
          <w:marBottom w:val="120"/>
          <w:divBdr>
            <w:top w:val="none" w:sz="0" w:space="0" w:color="auto"/>
            <w:left w:val="none" w:sz="0" w:space="0" w:color="auto"/>
            <w:bottom w:val="none" w:sz="0" w:space="0" w:color="auto"/>
            <w:right w:val="none" w:sz="0" w:space="0" w:color="auto"/>
          </w:divBdr>
        </w:div>
      </w:divsChild>
    </w:div>
    <w:div w:id="86537927">
      <w:bodyDiv w:val="1"/>
      <w:marLeft w:val="0"/>
      <w:marRight w:val="0"/>
      <w:marTop w:val="0"/>
      <w:marBottom w:val="0"/>
      <w:divBdr>
        <w:top w:val="none" w:sz="0" w:space="0" w:color="auto"/>
        <w:left w:val="none" w:sz="0" w:space="0" w:color="auto"/>
        <w:bottom w:val="none" w:sz="0" w:space="0" w:color="auto"/>
        <w:right w:val="none" w:sz="0" w:space="0" w:color="auto"/>
      </w:divBdr>
      <w:divsChild>
        <w:div w:id="1109163440">
          <w:marLeft w:val="446"/>
          <w:marRight w:val="0"/>
          <w:marTop w:val="96"/>
          <w:marBottom w:val="120"/>
          <w:divBdr>
            <w:top w:val="none" w:sz="0" w:space="0" w:color="auto"/>
            <w:left w:val="none" w:sz="0" w:space="0" w:color="auto"/>
            <w:bottom w:val="none" w:sz="0" w:space="0" w:color="auto"/>
            <w:right w:val="none" w:sz="0" w:space="0" w:color="auto"/>
          </w:divBdr>
        </w:div>
      </w:divsChild>
    </w:div>
    <w:div w:id="143088244">
      <w:bodyDiv w:val="1"/>
      <w:marLeft w:val="0"/>
      <w:marRight w:val="0"/>
      <w:marTop w:val="0"/>
      <w:marBottom w:val="0"/>
      <w:divBdr>
        <w:top w:val="none" w:sz="0" w:space="0" w:color="auto"/>
        <w:left w:val="none" w:sz="0" w:space="0" w:color="auto"/>
        <w:bottom w:val="none" w:sz="0" w:space="0" w:color="auto"/>
        <w:right w:val="none" w:sz="0" w:space="0" w:color="auto"/>
      </w:divBdr>
      <w:divsChild>
        <w:div w:id="2031102911">
          <w:marLeft w:val="446"/>
          <w:marRight w:val="0"/>
          <w:marTop w:val="96"/>
          <w:marBottom w:val="120"/>
          <w:divBdr>
            <w:top w:val="none" w:sz="0" w:space="0" w:color="auto"/>
            <w:left w:val="none" w:sz="0" w:space="0" w:color="auto"/>
            <w:bottom w:val="none" w:sz="0" w:space="0" w:color="auto"/>
            <w:right w:val="none" w:sz="0" w:space="0" w:color="auto"/>
          </w:divBdr>
        </w:div>
        <w:div w:id="1043750145">
          <w:marLeft w:val="446"/>
          <w:marRight w:val="0"/>
          <w:marTop w:val="96"/>
          <w:marBottom w:val="120"/>
          <w:divBdr>
            <w:top w:val="none" w:sz="0" w:space="0" w:color="auto"/>
            <w:left w:val="none" w:sz="0" w:space="0" w:color="auto"/>
            <w:bottom w:val="none" w:sz="0" w:space="0" w:color="auto"/>
            <w:right w:val="none" w:sz="0" w:space="0" w:color="auto"/>
          </w:divBdr>
        </w:div>
      </w:divsChild>
    </w:div>
    <w:div w:id="166141783">
      <w:bodyDiv w:val="1"/>
      <w:marLeft w:val="0"/>
      <w:marRight w:val="0"/>
      <w:marTop w:val="0"/>
      <w:marBottom w:val="0"/>
      <w:divBdr>
        <w:top w:val="none" w:sz="0" w:space="0" w:color="auto"/>
        <w:left w:val="none" w:sz="0" w:space="0" w:color="auto"/>
        <w:bottom w:val="none" w:sz="0" w:space="0" w:color="auto"/>
        <w:right w:val="none" w:sz="0" w:space="0" w:color="auto"/>
      </w:divBdr>
      <w:divsChild>
        <w:div w:id="645941263">
          <w:marLeft w:val="446"/>
          <w:marRight w:val="0"/>
          <w:marTop w:val="96"/>
          <w:marBottom w:val="120"/>
          <w:divBdr>
            <w:top w:val="none" w:sz="0" w:space="0" w:color="auto"/>
            <w:left w:val="none" w:sz="0" w:space="0" w:color="auto"/>
            <w:bottom w:val="none" w:sz="0" w:space="0" w:color="auto"/>
            <w:right w:val="none" w:sz="0" w:space="0" w:color="auto"/>
          </w:divBdr>
        </w:div>
      </w:divsChild>
    </w:div>
    <w:div w:id="233324444">
      <w:bodyDiv w:val="1"/>
      <w:marLeft w:val="0"/>
      <w:marRight w:val="0"/>
      <w:marTop w:val="0"/>
      <w:marBottom w:val="0"/>
      <w:divBdr>
        <w:top w:val="none" w:sz="0" w:space="0" w:color="auto"/>
        <w:left w:val="none" w:sz="0" w:space="0" w:color="auto"/>
        <w:bottom w:val="none" w:sz="0" w:space="0" w:color="auto"/>
        <w:right w:val="none" w:sz="0" w:space="0" w:color="auto"/>
      </w:divBdr>
      <w:divsChild>
        <w:div w:id="2129470349">
          <w:marLeft w:val="446"/>
          <w:marRight w:val="0"/>
          <w:marTop w:val="91"/>
          <w:marBottom w:val="120"/>
          <w:divBdr>
            <w:top w:val="none" w:sz="0" w:space="0" w:color="auto"/>
            <w:left w:val="none" w:sz="0" w:space="0" w:color="auto"/>
            <w:bottom w:val="none" w:sz="0" w:space="0" w:color="auto"/>
            <w:right w:val="none" w:sz="0" w:space="0" w:color="auto"/>
          </w:divBdr>
        </w:div>
        <w:div w:id="164975909">
          <w:marLeft w:val="446"/>
          <w:marRight w:val="0"/>
          <w:marTop w:val="91"/>
          <w:marBottom w:val="120"/>
          <w:divBdr>
            <w:top w:val="none" w:sz="0" w:space="0" w:color="auto"/>
            <w:left w:val="none" w:sz="0" w:space="0" w:color="auto"/>
            <w:bottom w:val="none" w:sz="0" w:space="0" w:color="auto"/>
            <w:right w:val="none" w:sz="0" w:space="0" w:color="auto"/>
          </w:divBdr>
        </w:div>
      </w:divsChild>
    </w:div>
    <w:div w:id="514659867">
      <w:bodyDiv w:val="1"/>
      <w:marLeft w:val="0"/>
      <w:marRight w:val="0"/>
      <w:marTop w:val="0"/>
      <w:marBottom w:val="0"/>
      <w:divBdr>
        <w:top w:val="none" w:sz="0" w:space="0" w:color="auto"/>
        <w:left w:val="none" w:sz="0" w:space="0" w:color="auto"/>
        <w:bottom w:val="none" w:sz="0" w:space="0" w:color="auto"/>
        <w:right w:val="none" w:sz="0" w:space="0" w:color="auto"/>
      </w:divBdr>
    </w:div>
    <w:div w:id="573318981">
      <w:bodyDiv w:val="1"/>
      <w:marLeft w:val="0"/>
      <w:marRight w:val="0"/>
      <w:marTop w:val="0"/>
      <w:marBottom w:val="0"/>
      <w:divBdr>
        <w:top w:val="none" w:sz="0" w:space="0" w:color="auto"/>
        <w:left w:val="none" w:sz="0" w:space="0" w:color="auto"/>
        <w:bottom w:val="none" w:sz="0" w:space="0" w:color="auto"/>
        <w:right w:val="none" w:sz="0" w:space="0" w:color="auto"/>
      </w:divBdr>
    </w:div>
    <w:div w:id="760026611">
      <w:bodyDiv w:val="1"/>
      <w:marLeft w:val="0"/>
      <w:marRight w:val="0"/>
      <w:marTop w:val="0"/>
      <w:marBottom w:val="0"/>
      <w:divBdr>
        <w:top w:val="none" w:sz="0" w:space="0" w:color="auto"/>
        <w:left w:val="none" w:sz="0" w:space="0" w:color="auto"/>
        <w:bottom w:val="none" w:sz="0" w:space="0" w:color="auto"/>
        <w:right w:val="none" w:sz="0" w:space="0" w:color="auto"/>
      </w:divBdr>
      <w:divsChild>
        <w:div w:id="272830519">
          <w:marLeft w:val="446"/>
          <w:marRight w:val="0"/>
          <w:marTop w:val="96"/>
          <w:marBottom w:val="120"/>
          <w:divBdr>
            <w:top w:val="none" w:sz="0" w:space="0" w:color="auto"/>
            <w:left w:val="none" w:sz="0" w:space="0" w:color="auto"/>
            <w:bottom w:val="none" w:sz="0" w:space="0" w:color="auto"/>
            <w:right w:val="none" w:sz="0" w:space="0" w:color="auto"/>
          </w:divBdr>
        </w:div>
        <w:div w:id="995886682">
          <w:marLeft w:val="446"/>
          <w:marRight w:val="0"/>
          <w:marTop w:val="96"/>
          <w:marBottom w:val="120"/>
          <w:divBdr>
            <w:top w:val="none" w:sz="0" w:space="0" w:color="auto"/>
            <w:left w:val="none" w:sz="0" w:space="0" w:color="auto"/>
            <w:bottom w:val="none" w:sz="0" w:space="0" w:color="auto"/>
            <w:right w:val="none" w:sz="0" w:space="0" w:color="auto"/>
          </w:divBdr>
        </w:div>
      </w:divsChild>
    </w:div>
    <w:div w:id="801046889">
      <w:bodyDiv w:val="1"/>
      <w:marLeft w:val="0"/>
      <w:marRight w:val="0"/>
      <w:marTop w:val="0"/>
      <w:marBottom w:val="0"/>
      <w:divBdr>
        <w:top w:val="none" w:sz="0" w:space="0" w:color="auto"/>
        <w:left w:val="none" w:sz="0" w:space="0" w:color="auto"/>
        <w:bottom w:val="none" w:sz="0" w:space="0" w:color="auto"/>
        <w:right w:val="none" w:sz="0" w:space="0" w:color="auto"/>
      </w:divBdr>
    </w:div>
    <w:div w:id="846018359">
      <w:bodyDiv w:val="1"/>
      <w:marLeft w:val="0"/>
      <w:marRight w:val="0"/>
      <w:marTop w:val="0"/>
      <w:marBottom w:val="0"/>
      <w:divBdr>
        <w:top w:val="none" w:sz="0" w:space="0" w:color="auto"/>
        <w:left w:val="none" w:sz="0" w:space="0" w:color="auto"/>
        <w:bottom w:val="none" w:sz="0" w:space="0" w:color="auto"/>
        <w:right w:val="none" w:sz="0" w:space="0" w:color="auto"/>
      </w:divBdr>
    </w:div>
    <w:div w:id="866019947">
      <w:bodyDiv w:val="1"/>
      <w:marLeft w:val="0"/>
      <w:marRight w:val="0"/>
      <w:marTop w:val="0"/>
      <w:marBottom w:val="0"/>
      <w:divBdr>
        <w:top w:val="none" w:sz="0" w:space="0" w:color="auto"/>
        <w:left w:val="none" w:sz="0" w:space="0" w:color="auto"/>
        <w:bottom w:val="none" w:sz="0" w:space="0" w:color="auto"/>
        <w:right w:val="none" w:sz="0" w:space="0" w:color="auto"/>
      </w:divBdr>
      <w:divsChild>
        <w:div w:id="944577873">
          <w:marLeft w:val="446"/>
          <w:marRight w:val="0"/>
          <w:marTop w:val="96"/>
          <w:marBottom w:val="120"/>
          <w:divBdr>
            <w:top w:val="none" w:sz="0" w:space="0" w:color="auto"/>
            <w:left w:val="none" w:sz="0" w:space="0" w:color="auto"/>
            <w:bottom w:val="none" w:sz="0" w:space="0" w:color="auto"/>
            <w:right w:val="none" w:sz="0" w:space="0" w:color="auto"/>
          </w:divBdr>
        </w:div>
      </w:divsChild>
    </w:div>
    <w:div w:id="993677169">
      <w:bodyDiv w:val="1"/>
      <w:marLeft w:val="0"/>
      <w:marRight w:val="0"/>
      <w:marTop w:val="0"/>
      <w:marBottom w:val="0"/>
      <w:divBdr>
        <w:top w:val="none" w:sz="0" w:space="0" w:color="auto"/>
        <w:left w:val="none" w:sz="0" w:space="0" w:color="auto"/>
        <w:bottom w:val="none" w:sz="0" w:space="0" w:color="auto"/>
        <w:right w:val="none" w:sz="0" w:space="0" w:color="auto"/>
      </w:divBdr>
    </w:div>
    <w:div w:id="1082529873">
      <w:bodyDiv w:val="1"/>
      <w:marLeft w:val="0"/>
      <w:marRight w:val="0"/>
      <w:marTop w:val="0"/>
      <w:marBottom w:val="0"/>
      <w:divBdr>
        <w:top w:val="none" w:sz="0" w:space="0" w:color="auto"/>
        <w:left w:val="none" w:sz="0" w:space="0" w:color="auto"/>
        <w:bottom w:val="none" w:sz="0" w:space="0" w:color="auto"/>
        <w:right w:val="none" w:sz="0" w:space="0" w:color="auto"/>
      </w:divBdr>
      <w:divsChild>
        <w:div w:id="311641261">
          <w:marLeft w:val="446"/>
          <w:marRight w:val="0"/>
          <w:marTop w:val="96"/>
          <w:marBottom w:val="120"/>
          <w:divBdr>
            <w:top w:val="none" w:sz="0" w:space="0" w:color="auto"/>
            <w:left w:val="none" w:sz="0" w:space="0" w:color="auto"/>
            <w:bottom w:val="none" w:sz="0" w:space="0" w:color="auto"/>
            <w:right w:val="none" w:sz="0" w:space="0" w:color="auto"/>
          </w:divBdr>
        </w:div>
        <w:div w:id="2108306103">
          <w:marLeft w:val="446"/>
          <w:marRight w:val="0"/>
          <w:marTop w:val="96"/>
          <w:marBottom w:val="120"/>
          <w:divBdr>
            <w:top w:val="none" w:sz="0" w:space="0" w:color="auto"/>
            <w:left w:val="none" w:sz="0" w:space="0" w:color="auto"/>
            <w:bottom w:val="none" w:sz="0" w:space="0" w:color="auto"/>
            <w:right w:val="none" w:sz="0" w:space="0" w:color="auto"/>
          </w:divBdr>
        </w:div>
      </w:divsChild>
    </w:div>
    <w:div w:id="1108239749">
      <w:bodyDiv w:val="1"/>
      <w:marLeft w:val="0"/>
      <w:marRight w:val="0"/>
      <w:marTop w:val="0"/>
      <w:marBottom w:val="0"/>
      <w:divBdr>
        <w:top w:val="none" w:sz="0" w:space="0" w:color="auto"/>
        <w:left w:val="none" w:sz="0" w:space="0" w:color="auto"/>
        <w:bottom w:val="none" w:sz="0" w:space="0" w:color="auto"/>
        <w:right w:val="none" w:sz="0" w:space="0" w:color="auto"/>
      </w:divBdr>
      <w:divsChild>
        <w:div w:id="1430275222">
          <w:marLeft w:val="446"/>
          <w:marRight w:val="0"/>
          <w:marTop w:val="96"/>
          <w:marBottom w:val="120"/>
          <w:divBdr>
            <w:top w:val="none" w:sz="0" w:space="0" w:color="auto"/>
            <w:left w:val="none" w:sz="0" w:space="0" w:color="auto"/>
            <w:bottom w:val="none" w:sz="0" w:space="0" w:color="auto"/>
            <w:right w:val="none" w:sz="0" w:space="0" w:color="auto"/>
          </w:divBdr>
        </w:div>
        <w:div w:id="266742001">
          <w:marLeft w:val="446"/>
          <w:marRight w:val="0"/>
          <w:marTop w:val="96"/>
          <w:marBottom w:val="120"/>
          <w:divBdr>
            <w:top w:val="none" w:sz="0" w:space="0" w:color="auto"/>
            <w:left w:val="none" w:sz="0" w:space="0" w:color="auto"/>
            <w:bottom w:val="none" w:sz="0" w:space="0" w:color="auto"/>
            <w:right w:val="none" w:sz="0" w:space="0" w:color="auto"/>
          </w:divBdr>
        </w:div>
      </w:divsChild>
    </w:div>
    <w:div w:id="1133789628">
      <w:bodyDiv w:val="1"/>
      <w:marLeft w:val="0"/>
      <w:marRight w:val="0"/>
      <w:marTop w:val="0"/>
      <w:marBottom w:val="0"/>
      <w:divBdr>
        <w:top w:val="none" w:sz="0" w:space="0" w:color="auto"/>
        <w:left w:val="none" w:sz="0" w:space="0" w:color="auto"/>
        <w:bottom w:val="none" w:sz="0" w:space="0" w:color="auto"/>
        <w:right w:val="none" w:sz="0" w:space="0" w:color="auto"/>
      </w:divBdr>
    </w:div>
    <w:div w:id="1413430902">
      <w:bodyDiv w:val="1"/>
      <w:marLeft w:val="0"/>
      <w:marRight w:val="0"/>
      <w:marTop w:val="0"/>
      <w:marBottom w:val="0"/>
      <w:divBdr>
        <w:top w:val="none" w:sz="0" w:space="0" w:color="auto"/>
        <w:left w:val="none" w:sz="0" w:space="0" w:color="auto"/>
        <w:bottom w:val="none" w:sz="0" w:space="0" w:color="auto"/>
        <w:right w:val="none" w:sz="0" w:space="0" w:color="auto"/>
      </w:divBdr>
      <w:divsChild>
        <w:div w:id="1755322828">
          <w:marLeft w:val="446"/>
          <w:marRight w:val="0"/>
          <w:marTop w:val="91"/>
          <w:marBottom w:val="120"/>
          <w:divBdr>
            <w:top w:val="none" w:sz="0" w:space="0" w:color="auto"/>
            <w:left w:val="none" w:sz="0" w:space="0" w:color="auto"/>
            <w:bottom w:val="none" w:sz="0" w:space="0" w:color="auto"/>
            <w:right w:val="none" w:sz="0" w:space="0" w:color="auto"/>
          </w:divBdr>
        </w:div>
        <w:div w:id="1894999132">
          <w:marLeft w:val="446"/>
          <w:marRight w:val="0"/>
          <w:marTop w:val="91"/>
          <w:marBottom w:val="120"/>
          <w:divBdr>
            <w:top w:val="none" w:sz="0" w:space="0" w:color="auto"/>
            <w:left w:val="none" w:sz="0" w:space="0" w:color="auto"/>
            <w:bottom w:val="none" w:sz="0" w:space="0" w:color="auto"/>
            <w:right w:val="none" w:sz="0" w:space="0" w:color="auto"/>
          </w:divBdr>
        </w:div>
        <w:div w:id="24908809">
          <w:marLeft w:val="446"/>
          <w:marRight w:val="0"/>
          <w:marTop w:val="91"/>
          <w:marBottom w:val="120"/>
          <w:divBdr>
            <w:top w:val="none" w:sz="0" w:space="0" w:color="auto"/>
            <w:left w:val="none" w:sz="0" w:space="0" w:color="auto"/>
            <w:bottom w:val="none" w:sz="0" w:space="0" w:color="auto"/>
            <w:right w:val="none" w:sz="0" w:space="0" w:color="auto"/>
          </w:divBdr>
        </w:div>
        <w:div w:id="1869173126">
          <w:marLeft w:val="446"/>
          <w:marRight w:val="0"/>
          <w:marTop w:val="91"/>
          <w:marBottom w:val="120"/>
          <w:divBdr>
            <w:top w:val="none" w:sz="0" w:space="0" w:color="auto"/>
            <w:left w:val="none" w:sz="0" w:space="0" w:color="auto"/>
            <w:bottom w:val="none" w:sz="0" w:space="0" w:color="auto"/>
            <w:right w:val="none" w:sz="0" w:space="0" w:color="auto"/>
          </w:divBdr>
        </w:div>
        <w:div w:id="1837382478">
          <w:marLeft w:val="446"/>
          <w:marRight w:val="0"/>
          <w:marTop w:val="91"/>
          <w:marBottom w:val="120"/>
          <w:divBdr>
            <w:top w:val="none" w:sz="0" w:space="0" w:color="auto"/>
            <w:left w:val="none" w:sz="0" w:space="0" w:color="auto"/>
            <w:bottom w:val="none" w:sz="0" w:space="0" w:color="auto"/>
            <w:right w:val="none" w:sz="0" w:space="0" w:color="auto"/>
          </w:divBdr>
        </w:div>
        <w:div w:id="673922729">
          <w:marLeft w:val="446"/>
          <w:marRight w:val="0"/>
          <w:marTop w:val="91"/>
          <w:marBottom w:val="120"/>
          <w:divBdr>
            <w:top w:val="none" w:sz="0" w:space="0" w:color="auto"/>
            <w:left w:val="none" w:sz="0" w:space="0" w:color="auto"/>
            <w:bottom w:val="none" w:sz="0" w:space="0" w:color="auto"/>
            <w:right w:val="none" w:sz="0" w:space="0" w:color="auto"/>
          </w:divBdr>
        </w:div>
        <w:div w:id="655231210">
          <w:marLeft w:val="446"/>
          <w:marRight w:val="0"/>
          <w:marTop w:val="91"/>
          <w:marBottom w:val="120"/>
          <w:divBdr>
            <w:top w:val="none" w:sz="0" w:space="0" w:color="auto"/>
            <w:left w:val="none" w:sz="0" w:space="0" w:color="auto"/>
            <w:bottom w:val="none" w:sz="0" w:space="0" w:color="auto"/>
            <w:right w:val="none" w:sz="0" w:space="0" w:color="auto"/>
          </w:divBdr>
        </w:div>
        <w:div w:id="1679192694">
          <w:marLeft w:val="446"/>
          <w:marRight w:val="0"/>
          <w:marTop w:val="91"/>
          <w:marBottom w:val="120"/>
          <w:divBdr>
            <w:top w:val="none" w:sz="0" w:space="0" w:color="auto"/>
            <w:left w:val="none" w:sz="0" w:space="0" w:color="auto"/>
            <w:bottom w:val="none" w:sz="0" w:space="0" w:color="auto"/>
            <w:right w:val="none" w:sz="0" w:space="0" w:color="auto"/>
          </w:divBdr>
        </w:div>
      </w:divsChild>
    </w:div>
    <w:div w:id="1431511742">
      <w:bodyDiv w:val="1"/>
      <w:marLeft w:val="0"/>
      <w:marRight w:val="0"/>
      <w:marTop w:val="0"/>
      <w:marBottom w:val="0"/>
      <w:divBdr>
        <w:top w:val="none" w:sz="0" w:space="0" w:color="auto"/>
        <w:left w:val="none" w:sz="0" w:space="0" w:color="auto"/>
        <w:bottom w:val="none" w:sz="0" w:space="0" w:color="auto"/>
        <w:right w:val="none" w:sz="0" w:space="0" w:color="auto"/>
      </w:divBdr>
      <w:divsChild>
        <w:div w:id="1550606242">
          <w:marLeft w:val="446"/>
          <w:marRight w:val="0"/>
          <w:marTop w:val="96"/>
          <w:marBottom w:val="120"/>
          <w:divBdr>
            <w:top w:val="none" w:sz="0" w:space="0" w:color="auto"/>
            <w:left w:val="none" w:sz="0" w:space="0" w:color="auto"/>
            <w:bottom w:val="none" w:sz="0" w:space="0" w:color="auto"/>
            <w:right w:val="none" w:sz="0" w:space="0" w:color="auto"/>
          </w:divBdr>
        </w:div>
        <w:div w:id="1588345202">
          <w:marLeft w:val="446"/>
          <w:marRight w:val="0"/>
          <w:marTop w:val="96"/>
          <w:marBottom w:val="120"/>
          <w:divBdr>
            <w:top w:val="none" w:sz="0" w:space="0" w:color="auto"/>
            <w:left w:val="none" w:sz="0" w:space="0" w:color="auto"/>
            <w:bottom w:val="none" w:sz="0" w:space="0" w:color="auto"/>
            <w:right w:val="none" w:sz="0" w:space="0" w:color="auto"/>
          </w:divBdr>
        </w:div>
      </w:divsChild>
    </w:div>
    <w:div w:id="1635788547">
      <w:bodyDiv w:val="1"/>
      <w:marLeft w:val="0"/>
      <w:marRight w:val="0"/>
      <w:marTop w:val="0"/>
      <w:marBottom w:val="0"/>
      <w:divBdr>
        <w:top w:val="none" w:sz="0" w:space="0" w:color="auto"/>
        <w:left w:val="none" w:sz="0" w:space="0" w:color="auto"/>
        <w:bottom w:val="none" w:sz="0" w:space="0" w:color="auto"/>
        <w:right w:val="none" w:sz="0" w:space="0" w:color="auto"/>
      </w:divBdr>
    </w:div>
    <w:div w:id="1886136270">
      <w:bodyDiv w:val="1"/>
      <w:marLeft w:val="0"/>
      <w:marRight w:val="0"/>
      <w:marTop w:val="0"/>
      <w:marBottom w:val="0"/>
      <w:divBdr>
        <w:top w:val="none" w:sz="0" w:space="0" w:color="auto"/>
        <w:left w:val="none" w:sz="0" w:space="0" w:color="auto"/>
        <w:bottom w:val="none" w:sz="0" w:space="0" w:color="auto"/>
        <w:right w:val="none" w:sz="0" w:space="0" w:color="auto"/>
      </w:divBdr>
      <w:divsChild>
        <w:div w:id="1944803484">
          <w:marLeft w:val="446"/>
          <w:marRight w:val="0"/>
          <w:marTop w:val="96"/>
          <w:marBottom w:val="120"/>
          <w:divBdr>
            <w:top w:val="none" w:sz="0" w:space="0" w:color="auto"/>
            <w:left w:val="none" w:sz="0" w:space="0" w:color="auto"/>
            <w:bottom w:val="none" w:sz="0" w:space="0" w:color="auto"/>
            <w:right w:val="none" w:sz="0" w:space="0" w:color="auto"/>
          </w:divBdr>
        </w:div>
      </w:divsChild>
    </w:div>
    <w:div w:id="2038191065">
      <w:bodyDiv w:val="1"/>
      <w:marLeft w:val="0"/>
      <w:marRight w:val="0"/>
      <w:marTop w:val="0"/>
      <w:marBottom w:val="0"/>
      <w:divBdr>
        <w:top w:val="none" w:sz="0" w:space="0" w:color="auto"/>
        <w:left w:val="none" w:sz="0" w:space="0" w:color="auto"/>
        <w:bottom w:val="none" w:sz="0" w:space="0" w:color="auto"/>
        <w:right w:val="none" w:sz="0" w:space="0" w:color="auto"/>
      </w:divBdr>
    </w:div>
    <w:div w:id="2092659325">
      <w:bodyDiv w:val="1"/>
      <w:marLeft w:val="0"/>
      <w:marRight w:val="0"/>
      <w:marTop w:val="0"/>
      <w:marBottom w:val="0"/>
      <w:divBdr>
        <w:top w:val="none" w:sz="0" w:space="0" w:color="auto"/>
        <w:left w:val="none" w:sz="0" w:space="0" w:color="auto"/>
        <w:bottom w:val="none" w:sz="0" w:space="0" w:color="auto"/>
        <w:right w:val="none" w:sz="0" w:space="0" w:color="auto"/>
      </w:divBdr>
    </w:div>
    <w:div w:id="214515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treatybodyexternal/Download.aspx?symbolno=INT%2fCCPR%2fFCO%2fJAM%2f31882&amp;Lang=en" TargetMode="External"/><Relationship Id="rId1" Type="http://schemas.openxmlformats.org/officeDocument/2006/relationships/hyperlink" Target="https://tbinternet.ohchr.org/_layouts/treatybodyexternal/Download.aspx?symbolno=CCPR%2fC%2fJAM%2fCO%2f4&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001CCE-A2AC-448A-A52F-55CFCC380C57}"/>
</file>

<file path=customXml/itemProps2.xml><?xml version="1.0" encoding="utf-8"?>
<ds:datastoreItem xmlns:ds="http://schemas.openxmlformats.org/officeDocument/2006/customXml" ds:itemID="{F72B53A5-AF94-401F-AEAB-31923F98863A}"/>
</file>

<file path=customXml/itemProps3.xml><?xml version="1.0" encoding="utf-8"?>
<ds:datastoreItem xmlns:ds="http://schemas.openxmlformats.org/officeDocument/2006/customXml" ds:itemID="{0576DBE4-E2DB-445F-B0FC-CC385010396A}"/>
</file>

<file path=docProps/app.xml><?xml version="1.0" encoding="utf-8"?>
<Properties xmlns="http://schemas.openxmlformats.org/officeDocument/2006/extended-properties" xmlns:vt="http://schemas.openxmlformats.org/officeDocument/2006/docPropsVTypes">
  <Template>Normal.dotm</Template>
  <TotalTime>5</TotalTime>
  <Pages>12</Pages>
  <Words>3471</Words>
  <Characters>19785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Patrick Mutzenberg</cp:lastModifiedBy>
  <cp:revision>2</cp:revision>
  <dcterms:created xsi:type="dcterms:W3CDTF">2019-04-04T13:23:00Z</dcterms:created>
  <dcterms:modified xsi:type="dcterms:W3CDTF">2019-04-04T13:23:00Z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