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8ECF4" w14:textId="6C555328" w:rsidR="00B3680F" w:rsidRPr="00EA124B" w:rsidRDefault="00B3680F" w:rsidP="00B3680F">
      <w:pPr>
        <w:rPr>
          <w:lang w:eastAsia="en-GB"/>
        </w:rPr>
      </w:pPr>
      <w:r>
        <w:rPr>
          <w:noProof/>
          <w:color w:val="000000"/>
        </w:rPr>
        <w:drawing>
          <wp:anchor distT="0" distB="0" distL="0" distR="0" simplePos="0" relativeHeight="251659264" behindDoc="1" locked="0" layoutInCell="1" allowOverlap="1" wp14:anchorId="7F7E9B26" wp14:editId="2D1ACD75">
            <wp:simplePos x="0" y="0"/>
            <wp:positionH relativeFrom="column">
              <wp:posOffset>1892595</wp:posOffset>
            </wp:positionH>
            <wp:positionV relativeFrom="paragraph">
              <wp:posOffset>-450791</wp:posOffset>
            </wp:positionV>
            <wp:extent cx="1571625" cy="457200"/>
            <wp:effectExtent l="0" t="0" r="0" b="0"/>
            <wp:wrapNone/>
            <wp:docPr id="2"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8"/>
                    <a:stretch>
                      <a:fillRect/>
                    </a:stretch>
                  </pic:blipFill>
                  <pic:spPr bwMode="auto">
                    <a:xfrm>
                      <a:off x="0" y="0"/>
                      <a:ext cx="1571625" cy="457200"/>
                    </a:xfrm>
                    <a:prstGeom prst="rect">
                      <a:avLst/>
                    </a:prstGeom>
                  </pic:spPr>
                </pic:pic>
              </a:graphicData>
            </a:graphic>
          </wp:anchor>
        </w:drawing>
      </w:r>
      <w:r w:rsidRPr="008253C9">
        <w:t xml:space="preserve">                                                                                                                 </w:t>
      </w:r>
      <w:r w:rsidRPr="00EA124B">
        <w:rPr>
          <w:lang w:eastAsia="en-GB"/>
        </w:rPr>
        <w:fldChar w:fldCharType="begin"/>
      </w:r>
      <w:r w:rsidRPr="00EA124B">
        <w:rPr>
          <w:lang w:eastAsia="en-GB"/>
        </w:rPr>
        <w:instrText xml:space="preserve"> INCLUDEPICTURE "https://scontent-hel3-1.xx.fbcdn.net/v/t1.6435-9/144738931_529186868034095_3389685701771343952_n.png?_nc_cat=106&amp;ccb=1-7&amp;_nc_sid=09cbfe&amp;_nc_ohc=wgfeDathihIAX8m9srw&amp;tn=nfBE_vPYhnB_SJYd&amp;_nc_ht=scontent-hel3-1.xx&amp;oh=00_AT_5kqK_kCBnVskVIaXgh24B9blgJAiU5Y3cL_yAGFYjfQ&amp;oe=633E5ED1" \* MERGEFORMATINET </w:instrText>
      </w:r>
      <w:r w:rsidRPr="00EA124B">
        <w:rPr>
          <w:lang w:eastAsia="en-GB"/>
        </w:rPr>
        <w:fldChar w:fldCharType="separate"/>
      </w:r>
      <w:r w:rsidRPr="00EA124B">
        <w:rPr>
          <w:lang w:eastAsia="en-GB"/>
        </w:rPr>
        <w:fldChar w:fldCharType="end"/>
      </w:r>
    </w:p>
    <w:p w14:paraId="24971253" w14:textId="2EA7F847" w:rsidR="00B3680F" w:rsidRDefault="00B3680F" w:rsidP="00B3680F">
      <w:pPr>
        <w:tabs>
          <w:tab w:val="left" w:pos="7740"/>
        </w:tabs>
        <w:rPr>
          <w:noProof/>
        </w:rPr>
      </w:pPr>
      <w:r>
        <w:tab/>
      </w:r>
    </w:p>
    <w:p w14:paraId="52A6D125" w14:textId="22FA0317" w:rsidR="00B3680F" w:rsidRPr="00B9658F" w:rsidRDefault="00B3680F" w:rsidP="00B3680F">
      <w:pPr>
        <w:tabs>
          <w:tab w:val="left" w:pos="8715"/>
        </w:tabs>
        <w:rPr>
          <w:rFonts w:ascii="Tahoma" w:hAnsi="Tahoma" w:cs="Tahoma"/>
        </w:rPr>
      </w:pPr>
      <w:r>
        <w:rPr>
          <w:rFonts w:ascii="Tahoma" w:hAnsi="Tahoma" w:cs="Tahoma"/>
        </w:rPr>
        <w:tab/>
      </w:r>
    </w:p>
    <w:p w14:paraId="64B24DDC" w14:textId="77777777" w:rsidR="00B3680F" w:rsidRDefault="00B3680F" w:rsidP="00B3680F"/>
    <w:p w14:paraId="2761CD76" w14:textId="77777777" w:rsidR="00B3680F" w:rsidRDefault="00B3680F" w:rsidP="00B3680F">
      <w:pPr>
        <w:jc w:val="center"/>
      </w:pPr>
      <w:r>
        <w:t xml:space="preserve">                  </w:t>
      </w:r>
    </w:p>
    <w:p w14:paraId="6E13E7DA" w14:textId="77777777" w:rsidR="00B3680F" w:rsidRPr="00B9658F" w:rsidRDefault="00B3680F" w:rsidP="00B3680F"/>
    <w:p w14:paraId="0CB29B0C" w14:textId="77777777" w:rsidR="00B3680F" w:rsidRDefault="00B3680F" w:rsidP="00B3680F"/>
    <w:p w14:paraId="3AF2D0C9" w14:textId="5A21D1A6" w:rsidR="00B3680F" w:rsidRPr="00D67FD5" w:rsidRDefault="00B3680F" w:rsidP="00B3680F">
      <w:pPr>
        <w:spacing w:before="120" w:after="120"/>
        <w:jc w:val="center"/>
        <w:rPr>
          <w:rFonts w:ascii="Aptos" w:hAnsi="Aptos" w:cs="Tahoma"/>
          <w:b/>
          <w:sz w:val="28"/>
          <w:szCs w:val="28"/>
        </w:rPr>
      </w:pPr>
      <w:r w:rsidRPr="00D67FD5">
        <w:rPr>
          <w:rFonts w:ascii="Aptos" w:hAnsi="Aptos" w:cs="Tahoma"/>
          <w:b/>
          <w:sz w:val="36"/>
          <w:szCs w:val="28"/>
        </w:rPr>
        <w:t>Human Rights Violations based on Sexual Orientation and Gender Identity in Georgia</w:t>
      </w:r>
    </w:p>
    <w:p w14:paraId="1040760E" w14:textId="77777777" w:rsidR="00B3680F" w:rsidRPr="00B3680F" w:rsidRDefault="00B3680F" w:rsidP="00B3680F">
      <w:pPr>
        <w:rPr>
          <w:rFonts w:ascii="Aptos" w:hAnsi="Aptos"/>
        </w:rPr>
      </w:pPr>
    </w:p>
    <w:p w14:paraId="13FDB20F" w14:textId="77777777" w:rsidR="00B3680F" w:rsidRPr="00B3680F" w:rsidRDefault="00B3680F" w:rsidP="00B3680F">
      <w:pPr>
        <w:rPr>
          <w:rFonts w:ascii="Aptos" w:hAnsi="Aptos" w:cs="Tahoma"/>
        </w:rPr>
      </w:pPr>
    </w:p>
    <w:p w14:paraId="05E164B1" w14:textId="3EE4773D" w:rsidR="00B3680F" w:rsidRPr="00B3680F" w:rsidRDefault="00B3680F" w:rsidP="00D67FD5">
      <w:pPr>
        <w:spacing w:after="0"/>
        <w:ind w:right="15"/>
        <w:jc w:val="center"/>
        <w:rPr>
          <w:rFonts w:ascii="Aptos" w:hAnsi="Aptos" w:cs="Tahoma"/>
          <w:b/>
        </w:rPr>
      </w:pPr>
      <w:r w:rsidRPr="00B3680F">
        <w:rPr>
          <w:rFonts w:ascii="Aptos" w:hAnsi="Aptos" w:cs="Tahoma"/>
          <w:b/>
        </w:rPr>
        <w:t>An Alternative</w:t>
      </w:r>
      <w:r w:rsidRPr="00B3680F">
        <w:rPr>
          <w:rFonts w:ascii="Aptos" w:hAnsi="Aptos" w:cs="Tahoma"/>
          <w:b/>
          <w:color w:val="000000"/>
        </w:rPr>
        <w:t xml:space="preserve"> </w:t>
      </w:r>
      <w:r w:rsidRPr="00B3680F">
        <w:rPr>
          <w:rFonts w:ascii="Aptos" w:hAnsi="Aptos" w:cs="Tahoma"/>
          <w:b/>
        </w:rPr>
        <w:t>R</w:t>
      </w:r>
      <w:r w:rsidRPr="00B3680F">
        <w:rPr>
          <w:rFonts w:ascii="Aptos" w:hAnsi="Aptos" w:cs="Tahoma"/>
          <w:b/>
          <w:color w:val="000000"/>
        </w:rPr>
        <w:t>eport</w:t>
      </w:r>
      <w:r w:rsidR="00D67FD5">
        <w:rPr>
          <w:rFonts w:ascii="Aptos" w:hAnsi="Aptos" w:cs="Tahoma"/>
          <w:b/>
        </w:rPr>
        <w:t xml:space="preserve"> </w:t>
      </w:r>
      <w:r w:rsidRPr="00B3680F">
        <w:rPr>
          <w:rFonts w:ascii="Aptos" w:hAnsi="Aptos" w:cs="Tahoma"/>
          <w:b/>
        </w:rPr>
        <w:t>Regarding the List of Issues</w:t>
      </w:r>
      <w:r w:rsidRPr="00B3680F">
        <w:rPr>
          <w:rFonts w:ascii="Aptos" w:hAnsi="Aptos" w:cs="Tahoma"/>
          <w:b/>
        </w:rPr>
        <w:br/>
        <w:t>E/C.12/GEO/Q/3</w:t>
      </w:r>
    </w:p>
    <w:p w14:paraId="32E09F29" w14:textId="77777777" w:rsidR="00B3680F" w:rsidRPr="00B3680F" w:rsidRDefault="00B3680F" w:rsidP="00B3680F">
      <w:pPr>
        <w:ind w:right="15"/>
        <w:jc w:val="center"/>
        <w:rPr>
          <w:rFonts w:ascii="Aptos" w:hAnsi="Aptos" w:cs="Tahoma"/>
        </w:rPr>
      </w:pPr>
    </w:p>
    <w:p w14:paraId="6E46BEF5" w14:textId="77777777" w:rsidR="00B3680F" w:rsidRPr="00B3680F" w:rsidRDefault="00B3680F" w:rsidP="00B3680F">
      <w:pPr>
        <w:ind w:right="15"/>
        <w:jc w:val="center"/>
        <w:rPr>
          <w:rFonts w:ascii="Aptos" w:hAnsi="Aptos"/>
          <w:color w:val="000000"/>
          <w:sz w:val="20"/>
          <w:szCs w:val="20"/>
        </w:rPr>
      </w:pPr>
    </w:p>
    <w:p w14:paraId="2B18BFC1" w14:textId="77777777" w:rsidR="00B3680F" w:rsidRPr="00B3680F" w:rsidRDefault="00B3680F" w:rsidP="00B3680F">
      <w:pPr>
        <w:spacing w:line="242" w:lineRule="auto"/>
        <w:rPr>
          <w:rFonts w:ascii="Aptos" w:hAnsi="Aptos"/>
          <w:color w:val="000000"/>
        </w:rPr>
      </w:pPr>
    </w:p>
    <w:p w14:paraId="6F81279A" w14:textId="77777777" w:rsidR="00B3680F" w:rsidRPr="00B3680F" w:rsidRDefault="00B3680F" w:rsidP="00B3680F">
      <w:pPr>
        <w:ind w:left="6140"/>
        <w:rPr>
          <w:rFonts w:ascii="Aptos" w:hAnsi="Aptos"/>
          <w:color w:val="000000"/>
          <w:sz w:val="20"/>
          <w:szCs w:val="20"/>
        </w:rPr>
      </w:pPr>
    </w:p>
    <w:p w14:paraId="48D92CA4" w14:textId="77777777" w:rsidR="00B3680F" w:rsidRPr="00B3680F" w:rsidRDefault="00B3680F" w:rsidP="00B3680F">
      <w:pPr>
        <w:ind w:left="6140"/>
        <w:rPr>
          <w:rFonts w:ascii="Aptos" w:hAnsi="Aptos"/>
          <w:color w:val="000000"/>
          <w:sz w:val="20"/>
          <w:szCs w:val="20"/>
        </w:rPr>
      </w:pPr>
    </w:p>
    <w:p w14:paraId="4E92666B" w14:textId="77777777" w:rsidR="00B3680F" w:rsidRPr="00B3680F" w:rsidRDefault="00B3680F" w:rsidP="00B3680F">
      <w:pPr>
        <w:rPr>
          <w:rFonts w:ascii="Aptos" w:hAnsi="Aptos"/>
          <w:color w:val="000000"/>
        </w:rPr>
      </w:pPr>
    </w:p>
    <w:p w14:paraId="617004B7" w14:textId="75C19451" w:rsidR="00B3680F" w:rsidRPr="00B3680F" w:rsidRDefault="00B3680F" w:rsidP="00B3680F">
      <w:pPr>
        <w:jc w:val="center"/>
        <w:rPr>
          <w:rFonts w:ascii="Aptos" w:hAnsi="Aptos" w:cs="Tahoma"/>
        </w:rPr>
      </w:pPr>
      <w:r w:rsidRPr="00B3680F">
        <w:rPr>
          <w:rFonts w:ascii="Aptos" w:hAnsi="Aptos" w:cs="Tahoma"/>
        </w:rPr>
        <w:t>79</w:t>
      </w:r>
      <w:r w:rsidRPr="00B3680F">
        <w:rPr>
          <w:rFonts w:ascii="Aptos" w:hAnsi="Aptos" w:cs="Tahoma"/>
          <w:vertAlign w:val="superscript"/>
        </w:rPr>
        <w:t>th</w:t>
      </w:r>
      <w:r w:rsidRPr="00B3680F">
        <w:rPr>
          <w:rFonts w:ascii="Aptos" w:hAnsi="Aptos" w:cs="Tahoma"/>
        </w:rPr>
        <w:t xml:space="preserve"> Session</w:t>
      </w:r>
    </w:p>
    <w:p w14:paraId="2171C543" w14:textId="1854880C" w:rsidR="00B3680F" w:rsidRPr="00B3680F" w:rsidRDefault="00B3680F" w:rsidP="00B3680F">
      <w:pPr>
        <w:jc w:val="center"/>
        <w:rPr>
          <w:rFonts w:ascii="Aptos" w:hAnsi="Aptos" w:cs="Tahoma"/>
        </w:rPr>
      </w:pPr>
      <w:r w:rsidRPr="00B3680F">
        <w:rPr>
          <w:rFonts w:ascii="Aptos" w:hAnsi="Aptos" w:cs="Tahoma"/>
        </w:rPr>
        <w:t>Committee on Economic, Social and Cultural Rights</w:t>
      </w:r>
    </w:p>
    <w:p w14:paraId="24A95A95" w14:textId="77777777" w:rsidR="00B3680F" w:rsidRDefault="00B3680F" w:rsidP="00B3680F">
      <w:pPr>
        <w:rPr>
          <w:color w:val="000000"/>
        </w:rPr>
      </w:pPr>
    </w:p>
    <w:p w14:paraId="1004C54C" w14:textId="77777777" w:rsidR="00B3680F" w:rsidRDefault="00B3680F" w:rsidP="00B3680F">
      <w:pPr>
        <w:rPr>
          <w:color w:val="000000"/>
        </w:rPr>
      </w:pPr>
    </w:p>
    <w:p w14:paraId="2211ACCF" w14:textId="77777777" w:rsidR="00B3680F" w:rsidRDefault="00B3680F" w:rsidP="00B3680F">
      <w:pPr>
        <w:rPr>
          <w:color w:val="000000"/>
        </w:rPr>
      </w:pPr>
    </w:p>
    <w:p w14:paraId="1B1F3D85" w14:textId="77777777" w:rsidR="00B3680F" w:rsidRDefault="00B3680F" w:rsidP="00B3680F">
      <w:pPr>
        <w:rPr>
          <w:color w:val="000000"/>
        </w:rPr>
      </w:pPr>
    </w:p>
    <w:p w14:paraId="7BC12B5C" w14:textId="77777777" w:rsidR="00B3680F" w:rsidRDefault="00B3680F" w:rsidP="00B3680F">
      <w:pPr>
        <w:widowControl w:val="0"/>
        <w:spacing w:line="276" w:lineRule="auto"/>
      </w:pPr>
    </w:p>
    <w:p w14:paraId="3CA963FB" w14:textId="77777777" w:rsidR="00B3680F" w:rsidRDefault="00B3680F" w:rsidP="00B3680F">
      <w:pPr>
        <w:widowControl w:val="0"/>
        <w:spacing w:line="276" w:lineRule="auto"/>
      </w:pPr>
    </w:p>
    <w:p w14:paraId="3EED6888" w14:textId="7EFEB0DD" w:rsidR="00B3680F" w:rsidRPr="00B3680F" w:rsidRDefault="00B3680F" w:rsidP="00B3680F">
      <w:pPr>
        <w:widowControl w:val="0"/>
        <w:spacing w:line="276" w:lineRule="auto"/>
        <w:jc w:val="center"/>
        <w:rPr>
          <w:rFonts w:cs="Tahoma"/>
        </w:rPr>
      </w:pPr>
      <w:r w:rsidRPr="00B3680F">
        <w:rPr>
          <w:rFonts w:cs="Tahoma"/>
        </w:rPr>
        <w:t>January 202</w:t>
      </w:r>
      <w:r w:rsidR="00E90370">
        <w:rPr>
          <w:rFonts w:cs="Tahoma"/>
        </w:rPr>
        <w:t>6</w:t>
      </w:r>
      <w:r>
        <w:br w:type="page"/>
      </w:r>
    </w:p>
    <w:p w14:paraId="2824B04B" w14:textId="1B8B3EBE" w:rsidR="00B3680F" w:rsidRPr="00B3680F" w:rsidRDefault="00B3680F" w:rsidP="00B3680F">
      <w:pPr>
        <w:spacing w:after="0" w:line="240" w:lineRule="auto"/>
        <w:ind w:left="360"/>
        <w:rPr>
          <w:rFonts w:cs="Tahoma"/>
          <w:b/>
          <w:szCs w:val="20"/>
        </w:rPr>
      </w:pPr>
      <w:r>
        <w:rPr>
          <w:rFonts w:cs="Tahoma"/>
          <w:b/>
          <w:szCs w:val="20"/>
        </w:rPr>
        <w:lastRenderedPageBreak/>
        <w:t xml:space="preserve">I. </w:t>
      </w:r>
      <w:r w:rsidRPr="00B3680F">
        <w:rPr>
          <w:rFonts w:cs="Tahoma"/>
          <w:b/>
          <w:szCs w:val="20"/>
        </w:rPr>
        <w:t>Introduction</w:t>
      </w:r>
    </w:p>
    <w:p w14:paraId="19568E8D" w14:textId="62EBE74C" w:rsidR="005C2FB1" w:rsidRPr="00697B5A" w:rsidRDefault="00B3680F" w:rsidP="005C2FB1">
      <w:pPr>
        <w:pStyle w:val="ListParagraph"/>
        <w:numPr>
          <w:ilvl w:val="1"/>
          <w:numId w:val="13"/>
        </w:numPr>
        <w:spacing w:before="100" w:beforeAutospacing="1" w:after="100" w:afterAutospacing="1" w:line="240" w:lineRule="auto"/>
        <w:jc w:val="both"/>
        <w:outlineLvl w:val="2"/>
        <w:rPr>
          <w:rFonts w:ascii="Aptos" w:eastAsia="Times New Roman" w:hAnsi="Aptos" w:cs="Times New Roman"/>
          <w:b/>
          <w:bCs/>
          <w:kern w:val="0"/>
          <w:sz w:val="22"/>
          <w:szCs w:val="22"/>
          <w:lang w:eastAsia="en-GB"/>
          <w14:ligatures w14:val="none"/>
        </w:rPr>
      </w:pPr>
      <w:r w:rsidRPr="00697B5A">
        <w:rPr>
          <w:rFonts w:ascii="Aptos" w:eastAsia="Times New Roman" w:hAnsi="Aptos" w:cs="Times New Roman"/>
          <w:kern w:val="0"/>
          <w:sz w:val="22"/>
          <w:szCs w:val="22"/>
          <w:lang w:eastAsia="en-GB"/>
          <w14:ligatures w14:val="none"/>
        </w:rPr>
        <w:t>This submission supports the Committee’s review of Georgia at the CESCR 79th session and is prepared with reference to Georgia’s State report under the Covenant, List of Issues (LOI) adopted by the Committee</w:t>
      </w:r>
      <w:r w:rsidRPr="00697B5A">
        <w:rPr>
          <w:rFonts w:ascii="Aptos" w:eastAsia="Times New Roman" w:hAnsi="Aptos" w:cs="Times New Roman"/>
          <w:b/>
          <w:bCs/>
          <w:kern w:val="0"/>
          <w:sz w:val="22"/>
          <w:szCs w:val="22"/>
          <w:lang w:eastAsia="en-GB"/>
          <w14:ligatures w14:val="none"/>
        </w:rPr>
        <w:t xml:space="preserve"> </w:t>
      </w:r>
      <w:r w:rsidRPr="00697B5A">
        <w:rPr>
          <w:rFonts w:ascii="Aptos" w:eastAsia="Times New Roman" w:hAnsi="Aptos" w:cs="Times New Roman"/>
          <w:kern w:val="0"/>
          <w:sz w:val="22"/>
          <w:szCs w:val="22"/>
          <w:lang w:eastAsia="en-GB"/>
          <w14:ligatures w14:val="none"/>
        </w:rPr>
        <w:t>and Georgia’s written replies to the LOI</w:t>
      </w:r>
      <w:r w:rsidR="00475D8B" w:rsidRPr="00697B5A">
        <w:rPr>
          <w:rStyle w:val="FootnoteReference"/>
          <w:rFonts w:ascii="Aptos" w:eastAsia="Times New Roman" w:hAnsi="Aptos" w:cs="Times New Roman"/>
          <w:kern w:val="0"/>
          <w:sz w:val="22"/>
          <w:szCs w:val="22"/>
          <w:lang w:eastAsia="en-GB"/>
          <w14:ligatures w14:val="none"/>
        </w:rPr>
        <w:footnoteReference w:id="1"/>
      </w:r>
      <w:r w:rsidRPr="00697B5A">
        <w:rPr>
          <w:rFonts w:ascii="Aptos" w:eastAsia="Times New Roman" w:hAnsi="Aptos" w:cs="Times New Roman"/>
          <w:b/>
          <w:bCs/>
          <w:kern w:val="0"/>
          <w:sz w:val="22"/>
          <w:szCs w:val="22"/>
          <w:lang w:eastAsia="en-GB"/>
          <w14:ligatures w14:val="none"/>
        </w:rPr>
        <w:t xml:space="preserve">. </w:t>
      </w:r>
      <w:r w:rsidR="005C2FB1" w:rsidRPr="00697B5A">
        <w:rPr>
          <w:sz w:val="22"/>
          <w:szCs w:val="22"/>
        </w:rPr>
        <w:t>Because the State party's replies predate major 2025 legal changes, the Committee is encouraged to consider this update when assessing compliance with the Covenant.</w:t>
      </w:r>
    </w:p>
    <w:p w14:paraId="051ECC3A" w14:textId="5B7421A5" w:rsidR="005C2FB1" w:rsidRPr="00697B5A" w:rsidRDefault="005C2FB1" w:rsidP="005C2FB1">
      <w:pPr>
        <w:pStyle w:val="ListParagraph"/>
        <w:numPr>
          <w:ilvl w:val="1"/>
          <w:numId w:val="13"/>
        </w:numPr>
        <w:spacing w:before="100" w:beforeAutospacing="1" w:after="100" w:afterAutospacing="1" w:line="240" w:lineRule="auto"/>
        <w:jc w:val="both"/>
        <w:outlineLvl w:val="2"/>
        <w:rPr>
          <w:rFonts w:ascii="Aptos" w:eastAsia="Times New Roman" w:hAnsi="Aptos" w:cs="Times New Roman"/>
          <w:b/>
          <w:bCs/>
          <w:kern w:val="0"/>
          <w:sz w:val="22"/>
          <w:szCs w:val="22"/>
          <w:lang w:eastAsia="en-GB"/>
          <w14:ligatures w14:val="none"/>
        </w:rPr>
      </w:pPr>
      <w:r w:rsidRPr="00697B5A">
        <w:rPr>
          <w:sz w:val="22"/>
          <w:szCs w:val="22"/>
        </w:rPr>
        <w:t>It responds to the Committee's LOI and highlights gaps in the State party's written replies. LOI paragraph 8 requests information on measures to ensure protection from discrimination</w:t>
      </w:r>
      <w:r w:rsidR="005D3106">
        <w:rPr>
          <w:sz w:val="22"/>
          <w:szCs w:val="22"/>
        </w:rPr>
        <w:t xml:space="preserve">, </w:t>
      </w:r>
      <w:r w:rsidRPr="00697B5A">
        <w:rPr>
          <w:sz w:val="22"/>
          <w:szCs w:val="22"/>
        </w:rPr>
        <w:t>including for LGBTQ persons</w:t>
      </w:r>
      <w:r w:rsidR="005D3106">
        <w:rPr>
          <w:sz w:val="22"/>
          <w:szCs w:val="22"/>
        </w:rPr>
        <w:t xml:space="preserve">, </w:t>
      </w:r>
      <w:r w:rsidRPr="00697B5A">
        <w:rPr>
          <w:sz w:val="22"/>
          <w:szCs w:val="22"/>
        </w:rPr>
        <w:t xml:space="preserve">and steps taken to ensure equal rights for same-sex couples. LOI paragraph 14 requests information on </w:t>
      </w:r>
      <w:r w:rsidR="00772C49">
        <w:rPr>
          <w:sz w:val="22"/>
          <w:szCs w:val="22"/>
        </w:rPr>
        <w:t xml:space="preserve">pay </w:t>
      </w:r>
      <w:r w:rsidRPr="00697B5A">
        <w:rPr>
          <w:sz w:val="22"/>
          <w:szCs w:val="22"/>
        </w:rPr>
        <w:t>discrimination cases and data disaggregated by, inter alia, sexual orientation and gender identity.</w:t>
      </w:r>
    </w:p>
    <w:p w14:paraId="16D0F36C" w14:textId="52A4C284" w:rsidR="00B3680F" w:rsidRPr="00697B5A" w:rsidRDefault="00B3680F" w:rsidP="005C2FB1">
      <w:pPr>
        <w:pStyle w:val="ListParagraph"/>
        <w:numPr>
          <w:ilvl w:val="1"/>
          <w:numId w:val="13"/>
        </w:numPr>
        <w:spacing w:before="100" w:beforeAutospacing="1" w:after="100" w:afterAutospacing="1" w:line="240" w:lineRule="auto"/>
        <w:jc w:val="both"/>
        <w:outlineLvl w:val="2"/>
        <w:rPr>
          <w:rFonts w:ascii="Aptos" w:eastAsia="Times New Roman" w:hAnsi="Aptos" w:cs="Times New Roman"/>
          <w:b/>
          <w:bCs/>
          <w:kern w:val="0"/>
          <w:sz w:val="22"/>
          <w:szCs w:val="22"/>
          <w:lang w:eastAsia="en-GB"/>
          <w14:ligatures w14:val="none"/>
        </w:rPr>
      </w:pPr>
      <w:r w:rsidRPr="00697B5A">
        <w:rPr>
          <w:rFonts w:ascii="Aptos" w:eastAsia="Times New Roman" w:hAnsi="Aptos" w:cs="Times New Roman"/>
          <w:kern w:val="0"/>
          <w:sz w:val="22"/>
          <w:szCs w:val="22"/>
          <w:lang w:eastAsia="en-GB"/>
          <w14:ligatures w14:val="none"/>
        </w:rPr>
        <w:t>The focus of the report is</w:t>
      </w:r>
      <w:r w:rsidRPr="00697B5A">
        <w:rPr>
          <w:rFonts w:ascii="Aptos" w:eastAsia="Times New Roman" w:hAnsi="Aptos" w:cs="Times New Roman"/>
          <w:b/>
          <w:bCs/>
          <w:kern w:val="0"/>
          <w:sz w:val="22"/>
          <w:szCs w:val="22"/>
          <w:lang w:eastAsia="en-GB"/>
          <w14:ligatures w14:val="none"/>
        </w:rPr>
        <w:t xml:space="preserve"> </w:t>
      </w:r>
      <w:r w:rsidRPr="00697B5A">
        <w:rPr>
          <w:rFonts w:ascii="Aptos" w:eastAsia="Times New Roman" w:hAnsi="Aptos" w:cs="Times New Roman"/>
          <w:kern w:val="0"/>
          <w:sz w:val="22"/>
          <w:szCs w:val="22"/>
          <w:lang w:eastAsia="en-GB"/>
          <w14:ligatures w14:val="none"/>
        </w:rPr>
        <w:t>the enjoyment of economic, social and cultural rights (ESCR) by people affected by discrimination based on sexual orientation, gender identity</w:t>
      </w:r>
      <w:r w:rsidR="005D3106">
        <w:rPr>
          <w:rFonts w:ascii="Aptos" w:eastAsia="Times New Roman" w:hAnsi="Aptos" w:cs="Times New Roman"/>
          <w:kern w:val="0"/>
          <w:sz w:val="22"/>
          <w:szCs w:val="22"/>
          <w:lang w:eastAsia="en-GB"/>
          <w14:ligatures w14:val="none"/>
        </w:rPr>
        <w:t xml:space="preserve">, </w:t>
      </w:r>
      <w:r w:rsidRPr="00697B5A">
        <w:rPr>
          <w:rFonts w:ascii="Aptos" w:eastAsia="Times New Roman" w:hAnsi="Aptos" w:cs="Times New Roman"/>
          <w:kern w:val="0"/>
          <w:sz w:val="22"/>
          <w:szCs w:val="22"/>
          <w:lang w:eastAsia="en-GB"/>
          <w14:ligatures w14:val="none"/>
        </w:rPr>
        <w:t>expression, and sex characteristics (SOGIESC), with particular attention to: (1) the 2024 anti-LGBT</w:t>
      </w:r>
      <w:r w:rsidR="00D67FD5">
        <w:rPr>
          <w:rFonts w:ascii="Aptos" w:eastAsia="Times New Roman" w:hAnsi="Aptos" w:cs="Times New Roman"/>
          <w:kern w:val="0"/>
          <w:sz w:val="22"/>
          <w:szCs w:val="22"/>
          <w:lang w:eastAsia="en-GB"/>
          <w14:ligatures w14:val="none"/>
        </w:rPr>
        <w:t>Q</w:t>
      </w:r>
      <w:r w:rsidRPr="00697B5A">
        <w:rPr>
          <w:rFonts w:ascii="Aptos" w:eastAsia="Times New Roman" w:hAnsi="Aptos" w:cs="Times New Roman"/>
          <w:kern w:val="0"/>
          <w:sz w:val="22"/>
          <w:szCs w:val="22"/>
          <w:lang w:eastAsia="en-GB"/>
          <w14:ligatures w14:val="none"/>
        </w:rPr>
        <w:t xml:space="preserve"> legislative package and its ESCR impacts; (2) discrimination, violence and lack of effective remedies towards LGBTQ people; (3) restricted access to hormone therapy and lack of accessible legal gender recognition for trans people; (4) access to health, education, social protection, </w:t>
      </w:r>
      <w:r w:rsidR="005D3106">
        <w:rPr>
          <w:rFonts w:ascii="Aptos" w:eastAsia="Times New Roman" w:hAnsi="Aptos" w:cs="Times New Roman"/>
          <w:kern w:val="0"/>
          <w:sz w:val="22"/>
          <w:szCs w:val="22"/>
          <w:lang w:eastAsia="en-GB"/>
          <w14:ligatures w14:val="none"/>
        </w:rPr>
        <w:t xml:space="preserve">and </w:t>
      </w:r>
      <w:r w:rsidRPr="00697B5A">
        <w:rPr>
          <w:rFonts w:ascii="Aptos" w:eastAsia="Times New Roman" w:hAnsi="Aptos" w:cs="Times New Roman"/>
          <w:kern w:val="0"/>
          <w:sz w:val="22"/>
          <w:szCs w:val="22"/>
          <w:lang w:eastAsia="en-GB"/>
          <w14:ligatures w14:val="none"/>
        </w:rPr>
        <w:t xml:space="preserve">housing; and (5) impact of the 2024 “foreign influence” law on civil society organizations (CSOs) providing </w:t>
      </w:r>
      <w:r w:rsidR="005D3106">
        <w:rPr>
          <w:rFonts w:ascii="Aptos" w:eastAsia="Times New Roman" w:hAnsi="Aptos" w:cs="Times New Roman"/>
          <w:kern w:val="0"/>
          <w:sz w:val="22"/>
          <w:szCs w:val="22"/>
          <w:lang w:eastAsia="en-GB"/>
          <w14:ligatures w14:val="none"/>
        </w:rPr>
        <w:t xml:space="preserve">services to </w:t>
      </w:r>
      <w:r w:rsidRPr="00697B5A">
        <w:rPr>
          <w:rFonts w:ascii="Aptos" w:eastAsia="Times New Roman" w:hAnsi="Aptos" w:cs="Times New Roman"/>
          <w:kern w:val="0"/>
          <w:sz w:val="22"/>
          <w:szCs w:val="22"/>
          <w:lang w:eastAsia="en-GB"/>
          <w14:ligatures w14:val="none"/>
        </w:rPr>
        <w:t>LGBTQ</w:t>
      </w:r>
      <w:r w:rsidR="005D3106">
        <w:rPr>
          <w:rFonts w:ascii="Aptos" w:eastAsia="Times New Roman" w:hAnsi="Aptos" w:cs="Times New Roman"/>
          <w:kern w:val="0"/>
          <w:sz w:val="22"/>
          <w:szCs w:val="22"/>
          <w:lang w:eastAsia="en-GB"/>
          <w14:ligatures w14:val="none"/>
        </w:rPr>
        <w:t xml:space="preserve"> people</w:t>
      </w:r>
      <w:r w:rsidRPr="00697B5A">
        <w:rPr>
          <w:rFonts w:ascii="Aptos" w:eastAsia="Times New Roman" w:hAnsi="Aptos" w:cs="Times New Roman"/>
          <w:kern w:val="0"/>
          <w:sz w:val="22"/>
          <w:szCs w:val="22"/>
          <w:lang w:eastAsia="en-GB"/>
          <w14:ligatures w14:val="none"/>
        </w:rPr>
        <w:t>.</w:t>
      </w:r>
    </w:p>
    <w:p w14:paraId="69173D6A" w14:textId="79163A1F" w:rsidR="00B3680F" w:rsidRPr="00B3680F" w:rsidRDefault="00B3680F" w:rsidP="00B3680F">
      <w:pPr>
        <w:pStyle w:val="ListParagraph"/>
        <w:numPr>
          <w:ilvl w:val="1"/>
          <w:numId w:val="13"/>
        </w:numPr>
        <w:spacing w:before="100" w:beforeAutospacing="1" w:after="100" w:afterAutospacing="1" w:line="240" w:lineRule="auto"/>
        <w:jc w:val="both"/>
        <w:outlineLvl w:val="2"/>
        <w:rPr>
          <w:rFonts w:ascii="Aptos" w:eastAsia="Times New Roman" w:hAnsi="Aptos" w:cs="Times New Roman"/>
          <w:kern w:val="0"/>
          <w:sz w:val="22"/>
          <w:szCs w:val="22"/>
          <w:lang w:eastAsia="en-GB"/>
          <w14:ligatures w14:val="none"/>
        </w:rPr>
      </w:pPr>
      <w:r w:rsidRPr="00B3680F">
        <w:rPr>
          <w:rFonts w:ascii="Aptos" w:eastAsia="Times New Roman" w:hAnsi="Aptos" w:cs="Times New Roman"/>
          <w:kern w:val="0"/>
          <w:sz w:val="22"/>
          <w:szCs w:val="22"/>
          <w:lang w:eastAsia="en-GB"/>
          <w14:ligatures w14:val="none"/>
        </w:rPr>
        <w:t xml:space="preserve">This report is based on: (a) aggregated community </w:t>
      </w:r>
      <w:r w:rsidRPr="00697B5A">
        <w:rPr>
          <w:rFonts w:ascii="Aptos" w:eastAsia="Times New Roman" w:hAnsi="Aptos" w:cs="Times New Roman"/>
          <w:kern w:val="0"/>
          <w:sz w:val="22"/>
          <w:szCs w:val="22"/>
          <w:lang w:eastAsia="en-GB"/>
          <w14:ligatures w14:val="none"/>
        </w:rPr>
        <w:t>monitoring and docum</w:t>
      </w:r>
      <w:r w:rsidR="00815812" w:rsidRPr="00697B5A">
        <w:rPr>
          <w:rFonts w:ascii="Aptos" w:eastAsia="Times New Roman" w:hAnsi="Aptos" w:cs="Times New Roman"/>
          <w:kern w:val="0"/>
          <w:sz w:val="22"/>
          <w:szCs w:val="22"/>
          <w:lang w:eastAsia="en-GB"/>
          <w14:ligatures w14:val="none"/>
        </w:rPr>
        <w:t>e</w:t>
      </w:r>
      <w:r w:rsidRPr="00697B5A">
        <w:rPr>
          <w:rFonts w:ascii="Aptos" w:eastAsia="Times New Roman" w:hAnsi="Aptos" w:cs="Times New Roman"/>
          <w:kern w:val="0"/>
          <w:sz w:val="22"/>
          <w:szCs w:val="22"/>
          <w:lang w:eastAsia="en-GB"/>
          <w14:ligatures w14:val="none"/>
        </w:rPr>
        <w:t xml:space="preserve">ntation </w:t>
      </w:r>
      <w:r w:rsidRPr="00B3680F">
        <w:rPr>
          <w:rFonts w:ascii="Aptos" w:eastAsia="Times New Roman" w:hAnsi="Aptos" w:cs="Times New Roman"/>
          <w:kern w:val="0"/>
          <w:sz w:val="22"/>
          <w:szCs w:val="22"/>
          <w:lang w:eastAsia="en-GB"/>
          <w14:ligatures w14:val="none"/>
        </w:rPr>
        <w:t xml:space="preserve">casework, psychosocial support, and community health/HIV-related services </w:t>
      </w:r>
      <w:r w:rsidRPr="00697B5A">
        <w:rPr>
          <w:rFonts w:ascii="Aptos" w:eastAsia="Times New Roman" w:hAnsi="Aptos" w:cs="Times New Roman"/>
          <w:kern w:val="0"/>
          <w:sz w:val="22"/>
          <w:szCs w:val="22"/>
          <w:lang w:eastAsia="en-GB"/>
          <w14:ligatures w14:val="none"/>
        </w:rPr>
        <w:t xml:space="preserve">delivery conducted in </w:t>
      </w:r>
      <w:r w:rsidRPr="00B3680F">
        <w:rPr>
          <w:rFonts w:ascii="Aptos" w:eastAsia="Times New Roman" w:hAnsi="Aptos" w:cs="Times New Roman"/>
          <w:kern w:val="0"/>
          <w:sz w:val="22"/>
          <w:szCs w:val="22"/>
          <w:lang w:eastAsia="en-GB"/>
          <w14:ligatures w14:val="none"/>
        </w:rPr>
        <w:t>2023–2025</w:t>
      </w:r>
      <w:r w:rsidR="00697B5A">
        <w:rPr>
          <w:rFonts w:ascii="Aptos" w:eastAsia="Times New Roman" w:hAnsi="Aptos" w:cs="Times New Roman"/>
          <w:kern w:val="0"/>
          <w:sz w:val="22"/>
          <w:szCs w:val="22"/>
          <w:lang w:eastAsia="en-GB"/>
          <w14:ligatures w14:val="none"/>
        </w:rPr>
        <w:t xml:space="preserve"> by ECOM and its partners</w:t>
      </w:r>
      <w:r w:rsidRPr="00B3680F">
        <w:rPr>
          <w:rFonts w:ascii="Aptos" w:eastAsia="Times New Roman" w:hAnsi="Aptos" w:cs="Times New Roman"/>
          <w:kern w:val="0"/>
          <w:sz w:val="22"/>
          <w:szCs w:val="22"/>
          <w:lang w:eastAsia="en-GB"/>
          <w14:ligatures w14:val="none"/>
        </w:rPr>
        <w:t>; (b) desk review of laws</w:t>
      </w:r>
      <w:r w:rsidR="005D3106">
        <w:rPr>
          <w:rFonts w:ascii="Aptos" w:eastAsia="Times New Roman" w:hAnsi="Aptos" w:cs="Times New Roman"/>
          <w:kern w:val="0"/>
          <w:sz w:val="22"/>
          <w:szCs w:val="22"/>
          <w:lang w:eastAsia="en-GB"/>
          <w14:ligatures w14:val="none"/>
        </w:rPr>
        <w:t xml:space="preserve">, </w:t>
      </w:r>
      <w:r w:rsidRPr="00B3680F">
        <w:rPr>
          <w:rFonts w:ascii="Aptos" w:eastAsia="Times New Roman" w:hAnsi="Aptos" w:cs="Times New Roman"/>
          <w:kern w:val="0"/>
          <w:sz w:val="22"/>
          <w:szCs w:val="22"/>
          <w:lang w:eastAsia="en-GB"/>
          <w14:ligatures w14:val="none"/>
        </w:rPr>
        <w:t>policies and legal opinions; (c) public reports by national and international monitoring bodies; and (d) anonymised testimonies collected by community organisations</w:t>
      </w:r>
      <w:r w:rsidR="00815812" w:rsidRPr="00697B5A">
        <w:rPr>
          <w:rFonts w:ascii="Aptos" w:eastAsia="Times New Roman" w:hAnsi="Aptos" w:cs="Times New Roman"/>
          <w:kern w:val="0"/>
          <w:sz w:val="22"/>
          <w:szCs w:val="22"/>
          <w:lang w:eastAsia="en-GB"/>
          <w14:ligatures w14:val="none"/>
        </w:rPr>
        <w:t xml:space="preserve"> in Georgia, collected </w:t>
      </w:r>
      <w:r w:rsidRPr="00B3680F">
        <w:rPr>
          <w:rFonts w:ascii="Aptos" w:eastAsia="Times New Roman" w:hAnsi="Aptos" w:cs="Times New Roman"/>
          <w:kern w:val="0"/>
          <w:sz w:val="22"/>
          <w:szCs w:val="22"/>
          <w:lang w:eastAsia="en-GB"/>
          <w14:ligatures w14:val="none"/>
        </w:rPr>
        <w:t>with informed consent and risk assessment.</w:t>
      </w:r>
      <w:r w:rsidR="005C2FB1">
        <w:rPr>
          <w:rFonts w:ascii="Aptos" w:eastAsia="Times New Roman" w:hAnsi="Aptos" w:cs="Times New Roman"/>
          <w:kern w:val="0"/>
          <w:sz w:val="22"/>
          <w:szCs w:val="22"/>
          <w:lang w:eastAsia="en-GB"/>
          <w14:ligatures w14:val="none"/>
        </w:rPr>
        <w:br/>
      </w:r>
    </w:p>
    <w:p w14:paraId="2EDC0F4A" w14:textId="55D1B12C" w:rsidR="005C2FB1" w:rsidRPr="003E3014" w:rsidRDefault="005C2FB1" w:rsidP="003E3014">
      <w:pPr>
        <w:pStyle w:val="ListParagraph"/>
        <w:numPr>
          <w:ilvl w:val="0"/>
          <w:numId w:val="13"/>
        </w:numPr>
        <w:spacing w:after="0" w:line="240" w:lineRule="auto"/>
        <w:rPr>
          <w:rFonts w:cs="Tahoma"/>
          <w:b/>
          <w:szCs w:val="20"/>
        </w:rPr>
      </w:pPr>
      <w:r w:rsidRPr="005C2FB1">
        <w:rPr>
          <w:rFonts w:cs="Tahoma"/>
          <w:b/>
          <w:szCs w:val="20"/>
        </w:rPr>
        <w:t>Key legislative and policy regression affecting ESCR of LGBT</w:t>
      </w:r>
      <w:r w:rsidR="00D67FD5">
        <w:rPr>
          <w:rFonts w:cs="Tahoma"/>
          <w:b/>
          <w:szCs w:val="20"/>
        </w:rPr>
        <w:t>Q</w:t>
      </w:r>
      <w:r w:rsidRPr="005C2FB1">
        <w:rPr>
          <w:rFonts w:cs="Tahoma"/>
          <w:b/>
          <w:szCs w:val="20"/>
        </w:rPr>
        <w:t xml:space="preserve"> people </w:t>
      </w:r>
      <w:r w:rsidR="003E3014">
        <w:rPr>
          <w:rFonts w:cs="Tahoma"/>
          <w:b/>
          <w:szCs w:val="20"/>
        </w:rPr>
        <w:br/>
      </w:r>
    </w:p>
    <w:p w14:paraId="497EBA68" w14:textId="7D5E9CA3" w:rsidR="005C2FB1" w:rsidRDefault="005C2FB1" w:rsidP="005C2FB1">
      <w:pPr>
        <w:pStyle w:val="ListParagraph"/>
        <w:numPr>
          <w:ilvl w:val="0"/>
          <w:numId w:val="15"/>
        </w:numPr>
        <w:spacing w:before="100" w:beforeAutospacing="1" w:after="100" w:afterAutospacing="1" w:line="240" w:lineRule="auto"/>
        <w:jc w:val="both"/>
        <w:outlineLvl w:val="2"/>
        <w:rPr>
          <w:rFonts w:ascii="Aptos" w:eastAsia="Times New Roman" w:hAnsi="Aptos" w:cs="Times New Roman"/>
          <w:kern w:val="0"/>
          <w:sz w:val="22"/>
          <w:szCs w:val="22"/>
          <w:lang w:eastAsia="en-GB"/>
          <w14:ligatures w14:val="none"/>
        </w:rPr>
      </w:pPr>
      <w:r w:rsidRPr="005C2FB1">
        <w:rPr>
          <w:rFonts w:ascii="Aptos" w:eastAsia="Times New Roman" w:hAnsi="Aptos" w:cs="Times New Roman"/>
          <w:kern w:val="0"/>
          <w:sz w:val="22"/>
          <w:szCs w:val="22"/>
          <w:lang w:eastAsia="en-GB"/>
          <w14:ligatures w14:val="none"/>
        </w:rPr>
        <w:t>Since 2024, Georgia has adopted laws and amendments that restrict civic space and institutionalise discrimination. These developments have direct and foreseeable impacts on LGBT</w:t>
      </w:r>
      <w:r w:rsidR="00697B5A">
        <w:rPr>
          <w:rFonts w:ascii="Aptos" w:eastAsia="Times New Roman" w:hAnsi="Aptos" w:cs="Times New Roman"/>
          <w:kern w:val="0"/>
          <w:sz w:val="22"/>
          <w:szCs w:val="22"/>
          <w:lang w:eastAsia="en-GB"/>
          <w14:ligatures w14:val="none"/>
        </w:rPr>
        <w:t>Q</w:t>
      </w:r>
      <w:r w:rsidRPr="005C2FB1">
        <w:rPr>
          <w:rFonts w:ascii="Aptos" w:eastAsia="Times New Roman" w:hAnsi="Aptos" w:cs="Times New Roman"/>
          <w:kern w:val="0"/>
          <w:sz w:val="22"/>
          <w:szCs w:val="22"/>
          <w:lang w:eastAsia="en-GB"/>
          <w14:ligatures w14:val="none"/>
        </w:rPr>
        <w:t xml:space="preserve"> people's access to health, education, work, housing and social protection, and on the ability of CSOs to deliver essential services.</w:t>
      </w:r>
    </w:p>
    <w:p w14:paraId="1366BDA2" w14:textId="4E842AF7" w:rsidR="005C2FB1" w:rsidRPr="005C2FB1" w:rsidRDefault="005C2FB1" w:rsidP="005C2FB1">
      <w:pPr>
        <w:pStyle w:val="ListParagraph"/>
        <w:numPr>
          <w:ilvl w:val="0"/>
          <w:numId w:val="15"/>
        </w:numPr>
        <w:spacing w:before="100" w:beforeAutospacing="1" w:after="100" w:afterAutospacing="1" w:line="240" w:lineRule="auto"/>
        <w:jc w:val="both"/>
        <w:outlineLvl w:val="2"/>
        <w:rPr>
          <w:rFonts w:ascii="Aptos" w:eastAsia="Times New Roman" w:hAnsi="Aptos" w:cs="Times New Roman"/>
          <w:kern w:val="0"/>
          <w:sz w:val="22"/>
          <w:szCs w:val="22"/>
          <w:lang w:eastAsia="en-GB"/>
          <w14:ligatures w14:val="none"/>
        </w:rPr>
      </w:pPr>
      <w:r w:rsidRPr="005C2FB1">
        <w:rPr>
          <w:rFonts w:ascii="Aptos" w:hAnsi="Aptos"/>
          <w:sz w:val="22"/>
          <w:szCs w:val="22"/>
        </w:rPr>
        <w:t>On 28 May 2024, Parliament adopted the Law of Georgia on Transparency of Foreign Influence</w:t>
      </w:r>
      <w:r w:rsidR="00697B5A">
        <w:rPr>
          <w:rStyle w:val="FootnoteReference"/>
          <w:rFonts w:ascii="Aptos" w:hAnsi="Aptos"/>
          <w:sz w:val="22"/>
          <w:szCs w:val="22"/>
        </w:rPr>
        <w:footnoteReference w:id="2"/>
      </w:r>
      <w:r w:rsidRPr="005C2FB1">
        <w:rPr>
          <w:rFonts w:ascii="Aptos" w:hAnsi="Aptos"/>
          <w:sz w:val="22"/>
          <w:szCs w:val="22"/>
        </w:rPr>
        <w:t xml:space="preserve">. The law requires certain entities receiving more than 20% of annual income from foreign sources to register under a stigmatising label and to comply with extensive reporting and monitoring requirements. Authoritative international legal reviews raised serious concerns regarding legality, necessity </w:t>
      </w:r>
      <w:r w:rsidRPr="005C2FB1">
        <w:rPr>
          <w:rFonts w:ascii="Aptos" w:hAnsi="Aptos"/>
          <w:sz w:val="22"/>
          <w:szCs w:val="22"/>
        </w:rPr>
        <w:lastRenderedPageBreak/>
        <w:t>and proportionality and warned about a chilling effect on freedom of association and expression.</w:t>
      </w:r>
      <w:r w:rsidR="00697B5A">
        <w:rPr>
          <w:rStyle w:val="FootnoteReference"/>
          <w:rFonts w:ascii="Aptos" w:hAnsi="Aptos"/>
          <w:sz w:val="22"/>
          <w:szCs w:val="22"/>
        </w:rPr>
        <w:footnoteReference w:id="3"/>
      </w:r>
      <w:r w:rsidR="00697B5A">
        <w:rPr>
          <w:rFonts w:ascii="Aptos" w:hAnsi="Aptos"/>
          <w:sz w:val="22"/>
          <w:szCs w:val="22"/>
        </w:rPr>
        <w:t xml:space="preserve"> </w:t>
      </w:r>
      <w:r w:rsidR="00697B5A">
        <w:rPr>
          <w:rStyle w:val="FootnoteReference"/>
          <w:rFonts w:ascii="Aptos" w:hAnsi="Aptos"/>
          <w:sz w:val="22"/>
          <w:szCs w:val="22"/>
        </w:rPr>
        <w:footnoteReference w:id="4"/>
      </w:r>
      <w:r w:rsidR="00697B5A">
        <w:rPr>
          <w:rFonts w:ascii="Aptos" w:hAnsi="Aptos"/>
          <w:sz w:val="22"/>
          <w:szCs w:val="22"/>
        </w:rPr>
        <w:t xml:space="preserve"> </w:t>
      </w:r>
      <w:r w:rsidR="00697B5A">
        <w:rPr>
          <w:rStyle w:val="FootnoteReference"/>
          <w:rFonts w:ascii="Aptos" w:hAnsi="Aptos"/>
          <w:sz w:val="22"/>
          <w:szCs w:val="22"/>
        </w:rPr>
        <w:footnoteReference w:id="5"/>
      </w:r>
    </w:p>
    <w:p w14:paraId="7F6D4AA3" w14:textId="3F7130A7" w:rsidR="005C2FB1" w:rsidRPr="005C2FB1" w:rsidRDefault="005C2FB1" w:rsidP="005C2FB1">
      <w:pPr>
        <w:pStyle w:val="ListParagraph"/>
        <w:numPr>
          <w:ilvl w:val="0"/>
          <w:numId w:val="15"/>
        </w:numPr>
        <w:spacing w:before="100" w:beforeAutospacing="1" w:after="100" w:afterAutospacing="1" w:line="240" w:lineRule="auto"/>
        <w:jc w:val="both"/>
        <w:outlineLvl w:val="2"/>
        <w:rPr>
          <w:rFonts w:ascii="Aptos" w:eastAsia="Times New Roman" w:hAnsi="Aptos" w:cs="Times New Roman"/>
          <w:kern w:val="0"/>
          <w:sz w:val="22"/>
          <w:szCs w:val="22"/>
          <w:lang w:eastAsia="en-GB"/>
          <w14:ligatures w14:val="none"/>
        </w:rPr>
      </w:pPr>
      <w:r w:rsidRPr="005C2FB1">
        <w:rPr>
          <w:rFonts w:ascii="Aptos" w:hAnsi="Aptos"/>
          <w:sz w:val="22"/>
          <w:szCs w:val="22"/>
        </w:rPr>
        <w:t>On 17 September 2024, Georgia adopted the Law on Family Values and Protection of Minors</w:t>
      </w:r>
      <w:r w:rsidR="00697B5A">
        <w:rPr>
          <w:rStyle w:val="FootnoteReference"/>
          <w:rFonts w:ascii="Aptos" w:hAnsi="Aptos"/>
          <w:sz w:val="22"/>
          <w:szCs w:val="22"/>
        </w:rPr>
        <w:footnoteReference w:id="6"/>
      </w:r>
      <w:r w:rsidRPr="005C2FB1">
        <w:rPr>
          <w:rFonts w:ascii="Aptos" w:hAnsi="Aptos"/>
          <w:sz w:val="22"/>
          <w:szCs w:val="22"/>
        </w:rPr>
        <w:t>. The law introduces restrictions affecting public expression, assembly and access to information related to sexual orientation and gender identity. It also contains provisions widely understood as restricting gender-affirming healthcare. UN experts warned that the law presents risks to equality and non-discrimination and harms rights to education and health, among others.</w:t>
      </w:r>
      <w:r w:rsidR="00697B5A">
        <w:rPr>
          <w:rStyle w:val="FootnoteReference"/>
          <w:rFonts w:ascii="Aptos" w:hAnsi="Aptos"/>
          <w:sz w:val="22"/>
          <w:szCs w:val="22"/>
        </w:rPr>
        <w:footnoteReference w:id="7"/>
      </w:r>
      <w:r w:rsidR="00697B5A">
        <w:rPr>
          <w:rFonts w:ascii="Aptos" w:hAnsi="Aptos"/>
          <w:sz w:val="22"/>
          <w:szCs w:val="22"/>
        </w:rPr>
        <w:t xml:space="preserve"> </w:t>
      </w:r>
      <w:r w:rsidR="00697B5A">
        <w:rPr>
          <w:rStyle w:val="FootnoteReference"/>
          <w:rFonts w:ascii="Aptos" w:hAnsi="Aptos"/>
          <w:sz w:val="22"/>
          <w:szCs w:val="22"/>
        </w:rPr>
        <w:footnoteReference w:id="8"/>
      </w:r>
    </w:p>
    <w:p w14:paraId="05604847" w14:textId="4CD8A99B" w:rsidR="005C2FB1" w:rsidRPr="005C2FB1" w:rsidRDefault="005C2FB1" w:rsidP="005C2FB1">
      <w:pPr>
        <w:pStyle w:val="ListParagraph"/>
        <w:numPr>
          <w:ilvl w:val="0"/>
          <w:numId w:val="15"/>
        </w:numPr>
        <w:spacing w:before="100" w:beforeAutospacing="1" w:after="100" w:afterAutospacing="1" w:line="240" w:lineRule="auto"/>
        <w:jc w:val="both"/>
        <w:outlineLvl w:val="2"/>
        <w:rPr>
          <w:rFonts w:ascii="Aptos" w:eastAsia="Times New Roman" w:hAnsi="Aptos" w:cs="Times New Roman"/>
          <w:kern w:val="0"/>
          <w:sz w:val="22"/>
          <w:szCs w:val="22"/>
          <w:lang w:eastAsia="en-GB"/>
          <w14:ligatures w14:val="none"/>
        </w:rPr>
      </w:pPr>
      <w:r w:rsidRPr="005C2FB1">
        <w:rPr>
          <w:rFonts w:ascii="Aptos" w:hAnsi="Aptos"/>
          <w:sz w:val="22"/>
          <w:szCs w:val="22"/>
        </w:rPr>
        <w:t>In 2025, authorities expanded the 'foreign influence' architecture. On 1 April 2025, the Foreign Agents Registration Act (FARA) established a broad registration and reporting regime and introduced criminal liability for non-compliance.</w:t>
      </w:r>
      <w:r w:rsidR="00697B5A">
        <w:rPr>
          <w:rStyle w:val="FootnoteReference"/>
          <w:rFonts w:ascii="Aptos" w:hAnsi="Aptos"/>
          <w:sz w:val="22"/>
          <w:szCs w:val="22"/>
        </w:rPr>
        <w:footnoteReference w:id="9"/>
      </w:r>
      <w:r w:rsidR="005D3106">
        <w:rPr>
          <w:rFonts w:ascii="Aptos" w:hAnsi="Aptos"/>
          <w:sz w:val="22"/>
          <w:szCs w:val="22"/>
        </w:rPr>
        <w:t xml:space="preserve"> </w:t>
      </w:r>
      <w:r w:rsidR="00697B5A">
        <w:rPr>
          <w:rStyle w:val="FootnoteReference"/>
          <w:rFonts w:ascii="Aptos" w:hAnsi="Aptos"/>
          <w:sz w:val="22"/>
          <w:szCs w:val="22"/>
        </w:rPr>
        <w:footnoteReference w:id="10"/>
      </w:r>
      <w:r w:rsidR="00697B5A">
        <w:rPr>
          <w:rFonts w:ascii="Aptos" w:hAnsi="Aptos"/>
          <w:sz w:val="22"/>
          <w:szCs w:val="22"/>
        </w:rPr>
        <w:t xml:space="preserve"> </w:t>
      </w:r>
      <w:r w:rsidRPr="005C2FB1">
        <w:rPr>
          <w:rFonts w:ascii="Aptos" w:hAnsi="Aptos"/>
          <w:sz w:val="22"/>
          <w:szCs w:val="22"/>
        </w:rPr>
        <w:t>Amendments to the Law on Grants introduced restrictions requiring prior state consent for grants from foreign donors, creating legal uncertainty and additional barriers for organisations and beneficiaries.</w:t>
      </w:r>
      <w:r w:rsidR="00697B5A">
        <w:rPr>
          <w:rStyle w:val="FootnoteReference"/>
          <w:rFonts w:ascii="Aptos" w:hAnsi="Aptos"/>
          <w:sz w:val="22"/>
          <w:szCs w:val="22"/>
        </w:rPr>
        <w:footnoteReference w:id="11"/>
      </w:r>
      <w:r w:rsidR="00697B5A">
        <w:rPr>
          <w:rFonts w:ascii="Aptos" w:hAnsi="Aptos"/>
          <w:sz w:val="22"/>
          <w:szCs w:val="22"/>
        </w:rPr>
        <w:t xml:space="preserve"> </w:t>
      </w:r>
      <w:r w:rsidR="00697B5A">
        <w:rPr>
          <w:rStyle w:val="FootnoteReference"/>
          <w:rFonts w:ascii="Aptos" w:hAnsi="Aptos"/>
          <w:sz w:val="22"/>
          <w:szCs w:val="22"/>
        </w:rPr>
        <w:footnoteReference w:id="12"/>
      </w:r>
    </w:p>
    <w:p w14:paraId="013DFB23" w14:textId="19C0BE41" w:rsidR="005C2FB1" w:rsidRPr="005C2FB1" w:rsidRDefault="005C2FB1" w:rsidP="005C2FB1">
      <w:pPr>
        <w:pStyle w:val="ListParagraph"/>
        <w:numPr>
          <w:ilvl w:val="0"/>
          <w:numId w:val="15"/>
        </w:numPr>
        <w:spacing w:before="100" w:beforeAutospacing="1" w:after="100" w:afterAutospacing="1" w:line="240" w:lineRule="auto"/>
        <w:jc w:val="both"/>
        <w:outlineLvl w:val="2"/>
        <w:rPr>
          <w:rFonts w:ascii="Aptos" w:eastAsia="Times New Roman" w:hAnsi="Aptos" w:cs="Times New Roman"/>
          <w:kern w:val="0"/>
          <w:sz w:val="22"/>
          <w:szCs w:val="22"/>
          <w:lang w:eastAsia="en-GB"/>
          <w14:ligatures w14:val="none"/>
        </w:rPr>
      </w:pPr>
      <w:r w:rsidRPr="005C2FB1">
        <w:rPr>
          <w:rFonts w:ascii="Aptos" w:hAnsi="Aptos"/>
          <w:sz w:val="22"/>
          <w:szCs w:val="22"/>
        </w:rPr>
        <w:t>In 2025, Parliament also initiated and adopted amendments aimed at removing the terms 'gender' and 'gender identity' from multiple laws</w:t>
      </w:r>
      <w:r w:rsidR="00697B5A">
        <w:rPr>
          <w:rStyle w:val="FootnoteReference"/>
          <w:rFonts w:ascii="Aptos" w:hAnsi="Aptos"/>
          <w:sz w:val="22"/>
          <w:szCs w:val="22"/>
        </w:rPr>
        <w:footnoteReference w:id="13"/>
      </w:r>
      <w:r w:rsidRPr="005C2FB1">
        <w:rPr>
          <w:rFonts w:ascii="Aptos" w:hAnsi="Aptos"/>
          <w:sz w:val="22"/>
          <w:szCs w:val="22"/>
        </w:rPr>
        <w:t>. This weakens protection against discrimination and violence for trans and gender-diverse people and undermines institutional accountability and data collection.</w:t>
      </w:r>
    </w:p>
    <w:p w14:paraId="03885394" w14:textId="46ED5BD5" w:rsidR="005C2FB1" w:rsidRPr="003E3014" w:rsidRDefault="005C2FB1" w:rsidP="003E3014">
      <w:pPr>
        <w:spacing w:after="0" w:line="240" w:lineRule="auto"/>
        <w:ind w:left="360"/>
        <w:rPr>
          <w:rFonts w:cs="Tahoma"/>
          <w:b/>
          <w:szCs w:val="20"/>
        </w:rPr>
      </w:pPr>
      <w:r w:rsidRPr="003E3014">
        <w:rPr>
          <w:rFonts w:cs="Tahoma"/>
          <w:b/>
          <w:szCs w:val="20"/>
        </w:rPr>
        <w:t>III. Non-discrimination and effective protection (art</w:t>
      </w:r>
      <w:r w:rsidR="005D3106">
        <w:rPr>
          <w:rFonts w:cs="Tahoma"/>
          <w:b/>
          <w:szCs w:val="20"/>
        </w:rPr>
        <w:t>icle</w:t>
      </w:r>
      <w:r w:rsidRPr="003E3014">
        <w:rPr>
          <w:rFonts w:cs="Tahoma"/>
          <w:b/>
          <w:szCs w:val="20"/>
        </w:rPr>
        <w:t>s 2(2) and 3)</w:t>
      </w:r>
    </w:p>
    <w:p w14:paraId="6744A300" w14:textId="5CB60CB4"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 xml:space="preserve">The Committee explicitly requested information regarding LGBTQ persons and same-sex couples (LOI para. 8). However, the State party's reply to LOI paragraph 8 does not address LGBTQ persons or same-sex couples and therefore does not </w:t>
      </w:r>
      <w:r w:rsidRPr="005C2FB1">
        <w:rPr>
          <w:rFonts w:ascii="Aptos" w:hAnsi="Aptos"/>
          <w:sz w:val="22"/>
          <w:szCs w:val="22"/>
        </w:rPr>
        <w:lastRenderedPageBreak/>
        <w:t>provide the Committee with relevant information on equality measures, prevention of discrimination, or access to remedies for LGBT</w:t>
      </w:r>
      <w:r w:rsidR="00DA1049">
        <w:rPr>
          <w:rFonts w:ascii="Aptos" w:hAnsi="Aptos"/>
          <w:sz w:val="22"/>
          <w:szCs w:val="22"/>
        </w:rPr>
        <w:t>Q</w:t>
      </w:r>
      <w:r w:rsidRPr="005C2FB1">
        <w:rPr>
          <w:rFonts w:ascii="Aptos" w:hAnsi="Aptos"/>
          <w:sz w:val="22"/>
          <w:szCs w:val="22"/>
        </w:rPr>
        <w:t xml:space="preserve"> people.</w:t>
      </w:r>
    </w:p>
    <w:p w14:paraId="05921E83" w14:textId="72B0C101"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In practice, LGBT</w:t>
      </w:r>
      <w:r w:rsidR="00DA1049">
        <w:rPr>
          <w:rFonts w:ascii="Aptos" w:hAnsi="Aptos"/>
          <w:sz w:val="22"/>
          <w:szCs w:val="22"/>
        </w:rPr>
        <w:t>Q</w:t>
      </w:r>
      <w:r w:rsidRPr="005C2FB1">
        <w:rPr>
          <w:rFonts w:ascii="Aptos" w:hAnsi="Aptos"/>
          <w:sz w:val="22"/>
          <w:szCs w:val="22"/>
        </w:rPr>
        <w:t xml:space="preserve"> people face discrimination in access to healthcare, education, employment and public services, compounded by political rhetoric portraying LGBT</w:t>
      </w:r>
      <w:r w:rsidR="00DA1049">
        <w:rPr>
          <w:rFonts w:ascii="Aptos" w:hAnsi="Aptos"/>
          <w:sz w:val="22"/>
          <w:szCs w:val="22"/>
        </w:rPr>
        <w:t>Q</w:t>
      </w:r>
      <w:r w:rsidRPr="005C2FB1">
        <w:rPr>
          <w:rFonts w:ascii="Aptos" w:hAnsi="Aptos"/>
          <w:sz w:val="22"/>
          <w:szCs w:val="22"/>
        </w:rPr>
        <w:t xml:space="preserve"> equality as incompatible with 'family values'. Following the 2024 family values law, community organisations report increased self-censorship and fear of visibility, including among service providers and beneficiaries.</w:t>
      </w:r>
    </w:p>
    <w:p w14:paraId="49A0D135" w14:textId="3A52197E"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Effective protection is further weakened by legal changes and gaps in enforcement. The removal of 'gender identity' terminology from legislation and hate-crime frameworks undermines protection for trans people and complicates effective investigation and prosecution of bias-motivated violence.</w:t>
      </w:r>
    </w:p>
    <w:p w14:paraId="5C08EDEF" w14:textId="1A47A565" w:rsidR="005C2FB1" w:rsidRP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Underreporting remains significant due to fear of outing, secondary victimisation and lack of trust in law enforcement and courts. The absence of reliable, publicly available disaggregated data on discrimination and violence based on sexual orientation and gender identity impedes evidence-based policy and effective remedies.</w:t>
      </w:r>
    </w:p>
    <w:p w14:paraId="5D9CD6EB" w14:textId="53C18784" w:rsidR="005C2FB1" w:rsidRPr="005C2FB1" w:rsidRDefault="00DA1049" w:rsidP="005C2FB1">
      <w:pPr>
        <w:pStyle w:val="Heading1"/>
        <w:jc w:val="both"/>
        <w:rPr>
          <w:rFonts w:ascii="Aptos" w:hAnsi="Aptos"/>
          <w:sz w:val="22"/>
          <w:szCs w:val="22"/>
        </w:rPr>
      </w:pPr>
      <w:r w:rsidRPr="00DA1049">
        <w:rPr>
          <w:rFonts w:ascii="Aptos" w:hAnsi="Aptos"/>
          <w:b/>
          <w:bCs/>
          <w:sz w:val="24"/>
          <w:szCs w:val="24"/>
        </w:rPr>
        <w:t>I</w:t>
      </w:r>
      <w:r w:rsidR="005C2FB1" w:rsidRPr="003E3014">
        <w:rPr>
          <w:rFonts w:asciiTheme="minorHAnsi" w:eastAsiaTheme="minorHAnsi" w:hAnsiTheme="minorHAnsi" w:cs="Tahoma"/>
          <w:b/>
          <w:color w:val="auto"/>
          <w:sz w:val="24"/>
          <w:szCs w:val="20"/>
        </w:rPr>
        <w:t>V. Right to health (art</w:t>
      </w:r>
      <w:r w:rsidR="005D3106">
        <w:rPr>
          <w:rFonts w:asciiTheme="minorHAnsi" w:eastAsiaTheme="minorHAnsi" w:hAnsiTheme="minorHAnsi" w:cs="Tahoma"/>
          <w:b/>
          <w:color w:val="auto"/>
          <w:sz w:val="24"/>
          <w:szCs w:val="20"/>
        </w:rPr>
        <w:t>icle</w:t>
      </w:r>
      <w:r w:rsidR="005C2FB1" w:rsidRPr="003E3014">
        <w:rPr>
          <w:rFonts w:asciiTheme="minorHAnsi" w:eastAsiaTheme="minorHAnsi" w:hAnsiTheme="minorHAnsi" w:cs="Tahoma"/>
          <w:b/>
          <w:color w:val="auto"/>
          <w:sz w:val="24"/>
          <w:szCs w:val="20"/>
        </w:rPr>
        <w:t xml:space="preserve"> 12) </w:t>
      </w:r>
    </w:p>
    <w:p w14:paraId="74BE29AE" w14:textId="1465A2B9"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Community-based organisations are critical to Georgia's HIV response and to access to testing, prevention, counselling and psychosocial support for key populations, including gay and bisexual men and trans people. The combined impact of the 'foreign influence' laws and anti-LGBT</w:t>
      </w:r>
      <w:r w:rsidR="00D67FD5">
        <w:rPr>
          <w:rFonts w:ascii="Aptos" w:hAnsi="Aptos"/>
          <w:sz w:val="22"/>
          <w:szCs w:val="22"/>
        </w:rPr>
        <w:t>Q</w:t>
      </w:r>
      <w:r w:rsidRPr="005C2FB1">
        <w:rPr>
          <w:rFonts w:ascii="Aptos" w:hAnsi="Aptos"/>
          <w:sz w:val="22"/>
          <w:szCs w:val="22"/>
        </w:rPr>
        <w:t xml:space="preserve"> legislation has reduced outreach, increased fear among beneficiaries and heightened burnout among staff</w:t>
      </w:r>
      <w:r>
        <w:rPr>
          <w:rFonts w:ascii="Aptos" w:hAnsi="Aptos"/>
          <w:sz w:val="22"/>
          <w:szCs w:val="22"/>
        </w:rPr>
        <w:t>.</w:t>
      </w:r>
    </w:p>
    <w:p w14:paraId="514F5FE9" w14:textId="3C116EF4"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Community documentation referenced in the 2025 UPR submission recorded 233 victims of rights violations in 2023 alone, including gay and bisexual men and trans persons. This illustrates ongoing violence and the scale of unmet protection needs that directly affect access to health and social services.</w:t>
      </w:r>
      <w:r w:rsidR="00DA1049">
        <w:rPr>
          <w:rStyle w:val="FootnoteReference"/>
          <w:rFonts w:ascii="Aptos" w:hAnsi="Aptos"/>
          <w:sz w:val="22"/>
          <w:szCs w:val="22"/>
        </w:rPr>
        <w:footnoteReference w:id="14"/>
      </w:r>
    </w:p>
    <w:p w14:paraId="1F1689F2" w14:textId="77777777"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The Law on Family Values and Protection of Minors prohibits 'medical manipulation' aimed at assigning a person to a sex different from their biological sex. This has been widely understood as restricting gender-affirming healthcare, including hormone therapy. Restricting medically indicated care risks forcing people to seek unsafe alternatives, interrupt treatment and avoid healthcare services.</w:t>
      </w:r>
    </w:p>
    <w:p w14:paraId="340C16F9" w14:textId="6CC000F8"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Georgia lacks a quick, transparent and accessible legal gender recognition (LGR) procedure. In A.D. and Others v. Georgia (judgment of 1 December 2022), the European Court of Human Rights found a violation due to the State's failure to provide such procedures</w:t>
      </w:r>
      <w:r w:rsidR="00DA1049">
        <w:rPr>
          <w:rStyle w:val="FootnoteReference"/>
          <w:rFonts w:ascii="Aptos" w:hAnsi="Aptos"/>
          <w:sz w:val="22"/>
          <w:szCs w:val="22"/>
        </w:rPr>
        <w:footnoteReference w:id="15"/>
      </w:r>
      <w:r w:rsidRPr="005C2FB1">
        <w:rPr>
          <w:rFonts w:ascii="Aptos" w:hAnsi="Aptos"/>
          <w:sz w:val="22"/>
          <w:szCs w:val="22"/>
        </w:rPr>
        <w:t>. Barriers to LGR undermine access to health, employment, education, housing and social protection because mismatched documents increase exposure to discrimination and outing.</w:t>
      </w:r>
    </w:p>
    <w:p w14:paraId="7D631C57" w14:textId="15A69E1A" w:rsidR="005C2FB1" w:rsidRP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 xml:space="preserve">Mental health impacts are significant. Community organisations report increased depression, anxiety and trauma linked to heightened stigma, legal restrictions </w:t>
      </w:r>
      <w:r w:rsidRPr="005C2FB1">
        <w:rPr>
          <w:rFonts w:ascii="Aptos" w:hAnsi="Aptos"/>
          <w:sz w:val="22"/>
          <w:szCs w:val="22"/>
        </w:rPr>
        <w:lastRenderedPageBreak/>
        <w:t>and loss of safe community spaces. Access to non-discriminatory, confidential mental health support remains limited, especially outside Tbilisi.</w:t>
      </w:r>
    </w:p>
    <w:p w14:paraId="5E432B8B" w14:textId="5E7F6F3C" w:rsidR="005C2FB1" w:rsidRPr="003E3014" w:rsidRDefault="005C2FB1" w:rsidP="005C2FB1">
      <w:pPr>
        <w:pStyle w:val="Heading1"/>
        <w:jc w:val="both"/>
        <w:rPr>
          <w:rFonts w:asciiTheme="minorHAnsi" w:eastAsiaTheme="minorHAnsi" w:hAnsiTheme="minorHAnsi" w:cs="Tahoma"/>
          <w:b/>
          <w:color w:val="auto"/>
          <w:sz w:val="24"/>
          <w:szCs w:val="20"/>
        </w:rPr>
      </w:pPr>
      <w:r w:rsidRPr="003E3014">
        <w:rPr>
          <w:rFonts w:asciiTheme="minorHAnsi" w:eastAsiaTheme="minorHAnsi" w:hAnsiTheme="minorHAnsi" w:cs="Tahoma"/>
          <w:b/>
          <w:color w:val="auto"/>
          <w:sz w:val="24"/>
          <w:szCs w:val="20"/>
        </w:rPr>
        <w:t>V. Right to education, access to information and cultural life (art</w:t>
      </w:r>
      <w:r w:rsidR="005D3106">
        <w:rPr>
          <w:rFonts w:asciiTheme="minorHAnsi" w:eastAsiaTheme="minorHAnsi" w:hAnsiTheme="minorHAnsi" w:cs="Tahoma"/>
          <w:b/>
          <w:color w:val="auto"/>
          <w:sz w:val="24"/>
          <w:szCs w:val="20"/>
        </w:rPr>
        <w:t>icles</w:t>
      </w:r>
      <w:r w:rsidRPr="003E3014">
        <w:rPr>
          <w:rFonts w:asciiTheme="minorHAnsi" w:eastAsiaTheme="minorHAnsi" w:hAnsiTheme="minorHAnsi" w:cs="Tahoma"/>
          <w:b/>
          <w:color w:val="auto"/>
          <w:sz w:val="24"/>
          <w:szCs w:val="20"/>
        </w:rPr>
        <w:t xml:space="preserve"> 13-15)</w:t>
      </w:r>
    </w:p>
    <w:p w14:paraId="7D82AE92" w14:textId="1F794026"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Inclusive, evidence-based education is essential to prevent violence and discrimination and to ensure access to sexual and reproductive health information. Independent assessments show that comprehensive sexuality education in Georgia remains limited and fragmented</w:t>
      </w:r>
      <w:r w:rsidR="00DA1049">
        <w:rPr>
          <w:rStyle w:val="FootnoteReference"/>
          <w:rFonts w:ascii="Aptos" w:hAnsi="Aptos"/>
          <w:sz w:val="22"/>
          <w:szCs w:val="22"/>
        </w:rPr>
        <w:footnoteReference w:id="16"/>
      </w:r>
      <w:r w:rsidRPr="005C2FB1">
        <w:rPr>
          <w:rFonts w:ascii="Aptos" w:hAnsi="Aptos"/>
          <w:sz w:val="22"/>
          <w:szCs w:val="22"/>
        </w:rPr>
        <w:t>.</w:t>
      </w:r>
    </w:p>
    <w:p w14:paraId="4EC063A7" w14:textId="345BE833"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The 2024 family values law restricts dissemination of information considered to 'promote' or 'popularise' same-sex relationships and gender diversity, including in education settings. This creates a chilling effect for teachers, school psychologists and administrators, discouraging them from addressing bullying, providing support to LGBT</w:t>
      </w:r>
      <w:r w:rsidR="00DA1049">
        <w:rPr>
          <w:rFonts w:ascii="Aptos" w:hAnsi="Aptos"/>
          <w:sz w:val="22"/>
          <w:szCs w:val="22"/>
        </w:rPr>
        <w:t>Q</w:t>
      </w:r>
      <w:r w:rsidRPr="005C2FB1">
        <w:rPr>
          <w:rFonts w:ascii="Aptos" w:hAnsi="Aptos"/>
          <w:sz w:val="22"/>
          <w:szCs w:val="22"/>
        </w:rPr>
        <w:t xml:space="preserve"> students or referring students to appropriate services.</w:t>
      </w:r>
    </w:p>
    <w:p w14:paraId="10D11918" w14:textId="0A5A1AEC"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Beyond schools, restrictions on information, public visibility and assemblies negatively affect LGBT</w:t>
      </w:r>
      <w:r w:rsidR="00D67FD5">
        <w:rPr>
          <w:rFonts w:ascii="Aptos" w:hAnsi="Aptos"/>
          <w:sz w:val="22"/>
          <w:szCs w:val="22"/>
        </w:rPr>
        <w:t>Q</w:t>
      </w:r>
      <w:r w:rsidRPr="005C2FB1">
        <w:rPr>
          <w:rFonts w:ascii="Aptos" w:hAnsi="Aptos"/>
          <w:sz w:val="22"/>
          <w:szCs w:val="22"/>
        </w:rPr>
        <w:t xml:space="preserve"> people's participation in cultural life and access to information. Community organisations report increasing barriers to holding public events, providing community education, and maintaining safe spaces without fear of sanction or violence.</w:t>
      </w:r>
    </w:p>
    <w:p w14:paraId="0E5E2231" w14:textId="62568A1A" w:rsidR="005C2FB1" w:rsidRP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These restrictions undermine the right to education in a safe environment and weaken the preventive dimension of the right to health, particularly for adolescents who need accurate and stigma-free information, support and referral pathways</w:t>
      </w:r>
      <w:r w:rsidR="00DA1049">
        <w:rPr>
          <w:rStyle w:val="FootnoteReference"/>
          <w:rFonts w:ascii="Aptos" w:hAnsi="Aptos"/>
          <w:sz w:val="22"/>
          <w:szCs w:val="22"/>
        </w:rPr>
        <w:footnoteReference w:id="17"/>
      </w:r>
      <w:r w:rsidRPr="005C2FB1">
        <w:rPr>
          <w:rFonts w:ascii="Aptos" w:hAnsi="Aptos"/>
          <w:sz w:val="22"/>
          <w:szCs w:val="22"/>
        </w:rPr>
        <w:t>.</w:t>
      </w:r>
    </w:p>
    <w:p w14:paraId="4C526A5F" w14:textId="4C5C3381" w:rsidR="005C2FB1" w:rsidRPr="003E3014" w:rsidRDefault="005C2FB1" w:rsidP="005C2FB1">
      <w:pPr>
        <w:pStyle w:val="Heading1"/>
        <w:jc w:val="both"/>
        <w:rPr>
          <w:rFonts w:asciiTheme="minorHAnsi" w:eastAsiaTheme="minorHAnsi" w:hAnsiTheme="minorHAnsi" w:cs="Tahoma"/>
          <w:b/>
          <w:color w:val="auto"/>
          <w:sz w:val="24"/>
          <w:szCs w:val="20"/>
        </w:rPr>
      </w:pPr>
      <w:r w:rsidRPr="003E3014">
        <w:rPr>
          <w:rFonts w:asciiTheme="minorHAnsi" w:eastAsiaTheme="minorHAnsi" w:hAnsiTheme="minorHAnsi" w:cs="Tahoma"/>
          <w:b/>
          <w:color w:val="auto"/>
          <w:sz w:val="24"/>
          <w:szCs w:val="20"/>
        </w:rPr>
        <w:t>VI. Work, social protection</w:t>
      </w:r>
      <w:r w:rsidR="003E3014">
        <w:rPr>
          <w:rFonts w:asciiTheme="minorHAnsi" w:eastAsiaTheme="minorHAnsi" w:hAnsiTheme="minorHAnsi" w:cs="Tahoma"/>
          <w:b/>
          <w:color w:val="auto"/>
          <w:sz w:val="24"/>
          <w:szCs w:val="20"/>
        </w:rPr>
        <w:t xml:space="preserve"> and </w:t>
      </w:r>
      <w:r w:rsidRPr="003E3014">
        <w:rPr>
          <w:rFonts w:asciiTheme="minorHAnsi" w:eastAsiaTheme="minorHAnsi" w:hAnsiTheme="minorHAnsi" w:cs="Tahoma"/>
          <w:b/>
          <w:color w:val="auto"/>
          <w:sz w:val="24"/>
          <w:szCs w:val="20"/>
        </w:rPr>
        <w:t>housing (art</w:t>
      </w:r>
      <w:r w:rsidR="00772C49">
        <w:rPr>
          <w:rFonts w:asciiTheme="minorHAnsi" w:eastAsiaTheme="minorHAnsi" w:hAnsiTheme="minorHAnsi" w:cs="Tahoma"/>
          <w:b/>
          <w:color w:val="auto"/>
          <w:sz w:val="24"/>
          <w:szCs w:val="20"/>
        </w:rPr>
        <w:t>icle</w:t>
      </w:r>
      <w:r w:rsidRPr="003E3014">
        <w:rPr>
          <w:rFonts w:asciiTheme="minorHAnsi" w:eastAsiaTheme="minorHAnsi" w:hAnsiTheme="minorHAnsi" w:cs="Tahoma"/>
          <w:b/>
          <w:color w:val="auto"/>
          <w:sz w:val="24"/>
          <w:szCs w:val="20"/>
        </w:rPr>
        <w:t>s 6-7</w:t>
      </w:r>
      <w:r w:rsidR="003E3014">
        <w:rPr>
          <w:rFonts w:asciiTheme="minorHAnsi" w:eastAsiaTheme="minorHAnsi" w:hAnsiTheme="minorHAnsi" w:cs="Tahoma"/>
          <w:b/>
          <w:color w:val="auto"/>
          <w:sz w:val="24"/>
          <w:szCs w:val="20"/>
        </w:rPr>
        <w:t xml:space="preserve"> and </w:t>
      </w:r>
      <w:r w:rsidRPr="003E3014">
        <w:rPr>
          <w:rFonts w:asciiTheme="minorHAnsi" w:eastAsiaTheme="minorHAnsi" w:hAnsiTheme="minorHAnsi" w:cs="Tahoma"/>
          <w:b/>
          <w:color w:val="auto"/>
          <w:sz w:val="24"/>
          <w:szCs w:val="20"/>
        </w:rPr>
        <w:t>9)</w:t>
      </w:r>
    </w:p>
    <w:p w14:paraId="5AF442C1" w14:textId="631219F0"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LGBT</w:t>
      </w:r>
      <w:r w:rsidR="00D67FD5">
        <w:rPr>
          <w:rFonts w:ascii="Aptos" w:hAnsi="Aptos"/>
          <w:sz w:val="22"/>
          <w:szCs w:val="22"/>
        </w:rPr>
        <w:t>Q</w:t>
      </w:r>
      <w:r w:rsidRPr="005C2FB1">
        <w:rPr>
          <w:rFonts w:ascii="Aptos" w:hAnsi="Aptos"/>
          <w:sz w:val="22"/>
          <w:szCs w:val="22"/>
        </w:rPr>
        <w:t xml:space="preserve"> people experience discrimination in employment, including harassment, refusal to hire and pressure to conceal identity. Trans people are particularly affected where identity documents do not match lived gender, increasing exposure to outing and exclusion from formal employment.</w:t>
      </w:r>
    </w:p>
    <w:p w14:paraId="311E2456" w14:textId="77777777"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The Committee asked for disaggregated information on pay discrimination, including by sexual orientation and gender identity (LOI para. 14). The State party replied that there were no recorded cases of pay discrimination, without analysing barriers to reporting or providing SOGIESC-disaggregated data. Community experience indicates that fear of outing, limited awareness of remedies and mistrust in institutions suppress formal complaints; therefore, the absence of recorded cases cannot be treated as evidence that discrimination does not occur.</w:t>
      </w:r>
    </w:p>
    <w:p w14:paraId="19BCBF77" w14:textId="77777777"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Lack of legal recognition of same-sex couples can exclude partners from benefits and protections linked to family status (for example, certain social benefits, survivor-related entitlements and hospital visitation and decision-making practices), undermining equal enjoyment of social protection and an adequate standard of living.</w:t>
      </w:r>
    </w:p>
    <w:p w14:paraId="47C1A722" w14:textId="77777777"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lastRenderedPageBreak/>
        <w:t>Housing discrimination and insecurity remain concerns, especially for young people and trans persons. Community organisations report cases of eviction threats, refusal to rent and unsafe living environments. These risks are compounded when community support services are weakened by restrictions on CSOs.</w:t>
      </w:r>
    </w:p>
    <w:p w14:paraId="758EA6AE" w14:textId="77777777" w:rsidR="005C2FB1" w:rsidRPr="003E3014" w:rsidRDefault="005C2FB1" w:rsidP="005C2FB1">
      <w:pPr>
        <w:pStyle w:val="Heading1"/>
        <w:jc w:val="both"/>
        <w:rPr>
          <w:rFonts w:asciiTheme="minorHAnsi" w:eastAsiaTheme="minorHAnsi" w:hAnsiTheme="minorHAnsi" w:cs="Tahoma"/>
          <w:b/>
          <w:color w:val="auto"/>
          <w:sz w:val="24"/>
          <w:szCs w:val="20"/>
        </w:rPr>
      </w:pPr>
      <w:r w:rsidRPr="003E3014">
        <w:rPr>
          <w:rFonts w:asciiTheme="minorHAnsi" w:eastAsiaTheme="minorHAnsi" w:hAnsiTheme="minorHAnsi" w:cs="Tahoma"/>
          <w:b/>
          <w:color w:val="auto"/>
          <w:sz w:val="24"/>
          <w:szCs w:val="20"/>
        </w:rPr>
        <w:t>VII. Civic space, foreign funding restrictions and delivery of ESCR services</w:t>
      </w:r>
    </w:p>
    <w:p w14:paraId="0E7DB5A2" w14:textId="2FC90B28"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The Law on Transparency of Foreign Influence (2024), the Foreign Agents Registration Act (2025) and restrictions on foreign grants (2025) have created a hostile environment for CSOs, including organisations providing health, legal aid, psychosocial and social support to LGBT</w:t>
      </w:r>
      <w:r w:rsidR="00D67FD5">
        <w:rPr>
          <w:rFonts w:ascii="Aptos" w:hAnsi="Aptos"/>
          <w:sz w:val="22"/>
          <w:szCs w:val="22"/>
        </w:rPr>
        <w:t>Q</w:t>
      </w:r>
      <w:r w:rsidRPr="005C2FB1">
        <w:rPr>
          <w:rFonts w:ascii="Aptos" w:hAnsi="Aptos"/>
          <w:sz w:val="22"/>
          <w:szCs w:val="22"/>
        </w:rPr>
        <w:t xml:space="preserve"> communities</w:t>
      </w:r>
      <w:r w:rsidR="00D67FD5">
        <w:rPr>
          <w:rStyle w:val="FootnoteReference"/>
          <w:rFonts w:ascii="Aptos" w:hAnsi="Aptos"/>
          <w:sz w:val="22"/>
          <w:szCs w:val="22"/>
        </w:rPr>
        <w:footnoteReference w:id="18"/>
      </w:r>
      <w:r w:rsidRPr="005C2FB1">
        <w:rPr>
          <w:rFonts w:ascii="Aptos" w:hAnsi="Aptos"/>
          <w:sz w:val="22"/>
          <w:szCs w:val="22"/>
        </w:rPr>
        <w:t>.</w:t>
      </w:r>
    </w:p>
    <w:p w14:paraId="3298F609" w14:textId="32F53A70"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International legal assessments by the Venice Commission and OSCE/ODIHR identified serious concerns, including stigmatisation, vague definitions, intrusive monitoring and disproportionate sanctions. For LGBT</w:t>
      </w:r>
      <w:r w:rsidR="00D67FD5">
        <w:rPr>
          <w:rFonts w:ascii="Aptos" w:hAnsi="Aptos"/>
          <w:sz w:val="22"/>
          <w:szCs w:val="22"/>
        </w:rPr>
        <w:t>Q</w:t>
      </w:r>
      <w:r w:rsidRPr="005C2FB1">
        <w:rPr>
          <w:rFonts w:ascii="Aptos" w:hAnsi="Aptos"/>
          <w:sz w:val="22"/>
          <w:szCs w:val="22"/>
        </w:rPr>
        <w:t xml:space="preserve"> organisations, these features intersect with stigma around sexual orientation, gender identity</w:t>
      </w:r>
      <w:r w:rsidR="00DA1049">
        <w:rPr>
          <w:rFonts w:ascii="Aptos" w:hAnsi="Aptos"/>
          <w:sz w:val="22"/>
          <w:szCs w:val="22"/>
        </w:rPr>
        <w:t>, gender expression</w:t>
      </w:r>
      <w:r w:rsidRPr="005C2FB1">
        <w:rPr>
          <w:rFonts w:ascii="Aptos" w:hAnsi="Aptos"/>
          <w:sz w:val="22"/>
          <w:szCs w:val="22"/>
        </w:rPr>
        <w:t xml:space="preserve"> and HIV, increasing confidentiality risks and discouraging beneficiaries from seeking services due to fear of surveillance, disclosure and reprisals.</w:t>
      </w:r>
    </w:p>
    <w:p w14:paraId="032B40C0" w14:textId="3DBA63F1" w:rsidR="005C2FB1" w:rsidRP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By constraining civil society delivery of essential services and deterring access by rights-holders, the State undermines its obligation to take steps, to the maximum of available resources, to progressively realise Covenant rights without discrimination, and to ensure effective participation of affected groups in decisions impacting their rights.</w:t>
      </w:r>
    </w:p>
    <w:p w14:paraId="2D5FBE3F" w14:textId="653EB90E" w:rsidR="005C2FB1" w:rsidRPr="003E3014" w:rsidRDefault="005C2FB1" w:rsidP="005C2FB1">
      <w:pPr>
        <w:pStyle w:val="Heading1"/>
        <w:jc w:val="both"/>
        <w:rPr>
          <w:rFonts w:asciiTheme="minorHAnsi" w:eastAsiaTheme="minorHAnsi" w:hAnsiTheme="minorHAnsi" w:cs="Tahoma"/>
          <w:b/>
          <w:color w:val="auto"/>
          <w:sz w:val="24"/>
          <w:szCs w:val="20"/>
        </w:rPr>
      </w:pPr>
      <w:r w:rsidRPr="003E3014">
        <w:rPr>
          <w:rFonts w:asciiTheme="minorHAnsi" w:eastAsiaTheme="minorHAnsi" w:hAnsiTheme="minorHAnsi" w:cs="Tahoma"/>
          <w:b/>
          <w:color w:val="auto"/>
          <w:sz w:val="24"/>
          <w:szCs w:val="20"/>
        </w:rPr>
        <w:t>VIII. Recommendations</w:t>
      </w:r>
    </w:p>
    <w:p w14:paraId="7FBF8E54" w14:textId="0A616800" w:rsidR="005C2FB1" w:rsidRDefault="005C2FB1" w:rsidP="00772C49">
      <w:pPr>
        <w:pStyle w:val="ListParagraph"/>
        <w:spacing w:before="100" w:beforeAutospacing="1" w:after="100" w:afterAutospacing="1" w:line="240" w:lineRule="auto"/>
        <w:ind w:left="1440"/>
        <w:jc w:val="both"/>
        <w:outlineLvl w:val="2"/>
        <w:rPr>
          <w:rFonts w:ascii="Aptos" w:hAnsi="Aptos"/>
          <w:sz w:val="22"/>
          <w:szCs w:val="22"/>
        </w:rPr>
      </w:pPr>
      <w:r w:rsidRPr="005C2FB1">
        <w:rPr>
          <w:rFonts w:ascii="Aptos" w:hAnsi="Aptos"/>
          <w:sz w:val="22"/>
          <w:szCs w:val="22"/>
        </w:rPr>
        <w:t>ECOM</w:t>
      </w:r>
      <w:r>
        <w:rPr>
          <w:rFonts w:ascii="Aptos" w:hAnsi="Aptos"/>
          <w:sz w:val="22"/>
          <w:szCs w:val="22"/>
        </w:rPr>
        <w:t xml:space="preserve"> </w:t>
      </w:r>
      <w:r w:rsidRPr="005C2FB1">
        <w:rPr>
          <w:rFonts w:ascii="Aptos" w:hAnsi="Aptos"/>
          <w:sz w:val="22"/>
          <w:szCs w:val="22"/>
        </w:rPr>
        <w:t>recommend</w:t>
      </w:r>
      <w:r>
        <w:rPr>
          <w:rFonts w:ascii="Aptos" w:hAnsi="Aptos"/>
          <w:sz w:val="22"/>
          <w:szCs w:val="22"/>
        </w:rPr>
        <w:t>s</w:t>
      </w:r>
      <w:r w:rsidRPr="005C2FB1">
        <w:rPr>
          <w:rFonts w:ascii="Aptos" w:hAnsi="Aptos"/>
          <w:sz w:val="22"/>
          <w:szCs w:val="22"/>
        </w:rPr>
        <w:t xml:space="preserve"> that the Committee uses its authority over the </w:t>
      </w:r>
      <w:r>
        <w:rPr>
          <w:rFonts w:ascii="Aptos" w:hAnsi="Aptos"/>
          <w:sz w:val="22"/>
          <w:szCs w:val="22"/>
        </w:rPr>
        <w:t>Georgia</w:t>
      </w:r>
      <w:r w:rsidRPr="005C2FB1">
        <w:rPr>
          <w:rFonts w:ascii="Aptos" w:hAnsi="Aptos"/>
          <w:sz w:val="22"/>
          <w:szCs w:val="22"/>
        </w:rPr>
        <w:t xml:space="preserve"> and demands that it follows its international obligations under the Covenant, as well as its national obligations, before its people in a multi-dimensional fashion, and that the </w:t>
      </w:r>
      <w:r>
        <w:rPr>
          <w:rFonts w:ascii="Aptos" w:hAnsi="Aptos"/>
          <w:sz w:val="22"/>
          <w:szCs w:val="22"/>
        </w:rPr>
        <w:t>Georgia</w:t>
      </w:r>
      <w:r w:rsidRPr="005C2FB1">
        <w:rPr>
          <w:rFonts w:ascii="Aptos" w:hAnsi="Aptos"/>
          <w:sz w:val="22"/>
          <w:szCs w:val="22"/>
        </w:rPr>
        <w:t xml:space="preserve"> swiftly undertakes respective activities and steps to secure the rule of law and equality of all people, LGBT</w:t>
      </w:r>
      <w:r>
        <w:rPr>
          <w:rFonts w:ascii="Aptos" w:hAnsi="Aptos"/>
          <w:sz w:val="22"/>
          <w:szCs w:val="22"/>
        </w:rPr>
        <w:t>Q</w:t>
      </w:r>
      <w:r w:rsidRPr="005C2FB1">
        <w:rPr>
          <w:rFonts w:ascii="Aptos" w:hAnsi="Aptos"/>
          <w:sz w:val="22"/>
          <w:szCs w:val="22"/>
        </w:rPr>
        <w:t xml:space="preserve"> persons included, before the law on all its territory. With this consideration in mind, ECOM</w:t>
      </w:r>
      <w:r>
        <w:rPr>
          <w:rFonts w:ascii="Aptos" w:hAnsi="Aptos"/>
          <w:sz w:val="22"/>
          <w:szCs w:val="22"/>
        </w:rPr>
        <w:t xml:space="preserve"> </w:t>
      </w:r>
      <w:r w:rsidRPr="005C2FB1">
        <w:rPr>
          <w:rFonts w:ascii="Aptos" w:hAnsi="Aptos"/>
          <w:sz w:val="22"/>
          <w:szCs w:val="22"/>
        </w:rPr>
        <w:t>ask</w:t>
      </w:r>
      <w:r>
        <w:rPr>
          <w:rFonts w:ascii="Aptos" w:hAnsi="Aptos"/>
          <w:sz w:val="22"/>
          <w:szCs w:val="22"/>
        </w:rPr>
        <w:t>s</w:t>
      </w:r>
      <w:r w:rsidRPr="005C2FB1">
        <w:rPr>
          <w:rFonts w:ascii="Aptos" w:hAnsi="Aptos"/>
          <w:sz w:val="22"/>
          <w:szCs w:val="22"/>
        </w:rPr>
        <w:t xml:space="preserve"> the Committee, during its </w:t>
      </w:r>
      <w:r>
        <w:rPr>
          <w:rFonts w:ascii="Aptos" w:hAnsi="Aptos"/>
          <w:sz w:val="22"/>
          <w:szCs w:val="22"/>
        </w:rPr>
        <w:t>79</w:t>
      </w:r>
      <w:r w:rsidRPr="005C2FB1">
        <w:rPr>
          <w:rFonts w:ascii="Aptos" w:hAnsi="Aptos"/>
          <w:sz w:val="22"/>
          <w:szCs w:val="22"/>
        </w:rPr>
        <w:t xml:space="preserve">th Session, to recommend that </w:t>
      </w:r>
      <w:r>
        <w:rPr>
          <w:rFonts w:ascii="Aptos" w:hAnsi="Aptos"/>
          <w:sz w:val="22"/>
          <w:szCs w:val="22"/>
        </w:rPr>
        <w:t>Georgia</w:t>
      </w:r>
      <w:r w:rsidRPr="005C2FB1">
        <w:rPr>
          <w:rFonts w:ascii="Aptos" w:hAnsi="Aptos"/>
          <w:sz w:val="22"/>
          <w:szCs w:val="22"/>
        </w:rPr>
        <w:t>:</w:t>
      </w:r>
    </w:p>
    <w:p w14:paraId="7C70A7E2" w14:textId="77777777" w:rsidR="00772C49" w:rsidRPr="005C2FB1" w:rsidRDefault="00772C49" w:rsidP="00772C49">
      <w:pPr>
        <w:pStyle w:val="ListParagraph"/>
        <w:spacing w:before="100" w:beforeAutospacing="1" w:after="100" w:afterAutospacing="1" w:line="240" w:lineRule="auto"/>
        <w:ind w:left="1440"/>
        <w:jc w:val="both"/>
        <w:outlineLvl w:val="2"/>
        <w:rPr>
          <w:rFonts w:ascii="Aptos" w:hAnsi="Aptos"/>
          <w:sz w:val="22"/>
          <w:szCs w:val="22"/>
        </w:rPr>
      </w:pPr>
    </w:p>
    <w:p w14:paraId="58B3965E" w14:textId="5B7FE330"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Repeal or substantially amend the Law on Family Values and Protection of Minors to remove discriminatory provisions and ensure compliance with Covenant rights to health, education and non-discrimination.</w:t>
      </w:r>
    </w:p>
    <w:p w14:paraId="14AD53D0" w14:textId="7CD49573"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Ensure effective legal protection against discrimination based on sexual orientation and gender identity across all ESCR areas; reinstate and strengthen 'gender identity' protections in anti-discrimination and hate-crime frameworks; and establish safe reporting pathways and effective remedies.</w:t>
      </w:r>
    </w:p>
    <w:p w14:paraId="08690B8F" w14:textId="0276563D"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Guarantee access to the highest attainable standard of health without discrimination, including continuation and expansion of community-led HIV services, and ensure availability of gender-affirming healthcare, including hormone therapy, based on informed consent and medical ethics.</w:t>
      </w:r>
    </w:p>
    <w:p w14:paraId="7306580B" w14:textId="10D72693"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lastRenderedPageBreak/>
        <w:t>Establish a quick, transparent and accessible legal gender recognition procedure consistent with the ECtHR judgment in A.D. and Others v. Georgia, without invasive medical or surgical requirements.</w:t>
      </w:r>
    </w:p>
    <w:p w14:paraId="0D9AE308" w14:textId="605BB2F4" w:rsid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Ensure inclusive, evidence-based education and anti-bullying measures, including age-appropriate comprehensive sexuality education, and ensure that restrictions do not prevent schools from protecting LGBT</w:t>
      </w:r>
      <w:r w:rsidR="00D67FD5">
        <w:rPr>
          <w:rFonts w:ascii="Aptos" w:hAnsi="Aptos"/>
          <w:sz w:val="22"/>
          <w:szCs w:val="22"/>
        </w:rPr>
        <w:t>Q</w:t>
      </w:r>
      <w:r w:rsidRPr="005C2FB1">
        <w:rPr>
          <w:rFonts w:ascii="Aptos" w:hAnsi="Aptos"/>
          <w:sz w:val="22"/>
          <w:szCs w:val="22"/>
        </w:rPr>
        <w:t xml:space="preserve"> students and providing referrals.</w:t>
      </w:r>
    </w:p>
    <w:p w14:paraId="20E3C5C7" w14:textId="08E575AD" w:rsidR="005C2FB1" w:rsidRPr="005C2FB1" w:rsidRDefault="005C2FB1" w:rsidP="005C2FB1">
      <w:pPr>
        <w:pStyle w:val="ListParagraph"/>
        <w:numPr>
          <w:ilvl w:val="0"/>
          <w:numId w:val="15"/>
        </w:numPr>
        <w:spacing w:before="100" w:beforeAutospacing="1" w:after="100" w:afterAutospacing="1" w:line="240" w:lineRule="auto"/>
        <w:jc w:val="both"/>
        <w:outlineLvl w:val="2"/>
        <w:rPr>
          <w:rFonts w:ascii="Aptos" w:hAnsi="Aptos"/>
          <w:sz w:val="22"/>
          <w:szCs w:val="22"/>
        </w:rPr>
      </w:pPr>
      <w:r w:rsidRPr="005C2FB1">
        <w:rPr>
          <w:rFonts w:ascii="Aptos" w:hAnsi="Aptos"/>
          <w:sz w:val="22"/>
          <w:szCs w:val="22"/>
        </w:rPr>
        <w:t>Repeal the 'foreign influence' laws and foreign grant restrictions to remove stigmatising labelling, disproportionate reporting and monitoring and criminal penalties; ensure robust safeguards for sensitive personal data; and guarantee that CSOs can operate and deliver ESCR services freely.</w:t>
      </w:r>
    </w:p>
    <w:p w14:paraId="2FB9BCAF" w14:textId="77777777" w:rsidR="005C2FB1" w:rsidRDefault="005C2FB1" w:rsidP="005C2FB1"/>
    <w:p w14:paraId="7C566F2C" w14:textId="7AACE635" w:rsidR="00B3680F" w:rsidRDefault="00B3680F" w:rsidP="00B3680F"/>
    <w:sectPr w:rsidR="00B368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1C857" w14:textId="77777777" w:rsidR="003C7D18" w:rsidRDefault="003C7D18" w:rsidP="00815812">
      <w:pPr>
        <w:spacing w:after="0" w:line="240" w:lineRule="auto"/>
      </w:pPr>
      <w:r>
        <w:separator/>
      </w:r>
    </w:p>
  </w:endnote>
  <w:endnote w:type="continuationSeparator" w:id="0">
    <w:p w14:paraId="5579048D" w14:textId="77777777" w:rsidR="003C7D18" w:rsidRDefault="003C7D18" w:rsidP="00815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81D3F" w14:textId="77777777" w:rsidR="003C7D18" w:rsidRDefault="003C7D18" w:rsidP="00815812">
      <w:pPr>
        <w:spacing w:after="0" w:line="240" w:lineRule="auto"/>
      </w:pPr>
      <w:r>
        <w:separator/>
      </w:r>
    </w:p>
  </w:footnote>
  <w:footnote w:type="continuationSeparator" w:id="0">
    <w:p w14:paraId="7E319ED1" w14:textId="77777777" w:rsidR="003C7D18" w:rsidRDefault="003C7D18" w:rsidP="00815812">
      <w:pPr>
        <w:spacing w:after="0" w:line="240" w:lineRule="auto"/>
      </w:pPr>
      <w:r>
        <w:continuationSeparator/>
      </w:r>
    </w:p>
  </w:footnote>
  <w:footnote w:id="1">
    <w:p w14:paraId="0F152C33" w14:textId="7F6A9758" w:rsidR="00475D8B" w:rsidRPr="00697B5A" w:rsidRDefault="00475D8B" w:rsidP="00697B5A">
      <w:pPr>
        <w:spacing w:after="0"/>
        <w:rPr>
          <w:sz w:val="18"/>
          <w:szCs w:val="18"/>
        </w:rPr>
      </w:pPr>
      <w:r w:rsidRPr="00697B5A">
        <w:rPr>
          <w:rStyle w:val="FootnoteReference"/>
          <w:sz w:val="18"/>
          <w:szCs w:val="18"/>
        </w:rPr>
        <w:footnoteRef/>
      </w:r>
      <w:r w:rsidRPr="00697B5A">
        <w:rPr>
          <w:sz w:val="18"/>
          <w:szCs w:val="18"/>
        </w:rPr>
        <w:t xml:space="preserve"> UN Treaty Body Database, CESCR 79th session details (09 Feb 2026-25 Feb 2026): https://tbinternet.ohchr.org/_layouts/15/treatybodyexternal/SessionDetails1.aspx?Lang=en&amp;SessionID=2762</w:t>
      </w:r>
    </w:p>
  </w:footnote>
  <w:footnote w:id="2">
    <w:p w14:paraId="2AC9A481" w14:textId="378073F8" w:rsidR="00697B5A" w:rsidRPr="00697B5A" w:rsidRDefault="00697B5A" w:rsidP="00697B5A">
      <w:pPr>
        <w:rPr>
          <w:sz w:val="18"/>
          <w:szCs w:val="18"/>
        </w:rPr>
      </w:pPr>
      <w:r w:rsidRPr="00697B5A">
        <w:rPr>
          <w:rStyle w:val="FootnoteReference"/>
          <w:sz w:val="18"/>
          <w:szCs w:val="18"/>
        </w:rPr>
        <w:footnoteRef/>
      </w:r>
      <w:r w:rsidRPr="00697B5A">
        <w:rPr>
          <w:sz w:val="18"/>
          <w:szCs w:val="18"/>
        </w:rPr>
        <w:t xml:space="preserve"> Law of Georgia on Transparency of Foreign Influence (Matsne, English): https://matsne.gov.ge/en/document/view/6171895</w:t>
      </w:r>
    </w:p>
  </w:footnote>
  <w:footnote w:id="3">
    <w:p w14:paraId="7DAEFDCC" w14:textId="0C9E4698" w:rsidR="00697B5A" w:rsidRPr="00697B5A" w:rsidRDefault="00697B5A" w:rsidP="00697B5A">
      <w:pPr>
        <w:spacing w:after="0"/>
        <w:rPr>
          <w:sz w:val="18"/>
          <w:szCs w:val="18"/>
        </w:rPr>
      </w:pPr>
      <w:r w:rsidRPr="00697B5A">
        <w:rPr>
          <w:rStyle w:val="FootnoteReference"/>
          <w:sz w:val="18"/>
          <w:szCs w:val="18"/>
        </w:rPr>
        <w:footnoteRef/>
      </w:r>
      <w:r w:rsidRPr="00697B5A">
        <w:rPr>
          <w:sz w:val="18"/>
          <w:szCs w:val="18"/>
        </w:rPr>
        <w:t xml:space="preserve"> Venice Commission, Urgent Opinion on the Law on Transparency of Foreign Influence, CDL-PI(2024)013-e (21 May 2024): https://www.venice.coe.int/webforms/documents/default.aspx?pdffile=CDL-PI(2024)013-e</w:t>
      </w:r>
    </w:p>
  </w:footnote>
  <w:footnote w:id="4">
    <w:p w14:paraId="50DEB2B2" w14:textId="2D2F5A0C" w:rsidR="00697B5A" w:rsidRPr="00697B5A" w:rsidRDefault="00697B5A" w:rsidP="00697B5A">
      <w:pPr>
        <w:spacing w:after="0"/>
        <w:rPr>
          <w:sz w:val="18"/>
          <w:szCs w:val="18"/>
        </w:rPr>
      </w:pPr>
      <w:r w:rsidRPr="00697B5A">
        <w:rPr>
          <w:rStyle w:val="FootnoteReference"/>
          <w:sz w:val="18"/>
          <w:szCs w:val="18"/>
        </w:rPr>
        <w:footnoteRef/>
      </w:r>
      <w:r w:rsidRPr="00697B5A">
        <w:rPr>
          <w:sz w:val="18"/>
          <w:szCs w:val="18"/>
        </w:rPr>
        <w:t xml:space="preserve"> Venice Commission, Urgent Opinion on the Law on Transparency of Foreign Influence, CDL-AD(2024)020-e (24 Jun 2024): https://www.venice.coe.int/webforms/documents/default.aspx?pdffile=CDL-AD(2024)020-e</w:t>
      </w:r>
    </w:p>
  </w:footnote>
  <w:footnote w:id="5">
    <w:p w14:paraId="05F8BA5B" w14:textId="32A2DE1A" w:rsidR="00697B5A" w:rsidRPr="00697B5A" w:rsidRDefault="00697B5A" w:rsidP="00697B5A">
      <w:pPr>
        <w:spacing w:after="0"/>
        <w:rPr>
          <w:sz w:val="18"/>
          <w:szCs w:val="18"/>
        </w:rPr>
      </w:pPr>
      <w:r w:rsidRPr="00697B5A">
        <w:rPr>
          <w:rStyle w:val="FootnoteReference"/>
          <w:sz w:val="18"/>
          <w:szCs w:val="18"/>
        </w:rPr>
        <w:footnoteRef/>
      </w:r>
      <w:r w:rsidRPr="00697B5A">
        <w:rPr>
          <w:sz w:val="18"/>
          <w:szCs w:val="18"/>
        </w:rPr>
        <w:t xml:space="preserve"> OSCE/ODIHR, Urgent Opinion on the Law 'On Transparency of Foreign Influence' of Georgia (30 May 2024): https://www.osce.org/files/f/documents/b/d/569922.pdf</w:t>
      </w:r>
    </w:p>
  </w:footnote>
  <w:footnote w:id="6">
    <w:p w14:paraId="7BAEA97C" w14:textId="6A6B54D8" w:rsidR="00697B5A" w:rsidRPr="00697B5A" w:rsidRDefault="00697B5A" w:rsidP="00697B5A">
      <w:pPr>
        <w:spacing w:after="0"/>
        <w:rPr>
          <w:sz w:val="18"/>
          <w:szCs w:val="18"/>
        </w:rPr>
      </w:pPr>
      <w:r w:rsidRPr="00697B5A">
        <w:rPr>
          <w:rStyle w:val="FootnoteReference"/>
          <w:sz w:val="18"/>
          <w:szCs w:val="18"/>
        </w:rPr>
        <w:footnoteRef/>
      </w:r>
      <w:r w:rsidRPr="00697B5A">
        <w:rPr>
          <w:sz w:val="18"/>
          <w:szCs w:val="18"/>
        </w:rPr>
        <w:t xml:space="preserve"> Law of Georgia on Family Values and Protection of Minors (Matsne, English PDF, 17 Sep 2024): https://matsne.gov.ge/en/document/download/6283110/0/en/pdf</w:t>
      </w:r>
    </w:p>
  </w:footnote>
  <w:footnote w:id="7">
    <w:p w14:paraId="10E7FB24" w14:textId="603B9FB9" w:rsidR="00697B5A" w:rsidRPr="00697B5A" w:rsidRDefault="00697B5A" w:rsidP="00697B5A">
      <w:pPr>
        <w:spacing w:after="0"/>
        <w:rPr>
          <w:sz w:val="18"/>
          <w:szCs w:val="18"/>
        </w:rPr>
      </w:pPr>
      <w:r w:rsidRPr="00697B5A">
        <w:rPr>
          <w:rStyle w:val="FootnoteReference"/>
          <w:sz w:val="18"/>
          <w:szCs w:val="18"/>
        </w:rPr>
        <w:footnoteRef/>
      </w:r>
      <w:r w:rsidRPr="00697B5A">
        <w:rPr>
          <w:sz w:val="18"/>
          <w:szCs w:val="18"/>
        </w:rPr>
        <w:t xml:space="preserve"> OHCHR, 'Georgia: call to rescind new anti-LGBTIQ+ law' (17 Sep 2024): https://www.ohchr.org/en/press-releases/2024/09/georgia-call-rescind-new-anti-lgbtiq-law</w:t>
      </w:r>
    </w:p>
  </w:footnote>
  <w:footnote w:id="8">
    <w:p w14:paraId="4B18A5CD" w14:textId="3B361243" w:rsidR="00697B5A" w:rsidRPr="00697B5A" w:rsidRDefault="00697B5A" w:rsidP="00697B5A">
      <w:pPr>
        <w:spacing w:after="0"/>
        <w:rPr>
          <w:sz w:val="18"/>
          <w:szCs w:val="18"/>
        </w:rPr>
      </w:pPr>
      <w:r w:rsidRPr="00697B5A">
        <w:rPr>
          <w:rStyle w:val="FootnoteReference"/>
          <w:sz w:val="18"/>
          <w:szCs w:val="18"/>
        </w:rPr>
        <w:footnoteRef/>
      </w:r>
      <w:r w:rsidRPr="00697B5A">
        <w:rPr>
          <w:sz w:val="18"/>
          <w:szCs w:val="18"/>
        </w:rPr>
        <w:t xml:space="preserve"> Venice Commission, Opinion on the draft constitutional law and related amendments on 'family values and minors', CDL-AD(2024)021-e (25 Jun 2024): https://www.venice.coe.int/webforms/documents/default.aspx?pdffile=CDL-AD(2024)021-e</w:t>
      </w:r>
    </w:p>
  </w:footnote>
  <w:footnote w:id="9">
    <w:p w14:paraId="10C925C2" w14:textId="797C74D4" w:rsidR="00697B5A" w:rsidRPr="00697B5A" w:rsidRDefault="00697B5A" w:rsidP="00DA1049">
      <w:pPr>
        <w:spacing w:after="0"/>
        <w:rPr>
          <w:sz w:val="18"/>
          <w:szCs w:val="18"/>
        </w:rPr>
      </w:pPr>
      <w:r w:rsidRPr="00697B5A">
        <w:rPr>
          <w:rStyle w:val="FootnoteReference"/>
          <w:sz w:val="18"/>
          <w:szCs w:val="18"/>
        </w:rPr>
        <w:footnoteRef/>
      </w:r>
      <w:r w:rsidRPr="00697B5A">
        <w:rPr>
          <w:sz w:val="18"/>
          <w:szCs w:val="18"/>
        </w:rPr>
        <w:t xml:space="preserve"> Law of Georgia - Foreign Agents Registration Act (NATLEX English PDF, 1 Apr 2025): https://natlex.ilo.org/dyn/natlex2/natlex2/files/download/117844/GEO-117844%20(EN).pdf</w:t>
      </w:r>
    </w:p>
  </w:footnote>
  <w:footnote w:id="10">
    <w:p w14:paraId="3FE6583D" w14:textId="369AE732" w:rsidR="00697B5A" w:rsidRPr="00697B5A" w:rsidRDefault="00697B5A" w:rsidP="00DA1049">
      <w:pPr>
        <w:spacing w:after="0"/>
        <w:rPr>
          <w:sz w:val="18"/>
          <w:szCs w:val="18"/>
        </w:rPr>
      </w:pPr>
      <w:r w:rsidRPr="00697B5A">
        <w:rPr>
          <w:rStyle w:val="FootnoteReference"/>
          <w:sz w:val="18"/>
          <w:szCs w:val="18"/>
        </w:rPr>
        <w:footnoteRef/>
      </w:r>
      <w:r w:rsidRPr="00697B5A">
        <w:rPr>
          <w:sz w:val="18"/>
          <w:szCs w:val="18"/>
        </w:rPr>
        <w:t xml:space="preserve"> Venice Commission, Opinion on the Law on the Registration of Foreign Agents and amendments to the Law on Grants, CDL-AD(2025)034-e (15 Oct 2025): https://www.venice.coe.int/webforms/documents/default.aspx?pdffile=CDL-AD(2025)034-e</w:t>
      </w:r>
    </w:p>
  </w:footnote>
  <w:footnote w:id="11">
    <w:p w14:paraId="654CC785" w14:textId="6FA43E81" w:rsidR="00697B5A" w:rsidRPr="00697B5A" w:rsidRDefault="00697B5A" w:rsidP="00DA1049">
      <w:pPr>
        <w:spacing w:after="0"/>
        <w:rPr>
          <w:sz w:val="18"/>
          <w:szCs w:val="18"/>
        </w:rPr>
      </w:pPr>
      <w:r w:rsidRPr="00697B5A">
        <w:rPr>
          <w:rStyle w:val="FootnoteReference"/>
          <w:sz w:val="18"/>
          <w:szCs w:val="18"/>
        </w:rPr>
        <w:footnoteRef/>
      </w:r>
      <w:r w:rsidRPr="00697B5A">
        <w:rPr>
          <w:sz w:val="18"/>
          <w:szCs w:val="18"/>
        </w:rPr>
        <w:t xml:space="preserve"> ICNL, Brief on Georgia Draft Amendments to the Law on Grants (11 Apr 2025): https://www.icnl.org/wp-content/uploads/ICNL_Brief_on_Georgia_Draft_Amendments_to_the_Law_on_Grants_SF.pdf</w:t>
      </w:r>
    </w:p>
  </w:footnote>
  <w:footnote w:id="12">
    <w:p w14:paraId="6AFB94A2" w14:textId="1BFF2CC4" w:rsidR="00697B5A" w:rsidRPr="00DA1049" w:rsidRDefault="00697B5A" w:rsidP="00DA1049">
      <w:pPr>
        <w:spacing w:after="0"/>
        <w:rPr>
          <w:sz w:val="18"/>
          <w:szCs w:val="18"/>
        </w:rPr>
      </w:pPr>
      <w:r w:rsidRPr="00697B5A">
        <w:rPr>
          <w:rStyle w:val="FootnoteReference"/>
          <w:sz w:val="18"/>
          <w:szCs w:val="18"/>
        </w:rPr>
        <w:footnoteRef/>
      </w:r>
      <w:r w:rsidRPr="00697B5A">
        <w:rPr>
          <w:sz w:val="18"/>
          <w:szCs w:val="18"/>
        </w:rPr>
        <w:t xml:space="preserve"> Reuters, 'Georgia's parliament passes law restricting foreign grants to local groups' (16 Apr 2025): https://www.reuters.com/world/europe/georgias-parliament-passes-law-restricting-foreign-grants-local-groups-2025-04-16/</w:t>
      </w:r>
    </w:p>
  </w:footnote>
  <w:footnote w:id="13">
    <w:p w14:paraId="124F8913" w14:textId="276511AE" w:rsidR="00697B5A" w:rsidRPr="00DA1049" w:rsidRDefault="00697B5A" w:rsidP="00DA1049">
      <w:pPr>
        <w:rPr>
          <w:sz w:val="18"/>
          <w:szCs w:val="18"/>
        </w:rPr>
      </w:pPr>
      <w:r w:rsidRPr="00697B5A">
        <w:rPr>
          <w:rStyle w:val="FootnoteReference"/>
          <w:sz w:val="18"/>
          <w:szCs w:val="18"/>
        </w:rPr>
        <w:footnoteRef/>
      </w:r>
      <w:r w:rsidRPr="00697B5A">
        <w:rPr>
          <w:sz w:val="18"/>
          <w:szCs w:val="18"/>
        </w:rPr>
        <w:t xml:space="preserve"> Social Justice Center, analysis on removal of 'gender' and 'gender identity' concepts from legislation (19 Feb 2025): https://socialjustice.org.ge/en/products/kanonmdeblobidan-genderisa-da-genderuli-tanastsorobis-terminebisa-da-printsipebis-gakroba-kalta-mdgomareobas-gaauaresebs</w:t>
      </w:r>
    </w:p>
  </w:footnote>
  <w:footnote w:id="14">
    <w:p w14:paraId="03DA51CC" w14:textId="57E89665" w:rsidR="00DA1049" w:rsidRPr="00DA1049" w:rsidRDefault="00DA1049" w:rsidP="00DA1049">
      <w:pPr>
        <w:spacing w:after="0"/>
      </w:pPr>
      <w:r w:rsidRPr="00DA1049">
        <w:rPr>
          <w:rStyle w:val="FootnoteReference"/>
          <w:sz w:val="18"/>
          <w:szCs w:val="18"/>
        </w:rPr>
        <w:footnoteRef/>
      </w:r>
      <w:r w:rsidRPr="00DA1049">
        <w:rPr>
          <w:sz w:val="18"/>
          <w:szCs w:val="18"/>
        </w:rPr>
        <w:t xml:space="preserve"> Joint Submission to the UPR of Georgia (ECOM, Equality Movement, Tbilisi Pride) - OHCHR UPR portal (17 Jul 2025): https://uprdoc.ohchr.org/uprweb/downloadfile.aspx?file=EnglishTranslation&amp;filename=15186</w:t>
      </w:r>
    </w:p>
  </w:footnote>
  <w:footnote w:id="15">
    <w:p w14:paraId="082EAC42" w14:textId="77777777" w:rsidR="00DA1049" w:rsidRPr="00DA1049" w:rsidRDefault="00DA1049" w:rsidP="00DA1049">
      <w:pPr>
        <w:spacing w:after="0"/>
        <w:rPr>
          <w:sz w:val="18"/>
          <w:szCs w:val="18"/>
        </w:rPr>
      </w:pPr>
      <w:r w:rsidRPr="00DA1049">
        <w:rPr>
          <w:rStyle w:val="FootnoteReference"/>
          <w:sz w:val="18"/>
          <w:szCs w:val="18"/>
        </w:rPr>
        <w:footnoteRef/>
      </w:r>
      <w:r w:rsidRPr="00DA1049">
        <w:rPr>
          <w:sz w:val="18"/>
          <w:szCs w:val="18"/>
        </w:rPr>
        <w:t xml:space="preserve"> European Court of Human Rights, A.D. and Others v. Georgia, Judgment 1 Dec 2022 (HUDOC): https://hudoc.echr.coe.int/fre?i=001-221237</w:t>
      </w:r>
    </w:p>
    <w:p w14:paraId="1CF22727" w14:textId="01930599" w:rsidR="00DA1049" w:rsidRPr="00DA1049" w:rsidRDefault="00DA1049">
      <w:pPr>
        <w:pStyle w:val="FootnoteText"/>
      </w:pPr>
    </w:p>
  </w:footnote>
  <w:footnote w:id="16">
    <w:p w14:paraId="099EABE1" w14:textId="31180326" w:rsidR="00DA1049" w:rsidRPr="00DA1049" w:rsidRDefault="00DA1049" w:rsidP="00DA1049">
      <w:pPr>
        <w:spacing w:after="0"/>
        <w:rPr>
          <w:sz w:val="18"/>
          <w:szCs w:val="18"/>
        </w:rPr>
      </w:pPr>
      <w:r w:rsidRPr="00DA1049">
        <w:rPr>
          <w:rStyle w:val="FootnoteReference"/>
          <w:sz w:val="18"/>
          <w:szCs w:val="18"/>
        </w:rPr>
        <w:footnoteRef/>
      </w:r>
      <w:r w:rsidRPr="00DA1049">
        <w:rPr>
          <w:sz w:val="18"/>
          <w:szCs w:val="18"/>
        </w:rPr>
        <w:t xml:space="preserve"> Public Defender of Georgia, The Rights of LGBT+ People in Georgia: https://ombudsman.ge/eng/spetsialuri-angarishebi/lgbt-jgufis-uflebrivi-mdgomareobis-shefaseba-sakartveloshi</w:t>
      </w:r>
    </w:p>
  </w:footnote>
  <w:footnote w:id="17">
    <w:p w14:paraId="37B35DF9" w14:textId="77777777" w:rsidR="00DA1049" w:rsidRPr="00DA1049" w:rsidRDefault="00DA1049" w:rsidP="00DA1049">
      <w:pPr>
        <w:spacing w:after="0"/>
        <w:rPr>
          <w:sz w:val="18"/>
          <w:szCs w:val="18"/>
        </w:rPr>
      </w:pPr>
      <w:r w:rsidRPr="00DA1049">
        <w:rPr>
          <w:rStyle w:val="FootnoteReference"/>
          <w:sz w:val="18"/>
          <w:szCs w:val="18"/>
        </w:rPr>
        <w:footnoteRef/>
      </w:r>
      <w:r w:rsidRPr="00DA1049">
        <w:rPr>
          <w:sz w:val="18"/>
          <w:szCs w:val="18"/>
        </w:rPr>
        <w:t xml:space="preserve"> UNFPA EECARO, Comprehensive Sexuality Education in Georgia (31 Jul 2024): https://georgia.unfpa.org/sites/default/files/pub-pdf/SERAT_Georgia_Full_Print_0.pdf</w:t>
      </w:r>
    </w:p>
    <w:p w14:paraId="2CFD004E" w14:textId="7728F08F" w:rsidR="00DA1049" w:rsidRPr="00DA1049" w:rsidRDefault="00DA1049">
      <w:pPr>
        <w:pStyle w:val="FootnoteText"/>
      </w:pPr>
    </w:p>
  </w:footnote>
  <w:footnote w:id="18">
    <w:p w14:paraId="08D95904" w14:textId="44B97894" w:rsidR="00D67FD5" w:rsidRPr="00D67FD5" w:rsidRDefault="00D67FD5" w:rsidP="00D67FD5">
      <w:pPr>
        <w:spacing w:after="0"/>
      </w:pPr>
      <w:r w:rsidRPr="00D67FD5">
        <w:rPr>
          <w:rStyle w:val="FootnoteReference"/>
          <w:sz w:val="18"/>
          <w:szCs w:val="18"/>
        </w:rPr>
        <w:footnoteRef/>
      </w:r>
      <w:r w:rsidRPr="00D67FD5">
        <w:rPr>
          <w:sz w:val="18"/>
          <w:szCs w:val="18"/>
        </w:rPr>
        <w:t xml:space="preserve"> Equality Movement, Report on LGBTQ+ Rights Violations in Georgia | 2024 (PDF): https://equality.ge/wp-content/uploads/2025/03/LGBTQ-Rights-Violations-in-Georgia-2024-1.pdf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6776B"/>
    <w:multiLevelType w:val="multilevel"/>
    <w:tmpl w:val="203C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71BFC"/>
    <w:multiLevelType w:val="multilevel"/>
    <w:tmpl w:val="9B6E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86DAD"/>
    <w:multiLevelType w:val="multilevel"/>
    <w:tmpl w:val="A7D40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E24CF4"/>
    <w:multiLevelType w:val="multilevel"/>
    <w:tmpl w:val="C01C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E306C9"/>
    <w:multiLevelType w:val="multilevel"/>
    <w:tmpl w:val="E8CA3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0F23F6"/>
    <w:multiLevelType w:val="multilevel"/>
    <w:tmpl w:val="B156E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C1681D"/>
    <w:multiLevelType w:val="multilevel"/>
    <w:tmpl w:val="BDA059D6"/>
    <w:lvl w:ilvl="0">
      <w:start w:val="1"/>
      <w:numFmt w:val="upperRoman"/>
      <w:lvlText w:val="%1."/>
      <w:lvlJc w:val="left"/>
      <w:pPr>
        <w:ind w:left="1080" w:hanging="720"/>
      </w:pPr>
      <w:rPr>
        <w:rFonts w:ascii="Aptos" w:hAnsi="Aptos" w:cs="Tahoma" w:hint="default"/>
        <w:b/>
        <w:sz w:val="22"/>
      </w:rPr>
    </w:lvl>
    <w:lvl w:ilvl="1">
      <w:start w:val="1"/>
      <w:numFmt w:val="decimal"/>
      <w:lvlText w:val="%2."/>
      <w:lvlJc w:val="left"/>
      <w:pPr>
        <w:ind w:left="1440" w:hanging="360"/>
      </w:pPr>
      <w:rPr>
        <w:rFonts w:ascii="Aptos" w:eastAsia="Times New Roman" w:hAnsi="Aptos" w:cs="Times New Roman" w:hint="default"/>
        <w:b w:val="0"/>
        <w:bCs w:val="0"/>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1EA4041"/>
    <w:multiLevelType w:val="hybridMultilevel"/>
    <w:tmpl w:val="305CBE0C"/>
    <w:lvl w:ilvl="0" w:tplc="0809000F">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74D6B4C"/>
    <w:multiLevelType w:val="multilevel"/>
    <w:tmpl w:val="2042F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6C5CCE"/>
    <w:multiLevelType w:val="multilevel"/>
    <w:tmpl w:val="14BA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DA60C7"/>
    <w:multiLevelType w:val="multilevel"/>
    <w:tmpl w:val="1FFE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234130"/>
    <w:multiLevelType w:val="multilevel"/>
    <w:tmpl w:val="0D7E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00114B"/>
    <w:multiLevelType w:val="multilevel"/>
    <w:tmpl w:val="158A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D823D8"/>
    <w:multiLevelType w:val="multilevel"/>
    <w:tmpl w:val="AC8AA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BB0A0A"/>
    <w:multiLevelType w:val="hybridMultilevel"/>
    <w:tmpl w:val="DE90BCBE"/>
    <w:lvl w:ilvl="0" w:tplc="0809000F">
      <w:start w:val="5"/>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200410124">
    <w:abstractNumId w:val="9"/>
  </w:num>
  <w:num w:numId="2" w16cid:durableId="1335037461">
    <w:abstractNumId w:val="13"/>
  </w:num>
  <w:num w:numId="3" w16cid:durableId="792135141">
    <w:abstractNumId w:val="10"/>
  </w:num>
  <w:num w:numId="4" w16cid:durableId="741977">
    <w:abstractNumId w:val="3"/>
  </w:num>
  <w:num w:numId="5" w16cid:durableId="1496610313">
    <w:abstractNumId w:val="11"/>
  </w:num>
  <w:num w:numId="6" w16cid:durableId="1016928472">
    <w:abstractNumId w:val="2"/>
  </w:num>
  <w:num w:numId="7" w16cid:durableId="113646454">
    <w:abstractNumId w:val="4"/>
  </w:num>
  <w:num w:numId="8" w16cid:durableId="1316646464">
    <w:abstractNumId w:val="5"/>
  </w:num>
  <w:num w:numId="9" w16cid:durableId="309527930">
    <w:abstractNumId w:val="12"/>
  </w:num>
  <w:num w:numId="10" w16cid:durableId="876819348">
    <w:abstractNumId w:val="8"/>
  </w:num>
  <w:num w:numId="11" w16cid:durableId="1805656206">
    <w:abstractNumId w:val="0"/>
  </w:num>
  <w:num w:numId="12" w16cid:durableId="871308829">
    <w:abstractNumId w:val="1"/>
  </w:num>
  <w:num w:numId="13" w16cid:durableId="1058865514">
    <w:abstractNumId w:val="6"/>
  </w:num>
  <w:num w:numId="14" w16cid:durableId="2012491297">
    <w:abstractNumId w:val="14"/>
  </w:num>
  <w:num w:numId="15" w16cid:durableId="12631080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80F"/>
    <w:rsid w:val="003C7D18"/>
    <w:rsid w:val="003E3014"/>
    <w:rsid w:val="00475D8B"/>
    <w:rsid w:val="005C2FB1"/>
    <w:rsid w:val="005C700B"/>
    <w:rsid w:val="005D3106"/>
    <w:rsid w:val="00697B5A"/>
    <w:rsid w:val="00772C49"/>
    <w:rsid w:val="00815812"/>
    <w:rsid w:val="00B3680F"/>
    <w:rsid w:val="00C57CD1"/>
    <w:rsid w:val="00D67FD5"/>
    <w:rsid w:val="00DA1049"/>
    <w:rsid w:val="00E90370"/>
  </w:rsids>
  <m:mathPr>
    <m:mathFont m:val="Cambria Math"/>
    <m:brkBin m:val="before"/>
    <m:brkBinSub m:val="--"/>
    <m:smallFrac m:val="0"/>
    <m:dispDef/>
    <m:lMargin m:val="0"/>
    <m:rMargin m:val="0"/>
    <m:defJc m:val="centerGroup"/>
    <m:wrapIndent m:val="1440"/>
    <m:intLim m:val="subSup"/>
    <m:naryLim m:val="undOvr"/>
  </m:mathPr>
  <w:themeFontLang w:val="en-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33BB"/>
  <w15:chartTrackingRefBased/>
  <w15:docId w15:val="{8FCAC1C4-CA70-C143-AB39-1A54CB054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E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8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68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68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68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68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68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8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8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8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8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68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68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68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68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68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8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8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80F"/>
    <w:rPr>
      <w:rFonts w:eastAsiaTheme="majorEastAsia" w:cstheme="majorBidi"/>
      <w:color w:val="272727" w:themeColor="text1" w:themeTint="D8"/>
    </w:rPr>
  </w:style>
  <w:style w:type="paragraph" w:styleId="Title">
    <w:name w:val="Title"/>
    <w:basedOn w:val="Normal"/>
    <w:next w:val="Normal"/>
    <w:link w:val="TitleChar"/>
    <w:uiPriority w:val="10"/>
    <w:qFormat/>
    <w:rsid w:val="00B368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8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8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8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80F"/>
    <w:pPr>
      <w:spacing w:before="160"/>
      <w:jc w:val="center"/>
    </w:pPr>
    <w:rPr>
      <w:i/>
      <w:iCs/>
      <w:color w:val="404040" w:themeColor="text1" w:themeTint="BF"/>
    </w:rPr>
  </w:style>
  <w:style w:type="character" w:customStyle="1" w:styleId="QuoteChar">
    <w:name w:val="Quote Char"/>
    <w:basedOn w:val="DefaultParagraphFont"/>
    <w:link w:val="Quote"/>
    <w:uiPriority w:val="29"/>
    <w:rsid w:val="00B3680F"/>
    <w:rPr>
      <w:i/>
      <w:iCs/>
      <w:color w:val="404040" w:themeColor="text1" w:themeTint="BF"/>
    </w:rPr>
  </w:style>
  <w:style w:type="paragraph" w:styleId="ListParagraph">
    <w:name w:val="List Paragraph"/>
    <w:basedOn w:val="Normal"/>
    <w:uiPriority w:val="34"/>
    <w:qFormat/>
    <w:rsid w:val="00B3680F"/>
    <w:pPr>
      <w:ind w:left="720"/>
      <w:contextualSpacing/>
    </w:pPr>
  </w:style>
  <w:style w:type="character" w:styleId="IntenseEmphasis">
    <w:name w:val="Intense Emphasis"/>
    <w:basedOn w:val="DefaultParagraphFont"/>
    <w:uiPriority w:val="21"/>
    <w:qFormat/>
    <w:rsid w:val="00B3680F"/>
    <w:rPr>
      <w:i/>
      <w:iCs/>
      <w:color w:val="0F4761" w:themeColor="accent1" w:themeShade="BF"/>
    </w:rPr>
  </w:style>
  <w:style w:type="paragraph" w:styleId="IntenseQuote">
    <w:name w:val="Intense Quote"/>
    <w:basedOn w:val="Normal"/>
    <w:next w:val="Normal"/>
    <w:link w:val="IntenseQuoteChar"/>
    <w:uiPriority w:val="30"/>
    <w:qFormat/>
    <w:rsid w:val="00B368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680F"/>
    <w:rPr>
      <w:i/>
      <w:iCs/>
      <w:color w:val="0F4761" w:themeColor="accent1" w:themeShade="BF"/>
    </w:rPr>
  </w:style>
  <w:style w:type="character" w:styleId="IntenseReference">
    <w:name w:val="Intense Reference"/>
    <w:basedOn w:val="DefaultParagraphFont"/>
    <w:uiPriority w:val="32"/>
    <w:qFormat/>
    <w:rsid w:val="00B3680F"/>
    <w:rPr>
      <w:b/>
      <w:bCs/>
      <w:smallCaps/>
      <w:color w:val="0F4761" w:themeColor="accent1" w:themeShade="BF"/>
      <w:spacing w:val="5"/>
    </w:rPr>
  </w:style>
  <w:style w:type="paragraph" w:styleId="NormalWeb">
    <w:name w:val="Normal (Web)"/>
    <w:basedOn w:val="Normal"/>
    <w:uiPriority w:val="99"/>
    <w:semiHidden/>
    <w:unhideWhenUsed/>
    <w:rsid w:val="00B368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3680F"/>
    <w:rPr>
      <w:b/>
      <w:bCs/>
    </w:rPr>
  </w:style>
  <w:style w:type="character" w:styleId="Hyperlink">
    <w:name w:val="Hyperlink"/>
    <w:basedOn w:val="DefaultParagraphFont"/>
    <w:uiPriority w:val="99"/>
    <w:semiHidden/>
    <w:unhideWhenUsed/>
    <w:rsid w:val="00B3680F"/>
    <w:rPr>
      <w:color w:val="0000FF"/>
      <w:u w:val="single"/>
    </w:rPr>
  </w:style>
  <w:style w:type="paragraph" w:styleId="HTMLPreformatted">
    <w:name w:val="HTML Preformatted"/>
    <w:basedOn w:val="Normal"/>
    <w:link w:val="HTMLPreformattedChar"/>
    <w:uiPriority w:val="99"/>
    <w:semiHidden/>
    <w:unhideWhenUsed/>
    <w:rsid w:val="00B36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B3680F"/>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B3680F"/>
    <w:rPr>
      <w:rFonts w:ascii="Courier New" w:eastAsia="Times New Roman" w:hAnsi="Courier New" w:cs="Courier New"/>
      <w:sz w:val="20"/>
      <w:szCs w:val="20"/>
    </w:rPr>
  </w:style>
  <w:style w:type="character" w:customStyle="1" w:styleId="InternetLink">
    <w:name w:val="Internet Link"/>
    <w:basedOn w:val="DefaultParagraphFont"/>
    <w:uiPriority w:val="99"/>
    <w:unhideWhenUsed/>
    <w:rsid w:val="00B3680F"/>
    <w:rPr>
      <w:color w:val="467886" w:themeColor="hyperlink"/>
      <w:u w:val="single"/>
    </w:rPr>
  </w:style>
  <w:style w:type="table" w:styleId="TableGrid">
    <w:name w:val="Table Grid"/>
    <w:basedOn w:val="TableNormal"/>
    <w:uiPriority w:val="39"/>
    <w:rsid w:val="00B3680F"/>
    <w:pPr>
      <w:spacing w:after="0" w:line="240" w:lineRule="auto"/>
    </w:pPr>
    <w:rPr>
      <w:rFonts w:ascii="Times New Roman" w:eastAsia="Times New Roman" w:hAnsi="Times New Roman" w:cs="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ssionsubtitle">
    <w:name w:val="sessionsubtitle"/>
    <w:basedOn w:val="DefaultParagraphFont"/>
    <w:rsid w:val="00B3680F"/>
  </w:style>
  <w:style w:type="paragraph" w:styleId="FootnoteText">
    <w:name w:val="footnote text"/>
    <w:basedOn w:val="Normal"/>
    <w:link w:val="FootnoteTextChar"/>
    <w:uiPriority w:val="99"/>
    <w:semiHidden/>
    <w:unhideWhenUsed/>
    <w:rsid w:val="008158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5812"/>
    <w:rPr>
      <w:sz w:val="20"/>
      <w:szCs w:val="20"/>
    </w:rPr>
  </w:style>
  <w:style w:type="character" w:styleId="FootnoteReference">
    <w:name w:val="footnote reference"/>
    <w:basedOn w:val="DefaultParagraphFont"/>
    <w:uiPriority w:val="99"/>
    <w:semiHidden/>
    <w:unhideWhenUsed/>
    <w:rsid w:val="008158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25AD4-976A-1A49-AA82-7F001F4BE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Pages>
  <Words>2123</Words>
  <Characters>12105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 Yoursky</dc:creator>
  <cp:keywords/>
  <dc:description/>
  <cp:lastModifiedBy>Yuri Yoursky</cp:lastModifiedBy>
  <cp:revision>3</cp:revision>
  <dcterms:created xsi:type="dcterms:W3CDTF">2026-01-05T09:32:00Z</dcterms:created>
  <dcterms:modified xsi:type="dcterms:W3CDTF">2026-01-05T11:19:00Z</dcterms:modified>
</cp:coreProperties>
</file>