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CA5" w:rsidRDefault="00313CA5" w:rsidP="00313CA5">
      <w:pPr>
        <w:jc w:val="center"/>
      </w:pPr>
      <w:r>
        <w:rPr>
          <w:rFonts w:ascii="Arial" w:hAnsi="Arial" w:cs="Arial"/>
          <w:b/>
          <w:noProof/>
          <w:sz w:val="28"/>
          <w:szCs w:val="28"/>
          <w:lang w:eastAsia="en-GB"/>
        </w:rPr>
        <w:drawing>
          <wp:inline distT="0" distB="0" distL="0" distR="0">
            <wp:extent cx="3771900" cy="1057275"/>
            <wp:effectExtent l="0" t="0" r="0" b="9525"/>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900" cy="1057275"/>
                    </a:xfrm>
                    <a:prstGeom prst="rect">
                      <a:avLst/>
                    </a:prstGeom>
                    <a:noFill/>
                    <a:ln>
                      <a:noFill/>
                    </a:ln>
                  </pic:spPr>
                </pic:pic>
              </a:graphicData>
            </a:graphic>
          </wp:inline>
        </w:drawing>
      </w:r>
      <w:r>
        <w:t xml:space="preserve"> </w:t>
      </w:r>
    </w:p>
    <w:p w:rsidR="00313CA5" w:rsidRDefault="00313CA5" w:rsidP="00313CA5">
      <w:pPr>
        <w:pStyle w:val="Header"/>
        <w:jc w:val="center"/>
        <w:rPr>
          <w:rFonts w:ascii="Calibri" w:hAnsi="Calibri" w:cs="Arial"/>
        </w:rPr>
      </w:pPr>
      <w:r>
        <w:rPr>
          <w:rFonts w:ascii="Calibri" w:hAnsi="Calibri" w:cs="Arial"/>
        </w:rPr>
        <w:t>87 Vauxhall Walk, London SE11 5HJ, United Kingdom</w:t>
      </w:r>
    </w:p>
    <w:p w:rsidR="00313CA5" w:rsidRDefault="00313CA5" w:rsidP="00313CA5">
      <w:pPr>
        <w:pStyle w:val="Header"/>
        <w:jc w:val="center"/>
        <w:rPr>
          <w:rFonts w:ascii="Calibri" w:hAnsi="Calibri" w:cs="Arial"/>
        </w:rPr>
      </w:pPr>
      <w:r>
        <w:rPr>
          <w:rFonts w:ascii="Calibri" w:hAnsi="Calibri" w:cs="Arial"/>
        </w:rPr>
        <w:t>Tel: + 44 (0) 20 7793 1777 Fax: + 44 (0) 20 7793 1719</w:t>
      </w:r>
    </w:p>
    <w:p w:rsidR="00313CA5" w:rsidRDefault="00313CA5" w:rsidP="00313CA5">
      <w:pPr>
        <w:pStyle w:val="Header"/>
        <w:jc w:val="center"/>
        <w:rPr>
          <w:rFonts w:ascii="Calibri" w:hAnsi="Calibri" w:cs="Calibri"/>
          <w:b/>
        </w:rPr>
      </w:pPr>
      <w:r>
        <w:rPr>
          <w:rFonts w:ascii="Calibri" w:hAnsi="Calibri" w:cs="Arial"/>
        </w:rPr>
        <w:t xml:space="preserve">Email: </w:t>
      </w:r>
      <w:hyperlink r:id="rId10" w:history="1">
        <w:r>
          <w:rPr>
            <w:rStyle w:val="Hyperlink"/>
            <w:rFonts w:ascii="Calibri" w:hAnsi="Calibri"/>
          </w:rPr>
          <w:t>info@redress.org</w:t>
        </w:r>
      </w:hyperlink>
      <w:r>
        <w:rPr>
          <w:rFonts w:ascii="Calibri" w:hAnsi="Calibri" w:cs="Arial"/>
        </w:rPr>
        <w:t xml:space="preserve">  Web: </w:t>
      </w:r>
      <w:hyperlink r:id="rId11" w:history="1">
        <w:r>
          <w:rPr>
            <w:rStyle w:val="Hyperlink"/>
            <w:rFonts w:ascii="Calibri" w:hAnsi="Calibri"/>
          </w:rPr>
          <w:t>www.redress.org</w:t>
        </w:r>
      </w:hyperlink>
    </w:p>
    <w:p w:rsidR="00313CA5" w:rsidRPr="004201B0" w:rsidRDefault="00313CA5" w:rsidP="004201B0">
      <w:pPr>
        <w:jc w:val="center"/>
        <w:rPr>
          <w:rFonts w:ascii="Arial" w:hAnsi="Arial" w:cs="Arial"/>
          <w:b/>
          <w:sz w:val="28"/>
          <w:szCs w:val="28"/>
        </w:rPr>
      </w:pPr>
    </w:p>
    <w:p w:rsidR="00357F64" w:rsidRPr="004201B0" w:rsidRDefault="00313CA5" w:rsidP="00083DE0">
      <w:pPr>
        <w:spacing w:line="276" w:lineRule="auto"/>
        <w:jc w:val="center"/>
        <w:rPr>
          <w:rFonts w:ascii="Arial" w:hAnsi="Arial" w:cs="Arial"/>
          <w:b/>
          <w:sz w:val="28"/>
          <w:szCs w:val="28"/>
        </w:rPr>
      </w:pPr>
      <w:r w:rsidRPr="004201B0">
        <w:rPr>
          <w:rFonts w:ascii="Arial" w:hAnsi="Arial" w:cs="Arial"/>
          <w:b/>
          <w:sz w:val="28"/>
          <w:szCs w:val="28"/>
        </w:rPr>
        <w:t xml:space="preserve">SUBMISSION </w:t>
      </w:r>
      <w:r w:rsidR="001F0039" w:rsidRPr="004201B0">
        <w:rPr>
          <w:rFonts w:ascii="Arial" w:hAnsi="Arial" w:cs="Arial"/>
          <w:b/>
          <w:sz w:val="28"/>
          <w:szCs w:val="28"/>
        </w:rPr>
        <w:t xml:space="preserve">TO </w:t>
      </w:r>
      <w:r w:rsidR="00155511">
        <w:rPr>
          <w:rFonts w:ascii="Arial" w:hAnsi="Arial" w:cs="Arial"/>
          <w:b/>
          <w:sz w:val="28"/>
          <w:szCs w:val="28"/>
        </w:rPr>
        <w:t xml:space="preserve">THE UN </w:t>
      </w:r>
      <w:r w:rsidR="00FC3346" w:rsidRPr="004201B0">
        <w:rPr>
          <w:rFonts w:ascii="Arial" w:hAnsi="Arial" w:cs="Arial"/>
          <w:b/>
          <w:sz w:val="28"/>
          <w:szCs w:val="28"/>
        </w:rPr>
        <w:t>HUMAN RIGHTS COMMITTEE</w:t>
      </w:r>
      <w:r w:rsidR="004201B0" w:rsidRPr="004201B0">
        <w:rPr>
          <w:rFonts w:ascii="Arial" w:hAnsi="Arial" w:cs="Arial"/>
          <w:b/>
          <w:sz w:val="28"/>
          <w:szCs w:val="28"/>
        </w:rPr>
        <w:t>:</w:t>
      </w:r>
      <w:r w:rsidR="004201B0">
        <w:rPr>
          <w:rFonts w:ascii="Arial" w:hAnsi="Arial" w:cs="Arial"/>
          <w:b/>
          <w:sz w:val="28"/>
          <w:szCs w:val="28"/>
        </w:rPr>
        <w:t xml:space="preserve"> </w:t>
      </w:r>
      <w:r w:rsidR="00FC3346" w:rsidRPr="004201B0">
        <w:rPr>
          <w:rFonts w:ascii="Arial" w:hAnsi="Arial" w:cs="Arial"/>
          <w:b/>
          <w:sz w:val="28"/>
          <w:szCs w:val="28"/>
        </w:rPr>
        <w:t>INTERNATI</w:t>
      </w:r>
      <w:r w:rsidR="00357F64" w:rsidRPr="004201B0">
        <w:rPr>
          <w:rFonts w:ascii="Arial" w:hAnsi="Arial" w:cs="Arial"/>
          <w:b/>
          <w:sz w:val="28"/>
          <w:szCs w:val="28"/>
        </w:rPr>
        <w:t>O</w:t>
      </w:r>
      <w:r w:rsidR="00FC3346" w:rsidRPr="004201B0">
        <w:rPr>
          <w:rFonts w:ascii="Arial" w:hAnsi="Arial" w:cs="Arial"/>
          <w:b/>
          <w:sz w:val="28"/>
          <w:szCs w:val="28"/>
        </w:rPr>
        <w:t>N</w:t>
      </w:r>
      <w:r w:rsidR="00357F64" w:rsidRPr="004201B0">
        <w:rPr>
          <w:rFonts w:ascii="Arial" w:hAnsi="Arial" w:cs="Arial"/>
          <w:b/>
          <w:sz w:val="28"/>
          <w:szCs w:val="28"/>
        </w:rPr>
        <w:t>A</w:t>
      </w:r>
      <w:r w:rsidR="00FC3346" w:rsidRPr="004201B0">
        <w:rPr>
          <w:rFonts w:ascii="Arial" w:hAnsi="Arial" w:cs="Arial"/>
          <w:b/>
          <w:sz w:val="28"/>
          <w:szCs w:val="28"/>
        </w:rPr>
        <w:t>L COVENA</w:t>
      </w:r>
      <w:r w:rsidR="00357F64" w:rsidRPr="004201B0">
        <w:rPr>
          <w:rFonts w:ascii="Arial" w:hAnsi="Arial" w:cs="Arial"/>
          <w:b/>
          <w:sz w:val="28"/>
          <w:szCs w:val="28"/>
        </w:rPr>
        <w:t>NT ON CIVIL AND POLITICAL RIGHTS</w:t>
      </w:r>
      <w:r w:rsidR="004201B0" w:rsidRPr="004201B0">
        <w:rPr>
          <w:rFonts w:ascii="Arial" w:hAnsi="Arial" w:cs="Arial"/>
          <w:b/>
          <w:sz w:val="28"/>
          <w:szCs w:val="28"/>
        </w:rPr>
        <w:t xml:space="preserve">: </w:t>
      </w:r>
      <w:r w:rsidR="004201B0">
        <w:rPr>
          <w:rFonts w:ascii="Arial" w:hAnsi="Arial" w:cs="Arial"/>
          <w:b/>
          <w:sz w:val="28"/>
          <w:szCs w:val="28"/>
        </w:rPr>
        <w:t xml:space="preserve">RESPONSE </w:t>
      </w:r>
      <w:r w:rsidR="00083DE0">
        <w:rPr>
          <w:rFonts w:ascii="Arial" w:hAnsi="Arial" w:cs="Arial"/>
          <w:b/>
          <w:sz w:val="28"/>
          <w:szCs w:val="28"/>
        </w:rPr>
        <w:t xml:space="preserve">TO </w:t>
      </w:r>
      <w:r w:rsidR="00155511">
        <w:rPr>
          <w:rFonts w:ascii="Arial" w:hAnsi="Arial" w:cs="Arial"/>
          <w:b/>
          <w:sz w:val="28"/>
          <w:szCs w:val="28"/>
        </w:rPr>
        <w:t xml:space="preserve">THE </w:t>
      </w:r>
      <w:r w:rsidR="00083DE0">
        <w:rPr>
          <w:rFonts w:ascii="Arial" w:hAnsi="Arial" w:cs="Arial"/>
          <w:b/>
          <w:sz w:val="28"/>
          <w:szCs w:val="28"/>
        </w:rPr>
        <w:t>UNITED KINGDOM’S 7</w:t>
      </w:r>
      <w:r w:rsidR="00083DE0" w:rsidRPr="00083DE0">
        <w:rPr>
          <w:rFonts w:ascii="Arial" w:hAnsi="Arial" w:cs="Arial"/>
          <w:b/>
          <w:sz w:val="28"/>
          <w:szCs w:val="28"/>
          <w:vertAlign w:val="superscript"/>
        </w:rPr>
        <w:t>TH</w:t>
      </w:r>
      <w:r w:rsidR="00083DE0">
        <w:rPr>
          <w:rFonts w:ascii="Arial" w:hAnsi="Arial" w:cs="Arial"/>
          <w:b/>
          <w:sz w:val="28"/>
          <w:szCs w:val="28"/>
        </w:rPr>
        <w:t xml:space="preserve"> </w:t>
      </w:r>
      <w:r w:rsidR="00083DE0" w:rsidRPr="004201B0">
        <w:rPr>
          <w:rFonts w:ascii="Arial" w:hAnsi="Arial" w:cs="Arial"/>
          <w:b/>
          <w:sz w:val="28"/>
          <w:szCs w:val="28"/>
        </w:rPr>
        <w:t>PERIODIC</w:t>
      </w:r>
      <w:r w:rsidR="004201B0">
        <w:rPr>
          <w:rFonts w:ascii="Arial" w:hAnsi="Arial" w:cs="Arial"/>
          <w:b/>
          <w:sz w:val="28"/>
          <w:szCs w:val="28"/>
        </w:rPr>
        <w:t xml:space="preserve"> </w:t>
      </w:r>
      <w:r w:rsidR="00357F64" w:rsidRPr="004201B0">
        <w:rPr>
          <w:rFonts w:ascii="Arial" w:hAnsi="Arial" w:cs="Arial"/>
          <w:b/>
          <w:sz w:val="28"/>
          <w:szCs w:val="28"/>
        </w:rPr>
        <w:t>REPORT</w:t>
      </w:r>
      <w:r w:rsidR="00083DE0">
        <w:rPr>
          <w:rFonts w:ascii="Arial" w:hAnsi="Arial" w:cs="Arial"/>
          <w:b/>
          <w:sz w:val="28"/>
          <w:szCs w:val="28"/>
        </w:rPr>
        <w:t xml:space="preserve"> </w:t>
      </w:r>
      <w:r w:rsidR="00357F64" w:rsidRPr="004201B0">
        <w:rPr>
          <w:rFonts w:ascii="Arial" w:hAnsi="Arial" w:cs="Arial"/>
          <w:b/>
          <w:sz w:val="28"/>
          <w:szCs w:val="28"/>
        </w:rPr>
        <w:t>(</w:t>
      </w:r>
      <w:r w:rsidR="004201B0" w:rsidRPr="004201B0">
        <w:rPr>
          <w:rFonts w:ascii="Arial" w:hAnsi="Arial" w:cs="Arial"/>
          <w:b/>
          <w:sz w:val="28"/>
          <w:szCs w:val="28"/>
        </w:rPr>
        <w:t>DECEMBER 2012)</w:t>
      </w:r>
    </w:p>
    <w:p w:rsidR="00FC3346" w:rsidRDefault="00FC3346" w:rsidP="00083DE0">
      <w:pPr>
        <w:jc w:val="both"/>
        <w:rPr>
          <w:rFonts w:ascii="Calibri" w:hAnsi="Calibri" w:cs="Calibri"/>
          <w:b/>
          <w:sz w:val="28"/>
          <w:szCs w:val="28"/>
        </w:rPr>
      </w:pPr>
    </w:p>
    <w:p w:rsidR="004E3021" w:rsidRPr="00596F63" w:rsidRDefault="004201B0" w:rsidP="003646BA">
      <w:pPr>
        <w:jc w:val="center"/>
        <w:rPr>
          <w:rFonts w:ascii="Calibri" w:hAnsi="Calibri" w:cs="Arial"/>
          <w:color w:val="000000"/>
          <w:sz w:val="28"/>
          <w:szCs w:val="28"/>
          <w:lang w:val="en-US"/>
        </w:rPr>
      </w:pPr>
      <w:r w:rsidRPr="00C3419B">
        <w:rPr>
          <w:rFonts w:ascii="Arial" w:hAnsi="Arial" w:cs="Arial"/>
          <w:b/>
          <w:sz w:val="28"/>
          <w:szCs w:val="28"/>
        </w:rPr>
        <w:t>5 JUNE 2015</w:t>
      </w:r>
    </w:p>
    <w:p w:rsidR="00313CA5" w:rsidRDefault="00313CA5" w:rsidP="00313CA5">
      <w:pPr>
        <w:autoSpaceDE w:val="0"/>
        <w:autoSpaceDN w:val="0"/>
        <w:adjustRightInd w:val="0"/>
        <w:rPr>
          <w:rFonts w:ascii="Arial" w:hAnsi="Arial" w:cs="Arial"/>
          <w:b/>
          <w:color w:val="000000"/>
          <w:sz w:val="22"/>
          <w:szCs w:val="22"/>
          <w:lang w:val="en-US"/>
        </w:rPr>
      </w:pPr>
    </w:p>
    <w:p w:rsidR="00313CA5" w:rsidRDefault="00313CA5" w:rsidP="00313CA5">
      <w:pPr>
        <w:autoSpaceDE w:val="0"/>
        <w:autoSpaceDN w:val="0"/>
        <w:adjustRightInd w:val="0"/>
        <w:rPr>
          <w:rFonts w:ascii="Arial" w:hAnsi="Arial" w:cs="Arial"/>
          <w:b/>
          <w:bCs/>
          <w:color w:val="000000"/>
          <w:lang w:val="en-US"/>
        </w:rPr>
      </w:pPr>
      <w:r w:rsidRPr="00C3419B">
        <w:rPr>
          <w:rFonts w:ascii="Arial" w:hAnsi="Arial" w:cs="Arial"/>
          <w:b/>
          <w:bCs/>
          <w:color w:val="000000"/>
          <w:lang w:val="en-US"/>
        </w:rPr>
        <w:t>INTRODUCTION</w:t>
      </w:r>
    </w:p>
    <w:p w:rsidR="00807C1A" w:rsidRDefault="00807C1A" w:rsidP="00313CA5">
      <w:pPr>
        <w:autoSpaceDE w:val="0"/>
        <w:autoSpaceDN w:val="0"/>
        <w:adjustRightInd w:val="0"/>
        <w:rPr>
          <w:rFonts w:ascii="Arial" w:hAnsi="Arial" w:cs="Arial"/>
          <w:b/>
          <w:bCs/>
          <w:color w:val="000000"/>
          <w:lang w:val="en-US"/>
        </w:rPr>
      </w:pPr>
    </w:p>
    <w:p w:rsidR="003646BA" w:rsidRDefault="00807C1A" w:rsidP="00850B2A">
      <w:pPr>
        <w:shd w:val="clear" w:color="auto" w:fill="FFFFFF"/>
        <w:jc w:val="both"/>
        <w:textAlignment w:val="baseline"/>
        <w:rPr>
          <w:rFonts w:ascii="Arial" w:hAnsi="Arial" w:cs="Arial"/>
          <w:color w:val="000000"/>
          <w:sz w:val="22"/>
          <w:szCs w:val="22"/>
          <w:lang w:val="en-US"/>
        </w:rPr>
      </w:pPr>
      <w:r w:rsidRPr="00F4422E">
        <w:rPr>
          <w:rFonts w:ascii="Arial" w:hAnsi="Arial" w:cs="Arial"/>
          <w:color w:val="000000"/>
          <w:sz w:val="22"/>
          <w:szCs w:val="22"/>
          <w:lang w:val="en-US"/>
        </w:rPr>
        <w:t xml:space="preserve">1.  REDRESS is an international non-governmental human rights </w:t>
      </w:r>
      <w:proofErr w:type="spellStart"/>
      <w:r w:rsidRPr="00F4422E">
        <w:rPr>
          <w:rFonts w:ascii="Arial" w:hAnsi="Arial" w:cs="Arial"/>
          <w:color w:val="000000"/>
          <w:sz w:val="22"/>
          <w:szCs w:val="22"/>
          <w:lang w:val="en-US"/>
        </w:rPr>
        <w:t>organisation</w:t>
      </w:r>
      <w:proofErr w:type="spellEnd"/>
      <w:r w:rsidRPr="00F4422E">
        <w:rPr>
          <w:rFonts w:ascii="Arial" w:hAnsi="Arial" w:cs="Arial"/>
          <w:color w:val="000000"/>
          <w:sz w:val="22"/>
          <w:szCs w:val="22"/>
          <w:lang w:val="en-US"/>
        </w:rPr>
        <w:t xml:space="preserve"> with a mandate to assist torture survivors to obtain justice and reparation for their suffering.  Since its establishment in December 1992, REDRESS has accumulated wide expertise on the rights of victims of torture both within the United Kingdom</w:t>
      </w:r>
      <w:r w:rsidR="00BD2EDB">
        <w:rPr>
          <w:rFonts w:ascii="Arial" w:hAnsi="Arial" w:cs="Arial"/>
          <w:color w:val="000000"/>
          <w:sz w:val="22"/>
          <w:szCs w:val="22"/>
          <w:lang w:val="en-US"/>
        </w:rPr>
        <w:t xml:space="preserve"> (“UK”)</w:t>
      </w:r>
      <w:r w:rsidRPr="00F4422E">
        <w:rPr>
          <w:rFonts w:ascii="Arial" w:hAnsi="Arial" w:cs="Arial"/>
          <w:color w:val="000000"/>
          <w:sz w:val="22"/>
          <w:szCs w:val="22"/>
          <w:lang w:val="en-US"/>
        </w:rPr>
        <w:t xml:space="preserve"> and internationally.</w:t>
      </w:r>
    </w:p>
    <w:p w:rsidR="00BD2EDB" w:rsidRPr="00F4422E" w:rsidRDefault="00BD2EDB" w:rsidP="00850B2A">
      <w:pPr>
        <w:shd w:val="clear" w:color="auto" w:fill="FFFFFF"/>
        <w:jc w:val="both"/>
        <w:textAlignment w:val="baseline"/>
        <w:rPr>
          <w:rFonts w:ascii="Arial" w:hAnsi="Arial" w:cs="Arial"/>
          <w:color w:val="000000"/>
          <w:sz w:val="22"/>
          <w:szCs w:val="22"/>
          <w:lang w:val="en-US"/>
        </w:rPr>
      </w:pPr>
      <w:r w:rsidRPr="00F4422E">
        <w:rPr>
          <w:rFonts w:ascii="Arial" w:hAnsi="Arial" w:cs="Arial"/>
          <w:color w:val="000000"/>
          <w:sz w:val="22"/>
          <w:szCs w:val="22"/>
          <w:lang w:val="en-US"/>
        </w:rPr>
        <w:t xml:space="preserve"> </w:t>
      </w:r>
    </w:p>
    <w:p w:rsidR="00F711BD" w:rsidRDefault="00BD2EDB" w:rsidP="00850B2A">
      <w:pPr>
        <w:shd w:val="clear" w:color="auto" w:fill="FFFFFF"/>
        <w:jc w:val="both"/>
        <w:textAlignment w:val="baseline"/>
        <w:rPr>
          <w:rFonts w:ascii="Arial" w:hAnsi="Arial" w:cs="Arial"/>
          <w:sz w:val="22"/>
          <w:szCs w:val="22"/>
        </w:rPr>
      </w:pPr>
      <w:r>
        <w:rPr>
          <w:rFonts w:ascii="Arial" w:hAnsi="Arial" w:cs="Arial"/>
          <w:sz w:val="22"/>
          <w:szCs w:val="22"/>
        </w:rPr>
        <w:t xml:space="preserve">2. </w:t>
      </w:r>
      <w:r w:rsidR="00F711BD" w:rsidRPr="00F4422E">
        <w:rPr>
          <w:rFonts w:ascii="Arial" w:hAnsi="Arial" w:cs="Arial"/>
          <w:sz w:val="22"/>
          <w:szCs w:val="22"/>
        </w:rPr>
        <w:t>This submission focuses on the UK’s obligations under Article 7 of the International Covenant on Civil and Political Rights (</w:t>
      </w:r>
      <w:r>
        <w:rPr>
          <w:rFonts w:ascii="Arial" w:hAnsi="Arial" w:cs="Arial"/>
          <w:sz w:val="22"/>
          <w:szCs w:val="22"/>
        </w:rPr>
        <w:t xml:space="preserve">“the Covenant”) </w:t>
      </w:r>
      <w:r w:rsidR="00BB2FFD">
        <w:rPr>
          <w:rFonts w:ascii="Arial" w:hAnsi="Arial" w:cs="Arial"/>
          <w:sz w:val="22"/>
          <w:szCs w:val="22"/>
        </w:rPr>
        <w:t>and in particular, paragraphs 555</w:t>
      </w:r>
      <w:r w:rsidR="00C5109F">
        <w:rPr>
          <w:rFonts w:ascii="Arial" w:hAnsi="Arial" w:cs="Arial"/>
          <w:sz w:val="22"/>
          <w:szCs w:val="22"/>
        </w:rPr>
        <w:t xml:space="preserve"> - </w:t>
      </w:r>
      <w:r w:rsidR="00BB2FFD">
        <w:rPr>
          <w:rFonts w:ascii="Arial" w:hAnsi="Arial" w:cs="Arial"/>
          <w:sz w:val="22"/>
          <w:szCs w:val="22"/>
        </w:rPr>
        <w:t>566</w:t>
      </w:r>
      <w:r w:rsidR="00F711BD" w:rsidRPr="00F4422E">
        <w:rPr>
          <w:rFonts w:ascii="Arial" w:hAnsi="Arial" w:cs="Arial"/>
          <w:sz w:val="22"/>
          <w:szCs w:val="22"/>
        </w:rPr>
        <w:t xml:space="preserve"> of the UK</w:t>
      </w:r>
      <w:r>
        <w:rPr>
          <w:rFonts w:ascii="Arial" w:hAnsi="Arial" w:cs="Arial"/>
          <w:sz w:val="22"/>
          <w:szCs w:val="22"/>
        </w:rPr>
        <w:t xml:space="preserve">’s </w:t>
      </w:r>
      <w:r w:rsidR="002D29C8">
        <w:rPr>
          <w:rFonts w:ascii="Arial" w:hAnsi="Arial" w:cs="Arial"/>
          <w:sz w:val="22"/>
          <w:szCs w:val="22"/>
        </w:rPr>
        <w:t>7</w:t>
      </w:r>
      <w:r w:rsidR="002D29C8" w:rsidRPr="002D29C8">
        <w:rPr>
          <w:rFonts w:ascii="Arial" w:hAnsi="Arial" w:cs="Arial"/>
          <w:sz w:val="22"/>
          <w:szCs w:val="22"/>
          <w:vertAlign w:val="superscript"/>
        </w:rPr>
        <w:t>th</w:t>
      </w:r>
      <w:r w:rsidR="002D29C8">
        <w:rPr>
          <w:rFonts w:ascii="Arial" w:hAnsi="Arial" w:cs="Arial"/>
          <w:sz w:val="22"/>
          <w:szCs w:val="22"/>
        </w:rPr>
        <w:t xml:space="preserve"> Periodic </w:t>
      </w:r>
      <w:r w:rsidR="00F711BD" w:rsidRPr="00F4422E">
        <w:rPr>
          <w:rFonts w:ascii="Arial" w:hAnsi="Arial" w:cs="Arial"/>
          <w:sz w:val="22"/>
          <w:szCs w:val="22"/>
        </w:rPr>
        <w:t>Report which deals with</w:t>
      </w:r>
      <w:r w:rsidR="00257668">
        <w:rPr>
          <w:rFonts w:ascii="Arial" w:hAnsi="Arial" w:cs="Arial"/>
          <w:sz w:val="22"/>
          <w:szCs w:val="22"/>
        </w:rPr>
        <w:t>:</w:t>
      </w:r>
      <w:r w:rsidR="00C904E4">
        <w:rPr>
          <w:rFonts w:ascii="Arial" w:hAnsi="Arial" w:cs="Arial"/>
          <w:sz w:val="22"/>
          <w:szCs w:val="22"/>
        </w:rPr>
        <w:t xml:space="preserve"> allegations of</w:t>
      </w:r>
      <w:r w:rsidR="007F4487">
        <w:rPr>
          <w:rFonts w:ascii="Arial" w:hAnsi="Arial" w:cs="Arial"/>
          <w:sz w:val="22"/>
          <w:szCs w:val="22"/>
        </w:rPr>
        <w:t xml:space="preserve"> transit of rendition flights </w:t>
      </w:r>
      <w:r w:rsidR="00C904E4">
        <w:rPr>
          <w:rFonts w:ascii="Arial" w:hAnsi="Arial" w:cs="Arial"/>
          <w:sz w:val="22"/>
          <w:szCs w:val="22"/>
        </w:rPr>
        <w:t>through UK territory; use of torture evidence and Memoranda of Understanding on Deportations with Assurances</w:t>
      </w:r>
      <w:r w:rsidR="00155511">
        <w:rPr>
          <w:rFonts w:ascii="Arial" w:hAnsi="Arial" w:cs="Arial"/>
          <w:sz w:val="22"/>
          <w:szCs w:val="22"/>
        </w:rPr>
        <w:t xml:space="preserve"> and</w:t>
      </w:r>
      <w:r w:rsidR="00C904E4">
        <w:rPr>
          <w:rFonts w:ascii="Arial" w:hAnsi="Arial" w:cs="Arial"/>
          <w:sz w:val="22"/>
          <w:szCs w:val="22"/>
        </w:rPr>
        <w:t xml:space="preserve"> allegations of use of torture and degrading treatment by UK armed forces.</w:t>
      </w:r>
      <w:r w:rsidR="00F711BD" w:rsidRPr="00F4422E">
        <w:rPr>
          <w:rFonts w:ascii="Arial" w:hAnsi="Arial" w:cs="Arial"/>
          <w:sz w:val="22"/>
          <w:szCs w:val="22"/>
        </w:rPr>
        <w:t xml:space="preserve"> </w:t>
      </w:r>
      <w:r w:rsidR="00C904E4">
        <w:rPr>
          <w:rFonts w:ascii="Arial" w:hAnsi="Arial" w:cs="Arial"/>
          <w:sz w:val="22"/>
          <w:szCs w:val="22"/>
        </w:rPr>
        <w:t xml:space="preserve">In addition, </w:t>
      </w:r>
      <w:r w:rsidR="00257668">
        <w:rPr>
          <w:rFonts w:ascii="Arial" w:hAnsi="Arial" w:cs="Arial"/>
          <w:sz w:val="22"/>
          <w:szCs w:val="22"/>
        </w:rPr>
        <w:t>the submission</w:t>
      </w:r>
      <w:r w:rsidR="008873B2">
        <w:rPr>
          <w:rFonts w:ascii="Arial" w:hAnsi="Arial" w:cs="Arial"/>
          <w:sz w:val="22"/>
          <w:szCs w:val="22"/>
        </w:rPr>
        <w:t xml:space="preserve"> </w:t>
      </w:r>
      <w:r w:rsidR="00743E2D">
        <w:rPr>
          <w:rFonts w:ascii="Arial" w:hAnsi="Arial" w:cs="Arial"/>
          <w:sz w:val="22"/>
          <w:szCs w:val="22"/>
        </w:rPr>
        <w:t>addresses</w:t>
      </w:r>
      <w:r w:rsidR="008873B2">
        <w:rPr>
          <w:rFonts w:ascii="Arial" w:hAnsi="Arial" w:cs="Arial"/>
          <w:sz w:val="22"/>
          <w:szCs w:val="22"/>
        </w:rPr>
        <w:t xml:space="preserve"> paragraphs 16 and 17 of the Committee’s </w:t>
      </w:r>
      <w:r w:rsidR="007F111A">
        <w:rPr>
          <w:rFonts w:ascii="Arial" w:hAnsi="Arial" w:cs="Arial"/>
          <w:sz w:val="22"/>
          <w:szCs w:val="22"/>
        </w:rPr>
        <w:t>List of I</w:t>
      </w:r>
      <w:r w:rsidR="008873B2">
        <w:rPr>
          <w:rFonts w:ascii="Arial" w:hAnsi="Arial" w:cs="Arial"/>
          <w:sz w:val="22"/>
          <w:szCs w:val="22"/>
        </w:rPr>
        <w:t>ssues (November 2014)</w:t>
      </w:r>
      <w:r w:rsidR="004A6A69">
        <w:rPr>
          <w:rFonts w:ascii="Arial" w:hAnsi="Arial" w:cs="Arial"/>
          <w:sz w:val="22"/>
          <w:szCs w:val="22"/>
        </w:rPr>
        <w:t>, and</w:t>
      </w:r>
      <w:r w:rsidR="008873B2">
        <w:rPr>
          <w:rFonts w:ascii="Arial" w:hAnsi="Arial" w:cs="Arial"/>
          <w:sz w:val="22"/>
          <w:szCs w:val="22"/>
        </w:rPr>
        <w:t xml:space="preserve"> </w:t>
      </w:r>
      <w:r w:rsidR="004A6A69">
        <w:rPr>
          <w:rFonts w:ascii="Arial" w:hAnsi="Arial" w:cs="Arial"/>
          <w:sz w:val="22"/>
          <w:szCs w:val="22"/>
        </w:rPr>
        <w:t>paragraphs 138</w:t>
      </w:r>
      <w:r w:rsidR="00C5109F">
        <w:rPr>
          <w:rFonts w:ascii="Arial" w:hAnsi="Arial" w:cs="Arial"/>
          <w:sz w:val="22"/>
          <w:szCs w:val="22"/>
        </w:rPr>
        <w:t xml:space="preserve"> </w:t>
      </w:r>
      <w:r w:rsidR="004A6A69">
        <w:rPr>
          <w:rFonts w:ascii="Arial" w:hAnsi="Arial" w:cs="Arial"/>
          <w:sz w:val="22"/>
          <w:szCs w:val="22"/>
        </w:rPr>
        <w:t>-144 of the</w:t>
      </w:r>
      <w:r w:rsidR="008873B2">
        <w:rPr>
          <w:rFonts w:ascii="Arial" w:hAnsi="Arial" w:cs="Arial"/>
          <w:sz w:val="22"/>
          <w:szCs w:val="22"/>
        </w:rPr>
        <w:t xml:space="preserve"> UK’s Replies </w:t>
      </w:r>
      <w:r w:rsidR="007F111A">
        <w:rPr>
          <w:rFonts w:ascii="Arial" w:hAnsi="Arial" w:cs="Arial"/>
          <w:sz w:val="22"/>
          <w:szCs w:val="22"/>
        </w:rPr>
        <w:t xml:space="preserve">to the List of Issues </w:t>
      </w:r>
      <w:r w:rsidR="008873B2">
        <w:rPr>
          <w:rFonts w:ascii="Arial" w:hAnsi="Arial" w:cs="Arial"/>
          <w:sz w:val="22"/>
          <w:szCs w:val="22"/>
        </w:rPr>
        <w:t>(March 2015)</w:t>
      </w:r>
      <w:r w:rsidR="00743E2D">
        <w:rPr>
          <w:rFonts w:ascii="Arial" w:hAnsi="Arial" w:cs="Arial"/>
          <w:sz w:val="22"/>
          <w:szCs w:val="22"/>
        </w:rPr>
        <w:t>, which also deal with</w:t>
      </w:r>
      <w:r w:rsidR="000C6463">
        <w:rPr>
          <w:rFonts w:ascii="Arial" w:hAnsi="Arial" w:cs="Arial"/>
          <w:sz w:val="22"/>
          <w:szCs w:val="22"/>
        </w:rPr>
        <w:t xml:space="preserve"> </w:t>
      </w:r>
      <w:r w:rsidR="008873B2">
        <w:rPr>
          <w:rFonts w:ascii="Arial" w:hAnsi="Arial" w:cs="Arial"/>
          <w:sz w:val="22"/>
          <w:szCs w:val="22"/>
        </w:rPr>
        <w:t>allegations of complicity in torture;</w:t>
      </w:r>
      <w:r w:rsidR="00743E2D">
        <w:rPr>
          <w:rFonts w:ascii="Arial" w:hAnsi="Arial" w:cs="Arial"/>
          <w:sz w:val="22"/>
          <w:szCs w:val="22"/>
        </w:rPr>
        <w:t xml:space="preserve"> and</w:t>
      </w:r>
      <w:r w:rsidR="008873B2">
        <w:rPr>
          <w:rFonts w:ascii="Arial" w:hAnsi="Arial" w:cs="Arial"/>
          <w:sz w:val="22"/>
          <w:szCs w:val="22"/>
        </w:rPr>
        <w:t xml:space="preserve"> the def</w:t>
      </w:r>
      <w:r w:rsidR="007F111A">
        <w:rPr>
          <w:rFonts w:ascii="Arial" w:hAnsi="Arial" w:cs="Arial"/>
          <w:sz w:val="22"/>
          <w:szCs w:val="22"/>
        </w:rPr>
        <w:t>ence</w:t>
      </w:r>
      <w:r w:rsidR="008873B2">
        <w:rPr>
          <w:rFonts w:ascii="Arial" w:hAnsi="Arial" w:cs="Arial"/>
          <w:sz w:val="22"/>
          <w:szCs w:val="22"/>
        </w:rPr>
        <w:t xml:space="preserve"> of “lawful </w:t>
      </w:r>
      <w:r w:rsidR="0053140E">
        <w:rPr>
          <w:rFonts w:ascii="Arial" w:hAnsi="Arial" w:cs="Arial"/>
          <w:sz w:val="22"/>
          <w:szCs w:val="22"/>
        </w:rPr>
        <w:t xml:space="preserve">authority, justification or excuse” </w:t>
      </w:r>
      <w:r w:rsidR="007F111A">
        <w:rPr>
          <w:rFonts w:ascii="Arial" w:hAnsi="Arial" w:cs="Arial"/>
          <w:sz w:val="22"/>
          <w:szCs w:val="22"/>
        </w:rPr>
        <w:t>to a charge of torture in</w:t>
      </w:r>
      <w:r w:rsidR="0053140E">
        <w:rPr>
          <w:rFonts w:ascii="Arial" w:hAnsi="Arial" w:cs="Arial"/>
          <w:sz w:val="22"/>
          <w:szCs w:val="22"/>
        </w:rPr>
        <w:t xml:space="preserve"> the Criminal and Justice Act 1988. </w:t>
      </w:r>
      <w:r w:rsidR="00155511">
        <w:rPr>
          <w:rFonts w:ascii="Arial" w:hAnsi="Arial" w:cs="Arial"/>
          <w:sz w:val="22"/>
          <w:szCs w:val="22"/>
        </w:rPr>
        <w:t xml:space="preserve">In the submission REDRESS also sets out the need for the UK Government to </w:t>
      </w:r>
      <w:r w:rsidR="00B765A3">
        <w:rPr>
          <w:rFonts w:ascii="Arial" w:hAnsi="Arial" w:cs="Arial"/>
          <w:sz w:val="22"/>
          <w:szCs w:val="22"/>
        </w:rPr>
        <w:t xml:space="preserve">adopt </w:t>
      </w:r>
      <w:r w:rsidR="003646BA">
        <w:rPr>
          <w:rFonts w:ascii="Arial" w:hAnsi="Arial" w:cs="Arial"/>
          <w:sz w:val="22"/>
          <w:szCs w:val="22"/>
        </w:rPr>
        <w:t>a comprehensive</w:t>
      </w:r>
      <w:r w:rsidR="0094031A">
        <w:rPr>
          <w:rFonts w:ascii="Arial" w:hAnsi="Arial" w:cs="Arial"/>
          <w:sz w:val="22"/>
          <w:szCs w:val="22"/>
        </w:rPr>
        <w:t xml:space="preserve"> policy </w:t>
      </w:r>
      <w:r w:rsidR="00743E2D">
        <w:rPr>
          <w:rFonts w:ascii="Arial" w:hAnsi="Arial" w:cs="Arial"/>
          <w:sz w:val="22"/>
          <w:szCs w:val="22"/>
        </w:rPr>
        <w:t>concerning the prohibition of torture and other ill-treatment</w:t>
      </w:r>
      <w:r w:rsidR="0094031A">
        <w:rPr>
          <w:rFonts w:ascii="Arial" w:hAnsi="Arial" w:cs="Arial"/>
          <w:sz w:val="22"/>
          <w:szCs w:val="22"/>
        </w:rPr>
        <w:t xml:space="preserve">. </w:t>
      </w:r>
    </w:p>
    <w:p w:rsidR="005859E1" w:rsidRDefault="005859E1" w:rsidP="00F711BD">
      <w:pPr>
        <w:shd w:val="clear" w:color="auto" w:fill="FFFFFF"/>
        <w:spacing w:line="276" w:lineRule="auto"/>
        <w:jc w:val="both"/>
        <w:textAlignment w:val="baseline"/>
        <w:rPr>
          <w:rFonts w:ascii="Arial" w:hAnsi="Arial" w:cs="Arial"/>
          <w:sz w:val="22"/>
          <w:szCs w:val="22"/>
        </w:rPr>
      </w:pPr>
    </w:p>
    <w:p w:rsidR="005859E1" w:rsidRDefault="005859E1" w:rsidP="00CF5CFD">
      <w:pPr>
        <w:pStyle w:val="ListParagraph"/>
        <w:numPr>
          <w:ilvl w:val="0"/>
          <w:numId w:val="14"/>
        </w:numPr>
        <w:shd w:val="clear" w:color="auto" w:fill="FFFFFF"/>
        <w:spacing w:line="276" w:lineRule="auto"/>
        <w:ind w:left="0" w:firstLine="0"/>
        <w:jc w:val="both"/>
        <w:textAlignment w:val="baseline"/>
        <w:rPr>
          <w:rFonts w:ascii="Arial" w:hAnsi="Arial" w:cs="Arial"/>
          <w:b/>
          <w:sz w:val="22"/>
          <w:szCs w:val="22"/>
        </w:rPr>
      </w:pPr>
      <w:r w:rsidRPr="00F67EB7">
        <w:rPr>
          <w:rFonts w:ascii="Arial" w:hAnsi="Arial" w:cs="Arial"/>
          <w:b/>
          <w:sz w:val="22"/>
          <w:szCs w:val="22"/>
        </w:rPr>
        <w:t>ALLEGATIONS OF TRANSIT OF RENDITION FLIGHTS THROUGH UK TERRITORY</w:t>
      </w:r>
      <w:r w:rsidR="00462D55">
        <w:rPr>
          <w:rFonts w:ascii="Arial" w:hAnsi="Arial" w:cs="Arial"/>
          <w:b/>
          <w:sz w:val="22"/>
          <w:szCs w:val="22"/>
        </w:rPr>
        <w:t xml:space="preserve"> (paragraph 555 – 557 of the State Party report))</w:t>
      </w:r>
    </w:p>
    <w:p w:rsidR="000D47FC" w:rsidRDefault="000D47FC" w:rsidP="000D47FC">
      <w:pPr>
        <w:pStyle w:val="ListParagraph"/>
        <w:shd w:val="clear" w:color="auto" w:fill="FFFFFF"/>
        <w:spacing w:line="276" w:lineRule="auto"/>
        <w:ind w:left="0"/>
        <w:jc w:val="both"/>
        <w:textAlignment w:val="baseline"/>
        <w:rPr>
          <w:rFonts w:ascii="Arial" w:hAnsi="Arial" w:cs="Arial"/>
          <w:b/>
          <w:sz w:val="22"/>
          <w:szCs w:val="22"/>
        </w:rPr>
      </w:pPr>
    </w:p>
    <w:p w:rsidR="00344977" w:rsidRPr="00344977" w:rsidRDefault="0059184F" w:rsidP="00850B2A">
      <w:pPr>
        <w:pStyle w:val="FootnoteText"/>
        <w:jc w:val="both"/>
        <w:rPr>
          <w:rFonts w:ascii="Arial" w:hAnsi="Arial" w:cs="Arial"/>
        </w:rPr>
      </w:pPr>
      <w:r>
        <w:rPr>
          <w:rFonts w:ascii="Arial" w:hAnsi="Arial" w:cs="Arial"/>
          <w:iCs/>
          <w:color w:val="000000"/>
        </w:rPr>
        <w:t>3</w:t>
      </w:r>
      <w:r w:rsidR="00B765A3" w:rsidRPr="00344977">
        <w:rPr>
          <w:rFonts w:ascii="Arial" w:hAnsi="Arial" w:cs="Arial"/>
          <w:iCs/>
          <w:color w:val="000000"/>
        </w:rPr>
        <w:t>.</w:t>
      </w:r>
      <w:r w:rsidR="00B765A3" w:rsidRPr="00344977">
        <w:rPr>
          <w:rFonts w:ascii="Arial" w:hAnsi="Arial" w:cs="Arial"/>
          <w:i/>
          <w:iCs/>
          <w:color w:val="000000"/>
        </w:rPr>
        <w:t xml:space="preserve"> </w:t>
      </w:r>
      <w:r w:rsidR="00CA72AB" w:rsidRPr="00344977">
        <w:rPr>
          <w:rFonts w:ascii="Arial" w:hAnsi="Arial" w:cs="Arial"/>
        </w:rPr>
        <w:t xml:space="preserve">As early as 2005 calls were first made publically for police investigations </w:t>
      </w:r>
      <w:r w:rsidR="006150E5" w:rsidRPr="00344977">
        <w:rPr>
          <w:rFonts w:ascii="Arial" w:hAnsi="Arial" w:cs="Arial"/>
        </w:rPr>
        <w:t xml:space="preserve">to be initiated </w:t>
      </w:r>
      <w:r w:rsidR="00CA72AB" w:rsidRPr="00344977">
        <w:rPr>
          <w:rFonts w:ascii="Arial" w:hAnsi="Arial" w:cs="Arial"/>
        </w:rPr>
        <w:t xml:space="preserve">into </w:t>
      </w:r>
      <w:r w:rsidR="00743E2D" w:rsidRPr="00344977">
        <w:rPr>
          <w:rFonts w:ascii="Arial" w:hAnsi="Arial" w:cs="Arial"/>
        </w:rPr>
        <w:t xml:space="preserve">allegations of </w:t>
      </w:r>
      <w:r w:rsidR="00CA72AB" w:rsidRPr="00344977">
        <w:rPr>
          <w:rFonts w:ascii="Arial" w:hAnsi="Arial" w:cs="Arial"/>
        </w:rPr>
        <w:t>USA rendition flights using UK facilities</w:t>
      </w:r>
      <w:r w:rsidR="00396F50">
        <w:rPr>
          <w:rFonts w:ascii="Arial" w:hAnsi="Arial" w:cs="Arial"/>
        </w:rPr>
        <w:t>.</w:t>
      </w:r>
      <w:r w:rsidR="00CA72AB" w:rsidRPr="00344977">
        <w:rPr>
          <w:rFonts w:ascii="Arial" w:hAnsi="Arial" w:cs="Arial"/>
          <w:vertAlign w:val="superscript"/>
        </w:rPr>
        <w:footnoteReference w:id="1"/>
      </w:r>
      <w:r w:rsidR="00CA72AB" w:rsidRPr="00344977">
        <w:rPr>
          <w:rFonts w:ascii="Arial" w:hAnsi="Arial" w:cs="Arial"/>
        </w:rPr>
        <w:t xml:space="preserve"> </w:t>
      </w:r>
      <w:r w:rsidR="00396F50">
        <w:rPr>
          <w:rFonts w:ascii="Arial" w:hAnsi="Arial" w:cs="Arial"/>
        </w:rPr>
        <w:t>O</w:t>
      </w:r>
      <w:r w:rsidR="00021C62" w:rsidRPr="00344977">
        <w:rPr>
          <w:rFonts w:ascii="Arial" w:hAnsi="Arial" w:cs="Arial"/>
        </w:rPr>
        <w:t xml:space="preserve">ver the </w:t>
      </w:r>
      <w:r w:rsidR="00917010" w:rsidRPr="00344977">
        <w:rPr>
          <w:rFonts w:ascii="Arial" w:hAnsi="Arial" w:cs="Arial"/>
        </w:rPr>
        <w:t xml:space="preserve">subsequent decade </w:t>
      </w:r>
      <w:r w:rsidR="00F34936" w:rsidRPr="00344977">
        <w:rPr>
          <w:rFonts w:ascii="Arial" w:hAnsi="Arial" w:cs="Arial"/>
        </w:rPr>
        <w:t xml:space="preserve">other </w:t>
      </w:r>
      <w:r w:rsidR="006150E5" w:rsidRPr="00344977">
        <w:rPr>
          <w:rFonts w:ascii="Arial" w:hAnsi="Arial" w:cs="Arial"/>
        </w:rPr>
        <w:lastRenderedPageBreak/>
        <w:t>information</w:t>
      </w:r>
      <w:r w:rsidR="00743E2D" w:rsidRPr="00344977">
        <w:rPr>
          <w:rFonts w:ascii="Arial" w:hAnsi="Arial" w:cs="Arial"/>
        </w:rPr>
        <w:t xml:space="preserve"> </w:t>
      </w:r>
      <w:r w:rsidR="00F34936" w:rsidRPr="00344977">
        <w:rPr>
          <w:rFonts w:ascii="Arial" w:hAnsi="Arial" w:cs="Arial"/>
        </w:rPr>
        <w:t>ha</w:t>
      </w:r>
      <w:r w:rsidR="00743E2D" w:rsidRPr="00344977">
        <w:rPr>
          <w:rFonts w:ascii="Arial" w:hAnsi="Arial" w:cs="Arial"/>
        </w:rPr>
        <w:t>s</w:t>
      </w:r>
      <w:r w:rsidR="00F34936" w:rsidRPr="00344977">
        <w:rPr>
          <w:rFonts w:ascii="Arial" w:hAnsi="Arial" w:cs="Arial"/>
        </w:rPr>
        <w:t xml:space="preserve"> emerged</w:t>
      </w:r>
      <w:r w:rsidR="00021C62" w:rsidRPr="00344977">
        <w:rPr>
          <w:rFonts w:ascii="Arial" w:hAnsi="Arial" w:cs="Arial"/>
        </w:rPr>
        <w:t xml:space="preserve"> </w:t>
      </w:r>
      <w:r w:rsidR="00743E2D" w:rsidRPr="00344977">
        <w:rPr>
          <w:rFonts w:ascii="Arial" w:hAnsi="Arial" w:cs="Arial"/>
        </w:rPr>
        <w:t xml:space="preserve">pointing to </w:t>
      </w:r>
      <w:r w:rsidR="00EC1050" w:rsidRPr="00344977">
        <w:rPr>
          <w:rFonts w:ascii="Arial" w:hAnsi="Arial" w:cs="Arial"/>
        </w:rPr>
        <w:t xml:space="preserve">UK involvement in </w:t>
      </w:r>
      <w:r w:rsidR="00021C62" w:rsidRPr="00344977">
        <w:rPr>
          <w:rFonts w:ascii="Arial" w:hAnsi="Arial" w:cs="Arial"/>
        </w:rPr>
        <w:t xml:space="preserve">renditions </w:t>
      </w:r>
      <w:r w:rsidR="00257668" w:rsidRPr="00344977">
        <w:rPr>
          <w:rFonts w:ascii="Arial" w:hAnsi="Arial" w:cs="Arial"/>
        </w:rPr>
        <w:t>in/</w:t>
      </w:r>
      <w:r w:rsidR="00021C62" w:rsidRPr="00344977">
        <w:rPr>
          <w:rFonts w:ascii="Arial" w:hAnsi="Arial" w:cs="Arial"/>
        </w:rPr>
        <w:t>from Iraq and to Libya</w:t>
      </w:r>
      <w:r w:rsidR="00257668" w:rsidRPr="00344977">
        <w:rPr>
          <w:rFonts w:ascii="Arial" w:hAnsi="Arial" w:cs="Arial"/>
        </w:rPr>
        <w:t xml:space="preserve">. The </w:t>
      </w:r>
      <w:r w:rsidR="00E8183A" w:rsidRPr="00344977">
        <w:rPr>
          <w:rFonts w:ascii="Arial" w:hAnsi="Arial" w:cs="Arial"/>
        </w:rPr>
        <w:t xml:space="preserve">response(s) </w:t>
      </w:r>
      <w:r w:rsidR="00E675D2" w:rsidRPr="00344977">
        <w:rPr>
          <w:rFonts w:ascii="Arial" w:hAnsi="Arial" w:cs="Arial"/>
        </w:rPr>
        <w:t xml:space="preserve">of the UK </w:t>
      </w:r>
      <w:r w:rsidR="006150E5" w:rsidRPr="00344977">
        <w:rPr>
          <w:rFonts w:ascii="Arial" w:hAnsi="Arial" w:cs="Arial"/>
        </w:rPr>
        <w:t xml:space="preserve">Government </w:t>
      </w:r>
      <w:r w:rsidR="00E675D2" w:rsidRPr="00344977">
        <w:rPr>
          <w:rFonts w:ascii="Arial" w:hAnsi="Arial" w:cs="Arial"/>
        </w:rPr>
        <w:t xml:space="preserve">to </w:t>
      </w:r>
      <w:r w:rsidR="00F34936" w:rsidRPr="00344977">
        <w:rPr>
          <w:rFonts w:ascii="Arial" w:hAnsi="Arial" w:cs="Arial"/>
        </w:rPr>
        <w:t xml:space="preserve">these </w:t>
      </w:r>
      <w:r w:rsidR="00E675D2" w:rsidRPr="00344977">
        <w:rPr>
          <w:rFonts w:ascii="Arial" w:hAnsi="Arial" w:cs="Arial"/>
        </w:rPr>
        <w:t>allegations</w:t>
      </w:r>
      <w:r w:rsidR="00CB32BF" w:rsidRPr="00344977">
        <w:rPr>
          <w:rFonts w:ascii="Arial" w:hAnsi="Arial" w:cs="Arial"/>
        </w:rPr>
        <w:t xml:space="preserve"> </w:t>
      </w:r>
      <w:r w:rsidR="009C3602" w:rsidRPr="00344977">
        <w:rPr>
          <w:rFonts w:ascii="Arial" w:hAnsi="Arial" w:cs="Arial"/>
        </w:rPr>
        <w:t xml:space="preserve">have been slow, ineffectual and </w:t>
      </w:r>
      <w:r w:rsidR="00B87C74" w:rsidRPr="00344977">
        <w:rPr>
          <w:rFonts w:ascii="Arial" w:hAnsi="Arial" w:cs="Arial"/>
        </w:rPr>
        <w:t>lacking in transparency</w:t>
      </w:r>
      <w:r w:rsidR="00344977" w:rsidRPr="00344977">
        <w:rPr>
          <w:rFonts w:ascii="Arial" w:hAnsi="Arial" w:cs="Arial"/>
        </w:rPr>
        <w:t>.</w:t>
      </w:r>
    </w:p>
    <w:p w:rsidR="002971C7" w:rsidRPr="00344977" w:rsidRDefault="002727B2" w:rsidP="00850B2A">
      <w:pPr>
        <w:pStyle w:val="FootnoteText"/>
        <w:jc w:val="both"/>
        <w:rPr>
          <w:rFonts w:ascii="Arial" w:hAnsi="Arial" w:cs="Arial"/>
        </w:rPr>
      </w:pPr>
      <w:r w:rsidRPr="00344977">
        <w:rPr>
          <w:rFonts w:ascii="Arial" w:hAnsi="Arial" w:cs="Arial"/>
        </w:rPr>
        <w:t xml:space="preserve">    </w:t>
      </w:r>
    </w:p>
    <w:p w:rsidR="00013FDB" w:rsidRDefault="0059184F" w:rsidP="00344977">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4</w:t>
      </w:r>
      <w:r w:rsidR="00695FE5" w:rsidRPr="00344977">
        <w:rPr>
          <w:rFonts w:ascii="Arial" w:eastAsiaTheme="minorHAnsi" w:hAnsi="Arial" w:cs="Arial"/>
          <w:sz w:val="22"/>
          <w:szCs w:val="22"/>
        </w:rPr>
        <w:t>.</w:t>
      </w:r>
      <w:r w:rsidR="002971C7" w:rsidRPr="00344977">
        <w:rPr>
          <w:rFonts w:ascii="Arial" w:eastAsiaTheme="minorHAnsi" w:hAnsi="Arial" w:cs="Arial"/>
          <w:sz w:val="22"/>
          <w:szCs w:val="22"/>
        </w:rPr>
        <w:t xml:space="preserve"> </w:t>
      </w:r>
      <w:r w:rsidR="00711EFC" w:rsidRPr="00344977">
        <w:rPr>
          <w:rFonts w:ascii="Arial" w:eastAsiaTheme="minorHAnsi" w:hAnsi="Arial" w:cs="Arial"/>
          <w:sz w:val="22"/>
          <w:szCs w:val="22"/>
        </w:rPr>
        <w:t xml:space="preserve">After </w:t>
      </w:r>
      <w:r w:rsidR="00CD3DAC" w:rsidRPr="00344977">
        <w:rPr>
          <w:rFonts w:ascii="Arial" w:eastAsiaTheme="minorHAnsi" w:hAnsi="Arial" w:cs="Arial"/>
          <w:sz w:val="22"/>
          <w:szCs w:val="22"/>
        </w:rPr>
        <w:t>Prime Min</w:t>
      </w:r>
      <w:r w:rsidR="00B87C74" w:rsidRPr="00344977">
        <w:rPr>
          <w:rFonts w:ascii="Arial" w:eastAsiaTheme="minorHAnsi" w:hAnsi="Arial" w:cs="Arial"/>
          <w:sz w:val="22"/>
          <w:szCs w:val="22"/>
        </w:rPr>
        <w:t>i</w:t>
      </w:r>
      <w:r w:rsidR="00CD3DAC" w:rsidRPr="00344977">
        <w:rPr>
          <w:rFonts w:ascii="Arial" w:eastAsiaTheme="minorHAnsi" w:hAnsi="Arial" w:cs="Arial"/>
          <w:sz w:val="22"/>
          <w:szCs w:val="22"/>
        </w:rPr>
        <w:t xml:space="preserve">ster </w:t>
      </w:r>
      <w:r w:rsidR="00711EFC" w:rsidRPr="00344977">
        <w:rPr>
          <w:rFonts w:ascii="Arial" w:eastAsiaTheme="minorHAnsi" w:hAnsi="Arial" w:cs="Arial"/>
          <w:sz w:val="22"/>
          <w:szCs w:val="22"/>
        </w:rPr>
        <w:t xml:space="preserve">Cameron announced the setting-up of </w:t>
      </w:r>
      <w:r w:rsidR="00B87C74" w:rsidRPr="00344977">
        <w:rPr>
          <w:rFonts w:ascii="Arial" w:eastAsiaTheme="minorHAnsi" w:hAnsi="Arial" w:cs="Arial"/>
          <w:sz w:val="22"/>
          <w:szCs w:val="22"/>
        </w:rPr>
        <w:t xml:space="preserve">a </w:t>
      </w:r>
      <w:r w:rsidR="00711EFC" w:rsidRPr="00344977">
        <w:rPr>
          <w:rFonts w:ascii="Arial" w:eastAsiaTheme="minorHAnsi" w:hAnsi="Arial" w:cs="Arial"/>
          <w:sz w:val="22"/>
          <w:szCs w:val="22"/>
        </w:rPr>
        <w:t>judge-led Detainee Inquiry in July 2010</w:t>
      </w:r>
      <w:r w:rsidR="00711EFC" w:rsidRPr="00344977">
        <w:rPr>
          <w:rFonts w:ascii="Arial" w:eastAsiaTheme="minorHAnsi" w:hAnsi="Arial" w:cs="Arial"/>
          <w:sz w:val="22"/>
          <w:szCs w:val="22"/>
          <w:vertAlign w:val="superscript"/>
        </w:rPr>
        <w:footnoteReference w:id="2"/>
      </w:r>
      <w:r w:rsidR="00711EFC" w:rsidRPr="00344977">
        <w:rPr>
          <w:rFonts w:ascii="Arial" w:eastAsiaTheme="minorHAnsi" w:hAnsi="Arial" w:cs="Arial"/>
          <w:sz w:val="22"/>
          <w:szCs w:val="22"/>
        </w:rPr>
        <w:t xml:space="preserve"> </w:t>
      </w:r>
      <w:r w:rsidR="00AF00F1" w:rsidRPr="00344977">
        <w:rPr>
          <w:rFonts w:ascii="Arial" w:eastAsiaTheme="minorHAnsi" w:hAnsi="Arial" w:cs="Arial"/>
          <w:sz w:val="22"/>
          <w:szCs w:val="22"/>
        </w:rPr>
        <w:t xml:space="preserve">a number of </w:t>
      </w:r>
      <w:r w:rsidR="00711EFC" w:rsidRPr="00344977">
        <w:rPr>
          <w:rFonts w:ascii="Arial" w:eastAsiaTheme="minorHAnsi" w:hAnsi="Arial" w:cs="Arial"/>
          <w:sz w:val="22"/>
          <w:szCs w:val="22"/>
        </w:rPr>
        <w:t>human rights organisations (including REDRESS) cautiously welcomed</w:t>
      </w:r>
      <w:r w:rsidR="002727B2" w:rsidRPr="00344977">
        <w:rPr>
          <w:rFonts w:ascii="Arial" w:eastAsiaTheme="minorHAnsi" w:hAnsi="Arial" w:cs="Arial"/>
          <w:sz w:val="22"/>
          <w:szCs w:val="22"/>
        </w:rPr>
        <w:t xml:space="preserve"> the development</w:t>
      </w:r>
      <w:r w:rsidR="00711EFC" w:rsidRPr="00344977">
        <w:rPr>
          <w:rFonts w:ascii="Arial" w:eastAsiaTheme="minorHAnsi" w:hAnsi="Arial" w:cs="Arial"/>
          <w:sz w:val="22"/>
          <w:szCs w:val="22"/>
        </w:rPr>
        <w:t xml:space="preserve"> and endeavoured to engage constructively </w:t>
      </w:r>
      <w:r w:rsidR="00C3332B" w:rsidRPr="00344977">
        <w:rPr>
          <w:rFonts w:ascii="Arial" w:eastAsiaTheme="minorHAnsi" w:hAnsi="Arial" w:cs="Arial"/>
          <w:sz w:val="22"/>
          <w:szCs w:val="22"/>
        </w:rPr>
        <w:t>with the Inquiry</w:t>
      </w:r>
      <w:r w:rsidR="00711EFC" w:rsidRPr="00344977">
        <w:rPr>
          <w:rFonts w:ascii="Arial" w:eastAsiaTheme="minorHAnsi" w:hAnsi="Arial" w:cs="Arial"/>
          <w:sz w:val="22"/>
          <w:szCs w:val="22"/>
          <w:vertAlign w:val="superscript"/>
        </w:rPr>
        <w:footnoteReference w:id="3"/>
      </w:r>
      <w:r w:rsidR="00711EFC" w:rsidRPr="00344977">
        <w:rPr>
          <w:rFonts w:ascii="Arial" w:eastAsiaTheme="minorHAnsi" w:hAnsi="Arial" w:cs="Arial"/>
          <w:sz w:val="22"/>
          <w:szCs w:val="22"/>
        </w:rPr>
        <w:t xml:space="preserve"> but eventually withdrew because of fundamental concerns about how the Inquiry was to operate</w:t>
      </w:r>
      <w:r w:rsidR="00AF00F1" w:rsidRPr="00344977">
        <w:rPr>
          <w:rFonts w:ascii="Arial" w:eastAsiaTheme="minorHAnsi" w:hAnsi="Arial" w:cs="Arial"/>
          <w:sz w:val="22"/>
          <w:szCs w:val="22"/>
        </w:rPr>
        <w:t>.</w:t>
      </w:r>
      <w:r w:rsidR="00711EFC" w:rsidRPr="00344977">
        <w:rPr>
          <w:rFonts w:ascii="Arial" w:eastAsiaTheme="minorHAnsi" w:hAnsi="Arial" w:cs="Arial"/>
          <w:sz w:val="22"/>
          <w:szCs w:val="22"/>
          <w:vertAlign w:val="superscript"/>
        </w:rPr>
        <w:footnoteReference w:id="4"/>
      </w:r>
      <w:r w:rsidR="00711EFC" w:rsidRPr="00344977">
        <w:rPr>
          <w:rFonts w:ascii="Arial" w:eastAsiaTheme="minorHAnsi" w:hAnsi="Arial" w:cs="Arial"/>
          <w:sz w:val="22"/>
          <w:szCs w:val="22"/>
        </w:rPr>
        <w:t xml:space="preserve"> </w:t>
      </w:r>
      <w:r w:rsidR="00DF27CB" w:rsidRPr="00344977">
        <w:rPr>
          <w:rFonts w:ascii="Arial" w:hAnsi="Arial" w:cs="Arial"/>
          <w:sz w:val="22"/>
          <w:szCs w:val="22"/>
        </w:rPr>
        <w:t xml:space="preserve"> </w:t>
      </w:r>
      <w:r w:rsidR="00DF27CB" w:rsidRPr="00344977">
        <w:rPr>
          <w:rFonts w:ascii="Arial" w:eastAsiaTheme="minorHAnsi" w:hAnsi="Arial" w:cs="Arial"/>
          <w:sz w:val="22"/>
          <w:szCs w:val="22"/>
        </w:rPr>
        <w:t xml:space="preserve">The original Detainee Inquiry which included renditions in its mandate made </w:t>
      </w:r>
      <w:r w:rsidR="00B87C74" w:rsidRPr="00344977">
        <w:rPr>
          <w:rFonts w:ascii="Arial" w:eastAsiaTheme="minorHAnsi" w:hAnsi="Arial" w:cs="Arial"/>
          <w:sz w:val="22"/>
          <w:szCs w:val="22"/>
        </w:rPr>
        <w:t xml:space="preserve">only </w:t>
      </w:r>
      <w:r w:rsidR="00DF27CB" w:rsidRPr="00344977">
        <w:rPr>
          <w:rFonts w:ascii="Arial" w:eastAsiaTheme="minorHAnsi" w:hAnsi="Arial" w:cs="Arial"/>
          <w:sz w:val="22"/>
          <w:szCs w:val="22"/>
        </w:rPr>
        <w:t xml:space="preserve">limited progress, and </w:t>
      </w:r>
      <w:r w:rsidR="00B87C74" w:rsidRPr="00344977">
        <w:rPr>
          <w:rFonts w:ascii="Arial" w:eastAsiaTheme="minorHAnsi" w:hAnsi="Arial" w:cs="Arial"/>
          <w:sz w:val="22"/>
          <w:szCs w:val="22"/>
        </w:rPr>
        <w:t>afte</w:t>
      </w:r>
      <w:r w:rsidR="00344977">
        <w:rPr>
          <w:rFonts w:ascii="Arial" w:eastAsiaTheme="minorHAnsi" w:hAnsi="Arial" w:cs="Arial"/>
          <w:sz w:val="22"/>
          <w:szCs w:val="22"/>
        </w:rPr>
        <w:t xml:space="preserve">r </w:t>
      </w:r>
      <w:r w:rsidR="00344977" w:rsidRPr="00344977">
        <w:rPr>
          <w:rFonts w:ascii="Arial" w:eastAsiaTheme="minorHAnsi" w:hAnsi="Arial" w:cs="Arial"/>
          <w:sz w:val="22"/>
          <w:szCs w:val="22"/>
        </w:rPr>
        <w:t>about</w:t>
      </w:r>
      <w:r w:rsidR="00B87C74" w:rsidRPr="00344977">
        <w:rPr>
          <w:rFonts w:ascii="Arial" w:eastAsiaTheme="minorHAnsi" w:hAnsi="Arial" w:cs="Arial"/>
          <w:sz w:val="22"/>
          <w:szCs w:val="22"/>
        </w:rPr>
        <w:t xml:space="preserve"> </w:t>
      </w:r>
      <w:r w:rsidR="00DF27CB" w:rsidRPr="00344977">
        <w:rPr>
          <w:rFonts w:ascii="Arial" w:eastAsiaTheme="minorHAnsi" w:hAnsi="Arial" w:cs="Arial"/>
          <w:sz w:val="22"/>
          <w:szCs w:val="22"/>
        </w:rPr>
        <w:t xml:space="preserve">18 months </w:t>
      </w:r>
      <w:r w:rsidR="00B87C74" w:rsidRPr="00344977">
        <w:rPr>
          <w:rFonts w:ascii="Arial" w:eastAsiaTheme="minorHAnsi" w:hAnsi="Arial" w:cs="Arial"/>
          <w:sz w:val="22"/>
          <w:szCs w:val="22"/>
        </w:rPr>
        <w:t xml:space="preserve">issued a ‘report’ in which it </w:t>
      </w:r>
      <w:r w:rsidR="00396F50">
        <w:rPr>
          <w:rFonts w:ascii="Arial" w:eastAsiaTheme="minorHAnsi" w:hAnsi="Arial" w:cs="Arial"/>
          <w:sz w:val="22"/>
          <w:szCs w:val="22"/>
        </w:rPr>
        <w:t xml:space="preserve">was </w:t>
      </w:r>
      <w:r w:rsidR="00B87C74" w:rsidRPr="00344977">
        <w:rPr>
          <w:rFonts w:ascii="Arial" w:eastAsiaTheme="minorHAnsi" w:hAnsi="Arial" w:cs="Arial"/>
          <w:sz w:val="22"/>
          <w:szCs w:val="22"/>
        </w:rPr>
        <w:t>disclaim</w:t>
      </w:r>
      <w:r w:rsidR="00D10066" w:rsidRPr="00344977">
        <w:rPr>
          <w:rFonts w:ascii="Arial" w:eastAsiaTheme="minorHAnsi" w:hAnsi="Arial" w:cs="Arial"/>
          <w:sz w:val="22"/>
          <w:szCs w:val="22"/>
        </w:rPr>
        <w:t>ed</w:t>
      </w:r>
      <w:r w:rsidR="00B87C74" w:rsidRPr="00344977">
        <w:rPr>
          <w:rFonts w:ascii="Arial" w:eastAsiaTheme="minorHAnsi" w:hAnsi="Arial" w:cs="Arial"/>
          <w:sz w:val="22"/>
          <w:szCs w:val="22"/>
        </w:rPr>
        <w:t xml:space="preserve"> that the report only “</w:t>
      </w:r>
      <w:r w:rsidR="00B87C74" w:rsidRPr="00344977">
        <w:rPr>
          <w:rFonts w:ascii="Arial" w:eastAsiaTheme="minorHAnsi" w:hAnsi="Arial" w:cs="Arial"/>
          <w:color w:val="1A1A18"/>
          <w:sz w:val="22"/>
          <w:szCs w:val="22"/>
        </w:rPr>
        <w:t>summarises the preparatory work of the Inquiry, and highlights those</w:t>
      </w:r>
      <w:r w:rsidR="00344977" w:rsidRPr="00344977">
        <w:rPr>
          <w:rFonts w:ascii="Arial" w:eastAsiaTheme="minorHAnsi" w:hAnsi="Arial" w:cs="Arial"/>
          <w:color w:val="1A1A18"/>
          <w:sz w:val="22"/>
          <w:szCs w:val="22"/>
        </w:rPr>
        <w:t xml:space="preserve"> </w:t>
      </w:r>
      <w:r w:rsidR="00B87C74" w:rsidRPr="00344977">
        <w:rPr>
          <w:rFonts w:ascii="Arial" w:eastAsiaTheme="minorHAnsi" w:hAnsi="Arial" w:cs="Arial"/>
          <w:color w:val="1A1A18"/>
          <w:sz w:val="22"/>
          <w:szCs w:val="22"/>
        </w:rPr>
        <w:t>particular themes and issues which the Inquiry believes might be the subject of further</w:t>
      </w:r>
      <w:r w:rsidR="00344977" w:rsidRPr="00344977">
        <w:rPr>
          <w:rFonts w:ascii="Arial" w:eastAsiaTheme="minorHAnsi" w:hAnsi="Arial" w:cs="Arial"/>
          <w:color w:val="1A1A18"/>
          <w:sz w:val="22"/>
          <w:szCs w:val="22"/>
        </w:rPr>
        <w:t xml:space="preserve"> </w:t>
      </w:r>
      <w:r w:rsidR="00B87C74" w:rsidRPr="00344977">
        <w:rPr>
          <w:rFonts w:ascii="Arial" w:eastAsiaTheme="minorHAnsi" w:hAnsi="Arial" w:cs="Arial"/>
          <w:color w:val="1A1A18"/>
          <w:sz w:val="22"/>
          <w:szCs w:val="22"/>
        </w:rPr>
        <w:t>examination. The Report does not, and cannot, make findings as to what happened.</w:t>
      </w:r>
      <w:r w:rsidR="00D10066" w:rsidRPr="00344977">
        <w:rPr>
          <w:rFonts w:ascii="Arial" w:eastAsiaTheme="minorHAnsi" w:hAnsi="Arial" w:cs="Arial"/>
          <w:color w:val="1A1A18"/>
          <w:sz w:val="22"/>
          <w:szCs w:val="22"/>
        </w:rPr>
        <w:t>”</w:t>
      </w:r>
      <w:r w:rsidR="00D10066" w:rsidRPr="00344977">
        <w:rPr>
          <w:rStyle w:val="FootnoteReference"/>
          <w:rFonts w:ascii="Arial" w:eastAsiaTheme="minorHAnsi" w:hAnsi="Arial" w:cs="Arial"/>
          <w:color w:val="1A1A18"/>
          <w:sz w:val="22"/>
          <w:szCs w:val="22"/>
        </w:rPr>
        <w:footnoteReference w:id="5"/>
      </w:r>
      <w:r w:rsidR="00D10066" w:rsidRPr="00344977">
        <w:rPr>
          <w:rFonts w:ascii="Arial" w:eastAsiaTheme="minorHAnsi" w:hAnsi="Arial" w:cs="Arial"/>
          <w:sz w:val="22"/>
          <w:szCs w:val="22"/>
        </w:rPr>
        <w:t xml:space="preserve"> </w:t>
      </w:r>
      <w:r w:rsidR="00DF27CB" w:rsidRPr="00344977">
        <w:rPr>
          <w:rFonts w:ascii="Arial" w:eastAsiaTheme="minorHAnsi" w:hAnsi="Arial" w:cs="Arial"/>
          <w:sz w:val="22"/>
          <w:szCs w:val="22"/>
        </w:rPr>
        <w:t>The Detainee Inquiry was prematurely</w:t>
      </w:r>
      <w:r w:rsidR="00DF27CB" w:rsidRPr="00B74FAF">
        <w:rPr>
          <w:rFonts w:ascii="Arial" w:eastAsiaTheme="minorHAnsi" w:hAnsi="Arial" w:cs="Arial"/>
          <w:sz w:val="22"/>
          <w:szCs w:val="22"/>
        </w:rPr>
        <w:t xml:space="preserve"> terminated in January 2012, and reported to the UK Government in June 2012; its report was only released </w:t>
      </w:r>
      <w:r w:rsidR="00D10066">
        <w:rPr>
          <w:rFonts w:ascii="Arial" w:eastAsiaTheme="minorHAnsi" w:hAnsi="Arial" w:cs="Arial"/>
          <w:sz w:val="22"/>
          <w:szCs w:val="22"/>
        </w:rPr>
        <w:t xml:space="preserve">publicly </w:t>
      </w:r>
      <w:r w:rsidR="00DF27CB" w:rsidRPr="00B74FAF">
        <w:rPr>
          <w:rFonts w:ascii="Arial" w:eastAsiaTheme="minorHAnsi" w:hAnsi="Arial" w:cs="Arial"/>
          <w:sz w:val="22"/>
          <w:szCs w:val="22"/>
        </w:rPr>
        <w:t>in December 2013</w:t>
      </w:r>
      <w:r w:rsidR="00344977">
        <w:rPr>
          <w:rFonts w:ascii="Arial" w:eastAsiaTheme="minorHAnsi" w:hAnsi="Arial" w:cs="Arial"/>
          <w:sz w:val="22"/>
          <w:szCs w:val="22"/>
        </w:rPr>
        <w:t>.</w:t>
      </w:r>
      <w:r w:rsidR="00DF27CB">
        <w:rPr>
          <w:rFonts w:ascii="Arial" w:eastAsiaTheme="minorHAnsi" w:hAnsi="Arial" w:cs="Arial"/>
          <w:sz w:val="22"/>
          <w:szCs w:val="22"/>
        </w:rPr>
        <w:t xml:space="preserve"> </w:t>
      </w:r>
    </w:p>
    <w:p w:rsidR="00D10066" w:rsidRDefault="00AF00F1" w:rsidP="00344977">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 xml:space="preserve"> </w:t>
      </w:r>
    </w:p>
    <w:p w:rsidR="00711EFC" w:rsidRDefault="00407F7F" w:rsidP="00B87C74">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5</w:t>
      </w:r>
      <w:r w:rsidR="00344977">
        <w:rPr>
          <w:rFonts w:ascii="Arial" w:eastAsiaTheme="minorHAnsi" w:hAnsi="Arial" w:cs="Arial"/>
          <w:sz w:val="22"/>
          <w:szCs w:val="22"/>
        </w:rPr>
        <w:t>.</w:t>
      </w:r>
      <w:r w:rsidR="00D10066">
        <w:rPr>
          <w:rFonts w:ascii="Arial" w:eastAsiaTheme="minorHAnsi" w:hAnsi="Arial" w:cs="Arial"/>
          <w:sz w:val="22"/>
          <w:szCs w:val="22"/>
        </w:rPr>
        <w:t xml:space="preserve"> </w:t>
      </w:r>
      <w:r w:rsidR="00AF00F1">
        <w:rPr>
          <w:rFonts w:ascii="Arial" w:eastAsiaTheme="minorHAnsi" w:hAnsi="Arial" w:cs="Arial"/>
          <w:sz w:val="22"/>
          <w:szCs w:val="22"/>
        </w:rPr>
        <w:t>Instead of setting up an investigation in line with recognised international standards, including by an impartial bo</w:t>
      </w:r>
      <w:r w:rsidR="00DF27CB">
        <w:rPr>
          <w:rFonts w:ascii="Arial" w:eastAsiaTheme="minorHAnsi" w:hAnsi="Arial" w:cs="Arial"/>
          <w:sz w:val="22"/>
          <w:szCs w:val="22"/>
        </w:rPr>
        <w:t>dy, the UK Government announced</w:t>
      </w:r>
      <w:r w:rsidR="00AF00F1">
        <w:rPr>
          <w:rFonts w:ascii="Arial" w:eastAsiaTheme="minorHAnsi" w:hAnsi="Arial" w:cs="Arial"/>
          <w:sz w:val="22"/>
          <w:szCs w:val="22"/>
        </w:rPr>
        <w:t xml:space="preserve"> in </w:t>
      </w:r>
      <w:r w:rsidR="00DF27CB">
        <w:rPr>
          <w:rFonts w:ascii="Arial" w:eastAsiaTheme="minorHAnsi" w:hAnsi="Arial" w:cs="Arial"/>
          <w:sz w:val="22"/>
          <w:szCs w:val="22"/>
        </w:rPr>
        <w:t xml:space="preserve">December 2013 </w:t>
      </w:r>
      <w:r w:rsidR="00DF27CB" w:rsidRPr="00F26F37">
        <w:rPr>
          <w:rFonts w:ascii="Arial" w:eastAsiaTheme="minorHAnsi" w:hAnsi="Arial" w:cs="Arial"/>
          <w:sz w:val="22"/>
          <w:szCs w:val="22"/>
        </w:rPr>
        <w:t>that the Intelligence and</w:t>
      </w:r>
      <w:r w:rsidR="00DF27CB">
        <w:rPr>
          <w:rFonts w:ascii="Arial" w:eastAsiaTheme="minorHAnsi" w:hAnsi="Arial" w:cs="Arial"/>
          <w:sz w:val="22"/>
          <w:szCs w:val="22"/>
        </w:rPr>
        <w:t xml:space="preserve"> Security Committee (ISC)</w:t>
      </w:r>
      <w:r w:rsidR="00D10066">
        <w:rPr>
          <w:rFonts w:ascii="Arial" w:eastAsiaTheme="minorHAnsi" w:hAnsi="Arial" w:cs="Arial"/>
          <w:sz w:val="22"/>
          <w:szCs w:val="22"/>
        </w:rPr>
        <w:t xml:space="preserve"> would take over any pending issues raised by the Detainee Inquiry.</w:t>
      </w:r>
      <w:r w:rsidR="00824C06" w:rsidRPr="00711EFC">
        <w:rPr>
          <w:rFonts w:ascii="Arial" w:eastAsiaTheme="minorHAnsi" w:hAnsi="Arial" w:cs="Arial"/>
          <w:sz w:val="22"/>
          <w:szCs w:val="22"/>
          <w:vertAlign w:val="superscript"/>
        </w:rPr>
        <w:footnoteReference w:id="6"/>
      </w:r>
      <w:r w:rsidR="00DF27CB">
        <w:rPr>
          <w:rFonts w:ascii="Arial" w:eastAsiaTheme="minorHAnsi" w:hAnsi="Arial" w:cs="Arial"/>
          <w:sz w:val="22"/>
          <w:szCs w:val="22"/>
        </w:rPr>
        <w:t xml:space="preserve"> This decision was made notwithstanding concerns over the ISC’s past failure to adequate</w:t>
      </w:r>
      <w:r w:rsidR="00C17ED4">
        <w:rPr>
          <w:rFonts w:ascii="Arial" w:eastAsiaTheme="minorHAnsi" w:hAnsi="Arial" w:cs="Arial"/>
          <w:sz w:val="22"/>
          <w:szCs w:val="22"/>
        </w:rPr>
        <w:t>ly</w:t>
      </w:r>
      <w:r w:rsidR="00DF27CB">
        <w:rPr>
          <w:rFonts w:ascii="Arial" w:eastAsiaTheme="minorHAnsi" w:hAnsi="Arial" w:cs="Arial"/>
          <w:sz w:val="22"/>
          <w:szCs w:val="22"/>
        </w:rPr>
        <w:t xml:space="preserve"> address allegations of UK complicity in torture.</w:t>
      </w:r>
      <w:r w:rsidR="00DF27CB">
        <w:rPr>
          <w:rStyle w:val="FootnoteReference"/>
          <w:rFonts w:ascii="Arial" w:hAnsi="Arial" w:cs="Arial"/>
        </w:rPr>
        <w:footnoteReference w:id="7"/>
      </w:r>
      <w:r w:rsidR="00170C7A">
        <w:rPr>
          <w:rFonts w:ascii="Arial" w:eastAsiaTheme="minorHAnsi" w:hAnsi="Arial" w:cs="Arial"/>
          <w:sz w:val="22"/>
          <w:szCs w:val="22"/>
        </w:rPr>
        <w:t xml:space="preserve"> </w:t>
      </w:r>
      <w:r w:rsidR="00AF00F1">
        <w:rPr>
          <w:rFonts w:ascii="Arial" w:eastAsiaTheme="minorHAnsi" w:hAnsi="Arial" w:cs="Arial"/>
          <w:sz w:val="22"/>
          <w:szCs w:val="22"/>
        </w:rPr>
        <w:t>With</w:t>
      </w:r>
      <w:r w:rsidR="00AF00F1" w:rsidRPr="00711EFC">
        <w:rPr>
          <w:rFonts w:ascii="Arial" w:eastAsiaTheme="minorHAnsi" w:hAnsi="Arial" w:cs="Arial"/>
          <w:sz w:val="22"/>
          <w:szCs w:val="22"/>
        </w:rPr>
        <w:t xml:space="preserve"> </w:t>
      </w:r>
      <w:r w:rsidR="00711EFC" w:rsidRPr="00711EFC">
        <w:rPr>
          <w:rFonts w:ascii="Arial" w:eastAsiaTheme="minorHAnsi" w:hAnsi="Arial" w:cs="Arial"/>
          <w:sz w:val="22"/>
          <w:szCs w:val="22"/>
        </w:rPr>
        <w:t>the publication of the USA Senate Select Committee on Intelligence report on CIA torture in December 2014,</w:t>
      </w:r>
      <w:r w:rsidR="00DF27CB" w:rsidRPr="00A825C5">
        <w:rPr>
          <w:rStyle w:val="FootnoteReference"/>
          <w:rFonts w:ascii="Arial" w:hAnsi="Arial" w:cs="Arial"/>
        </w:rPr>
        <w:footnoteReference w:id="8"/>
      </w:r>
      <w:r w:rsidR="00711EFC" w:rsidRPr="00711EFC">
        <w:rPr>
          <w:rFonts w:ascii="Arial" w:eastAsiaTheme="minorHAnsi" w:hAnsi="Arial" w:cs="Arial"/>
          <w:sz w:val="22"/>
          <w:szCs w:val="22"/>
        </w:rPr>
        <w:t xml:space="preserve"> human rights organisations reiterated their concerns about the</w:t>
      </w:r>
      <w:r w:rsidR="00DF27CB">
        <w:rPr>
          <w:rFonts w:ascii="Arial" w:eastAsiaTheme="minorHAnsi" w:hAnsi="Arial" w:cs="Arial"/>
          <w:sz w:val="22"/>
          <w:szCs w:val="22"/>
        </w:rPr>
        <w:t xml:space="preserve"> lack of adequate investigations and the </w:t>
      </w:r>
      <w:r w:rsidR="00AE62E6">
        <w:rPr>
          <w:rFonts w:ascii="Arial" w:eastAsiaTheme="minorHAnsi" w:hAnsi="Arial" w:cs="Arial"/>
          <w:sz w:val="22"/>
          <w:szCs w:val="22"/>
        </w:rPr>
        <w:t xml:space="preserve">inadequacy of the </w:t>
      </w:r>
      <w:r w:rsidR="00711EFC" w:rsidRPr="00711EFC">
        <w:rPr>
          <w:rFonts w:ascii="Arial" w:eastAsiaTheme="minorHAnsi" w:hAnsi="Arial" w:cs="Arial"/>
          <w:sz w:val="22"/>
          <w:szCs w:val="22"/>
        </w:rPr>
        <w:t xml:space="preserve">ISC </w:t>
      </w:r>
      <w:r w:rsidR="00C17ED4">
        <w:rPr>
          <w:rFonts w:ascii="Arial" w:eastAsiaTheme="minorHAnsi" w:hAnsi="Arial" w:cs="Arial"/>
          <w:sz w:val="22"/>
          <w:szCs w:val="22"/>
        </w:rPr>
        <w:t xml:space="preserve">to address the allegations, </w:t>
      </w:r>
      <w:r w:rsidR="00711EFC" w:rsidRPr="00711EFC">
        <w:rPr>
          <w:rFonts w:ascii="Arial" w:eastAsiaTheme="minorHAnsi" w:hAnsi="Arial" w:cs="Arial"/>
          <w:sz w:val="22"/>
          <w:szCs w:val="22"/>
        </w:rPr>
        <w:t>in an open letter to the Prime Minister</w:t>
      </w:r>
      <w:r w:rsidR="00AE62E6">
        <w:rPr>
          <w:rFonts w:ascii="Arial" w:eastAsiaTheme="minorHAnsi" w:hAnsi="Arial" w:cs="Arial"/>
          <w:sz w:val="22"/>
          <w:szCs w:val="22"/>
        </w:rPr>
        <w:t>.</w:t>
      </w:r>
      <w:r w:rsidR="00711EFC" w:rsidRPr="00711EFC">
        <w:rPr>
          <w:rFonts w:ascii="Arial" w:eastAsiaTheme="minorHAnsi" w:hAnsi="Arial" w:cs="Arial"/>
          <w:sz w:val="22"/>
          <w:szCs w:val="22"/>
          <w:vertAlign w:val="superscript"/>
        </w:rPr>
        <w:footnoteReference w:id="9"/>
      </w:r>
    </w:p>
    <w:p w:rsidR="00477A15" w:rsidRDefault="00477A15" w:rsidP="00B87C74">
      <w:pPr>
        <w:autoSpaceDE w:val="0"/>
        <w:autoSpaceDN w:val="0"/>
        <w:adjustRightInd w:val="0"/>
        <w:jc w:val="both"/>
        <w:rPr>
          <w:rFonts w:ascii="Arial" w:eastAsiaTheme="minorHAnsi" w:hAnsi="Arial" w:cs="Arial"/>
          <w:sz w:val="22"/>
          <w:szCs w:val="22"/>
        </w:rPr>
      </w:pPr>
    </w:p>
    <w:p w:rsidR="00477A15" w:rsidRPr="00407F7F" w:rsidRDefault="001A795A" w:rsidP="00477A15">
      <w:pPr>
        <w:shd w:val="clear" w:color="auto" w:fill="FFFFFF"/>
        <w:jc w:val="both"/>
        <w:rPr>
          <w:rFonts w:ascii="Arial" w:hAnsi="Arial" w:cs="Arial"/>
          <w:sz w:val="22"/>
          <w:szCs w:val="22"/>
          <w:lang w:eastAsia="en-GB"/>
        </w:rPr>
      </w:pPr>
      <w:r>
        <w:rPr>
          <w:rFonts w:ascii="Arial" w:eastAsiaTheme="minorHAnsi" w:hAnsi="Arial" w:cs="Arial"/>
          <w:sz w:val="22"/>
          <w:szCs w:val="22"/>
        </w:rPr>
        <w:t>6</w:t>
      </w:r>
      <w:r w:rsidR="00477A15" w:rsidRPr="00477A15">
        <w:rPr>
          <w:rFonts w:ascii="Arial" w:eastAsiaTheme="minorHAnsi" w:hAnsi="Arial" w:cs="Arial"/>
          <w:sz w:val="22"/>
          <w:szCs w:val="22"/>
        </w:rPr>
        <w:t>. Allegations of the UK armed forces</w:t>
      </w:r>
      <w:r w:rsidR="00396F50">
        <w:rPr>
          <w:rFonts w:ascii="Arial" w:eastAsiaTheme="minorHAnsi" w:hAnsi="Arial" w:cs="Arial"/>
          <w:sz w:val="22"/>
          <w:szCs w:val="22"/>
        </w:rPr>
        <w:t>’</w:t>
      </w:r>
      <w:r w:rsidR="00477A15" w:rsidRPr="00477A15">
        <w:rPr>
          <w:rFonts w:ascii="Arial" w:eastAsiaTheme="minorHAnsi" w:hAnsi="Arial" w:cs="Arial"/>
          <w:sz w:val="22"/>
          <w:szCs w:val="22"/>
        </w:rPr>
        <w:t xml:space="preserve"> involvement in transfers in Iraq during 2003-2009 have also arisen, some aspects of which the UK has admitted. </w:t>
      </w:r>
      <w:r w:rsidR="00477A15" w:rsidRPr="00477A15">
        <w:rPr>
          <w:rFonts w:ascii="Arial" w:hAnsi="Arial" w:cs="Arial"/>
          <w:color w:val="0B0C0C"/>
          <w:sz w:val="22"/>
          <w:szCs w:val="22"/>
          <w:shd w:val="clear" w:color="auto" w:fill="FFFFFF"/>
          <w:lang w:val="en-US"/>
        </w:rPr>
        <w:t xml:space="preserve">These allegations concern the role of the UK in the rendition of captured Iraqi detainees and others to “black sites” within Iraq and to places outside Iraq where they were subject to torture and other ill-treatment, and/or handing them over to US forces inside Iraq, where they faced a real risk of torture or other mistreatment. </w:t>
      </w:r>
      <w:r w:rsidR="00477A15" w:rsidRPr="00477A15">
        <w:rPr>
          <w:rFonts w:ascii="Arial" w:hAnsi="Arial" w:cs="Arial"/>
          <w:color w:val="0B0C0C"/>
          <w:sz w:val="22"/>
          <w:szCs w:val="22"/>
          <w:shd w:val="clear" w:color="auto" w:fill="FFFFFF"/>
          <w:lang w:eastAsia="en-GB"/>
        </w:rPr>
        <w:t>The UK Government admitted in Parliament in 2009 that</w:t>
      </w:r>
      <w:r w:rsidR="00477A15" w:rsidRPr="00477A15">
        <w:rPr>
          <w:rFonts w:ascii="Arial" w:hAnsi="Arial" w:cs="Arial"/>
          <w:color w:val="0B0C0C"/>
          <w:sz w:val="22"/>
          <w:szCs w:val="22"/>
          <w:shd w:val="clear" w:color="auto" w:fill="FFFFFF"/>
          <w:lang w:val="en-US"/>
        </w:rPr>
        <w:t xml:space="preserve"> i</w:t>
      </w:r>
      <w:r w:rsidR="00477A15" w:rsidRPr="00477A15">
        <w:rPr>
          <w:rFonts w:ascii="Arial" w:hAnsi="Arial" w:cs="Arial"/>
          <w:color w:val="0B0C0C"/>
          <w:sz w:val="22"/>
          <w:szCs w:val="22"/>
          <w:shd w:val="clear" w:color="auto" w:fill="FFFFFF"/>
          <w:lang w:eastAsia="en-GB"/>
        </w:rPr>
        <w:t xml:space="preserve">n February 2004 </w:t>
      </w:r>
      <w:r w:rsidR="00477A15" w:rsidRPr="00407F7F">
        <w:rPr>
          <w:rFonts w:ascii="Arial" w:hAnsi="Arial" w:cs="Arial"/>
          <w:sz w:val="22"/>
          <w:szCs w:val="22"/>
          <w:shd w:val="clear" w:color="auto" w:fill="FFFFFF"/>
          <w:lang w:eastAsia="en-GB"/>
        </w:rPr>
        <w:t>“two individuals were captured by UK forces in and around Baghdad. They were transferred to US detention, in accordance with normal practice, and subsequently moved to a US detention facility in Afghanistan.”</w:t>
      </w:r>
      <w:r w:rsidR="00477A15" w:rsidRPr="00407F7F">
        <w:rPr>
          <w:rFonts w:ascii="Arial" w:hAnsi="Arial" w:cs="Arial"/>
          <w:sz w:val="22"/>
          <w:szCs w:val="22"/>
          <w:shd w:val="clear" w:color="auto" w:fill="FFFFFF"/>
          <w:vertAlign w:val="superscript"/>
          <w:lang w:eastAsia="en-GB"/>
        </w:rPr>
        <w:footnoteReference w:id="10"/>
      </w:r>
      <w:r w:rsidR="00477A15" w:rsidRPr="00407F7F">
        <w:rPr>
          <w:rFonts w:ascii="Arial" w:hAnsi="Arial" w:cs="Arial"/>
          <w:sz w:val="22"/>
          <w:szCs w:val="22"/>
          <w:shd w:val="clear" w:color="auto" w:fill="FFFFFF"/>
          <w:lang w:eastAsia="en-GB"/>
        </w:rPr>
        <w:t xml:space="preserve"> </w:t>
      </w:r>
    </w:p>
    <w:p w:rsidR="00477A15" w:rsidRPr="00407F7F" w:rsidRDefault="00477A15" w:rsidP="00477A15">
      <w:pPr>
        <w:shd w:val="clear" w:color="auto" w:fill="FFFFFF"/>
        <w:jc w:val="both"/>
        <w:rPr>
          <w:rFonts w:ascii="Arial" w:hAnsi="Arial" w:cs="Arial"/>
          <w:sz w:val="22"/>
          <w:szCs w:val="22"/>
          <w:lang w:eastAsia="en-GB"/>
        </w:rPr>
      </w:pPr>
    </w:p>
    <w:p w:rsidR="00477A15" w:rsidRPr="002C6D34" w:rsidRDefault="001A795A" w:rsidP="00477A15">
      <w:pPr>
        <w:shd w:val="clear" w:color="auto" w:fill="FFFFFF"/>
        <w:spacing w:after="195"/>
        <w:ind w:right="-46"/>
        <w:jc w:val="both"/>
        <w:rPr>
          <w:rFonts w:ascii="Arial" w:hAnsi="Arial" w:cs="Arial"/>
          <w:sz w:val="22"/>
          <w:szCs w:val="22"/>
          <w:lang w:eastAsia="en-GB"/>
        </w:rPr>
      </w:pPr>
      <w:r>
        <w:rPr>
          <w:rFonts w:ascii="Arial" w:hAnsi="Arial" w:cs="Arial"/>
          <w:sz w:val="22"/>
          <w:szCs w:val="22"/>
          <w:lang w:eastAsia="en-GB"/>
        </w:rPr>
        <w:t>7</w:t>
      </w:r>
      <w:r w:rsidR="00477A15" w:rsidRPr="00407F7F">
        <w:rPr>
          <w:rFonts w:ascii="Arial" w:hAnsi="Arial" w:cs="Arial"/>
          <w:sz w:val="22"/>
          <w:szCs w:val="22"/>
          <w:lang w:eastAsia="en-GB"/>
        </w:rPr>
        <w:t xml:space="preserve">. The All Party Parliamentary Group on Extraordinary Rendition has periodically raised its concerns, and its chair Andre </w:t>
      </w:r>
      <w:proofErr w:type="spellStart"/>
      <w:r w:rsidR="00477A15" w:rsidRPr="00407F7F">
        <w:rPr>
          <w:rFonts w:ascii="Arial" w:hAnsi="Arial" w:cs="Arial"/>
          <w:sz w:val="22"/>
          <w:szCs w:val="22"/>
          <w:lang w:eastAsia="en-GB"/>
        </w:rPr>
        <w:t>Tyrie</w:t>
      </w:r>
      <w:proofErr w:type="spellEnd"/>
      <w:r w:rsidR="00477A15" w:rsidRPr="00407F7F">
        <w:rPr>
          <w:rFonts w:ascii="Arial" w:hAnsi="Arial" w:cs="Arial"/>
          <w:sz w:val="22"/>
          <w:szCs w:val="22"/>
          <w:lang w:eastAsia="en-GB"/>
        </w:rPr>
        <w:t xml:space="preserve"> MP said in 2011:</w:t>
      </w:r>
      <w:r w:rsidR="00477A15" w:rsidRPr="002C6D34">
        <w:rPr>
          <w:rFonts w:ascii="Arial" w:hAnsi="Arial" w:cs="Arial"/>
          <w:sz w:val="22"/>
          <w:szCs w:val="22"/>
          <w:vertAlign w:val="superscript"/>
          <w:lang w:eastAsia="en-GB"/>
        </w:rPr>
        <w:footnoteReference w:id="11"/>
      </w:r>
    </w:p>
    <w:p w:rsidR="00477A15" w:rsidRPr="002C6D34" w:rsidRDefault="00477A15" w:rsidP="00477A15">
      <w:pPr>
        <w:shd w:val="clear" w:color="auto" w:fill="FFFFFF"/>
        <w:spacing w:after="195"/>
        <w:ind w:left="720" w:right="-46"/>
        <w:jc w:val="both"/>
        <w:rPr>
          <w:rFonts w:ascii="Arial" w:hAnsi="Arial" w:cs="Arial"/>
          <w:sz w:val="20"/>
          <w:szCs w:val="20"/>
          <w:lang w:eastAsia="en-GB"/>
        </w:rPr>
      </w:pPr>
      <w:r w:rsidRPr="002C6D34">
        <w:rPr>
          <w:rFonts w:ascii="Arial" w:hAnsi="Arial" w:cs="Arial"/>
          <w:sz w:val="20"/>
          <w:szCs w:val="20"/>
          <w:lang w:eastAsia="en-GB"/>
        </w:rPr>
        <w:t xml:space="preserve">More than three years after I first requested information on rendition from the Ministry of Defence it has finally been required to disclose much of it. It reveals a catalogue of MOD mishaps and failures, including a failure to track detainees handed over to the US, a weakening of protections for those handed over and a failure to keep proper records. </w:t>
      </w:r>
    </w:p>
    <w:p w:rsidR="00274423" w:rsidRPr="002C6D34" w:rsidRDefault="001A795A" w:rsidP="00274423">
      <w:pPr>
        <w:pStyle w:val="ListParagraph"/>
        <w:autoSpaceDE w:val="0"/>
        <w:autoSpaceDN w:val="0"/>
        <w:adjustRightInd w:val="0"/>
        <w:ind w:left="0"/>
        <w:jc w:val="both"/>
        <w:rPr>
          <w:rFonts w:ascii="Arial" w:hAnsi="Arial" w:cs="Arial"/>
          <w:sz w:val="22"/>
          <w:szCs w:val="22"/>
          <w:lang w:eastAsia="en-GB"/>
        </w:rPr>
      </w:pPr>
      <w:r>
        <w:rPr>
          <w:rFonts w:ascii="Arial" w:hAnsi="Arial" w:cs="Arial"/>
          <w:sz w:val="22"/>
          <w:szCs w:val="22"/>
          <w:lang w:eastAsia="en-GB"/>
        </w:rPr>
        <w:t>8</w:t>
      </w:r>
      <w:r w:rsidR="00274423" w:rsidRPr="002C6D34">
        <w:rPr>
          <w:rFonts w:ascii="Arial" w:hAnsi="Arial" w:cs="Arial"/>
          <w:sz w:val="22"/>
          <w:szCs w:val="22"/>
          <w:lang w:eastAsia="en-GB"/>
        </w:rPr>
        <w:t xml:space="preserve">. The Rome Statute of the International Criminal Court (ICC) makes it clear that an enforced disappearance when carried out as part of a widespread or systematic </w:t>
      </w:r>
      <w:r w:rsidR="00C17ED4">
        <w:rPr>
          <w:rFonts w:ascii="Arial" w:hAnsi="Arial" w:cs="Arial"/>
          <w:sz w:val="22"/>
          <w:szCs w:val="22"/>
          <w:lang w:eastAsia="en-GB"/>
        </w:rPr>
        <w:t>set of conduct</w:t>
      </w:r>
      <w:r w:rsidR="00274423" w:rsidRPr="002C6D34">
        <w:rPr>
          <w:rFonts w:ascii="Arial" w:hAnsi="Arial" w:cs="Arial"/>
          <w:sz w:val="22"/>
          <w:szCs w:val="22"/>
          <w:lang w:eastAsia="en-GB"/>
        </w:rPr>
        <w:t xml:space="preserve"> may be a crime against humanity and that “an unlawful deportation, transfer or confinement” may be a war crime.</w:t>
      </w:r>
      <w:r w:rsidR="00274423" w:rsidRPr="002C6D34">
        <w:rPr>
          <w:rFonts w:ascii="Arial" w:hAnsi="Arial" w:cs="Arial"/>
          <w:sz w:val="22"/>
          <w:szCs w:val="22"/>
          <w:vertAlign w:val="superscript"/>
          <w:lang w:eastAsia="en-GB"/>
        </w:rPr>
        <w:footnoteReference w:id="12"/>
      </w:r>
      <w:r w:rsidR="00274423" w:rsidRPr="002C6D34">
        <w:rPr>
          <w:rFonts w:ascii="Arial" w:hAnsi="Arial" w:cs="Arial"/>
          <w:sz w:val="22"/>
          <w:szCs w:val="22"/>
          <w:lang w:eastAsia="en-GB"/>
        </w:rPr>
        <w:t xml:space="preserve"> Torture may in equal circumstances amount to a crime against humanity and a war crime.</w:t>
      </w:r>
      <w:r w:rsidR="00274423" w:rsidRPr="002C6D34">
        <w:rPr>
          <w:rFonts w:ascii="Arial" w:hAnsi="Arial" w:cs="Arial"/>
          <w:sz w:val="22"/>
          <w:szCs w:val="22"/>
          <w:vertAlign w:val="superscript"/>
          <w:lang w:eastAsia="en-GB"/>
        </w:rPr>
        <w:footnoteReference w:id="13"/>
      </w:r>
      <w:r w:rsidR="00274423" w:rsidRPr="002C6D34">
        <w:rPr>
          <w:rFonts w:ascii="Arial" w:hAnsi="Arial" w:cs="Arial"/>
          <w:sz w:val="22"/>
          <w:szCs w:val="22"/>
          <w:lang w:eastAsia="en-GB"/>
        </w:rPr>
        <w:t xml:space="preserve"> For an individual to be liable for these offences, there is no need for evidence that he or she physically committed the offence.</w:t>
      </w:r>
      <w:r w:rsidR="00274423" w:rsidRPr="002C6D34">
        <w:rPr>
          <w:rFonts w:ascii="Arial" w:hAnsi="Arial" w:cs="Arial"/>
          <w:sz w:val="22"/>
          <w:szCs w:val="22"/>
          <w:vertAlign w:val="superscript"/>
          <w:lang w:eastAsia="en-GB"/>
        </w:rPr>
        <w:footnoteReference w:id="14"/>
      </w:r>
      <w:r w:rsidR="00274423" w:rsidRPr="002C6D34">
        <w:rPr>
          <w:rFonts w:ascii="Arial" w:hAnsi="Arial" w:cs="Arial"/>
          <w:sz w:val="22"/>
          <w:szCs w:val="22"/>
          <w:lang w:eastAsia="en-GB"/>
        </w:rPr>
        <w:t xml:space="preserve"> Such offences can also be committed when an individual affords assistance to any person (including to individuals of foreign nations). The UK Government, under article 7 in conjunction with article 2(3) of the Covenant as interpreted by the HRC,</w:t>
      </w:r>
      <w:r w:rsidR="00274423" w:rsidRPr="002C6D34">
        <w:rPr>
          <w:rFonts w:ascii="Arial" w:hAnsi="Arial" w:cs="Arial"/>
          <w:sz w:val="22"/>
          <w:szCs w:val="22"/>
          <w:vertAlign w:val="superscript"/>
          <w:lang w:eastAsia="en-GB"/>
        </w:rPr>
        <w:footnoteReference w:id="15"/>
      </w:r>
      <w:r w:rsidR="00274423" w:rsidRPr="002C6D34">
        <w:rPr>
          <w:rFonts w:ascii="Arial" w:hAnsi="Arial" w:cs="Arial"/>
          <w:sz w:val="22"/>
          <w:szCs w:val="22"/>
          <w:lang w:eastAsia="en-GB"/>
        </w:rPr>
        <w:t xml:space="preserve"> is obliged to ensure that these allegations be investigated to their source, including up the chain of command, if this is where the evidence points. Only if this is done can it be determined who authorised, supported and/or acquiesced in such operations.</w:t>
      </w:r>
    </w:p>
    <w:p w:rsidR="00274423" w:rsidRPr="002C6D34" w:rsidRDefault="001A795A" w:rsidP="00274423">
      <w:pPr>
        <w:shd w:val="clear" w:color="auto" w:fill="FFFFFF"/>
        <w:spacing w:before="100" w:beforeAutospacing="1" w:after="195" w:afterAutospacing="1"/>
        <w:ind w:right="-46"/>
        <w:jc w:val="both"/>
        <w:rPr>
          <w:rFonts w:ascii="Arial" w:hAnsi="Arial" w:cs="Arial"/>
          <w:sz w:val="22"/>
          <w:szCs w:val="22"/>
          <w:lang w:eastAsia="en-GB"/>
        </w:rPr>
      </w:pPr>
      <w:r>
        <w:rPr>
          <w:rFonts w:ascii="Arial" w:hAnsi="Arial" w:cs="Arial"/>
          <w:sz w:val="22"/>
          <w:szCs w:val="22"/>
          <w:lang w:eastAsia="en-GB"/>
        </w:rPr>
        <w:t>9</w:t>
      </w:r>
      <w:r w:rsidR="00274423" w:rsidRPr="002C6D34">
        <w:rPr>
          <w:rFonts w:ascii="Arial" w:hAnsi="Arial" w:cs="Arial"/>
          <w:sz w:val="22"/>
          <w:szCs w:val="22"/>
          <w:lang w:eastAsia="en-GB"/>
        </w:rPr>
        <w:t>. We recommend that the Committee ask the UK Government why it has retreated from its previous assurance of an independent judge-led inquiry; how it expects the ISC examination to be compliant with its obligations under the Covenant; what is being done about the several fresh allegations which have arisen concerning the UK’s knowledge of the USA’s use of Diego Garcia during the USA’s torture programme, as well as UK renditions in and from Iraq.</w:t>
      </w:r>
    </w:p>
    <w:p w:rsidR="000A65D0" w:rsidRPr="000A65D0" w:rsidRDefault="000A65D0" w:rsidP="000A65D0">
      <w:pPr>
        <w:numPr>
          <w:ilvl w:val="0"/>
          <w:numId w:val="14"/>
        </w:numPr>
        <w:shd w:val="clear" w:color="auto" w:fill="FFFFFF"/>
        <w:ind w:left="0" w:firstLine="0"/>
        <w:contextualSpacing/>
        <w:jc w:val="both"/>
        <w:textAlignment w:val="baseline"/>
        <w:rPr>
          <w:rFonts w:ascii="Arial" w:hAnsi="Arial" w:cs="Arial"/>
          <w:b/>
          <w:sz w:val="22"/>
          <w:szCs w:val="22"/>
        </w:rPr>
      </w:pPr>
      <w:r w:rsidRPr="000A65D0">
        <w:rPr>
          <w:rFonts w:ascii="Arial" w:hAnsi="Arial" w:cs="Arial"/>
          <w:b/>
          <w:sz w:val="22"/>
          <w:szCs w:val="22"/>
        </w:rPr>
        <w:t>USE OF TORTURE EVIDENCE AND MEMORANDA OF UNDERSTANDING ON DEPORTATIONS WITH ASSURANCES (paragraphs 558-561 of the State Party report)</w:t>
      </w:r>
    </w:p>
    <w:p w:rsidR="000A65D0" w:rsidRDefault="000A65D0" w:rsidP="00255D19">
      <w:pPr>
        <w:suppressAutoHyphens/>
        <w:jc w:val="both"/>
        <w:rPr>
          <w:rFonts w:ascii="Arial" w:hAnsi="Arial" w:cs="Arial"/>
          <w:sz w:val="22"/>
          <w:szCs w:val="22"/>
        </w:rPr>
      </w:pPr>
    </w:p>
    <w:p w:rsidR="00255D19" w:rsidRPr="00396F50" w:rsidRDefault="00255D19" w:rsidP="00255D19">
      <w:pPr>
        <w:suppressAutoHyphens/>
        <w:jc w:val="both"/>
        <w:rPr>
          <w:rFonts w:ascii="Arial" w:eastAsia="Malgun Gothic" w:hAnsi="Arial" w:cs="Arial"/>
          <w:kern w:val="2"/>
          <w:sz w:val="22"/>
          <w:szCs w:val="22"/>
          <w:lang w:val="en-US" w:eastAsia="ko-KR"/>
        </w:rPr>
      </w:pPr>
      <w:r w:rsidRPr="00396F50">
        <w:rPr>
          <w:rFonts w:ascii="Arial" w:hAnsi="Arial" w:cs="Arial"/>
          <w:sz w:val="22"/>
          <w:szCs w:val="22"/>
        </w:rPr>
        <w:t>1</w:t>
      </w:r>
      <w:r w:rsidR="001A795A">
        <w:rPr>
          <w:rFonts w:ascii="Arial" w:hAnsi="Arial" w:cs="Arial"/>
          <w:sz w:val="22"/>
          <w:szCs w:val="22"/>
        </w:rPr>
        <w:t>0</w:t>
      </w:r>
      <w:r w:rsidRPr="00396F50">
        <w:rPr>
          <w:rFonts w:ascii="Arial" w:hAnsi="Arial" w:cs="Arial"/>
          <w:sz w:val="22"/>
          <w:szCs w:val="22"/>
        </w:rPr>
        <w:t xml:space="preserve">.  </w:t>
      </w:r>
      <w:r w:rsidRPr="00396F50">
        <w:rPr>
          <w:rFonts w:ascii="Arial" w:eastAsia="Malgun Gothic" w:hAnsi="Arial" w:cs="Arial"/>
          <w:kern w:val="2"/>
          <w:sz w:val="22"/>
          <w:szCs w:val="22"/>
          <w:lang w:val="en-US" w:eastAsia="ko-KR"/>
        </w:rPr>
        <w:t xml:space="preserve">The judgment of 8 December 2005 referred to in the Periodic Report is the </w:t>
      </w:r>
      <w:r w:rsidRPr="00396F50">
        <w:rPr>
          <w:rFonts w:ascii="Arial" w:eastAsia="Malgun Gothic" w:hAnsi="Arial" w:cs="Arial"/>
          <w:i/>
          <w:kern w:val="2"/>
          <w:sz w:val="22"/>
          <w:szCs w:val="22"/>
          <w:lang w:val="en-US" w:eastAsia="ko-KR"/>
        </w:rPr>
        <w:t>Case of A</w:t>
      </w:r>
      <w:r w:rsidRPr="00396F50">
        <w:rPr>
          <w:rFonts w:ascii="Arial" w:eastAsia="Malgun Gothic" w:hAnsi="Arial" w:cs="Arial"/>
          <w:kern w:val="2"/>
          <w:sz w:val="22"/>
          <w:szCs w:val="22"/>
          <w:vertAlign w:val="superscript"/>
          <w:lang w:val="en-US" w:eastAsia="ko-KR"/>
        </w:rPr>
        <w:footnoteReference w:id="16"/>
      </w:r>
      <w:r w:rsidRPr="00396F50">
        <w:rPr>
          <w:rFonts w:ascii="Arial" w:eastAsia="Malgun Gothic" w:hAnsi="Arial" w:cs="Arial"/>
          <w:kern w:val="2"/>
          <w:sz w:val="22"/>
          <w:szCs w:val="22"/>
          <w:lang w:val="en-US" w:eastAsia="ko-KR"/>
        </w:rPr>
        <w:t xml:space="preserve"> which saw the UK’s highest court </w:t>
      </w:r>
      <w:r w:rsidR="00396F50">
        <w:rPr>
          <w:rFonts w:ascii="Arial" w:eastAsia="Malgun Gothic" w:hAnsi="Arial" w:cs="Arial"/>
          <w:kern w:val="2"/>
          <w:sz w:val="22"/>
          <w:szCs w:val="22"/>
          <w:lang w:val="en-US" w:eastAsia="ko-KR"/>
        </w:rPr>
        <w:t>recognise</w:t>
      </w:r>
      <w:r w:rsidRPr="00396F50">
        <w:rPr>
          <w:rFonts w:ascii="Arial" w:eastAsia="Malgun Gothic" w:hAnsi="Arial" w:cs="Arial"/>
          <w:kern w:val="2"/>
          <w:sz w:val="22"/>
          <w:szCs w:val="22"/>
          <w:lang w:val="en-US" w:eastAsia="ko-KR"/>
        </w:rPr>
        <w:t xml:space="preserve"> a blanket exclusionary rule that applies to all proceedings, including evidence that a foreign State has procured through torture in a judicial proceeding against a suspected terrorist. The court stated as follows:</w:t>
      </w:r>
      <w:r w:rsidRPr="00396F50">
        <w:rPr>
          <w:rFonts w:ascii="Arial" w:eastAsia="Malgun Gothic" w:hAnsi="Arial" w:cs="Arial"/>
          <w:kern w:val="2"/>
          <w:sz w:val="22"/>
          <w:szCs w:val="22"/>
          <w:vertAlign w:val="superscript"/>
          <w:lang w:val="en-US" w:eastAsia="ko-KR"/>
        </w:rPr>
        <w:footnoteReference w:id="17"/>
      </w:r>
    </w:p>
    <w:p w:rsidR="00255D19" w:rsidRPr="00396F50" w:rsidRDefault="00255D19" w:rsidP="00255D19">
      <w:pPr>
        <w:suppressAutoHyphens/>
        <w:jc w:val="both"/>
        <w:rPr>
          <w:rFonts w:ascii="Arial" w:eastAsia="Malgun Gothic" w:hAnsi="Arial" w:cs="Arial"/>
          <w:kern w:val="2"/>
          <w:sz w:val="22"/>
          <w:szCs w:val="22"/>
          <w:lang w:val="en-US" w:eastAsia="ko-KR"/>
        </w:rPr>
      </w:pPr>
    </w:p>
    <w:p w:rsidR="00255D19" w:rsidRPr="002C6D34" w:rsidRDefault="00255D19" w:rsidP="00255D19">
      <w:pPr>
        <w:suppressAutoHyphens/>
        <w:ind w:left="720"/>
        <w:jc w:val="both"/>
        <w:rPr>
          <w:rFonts w:ascii="Arial" w:eastAsiaTheme="minorHAnsi" w:hAnsi="Arial" w:cs="Arial"/>
          <w:sz w:val="20"/>
          <w:szCs w:val="20"/>
        </w:rPr>
      </w:pPr>
      <w:r w:rsidRPr="00396F50">
        <w:rPr>
          <w:rFonts w:ascii="Arial" w:eastAsia="Malgun Gothic" w:hAnsi="Arial" w:cs="Arial"/>
          <w:kern w:val="2"/>
          <w:sz w:val="20"/>
          <w:szCs w:val="20"/>
          <w:lang w:val="en-US" w:eastAsia="ko-KR"/>
        </w:rPr>
        <w:lastRenderedPageBreak/>
        <w:t>[T]he English common law has regarded torture and its fruits with abhorrence for over 500 years, and that abhorrence is shared by over 140 countries which have acceded to the Torture Convention….</w:t>
      </w:r>
      <w:bookmarkStart w:id="0" w:name="para52"/>
      <w:r w:rsidRPr="002C6D34">
        <w:rPr>
          <w:rFonts w:ascii="Arial" w:eastAsiaTheme="minorHAnsi" w:hAnsi="Arial" w:cs="Arial"/>
          <w:sz w:val="20"/>
          <w:szCs w:val="20"/>
        </w:rPr>
        <w:t xml:space="preserve"> </w:t>
      </w:r>
      <w:bookmarkEnd w:id="0"/>
    </w:p>
    <w:p w:rsidR="00255D19" w:rsidRPr="002C6D34" w:rsidRDefault="00255D19" w:rsidP="00255D19">
      <w:pPr>
        <w:suppressAutoHyphens/>
        <w:ind w:left="720"/>
        <w:jc w:val="both"/>
        <w:rPr>
          <w:rFonts w:ascii="Arial" w:eastAsiaTheme="minorHAnsi" w:hAnsi="Arial" w:cs="Arial"/>
          <w:sz w:val="20"/>
          <w:szCs w:val="20"/>
          <w:shd w:val="clear" w:color="auto" w:fill="FFFFFF"/>
        </w:rPr>
      </w:pPr>
    </w:p>
    <w:p w:rsidR="00255D19" w:rsidRPr="002C6D34" w:rsidRDefault="00255D19" w:rsidP="00255D19">
      <w:pPr>
        <w:suppressAutoHyphens/>
        <w:jc w:val="both"/>
        <w:rPr>
          <w:rFonts w:ascii="Arial" w:eastAsiaTheme="minorHAnsi" w:hAnsi="Arial" w:cs="Arial"/>
          <w:sz w:val="22"/>
          <w:szCs w:val="22"/>
        </w:rPr>
      </w:pPr>
      <w:r w:rsidRPr="002C6D34">
        <w:rPr>
          <w:rFonts w:ascii="Arial" w:eastAsiaTheme="minorHAnsi" w:hAnsi="Arial" w:cs="Arial"/>
          <w:sz w:val="22"/>
          <w:szCs w:val="22"/>
        </w:rPr>
        <w:t>The Law Lords were divided by four to three on the question of the burden of proof in establishing whether or not a statement (emanating from abroad) was obtained by torture. The majority concluded that where there was no more than a possibility that the statement was obtained by torture it would be admissible, while the minority said that where there was a real risk that the evidence was obtained by torture it should not be admitted. They strongly rejected the test preferred by the majority as it would place a burden on persons that they can seldom discharge:</w:t>
      </w:r>
      <w:r w:rsidRPr="002C6D34">
        <w:rPr>
          <w:rFonts w:ascii="Arial" w:eastAsiaTheme="minorHAnsi" w:hAnsi="Arial" w:cs="Arial"/>
          <w:sz w:val="22"/>
          <w:szCs w:val="22"/>
          <w:vertAlign w:val="superscript"/>
        </w:rPr>
        <w:footnoteReference w:id="18"/>
      </w:r>
    </w:p>
    <w:p w:rsidR="00255D19" w:rsidRPr="002C6D34" w:rsidRDefault="00255D19" w:rsidP="00255D19">
      <w:pPr>
        <w:suppressAutoHyphens/>
        <w:jc w:val="both"/>
        <w:rPr>
          <w:rFonts w:ascii="Arial" w:eastAsiaTheme="minorHAnsi" w:hAnsi="Arial" w:cs="Arial"/>
          <w:sz w:val="22"/>
          <w:szCs w:val="22"/>
        </w:rPr>
      </w:pPr>
    </w:p>
    <w:p w:rsidR="00255D19" w:rsidRPr="002C6D34" w:rsidRDefault="00255D19" w:rsidP="00255D19">
      <w:pPr>
        <w:suppressAutoHyphens/>
        <w:ind w:left="720"/>
        <w:jc w:val="both"/>
        <w:rPr>
          <w:rFonts w:ascii="Arial" w:eastAsiaTheme="minorHAnsi" w:hAnsi="Arial" w:cs="Arial"/>
          <w:sz w:val="20"/>
          <w:szCs w:val="20"/>
        </w:rPr>
      </w:pPr>
      <w:r w:rsidRPr="002C6D34" w:rsidDel="002C6330">
        <w:rPr>
          <w:rFonts w:ascii="Arial" w:eastAsiaTheme="minorHAnsi" w:hAnsi="Arial" w:cs="Arial"/>
          <w:sz w:val="20"/>
          <w:szCs w:val="20"/>
        </w:rPr>
        <w:t xml:space="preserve"> </w:t>
      </w:r>
      <w:r w:rsidRPr="002C6D34">
        <w:rPr>
          <w:rFonts w:ascii="Arial" w:eastAsiaTheme="minorHAnsi" w:hAnsi="Arial" w:cs="Arial"/>
          <w:sz w:val="20"/>
          <w:szCs w:val="20"/>
        </w:rPr>
        <w:t>[I]t is inconsistent with the most rudimentary notions of fairness to blindfold a man and then impose a standard which only the sighted could hope to meet.</w:t>
      </w:r>
    </w:p>
    <w:p w:rsidR="00255D19" w:rsidRPr="002C6D34" w:rsidRDefault="00255D19" w:rsidP="00255D19">
      <w:pPr>
        <w:suppressAutoHyphens/>
        <w:jc w:val="both"/>
        <w:rPr>
          <w:rFonts w:ascii="Arial" w:eastAsiaTheme="minorHAnsi" w:hAnsi="Arial" w:cs="Arial"/>
          <w:sz w:val="20"/>
          <w:szCs w:val="20"/>
        </w:rPr>
      </w:pPr>
    </w:p>
    <w:p w:rsidR="00255D19" w:rsidRPr="002C6D34" w:rsidRDefault="00255D19" w:rsidP="00255D19">
      <w:pPr>
        <w:suppressAutoHyphens/>
        <w:jc w:val="both"/>
        <w:rPr>
          <w:rFonts w:ascii="Arial" w:eastAsiaTheme="minorHAnsi" w:hAnsi="Arial" w:cs="Arial"/>
          <w:sz w:val="22"/>
          <w:szCs w:val="22"/>
        </w:rPr>
      </w:pPr>
      <w:r w:rsidRPr="002C6D34">
        <w:rPr>
          <w:rFonts w:ascii="Arial" w:eastAsiaTheme="minorHAnsi" w:hAnsi="Arial" w:cs="Arial"/>
          <w:sz w:val="22"/>
          <w:szCs w:val="22"/>
        </w:rPr>
        <w:t>1</w:t>
      </w:r>
      <w:r w:rsidR="001A795A">
        <w:rPr>
          <w:rFonts w:ascii="Arial" w:eastAsiaTheme="minorHAnsi" w:hAnsi="Arial" w:cs="Arial"/>
          <w:sz w:val="22"/>
          <w:szCs w:val="22"/>
        </w:rPr>
        <w:t>1</w:t>
      </w:r>
      <w:r w:rsidRPr="002C6D34">
        <w:rPr>
          <w:rFonts w:ascii="Arial" w:eastAsiaTheme="minorHAnsi" w:hAnsi="Arial" w:cs="Arial"/>
          <w:sz w:val="22"/>
          <w:szCs w:val="22"/>
        </w:rPr>
        <w:t xml:space="preserve">. It has subsequently been argued </w:t>
      </w:r>
      <w:r w:rsidR="009A098B">
        <w:rPr>
          <w:rFonts w:ascii="Arial" w:eastAsiaTheme="minorHAnsi" w:hAnsi="Arial" w:cs="Arial"/>
          <w:sz w:val="22"/>
          <w:szCs w:val="22"/>
        </w:rPr>
        <w:t xml:space="preserve">by a former Special Rapporteur on Torture </w:t>
      </w:r>
      <w:r w:rsidRPr="002C6D34">
        <w:rPr>
          <w:rFonts w:ascii="Arial" w:eastAsiaTheme="minorHAnsi" w:hAnsi="Arial" w:cs="Arial"/>
          <w:sz w:val="22"/>
          <w:szCs w:val="22"/>
        </w:rPr>
        <w:t>that a full shift in the burden of proof as set out by the minority would be better suited to ensure that information extracted by torture is not used in any proceedings:</w:t>
      </w:r>
      <w:r w:rsidRPr="002C6D34">
        <w:rPr>
          <w:rFonts w:ascii="Arial" w:eastAsiaTheme="minorHAnsi" w:hAnsi="Arial" w:cs="Arial"/>
          <w:sz w:val="22"/>
          <w:szCs w:val="22"/>
          <w:vertAlign w:val="superscript"/>
        </w:rPr>
        <w:footnoteReference w:id="19"/>
      </w:r>
    </w:p>
    <w:p w:rsidR="00255D19" w:rsidRPr="00255D19" w:rsidRDefault="00255D19" w:rsidP="00255D19">
      <w:pPr>
        <w:suppressAutoHyphens/>
        <w:ind w:left="720"/>
        <w:jc w:val="both"/>
        <w:rPr>
          <w:rFonts w:ascii="Arial" w:eastAsiaTheme="minorHAnsi" w:hAnsi="Arial" w:cs="Arial"/>
          <w:color w:val="000000"/>
          <w:sz w:val="20"/>
          <w:szCs w:val="20"/>
        </w:rPr>
      </w:pPr>
    </w:p>
    <w:p w:rsidR="009A098B" w:rsidRDefault="00255D19" w:rsidP="00255D19">
      <w:pPr>
        <w:suppressAutoHyphens/>
        <w:ind w:left="720"/>
        <w:jc w:val="both"/>
        <w:rPr>
          <w:rFonts w:ascii="Arial" w:eastAsiaTheme="minorHAnsi" w:hAnsi="Arial" w:cs="Arial"/>
          <w:color w:val="333333"/>
          <w:sz w:val="20"/>
          <w:szCs w:val="20"/>
          <w:shd w:val="clear" w:color="auto" w:fill="FFFFFF"/>
        </w:rPr>
      </w:pPr>
      <w:r w:rsidRPr="00255D19">
        <w:rPr>
          <w:rFonts w:ascii="Arial" w:eastAsiaTheme="minorHAnsi" w:hAnsi="Arial" w:cs="Arial"/>
          <w:color w:val="333333"/>
          <w:sz w:val="20"/>
          <w:szCs w:val="20"/>
          <w:shd w:val="clear" w:color="auto" w:fill="FFFFFF"/>
        </w:rPr>
        <w:t xml:space="preserve">For criminal proceedings this conclusion also corresponds to the principle </w:t>
      </w:r>
      <w:r w:rsidRPr="00255D19">
        <w:rPr>
          <w:rFonts w:ascii="Arial" w:eastAsiaTheme="minorHAnsi" w:hAnsi="Arial" w:cs="Arial"/>
          <w:i/>
          <w:color w:val="333333"/>
          <w:sz w:val="20"/>
          <w:szCs w:val="20"/>
          <w:shd w:val="clear" w:color="auto" w:fill="FFFFFF"/>
        </w:rPr>
        <w:t xml:space="preserve">“in </w:t>
      </w:r>
      <w:proofErr w:type="spellStart"/>
      <w:r w:rsidRPr="00255D19">
        <w:rPr>
          <w:rFonts w:ascii="Arial" w:eastAsiaTheme="minorHAnsi" w:hAnsi="Arial" w:cs="Arial"/>
          <w:i/>
          <w:color w:val="333333"/>
          <w:sz w:val="20"/>
          <w:szCs w:val="20"/>
          <w:shd w:val="clear" w:color="auto" w:fill="FFFFFF"/>
        </w:rPr>
        <w:t>dubio</w:t>
      </w:r>
      <w:proofErr w:type="spellEnd"/>
      <w:r w:rsidRPr="00255D19">
        <w:rPr>
          <w:rFonts w:ascii="Arial" w:eastAsiaTheme="minorHAnsi" w:hAnsi="Arial" w:cs="Arial"/>
          <w:i/>
          <w:color w:val="333333"/>
          <w:sz w:val="20"/>
          <w:szCs w:val="20"/>
          <w:shd w:val="clear" w:color="auto" w:fill="FFFFFF"/>
        </w:rPr>
        <w:t xml:space="preserve"> pro reo”,</w:t>
      </w:r>
      <w:r w:rsidRPr="00255D19">
        <w:rPr>
          <w:rFonts w:ascii="Arial" w:eastAsiaTheme="minorHAnsi" w:hAnsi="Arial" w:cs="Arial"/>
          <w:color w:val="333333"/>
          <w:sz w:val="20"/>
          <w:szCs w:val="20"/>
          <w:shd w:val="clear" w:color="auto" w:fill="FFFFFF"/>
        </w:rPr>
        <w:t xml:space="preserve"> but it is equally valid for extradition, expulsion and habeas corpus proceedings or any other proceedings determining the lawfulness of detention.</w:t>
      </w:r>
    </w:p>
    <w:p w:rsidR="002C6D34" w:rsidRDefault="002C6D34" w:rsidP="00255D19">
      <w:pPr>
        <w:suppressAutoHyphens/>
        <w:ind w:left="720"/>
        <w:jc w:val="both"/>
        <w:rPr>
          <w:rFonts w:ascii="Arial" w:eastAsiaTheme="minorHAnsi" w:hAnsi="Arial" w:cs="Arial"/>
          <w:color w:val="333333"/>
          <w:sz w:val="20"/>
          <w:szCs w:val="20"/>
          <w:shd w:val="clear" w:color="auto" w:fill="FFFFFF"/>
        </w:rPr>
      </w:pPr>
    </w:p>
    <w:p w:rsidR="009A098B" w:rsidRPr="002C6D34" w:rsidRDefault="009A098B" w:rsidP="002C6D34">
      <w:pPr>
        <w:suppressAutoHyphens/>
        <w:jc w:val="both"/>
        <w:rPr>
          <w:rFonts w:ascii="Arial" w:eastAsiaTheme="minorHAnsi" w:hAnsi="Arial" w:cs="Arial"/>
          <w:b/>
          <w:color w:val="333333"/>
          <w:sz w:val="20"/>
          <w:szCs w:val="20"/>
          <w:shd w:val="clear" w:color="auto" w:fill="FFFFFF"/>
        </w:rPr>
      </w:pPr>
      <w:r w:rsidRPr="002C6D34">
        <w:rPr>
          <w:rFonts w:ascii="Arial" w:eastAsiaTheme="minorHAnsi" w:hAnsi="Arial" w:cs="Arial"/>
          <w:b/>
          <w:color w:val="333333"/>
          <w:sz w:val="20"/>
          <w:szCs w:val="20"/>
          <w:shd w:val="clear" w:color="auto" w:fill="FFFFFF"/>
        </w:rPr>
        <w:t>Deportation with assurances</w:t>
      </w:r>
    </w:p>
    <w:p w:rsidR="009A098B" w:rsidRPr="00255D19" w:rsidRDefault="009A098B" w:rsidP="00255D19">
      <w:pPr>
        <w:suppressAutoHyphens/>
        <w:ind w:left="720"/>
        <w:jc w:val="both"/>
        <w:rPr>
          <w:rFonts w:ascii="Arial" w:eastAsiaTheme="minorHAnsi" w:hAnsi="Arial" w:cs="Arial"/>
          <w:color w:val="333333"/>
          <w:sz w:val="20"/>
          <w:szCs w:val="20"/>
          <w:shd w:val="clear" w:color="auto" w:fill="FFFFFF"/>
        </w:rPr>
      </w:pPr>
    </w:p>
    <w:p w:rsidR="00255D19" w:rsidRPr="00255D19" w:rsidRDefault="00255D19" w:rsidP="00255D19">
      <w:pPr>
        <w:jc w:val="both"/>
        <w:rPr>
          <w:rFonts w:ascii="Arial" w:hAnsi="Arial" w:cs="Arial"/>
          <w:bCs/>
          <w:sz w:val="22"/>
          <w:szCs w:val="22"/>
          <w:lang w:eastAsia="en-GB"/>
        </w:rPr>
      </w:pPr>
      <w:r w:rsidRPr="00255D19">
        <w:rPr>
          <w:rFonts w:ascii="Arial" w:eastAsiaTheme="minorHAnsi" w:hAnsi="Arial" w:cs="Arial"/>
          <w:color w:val="333333"/>
          <w:sz w:val="22"/>
          <w:szCs w:val="22"/>
          <w:shd w:val="clear" w:color="auto" w:fill="FFFFFF"/>
        </w:rPr>
        <w:t>1</w:t>
      </w:r>
      <w:r w:rsidR="001A795A">
        <w:rPr>
          <w:rFonts w:ascii="Arial" w:eastAsiaTheme="minorHAnsi" w:hAnsi="Arial" w:cs="Arial"/>
          <w:color w:val="333333"/>
          <w:sz w:val="22"/>
          <w:szCs w:val="22"/>
          <w:shd w:val="clear" w:color="auto" w:fill="FFFFFF"/>
        </w:rPr>
        <w:t>2</w:t>
      </w:r>
      <w:r w:rsidRPr="00255D19">
        <w:rPr>
          <w:rFonts w:ascii="Arial" w:eastAsiaTheme="minorHAnsi" w:hAnsi="Arial" w:cs="Arial"/>
          <w:color w:val="333333"/>
          <w:sz w:val="22"/>
          <w:szCs w:val="22"/>
          <w:shd w:val="clear" w:color="auto" w:fill="FFFFFF"/>
        </w:rPr>
        <w:t xml:space="preserve">. </w:t>
      </w:r>
      <w:r w:rsidRPr="00255D19">
        <w:rPr>
          <w:rFonts w:ascii="Arial" w:eastAsiaTheme="minorHAnsi" w:hAnsi="Arial" w:cs="Arial"/>
          <w:sz w:val="22"/>
          <w:szCs w:val="22"/>
        </w:rPr>
        <w:t xml:space="preserve">The UK Government uses deportation with assurances (DWA), also known as diplomatic assurances, </w:t>
      </w:r>
      <w:r w:rsidRPr="00255D19">
        <w:rPr>
          <w:rFonts w:ascii="Arial" w:hAnsi="Arial" w:cs="Arial"/>
          <w:bCs/>
          <w:sz w:val="22"/>
          <w:szCs w:val="22"/>
          <w:lang w:eastAsia="en-GB"/>
        </w:rPr>
        <w:t>to justify the deportation of foreign nationals and stateless persons suspected of terrorism related offences to countries in which a widespread practice of torture is alleged. The FCO’s latest Human Rights and Democracy Report (HRDR) claims that this “has enabled the UK to reduce the threat from terrorism by allowing foreign nationals who pose a risk to our national security, to be deported, while still meeting our domestic and international human rights obligations.”</w:t>
      </w:r>
      <w:r w:rsidRPr="00255D19">
        <w:rPr>
          <w:rFonts w:ascii="Arial" w:hAnsi="Arial" w:cs="Arial"/>
          <w:bCs/>
          <w:sz w:val="22"/>
          <w:szCs w:val="22"/>
          <w:vertAlign w:val="superscript"/>
          <w:lang w:eastAsia="en-GB"/>
        </w:rPr>
        <w:footnoteReference w:id="20"/>
      </w:r>
      <w:r w:rsidRPr="00255D19">
        <w:rPr>
          <w:rFonts w:ascii="Arial" w:hAnsi="Arial" w:cs="Arial"/>
          <w:bCs/>
          <w:sz w:val="22"/>
          <w:szCs w:val="22"/>
          <w:lang w:eastAsia="en-GB"/>
        </w:rPr>
        <w:t xml:space="preserve"> In 2014 there were functioning DWA arrangements in 2014 with Algeria, Jordan, Lebanon, Ethiopia and Morocco.</w:t>
      </w:r>
      <w:r w:rsidRPr="00255D19">
        <w:rPr>
          <w:rFonts w:ascii="Arial" w:hAnsi="Arial" w:cs="Arial"/>
          <w:bCs/>
          <w:sz w:val="22"/>
          <w:szCs w:val="22"/>
          <w:vertAlign w:val="superscript"/>
          <w:lang w:eastAsia="en-GB"/>
        </w:rPr>
        <w:footnoteReference w:id="21"/>
      </w:r>
    </w:p>
    <w:p w:rsidR="00255D19" w:rsidRPr="00255D19" w:rsidRDefault="00255D19" w:rsidP="00255D19">
      <w:pPr>
        <w:jc w:val="both"/>
        <w:rPr>
          <w:rFonts w:ascii="Arial" w:hAnsi="Arial" w:cs="Arial"/>
          <w:bCs/>
          <w:sz w:val="22"/>
          <w:szCs w:val="22"/>
          <w:lang w:eastAsia="en-GB"/>
        </w:rPr>
      </w:pPr>
    </w:p>
    <w:p w:rsidR="00255D19" w:rsidRPr="00255D19" w:rsidRDefault="00255D19" w:rsidP="00255D19">
      <w:pPr>
        <w:spacing w:after="200"/>
        <w:jc w:val="both"/>
        <w:rPr>
          <w:rFonts w:ascii="Arial" w:eastAsiaTheme="minorHAnsi" w:hAnsi="Arial" w:cs="Arial"/>
          <w:sz w:val="22"/>
          <w:szCs w:val="22"/>
        </w:rPr>
      </w:pPr>
      <w:r w:rsidRPr="00255D19">
        <w:rPr>
          <w:rFonts w:ascii="Arial" w:eastAsiaTheme="minorHAnsi" w:hAnsi="Arial" w:cs="Arial"/>
          <w:sz w:val="22"/>
          <w:szCs w:val="22"/>
        </w:rPr>
        <w:t>1</w:t>
      </w:r>
      <w:r w:rsidR="001A795A">
        <w:rPr>
          <w:rFonts w:ascii="Arial" w:eastAsiaTheme="minorHAnsi" w:hAnsi="Arial" w:cs="Arial"/>
          <w:sz w:val="22"/>
          <w:szCs w:val="22"/>
        </w:rPr>
        <w:t>3</w:t>
      </w:r>
      <w:r w:rsidRPr="00255D19">
        <w:rPr>
          <w:rFonts w:ascii="Arial" w:eastAsiaTheme="minorHAnsi" w:hAnsi="Arial" w:cs="Arial"/>
          <w:sz w:val="22"/>
          <w:szCs w:val="22"/>
        </w:rPr>
        <w:t>. The UK Government’s policy</w:t>
      </w:r>
      <w:r w:rsidRPr="00255D19">
        <w:rPr>
          <w:rFonts w:ascii="Arial" w:eastAsiaTheme="minorHAnsi" w:hAnsi="Arial" w:cs="Arial"/>
          <w:sz w:val="22"/>
          <w:szCs w:val="22"/>
          <w:vertAlign w:val="superscript"/>
        </w:rPr>
        <w:footnoteReference w:id="22"/>
      </w:r>
      <w:r w:rsidRPr="00255D19">
        <w:rPr>
          <w:rFonts w:ascii="Arial" w:eastAsiaTheme="minorHAnsi" w:hAnsi="Arial" w:cs="Arial"/>
          <w:sz w:val="22"/>
          <w:szCs w:val="22"/>
        </w:rPr>
        <w:t xml:space="preserve"> of relying on DWA developed as a counter-terrorism measure following the 2004 House of Lords ruling that indefinite detention of foreign nationals without charge breached the UK’s Human Rights Act.</w:t>
      </w:r>
      <w:r w:rsidRPr="00255D19">
        <w:rPr>
          <w:rFonts w:ascii="Arial" w:eastAsiaTheme="minorHAnsi" w:hAnsi="Arial" w:cs="Arial"/>
          <w:sz w:val="22"/>
          <w:szCs w:val="22"/>
          <w:vertAlign w:val="superscript"/>
        </w:rPr>
        <w:footnoteReference w:id="23"/>
      </w:r>
      <w:r w:rsidRPr="00255D19">
        <w:rPr>
          <w:rFonts w:ascii="Arial" w:eastAsiaTheme="minorHAnsi" w:hAnsi="Arial" w:cs="Arial"/>
          <w:sz w:val="22"/>
          <w:szCs w:val="22"/>
        </w:rPr>
        <w:t xml:space="preserve"> The UK Government </w:t>
      </w:r>
      <w:r w:rsidRPr="00255D19">
        <w:rPr>
          <w:rFonts w:ascii="Arial" w:hAnsi="Arial" w:cs="Arial"/>
          <w:bCs/>
          <w:sz w:val="22"/>
          <w:szCs w:val="22"/>
          <w:lang w:eastAsia="en-GB"/>
        </w:rPr>
        <w:t xml:space="preserve">deals with the issue on a case by case basis. In 2013 the Home Office mandated the Independent Reviewer of </w:t>
      </w:r>
      <w:r w:rsidRPr="00255D19">
        <w:rPr>
          <w:rFonts w:ascii="Arial" w:hAnsi="Arial" w:cs="Arial"/>
          <w:bCs/>
          <w:sz w:val="22"/>
          <w:szCs w:val="22"/>
          <w:lang w:eastAsia="en-GB"/>
        </w:rPr>
        <w:lastRenderedPageBreak/>
        <w:t>Terrorism Legislation (IRTL)</w:t>
      </w:r>
      <w:r w:rsidRPr="00255D19">
        <w:rPr>
          <w:rFonts w:ascii="Arial" w:hAnsi="Arial" w:cs="Arial"/>
          <w:bCs/>
          <w:sz w:val="22"/>
          <w:szCs w:val="22"/>
          <w:vertAlign w:val="superscript"/>
          <w:lang w:eastAsia="en-GB"/>
        </w:rPr>
        <w:footnoteReference w:id="24"/>
      </w:r>
      <w:r w:rsidRPr="00255D19">
        <w:rPr>
          <w:rFonts w:ascii="Arial" w:hAnsi="Arial" w:cs="Arial"/>
          <w:bCs/>
          <w:sz w:val="22"/>
          <w:szCs w:val="22"/>
          <w:lang w:eastAsia="en-GB"/>
        </w:rPr>
        <w:t xml:space="preserve"> to “</w:t>
      </w:r>
      <w:r w:rsidRPr="00255D19">
        <w:rPr>
          <w:rFonts w:ascii="Arial" w:eastAsiaTheme="minorHAnsi" w:hAnsi="Arial" w:cs="Arial"/>
          <w:sz w:val="22"/>
          <w:szCs w:val="22"/>
        </w:rPr>
        <w:t>review the framework of the UK’s [DWA] policy to make recommendations on how the policy might be strengthened or improved, with particular emphasis on its legal aspects”.</w:t>
      </w:r>
      <w:r w:rsidRPr="00255D19">
        <w:rPr>
          <w:rFonts w:ascii="Arial" w:eastAsiaTheme="minorHAnsi" w:hAnsi="Arial" w:cs="Arial"/>
          <w:sz w:val="22"/>
          <w:szCs w:val="22"/>
          <w:vertAlign w:val="superscript"/>
        </w:rPr>
        <w:footnoteReference w:id="25"/>
      </w:r>
      <w:r w:rsidRPr="00255D19">
        <w:rPr>
          <w:rFonts w:ascii="Arial" w:eastAsiaTheme="minorHAnsi" w:hAnsi="Arial" w:cs="Arial"/>
          <w:sz w:val="22"/>
          <w:szCs w:val="22"/>
        </w:rPr>
        <w:t xml:space="preserve">  The ITLR’s review report has not yet been released. </w:t>
      </w:r>
    </w:p>
    <w:p w:rsidR="00255D19" w:rsidRPr="009A098B" w:rsidRDefault="00255D19" w:rsidP="00255D19">
      <w:pPr>
        <w:spacing w:after="200"/>
        <w:jc w:val="both"/>
        <w:rPr>
          <w:rFonts w:ascii="Arial" w:eastAsiaTheme="minorHAnsi" w:hAnsi="Arial" w:cs="Arial"/>
          <w:sz w:val="22"/>
          <w:szCs w:val="22"/>
        </w:rPr>
      </w:pPr>
      <w:r w:rsidRPr="009A098B">
        <w:rPr>
          <w:rFonts w:ascii="Arial" w:eastAsiaTheme="minorHAnsi" w:hAnsi="Arial" w:cs="Arial"/>
          <w:sz w:val="22"/>
          <w:szCs w:val="22"/>
        </w:rPr>
        <w:t>1</w:t>
      </w:r>
      <w:r w:rsidR="001A795A">
        <w:rPr>
          <w:rFonts w:ascii="Arial" w:eastAsiaTheme="minorHAnsi" w:hAnsi="Arial" w:cs="Arial"/>
          <w:sz w:val="22"/>
          <w:szCs w:val="22"/>
        </w:rPr>
        <w:t>4</w:t>
      </w:r>
      <w:r w:rsidRPr="009A098B">
        <w:rPr>
          <w:rFonts w:ascii="Arial" w:eastAsiaTheme="minorHAnsi" w:hAnsi="Arial" w:cs="Arial"/>
          <w:sz w:val="22"/>
          <w:szCs w:val="22"/>
        </w:rPr>
        <w:t>. There is no mention of th</w:t>
      </w:r>
      <w:r w:rsidR="00CF6CCE">
        <w:rPr>
          <w:rFonts w:ascii="Arial" w:eastAsiaTheme="minorHAnsi" w:hAnsi="Arial" w:cs="Arial"/>
          <w:sz w:val="22"/>
          <w:szCs w:val="22"/>
        </w:rPr>
        <w:t>is</w:t>
      </w:r>
      <w:r w:rsidRPr="009A098B">
        <w:rPr>
          <w:rFonts w:ascii="Arial" w:eastAsiaTheme="minorHAnsi" w:hAnsi="Arial" w:cs="Arial"/>
          <w:sz w:val="22"/>
          <w:szCs w:val="22"/>
        </w:rPr>
        <w:t xml:space="preserve"> review in the FCO</w:t>
      </w:r>
      <w:r w:rsidR="001A795A">
        <w:rPr>
          <w:rFonts w:ascii="Arial" w:eastAsiaTheme="minorHAnsi" w:hAnsi="Arial" w:cs="Arial"/>
          <w:sz w:val="22"/>
          <w:szCs w:val="22"/>
        </w:rPr>
        <w:t>’s March</w:t>
      </w:r>
      <w:r w:rsidRPr="009A098B">
        <w:rPr>
          <w:rFonts w:ascii="Arial" w:eastAsiaTheme="minorHAnsi" w:hAnsi="Arial" w:cs="Arial"/>
          <w:sz w:val="22"/>
          <w:szCs w:val="22"/>
        </w:rPr>
        <w:t xml:space="preserve"> </w:t>
      </w:r>
      <w:r w:rsidR="006D7715">
        <w:rPr>
          <w:rFonts w:ascii="Arial" w:eastAsiaTheme="minorHAnsi" w:hAnsi="Arial" w:cs="Arial"/>
          <w:sz w:val="22"/>
          <w:szCs w:val="22"/>
        </w:rPr>
        <w:t>2015</w:t>
      </w:r>
      <w:r w:rsidRPr="009A098B">
        <w:rPr>
          <w:rFonts w:ascii="Arial" w:eastAsiaTheme="minorHAnsi" w:hAnsi="Arial" w:cs="Arial"/>
          <w:sz w:val="22"/>
          <w:szCs w:val="22"/>
        </w:rPr>
        <w:t xml:space="preserve"> HRDR, which does however make reference to another post, namely, the UK Special Representative for DWA.</w:t>
      </w:r>
      <w:r w:rsidR="006D7715">
        <w:rPr>
          <w:rStyle w:val="FootnoteReference"/>
          <w:rFonts w:ascii="Arial" w:eastAsiaTheme="minorHAnsi" w:hAnsi="Arial" w:cs="Arial"/>
          <w:sz w:val="22"/>
          <w:szCs w:val="22"/>
        </w:rPr>
        <w:footnoteReference w:id="26"/>
      </w:r>
      <w:r w:rsidRPr="009A098B">
        <w:rPr>
          <w:rFonts w:ascii="Arial" w:eastAsiaTheme="minorHAnsi" w:hAnsi="Arial" w:cs="Arial"/>
          <w:sz w:val="22"/>
          <w:szCs w:val="22"/>
        </w:rPr>
        <w:t xml:space="preserve"> The FCO post of UK Special Representative of DWA appears to have been established in 2006 with the appointment of Sir Anthony </w:t>
      </w:r>
      <w:proofErr w:type="spellStart"/>
      <w:r w:rsidRPr="009A098B">
        <w:rPr>
          <w:rFonts w:ascii="Arial" w:eastAsiaTheme="minorHAnsi" w:hAnsi="Arial" w:cs="Arial"/>
          <w:sz w:val="22"/>
          <w:szCs w:val="22"/>
        </w:rPr>
        <w:t>Layden</w:t>
      </w:r>
      <w:proofErr w:type="spellEnd"/>
      <w:r w:rsidRPr="009A098B">
        <w:rPr>
          <w:rFonts w:ascii="Arial" w:eastAsiaTheme="minorHAnsi" w:hAnsi="Arial" w:cs="Arial"/>
          <w:sz w:val="22"/>
          <w:szCs w:val="22"/>
        </w:rPr>
        <w:t>,</w:t>
      </w:r>
      <w:r w:rsidRPr="009A098B">
        <w:rPr>
          <w:rFonts w:ascii="Arial" w:eastAsiaTheme="minorHAnsi" w:hAnsi="Arial" w:cs="Arial"/>
          <w:sz w:val="22"/>
          <w:szCs w:val="22"/>
          <w:vertAlign w:val="superscript"/>
        </w:rPr>
        <w:footnoteReference w:id="27"/>
      </w:r>
      <w:r w:rsidRPr="009A098B">
        <w:rPr>
          <w:rFonts w:ascii="Arial" w:eastAsiaTheme="minorHAnsi" w:hAnsi="Arial" w:cs="Arial"/>
          <w:sz w:val="22"/>
          <w:szCs w:val="22"/>
        </w:rPr>
        <w:t xml:space="preserve"> who according to a media report resigned early in 2015:</w:t>
      </w:r>
      <w:r w:rsidRPr="009A098B">
        <w:rPr>
          <w:rFonts w:ascii="Arial" w:eastAsiaTheme="minorHAnsi" w:hAnsi="Arial" w:cs="Arial"/>
          <w:sz w:val="22"/>
          <w:szCs w:val="22"/>
          <w:vertAlign w:val="superscript"/>
        </w:rPr>
        <w:footnoteReference w:id="28"/>
      </w:r>
    </w:p>
    <w:p w:rsidR="00255D19" w:rsidRPr="00255D19" w:rsidRDefault="00255D19" w:rsidP="00255D19">
      <w:pPr>
        <w:shd w:val="clear" w:color="auto" w:fill="FFFFFF"/>
        <w:ind w:left="720"/>
        <w:jc w:val="both"/>
        <w:rPr>
          <w:rFonts w:ascii="Arial" w:hAnsi="Arial" w:cs="Arial"/>
          <w:color w:val="282828"/>
          <w:sz w:val="20"/>
          <w:szCs w:val="20"/>
          <w:lang w:eastAsia="en-GB"/>
        </w:rPr>
      </w:pPr>
      <w:r w:rsidRPr="00255D19">
        <w:rPr>
          <w:rFonts w:ascii="Arial" w:hAnsi="Arial" w:cs="Arial"/>
          <w:color w:val="282828"/>
          <w:sz w:val="20"/>
          <w:szCs w:val="20"/>
          <w:lang w:eastAsia="en-GB"/>
        </w:rPr>
        <w:t xml:space="preserve">[A] Sunday Telegraph investigation has discovered that the senior official in charge of the DWA scheme has resigned because he claims it is not working. Two deportation cases collapsed last summer after Anthony </w:t>
      </w:r>
      <w:proofErr w:type="spellStart"/>
      <w:r w:rsidRPr="00255D19">
        <w:rPr>
          <w:rFonts w:ascii="Arial" w:hAnsi="Arial" w:cs="Arial"/>
          <w:color w:val="282828"/>
          <w:sz w:val="20"/>
          <w:szCs w:val="20"/>
          <w:lang w:eastAsia="en-GB"/>
        </w:rPr>
        <w:t>Layden</w:t>
      </w:r>
      <w:proofErr w:type="spellEnd"/>
      <w:r w:rsidRPr="00255D19">
        <w:rPr>
          <w:rFonts w:ascii="Arial" w:hAnsi="Arial" w:cs="Arial"/>
          <w:color w:val="282828"/>
          <w:sz w:val="20"/>
          <w:szCs w:val="20"/>
          <w:lang w:eastAsia="en-GB"/>
        </w:rPr>
        <w:t>, the official who had been overseeing DWA, expressed serious misgivings about its operation. It is not clear what those misgivings were but they are thought to be concerned with Britain’s failure to put in place proper monitoring to ensure deported terror suspects were not mistreated — or even tortured — on their return. An official review of the scheme…is unlikely to be published until after the election… </w:t>
      </w:r>
    </w:p>
    <w:p w:rsidR="00255D19" w:rsidRPr="00255D19" w:rsidRDefault="00255D19" w:rsidP="00255D19">
      <w:pPr>
        <w:shd w:val="clear" w:color="auto" w:fill="FFFFFF"/>
        <w:ind w:left="720"/>
        <w:jc w:val="both"/>
        <w:rPr>
          <w:rFonts w:ascii="Arial" w:hAnsi="Arial" w:cs="Arial"/>
          <w:color w:val="282828"/>
          <w:sz w:val="20"/>
          <w:szCs w:val="20"/>
          <w:lang w:eastAsia="en-GB"/>
        </w:rPr>
      </w:pPr>
    </w:p>
    <w:p w:rsidR="00255D19" w:rsidRPr="009A098B" w:rsidRDefault="009A098B" w:rsidP="00255D19">
      <w:pPr>
        <w:shd w:val="clear" w:color="auto" w:fill="FFFFFF"/>
        <w:jc w:val="both"/>
        <w:rPr>
          <w:rFonts w:ascii="Arial" w:eastAsiaTheme="minorHAnsi" w:hAnsi="Arial" w:cs="Arial"/>
          <w:sz w:val="22"/>
          <w:szCs w:val="22"/>
        </w:rPr>
      </w:pPr>
      <w:r>
        <w:rPr>
          <w:rFonts w:ascii="Arial" w:hAnsi="Arial" w:cs="Arial"/>
          <w:sz w:val="22"/>
          <w:szCs w:val="22"/>
          <w:lang w:eastAsia="en-GB"/>
        </w:rPr>
        <w:t>T</w:t>
      </w:r>
      <w:r w:rsidR="00255D19" w:rsidRPr="006D7715">
        <w:rPr>
          <w:rFonts w:ascii="Arial" w:hAnsi="Arial" w:cs="Arial"/>
          <w:sz w:val="22"/>
          <w:szCs w:val="22"/>
          <w:lang w:eastAsia="en-GB"/>
        </w:rPr>
        <w:t xml:space="preserve">here is a lack of transparency about the role of the </w:t>
      </w:r>
      <w:r w:rsidR="00255D19" w:rsidRPr="009A098B">
        <w:rPr>
          <w:rFonts w:ascii="Arial" w:eastAsiaTheme="minorHAnsi" w:hAnsi="Arial" w:cs="Arial"/>
          <w:sz w:val="22"/>
          <w:szCs w:val="22"/>
        </w:rPr>
        <w:t xml:space="preserve">UK Special Representative for DWA who has not been mentioned in the FCO’s Annual Human Rights reports before March 2015. </w:t>
      </w:r>
    </w:p>
    <w:p w:rsidR="00255D19" w:rsidRDefault="00255D19" w:rsidP="00255D19">
      <w:pPr>
        <w:shd w:val="clear" w:color="auto" w:fill="FFFFFF"/>
        <w:jc w:val="both"/>
        <w:rPr>
          <w:rFonts w:ascii="Arial" w:eastAsiaTheme="minorHAnsi" w:hAnsi="Arial" w:cs="Arial"/>
          <w:sz w:val="22"/>
          <w:szCs w:val="22"/>
        </w:rPr>
      </w:pPr>
    </w:p>
    <w:p w:rsidR="00255D19" w:rsidRPr="00255D19" w:rsidRDefault="00255D19" w:rsidP="00255D19">
      <w:pPr>
        <w:shd w:val="clear" w:color="auto" w:fill="FFFFFF"/>
        <w:jc w:val="both"/>
        <w:rPr>
          <w:rFonts w:ascii="Arial" w:eastAsia="Malgun Gothic" w:hAnsi="Arial" w:cs="Arial"/>
          <w:kern w:val="2"/>
          <w:sz w:val="22"/>
          <w:szCs w:val="22"/>
          <w:lang w:eastAsia="ko-KR"/>
        </w:rPr>
      </w:pPr>
      <w:r>
        <w:rPr>
          <w:rFonts w:ascii="Arial" w:eastAsiaTheme="minorHAnsi" w:hAnsi="Arial" w:cs="Arial"/>
          <w:sz w:val="22"/>
          <w:szCs w:val="22"/>
        </w:rPr>
        <w:t>1</w:t>
      </w:r>
      <w:r w:rsidR="001A795A">
        <w:rPr>
          <w:rFonts w:ascii="Arial" w:eastAsiaTheme="minorHAnsi" w:hAnsi="Arial" w:cs="Arial"/>
          <w:sz w:val="22"/>
          <w:szCs w:val="22"/>
        </w:rPr>
        <w:t>5</w:t>
      </w:r>
      <w:r>
        <w:rPr>
          <w:rFonts w:ascii="Arial" w:eastAsiaTheme="minorHAnsi" w:hAnsi="Arial" w:cs="Arial"/>
          <w:sz w:val="22"/>
          <w:szCs w:val="22"/>
        </w:rPr>
        <w:t xml:space="preserve">. </w:t>
      </w:r>
      <w:r w:rsidRPr="00255D19">
        <w:rPr>
          <w:rFonts w:ascii="Arial" w:eastAsiaTheme="minorHAnsi" w:hAnsi="Arial" w:cs="Arial"/>
          <w:sz w:val="22"/>
          <w:szCs w:val="22"/>
        </w:rPr>
        <w:t>REDRESS and other NGOs oppose the use of DWAs as being incompatible with the UK’s obligations under the prohibition of torture.</w:t>
      </w:r>
      <w:r w:rsidRPr="00255D19">
        <w:rPr>
          <w:rFonts w:ascii="Arial" w:eastAsiaTheme="minorHAnsi" w:hAnsi="Arial" w:cs="Arial"/>
          <w:sz w:val="22"/>
          <w:szCs w:val="22"/>
          <w:vertAlign w:val="superscript"/>
        </w:rPr>
        <w:footnoteReference w:id="29"/>
      </w:r>
      <w:r w:rsidRPr="00255D19">
        <w:rPr>
          <w:rFonts w:ascii="Arial" w:eastAsiaTheme="minorHAnsi" w:hAnsi="Arial" w:cs="Arial"/>
          <w:sz w:val="22"/>
          <w:szCs w:val="22"/>
        </w:rPr>
        <w:t xml:space="preserve"> This is both before and after </w:t>
      </w:r>
      <w:r w:rsidRPr="00255D19">
        <w:rPr>
          <w:rFonts w:ascii="Arial" w:eastAsia="Malgun Gothic" w:hAnsi="Arial" w:cs="Arial"/>
          <w:kern w:val="2"/>
          <w:sz w:val="22"/>
          <w:szCs w:val="22"/>
          <w:lang w:eastAsia="ko-KR"/>
        </w:rPr>
        <w:t xml:space="preserve">the judgment in </w:t>
      </w:r>
      <w:r w:rsidRPr="00255D19">
        <w:rPr>
          <w:rFonts w:ascii="Arial" w:eastAsia="Malgun Gothic" w:hAnsi="Arial" w:cs="Arial"/>
          <w:i/>
          <w:kern w:val="2"/>
          <w:sz w:val="22"/>
          <w:szCs w:val="22"/>
          <w:lang w:eastAsia="ko-KR"/>
        </w:rPr>
        <w:t>Othman v United Kingdom</w:t>
      </w:r>
      <w:r w:rsidRPr="00255D19">
        <w:rPr>
          <w:rFonts w:ascii="Arial" w:eastAsia="Malgun Gothic" w:hAnsi="Arial" w:cs="Arial"/>
          <w:kern w:val="2"/>
          <w:sz w:val="22"/>
          <w:szCs w:val="22"/>
          <w:vertAlign w:val="superscript"/>
          <w:lang w:eastAsia="ko-KR"/>
        </w:rPr>
        <w:footnoteReference w:id="30"/>
      </w:r>
      <w:r w:rsidRPr="00255D19">
        <w:rPr>
          <w:rFonts w:ascii="Arial" w:eastAsia="Malgun Gothic" w:hAnsi="Arial" w:cs="Arial"/>
          <w:kern w:val="2"/>
          <w:sz w:val="22"/>
          <w:szCs w:val="22"/>
          <w:lang w:eastAsia="ko-KR"/>
        </w:rPr>
        <w:t xml:space="preserve"> in which the </w:t>
      </w:r>
      <w:proofErr w:type="spellStart"/>
      <w:r w:rsidRPr="00255D19">
        <w:rPr>
          <w:rFonts w:ascii="Arial" w:eastAsia="Malgun Gothic" w:hAnsi="Arial" w:cs="Arial"/>
          <w:kern w:val="2"/>
          <w:sz w:val="22"/>
          <w:szCs w:val="22"/>
          <w:lang w:eastAsia="ko-KR"/>
        </w:rPr>
        <w:t>ECtHR</w:t>
      </w:r>
      <w:proofErr w:type="spellEnd"/>
      <w:r w:rsidRPr="00255D19">
        <w:rPr>
          <w:rFonts w:ascii="Arial" w:eastAsia="Malgun Gothic" w:hAnsi="Arial" w:cs="Arial"/>
          <w:kern w:val="2"/>
          <w:sz w:val="22"/>
          <w:szCs w:val="22"/>
          <w:lang w:eastAsia="ko-KR"/>
        </w:rPr>
        <w:t xml:space="preserve"> ruled that the UK would not breach its obligations in that particular case in deporting a terrorist suspect to Jordan on the basis of assurances</w:t>
      </w:r>
      <w:r w:rsidRPr="00255D19">
        <w:rPr>
          <w:rFonts w:ascii="Arial" w:eastAsiaTheme="minorHAnsi" w:hAnsi="Arial" w:cs="Arial"/>
          <w:sz w:val="22"/>
          <w:szCs w:val="22"/>
        </w:rPr>
        <w:t xml:space="preserve">. </w:t>
      </w:r>
      <w:r w:rsidRPr="00255D19">
        <w:rPr>
          <w:rFonts w:ascii="Arial" w:hAnsi="Arial" w:cs="Arial"/>
          <w:sz w:val="22"/>
          <w:szCs w:val="22"/>
        </w:rPr>
        <w:t xml:space="preserve">It is noteworthy that the Committee </w:t>
      </w:r>
      <w:proofErr w:type="gramStart"/>
      <w:r w:rsidRPr="00255D19">
        <w:rPr>
          <w:rFonts w:ascii="Arial" w:hAnsi="Arial" w:cs="Arial"/>
          <w:sz w:val="22"/>
          <w:szCs w:val="22"/>
        </w:rPr>
        <w:t>Against</w:t>
      </w:r>
      <w:proofErr w:type="gramEnd"/>
      <w:r w:rsidRPr="00255D19">
        <w:rPr>
          <w:rFonts w:ascii="Arial" w:hAnsi="Arial" w:cs="Arial"/>
          <w:sz w:val="22"/>
          <w:szCs w:val="22"/>
        </w:rPr>
        <w:t xml:space="preserve"> Torture (CAT) in its concluding observations on the UK’s Fifth State Party Report said in 2013, after </w:t>
      </w:r>
      <w:r w:rsidRPr="00255D19">
        <w:rPr>
          <w:rFonts w:ascii="Arial" w:hAnsi="Arial" w:cs="Arial"/>
          <w:i/>
          <w:sz w:val="22"/>
          <w:szCs w:val="22"/>
        </w:rPr>
        <w:t>Othman</w:t>
      </w:r>
      <w:r w:rsidRPr="00255D19">
        <w:rPr>
          <w:rFonts w:ascii="Arial" w:hAnsi="Arial" w:cs="Arial"/>
          <w:sz w:val="22"/>
          <w:szCs w:val="22"/>
        </w:rPr>
        <w:t>, that it “</w:t>
      </w:r>
      <w:r w:rsidRPr="00255D19">
        <w:rPr>
          <w:rFonts w:ascii="Arial" w:eastAsia="Malgun Gothic" w:hAnsi="Arial" w:cs="Arial"/>
          <w:kern w:val="2"/>
          <w:sz w:val="22"/>
          <w:szCs w:val="22"/>
          <w:lang w:eastAsia="ko-KR"/>
        </w:rPr>
        <w:t>considers that diplomatic assurances are unreliable and ineffective and should not be used as an instrument to modify the determination of the [Torture] Convention.”</w:t>
      </w:r>
      <w:r w:rsidRPr="00255D19">
        <w:rPr>
          <w:rFonts w:ascii="Arial" w:eastAsia="Malgun Gothic" w:hAnsi="Arial" w:cs="Arial"/>
          <w:kern w:val="2"/>
          <w:sz w:val="22"/>
          <w:szCs w:val="22"/>
          <w:vertAlign w:val="superscript"/>
          <w:lang w:eastAsia="ko-KR"/>
        </w:rPr>
        <w:footnoteReference w:id="31"/>
      </w:r>
    </w:p>
    <w:p w:rsidR="00255D19" w:rsidRPr="00255D19" w:rsidRDefault="00255D19" w:rsidP="00255D19">
      <w:pPr>
        <w:suppressAutoHyphens/>
        <w:jc w:val="both"/>
        <w:rPr>
          <w:rFonts w:ascii="Arial" w:eastAsia="Malgun Gothic" w:hAnsi="Arial" w:cs="Arial"/>
          <w:kern w:val="2"/>
          <w:sz w:val="22"/>
          <w:szCs w:val="22"/>
          <w:lang w:val="en-US" w:eastAsia="ko-KR"/>
        </w:rPr>
      </w:pPr>
    </w:p>
    <w:p w:rsidR="00255D19" w:rsidRPr="00255D19" w:rsidRDefault="00255D19" w:rsidP="00255D19">
      <w:pPr>
        <w:suppressAutoHyphens/>
        <w:jc w:val="both"/>
        <w:rPr>
          <w:rFonts w:ascii="Arial" w:eastAsia="Calibri" w:hAnsi="Arial" w:cs="Arial"/>
          <w:sz w:val="22"/>
          <w:szCs w:val="22"/>
          <w:lang w:val="en-US"/>
        </w:rPr>
      </w:pPr>
      <w:r w:rsidRPr="00255D19">
        <w:rPr>
          <w:rFonts w:ascii="Arial" w:eastAsia="Malgun Gothic" w:hAnsi="Arial" w:cs="Arial"/>
          <w:kern w:val="2"/>
          <w:sz w:val="22"/>
          <w:szCs w:val="22"/>
          <w:lang w:val="en-US" w:eastAsia="ko-KR"/>
        </w:rPr>
        <w:t>1</w:t>
      </w:r>
      <w:r w:rsidR="001A795A">
        <w:rPr>
          <w:rFonts w:ascii="Arial" w:eastAsia="Malgun Gothic" w:hAnsi="Arial" w:cs="Arial"/>
          <w:kern w:val="2"/>
          <w:sz w:val="22"/>
          <w:szCs w:val="22"/>
          <w:lang w:val="en-US" w:eastAsia="ko-KR"/>
        </w:rPr>
        <w:t>6</w:t>
      </w:r>
      <w:r w:rsidRPr="00255D19">
        <w:rPr>
          <w:rFonts w:ascii="Arial" w:eastAsia="Malgun Gothic" w:hAnsi="Arial" w:cs="Arial"/>
          <w:kern w:val="2"/>
          <w:sz w:val="22"/>
          <w:szCs w:val="22"/>
          <w:lang w:val="en-US" w:eastAsia="ko-KR"/>
        </w:rPr>
        <w:t xml:space="preserve">. </w:t>
      </w:r>
      <w:r w:rsidR="00F9799C">
        <w:rPr>
          <w:rFonts w:ascii="Arial" w:eastAsia="Malgun Gothic" w:hAnsi="Arial" w:cs="Arial"/>
          <w:kern w:val="2"/>
          <w:sz w:val="22"/>
          <w:szCs w:val="22"/>
          <w:lang w:val="en-US" w:eastAsia="ko-KR"/>
        </w:rPr>
        <w:t>REDRESS submits that t</w:t>
      </w:r>
      <w:r w:rsidRPr="00255D19">
        <w:rPr>
          <w:rFonts w:ascii="Arial" w:eastAsia="Malgun Gothic" w:hAnsi="Arial" w:cs="Arial"/>
          <w:kern w:val="2"/>
          <w:sz w:val="22"/>
          <w:szCs w:val="22"/>
          <w:lang w:val="en-US" w:eastAsia="ko-KR"/>
        </w:rPr>
        <w:t>he principled way to deal with foreign nationals or stateless persons who are terrorist suspects within the UK’s jurisdiction is not to try to bend the non</w:t>
      </w:r>
      <w:r w:rsidRPr="00255D19">
        <w:rPr>
          <w:rFonts w:ascii="Arial" w:eastAsia="Malgun Gothic" w:hAnsi="Arial" w:cs="Arial"/>
          <w:i/>
          <w:kern w:val="2"/>
          <w:sz w:val="22"/>
          <w:szCs w:val="22"/>
          <w:lang w:val="en-US" w:eastAsia="ko-KR"/>
        </w:rPr>
        <w:t>-</w:t>
      </w:r>
      <w:r w:rsidRPr="00255D19">
        <w:rPr>
          <w:rFonts w:ascii="Arial" w:eastAsia="Malgun Gothic" w:hAnsi="Arial" w:cs="Arial"/>
          <w:i/>
          <w:kern w:val="2"/>
          <w:sz w:val="22"/>
          <w:szCs w:val="22"/>
          <w:lang w:val="en-US" w:eastAsia="ko-KR"/>
        </w:rPr>
        <w:lastRenderedPageBreak/>
        <w:t>refoulement</w:t>
      </w:r>
      <w:r w:rsidRPr="00255D19">
        <w:rPr>
          <w:rFonts w:ascii="Arial" w:eastAsia="Malgun Gothic" w:hAnsi="Arial" w:cs="Arial"/>
          <w:kern w:val="2"/>
          <w:sz w:val="22"/>
          <w:szCs w:val="22"/>
          <w:lang w:val="en-US" w:eastAsia="ko-KR"/>
        </w:rPr>
        <w:t xml:space="preserve"> rule to near breaking-point, but to prosecute them in the UK.</w:t>
      </w:r>
      <w:r w:rsidRPr="00255D19">
        <w:rPr>
          <w:rFonts w:ascii="Arial" w:eastAsia="Malgun Gothic" w:hAnsi="Arial" w:cs="Arial"/>
          <w:kern w:val="2"/>
          <w:sz w:val="22"/>
          <w:szCs w:val="22"/>
          <w:vertAlign w:val="superscript"/>
          <w:lang w:val="en-US" w:eastAsia="ko-KR"/>
        </w:rPr>
        <w:footnoteReference w:id="32"/>
      </w:r>
      <w:r w:rsidRPr="00255D19">
        <w:rPr>
          <w:rFonts w:ascii="Arial" w:eastAsia="Malgun Gothic" w:hAnsi="Arial" w:cs="Arial"/>
          <w:kern w:val="2"/>
          <w:sz w:val="22"/>
          <w:szCs w:val="22"/>
          <w:lang w:val="en-US" w:eastAsia="ko-KR"/>
        </w:rPr>
        <w:t xml:space="preserve">  Further, a </w:t>
      </w:r>
      <w:r w:rsidRPr="00255D19">
        <w:rPr>
          <w:rFonts w:ascii="Arial" w:eastAsia="Calibri" w:hAnsi="Arial" w:cs="Arial"/>
          <w:sz w:val="22"/>
          <w:szCs w:val="22"/>
          <w:lang w:val="en-US"/>
        </w:rPr>
        <w:t>willingness to engage with States with questionable human rights records may adversely impact on the UK’s ability to raise concerns with them over their use of torture, both generally and in specific instances.</w:t>
      </w:r>
    </w:p>
    <w:p w:rsidR="00255D19" w:rsidRPr="00255D19" w:rsidRDefault="00255D19" w:rsidP="00255D19">
      <w:pPr>
        <w:suppressAutoHyphens/>
        <w:jc w:val="both"/>
        <w:rPr>
          <w:rFonts w:ascii="Arial" w:eastAsia="Calibri" w:hAnsi="Arial" w:cs="Arial"/>
          <w:sz w:val="22"/>
          <w:szCs w:val="22"/>
          <w:lang w:val="en-US"/>
        </w:rPr>
      </w:pPr>
    </w:p>
    <w:p w:rsidR="00255D19" w:rsidRPr="00255D19" w:rsidRDefault="00255D19" w:rsidP="00255D19">
      <w:pPr>
        <w:suppressAutoHyphens/>
        <w:jc w:val="both"/>
        <w:rPr>
          <w:rFonts w:ascii="Arial" w:hAnsi="Arial" w:cs="Arial"/>
          <w:b/>
          <w:sz w:val="22"/>
          <w:szCs w:val="22"/>
        </w:rPr>
      </w:pPr>
      <w:r w:rsidRPr="00255D19">
        <w:rPr>
          <w:rFonts w:ascii="Arial" w:eastAsia="Calibri" w:hAnsi="Arial" w:cs="Arial"/>
          <w:sz w:val="22"/>
          <w:szCs w:val="22"/>
          <w:lang w:val="en-US"/>
        </w:rPr>
        <w:t>1</w:t>
      </w:r>
      <w:r w:rsidR="001A795A">
        <w:rPr>
          <w:rFonts w:ascii="Arial" w:eastAsia="Calibri" w:hAnsi="Arial" w:cs="Arial"/>
          <w:sz w:val="22"/>
          <w:szCs w:val="22"/>
          <w:lang w:val="en-US"/>
        </w:rPr>
        <w:t>7</w:t>
      </w:r>
      <w:r w:rsidRPr="00255D19">
        <w:rPr>
          <w:rFonts w:ascii="Arial" w:eastAsia="Calibri" w:hAnsi="Arial" w:cs="Arial"/>
          <w:sz w:val="22"/>
          <w:szCs w:val="22"/>
          <w:lang w:val="en-US"/>
        </w:rPr>
        <w:t xml:space="preserve">. </w:t>
      </w:r>
      <w:r w:rsidRPr="00255D19">
        <w:rPr>
          <w:rFonts w:ascii="Arial" w:eastAsia="Malgun Gothic" w:hAnsi="Arial" w:cs="Arial"/>
          <w:kern w:val="2"/>
          <w:sz w:val="22"/>
          <w:szCs w:val="22"/>
          <w:lang w:val="en-US" w:eastAsia="ko-KR"/>
        </w:rPr>
        <w:t xml:space="preserve">We submit, therefore, that the UK should be asked to revisit the use of DWA in the formation of an over-arching anti-torture </w:t>
      </w:r>
      <w:r w:rsidR="00A722D6">
        <w:rPr>
          <w:rFonts w:ascii="Arial" w:eastAsia="Malgun Gothic" w:hAnsi="Arial" w:cs="Arial"/>
          <w:kern w:val="2"/>
          <w:sz w:val="22"/>
          <w:szCs w:val="22"/>
          <w:lang w:val="en-US" w:eastAsia="ko-KR"/>
        </w:rPr>
        <w:t>policy</w:t>
      </w:r>
      <w:r w:rsidRPr="00255D19">
        <w:rPr>
          <w:rFonts w:ascii="Arial" w:eastAsia="Malgun Gothic" w:hAnsi="Arial" w:cs="Arial"/>
          <w:kern w:val="2"/>
          <w:sz w:val="22"/>
          <w:szCs w:val="22"/>
          <w:lang w:val="en-US" w:eastAsia="ko-KR"/>
        </w:rPr>
        <w:t xml:space="preserve">, as submitted in </w:t>
      </w:r>
      <w:r w:rsidRPr="00D23734">
        <w:rPr>
          <w:rFonts w:ascii="Arial" w:eastAsia="Malgun Gothic" w:hAnsi="Arial" w:cs="Arial"/>
          <w:kern w:val="2"/>
          <w:sz w:val="22"/>
          <w:szCs w:val="22"/>
          <w:lang w:val="en-US" w:eastAsia="ko-KR"/>
        </w:rPr>
        <w:t>paragraph</w:t>
      </w:r>
      <w:r w:rsidR="00A722D6" w:rsidRPr="00D23734">
        <w:rPr>
          <w:rFonts w:ascii="Arial" w:eastAsia="Malgun Gothic" w:hAnsi="Arial" w:cs="Arial"/>
          <w:kern w:val="2"/>
          <w:sz w:val="22"/>
          <w:szCs w:val="22"/>
          <w:lang w:val="en-US" w:eastAsia="ko-KR"/>
        </w:rPr>
        <w:t xml:space="preserve"> 3</w:t>
      </w:r>
      <w:r w:rsidR="001D0A5E">
        <w:rPr>
          <w:rFonts w:ascii="Arial" w:eastAsia="Malgun Gothic" w:hAnsi="Arial" w:cs="Arial"/>
          <w:kern w:val="2"/>
          <w:sz w:val="22"/>
          <w:szCs w:val="22"/>
          <w:lang w:val="en-US" w:eastAsia="ko-KR"/>
        </w:rPr>
        <w:t>0-31</w:t>
      </w:r>
      <w:r w:rsidRPr="00D23734">
        <w:rPr>
          <w:rFonts w:ascii="Arial" w:eastAsia="Malgun Gothic" w:hAnsi="Arial" w:cs="Arial"/>
          <w:kern w:val="2"/>
          <w:sz w:val="22"/>
          <w:szCs w:val="22"/>
          <w:lang w:val="en-US" w:eastAsia="ko-KR"/>
        </w:rPr>
        <w:t xml:space="preserve"> below.</w:t>
      </w:r>
    </w:p>
    <w:p w:rsidR="00255D19" w:rsidRPr="00255D19" w:rsidRDefault="00255D19" w:rsidP="00255D19">
      <w:pPr>
        <w:shd w:val="clear" w:color="auto" w:fill="FFFFFF"/>
        <w:jc w:val="both"/>
        <w:textAlignment w:val="baseline"/>
        <w:rPr>
          <w:rFonts w:ascii="Arial" w:hAnsi="Arial" w:cs="Arial"/>
          <w:b/>
          <w:sz w:val="22"/>
          <w:szCs w:val="22"/>
        </w:rPr>
      </w:pPr>
    </w:p>
    <w:p w:rsidR="000A65D0" w:rsidRPr="000A65D0" w:rsidRDefault="000A65D0" w:rsidP="000A65D0">
      <w:pPr>
        <w:numPr>
          <w:ilvl w:val="0"/>
          <w:numId w:val="14"/>
        </w:numPr>
        <w:shd w:val="clear" w:color="auto" w:fill="FFFFFF"/>
        <w:ind w:left="0" w:firstLine="0"/>
        <w:contextualSpacing/>
        <w:jc w:val="both"/>
        <w:textAlignment w:val="baseline"/>
        <w:rPr>
          <w:rFonts w:ascii="Arial" w:hAnsi="Arial" w:cs="Arial"/>
          <w:b/>
          <w:sz w:val="22"/>
          <w:szCs w:val="22"/>
        </w:rPr>
      </w:pPr>
      <w:r w:rsidRPr="000A65D0">
        <w:rPr>
          <w:rFonts w:ascii="Arial" w:hAnsi="Arial" w:cs="Arial"/>
          <w:b/>
          <w:sz w:val="22"/>
          <w:szCs w:val="22"/>
        </w:rPr>
        <w:t>ALLEGATIONS OF USE OF TORTURE AND DEGRADING TREATMENT BY UK ARMED FORCES (paragraphs 562-566 of the State Party report)</w:t>
      </w:r>
    </w:p>
    <w:p w:rsidR="000A65D0" w:rsidRPr="000A65D0" w:rsidRDefault="000A65D0" w:rsidP="000A65D0">
      <w:pPr>
        <w:shd w:val="clear" w:color="auto" w:fill="FFFFFF"/>
        <w:jc w:val="both"/>
        <w:textAlignment w:val="baseline"/>
        <w:rPr>
          <w:rFonts w:ascii="Arial" w:hAnsi="Arial" w:cs="Arial"/>
          <w:b/>
          <w:sz w:val="22"/>
          <w:szCs w:val="22"/>
        </w:rPr>
      </w:pPr>
    </w:p>
    <w:p w:rsidR="000A65D0" w:rsidRPr="000A65D0" w:rsidRDefault="006730E5" w:rsidP="000A65D0">
      <w:pPr>
        <w:shd w:val="clear" w:color="auto" w:fill="FFFFFF"/>
        <w:jc w:val="both"/>
        <w:textAlignment w:val="baseline"/>
        <w:rPr>
          <w:rFonts w:ascii="Arial" w:hAnsi="Arial" w:cs="Arial"/>
          <w:sz w:val="22"/>
          <w:szCs w:val="22"/>
        </w:rPr>
      </w:pPr>
      <w:r>
        <w:rPr>
          <w:rFonts w:ascii="Arial" w:hAnsi="Arial" w:cs="Arial"/>
          <w:sz w:val="22"/>
          <w:szCs w:val="22"/>
        </w:rPr>
        <w:t>1</w:t>
      </w:r>
      <w:r w:rsidR="00D467D8">
        <w:rPr>
          <w:rFonts w:ascii="Arial" w:hAnsi="Arial" w:cs="Arial"/>
          <w:sz w:val="22"/>
          <w:szCs w:val="22"/>
        </w:rPr>
        <w:t>8</w:t>
      </w:r>
      <w:r w:rsidR="000A65D0" w:rsidRPr="000A65D0">
        <w:rPr>
          <w:rFonts w:ascii="Arial" w:hAnsi="Arial" w:cs="Arial"/>
          <w:sz w:val="22"/>
          <w:szCs w:val="22"/>
        </w:rPr>
        <w:t xml:space="preserve">. The UK Government </w:t>
      </w:r>
      <w:r w:rsidR="00F9799C">
        <w:rPr>
          <w:rFonts w:ascii="Arial" w:hAnsi="Arial" w:cs="Arial"/>
          <w:sz w:val="22"/>
          <w:szCs w:val="22"/>
        </w:rPr>
        <w:t>states</w:t>
      </w:r>
      <w:r w:rsidR="00F9799C" w:rsidRPr="000A65D0">
        <w:rPr>
          <w:rFonts w:ascii="Arial" w:hAnsi="Arial" w:cs="Arial"/>
          <w:sz w:val="22"/>
          <w:szCs w:val="22"/>
        </w:rPr>
        <w:t xml:space="preserve"> </w:t>
      </w:r>
      <w:r w:rsidR="000A65D0" w:rsidRPr="000A65D0">
        <w:rPr>
          <w:rFonts w:ascii="Arial" w:hAnsi="Arial" w:cs="Arial"/>
          <w:sz w:val="22"/>
          <w:szCs w:val="22"/>
        </w:rPr>
        <w:t>that its I</w:t>
      </w:r>
      <w:r>
        <w:rPr>
          <w:rFonts w:ascii="Arial" w:hAnsi="Arial" w:cs="Arial"/>
          <w:sz w:val="22"/>
          <w:szCs w:val="22"/>
        </w:rPr>
        <w:t>raq Historic Allegations Team (IHAT)</w:t>
      </w:r>
      <w:r w:rsidR="000A65D0" w:rsidRPr="000A65D0">
        <w:rPr>
          <w:rFonts w:ascii="Arial" w:hAnsi="Arial" w:cs="Arial"/>
          <w:sz w:val="22"/>
          <w:szCs w:val="22"/>
        </w:rPr>
        <w:t xml:space="preserve"> mechanism established in 2010 is now investigating the allegations of serious human rights violations such as torture committed by UK armed forces in Iraq. While</w:t>
      </w:r>
      <w:r w:rsidR="000A65D0" w:rsidRPr="000A65D0">
        <w:rPr>
          <w:rFonts w:ascii="Arial" w:eastAsiaTheme="minorHAnsi" w:hAnsi="Arial" w:cs="Arial"/>
          <w:sz w:val="22"/>
          <w:szCs w:val="22"/>
        </w:rPr>
        <w:t xml:space="preserve"> most of these allegations relate to the armed forces, there are also other allegations such as renditions which may have involved the security agencies too.</w:t>
      </w:r>
    </w:p>
    <w:p w:rsidR="000A65D0" w:rsidRPr="000A65D0" w:rsidRDefault="000A65D0" w:rsidP="000A65D0">
      <w:pPr>
        <w:autoSpaceDE w:val="0"/>
        <w:autoSpaceDN w:val="0"/>
        <w:adjustRightInd w:val="0"/>
        <w:spacing w:line="276" w:lineRule="auto"/>
        <w:jc w:val="both"/>
        <w:rPr>
          <w:rFonts w:ascii="Arial" w:eastAsiaTheme="minorHAnsi" w:hAnsi="Arial" w:cs="Arial"/>
          <w:sz w:val="22"/>
          <w:szCs w:val="22"/>
        </w:rPr>
      </w:pPr>
    </w:p>
    <w:p w:rsidR="000A65D0" w:rsidRPr="000A65D0" w:rsidRDefault="00D467D8" w:rsidP="000A65D0">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19</w:t>
      </w:r>
      <w:r w:rsidR="000A65D0" w:rsidRPr="000A65D0">
        <w:rPr>
          <w:rFonts w:ascii="Arial" w:eastAsiaTheme="minorHAnsi" w:hAnsi="Arial" w:cs="Arial"/>
          <w:sz w:val="22"/>
          <w:szCs w:val="22"/>
        </w:rPr>
        <w:t xml:space="preserve">. The current investigatory process is complicated, drawn-out and lacking in transparency and effective coordination, even without considering any interaction between the military and security branches of the State. There are now three distinct but related arenas in which matters are unfolding: </w:t>
      </w:r>
      <w:r w:rsidR="001A795A">
        <w:rPr>
          <w:rFonts w:ascii="Arial" w:eastAsiaTheme="minorHAnsi" w:hAnsi="Arial" w:cs="Arial"/>
          <w:sz w:val="22"/>
          <w:szCs w:val="22"/>
        </w:rPr>
        <w:t xml:space="preserve">the </w:t>
      </w:r>
      <w:r w:rsidR="000A65D0" w:rsidRPr="000A65D0">
        <w:rPr>
          <w:rFonts w:ascii="Arial" w:eastAsiaTheme="minorHAnsi" w:hAnsi="Arial" w:cs="Arial"/>
          <w:sz w:val="22"/>
          <w:szCs w:val="22"/>
        </w:rPr>
        <w:t>I</w:t>
      </w:r>
      <w:r w:rsidR="001A795A">
        <w:rPr>
          <w:rFonts w:ascii="Arial" w:eastAsiaTheme="minorHAnsi" w:hAnsi="Arial" w:cs="Arial"/>
          <w:sz w:val="22"/>
          <w:szCs w:val="22"/>
        </w:rPr>
        <w:t xml:space="preserve">raq </w:t>
      </w:r>
      <w:r w:rsidR="000A65D0" w:rsidRPr="000A65D0">
        <w:rPr>
          <w:rFonts w:ascii="Arial" w:eastAsiaTheme="minorHAnsi" w:hAnsi="Arial" w:cs="Arial"/>
          <w:sz w:val="22"/>
          <w:szCs w:val="22"/>
        </w:rPr>
        <w:t>H</w:t>
      </w:r>
      <w:r w:rsidR="001A795A">
        <w:rPr>
          <w:rFonts w:ascii="Arial" w:eastAsiaTheme="minorHAnsi" w:hAnsi="Arial" w:cs="Arial"/>
          <w:sz w:val="22"/>
          <w:szCs w:val="22"/>
        </w:rPr>
        <w:t xml:space="preserve">istorical </w:t>
      </w:r>
      <w:r w:rsidR="000A65D0" w:rsidRPr="000A65D0">
        <w:rPr>
          <w:rFonts w:ascii="Arial" w:eastAsiaTheme="minorHAnsi" w:hAnsi="Arial" w:cs="Arial"/>
          <w:sz w:val="22"/>
          <w:szCs w:val="22"/>
        </w:rPr>
        <w:t>A</w:t>
      </w:r>
      <w:r w:rsidR="001A795A">
        <w:rPr>
          <w:rFonts w:ascii="Arial" w:eastAsiaTheme="minorHAnsi" w:hAnsi="Arial" w:cs="Arial"/>
          <w:sz w:val="22"/>
          <w:szCs w:val="22"/>
        </w:rPr>
        <w:t xml:space="preserve">llegation </w:t>
      </w:r>
      <w:r w:rsidR="000A65D0" w:rsidRPr="000A65D0">
        <w:rPr>
          <w:rFonts w:ascii="Arial" w:eastAsiaTheme="minorHAnsi" w:hAnsi="Arial" w:cs="Arial"/>
          <w:sz w:val="22"/>
          <w:szCs w:val="22"/>
        </w:rPr>
        <w:t>T</w:t>
      </w:r>
      <w:r w:rsidR="001A795A">
        <w:rPr>
          <w:rFonts w:ascii="Arial" w:eastAsiaTheme="minorHAnsi" w:hAnsi="Arial" w:cs="Arial"/>
          <w:sz w:val="22"/>
          <w:szCs w:val="22"/>
        </w:rPr>
        <w:t>eam (IHAT)</w:t>
      </w:r>
      <w:r w:rsidR="000A65D0" w:rsidRPr="000A65D0">
        <w:rPr>
          <w:rFonts w:ascii="Arial" w:eastAsiaTheme="minorHAnsi" w:hAnsi="Arial" w:cs="Arial"/>
          <w:sz w:val="22"/>
          <w:szCs w:val="22"/>
        </w:rPr>
        <w:t xml:space="preserve"> established in 2010; domestic (and </w:t>
      </w:r>
      <w:proofErr w:type="spellStart"/>
      <w:r w:rsidR="000A65D0" w:rsidRPr="000A65D0">
        <w:rPr>
          <w:rFonts w:ascii="Arial" w:eastAsiaTheme="minorHAnsi" w:hAnsi="Arial" w:cs="Arial"/>
          <w:sz w:val="22"/>
          <w:szCs w:val="22"/>
        </w:rPr>
        <w:t>ECtHR</w:t>
      </w:r>
      <w:proofErr w:type="spellEnd"/>
      <w:r w:rsidR="000A65D0" w:rsidRPr="000A65D0">
        <w:rPr>
          <w:rFonts w:ascii="Arial" w:eastAsiaTheme="minorHAnsi" w:hAnsi="Arial" w:cs="Arial"/>
          <w:sz w:val="22"/>
          <w:szCs w:val="22"/>
        </w:rPr>
        <w:t>) litigation relating to IHAT but also other cases from Iraq; the ICC, since January 2014.</w:t>
      </w:r>
    </w:p>
    <w:p w:rsidR="000A65D0" w:rsidRPr="000A65D0" w:rsidRDefault="000A65D0" w:rsidP="000A65D0">
      <w:pPr>
        <w:autoSpaceDE w:val="0"/>
        <w:autoSpaceDN w:val="0"/>
        <w:adjustRightInd w:val="0"/>
        <w:spacing w:line="276" w:lineRule="auto"/>
        <w:jc w:val="both"/>
        <w:rPr>
          <w:rFonts w:ascii="Arial" w:eastAsiaTheme="minorHAnsi" w:hAnsi="Arial" w:cs="Arial"/>
          <w:sz w:val="22"/>
          <w:szCs w:val="22"/>
        </w:rPr>
      </w:pPr>
    </w:p>
    <w:p w:rsidR="0093514A" w:rsidRDefault="000A65D0" w:rsidP="000A65D0">
      <w:pPr>
        <w:spacing w:after="200"/>
        <w:jc w:val="both"/>
        <w:rPr>
          <w:rFonts w:ascii="Arial" w:eastAsiaTheme="minorHAnsi" w:hAnsi="Arial" w:cs="Arial"/>
          <w:sz w:val="22"/>
          <w:szCs w:val="22"/>
        </w:rPr>
      </w:pPr>
      <w:r w:rsidRPr="000A65D0">
        <w:rPr>
          <w:rFonts w:ascii="Arial" w:eastAsiaTheme="minorHAnsi" w:hAnsi="Arial" w:cs="Arial"/>
          <w:sz w:val="22"/>
          <w:szCs w:val="22"/>
        </w:rPr>
        <w:t>2</w:t>
      </w:r>
      <w:r w:rsidR="00D467D8">
        <w:rPr>
          <w:rFonts w:ascii="Arial" w:eastAsiaTheme="minorHAnsi" w:hAnsi="Arial" w:cs="Arial"/>
          <w:sz w:val="22"/>
          <w:szCs w:val="22"/>
        </w:rPr>
        <w:t>0</w:t>
      </w:r>
      <w:r w:rsidRPr="000A65D0">
        <w:rPr>
          <w:rFonts w:ascii="Arial" w:eastAsiaTheme="minorHAnsi" w:hAnsi="Arial" w:cs="Arial"/>
          <w:sz w:val="22"/>
          <w:szCs w:val="22"/>
        </w:rPr>
        <w:t xml:space="preserve">. </w:t>
      </w:r>
      <w:r w:rsidRPr="0093514A">
        <w:rPr>
          <w:rFonts w:ascii="Arial" w:eastAsiaTheme="minorHAnsi" w:hAnsi="Arial" w:cs="Arial"/>
          <w:color w:val="333333"/>
          <w:sz w:val="22"/>
          <w:szCs w:val="22"/>
          <w:lang w:val="en"/>
        </w:rPr>
        <w:t>Two groups of cases have con</w:t>
      </w:r>
      <w:r w:rsidR="00F9799C">
        <w:rPr>
          <w:rFonts w:ascii="Arial" w:eastAsiaTheme="minorHAnsi" w:hAnsi="Arial" w:cs="Arial"/>
          <w:color w:val="333333"/>
          <w:sz w:val="22"/>
          <w:szCs w:val="22"/>
          <w:lang w:val="en"/>
        </w:rPr>
        <w:t>sidered</w:t>
      </w:r>
      <w:r w:rsidRPr="0093514A">
        <w:rPr>
          <w:rFonts w:ascii="Arial" w:eastAsiaTheme="minorHAnsi" w:hAnsi="Arial" w:cs="Arial"/>
          <w:color w:val="333333"/>
          <w:sz w:val="22"/>
          <w:szCs w:val="22"/>
          <w:lang w:val="en"/>
        </w:rPr>
        <w:t xml:space="preserve"> these issues: Ali </w:t>
      </w:r>
      <w:proofErr w:type="spellStart"/>
      <w:r w:rsidRPr="0093514A">
        <w:rPr>
          <w:rFonts w:ascii="Arial" w:eastAsiaTheme="minorHAnsi" w:hAnsi="Arial" w:cs="Arial"/>
          <w:color w:val="333333"/>
          <w:sz w:val="22"/>
          <w:szCs w:val="22"/>
          <w:lang w:val="en"/>
        </w:rPr>
        <w:t>Zaki</w:t>
      </w:r>
      <w:proofErr w:type="spellEnd"/>
      <w:r w:rsidRPr="0093514A">
        <w:rPr>
          <w:rFonts w:ascii="Arial" w:eastAsiaTheme="minorHAnsi" w:hAnsi="Arial" w:cs="Arial"/>
          <w:color w:val="333333"/>
          <w:sz w:val="22"/>
          <w:szCs w:val="22"/>
          <w:lang w:val="en"/>
        </w:rPr>
        <w:t xml:space="preserve"> </w:t>
      </w:r>
      <w:proofErr w:type="spellStart"/>
      <w:r w:rsidRPr="0093514A">
        <w:rPr>
          <w:rFonts w:ascii="Arial" w:eastAsiaTheme="minorHAnsi" w:hAnsi="Arial" w:cs="Arial"/>
          <w:color w:val="333333"/>
          <w:sz w:val="22"/>
          <w:szCs w:val="22"/>
          <w:lang w:val="en"/>
        </w:rPr>
        <w:t>Mousa</w:t>
      </w:r>
      <w:proofErr w:type="spellEnd"/>
      <w:r w:rsidRPr="0093514A">
        <w:rPr>
          <w:rFonts w:ascii="Arial" w:eastAsiaTheme="minorHAnsi" w:hAnsi="Arial" w:cs="Arial"/>
          <w:color w:val="333333"/>
          <w:sz w:val="22"/>
          <w:szCs w:val="22"/>
          <w:lang w:val="en"/>
        </w:rPr>
        <w:t>,</w:t>
      </w:r>
      <w:r w:rsidRPr="0093514A">
        <w:rPr>
          <w:rFonts w:ascii="Arial" w:eastAsiaTheme="minorHAnsi" w:hAnsi="Arial" w:cs="Arial"/>
          <w:i/>
          <w:sz w:val="22"/>
          <w:szCs w:val="22"/>
          <w:vertAlign w:val="superscript"/>
        </w:rPr>
        <w:footnoteReference w:id="33"/>
      </w:r>
      <w:r w:rsidRPr="0093514A">
        <w:rPr>
          <w:rFonts w:ascii="Arial" w:eastAsiaTheme="minorHAnsi" w:hAnsi="Arial" w:cs="Arial"/>
          <w:color w:val="333333"/>
          <w:sz w:val="22"/>
          <w:szCs w:val="22"/>
          <w:lang w:val="en"/>
        </w:rPr>
        <w:t xml:space="preserve"> and Al </w:t>
      </w:r>
      <w:proofErr w:type="spellStart"/>
      <w:r w:rsidRPr="0093514A">
        <w:rPr>
          <w:rFonts w:ascii="Arial" w:eastAsiaTheme="minorHAnsi" w:hAnsi="Arial" w:cs="Arial"/>
          <w:color w:val="333333"/>
          <w:sz w:val="22"/>
          <w:szCs w:val="22"/>
          <w:lang w:val="en"/>
        </w:rPr>
        <w:t>Saadoon</w:t>
      </w:r>
      <w:proofErr w:type="spellEnd"/>
      <w:r w:rsidRPr="0093514A">
        <w:rPr>
          <w:rFonts w:ascii="Arial" w:eastAsiaTheme="minorHAnsi" w:hAnsi="Arial" w:cs="Arial"/>
          <w:color w:val="333333"/>
          <w:sz w:val="22"/>
          <w:szCs w:val="22"/>
          <w:lang w:val="en"/>
        </w:rPr>
        <w:t>.</w:t>
      </w:r>
      <w:r w:rsidRPr="0093514A">
        <w:rPr>
          <w:rFonts w:ascii="Arial" w:eastAsiaTheme="minorHAnsi" w:hAnsi="Arial" w:cs="Arial"/>
          <w:color w:val="333333"/>
          <w:sz w:val="22"/>
          <w:szCs w:val="22"/>
          <w:vertAlign w:val="superscript"/>
          <w:lang w:val="en"/>
        </w:rPr>
        <w:footnoteReference w:id="34"/>
      </w:r>
      <w:r w:rsidRPr="0093514A">
        <w:rPr>
          <w:rFonts w:ascii="Arial" w:eastAsiaTheme="minorHAnsi" w:hAnsi="Arial" w:cs="Arial"/>
          <w:color w:val="333333"/>
          <w:sz w:val="22"/>
          <w:szCs w:val="22"/>
          <w:lang w:val="en"/>
        </w:rPr>
        <w:t xml:space="preserve"> </w:t>
      </w:r>
      <w:r w:rsidR="0093514A" w:rsidRPr="0093514A">
        <w:rPr>
          <w:rFonts w:ascii="Arial" w:eastAsiaTheme="minorHAnsi" w:hAnsi="Arial" w:cs="Arial"/>
          <w:sz w:val="22"/>
          <w:szCs w:val="22"/>
        </w:rPr>
        <w:t xml:space="preserve"> In a series of cases </w:t>
      </w:r>
      <w:r w:rsidR="0093514A" w:rsidRPr="0093514A">
        <w:rPr>
          <w:rFonts w:ascii="Arial" w:eastAsiaTheme="minorHAnsi" w:hAnsi="Arial" w:cs="Arial"/>
          <w:i/>
          <w:sz w:val="22"/>
          <w:szCs w:val="22"/>
        </w:rPr>
        <w:t xml:space="preserve">Ali </w:t>
      </w:r>
      <w:proofErr w:type="spellStart"/>
      <w:r w:rsidR="0093514A" w:rsidRPr="0093514A">
        <w:rPr>
          <w:rFonts w:ascii="Arial" w:eastAsiaTheme="minorHAnsi" w:hAnsi="Arial" w:cs="Arial"/>
          <w:i/>
          <w:sz w:val="22"/>
          <w:szCs w:val="22"/>
        </w:rPr>
        <w:t>Zaki</w:t>
      </w:r>
      <w:proofErr w:type="spellEnd"/>
      <w:r w:rsidR="0093514A" w:rsidRPr="0093514A">
        <w:rPr>
          <w:rFonts w:ascii="Arial" w:eastAsiaTheme="minorHAnsi" w:hAnsi="Arial" w:cs="Arial"/>
          <w:i/>
          <w:sz w:val="22"/>
          <w:szCs w:val="22"/>
        </w:rPr>
        <w:t xml:space="preserve"> </w:t>
      </w:r>
      <w:proofErr w:type="spellStart"/>
      <w:r w:rsidR="0093514A" w:rsidRPr="0093514A">
        <w:rPr>
          <w:rFonts w:ascii="Arial" w:eastAsiaTheme="minorHAnsi" w:hAnsi="Arial" w:cs="Arial"/>
          <w:i/>
          <w:sz w:val="22"/>
          <w:szCs w:val="22"/>
        </w:rPr>
        <w:t>Mousa</w:t>
      </w:r>
      <w:proofErr w:type="spellEnd"/>
      <w:r w:rsidR="0093514A" w:rsidRPr="0093514A">
        <w:rPr>
          <w:rFonts w:ascii="Arial" w:eastAsiaTheme="minorHAnsi" w:hAnsi="Arial" w:cs="Arial"/>
          <w:sz w:val="22"/>
          <w:szCs w:val="22"/>
        </w:rPr>
        <w:t xml:space="preserve"> and approximately 128 other Iraqi nationals sought a single public inquiry into the allegations that they were mistreated by the UK armed forces in detention facilities in Iraq between April 2003 and December 2008. They argued that the obligation under article 3 ECHR to conduct an independent and effective investigation into the allegations, including arguable systemic mistreatment, can only be met by a public inquiry. The High Court held that IHAT was sufficiently independent but this was reversed by the Court of Appeal because of the involvement of members of the Royal Military Police in the investigation of matters in which the Royal Military Police had been involved</w:t>
      </w:r>
      <w:r w:rsidR="00F9799C">
        <w:rPr>
          <w:rFonts w:ascii="Arial" w:eastAsiaTheme="minorHAnsi" w:hAnsi="Arial" w:cs="Arial"/>
          <w:sz w:val="22"/>
          <w:szCs w:val="22"/>
        </w:rPr>
        <w:t>. S</w:t>
      </w:r>
      <w:r w:rsidR="0093514A" w:rsidRPr="0093514A">
        <w:rPr>
          <w:rFonts w:ascii="Arial" w:eastAsiaTheme="minorHAnsi" w:hAnsi="Arial" w:cs="Arial"/>
          <w:sz w:val="22"/>
          <w:szCs w:val="22"/>
        </w:rPr>
        <w:t xml:space="preserve">ubsequently </w:t>
      </w:r>
      <w:r w:rsidR="00F9799C">
        <w:rPr>
          <w:rFonts w:ascii="Arial" w:eastAsiaTheme="minorHAnsi" w:hAnsi="Arial" w:cs="Arial"/>
          <w:sz w:val="22"/>
          <w:szCs w:val="22"/>
        </w:rPr>
        <w:t>the UK Government</w:t>
      </w:r>
      <w:r w:rsidR="0093514A" w:rsidRPr="0093514A">
        <w:rPr>
          <w:rFonts w:ascii="Arial" w:eastAsiaTheme="minorHAnsi" w:hAnsi="Arial" w:cs="Arial"/>
          <w:sz w:val="22"/>
          <w:szCs w:val="22"/>
        </w:rPr>
        <w:t xml:space="preserve"> re-constituted the IHAT personnel </w:t>
      </w:r>
      <w:r w:rsidR="00D61099">
        <w:rPr>
          <w:rFonts w:ascii="Arial" w:eastAsiaTheme="minorHAnsi" w:hAnsi="Arial" w:cs="Arial"/>
          <w:sz w:val="22"/>
          <w:szCs w:val="22"/>
        </w:rPr>
        <w:t>to promote more independence. I</w:t>
      </w:r>
      <w:r w:rsidR="0093514A" w:rsidRPr="0093514A">
        <w:rPr>
          <w:rFonts w:ascii="Arial" w:eastAsiaTheme="minorHAnsi" w:hAnsi="Arial" w:cs="Arial"/>
          <w:sz w:val="22"/>
          <w:szCs w:val="22"/>
        </w:rPr>
        <w:t xml:space="preserve">n the next </w:t>
      </w:r>
      <w:r w:rsidR="00F9799C">
        <w:rPr>
          <w:rFonts w:ascii="Arial" w:eastAsiaTheme="minorHAnsi" w:hAnsi="Arial" w:cs="Arial"/>
          <w:sz w:val="22"/>
          <w:szCs w:val="22"/>
        </w:rPr>
        <w:t xml:space="preserve">case </w:t>
      </w:r>
      <w:r w:rsidR="0093514A" w:rsidRPr="0093514A">
        <w:rPr>
          <w:rFonts w:ascii="Arial" w:eastAsiaTheme="minorHAnsi" w:hAnsi="Arial" w:cs="Arial"/>
          <w:sz w:val="22"/>
          <w:szCs w:val="22"/>
        </w:rPr>
        <w:t>the High Court found that IHAT was now sufficiently independent</w:t>
      </w:r>
      <w:r w:rsidR="00D61099">
        <w:rPr>
          <w:rFonts w:ascii="Arial" w:eastAsiaTheme="minorHAnsi" w:hAnsi="Arial" w:cs="Arial"/>
          <w:sz w:val="22"/>
          <w:szCs w:val="22"/>
        </w:rPr>
        <w:t>. It determined that</w:t>
      </w:r>
      <w:r w:rsidR="0093514A" w:rsidRPr="0093514A">
        <w:rPr>
          <w:rFonts w:ascii="Arial" w:eastAsiaTheme="minorHAnsi" w:hAnsi="Arial" w:cs="Arial"/>
          <w:sz w:val="22"/>
          <w:szCs w:val="22"/>
        </w:rPr>
        <w:t xml:space="preserve"> it was not therefore appropriate to order a full public inquiry but that there should be more streamlined inquiries </w:t>
      </w:r>
      <w:r w:rsidR="0093514A" w:rsidRPr="0093514A">
        <w:rPr>
          <w:rFonts w:ascii="Arial" w:eastAsiaTheme="minorHAnsi" w:hAnsi="Arial" w:cs="Arial"/>
          <w:sz w:val="22"/>
          <w:szCs w:val="22"/>
        </w:rPr>
        <w:lastRenderedPageBreak/>
        <w:t>undertaken using an inquisitorial approach on the model of coroner</w:t>
      </w:r>
      <w:r w:rsidR="00D61099">
        <w:rPr>
          <w:rFonts w:ascii="Arial" w:eastAsiaTheme="minorHAnsi" w:hAnsi="Arial" w:cs="Arial"/>
          <w:sz w:val="22"/>
          <w:szCs w:val="22"/>
        </w:rPr>
        <w:t>s</w:t>
      </w:r>
      <w:r w:rsidR="0093514A" w:rsidRPr="0093514A">
        <w:rPr>
          <w:rFonts w:ascii="Arial" w:eastAsiaTheme="minorHAnsi" w:hAnsi="Arial" w:cs="Arial"/>
          <w:sz w:val="22"/>
          <w:szCs w:val="22"/>
        </w:rPr>
        <w:t>’ inquests to investigate cases where a duty of investigation arises.</w:t>
      </w:r>
    </w:p>
    <w:p w:rsidR="0093514A" w:rsidRPr="0093514A" w:rsidRDefault="0093514A" w:rsidP="000A65D0">
      <w:pPr>
        <w:spacing w:after="200"/>
        <w:jc w:val="both"/>
        <w:rPr>
          <w:rFonts w:ascii="Arial" w:eastAsiaTheme="minorHAnsi" w:hAnsi="Arial" w:cs="Arial"/>
          <w:sz w:val="22"/>
          <w:szCs w:val="22"/>
        </w:rPr>
      </w:pPr>
      <w:r>
        <w:rPr>
          <w:rFonts w:ascii="Arial" w:hAnsi="Arial" w:cs="Arial"/>
          <w:sz w:val="22"/>
          <w:szCs w:val="22"/>
          <w:lang w:eastAsia="en-GB"/>
        </w:rPr>
        <w:t>2</w:t>
      </w:r>
      <w:r w:rsidR="00D467D8">
        <w:rPr>
          <w:rFonts w:ascii="Arial" w:hAnsi="Arial" w:cs="Arial"/>
          <w:sz w:val="22"/>
          <w:szCs w:val="22"/>
          <w:lang w:eastAsia="en-GB"/>
        </w:rPr>
        <w:t>1</w:t>
      </w:r>
      <w:r>
        <w:rPr>
          <w:rFonts w:ascii="Arial" w:hAnsi="Arial" w:cs="Arial"/>
          <w:sz w:val="22"/>
          <w:szCs w:val="22"/>
          <w:lang w:eastAsia="en-GB"/>
        </w:rPr>
        <w:t xml:space="preserve">. </w:t>
      </w:r>
      <w:r w:rsidRPr="0093514A">
        <w:rPr>
          <w:rFonts w:ascii="Arial" w:hAnsi="Arial" w:cs="Arial"/>
          <w:sz w:val="22"/>
          <w:szCs w:val="22"/>
          <w:lang w:eastAsia="en-GB"/>
        </w:rPr>
        <w:t xml:space="preserve">The </w:t>
      </w:r>
      <w:r>
        <w:rPr>
          <w:rFonts w:ascii="Arial" w:hAnsi="Arial" w:cs="Arial"/>
          <w:sz w:val="22"/>
          <w:szCs w:val="22"/>
          <w:lang w:eastAsia="en-GB"/>
        </w:rPr>
        <w:t xml:space="preserve">Al </w:t>
      </w:r>
      <w:proofErr w:type="spellStart"/>
      <w:r>
        <w:rPr>
          <w:rFonts w:ascii="Arial" w:hAnsi="Arial" w:cs="Arial"/>
          <w:sz w:val="22"/>
          <w:szCs w:val="22"/>
          <w:lang w:eastAsia="en-GB"/>
        </w:rPr>
        <w:t>Sadoon</w:t>
      </w:r>
      <w:proofErr w:type="spellEnd"/>
      <w:r>
        <w:rPr>
          <w:rFonts w:ascii="Arial" w:hAnsi="Arial" w:cs="Arial"/>
          <w:sz w:val="22"/>
          <w:szCs w:val="22"/>
          <w:lang w:eastAsia="en-GB"/>
        </w:rPr>
        <w:t xml:space="preserve"> </w:t>
      </w:r>
      <w:r w:rsidR="00D61099">
        <w:rPr>
          <w:rFonts w:ascii="Arial" w:hAnsi="Arial" w:cs="Arial"/>
          <w:sz w:val="22"/>
          <w:szCs w:val="22"/>
          <w:lang w:eastAsia="en-GB"/>
        </w:rPr>
        <w:t xml:space="preserve">cases </w:t>
      </w:r>
      <w:r w:rsidRPr="0093514A">
        <w:rPr>
          <w:rFonts w:ascii="Arial" w:hAnsi="Arial" w:cs="Arial"/>
          <w:sz w:val="22"/>
          <w:szCs w:val="22"/>
          <w:lang w:eastAsia="en-GB"/>
        </w:rPr>
        <w:t>initial</w:t>
      </w:r>
      <w:r>
        <w:rPr>
          <w:rFonts w:ascii="Arial" w:hAnsi="Arial" w:cs="Arial"/>
          <w:sz w:val="22"/>
          <w:szCs w:val="22"/>
          <w:lang w:eastAsia="en-GB"/>
        </w:rPr>
        <w:t>ly</w:t>
      </w:r>
      <w:r w:rsidRPr="0093514A">
        <w:rPr>
          <w:rFonts w:ascii="Arial" w:hAnsi="Arial" w:cs="Arial"/>
          <w:sz w:val="22"/>
          <w:szCs w:val="22"/>
          <w:lang w:eastAsia="en-GB"/>
        </w:rPr>
        <w:t xml:space="preserve"> related to Mr Al-</w:t>
      </w:r>
      <w:proofErr w:type="spellStart"/>
      <w:r w:rsidRPr="0093514A">
        <w:rPr>
          <w:rFonts w:ascii="Arial" w:hAnsi="Arial" w:cs="Arial"/>
          <w:sz w:val="22"/>
          <w:szCs w:val="22"/>
          <w:lang w:eastAsia="en-GB"/>
        </w:rPr>
        <w:t>Saadoon</w:t>
      </w:r>
      <w:proofErr w:type="spellEnd"/>
      <w:r w:rsidRPr="0093514A">
        <w:rPr>
          <w:rFonts w:ascii="Arial" w:hAnsi="Arial" w:cs="Arial"/>
          <w:sz w:val="22"/>
          <w:szCs w:val="22"/>
          <w:lang w:eastAsia="en-GB"/>
        </w:rPr>
        <w:t xml:space="preserve"> and Mr </w:t>
      </w:r>
      <w:proofErr w:type="spellStart"/>
      <w:r w:rsidRPr="0093514A">
        <w:rPr>
          <w:rFonts w:ascii="Arial" w:hAnsi="Arial" w:cs="Arial"/>
          <w:sz w:val="22"/>
          <w:szCs w:val="22"/>
          <w:lang w:eastAsia="en-GB"/>
        </w:rPr>
        <w:t>Mufdhi</w:t>
      </w:r>
      <w:proofErr w:type="spellEnd"/>
      <w:r w:rsidRPr="0093514A">
        <w:rPr>
          <w:rFonts w:ascii="Arial" w:hAnsi="Arial" w:cs="Arial"/>
          <w:sz w:val="22"/>
          <w:szCs w:val="22"/>
          <w:lang w:eastAsia="en-GB"/>
        </w:rPr>
        <w:t xml:space="preserve"> </w:t>
      </w:r>
      <w:r w:rsidR="00D61099">
        <w:rPr>
          <w:rFonts w:ascii="Arial" w:hAnsi="Arial" w:cs="Arial"/>
          <w:sz w:val="22"/>
          <w:szCs w:val="22"/>
          <w:lang w:eastAsia="en-GB"/>
        </w:rPr>
        <w:t xml:space="preserve">who </w:t>
      </w:r>
      <w:r w:rsidRPr="0093514A">
        <w:rPr>
          <w:rFonts w:ascii="Arial" w:hAnsi="Arial" w:cs="Arial"/>
          <w:sz w:val="22"/>
          <w:szCs w:val="22"/>
          <w:lang w:eastAsia="en-GB"/>
        </w:rPr>
        <w:t>fac</w:t>
      </w:r>
      <w:r w:rsidR="00D61099">
        <w:rPr>
          <w:rFonts w:ascii="Arial" w:hAnsi="Arial" w:cs="Arial"/>
          <w:sz w:val="22"/>
          <w:szCs w:val="22"/>
          <w:lang w:eastAsia="en-GB"/>
        </w:rPr>
        <w:t>ed</w:t>
      </w:r>
      <w:r w:rsidRPr="0093514A">
        <w:rPr>
          <w:rFonts w:ascii="Arial" w:hAnsi="Arial" w:cs="Arial"/>
          <w:sz w:val="22"/>
          <w:szCs w:val="22"/>
          <w:lang w:eastAsia="en-GB"/>
        </w:rPr>
        <w:t xml:space="preserve"> the death penalty by hanging as a result of their transfer to the Iraqi authorities by British Forces. A series of cases were brought before the UK courts and then to the </w:t>
      </w:r>
      <w:proofErr w:type="spellStart"/>
      <w:r w:rsidRPr="0093514A">
        <w:rPr>
          <w:rFonts w:ascii="Arial" w:hAnsi="Arial" w:cs="Arial"/>
          <w:sz w:val="22"/>
          <w:szCs w:val="22"/>
          <w:lang w:eastAsia="en-GB"/>
        </w:rPr>
        <w:t>ECtHR</w:t>
      </w:r>
      <w:proofErr w:type="spellEnd"/>
      <w:r w:rsidRPr="0093514A">
        <w:rPr>
          <w:rFonts w:ascii="Arial" w:hAnsi="Arial" w:cs="Arial"/>
          <w:sz w:val="22"/>
          <w:szCs w:val="22"/>
          <w:lang w:eastAsia="en-GB"/>
        </w:rPr>
        <w:t xml:space="preserve"> which established that </w:t>
      </w:r>
      <w:r w:rsidR="00D61099">
        <w:rPr>
          <w:rFonts w:ascii="Arial" w:hAnsi="Arial" w:cs="Arial"/>
          <w:sz w:val="22"/>
          <w:szCs w:val="22"/>
          <w:lang w:eastAsia="en-GB"/>
        </w:rPr>
        <w:t xml:space="preserve">in the circumstances of the case, </w:t>
      </w:r>
      <w:r w:rsidRPr="0093514A">
        <w:rPr>
          <w:rFonts w:ascii="Arial" w:hAnsi="Arial" w:cs="Arial"/>
          <w:sz w:val="22"/>
          <w:szCs w:val="22"/>
          <w:lang w:eastAsia="en-GB"/>
        </w:rPr>
        <w:t xml:space="preserve">awaiting the death penalty constituted torture. More recently, the High Court decided various preliminary issues in test cases arising </w:t>
      </w:r>
      <w:r w:rsidRPr="0093514A">
        <w:rPr>
          <w:rFonts w:ascii="Arial" w:hAnsi="Arial" w:cs="Arial"/>
          <w:color w:val="000000"/>
          <w:sz w:val="22"/>
          <w:szCs w:val="22"/>
          <w:lang w:eastAsia="en-GB"/>
        </w:rPr>
        <w:t xml:space="preserve">out of the operations of </w:t>
      </w:r>
      <w:r w:rsidR="00D61099">
        <w:rPr>
          <w:rFonts w:ascii="Arial" w:hAnsi="Arial" w:cs="Arial"/>
          <w:color w:val="000000"/>
          <w:sz w:val="22"/>
          <w:szCs w:val="22"/>
          <w:lang w:eastAsia="en-GB"/>
        </w:rPr>
        <w:t xml:space="preserve">the </w:t>
      </w:r>
      <w:r w:rsidRPr="0093514A">
        <w:rPr>
          <w:rFonts w:ascii="Arial" w:hAnsi="Arial" w:cs="Arial"/>
          <w:color w:val="000000"/>
          <w:sz w:val="22"/>
          <w:szCs w:val="22"/>
          <w:lang w:eastAsia="en-GB"/>
        </w:rPr>
        <w:t>UK army in Iraq during the invasion, occupation and post-occupation periods, and made several key findings</w:t>
      </w:r>
      <w:r w:rsidR="00D61099">
        <w:rPr>
          <w:rFonts w:ascii="Arial" w:hAnsi="Arial" w:cs="Arial"/>
          <w:color w:val="000000"/>
          <w:sz w:val="22"/>
          <w:szCs w:val="22"/>
          <w:lang w:eastAsia="en-GB"/>
        </w:rPr>
        <w:t xml:space="preserve"> on various points of law. </w:t>
      </w:r>
      <w:r w:rsidRPr="0093514A">
        <w:rPr>
          <w:rFonts w:ascii="Arial" w:eastAsiaTheme="minorHAnsi" w:hAnsi="Arial" w:cs="Arial"/>
          <w:sz w:val="22"/>
          <w:szCs w:val="22"/>
        </w:rPr>
        <w:t xml:space="preserve">The litigation in </w:t>
      </w:r>
      <w:r w:rsidRPr="0093514A">
        <w:rPr>
          <w:rFonts w:ascii="Arial" w:eastAsiaTheme="minorHAnsi" w:hAnsi="Arial" w:cs="Arial"/>
          <w:i/>
          <w:sz w:val="22"/>
          <w:szCs w:val="22"/>
        </w:rPr>
        <w:t xml:space="preserve">Al </w:t>
      </w:r>
      <w:proofErr w:type="spellStart"/>
      <w:r w:rsidRPr="0093514A">
        <w:rPr>
          <w:rFonts w:ascii="Arial" w:eastAsiaTheme="minorHAnsi" w:hAnsi="Arial" w:cs="Arial"/>
          <w:i/>
          <w:sz w:val="22"/>
          <w:szCs w:val="22"/>
        </w:rPr>
        <w:t>Saadoon</w:t>
      </w:r>
      <w:proofErr w:type="spellEnd"/>
      <w:r w:rsidRPr="0093514A">
        <w:rPr>
          <w:rFonts w:ascii="Arial" w:eastAsiaTheme="minorHAnsi" w:hAnsi="Arial" w:cs="Arial"/>
          <w:sz w:val="22"/>
          <w:szCs w:val="22"/>
        </w:rPr>
        <w:t xml:space="preserve"> is ongoing with arguments that IHAT has apparently failed to </w:t>
      </w:r>
      <w:r w:rsidR="00D61099">
        <w:rPr>
          <w:rFonts w:ascii="Arial" w:eastAsiaTheme="minorHAnsi" w:hAnsi="Arial" w:cs="Arial"/>
          <w:sz w:val="22"/>
          <w:szCs w:val="22"/>
        </w:rPr>
        <w:t>implement</w:t>
      </w:r>
      <w:r w:rsidRPr="0093514A">
        <w:rPr>
          <w:rFonts w:ascii="Arial" w:eastAsiaTheme="minorHAnsi" w:hAnsi="Arial" w:cs="Arial"/>
          <w:sz w:val="22"/>
          <w:szCs w:val="22"/>
        </w:rPr>
        <w:t xml:space="preserve"> the procedures set out in </w:t>
      </w:r>
      <w:r w:rsidRPr="0093514A">
        <w:rPr>
          <w:rFonts w:ascii="Arial" w:eastAsiaTheme="minorHAnsi" w:hAnsi="Arial" w:cs="Arial"/>
          <w:i/>
          <w:sz w:val="22"/>
          <w:szCs w:val="22"/>
        </w:rPr>
        <w:t xml:space="preserve">Ali </w:t>
      </w:r>
      <w:proofErr w:type="spellStart"/>
      <w:r w:rsidRPr="0093514A">
        <w:rPr>
          <w:rFonts w:ascii="Arial" w:eastAsiaTheme="minorHAnsi" w:hAnsi="Arial" w:cs="Arial"/>
          <w:i/>
          <w:sz w:val="22"/>
          <w:szCs w:val="22"/>
        </w:rPr>
        <w:t>Zaka</w:t>
      </w:r>
      <w:proofErr w:type="spellEnd"/>
      <w:r w:rsidRPr="0093514A">
        <w:rPr>
          <w:rFonts w:ascii="Arial" w:eastAsiaTheme="minorHAnsi" w:hAnsi="Arial" w:cs="Arial"/>
          <w:i/>
          <w:sz w:val="22"/>
          <w:szCs w:val="22"/>
        </w:rPr>
        <w:t xml:space="preserve"> </w:t>
      </w:r>
      <w:proofErr w:type="spellStart"/>
      <w:r w:rsidRPr="0093514A">
        <w:rPr>
          <w:rFonts w:ascii="Arial" w:eastAsiaTheme="minorHAnsi" w:hAnsi="Arial" w:cs="Arial"/>
          <w:i/>
          <w:sz w:val="22"/>
          <w:szCs w:val="22"/>
        </w:rPr>
        <w:t>Mousa</w:t>
      </w:r>
      <w:proofErr w:type="spellEnd"/>
      <w:r w:rsidRPr="0093514A">
        <w:rPr>
          <w:rFonts w:ascii="Arial" w:eastAsiaTheme="minorHAnsi" w:hAnsi="Arial" w:cs="Arial"/>
          <w:sz w:val="22"/>
          <w:szCs w:val="22"/>
        </w:rPr>
        <w:t>, namely, an inquisitorial, coroner</w:t>
      </w:r>
      <w:r w:rsidR="00D61099">
        <w:rPr>
          <w:rFonts w:ascii="Arial" w:eastAsiaTheme="minorHAnsi" w:hAnsi="Arial" w:cs="Arial"/>
          <w:sz w:val="22"/>
          <w:szCs w:val="22"/>
        </w:rPr>
        <w:t>s</w:t>
      </w:r>
      <w:r w:rsidRPr="0093514A">
        <w:rPr>
          <w:rFonts w:ascii="Arial" w:eastAsiaTheme="minorHAnsi" w:hAnsi="Arial" w:cs="Arial"/>
          <w:sz w:val="22"/>
          <w:szCs w:val="22"/>
        </w:rPr>
        <w:t>’ approach to investigations. On 27 April 2015 parties met before a judge to deal with matters such as delays in communication of IHAT decisions to counsel, that negative decisions taken against a complainant should be challengeable, and the lack of a clear route for appealing an IHAT decision; further, concerns about IHAT not having done enough to remove pro-administration bias were argued, and that IHAT has not sufficiently reviewed cases of aggressive interrogation and cases of improper detention in violation of article  5 ECHR. The High Court will hear these arguments later in 2015.</w:t>
      </w:r>
    </w:p>
    <w:p w:rsidR="00D61099" w:rsidRDefault="00093D9C" w:rsidP="000A65D0">
      <w:pPr>
        <w:spacing w:after="200"/>
        <w:jc w:val="both"/>
        <w:rPr>
          <w:rFonts w:ascii="Arial" w:eastAsiaTheme="minorHAnsi" w:hAnsi="Arial" w:cs="Arial"/>
          <w:sz w:val="22"/>
          <w:szCs w:val="22"/>
        </w:rPr>
      </w:pPr>
      <w:r>
        <w:rPr>
          <w:rFonts w:ascii="Arial" w:eastAsiaTheme="minorHAnsi" w:hAnsi="Arial" w:cs="Arial"/>
          <w:sz w:val="22"/>
          <w:szCs w:val="22"/>
        </w:rPr>
        <w:t>2</w:t>
      </w:r>
      <w:r w:rsidR="00D467D8">
        <w:rPr>
          <w:rFonts w:ascii="Arial" w:eastAsiaTheme="minorHAnsi" w:hAnsi="Arial" w:cs="Arial"/>
          <w:sz w:val="22"/>
          <w:szCs w:val="22"/>
        </w:rPr>
        <w:t>2</w:t>
      </w:r>
      <w:r>
        <w:rPr>
          <w:rFonts w:ascii="Arial" w:eastAsiaTheme="minorHAnsi" w:hAnsi="Arial" w:cs="Arial"/>
          <w:sz w:val="22"/>
          <w:szCs w:val="22"/>
        </w:rPr>
        <w:t xml:space="preserve">. </w:t>
      </w:r>
      <w:r w:rsidR="000A65D0" w:rsidRPr="00093D9C">
        <w:rPr>
          <w:rFonts w:ascii="Arial" w:eastAsiaTheme="minorHAnsi" w:hAnsi="Arial" w:cs="Arial"/>
          <w:sz w:val="22"/>
          <w:szCs w:val="22"/>
        </w:rPr>
        <w:t xml:space="preserve">Other cases have clarified the UK’s obligations under the ECHR, including the </w:t>
      </w:r>
      <w:r w:rsidR="000A65D0" w:rsidRPr="00093D9C">
        <w:rPr>
          <w:rFonts w:ascii="Arial" w:eastAsiaTheme="minorHAnsi" w:hAnsi="Arial" w:cs="Arial"/>
          <w:i/>
          <w:sz w:val="22"/>
          <w:szCs w:val="22"/>
        </w:rPr>
        <w:t xml:space="preserve">Al </w:t>
      </w:r>
      <w:proofErr w:type="spellStart"/>
      <w:r w:rsidR="000A65D0" w:rsidRPr="00093D9C">
        <w:rPr>
          <w:rFonts w:ascii="Arial" w:eastAsiaTheme="minorHAnsi" w:hAnsi="Arial" w:cs="Arial"/>
          <w:i/>
          <w:sz w:val="22"/>
          <w:szCs w:val="22"/>
        </w:rPr>
        <w:t>Jedda</w:t>
      </w:r>
      <w:proofErr w:type="spellEnd"/>
      <w:r w:rsidR="000A65D0" w:rsidRPr="00093D9C">
        <w:rPr>
          <w:rFonts w:ascii="Arial" w:eastAsiaTheme="minorHAnsi" w:hAnsi="Arial" w:cs="Arial"/>
          <w:i/>
          <w:sz w:val="22"/>
          <w:szCs w:val="22"/>
        </w:rPr>
        <w:t xml:space="preserve"> </w:t>
      </w:r>
      <w:r w:rsidR="000A65D0" w:rsidRPr="00093D9C">
        <w:rPr>
          <w:rFonts w:ascii="Arial" w:eastAsiaTheme="minorHAnsi" w:hAnsi="Arial" w:cs="Arial"/>
          <w:sz w:val="22"/>
          <w:szCs w:val="22"/>
        </w:rPr>
        <w:t>cases.</w:t>
      </w:r>
      <w:r w:rsidR="000A65D0" w:rsidRPr="00093D9C">
        <w:rPr>
          <w:rFonts w:ascii="Arial" w:eastAsiaTheme="minorHAnsi" w:hAnsi="Arial" w:cs="Arial"/>
          <w:sz w:val="22"/>
          <w:szCs w:val="22"/>
          <w:vertAlign w:val="superscript"/>
        </w:rPr>
        <w:footnoteReference w:id="35"/>
      </w:r>
      <w:r w:rsidRPr="00093D9C">
        <w:rPr>
          <w:rFonts w:ascii="Arial" w:eastAsiaTheme="minorHAnsi" w:hAnsi="Arial" w:cs="Arial"/>
          <w:sz w:val="22"/>
          <w:szCs w:val="22"/>
        </w:rPr>
        <w:t xml:space="preserve"> Mr </w:t>
      </w:r>
      <w:proofErr w:type="spellStart"/>
      <w:r w:rsidRPr="00093D9C">
        <w:rPr>
          <w:rFonts w:ascii="Arial" w:eastAsiaTheme="minorHAnsi" w:hAnsi="Arial" w:cs="Arial"/>
          <w:sz w:val="22"/>
          <w:szCs w:val="22"/>
        </w:rPr>
        <w:t>Hilal</w:t>
      </w:r>
      <w:proofErr w:type="spellEnd"/>
      <w:r w:rsidRPr="00093D9C">
        <w:rPr>
          <w:rFonts w:ascii="Arial" w:eastAsiaTheme="minorHAnsi" w:hAnsi="Arial" w:cs="Arial"/>
          <w:sz w:val="22"/>
          <w:szCs w:val="22"/>
        </w:rPr>
        <w:t xml:space="preserve"> Abdul-</w:t>
      </w:r>
      <w:proofErr w:type="spellStart"/>
      <w:r w:rsidRPr="00093D9C">
        <w:rPr>
          <w:rFonts w:ascii="Arial" w:eastAsiaTheme="minorHAnsi" w:hAnsi="Arial" w:cs="Arial"/>
          <w:sz w:val="22"/>
          <w:szCs w:val="22"/>
        </w:rPr>
        <w:t>Razzaq</w:t>
      </w:r>
      <w:proofErr w:type="spellEnd"/>
      <w:r w:rsidRPr="00093D9C">
        <w:rPr>
          <w:rFonts w:ascii="Arial" w:eastAsiaTheme="minorHAnsi" w:hAnsi="Arial" w:cs="Arial"/>
          <w:sz w:val="22"/>
          <w:szCs w:val="22"/>
        </w:rPr>
        <w:t xml:space="preserve"> Ali Al-</w:t>
      </w:r>
      <w:proofErr w:type="spellStart"/>
      <w:r w:rsidRPr="00093D9C">
        <w:rPr>
          <w:rFonts w:ascii="Arial" w:eastAsiaTheme="minorHAnsi" w:hAnsi="Arial" w:cs="Arial"/>
          <w:sz w:val="22"/>
          <w:szCs w:val="22"/>
        </w:rPr>
        <w:t>Jedda</w:t>
      </w:r>
      <w:proofErr w:type="spellEnd"/>
      <w:r w:rsidRPr="00093D9C">
        <w:rPr>
          <w:rFonts w:ascii="Arial" w:eastAsiaTheme="minorHAnsi" w:hAnsi="Arial" w:cs="Arial"/>
          <w:sz w:val="22"/>
          <w:szCs w:val="22"/>
        </w:rPr>
        <w:t xml:space="preserve"> has been represented in at least 9 actions before the courts, from the Divisional Court in the UK to the Grand Chamber of the </w:t>
      </w:r>
      <w:proofErr w:type="spellStart"/>
      <w:r w:rsidRPr="00093D9C">
        <w:rPr>
          <w:rFonts w:ascii="Arial" w:eastAsiaTheme="minorHAnsi" w:hAnsi="Arial" w:cs="Arial"/>
          <w:sz w:val="22"/>
          <w:szCs w:val="22"/>
        </w:rPr>
        <w:t>ECtHR</w:t>
      </w:r>
      <w:proofErr w:type="spellEnd"/>
      <w:r w:rsidRPr="00093D9C">
        <w:rPr>
          <w:rFonts w:ascii="Arial" w:eastAsiaTheme="minorHAnsi" w:hAnsi="Arial" w:cs="Arial"/>
          <w:sz w:val="22"/>
          <w:szCs w:val="22"/>
        </w:rPr>
        <w:t>. Mr. Al-</w:t>
      </w:r>
      <w:proofErr w:type="spellStart"/>
      <w:r w:rsidRPr="00093D9C">
        <w:rPr>
          <w:rFonts w:ascii="Arial" w:eastAsiaTheme="minorHAnsi" w:hAnsi="Arial" w:cs="Arial"/>
          <w:sz w:val="22"/>
          <w:szCs w:val="22"/>
        </w:rPr>
        <w:t>Jedda</w:t>
      </w:r>
      <w:proofErr w:type="spellEnd"/>
      <w:r w:rsidRPr="00093D9C">
        <w:rPr>
          <w:rFonts w:ascii="Arial" w:eastAsiaTheme="minorHAnsi" w:hAnsi="Arial" w:cs="Arial"/>
          <w:sz w:val="22"/>
          <w:szCs w:val="22"/>
        </w:rPr>
        <w:t xml:space="preserve"> was an Iraqi who had been detained for three years without charge by British Forces, a breach of Mr Al-</w:t>
      </w:r>
      <w:proofErr w:type="spellStart"/>
      <w:r w:rsidRPr="00093D9C">
        <w:rPr>
          <w:rFonts w:ascii="Arial" w:eastAsiaTheme="minorHAnsi" w:hAnsi="Arial" w:cs="Arial"/>
          <w:sz w:val="22"/>
          <w:szCs w:val="22"/>
        </w:rPr>
        <w:t>Jedda’s</w:t>
      </w:r>
      <w:proofErr w:type="spellEnd"/>
      <w:r w:rsidRPr="00093D9C">
        <w:rPr>
          <w:rFonts w:ascii="Arial" w:eastAsiaTheme="minorHAnsi" w:hAnsi="Arial" w:cs="Arial"/>
          <w:sz w:val="22"/>
          <w:szCs w:val="22"/>
        </w:rPr>
        <w:t xml:space="preserve"> right to liberty. Public Interest Lawyers successfully argued before the Grand Chamber that the European Convention applied to the Applicant's detention by British Forces in Iraq and that if Resolutions of the UN Security Council are to override Convention rights then they must do so expressly. </w:t>
      </w:r>
      <w:r w:rsidR="000A65D0" w:rsidRPr="00093D9C">
        <w:rPr>
          <w:rFonts w:ascii="Arial" w:eastAsiaTheme="minorHAnsi" w:hAnsi="Arial" w:cs="Arial"/>
          <w:sz w:val="22"/>
          <w:szCs w:val="22"/>
        </w:rPr>
        <w:t xml:space="preserve"> </w:t>
      </w:r>
    </w:p>
    <w:p w:rsidR="000A65D0" w:rsidRPr="000A65D0" w:rsidRDefault="00D61099" w:rsidP="000A65D0">
      <w:pPr>
        <w:spacing w:after="200"/>
        <w:jc w:val="both"/>
        <w:rPr>
          <w:rFonts w:ascii="Arial" w:eastAsiaTheme="minorHAnsi" w:hAnsi="Arial" w:cs="Arial"/>
          <w:sz w:val="22"/>
          <w:szCs w:val="22"/>
        </w:rPr>
      </w:pPr>
      <w:r>
        <w:rPr>
          <w:rFonts w:ascii="Arial" w:eastAsiaTheme="minorHAnsi" w:hAnsi="Arial" w:cs="Arial"/>
          <w:sz w:val="22"/>
          <w:szCs w:val="22"/>
        </w:rPr>
        <w:t>2</w:t>
      </w:r>
      <w:r w:rsidR="00D467D8">
        <w:rPr>
          <w:rFonts w:ascii="Arial" w:eastAsiaTheme="minorHAnsi" w:hAnsi="Arial" w:cs="Arial"/>
          <w:sz w:val="22"/>
          <w:szCs w:val="22"/>
        </w:rPr>
        <w:t>3</w:t>
      </w:r>
      <w:r>
        <w:rPr>
          <w:rFonts w:ascii="Arial" w:eastAsiaTheme="minorHAnsi" w:hAnsi="Arial" w:cs="Arial"/>
          <w:sz w:val="22"/>
          <w:szCs w:val="22"/>
        </w:rPr>
        <w:t xml:space="preserve">. </w:t>
      </w:r>
      <w:r w:rsidR="000A65D0" w:rsidRPr="00093D9C">
        <w:rPr>
          <w:rFonts w:ascii="Arial" w:eastAsiaTheme="minorHAnsi" w:hAnsi="Arial" w:cs="Arial"/>
          <w:sz w:val="22"/>
          <w:szCs w:val="22"/>
        </w:rPr>
        <w:t>While IHAT</w:t>
      </w:r>
      <w:r w:rsidR="000A65D0" w:rsidRPr="000A65D0">
        <w:rPr>
          <w:rFonts w:ascii="Arial" w:eastAsiaTheme="minorHAnsi" w:hAnsi="Arial" w:cs="Arial"/>
          <w:sz w:val="22"/>
          <w:szCs w:val="22"/>
        </w:rPr>
        <w:t xml:space="preserve"> has continued to operate, modified as a result of court challenges which have not yet been finalised, the ICC has now been sent a Communication on the basis that the many hundreds of alleged cases of ill-treatment were widespread and systematic and constitute war crimes.</w:t>
      </w:r>
      <w:r w:rsidR="000A65D0" w:rsidRPr="000A65D0">
        <w:rPr>
          <w:rFonts w:ascii="Arial" w:eastAsiaTheme="minorHAnsi" w:hAnsi="Arial" w:cs="Arial"/>
          <w:sz w:val="22"/>
          <w:szCs w:val="22"/>
          <w:vertAlign w:val="superscript"/>
        </w:rPr>
        <w:footnoteReference w:id="36"/>
      </w:r>
      <w:r w:rsidR="000A65D0" w:rsidRPr="000A65D0">
        <w:rPr>
          <w:rFonts w:ascii="Arial" w:eastAsiaTheme="minorHAnsi" w:hAnsi="Arial" w:cs="Arial"/>
          <w:sz w:val="22"/>
          <w:szCs w:val="22"/>
        </w:rPr>
        <w:t xml:space="preserve"> </w:t>
      </w:r>
      <w:r>
        <w:rPr>
          <w:rFonts w:ascii="Arial" w:eastAsiaTheme="minorHAnsi" w:hAnsi="Arial" w:cs="Arial"/>
          <w:sz w:val="22"/>
          <w:szCs w:val="22"/>
        </w:rPr>
        <w:t xml:space="preserve">The ICC Prosecutor has subsequently confirmed the opening of a preliminary </w:t>
      </w:r>
      <w:r w:rsidRPr="00685BCB">
        <w:rPr>
          <w:rFonts w:ascii="Arial" w:eastAsiaTheme="minorHAnsi" w:hAnsi="Arial" w:cs="Arial"/>
          <w:sz w:val="22"/>
          <w:szCs w:val="22"/>
        </w:rPr>
        <w:t>examination.</w:t>
      </w:r>
      <w:r w:rsidR="00D467D8" w:rsidRPr="00685BCB">
        <w:rPr>
          <w:rStyle w:val="FootnoteReference"/>
          <w:rFonts w:ascii="Arial" w:eastAsiaTheme="minorHAnsi" w:hAnsi="Arial" w:cs="Arial"/>
          <w:sz w:val="22"/>
          <w:szCs w:val="22"/>
        </w:rPr>
        <w:footnoteReference w:id="37"/>
      </w:r>
    </w:p>
    <w:p w:rsidR="00D61099" w:rsidRDefault="000A65D0" w:rsidP="000A65D0">
      <w:pPr>
        <w:spacing w:after="200"/>
        <w:jc w:val="both"/>
        <w:rPr>
          <w:rFonts w:ascii="Arial" w:eastAsiaTheme="minorHAnsi" w:hAnsi="Arial" w:cs="Arial"/>
          <w:sz w:val="22"/>
          <w:szCs w:val="22"/>
        </w:rPr>
      </w:pPr>
      <w:r w:rsidRPr="000A65D0">
        <w:rPr>
          <w:rFonts w:ascii="Arial" w:eastAsiaTheme="minorHAnsi" w:hAnsi="Arial" w:cs="Arial"/>
          <w:sz w:val="22"/>
          <w:szCs w:val="22"/>
        </w:rPr>
        <w:lastRenderedPageBreak/>
        <w:t>2</w:t>
      </w:r>
      <w:r w:rsidR="001C357A">
        <w:rPr>
          <w:rFonts w:ascii="Arial" w:eastAsiaTheme="minorHAnsi" w:hAnsi="Arial" w:cs="Arial"/>
          <w:sz w:val="22"/>
          <w:szCs w:val="22"/>
        </w:rPr>
        <w:t>4</w:t>
      </w:r>
      <w:r w:rsidRPr="000A65D0">
        <w:rPr>
          <w:rFonts w:ascii="Arial" w:eastAsiaTheme="minorHAnsi" w:hAnsi="Arial" w:cs="Arial"/>
          <w:sz w:val="22"/>
          <w:szCs w:val="22"/>
        </w:rPr>
        <w:t xml:space="preserve">. Despite all these processes, there have been no criminal prosecutions of UK armed forces personnel for the crime of torture, and only a handful of court martial convictions for lesser offences. The prospect of the truth being reached and justice achieved for victims and their families has proved and is proving to be a long and uncertain process, six years after the last UK troops withdrew in 2009. </w:t>
      </w:r>
    </w:p>
    <w:p w:rsidR="000A65D0" w:rsidRPr="000A65D0" w:rsidRDefault="00D61099" w:rsidP="000A65D0">
      <w:pPr>
        <w:spacing w:after="200"/>
        <w:jc w:val="both"/>
        <w:rPr>
          <w:rFonts w:ascii="Arial" w:eastAsiaTheme="minorHAnsi" w:hAnsi="Arial" w:cs="Arial"/>
          <w:sz w:val="22"/>
          <w:szCs w:val="22"/>
        </w:rPr>
      </w:pPr>
      <w:r>
        <w:rPr>
          <w:rFonts w:ascii="Arial" w:eastAsiaTheme="minorHAnsi" w:hAnsi="Arial" w:cs="Arial"/>
          <w:sz w:val="22"/>
          <w:szCs w:val="22"/>
        </w:rPr>
        <w:t>2</w:t>
      </w:r>
      <w:r w:rsidR="001C357A">
        <w:rPr>
          <w:rFonts w:ascii="Arial" w:eastAsiaTheme="minorHAnsi" w:hAnsi="Arial" w:cs="Arial"/>
          <w:sz w:val="22"/>
          <w:szCs w:val="22"/>
        </w:rPr>
        <w:t>5</w:t>
      </w:r>
      <w:r>
        <w:rPr>
          <w:rFonts w:ascii="Arial" w:eastAsiaTheme="minorHAnsi" w:hAnsi="Arial" w:cs="Arial"/>
          <w:sz w:val="22"/>
          <w:szCs w:val="22"/>
        </w:rPr>
        <w:t xml:space="preserve">. </w:t>
      </w:r>
      <w:r w:rsidR="000A65D0" w:rsidRPr="000A65D0">
        <w:rPr>
          <w:rFonts w:ascii="Arial" w:eastAsiaTheme="minorHAnsi" w:hAnsi="Arial" w:cs="Arial"/>
          <w:sz w:val="22"/>
          <w:szCs w:val="22"/>
        </w:rPr>
        <w:t xml:space="preserve">Regarding both the security agencies and the armed forces, therefore, we submit that where there is evidence of torture having been committed by any UK official the suspect should be prosecuted for torture and not for a lesser offence, and certainly the dearth of any charges at all in many cases is striking; the UK Government needs to show very clearly the seriousness with which it takes this aspect of its anti-torture obligations. </w:t>
      </w:r>
    </w:p>
    <w:p w:rsidR="000A65D0" w:rsidRPr="000A65D0" w:rsidRDefault="000A65D0" w:rsidP="005A11CD">
      <w:pPr>
        <w:spacing w:after="200"/>
        <w:jc w:val="both"/>
        <w:rPr>
          <w:rFonts w:ascii="Arial" w:hAnsi="Arial" w:cs="Arial"/>
          <w:color w:val="333333"/>
          <w:sz w:val="22"/>
          <w:szCs w:val="22"/>
          <w:lang w:eastAsia="en-GB"/>
        </w:rPr>
      </w:pPr>
      <w:r w:rsidRPr="000A65D0">
        <w:rPr>
          <w:rFonts w:ascii="Arial" w:eastAsiaTheme="minorHAnsi" w:hAnsi="Arial" w:cs="Arial"/>
          <w:sz w:val="22"/>
          <w:szCs w:val="22"/>
        </w:rPr>
        <w:t>2</w:t>
      </w:r>
      <w:r w:rsidR="001C357A">
        <w:rPr>
          <w:rFonts w:ascii="Arial" w:eastAsiaTheme="minorHAnsi" w:hAnsi="Arial" w:cs="Arial"/>
          <w:sz w:val="22"/>
          <w:szCs w:val="22"/>
        </w:rPr>
        <w:t>6</w:t>
      </w:r>
      <w:r w:rsidRPr="000A65D0">
        <w:rPr>
          <w:rFonts w:ascii="Arial" w:eastAsiaTheme="minorHAnsi" w:hAnsi="Arial" w:cs="Arial"/>
          <w:sz w:val="22"/>
          <w:szCs w:val="22"/>
        </w:rPr>
        <w:t xml:space="preserve">. We believe the UK Government should explain to the Committee its charging policy for service personnel, and in particular why the crime of torture has never been used in relation to allegations which would amount to torture under Article 7 of the Covenant. </w:t>
      </w:r>
    </w:p>
    <w:p w:rsidR="00A3643C" w:rsidRPr="000A65D0" w:rsidRDefault="000A65D0" w:rsidP="000A65D0">
      <w:pPr>
        <w:shd w:val="clear" w:color="auto" w:fill="FFFFFF"/>
        <w:spacing w:before="100" w:beforeAutospacing="1" w:after="195" w:afterAutospacing="1"/>
        <w:ind w:right="-46"/>
        <w:jc w:val="both"/>
        <w:rPr>
          <w:rFonts w:ascii="Arial" w:hAnsi="Arial" w:cs="Arial"/>
          <w:b/>
          <w:sz w:val="22"/>
          <w:szCs w:val="22"/>
        </w:rPr>
      </w:pPr>
      <w:r w:rsidRPr="000A65D0">
        <w:rPr>
          <w:rFonts w:ascii="Arial" w:hAnsi="Arial" w:cs="Arial"/>
          <w:color w:val="333333"/>
          <w:sz w:val="22"/>
          <w:szCs w:val="22"/>
          <w:lang w:eastAsia="en-GB"/>
        </w:rPr>
        <w:t>2</w:t>
      </w:r>
      <w:r w:rsidR="001C357A">
        <w:rPr>
          <w:rFonts w:ascii="Arial" w:hAnsi="Arial" w:cs="Arial"/>
          <w:color w:val="333333"/>
          <w:sz w:val="22"/>
          <w:szCs w:val="22"/>
          <w:lang w:eastAsia="en-GB"/>
        </w:rPr>
        <w:t>7</w:t>
      </w:r>
      <w:r w:rsidRPr="000A65D0">
        <w:rPr>
          <w:rFonts w:ascii="Arial" w:hAnsi="Arial" w:cs="Arial"/>
          <w:color w:val="333333"/>
          <w:sz w:val="22"/>
          <w:szCs w:val="22"/>
          <w:lang w:eastAsia="en-GB"/>
        </w:rPr>
        <w:t>. The Committee has also raised the Libyan cases of Sami al-Saadi and Abdul Hakim Belhaj who alleged UK complicity in their rendition, which cases the UK has said are under police investigation. The State Party report does not refer to the civil case which Mr Belhaj has brought, now pending in the Supreme Court, nor the similar civil case settled without admission of liability concerning Sami al-Saadi.</w:t>
      </w:r>
      <w:r w:rsidRPr="000A65D0">
        <w:rPr>
          <w:rFonts w:ascii="Arial" w:hAnsi="Arial" w:cs="Arial"/>
          <w:color w:val="333333"/>
          <w:sz w:val="22"/>
          <w:szCs w:val="22"/>
          <w:vertAlign w:val="superscript"/>
          <w:lang w:eastAsia="en-GB"/>
        </w:rPr>
        <w:footnoteReference w:id="38"/>
      </w:r>
      <w:r w:rsidRPr="000A65D0">
        <w:rPr>
          <w:rFonts w:ascii="Arial" w:hAnsi="Arial" w:cs="Arial"/>
          <w:color w:val="333333"/>
          <w:sz w:val="22"/>
          <w:szCs w:val="22"/>
          <w:lang w:eastAsia="en-GB"/>
        </w:rPr>
        <w:t xml:space="preserve"> </w:t>
      </w:r>
    </w:p>
    <w:p w:rsidR="000A65D0" w:rsidRPr="000A65D0" w:rsidRDefault="00A3643C" w:rsidP="0079695B">
      <w:pPr>
        <w:shd w:val="clear" w:color="auto" w:fill="FFFFFF"/>
        <w:spacing w:before="100" w:beforeAutospacing="1" w:after="195" w:afterAutospacing="1"/>
        <w:ind w:right="-46"/>
        <w:jc w:val="both"/>
        <w:rPr>
          <w:rFonts w:ascii="Arial" w:hAnsi="Arial" w:cs="Arial"/>
          <w:b/>
          <w:sz w:val="22"/>
          <w:szCs w:val="22"/>
        </w:rPr>
      </w:pPr>
      <w:r>
        <w:rPr>
          <w:rFonts w:ascii="Arial" w:hAnsi="Arial" w:cs="Arial"/>
          <w:b/>
          <w:sz w:val="22"/>
          <w:szCs w:val="22"/>
        </w:rPr>
        <w:t xml:space="preserve">D. </w:t>
      </w:r>
      <w:r w:rsidR="000A65D0" w:rsidRPr="000A65D0">
        <w:rPr>
          <w:rFonts w:ascii="Arial" w:hAnsi="Arial" w:cs="Arial"/>
          <w:b/>
          <w:sz w:val="22"/>
          <w:szCs w:val="22"/>
        </w:rPr>
        <w:t>THE DEFENCE OF “LAWFUL AUTHORITY, JUSTIFICATION OR EXCUSE” TO A CHARGE OF TORTURE IN THE CRIMINAL AND JUSTICE ACT 1988 (CJA) (Issue 17 of the HRC; paragraph 144 of the UK’s Replies to the issues)</w:t>
      </w:r>
    </w:p>
    <w:p w:rsidR="000A65D0" w:rsidRPr="000A65D0" w:rsidRDefault="000A65D0" w:rsidP="000A65D0">
      <w:pPr>
        <w:shd w:val="clear" w:color="auto" w:fill="FFFFFF"/>
        <w:jc w:val="both"/>
        <w:textAlignment w:val="baseline"/>
        <w:rPr>
          <w:rFonts w:ascii="Arial" w:eastAsiaTheme="minorHAnsi" w:hAnsi="Arial" w:cs="Arial"/>
          <w:sz w:val="22"/>
          <w:szCs w:val="22"/>
        </w:rPr>
      </w:pPr>
      <w:r w:rsidRPr="000A65D0">
        <w:rPr>
          <w:rFonts w:ascii="Arial" w:hAnsi="Arial" w:cs="Arial"/>
          <w:sz w:val="22"/>
          <w:szCs w:val="22"/>
        </w:rPr>
        <w:t>2</w:t>
      </w:r>
      <w:r w:rsidR="001C357A">
        <w:rPr>
          <w:rFonts w:ascii="Arial" w:hAnsi="Arial" w:cs="Arial"/>
          <w:sz w:val="22"/>
          <w:szCs w:val="22"/>
        </w:rPr>
        <w:t>8</w:t>
      </w:r>
      <w:r w:rsidRPr="000A65D0">
        <w:rPr>
          <w:rFonts w:ascii="Arial" w:hAnsi="Arial" w:cs="Arial"/>
          <w:sz w:val="22"/>
          <w:szCs w:val="22"/>
        </w:rPr>
        <w:t xml:space="preserve">. </w:t>
      </w:r>
      <w:r w:rsidRPr="000A65D0">
        <w:rPr>
          <w:rFonts w:ascii="Arial" w:eastAsiaTheme="minorHAnsi" w:hAnsi="Arial" w:cs="Arial"/>
          <w:sz w:val="22"/>
          <w:szCs w:val="22"/>
        </w:rPr>
        <w:t>While the definition of torture under section 134 of the CJA is not identical with that of article 1 UNCAT, and is actually wider in scope, the legislation giving the UK universal jurisdiction over torture provides:</w:t>
      </w:r>
    </w:p>
    <w:p w:rsidR="000A65D0" w:rsidRPr="000A65D0" w:rsidRDefault="000A65D0" w:rsidP="000A65D0">
      <w:pPr>
        <w:shd w:val="clear" w:color="auto" w:fill="FFFFFF"/>
        <w:jc w:val="both"/>
        <w:textAlignment w:val="baseline"/>
        <w:rPr>
          <w:rFonts w:ascii="Arial" w:eastAsiaTheme="minorHAnsi" w:hAnsi="Arial" w:cs="Arial"/>
          <w:sz w:val="22"/>
          <w:szCs w:val="22"/>
        </w:rPr>
      </w:pPr>
    </w:p>
    <w:p w:rsidR="000A65D0" w:rsidRPr="000A65D0" w:rsidRDefault="000A65D0" w:rsidP="000A65D0">
      <w:pPr>
        <w:spacing w:after="200"/>
        <w:ind w:left="720"/>
        <w:jc w:val="both"/>
        <w:rPr>
          <w:rFonts w:ascii="Arial" w:eastAsiaTheme="minorHAnsi" w:hAnsi="Arial" w:cs="Arial"/>
          <w:sz w:val="20"/>
          <w:szCs w:val="20"/>
        </w:rPr>
      </w:pPr>
      <w:r w:rsidRPr="000A65D0">
        <w:rPr>
          <w:rFonts w:ascii="Arial" w:eastAsiaTheme="minorHAnsi" w:hAnsi="Arial" w:cs="Arial"/>
          <w:sz w:val="20"/>
          <w:szCs w:val="20"/>
        </w:rPr>
        <w:t>(4) It shall be a defence for a person charged with an offence under this section in respect of any conduct of his to prove that he had lawful authority, justification or excuse for that conduct”</w:t>
      </w:r>
    </w:p>
    <w:p w:rsidR="000A65D0" w:rsidRPr="000A65D0" w:rsidRDefault="000A65D0" w:rsidP="000A65D0">
      <w:pPr>
        <w:spacing w:after="200"/>
        <w:ind w:left="720"/>
        <w:jc w:val="both"/>
        <w:rPr>
          <w:rFonts w:ascii="Arial" w:eastAsiaTheme="minorHAnsi" w:hAnsi="Arial" w:cs="Arial"/>
          <w:sz w:val="20"/>
          <w:szCs w:val="20"/>
        </w:rPr>
      </w:pPr>
      <w:r w:rsidRPr="000A65D0">
        <w:rPr>
          <w:rFonts w:ascii="Arial" w:eastAsiaTheme="minorHAnsi" w:hAnsi="Arial" w:cs="Arial"/>
          <w:sz w:val="20"/>
          <w:szCs w:val="20"/>
        </w:rPr>
        <w:t>(5) For the purpose of this section “lawful authority, justification or excuse” means - …(b) in relation to pain and suffering inflicted outside the United Kingdom . . . (iii) in any other case, lawful authority, justification, or excuse under the law of the place where it was inflicted.</w:t>
      </w:r>
    </w:p>
    <w:p w:rsidR="00A722D6" w:rsidRDefault="000A65D0" w:rsidP="000A65D0">
      <w:pPr>
        <w:spacing w:after="200"/>
        <w:jc w:val="both"/>
        <w:rPr>
          <w:rFonts w:ascii="Arial" w:eastAsiaTheme="minorHAnsi" w:hAnsi="Arial" w:cs="Arial"/>
          <w:sz w:val="22"/>
          <w:szCs w:val="22"/>
          <w:highlight w:val="yellow"/>
        </w:rPr>
      </w:pPr>
      <w:r w:rsidRPr="000A65D0">
        <w:rPr>
          <w:rFonts w:ascii="Arial" w:eastAsiaTheme="minorHAnsi" w:hAnsi="Arial" w:cs="Arial"/>
          <w:sz w:val="22"/>
          <w:szCs w:val="22"/>
        </w:rPr>
        <w:t xml:space="preserve">These defences are incompatible with the UK’s obligations under UNCAT and the ICCPR. Article 1(1) UNCAT simply states that torture “does not include pain or suffering arising only from, inherent in or incidental to lawful sanctions”, which means that they must be lawful under international law, not just under national law; article 2(3) UNCAT specifies that “an order from a superior officer or a public authority may not be invoked as a justification for torture.” An interpretation of sections 134 (4) and (5) of the CJA has not been given by UK </w:t>
      </w:r>
      <w:r w:rsidRPr="008531BB">
        <w:rPr>
          <w:rFonts w:ascii="Arial" w:eastAsiaTheme="minorHAnsi" w:hAnsi="Arial" w:cs="Arial"/>
          <w:sz w:val="22"/>
          <w:szCs w:val="22"/>
        </w:rPr>
        <w:t>courts</w:t>
      </w:r>
      <w:r w:rsidR="0079695B" w:rsidRPr="008531BB">
        <w:rPr>
          <w:rFonts w:ascii="Arial" w:eastAsiaTheme="minorHAnsi" w:hAnsi="Arial" w:cs="Arial"/>
          <w:sz w:val="22"/>
          <w:szCs w:val="22"/>
        </w:rPr>
        <w:t>.</w:t>
      </w:r>
    </w:p>
    <w:p w:rsidR="000A65D0" w:rsidRPr="0079695B" w:rsidRDefault="001C357A" w:rsidP="000A65D0">
      <w:pPr>
        <w:spacing w:after="200"/>
        <w:jc w:val="both"/>
        <w:rPr>
          <w:rFonts w:ascii="Arial" w:eastAsiaTheme="minorHAnsi" w:hAnsi="Arial" w:cs="Arial"/>
          <w:sz w:val="22"/>
          <w:szCs w:val="22"/>
        </w:rPr>
      </w:pPr>
      <w:r>
        <w:rPr>
          <w:rFonts w:ascii="Arial" w:eastAsiaTheme="minorHAnsi" w:hAnsi="Arial" w:cs="Arial"/>
          <w:sz w:val="22"/>
          <w:szCs w:val="22"/>
        </w:rPr>
        <w:t>29</w:t>
      </w:r>
      <w:r w:rsidR="00A722D6" w:rsidRPr="005A11CD">
        <w:rPr>
          <w:rFonts w:ascii="Arial" w:eastAsiaTheme="minorHAnsi" w:hAnsi="Arial" w:cs="Arial"/>
          <w:sz w:val="22"/>
          <w:szCs w:val="22"/>
        </w:rPr>
        <w:t>.</w:t>
      </w:r>
      <w:r w:rsidR="0079695B" w:rsidRPr="005A11CD">
        <w:rPr>
          <w:rFonts w:ascii="Arial" w:eastAsiaTheme="minorHAnsi" w:hAnsi="Arial" w:cs="Arial"/>
          <w:sz w:val="22"/>
          <w:szCs w:val="22"/>
        </w:rPr>
        <w:t xml:space="preserve"> </w:t>
      </w:r>
      <w:r w:rsidR="0079695B" w:rsidRPr="005A11CD">
        <w:rPr>
          <w:rFonts w:ascii="Arial" w:hAnsi="Arial" w:cs="Arial"/>
          <w:sz w:val="22"/>
          <w:szCs w:val="22"/>
        </w:rPr>
        <w:t xml:space="preserve">The wording of these statutory provisions is clear and unambiguous. Parliament may pass a law that mirrors the terms of the treaty and in that sense incorporates the treaty into English law. But even then, the incorporation may be misleading. It is not the treaty but the statute, which forms part of English law. In addition, English courts will not (unless the statute expressly so provides) be bound to give effect to interpretations of the treaty by an international court, even </w:t>
      </w:r>
      <w:r w:rsidR="0079695B" w:rsidRPr="005A11CD">
        <w:rPr>
          <w:rFonts w:ascii="Arial" w:hAnsi="Arial" w:cs="Arial"/>
          <w:sz w:val="22"/>
          <w:szCs w:val="22"/>
        </w:rPr>
        <w:lastRenderedPageBreak/>
        <w:t>though the United Kingdom is bound by international law to do so, or to an authoritative interpretation by a treaty body. In light of the above, it would be open to a Court to interpret these provisions without having to assess its compliance with the Torture Convention, because of the lack of interface between the statute and the Convention and the unambiguous wording.</w:t>
      </w:r>
      <w:r w:rsidR="000A65D0" w:rsidRPr="005A11CD">
        <w:rPr>
          <w:rFonts w:ascii="Arial" w:eastAsiaTheme="minorHAnsi" w:hAnsi="Arial" w:cs="Arial"/>
          <w:sz w:val="22"/>
          <w:szCs w:val="22"/>
          <w:vertAlign w:val="superscript"/>
        </w:rPr>
        <w:footnoteReference w:id="39"/>
      </w:r>
      <w:r w:rsidR="000A65D0" w:rsidRPr="00D86A22">
        <w:rPr>
          <w:rFonts w:ascii="Arial" w:eastAsiaTheme="minorHAnsi" w:hAnsi="Arial" w:cs="Arial"/>
          <w:sz w:val="22"/>
          <w:szCs w:val="22"/>
        </w:rPr>
        <w:t xml:space="preserve"> </w:t>
      </w:r>
      <w:r w:rsidR="008531BB" w:rsidRPr="005A11CD">
        <w:rPr>
          <w:rFonts w:ascii="Arial" w:eastAsiaTheme="minorHAnsi" w:hAnsi="Arial" w:cs="Arial"/>
          <w:sz w:val="22"/>
          <w:szCs w:val="22"/>
        </w:rPr>
        <w:t xml:space="preserve">We </w:t>
      </w:r>
      <w:r w:rsidR="00AF0884" w:rsidRPr="005A11CD">
        <w:rPr>
          <w:rFonts w:ascii="Arial" w:eastAsiaTheme="minorHAnsi" w:hAnsi="Arial" w:cs="Arial"/>
          <w:sz w:val="22"/>
          <w:szCs w:val="22"/>
        </w:rPr>
        <w:t xml:space="preserve">therefore </w:t>
      </w:r>
      <w:r w:rsidR="008531BB" w:rsidRPr="005A11CD">
        <w:rPr>
          <w:rFonts w:ascii="Arial" w:eastAsiaTheme="minorHAnsi" w:hAnsi="Arial" w:cs="Arial"/>
          <w:sz w:val="22"/>
          <w:szCs w:val="22"/>
        </w:rPr>
        <w:t xml:space="preserve">believe the </w:t>
      </w:r>
      <w:r w:rsidR="00AF0884" w:rsidRPr="005A11CD">
        <w:rPr>
          <w:rFonts w:ascii="Arial" w:eastAsiaTheme="minorHAnsi" w:hAnsi="Arial" w:cs="Arial"/>
          <w:sz w:val="22"/>
          <w:szCs w:val="22"/>
        </w:rPr>
        <w:t>defence should be repealed.</w:t>
      </w:r>
    </w:p>
    <w:p w:rsidR="000A65D0" w:rsidRPr="0079695B" w:rsidRDefault="000A65D0" w:rsidP="000A65D0">
      <w:pPr>
        <w:numPr>
          <w:ilvl w:val="0"/>
          <w:numId w:val="18"/>
        </w:numPr>
        <w:autoSpaceDE w:val="0"/>
        <w:autoSpaceDN w:val="0"/>
        <w:adjustRightInd w:val="0"/>
        <w:contextualSpacing/>
        <w:rPr>
          <w:rFonts w:ascii="Arial" w:hAnsi="Arial" w:cs="Arial"/>
          <w:b/>
          <w:bCs/>
          <w:color w:val="000000"/>
          <w:sz w:val="22"/>
          <w:szCs w:val="22"/>
          <w:lang w:val="en-US"/>
        </w:rPr>
      </w:pPr>
      <w:r w:rsidRPr="0079695B">
        <w:rPr>
          <w:rFonts w:ascii="Arial" w:hAnsi="Arial" w:cs="Arial"/>
          <w:b/>
          <w:bCs/>
          <w:color w:val="000000"/>
          <w:sz w:val="22"/>
          <w:szCs w:val="22"/>
          <w:lang w:val="en-US"/>
        </w:rPr>
        <w:t>A COMPREHENSIVE POLICY IS NEEDED</w:t>
      </w:r>
    </w:p>
    <w:p w:rsidR="000A65D0" w:rsidRPr="000A65D0" w:rsidRDefault="000A65D0" w:rsidP="000A65D0">
      <w:pPr>
        <w:autoSpaceDE w:val="0"/>
        <w:autoSpaceDN w:val="0"/>
        <w:adjustRightInd w:val="0"/>
        <w:rPr>
          <w:rFonts w:ascii="Calibri" w:hAnsi="Calibri" w:cs="Arial"/>
          <w:b/>
          <w:bCs/>
          <w:color w:val="000000"/>
          <w:lang w:val="en-US"/>
        </w:rPr>
      </w:pPr>
    </w:p>
    <w:p w:rsidR="00D86A22" w:rsidRDefault="00A722D6" w:rsidP="000A65D0">
      <w:pPr>
        <w:tabs>
          <w:tab w:val="center" w:pos="4320"/>
          <w:tab w:val="right" w:pos="8640"/>
        </w:tabs>
        <w:jc w:val="both"/>
        <w:rPr>
          <w:rFonts w:ascii="Arial" w:hAnsi="Arial" w:cs="Arial"/>
          <w:sz w:val="22"/>
          <w:szCs w:val="22"/>
        </w:rPr>
      </w:pPr>
      <w:r>
        <w:rPr>
          <w:rFonts w:ascii="Arial" w:hAnsi="Arial" w:cs="Arial"/>
          <w:sz w:val="22"/>
          <w:szCs w:val="22"/>
        </w:rPr>
        <w:t>3</w:t>
      </w:r>
      <w:r w:rsidR="001C357A">
        <w:rPr>
          <w:rFonts w:ascii="Arial" w:hAnsi="Arial" w:cs="Arial"/>
          <w:sz w:val="22"/>
          <w:szCs w:val="22"/>
        </w:rPr>
        <w:t>0</w:t>
      </w:r>
      <w:r w:rsidR="000A65D0" w:rsidRPr="000A65D0">
        <w:rPr>
          <w:rFonts w:ascii="Arial" w:hAnsi="Arial" w:cs="Arial"/>
          <w:sz w:val="22"/>
          <w:szCs w:val="22"/>
        </w:rPr>
        <w:t>. In our view it is the UK’s lack of an over-all anti-torture policy relating in particular to counter-terrorism and the conduct of its security agencies and armed forces abroad which lies at the root of the concerns examined above. This contrasts with the pro-active role the UK has assumed on various aspects of the prohibition of torture. The UK has a written foreign policy relating to its work to prevent torture around the world and continues to play a leading role in the promotion of the Optional Protocol to UNCAT.</w:t>
      </w:r>
      <w:r w:rsidR="000A65D0" w:rsidRPr="000A65D0">
        <w:rPr>
          <w:rFonts w:ascii="Arial" w:hAnsi="Arial" w:cs="Arial"/>
          <w:sz w:val="22"/>
          <w:szCs w:val="22"/>
          <w:vertAlign w:val="superscript"/>
        </w:rPr>
        <w:footnoteReference w:id="40"/>
      </w:r>
      <w:r w:rsidR="000A65D0" w:rsidRPr="000A65D0">
        <w:rPr>
          <w:rFonts w:ascii="Arial" w:hAnsi="Arial" w:cs="Arial"/>
          <w:sz w:val="22"/>
          <w:szCs w:val="22"/>
        </w:rPr>
        <w:t xml:space="preserve"> It has incorporated aspects of UNCAT into its domestic law,</w:t>
      </w:r>
      <w:r w:rsidR="000A65D0" w:rsidRPr="000A65D0">
        <w:rPr>
          <w:rFonts w:ascii="Arial" w:hAnsi="Arial" w:cs="Arial"/>
          <w:sz w:val="22"/>
          <w:szCs w:val="22"/>
          <w:vertAlign w:val="superscript"/>
        </w:rPr>
        <w:footnoteReference w:id="41"/>
      </w:r>
      <w:r w:rsidR="000A65D0" w:rsidRPr="000A65D0">
        <w:rPr>
          <w:rFonts w:ascii="Arial" w:hAnsi="Arial" w:cs="Arial"/>
          <w:sz w:val="22"/>
          <w:szCs w:val="22"/>
        </w:rPr>
        <w:t xml:space="preserve"> and has some limited guidelines for its security agencies and service personnel relating to the treatment of detainees abroad.</w:t>
      </w:r>
      <w:r w:rsidR="000A65D0" w:rsidRPr="000A65D0">
        <w:rPr>
          <w:rFonts w:ascii="Arial" w:hAnsi="Arial" w:cs="Arial"/>
          <w:sz w:val="22"/>
          <w:szCs w:val="22"/>
          <w:vertAlign w:val="superscript"/>
        </w:rPr>
        <w:footnoteReference w:id="42"/>
      </w:r>
      <w:r w:rsidR="000A65D0" w:rsidRPr="000A65D0">
        <w:rPr>
          <w:rFonts w:ascii="Arial" w:hAnsi="Arial" w:cs="Arial"/>
          <w:sz w:val="22"/>
          <w:szCs w:val="22"/>
        </w:rPr>
        <w:t xml:space="preserve"> Notwithstanding this, and the UK’s regular pronouncements condemning torture committed by officials of other countries,</w:t>
      </w:r>
      <w:r w:rsidR="000A65D0" w:rsidRPr="000A65D0">
        <w:rPr>
          <w:rFonts w:ascii="Arial" w:hAnsi="Arial" w:cs="Arial"/>
          <w:sz w:val="22"/>
          <w:szCs w:val="22"/>
          <w:vertAlign w:val="superscript"/>
        </w:rPr>
        <w:footnoteReference w:id="43"/>
      </w:r>
      <w:r w:rsidR="000A65D0" w:rsidRPr="000A65D0">
        <w:rPr>
          <w:rFonts w:ascii="Arial" w:hAnsi="Arial" w:cs="Arial"/>
          <w:sz w:val="22"/>
          <w:szCs w:val="22"/>
        </w:rPr>
        <w:t xml:space="preserve"> REDRESS believes that it is time for the UK to adopt and implement a comprehensive policy to prevent, prohibit and respond to allegations of torture which also concern UK agents and officials. </w:t>
      </w:r>
    </w:p>
    <w:p w:rsidR="00D86A22" w:rsidRDefault="00D86A22" w:rsidP="000A65D0">
      <w:pPr>
        <w:tabs>
          <w:tab w:val="center" w:pos="4320"/>
          <w:tab w:val="right" w:pos="8640"/>
        </w:tabs>
        <w:jc w:val="both"/>
        <w:rPr>
          <w:rFonts w:ascii="Arial" w:hAnsi="Arial" w:cs="Arial"/>
          <w:sz w:val="22"/>
          <w:szCs w:val="22"/>
        </w:rPr>
      </w:pPr>
    </w:p>
    <w:p w:rsidR="000A65D0" w:rsidRPr="000A65D0" w:rsidRDefault="00D86A22" w:rsidP="000A65D0">
      <w:pPr>
        <w:tabs>
          <w:tab w:val="center" w:pos="4320"/>
          <w:tab w:val="right" w:pos="8640"/>
        </w:tabs>
        <w:jc w:val="both"/>
        <w:rPr>
          <w:rFonts w:ascii="Arial" w:hAnsi="Arial" w:cs="Arial"/>
          <w:sz w:val="22"/>
          <w:szCs w:val="22"/>
        </w:rPr>
      </w:pPr>
      <w:r>
        <w:rPr>
          <w:rFonts w:ascii="Arial" w:hAnsi="Arial" w:cs="Arial"/>
          <w:sz w:val="22"/>
          <w:szCs w:val="22"/>
        </w:rPr>
        <w:t>3</w:t>
      </w:r>
      <w:r w:rsidR="001C357A">
        <w:rPr>
          <w:rFonts w:ascii="Arial" w:hAnsi="Arial" w:cs="Arial"/>
          <w:sz w:val="22"/>
          <w:szCs w:val="22"/>
        </w:rPr>
        <w:t>1</w:t>
      </w:r>
      <w:r>
        <w:rPr>
          <w:rFonts w:ascii="Arial" w:hAnsi="Arial" w:cs="Arial"/>
          <w:sz w:val="22"/>
          <w:szCs w:val="22"/>
        </w:rPr>
        <w:t xml:space="preserve">. </w:t>
      </w:r>
      <w:r w:rsidR="000A65D0" w:rsidRPr="000A65D0">
        <w:rPr>
          <w:rFonts w:ascii="Arial" w:hAnsi="Arial" w:cs="Arial"/>
          <w:sz w:val="22"/>
          <w:szCs w:val="22"/>
        </w:rPr>
        <w:t>The standard approach to allegations of torture (whether by the security agencies or by the armed forces) is to eventually set up inquiry mechanisms. This approach has been reactive and piecemeal, and has not resulted in accountability and broader reforms to ensure non-repetition. Responses to date suggest that the UK will not meet its obligations without a comprehensive, ‘joined-up’, consistent and transparent policy grounded in applicable international standards.</w:t>
      </w:r>
    </w:p>
    <w:p w:rsidR="000A65D0" w:rsidRPr="000A65D0" w:rsidRDefault="000A65D0" w:rsidP="000A65D0">
      <w:pPr>
        <w:tabs>
          <w:tab w:val="center" w:pos="4320"/>
          <w:tab w:val="right" w:pos="8640"/>
        </w:tabs>
        <w:jc w:val="both"/>
        <w:rPr>
          <w:rFonts w:ascii="Arial" w:hAnsi="Arial" w:cs="Arial"/>
          <w:sz w:val="22"/>
          <w:szCs w:val="22"/>
        </w:rPr>
      </w:pPr>
    </w:p>
    <w:p w:rsidR="000A65D0" w:rsidRPr="000A65D0" w:rsidRDefault="000A65D0" w:rsidP="000A65D0">
      <w:pPr>
        <w:tabs>
          <w:tab w:val="center" w:pos="4320"/>
          <w:tab w:val="right" w:pos="8640"/>
        </w:tabs>
        <w:jc w:val="both"/>
        <w:rPr>
          <w:rFonts w:ascii="Arial" w:hAnsi="Arial" w:cs="Arial"/>
          <w:sz w:val="22"/>
          <w:szCs w:val="22"/>
        </w:rPr>
      </w:pPr>
    </w:p>
    <w:p w:rsidR="000A65D0" w:rsidRPr="000A65D0" w:rsidRDefault="000A65D0" w:rsidP="000A65D0">
      <w:pPr>
        <w:numPr>
          <w:ilvl w:val="0"/>
          <w:numId w:val="18"/>
        </w:numPr>
        <w:tabs>
          <w:tab w:val="center" w:pos="4320"/>
          <w:tab w:val="right" w:pos="8640"/>
        </w:tabs>
        <w:contextualSpacing/>
        <w:jc w:val="both"/>
        <w:rPr>
          <w:rFonts w:ascii="Arial" w:hAnsi="Arial" w:cs="Arial"/>
          <w:b/>
          <w:sz w:val="22"/>
          <w:szCs w:val="22"/>
        </w:rPr>
      </w:pPr>
      <w:r w:rsidRPr="000A65D0">
        <w:rPr>
          <w:rFonts w:ascii="Arial" w:hAnsi="Arial" w:cs="Arial"/>
          <w:b/>
          <w:sz w:val="22"/>
          <w:szCs w:val="22"/>
        </w:rPr>
        <w:t>RECOMMENDATIONS</w:t>
      </w:r>
    </w:p>
    <w:p w:rsidR="000A65D0" w:rsidRPr="000A65D0" w:rsidRDefault="000A65D0" w:rsidP="000A65D0">
      <w:pPr>
        <w:tabs>
          <w:tab w:val="center" w:pos="4320"/>
          <w:tab w:val="right" w:pos="8640"/>
        </w:tabs>
        <w:jc w:val="both"/>
        <w:rPr>
          <w:rFonts w:ascii="Arial" w:hAnsi="Arial" w:cs="Arial"/>
          <w:b/>
          <w:sz w:val="22"/>
          <w:szCs w:val="22"/>
        </w:rPr>
      </w:pPr>
    </w:p>
    <w:p w:rsidR="00A722D6" w:rsidRDefault="000A65D0" w:rsidP="000A65D0">
      <w:pPr>
        <w:tabs>
          <w:tab w:val="center" w:pos="4320"/>
          <w:tab w:val="right" w:pos="8640"/>
        </w:tabs>
        <w:jc w:val="both"/>
        <w:rPr>
          <w:rFonts w:ascii="Arial" w:hAnsi="Arial" w:cs="Arial"/>
          <w:sz w:val="22"/>
          <w:szCs w:val="22"/>
        </w:rPr>
      </w:pPr>
      <w:r w:rsidRPr="000A65D0">
        <w:rPr>
          <w:rFonts w:ascii="Arial" w:hAnsi="Arial" w:cs="Arial"/>
          <w:sz w:val="22"/>
          <w:szCs w:val="22"/>
        </w:rPr>
        <w:t xml:space="preserve">REDRESS respectfully suggests that the </w:t>
      </w:r>
      <w:r w:rsidR="00A722D6">
        <w:rPr>
          <w:rFonts w:ascii="Arial" w:hAnsi="Arial" w:cs="Arial"/>
          <w:sz w:val="22"/>
          <w:szCs w:val="22"/>
        </w:rPr>
        <w:t>Committee</w:t>
      </w:r>
      <w:r w:rsidRPr="000A65D0">
        <w:rPr>
          <w:rFonts w:ascii="Arial" w:hAnsi="Arial" w:cs="Arial"/>
          <w:sz w:val="22"/>
          <w:szCs w:val="22"/>
        </w:rPr>
        <w:t xml:space="preserve"> should</w:t>
      </w:r>
      <w:r w:rsidR="006D5323">
        <w:rPr>
          <w:rFonts w:ascii="Arial" w:hAnsi="Arial" w:cs="Arial"/>
          <w:sz w:val="22"/>
          <w:szCs w:val="22"/>
        </w:rPr>
        <w:t xml:space="preserve"> </w:t>
      </w:r>
      <w:r w:rsidR="006D5323" w:rsidRPr="00A722D6">
        <w:rPr>
          <w:rFonts w:ascii="Arial" w:hAnsi="Arial" w:cs="Arial"/>
          <w:color w:val="333333"/>
          <w:sz w:val="22"/>
          <w:szCs w:val="22"/>
          <w:lang w:eastAsia="en-GB"/>
        </w:rPr>
        <w:t>ask the UK Government</w:t>
      </w:r>
      <w:r w:rsidR="006D5323">
        <w:rPr>
          <w:rFonts w:ascii="Arial" w:hAnsi="Arial" w:cs="Arial"/>
          <w:color w:val="333333"/>
          <w:sz w:val="22"/>
          <w:szCs w:val="22"/>
          <w:lang w:eastAsia="en-GB"/>
        </w:rPr>
        <w:t>:</w:t>
      </w:r>
      <w:r w:rsidRPr="000A65D0">
        <w:rPr>
          <w:rFonts w:ascii="Arial" w:hAnsi="Arial" w:cs="Arial"/>
          <w:sz w:val="22"/>
          <w:szCs w:val="22"/>
        </w:rPr>
        <w:t xml:space="preserve"> </w:t>
      </w:r>
    </w:p>
    <w:p w:rsidR="006D5323" w:rsidRDefault="00A722D6" w:rsidP="00A722D6">
      <w:pPr>
        <w:pStyle w:val="ListParagraph"/>
        <w:numPr>
          <w:ilvl w:val="0"/>
          <w:numId w:val="20"/>
        </w:numPr>
        <w:shd w:val="clear" w:color="auto" w:fill="FFFFFF"/>
        <w:spacing w:before="100" w:beforeAutospacing="1" w:after="195" w:afterAutospacing="1"/>
        <w:ind w:right="-46"/>
        <w:jc w:val="both"/>
        <w:rPr>
          <w:rFonts w:ascii="Arial" w:hAnsi="Arial" w:cs="Arial"/>
          <w:color w:val="333333"/>
          <w:sz w:val="22"/>
          <w:szCs w:val="22"/>
          <w:lang w:eastAsia="en-GB"/>
        </w:rPr>
      </w:pPr>
      <w:r w:rsidRPr="00A722D6">
        <w:rPr>
          <w:rFonts w:ascii="Arial" w:hAnsi="Arial" w:cs="Arial"/>
          <w:color w:val="333333"/>
          <w:sz w:val="22"/>
          <w:szCs w:val="22"/>
          <w:lang w:eastAsia="en-GB"/>
        </w:rPr>
        <w:t>why it has retreated from its previous assurance of an independent judge-led inquiry</w:t>
      </w:r>
      <w:r w:rsidR="006D5323">
        <w:rPr>
          <w:rFonts w:ascii="Arial" w:hAnsi="Arial" w:cs="Arial"/>
          <w:color w:val="333333"/>
          <w:sz w:val="22"/>
          <w:szCs w:val="22"/>
          <w:lang w:eastAsia="en-GB"/>
        </w:rPr>
        <w:t xml:space="preserve"> into complicity in torture allegations</w:t>
      </w:r>
      <w:r w:rsidRPr="00A722D6">
        <w:rPr>
          <w:rFonts w:ascii="Arial" w:hAnsi="Arial" w:cs="Arial"/>
          <w:color w:val="333333"/>
          <w:sz w:val="22"/>
          <w:szCs w:val="22"/>
          <w:lang w:eastAsia="en-GB"/>
        </w:rPr>
        <w:t>;</w:t>
      </w:r>
    </w:p>
    <w:p w:rsidR="006D5323" w:rsidRDefault="006D5323" w:rsidP="006D5323">
      <w:pPr>
        <w:pStyle w:val="ListParagraph"/>
        <w:shd w:val="clear" w:color="auto" w:fill="FFFFFF"/>
        <w:spacing w:before="100" w:beforeAutospacing="1" w:after="195" w:afterAutospacing="1"/>
        <w:ind w:right="-46"/>
        <w:jc w:val="both"/>
        <w:rPr>
          <w:rFonts w:ascii="Arial" w:hAnsi="Arial" w:cs="Arial"/>
          <w:color w:val="333333"/>
          <w:sz w:val="22"/>
          <w:szCs w:val="22"/>
          <w:lang w:eastAsia="en-GB"/>
        </w:rPr>
      </w:pPr>
    </w:p>
    <w:p w:rsidR="006D5323" w:rsidRPr="006D5323" w:rsidRDefault="00A722D6" w:rsidP="006D5323">
      <w:pPr>
        <w:pStyle w:val="ListParagraph"/>
        <w:numPr>
          <w:ilvl w:val="0"/>
          <w:numId w:val="20"/>
        </w:numPr>
        <w:shd w:val="clear" w:color="auto" w:fill="FFFFFF"/>
        <w:spacing w:before="100" w:beforeAutospacing="1" w:after="195" w:afterAutospacing="1"/>
        <w:ind w:right="-46"/>
        <w:jc w:val="both"/>
        <w:rPr>
          <w:rFonts w:ascii="Arial" w:hAnsi="Arial" w:cs="Arial"/>
          <w:color w:val="333333"/>
          <w:sz w:val="22"/>
          <w:szCs w:val="22"/>
          <w:lang w:eastAsia="en-GB"/>
        </w:rPr>
      </w:pPr>
      <w:r w:rsidRPr="006D5323">
        <w:rPr>
          <w:rFonts w:ascii="Arial" w:hAnsi="Arial" w:cs="Arial"/>
          <w:color w:val="333333"/>
          <w:sz w:val="22"/>
          <w:szCs w:val="22"/>
          <w:lang w:eastAsia="en-GB"/>
        </w:rPr>
        <w:lastRenderedPageBreak/>
        <w:t xml:space="preserve">how it </w:t>
      </w:r>
      <w:r w:rsidR="00D86A22">
        <w:rPr>
          <w:rFonts w:ascii="Arial" w:hAnsi="Arial" w:cs="Arial"/>
          <w:color w:val="333333"/>
          <w:sz w:val="22"/>
          <w:szCs w:val="22"/>
          <w:lang w:eastAsia="en-GB"/>
        </w:rPr>
        <w:t>can ensure that</w:t>
      </w:r>
      <w:r w:rsidRPr="006D5323">
        <w:rPr>
          <w:rFonts w:ascii="Arial" w:hAnsi="Arial" w:cs="Arial"/>
          <w:color w:val="333333"/>
          <w:sz w:val="22"/>
          <w:szCs w:val="22"/>
          <w:lang w:eastAsia="en-GB"/>
        </w:rPr>
        <w:t xml:space="preserve"> the ISC examination </w:t>
      </w:r>
      <w:r w:rsidR="00D86A22">
        <w:rPr>
          <w:rFonts w:ascii="Arial" w:hAnsi="Arial" w:cs="Arial"/>
          <w:color w:val="333333"/>
          <w:sz w:val="22"/>
          <w:szCs w:val="22"/>
          <w:lang w:eastAsia="en-GB"/>
        </w:rPr>
        <w:t>will</w:t>
      </w:r>
      <w:r w:rsidRPr="006D5323">
        <w:rPr>
          <w:rFonts w:ascii="Arial" w:hAnsi="Arial" w:cs="Arial"/>
          <w:color w:val="333333"/>
          <w:sz w:val="22"/>
          <w:szCs w:val="22"/>
          <w:lang w:eastAsia="en-GB"/>
        </w:rPr>
        <w:t xml:space="preserve"> be compliant with its obligations under the Covenant;</w:t>
      </w:r>
    </w:p>
    <w:p w:rsidR="006D5323" w:rsidRDefault="006D5323" w:rsidP="006D5323">
      <w:pPr>
        <w:pStyle w:val="ListParagraph"/>
        <w:shd w:val="clear" w:color="auto" w:fill="FFFFFF"/>
        <w:spacing w:before="100" w:beforeAutospacing="1" w:after="195" w:afterAutospacing="1"/>
        <w:ind w:right="-46"/>
        <w:jc w:val="both"/>
        <w:rPr>
          <w:rFonts w:ascii="Arial" w:hAnsi="Arial" w:cs="Arial"/>
          <w:color w:val="333333"/>
          <w:sz w:val="22"/>
          <w:szCs w:val="22"/>
          <w:lang w:eastAsia="en-GB"/>
        </w:rPr>
      </w:pPr>
    </w:p>
    <w:p w:rsidR="00A722D6" w:rsidRDefault="00A722D6" w:rsidP="00A722D6">
      <w:pPr>
        <w:pStyle w:val="ListParagraph"/>
        <w:numPr>
          <w:ilvl w:val="0"/>
          <w:numId w:val="20"/>
        </w:numPr>
        <w:shd w:val="clear" w:color="auto" w:fill="FFFFFF"/>
        <w:spacing w:before="100" w:beforeAutospacing="1" w:after="195" w:afterAutospacing="1"/>
        <w:ind w:right="-46"/>
        <w:jc w:val="both"/>
        <w:rPr>
          <w:rFonts w:ascii="Arial" w:hAnsi="Arial" w:cs="Arial"/>
          <w:color w:val="333333"/>
          <w:sz w:val="22"/>
          <w:szCs w:val="22"/>
          <w:lang w:eastAsia="en-GB"/>
        </w:rPr>
      </w:pPr>
      <w:r w:rsidRPr="00A722D6">
        <w:rPr>
          <w:rFonts w:ascii="Arial" w:hAnsi="Arial" w:cs="Arial"/>
          <w:color w:val="333333"/>
          <w:sz w:val="22"/>
          <w:szCs w:val="22"/>
          <w:lang w:eastAsia="en-GB"/>
        </w:rPr>
        <w:t>what is being done about the fresh allegations which have arisen concerning the UK’s knowledge of the USA’s use of Diego Garcia during the USA’s torture programme, as well as UK renditions in and from Iraq</w:t>
      </w:r>
      <w:r>
        <w:rPr>
          <w:rFonts w:ascii="Arial" w:hAnsi="Arial" w:cs="Arial"/>
          <w:color w:val="333333"/>
          <w:sz w:val="22"/>
          <w:szCs w:val="22"/>
          <w:lang w:eastAsia="en-GB"/>
        </w:rPr>
        <w:t>;</w:t>
      </w:r>
    </w:p>
    <w:p w:rsidR="00A722D6" w:rsidRDefault="00A722D6" w:rsidP="00A722D6">
      <w:pPr>
        <w:pStyle w:val="ListParagraph"/>
        <w:shd w:val="clear" w:color="auto" w:fill="FFFFFF"/>
        <w:spacing w:before="100" w:beforeAutospacing="1" w:after="195" w:afterAutospacing="1"/>
        <w:ind w:right="-46"/>
        <w:jc w:val="both"/>
        <w:rPr>
          <w:rFonts w:ascii="Arial" w:hAnsi="Arial" w:cs="Arial"/>
          <w:color w:val="333333"/>
          <w:sz w:val="22"/>
          <w:szCs w:val="22"/>
          <w:lang w:eastAsia="en-GB"/>
        </w:rPr>
      </w:pPr>
    </w:p>
    <w:p w:rsidR="00A722D6" w:rsidRPr="00A722D6" w:rsidRDefault="00A722D6" w:rsidP="00A722D6">
      <w:pPr>
        <w:pStyle w:val="ListParagraph"/>
        <w:numPr>
          <w:ilvl w:val="0"/>
          <w:numId w:val="20"/>
        </w:numPr>
        <w:shd w:val="clear" w:color="auto" w:fill="FFFFFF"/>
        <w:spacing w:before="100" w:beforeAutospacing="1" w:after="195" w:afterAutospacing="1"/>
        <w:ind w:right="-46"/>
        <w:jc w:val="both"/>
        <w:rPr>
          <w:rFonts w:ascii="Arial" w:hAnsi="Arial" w:cs="Arial"/>
          <w:color w:val="333333"/>
          <w:sz w:val="22"/>
          <w:szCs w:val="22"/>
          <w:lang w:eastAsia="en-GB"/>
        </w:rPr>
      </w:pPr>
      <w:r w:rsidRPr="00255D19">
        <w:rPr>
          <w:rFonts w:ascii="Arial" w:eastAsia="Malgun Gothic" w:hAnsi="Arial" w:cs="Arial"/>
          <w:kern w:val="2"/>
          <w:sz w:val="22"/>
          <w:szCs w:val="22"/>
          <w:lang w:val="en-US" w:eastAsia="ko-KR"/>
        </w:rPr>
        <w:t xml:space="preserve">to revisit the use of DWA in the formation of an over-arching anti-torture </w:t>
      </w:r>
      <w:r>
        <w:rPr>
          <w:rFonts w:ascii="Arial" w:eastAsia="Malgun Gothic" w:hAnsi="Arial" w:cs="Arial"/>
          <w:kern w:val="2"/>
          <w:sz w:val="22"/>
          <w:szCs w:val="22"/>
          <w:lang w:val="en-US" w:eastAsia="ko-KR"/>
        </w:rPr>
        <w:t>policy;</w:t>
      </w:r>
    </w:p>
    <w:p w:rsidR="00A722D6" w:rsidRPr="00A722D6" w:rsidRDefault="00A722D6" w:rsidP="00A722D6">
      <w:pPr>
        <w:pStyle w:val="ListParagraph"/>
        <w:rPr>
          <w:rFonts w:ascii="Arial" w:hAnsi="Arial" w:cs="Arial"/>
          <w:color w:val="333333"/>
          <w:sz w:val="22"/>
          <w:szCs w:val="22"/>
          <w:lang w:eastAsia="en-GB"/>
        </w:rPr>
      </w:pPr>
    </w:p>
    <w:p w:rsidR="006D5323" w:rsidRPr="005A11CD" w:rsidRDefault="00A722D6" w:rsidP="005A11CD">
      <w:pPr>
        <w:pStyle w:val="ListParagraph"/>
        <w:numPr>
          <w:ilvl w:val="0"/>
          <w:numId w:val="20"/>
        </w:numPr>
        <w:spacing w:after="200"/>
        <w:jc w:val="both"/>
        <w:rPr>
          <w:rFonts w:ascii="Arial" w:eastAsiaTheme="minorHAnsi" w:hAnsi="Arial" w:cs="Arial"/>
          <w:sz w:val="22"/>
          <w:szCs w:val="22"/>
        </w:rPr>
      </w:pPr>
      <w:r w:rsidRPr="005A11CD">
        <w:rPr>
          <w:rFonts w:ascii="Arial" w:eastAsiaTheme="minorHAnsi" w:hAnsi="Arial" w:cs="Arial"/>
          <w:sz w:val="22"/>
          <w:szCs w:val="22"/>
        </w:rPr>
        <w:t>to explain its charging policy for service personnel, and in particular why the crime of torture has never been used in relation to allegations which would amount to torture under Article 7 of the Covenant</w:t>
      </w:r>
      <w:r w:rsidR="006D5323" w:rsidRPr="00466455">
        <w:rPr>
          <w:rFonts w:ascii="Arial" w:eastAsiaTheme="minorHAnsi" w:hAnsi="Arial" w:cs="Arial"/>
          <w:sz w:val="22"/>
          <w:szCs w:val="22"/>
        </w:rPr>
        <w:t>;</w:t>
      </w:r>
    </w:p>
    <w:p w:rsidR="006D5323" w:rsidRPr="006D5323" w:rsidRDefault="006D5323" w:rsidP="006D5323">
      <w:pPr>
        <w:pStyle w:val="ListParagraph"/>
        <w:rPr>
          <w:rFonts w:ascii="Arial" w:eastAsiaTheme="minorHAnsi" w:hAnsi="Arial" w:cs="Arial"/>
          <w:sz w:val="22"/>
          <w:szCs w:val="22"/>
        </w:rPr>
      </w:pPr>
    </w:p>
    <w:p w:rsidR="00AF0884" w:rsidRPr="001A3DFF" w:rsidRDefault="00AF0884" w:rsidP="001A3DFF">
      <w:pPr>
        <w:pStyle w:val="ListParagraph"/>
        <w:numPr>
          <w:ilvl w:val="0"/>
          <w:numId w:val="20"/>
        </w:numPr>
        <w:spacing w:after="200"/>
        <w:jc w:val="both"/>
        <w:rPr>
          <w:rFonts w:ascii="Arial" w:eastAsiaTheme="minorHAnsi" w:hAnsi="Arial" w:cs="Arial"/>
          <w:sz w:val="22"/>
          <w:szCs w:val="22"/>
        </w:rPr>
      </w:pPr>
      <w:r w:rsidRPr="001A3DFF">
        <w:rPr>
          <w:rFonts w:ascii="Arial" w:eastAsiaTheme="minorHAnsi" w:hAnsi="Arial" w:cs="Arial"/>
          <w:sz w:val="22"/>
          <w:szCs w:val="22"/>
        </w:rPr>
        <w:t>to repeal the defence of “</w:t>
      </w:r>
      <w:r w:rsidRPr="001A3DFF">
        <w:rPr>
          <w:rFonts w:ascii="Arial" w:hAnsi="Arial" w:cs="Arial"/>
          <w:sz w:val="22"/>
          <w:szCs w:val="22"/>
        </w:rPr>
        <w:t>lawful authority, justification or excuse” to torture as set out in the Criminal Justice Act 1988;</w:t>
      </w:r>
    </w:p>
    <w:p w:rsidR="00AF0884" w:rsidRPr="00A722D6" w:rsidRDefault="00AF0884" w:rsidP="00AF0884">
      <w:pPr>
        <w:pStyle w:val="ListParagraph"/>
        <w:spacing w:after="200"/>
        <w:jc w:val="both"/>
        <w:rPr>
          <w:rFonts w:ascii="Arial" w:eastAsiaTheme="minorHAnsi" w:hAnsi="Arial" w:cs="Arial"/>
          <w:sz w:val="22"/>
          <w:szCs w:val="22"/>
        </w:rPr>
      </w:pPr>
    </w:p>
    <w:p w:rsidR="001A3DFF" w:rsidRPr="001A3DFF" w:rsidRDefault="001A3DFF" w:rsidP="001A3DFF">
      <w:pPr>
        <w:pStyle w:val="ListParagraph"/>
        <w:numPr>
          <w:ilvl w:val="0"/>
          <w:numId w:val="20"/>
        </w:numPr>
        <w:tabs>
          <w:tab w:val="center" w:pos="4320"/>
          <w:tab w:val="right" w:pos="8640"/>
        </w:tabs>
        <w:jc w:val="both"/>
        <w:rPr>
          <w:rFonts w:ascii="Arial" w:hAnsi="Arial" w:cs="Arial"/>
          <w:sz w:val="22"/>
          <w:szCs w:val="22"/>
        </w:rPr>
      </w:pPr>
      <w:r>
        <w:rPr>
          <w:rFonts w:ascii="Arial" w:hAnsi="Arial" w:cs="Arial"/>
          <w:sz w:val="22"/>
          <w:szCs w:val="22"/>
        </w:rPr>
        <w:t>to adopt</w:t>
      </w:r>
      <w:r w:rsidRPr="001A3DFF">
        <w:rPr>
          <w:rFonts w:ascii="Arial" w:hAnsi="Arial" w:cs="Arial"/>
          <w:sz w:val="22"/>
          <w:szCs w:val="22"/>
        </w:rPr>
        <w:t xml:space="preserve"> a comprehensive, ‘joined-up’, consistent and transparent </w:t>
      </w:r>
      <w:r>
        <w:rPr>
          <w:rFonts w:ascii="Arial" w:hAnsi="Arial" w:cs="Arial"/>
          <w:sz w:val="22"/>
          <w:szCs w:val="22"/>
        </w:rPr>
        <w:t>anti-torture policy</w:t>
      </w:r>
      <w:r w:rsidRPr="001A3DFF">
        <w:rPr>
          <w:rFonts w:ascii="Arial" w:hAnsi="Arial" w:cs="Arial"/>
          <w:sz w:val="22"/>
          <w:szCs w:val="22"/>
        </w:rPr>
        <w:t xml:space="preserve"> grounded in applicable international standards.</w:t>
      </w:r>
    </w:p>
    <w:p w:rsidR="00A722D6" w:rsidRPr="00AF0884" w:rsidRDefault="00A722D6" w:rsidP="001A3DFF">
      <w:pPr>
        <w:pStyle w:val="ListParagraph"/>
        <w:shd w:val="clear" w:color="auto" w:fill="FFFFFF"/>
        <w:spacing w:before="100" w:beforeAutospacing="1" w:after="195" w:afterAutospacing="1"/>
        <w:ind w:right="-46"/>
        <w:jc w:val="both"/>
        <w:rPr>
          <w:rFonts w:ascii="Arial" w:hAnsi="Arial" w:cs="Arial"/>
          <w:color w:val="333333"/>
          <w:sz w:val="22"/>
          <w:szCs w:val="22"/>
          <w:lang w:eastAsia="en-GB"/>
        </w:rPr>
      </w:pPr>
    </w:p>
    <w:p w:rsidR="000A65D0" w:rsidRPr="000A65D0" w:rsidRDefault="000A65D0" w:rsidP="000A65D0">
      <w:pPr>
        <w:tabs>
          <w:tab w:val="center" w:pos="4320"/>
          <w:tab w:val="right" w:pos="8640"/>
        </w:tabs>
        <w:jc w:val="both"/>
        <w:rPr>
          <w:rFonts w:ascii="Arial" w:hAnsi="Arial" w:cs="Arial"/>
          <w:sz w:val="22"/>
          <w:szCs w:val="22"/>
        </w:rPr>
      </w:pPr>
    </w:p>
    <w:p w:rsidR="00274423" w:rsidRDefault="00274423" w:rsidP="00255D19">
      <w:pPr>
        <w:pStyle w:val="ListParagraph"/>
        <w:autoSpaceDE w:val="0"/>
        <w:autoSpaceDN w:val="0"/>
        <w:adjustRightInd w:val="0"/>
        <w:ind w:left="0"/>
        <w:jc w:val="both"/>
        <w:rPr>
          <w:rFonts w:ascii="Arial" w:hAnsi="Arial" w:cs="Arial"/>
          <w:color w:val="000000"/>
          <w:sz w:val="22"/>
          <w:szCs w:val="22"/>
        </w:rPr>
      </w:pPr>
    </w:p>
    <w:sectPr w:rsidR="00274423" w:rsidSect="005609DD">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050" w:rsidRDefault="00A75050" w:rsidP="00313CA5">
      <w:r>
        <w:separator/>
      </w:r>
    </w:p>
  </w:endnote>
  <w:endnote w:type="continuationSeparator" w:id="0">
    <w:p w:rsidR="00A75050" w:rsidRDefault="00A75050" w:rsidP="00313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LuzSans-Book"/>
    <w:charset w:val="00"/>
    <w:family w:val="auto"/>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676305"/>
      <w:docPartObj>
        <w:docPartGallery w:val="Page Numbers (Bottom of Page)"/>
        <w:docPartUnique/>
      </w:docPartObj>
    </w:sdtPr>
    <w:sdtEndPr>
      <w:rPr>
        <w:noProof/>
      </w:rPr>
    </w:sdtEndPr>
    <w:sdtContent>
      <w:p w:rsidR="004D3C25" w:rsidRDefault="004D3C25">
        <w:pPr>
          <w:pStyle w:val="Footer"/>
        </w:pPr>
        <w:r>
          <w:fldChar w:fldCharType="begin"/>
        </w:r>
        <w:r>
          <w:instrText xml:space="preserve"> PAGE   \* MERGEFORMAT </w:instrText>
        </w:r>
        <w:r>
          <w:fldChar w:fldCharType="separate"/>
        </w:r>
        <w:r w:rsidR="008018EC">
          <w:rPr>
            <w:noProof/>
          </w:rPr>
          <w:t>10</w:t>
        </w:r>
        <w:r>
          <w:rPr>
            <w:noProof/>
          </w:rPr>
          <w:fldChar w:fldCharType="end"/>
        </w:r>
      </w:p>
    </w:sdtContent>
  </w:sdt>
  <w:p w:rsidR="004D3C25" w:rsidRDefault="004D3C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050" w:rsidRDefault="00A75050" w:rsidP="00313CA5">
      <w:r>
        <w:separator/>
      </w:r>
    </w:p>
  </w:footnote>
  <w:footnote w:type="continuationSeparator" w:id="0">
    <w:p w:rsidR="00A75050" w:rsidRDefault="00A75050" w:rsidP="00313CA5">
      <w:r>
        <w:continuationSeparator/>
      </w:r>
    </w:p>
  </w:footnote>
  <w:footnote w:id="1">
    <w:p w:rsidR="004D3C25" w:rsidRPr="00C25197" w:rsidRDefault="004D3C25" w:rsidP="00A825C5">
      <w:pPr>
        <w:pStyle w:val="FootnoteText"/>
        <w:rPr>
          <w:rFonts w:ascii="Arial" w:hAnsi="Arial" w:cs="Arial"/>
          <w:sz w:val="16"/>
          <w:szCs w:val="16"/>
        </w:rPr>
      </w:pPr>
      <w:r w:rsidRPr="00C25197">
        <w:rPr>
          <w:rStyle w:val="FootnoteReference"/>
          <w:rFonts w:ascii="Arial" w:hAnsi="Arial" w:cs="Arial"/>
          <w:sz w:val="16"/>
          <w:szCs w:val="16"/>
        </w:rPr>
        <w:footnoteRef/>
      </w:r>
      <w:r w:rsidRPr="00C25197">
        <w:rPr>
          <w:rFonts w:ascii="Arial" w:hAnsi="Arial" w:cs="Arial"/>
          <w:sz w:val="16"/>
          <w:szCs w:val="16"/>
        </w:rPr>
        <w:t xml:space="preserve"> See for example Liberty, </w:t>
      </w:r>
      <w:r w:rsidRPr="00C25197">
        <w:rPr>
          <w:rFonts w:ascii="Arial" w:eastAsia="Times New Roman" w:hAnsi="Arial" w:cs="Arial"/>
          <w:i/>
          <w:color w:val="000000"/>
          <w:kern w:val="36"/>
          <w:sz w:val="16"/>
          <w:szCs w:val="16"/>
          <w:lang w:eastAsia="en-GB"/>
        </w:rPr>
        <w:t xml:space="preserve">Chief Constable begins police inquiries into extraordinary rendition flights, </w:t>
      </w:r>
      <w:r w:rsidRPr="00C25197">
        <w:rPr>
          <w:rFonts w:ascii="Arial" w:eastAsia="Times New Roman" w:hAnsi="Arial" w:cs="Arial"/>
          <w:color w:val="000000"/>
          <w:kern w:val="36"/>
          <w:sz w:val="16"/>
          <w:szCs w:val="16"/>
          <w:lang w:eastAsia="en-GB"/>
        </w:rPr>
        <w:t xml:space="preserve">19 December 2005, available at: </w:t>
      </w:r>
      <w:hyperlink r:id="rId1" w:history="1">
        <w:r w:rsidRPr="00C25197">
          <w:rPr>
            <w:rStyle w:val="Hyperlink"/>
            <w:rFonts w:ascii="Arial" w:eastAsia="Times New Roman" w:hAnsi="Arial" w:cs="Arial"/>
            <w:kern w:val="36"/>
            <w:sz w:val="16"/>
            <w:szCs w:val="16"/>
            <w:lang w:eastAsia="en-GB"/>
          </w:rPr>
          <w:t>https://www.liberty-human-rights.org.uk/news/press-releases/chief-constable-begins-police-inquiries-extraordinary-rendition-flights</w:t>
        </w:r>
      </w:hyperlink>
      <w:r w:rsidRPr="00B87C74">
        <w:rPr>
          <w:rFonts w:ascii="Arial" w:eastAsia="Times New Roman" w:hAnsi="Arial" w:cs="Arial"/>
          <w:color w:val="000000"/>
          <w:kern w:val="36"/>
          <w:sz w:val="16"/>
          <w:szCs w:val="16"/>
          <w:lang w:eastAsia="en-GB"/>
        </w:rPr>
        <w:t xml:space="preserve">. </w:t>
      </w:r>
      <w:r w:rsidRPr="00344977">
        <w:rPr>
          <w:rFonts w:ascii="Arial" w:eastAsia="Times New Roman" w:hAnsi="Arial" w:cs="Arial"/>
          <w:color w:val="000000"/>
          <w:kern w:val="36"/>
          <w:sz w:val="16"/>
          <w:szCs w:val="16"/>
          <w:lang w:eastAsia="en-GB"/>
        </w:rPr>
        <w:t>In 2008</w:t>
      </w:r>
      <w:r w:rsidRPr="00C25197">
        <w:rPr>
          <w:rFonts w:ascii="Arial" w:eastAsia="Times New Roman" w:hAnsi="Arial" w:cs="Arial"/>
          <w:b/>
          <w:color w:val="000000"/>
          <w:kern w:val="36"/>
          <w:sz w:val="16"/>
          <w:szCs w:val="16"/>
          <w:lang w:eastAsia="en-GB"/>
        </w:rPr>
        <w:t xml:space="preserve"> </w:t>
      </w:r>
      <w:r w:rsidRPr="00C25197">
        <w:rPr>
          <w:rFonts w:ascii="Arial" w:hAnsi="Arial" w:cs="Arial"/>
          <w:sz w:val="16"/>
          <w:szCs w:val="16"/>
        </w:rPr>
        <w:t xml:space="preserve">two Parliamentary Committees raised concerns: see Foreign Affairs Committee, </w:t>
      </w:r>
      <w:r w:rsidRPr="00C25197">
        <w:rPr>
          <w:rFonts w:ascii="Arial" w:hAnsi="Arial" w:cs="Arial"/>
          <w:i/>
          <w:sz w:val="16"/>
          <w:szCs w:val="16"/>
        </w:rPr>
        <w:t xml:space="preserve">Human Rights Annual Report 2008, </w:t>
      </w:r>
      <w:r w:rsidRPr="00C25197">
        <w:rPr>
          <w:rFonts w:ascii="Arial" w:hAnsi="Arial" w:cs="Arial"/>
          <w:sz w:val="16"/>
          <w:szCs w:val="16"/>
        </w:rPr>
        <w:t xml:space="preserve">Section 3, available at: </w:t>
      </w:r>
      <w:hyperlink r:id="rId2" w:history="1">
        <w:r w:rsidRPr="00C25197">
          <w:rPr>
            <w:rStyle w:val="Hyperlink"/>
            <w:rFonts w:ascii="Arial" w:hAnsi="Arial" w:cs="Arial"/>
            <w:sz w:val="16"/>
            <w:szCs w:val="16"/>
          </w:rPr>
          <w:t>http://www.publications.parliament.uk/pa/cm200708/cmselect/cmfaff/557/55708.htm</w:t>
        </w:r>
      </w:hyperlink>
      <w:r w:rsidRPr="00C25197">
        <w:rPr>
          <w:rFonts w:ascii="Arial" w:hAnsi="Arial" w:cs="Arial"/>
          <w:sz w:val="16"/>
          <w:szCs w:val="16"/>
        </w:rPr>
        <w:t>; Joint Committee on Human Rights</w:t>
      </w:r>
      <w:r w:rsidRPr="00C25197">
        <w:rPr>
          <w:rFonts w:ascii="Arial" w:hAnsi="Arial" w:cs="Arial"/>
          <w:i/>
          <w:sz w:val="16"/>
          <w:szCs w:val="16"/>
        </w:rPr>
        <w:t>, Allegations of UK Complicity in Torture,</w:t>
      </w:r>
      <w:r w:rsidRPr="00C25197">
        <w:rPr>
          <w:rFonts w:ascii="Arial" w:hAnsi="Arial" w:cs="Arial"/>
          <w:sz w:val="16"/>
          <w:szCs w:val="16"/>
        </w:rPr>
        <w:t xml:space="preserve"> 21 July 2009, available at:</w:t>
      </w:r>
      <w:r w:rsidRPr="00C25197">
        <w:rPr>
          <w:rFonts w:ascii="Arial" w:hAnsi="Arial" w:cs="Arial"/>
          <w:i/>
          <w:sz w:val="16"/>
          <w:szCs w:val="16"/>
        </w:rPr>
        <w:t xml:space="preserve">  </w:t>
      </w:r>
      <w:hyperlink r:id="rId3" w:history="1">
        <w:r w:rsidRPr="00C25197">
          <w:rPr>
            <w:rStyle w:val="Hyperlink"/>
            <w:rFonts w:ascii="Arial" w:hAnsi="Arial" w:cs="Arial"/>
            <w:sz w:val="16"/>
            <w:szCs w:val="16"/>
          </w:rPr>
          <w:t>http://www.publications.parliament.uk/pa/jt200809/jtselect/jtrights/152/152.pdf</w:t>
        </w:r>
      </w:hyperlink>
      <w:r w:rsidRPr="00C25197">
        <w:rPr>
          <w:rFonts w:ascii="Arial" w:hAnsi="Arial" w:cs="Arial"/>
          <w:color w:val="0000FF"/>
          <w:sz w:val="16"/>
          <w:szCs w:val="16"/>
          <w:u w:val="single"/>
        </w:rPr>
        <w:t xml:space="preserve">. </w:t>
      </w:r>
    </w:p>
  </w:footnote>
  <w:footnote w:id="2">
    <w:p w:rsidR="004D3C25" w:rsidRPr="00C3332B" w:rsidRDefault="004D3C25" w:rsidP="00711EFC">
      <w:pPr>
        <w:pStyle w:val="FootnoteText"/>
        <w:rPr>
          <w:rFonts w:ascii="Arial" w:hAnsi="Arial" w:cs="Arial"/>
          <w:sz w:val="16"/>
          <w:szCs w:val="16"/>
        </w:rPr>
      </w:pPr>
      <w:r w:rsidRPr="00C3332B">
        <w:rPr>
          <w:rStyle w:val="FootnoteReference"/>
          <w:rFonts w:ascii="Arial" w:hAnsi="Arial" w:cs="Arial"/>
          <w:sz w:val="16"/>
          <w:szCs w:val="16"/>
        </w:rPr>
        <w:footnoteRef/>
      </w:r>
      <w:r w:rsidRPr="00C3332B">
        <w:rPr>
          <w:rFonts w:ascii="Arial" w:hAnsi="Arial" w:cs="Arial"/>
          <w:sz w:val="16"/>
          <w:szCs w:val="16"/>
        </w:rPr>
        <w:t xml:space="preserve"> Hansard, HC 6 July 2010, cols 175-176, available at: </w:t>
      </w:r>
      <w:hyperlink r:id="rId4" w:history="1">
        <w:r w:rsidRPr="00C3332B">
          <w:rPr>
            <w:rFonts w:ascii="Arial" w:hAnsi="Arial" w:cs="Arial"/>
            <w:color w:val="0000FF" w:themeColor="hyperlink"/>
            <w:sz w:val="16"/>
            <w:szCs w:val="16"/>
            <w:u w:val="single"/>
          </w:rPr>
          <w:t>http://www.publications.parliament.uk/pa/cm201011/cmhansrd/cm100706/debtext/100706-0001.htm</w:t>
        </w:r>
      </w:hyperlink>
      <w:r w:rsidRPr="00C3332B">
        <w:rPr>
          <w:rFonts w:ascii="Arial" w:hAnsi="Arial" w:cs="Arial"/>
          <w:sz w:val="16"/>
          <w:szCs w:val="16"/>
        </w:rPr>
        <w:t xml:space="preserve">. </w:t>
      </w:r>
    </w:p>
  </w:footnote>
  <w:footnote w:id="3">
    <w:p w:rsidR="004D3C25" w:rsidRPr="00C3332B" w:rsidRDefault="004D3C25" w:rsidP="004B4A2C">
      <w:pPr>
        <w:pStyle w:val="FootnoteText"/>
        <w:rPr>
          <w:rFonts w:ascii="Arial" w:hAnsi="Arial" w:cs="Arial"/>
          <w:sz w:val="16"/>
          <w:szCs w:val="16"/>
        </w:rPr>
      </w:pPr>
      <w:r w:rsidRPr="00C3332B">
        <w:rPr>
          <w:rStyle w:val="FootnoteReference"/>
          <w:rFonts w:ascii="Arial" w:hAnsi="Arial" w:cs="Arial"/>
          <w:sz w:val="16"/>
          <w:szCs w:val="16"/>
        </w:rPr>
        <w:footnoteRef/>
      </w:r>
      <w:r w:rsidR="00396F50">
        <w:rPr>
          <w:rFonts w:ascii="Arial" w:hAnsi="Arial" w:cs="Arial"/>
          <w:sz w:val="16"/>
          <w:szCs w:val="16"/>
        </w:rPr>
        <w:t xml:space="preserve"> </w:t>
      </w:r>
      <w:r w:rsidRPr="00C3332B">
        <w:rPr>
          <w:rFonts w:ascii="Arial" w:hAnsi="Arial" w:cs="Arial"/>
          <w:sz w:val="16"/>
          <w:szCs w:val="16"/>
        </w:rPr>
        <w:t xml:space="preserve">REDRESS and others, </w:t>
      </w:r>
      <w:r w:rsidRPr="00C3332B">
        <w:rPr>
          <w:rFonts w:ascii="Arial" w:hAnsi="Arial" w:cs="Arial"/>
          <w:i/>
          <w:sz w:val="16"/>
          <w:szCs w:val="16"/>
        </w:rPr>
        <w:t>Letter to Sir Peter Gibson,</w:t>
      </w:r>
      <w:r w:rsidRPr="00C3332B">
        <w:rPr>
          <w:rFonts w:ascii="Arial" w:hAnsi="Arial" w:cs="Arial"/>
          <w:sz w:val="16"/>
          <w:szCs w:val="16"/>
        </w:rPr>
        <w:t xml:space="preserve"> 8 September 2010, available at: </w:t>
      </w:r>
      <w:hyperlink r:id="rId5" w:history="1">
        <w:r w:rsidRPr="00C3332B">
          <w:rPr>
            <w:rStyle w:val="Hyperlink"/>
            <w:rFonts w:ascii="Arial" w:hAnsi="Arial" w:cs="Arial"/>
            <w:sz w:val="16"/>
            <w:szCs w:val="16"/>
          </w:rPr>
          <w:t>http://www.redress.org/downloads/publications/NGO_Inquiry_Letter_FINAL.pdf</w:t>
        </w:r>
      </w:hyperlink>
      <w:r w:rsidRPr="00C3332B">
        <w:rPr>
          <w:rFonts w:ascii="Arial" w:hAnsi="Arial" w:cs="Arial"/>
          <w:sz w:val="16"/>
          <w:szCs w:val="16"/>
        </w:rPr>
        <w:t xml:space="preserve">. </w:t>
      </w:r>
    </w:p>
  </w:footnote>
  <w:footnote w:id="4">
    <w:p w:rsidR="004D3C25" w:rsidRPr="00C3332B" w:rsidRDefault="004D3C25" w:rsidP="004B4A2C">
      <w:pPr>
        <w:pStyle w:val="FootnoteText"/>
        <w:rPr>
          <w:rFonts w:ascii="Arial" w:hAnsi="Arial" w:cs="Arial"/>
          <w:sz w:val="16"/>
          <w:szCs w:val="16"/>
        </w:rPr>
      </w:pPr>
      <w:r w:rsidRPr="00C3332B">
        <w:rPr>
          <w:rStyle w:val="FootnoteReference"/>
          <w:rFonts w:ascii="Arial" w:hAnsi="Arial" w:cs="Arial"/>
          <w:sz w:val="16"/>
          <w:szCs w:val="16"/>
        </w:rPr>
        <w:footnoteRef/>
      </w:r>
      <w:r w:rsidRPr="00C3332B">
        <w:rPr>
          <w:rFonts w:ascii="Arial" w:hAnsi="Arial" w:cs="Arial"/>
          <w:sz w:val="16"/>
          <w:szCs w:val="16"/>
        </w:rPr>
        <w:t xml:space="preserve"> REDRESS and others, </w:t>
      </w:r>
      <w:r w:rsidRPr="00C3332B">
        <w:rPr>
          <w:rFonts w:ascii="Arial" w:hAnsi="Arial" w:cs="Arial"/>
          <w:i/>
          <w:sz w:val="16"/>
          <w:szCs w:val="16"/>
        </w:rPr>
        <w:t>Letter to Detainee Inquiry</w:t>
      </w:r>
      <w:r w:rsidRPr="00C3332B">
        <w:rPr>
          <w:rFonts w:ascii="Arial" w:hAnsi="Arial" w:cs="Arial"/>
          <w:sz w:val="16"/>
          <w:szCs w:val="16"/>
        </w:rPr>
        <w:t xml:space="preserve">, 3 August 2011, available at: </w:t>
      </w:r>
      <w:hyperlink r:id="rId6" w:history="1">
        <w:r w:rsidRPr="00C3332B">
          <w:rPr>
            <w:rStyle w:val="Hyperlink"/>
            <w:rFonts w:ascii="Arial" w:hAnsi="Arial" w:cs="Arial"/>
            <w:sz w:val="16"/>
            <w:szCs w:val="16"/>
          </w:rPr>
          <w:t>http://www.redress.org/downloads/publications/Joint_NGO_letter_3-8-11.pdf</w:t>
        </w:r>
      </w:hyperlink>
      <w:r w:rsidRPr="00C3332B">
        <w:rPr>
          <w:rFonts w:ascii="Arial" w:hAnsi="Arial" w:cs="Arial"/>
          <w:sz w:val="16"/>
          <w:szCs w:val="16"/>
        </w:rPr>
        <w:t xml:space="preserve">. </w:t>
      </w:r>
    </w:p>
  </w:footnote>
  <w:footnote w:id="5">
    <w:p w:rsidR="00D10066" w:rsidRPr="00344977" w:rsidRDefault="00D10066" w:rsidP="00344977">
      <w:pPr>
        <w:autoSpaceDE w:val="0"/>
        <w:autoSpaceDN w:val="0"/>
        <w:adjustRightInd w:val="0"/>
        <w:rPr>
          <w:rFonts w:ascii="Arial" w:hAnsi="Arial" w:cs="Arial"/>
          <w:sz w:val="16"/>
          <w:szCs w:val="16"/>
        </w:rPr>
      </w:pPr>
      <w:r w:rsidRPr="00344977">
        <w:rPr>
          <w:rStyle w:val="FootnoteReference"/>
          <w:rFonts w:ascii="Arial" w:hAnsi="Arial" w:cs="Arial"/>
          <w:sz w:val="16"/>
          <w:szCs w:val="16"/>
        </w:rPr>
        <w:footnoteRef/>
      </w:r>
      <w:r w:rsidRPr="00344977">
        <w:rPr>
          <w:rFonts w:ascii="Arial" w:hAnsi="Arial" w:cs="Arial"/>
          <w:sz w:val="16"/>
          <w:szCs w:val="16"/>
        </w:rPr>
        <w:t xml:space="preserve"> </w:t>
      </w:r>
      <w:r w:rsidRPr="00344977">
        <w:rPr>
          <w:rFonts w:ascii="Arial" w:eastAsiaTheme="minorHAnsi" w:hAnsi="Arial" w:cs="Arial"/>
          <w:i/>
          <w:sz w:val="16"/>
          <w:szCs w:val="16"/>
        </w:rPr>
        <w:t>The Report of the Detainee Inquiry</w:t>
      </w:r>
      <w:r>
        <w:rPr>
          <w:rFonts w:ascii="Arial" w:eastAsiaTheme="minorHAnsi" w:hAnsi="Arial" w:cs="Arial"/>
          <w:sz w:val="16"/>
          <w:szCs w:val="16"/>
        </w:rPr>
        <w:t xml:space="preserve">, </w:t>
      </w:r>
      <w:r w:rsidRPr="00344977">
        <w:rPr>
          <w:rFonts w:ascii="Arial" w:eastAsiaTheme="minorHAnsi" w:hAnsi="Arial" w:cs="Arial"/>
          <w:sz w:val="16"/>
          <w:szCs w:val="16"/>
        </w:rPr>
        <w:t>December 2013</w:t>
      </w:r>
      <w:r w:rsidRPr="00344977">
        <w:rPr>
          <w:rFonts w:ascii="Arial" w:hAnsi="Arial" w:cs="Arial"/>
          <w:sz w:val="16"/>
          <w:szCs w:val="16"/>
        </w:rPr>
        <w:t xml:space="preserve">, available at: </w:t>
      </w:r>
      <w:hyperlink r:id="rId7" w:history="1">
        <w:r w:rsidRPr="00344977">
          <w:rPr>
            <w:rStyle w:val="Hyperlink"/>
            <w:rFonts w:ascii="Arial" w:hAnsi="Arial" w:cs="Arial"/>
            <w:sz w:val="16"/>
            <w:szCs w:val="16"/>
          </w:rPr>
          <w:t>http://www.detaineeinquiry.org.uk/wp-content/uploads/2013/12/35100_Trafalgar-Text-accessible.pdf</w:t>
        </w:r>
      </w:hyperlink>
      <w:r w:rsidRPr="00344977">
        <w:rPr>
          <w:rFonts w:ascii="Arial" w:hAnsi="Arial" w:cs="Arial"/>
          <w:sz w:val="16"/>
          <w:szCs w:val="16"/>
        </w:rPr>
        <w:t xml:space="preserve">; para. 1.2. </w:t>
      </w:r>
    </w:p>
  </w:footnote>
  <w:footnote w:id="6">
    <w:p w:rsidR="004D3C25" w:rsidRPr="00DE3D2D" w:rsidRDefault="004D3C25" w:rsidP="004B4A2C">
      <w:pPr>
        <w:pStyle w:val="FootnoteText"/>
        <w:rPr>
          <w:rFonts w:ascii="Arial" w:hAnsi="Arial" w:cs="Arial"/>
          <w:sz w:val="16"/>
          <w:szCs w:val="16"/>
        </w:rPr>
      </w:pPr>
      <w:r w:rsidRPr="00097BD5">
        <w:rPr>
          <w:rStyle w:val="FootnoteReference"/>
          <w:rFonts w:ascii="Arial" w:hAnsi="Arial" w:cs="Arial"/>
          <w:sz w:val="16"/>
          <w:szCs w:val="16"/>
        </w:rPr>
        <w:footnoteRef/>
      </w:r>
      <w:r w:rsidR="00097BD5" w:rsidRPr="00097BD5">
        <w:rPr>
          <w:rFonts w:ascii="Arial" w:hAnsi="Arial" w:cs="Arial"/>
          <w:bCs/>
          <w:color w:val="000000"/>
          <w:sz w:val="16"/>
          <w:szCs w:val="16"/>
          <w:shd w:val="clear" w:color="auto" w:fill="FFFFFF"/>
        </w:rPr>
        <w:t xml:space="preserve"> Minister without Portfolio (Mr Kenneth Clarke)</w:t>
      </w:r>
      <w:r w:rsidR="00097BD5">
        <w:rPr>
          <w:rFonts w:ascii="Arial" w:hAnsi="Arial" w:cs="Arial"/>
          <w:bCs/>
          <w:color w:val="000000"/>
          <w:sz w:val="16"/>
          <w:szCs w:val="16"/>
          <w:shd w:val="clear" w:color="auto" w:fill="FFFFFF"/>
        </w:rPr>
        <w:t xml:space="preserve">, </w:t>
      </w:r>
      <w:r w:rsidR="00097BD5" w:rsidRPr="00097BD5">
        <w:rPr>
          <w:rFonts w:ascii="Arial" w:hAnsi="Arial" w:cs="Arial"/>
          <w:bCs/>
          <w:color w:val="000000"/>
          <w:sz w:val="16"/>
          <w:szCs w:val="16"/>
          <w:shd w:val="clear" w:color="auto" w:fill="FFFFFF"/>
        </w:rPr>
        <w:t>Hansard</w:t>
      </w:r>
      <w:r w:rsidR="00097BD5" w:rsidRPr="00097BD5">
        <w:rPr>
          <w:rFonts w:ascii="Arial" w:hAnsi="Arial" w:cs="Arial"/>
          <w:sz w:val="16"/>
          <w:szCs w:val="16"/>
        </w:rPr>
        <w:t>,</w:t>
      </w:r>
      <w:r w:rsidR="00097BD5">
        <w:rPr>
          <w:rFonts w:ascii="Arial" w:hAnsi="Arial" w:cs="Arial"/>
          <w:sz w:val="16"/>
          <w:szCs w:val="16"/>
        </w:rPr>
        <w:t xml:space="preserve"> 19 December 2013, col. 913 et seq., available at: </w:t>
      </w:r>
      <w:hyperlink r:id="rId8" w:history="1">
        <w:r w:rsidR="00097BD5" w:rsidRPr="009B3FBA">
          <w:rPr>
            <w:rStyle w:val="Hyperlink"/>
            <w:rFonts w:ascii="Arial" w:hAnsi="Arial" w:cs="Arial"/>
            <w:sz w:val="16"/>
            <w:szCs w:val="16"/>
          </w:rPr>
          <w:t>http://www.publications.parliament.uk/pa/cm201314/cmhansrd/cm131219/debtext/131219-0002.htm</w:t>
        </w:r>
      </w:hyperlink>
      <w:r w:rsidR="00097BD5">
        <w:rPr>
          <w:rFonts w:ascii="Arial" w:hAnsi="Arial" w:cs="Arial"/>
          <w:sz w:val="16"/>
          <w:szCs w:val="16"/>
        </w:rPr>
        <w:t xml:space="preserve">. </w:t>
      </w:r>
    </w:p>
  </w:footnote>
  <w:footnote w:id="7">
    <w:p w:rsidR="004D3C25" w:rsidRPr="0010362A" w:rsidRDefault="004D3C25" w:rsidP="004B4A2C">
      <w:pPr>
        <w:autoSpaceDE w:val="0"/>
        <w:autoSpaceDN w:val="0"/>
        <w:adjustRightInd w:val="0"/>
        <w:jc w:val="both"/>
        <w:rPr>
          <w:rFonts w:ascii="Arial" w:hAnsi="Arial" w:cs="Arial"/>
          <w:sz w:val="16"/>
          <w:szCs w:val="16"/>
          <w:lang w:val="fr-FR"/>
        </w:rPr>
      </w:pPr>
      <w:r w:rsidRPr="00C3332B">
        <w:rPr>
          <w:rStyle w:val="FootnoteReference"/>
          <w:rFonts w:ascii="Arial" w:hAnsi="Arial" w:cs="Arial"/>
          <w:sz w:val="16"/>
          <w:szCs w:val="16"/>
        </w:rPr>
        <w:footnoteRef/>
      </w:r>
      <w:r w:rsidRPr="00C3332B">
        <w:rPr>
          <w:rFonts w:ascii="Arial" w:hAnsi="Arial" w:cs="Arial"/>
          <w:sz w:val="16"/>
          <w:szCs w:val="16"/>
        </w:rPr>
        <w:t xml:space="preserve"> </w:t>
      </w:r>
      <w:r>
        <w:rPr>
          <w:rFonts w:ascii="Arial" w:eastAsiaTheme="minorHAnsi" w:hAnsi="Arial" w:cs="Arial"/>
          <w:sz w:val="16"/>
          <w:szCs w:val="16"/>
        </w:rPr>
        <w:t>The</w:t>
      </w:r>
      <w:r w:rsidRPr="00C3332B">
        <w:rPr>
          <w:rFonts w:ascii="Arial" w:eastAsiaTheme="minorHAnsi" w:hAnsi="Arial" w:cs="Arial"/>
          <w:sz w:val="16"/>
          <w:szCs w:val="16"/>
        </w:rPr>
        <w:t xml:space="preserve"> Joint Committee on Human Rights (JCHR) said</w:t>
      </w:r>
      <w:r>
        <w:rPr>
          <w:rFonts w:ascii="Arial" w:eastAsiaTheme="minorHAnsi" w:hAnsi="Arial" w:cs="Arial"/>
          <w:sz w:val="16"/>
          <w:szCs w:val="16"/>
        </w:rPr>
        <w:t xml:space="preserve"> in 2009</w:t>
      </w:r>
      <w:r w:rsidRPr="00C3332B">
        <w:rPr>
          <w:rFonts w:ascii="Arial" w:eastAsiaTheme="minorHAnsi" w:hAnsi="Arial" w:cs="Arial"/>
          <w:sz w:val="16"/>
          <w:szCs w:val="16"/>
        </w:rPr>
        <w:t xml:space="preserve">: </w:t>
      </w:r>
      <w:r w:rsidRPr="00AC1810">
        <w:rPr>
          <w:rFonts w:ascii="Arial" w:eastAsiaTheme="minorHAnsi" w:hAnsi="Arial" w:cs="Arial"/>
          <w:sz w:val="16"/>
          <w:szCs w:val="16"/>
        </w:rPr>
        <w:t>“The missing element, which the ISC has failed to provide, is proper ministerial accountability to Parliament for the acti</w:t>
      </w:r>
      <w:r w:rsidRPr="00C3332B">
        <w:rPr>
          <w:rFonts w:ascii="Arial" w:eastAsiaTheme="minorHAnsi" w:hAnsi="Arial" w:cs="Arial"/>
          <w:sz w:val="16"/>
          <w:szCs w:val="16"/>
        </w:rPr>
        <w:t>vities of the Security Services</w:t>
      </w:r>
      <w:r w:rsidRPr="00AC1810">
        <w:rPr>
          <w:rFonts w:ascii="Arial" w:eastAsiaTheme="minorHAnsi" w:hAnsi="Arial" w:cs="Arial"/>
          <w:sz w:val="16"/>
          <w:szCs w:val="16"/>
        </w:rPr>
        <w:t>”</w:t>
      </w:r>
      <w:r w:rsidRPr="00C3332B">
        <w:rPr>
          <w:rFonts w:ascii="Arial" w:eastAsiaTheme="minorHAnsi" w:hAnsi="Arial" w:cs="Arial"/>
          <w:sz w:val="16"/>
          <w:szCs w:val="16"/>
        </w:rPr>
        <w:t xml:space="preserve"> – see JCHR, </w:t>
      </w:r>
      <w:r w:rsidRPr="00C3332B">
        <w:rPr>
          <w:rFonts w:ascii="Arial" w:hAnsi="Arial" w:cs="Arial"/>
          <w:i/>
          <w:sz w:val="16"/>
          <w:szCs w:val="16"/>
        </w:rPr>
        <w:t>Allegations of UK Complicity in Torture,</w:t>
      </w:r>
      <w:r w:rsidRPr="00C3332B">
        <w:rPr>
          <w:rFonts w:ascii="Arial" w:hAnsi="Arial" w:cs="Arial"/>
          <w:sz w:val="16"/>
          <w:szCs w:val="16"/>
        </w:rPr>
        <w:t xml:space="preserve"> August 2009, para. </w:t>
      </w:r>
      <w:r w:rsidRPr="0010362A">
        <w:rPr>
          <w:rFonts w:ascii="Arial" w:hAnsi="Arial" w:cs="Arial"/>
          <w:sz w:val="16"/>
          <w:szCs w:val="16"/>
          <w:lang w:val="fr-FR"/>
        </w:rPr>
        <w:t>65, available at:</w:t>
      </w:r>
    </w:p>
    <w:p w:rsidR="004D3C25" w:rsidRPr="0010362A" w:rsidRDefault="00A75050" w:rsidP="004B4A2C">
      <w:pPr>
        <w:autoSpaceDE w:val="0"/>
        <w:autoSpaceDN w:val="0"/>
        <w:adjustRightInd w:val="0"/>
        <w:jc w:val="both"/>
        <w:rPr>
          <w:rFonts w:ascii="Arial" w:hAnsi="Arial" w:cs="Arial"/>
          <w:sz w:val="16"/>
          <w:szCs w:val="16"/>
          <w:lang w:val="fr-FR"/>
        </w:rPr>
      </w:pPr>
      <w:hyperlink r:id="rId9" w:history="1">
        <w:r w:rsidR="004D3C25" w:rsidRPr="0010362A">
          <w:rPr>
            <w:rStyle w:val="Hyperlink"/>
            <w:rFonts w:ascii="Arial" w:hAnsi="Arial" w:cs="Arial"/>
            <w:sz w:val="16"/>
            <w:szCs w:val="16"/>
            <w:lang w:val="fr-FR"/>
          </w:rPr>
          <w:t>http://www.publications.parliament.uk/pa/jt200809/jtselect/jtrights/152/152.pdf</w:t>
        </w:r>
      </w:hyperlink>
      <w:r w:rsidR="004D3C25" w:rsidRPr="0010362A">
        <w:rPr>
          <w:rFonts w:ascii="Arial" w:hAnsi="Arial" w:cs="Arial"/>
          <w:sz w:val="16"/>
          <w:szCs w:val="16"/>
          <w:lang w:val="fr-FR"/>
        </w:rPr>
        <w:t xml:space="preserve">. </w:t>
      </w:r>
    </w:p>
  </w:footnote>
  <w:footnote w:id="8">
    <w:p w:rsidR="004D3C25" w:rsidRPr="00C25197" w:rsidRDefault="004D3C25" w:rsidP="004B4A2C">
      <w:pPr>
        <w:pStyle w:val="FootnoteText"/>
        <w:rPr>
          <w:rFonts w:ascii="Arial" w:hAnsi="Arial" w:cs="Arial"/>
          <w:sz w:val="16"/>
          <w:szCs w:val="16"/>
        </w:rPr>
      </w:pPr>
      <w:r w:rsidRPr="00C25197">
        <w:rPr>
          <w:rStyle w:val="FootnoteReference"/>
          <w:rFonts w:ascii="Arial" w:hAnsi="Arial" w:cs="Arial"/>
          <w:sz w:val="16"/>
          <w:szCs w:val="16"/>
        </w:rPr>
        <w:footnoteRef/>
      </w:r>
      <w:r w:rsidRPr="00C25197">
        <w:rPr>
          <w:rFonts w:ascii="Arial" w:hAnsi="Arial" w:cs="Arial"/>
          <w:sz w:val="16"/>
          <w:szCs w:val="16"/>
        </w:rPr>
        <w:t xml:space="preserve"> </w:t>
      </w:r>
      <w:r w:rsidRPr="00C25197">
        <w:rPr>
          <w:rFonts w:ascii="Arial" w:hAnsi="Arial" w:cs="Arial"/>
          <w:i/>
          <w:sz w:val="16"/>
          <w:szCs w:val="16"/>
        </w:rPr>
        <w:t>Unclassified Select Committee on Intelligence -Committee Study on the Central Intelligence Agency’s Detention and Interrogation Program</w:t>
      </w:r>
      <w:r w:rsidRPr="00C25197">
        <w:rPr>
          <w:rFonts w:ascii="Arial" w:hAnsi="Arial" w:cs="Arial"/>
          <w:sz w:val="16"/>
          <w:szCs w:val="16"/>
        </w:rPr>
        <w:t xml:space="preserve">, </w:t>
      </w:r>
      <w:r w:rsidR="0010362A">
        <w:rPr>
          <w:rFonts w:ascii="Arial" w:hAnsi="Arial" w:cs="Arial"/>
          <w:sz w:val="16"/>
          <w:szCs w:val="16"/>
        </w:rPr>
        <w:t xml:space="preserve">9 December 2014 </w:t>
      </w:r>
      <w:r w:rsidRPr="00C25197">
        <w:rPr>
          <w:rFonts w:ascii="Arial" w:hAnsi="Arial" w:cs="Arial"/>
          <w:sz w:val="16"/>
          <w:szCs w:val="16"/>
        </w:rPr>
        <w:t xml:space="preserve">available at: </w:t>
      </w:r>
      <w:hyperlink r:id="rId10" w:history="1">
        <w:r w:rsidRPr="00C25197">
          <w:rPr>
            <w:rFonts w:ascii="Arial" w:hAnsi="Arial" w:cs="Arial"/>
            <w:color w:val="0000FF" w:themeColor="hyperlink"/>
            <w:sz w:val="16"/>
            <w:szCs w:val="16"/>
            <w:u w:val="single"/>
          </w:rPr>
          <w:t>http://www.intelligence.senate.gov/study2014/sscistudy1.pdf</w:t>
        </w:r>
      </w:hyperlink>
      <w:r w:rsidRPr="00C25197">
        <w:rPr>
          <w:rFonts w:ascii="Arial" w:hAnsi="Arial" w:cs="Arial"/>
          <w:sz w:val="16"/>
          <w:szCs w:val="16"/>
        </w:rPr>
        <w:t xml:space="preserve">. </w:t>
      </w:r>
    </w:p>
  </w:footnote>
  <w:footnote w:id="9">
    <w:p w:rsidR="004D3C25" w:rsidRPr="000A140E" w:rsidRDefault="004D3C25" w:rsidP="004B4A2C">
      <w:pPr>
        <w:pStyle w:val="Heading3"/>
        <w:shd w:val="clear" w:color="auto" w:fill="FFFFFF"/>
        <w:spacing w:before="0"/>
        <w:rPr>
          <w:rFonts w:ascii="Arial" w:hAnsi="Arial" w:cs="Arial"/>
          <w:b w:val="0"/>
          <w:color w:val="auto"/>
          <w:sz w:val="16"/>
          <w:szCs w:val="16"/>
        </w:rPr>
      </w:pPr>
      <w:r w:rsidRPr="00DE3D2D">
        <w:rPr>
          <w:rStyle w:val="FootnoteReference"/>
          <w:rFonts w:ascii="Arial" w:hAnsi="Arial" w:cs="Arial"/>
          <w:b w:val="0"/>
          <w:color w:val="auto"/>
          <w:sz w:val="16"/>
          <w:szCs w:val="16"/>
        </w:rPr>
        <w:footnoteRef/>
      </w:r>
      <w:r w:rsidRPr="00DE3D2D">
        <w:rPr>
          <w:rFonts w:ascii="Arial" w:hAnsi="Arial" w:cs="Arial"/>
          <w:b w:val="0"/>
          <w:color w:val="auto"/>
          <w:sz w:val="16"/>
          <w:szCs w:val="16"/>
        </w:rPr>
        <w:t xml:space="preserve"> REDRESS and others, </w:t>
      </w:r>
      <w:r w:rsidRPr="00DE3D2D">
        <w:rPr>
          <w:rFonts w:ascii="Arial" w:eastAsia="Times New Roman" w:hAnsi="Arial" w:cs="Arial"/>
          <w:b w:val="0"/>
          <w:i/>
          <w:color w:val="auto"/>
          <w:sz w:val="16"/>
          <w:szCs w:val="16"/>
          <w:lang w:eastAsia="en-GB"/>
        </w:rPr>
        <w:t xml:space="preserve">NGO letter to the Prime Minister urging him to establish a judge-led inquiry into UK involvement in rendition and torture, </w:t>
      </w:r>
      <w:r w:rsidRPr="00DE3D2D">
        <w:rPr>
          <w:rFonts w:ascii="Arial" w:eastAsia="Times New Roman" w:hAnsi="Arial" w:cs="Arial"/>
          <w:b w:val="0"/>
          <w:color w:val="auto"/>
          <w:sz w:val="16"/>
          <w:szCs w:val="16"/>
          <w:lang w:eastAsia="en-GB"/>
        </w:rPr>
        <w:t xml:space="preserve">16 December 2014, available at: </w:t>
      </w:r>
      <w:hyperlink r:id="rId11" w:history="1">
        <w:r w:rsidRPr="00DE3D2D">
          <w:rPr>
            <w:rStyle w:val="Hyperlink"/>
            <w:rFonts w:ascii="Arial" w:hAnsi="Arial" w:cs="Arial"/>
            <w:b w:val="0"/>
            <w:color w:val="auto"/>
            <w:sz w:val="16"/>
            <w:szCs w:val="16"/>
          </w:rPr>
          <w:t>http://www.redress.org/downloads/publications/NGO%20letter%20to%20Prime%20Minister%20161214.pdf</w:t>
        </w:r>
      </w:hyperlink>
      <w:r w:rsidRPr="000A140E">
        <w:rPr>
          <w:rFonts w:ascii="Arial" w:hAnsi="Arial" w:cs="Arial"/>
          <w:b w:val="0"/>
          <w:color w:val="auto"/>
          <w:sz w:val="16"/>
          <w:szCs w:val="16"/>
        </w:rPr>
        <w:t>.</w:t>
      </w:r>
    </w:p>
  </w:footnote>
  <w:footnote w:id="10">
    <w:p w:rsidR="00477A15" w:rsidRPr="00477A15" w:rsidRDefault="00477A15" w:rsidP="00477A15">
      <w:pPr>
        <w:rPr>
          <w:rFonts w:ascii="Arial" w:hAnsi="Arial" w:cs="Arial"/>
          <w:sz w:val="16"/>
          <w:szCs w:val="16"/>
        </w:rPr>
      </w:pPr>
      <w:r w:rsidRPr="00477A15">
        <w:rPr>
          <w:rStyle w:val="FootnoteReference"/>
          <w:rFonts w:ascii="Arial" w:hAnsi="Arial" w:cs="Arial"/>
          <w:sz w:val="16"/>
          <w:szCs w:val="16"/>
        </w:rPr>
        <w:footnoteRef/>
      </w:r>
      <w:r w:rsidRPr="00477A15">
        <w:rPr>
          <w:rFonts w:ascii="Arial" w:hAnsi="Arial" w:cs="Arial"/>
          <w:sz w:val="16"/>
          <w:szCs w:val="16"/>
        </w:rPr>
        <w:t xml:space="preserve"> Secretary of State John Hutton – see </w:t>
      </w:r>
      <w:proofErr w:type="spellStart"/>
      <w:r w:rsidRPr="00477A15">
        <w:rPr>
          <w:rFonts w:ascii="Arial" w:hAnsi="Arial" w:cs="Arial"/>
          <w:sz w:val="16"/>
          <w:szCs w:val="16"/>
        </w:rPr>
        <w:t>Hansard</w:t>
      </w:r>
      <w:proofErr w:type="spellEnd"/>
      <w:r w:rsidRPr="00477A15">
        <w:rPr>
          <w:rFonts w:ascii="Arial" w:hAnsi="Arial" w:cs="Arial"/>
          <w:sz w:val="16"/>
          <w:szCs w:val="16"/>
        </w:rPr>
        <w:t xml:space="preserve">, 29 February 2009, col. 394 at 395-6, available at: </w:t>
      </w:r>
      <w:hyperlink r:id="rId12" w:history="1">
        <w:r w:rsidRPr="00477A15">
          <w:rPr>
            <w:rStyle w:val="Hyperlink"/>
            <w:rFonts w:ascii="Arial" w:hAnsi="Arial" w:cs="Arial"/>
            <w:sz w:val="16"/>
            <w:szCs w:val="16"/>
          </w:rPr>
          <w:t>http://www.publications.parliament.uk/pa/cm200809/cmhansrd/cm090226/debtext/90226-0008.htm</w:t>
        </w:r>
      </w:hyperlink>
      <w:r w:rsidRPr="00477A15">
        <w:rPr>
          <w:rFonts w:ascii="Arial" w:hAnsi="Arial" w:cs="Arial"/>
          <w:sz w:val="16"/>
          <w:szCs w:val="16"/>
        </w:rPr>
        <w:t>. Press reports have also referred to further allegations</w:t>
      </w:r>
      <w:r w:rsidRPr="00396F50">
        <w:rPr>
          <w:rFonts w:ascii="Arial" w:hAnsi="Arial" w:cs="Arial"/>
          <w:sz w:val="16"/>
          <w:szCs w:val="16"/>
        </w:rPr>
        <w:t>.</w:t>
      </w:r>
      <w:r w:rsidRPr="002C6D34">
        <w:rPr>
          <w:rFonts w:ascii="Arial" w:hAnsi="Arial" w:cs="Arial"/>
          <w:sz w:val="16"/>
          <w:szCs w:val="16"/>
          <w:shd w:val="clear" w:color="auto" w:fill="FFFFFF"/>
          <w:lang w:eastAsia="en-GB"/>
        </w:rPr>
        <w:t xml:space="preserve"> In March 2006, Ben</w:t>
      </w:r>
      <w:r w:rsidRPr="002C6D34">
        <w:rPr>
          <w:rFonts w:ascii="Arial" w:hAnsi="Arial" w:cs="Arial"/>
          <w:sz w:val="16"/>
          <w:szCs w:val="16"/>
          <w:lang w:eastAsia="en-GB"/>
        </w:rPr>
        <w:t xml:space="preserve"> Griffin, a former </w:t>
      </w:r>
      <w:proofErr w:type="gramStart"/>
      <w:r w:rsidRPr="002C6D34">
        <w:rPr>
          <w:rFonts w:ascii="Arial" w:hAnsi="Arial" w:cs="Arial"/>
          <w:sz w:val="16"/>
          <w:szCs w:val="16"/>
          <w:lang w:eastAsia="en-GB"/>
        </w:rPr>
        <w:t>special forces</w:t>
      </w:r>
      <w:proofErr w:type="gramEnd"/>
      <w:r w:rsidRPr="002C6D34">
        <w:rPr>
          <w:rFonts w:ascii="Arial" w:hAnsi="Arial" w:cs="Arial"/>
          <w:sz w:val="16"/>
          <w:szCs w:val="16"/>
          <w:lang w:eastAsia="en-GB"/>
        </w:rPr>
        <w:t xml:space="preserve"> soldier, alleged to the media that Iraqis (and Afghans) had been captured by British and American special forces and rendered to prisons where they faced torture. The UK Government said at the time that it did not comment on the activities of special forces, and subsequently obtained a court injunction preventing Griffin from disclosing anything further on the matter - see</w:t>
      </w:r>
      <w:r w:rsidRPr="002C6D34">
        <w:rPr>
          <w:rFonts w:ascii="Arial" w:hAnsi="Arial" w:cs="Arial"/>
          <w:i/>
          <w:kern w:val="36"/>
          <w:sz w:val="16"/>
          <w:szCs w:val="16"/>
          <w:lang w:eastAsia="en-GB"/>
        </w:rPr>
        <w:t xml:space="preserve"> Britain aided Iraq terror renditions, government admits</w:t>
      </w:r>
      <w:r w:rsidRPr="002C6D34">
        <w:rPr>
          <w:rFonts w:ascii="Arial" w:hAnsi="Arial" w:cs="Arial"/>
          <w:bCs/>
          <w:i/>
          <w:kern w:val="36"/>
          <w:sz w:val="16"/>
          <w:szCs w:val="16"/>
          <w:lang w:eastAsia="en-GB"/>
        </w:rPr>
        <w:t xml:space="preserve">, </w:t>
      </w:r>
      <w:r w:rsidRPr="002C6D34">
        <w:rPr>
          <w:rFonts w:ascii="Arial" w:hAnsi="Arial" w:cs="Arial"/>
          <w:bCs/>
          <w:kern w:val="36"/>
          <w:sz w:val="16"/>
          <w:szCs w:val="16"/>
          <w:lang w:eastAsia="en-GB"/>
        </w:rPr>
        <w:t>Guardian, 29 February 2009</w:t>
      </w:r>
      <w:r w:rsidRPr="002C6D34">
        <w:rPr>
          <w:rFonts w:ascii="Arial" w:hAnsi="Arial" w:cs="Arial"/>
          <w:bCs/>
          <w:i/>
          <w:kern w:val="36"/>
          <w:sz w:val="16"/>
          <w:szCs w:val="16"/>
          <w:lang w:eastAsia="en-GB"/>
        </w:rPr>
        <w:t>, available at</w:t>
      </w:r>
      <w:r w:rsidRPr="00477A15">
        <w:rPr>
          <w:rFonts w:ascii="Arial" w:hAnsi="Arial" w:cs="Arial"/>
          <w:bCs/>
          <w:i/>
          <w:color w:val="333333"/>
          <w:kern w:val="36"/>
          <w:sz w:val="16"/>
          <w:szCs w:val="16"/>
          <w:lang w:eastAsia="en-GB"/>
        </w:rPr>
        <w:t xml:space="preserve"> </w:t>
      </w:r>
      <w:hyperlink r:id="rId13" w:history="1">
        <w:r w:rsidRPr="00477A15">
          <w:rPr>
            <w:rStyle w:val="Hyperlink"/>
            <w:rFonts w:ascii="Arial" w:hAnsi="Arial" w:cs="Arial"/>
            <w:sz w:val="16"/>
            <w:szCs w:val="16"/>
          </w:rPr>
          <w:t>http://www.theguardian.com/world/2009/feb/26/britain-admits-terror-renditions</w:t>
        </w:r>
      </w:hyperlink>
      <w:r w:rsidRPr="00477A15">
        <w:rPr>
          <w:rFonts w:ascii="Arial" w:hAnsi="Arial" w:cs="Arial"/>
          <w:sz w:val="16"/>
          <w:szCs w:val="16"/>
        </w:rPr>
        <w:t xml:space="preserve">. </w:t>
      </w:r>
      <w:r w:rsidRPr="00477A15">
        <w:rPr>
          <w:rFonts w:ascii="Arial" w:hAnsi="Arial" w:cs="Arial"/>
          <w:color w:val="333333"/>
          <w:sz w:val="16"/>
          <w:szCs w:val="16"/>
          <w:lang w:eastAsia="en-GB"/>
        </w:rPr>
        <w:t xml:space="preserve"> </w:t>
      </w:r>
      <w:r w:rsidRPr="002C6D34">
        <w:rPr>
          <w:rFonts w:ascii="Arial" w:hAnsi="Arial" w:cs="Arial"/>
          <w:sz w:val="16"/>
          <w:szCs w:val="16"/>
          <w:lang w:eastAsia="en-GB"/>
        </w:rPr>
        <w:t>In 2013, another press report drew attention to</w:t>
      </w:r>
      <w:r w:rsidR="00274423" w:rsidRPr="002C6D34">
        <w:rPr>
          <w:rFonts w:ascii="Arial" w:hAnsi="Arial" w:cs="Arial"/>
          <w:sz w:val="16"/>
          <w:szCs w:val="16"/>
          <w:lang w:eastAsia="en-GB"/>
        </w:rPr>
        <w:t xml:space="preserve"> alleged</w:t>
      </w:r>
      <w:r w:rsidRPr="002C6D34">
        <w:rPr>
          <w:rFonts w:ascii="Arial" w:hAnsi="Arial" w:cs="Arial"/>
          <w:sz w:val="16"/>
          <w:szCs w:val="16"/>
          <w:lang w:eastAsia="en-GB"/>
        </w:rPr>
        <w:t xml:space="preserve"> secret detention centres (“black sites”) in Iraq in 2003, including an alleged “detention and interrogation facility at a remote location known as H1, in Iraq's western desert”,</w:t>
      </w:r>
      <w:r w:rsidRPr="002C6D34">
        <w:rPr>
          <w:rFonts w:ascii="Arial" w:hAnsi="Arial" w:cs="Arial"/>
          <w:sz w:val="16"/>
          <w:szCs w:val="16"/>
          <w:vertAlign w:val="superscript"/>
          <w:lang w:eastAsia="en-GB"/>
        </w:rPr>
        <w:footnoteRef/>
      </w:r>
      <w:r w:rsidRPr="002C6D34">
        <w:rPr>
          <w:rFonts w:ascii="Arial" w:hAnsi="Arial" w:cs="Arial"/>
          <w:sz w:val="16"/>
          <w:szCs w:val="16"/>
          <w:lang w:eastAsia="en-GB"/>
        </w:rPr>
        <w:t xml:space="preserve"> run by a UK-US joint force where prisoners were allegedly mistreated </w:t>
      </w:r>
      <w:r w:rsidR="003F5795" w:rsidRPr="002C6D34">
        <w:rPr>
          <w:rFonts w:ascii="Arial" w:hAnsi="Arial" w:cs="Arial"/>
          <w:sz w:val="16"/>
          <w:szCs w:val="16"/>
          <w:lang w:eastAsia="en-GB"/>
        </w:rPr>
        <w:t xml:space="preserve"> -  </w:t>
      </w:r>
      <w:r w:rsidRPr="002C6D34">
        <w:rPr>
          <w:rFonts w:ascii="Arial" w:hAnsi="Arial" w:cs="Arial"/>
          <w:sz w:val="16"/>
          <w:szCs w:val="16"/>
          <w:lang w:eastAsia="en-GB"/>
        </w:rPr>
        <w:t xml:space="preserve">see </w:t>
      </w:r>
      <w:r w:rsidRPr="002C6D34">
        <w:rPr>
          <w:rFonts w:ascii="Arial" w:hAnsi="Arial" w:cs="Arial"/>
          <w:i/>
          <w:kern w:val="36"/>
          <w:sz w:val="16"/>
          <w:szCs w:val="16"/>
          <w:lang w:eastAsia="en-GB"/>
        </w:rPr>
        <w:t xml:space="preserve"> Camp Nama: British personnel reveal horrors of secret US base in Baghdad, </w:t>
      </w:r>
      <w:r w:rsidRPr="002C6D34">
        <w:rPr>
          <w:rFonts w:ascii="Arial" w:hAnsi="Arial" w:cs="Arial"/>
          <w:kern w:val="36"/>
          <w:sz w:val="16"/>
          <w:szCs w:val="16"/>
          <w:lang w:eastAsia="en-GB"/>
        </w:rPr>
        <w:t xml:space="preserve">Guardian, 1 April 2013, available at </w:t>
      </w:r>
      <w:hyperlink r:id="rId14" w:history="1">
        <w:r w:rsidRPr="00477A15">
          <w:rPr>
            <w:rStyle w:val="Hyperlink"/>
            <w:rFonts w:ascii="Arial" w:hAnsi="Arial" w:cs="Arial"/>
            <w:kern w:val="36"/>
            <w:sz w:val="16"/>
            <w:szCs w:val="16"/>
            <w:lang w:eastAsia="en-GB"/>
          </w:rPr>
          <w:t>http://www.theguardian.com/world/2013/apr/01/camp-nama-iraq-human-rights-abuses</w:t>
        </w:r>
      </w:hyperlink>
    </w:p>
  </w:footnote>
  <w:footnote w:id="11">
    <w:p w:rsidR="00477A15" w:rsidRPr="00477A15" w:rsidRDefault="00477A15" w:rsidP="00477A15">
      <w:pPr>
        <w:pStyle w:val="FootnoteText"/>
        <w:rPr>
          <w:rFonts w:ascii="Arial" w:eastAsia="Times New Roman" w:hAnsi="Arial" w:cs="Arial"/>
          <w:sz w:val="16"/>
          <w:szCs w:val="16"/>
        </w:rPr>
      </w:pPr>
      <w:r w:rsidRPr="00477A15">
        <w:rPr>
          <w:rStyle w:val="FootnoteReference"/>
          <w:rFonts w:ascii="Arial" w:hAnsi="Arial" w:cs="Arial"/>
          <w:sz w:val="16"/>
          <w:szCs w:val="16"/>
        </w:rPr>
        <w:footnoteRef/>
      </w:r>
      <w:r w:rsidRPr="00477A15">
        <w:rPr>
          <w:rFonts w:ascii="Arial" w:hAnsi="Arial" w:cs="Arial"/>
          <w:sz w:val="16"/>
          <w:szCs w:val="16"/>
        </w:rPr>
        <w:t xml:space="preserve"> Press release, 22 June 2011, available at </w:t>
      </w:r>
      <w:hyperlink r:id="rId15" w:history="1">
        <w:r w:rsidRPr="00477A15">
          <w:rPr>
            <w:rStyle w:val="Hyperlink"/>
            <w:rFonts w:ascii="Arial" w:hAnsi="Arial" w:cs="Arial"/>
            <w:sz w:val="16"/>
            <w:szCs w:val="16"/>
          </w:rPr>
          <w:t>http://www.extraordinaryrendition.org/document-library/finish/23-2011/243-foia-press-release-22-06-11.html</w:t>
        </w:r>
      </w:hyperlink>
      <w:r w:rsidRPr="00477A15">
        <w:rPr>
          <w:rStyle w:val="Hyperlink"/>
          <w:rFonts w:ascii="Arial" w:hAnsi="Arial" w:cs="Arial"/>
          <w:sz w:val="16"/>
          <w:szCs w:val="16"/>
        </w:rPr>
        <w:t>.</w:t>
      </w:r>
    </w:p>
  </w:footnote>
  <w:footnote w:id="12">
    <w:p w:rsidR="00274423" w:rsidRPr="005C4F49" w:rsidRDefault="00274423" w:rsidP="00274423">
      <w:pPr>
        <w:pStyle w:val="FootnoteText"/>
        <w:rPr>
          <w:rFonts w:ascii="Arial" w:hAnsi="Arial" w:cs="Arial"/>
          <w:sz w:val="16"/>
          <w:szCs w:val="16"/>
        </w:rPr>
      </w:pPr>
      <w:r w:rsidRPr="00272115">
        <w:rPr>
          <w:rStyle w:val="FootnoteReference"/>
          <w:rFonts w:ascii="Arial" w:hAnsi="Arial" w:cs="Arial"/>
          <w:sz w:val="16"/>
          <w:szCs w:val="16"/>
        </w:rPr>
        <w:footnoteRef/>
      </w:r>
      <w:r w:rsidRPr="00272115">
        <w:rPr>
          <w:rFonts w:ascii="Arial" w:hAnsi="Arial" w:cs="Arial"/>
          <w:sz w:val="16"/>
          <w:szCs w:val="16"/>
        </w:rPr>
        <w:t xml:space="preserve"> Articles 7 and 8 (i) and (vii)</w:t>
      </w:r>
      <w:r w:rsidRPr="005C4F49">
        <w:rPr>
          <w:rFonts w:ascii="Arial" w:hAnsi="Arial" w:cs="Arial"/>
          <w:sz w:val="16"/>
          <w:szCs w:val="16"/>
        </w:rPr>
        <w:t xml:space="preserve"> of the ICC Rome Statute.</w:t>
      </w:r>
    </w:p>
  </w:footnote>
  <w:footnote w:id="13">
    <w:p w:rsidR="00274423" w:rsidRPr="005C4F49" w:rsidRDefault="00274423" w:rsidP="00274423">
      <w:pPr>
        <w:pStyle w:val="FootnoteText"/>
        <w:rPr>
          <w:rFonts w:ascii="Arial" w:hAnsi="Arial" w:cs="Arial"/>
          <w:sz w:val="16"/>
          <w:szCs w:val="16"/>
        </w:rPr>
      </w:pPr>
      <w:r w:rsidRPr="005C4F49">
        <w:rPr>
          <w:rStyle w:val="FootnoteReference"/>
          <w:rFonts w:ascii="Arial" w:hAnsi="Arial" w:cs="Arial"/>
          <w:sz w:val="16"/>
          <w:szCs w:val="16"/>
        </w:rPr>
        <w:footnoteRef/>
      </w:r>
      <w:r w:rsidRPr="005C4F49">
        <w:rPr>
          <w:rFonts w:ascii="Arial" w:hAnsi="Arial" w:cs="Arial"/>
          <w:sz w:val="16"/>
          <w:szCs w:val="16"/>
        </w:rPr>
        <w:t xml:space="preserve"> </w:t>
      </w:r>
      <w:r w:rsidRPr="00272115">
        <w:rPr>
          <w:rFonts w:ascii="Arial" w:hAnsi="Arial" w:cs="Arial"/>
          <w:sz w:val="16"/>
          <w:szCs w:val="16"/>
        </w:rPr>
        <w:t>Articles</w:t>
      </w:r>
      <w:r w:rsidRPr="005C4F49">
        <w:rPr>
          <w:rFonts w:ascii="Arial" w:hAnsi="Arial" w:cs="Arial"/>
          <w:sz w:val="16"/>
          <w:szCs w:val="16"/>
        </w:rPr>
        <w:t xml:space="preserve"> 7(1</w:t>
      </w:r>
      <w:proofErr w:type="gramStart"/>
      <w:r w:rsidRPr="005C4F49">
        <w:rPr>
          <w:rFonts w:ascii="Arial" w:hAnsi="Arial" w:cs="Arial"/>
          <w:sz w:val="16"/>
          <w:szCs w:val="16"/>
        </w:rPr>
        <w:t>)(</w:t>
      </w:r>
      <w:proofErr w:type="gramEnd"/>
      <w:r w:rsidRPr="005C4F49">
        <w:rPr>
          <w:rFonts w:ascii="Arial" w:hAnsi="Arial" w:cs="Arial"/>
          <w:sz w:val="16"/>
          <w:szCs w:val="16"/>
        </w:rPr>
        <w:t>f) and 8(2)(ii) ibid.</w:t>
      </w:r>
    </w:p>
  </w:footnote>
  <w:footnote w:id="14">
    <w:p w:rsidR="00274423" w:rsidRPr="005C4F49" w:rsidRDefault="00274423" w:rsidP="00274423">
      <w:pPr>
        <w:pStyle w:val="FootnoteText"/>
        <w:rPr>
          <w:rFonts w:ascii="Arial" w:hAnsi="Arial" w:cs="Arial"/>
          <w:sz w:val="16"/>
          <w:szCs w:val="16"/>
        </w:rPr>
      </w:pPr>
      <w:r w:rsidRPr="005C4F49">
        <w:rPr>
          <w:rStyle w:val="FootnoteReference"/>
          <w:rFonts w:ascii="Arial" w:hAnsi="Arial" w:cs="Arial"/>
          <w:sz w:val="16"/>
          <w:szCs w:val="16"/>
        </w:rPr>
        <w:footnoteRef/>
      </w:r>
      <w:r w:rsidRPr="005C4F49">
        <w:rPr>
          <w:rFonts w:ascii="Arial" w:hAnsi="Arial" w:cs="Arial"/>
          <w:sz w:val="16"/>
          <w:szCs w:val="16"/>
        </w:rPr>
        <w:t xml:space="preserve"> </w:t>
      </w:r>
      <w:r w:rsidRPr="00272115">
        <w:rPr>
          <w:rFonts w:ascii="Arial" w:hAnsi="Arial" w:cs="Arial"/>
          <w:sz w:val="16"/>
          <w:szCs w:val="16"/>
        </w:rPr>
        <w:t xml:space="preserve">See articles 25 and 28 ibid. </w:t>
      </w:r>
      <w:r w:rsidRPr="005C4F49">
        <w:rPr>
          <w:rFonts w:ascii="Arial" w:hAnsi="Arial" w:cs="Arial"/>
          <w:sz w:val="16"/>
          <w:szCs w:val="16"/>
        </w:rPr>
        <w:t>on criminal liability.</w:t>
      </w:r>
    </w:p>
  </w:footnote>
  <w:footnote w:id="15">
    <w:p w:rsidR="00274423" w:rsidRPr="005C4F49" w:rsidRDefault="00274423" w:rsidP="00274423">
      <w:pPr>
        <w:pStyle w:val="FootnoteText"/>
        <w:rPr>
          <w:rFonts w:ascii="Arial" w:hAnsi="Arial" w:cs="Arial"/>
          <w:sz w:val="16"/>
          <w:szCs w:val="16"/>
        </w:rPr>
      </w:pPr>
      <w:r w:rsidRPr="002C2067">
        <w:rPr>
          <w:rFonts w:ascii="Arial" w:hAnsi="Arial" w:cs="Arial"/>
          <w:sz w:val="16"/>
          <w:szCs w:val="16"/>
          <w:vertAlign w:val="superscript"/>
        </w:rPr>
        <w:footnoteRef/>
      </w:r>
      <w:r w:rsidRPr="002C2067">
        <w:rPr>
          <w:rFonts w:ascii="Arial" w:hAnsi="Arial" w:cs="Arial"/>
          <w:sz w:val="16"/>
          <w:szCs w:val="16"/>
          <w:vertAlign w:val="superscript"/>
        </w:rPr>
        <w:t xml:space="preserve"> </w:t>
      </w:r>
      <w:r w:rsidRPr="00272115">
        <w:rPr>
          <w:rFonts w:ascii="Arial" w:hAnsi="Arial" w:cs="Arial"/>
          <w:sz w:val="16"/>
          <w:szCs w:val="16"/>
        </w:rPr>
        <w:t xml:space="preserve">HRC, General Comment 31: </w:t>
      </w:r>
      <w:r w:rsidRPr="005C4F49">
        <w:rPr>
          <w:rFonts w:ascii="Arial" w:hAnsi="Arial" w:cs="Arial"/>
          <w:sz w:val="16"/>
          <w:szCs w:val="16"/>
        </w:rPr>
        <w:t>The nature of the general legal obligation imposed on States Parties to the Covenant, UN Doc. CCPR/C/21/Rev.1/Add.13, 26 May 2004, paras. 15, 18.</w:t>
      </w:r>
    </w:p>
  </w:footnote>
  <w:footnote w:id="16">
    <w:p w:rsidR="00255D19" w:rsidRPr="0040544A" w:rsidRDefault="00255D19" w:rsidP="00255D19">
      <w:pPr>
        <w:pStyle w:val="FootnoteText"/>
        <w:rPr>
          <w:rFonts w:ascii="Arial" w:hAnsi="Arial" w:cs="Arial"/>
          <w:sz w:val="16"/>
          <w:szCs w:val="16"/>
        </w:rPr>
      </w:pPr>
      <w:r w:rsidRPr="0040544A">
        <w:rPr>
          <w:rStyle w:val="FootnoteReference"/>
          <w:rFonts w:ascii="Arial" w:hAnsi="Arial" w:cs="Arial"/>
          <w:sz w:val="16"/>
          <w:szCs w:val="16"/>
        </w:rPr>
        <w:footnoteRef/>
      </w:r>
      <w:r w:rsidRPr="0040544A">
        <w:rPr>
          <w:rFonts w:ascii="Arial" w:hAnsi="Arial" w:cs="Arial"/>
          <w:i/>
          <w:sz w:val="16"/>
          <w:szCs w:val="16"/>
        </w:rPr>
        <w:t xml:space="preserve"> A and others v Secretary of State for the Home Department</w:t>
      </w:r>
      <w:r w:rsidRPr="0040544A">
        <w:rPr>
          <w:rFonts w:ascii="Arial" w:hAnsi="Arial" w:cs="Arial"/>
          <w:sz w:val="16"/>
          <w:szCs w:val="16"/>
        </w:rPr>
        <w:t xml:space="preserve">, [2005] UKHL 71, available at: </w:t>
      </w:r>
      <w:hyperlink r:id="rId16" w:history="1">
        <w:r w:rsidRPr="0040544A">
          <w:rPr>
            <w:rStyle w:val="Hyperlink"/>
            <w:rFonts w:ascii="Arial" w:hAnsi="Arial" w:cs="Arial"/>
            <w:sz w:val="16"/>
            <w:szCs w:val="16"/>
          </w:rPr>
          <w:t>http://www.bailii.org/uk/cases/UKHL/2005/71.html</w:t>
        </w:r>
      </w:hyperlink>
      <w:r w:rsidRPr="0040544A">
        <w:rPr>
          <w:rFonts w:ascii="Arial" w:hAnsi="Arial" w:cs="Arial"/>
          <w:sz w:val="16"/>
          <w:szCs w:val="16"/>
        </w:rPr>
        <w:t>. REDRESS was one of the interveners in this case.</w:t>
      </w:r>
    </w:p>
  </w:footnote>
  <w:footnote w:id="17">
    <w:p w:rsidR="00255D19" w:rsidRPr="0040544A" w:rsidRDefault="00255D19" w:rsidP="00255D19">
      <w:pPr>
        <w:pStyle w:val="FootnoteText"/>
        <w:rPr>
          <w:rFonts w:ascii="Arial" w:hAnsi="Arial" w:cs="Arial"/>
          <w:sz w:val="16"/>
          <w:szCs w:val="16"/>
        </w:rPr>
      </w:pPr>
      <w:r w:rsidRPr="0040544A">
        <w:rPr>
          <w:rStyle w:val="FootnoteReference"/>
          <w:rFonts w:ascii="Arial" w:hAnsi="Arial" w:cs="Arial"/>
          <w:sz w:val="16"/>
          <w:szCs w:val="16"/>
        </w:rPr>
        <w:footnoteRef/>
      </w:r>
      <w:r w:rsidRPr="0040544A">
        <w:rPr>
          <w:rFonts w:ascii="Arial" w:hAnsi="Arial" w:cs="Arial"/>
          <w:sz w:val="16"/>
          <w:szCs w:val="16"/>
        </w:rPr>
        <w:t xml:space="preserve"> </w:t>
      </w:r>
      <w:proofErr w:type="gramStart"/>
      <w:r w:rsidRPr="0040544A">
        <w:rPr>
          <w:rFonts w:ascii="Arial" w:hAnsi="Arial" w:cs="Arial"/>
          <w:i/>
          <w:sz w:val="16"/>
          <w:szCs w:val="16"/>
        </w:rPr>
        <w:t>Ibid.,</w:t>
      </w:r>
      <w:proofErr w:type="gramEnd"/>
      <w:r>
        <w:rPr>
          <w:rFonts w:ascii="Arial" w:hAnsi="Arial" w:cs="Arial"/>
          <w:sz w:val="16"/>
          <w:szCs w:val="16"/>
        </w:rPr>
        <w:t xml:space="preserve"> Lord Bingham, paras.51. </w:t>
      </w:r>
    </w:p>
  </w:footnote>
  <w:footnote w:id="18">
    <w:p w:rsidR="00255D19" w:rsidRPr="0040544A" w:rsidRDefault="00255D19" w:rsidP="00255D19">
      <w:pPr>
        <w:pStyle w:val="FootnoteText"/>
        <w:rPr>
          <w:rFonts w:ascii="Arial" w:hAnsi="Arial" w:cs="Arial"/>
          <w:sz w:val="16"/>
          <w:szCs w:val="16"/>
        </w:rPr>
      </w:pPr>
      <w:r w:rsidRPr="0040544A">
        <w:rPr>
          <w:rStyle w:val="FootnoteReference"/>
          <w:rFonts w:ascii="Arial" w:hAnsi="Arial" w:cs="Arial"/>
          <w:sz w:val="16"/>
          <w:szCs w:val="16"/>
        </w:rPr>
        <w:footnoteRef/>
      </w:r>
      <w:r>
        <w:rPr>
          <w:rFonts w:ascii="Arial" w:hAnsi="Arial" w:cs="Arial"/>
          <w:sz w:val="16"/>
          <w:szCs w:val="16"/>
        </w:rPr>
        <w:t xml:space="preserve"> </w:t>
      </w:r>
      <w:proofErr w:type="gramStart"/>
      <w:r w:rsidRPr="008F65E3">
        <w:rPr>
          <w:rFonts w:ascii="Arial" w:hAnsi="Arial" w:cs="Arial"/>
          <w:i/>
          <w:sz w:val="16"/>
          <w:szCs w:val="16"/>
        </w:rPr>
        <w:t>Ibid.,</w:t>
      </w:r>
      <w:proofErr w:type="gramEnd"/>
      <w:r>
        <w:rPr>
          <w:rFonts w:ascii="Arial" w:hAnsi="Arial" w:cs="Arial"/>
          <w:sz w:val="16"/>
          <w:szCs w:val="16"/>
        </w:rPr>
        <w:t xml:space="preserve"> </w:t>
      </w:r>
      <w:r w:rsidRPr="0040544A">
        <w:rPr>
          <w:rFonts w:ascii="Arial" w:hAnsi="Arial" w:cs="Arial"/>
          <w:sz w:val="16"/>
          <w:szCs w:val="16"/>
        </w:rPr>
        <w:t>para. 59.</w:t>
      </w:r>
    </w:p>
  </w:footnote>
  <w:footnote w:id="19">
    <w:p w:rsidR="00255D19" w:rsidRPr="00483E4B" w:rsidRDefault="00255D19" w:rsidP="00255D19">
      <w:pPr>
        <w:pStyle w:val="SingleTxtG"/>
        <w:spacing w:after="0" w:line="240" w:lineRule="auto"/>
        <w:ind w:left="0" w:right="0"/>
        <w:rPr>
          <w:rFonts w:ascii="Arial" w:hAnsi="Arial" w:cs="Arial"/>
          <w:sz w:val="16"/>
          <w:szCs w:val="16"/>
        </w:rPr>
      </w:pPr>
      <w:r w:rsidRPr="00483E4B">
        <w:rPr>
          <w:rStyle w:val="FootnoteReference"/>
          <w:rFonts w:ascii="Arial" w:hAnsi="Arial" w:cs="Arial"/>
          <w:sz w:val="16"/>
          <w:szCs w:val="16"/>
        </w:rPr>
        <w:footnoteRef/>
      </w:r>
      <w:r w:rsidRPr="00483E4B">
        <w:rPr>
          <w:rFonts w:ascii="Arial" w:hAnsi="Arial" w:cs="Arial"/>
          <w:sz w:val="16"/>
          <w:szCs w:val="16"/>
        </w:rPr>
        <w:t xml:space="preserve"> Manfred Nowak, </w:t>
      </w:r>
      <w:r w:rsidRPr="00483E4B">
        <w:rPr>
          <w:rFonts w:ascii="Arial" w:hAnsi="Arial" w:cs="Arial"/>
          <w:i/>
          <w:sz w:val="16"/>
          <w:szCs w:val="16"/>
        </w:rPr>
        <w:t xml:space="preserve">Dignity and physical integrity, </w:t>
      </w:r>
      <w:r w:rsidRPr="00483E4B">
        <w:rPr>
          <w:rFonts w:ascii="Arial" w:hAnsi="Arial" w:cs="Arial"/>
          <w:sz w:val="16"/>
          <w:szCs w:val="16"/>
        </w:rPr>
        <w:t xml:space="preserve">Legal controversies relating to torture, 2007, pp.255-6, available at: </w:t>
      </w:r>
      <w:hyperlink r:id="rId17" w:history="1">
        <w:r w:rsidRPr="00483E4B">
          <w:rPr>
            <w:rStyle w:val="Hyperlink"/>
            <w:rFonts w:ascii="Arial" w:hAnsi="Arial" w:cs="Arial"/>
            <w:sz w:val="16"/>
            <w:szCs w:val="16"/>
          </w:rPr>
          <w:t>http://www.corteidh.or.cr/tablas/r29062.pdf</w:t>
        </w:r>
      </w:hyperlink>
      <w:r w:rsidRPr="00483E4B">
        <w:rPr>
          <w:rFonts w:ascii="Arial" w:hAnsi="Arial" w:cs="Arial"/>
          <w:sz w:val="16"/>
          <w:szCs w:val="16"/>
        </w:rPr>
        <w:t xml:space="preserve">. </w:t>
      </w:r>
      <w:r w:rsidRPr="00483E4B">
        <w:rPr>
          <w:rFonts w:ascii="Arial" w:hAnsi="Arial" w:cs="Arial"/>
          <w:color w:val="333333"/>
          <w:sz w:val="16"/>
          <w:szCs w:val="16"/>
          <w:shd w:val="clear" w:color="auto" w:fill="FFFFFF"/>
        </w:rPr>
        <w:t>The Committee Against Torture (CAT)</w:t>
      </w:r>
      <w:r w:rsidRPr="004D1CB4">
        <w:rPr>
          <w:rFonts w:ascii="Arial" w:hAnsi="Arial" w:cs="Arial"/>
          <w:color w:val="333333"/>
          <w:sz w:val="16"/>
          <w:szCs w:val="16"/>
          <w:shd w:val="clear" w:color="auto" w:fill="FFFFFF"/>
        </w:rPr>
        <w:t xml:space="preserve"> in its 2013 Concluding Observations echoed the concern that the burden of proof on the admissibility of torture material continues to lie with the defendant/applicant, and hence said:</w:t>
      </w:r>
      <w:r w:rsidRPr="00483E4B">
        <w:rPr>
          <w:rFonts w:ascii="Arial" w:hAnsi="Arial" w:cs="Arial"/>
          <w:color w:val="333333"/>
          <w:sz w:val="16"/>
          <w:szCs w:val="16"/>
          <w:shd w:val="clear" w:color="auto" w:fill="FFFFFF"/>
        </w:rPr>
        <w:t xml:space="preserve"> “</w:t>
      </w:r>
      <w:r w:rsidRPr="004D1CB4">
        <w:rPr>
          <w:rFonts w:ascii="Arial" w:hAnsi="Arial" w:cs="Arial"/>
          <w:color w:val="333333"/>
          <w:sz w:val="16"/>
          <w:szCs w:val="16"/>
          <w:shd w:val="clear" w:color="auto" w:fill="FFFFFF"/>
        </w:rPr>
        <w:t xml:space="preserve">The Committee calls on the State party to ensure that, where an allegation that a statement was made under torture is raised, the burden of proof is on the State. In addition, the State party should never rely on intelligence material obtained from third countries through the use of torture or cruel, </w:t>
      </w:r>
      <w:r w:rsidRPr="00483E4B">
        <w:rPr>
          <w:rFonts w:ascii="Arial" w:hAnsi="Arial" w:cs="Arial"/>
          <w:color w:val="333333"/>
          <w:sz w:val="16"/>
          <w:szCs w:val="16"/>
          <w:shd w:val="clear" w:color="auto" w:fill="FFFFFF"/>
        </w:rPr>
        <w:t xml:space="preserve">inhuman, or degrading treatment” - see </w:t>
      </w:r>
      <w:r w:rsidRPr="00483E4B">
        <w:rPr>
          <w:rFonts w:ascii="Arial" w:hAnsi="Arial" w:cs="Arial"/>
          <w:sz w:val="16"/>
          <w:szCs w:val="16"/>
        </w:rPr>
        <w:t xml:space="preserve">Committee Against Torture, </w:t>
      </w:r>
      <w:r w:rsidRPr="00483E4B">
        <w:rPr>
          <w:rFonts w:ascii="Arial" w:hAnsi="Arial" w:cs="Arial"/>
          <w:i/>
          <w:sz w:val="16"/>
          <w:szCs w:val="16"/>
        </w:rPr>
        <w:t xml:space="preserve">Concluding observations on the fifth periodic report of the United Kingdom of Great Britain and Northern Ireland, adopted by the Committee at its fiftieth session (6-31 May 2013)” </w:t>
      </w:r>
      <w:r w:rsidRPr="00483E4B">
        <w:rPr>
          <w:rFonts w:ascii="Arial" w:hAnsi="Arial" w:cs="Arial"/>
          <w:sz w:val="16"/>
          <w:szCs w:val="16"/>
        </w:rPr>
        <w:t>24 June 2103, CAT/G/GBR/CO/5, para.7, available at:</w:t>
      </w:r>
    </w:p>
    <w:p w:rsidR="00255D19" w:rsidRPr="00483E4B" w:rsidRDefault="008018EC" w:rsidP="00255D19">
      <w:pPr>
        <w:suppressAutoHyphens/>
        <w:spacing w:line="276" w:lineRule="auto"/>
        <w:jc w:val="both"/>
        <w:rPr>
          <w:rFonts w:ascii="Arial" w:hAnsi="Arial" w:cs="Arial"/>
          <w:sz w:val="16"/>
          <w:szCs w:val="16"/>
        </w:rPr>
      </w:pPr>
      <w:hyperlink r:id="rId18" w:history="1">
        <w:r w:rsidR="00255D19" w:rsidRPr="00483E4B">
          <w:rPr>
            <w:rFonts w:ascii="Arial" w:eastAsiaTheme="minorHAnsi" w:hAnsi="Arial" w:cs="Arial"/>
            <w:color w:val="0000FF" w:themeColor="hyperlink"/>
            <w:sz w:val="16"/>
            <w:szCs w:val="16"/>
            <w:u w:val="single"/>
          </w:rPr>
          <w:t>http://tbinternet.ohchr.org/_layouts/treatybodyexternal/Download.aspx?symbolno=CAT%2fC%2fGBR%2fCO%2f5&amp;Lang=en</w:t>
        </w:r>
      </w:hyperlink>
      <w:r w:rsidR="00255D19">
        <w:rPr>
          <w:rFonts w:ascii="Arial" w:eastAsiaTheme="minorHAnsi" w:hAnsi="Arial" w:cs="Arial"/>
          <w:color w:val="0000FF" w:themeColor="hyperlink"/>
          <w:sz w:val="16"/>
          <w:szCs w:val="16"/>
          <w:u w:val="single"/>
        </w:rPr>
        <w:t>.</w:t>
      </w:r>
    </w:p>
  </w:footnote>
  <w:footnote w:id="20">
    <w:p w:rsidR="00255D19" w:rsidRPr="001E369E" w:rsidRDefault="00255D19" w:rsidP="00255D19">
      <w:pPr>
        <w:pStyle w:val="FootnoteText"/>
        <w:rPr>
          <w:rFonts w:ascii="Arial" w:hAnsi="Arial" w:cs="Arial"/>
          <w:sz w:val="16"/>
          <w:szCs w:val="16"/>
        </w:rPr>
      </w:pPr>
      <w:r w:rsidRPr="001E369E">
        <w:rPr>
          <w:rStyle w:val="FootnoteReference"/>
          <w:rFonts w:ascii="Arial" w:hAnsi="Arial" w:cs="Arial"/>
          <w:sz w:val="16"/>
          <w:szCs w:val="16"/>
        </w:rPr>
        <w:footnoteRef/>
      </w:r>
      <w:r w:rsidRPr="001E369E">
        <w:rPr>
          <w:rFonts w:ascii="Arial" w:hAnsi="Arial" w:cs="Arial"/>
          <w:sz w:val="16"/>
          <w:szCs w:val="16"/>
        </w:rPr>
        <w:t xml:space="preserve"> FCO, </w:t>
      </w:r>
      <w:r w:rsidRPr="001E369E">
        <w:rPr>
          <w:rFonts w:ascii="Arial" w:hAnsi="Arial" w:cs="Arial"/>
          <w:i/>
          <w:sz w:val="16"/>
          <w:szCs w:val="16"/>
        </w:rPr>
        <w:t>Human Rights and Democracy: The 2014 Foreign and Commonwealth Office Report</w:t>
      </w:r>
      <w:r w:rsidRPr="001E369E">
        <w:rPr>
          <w:rFonts w:ascii="Arial" w:hAnsi="Arial" w:cs="Arial"/>
          <w:sz w:val="16"/>
          <w:szCs w:val="16"/>
        </w:rPr>
        <w:t>, March 2015, p. 67, available at</w:t>
      </w:r>
      <w:r>
        <w:rPr>
          <w:rFonts w:ascii="Arial" w:hAnsi="Arial" w:cs="Arial"/>
          <w:sz w:val="16"/>
          <w:szCs w:val="16"/>
        </w:rPr>
        <w:t>:</w:t>
      </w:r>
      <w:r w:rsidRPr="001E369E">
        <w:rPr>
          <w:rFonts w:ascii="Arial" w:hAnsi="Arial" w:cs="Arial"/>
          <w:sz w:val="16"/>
          <w:szCs w:val="16"/>
        </w:rPr>
        <w:t xml:space="preserve"> </w:t>
      </w:r>
      <w:hyperlink r:id="rId19" w:history="1">
        <w:r w:rsidRPr="00375430">
          <w:rPr>
            <w:rStyle w:val="Hyperlink"/>
            <w:rFonts w:ascii="Arial" w:hAnsi="Arial" w:cs="Arial"/>
            <w:sz w:val="16"/>
            <w:szCs w:val="16"/>
          </w:rPr>
          <w:t>https://www.gov.uk/government/uploads/system/uploads/attachment_data/file/415910/AHRR_2014_Final_to_TSO.pdf</w:t>
        </w:r>
      </w:hyperlink>
      <w:r>
        <w:rPr>
          <w:rFonts w:ascii="Arial" w:hAnsi="Arial" w:cs="Arial"/>
          <w:sz w:val="16"/>
          <w:szCs w:val="16"/>
        </w:rPr>
        <w:t xml:space="preserve">. </w:t>
      </w:r>
    </w:p>
  </w:footnote>
  <w:footnote w:id="21">
    <w:p w:rsidR="00255D19" w:rsidRPr="001E369E" w:rsidRDefault="00255D19" w:rsidP="00255D19">
      <w:pPr>
        <w:pStyle w:val="FootnoteText"/>
        <w:rPr>
          <w:rFonts w:ascii="Arial" w:hAnsi="Arial" w:cs="Arial"/>
          <w:sz w:val="16"/>
          <w:szCs w:val="16"/>
        </w:rPr>
      </w:pPr>
      <w:r w:rsidRPr="001E369E">
        <w:rPr>
          <w:rStyle w:val="FootnoteReference"/>
          <w:rFonts w:ascii="Arial" w:hAnsi="Arial" w:cs="Arial"/>
          <w:sz w:val="16"/>
          <w:szCs w:val="16"/>
        </w:rPr>
        <w:footnoteRef/>
      </w:r>
      <w:r w:rsidRPr="001E369E">
        <w:rPr>
          <w:rFonts w:ascii="Arial" w:hAnsi="Arial" w:cs="Arial"/>
          <w:sz w:val="16"/>
          <w:szCs w:val="16"/>
        </w:rPr>
        <w:t xml:space="preserve"> </w:t>
      </w:r>
      <w:r w:rsidRPr="001E369E">
        <w:rPr>
          <w:rFonts w:ascii="Arial" w:hAnsi="Arial" w:cs="Arial"/>
          <w:i/>
          <w:sz w:val="16"/>
          <w:szCs w:val="16"/>
        </w:rPr>
        <w:t>Ibid</w:t>
      </w:r>
      <w:r w:rsidRPr="001E369E">
        <w:rPr>
          <w:rFonts w:ascii="Arial" w:hAnsi="Arial" w:cs="Arial"/>
          <w:sz w:val="16"/>
          <w:szCs w:val="16"/>
        </w:rPr>
        <w:t>.</w:t>
      </w:r>
    </w:p>
  </w:footnote>
  <w:footnote w:id="22">
    <w:p w:rsidR="00255D19" w:rsidRPr="0040544A" w:rsidRDefault="00255D19" w:rsidP="00255D19">
      <w:pPr>
        <w:pStyle w:val="FootnoteText"/>
        <w:rPr>
          <w:rFonts w:ascii="Arial" w:hAnsi="Arial" w:cs="Arial"/>
          <w:sz w:val="16"/>
          <w:szCs w:val="16"/>
        </w:rPr>
      </w:pPr>
      <w:r w:rsidRPr="0040544A">
        <w:rPr>
          <w:rStyle w:val="FootnoteReference"/>
          <w:rFonts w:ascii="Arial" w:hAnsi="Arial" w:cs="Arial"/>
          <w:sz w:val="16"/>
          <w:szCs w:val="16"/>
        </w:rPr>
        <w:footnoteRef/>
      </w:r>
      <w:r w:rsidRPr="0040544A">
        <w:rPr>
          <w:rFonts w:ascii="Arial" w:hAnsi="Arial" w:cs="Arial"/>
          <w:sz w:val="16"/>
          <w:szCs w:val="16"/>
        </w:rPr>
        <w:t xml:space="preserve"> The use of the policy is re-iterated in Foreign and Commonwealth Office, </w:t>
      </w:r>
      <w:r w:rsidRPr="0040544A">
        <w:rPr>
          <w:rFonts w:ascii="Arial" w:hAnsi="Arial" w:cs="Arial"/>
          <w:i/>
          <w:sz w:val="16"/>
          <w:szCs w:val="16"/>
        </w:rPr>
        <w:t>FCO Strategy for the Prevention of Torture 2011-2015</w:t>
      </w:r>
      <w:r w:rsidRPr="0040544A">
        <w:rPr>
          <w:rFonts w:ascii="Arial" w:hAnsi="Arial" w:cs="Arial"/>
          <w:sz w:val="16"/>
          <w:szCs w:val="16"/>
        </w:rPr>
        <w:t xml:space="preserve">, October 2011, p. 10, available at: </w:t>
      </w:r>
      <w:hyperlink r:id="rId20" w:history="1">
        <w:r w:rsidRPr="0040544A">
          <w:rPr>
            <w:rStyle w:val="Hyperlink"/>
            <w:rFonts w:ascii="Arial" w:hAnsi="Arial" w:cs="Arial"/>
            <w:sz w:val="16"/>
            <w:szCs w:val="16"/>
          </w:rPr>
          <w:t>https://www.gov.uk/government/uploads/system/uploads/attachment_data/file/35449/fcostrategytortureprevention.pdf</w:t>
        </w:r>
      </w:hyperlink>
      <w:r w:rsidRPr="0040544A">
        <w:rPr>
          <w:rFonts w:ascii="Arial" w:hAnsi="Arial" w:cs="Arial"/>
          <w:sz w:val="16"/>
          <w:szCs w:val="16"/>
        </w:rPr>
        <w:t>.</w:t>
      </w:r>
    </w:p>
  </w:footnote>
  <w:footnote w:id="23">
    <w:p w:rsidR="00255D19" w:rsidRPr="0040544A" w:rsidRDefault="00255D19" w:rsidP="00255D19">
      <w:pPr>
        <w:pStyle w:val="FootnoteText"/>
        <w:rPr>
          <w:rFonts w:ascii="Arial" w:hAnsi="Arial" w:cs="Arial"/>
          <w:sz w:val="16"/>
          <w:szCs w:val="16"/>
        </w:rPr>
      </w:pPr>
      <w:r w:rsidRPr="0040544A">
        <w:rPr>
          <w:rStyle w:val="FootnoteReference"/>
          <w:rFonts w:ascii="Arial" w:hAnsi="Arial" w:cs="Arial"/>
          <w:i/>
          <w:sz w:val="16"/>
          <w:szCs w:val="16"/>
        </w:rPr>
        <w:footnoteRef/>
      </w:r>
      <w:r w:rsidRPr="0040544A">
        <w:rPr>
          <w:rFonts w:ascii="Arial" w:hAnsi="Arial" w:cs="Arial"/>
          <w:i/>
          <w:sz w:val="16"/>
          <w:szCs w:val="16"/>
        </w:rPr>
        <w:t>A (FC) and others (FC) (Appellants) v. Secretary of State for the Home Department (Respondent),</w:t>
      </w:r>
      <w:r w:rsidRPr="0040544A">
        <w:rPr>
          <w:rFonts w:ascii="Arial" w:hAnsi="Arial" w:cs="Arial"/>
          <w:sz w:val="16"/>
          <w:szCs w:val="16"/>
        </w:rPr>
        <w:t xml:space="preserve"> [2004] UKHL 56, available at: </w:t>
      </w:r>
      <w:hyperlink r:id="rId21" w:history="1">
        <w:r w:rsidRPr="0040544A">
          <w:rPr>
            <w:rStyle w:val="Hyperlink"/>
            <w:rFonts w:ascii="Arial" w:hAnsi="Arial" w:cs="Arial"/>
            <w:sz w:val="16"/>
            <w:szCs w:val="16"/>
          </w:rPr>
          <w:t>http://www.bailii.org/uk/cases/UKHL/2004/56.html</w:t>
        </w:r>
      </w:hyperlink>
      <w:r w:rsidRPr="0040544A">
        <w:rPr>
          <w:rFonts w:ascii="Arial" w:hAnsi="Arial" w:cs="Arial"/>
          <w:sz w:val="16"/>
          <w:szCs w:val="16"/>
        </w:rPr>
        <w:t xml:space="preserve">.  </w:t>
      </w:r>
    </w:p>
  </w:footnote>
  <w:footnote w:id="24">
    <w:p w:rsidR="00255D19" w:rsidRPr="0040544A" w:rsidRDefault="00255D19" w:rsidP="00255D19">
      <w:pPr>
        <w:pStyle w:val="FootnoteText"/>
        <w:rPr>
          <w:rFonts w:ascii="Arial" w:hAnsi="Arial" w:cs="Arial"/>
          <w:sz w:val="16"/>
          <w:szCs w:val="16"/>
        </w:rPr>
      </w:pPr>
      <w:r w:rsidRPr="0040544A">
        <w:rPr>
          <w:rStyle w:val="FootnoteReference"/>
          <w:rFonts w:ascii="Arial" w:hAnsi="Arial" w:cs="Arial"/>
          <w:sz w:val="16"/>
          <w:szCs w:val="16"/>
        </w:rPr>
        <w:footnoteRef/>
      </w:r>
      <w:r w:rsidRPr="0040544A">
        <w:rPr>
          <w:rFonts w:ascii="Arial" w:hAnsi="Arial" w:cs="Arial"/>
          <w:sz w:val="16"/>
          <w:szCs w:val="16"/>
        </w:rPr>
        <w:t xml:space="preserve"> See </w:t>
      </w:r>
      <w:r w:rsidRPr="0040544A">
        <w:rPr>
          <w:rFonts w:ascii="Arial" w:eastAsia="Times New Roman" w:hAnsi="Arial" w:cs="Arial"/>
          <w:bCs/>
          <w:sz w:val="16"/>
          <w:szCs w:val="16"/>
          <w:lang w:eastAsia="en-GB"/>
        </w:rPr>
        <w:t xml:space="preserve">Independent Reviewer of Terrorism Legislation, available at: </w:t>
      </w:r>
      <w:hyperlink r:id="rId22" w:history="1">
        <w:r w:rsidRPr="0040544A">
          <w:rPr>
            <w:rStyle w:val="Hyperlink"/>
            <w:rFonts w:ascii="Arial" w:eastAsia="Times New Roman" w:hAnsi="Arial" w:cs="Arial"/>
            <w:bCs/>
            <w:sz w:val="16"/>
            <w:szCs w:val="16"/>
            <w:lang w:eastAsia="en-GB"/>
          </w:rPr>
          <w:t>https://terrorismlegislationreviewer.independent.gov.uk/</w:t>
        </w:r>
      </w:hyperlink>
      <w:r w:rsidRPr="0040544A">
        <w:rPr>
          <w:rFonts w:ascii="Arial" w:eastAsia="Times New Roman" w:hAnsi="Arial" w:cs="Arial"/>
          <w:bCs/>
          <w:sz w:val="16"/>
          <w:szCs w:val="16"/>
          <w:lang w:eastAsia="en-GB"/>
        </w:rPr>
        <w:t>. By coincidence the first incumbent, Lord Carlisle, accepted the post a few hours before the terrorist attacks of 11 September 2001. The present IRTL is David Anderson QC, appointed in February 2011.</w:t>
      </w:r>
    </w:p>
  </w:footnote>
  <w:footnote w:id="25">
    <w:p w:rsidR="00255D19" w:rsidRPr="0040544A" w:rsidRDefault="00255D19" w:rsidP="00255D19">
      <w:pPr>
        <w:pStyle w:val="FootnoteText"/>
        <w:rPr>
          <w:rFonts w:ascii="Arial" w:hAnsi="Arial" w:cs="Arial"/>
          <w:sz w:val="16"/>
          <w:szCs w:val="16"/>
        </w:rPr>
      </w:pPr>
      <w:r w:rsidRPr="0040544A">
        <w:rPr>
          <w:rStyle w:val="FootnoteReference"/>
          <w:rFonts w:ascii="Arial" w:hAnsi="Arial" w:cs="Arial"/>
          <w:sz w:val="16"/>
          <w:szCs w:val="16"/>
        </w:rPr>
        <w:footnoteRef/>
      </w:r>
      <w:r w:rsidRPr="0040544A">
        <w:rPr>
          <w:rFonts w:ascii="Arial" w:hAnsi="Arial" w:cs="Arial"/>
          <w:sz w:val="16"/>
          <w:szCs w:val="16"/>
        </w:rPr>
        <w:t xml:space="preserve"> </w:t>
      </w:r>
      <w:proofErr w:type="gramStart"/>
      <w:r w:rsidRPr="0040544A">
        <w:rPr>
          <w:rFonts w:ascii="Arial" w:hAnsi="Arial" w:cs="Arial"/>
          <w:i/>
          <w:sz w:val="16"/>
          <w:szCs w:val="16"/>
        </w:rPr>
        <w:t>Ibid</w:t>
      </w:r>
      <w:r w:rsidRPr="0040544A">
        <w:rPr>
          <w:rFonts w:ascii="Arial" w:hAnsi="Arial" w:cs="Arial"/>
          <w:sz w:val="16"/>
          <w:szCs w:val="16"/>
        </w:rPr>
        <w:t>.,</w:t>
      </w:r>
      <w:proofErr w:type="gramEnd"/>
      <w:r w:rsidRPr="0040544A">
        <w:rPr>
          <w:rFonts w:ascii="Arial" w:hAnsi="Arial" w:cs="Arial"/>
          <w:sz w:val="16"/>
          <w:szCs w:val="16"/>
        </w:rPr>
        <w:t xml:space="preserve"> and see the IRTL’s Terms of Reference at: </w:t>
      </w:r>
      <w:hyperlink r:id="rId23" w:history="1">
        <w:r w:rsidRPr="0040544A">
          <w:rPr>
            <w:rStyle w:val="Hyperlink"/>
            <w:rFonts w:ascii="Arial" w:hAnsi="Arial" w:cs="Arial"/>
            <w:sz w:val="16"/>
            <w:szCs w:val="16"/>
          </w:rPr>
          <w:t>https://www.gov.uk/government/uploads/system/uploads/attachment_data/file/260320/TOR_for_the_Independent_Review_of_Deportation_with_Assurances.pdf</w:t>
        </w:r>
      </w:hyperlink>
      <w:r w:rsidRPr="0040544A">
        <w:rPr>
          <w:rFonts w:ascii="Arial" w:hAnsi="Arial" w:cs="Arial"/>
          <w:sz w:val="16"/>
          <w:szCs w:val="16"/>
        </w:rPr>
        <w:t xml:space="preserve">. </w:t>
      </w:r>
    </w:p>
  </w:footnote>
  <w:footnote w:id="26">
    <w:p w:rsidR="006D7715" w:rsidRPr="001A795A" w:rsidRDefault="006D7715">
      <w:pPr>
        <w:pStyle w:val="FootnoteText"/>
        <w:rPr>
          <w:rFonts w:ascii="Arial" w:hAnsi="Arial" w:cs="Arial"/>
          <w:sz w:val="16"/>
          <w:szCs w:val="16"/>
        </w:rPr>
      </w:pPr>
      <w:r w:rsidRPr="001A795A">
        <w:rPr>
          <w:rStyle w:val="FootnoteReference"/>
          <w:rFonts w:ascii="Arial" w:hAnsi="Arial" w:cs="Arial"/>
          <w:sz w:val="16"/>
          <w:szCs w:val="16"/>
        </w:rPr>
        <w:footnoteRef/>
      </w:r>
      <w:r w:rsidRPr="001A795A">
        <w:rPr>
          <w:rFonts w:ascii="Arial" w:hAnsi="Arial" w:cs="Arial"/>
          <w:sz w:val="16"/>
          <w:szCs w:val="16"/>
        </w:rPr>
        <w:t xml:space="preserve"> </w:t>
      </w:r>
      <w:r w:rsidR="001A795A" w:rsidRPr="001A795A">
        <w:rPr>
          <w:rFonts w:ascii="Arial" w:hAnsi="Arial" w:cs="Arial"/>
          <w:sz w:val="16"/>
          <w:szCs w:val="16"/>
        </w:rPr>
        <w:t xml:space="preserve">FCO, </w:t>
      </w:r>
      <w:r w:rsidR="001A795A" w:rsidRPr="001A795A">
        <w:rPr>
          <w:rFonts w:ascii="Arial" w:hAnsi="Arial" w:cs="Arial"/>
          <w:i/>
          <w:sz w:val="16"/>
          <w:szCs w:val="16"/>
        </w:rPr>
        <w:t xml:space="preserve">Human Rights and Democracy: The 2014 Foreign and Commonwealth Office Report, </w:t>
      </w:r>
      <w:r w:rsidR="001A795A" w:rsidRPr="001A795A">
        <w:rPr>
          <w:rFonts w:ascii="Arial" w:hAnsi="Arial" w:cs="Arial"/>
          <w:sz w:val="16"/>
          <w:szCs w:val="16"/>
        </w:rPr>
        <w:t>March 2015, p.67, available at https://www.gov.uk/government/uploads/system/uploads/attachment_data/file/415910/AHRR_2014_Final_to_TSO.pdf.</w:t>
      </w:r>
    </w:p>
  </w:footnote>
  <w:footnote w:id="27">
    <w:p w:rsidR="00255D19" w:rsidRPr="0040544A" w:rsidRDefault="00255D19" w:rsidP="00255D19">
      <w:pPr>
        <w:pStyle w:val="Heading1"/>
        <w:shd w:val="clear" w:color="auto" w:fill="FFFFFF"/>
        <w:spacing w:before="0"/>
        <w:rPr>
          <w:rFonts w:ascii="Arial" w:hAnsi="Arial" w:cs="Arial"/>
          <w:b w:val="0"/>
          <w:color w:val="auto"/>
          <w:sz w:val="16"/>
          <w:szCs w:val="16"/>
        </w:rPr>
      </w:pPr>
      <w:r w:rsidRPr="001A795A">
        <w:rPr>
          <w:rStyle w:val="FootnoteReference"/>
          <w:rFonts w:ascii="Arial" w:hAnsi="Arial" w:cs="Arial"/>
          <w:b w:val="0"/>
          <w:color w:val="auto"/>
          <w:sz w:val="16"/>
          <w:szCs w:val="16"/>
        </w:rPr>
        <w:footnoteRef/>
      </w:r>
      <w:r w:rsidRPr="001A795A">
        <w:rPr>
          <w:rFonts w:ascii="Arial" w:hAnsi="Arial" w:cs="Arial"/>
          <w:b w:val="0"/>
          <w:color w:val="auto"/>
          <w:sz w:val="16"/>
          <w:szCs w:val="16"/>
        </w:rPr>
        <w:t xml:space="preserve"> See </w:t>
      </w:r>
      <w:proofErr w:type="spellStart"/>
      <w:r w:rsidRPr="001A795A">
        <w:rPr>
          <w:rFonts w:ascii="Arial" w:hAnsi="Arial" w:cs="Arial"/>
          <w:b w:val="0"/>
          <w:color w:val="auto"/>
          <w:sz w:val="16"/>
          <w:szCs w:val="16"/>
        </w:rPr>
        <w:t>Debrett’s</w:t>
      </w:r>
      <w:proofErr w:type="spellEnd"/>
      <w:r w:rsidRPr="001A795A">
        <w:rPr>
          <w:rFonts w:ascii="Arial" w:hAnsi="Arial" w:cs="Arial"/>
          <w:b w:val="0"/>
          <w:color w:val="auto"/>
          <w:sz w:val="16"/>
          <w:szCs w:val="16"/>
        </w:rPr>
        <w:t xml:space="preserve">, </w:t>
      </w:r>
      <w:r w:rsidRPr="001A795A">
        <w:rPr>
          <w:rFonts w:ascii="Arial" w:eastAsia="Times New Roman" w:hAnsi="Arial" w:cs="Arial"/>
          <w:b w:val="0"/>
          <w:bCs w:val="0"/>
          <w:i/>
          <w:color w:val="auto"/>
          <w:kern w:val="36"/>
          <w:sz w:val="16"/>
          <w:szCs w:val="16"/>
          <w:lang w:eastAsia="en-GB"/>
        </w:rPr>
        <w:t>Anthony Michael</w:t>
      </w:r>
      <w:r w:rsidRPr="0040544A">
        <w:rPr>
          <w:rFonts w:ascii="Arial" w:eastAsia="Times New Roman" w:hAnsi="Arial" w:cs="Arial"/>
          <w:b w:val="0"/>
          <w:bCs w:val="0"/>
          <w:i/>
          <w:color w:val="auto"/>
          <w:kern w:val="36"/>
          <w:sz w:val="16"/>
          <w:szCs w:val="16"/>
          <w:lang w:eastAsia="en-GB"/>
        </w:rPr>
        <w:t xml:space="preserve"> LAYDEN,</w:t>
      </w:r>
      <w:r w:rsidRPr="0040544A">
        <w:rPr>
          <w:rFonts w:ascii="Arial" w:hAnsi="Arial" w:cs="Arial"/>
          <w:b w:val="0"/>
          <w:color w:val="auto"/>
          <w:sz w:val="16"/>
          <w:szCs w:val="16"/>
        </w:rPr>
        <w:t xml:space="preserve"> available at: </w:t>
      </w:r>
      <w:hyperlink r:id="rId24" w:history="1">
        <w:r w:rsidRPr="0040544A">
          <w:rPr>
            <w:rStyle w:val="Hyperlink"/>
            <w:rFonts w:ascii="Arial" w:hAnsi="Arial" w:cs="Arial"/>
            <w:b w:val="0"/>
            <w:color w:val="auto"/>
            <w:sz w:val="16"/>
            <w:szCs w:val="16"/>
          </w:rPr>
          <w:t>http://www.debretts.com/people-of-today/profile/19034/Anthony-Michael-LAYDEN</w:t>
        </w:r>
      </w:hyperlink>
      <w:r w:rsidRPr="0040544A">
        <w:rPr>
          <w:rFonts w:ascii="Arial" w:hAnsi="Arial" w:cs="Arial"/>
          <w:b w:val="0"/>
          <w:color w:val="auto"/>
          <w:sz w:val="16"/>
          <w:szCs w:val="16"/>
        </w:rPr>
        <w:t xml:space="preserve">. </w:t>
      </w:r>
    </w:p>
  </w:footnote>
  <w:footnote w:id="28">
    <w:p w:rsidR="00255D19" w:rsidRPr="0040544A" w:rsidRDefault="00255D19" w:rsidP="00255D19">
      <w:pPr>
        <w:pStyle w:val="Heading1"/>
        <w:shd w:val="clear" w:color="auto" w:fill="FFFFFF"/>
        <w:spacing w:before="0"/>
        <w:rPr>
          <w:rFonts w:ascii="Arial" w:hAnsi="Arial" w:cs="Arial"/>
          <w:b w:val="0"/>
          <w:color w:val="auto"/>
          <w:sz w:val="16"/>
          <w:szCs w:val="16"/>
        </w:rPr>
      </w:pPr>
      <w:r w:rsidRPr="0040544A">
        <w:rPr>
          <w:rStyle w:val="FootnoteReference"/>
          <w:rFonts w:ascii="Arial" w:hAnsi="Arial" w:cs="Arial"/>
          <w:b w:val="0"/>
          <w:color w:val="auto"/>
          <w:sz w:val="16"/>
          <w:szCs w:val="16"/>
        </w:rPr>
        <w:footnoteRef/>
      </w:r>
      <w:r w:rsidRPr="0040544A">
        <w:rPr>
          <w:rFonts w:ascii="Arial" w:hAnsi="Arial" w:cs="Arial"/>
          <w:b w:val="0"/>
          <w:color w:val="auto"/>
          <w:sz w:val="16"/>
          <w:szCs w:val="16"/>
        </w:rPr>
        <w:t xml:space="preserve"> Daily Telegraph, </w:t>
      </w:r>
      <w:r w:rsidRPr="0040544A">
        <w:rPr>
          <w:rFonts w:ascii="Arial" w:eastAsia="Times New Roman" w:hAnsi="Arial" w:cs="Arial"/>
          <w:b w:val="0"/>
          <w:bCs w:val="0"/>
          <w:i/>
          <w:color w:val="auto"/>
          <w:kern w:val="36"/>
          <w:sz w:val="16"/>
          <w:szCs w:val="16"/>
          <w:lang w:eastAsia="en-GB"/>
        </w:rPr>
        <w:t xml:space="preserve">Anti-terrorism chief quits over failure to expel suspects, </w:t>
      </w:r>
      <w:r w:rsidRPr="0040544A">
        <w:rPr>
          <w:rFonts w:ascii="Arial" w:eastAsia="Times New Roman" w:hAnsi="Arial" w:cs="Arial"/>
          <w:b w:val="0"/>
          <w:bCs w:val="0"/>
          <w:color w:val="auto"/>
          <w:kern w:val="36"/>
          <w:sz w:val="16"/>
          <w:szCs w:val="16"/>
          <w:lang w:eastAsia="en-GB"/>
        </w:rPr>
        <w:t xml:space="preserve">21 February 2015, available at: </w:t>
      </w:r>
      <w:hyperlink r:id="rId25" w:history="1">
        <w:r w:rsidRPr="0040544A">
          <w:rPr>
            <w:rStyle w:val="Hyperlink"/>
            <w:rFonts w:ascii="Arial" w:eastAsia="Times New Roman" w:hAnsi="Arial" w:cs="Arial"/>
            <w:b w:val="0"/>
            <w:bCs w:val="0"/>
            <w:color w:val="auto"/>
            <w:kern w:val="36"/>
            <w:sz w:val="16"/>
            <w:szCs w:val="16"/>
            <w:lang w:eastAsia="en-GB"/>
          </w:rPr>
          <w:t>http://www.telegraph.co.uk/news/uknews/terrorism-in-the-uk/11427428/Anti-terrorism-chief-quits-over-failure-to-expel-suspects.html</w:t>
        </w:r>
      </w:hyperlink>
      <w:r w:rsidRPr="0040544A">
        <w:rPr>
          <w:rFonts w:ascii="Arial" w:eastAsia="Times New Roman" w:hAnsi="Arial" w:cs="Arial"/>
          <w:b w:val="0"/>
          <w:bCs w:val="0"/>
          <w:color w:val="auto"/>
          <w:kern w:val="36"/>
          <w:sz w:val="16"/>
          <w:szCs w:val="16"/>
          <w:lang w:eastAsia="en-GB"/>
        </w:rPr>
        <w:t xml:space="preserve">. </w:t>
      </w:r>
    </w:p>
  </w:footnote>
  <w:footnote w:id="29">
    <w:p w:rsidR="00255D19" w:rsidRDefault="00255D19" w:rsidP="00255D19">
      <w:pPr>
        <w:pStyle w:val="FootnoteText"/>
      </w:pPr>
      <w:r>
        <w:rPr>
          <w:rStyle w:val="FootnoteReference"/>
        </w:rPr>
        <w:footnoteRef/>
      </w:r>
      <w:r>
        <w:t xml:space="preserve"> </w:t>
      </w:r>
      <w:r w:rsidRPr="0040544A">
        <w:rPr>
          <w:rFonts w:ascii="Arial" w:eastAsia="Times New Roman" w:hAnsi="Arial" w:cs="Arial"/>
          <w:sz w:val="16"/>
          <w:szCs w:val="16"/>
        </w:rPr>
        <w:t xml:space="preserve">See REDRESS, </w:t>
      </w:r>
      <w:r w:rsidRPr="0040544A">
        <w:rPr>
          <w:rFonts w:ascii="Arial" w:eastAsia="Times New Roman" w:hAnsi="Arial" w:cs="Arial"/>
          <w:i/>
          <w:sz w:val="16"/>
          <w:szCs w:val="16"/>
          <w:lang w:eastAsia="en-GB"/>
        </w:rPr>
        <w:t>Joint NGO Letter regarding Denmark and diplomatic assurances against grave violations of Human Rights,</w:t>
      </w:r>
      <w:r w:rsidRPr="0040544A">
        <w:rPr>
          <w:rFonts w:ascii="Arial" w:eastAsia="Times New Roman" w:hAnsi="Arial" w:cs="Arial"/>
          <w:sz w:val="16"/>
          <w:szCs w:val="16"/>
          <w:lang w:eastAsia="en-GB"/>
        </w:rPr>
        <w:t xml:space="preserve"> 18 June 2008, available at</w:t>
      </w:r>
      <w:r>
        <w:rPr>
          <w:rFonts w:ascii="Arial" w:eastAsia="Times New Roman" w:hAnsi="Arial" w:cs="Arial"/>
          <w:sz w:val="16"/>
          <w:szCs w:val="16"/>
          <w:lang w:eastAsia="en-GB"/>
        </w:rPr>
        <w:t>:</w:t>
      </w:r>
      <w:r w:rsidRPr="0040544A">
        <w:rPr>
          <w:rFonts w:ascii="Arial" w:eastAsia="Times New Roman" w:hAnsi="Arial" w:cs="Arial"/>
          <w:sz w:val="16"/>
          <w:szCs w:val="16"/>
          <w:lang w:eastAsia="en-GB"/>
        </w:rPr>
        <w:t xml:space="preserve"> </w:t>
      </w:r>
      <w:hyperlink r:id="rId26" w:history="1">
        <w:r w:rsidRPr="0040544A">
          <w:rPr>
            <w:rFonts w:ascii="Arial" w:eastAsia="Times New Roman" w:hAnsi="Arial" w:cs="Arial"/>
            <w:sz w:val="16"/>
            <w:szCs w:val="16"/>
            <w:u w:val="single"/>
            <w:lang w:eastAsia="en-GB"/>
          </w:rPr>
          <w:t>http://www.redress.org/downloads/publications/Joint%20NGO%20open%20letter%20re%20DAs_without%20signatures.pdf</w:t>
        </w:r>
      </w:hyperlink>
      <w:r w:rsidRPr="0040544A">
        <w:rPr>
          <w:rFonts w:ascii="Arial" w:eastAsia="Times New Roman" w:hAnsi="Arial" w:cs="Arial"/>
          <w:sz w:val="16"/>
          <w:szCs w:val="16"/>
          <w:u w:val="single"/>
          <w:lang w:eastAsia="en-GB"/>
        </w:rPr>
        <w:t>.</w:t>
      </w:r>
      <w:r w:rsidRPr="0040544A">
        <w:rPr>
          <w:rFonts w:ascii="Arial" w:eastAsia="Times New Roman" w:hAnsi="Arial" w:cs="Arial"/>
          <w:sz w:val="16"/>
          <w:szCs w:val="16"/>
          <w:lang w:eastAsia="en-GB"/>
        </w:rPr>
        <w:t xml:space="preserve">; REDRESS, </w:t>
      </w:r>
      <w:r w:rsidRPr="0040544A">
        <w:rPr>
          <w:rFonts w:ascii="Arial" w:eastAsia="Times New Roman" w:hAnsi="Arial" w:cs="Arial"/>
          <w:i/>
          <w:sz w:val="16"/>
          <w:szCs w:val="16"/>
          <w:lang w:eastAsia="en-GB"/>
        </w:rPr>
        <w:t xml:space="preserve">The United Kingdom, Torture and Anti-Terrorism: Where the problems lie, </w:t>
      </w:r>
      <w:r w:rsidRPr="0040544A">
        <w:rPr>
          <w:rFonts w:ascii="Arial" w:eastAsia="Times New Roman" w:hAnsi="Arial" w:cs="Arial"/>
          <w:sz w:val="16"/>
          <w:szCs w:val="16"/>
          <w:lang w:eastAsia="en-GB"/>
        </w:rPr>
        <w:t>December 2008, available at:</w:t>
      </w:r>
      <w:r w:rsidRPr="0040544A">
        <w:rPr>
          <w:rFonts w:ascii="Arial" w:eastAsia="Times New Roman" w:hAnsi="Arial" w:cs="Arial"/>
          <w:sz w:val="16"/>
          <w:szCs w:val="16"/>
        </w:rPr>
        <w:t xml:space="preserve"> </w:t>
      </w:r>
      <w:hyperlink r:id="rId27" w:history="1">
        <w:r w:rsidRPr="0040544A">
          <w:rPr>
            <w:rFonts w:ascii="Arial" w:eastAsia="Times New Roman" w:hAnsi="Arial" w:cs="Arial"/>
            <w:sz w:val="16"/>
            <w:szCs w:val="16"/>
            <w:u w:val="single"/>
            <w:lang w:eastAsia="en-GB"/>
          </w:rPr>
          <w:t>http://www.redress.org/downloads/publications/Where%20the%20ProblemsLie%2010%20Dec%2008A4.pdf</w:t>
        </w:r>
      </w:hyperlink>
      <w:r w:rsidRPr="0040544A">
        <w:rPr>
          <w:rFonts w:ascii="Arial" w:eastAsia="Times New Roman" w:hAnsi="Arial" w:cs="Arial"/>
          <w:sz w:val="16"/>
          <w:szCs w:val="16"/>
          <w:lang w:eastAsia="en-GB"/>
        </w:rPr>
        <w:t>.; REDRESS</w:t>
      </w:r>
      <w:r w:rsidRPr="0040544A">
        <w:rPr>
          <w:rFonts w:ascii="Arial" w:eastAsia="Times New Roman" w:hAnsi="Arial" w:cs="Arial"/>
          <w:i/>
          <w:sz w:val="16"/>
          <w:szCs w:val="16"/>
          <w:lang w:eastAsia="en-GB"/>
        </w:rPr>
        <w:t xml:space="preserve">, Submission to the Committee Against Torture on its List of Issues for Consideration of the UK'S 5th State Party Report, </w:t>
      </w:r>
      <w:r w:rsidRPr="0040544A">
        <w:rPr>
          <w:rFonts w:ascii="Arial" w:eastAsia="Times New Roman" w:hAnsi="Arial" w:cs="Arial"/>
          <w:sz w:val="16"/>
          <w:szCs w:val="16"/>
          <w:lang w:eastAsia="en-GB"/>
        </w:rPr>
        <w:t>April 2013, available at</w:t>
      </w:r>
      <w:r>
        <w:rPr>
          <w:rFonts w:ascii="Arial" w:eastAsia="Times New Roman" w:hAnsi="Arial" w:cs="Arial"/>
          <w:sz w:val="16"/>
          <w:szCs w:val="16"/>
          <w:lang w:eastAsia="en-GB"/>
        </w:rPr>
        <w:t>:</w:t>
      </w:r>
      <w:r w:rsidRPr="0040544A">
        <w:rPr>
          <w:rFonts w:ascii="Arial" w:eastAsia="Times New Roman" w:hAnsi="Arial" w:cs="Arial"/>
          <w:sz w:val="16"/>
          <w:szCs w:val="16"/>
          <w:lang w:eastAsia="en-GB"/>
        </w:rPr>
        <w:t xml:space="preserve"> </w:t>
      </w:r>
      <w:hyperlink r:id="rId28" w:history="1">
        <w:r w:rsidRPr="0040544A">
          <w:rPr>
            <w:rFonts w:ascii="Arial" w:eastAsia="Times New Roman" w:hAnsi="Arial" w:cs="Arial"/>
            <w:sz w:val="16"/>
            <w:szCs w:val="16"/>
            <w:u w:val="single"/>
            <w:lang w:eastAsia="en-GB"/>
          </w:rPr>
          <w:t>http://www.redress.org/downloads/publications/REDRESS%20SUBMISSION%20TO%20CAT%20ON%20UK%20%20%2019%2004.pdf</w:t>
        </w:r>
      </w:hyperlink>
      <w:r>
        <w:rPr>
          <w:rFonts w:ascii="Arial" w:eastAsia="Times New Roman" w:hAnsi="Arial" w:cs="Arial"/>
          <w:sz w:val="16"/>
          <w:szCs w:val="16"/>
          <w:u w:val="single"/>
          <w:lang w:eastAsia="en-GB"/>
        </w:rPr>
        <w:t>.</w:t>
      </w:r>
    </w:p>
  </w:footnote>
  <w:footnote w:id="30">
    <w:p w:rsidR="00255D19" w:rsidRPr="0040544A" w:rsidRDefault="00255D19" w:rsidP="00255D19">
      <w:pPr>
        <w:pStyle w:val="FootnoteText"/>
        <w:rPr>
          <w:rFonts w:ascii="Arial" w:eastAsia="Times New Roman" w:hAnsi="Arial" w:cs="Arial"/>
          <w:iCs/>
          <w:sz w:val="16"/>
          <w:szCs w:val="16"/>
        </w:rPr>
      </w:pPr>
      <w:r w:rsidRPr="0040544A">
        <w:rPr>
          <w:rStyle w:val="FootnoteReference"/>
          <w:rFonts w:ascii="Arial" w:hAnsi="Arial" w:cs="Arial"/>
          <w:sz w:val="16"/>
          <w:szCs w:val="16"/>
        </w:rPr>
        <w:footnoteRef/>
      </w:r>
      <w:r w:rsidRPr="0040544A">
        <w:rPr>
          <w:rFonts w:ascii="Arial" w:hAnsi="Arial" w:cs="Arial"/>
          <w:sz w:val="16"/>
          <w:szCs w:val="16"/>
        </w:rPr>
        <w:t xml:space="preserve"> </w:t>
      </w:r>
      <w:r w:rsidRPr="0040544A">
        <w:rPr>
          <w:rFonts w:ascii="Arial" w:eastAsia="Times New Roman" w:hAnsi="Arial" w:cs="Arial"/>
          <w:bCs/>
          <w:i/>
          <w:sz w:val="16"/>
          <w:szCs w:val="16"/>
        </w:rPr>
        <w:t>Case of Othman (Abu Qatada) v. The United Kingdom</w:t>
      </w:r>
      <w:r w:rsidRPr="0040544A">
        <w:rPr>
          <w:rFonts w:ascii="Arial" w:eastAsia="Times New Roman" w:hAnsi="Arial" w:cs="Arial"/>
          <w:bCs/>
          <w:sz w:val="16"/>
          <w:szCs w:val="16"/>
        </w:rPr>
        <w:t xml:space="preserve">, </w:t>
      </w:r>
      <w:proofErr w:type="spellStart"/>
      <w:r w:rsidRPr="0040544A">
        <w:rPr>
          <w:rFonts w:ascii="Arial" w:eastAsia="Times New Roman" w:hAnsi="Arial" w:cs="Arial"/>
          <w:bCs/>
          <w:sz w:val="16"/>
          <w:szCs w:val="16"/>
        </w:rPr>
        <w:t>ECtHR</w:t>
      </w:r>
      <w:proofErr w:type="spellEnd"/>
      <w:r w:rsidRPr="0040544A">
        <w:rPr>
          <w:rFonts w:ascii="Arial" w:eastAsia="Times New Roman" w:hAnsi="Arial" w:cs="Arial"/>
          <w:bCs/>
          <w:sz w:val="16"/>
          <w:szCs w:val="16"/>
        </w:rPr>
        <w:t xml:space="preserve">, </w:t>
      </w:r>
      <w:proofErr w:type="gramStart"/>
      <w:r w:rsidRPr="0040544A">
        <w:rPr>
          <w:rFonts w:ascii="Arial" w:eastAsia="Times New Roman" w:hAnsi="Arial" w:cs="Arial"/>
          <w:bCs/>
          <w:sz w:val="16"/>
          <w:szCs w:val="16"/>
        </w:rPr>
        <w:t>Application</w:t>
      </w:r>
      <w:r w:rsidRPr="0040544A">
        <w:rPr>
          <w:rFonts w:ascii="Arial" w:eastAsia="Times New Roman" w:hAnsi="Arial" w:cs="Arial"/>
          <w:iCs/>
          <w:sz w:val="16"/>
          <w:szCs w:val="16"/>
        </w:rPr>
        <w:t xml:space="preserve"> </w:t>
      </w:r>
      <w:r>
        <w:rPr>
          <w:rFonts w:ascii="Arial" w:eastAsia="Times New Roman" w:hAnsi="Arial" w:cs="Arial"/>
          <w:iCs/>
          <w:sz w:val="16"/>
          <w:szCs w:val="16"/>
        </w:rPr>
        <w:t xml:space="preserve"> N</w:t>
      </w:r>
      <w:r w:rsidRPr="0040544A">
        <w:rPr>
          <w:rFonts w:ascii="Arial" w:eastAsia="Times New Roman" w:hAnsi="Arial" w:cs="Arial"/>
          <w:iCs/>
          <w:sz w:val="16"/>
          <w:szCs w:val="16"/>
        </w:rPr>
        <w:t>o</w:t>
      </w:r>
      <w:proofErr w:type="gramEnd"/>
      <w:r w:rsidRPr="0040544A">
        <w:rPr>
          <w:rFonts w:ascii="Arial" w:eastAsia="Times New Roman" w:hAnsi="Arial" w:cs="Arial"/>
          <w:iCs/>
          <w:sz w:val="16"/>
          <w:szCs w:val="16"/>
        </w:rPr>
        <w:t>. </w:t>
      </w:r>
      <w:hyperlink r:id="rId29" w:anchor="{&quot;appno&quot;:[&quot;8139/09&quot;]}" w:tgtFrame="_blank" w:history="1">
        <w:r w:rsidRPr="0040544A">
          <w:rPr>
            <w:rFonts w:ascii="Arial" w:eastAsia="Times New Roman" w:hAnsi="Arial" w:cs="Arial"/>
            <w:iCs/>
            <w:sz w:val="16"/>
            <w:szCs w:val="16"/>
          </w:rPr>
          <w:t>8139/09</w:t>
        </w:r>
      </w:hyperlink>
      <w:r w:rsidRPr="0040544A">
        <w:rPr>
          <w:rFonts w:ascii="Arial" w:eastAsia="Times New Roman" w:hAnsi="Arial" w:cs="Arial"/>
          <w:iCs/>
          <w:sz w:val="16"/>
          <w:szCs w:val="16"/>
        </w:rPr>
        <w:t>, Judgment of 17 January 2012.</w:t>
      </w:r>
    </w:p>
  </w:footnote>
  <w:footnote w:id="31">
    <w:p w:rsidR="00255D19" w:rsidRPr="0040544A" w:rsidRDefault="00255D19" w:rsidP="00255D19">
      <w:pPr>
        <w:pStyle w:val="FootnoteText"/>
        <w:rPr>
          <w:rFonts w:ascii="Arial" w:hAnsi="Arial" w:cs="Arial"/>
          <w:sz w:val="16"/>
          <w:szCs w:val="16"/>
        </w:rPr>
      </w:pPr>
      <w:r w:rsidRPr="0040544A">
        <w:rPr>
          <w:rStyle w:val="FootnoteReference"/>
          <w:rFonts w:ascii="Arial" w:hAnsi="Arial" w:cs="Arial"/>
          <w:sz w:val="16"/>
          <w:szCs w:val="16"/>
        </w:rPr>
        <w:footnoteRef/>
      </w:r>
      <w:r w:rsidRPr="0040544A">
        <w:rPr>
          <w:rFonts w:ascii="Arial" w:hAnsi="Arial" w:cs="Arial"/>
          <w:sz w:val="16"/>
          <w:szCs w:val="16"/>
        </w:rPr>
        <w:t xml:space="preserve"> Committee Against Torture, </w:t>
      </w:r>
      <w:r w:rsidRPr="0040544A">
        <w:rPr>
          <w:rFonts w:ascii="Arial" w:hAnsi="Arial" w:cs="Arial"/>
          <w:i/>
          <w:sz w:val="16"/>
          <w:szCs w:val="16"/>
        </w:rPr>
        <w:t xml:space="preserve">Concluding observations on the fifth periodic report of the United Kingdom, adopted by the Committee at its fiftieth session (6-31 May 2013), </w:t>
      </w:r>
      <w:r w:rsidRPr="0040544A">
        <w:rPr>
          <w:rFonts w:ascii="Arial" w:hAnsi="Arial" w:cs="Arial"/>
          <w:sz w:val="16"/>
          <w:szCs w:val="16"/>
        </w:rPr>
        <w:t>para 18, available at</w:t>
      </w:r>
      <w:r>
        <w:rPr>
          <w:rFonts w:ascii="Arial" w:hAnsi="Arial" w:cs="Arial"/>
          <w:sz w:val="16"/>
          <w:szCs w:val="16"/>
        </w:rPr>
        <w:t>:</w:t>
      </w:r>
      <w:r w:rsidRPr="0040544A">
        <w:rPr>
          <w:rFonts w:ascii="Arial" w:hAnsi="Arial" w:cs="Arial"/>
          <w:sz w:val="16"/>
          <w:szCs w:val="16"/>
        </w:rPr>
        <w:cr/>
        <w:t xml:space="preserve"> </w:t>
      </w:r>
      <w:hyperlink r:id="rId30" w:history="1">
        <w:r w:rsidRPr="0040544A">
          <w:rPr>
            <w:rStyle w:val="Hyperlink"/>
            <w:rFonts w:ascii="Arial" w:hAnsi="Arial" w:cs="Arial"/>
            <w:sz w:val="16"/>
            <w:szCs w:val="16"/>
          </w:rPr>
          <w:t>http://www.justice.gov.uk/downloads/human-rights/cat-concluding-observations-may-2013.pdf</w:t>
        </w:r>
      </w:hyperlink>
      <w:r w:rsidRPr="0040544A">
        <w:rPr>
          <w:rFonts w:ascii="Arial" w:hAnsi="Arial" w:cs="Arial"/>
          <w:sz w:val="16"/>
          <w:szCs w:val="16"/>
        </w:rPr>
        <w:t xml:space="preserve">. </w:t>
      </w:r>
    </w:p>
  </w:footnote>
  <w:footnote w:id="32">
    <w:p w:rsidR="00255D19" w:rsidRPr="00930955" w:rsidRDefault="00255D19" w:rsidP="00255D19">
      <w:pPr>
        <w:pStyle w:val="FootnoteText"/>
        <w:rPr>
          <w:rFonts w:ascii="Arial" w:hAnsi="Arial" w:cs="Arial"/>
          <w:sz w:val="16"/>
          <w:szCs w:val="16"/>
        </w:rPr>
      </w:pPr>
      <w:r w:rsidRPr="00930955">
        <w:rPr>
          <w:rStyle w:val="FootnoteReference"/>
          <w:rFonts w:ascii="Arial" w:hAnsi="Arial" w:cs="Arial"/>
          <w:sz w:val="16"/>
          <w:szCs w:val="16"/>
        </w:rPr>
        <w:footnoteRef/>
      </w:r>
      <w:r w:rsidRPr="00930955">
        <w:rPr>
          <w:rFonts w:ascii="Arial" w:hAnsi="Arial" w:cs="Arial"/>
          <w:sz w:val="16"/>
          <w:szCs w:val="16"/>
        </w:rPr>
        <w:t xml:space="preserve"> </w:t>
      </w:r>
      <w:r w:rsidRPr="00930955">
        <w:rPr>
          <w:rFonts w:ascii="Arial" w:eastAsia="Malgun Gothic" w:hAnsi="Arial" w:cs="Arial"/>
          <w:kern w:val="2"/>
          <w:sz w:val="16"/>
          <w:szCs w:val="16"/>
          <w:lang w:val="en-US" w:eastAsia="ko-KR"/>
        </w:rPr>
        <w:t>Serious consideration be given to allowing intercept evidence to be used in UK courts, for example</w:t>
      </w:r>
      <w:r w:rsidRPr="00930955">
        <w:rPr>
          <w:rFonts w:ascii="Arial" w:hAnsi="Arial" w:cs="Arial"/>
          <w:sz w:val="16"/>
          <w:szCs w:val="16"/>
          <w:lang w:eastAsia="en-GB"/>
        </w:rPr>
        <w:t xml:space="preserve">  - see REDRESS, </w:t>
      </w:r>
      <w:r w:rsidRPr="00930955">
        <w:rPr>
          <w:rFonts w:ascii="Arial" w:eastAsia="Times New Roman" w:hAnsi="Arial" w:cs="Arial"/>
          <w:i/>
          <w:sz w:val="16"/>
          <w:szCs w:val="16"/>
          <w:lang w:eastAsia="en-GB"/>
        </w:rPr>
        <w:t xml:space="preserve">Letter from Sir </w:t>
      </w:r>
      <w:proofErr w:type="spellStart"/>
      <w:r w:rsidRPr="00930955">
        <w:rPr>
          <w:rFonts w:ascii="Arial" w:eastAsia="Times New Roman" w:hAnsi="Arial" w:cs="Arial"/>
          <w:i/>
          <w:sz w:val="16"/>
          <w:szCs w:val="16"/>
          <w:lang w:eastAsia="en-GB"/>
        </w:rPr>
        <w:t>Emyr</w:t>
      </w:r>
      <w:proofErr w:type="spellEnd"/>
      <w:r w:rsidRPr="00930955">
        <w:rPr>
          <w:rFonts w:ascii="Arial" w:eastAsia="Times New Roman" w:hAnsi="Arial" w:cs="Arial"/>
          <w:i/>
          <w:sz w:val="16"/>
          <w:szCs w:val="16"/>
          <w:lang w:eastAsia="en-GB"/>
        </w:rPr>
        <w:t xml:space="preserve"> Parry Jones, REDRESS Chair, to the Fore</w:t>
      </w:r>
      <w:r w:rsidRPr="00720563">
        <w:rPr>
          <w:rFonts w:ascii="Arial" w:eastAsia="Times New Roman" w:hAnsi="Arial" w:cs="Arial"/>
          <w:i/>
          <w:sz w:val="16"/>
          <w:szCs w:val="16"/>
          <w:lang w:eastAsia="en-GB"/>
        </w:rPr>
        <w:t xml:space="preserve">ign Affairs Committee, submitting evidence to its Annual Inquiry into the FCO’s Human Rights work, </w:t>
      </w:r>
      <w:r w:rsidRPr="00720563">
        <w:rPr>
          <w:rFonts w:ascii="Arial" w:eastAsia="Times New Roman" w:hAnsi="Arial" w:cs="Arial"/>
          <w:sz w:val="16"/>
          <w:szCs w:val="16"/>
          <w:lang w:eastAsia="en-GB"/>
        </w:rPr>
        <w:t xml:space="preserve">20 June 2011, p. 3, available at: </w:t>
      </w:r>
      <w:hyperlink r:id="rId31" w:history="1">
        <w:r w:rsidRPr="00930955">
          <w:rPr>
            <w:rStyle w:val="Hyperlink"/>
            <w:rFonts w:ascii="Arial" w:eastAsia="Times New Roman" w:hAnsi="Arial" w:cs="Arial"/>
            <w:sz w:val="16"/>
            <w:szCs w:val="16"/>
            <w:lang w:eastAsia="en-GB"/>
          </w:rPr>
          <w:t>http://www.redress.org/downloads/publications/Letter%20to%20F%20A%20C%2020%20June%202011.pdf</w:t>
        </w:r>
      </w:hyperlink>
      <w:r w:rsidRPr="00930955">
        <w:rPr>
          <w:rFonts w:ascii="Arial" w:eastAsia="Times New Roman" w:hAnsi="Arial" w:cs="Arial"/>
          <w:sz w:val="16"/>
          <w:szCs w:val="16"/>
          <w:lang w:eastAsia="en-GB"/>
        </w:rPr>
        <w:t>.</w:t>
      </w:r>
    </w:p>
  </w:footnote>
  <w:footnote w:id="33">
    <w:p w:rsidR="000A65D0" w:rsidRPr="00BA1BDA" w:rsidRDefault="000A65D0" w:rsidP="000A65D0">
      <w:pPr>
        <w:spacing w:line="276" w:lineRule="auto"/>
        <w:rPr>
          <w:rFonts w:ascii="Arial" w:hAnsi="Arial" w:cs="Arial"/>
          <w:sz w:val="16"/>
          <w:szCs w:val="16"/>
        </w:rPr>
      </w:pPr>
      <w:r w:rsidRPr="007666B9">
        <w:rPr>
          <w:rStyle w:val="FootnoteReference"/>
          <w:rFonts w:ascii="Arial" w:hAnsi="Arial" w:cs="Arial"/>
          <w:sz w:val="16"/>
          <w:szCs w:val="16"/>
        </w:rPr>
        <w:footnoteRef/>
      </w:r>
      <w:r w:rsidRPr="007666B9">
        <w:rPr>
          <w:rFonts w:ascii="Arial" w:eastAsiaTheme="minorHAnsi" w:hAnsi="Arial" w:cs="Arial"/>
          <w:sz w:val="16"/>
          <w:szCs w:val="16"/>
        </w:rPr>
        <w:t xml:space="preserve"> </w:t>
      </w:r>
      <w:r w:rsidRPr="007666B9">
        <w:rPr>
          <w:rFonts w:ascii="Arial" w:hAnsi="Arial" w:cs="Arial"/>
          <w:i/>
          <w:sz w:val="16"/>
          <w:szCs w:val="16"/>
        </w:rPr>
        <w:t xml:space="preserve">R (on the application of </w:t>
      </w:r>
      <w:proofErr w:type="spellStart"/>
      <w:r w:rsidRPr="007666B9">
        <w:rPr>
          <w:rFonts w:ascii="Arial" w:hAnsi="Arial" w:cs="Arial"/>
          <w:i/>
          <w:sz w:val="16"/>
          <w:szCs w:val="16"/>
        </w:rPr>
        <w:t>Mousa</w:t>
      </w:r>
      <w:proofErr w:type="spellEnd"/>
      <w:r w:rsidRPr="007666B9">
        <w:rPr>
          <w:rFonts w:ascii="Arial" w:hAnsi="Arial" w:cs="Arial"/>
          <w:i/>
          <w:sz w:val="16"/>
          <w:szCs w:val="16"/>
        </w:rPr>
        <w:t xml:space="preserve">) v Secretary of State for Defence </w:t>
      </w:r>
      <w:r w:rsidRPr="007666B9">
        <w:rPr>
          <w:rFonts w:ascii="Arial" w:hAnsi="Arial" w:cs="Arial"/>
          <w:sz w:val="16"/>
          <w:szCs w:val="16"/>
        </w:rPr>
        <w:t xml:space="preserve">[2010] EWHC 1823 (Admin), available at: </w:t>
      </w:r>
      <w:hyperlink r:id="rId32" w:history="1">
        <w:r w:rsidRPr="007666B9">
          <w:rPr>
            <w:rStyle w:val="Hyperlink"/>
            <w:rFonts w:ascii="Arial" w:hAnsi="Arial" w:cs="Arial"/>
            <w:sz w:val="16"/>
            <w:szCs w:val="16"/>
          </w:rPr>
          <w:t>http://www.bailii.org/ew/cases/EWHC/Admin/2010/1823.html</w:t>
        </w:r>
      </w:hyperlink>
      <w:r w:rsidRPr="007666B9">
        <w:rPr>
          <w:rFonts w:ascii="Arial" w:hAnsi="Arial" w:cs="Arial"/>
          <w:sz w:val="16"/>
          <w:szCs w:val="16"/>
        </w:rPr>
        <w:t xml:space="preserve">.; </w:t>
      </w:r>
      <w:r w:rsidRPr="007666B9">
        <w:rPr>
          <w:rFonts w:ascii="Arial" w:hAnsi="Arial" w:cs="Arial"/>
          <w:i/>
          <w:sz w:val="16"/>
          <w:szCs w:val="16"/>
        </w:rPr>
        <w:t xml:space="preserve">R (on the application of </w:t>
      </w:r>
      <w:proofErr w:type="spellStart"/>
      <w:r w:rsidRPr="007666B9">
        <w:rPr>
          <w:rFonts w:ascii="Arial" w:hAnsi="Arial" w:cs="Arial"/>
          <w:i/>
          <w:sz w:val="16"/>
          <w:szCs w:val="16"/>
        </w:rPr>
        <w:t>Mousa</w:t>
      </w:r>
      <w:proofErr w:type="spellEnd"/>
      <w:r w:rsidRPr="007666B9">
        <w:rPr>
          <w:rFonts w:ascii="Arial" w:hAnsi="Arial" w:cs="Arial"/>
          <w:i/>
          <w:sz w:val="16"/>
          <w:szCs w:val="16"/>
        </w:rPr>
        <w:t>) v Secretary of State for Defence</w:t>
      </w:r>
      <w:r w:rsidRPr="007666B9">
        <w:rPr>
          <w:rFonts w:ascii="Arial" w:hAnsi="Arial" w:cs="Arial"/>
          <w:sz w:val="16"/>
          <w:szCs w:val="16"/>
          <w:u w:val="single"/>
        </w:rPr>
        <w:t xml:space="preserve"> </w:t>
      </w:r>
      <w:r w:rsidRPr="007666B9">
        <w:rPr>
          <w:rFonts w:ascii="Arial" w:hAnsi="Arial" w:cs="Arial"/>
          <w:sz w:val="16"/>
          <w:szCs w:val="16"/>
        </w:rPr>
        <w:t xml:space="preserve">[2010] EWHC 3304 (Admin), available at: </w:t>
      </w:r>
      <w:hyperlink r:id="rId33" w:history="1">
        <w:r w:rsidRPr="007666B9">
          <w:rPr>
            <w:rStyle w:val="Hyperlink"/>
            <w:rFonts w:ascii="Arial" w:hAnsi="Arial" w:cs="Arial"/>
            <w:sz w:val="16"/>
            <w:szCs w:val="16"/>
          </w:rPr>
          <w:t>http://www.bailii.org/ew/cases/EWHC/Admin/2010/3304.html</w:t>
        </w:r>
      </w:hyperlink>
      <w:r w:rsidRPr="007666B9">
        <w:rPr>
          <w:rFonts w:ascii="Arial" w:hAnsi="Arial" w:cs="Arial"/>
          <w:sz w:val="16"/>
          <w:szCs w:val="16"/>
        </w:rPr>
        <w:t xml:space="preserve">.; </w:t>
      </w:r>
      <w:r w:rsidRPr="007666B9">
        <w:rPr>
          <w:rFonts w:ascii="Arial" w:hAnsi="Arial" w:cs="Arial"/>
          <w:i/>
          <w:sz w:val="16"/>
          <w:szCs w:val="16"/>
        </w:rPr>
        <w:t xml:space="preserve">R (on the application of </w:t>
      </w:r>
      <w:proofErr w:type="spellStart"/>
      <w:r w:rsidRPr="007666B9">
        <w:rPr>
          <w:rFonts w:ascii="Arial" w:hAnsi="Arial" w:cs="Arial"/>
          <w:i/>
          <w:sz w:val="16"/>
          <w:szCs w:val="16"/>
        </w:rPr>
        <w:t>Mousa</w:t>
      </w:r>
      <w:proofErr w:type="spellEnd"/>
      <w:r w:rsidRPr="007666B9">
        <w:rPr>
          <w:rFonts w:ascii="Arial" w:hAnsi="Arial" w:cs="Arial"/>
          <w:i/>
          <w:sz w:val="16"/>
          <w:szCs w:val="16"/>
        </w:rPr>
        <w:t>) v Secretary of State for Defence and another (</w:t>
      </w:r>
      <w:r w:rsidRPr="007666B9">
        <w:rPr>
          <w:rFonts w:ascii="Arial" w:hAnsi="Arial" w:cs="Arial"/>
          <w:sz w:val="16"/>
          <w:szCs w:val="16"/>
        </w:rPr>
        <w:t xml:space="preserve">Court of Appeal) [2011] EWCA </w:t>
      </w:r>
      <w:proofErr w:type="spellStart"/>
      <w:r w:rsidRPr="007666B9">
        <w:rPr>
          <w:rFonts w:ascii="Arial" w:hAnsi="Arial" w:cs="Arial"/>
          <w:sz w:val="16"/>
          <w:szCs w:val="16"/>
        </w:rPr>
        <w:t>Civ</w:t>
      </w:r>
      <w:proofErr w:type="spellEnd"/>
      <w:r w:rsidRPr="007666B9">
        <w:rPr>
          <w:rFonts w:ascii="Arial" w:hAnsi="Arial" w:cs="Arial"/>
          <w:sz w:val="16"/>
          <w:szCs w:val="16"/>
        </w:rPr>
        <w:t xml:space="preserve"> 1334, available at: </w:t>
      </w:r>
      <w:hyperlink r:id="rId34" w:history="1">
        <w:r w:rsidRPr="007666B9">
          <w:rPr>
            <w:rStyle w:val="Hyperlink"/>
            <w:rFonts w:ascii="Arial" w:hAnsi="Arial" w:cs="Arial"/>
            <w:sz w:val="16"/>
            <w:szCs w:val="16"/>
          </w:rPr>
          <w:t>http://www.bailii.org/ew/cases/EWCA/Civ/2011/1334.html</w:t>
        </w:r>
      </w:hyperlink>
      <w:r w:rsidRPr="007666B9">
        <w:rPr>
          <w:rFonts w:ascii="Arial" w:hAnsi="Arial" w:cs="Arial"/>
          <w:sz w:val="16"/>
          <w:szCs w:val="16"/>
        </w:rPr>
        <w:t xml:space="preserve">.; </w:t>
      </w:r>
      <w:r w:rsidRPr="007666B9">
        <w:rPr>
          <w:rFonts w:ascii="Arial" w:hAnsi="Arial" w:cs="Arial"/>
          <w:i/>
          <w:sz w:val="16"/>
          <w:szCs w:val="16"/>
        </w:rPr>
        <w:t xml:space="preserve">R (on the application of </w:t>
      </w:r>
      <w:proofErr w:type="spellStart"/>
      <w:r w:rsidRPr="007666B9">
        <w:rPr>
          <w:rFonts w:ascii="Arial" w:hAnsi="Arial" w:cs="Arial"/>
          <w:i/>
          <w:sz w:val="16"/>
          <w:szCs w:val="16"/>
        </w:rPr>
        <w:t>Mousa</w:t>
      </w:r>
      <w:proofErr w:type="spellEnd"/>
      <w:r w:rsidRPr="007666B9">
        <w:rPr>
          <w:rFonts w:ascii="Arial" w:hAnsi="Arial" w:cs="Arial"/>
          <w:i/>
          <w:sz w:val="16"/>
          <w:szCs w:val="16"/>
        </w:rPr>
        <w:t xml:space="preserve"> and others) v Secretary of State for Defence (No 2),</w:t>
      </w:r>
      <w:r w:rsidRPr="007666B9">
        <w:rPr>
          <w:rFonts w:ascii="Arial" w:hAnsi="Arial" w:cs="Arial"/>
          <w:sz w:val="16"/>
          <w:szCs w:val="16"/>
        </w:rPr>
        <w:t xml:space="preserve"> [2013] EWHC 1412 (Admin), available at: </w:t>
      </w:r>
      <w:hyperlink r:id="rId35" w:history="1">
        <w:r w:rsidRPr="007666B9">
          <w:rPr>
            <w:rStyle w:val="Hyperlink"/>
            <w:rFonts w:ascii="Arial" w:hAnsi="Arial" w:cs="Arial"/>
            <w:sz w:val="16"/>
            <w:szCs w:val="16"/>
          </w:rPr>
          <w:t>http://www.bailii.org/ew/cases/EWHC/Admin/2013/1412.html</w:t>
        </w:r>
      </w:hyperlink>
      <w:r w:rsidRPr="007666B9">
        <w:rPr>
          <w:rFonts w:ascii="Arial" w:hAnsi="Arial" w:cs="Arial"/>
          <w:sz w:val="16"/>
          <w:szCs w:val="16"/>
        </w:rPr>
        <w:t xml:space="preserve">.; </w:t>
      </w:r>
      <w:r w:rsidRPr="007666B9">
        <w:rPr>
          <w:rFonts w:ascii="Arial" w:hAnsi="Arial" w:cs="Arial"/>
          <w:i/>
          <w:sz w:val="16"/>
          <w:szCs w:val="16"/>
        </w:rPr>
        <w:t xml:space="preserve"> R (on the application of </w:t>
      </w:r>
      <w:proofErr w:type="spellStart"/>
      <w:r w:rsidRPr="007666B9">
        <w:rPr>
          <w:rFonts w:ascii="Arial" w:hAnsi="Arial" w:cs="Arial"/>
          <w:i/>
          <w:sz w:val="16"/>
          <w:szCs w:val="16"/>
        </w:rPr>
        <w:t>Mousa</w:t>
      </w:r>
      <w:proofErr w:type="spellEnd"/>
      <w:r w:rsidRPr="007666B9">
        <w:rPr>
          <w:rFonts w:ascii="Arial" w:hAnsi="Arial" w:cs="Arial"/>
          <w:i/>
          <w:sz w:val="16"/>
          <w:szCs w:val="16"/>
        </w:rPr>
        <w:t xml:space="preserve"> and others) v Secretary of State for Defence (No 2)</w:t>
      </w:r>
      <w:r w:rsidRPr="007666B9">
        <w:rPr>
          <w:rFonts w:ascii="Arial" w:hAnsi="Arial" w:cs="Arial"/>
          <w:sz w:val="16"/>
          <w:szCs w:val="16"/>
          <w:u w:val="single"/>
        </w:rPr>
        <w:t xml:space="preserve"> </w:t>
      </w:r>
      <w:r w:rsidRPr="007666B9">
        <w:rPr>
          <w:rFonts w:ascii="Arial" w:hAnsi="Arial" w:cs="Arial"/>
          <w:sz w:val="16"/>
          <w:szCs w:val="16"/>
        </w:rPr>
        <w:t xml:space="preserve">[2013] EWHC 2941 (Admin), available at: </w:t>
      </w:r>
      <w:hyperlink r:id="rId36" w:history="1">
        <w:r w:rsidRPr="007666B9">
          <w:rPr>
            <w:rStyle w:val="Hyperlink"/>
            <w:rFonts w:ascii="Arial" w:hAnsi="Arial" w:cs="Arial"/>
            <w:sz w:val="16"/>
            <w:szCs w:val="16"/>
          </w:rPr>
          <w:t>http://www.bailii.org/ew/cases/EWHC/Admin/2013/2941.html</w:t>
        </w:r>
      </w:hyperlink>
      <w:r w:rsidRPr="007666B9">
        <w:rPr>
          <w:rFonts w:ascii="Arial" w:hAnsi="Arial" w:cs="Arial"/>
          <w:sz w:val="16"/>
          <w:szCs w:val="16"/>
        </w:rPr>
        <w:t>.</w:t>
      </w:r>
    </w:p>
  </w:footnote>
  <w:footnote w:id="34">
    <w:p w:rsidR="000A65D0" w:rsidRDefault="000A65D0" w:rsidP="000A65D0">
      <w:r w:rsidRPr="00BA1BDA">
        <w:rPr>
          <w:rStyle w:val="FootnoteReference"/>
          <w:rFonts w:ascii="Arial" w:hAnsi="Arial" w:cs="Arial"/>
          <w:sz w:val="16"/>
          <w:szCs w:val="16"/>
        </w:rPr>
        <w:footnoteRef/>
      </w:r>
      <w:r w:rsidRPr="00BA1BDA">
        <w:rPr>
          <w:rFonts w:ascii="Arial" w:hAnsi="Arial" w:cs="Arial"/>
          <w:sz w:val="16"/>
          <w:szCs w:val="16"/>
          <w:lang w:eastAsia="en-GB"/>
        </w:rPr>
        <w:t xml:space="preserve"> </w:t>
      </w:r>
      <w:r w:rsidRPr="00BA1BDA">
        <w:rPr>
          <w:rFonts w:ascii="Arial" w:eastAsiaTheme="minorHAnsi" w:hAnsi="Arial" w:cs="Arial"/>
          <w:sz w:val="16"/>
          <w:szCs w:val="16"/>
        </w:rPr>
        <w:t xml:space="preserve">See: </w:t>
      </w:r>
      <w:hyperlink r:id="rId37" w:history="1">
        <w:r w:rsidRPr="00BA1BDA">
          <w:rPr>
            <w:rFonts w:ascii="Arial" w:hAnsi="Arial" w:cs="Arial"/>
            <w:color w:val="0000FF"/>
            <w:sz w:val="16"/>
            <w:szCs w:val="16"/>
            <w:u w:val="single"/>
            <w:lang w:eastAsia="en-GB"/>
          </w:rPr>
          <w:t xml:space="preserve">R (on the application of Al </w:t>
        </w:r>
        <w:proofErr w:type="spellStart"/>
        <w:r w:rsidRPr="00BA1BDA">
          <w:rPr>
            <w:rFonts w:ascii="Arial" w:hAnsi="Arial" w:cs="Arial"/>
            <w:color w:val="0000FF"/>
            <w:sz w:val="16"/>
            <w:szCs w:val="16"/>
            <w:u w:val="single"/>
            <w:lang w:eastAsia="en-GB"/>
          </w:rPr>
          <w:t>Saadoon</w:t>
        </w:r>
        <w:proofErr w:type="spellEnd"/>
        <w:r w:rsidRPr="00BA1BDA">
          <w:rPr>
            <w:rFonts w:ascii="Arial" w:hAnsi="Arial" w:cs="Arial"/>
            <w:color w:val="0000FF"/>
            <w:sz w:val="16"/>
            <w:szCs w:val="16"/>
            <w:u w:val="single"/>
            <w:lang w:eastAsia="en-GB"/>
          </w:rPr>
          <w:t xml:space="preserve"> and Others) v Secretary of State for Defence</w:t>
        </w:r>
      </w:hyperlink>
      <w:r w:rsidRPr="00BA1BDA">
        <w:rPr>
          <w:rFonts w:ascii="Arial" w:hAnsi="Arial" w:cs="Arial"/>
          <w:sz w:val="16"/>
          <w:szCs w:val="16"/>
          <w:lang w:eastAsia="en-GB"/>
        </w:rPr>
        <w:t xml:space="preserve">, Divisional Court (August 2008) [2008] EWHC 2391 (Admin); </w:t>
      </w:r>
      <w:hyperlink r:id="rId38" w:history="1">
        <w:r w:rsidRPr="00BA1BDA">
          <w:rPr>
            <w:rFonts w:ascii="Arial" w:hAnsi="Arial" w:cs="Arial"/>
            <w:color w:val="0000FF"/>
            <w:sz w:val="16"/>
            <w:szCs w:val="16"/>
            <w:u w:val="single"/>
            <w:lang w:eastAsia="en-GB"/>
          </w:rPr>
          <w:t xml:space="preserve">R (on the application of Al </w:t>
        </w:r>
        <w:proofErr w:type="spellStart"/>
        <w:r w:rsidRPr="00BA1BDA">
          <w:rPr>
            <w:rFonts w:ascii="Arial" w:hAnsi="Arial" w:cs="Arial"/>
            <w:color w:val="0000FF"/>
            <w:sz w:val="16"/>
            <w:szCs w:val="16"/>
            <w:u w:val="single"/>
            <w:lang w:eastAsia="en-GB"/>
          </w:rPr>
          <w:t>Saadoon</w:t>
        </w:r>
        <w:proofErr w:type="spellEnd"/>
        <w:r w:rsidRPr="00BA1BDA">
          <w:rPr>
            <w:rFonts w:ascii="Arial" w:hAnsi="Arial" w:cs="Arial"/>
            <w:color w:val="0000FF"/>
            <w:sz w:val="16"/>
            <w:szCs w:val="16"/>
            <w:u w:val="single"/>
            <w:lang w:eastAsia="en-GB"/>
          </w:rPr>
          <w:t xml:space="preserve"> and another) v Secretary of State for Defence</w:t>
        </w:r>
      </w:hyperlink>
      <w:r w:rsidRPr="00BA1BDA">
        <w:rPr>
          <w:rFonts w:ascii="Arial" w:hAnsi="Arial" w:cs="Arial"/>
          <w:sz w:val="16"/>
          <w:szCs w:val="16"/>
          <w:lang w:eastAsia="en-GB"/>
        </w:rPr>
        <w:t xml:space="preserve">, Divisional Court (December 2008) [2008] EWHC 3098 (Admin); </w:t>
      </w:r>
      <w:hyperlink r:id="rId39" w:history="1">
        <w:r w:rsidRPr="00BA1BDA">
          <w:rPr>
            <w:rFonts w:ascii="Arial" w:hAnsi="Arial" w:cs="Arial"/>
            <w:color w:val="0000FF"/>
            <w:sz w:val="16"/>
            <w:szCs w:val="16"/>
            <w:u w:val="single"/>
            <w:lang w:eastAsia="en-GB"/>
          </w:rPr>
          <w:t xml:space="preserve">R (on the application of Al </w:t>
        </w:r>
        <w:proofErr w:type="spellStart"/>
        <w:r w:rsidRPr="00BA1BDA">
          <w:rPr>
            <w:rFonts w:ascii="Arial" w:hAnsi="Arial" w:cs="Arial"/>
            <w:color w:val="0000FF"/>
            <w:sz w:val="16"/>
            <w:szCs w:val="16"/>
            <w:u w:val="single"/>
            <w:lang w:eastAsia="en-GB"/>
          </w:rPr>
          <w:t>Saadoon</w:t>
        </w:r>
        <w:proofErr w:type="spellEnd"/>
        <w:r w:rsidRPr="00BA1BDA">
          <w:rPr>
            <w:rFonts w:ascii="Arial" w:hAnsi="Arial" w:cs="Arial"/>
            <w:color w:val="0000FF"/>
            <w:sz w:val="16"/>
            <w:szCs w:val="16"/>
            <w:u w:val="single"/>
            <w:lang w:eastAsia="en-GB"/>
          </w:rPr>
          <w:t xml:space="preserve"> and Others) v Secretary of State for Defence</w:t>
        </w:r>
      </w:hyperlink>
      <w:r w:rsidRPr="00BA1BDA">
        <w:rPr>
          <w:rFonts w:ascii="Arial" w:hAnsi="Arial" w:cs="Arial"/>
          <w:sz w:val="16"/>
          <w:szCs w:val="16"/>
          <w:lang w:eastAsia="en-GB"/>
        </w:rPr>
        <w:t xml:space="preserve">, Court of Appeal (December 2008) [2008] EWCA </w:t>
      </w:r>
      <w:proofErr w:type="spellStart"/>
      <w:r w:rsidRPr="00BA1BDA">
        <w:rPr>
          <w:rFonts w:ascii="Arial" w:hAnsi="Arial" w:cs="Arial"/>
          <w:sz w:val="16"/>
          <w:szCs w:val="16"/>
          <w:lang w:eastAsia="en-GB"/>
        </w:rPr>
        <w:t>Civ</w:t>
      </w:r>
      <w:proofErr w:type="spellEnd"/>
      <w:r w:rsidRPr="00BA1BDA">
        <w:rPr>
          <w:rFonts w:ascii="Arial" w:hAnsi="Arial" w:cs="Arial"/>
          <w:sz w:val="16"/>
          <w:szCs w:val="16"/>
          <w:lang w:eastAsia="en-GB"/>
        </w:rPr>
        <w:t xml:space="preserve"> 1528;  </w:t>
      </w:r>
      <w:hyperlink r:id="rId40" w:history="1">
        <w:r w:rsidRPr="00BA1BDA">
          <w:rPr>
            <w:rFonts w:ascii="Arial" w:hAnsi="Arial" w:cs="Arial"/>
            <w:color w:val="0000FF"/>
            <w:sz w:val="16"/>
            <w:szCs w:val="16"/>
            <w:u w:val="single"/>
            <w:lang w:eastAsia="en-GB"/>
          </w:rPr>
          <w:t xml:space="preserve">R (on the application of Al </w:t>
        </w:r>
        <w:proofErr w:type="spellStart"/>
        <w:r w:rsidRPr="00BA1BDA">
          <w:rPr>
            <w:rFonts w:ascii="Arial" w:hAnsi="Arial" w:cs="Arial"/>
            <w:color w:val="0000FF"/>
            <w:sz w:val="16"/>
            <w:szCs w:val="16"/>
            <w:u w:val="single"/>
            <w:lang w:eastAsia="en-GB"/>
          </w:rPr>
          <w:t>Saadoon</w:t>
        </w:r>
        <w:proofErr w:type="spellEnd"/>
        <w:r w:rsidRPr="00BA1BDA">
          <w:rPr>
            <w:rFonts w:ascii="Arial" w:hAnsi="Arial" w:cs="Arial"/>
            <w:color w:val="0000FF"/>
            <w:sz w:val="16"/>
            <w:szCs w:val="16"/>
            <w:u w:val="single"/>
            <w:lang w:eastAsia="en-GB"/>
          </w:rPr>
          <w:t xml:space="preserve"> and </w:t>
        </w:r>
        <w:proofErr w:type="spellStart"/>
        <w:r w:rsidRPr="00BA1BDA">
          <w:rPr>
            <w:rFonts w:ascii="Arial" w:hAnsi="Arial" w:cs="Arial"/>
            <w:color w:val="0000FF"/>
            <w:sz w:val="16"/>
            <w:szCs w:val="16"/>
            <w:u w:val="single"/>
            <w:lang w:eastAsia="en-GB"/>
          </w:rPr>
          <w:t>Mufdhi</w:t>
        </w:r>
        <w:proofErr w:type="spellEnd"/>
        <w:r w:rsidRPr="00BA1BDA">
          <w:rPr>
            <w:rFonts w:ascii="Arial" w:hAnsi="Arial" w:cs="Arial"/>
            <w:color w:val="0000FF"/>
            <w:sz w:val="16"/>
            <w:szCs w:val="16"/>
            <w:u w:val="single"/>
            <w:lang w:eastAsia="en-GB"/>
          </w:rPr>
          <w:t>) v Secretary of State for Defence</w:t>
        </w:r>
      </w:hyperlink>
      <w:r w:rsidRPr="00BA1BDA">
        <w:rPr>
          <w:rFonts w:ascii="Arial" w:hAnsi="Arial" w:cs="Arial"/>
          <w:sz w:val="16"/>
          <w:szCs w:val="16"/>
          <w:u w:val="single"/>
          <w:lang w:eastAsia="en-GB"/>
        </w:rPr>
        <w:t xml:space="preserve">, </w:t>
      </w:r>
      <w:r w:rsidRPr="00BA1BDA">
        <w:rPr>
          <w:rFonts w:ascii="Arial" w:hAnsi="Arial" w:cs="Arial"/>
          <w:sz w:val="16"/>
          <w:szCs w:val="16"/>
          <w:lang w:eastAsia="en-GB"/>
        </w:rPr>
        <w:t xml:space="preserve">Court of Appeal (January 2009) [2009] EWCA </w:t>
      </w:r>
      <w:proofErr w:type="spellStart"/>
      <w:r w:rsidRPr="00BA1BDA">
        <w:rPr>
          <w:rFonts w:ascii="Arial" w:hAnsi="Arial" w:cs="Arial"/>
          <w:sz w:val="16"/>
          <w:szCs w:val="16"/>
          <w:lang w:eastAsia="en-GB"/>
        </w:rPr>
        <w:t>Civ</w:t>
      </w:r>
      <w:proofErr w:type="spellEnd"/>
      <w:r w:rsidRPr="00BA1BDA">
        <w:rPr>
          <w:rFonts w:ascii="Arial" w:hAnsi="Arial" w:cs="Arial"/>
          <w:sz w:val="16"/>
          <w:szCs w:val="16"/>
          <w:lang w:eastAsia="en-GB"/>
        </w:rPr>
        <w:t xml:space="preserve"> 7; </w:t>
      </w:r>
      <w:hyperlink r:id="rId41" w:history="1">
        <w:r w:rsidRPr="00BA1BDA">
          <w:rPr>
            <w:rFonts w:ascii="Arial" w:hAnsi="Arial" w:cs="Arial"/>
            <w:color w:val="0000FF"/>
            <w:sz w:val="16"/>
            <w:szCs w:val="16"/>
            <w:u w:val="single"/>
            <w:lang w:eastAsia="en-GB"/>
          </w:rPr>
          <w:t xml:space="preserve">Al </w:t>
        </w:r>
        <w:proofErr w:type="spellStart"/>
        <w:r w:rsidRPr="00BA1BDA">
          <w:rPr>
            <w:rFonts w:ascii="Arial" w:hAnsi="Arial" w:cs="Arial"/>
            <w:color w:val="0000FF"/>
            <w:sz w:val="16"/>
            <w:szCs w:val="16"/>
            <w:u w:val="single"/>
            <w:lang w:eastAsia="en-GB"/>
          </w:rPr>
          <w:t>Saadoon</w:t>
        </w:r>
        <w:proofErr w:type="spellEnd"/>
        <w:r w:rsidRPr="00BA1BDA">
          <w:rPr>
            <w:rFonts w:ascii="Arial" w:hAnsi="Arial" w:cs="Arial"/>
            <w:color w:val="0000FF"/>
            <w:sz w:val="16"/>
            <w:szCs w:val="16"/>
            <w:u w:val="single"/>
            <w:lang w:eastAsia="en-GB"/>
          </w:rPr>
          <w:t xml:space="preserve"> v UK</w:t>
        </w:r>
      </w:hyperlink>
      <w:r w:rsidRPr="00BA1BDA">
        <w:rPr>
          <w:rFonts w:ascii="Arial" w:hAnsi="Arial" w:cs="Arial"/>
          <w:sz w:val="16"/>
          <w:szCs w:val="16"/>
          <w:lang w:eastAsia="en-GB"/>
        </w:rPr>
        <w:t xml:space="preserve">(Admissibility) (2009) 49 E.H.R.R. SE11;  </w:t>
      </w:r>
      <w:hyperlink r:id="rId42" w:anchor="{%22itemid%22:[%22001-97575%22]}" w:history="1">
        <w:r w:rsidRPr="00BA1BDA">
          <w:rPr>
            <w:rFonts w:ascii="Arial" w:hAnsi="Arial" w:cs="Arial"/>
            <w:color w:val="0000FF"/>
            <w:sz w:val="16"/>
            <w:szCs w:val="16"/>
            <w:u w:val="single"/>
            <w:lang w:eastAsia="en-GB"/>
          </w:rPr>
          <w:t xml:space="preserve">Al </w:t>
        </w:r>
        <w:proofErr w:type="spellStart"/>
        <w:r w:rsidRPr="00BA1BDA">
          <w:rPr>
            <w:rFonts w:ascii="Arial" w:hAnsi="Arial" w:cs="Arial"/>
            <w:color w:val="0000FF"/>
            <w:sz w:val="16"/>
            <w:szCs w:val="16"/>
            <w:u w:val="single"/>
            <w:lang w:eastAsia="en-GB"/>
          </w:rPr>
          <w:t>Saadoon</w:t>
        </w:r>
        <w:proofErr w:type="spellEnd"/>
        <w:r w:rsidRPr="00BA1BDA">
          <w:rPr>
            <w:rFonts w:ascii="Arial" w:hAnsi="Arial" w:cs="Arial"/>
            <w:color w:val="0000FF"/>
            <w:sz w:val="16"/>
            <w:szCs w:val="16"/>
            <w:u w:val="single"/>
            <w:lang w:eastAsia="en-GB"/>
          </w:rPr>
          <w:t xml:space="preserve"> and </w:t>
        </w:r>
        <w:proofErr w:type="spellStart"/>
        <w:r w:rsidRPr="00BA1BDA">
          <w:rPr>
            <w:rFonts w:ascii="Arial" w:hAnsi="Arial" w:cs="Arial"/>
            <w:color w:val="0000FF"/>
            <w:sz w:val="16"/>
            <w:szCs w:val="16"/>
            <w:u w:val="single"/>
            <w:lang w:eastAsia="en-GB"/>
          </w:rPr>
          <w:t>Mufdhi</w:t>
        </w:r>
        <w:proofErr w:type="spellEnd"/>
        <w:r w:rsidRPr="00BA1BDA">
          <w:rPr>
            <w:rFonts w:ascii="Arial" w:hAnsi="Arial" w:cs="Arial"/>
            <w:color w:val="0000FF"/>
            <w:sz w:val="16"/>
            <w:szCs w:val="16"/>
            <w:u w:val="single"/>
            <w:lang w:eastAsia="en-GB"/>
          </w:rPr>
          <w:t xml:space="preserve"> v UK</w:t>
        </w:r>
      </w:hyperlink>
      <w:r w:rsidRPr="00BA1BDA">
        <w:rPr>
          <w:rFonts w:ascii="Arial" w:hAnsi="Arial" w:cs="Arial"/>
          <w:sz w:val="16"/>
          <w:szCs w:val="16"/>
          <w:lang w:eastAsia="en-GB"/>
        </w:rPr>
        <w:t xml:space="preserve">(Merits) (2010) 51 E.H.R.R. 9; March 10, 2010;  </w:t>
      </w:r>
      <w:hyperlink r:id="rId43" w:history="1">
        <w:r w:rsidRPr="00BA1BDA">
          <w:rPr>
            <w:rFonts w:ascii="Arial" w:hAnsi="Arial" w:cs="Arial"/>
            <w:color w:val="0000FF"/>
            <w:sz w:val="16"/>
            <w:szCs w:val="16"/>
            <w:u w:val="single"/>
            <w:lang w:eastAsia="en-GB"/>
          </w:rPr>
          <w:t xml:space="preserve">R (on the application of Al </w:t>
        </w:r>
        <w:proofErr w:type="spellStart"/>
        <w:r w:rsidRPr="00BA1BDA">
          <w:rPr>
            <w:rFonts w:ascii="Arial" w:hAnsi="Arial" w:cs="Arial"/>
            <w:color w:val="0000FF"/>
            <w:sz w:val="16"/>
            <w:szCs w:val="16"/>
            <w:u w:val="single"/>
            <w:lang w:eastAsia="en-GB"/>
          </w:rPr>
          <w:t>Saadoon</w:t>
        </w:r>
        <w:proofErr w:type="spellEnd"/>
        <w:r w:rsidRPr="00BA1BDA">
          <w:rPr>
            <w:rFonts w:ascii="Arial" w:hAnsi="Arial" w:cs="Arial"/>
            <w:color w:val="0000FF"/>
            <w:sz w:val="16"/>
            <w:szCs w:val="16"/>
            <w:u w:val="single"/>
            <w:lang w:eastAsia="en-GB"/>
          </w:rPr>
          <w:t xml:space="preserve"> and Others) v Secretary of State for Defence</w:t>
        </w:r>
      </w:hyperlink>
      <w:r w:rsidRPr="00BA1BDA">
        <w:rPr>
          <w:rFonts w:ascii="Arial" w:hAnsi="Arial" w:cs="Arial"/>
          <w:sz w:val="16"/>
          <w:szCs w:val="16"/>
          <w:lang w:eastAsia="en-GB"/>
        </w:rPr>
        <w:t>, (Mar 2015) [2015] EWHC 715 (QB).</w:t>
      </w:r>
    </w:p>
  </w:footnote>
  <w:footnote w:id="35">
    <w:p w:rsidR="000A65D0" w:rsidRPr="002924A7" w:rsidRDefault="000A65D0">
      <w:pPr>
        <w:spacing w:line="276" w:lineRule="auto"/>
        <w:rPr>
          <w:rFonts w:ascii="Arial" w:hAnsi="Arial" w:cs="Arial"/>
          <w:sz w:val="16"/>
          <w:szCs w:val="16"/>
        </w:rPr>
      </w:pPr>
      <w:r w:rsidRPr="00621B45">
        <w:rPr>
          <w:rStyle w:val="FootnoteReference"/>
          <w:rFonts w:ascii="Arial" w:hAnsi="Arial" w:cs="Arial"/>
          <w:sz w:val="16"/>
          <w:szCs w:val="16"/>
        </w:rPr>
        <w:footnoteRef/>
      </w:r>
      <w:r w:rsidRPr="00621B45">
        <w:rPr>
          <w:rFonts w:ascii="Arial" w:hAnsi="Arial" w:cs="Arial"/>
          <w:sz w:val="16"/>
          <w:szCs w:val="16"/>
        </w:rPr>
        <w:t xml:space="preserve"> </w:t>
      </w:r>
      <w:r>
        <w:rPr>
          <w:rFonts w:ascii="Arial" w:eastAsiaTheme="minorHAnsi" w:hAnsi="Arial" w:cs="Arial"/>
          <w:sz w:val="16"/>
          <w:szCs w:val="16"/>
        </w:rPr>
        <w:t xml:space="preserve">See: </w:t>
      </w:r>
      <w:hyperlink r:id="rId44" w:history="1">
        <w:r w:rsidRPr="00621B45">
          <w:rPr>
            <w:rStyle w:val="Hyperlink"/>
            <w:rFonts w:ascii="Arial" w:hAnsi="Arial" w:cs="Arial"/>
            <w:sz w:val="16"/>
            <w:szCs w:val="16"/>
          </w:rPr>
          <w:t xml:space="preserve">R (on the application of 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v Secretary of State for Defence</w:t>
        </w:r>
      </w:hyperlink>
      <w:r w:rsidRPr="00621B45">
        <w:rPr>
          <w:rFonts w:ascii="Arial" w:hAnsi="Arial" w:cs="Arial"/>
          <w:sz w:val="16"/>
          <w:szCs w:val="16"/>
        </w:rPr>
        <w:t>, Divisional Court (August 2005) [2005] EWHC 1809 (Admin</w:t>
      </w:r>
      <w:r>
        <w:rPr>
          <w:rFonts w:ascii="Arial" w:hAnsi="Arial" w:cs="Arial"/>
          <w:sz w:val="16"/>
          <w:szCs w:val="16"/>
        </w:rPr>
        <w:t>);</w:t>
      </w:r>
      <w:r w:rsidRPr="00621B45">
        <w:rPr>
          <w:rFonts w:ascii="Arial" w:hAnsi="Arial" w:cs="Arial"/>
          <w:sz w:val="16"/>
          <w:szCs w:val="16"/>
        </w:rPr>
        <w:t xml:space="preserve"> </w:t>
      </w:r>
      <w:hyperlink r:id="rId45" w:history="1">
        <w:r w:rsidRPr="00621B45">
          <w:rPr>
            <w:rStyle w:val="Hyperlink"/>
            <w:rFonts w:ascii="Arial" w:hAnsi="Arial" w:cs="Arial"/>
            <w:sz w:val="16"/>
            <w:szCs w:val="16"/>
          </w:rPr>
          <w:t xml:space="preserve">R (on the application of 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v Secretary of State for Defence</w:t>
        </w:r>
      </w:hyperlink>
      <w:r w:rsidRPr="00621B45">
        <w:rPr>
          <w:rFonts w:ascii="Arial" w:hAnsi="Arial" w:cs="Arial"/>
          <w:sz w:val="16"/>
          <w:szCs w:val="16"/>
        </w:rPr>
        <w:t xml:space="preserve">, Court of Appeal (March 2006) [2006] EWCA </w:t>
      </w:r>
      <w:proofErr w:type="spellStart"/>
      <w:r w:rsidRPr="00621B45">
        <w:rPr>
          <w:rFonts w:ascii="Arial" w:hAnsi="Arial" w:cs="Arial"/>
          <w:sz w:val="16"/>
          <w:szCs w:val="16"/>
        </w:rPr>
        <w:t>Civ</w:t>
      </w:r>
      <w:proofErr w:type="spellEnd"/>
      <w:r w:rsidRPr="00621B45">
        <w:rPr>
          <w:rFonts w:ascii="Arial" w:hAnsi="Arial" w:cs="Arial"/>
          <w:sz w:val="16"/>
          <w:szCs w:val="16"/>
        </w:rPr>
        <w:t xml:space="preserve"> 32</w:t>
      </w:r>
      <w:r>
        <w:rPr>
          <w:rFonts w:ascii="Arial" w:hAnsi="Arial" w:cs="Arial"/>
          <w:sz w:val="16"/>
          <w:szCs w:val="16"/>
        </w:rPr>
        <w:t>7;</w:t>
      </w:r>
      <w:r w:rsidRPr="00621B45">
        <w:rPr>
          <w:rFonts w:ascii="Arial" w:hAnsi="Arial" w:cs="Arial"/>
          <w:sz w:val="16"/>
          <w:szCs w:val="16"/>
        </w:rPr>
        <w:t xml:space="preserve"> </w:t>
      </w:r>
      <w:hyperlink r:id="rId46" w:history="1">
        <w:r w:rsidRPr="00621B45">
          <w:rPr>
            <w:rStyle w:val="Hyperlink"/>
            <w:rFonts w:ascii="Arial" w:hAnsi="Arial" w:cs="Arial"/>
            <w:sz w:val="16"/>
            <w:szCs w:val="16"/>
          </w:rPr>
          <w:t xml:space="preserve">R (on the application of 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v Secretary of State for Defence,</w:t>
        </w:r>
      </w:hyperlink>
      <w:r w:rsidRPr="00621B45">
        <w:rPr>
          <w:rFonts w:ascii="Arial" w:hAnsi="Arial" w:cs="Arial"/>
          <w:sz w:val="16"/>
          <w:szCs w:val="16"/>
        </w:rPr>
        <w:t xml:space="preserve"> House of Lords (December 2007) </w:t>
      </w:r>
      <w:r>
        <w:rPr>
          <w:rFonts w:ascii="Arial" w:hAnsi="Arial" w:cs="Arial"/>
          <w:sz w:val="16"/>
          <w:szCs w:val="16"/>
        </w:rPr>
        <w:t>[2007] UKHL 58;</w:t>
      </w:r>
      <w:r w:rsidRPr="00621B45">
        <w:rPr>
          <w:rFonts w:ascii="Arial" w:hAnsi="Arial" w:cs="Arial"/>
          <w:sz w:val="16"/>
          <w:szCs w:val="16"/>
        </w:rPr>
        <w:t xml:space="preserve"> </w:t>
      </w:r>
      <w:hyperlink r:id="rId47" w:history="1">
        <w:r w:rsidRPr="00621B45">
          <w:rPr>
            <w:rStyle w:val="Hyperlink"/>
            <w:rFonts w:ascii="Arial" w:hAnsi="Arial" w:cs="Arial"/>
            <w:sz w:val="16"/>
            <w:szCs w:val="16"/>
          </w:rPr>
          <w:t xml:space="preserve">R (on the application of 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v Secretary of State for Defence</w:t>
        </w:r>
      </w:hyperlink>
      <w:r w:rsidRPr="00621B45">
        <w:rPr>
          <w:rFonts w:ascii="Arial" w:hAnsi="Arial" w:cs="Arial"/>
          <w:sz w:val="16"/>
          <w:szCs w:val="16"/>
        </w:rPr>
        <w:t xml:space="preserve">(March 2009) [2009] EWHC 397 (QB); </w:t>
      </w:r>
      <w:hyperlink r:id="rId48" w:history="1">
        <w:r w:rsidRPr="00621B45">
          <w:rPr>
            <w:rStyle w:val="Hyperlink"/>
            <w:rFonts w:ascii="Arial" w:hAnsi="Arial" w:cs="Arial"/>
            <w:sz w:val="16"/>
            <w:szCs w:val="16"/>
          </w:rPr>
          <w:t xml:space="preserve">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xml:space="preserve"> v Secretary of State for Home Department</w:t>
        </w:r>
      </w:hyperlink>
      <w:r w:rsidRPr="00621B45">
        <w:rPr>
          <w:rFonts w:ascii="Arial" w:hAnsi="Arial" w:cs="Arial"/>
          <w:sz w:val="16"/>
          <w:szCs w:val="16"/>
          <w:u w:val="single"/>
        </w:rPr>
        <w:t xml:space="preserve"> </w:t>
      </w:r>
      <w:r w:rsidRPr="00621B45">
        <w:rPr>
          <w:rFonts w:ascii="Arial" w:hAnsi="Arial" w:cs="Arial"/>
          <w:sz w:val="16"/>
          <w:szCs w:val="16"/>
        </w:rPr>
        <w:t xml:space="preserve">SIAC (April 2009) [2009] UKSIAC 66/2008; </w:t>
      </w:r>
      <w:hyperlink r:id="rId49" w:history="1">
        <w:r w:rsidRPr="00621B45">
          <w:rPr>
            <w:rStyle w:val="Hyperlink"/>
            <w:rFonts w:ascii="Arial" w:hAnsi="Arial" w:cs="Arial"/>
            <w:sz w:val="16"/>
            <w:szCs w:val="16"/>
          </w:rPr>
          <w:t xml:space="preserve">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xml:space="preserve"> v Secretary of State for Defence</w:t>
        </w:r>
      </w:hyperlink>
      <w:r w:rsidRPr="00621B45">
        <w:rPr>
          <w:rFonts w:ascii="Arial" w:hAnsi="Arial" w:cs="Arial"/>
          <w:sz w:val="16"/>
          <w:szCs w:val="16"/>
        </w:rPr>
        <w:t xml:space="preserve">, Court of Appeal (July 2010) [2010] EWCA </w:t>
      </w:r>
      <w:proofErr w:type="spellStart"/>
      <w:r w:rsidRPr="00621B45">
        <w:rPr>
          <w:rFonts w:ascii="Arial" w:hAnsi="Arial" w:cs="Arial"/>
          <w:sz w:val="16"/>
          <w:szCs w:val="16"/>
        </w:rPr>
        <w:t>Civ</w:t>
      </w:r>
      <w:proofErr w:type="spellEnd"/>
      <w:r w:rsidRPr="00621B45">
        <w:rPr>
          <w:rFonts w:ascii="Arial" w:hAnsi="Arial" w:cs="Arial"/>
          <w:sz w:val="16"/>
          <w:szCs w:val="16"/>
        </w:rPr>
        <w:t xml:space="preserve"> 758; </w:t>
      </w:r>
      <w:hyperlink r:id="rId50" w:history="1">
        <w:r w:rsidRPr="00621B45">
          <w:rPr>
            <w:rStyle w:val="Hyperlink"/>
            <w:rFonts w:ascii="Arial" w:hAnsi="Arial" w:cs="Arial"/>
            <w:sz w:val="16"/>
            <w:szCs w:val="16"/>
          </w:rPr>
          <w:t xml:space="preserve">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xml:space="preserve"> v Secretary of State for Home Department</w:t>
        </w:r>
      </w:hyperlink>
      <w:r>
        <w:rPr>
          <w:rStyle w:val="Hyperlink"/>
          <w:rFonts w:ascii="Arial" w:hAnsi="Arial" w:cs="Arial"/>
          <w:sz w:val="16"/>
          <w:szCs w:val="16"/>
        </w:rPr>
        <w:t xml:space="preserve"> </w:t>
      </w:r>
      <w:r w:rsidRPr="00621B45">
        <w:rPr>
          <w:rFonts w:ascii="Arial" w:hAnsi="Arial" w:cs="Arial"/>
          <w:sz w:val="16"/>
          <w:szCs w:val="16"/>
        </w:rPr>
        <w:t xml:space="preserve">(SIAC) [2010] UKSIAC 66/2008 [November 2010]; </w:t>
      </w:r>
      <w:hyperlink r:id="rId51" w:history="1">
        <w:r w:rsidRPr="00621B45">
          <w:rPr>
            <w:rStyle w:val="Hyperlink"/>
            <w:rFonts w:ascii="Arial" w:hAnsi="Arial" w:cs="Arial"/>
            <w:sz w:val="16"/>
            <w:szCs w:val="16"/>
          </w:rPr>
          <w:t xml:space="preserve">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xml:space="preserve"> v UK</w:t>
        </w:r>
      </w:hyperlink>
      <w:r w:rsidRPr="00621B45">
        <w:rPr>
          <w:rFonts w:ascii="Arial" w:hAnsi="Arial" w:cs="Arial"/>
          <w:sz w:val="16"/>
          <w:szCs w:val="16"/>
        </w:rPr>
        <w:t>, Grand Chamb</w:t>
      </w:r>
      <w:r>
        <w:rPr>
          <w:rFonts w:ascii="Arial" w:hAnsi="Arial" w:cs="Arial"/>
          <w:sz w:val="16"/>
          <w:szCs w:val="16"/>
        </w:rPr>
        <w:t>er (2011) 53 E.H.R.R. 23;</w:t>
      </w:r>
      <w:r w:rsidRPr="00621B45">
        <w:rPr>
          <w:rFonts w:ascii="Arial" w:hAnsi="Arial" w:cs="Arial"/>
          <w:sz w:val="16"/>
          <w:szCs w:val="16"/>
        </w:rPr>
        <w:t xml:space="preserve"> </w:t>
      </w:r>
      <w:hyperlink r:id="rId52" w:history="1">
        <w:r w:rsidRPr="00621B45">
          <w:rPr>
            <w:rStyle w:val="Hyperlink"/>
            <w:rFonts w:ascii="Arial" w:hAnsi="Arial" w:cs="Arial"/>
            <w:sz w:val="16"/>
            <w:szCs w:val="16"/>
          </w:rPr>
          <w:t xml:space="preserve">Al </w:t>
        </w:r>
        <w:proofErr w:type="spellStart"/>
        <w:r w:rsidRPr="00621B45">
          <w:rPr>
            <w:rStyle w:val="Hyperlink"/>
            <w:rFonts w:ascii="Arial" w:hAnsi="Arial" w:cs="Arial"/>
            <w:sz w:val="16"/>
            <w:szCs w:val="16"/>
          </w:rPr>
          <w:t>Jedda</w:t>
        </w:r>
        <w:proofErr w:type="spellEnd"/>
        <w:r w:rsidRPr="00621B45">
          <w:rPr>
            <w:rStyle w:val="Hyperlink"/>
            <w:rFonts w:ascii="Arial" w:hAnsi="Arial" w:cs="Arial"/>
            <w:sz w:val="16"/>
            <w:szCs w:val="16"/>
          </w:rPr>
          <w:t xml:space="preserve"> v Secretary of State for Home Department</w:t>
        </w:r>
      </w:hyperlink>
      <w:r w:rsidRPr="00621B45">
        <w:rPr>
          <w:rFonts w:ascii="Arial" w:hAnsi="Arial" w:cs="Arial"/>
          <w:sz w:val="16"/>
          <w:szCs w:val="16"/>
          <w:u w:val="single"/>
        </w:rPr>
        <w:t xml:space="preserve"> </w:t>
      </w:r>
      <w:r w:rsidRPr="00621B45">
        <w:rPr>
          <w:rFonts w:ascii="Arial" w:hAnsi="Arial" w:cs="Arial"/>
          <w:sz w:val="16"/>
          <w:szCs w:val="16"/>
        </w:rPr>
        <w:t xml:space="preserve">Court of Appeal (March 2012) [2012] EWCA </w:t>
      </w:r>
      <w:proofErr w:type="spellStart"/>
      <w:r w:rsidRPr="00621B45">
        <w:rPr>
          <w:rFonts w:ascii="Arial" w:hAnsi="Arial" w:cs="Arial"/>
          <w:sz w:val="16"/>
          <w:szCs w:val="16"/>
        </w:rPr>
        <w:t>Civ</w:t>
      </w:r>
      <w:proofErr w:type="spellEnd"/>
      <w:r w:rsidRPr="00621B45">
        <w:rPr>
          <w:rFonts w:ascii="Arial" w:hAnsi="Arial" w:cs="Arial"/>
          <w:sz w:val="16"/>
          <w:szCs w:val="16"/>
        </w:rPr>
        <w:t xml:space="preserve"> 358.</w:t>
      </w:r>
    </w:p>
  </w:footnote>
  <w:footnote w:id="36">
    <w:p w:rsidR="000A65D0" w:rsidRPr="00BB4FA1" w:rsidRDefault="000A65D0" w:rsidP="008018EC">
      <w:pPr>
        <w:pStyle w:val="NormalWeb"/>
        <w:spacing w:before="0" w:beforeAutospacing="0" w:after="0" w:afterAutospacing="0"/>
        <w:rPr>
          <w:rFonts w:ascii="Arial" w:hAnsi="Arial" w:cs="Arial"/>
          <w:i/>
          <w:sz w:val="16"/>
          <w:szCs w:val="16"/>
        </w:rPr>
      </w:pPr>
      <w:r w:rsidRPr="000A11CB">
        <w:rPr>
          <w:rStyle w:val="FootnoteReference"/>
          <w:rFonts w:ascii="Arial" w:hAnsi="Arial" w:cs="Arial"/>
          <w:sz w:val="16"/>
          <w:szCs w:val="16"/>
        </w:rPr>
        <w:footnoteRef/>
      </w:r>
      <w:r w:rsidRPr="000A11CB">
        <w:rPr>
          <w:rFonts w:ascii="Arial" w:hAnsi="Arial" w:cs="Arial"/>
          <w:sz w:val="16"/>
          <w:szCs w:val="16"/>
        </w:rPr>
        <w:t xml:space="preserve"> </w:t>
      </w:r>
      <w:r w:rsidRPr="000A11CB">
        <w:rPr>
          <w:rFonts w:ascii="Arial" w:eastAsiaTheme="minorHAnsi" w:hAnsi="Arial" w:cs="Arial"/>
          <w:bCs/>
          <w:sz w:val="16"/>
          <w:szCs w:val="16"/>
        </w:rPr>
        <w:t xml:space="preserve">European Centre for Constitutional and Human Rights and Public Interest Lawyers, </w:t>
      </w:r>
      <w:r w:rsidRPr="000A11CB">
        <w:rPr>
          <w:rFonts w:ascii="Arial" w:eastAsiaTheme="minorHAnsi" w:hAnsi="Arial" w:cs="Arial"/>
          <w:bCs/>
          <w:i/>
          <w:sz w:val="16"/>
          <w:szCs w:val="16"/>
        </w:rPr>
        <w:t>Communication to the Office of the Prosecutor of the International Criminal Court</w:t>
      </w:r>
      <w:r w:rsidRPr="000A11CB">
        <w:rPr>
          <w:rFonts w:ascii="Arial" w:eastAsiaTheme="minorHAnsi" w:hAnsi="Arial" w:cs="Arial"/>
          <w:bCs/>
          <w:sz w:val="16"/>
          <w:szCs w:val="16"/>
        </w:rPr>
        <w:t xml:space="preserve">: </w:t>
      </w:r>
      <w:r w:rsidRPr="000A11CB">
        <w:rPr>
          <w:rFonts w:ascii="Arial" w:eastAsiaTheme="minorHAnsi" w:hAnsi="Arial" w:cs="Arial"/>
          <w:sz w:val="16"/>
          <w:szCs w:val="16"/>
        </w:rPr>
        <w:t xml:space="preserve"> </w:t>
      </w:r>
      <w:r w:rsidRPr="000A11CB">
        <w:rPr>
          <w:rFonts w:ascii="Arial" w:eastAsiaTheme="minorHAnsi" w:hAnsi="Arial" w:cs="Arial"/>
          <w:bCs/>
          <w:i/>
          <w:sz w:val="16"/>
          <w:szCs w:val="16"/>
        </w:rPr>
        <w:t xml:space="preserve">The Responsibility of Officials of the United Kingdom for War Crimes Involving Systematic Detainee Abuse in Iraq </w:t>
      </w:r>
      <w:r w:rsidRPr="00FD351E">
        <w:rPr>
          <w:rFonts w:ascii="Arial" w:eastAsiaTheme="minorHAnsi" w:hAnsi="Arial" w:cs="Arial"/>
          <w:bCs/>
          <w:i/>
          <w:sz w:val="16"/>
          <w:szCs w:val="16"/>
        </w:rPr>
        <w:t>from 2003-2008,</w:t>
      </w:r>
      <w:r w:rsidRPr="00FD351E">
        <w:rPr>
          <w:rFonts w:ascii="Arial" w:eastAsiaTheme="minorHAnsi" w:hAnsi="Arial" w:cs="Arial"/>
          <w:bCs/>
          <w:sz w:val="16"/>
          <w:szCs w:val="16"/>
        </w:rPr>
        <w:t xml:space="preserve"> submitted on 10 January 2014, </w:t>
      </w:r>
      <w:r w:rsidRPr="00FD351E">
        <w:rPr>
          <w:rFonts w:ascii="Arial" w:hAnsi="Arial" w:cs="Arial"/>
          <w:bCs/>
          <w:sz w:val="16"/>
          <w:szCs w:val="16"/>
        </w:rPr>
        <w:t xml:space="preserve">p. 6, </w:t>
      </w:r>
      <w:r w:rsidRPr="00FD351E">
        <w:rPr>
          <w:rFonts w:ascii="Arial" w:eastAsiaTheme="minorHAnsi" w:hAnsi="Arial" w:cs="Arial"/>
          <w:bCs/>
          <w:sz w:val="16"/>
          <w:szCs w:val="16"/>
        </w:rPr>
        <w:t xml:space="preserve">available at: </w:t>
      </w:r>
      <w:hyperlink r:id="rId53" w:history="1">
        <w:r w:rsidRPr="00FD351E">
          <w:rPr>
            <w:rFonts w:ascii="Arial" w:eastAsiaTheme="minorHAnsi" w:hAnsi="Arial" w:cs="Arial"/>
            <w:bCs/>
            <w:color w:val="0000FF" w:themeColor="hyperlink"/>
            <w:sz w:val="16"/>
            <w:szCs w:val="16"/>
            <w:u w:val="single"/>
          </w:rPr>
          <w:t>http://www.ecchr.de/united-kingdom.html</w:t>
        </w:r>
      </w:hyperlink>
      <w:r w:rsidRPr="00FD351E">
        <w:rPr>
          <w:rFonts w:ascii="Arial" w:eastAsiaTheme="minorHAnsi" w:hAnsi="Arial" w:cs="Arial"/>
          <w:bCs/>
          <w:sz w:val="16"/>
          <w:szCs w:val="16"/>
        </w:rPr>
        <w:t xml:space="preserve">. </w:t>
      </w:r>
    </w:p>
  </w:footnote>
  <w:footnote w:id="37">
    <w:p w:rsidR="00685BCB" w:rsidRPr="00685BCB" w:rsidRDefault="00D467D8" w:rsidP="008018EC">
      <w:pPr>
        <w:pStyle w:val="FootnoteText"/>
        <w:rPr>
          <w:rFonts w:ascii="Arial" w:hAnsi="Arial" w:cs="Arial"/>
          <w:sz w:val="16"/>
          <w:szCs w:val="16"/>
        </w:rPr>
      </w:pPr>
      <w:r w:rsidRPr="008018EC">
        <w:rPr>
          <w:rStyle w:val="FootnoteReference"/>
          <w:sz w:val="16"/>
          <w:szCs w:val="16"/>
        </w:rPr>
        <w:footnoteRef/>
      </w:r>
      <w:r w:rsidRPr="008018EC">
        <w:rPr>
          <w:sz w:val="16"/>
          <w:szCs w:val="16"/>
        </w:rPr>
        <w:t xml:space="preserve"> </w:t>
      </w:r>
      <w:r w:rsidR="00685BCB" w:rsidRPr="00685BCB">
        <w:rPr>
          <w:rFonts w:ascii="Arial" w:hAnsi="Arial" w:cs="Arial"/>
          <w:sz w:val="16"/>
          <w:szCs w:val="16"/>
        </w:rPr>
        <w:t xml:space="preserve">On 2 December 2014 the Office of the Prosecutor published its </w:t>
      </w:r>
      <w:r w:rsidR="00685BCB" w:rsidRPr="00685BCB">
        <w:rPr>
          <w:rFonts w:ascii="Arial" w:hAnsi="Arial" w:cs="Arial"/>
          <w:i/>
          <w:sz w:val="16"/>
          <w:szCs w:val="16"/>
        </w:rPr>
        <w:t xml:space="preserve">Report on Preliminary Examination Activities 2014, </w:t>
      </w:r>
      <w:r w:rsidR="00685BCB" w:rsidRPr="00685BCB">
        <w:rPr>
          <w:rFonts w:ascii="Arial" w:hAnsi="Arial" w:cs="Arial"/>
          <w:sz w:val="16"/>
          <w:szCs w:val="16"/>
        </w:rPr>
        <w:t xml:space="preserve">and covered the Iraq “Situation” in paragraphs 42-57. It concluded at para.57:”The Office is in the process of conducting a thorough factual and legal assessment of the information received in order to establish whether there is a reasonable basis to believe that the alleged crimes fall within the subject-matter jurisdiction of the Court. In accordance with its policy on preliminary examination, the Office will also continue to gather information on relevant national proceedings at this stage of analysis.” The </w:t>
      </w:r>
      <w:r w:rsidR="00685BCB" w:rsidRPr="00685BCB">
        <w:rPr>
          <w:rFonts w:ascii="Arial" w:hAnsi="Arial" w:cs="Arial"/>
          <w:i/>
          <w:sz w:val="16"/>
          <w:szCs w:val="16"/>
        </w:rPr>
        <w:t>Report</w:t>
      </w:r>
      <w:r w:rsidR="00685BCB" w:rsidRPr="00685BCB">
        <w:rPr>
          <w:rFonts w:ascii="Arial" w:hAnsi="Arial" w:cs="Arial"/>
          <w:sz w:val="16"/>
          <w:szCs w:val="16"/>
        </w:rPr>
        <w:t xml:space="preserve"> is available at </w:t>
      </w:r>
      <w:hyperlink r:id="rId54" w:history="1">
        <w:r w:rsidR="00685BCB" w:rsidRPr="00685BCB">
          <w:rPr>
            <w:rFonts w:ascii="Arial" w:hAnsi="Arial" w:cs="Arial"/>
            <w:color w:val="0000FF" w:themeColor="hyperlink"/>
            <w:sz w:val="16"/>
            <w:szCs w:val="16"/>
            <w:u w:val="single"/>
          </w:rPr>
          <w:t>http://www.icc-cpi.int/iccdocs/otp/OTP-Pre-Exam-2014.pdf</w:t>
        </w:r>
      </w:hyperlink>
      <w:r w:rsidR="00685BCB" w:rsidRPr="00685BCB">
        <w:rPr>
          <w:rFonts w:ascii="Arial" w:hAnsi="Arial" w:cs="Arial"/>
          <w:sz w:val="16"/>
          <w:szCs w:val="16"/>
        </w:rPr>
        <w:t xml:space="preserve">. </w:t>
      </w:r>
    </w:p>
    <w:p w:rsidR="00D467D8" w:rsidRDefault="00D467D8">
      <w:pPr>
        <w:pStyle w:val="FootnoteText"/>
      </w:pPr>
    </w:p>
  </w:footnote>
  <w:footnote w:id="38">
    <w:p w:rsidR="000A65D0" w:rsidRDefault="000A65D0" w:rsidP="000A65D0">
      <w:pPr>
        <w:pStyle w:val="Heading1"/>
        <w:shd w:val="clear" w:color="auto" w:fill="FFFFFF"/>
        <w:spacing w:before="0"/>
        <w:textAlignment w:val="baseline"/>
        <w:rPr>
          <w:rFonts w:ascii="Arial" w:eastAsia="Times New Roman" w:hAnsi="Arial" w:cs="Arial"/>
          <w:b w:val="0"/>
          <w:color w:val="auto"/>
          <w:kern w:val="36"/>
          <w:sz w:val="16"/>
          <w:szCs w:val="16"/>
          <w:lang w:eastAsia="en-GB"/>
        </w:rPr>
      </w:pPr>
      <w:r w:rsidRPr="006503DD">
        <w:rPr>
          <w:rStyle w:val="FootnoteReference"/>
          <w:rFonts w:ascii="Arial" w:hAnsi="Arial" w:cs="Arial"/>
          <w:b w:val="0"/>
          <w:color w:val="auto"/>
          <w:sz w:val="16"/>
          <w:szCs w:val="16"/>
        </w:rPr>
        <w:footnoteRef/>
      </w:r>
      <w:r w:rsidRPr="006503DD">
        <w:rPr>
          <w:rFonts w:ascii="Arial" w:hAnsi="Arial" w:cs="Arial"/>
          <w:b w:val="0"/>
          <w:color w:val="auto"/>
          <w:sz w:val="16"/>
          <w:szCs w:val="16"/>
        </w:rPr>
        <w:t xml:space="preserve"> BBC, </w:t>
      </w:r>
      <w:r w:rsidRPr="006503DD">
        <w:rPr>
          <w:rFonts w:ascii="Arial" w:eastAsia="Times New Roman" w:hAnsi="Arial" w:cs="Arial"/>
          <w:b w:val="0"/>
          <w:i/>
          <w:color w:val="auto"/>
          <w:kern w:val="36"/>
          <w:sz w:val="16"/>
          <w:szCs w:val="16"/>
          <w:lang w:eastAsia="en-GB"/>
        </w:rPr>
        <w:t>UK pays £2.2m to settle Libyan rendition claim</w:t>
      </w:r>
      <w:r w:rsidRPr="006503DD">
        <w:rPr>
          <w:rFonts w:ascii="Arial" w:eastAsia="Times New Roman" w:hAnsi="Arial" w:cs="Arial"/>
          <w:b w:val="0"/>
          <w:color w:val="auto"/>
          <w:kern w:val="36"/>
          <w:sz w:val="16"/>
          <w:szCs w:val="16"/>
          <w:lang w:eastAsia="en-GB"/>
        </w:rPr>
        <w:t xml:space="preserve">, 13 December 2012, available at: </w:t>
      </w:r>
      <w:hyperlink r:id="rId55" w:history="1">
        <w:r w:rsidRPr="00A04E13">
          <w:rPr>
            <w:rStyle w:val="Hyperlink"/>
            <w:rFonts w:ascii="Arial" w:eastAsia="Times New Roman" w:hAnsi="Arial" w:cs="Arial"/>
            <w:b w:val="0"/>
            <w:kern w:val="36"/>
            <w:sz w:val="16"/>
            <w:szCs w:val="16"/>
            <w:lang w:eastAsia="en-GB"/>
          </w:rPr>
          <w:t>http://www.bbc.co.uk/news/uk-20715507</w:t>
        </w:r>
      </w:hyperlink>
      <w:r>
        <w:rPr>
          <w:rFonts w:ascii="Arial" w:eastAsia="Times New Roman" w:hAnsi="Arial" w:cs="Arial"/>
          <w:b w:val="0"/>
          <w:color w:val="auto"/>
          <w:kern w:val="36"/>
          <w:sz w:val="16"/>
          <w:szCs w:val="16"/>
          <w:lang w:eastAsia="en-GB"/>
        </w:rPr>
        <w:t xml:space="preserve">. </w:t>
      </w:r>
    </w:p>
    <w:p w:rsidR="000A65D0" w:rsidRPr="006503DD" w:rsidRDefault="000A65D0" w:rsidP="000A65D0">
      <w:pPr>
        <w:pStyle w:val="Heading1"/>
        <w:shd w:val="clear" w:color="auto" w:fill="FFFFFF"/>
        <w:spacing w:before="0"/>
        <w:textAlignment w:val="baseline"/>
      </w:pPr>
    </w:p>
  </w:footnote>
  <w:footnote w:id="39">
    <w:p w:rsidR="000A65D0" w:rsidRPr="0040544A" w:rsidRDefault="000A65D0" w:rsidP="000A65D0">
      <w:pPr>
        <w:pStyle w:val="CommentText"/>
        <w:jc w:val="both"/>
        <w:rPr>
          <w:rFonts w:ascii="Arial" w:hAnsi="Arial" w:cs="Arial"/>
          <w:sz w:val="16"/>
          <w:szCs w:val="16"/>
        </w:rPr>
      </w:pPr>
      <w:r w:rsidRPr="0040544A">
        <w:rPr>
          <w:rStyle w:val="FootnoteReference"/>
          <w:rFonts w:ascii="Arial" w:hAnsi="Arial" w:cs="Arial"/>
          <w:sz w:val="16"/>
          <w:szCs w:val="16"/>
        </w:rPr>
        <w:footnoteRef/>
      </w:r>
      <w:r w:rsidRPr="0040544A">
        <w:rPr>
          <w:rFonts w:ascii="Arial" w:hAnsi="Arial" w:cs="Arial"/>
          <w:sz w:val="16"/>
          <w:szCs w:val="16"/>
        </w:rPr>
        <w:t xml:space="preserve"> See REDRESS (and others), </w:t>
      </w:r>
      <w:r w:rsidRPr="0040544A">
        <w:rPr>
          <w:rFonts w:ascii="Arial" w:hAnsi="Arial" w:cs="Arial"/>
          <w:i/>
          <w:sz w:val="16"/>
          <w:szCs w:val="16"/>
        </w:rPr>
        <w:t>Ending Impunity in the United Kingdom for genocide, crimes against humanity, war crimes, torture and other crimes under international law</w:t>
      </w:r>
      <w:r w:rsidRPr="0040544A">
        <w:rPr>
          <w:rFonts w:ascii="Arial" w:hAnsi="Arial" w:cs="Arial"/>
          <w:sz w:val="16"/>
          <w:szCs w:val="16"/>
        </w:rPr>
        <w:t>, July 2008,pp 12-13, available at:</w:t>
      </w:r>
    </w:p>
    <w:p w:rsidR="000A65D0" w:rsidRPr="0040544A" w:rsidRDefault="008018EC" w:rsidP="000A65D0">
      <w:pPr>
        <w:pStyle w:val="CommentText"/>
        <w:jc w:val="both"/>
        <w:rPr>
          <w:rFonts w:ascii="Arial" w:hAnsi="Arial" w:cs="Arial"/>
          <w:sz w:val="16"/>
          <w:szCs w:val="16"/>
        </w:rPr>
      </w:pPr>
      <w:hyperlink r:id="rId56" w:history="1">
        <w:r w:rsidR="000A65D0" w:rsidRPr="0040544A">
          <w:rPr>
            <w:rStyle w:val="Hyperlink"/>
            <w:rFonts w:ascii="Arial" w:hAnsi="Arial" w:cs="Arial"/>
            <w:sz w:val="16"/>
            <w:szCs w:val="16"/>
          </w:rPr>
          <w:t>http://www.redress.org/downloads/publications/UJ_Paper_15%20Oct%2008%20_4_.pdf</w:t>
        </w:r>
      </w:hyperlink>
      <w:r w:rsidR="000A65D0" w:rsidRPr="0040544A">
        <w:rPr>
          <w:rFonts w:ascii="Arial" w:hAnsi="Arial" w:cs="Arial"/>
          <w:sz w:val="16"/>
          <w:szCs w:val="16"/>
        </w:rPr>
        <w:t xml:space="preserve">. </w:t>
      </w:r>
    </w:p>
  </w:footnote>
  <w:footnote w:id="40">
    <w:p w:rsidR="000A65D0" w:rsidRPr="007D69D7" w:rsidRDefault="000A65D0" w:rsidP="000A65D0">
      <w:pPr>
        <w:pStyle w:val="FootnoteText"/>
        <w:rPr>
          <w:rFonts w:ascii="Arial" w:hAnsi="Arial" w:cs="Arial"/>
          <w:sz w:val="16"/>
          <w:szCs w:val="16"/>
        </w:rPr>
      </w:pPr>
      <w:r w:rsidRPr="007D69D7">
        <w:rPr>
          <w:rStyle w:val="FootnoteReference"/>
          <w:rFonts w:ascii="Arial" w:hAnsi="Arial" w:cs="Arial"/>
          <w:sz w:val="16"/>
          <w:szCs w:val="16"/>
        </w:rPr>
        <w:footnoteRef/>
      </w:r>
      <w:r w:rsidRPr="007D69D7">
        <w:rPr>
          <w:rFonts w:ascii="Arial" w:hAnsi="Arial" w:cs="Arial"/>
          <w:sz w:val="16"/>
          <w:szCs w:val="16"/>
        </w:rPr>
        <w:t xml:space="preserve"> Foreign and Commonwealth Office, </w:t>
      </w:r>
      <w:r w:rsidRPr="007D69D7">
        <w:rPr>
          <w:rFonts w:ascii="Arial" w:hAnsi="Arial" w:cs="Arial"/>
          <w:i/>
          <w:sz w:val="16"/>
          <w:szCs w:val="16"/>
        </w:rPr>
        <w:t>Strategy for the Prevention of Torture 2011 – 2015</w:t>
      </w:r>
      <w:r w:rsidRPr="007D69D7">
        <w:rPr>
          <w:rFonts w:ascii="Arial" w:hAnsi="Arial" w:cs="Arial"/>
          <w:sz w:val="16"/>
          <w:szCs w:val="16"/>
        </w:rPr>
        <w:t xml:space="preserve">, Human Rights and Democracy Department, October 2011, available at: </w:t>
      </w:r>
      <w:hyperlink r:id="rId57" w:history="1">
        <w:r w:rsidRPr="007D69D7">
          <w:rPr>
            <w:rStyle w:val="Hyperlink"/>
            <w:rFonts w:ascii="Arial" w:hAnsi="Arial" w:cs="Arial"/>
            <w:sz w:val="16"/>
            <w:szCs w:val="16"/>
          </w:rPr>
          <w:t>https://www.gov.uk/government/uploads/system/uploads/attachment_data/file/35449/fcostrategy-tortureprevention.pdf</w:t>
        </w:r>
      </w:hyperlink>
      <w:r w:rsidRPr="007D69D7">
        <w:rPr>
          <w:rFonts w:ascii="Arial" w:hAnsi="Arial" w:cs="Arial"/>
          <w:sz w:val="16"/>
          <w:szCs w:val="16"/>
        </w:rPr>
        <w:t xml:space="preserve">. </w:t>
      </w:r>
    </w:p>
  </w:footnote>
  <w:footnote w:id="41">
    <w:p w:rsidR="000A65D0" w:rsidRPr="007D69D7" w:rsidRDefault="000A65D0" w:rsidP="000A65D0">
      <w:pPr>
        <w:pStyle w:val="FootnoteText"/>
        <w:rPr>
          <w:rFonts w:ascii="Arial" w:hAnsi="Arial" w:cs="Arial"/>
          <w:sz w:val="16"/>
          <w:szCs w:val="16"/>
        </w:rPr>
      </w:pPr>
      <w:r w:rsidRPr="007D69D7">
        <w:rPr>
          <w:rStyle w:val="FootnoteReference"/>
          <w:rFonts w:ascii="Arial" w:hAnsi="Arial" w:cs="Arial"/>
          <w:sz w:val="16"/>
          <w:szCs w:val="16"/>
        </w:rPr>
        <w:footnoteRef/>
      </w:r>
      <w:r w:rsidRPr="007D69D7">
        <w:rPr>
          <w:rFonts w:ascii="Arial" w:hAnsi="Arial" w:cs="Arial"/>
          <w:sz w:val="16"/>
          <w:szCs w:val="16"/>
        </w:rPr>
        <w:t xml:space="preserve"> Such as criminalising torture irrespective of where it takes place: see Criminal Justice Act 1988, section 134, available at: </w:t>
      </w:r>
      <w:hyperlink r:id="rId58" w:history="1">
        <w:r w:rsidRPr="007D69D7">
          <w:rPr>
            <w:rStyle w:val="Hyperlink"/>
            <w:rFonts w:ascii="Arial" w:hAnsi="Arial" w:cs="Arial"/>
            <w:sz w:val="16"/>
            <w:szCs w:val="16"/>
          </w:rPr>
          <w:t>http://www.legislation.gov.uk/ukpga/1988/33/section/134</w:t>
        </w:r>
      </w:hyperlink>
      <w:r w:rsidRPr="007D69D7">
        <w:rPr>
          <w:rFonts w:ascii="Arial" w:hAnsi="Arial" w:cs="Arial"/>
          <w:sz w:val="16"/>
          <w:szCs w:val="16"/>
        </w:rPr>
        <w:t xml:space="preserve">.   </w:t>
      </w:r>
    </w:p>
  </w:footnote>
  <w:footnote w:id="42">
    <w:p w:rsidR="000A65D0" w:rsidRPr="00F024E8" w:rsidRDefault="000A65D0" w:rsidP="008018EC">
      <w:pPr>
        <w:pStyle w:val="FootnoteText"/>
        <w:rPr>
          <w:rFonts w:ascii="Arial" w:hAnsi="Arial" w:cs="Arial"/>
          <w:sz w:val="16"/>
          <w:szCs w:val="16"/>
        </w:rPr>
      </w:pPr>
      <w:bookmarkStart w:id="1" w:name="_GoBack"/>
      <w:r w:rsidRPr="007D69D7">
        <w:rPr>
          <w:rStyle w:val="FootnoteReference"/>
          <w:rFonts w:ascii="Arial" w:hAnsi="Arial" w:cs="Arial"/>
          <w:sz w:val="16"/>
          <w:szCs w:val="16"/>
        </w:rPr>
        <w:footnoteRef/>
      </w:r>
      <w:r w:rsidRPr="007D69D7">
        <w:rPr>
          <w:rFonts w:ascii="Arial" w:hAnsi="Arial" w:cs="Arial"/>
          <w:sz w:val="16"/>
          <w:szCs w:val="16"/>
        </w:rPr>
        <w:t xml:space="preserve"> H</w:t>
      </w:r>
      <w:r w:rsidR="00D86A22">
        <w:rPr>
          <w:rFonts w:ascii="Arial" w:hAnsi="Arial" w:cs="Arial"/>
          <w:sz w:val="16"/>
          <w:szCs w:val="16"/>
        </w:rPr>
        <w:t xml:space="preserve">er </w:t>
      </w:r>
      <w:r w:rsidRPr="007D69D7">
        <w:rPr>
          <w:rFonts w:ascii="Arial" w:hAnsi="Arial" w:cs="Arial"/>
          <w:sz w:val="16"/>
          <w:szCs w:val="16"/>
        </w:rPr>
        <w:t>M</w:t>
      </w:r>
      <w:r w:rsidR="00D86A22">
        <w:rPr>
          <w:rFonts w:ascii="Arial" w:hAnsi="Arial" w:cs="Arial"/>
          <w:sz w:val="16"/>
          <w:szCs w:val="16"/>
        </w:rPr>
        <w:t>ajesty’s</w:t>
      </w:r>
      <w:r w:rsidRPr="007D69D7">
        <w:rPr>
          <w:rFonts w:ascii="Arial" w:hAnsi="Arial" w:cs="Arial"/>
          <w:sz w:val="16"/>
          <w:szCs w:val="16"/>
        </w:rPr>
        <w:t xml:space="preserve"> Government, Consolidated Guidance to Intelligence Officers and Service Personnel on the Detention and Interviewing of Detainees Overseas, and on the Passing a and Receipt of Intelligence Relating to Detainees, July 2010, available at: </w:t>
      </w:r>
      <w:hyperlink r:id="rId59" w:history="1">
        <w:r w:rsidRPr="007D69D7">
          <w:rPr>
            <w:rStyle w:val="Hyperlink"/>
            <w:rFonts w:ascii="Arial" w:hAnsi="Arial" w:cs="Arial"/>
            <w:sz w:val="16"/>
            <w:szCs w:val="16"/>
          </w:rPr>
          <w:t>https://www.gov.uk/government/uploads/system/uploads/attachment_data/file/62632/Consolidated_Guidance_November_2011.pdf</w:t>
        </w:r>
      </w:hyperlink>
      <w:r w:rsidRPr="007D69D7">
        <w:rPr>
          <w:rFonts w:ascii="Arial" w:hAnsi="Arial" w:cs="Arial"/>
          <w:sz w:val="16"/>
          <w:szCs w:val="16"/>
        </w:rPr>
        <w:t xml:space="preserve">. </w:t>
      </w:r>
      <w:r w:rsidRPr="00F024E8">
        <w:rPr>
          <w:rFonts w:ascii="Arial" w:hAnsi="Arial" w:cs="Arial"/>
          <w:sz w:val="16"/>
          <w:szCs w:val="16"/>
        </w:rPr>
        <w:t xml:space="preserve">REDRESS’ view is that the guidelines do not go far enough. Under  the guidance where an officer knows or believes that torture will take place, he or she must report it, but may, with authorisation, continue to co-operate with the foreign agencies responsible (under the apparent discretionary power given to Ministers). REDRESS believes this could lead to complicity in torture - See REDRESS, </w:t>
      </w:r>
      <w:r w:rsidRPr="00F024E8">
        <w:rPr>
          <w:rFonts w:ascii="Arial" w:hAnsi="Arial" w:cs="Arial"/>
          <w:i/>
          <w:sz w:val="16"/>
          <w:szCs w:val="16"/>
        </w:rPr>
        <w:t>Universal Periodic Review, United Kingdom</w:t>
      </w:r>
      <w:r w:rsidRPr="00F024E8">
        <w:rPr>
          <w:rFonts w:ascii="Arial" w:hAnsi="Arial" w:cs="Arial"/>
          <w:sz w:val="16"/>
          <w:szCs w:val="16"/>
        </w:rPr>
        <w:t>, 13th Session May-June 2012, 21 November 2011, pp. 3-4, available at:</w:t>
      </w:r>
    </w:p>
    <w:p w:rsidR="000A65D0" w:rsidRPr="008332BF" w:rsidRDefault="000A65D0" w:rsidP="008018EC">
      <w:pPr>
        <w:pStyle w:val="FootnoteText"/>
        <w:rPr>
          <w:rFonts w:ascii="Arial" w:hAnsi="Arial" w:cs="Arial"/>
          <w:sz w:val="16"/>
          <w:szCs w:val="16"/>
        </w:rPr>
      </w:pPr>
      <w:r w:rsidRPr="00F024E8">
        <w:rPr>
          <w:rFonts w:ascii="Arial" w:hAnsi="Arial" w:cs="Arial"/>
          <w:sz w:val="16"/>
          <w:szCs w:val="16"/>
        </w:rPr>
        <w:t xml:space="preserve"> </w:t>
      </w:r>
      <w:hyperlink r:id="rId60" w:history="1">
        <w:r w:rsidRPr="00F024E8">
          <w:rPr>
            <w:rStyle w:val="Hyperlink"/>
            <w:rFonts w:ascii="Arial" w:hAnsi="Arial" w:cs="Arial"/>
            <w:sz w:val="16"/>
            <w:szCs w:val="16"/>
          </w:rPr>
          <w:t>http://www.redress.org/downloads/publications/UPR-UK%20Final%2021%20November%202011.pdf</w:t>
        </w:r>
      </w:hyperlink>
      <w:r w:rsidRPr="00F024E8">
        <w:rPr>
          <w:rFonts w:ascii="Arial" w:hAnsi="Arial" w:cs="Arial"/>
          <w:sz w:val="16"/>
          <w:szCs w:val="16"/>
        </w:rPr>
        <w:t>.</w:t>
      </w:r>
      <w:r>
        <w:rPr>
          <w:rFonts w:ascii="Arial" w:hAnsi="Arial" w:cs="Arial"/>
          <w:sz w:val="16"/>
          <w:szCs w:val="16"/>
        </w:rPr>
        <w:t xml:space="preserve"> </w:t>
      </w:r>
    </w:p>
  </w:footnote>
  <w:footnote w:id="43">
    <w:p w:rsidR="000A65D0" w:rsidRPr="008332BF" w:rsidRDefault="000A65D0" w:rsidP="008018EC">
      <w:pPr>
        <w:autoSpaceDE w:val="0"/>
        <w:autoSpaceDN w:val="0"/>
        <w:adjustRightInd w:val="0"/>
        <w:rPr>
          <w:rFonts w:ascii="Arial" w:hAnsi="Arial" w:cs="Arial"/>
          <w:bCs/>
          <w:color w:val="000000"/>
          <w:sz w:val="16"/>
          <w:szCs w:val="16"/>
          <w:lang w:val="en-US"/>
        </w:rPr>
      </w:pPr>
      <w:r w:rsidRPr="008332BF">
        <w:rPr>
          <w:rStyle w:val="FootnoteReference"/>
          <w:rFonts w:ascii="Arial" w:hAnsi="Arial" w:cs="Arial"/>
          <w:sz w:val="16"/>
          <w:szCs w:val="16"/>
        </w:rPr>
        <w:footnoteRef/>
      </w:r>
      <w:r w:rsidRPr="008332BF">
        <w:rPr>
          <w:rFonts w:ascii="Arial" w:hAnsi="Arial" w:cs="Arial"/>
          <w:sz w:val="16"/>
          <w:szCs w:val="16"/>
        </w:rPr>
        <w:t xml:space="preserve"> See Foreign and Commonwealth Office, </w:t>
      </w:r>
      <w:r w:rsidRPr="008332BF">
        <w:rPr>
          <w:rFonts w:ascii="Arial" w:hAnsi="Arial" w:cs="Arial"/>
          <w:bCs/>
          <w:i/>
          <w:color w:val="000000"/>
          <w:sz w:val="16"/>
          <w:szCs w:val="16"/>
          <w:lang w:val="en-US"/>
        </w:rPr>
        <w:t>“</w:t>
      </w:r>
      <w:r w:rsidRPr="008332BF">
        <w:rPr>
          <w:rFonts w:ascii="Arial" w:hAnsi="Arial" w:cs="Arial"/>
          <w:i/>
          <w:color w:val="000000"/>
          <w:sz w:val="16"/>
          <w:szCs w:val="16"/>
          <w:lang w:val="en-US"/>
        </w:rPr>
        <w:t>Human Rights and Democracy</w:t>
      </w:r>
      <w:r w:rsidRPr="008332BF">
        <w:rPr>
          <w:rFonts w:ascii="Arial" w:hAnsi="Arial" w:cs="Arial"/>
          <w:color w:val="000000"/>
          <w:sz w:val="16"/>
          <w:szCs w:val="16"/>
          <w:lang w:val="en-US"/>
        </w:rPr>
        <w:t xml:space="preserve">: </w:t>
      </w:r>
      <w:r w:rsidRPr="008332BF">
        <w:rPr>
          <w:rFonts w:ascii="Arial" w:hAnsi="Arial" w:cs="Arial"/>
          <w:i/>
          <w:color w:val="000000"/>
          <w:sz w:val="16"/>
          <w:szCs w:val="16"/>
          <w:lang w:val="en-US"/>
        </w:rPr>
        <w:t xml:space="preserve">The 2013 </w:t>
      </w:r>
      <w:r w:rsidRPr="008332BF">
        <w:rPr>
          <w:rFonts w:ascii="Arial" w:hAnsi="Arial" w:cs="Arial"/>
          <w:bCs/>
          <w:i/>
          <w:color w:val="000000"/>
          <w:sz w:val="16"/>
          <w:szCs w:val="16"/>
          <w:lang w:val="en-US"/>
        </w:rPr>
        <w:t>Foreign and Commonwealth Office Report”,</w:t>
      </w:r>
      <w:r w:rsidRPr="008332BF">
        <w:rPr>
          <w:rFonts w:ascii="Arial" w:hAnsi="Arial" w:cs="Arial"/>
          <w:color w:val="000000"/>
          <w:sz w:val="16"/>
          <w:szCs w:val="16"/>
          <w:lang w:val="en-US"/>
        </w:rPr>
        <w:t xml:space="preserve"> 10 April 2014, p. 52: “We do not participate in, solicit, encourage or condone the use of torture or cruel, inhuman or degrading treatment or punishment for any purpose, and international action against torture remains a human rights priority for the UK Government”; available at: </w:t>
      </w:r>
    </w:p>
    <w:p w:rsidR="000A65D0" w:rsidRPr="007D69D7" w:rsidRDefault="00A75050" w:rsidP="008018EC">
      <w:pPr>
        <w:rPr>
          <w:rFonts w:ascii="Arial" w:hAnsi="Arial" w:cs="Arial"/>
          <w:sz w:val="16"/>
          <w:szCs w:val="16"/>
        </w:rPr>
      </w:pPr>
      <w:hyperlink r:id="rId61" w:history="1">
        <w:r w:rsidR="000A65D0" w:rsidRPr="007D69D7">
          <w:rPr>
            <w:rFonts w:ascii="Arial" w:eastAsiaTheme="minorHAnsi" w:hAnsi="Arial" w:cs="Arial"/>
            <w:color w:val="0000FF" w:themeColor="hyperlink"/>
            <w:sz w:val="16"/>
            <w:szCs w:val="16"/>
            <w:u w:val="single"/>
          </w:rPr>
          <w:t>https://www.gov.uk/government/uploads/system/uploads/attachment_data/file/302421/18049_TSO_Cover__amp__Print_Text_with_trims_1_.pdf</w:t>
        </w:r>
      </w:hyperlink>
      <w:r w:rsidR="000A65D0" w:rsidRPr="007D69D7">
        <w:rPr>
          <w:rFonts w:ascii="Arial" w:eastAsiaTheme="minorHAnsi" w:hAnsi="Arial" w:cs="Arial"/>
          <w:color w:val="0000FF" w:themeColor="hyperlink"/>
          <w:sz w:val="16"/>
          <w:szCs w:val="16"/>
          <w:u w:val="single"/>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894EE874"/>
    <w:lvl w:ilvl="0">
      <w:start w:val="1"/>
      <w:numFmt w:val="upperRoman"/>
      <w:lvlText w:val="%1."/>
      <w:lvlJc w:val="left"/>
      <w:pPr>
        <w:tabs>
          <w:tab w:val="num" w:pos="283"/>
        </w:tabs>
        <w:ind w:left="283" w:firstLine="0"/>
      </w:pPr>
      <w:rPr>
        <w:rFonts w:hint="default"/>
        <w:position w:val="0"/>
      </w:rPr>
    </w:lvl>
    <w:lvl w:ilvl="1">
      <w:start w:val="1"/>
      <w:numFmt w:val="decimal"/>
      <w:isLgl/>
      <w:lvlText w:val="%2."/>
      <w:lvlJc w:val="left"/>
      <w:pPr>
        <w:tabs>
          <w:tab w:val="num" w:pos="261"/>
        </w:tabs>
        <w:ind w:left="261" w:firstLine="0"/>
      </w:pPr>
      <w:rPr>
        <w:rFonts w:hint="default"/>
        <w:position w:val="0"/>
      </w:rPr>
    </w:lvl>
    <w:lvl w:ilvl="2">
      <w:start w:val="1"/>
      <w:numFmt w:val="decimal"/>
      <w:isLgl/>
      <w:lvlText w:val="%2.%3."/>
      <w:lvlJc w:val="left"/>
      <w:pPr>
        <w:tabs>
          <w:tab w:val="num" w:pos="454"/>
        </w:tabs>
        <w:ind w:left="454" w:firstLine="227"/>
      </w:pPr>
      <w:rPr>
        <w:rFonts w:hint="default"/>
        <w:position w:val="0"/>
      </w:rPr>
    </w:lvl>
    <w:lvl w:ilvl="3">
      <w:start w:val="1"/>
      <w:numFmt w:val="decimal"/>
      <w:isLgl/>
      <w:lvlText w:val="%2.%3.%4."/>
      <w:lvlJc w:val="left"/>
      <w:pPr>
        <w:tabs>
          <w:tab w:val="num" w:pos="567"/>
        </w:tabs>
        <w:ind w:left="567" w:firstLine="454"/>
      </w:pPr>
      <w:rPr>
        <w:rFonts w:hint="default"/>
        <w:position w:val="0"/>
      </w:rPr>
    </w:lvl>
    <w:lvl w:ilvl="4">
      <w:start w:val="1"/>
      <w:numFmt w:val="bullet"/>
      <w:suff w:val="nothing"/>
      <w:lvlText w:val=""/>
      <w:lvlJc w:val="left"/>
      <w:pPr>
        <w:ind w:left="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nsid w:val="049B6ED9"/>
    <w:multiLevelType w:val="hybridMultilevel"/>
    <w:tmpl w:val="C21679C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F9481D"/>
    <w:multiLevelType w:val="hybridMultilevel"/>
    <w:tmpl w:val="F49E0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1472EF"/>
    <w:multiLevelType w:val="hybridMultilevel"/>
    <w:tmpl w:val="44442FB0"/>
    <w:lvl w:ilvl="0" w:tplc="91D669C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4">
    <w:nsid w:val="27CC7688"/>
    <w:multiLevelType w:val="hybridMultilevel"/>
    <w:tmpl w:val="1848D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CF29D3"/>
    <w:multiLevelType w:val="hybridMultilevel"/>
    <w:tmpl w:val="6C92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6001AD"/>
    <w:multiLevelType w:val="hybridMultilevel"/>
    <w:tmpl w:val="DD36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0A4FC3"/>
    <w:multiLevelType w:val="hybridMultilevel"/>
    <w:tmpl w:val="81E0DA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8">
    <w:nsid w:val="4BF70604"/>
    <w:multiLevelType w:val="hybridMultilevel"/>
    <w:tmpl w:val="500C3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7BD44C1"/>
    <w:multiLevelType w:val="hybridMultilevel"/>
    <w:tmpl w:val="C2B65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CB66F1"/>
    <w:multiLevelType w:val="multilevel"/>
    <w:tmpl w:val="DD2E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557CD7"/>
    <w:multiLevelType w:val="hybridMultilevel"/>
    <w:tmpl w:val="5856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6354E6"/>
    <w:multiLevelType w:val="hybridMultilevel"/>
    <w:tmpl w:val="8D40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3D775D5"/>
    <w:multiLevelType w:val="hybridMultilevel"/>
    <w:tmpl w:val="3C388CEC"/>
    <w:lvl w:ilvl="0" w:tplc="08090015">
      <w:start w:val="5"/>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6CC7524C"/>
    <w:multiLevelType w:val="hybridMultilevel"/>
    <w:tmpl w:val="DB74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4E534ED"/>
    <w:multiLevelType w:val="hybridMultilevel"/>
    <w:tmpl w:val="4A4E29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16">
    <w:nsid w:val="75D70B9F"/>
    <w:multiLevelType w:val="multilevel"/>
    <w:tmpl w:val="4D52C604"/>
    <w:lvl w:ilvl="0">
      <w:start w:val="1"/>
      <w:numFmt w:val="decimal"/>
      <w:pStyle w:val="ParaLevel1"/>
      <w:lvlText w:val="%1."/>
      <w:lvlJc w:val="left"/>
      <w:pPr>
        <w:tabs>
          <w:tab w:val="num" w:pos="720"/>
        </w:tabs>
        <w:ind w:left="720" w:hanging="720"/>
      </w:pPr>
      <w:rPr>
        <w:rFonts w:hint="default"/>
        <w:b w:val="0"/>
        <w:i w:val="0"/>
        <w:u w:val="none"/>
      </w:rPr>
    </w:lvl>
    <w:lvl w:ilvl="1">
      <w:start w:val="1"/>
      <w:numFmt w:val="lowerRoman"/>
      <w:pStyle w:val="ParaLevel2"/>
      <w:lvlText w:val="%2)"/>
      <w:lvlJc w:val="left"/>
      <w:pPr>
        <w:tabs>
          <w:tab w:val="num" w:pos="1418"/>
        </w:tabs>
        <w:ind w:left="1418" w:hanging="709"/>
      </w:pPr>
      <w:rPr>
        <w:rFonts w:hint="default"/>
        <w:b w:val="0"/>
        <w:i w:val="0"/>
      </w:rPr>
    </w:lvl>
    <w:lvl w:ilvl="2">
      <w:start w:val="1"/>
      <w:numFmt w:val="lowerLetter"/>
      <w:pStyle w:val="ParaLevel3"/>
      <w:lvlText w:val="%3)"/>
      <w:lvlJc w:val="left"/>
      <w:pPr>
        <w:tabs>
          <w:tab w:val="num" w:pos="2127"/>
        </w:tabs>
        <w:ind w:left="2127" w:hanging="709"/>
      </w:pPr>
      <w:rPr>
        <w:rFonts w:hint="default"/>
      </w:rPr>
    </w:lvl>
    <w:lvl w:ilvl="3">
      <w:start w:val="1"/>
      <w:numFmt w:val="lowerRoman"/>
      <w:pStyle w:val="ParaLevel4"/>
      <w:lvlText w:val="%4)"/>
      <w:lvlJc w:val="left"/>
      <w:pPr>
        <w:tabs>
          <w:tab w:val="num" w:pos="3207"/>
        </w:tabs>
        <w:ind w:left="2836" w:hanging="709"/>
      </w:pPr>
      <w:rPr>
        <w:rFonts w:hint="default"/>
      </w:rPr>
    </w:lvl>
    <w:lvl w:ilvl="4">
      <w:start w:val="1"/>
      <w:numFmt w:val="lowerLetter"/>
      <w:pStyle w:val="ParaLevel5"/>
      <w:lvlText w:val="(%5)"/>
      <w:lvlJc w:val="left"/>
      <w:pPr>
        <w:tabs>
          <w:tab w:val="num" w:pos="3545"/>
        </w:tabs>
        <w:ind w:left="3545" w:hanging="709"/>
      </w:pPr>
      <w:rPr>
        <w:rFonts w:hint="default"/>
      </w:rPr>
    </w:lvl>
    <w:lvl w:ilvl="5">
      <w:start w:val="1"/>
      <w:numFmt w:val="lowerRoman"/>
      <w:pStyle w:val="ParaLevel6"/>
      <w:lvlText w:val="(%6)"/>
      <w:lvlJc w:val="left"/>
      <w:pPr>
        <w:tabs>
          <w:tab w:val="num" w:pos="4625"/>
        </w:tabs>
        <w:ind w:left="4254" w:hanging="709"/>
      </w:pPr>
      <w:rPr>
        <w:rFonts w:hint="default"/>
      </w:rPr>
    </w:lvl>
    <w:lvl w:ilvl="6">
      <w:start w:val="1"/>
      <w:numFmt w:val="lowerLetter"/>
      <w:pStyle w:val="ParaLevel7"/>
      <w:lvlText w:val="(%7)"/>
      <w:lvlJc w:val="left"/>
      <w:pPr>
        <w:tabs>
          <w:tab w:val="num" w:pos="4963"/>
        </w:tabs>
        <w:ind w:left="4963" w:hanging="709"/>
      </w:pPr>
      <w:rPr>
        <w:rFonts w:hint="default"/>
      </w:rPr>
    </w:lvl>
    <w:lvl w:ilvl="7">
      <w:start w:val="1"/>
      <w:numFmt w:val="lowerRoman"/>
      <w:pStyle w:val="ParaLevel8"/>
      <w:lvlText w:val="(%8)"/>
      <w:lvlJc w:val="left"/>
      <w:pPr>
        <w:tabs>
          <w:tab w:val="num" w:pos="6043"/>
        </w:tabs>
        <w:ind w:left="5672" w:hanging="709"/>
      </w:pPr>
      <w:rPr>
        <w:rFonts w:hint="default"/>
      </w:rPr>
    </w:lvl>
    <w:lvl w:ilvl="8">
      <w:start w:val="1"/>
      <w:numFmt w:val="lowerLetter"/>
      <w:pStyle w:val="ParaLevel9"/>
      <w:lvlText w:val="(%9)"/>
      <w:lvlJc w:val="left"/>
      <w:pPr>
        <w:tabs>
          <w:tab w:val="num" w:pos="6381"/>
        </w:tabs>
        <w:ind w:left="6381" w:hanging="709"/>
      </w:pPr>
      <w:rPr>
        <w:rFonts w:hint="default"/>
      </w:rPr>
    </w:lvl>
  </w:abstractNum>
  <w:abstractNum w:abstractNumId="17">
    <w:nsid w:val="77E8563D"/>
    <w:multiLevelType w:val="hybridMultilevel"/>
    <w:tmpl w:val="E98080CA"/>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nsid w:val="7DAA30A8"/>
    <w:multiLevelType w:val="hybridMultilevel"/>
    <w:tmpl w:val="065C49C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0"/>
  </w:num>
  <w:num w:numId="6">
    <w:abstractNumId w:val="17"/>
  </w:num>
  <w:num w:numId="7">
    <w:abstractNumId w:val="8"/>
  </w:num>
  <w:num w:numId="8">
    <w:abstractNumId w:val="5"/>
  </w:num>
  <w:num w:numId="9">
    <w:abstractNumId w:val="4"/>
  </w:num>
  <w:num w:numId="10">
    <w:abstractNumId w:val="6"/>
  </w:num>
  <w:num w:numId="11">
    <w:abstractNumId w:val="12"/>
  </w:num>
  <w:num w:numId="12">
    <w:abstractNumId w:val="14"/>
  </w:num>
  <w:num w:numId="13">
    <w:abstractNumId w:val="9"/>
  </w:num>
  <w:num w:numId="14">
    <w:abstractNumId w:val="1"/>
  </w:num>
  <w:num w:numId="15">
    <w:abstractNumId w:val="16"/>
  </w:num>
  <w:num w:numId="16">
    <w:abstractNumId w:val="18"/>
  </w:num>
  <w:num w:numId="17">
    <w:abstractNumId w:val="0"/>
  </w:num>
  <w:num w:numId="18">
    <w:abstractNumId w:val="13"/>
  </w:num>
  <w:num w:numId="19">
    <w:abstractNumId w:val="11"/>
  </w:num>
  <w:num w:numId="20">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a Ferstman">
    <w15:presenceInfo w15:providerId="Windows Live" w15:userId="630abe93b49923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CA5"/>
    <w:rsid w:val="000038AB"/>
    <w:rsid w:val="0000473D"/>
    <w:rsid w:val="00013FDB"/>
    <w:rsid w:val="00015305"/>
    <w:rsid w:val="00020110"/>
    <w:rsid w:val="000216EA"/>
    <w:rsid w:val="00021C62"/>
    <w:rsid w:val="000307F9"/>
    <w:rsid w:val="0003346F"/>
    <w:rsid w:val="00033ED3"/>
    <w:rsid w:val="000370D8"/>
    <w:rsid w:val="00046F10"/>
    <w:rsid w:val="00054DDB"/>
    <w:rsid w:val="00062771"/>
    <w:rsid w:val="00062CA9"/>
    <w:rsid w:val="000669CE"/>
    <w:rsid w:val="00071B06"/>
    <w:rsid w:val="0008031D"/>
    <w:rsid w:val="00080938"/>
    <w:rsid w:val="00083DE0"/>
    <w:rsid w:val="0008473C"/>
    <w:rsid w:val="000863BD"/>
    <w:rsid w:val="00092A01"/>
    <w:rsid w:val="00093D9C"/>
    <w:rsid w:val="00094788"/>
    <w:rsid w:val="00097036"/>
    <w:rsid w:val="00097BD5"/>
    <w:rsid w:val="000A0773"/>
    <w:rsid w:val="000A11CB"/>
    <w:rsid w:val="000A1DF1"/>
    <w:rsid w:val="000A65D0"/>
    <w:rsid w:val="000A760E"/>
    <w:rsid w:val="000B030C"/>
    <w:rsid w:val="000B3232"/>
    <w:rsid w:val="000C2822"/>
    <w:rsid w:val="000C4553"/>
    <w:rsid w:val="000C6463"/>
    <w:rsid w:val="000D0F86"/>
    <w:rsid w:val="000D47FC"/>
    <w:rsid w:val="000D5F32"/>
    <w:rsid w:val="000E1116"/>
    <w:rsid w:val="000F51F0"/>
    <w:rsid w:val="00101192"/>
    <w:rsid w:val="001034BC"/>
    <w:rsid w:val="0010362A"/>
    <w:rsid w:val="0010634B"/>
    <w:rsid w:val="0010640A"/>
    <w:rsid w:val="00111CDF"/>
    <w:rsid w:val="00121146"/>
    <w:rsid w:val="00122324"/>
    <w:rsid w:val="00122761"/>
    <w:rsid w:val="001239A9"/>
    <w:rsid w:val="00123C4C"/>
    <w:rsid w:val="00126372"/>
    <w:rsid w:val="001338FB"/>
    <w:rsid w:val="0013747F"/>
    <w:rsid w:val="001377C3"/>
    <w:rsid w:val="0014111A"/>
    <w:rsid w:val="00150CE6"/>
    <w:rsid w:val="0015489D"/>
    <w:rsid w:val="00155511"/>
    <w:rsid w:val="00155B45"/>
    <w:rsid w:val="00165C67"/>
    <w:rsid w:val="00166C34"/>
    <w:rsid w:val="00170C7A"/>
    <w:rsid w:val="00170ED7"/>
    <w:rsid w:val="00171C89"/>
    <w:rsid w:val="00175174"/>
    <w:rsid w:val="00175C22"/>
    <w:rsid w:val="00180988"/>
    <w:rsid w:val="0018233D"/>
    <w:rsid w:val="001828C0"/>
    <w:rsid w:val="00185DF9"/>
    <w:rsid w:val="001924D7"/>
    <w:rsid w:val="00193ADD"/>
    <w:rsid w:val="001954B0"/>
    <w:rsid w:val="00197283"/>
    <w:rsid w:val="00197E72"/>
    <w:rsid w:val="001A3DFF"/>
    <w:rsid w:val="001A795A"/>
    <w:rsid w:val="001C357A"/>
    <w:rsid w:val="001D0A5E"/>
    <w:rsid w:val="001E1888"/>
    <w:rsid w:val="001E488C"/>
    <w:rsid w:val="001F0039"/>
    <w:rsid w:val="001F4590"/>
    <w:rsid w:val="002007A6"/>
    <w:rsid w:val="00200FBE"/>
    <w:rsid w:val="0020141D"/>
    <w:rsid w:val="00201973"/>
    <w:rsid w:val="00212063"/>
    <w:rsid w:val="00215A87"/>
    <w:rsid w:val="00221584"/>
    <w:rsid w:val="00232769"/>
    <w:rsid w:val="0023619D"/>
    <w:rsid w:val="002370F9"/>
    <w:rsid w:val="00240154"/>
    <w:rsid w:val="00245517"/>
    <w:rsid w:val="002458EA"/>
    <w:rsid w:val="0024747F"/>
    <w:rsid w:val="002526FE"/>
    <w:rsid w:val="002545EC"/>
    <w:rsid w:val="00255D19"/>
    <w:rsid w:val="00256190"/>
    <w:rsid w:val="00256F49"/>
    <w:rsid w:val="00257668"/>
    <w:rsid w:val="00257DF9"/>
    <w:rsid w:val="00261843"/>
    <w:rsid w:val="00266E69"/>
    <w:rsid w:val="00272115"/>
    <w:rsid w:val="002727B2"/>
    <w:rsid w:val="00272C28"/>
    <w:rsid w:val="00273A3C"/>
    <w:rsid w:val="00274423"/>
    <w:rsid w:val="00280A38"/>
    <w:rsid w:val="0028282A"/>
    <w:rsid w:val="0028657B"/>
    <w:rsid w:val="00286B82"/>
    <w:rsid w:val="00291DD6"/>
    <w:rsid w:val="00294DAF"/>
    <w:rsid w:val="00296957"/>
    <w:rsid w:val="002971C7"/>
    <w:rsid w:val="002A452B"/>
    <w:rsid w:val="002A45D4"/>
    <w:rsid w:val="002B077E"/>
    <w:rsid w:val="002B1E66"/>
    <w:rsid w:val="002B2E2B"/>
    <w:rsid w:val="002B60DA"/>
    <w:rsid w:val="002B7A83"/>
    <w:rsid w:val="002C0ED1"/>
    <w:rsid w:val="002C192F"/>
    <w:rsid w:val="002C6330"/>
    <w:rsid w:val="002C6D34"/>
    <w:rsid w:val="002C7029"/>
    <w:rsid w:val="002D287C"/>
    <w:rsid w:val="002D29C8"/>
    <w:rsid w:val="002D3910"/>
    <w:rsid w:val="002D5652"/>
    <w:rsid w:val="002E1407"/>
    <w:rsid w:val="002E7ACC"/>
    <w:rsid w:val="002F25B3"/>
    <w:rsid w:val="002F4E4A"/>
    <w:rsid w:val="002F5327"/>
    <w:rsid w:val="003041DC"/>
    <w:rsid w:val="00307357"/>
    <w:rsid w:val="0031002A"/>
    <w:rsid w:val="00313CA5"/>
    <w:rsid w:val="00321C78"/>
    <w:rsid w:val="00322ADE"/>
    <w:rsid w:val="00330093"/>
    <w:rsid w:val="003347B8"/>
    <w:rsid w:val="003369C8"/>
    <w:rsid w:val="00344977"/>
    <w:rsid w:val="00347086"/>
    <w:rsid w:val="003519E4"/>
    <w:rsid w:val="00351B31"/>
    <w:rsid w:val="003523C7"/>
    <w:rsid w:val="00355BE0"/>
    <w:rsid w:val="00357F64"/>
    <w:rsid w:val="003615F1"/>
    <w:rsid w:val="003646BA"/>
    <w:rsid w:val="003754C5"/>
    <w:rsid w:val="003769AB"/>
    <w:rsid w:val="003810CE"/>
    <w:rsid w:val="00381D0E"/>
    <w:rsid w:val="00385128"/>
    <w:rsid w:val="00385FE0"/>
    <w:rsid w:val="00386740"/>
    <w:rsid w:val="00396F50"/>
    <w:rsid w:val="0039717D"/>
    <w:rsid w:val="003A14FE"/>
    <w:rsid w:val="003A5ACC"/>
    <w:rsid w:val="003A62F0"/>
    <w:rsid w:val="003B5452"/>
    <w:rsid w:val="003B5B67"/>
    <w:rsid w:val="003C3638"/>
    <w:rsid w:val="003C403D"/>
    <w:rsid w:val="003C61EA"/>
    <w:rsid w:val="003D3401"/>
    <w:rsid w:val="003D34B2"/>
    <w:rsid w:val="003E6CD9"/>
    <w:rsid w:val="003E743E"/>
    <w:rsid w:val="003E7869"/>
    <w:rsid w:val="003E7C40"/>
    <w:rsid w:val="003F0D0A"/>
    <w:rsid w:val="003F1DB2"/>
    <w:rsid w:val="003F48D1"/>
    <w:rsid w:val="003F5795"/>
    <w:rsid w:val="003F6B1C"/>
    <w:rsid w:val="00400186"/>
    <w:rsid w:val="00400C11"/>
    <w:rsid w:val="00407F7F"/>
    <w:rsid w:val="00412C84"/>
    <w:rsid w:val="00414772"/>
    <w:rsid w:val="00414BE6"/>
    <w:rsid w:val="004201B0"/>
    <w:rsid w:val="0042562E"/>
    <w:rsid w:val="004272AC"/>
    <w:rsid w:val="004354C9"/>
    <w:rsid w:val="00442F6F"/>
    <w:rsid w:val="004444CB"/>
    <w:rsid w:val="00446811"/>
    <w:rsid w:val="00451EC3"/>
    <w:rsid w:val="004544D7"/>
    <w:rsid w:val="004602AC"/>
    <w:rsid w:val="00462D55"/>
    <w:rsid w:val="0046536A"/>
    <w:rsid w:val="00466455"/>
    <w:rsid w:val="00467C6B"/>
    <w:rsid w:val="00472F29"/>
    <w:rsid w:val="00473735"/>
    <w:rsid w:val="0047572E"/>
    <w:rsid w:val="00477A15"/>
    <w:rsid w:val="0048197F"/>
    <w:rsid w:val="00483E4B"/>
    <w:rsid w:val="00485E55"/>
    <w:rsid w:val="004950DC"/>
    <w:rsid w:val="004A1F70"/>
    <w:rsid w:val="004A5961"/>
    <w:rsid w:val="004A6A69"/>
    <w:rsid w:val="004B35D1"/>
    <w:rsid w:val="004B4A2C"/>
    <w:rsid w:val="004B5A3C"/>
    <w:rsid w:val="004C27C3"/>
    <w:rsid w:val="004D0F23"/>
    <w:rsid w:val="004D1CB4"/>
    <w:rsid w:val="004D2227"/>
    <w:rsid w:val="004D3C25"/>
    <w:rsid w:val="004D3EE6"/>
    <w:rsid w:val="004E130C"/>
    <w:rsid w:val="004E162B"/>
    <w:rsid w:val="004E2DB4"/>
    <w:rsid w:val="004E3021"/>
    <w:rsid w:val="004E4CAC"/>
    <w:rsid w:val="004F39E5"/>
    <w:rsid w:val="004F5445"/>
    <w:rsid w:val="004F55FA"/>
    <w:rsid w:val="004F7608"/>
    <w:rsid w:val="004F78D8"/>
    <w:rsid w:val="00504539"/>
    <w:rsid w:val="00506E94"/>
    <w:rsid w:val="00514C91"/>
    <w:rsid w:val="00520898"/>
    <w:rsid w:val="00521B31"/>
    <w:rsid w:val="00522629"/>
    <w:rsid w:val="0053140E"/>
    <w:rsid w:val="005314D8"/>
    <w:rsid w:val="005331B4"/>
    <w:rsid w:val="00534C68"/>
    <w:rsid w:val="0054205A"/>
    <w:rsid w:val="005513D9"/>
    <w:rsid w:val="00557B39"/>
    <w:rsid w:val="005609DD"/>
    <w:rsid w:val="00567DDF"/>
    <w:rsid w:val="0057031D"/>
    <w:rsid w:val="0057085B"/>
    <w:rsid w:val="00572E4D"/>
    <w:rsid w:val="0057352D"/>
    <w:rsid w:val="005812E9"/>
    <w:rsid w:val="00581A5F"/>
    <w:rsid w:val="00581D4E"/>
    <w:rsid w:val="005836E8"/>
    <w:rsid w:val="00584FD1"/>
    <w:rsid w:val="00585984"/>
    <w:rsid w:val="005859E1"/>
    <w:rsid w:val="0059184F"/>
    <w:rsid w:val="00596F63"/>
    <w:rsid w:val="005A05DC"/>
    <w:rsid w:val="005A0A47"/>
    <w:rsid w:val="005A0C4C"/>
    <w:rsid w:val="005A11CD"/>
    <w:rsid w:val="005A1985"/>
    <w:rsid w:val="005A2CDA"/>
    <w:rsid w:val="005A3FE9"/>
    <w:rsid w:val="005A70F7"/>
    <w:rsid w:val="005B3DEE"/>
    <w:rsid w:val="005B5476"/>
    <w:rsid w:val="005B5A49"/>
    <w:rsid w:val="005B5B2A"/>
    <w:rsid w:val="005C4F49"/>
    <w:rsid w:val="005C55DB"/>
    <w:rsid w:val="005C5C36"/>
    <w:rsid w:val="005D27B9"/>
    <w:rsid w:val="005D3BF4"/>
    <w:rsid w:val="005D58BB"/>
    <w:rsid w:val="005D5FFE"/>
    <w:rsid w:val="005D6B52"/>
    <w:rsid w:val="005E0915"/>
    <w:rsid w:val="005E5973"/>
    <w:rsid w:val="005F5232"/>
    <w:rsid w:val="00605962"/>
    <w:rsid w:val="006150E5"/>
    <w:rsid w:val="00621B45"/>
    <w:rsid w:val="00623613"/>
    <w:rsid w:val="00627293"/>
    <w:rsid w:val="0063108E"/>
    <w:rsid w:val="00633503"/>
    <w:rsid w:val="00645FCD"/>
    <w:rsid w:val="006503DD"/>
    <w:rsid w:val="006510B7"/>
    <w:rsid w:val="0065426E"/>
    <w:rsid w:val="0065455C"/>
    <w:rsid w:val="00661850"/>
    <w:rsid w:val="0066527C"/>
    <w:rsid w:val="00665B86"/>
    <w:rsid w:val="006730E5"/>
    <w:rsid w:val="00680155"/>
    <w:rsid w:val="006814F9"/>
    <w:rsid w:val="00685BCB"/>
    <w:rsid w:val="006919F6"/>
    <w:rsid w:val="006920C8"/>
    <w:rsid w:val="006924E5"/>
    <w:rsid w:val="00693560"/>
    <w:rsid w:val="00693814"/>
    <w:rsid w:val="00695FE5"/>
    <w:rsid w:val="00697C7D"/>
    <w:rsid w:val="006A0013"/>
    <w:rsid w:val="006A182B"/>
    <w:rsid w:val="006A193F"/>
    <w:rsid w:val="006A53A2"/>
    <w:rsid w:val="006A545B"/>
    <w:rsid w:val="006A6F52"/>
    <w:rsid w:val="006B2073"/>
    <w:rsid w:val="006B2B12"/>
    <w:rsid w:val="006C25A4"/>
    <w:rsid w:val="006C7CC3"/>
    <w:rsid w:val="006D029C"/>
    <w:rsid w:val="006D323F"/>
    <w:rsid w:val="006D5323"/>
    <w:rsid w:val="006D7715"/>
    <w:rsid w:val="006E65AA"/>
    <w:rsid w:val="006F097C"/>
    <w:rsid w:val="007067DE"/>
    <w:rsid w:val="00711048"/>
    <w:rsid w:val="00711169"/>
    <w:rsid w:val="00711EFC"/>
    <w:rsid w:val="00713202"/>
    <w:rsid w:val="00720563"/>
    <w:rsid w:val="00722142"/>
    <w:rsid w:val="00725580"/>
    <w:rsid w:val="00725BC4"/>
    <w:rsid w:val="00725F3F"/>
    <w:rsid w:val="007310BF"/>
    <w:rsid w:val="0073243D"/>
    <w:rsid w:val="00735588"/>
    <w:rsid w:val="00736289"/>
    <w:rsid w:val="007370C9"/>
    <w:rsid w:val="00743E2D"/>
    <w:rsid w:val="007528E9"/>
    <w:rsid w:val="00754FC6"/>
    <w:rsid w:val="00756645"/>
    <w:rsid w:val="007666B9"/>
    <w:rsid w:val="00766AC1"/>
    <w:rsid w:val="00766B13"/>
    <w:rsid w:val="007671D7"/>
    <w:rsid w:val="00771FF0"/>
    <w:rsid w:val="00772ED7"/>
    <w:rsid w:val="00784AEE"/>
    <w:rsid w:val="00784BCC"/>
    <w:rsid w:val="00785A7B"/>
    <w:rsid w:val="00793AB3"/>
    <w:rsid w:val="0079400B"/>
    <w:rsid w:val="00794109"/>
    <w:rsid w:val="0079695B"/>
    <w:rsid w:val="007A5DBC"/>
    <w:rsid w:val="007A62EC"/>
    <w:rsid w:val="007A6B0D"/>
    <w:rsid w:val="007A7C35"/>
    <w:rsid w:val="007B5B66"/>
    <w:rsid w:val="007D25F7"/>
    <w:rsid w:val="007E01AB"/>
    <w:rsid w:val="007E1839"/>
    <w:rsid w:val="007E3068"/>
    <w:rsid w:val="007E5117"/>
    <w:rsid w:val="007E7242"/>
    <w:rsid w:val="007E7DB6"/>
    <w:rsid w:val="007F111A"/>
    <w:rsid w:val="007F3926"/>
    <w:rsid w:val="007F4487"/>
    <w:rsid w:val="007F5935"/>
    <w:rsid w:val="008016E2"/>
    <w:rsid w:val="008018EC"/>
    <w:rsid w:val="0080288F"/>
    <w:rsid w:val="00807C1A"/>
    <w:rsid w:val="0081227E"/>
    <w:rsid w:val="0081281C"/>
    <w:rsid w:val="00813730"/>
    <w:rsid w:val="00815D09"/>
    <w:rsid w:val="00817C0F"/>
    <w:rsid w:val="00824C06"/>
    <w:rsid w:val="008349A4"/>
    <w:rsid w:val="00835DA5"/>
    <w:rsid w:val="00837F17"/>
    <w:rsid w:val="00842AAC"/>
    <w:rsid w:val="008462FA"/>
    <w:rsid w:val="00847936"/>
    <w:rsid w:val="00850B2A"/>
    <w:rsid w:val="008531BB"/>
    <w:rsid w:val="00853B8B"/>
    <w:rsid w:val="00855EB5"/>
    <w:rsid w:val="008618B1"/>
    <w:rsid w:val="008631F0"/>
    <w:rsid w:val="00864D5E"/>
    <w:rsid w:val="00864EF7"/>
    <w:rsid w:val="00872077"/>
    <w:rsid w:val="00881A3F"/>
    <w:rsid w:val="00884BFA"/>
    <w:rsid w:val="008873B2"/>
    <w:rsid w:val="008917AE"/>
    <w:rsid w:val="00895874"/>
    <w:rsid w:val="00895E83"/>
    <w:rsid w:val="008A1E93"/>
    <w:rsid w:val="008A488A"/>
    <w:rsid w:val="008A5644"/>
    <w:rsid w:val="008A75A8"/>
    <w:rsid w:val="008A7B1A"/>
    <w:rsid w:val="008A7BA8"/>
    <w:rsid w:val="008B44FE"/>
    <w:rsid w:val="008C02DA"/>
    <w:rsid w:val="008C0B70"/>
    <w:rsid w:val="008C45F1"/>
    <w:rsid w:val="008C533C"/>
    <w:rsid w:val="008C5AA1"/>
    <w:rsid w:val="008C5B1C"/>
    <w:rsid w:val="008D1C88"/>
    <w:rsid w:val="008D23AA"/>
    <w:rsid w:val="008E1AB5"/>
    <w:rsid w:val="008E3302"/>
    <w:rsid w:val="008E642E"/>
    <w:rsid w:val="008F14C0"/>
    <w:rsid w:val="008F2FBF"/>
    <w:rsid w:val="008F590B"/>
    <w:rsid w:val="008F65E3"/>
    <w:rsid w:val="009028A4"/>
    <w:rsid w:val="009040E8"/>
    <w:rsid w:val="00904408"/>
    <w:rsid w:val="00907E46"/>
    <w:rsid w:val="00913DD4"/>
    <w:rsid w:val="00917010"/>
    <w:rsid w:val="00920ABB"/>
    <w:rsid w:val="009230C4"/>
    <w:rsid w:val="00923DD8"/>
    <w:rsid w:val="00930955"/>
    <w:rsid w:val="00931C02"/>
    <w:rsid w:val="0093514A"/>
    <w:rsid w:val="009361F4"/>
    <w:rsid w:val="00936F63"/>
    <w:rsid w:val="0094031A"/>
    <w:rsid w:val="009450F7"/>
    <w:rsid w:val="009457FC"/>
    <w:rsid w:val="00946452"/>
    <w:rsid w:val="00952767"/>
    <w:rsid w:val="0095604D"/>
    <w:rsid w:val="0095643E"/>
    <w:rsid w:val="009648C3"/>
    <w:rsid w:val="00964DAE"/>
    <w:rsid w:val="00974363"/>
    <w:rsid w:val="00975348"/>
    <w:rsid w:val="009753C7"/>
    <w:rsid w:val="009765B2"/>
    <w:rsid w:val="00976B45"/>
    <w:rsid w:val="009864B9"/>
    <w:rsid w:val="009933C7"/>
    <w:rsid w:val="00993EF4"/>
    <w:rsid w:val="009A098B"/>
    <w:rsid w:val="009B0EA8"/>
    <w:rsid w:val="009C3602"/>
    <w:rsid w:val="009C41FD"/>
    <w:rsid w:val="009C51C9"/>
    <w:rsid w:val="009C5DC8"/>
    <w:rsid w:val="009D0419"/>
    <w:rsid w:val="009D22C1"/>
    <w:rsid w:val="009D4055"/>
    <w:rsid w:val="009E1CE3"/>
    <w:rsid w:val="009E67F5"/>
    <w:rsid w:val="009E7D2F"/>
    <w:rsid w:val="009F05E9"/>
    <w:rsid w:val="009F2A25"/>
    <w:rsid w:val="009F2F48"/>
    <w:rsid w:val="009F363A"/>
    <w:rsid w:val="009F39CA"/>
    <w:rsid w:val="009F5C69"/>
    <w:rsid w:val="009F5D8C"/>
    <w:rsid w:val="009F75A3"/>
    <w:rsid w:val="00A01FF8"/>
    <w:rsid w:val="00A07CCF"/>
    <w:rsid w:val="00A07CF0"/>
    <w:rsid w:val="00A10CA8"/>
    <w:rsid w:val="00A12F17"/>
    <w:rsid w:val="00A14915"/>
    <w:rsid w:val="00A15C6C"/>
    <w:rsid w:val="00A225CC"/>
    <w:rsid w:val="00A227C5"/>
    <w:rsid w:val="00A24A2D"/>
    <w:rsid w:val="00A25189"/>
    <w:rsid w:val="00A356D5"/>
    <w:rsid w:val="00A3643C"/>
    <w:rsid w:val="00A568ED"/>
    <w:rsid w:val="00A56C0B"/>
    <w:rsid w:val="00A67278"/>
    <w:rsid w:val="00A722D6"/>
    <w:rsid w:val="00A7285B"/>
    <w:rsid w:val="00A75050"/>
    <w:rsid w:val="00A7580E"/>
    <w:rsid w:val="00A825C5"/>
    <w:rsid w:val="00A87126"/>
    <w:rsid w:val="00A94983"/>
    <w:rsid w:val="00A96667"/>
    <w:rsid w:val="00AA2560"/>
    <w:rsid w:val="00AA4E58"/>
    <w:rsid w:val="00AA6E8B"/>
    <w:rsid w:val="00AA7C4E"/>
    <w:rsid w:val="00AB3E6A"/>
    <w:rsid w:val="00AB4631"/>
    <w:rsid w:val="00AB4C9C"/>
    <w:rsid w:val="00AB6B8F"/>
    <w:rsid w:val="00AC1491"/>
    <w:rsid w:val="00AC1810"/>
    <w:rsid w:val="00AD15A8"/>
    <w:rsid w:val="00AD2518"/>
    <w:rsid w:val="00AD35AE"/>
    <w:rsid w:val="00AD52C7"/>
    <w:rsid w:val="00AD5EAB"/>
    <w:rsid w:val="00AD69D4"/>
    <w:rsid w:val="00AD6E38"/>
    <w:rsid w:val="00AE59E5"/>
    <w:rsid w:val="00AE62E6"/>
    <w:rsid w:val="00AE7195"/>
    <w:rsid w:val="00AF00F1"/>
    <w:rsid w:val="00AF0625"/>
    <w:rsid w:val="00AF0884"/>
    <w:rsid w:val="00AF39F4"/>
    <w:rsid w:val="00B022F7"/>
    <w:rsid w:val="00B03973"/>
    <w:rsid w:val="00B10B02"/>
    <w:rsid w:val="00B12784"/>
    <w:rsid w:val="00B212B7"/>
    <w:rsid w:val="00B31320"/>
    <w:rsid w:val="00B33113"/>
    <w:rsid w:val="00B34036"/>
    <w:rsid w:val="00B50ACD"/>
    <w:rsid w:val="00B51484"/>
    <w:rsid w:val="00B532C4"/>
    <w:rsid w:val="00B54066"/>
    <w:rsid w:val="00B5554F"/>
    <w:rsid w:val="00B575EA"/>
    <w:rsid w:val="00B63BF8"/>
    <w:rsid w:val="00B64635"/>
    <w:rsid w:val="00B713AC"/>
    <w:rsid w:val="00B730FA"/>
    <w:rsid w:val="00B74F2D"/>
    <w:rsid w:val="00B74FAF"/>
    <w:rsid w:val="00B765A3"/>
    <w:rsid w:val="00B76EB2"/>
    <w:rsid w:val="00B7732B"/>
    <w:rsid w:val="00B776D1"/>
    <w:rsid w:val="00B77D10"/>
    <w:rsid w:val="00B82CB7"/>
    <w:rsid w:val="00B85805"/>
    <w:rsid w:val="00B85A19"/>
    <w:rsid w:val="00B87C74"/>
    <w:rsid w:val="00B90046"/>
    <w:rsid w:val="00B92538"/>
    <w:rsid w:val="00BA1BDA"/>
    <w:rsid w:val="00BA22A8"/>
    <w:rsid w:val="00BA47E4"/>
    <w:rsid w:val="00BA52DB"/>
    <w:rsid w:val="00BB2A00"/>
    <w:rsid w:val="00BB2BE5"/>
    <w:rsid w:val="00BB2D25"/>
    <w:rsid w:val="00BB2FFD"/>
    <w:rsid w:val="00BB40CE"/>
    <w:rsid w:val="00BB4FA1"/>
    <w:rsid w:val="00BC195C"/>
    <w:rsid w:val="00BC5166"/>
    <w:rsid w:val="00BD02A4"/>
    <w:rsid w:val="00BD13F8"/>
    <w:rsid w:val="00BD23F6"/>
    <w:rsid w:val="00BD269E"/>
    <w:rsid w:val="00BD2EDB"/>
    <w:rsid w:val="00BD317E"/>
    <w:rsid w:val="00BF489C"/>
    <w:rsid w:val="00BF5A92"/>
    <w:rsid w:val="00C03A91"/>
    <w:rsid w:val="00C05FC8"/>
    <w:rsid w:val="00C1083A"/>
    <w:rsid w:val="00C1359D"/>
    <w:rsid w:val="00C15408"/>
    <w:rsid w:val="00C15E0F"/>
    <w:rsid w:val="00C17ED4"/>
    <w:rsid w:val="00C2027C"/>
    <w:rsid w:val="00C21137"/>
    <w:rsid w:val="00C242A8"/>
    <w:rsid w:val="00C25197"/>
    <w:rsid w:val="00C257A0"/>
    <w:rsid w:val="00C32662"/>
    <w:rsid w:val="00C3332B"/>
    <w:rsid w:val="00C3419B"/>
    <w:rsid w:val="00C35A40"/>
    <w:rsid w:val="00C44421"/>
    <w:rsid w:val="00C46915"/>
    <w:rsid w:val="00C5109F"/>
    <w:rsid w:val="00C54214"/>
    <w:rsid w:val="00C55B35"/>
    <w:rsid w:val="00C62E12"/>
    <w:rsid w:val="00C64BF2"/>
    <w:rsid w:val="00C76AD9"/>
    <w:rsid w:val="00C77BE8"/>
    <w:rsid w:val="00C80366"/>
    <w:rsid w:val="00C904E4"/>
    <w:rsid w:val="00C9288A"/>
    <w:rsid w:val="00C93E80"/>
    <w:rsid w:val="00C977CD"/>
    <w:rsid w:val="00CA4810"/>
    <w:rsid w:val="00CA5C17"/>
    <w:rsid w:val="00CA72AB"/>
    <w:rsid w:val="00CB32BF"/>
    <w:rsid w:val="00CB6703"/>
    <w:rsid w:val="00CC110D"/>
    <w:rsid w:val="00CC2BA3"/>
    <w:rsid w:val="00CC2EE5"/>
    <w:rsid w:val="00CD3DAC"/>
    <w:rsid w:val="00CD5787"/>
    <w:rsid w:val="00CD663A"/>
    <w:rsid w:val="00CE04A4"/>
    <w:rsid w:val="00CE0A90"/>
    <w:rsid w:val="00CE51E5"/>
    <w:rsid w:val="00CF1F3C"/>
    <w:rsid w:val="00CF5CFD"/>
    <w:rsid w:val="00CF6CCE"/>
    <w:rsid w:val="00CF79A3"/>
    <w:rsid w:val="00D0179C"/>
    <w:rsid w:val="00D01954"/>
    <w:rsid w:val="00D026D2"/>
    <w:rsid w:val="00D02F20"/>
    <w:rsid w:val="00D10066"/>
    <w:rsid w:val="00D10A91"/>
    <w:rsid w:val="00D11033"/>
    <w:rsid w:val="00D11FAD"/>
    <w:rsid w:val="00D1335F"/>
    <w:rsid w:val="00D15320"/>
    <w:rsid w:val="00D1756D"/>
    <w:rsid w:val="00D1790A"/>
    <w:rsid w:val="00D201B2"/>
    <w:rsid w:val="00D2132B"/>
    <w:rsid w:val="00D2281F"/>
    <w:rsid w:val="00D23734"/>
    <w:rsid w:val="00D238CD"/>
    <w:rsid w:val="00D26A82"/>
    <w:rsid w:val="00D3478E"/>
    <w:rsid w:val="00D412CC"/>
    <w:rsid w:val="00D467D8"/>
    <w:rsid w:val="00D53766"/>
    <w:rsid w:val="00D54721"/>
    <w:rsid w:val="00D54B5B"/>
    <w:rsid w:val="00D56D23"/>
    <w:rsid w:val="00D61099"/>
    <w:rsid w:val="00D61956"/>
    <w:rsid w:val="00D634EA"/>
    <w:rsid w:val="00D636A0"/>
    <w:rsid w:val="00D66243"/>
    <w:rsid w:val="00D70AF3"/>
    <w:rsid w:val="00D710F6"/>
    <w:rsid w:val="00D7561A"/>
    <w:rsid w:val="00D86A22"/>
    <w:rsid w:val="00D906B8"/>
    <w:rsid w:val="00D9618A"/>
    <w:rsid w:val="00D9685A"/>
    <w:rsid w:val="00DA3D5A"/>
    <w:rsid w:val="00DA4F85"/>
    <w:rsid w:val="00DA6736"/>
    <w:rsid w:val="00DC1B74"/>
    <w:rsid w:val="00DC3229"/>
    <w:rsid w:val="00DC5508"/>
    <w:rsid w:val="00DD0522"/>
    <w:rsid w:val="00DD3B7F"/>
    <w:rsid w:val="00DD5472"/>
    <w:rsid w:val="00DD5C11"/>
    <w:rsid w:val="00DD6394"/>
    <w:rsid w:val="00DD6669"/>
    <w:rsid w:val="00DE00E8"/>
    <w:rsid w:val="00DE2BC2"/>
    <w:rsid w:val="00DE3366"/>
    <w:rsid w:val="00DE3D2D"/>
    <w:rsid w:val="00DF27CB"/>
    <w:rsid w:val="00DF4FB3"/>
    <w:rsid w:val="00DF5A2E"/>
    <w:rsid w:val="00E121F1"/>
    <w:rsid w:val="00E1240E"/>
    <w:rsid w:val="00E12685"/>
    <w:rsid w:val="00E1352B"/>
    <w:rsid w:val="00E1611C"/>
    <w:rsid w:val="00E24D26"/>
    <w:rsid w:val="00E27D11"/>
    <w:rsid w:val="00E34F7F"/>
    <w:rsid w:val="00E4210D"/>
    <w:rsid w:val="00E423D4"/>
    <w:rsid w:val="00E42604"/>
    <w:rsid w:val="00E44062"/>
    <w:rsid w:val="00E47BAD"/>
    <w:rsid w:val="00E47CEC"/>
    <w:rsid w:val="00E508D9"/>
    <w:rsid w:val="00E56445"/>
    <w:rsid w:val="00E578F1"/>
    <w:rsid w:val="00E62711"/>
    <w:rsid w:val="00E63D79"/>
    <w:rsid w:val="00E675D2"/>
    <w:rsid w:val="00E72B26"/>
    <w:rsid w:val="00E74F1A"/>
    <w:rsid w:val="00E8183A"/>
    <w:rsid w:val="00E85DF7"/>
    <w:rsid w:val="00E94BC7"/>
    <w:rsid w:val="00E962A2"/>
    <w:rsid w:val="00E973E4"/>
    <w:rsid w:val="00EA04AB"/>
    <w:rsid w:val="00EA16B9"/>
    <w:rsid w:val="00EA1C0A"/>
    <w:rsid w:val="00EA7503"/>
    <w:rsid w:val="00EC1050"/>
    <w:rsid w:val="00EC2F06"/>
    <w:rsid w:val="00EC3AF9"/>
    <w:rsid w:val="00EC5ED5"/>
    <w:rsid w:val="00EC7C4C"/>
    <w:rsid w:val="00EC7FBC"/>
    <w:rsid w:val="00ED7EF5"/>
    <w:rsid w:val="00EE1BA4"/>
    <w:rsid w:val="00EE5A7F"/>
    <w:rsid w:val="00EE619C"/>
    <w:rsid w:val="00EE7929"/>
    <w:rsid w:val="00EF0409"/>
    <w:rsid w:val="00EF1C09"/>
    <w:rsid w:val="00F02B60"/>
    <w:rsid w:val="00F03493"/>
    <w:rsid w:val="00F053B2"/>
    <w:rsid w:val="00F060F6"/>
    <w:rsid w:val="00F17A48"/>
    <w:rsid w:val="00F22307"/>
    <w:rsid w:val="00F24531"/>
    <w:rsid w:val="00F31237"/>
    <w:rsid w:val="00F34936"/>
    <w:rsid w:val="00F40F37"/>
    <w:rsid w:val="00F429CA"/>
    <w:rsid w:val="00F4422E"/>
    <w:rsid w:val="00F50713"/>
    <w:rsid w:val="00F50FA3"/>
    <w:rsid w:val="00F64A86"/>
    <w:rsid w:val="00F66DE6"/>
    <w:rsid w:val="00F67EB7"/>
    <w:rsid w:val="00F711BD"/>
    <w:rsid w:val="00F713E0"/>
    <w:rsid w:val="00F73956"/>
    <w:rsid w:val="00F739FA"/>
    <w:rsid w:val="00F743C9"/>
    <w:rsid w:val="00F90D16"/>
    <w:rsid w:val="00F9422C"/>
    <w:rsid w:val="00F9799C"/>
    <w:rsid w:val="00FA101D"/>
    <w:rsid w:val="00FA3266"/>
    <w:rsid w:val="00FA3CD5"/>
    <w:rsid w:val="00FB419A"/>
    <w:rsid w:val="00FB76F0"/>
    <w:rsid w:val="00FC3346"/>
    <w:rsid w:val="00FC6E1F"/>
    <w:rsid w:val="00FD351E"/>
    <w:rsid w:val="00FD6F17"/>
    <w:rsid w:val="00FD76CD"/>
    <w:rsid w:val="00FE1215"/>
    <w:rsid w:val="00FE2B90"/>
    <w:rsid w:val="00FE514B"/>
    <w:rsid w:val="00FF0AF6"/>
    <w:rsid w:val="00FF50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er"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A722D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6652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9F05E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13CA5"/>
    <w:rPr>
      <w:rFonts w:ascii="Tahoma" w:hAnsi="Tahoma" w:cs="Tahoma"/>
      <w:sz w:val="16"/>
      <w:szCs w:val="16"/>
    </w:rPr>
  </w:style>
  <w:style w:type="character" w:customStyle="1" w:styleId="BalloonTextChar">
    <w:name w:val="Balloon Text Char"/>
    <w:basedOn w:val="DefaultParagraphFont"/>
    <w:uiPriority w:val="99"/>
    <w:semiHidden/>
    <w:rsid w:val="00433506"/>
    <w:rPr>
      <w:rFonts w:ascii="Lucida Grande" w:hAnsi="Lucida Grande"/>
      <w:sz w:val="18"/>
      <w:szCs w:val="18"/>
    </w:rPr>
  </w:style>
  <w:style w:type="character" w:styleId="Hyperlink">
    <w:name w:val="Hyperlink"/>
    <w:unhideWhenUsed/>
    <w:rsid w:val="00313CA5"/>
    <w:rPr>
      <w:color w:val="0000FF"/>
      <w:u w:val="single"/>
    </w:rPr>
  </w:style>
  <w:style w:type="character" w:customStyle="1" w:styleId="FootnoteTextChar1">
    <w:name w:val="Footnote Text Char1"/>
    <w:aliases w:val="FA Fu Char1,FA Fußnotentext Char,Footnote Text Char Char Char Char1,Footnote Text Char Char Char Char Char1,Footnote Text Char Char Char Char Char Char1,Footnote Text Char Char Char Char Char Char Char,Footnote reference Char"/>
    <w:link w:val="FootnoteText"/>
    <w:uiPriority w:val="99"/>
    <w:locked/>
    <w:rsid w:val="00313CA5"/>
    <w:rPr>
      <w:lang w:val="en-GB"/>
    </w:rPr>
  </w:style>
  <w:style w:type="paragraph" w:styleId="FootnoteText">
    <w:name w:val="footnote text"/>
    <w:aliases w:val="FA Fu,FA Fußnotentext,Footnote Text Char Char Char,Footnote Text Char Char Char Char,Footnote Text Char Char Char Char Char,Footnote Text Char Char Char Char Char Char,Footnote reference,Footnote Text Cha,FA Fu Char,Footnote Text Char Char"/>
    <w:basedOn w:val="Normal"/>
    <w:link w:val="FootnoteTextChar1"/>
    <w:uiPriority w:val="99"/>
    <w:unhideWhenUsed/>
    <w:rsid w:val="00313CA5"/>
    <w:rPr>
      <w:rFonts w:asciiTheme="minorHAnsi" w:eastAsiaTheme="minorHAnsi" w:hAnsiTheme="minorHAnsi" w:cstheme="minorBidi"/>
      <w:sz w:val="22"/>
      <w:szCs w:val="22"/>
    </w:rPr>
  </w:style>
  <w:style w:type="character" w:customStyle="1" w:styleId="FootnoteTextChar">
    <w:name w:val="Footnote Text Char"/>
    <w:aliases w:val="FA Fu Char Char,Footnote Text Char Char Char1,LM Footnote Char,LM footnot Char, Char1 Char"/>
    <w:basedOn w:val="DefaultParagraphFont"/>
    <w:uiPriority w:val="99"/>
    <w:rsid w:val="00313CA5"/>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13CA5"/>
    <w:pPr>
      <w:tabs>
        <w:tab w:val="center" w:pos="4320"/>
        <w:tab w:val="right" w:pos="8640"/>
      </w:tabs>
    </w:pPr>
  </w:style>
  <w:style w:type="character" w:customStyle="1" w:styleId="HeaderChar">
    <w:name w:val="Header Char"/>
    <w:basedOn w:val="DefaultParagraphFont"/>
    <w:link w:val="Header"/>
    <w:uiPriority w:val="99"/>
    <w:rsid w:val="00313CA5"/>
    <w:rPr>
      <w:rFonts w:ascii="Times New Roman" w:eastAsia="Times New Roman" w:hAnsi="Times New Roman" w:cs="Times New Roman"/>
      <w:sz w:val="24"/>
      <w:szCs w:val="24"/>
    </w:rPr>
  </w:style>
  <w:style w:type="paragraph" w:styleId="ListParagraph">
    <w:name w:val="List Paragraph"/>
    <w:basedOn w:val="Normal"/>
    <w:uiPriority w:val="34"/>
    <w:qFormat/>
    <w:rsid w:val="00313CA5"/>
    <w:pPr>
      <w:ind w:left="720"/>
      <w:contextualSpacing/>
    </w:pPr>
  </w:style>
  <w:style w:type="character" w:styleId="FootnoteReference">
    <w:name w:val="footnote reference"/>
    <w:aliases w:val="Texto de nota al pie,Appel note de bas de page,Footnotes refss,Footnote number,4_G,BVI fnr Car Char Char,BVI fnr Car Car Car Char Char,BVI fnr Car Car Char Char,BVI fnr Car Car Car Car Car Char Char, BVI fnr Car Char Char"/>
    <w:uiPriority w:val="99"/>
    <w:unhideWhenUsed/>
    <w:rsid w:val="00313CA5"/>
    <w:rPr>
      <w:vertAlign w:val="superscript"/>
    </w:rPr>
  </w:style>
  <w:style w:type="character" w:customStyle="1" w:styleId="BalloonTextChar1">
    <w:name w:val="Balloon Text Char1"/>
    <w:basedOn w:val="DefaultParagraphFont"/>
    <w:link w:val="BalloonText"/>
    <w:uiPriority w:val="99"/>
    <w:semiHidden/>
    <w:rsid w:val="00313CA5"/>
    <w:rPr>
      <w:rFonts w:ascii="Tahoma" w:eastAsia="Times New Roman" w:hAnsi="Tahoma" w:cs="Tahoma"/>
      <w:sz w:val="16"/>
      <w:szCs w:val="16"/>
      <w:lang w:val="en-GB"/>
    </w:rPr>
  </w:style>
  <w:style w:type="character" w:styleId="CommentReference">
    <w:name w:val="annotation reference"/>
    <w:basedOn w:val="DefaultParagraphFont"/>
    <w:uiPriority w:val="99"/>
    <w:semiHidden/>
    <w:unhideWhenUsed/>
    <w:rsid w:val="005B5A49"/>
    <w:rPr>
      <w:sz w:val="16"/>
      <w:szCs w:val="16"/>
    </w:rPr>
  </w:style>
  <w:style w:type="paragraph" w:styleId="CommentText">
    <w:name w:val="annotation text"/>
    <w:basedOn w:val="Normal"/>
    <w:link w:val="CommentTextChar"/>
    <w:uiPriority w:val="99"/>
    <w:semiHidden/>
    <w:unhideWhenUsed/>
    <w:rsid w:val="005B5A49"/>
    <w:rPr>
      <w:sz w:val="20"/>
      <w:szCs w:val="20"/>
    </w:rPr>
  </w:style>
  <w:style w:type="character" w:customStyle="1" w:styleId="CommentTextChar">
    <w:name w:val="Comment Text Char"/>
    <w:basedOn w:val="DefaultParagraphFont"/>
    <w:link w:val="CommentText"/>
    <w:uiPriority w:val="99"/>
    <w:semiHidden/>
    <w:rsid w:val="005B5A4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B5A49"/>
    <w:rPr>
      <w:b/>
      <w:bCs/>
    </w:rPr>
  </w:style>
  <w:style w:type="character" w:customStyle="1" w:styleId="CommentSubjectChar">
    <w:name w:val="Comment Subject Char"/>
    <w:basedOn w:val="CommentTextChar"/>
    <w:link w:val="CommentSubject"/>
    <w:uiPriority w:val="99"/>
    <w:semiHidden/>
    <w:rsid w:val="005B5A49"/>
    <w:rPr>
      <w:rFonts w:ascii="Times New Roman" w:eastAsia="Times New Roman" w:hAnsi="Times New Roman" w:cs="Times New Roman"/>
      <w:b/>
      <w:bCs/>
      <w:sz w:val="20"/>
      <w:szCs w:val="20"/>
      <w:lang w:val="en-GB"/>
    </w:rPr>
  </w:style>
  <w:style w:type="character" w:styleId="FollowedHyperlink">
    <w:name w:val="FollowedHyperlink"/>
    <w:basedOn w:val="DefaultParagraphFont"/>
    <w:uiPriority w:val="99"/>
    <w:semiHidden/>
    <w:unhideWhenUsed/>
    <w:rsid w:val="004D0F23"/>
    <w:rPr>
      <w:color w:val="800080" w:themeColor="followedHyperlink"/>
      <w:u w:val="single"/>
    </w:rPr>
  </w:style>
  <w:style w:type="paragraph" w:styleId="Footer">
    <w:name w:val="footer"/>
    <w:basedOn w:val="Normal"/>
    <w:link w:val="FooterChar"/>
    <w:uiPriority w:val="99"/>
    <w:unhideWhenUsed/>
    <w:rsid w:val="008462FA"/>
    <w:pPr>
      <w:tabs>
        <w:tab w:val="center" w:pos="4513"/>
        <w:tab w:val="right" w:pos="9026"/>
      </w:tabs>
    </w:pPr>
  </w:style>
  <w:style w:type="character" w:customStyle="1" w:styleId="FooterChar">
    <w:name w:val="Footer Char"/>
    <w:basedOn w:val="DefaultParagraphFont"/>
    <w:link w:val="Footer"/>
    <w:uiPriority w:val="99"/>
    <w:rsid w:val="008462FA"/>
    <w:rPr>
      <w:rFonts w:ascii="Times New Roman" w:eastAsia="Times New Roman" w:hAnsi="Times New Roman" w:cs="Times New Roman"/>
      <w:sz w:val="24"/>
      <w:szCs w:val="24"/>
      <w:lang w:val="en-GB"/>
    </w:rPr>
  </w:style>
  <w:style w:type="character" w:customStyle="1" w:styleId="Heading3Char">
    <w:name w:val="Heading 3 Char"/>
    <w:basedOn w:val="DefaultParagraphFont"/>
    <w:link w:val="Heading3"/>
    <w:uiPriority w:val="9"/>
    <w:rsid w:val="009F05E9"/>
    <w:rPr>
      <w:rFonts w:asciiTheme="majorHAnsi" w:eastAsiaTheme="majorEastAsia" w:hAnsiTheme="majorHAnsi" w:cstheme="majorBidi"/>
      <w:b/>
      <w:bCs/>
      <w:color w:val="4F81BD" w:themeColor="accent1"/>
      <w:sz w:val="24"/>
      <w:szCs w:val="24"/>
      <w:lang w:val="en-GB"/>
    </w:rPr>
  </w:style>
  <w:style w:type="character" w:customStyle="1" w:styleId="apple-converted-space">
    <w:name w:val="apple-converted-space"/>
    <w:basedOn w:val="DefaultParagraphFont"/>
    <w:rsid w:val="00754FC6"/>
  </w:style>
  <w:style w:type="paragraph" w:customStyle="1" w:styleId="HChG">
    <w:name w:val="_ H _Ch_G"/>
    <w:basedOn w:val="Normal"/>
    <w:next w:val="Normal"/>
    <w:rsid w:val="00BB40CE"/>
    <w:pPr>
      <w:keepNext/>
      <w:keepLines/>
      <w:tabs>
        <w:tab w:val="right" w:pos="851"/>
      </w:tabs>
      <w:suppressAutoHyphens/>
      <w:spacing w:before="360" w:after="240" w:line="300" w:lineRule="exact"/>
      <w:ind w:left="1134" w:right="1134" w:hanging="1134"/>
    </w:pPr>
    <w:rPr>
      <w:b/>
      <w:sz w:val="28"/>
      <w:szCs w:val="20"/>
    </w:rPr>
  </w:style>
  <w:style w:type="character" w:customStyle="1" w:styleId="Heading1Char">
    <w:name w:val="Heading 1 Char"/>
    <w:basedOn w:val="DefaultParagraphFont"/>
    <w:link w:val="Heading1"/>
    <w:uiPriority w:val="9"/>
    <w:rsid w:val="0066527C"/>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66527C"/>
    <w:pPr>
      <w:spacing w:before="100" w:beforeAutospacing="1" w:after="100" w:afterAutospacing="1"/>
    </w:pPr>
    <w:rPr>
      <w:lang w:eastAsia="en-GB"/>
    </w:rPr>
  </w:style>
  <w:style w:type="paragraph" w:customStyle="1" w:styleId="Default">
    <w:name w:val="Default"/>
    <w:rsid w:val="0081227E"/>
    <w:pPr>
      <w:autoSpaceDE w:val="0"/>
      <w:autoSpaceDN w:val="0"/>
      <w:adjustRightInd w:val="0"/>
      <w:spacing w:after="0" w:line="240" w:lineRule="auto"/>
    </w:pPr>
    <w:rPr>
      <w:rFonts w:ascii="Calibri" w:hAnsi="Calibri" w:cs="Calibri"/>
      <w:color w:val="000000"/>
      <w:sz w:val="24"/>
      <w:szCs w:val="24"/>
      <w:lang w:val="en-GB"/>
    </w:rPr>
  </w:style>
  <w:style w:type="character" w:styleId="Strong">
    <w:name w:val="Strong"/>
    <w:basedOn w:val="DefaultParagraphFont"/>
    <w:uiPriority w:val="22"/>
    <w:qFormat/>
    <w:rsid w:val="00771FF0"/>
    <w:rPr>
      <w:b/>
      <w:bCs/>
    </w:rPr>
  </w:style>
  <w:style w:type="paragraph" w:customStyle="1" w:styleId="ParaLevel1">
    <w:name w:val="ParaLevel1"/>
    <w:basedOn w:val="Normal"/>
    <w:rsid w:val="00111CDF"/>
    <w:pPr>
      <w:numPr>
        <w:numId w:val="15"/>
      </w:numPr>
      <w:suppressAutoHyphens/>
      <w:spacing w:before="240" w:after="240" w:line="480" w:lineRule="auto"/>
      <w:jc w:val="both"/>
      <w:outlineLvl w:val="0"/>
    </w:pPr>
    <w:rPr>
      <w:szCs w:val="20"/>
    </w:rPr>
  </w:style>
  <w:style w:type="paragraph" w:customStyle="1" w:styleId="ParaLevel2">
    <w:name w:val="ParaLevel2"/>
    <w:basedOn w:val="Normal"/>
    <w:rsid w:val="00111CDF"/>
    <w:pPr>
      <w:numPr>
        <w:ilvl w:val="1"/>
        <w:numId w:val="15"/>
      </w:numPr>
      <w:suppressAutoHyphens/>
      <w:spacing w:before="240" w:after="240" w:line="480" w:lineRule="auto"/>
      <w:jc w:val="both"/>
      <w:outlineLvl w:val="1"/>
    </w:pPr>
    <w:rPr>
      <w:szCs w:val="20"/>
    </w:rPr>
  </w:style>
  <w:style w:type="paragraph" w:customStyle="1" w:styleId="ParaLevel3">
    <w:name w:val="ParaLevel3"/>
    <w:basedOn w:val="Normal"/>
    <w:rsid w:val="00111CDF"/>
    <w:pPr>
      <w:numPr>
        <w:ilvl w:val="2"/>
        <w:numId w:val="15"/>
      </w:numPr>
      <w:suppressAutoHyphens/>
      <w:spacing w:before="240" w:after="240" w:line="480" w:lineRule="auto"/>
      <w:jc w:val="both"/>
      <w:outlineLvl w:val="2"/>
    </w:pPr>
    <w:rPr>
      <w:szCs w:val="20"/>
    </w:rPr>
  </w:style>
  <w:style w:type="paragraph" w:customStyle="1" w:styleId="ParaLevel4">
    <w:name w:val="ParaLevel4"/>
    <w:basedOn w:val="Normal"/>
    <w:rsid w:val="00111CDF"/>
    <w:pPr>
      <w:numPr>
        <w:ilvl w:val="3"/>
        <w:numId w:val="15"/>
      </w:numPr>
      <w:suppressAutoHyphens/>
      <w:spacing w:before="240" w:after="240" w:line="480" w:lineRule="auto"/>
      <w:jc w:val="both"/>
      <w:outlineLvl w:val="3"/>
    </w:pPr>
    <w:rPr>
      <w:szCs w:val="20"/>
    </w:rPr>
  </w:style>
  <w:style w:type="paragraph" w:customStyle="1" w:styleId="ParaLevel5">
    <w:name w:val="ParaLevel5"/>
    <w:basedOn w:val="Normal"/>
    <w:rsid w:val="00111CDF"/>
    <w:pPr>
      <w:numPr>
        <w:ilvl w:val="4"/>
        <w:numId w:val="15"/>
      </w:numPr>
      <w:suppressAutoHyphens/>
      <w:spacing w:before="240" w:after="240" w:line="480" w:lineRule="auto"/>
      <w:jc w:val="both"/>
      <w:outlineLvl w:val="4"/>
    </w:pPr>
    <w:rPr>
      <w:szCs w:val="20"/>
    </w:rPr>
  </w:style>
  <w:style w:type="paragraph" w:customStyle="1" w:styleId="ParaLevel6">
    <w:name w:val="ParaLevel6"/>
    <w:basedOn w:val="Normal"/>
    <w:rsid w:val="00111CDF"/>
    <w:pPr>
      <w:numPr>
        <w:ilvl w:val="5"/>
        <w:numId w:val="15"/>
      </w:numPr>
      <w:suppressAutoHyphens/>
      <w:spacing w:before="240" w:after="240" w:line="480" w:lineRule="auto"/>
      <w:jc w:val="both"/>
      <w:outlineLvl w:val="5"/>
    </w:pPr>
    <w:rPr>
      <w:szCs w:val="20"/>
    </w:rPr>
  </w:style>
  <w:style w:type="paragraph" w:customStyle="1" w:styleId="ParaLevel7">
    <w:name w:val="ParaLevel7"/>
    <w:basedOn w:val="Normal"/>
    <w:rsid w:val="00111CDF"/>
    <w:pPr>
      <w:numPr>
        <w:ilvl w:val="6"/>
        <w:numId w:val="15"/>
      </w:numPr>
      <w:suppressAutoHyphens/>
      <w:spacing w:before="240" w:after="240" w:line="480" w:lineRule="auto"/>
      <w:jc w:val="both"/>
      <w:outlineLvl w:val="6"/>
    </w:pPr>
    <w:rPr>
      <w:szCs w:val="20"/>
    </w:rPr>
  </w:style>
  <w:style w:type="paragraph" w:customStyle="1" w:styleId="ParaLevel8">
    <w:name w:val="ParaLevel8"/>
    <w:basedOn w:val="Normal"/>
    <w:rsid w:val="00111CDF"/>
    <w:pPr>
      <w:numPr>
        <w:ilvl w:val="7"/>
        <w:numId w:val="15"/>
      </w:numPr>
      <w:suppressAutoHyphens/>
      <w:spacing w:before="240" w:after="240" w:line="480" w:lineRule="auto"/>
      <w:jc w:val="both"/>
      <w:outlineLvl w:val="7"/>
    </w:pPr>
    <w:rPr>
      <w:szCs w:val="20"/>
    </w:rPr>
  </w:style>
  <w:style w:type="paragraph" w:customStyle="1" w:styleId="ParaLevel9">
    <w:name w:val="ParaLevel9"/>
    <w:basedOn w:val="Normal"/>
    <w:rsid w:val="00111CDF"/>
    <w:pPr>
      <w:numPr>
        <w:ilvl w:val="8"/>
        <w:numId w:val="15"/>
      </w:numPr>
      <w:suppressAutoHyphens/>
      <w:spacing w:before="240" w:after="240" w:line="480" w:lineRule="auto"/>
      <w:jc w:val="both"/>
      <w:outlineLvl w:val="8"/>
    </w:pPr>
    <w:rPr>
      <w:szCs w:val="20"/>
    </w:rPr>
  </w:style>
  <w:style w:type="character" w:customStyle="1" w:styleId="SingleTxtGChar">
    <w:name w:val="_ Single Txt_G Char"/>
    <w:link w:val="SingleTxtG"/>
    <w:locked/>
    <w:rsid w:val="00483E4B"/>
  </w:style>
  <w:style w:type="paragraph" w:customStyle="1" w:styleId="SingleTxtG">
    <w:name w:val="_ Single Txt_G"/>
    <w:basedOn w:val="Normal"/>
    <w:link w:val="SingleTxtGChar"/>
    <w:rsid w:val="00483E4B"/>
    <w:pPr>
      <w:suppressAutoHyphens/>
      <w:spacing w:after="120" w:line="240" w:lineRule="atLeast"/>
      <w:ind w:left="1134" w:right="1134"/>
      <w:jc w:val="both"/>
    </w:pPr>
    <w:rPr>
      <w:rFonts w:asciiTheme="minorHAnsi" w:eastAsiaTheme="minorHAnsi" w:hAnsiTheme="minorHAnsi" w:cstheme="minorBid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er"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A722D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6652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9F05E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13CA5"/>
    <w:rPr>
      <w:rFonts w:ascii="Tahoma" w:hAnsi="Tahoma" w:cs="Tahoma"/>
      <w:sz w:val="16"/>
      <w:szCs w:val="16"/>
    </w:rPr>
  </w:style>
  <w:style w:type="character" w:customStyle="1" w:styleId="BalloonTextChar">
    <w:name w:val="Balloon Text Char"/>
    <w:basedOn w:val="DefaultParagraphFont"/>
    <w:uiPriority w:val="99"/>
    <w:semiHidden/>
    <w:rsid w:val="00433506"/>
    <w:rPr>
      <w:rFonts w:ascii="Lucida Grande" w:hAnsi="Lucida Grande"/>
      <w:sz w:val="18"/>
      <w:szCs w:val="18"/>
    </w:rPr>
  </w:style>
  <w:style w:type="character" w:styleId="Hyperlink">
    <w:name w:val="Hyperlink"/>
    <w:unhideWhenUsed/>
    <w:rsid w:val="00313CA5"/>
    <w:rPr>
      <w:color w:val="0000FF"/>
      <w:u w:val="single"/>
    </w:rPr>
  </w:style>
  <w:style w:type="character" w:customStyle="1" w:styleId="FootnoteTextChar1">
    <w:name w:val="Footnote Text Char1"/>
    <w:aliases w:val="FA Fu Char1,FA Fußnotentext Char,Footnote Text Char Char Char Char1,Footnote Text Char Char Char Char Char1,Footnote Text Char Char Char Char Char Char1,Footnote Text Char Char Char Char Char Char Char,Footnote reference Char"/>
    <w:link w:val="FootnoteText"/>
    <w:uiPriority w:val="99"/>
    <w:locked/>
    <w:rsid w:val="00313CA5"/>
    <w:rPr>
      <w:lang w:val="en-GB"/>
    </w:rPr>
  </w:style>
  <w:style w:type="paragraph" w:styleId="FootnoteText">
    <w:name w:val="footnote text"/>
    <w:aliases w:val="FA Fu,FA Fußnotentext,Footnote Text Char Char Char,Footnote Text Char Char Char Char,Footnote Text Char Char Char Char Char,Footnote Text Char Char Char Char Char Char,Footnote reference,Footnote Text Cha,FA Fu Char,Footnote Text Char Char"/>
    <w:basedOn w:val="Normal"/>
    <w:link w:val="FootnoteTextChar1"/>
    <w:uiPriority w:val="99"/>
    <w:unhideWhenUsed/>
    <w:rsid w:val="00313CA5"/>
    <w:rPr>
      <w:rFonts w:asciiTheme="minorHAnsi" w:eastAsiaTheme="minorHAnsi" w:hAnsiTheme="minorHAnsi" w:cstheme="minorBidi"/>
      <w:sz w:val="22"/>
      <w:szCs w:val="22"/>
    </w:rPr>
  </w:style>
  <w:style w:type="character" w:customStyle="1" w:styleId="FootnoteTextChar">
    <w:name w:val="Footnote Text Char"/>
    <w:aliases w:val="FA Fu Char Char,Footnote Text Char Char Char1,LM Footnote Char,LM footnot Char, Char1 Char"/>
    <w:basedOn w:val="DefaultParagraphFont"/>
    <w:uiPriority w:val="99"/>
    <w:rsid w:val="00313CA5"/>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13CA5"/>
    <w:pPr>
      <w:tabs>
        <w:tab w:val="center" w:pos="4320"/>
        <w:tab w:val="right" w:pos="8640"/>
      </w:tabs>
    </w:pPr>
  </w:style>
  <w:style w:type="character" w:customStyle="1" w:styleId="HeaderChar">
    <w:name w:val="Header Char"/>
    <w:basedOn w:val="DefaultParagraphFont"/>
    <w:link w:val="Header"/>
    <w:uiPriority w:val="99"/>
    <w:rsid w:val="00313CA5"/>
    <w:rPr>
      <w:rFonts w:ascii="Times New Roman" w:eastAsia="Times New Roman" w:hAnsi="Times New Roman" w:cs="Times New Roman"/>
      <w:sz w:val="24"/>
      <w:szCs w:val="24"/>
    </w:rPr>
  </w:style>
  <w:style w:type="paragraph" w:styleId="ListParagraph">
    <w:name w:val="List Paragraph"/>
    <w:basedOn w:val="Normal"/>
    <w:uiPriority w:val="34"/>
    <w:qFormat/>
    <w:rsid w:val="00313CA5"/>
    <w:pPr>
      <w:ind w:left="720"/>
      <w:contextualSpacing/>
    </w:pPr>
  </w:style>
  <w:style w:type="character" w:styleId="FootnoteReference">
    <w:name w:val="footnote reference"/>
    <w:aliases w:val="Texto de nota al pie,Appel note de bas de page,Footnotes refss,Footnote number,4_G,BVI fnr Car Char Char,BVI fnr Car Car Car Char Char,BVI fnr Car Car Char Char,BVI fnr Car Car Car Car Car Char Char, BVI fnr Car Char Char"/>
    <w:uiPriority w:val="99"/>
    <w:unhideWhenUsed/>
    <w:rsid w:val="00313CA5"/>
    <w:rPr>
      <w:vertAlign w:val="superscript"/>
    </w:rPr>
  </w:style>
  <w:style w:type="character" w:customStyle="1" w:styleId="BalloonTextChar1">
    <w:name w:val="Balloon Text Char1"/>
    <w:basedOn w:val="DefaultParagraphFont"/>
    <w:link w:val="BalloonText"/>
    <w:uiPriority w:val="99"/>
    <w:semiHidden/>
    <w:rsid w:val="00313CA5"/>
    <w:rPr>
      <w:rFonts w:ascii="Tahoma" w:eastAsia="Times New Roman" w:hAnsi="Tahoma" w:cs="Tahoma"/>
      <w:sz w:val="16"/>
      <w:szCs w:val="16"/>
      <w:lang w:val="en-GB"/>
    </w:rPr>
  </w:style>
  <w:style w:type="character" w:styleId="CommentReference">
    <w:name w:val="annotation reference"/>
    <w:basedOn w:val="DefaultParagraphFont"/>
    <w:uiPriority w:val="99"/>
    <w:semiHidden/>
    <w:unhideWhenUsed/>
    <w:rsid w:val="005B5A49"/>
    <w:rPr>
      <w:sz w:val="16"/>
      <w:szCs w:val="16"/>
    </w:rPr>
  </w:style>
  <w:style w:type="paragraph" w:styleId="CommentText">
    <w:name w:val="annotation text"/>
    <w:basedOn w:val="Normal"/>
    <w:link w:val="CommentTextChar"/>
    <w:uiPriority w:val="99"/>
    <w:semiHidden/>
    <w:unhideWhenUsed/>
    <w:rsid w:val="005B5A49"/>
    <w:rPr>
      <w:sz w:val="20"/>
      <w:szCs w:val="20"/>
    </w:rPr>
  </w:style>
  <w:style w:type="character" w:customStyle="1" w:styleId="CommentTextChar">
    <w:name w:val="Comment Text Char"/>
    <w:basedOn w:val="DefaultParagraphFont"/>
    <w:link w:val="CommentText"/>
    <w:uiPriority w:val="99"/>
    <w:semiHidden/>
    <w:rsid w:val="005B5A4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B5A49"/>
    <w:rPr>
      <w:b/>
      <w:bCs/>
    </w:rPr>
  </w:style>
  <w:style w:type="character" w:customStyle="1" w:styleId="CommentSubjectChar">
    <w:name w:val="Comment Subject Char"/>
    <w:basedOn w:val="CommentTextChar"/>
    <w:link w:val="CommentSubject"/>
    <w:uiPriority w:val="99"/>
    <w:semiHidden/>
    <w:rsid w:val="005B5A49"/>
    <w:rPr>
      <w:rFonts w:ascii="Times New Roman" w:eastAsia="Times New Roman" w:hAnsi="Times New Roman" w:cs="Times New Roman"/>
      <w:b/>
      <w:bCs/>
      <w:sz w:val="20"/>
      <w:szCs w:val="20"/>
      <w:lang w:val="en-GB"/>
    </w:rPr>
  </w:style>
  <w:style w:type="character" w:styleId="FollowedHyperlink">
    <w:name w:val="FollowedHyperlink"/>
    <w:basedOn w:val="DefaultParagraphFont"/>
    <w:uiPriority w:val="99"/>
    <w:semiHidden/>
    <w:unhideWhenUsed/>
    <w:rsid w:val="004D0F23"/>
    <w:rPr>
      <w:color w:val="800080" w:themeColor="followedHyperlink"/>
      <w:u w:val="single"/>
    </w:rPr>
  </w:style>
  <w:style w:type="paragraph" w:styleId="Footer">
    <w:name w:val="footer"/>
    <w:basedOn w:val="Normal"/>
    <w:link w:val="FooterChar"/>
    <w:uiPriority w:val="99"/>
    <w:unhideWhenUsed/>
    <w:rsid w:val="008462FA"/>
    <w:pPr>
      <w:tabs>
        <w:tab w:val="center" w:pos="4513"/>
        <w:tab w:val="right" w:pos="9026"/>
      </w:tabs>
    </w:pPr>
  </w:style>
  <w:style w:type="character" w:customStyle="1" w:styleId="FooterChar">
    <w:name w:val="Footer Char"/>
    <w:basedOn w:val="DefaultParagraphFont"/>
    <w:link w:val="Footer"/>
    <w:uiPriority w:val="99"/>
    <w:rsid w:val="008462FA"/>
    <w:rPr>
      <w:rFonts w:ascii="Times New Roman" w:eastAsia="Times New Roman" w:hAnsi="Times New Roman" w:cs="Times New Roman"/>
      <w:sz w:val="24"/>
      <w:szCs w:val="24"/>
      <w:lang w:val="en-GB"/>
    </w:rPr>
  </w:style>
  <w:style w:type="character" w:customStyle="1" w:styleId="Heading3Char">
    <w:name w:val="Heading 3 Char"/>
    <w:basedOn w:val="DefaultParagraphFont"/>
    <w:link w:val="Heading3"/>
    <w:uiPriority w:val="9"/>
    <w:rsid w:val="009F05E9"/>
    <w:rPr>
      <w:rFonts w:asciiTheme="majorHAnsi" w:eastAsiaTheme="majorEastAsia" w:hAnsiTheme="majorHAnsi" w:cstheme="majorBidi"/>
      <w:b/>
      <w:bCs/>
      <w:color w:val="4F81BD" w:themeColor="accent1"/>
      <w:sz w:val="24"/>
      <w:szCs w:val="24"/>
      <w:lang w:val="en-GB"/>
    </w:rPr>
  </w:style>
  <w:style w:type="character" w:customStyle="1" w:styleId="apple-converted-space">
    <w:name w:val="apple-converted-space"/>
    <w:basedOn w:val="DefaultParagraphFont"/>
    <w:rsid w:val="00754FC6"/>
  </w:style>
  <w:style w:type="paragraph" w:customStyle="1" w:styleId="HChG">
    <w:name w:val="_ H _Ch_G"/>
    <w:basedOn w:val="Normal"/>
    <w:next w:val="Normal"/>
    <w:rsid w:val="00BB40CE"/>
    <w:pPr>
      <w:keepNext/>
      <w:keepLines/>
      <w:tabs>
        <w:tab w:val="right" w:pos="851"/>
      </w:tabs>
      <w:suppressAutoHyphens/>
      <w:spacing w:before="360" w:after="240" w:line="300" w:lineRule="exact"/>
      <w:ind w:left="1134" w:right="1134" w:hanging="1134"/>
    </w:pPr>
    <w:rPr>
      <w:b/>
      <w:sz w:val="28"/>
      <w:szCs w:val="20"/>
    </w:rPr>
  </w:style>
  <w:style w:type="character" w:customStyle="1" w:styleId="Heading1Char">
    <w:name w:val="Heading 1 Char"/>
    <w:basedOn w:val="DefaultParagraphFont"/>
    <w:link w:val="Heading1"/>
    <w:uiPriority w:val="9"/>
    <w:rsid w:val="0066527C"/>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66527C"/>
    <w:pPr>
      <w:spacing w:before="100" w:beforeAutospacing="1" w:after="100" w:afterAutospacing="1"/>
    </w:pPr>
    <w:rPr>
      <w:lang w:eastAsia="en-GB"/>
    </w:rPr>
  </w:style>
  <w:style w:type="paragraph" w:customStyle="1" w:styleId="Default">
    <w:name w:val="Default"/>
    <w:rsid w:val="0081227E"/>
    <w:pPr>
      <w:autoSpaceDE w:val="0"/>
      <w:autoSpaceDN w:val="0"/>
      <w:adjustRightInd w:val="0"/>
      <w:spacing w:after="0" w:line="240" w:lineRule="auto"/>
    </w:pPr>
    <w:rPr>
      <w:rFonts w:ascii="Calibri" w:hAnsi="Calibri" w:cs="Calibri"/>
      <w:color w:val="000000"/>
      <w:sz w:val="24"/>
      <w:szCs w:val="24"/>
      <w:lang w:val="en-GB"/>
    </w:rPr>
  </w:style>
  <w:style w:type="character" w:styleId="Strong">
    <w:name w:val="Strong"/>
    <w:basedOn w:val="DefaultParagraphFont"/>
    <w:uiPriority w:val="22"/>
    <w:qFormat/>
    <w:rsid w:val="00771FF0"/>
    <w:rPr>
      <w:b/>
      <w:bCs/>
    </w:rPr>
  </w:style>
  <w:style w:type="paragraph" w:customStyle="1" w:styleId="ParaLevel1">
    <w:name w:val="ParaLevel1"/>
    <w:basedOn w:val="Normal"/>
    <w:rsid w:val="00111CDF"/>
    <w:pPr>
      <w:numPr>
        <w:numId w:val="15"/>
      </w:numPr>
      <w:suppressAutoHyphens/>
      <w:spacing w:before="240" w:after="240" w:line="480" w:lineRule="auto"/>
      <w:jc w:val="both"/>
      <w:outlineLvl w:val="0"/>
    </w:pPr>
    <w:rPr>
      <w:szCs w:val="20"/>
    </w:rPr>
  </w:style>
  <w:style w:type="paragraph" w:customStyle="1" w:styleId="ParaLevel2">
    <w:name w:val="ParaLevel2"/>
    <w:basedOn w:val="Normal"/>
    <w:rsid w:val="00111CDF"/>
    <w:pPr>
      <w:numPr>
        <w:ilvl w:val="1"/>
        <w:numId w:val="15"/>
      </w:numPr>
      <w:suppressAutoHyphens/>
      <w:spacing w:before="240" w:after="240" w:line="480" w:lineRule="auto"/>
      <w:jc w:val="both"/>
      <w:outlineLvl w:val="1"/>
    </w:pPr>
    <w:rPr>
      <w:szCs w:val="20"/>
    </w:rPr>
  </w:style>
  <w:style w:type="paragraph" w:customStyle="1" w:styleId="ParaLevel3">
    <w:name w:val="ParaLevel3"/>
    <w:basedOn w:val="Normal"/>
    <w:rsid w:val="00111CDF"/>
    <w:pPr>
      <w:numPr>
        <w:ilvl w:val="2"/>
        <w:numId w:val="15"/>
      </w:numPr>
      <w:suppressAutoHyphens/>
      <w:spacing w:before="240" w:after="240" w:line="480" w:lineRule="auto"/>
      <w:jc w:val="both"/>
      <w:outlineLvl w:val="2"/>
    </w:pPr>
    <w:rPr>
      <w:szCs w:val="20"/>
    </w:rPr>
  </w:style>
  <w:style w:type="paragraph" w:customStyle="1" w:styleId="ParaLevel4">
    <w:name w:val="ParaLevel4"/>
    <w:basedOn w:val="Normal"/>
    <w:rsid w:val="00111CDF"/>
    <w:pPr>
      <w:numPr>
        <w:ilvl w:val="3"/>
        <w:numId w:val="15"/>
      </w:numPr>
      <w:suppressAutoHyphens/>
      <w:spacing w:before="240" w:after="240" w:line="480" w:lineRule="auto"/>
      <w:jc w:val="both"/>
      <w:outlineLvl w:val="3"/>
    </w:pPr>
    <w:rPr>
      <w:szCs w:val="20"/>
    </w:rPr>
  </w:style>
  <w:style w:type="paragraph" w:customStyle="1" w:styleId="ParaLevel5">
    <w:name w:val="ParaLevel5"/>
    <w:basedOn w:val="Normal"/>
    <w:rsid w:val="00111CDF"/>
    <w:pPr>
      <w:numPr>
        <w:ilvl w:val="4"/>
        <w:numId w:val="15"/>
      </w:numPr>
      <w:suppressAutoHyphens/>
      <w:spacing w:before="240" w:after="240" w:line="480" w:lineRule="auto"/>
      <w:jc w:val="both"/>
      <w:outlineLvl w:val="4"/>
    </w:pPr>
    <w:rPr>
      <w:szCs w:val="20"/>
    </w:rPr>
  </w:style>
  <w:style w:type="paragraph" w:customStyle="1" w:styleId="ParaLevel6">
    <w:name w:val="ParaLevel6"/>
    <w:basedOn w:val="Normal"/>
    <w:rsid w:val="00111CDF"/>
    <w:pPr>
      <w:numPr>
        <w:ilvl w:val="5"/>
        <w:numId w:val="15"/>
      </w:numPr>
      <w:suppressAutoHyphens/>
      <w:spacing w:before="240" w:after="240" w:line="480" w:lineRule="auto"/>
      <w:jc w:val="both"/>
      <w:outlineLvl w:val="5"/>
    </w:pPr>
    <w:rPr>
      <w:szCs w:val="20"/>
    </w:rPr>
  </w:style>
  <w:style w:type="paragraph" w:customStyle="1" w:styleId="ParaLevel7">
    <w:name w:val="ParaLevel7"/>
    <w:basedOn w:val="Normal"/>
    <w:rsid w:val="00111CDF"/>
    <w:pPr>
      <w:numPr>
        <w:ilvl w:val="6"/>
        <w:numId w:val="15"/>
      </w:numPr>
      <w:suppressAutoHyphens/>
      <w:spacing w:before="240" w:after="240" w:line="480" w:lineRule="auto"/>
      <w:jc w:val="both"/>
      <w:outlineLvl w:val="6"/>
    </w:pPr>
    <w:rPr>
      <w:szCs w:val="20"/>
    </w:rPr>
  </w:style>
  <w:style w:type="paragraph" w:customStyle="1" w:styleId="ParaLevel8">
    <w:name w:val="ParaLevel8"/>
    <w:basedOn w:val="Normal"/>
    <w:rsid w:val="00111CDF"/>
    <w:pPr>
      <w:numPr>
        <w:ilvl w:val="7"/>
        <w:numId w:val="15"/>
      </w:numPr>
      <w:suppressAutoHyphens/>
      <w:spacing w:before="240" w:after="240" w:line="480" w:lineRule="auto"/>
      <w:jc w:val="both"/>
      <w:outlineLvl w:val="7"/>
    </w:pPr>
    <w:rPr>
      <w:szCs w:val="20"/>
    </w:rPr>
  </w:style>
  <w:style w:type="paragraph" w:customStyle="1" w:styleId="ParaLevel9">
    <w:name w:val="ParaLevel9"/>
    <w:basedOn w:val="Normal"/>
    <w:rsid w:val="00111CDF"/>
    <w:pPr>
      <w:numPr>
        <w:ilvl w:val="8"/>
        <w:numId w:val="15"/>
      </w:numPr>
      <w:suppressAutoHyphens/>
      <w:spacing w:before="240" w:after="240" w:line="480" w:lineRule="auto"/>
      <w:jc w:val="both"/>
      <w:outlineLvl w:val="8"/>
    </w:pPr>
    <w:rPr>
      <w:szCs w:val="20"/>
    </w:rPr>
  </w:style>
  <w:style w:type="character" w:customStyle="1" w:styleId="SingleTxtGChar">
    <w:name w:val="_ Single Txt_G Char"/>
    <w:link w:val="SingleTxtG"/>
    <w:locked/>
    <w:rsid w:val="00483E4B"/>
  </w:style>
  <w:style w:type="paragraph" w:customStyle="1" w:styleId="SingleTxtG">
    <w:name w:val="_ Single Txt_G"/>
    <w:basedOn w:val="Normal"/>
    <w:link w:val="SingleTxtGChar"/>
    <w:rsid w:val="00483E4B"/>
    <w:pPr>
      <w:suppressAutoHyphens/>
      <w:spacing w:after="120" w:line="240" w:lineRule="atLeast"/>
      <w:ind w:left="1134" w:right="1134"/>
      <w:jc w:val="both"/>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48900">
      <w:bodyDiv w:val="1"/>
      <w:marLeft w:val="0"/>
      <w:marRight w:val="0"/>
      <w:marTop w:val="0"/>
      <w:marBottom w:val="0"/>
      <w:divBdr>
        <w:top w:val="none" w:sz="0" w:space="0" w:color="auto"/>
        <w:left w:val="none" w:sz="0" w:space="0" w:color="auto"/>
        <w:bottom w:val="none" w:sz="0" w:space="0" w:color="auto"/>
        <w:right w:val="none" w:sz="0" w:space="0" w:color="auto"/>
      </w:divBdr>
    </w:div>
    <w:div w:id="134103008">
      <w:bodyDiv w:val="1"/>
      <w:marLeft w:val="0"/>
      <w:marRight w:val="0"/>
      <w:marTop w:val="0"/>
      <w:marBottom w:val="0"/>
      <w:divBdr>
        <w:top w:val="none" w:sz="0" w:space="0" w:color="auto"/>
        <w:left w:val="none" w:sz="0" w:space="0" w:color="auto"/>
        <w:bottom w:val="none" w:sz="0" w:space="0" w:color="auto"/>
        <w:right w:val="none" w:sz="0" w:space="0" w:color="auto"/>
      </w:divBdr>
    </w:div>
    <w:div w:id="252133788">
      <w:bodyDiv w:val="1"/>
      <w:marLeft w:val="0"/>
      <w:marRight w:val="0"/>
      <w:marTop w:val="0"/>
      <w:marBottom w:val="0"/>
      <w:divBdr>
        <w:top w:val="none" w:sz="0" w:space="0" w:color="auto"/>
        <w:left w:val="none" w:sz="0" w:space="0" w:color="auto"/>
        <w:bottom w:val="none" w:sz="0" w:space="0" w:color="auto"/>
        <w:right w:val="none" w:sz="0" w:space="0" w:color="auto"/>
      </w:divBdr>
    </w:div>
    <w:div w:id="279848298">
      <w:bodyDiv w:val="1"/>
      <w:marLeft w:val="0"/>
      <w:marRight w:val="0"/>
      <w:marTop w:val="0"/>
      <w:marBottom w:val="0"/>
      <w:divBdr>
        <w:top w:val="none" w:sz="0" w:space="0" w:color="auto"/>
        <w:left w:val="none" w:sz="0" w:space="0" w:color="auto"/>
        <w:bottom w:val="none" w:sz="0" w:space="0" w:color="auto"/>
        <w:right w:val="none" w:sz="0" w:space="0" w:color="auto"/>
      </w:divBdr>
    </w:div>
    <w:div w:id="303043587">
      <w:bodyDiv w:val="1"/>
      <w:marLeft w:val="0"/>
      <w:marRight w:val="0"/>
      <w:marTop w:val="0"/>
      <w:marBottom w:val="0"/>
      <w:divBdr>
        <w:top w:val="none" w:sz="0" w:space="0" w:color="auto"/>
        <w:left w:val="none" w:sz="0" w:space="0" w:color="auto"/>
        <w:bottom w:val="none" w:sz="0" w:space="0" w:color="auto"/>
        <w:right w:val="none" w:sz="0" w:space="0" w:color="auto"/>
      </w:divBdr>
    </w:div>
    <w:div w:id="430664551">
      <w:bodyDiv w:val="1"/>
      <w:marLeft w:val="0"/>
      <w:marRight w:val="0"/>
      <w:marTop w:val="0"/>
      <w:marBottom w:val="0"/>
      <w:divBdr>
        <w:top w:val="none" w:sz="0" w:space="0" w:color="auto"/>
        <w:left w:val="none" w:sz="0" w:space="0" w:color="auto"/>
        <w:bottom w:val="none" w:sz="0" w:space="0" w:color="auto"/>
        <w:right w:val="none" w:sz="0" w:space="0" w:color="auto"/>
      </w:divBdr>
    </w:div>
    <w:div w:id="467554995">
      <w:bodyDiv w:val="1"/>
      <w:marLeft w:val="0"/>
      <w:marRight w:val="0"/>
      <w:marTop w:val="0"/>
      <w:marBottom w:val="0"/>
      <w:divBdr>
        <w:top w:val="none" w:sz="0" w:space="0" w:color="auto"/>
        <w:left w:val="none" w:sz="0" w:space="0" w:color="auto"/>
        <w:bottom w:val="none" w:sz="0" w:space="0" w:color="auto"/>
        <w:right w:val="none" w:sz="0" w:space="0" w:color="auto"/>
      </w:divBdr>
    </w:div>
    <w:div w:id="666903315">
      <w:bodyDiv w:val="1"/>
      <w:marLeft w:val="0"/>
      <w:marRight w:val="0"/>
      <w:marTop w:val="0"/>
      <w:marBottom w:val="0"/>
      <w:divBdr>
        <w:top w:val="none" w:sz="0" w:space="0" w:color="auto"/>
        <w:left w:val="none" w:sz="0" w:space="0" w:color="auto"/>
        <w:bottom w:val="none" w:sz="0" w:space="0" w:color="auto"/>
        <w:right w:val="none" w:sz="0" w:space="0" w:color="auto"/>
      </w:divBdr>
    </w:div>
    <w:div w:id="680279483">
      <w:bodyDiv w:val="1"/>
      <w:marLeft w:val="0"/>
      <w:marRight w:val="0"/>
      <w:marTop w:val="0"/>
      <w:marBottom w:val="0"/>
      <w:divBdr>
        <w:top w:val="none" w:sz="0" w:space="0" w:color="auto"/>
        <w:left w:val="none" w:sz="0" w:space="0" w:color="auto"/>
        <w:bottom w:val="none" w:sz="0" w:space="0" w:color="auto"/>
        <w:right w:val="none" w:sz="0" w:space="0" w:color="auto"/>
      </w:divBdr>
    </w:div>
    <w:div w:id="694699669">
      <w:bodyDiv w:val="1"/>
      <w:marLeft w:val="0"/>
      <w:marRight w:val="0"/>
      <w:marTop w:val="0"/>
      <w:marBottom w:val="0"/>
      <w:divBdr>
        <w:top w:val="none" w:sz="0" w:space="0" w:color="auto"/>
        <w:left w:val="none" w:sz="0" w:space="0" w:color="auto"/>
        <w:bottom w:val="none" w:sz="0" w:space="0" w:color="auto"/>
        <w:right w:val="none" w:sz="0" w:space="0" w:color="auto"/>
      </w:divBdr>
    </w:div>
    <w:div w:id="1054696400">
      <w:bodyDiv w:val="1"/>
      <w:marLeft w:val="0"/>
      <w:marRight w:val="0"/>
      <w:marTop w:val="0"/>
      <w:marBottom w:val="0"/>
      <w:divBdr>
        <w:top w:val="none" w:sz="0" w:space="0" w:color="auto"/>
        <w:left w:val="none" w:sz="0" w:space="0" w:color="auto"/>
        <w:bottom w:val="none" w:sz="0" w:space="0" w:color="auto"/>
        <w:right w:val="none" w:sz="0" w:space="0" w:color="auto"/>
      </w:divBdr>
    </w:div>
    <w:div w:id="1219054234">
      <w:bodyDiv w:val="1"/>
      <w:marLeft w:val="0"/>
      <w:marRight w:val="0"/>
      <w:marTop w:val="0"/>
      <w:marBottom w:val="0"/>
      <w:divBdr>
        <w:top w:val="none" w:sz="0" w:space="0" w:color="auto"/>
        <w:left w:val="none" w:sz="0" w:space="0" w:color="auto"/>
        <w:bottom w:val="none" w:sz="0" w:space="0" w:color="auto"/>
        <w:right w:val="none" w:sz="0" w:space="0" w:color="auto"/>
      </w:divBdr>
    </w:div>
    <w:div w:id="1420101928">
      <w:bodyDiv w:val="1"/>
      <w:marLeft w:val="0"/>
      <w:marRight w:val="0"/>
      <w:marTop w:val="0"/>
      <w:marBottom w:val="0"/>
      <w:divBdr>
        <w:top w:val="none" w:sz="0" w:space="0" w:color="auto"/>
        <w:left w:val="none" w:sz="0" w:space="0" w:color="auto"/>
        <w:bottom w:val="none" w:sz="0" w:space="0" w:color="auto"/>
        <w:right w:val="none" w:sz="0" w:space="0" w:color="auto"/>
      </w:divBdr>
    </w:div>
    <w:div w:id="1515413379">
      <w:bodyDiv w:val="1"/>
      <w:marLeft w:val="0"/>
      <w:marRight w:val="0"/>
      <w:marTop w:val="0"/>
      <w:marBottom w:val="0"/>
      <w:divBdr>
        <w:top w:val="none" w:sz="0" w:space="0" w:color="auto"/>
        <w:left w:val="none" w:sz="0" w:space="0" w:color="auto"/>
        <w:bottom w:val="none" w:sz="0" w:space="0" w:color="auto"/>
        <w:right w:val="none" w:sz="0" w:space="0" w:color="auto"/>
      </w:divBdr>
    </w:div>
    <w:div w:id="1766422043">
      <w:bodyDiv w:val="1"/>
      <w:marLeft w:val="0"/>
      <w:marRight w:val="0"/>
      <w:marTop w:val="0"/>
      <w:marBottom w:val="0"/>
      <w:divBdr>
        <w:top w:val="none" w:sz="0" w:space="0" w:color="auto"/>
        <w:left w:val="none" w:sz="0" w:space="0" w:color="auto"/>
        <w:bottom w:val="none" w:sz="0" w:space="0" w:color="auto"/>
        <w:right w:val="none" w:sz="0" w:space="0" w:color="auto"/>
      </w:divBdr>
    </w:div>
    <w:div w:id="183946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edress.org"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info@redress.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theguardian.com/world/2009/feb/26/britain-admits-terror-renditions" TargetMode="External"/><Relationship Id="rId18" Type="http://schemas.openxmlformats.org/officeDocument/2006/relationships/hyperlink" Target="http://tbinternet.ohchr.org/_layouts/treatybodyexternal/Download.aspx?symbolno=CAT%2fC%2fGBR%2fCO%2f5&amp;Lang=en" TargetMode="External"/><Relationship Id="rId26" Type="http://schemas.openxmlformats.org/officeDocument/2006/relationships/hyperlink" Target="http://www.redress.org/downloads/publications/Joint%20NGO%20open%20letter%20re%20DAs_without%20signatures.pdf" TargetMode="External"/><Relationship Id="rId39" Type="http://schemas.openxmlformats.org/officeDocument/2006/relationships/hyperlink" Target="http://www.bailii.org/ew/cases/EWCA/Civ/2008/1528.html" TargetMode="External"/><Relationship Id="rId21" Type="http://schemas.openxmlformats.org/officeDocument/2006/relationships/hyperlink" Target="http://www.bailii.org/uk/cases/UKHL/2004/56.html" TargetMode="External"/><Relationship Id="rId34" Type="http://schemas.openxmlformats.org/officeDocument/2006/relationships/hyperlink" Target="http://www.bailii.org/ew/cases/EWCA/Civ/2011/1334.html" TargetMode="External"/><Relationship Id="rId42" Type="http://schemas.openxmlformats.org/officeDocument/2006/relationships/hyperlink" Target="http://hudoc.echr.coe.int/sites/eng/pages/search.aspx?i=001-97575" TargetMode="External"/><Relationship Id="rId47" Type="http://schemas.openxmlformats.org/officeDocument/2006/relationships/hyperlink" Target="http://www.bailii.org/ew/cases/EWHC/QB/2009/397.html" TargetMode="External"/><Relationship Id="rId50" Type="http://schemas.openxmlformats.org/officeDocument/2006/relationships/hyperlink" Target="http://www.bailii.org/uk/cases/SIAC/2010/66_2008.html" TargetMode="External"/><Relationship Id="rId55" Type="http://schemas.openxmlformats.org/officeDocument/2006/relationships/hyperlink" Target="http://www.bbc.co.uk/news/uk-20715507" TargetMode="External"/><Relationship Id="rId7" Type="http://schemas.openxmlformats.org/officeDocument/2006/relationships/hyperlink" Target="http://www.detaineeinquiry.org.uk/wp-content/uploads/2013/12/35100_Trafalgar-Text-accessible.pdf" TargetMode="External"/><Relationship Id="rId2" Type="http://schemas.openxmlformats.org/officeDocument/2006/relationships/hyperlink" Target="http://www.publications.parliament.uk/pa/cm200708/cmselect/cmfaff/557/55708.htm" TargetMode="External"/><Relationship Id="rId16" Type="http://schemas.openxmlformats.org/officeDocument/2006/relationships/hyperlink" Target="http://www.bailii.org/uk/cases/UKHL/2005/71.html" TargetMode="External"/><Relationship Id="rId29" Type="http://schemas.openxmlformats.org/officeDocument/2006/relationships/hyperlink" Target="http://hudoc.echr.coe.int/sites/eng/Pages/search.aspx" TargetMode="External"/><Relationship Id="rId11" Type="http://schemas.openxmlformats.org/officeDocument/2006/relationships/hyperlink" Target="http://www.redress.org/downloads/publications/NGO%20letter%20to%20Prime%20Minister%20161214.pdf" TargetMode="External"/><Relationship Id="rId24" Type="http://schemas.openxmlformats.org/officeDocument/2006/relationships/hyperlink" Target="http://www.debretts.com/people-of-today/profile/19034/Anthony-Michael-LAYDEN" TargetMode="External"/><Relationship Id="rId32" Type="http://schemas.openxmlformats.org/officeDocument/2006/relationships/hyperlink" Target="http://www.bailii.org/ew/cases/EWHC/Admin/2010/1823.html" TargetMode="External"/><Relationship Id="rId37" Type="http://schemas.openxmlformats.org/officeDocument/2006/relationships/hyperlink" Target="http://www.bailii.org/ew/cases/EWHC/Admin/2008/2391.html" TargetMode="External"/><Relationship Id="rId40" Type="http://schemas.openxmlformats.org/officeDocument/2006/relationships/hyperlink" Target="http://www.bailii.org/ew/cases/EWCA/Civ/2009/7.html" TargetMode="External"/><Relationship Id="rId45" Type="http://schemas.openxmlformats.org/officeDocument/2006/relationships/hyperlink" Target="http://www.bailii.org/ew/cases/EWCA/Civ/2006/327.html" TargetMode="External"/><Relationship Id="rId53" Type="http://schemas.openxmlformats.org/officeDocument/2006/relationships/hyperlink" Target="http://www.ecchr.de/united-kingdom.html" TargetMode="External"/><Relationship Id="rId58" Type="http://schemas.openxmlformats.org/officeDocument/2006/relationships/hyperlink" Target="http://www.legislation.gov.uk/ukpga/1988/33/section/134" TargetMode="External"/><Relationship Id="rId5" Type="http://schemas.openxmlformats.org/officeDocument/2006/relationships/hyperlink" Target="http://www.redress.org/downloads/publications/NGO_Inquiry_Letter_FINAL.pdf" TargetMode="External"/><Relationship Id="rId61" Type="http://schemas.openxmlformats.org/officeDocument/2006/relationships/hyperlink" Target="https://www.gov.uk/government/uploads/system/uploads/attachment_data/file/302421/18049_TSO_Cover__amp__Print_Text_with_trims_1_.pdf" TargetMode="External"/><Relationship Id="rId19" Type="http://schemas.openxmlformats.org/officeDocument/2006/relationships/hyperlink" Target="https://www.gov.uk/government/uploads/system/uploads/attachment_data/file/415910/AHRR_2014_Final_to_TSO.pdf" TargetMode="External"/><Relationship Id="rId14" Type="http://schemas.openxmlformats.org/officeDocument/2006/relationships/hyperlink" Target="http://www.theguardian.com/world/2013/apr/01/camp-nama-iraq-human-rights-abuses" TargetMode="External"/><Relationship Id="rId22" Type="http://schemas.openxmlformats.org/officeDocument/2006/relationships/hyperlink" Target="https://terrorismlegislationreviewer.independent.gov.uk/" TargetMode="External"/><Relationship Id="rId27" Type="http://schemas.openxmlformats.org/officeDocument/2006/relationships/hyperlink" Target="http://www.redress.org/downloads/publications/Where%20the%20ProblemsLie%2010%20Dec%2008A4.pdf" TargetMode="External"/><Relationship Id="rId30" Type="http://schemas.openxmlformats.org/officeDocument/2006/relationships/hyperlink" Target="http://www.justice.gov.uk/downloads/human-rights/cat-concluding-observations-may-2013.pdf" TargetMode="External"/><Relationship Id="rId35" Type="http://schemas.openxmlformats.org/officeDocument/2006/relationships/hyperlink" Target="http://www.bailii.org/ew/cases/EWHC/Admin/2013/1412.html" TargetMode="External"/><Relationship Id="rId43" Type="http://schemas.openxmlformats.org/officeDocument/2006/relationships/hyperlink" Target="http://www.11kbw.com/uploads/Judgments/Al-Saadoon%20Final%20Judgment%20KS.SA.pdf" TargetMode="External"/><Relationship Id="rId48" Type="http://schemas.openxmlformats.org/officeDocument/2006/relationships/hyperlink" Target="http://www.refworld.org/docid/49ddcd682.html" TargetMode="External"/><Relationship Id="rId56" Type="http://schemas.openxmlformats.org/officeDocument/2006/relationships/hyperlink" Target="http://www.redress.org/downloads/publications/UJ_Paper_15%20Oct%2008%20_4_.pdf" TargetMode="External"/><Relationship Id="rId8" Type="http://schemas.openxmlformats.org/officeDocument/2006/relationships/hyperlink" Target="http://www.publications.parliament.uk/pa/cm201314/cmhansrd/cm131219/debtext/131219-0002.htm" TargetMode="External"/><Relationship Id="rId51" Type="http://schemas.openxmlformats.org/officeDocument/2006/relationships/hyperlink" Target="http://www.bailii.org/eu/cases/ECHR/2011/1092.html" TargetMode="External"/><Relationship Id="rId3" Type="http://schemas.openxmlformats.org/officeDocument/2006/relationships/hyperlink" Target="http://www.publications.parliament.uk/pa/jt200809/jtselect/jtrights/152/152.pdf" TargetMode="External"/><Relationship Id="rId12" Type="http://schemas.openxmlformats.org/officeDocument/2006/relationships/hyperlink" Target="http://www.publications.parliament.uk/pa/cm200809/cmhansrd/cm090226/debtext/90226-0008.htm" TargetMode="External"/><Relationship Id="rId17" Type="http://schemas.openxmlformats.org/officeDocument/2006/relationships/hyperlink" Target="http://www.corteidh.or.cr/tablas/r29062.pdf" TargetMode="External"/><Relationship Id="rId25" Type="http://schemas.openxmlformats.org/officeDocument/2006/relationships/hyperlink" Target="http://www.telegraph.co.uk/news/uknews/terrorism-in-the-uk/11427428/Anti-terrorism-chief-quits-over-failure-to-expel-suspects.html" TargetMode="External"/><Relationship Id="rId33" Type="http://schemas.openxmlformats.org/officeDocument/2006/relationships/hyperlink" Target="http://www.bailii.org/ew/cases/EWHC/Admin/2010/3304.html" TargetMode="External"/><Relationship Id="rId38" Type="http://schemas.openxmlformats.org/officeDocument/2006/relationships/hyperlink" Target="http://www.bailii.org/ew/cases/EWHC/Admin/2008/3098.html" TargetMode="External"/><Relationship Id="rId46" Type="http://schemas.openxmlformats.org/officeDocument/2006/relationships/hyperlink" Target="http://www.bailii.org/uk/cases/UKHL/2007/58.html" TargetMode="External"/><Relationship Id="rId59" Type="http://schemas.openxmlformats.org/officeDocument/2006/relationships/hyperlink" Target="https://www.gov.uk/government/uploads/system/uploads/attachment_data/file/62632/Consolidated_Guidance_November_2011.pdf" TargetMode="External"/><Relationship Id="rId20" Type="http://schemas.openxmlformats.org/officeDocument/2006/relationships/hyperlink" Target="https://www.gov.uk/government/uploads/system/uploads/attachment_data/file/35449/fcostrategytortureprevention.pdf" TargetMode="External"/><Relationship Id="rId41" Type="http://schemas.openxmlformats.org/officeDocument/2006/relationships/hyperlink" Target="http://www.bailii.org/eu/cases/ECHR/2009/409.html" TargetMode="External"/><Relationship Id="rId54" Type="http://schemas.openxmlformats.org/officeDocument/2006/relationships/hyperlink" Target="http://www.icc-cpi.int/iccdocs/otp/OTP-Pre-Exam-2014.pdf" TargetMode="External"/><Relationship Id="rId1" Type="http://schemas.openxmlformats.org/officeDocument/2006/relationships/hyperlink" Target="https://www.liberty-human-rights.org.uk/news/press-releases/chief-constable-begins-police-inquiries-extraordinary-rendition-flights" TargetMode="External"/><Relationship Id="rId6" Type="http://schemas.openxmlformats.org/officeDocument/2006/relationships/hyperlink" Target="http://www.redress.org/downloads/publications/Joint_NGO_letter_3-8-11.pdf" TargetMode="External"/><Relationship Id="rId15" Type="http://schemas.openxmlformats.org/officeDocument/2006/relationships/hyperlink" Target="http://www.extraordinaryrendition.org/document-library/finish/23-2011/243-foia-press-release-22-06-11.html" TargetMode="External"/><Relationship Id="rId23" Type="http://schemas.openxmlformats.org/officeDocument/2006/relationships/hyperlink" Target="https://www.gov.uk/government/uploads/system/uploads/attachment_data/file/260320/TOR_for_the_Independent_Review_of_Deportation_with_Assurances.pdf" TargetMode="External"/><Relationship Id="rId28" Type="http://schemas.openxmlformats.org/officeDocument/2006/relationships/hyperlink" Target="http://www.redress.org/downloads/publications/REDRESS%20SUBMISSION%20TO%20CAT%20ON%20UK%20%20%2019%2004.pdf" TargetMode="External"/><Relationship Id="rId36" Type="http://schemas.openxmlformats.org/officeDocument/2006/relationships/hyperlink" Target="http://www.bailii.org/ew/cases/EWHC/Admin/2013/2941.html" TargetMode="External"/><Relationship Id="rId49" Type="http://schemas.openxmlformats.org/officeDocument/2006/relationships/hyperlink" Target="http://www.bailii.org/ew/cases/EWCA/Civ/2010/758.html" TargetMode="External"/><Relationship Id="rId57" Type="http://schemas.openxmlformats.org/officeDocument/2006/relationships/hyperlink" Target="https://www.gov.uk/government/uploads/system/uploads/attachment_data/file/35449/fcostrategy-tortureprevention.pdf" TargetMode="External"/><Relationship Id="rId10" Type="http://schemas.openxmlformats.org/officeDocument/2006/relationships/hyperlink" Target="http://www.intelligence.senate.gov/study2014/sscistudy1.pdf" TargetMode="External"/><Relationship Id="rId31" Type="http://schemas.openxmlformats.org/officeDocument/2006/relationships/hyperlink" Target="http://www.redress.org/downloads/publications/Letter%20to%20F%20A%20C%2020%20June%202011.pdf" TargetMode="External"/><Relationship Id="rId44" Type="http://schemas.openxmlformats.org/officeDocument/2006/relationships/hyperlink" Target="http://www.bailii.org/ew/cases/EWHC/Admin/2005/1809.html" TargetMode="External"/><Relationship Id="rId52" Type="http://schemas.openxmlformats.org/officeDocument/2006/relationships/hyperlink" Target="http://www.bailii.org/ew/cases/EWCA/Civ/2012/358.html" TargetMode="External"/><Relationship Id="rId60" Type="http://schemas.openxmlformats.org/officeDocument/2006/relationships/hyperlink" Target="http://www.redress.org/downloads/publications/UPR-UK%20Final%2021%20November%202011.pdf" TargetMode="External"/><Relationship Id="rId4" Type="http://schemas.openxmlformats.org/officeDocument/2006/relationships/hyperlink" Target="http://www.publications.parliament.uk/pa/cm201011/cmhansrd/cm100706/debtext/100706-0001.htm" TargetMode="External"/><Relationship Id="rId9" Type="http://schemas.openxmlformats.org/officeDocument/2006/relationships/hyperlink" Target="http://www.publications.parliament.uk/pa/jt200809/jtselect/jtrights/152/15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8579B-D2DE-4FDB-BDEB-0BFD918EE475}"/>
</file>

<file path=customXml/itemProps2.xml><?xml version="1.0" encoding="utf-8"?>
<ds:datastoreItem xmlns:ds="http://schemas.openxmlformats.org/officeDocument/2006/customXml" ds:itemID="{207B45AA-5BCF-4958-9466-17B0DB43BD07}"/>
</file>

<file path=customXml/itemProps3.xml><?xml version="1.0" encoding="utf-8"?>
<ds:datastoreItem xmlns:ds="http://schemas.openxmlformats.org/officeDocument/2006/customXml" ds:itemID="{41FC25A5-49DC-4FBD-A4D1-914CDFCD719C}"/>
</file>

<file path=customXml/itemProps4.xml><?xml version="1.0" encoding="utf-8"?>
<ds:datastoreItem xmlns:ds="http://schemas.openxmlformats.org/officeDocument/2006/customXml" ds:itemID="{04C7AF6B-3512-4D03-B41D-8116E71F130F}"/>
</file>

<file path=docProps/app.xml><?xml version="1.0" encoding="utf-8"?>
<Properties xmlns="http://schemas.openxmlformats.org/officeDocument/2006/extended-properties" xmlns:vt="http://schemas.openxmlformats.org/officeDocument/2006/docPropsVTypes">
  <Template>Normal</Template>
  <TotalTime>2</TotalTime>
  <Pages>10</Pages>
  <Words>3538</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Shevek</dc:creator>
  <cp:lastModifiedBy>Kevin Laue</cp:lastModifiedBy>
  <cp:revision>3</cp:revision>
  <cp:lastPrinted>2015-06-04T17:14:00Z</cp:lastPrinted>
  <dcterms:created xsi:type="dcterms:W3CDTF">2015-06-05T08:50:00Z</dcterms:created>
  <dcterms:modified xsi:type="dcterms:W3CDTF">2015-06-05T08:51:00Z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