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343E8" w14:paraId="7ACEE071" w14:textId="77777777" w:rsidTr="00E56EE3">
        <w:trPr>
          <w:trHeight w:hRule="exact" w:val="851"/>
        </w:trPr>
        <w:tc>
          <w:tcPr>
            <w:tcW w:w="1280" w:type="dxa"/>
            <w:tcBorders>
              <w:bottom w:val="single" w:sz="4" w:space="0" w:color="auto"/>
            </w:tcBorders>
          </w:tcPr>
          <w:p w14:paraId="46E53D32" w14:textId="77777777" w:rsidR="002D5AAC" w:rsidRDefault="002D5AAC" w:rsidP="00E56EE3"/>
        </w:tc>
        <w:tc>
          <w:tcPr>
            <w:tcW w:w="2273" w:type="dxa"/>
            <w:tcBorders>
              <w:bottom w:val="single" w:sz="4" w:space="0" w:color="auto"/>
            </w:tcBorders>
            <w:vAlign w:val="bottom"/>
          </w:tcPr>
          <w:p w14:paraId="636985F2" w14:textId="0552B210" w:rsidR="002D5AAC" w:rsidRPr="00D4778E" w:rsidRDefault="002D5AAC" w:rsidP="00E56EE3">
            <w:pPr>
              <w:spacing w:after="80" w:line="300" w:lineRule="exact"/>
              <w:rPr>
                <w:sz w:val="28"/>
              </w:rPr>
            </w:pPr>
          </w:p>
        </w:tc>
        <w:tc>
          <w:tcPr>
            <w:tcW w:w="6086" w:type="dxa"/>
            <w:gridSpan w:val="2"/>
            <w:tcBorders>
              <w:bottom w:val="single" w:sz="4" w:space="0" w:color="auto"/>
            </w:tcBorders>
            <w:vAlign w:val="bottom"/>
          </w:tcPr>
          <w:p w14:paraId="62448C7F" w14:textId="77777777" w:rsidR="002D5AAC" w:rsidRDefault="008B64DE" w:rsidP="00007BCB">
            <w:pPr>
              <w:jc w:val="right"/>
            </w:pPr>
            <w:r w:rsidRPr="00F43810">
              <w:rPr>
                <w:sz w:val="40"/>
              </w:rPr>
              <w:t>C</w:t>
            </w:r>
            <w:r w:rsidR="00007BCB">
              <w:rPr>
                <w:sz w:val="40"/>
              </w:rPr>
              <w:t>CPR</w:t>
            </w:r>
            <w:r w:rsidRPr="00F43810">
              <w:t>/C/CRI/7</w:t>
            </w:r>
          </w:p>
        </w:tc>
      </w:tr>
      <w:tr w:rsidR="005343E8" w14:paraId="785A7D45" w14:textId="77777777" w:rsidTr="00E56EE3">
        <w:trPr>
          <w:trHeight w:hRule="exact" w:val="2835"/>
        </w:trPr>
        <w:tc>
          <w:tcPr>
            <w:tcW w:w="1280" w:type="dxa"/>
            <w:tcBorders>
              <w:top w:val="single" w:sz="4" w:space="0" w:color="auto"/>
              <w:bottom w:val="single" w:sz="12" w:space="0" w:color="auto"/>
            </w:tcBorders>
          </w:tcPr>
          <w:p w14:paraId="6D853600" w14:textId="4DEC8261" w:rsidR="002D5AAC" w:rsidRDefault="002D5AAC" w:rsidP="00E56EE3">
            <w:pPr>
              <w:spacing w:before="120"/>
              <w:jc w:val="center"/>
            </w:pPr>
          </w:p>
        </w:tc>
        <w:tc>
          <w:tcPr>
            <w:tcW w:w="5540" w:type="dxa"/>
            <w:gridSpan w:val="2"/>
            <w:tcBorders>
              <w:top w:val="single" w:sz="4" w:space="0" w:color="auto"/>
              <w:bottom w:val="single" w:sz="12" w:space="0" w:color="auto"/>
            </w:tcBorders>
          </w:tcPr>
          <w:p w14:paraId="2A758E05" w14:textId="41ACAE77" w:rsidR="002D5AAC" w:rsidRPr="00D4778E" w:rsidRDefault="00927B9D" w:rsidP="00E56EE3">
            <w:pPr>
              <w:spacing w:before="120" w:line="360" w:lineRule="exact"/>
              <w:rPr>
                <w:b/>
                <w:sz w:val="34"/>
                <w:szCs w:val="34"/>
              </w:rPr>
            </w:pPr>
            <w:r w:rsidRPr="00927B9D">
              <w:rPr>
                <w:b/>
                <w:sz w:val="34"/>
                <w:szCs w:val="34"/>
              </w:rPr>
              <w:t>Versión avanzada no editada</w:t>
            </w:r>
          </w:p>
        </w:tc>
        <w:tc>
          <w:tcPr>
            <w:tcW w:w="2819" w:type="dxa"/>
            <w:tcBorders>
              <w:top w:val="single" w:sz="4" w:space="0" w:color="auto"/>
              <w:bottom w:val="single" w:sz="12" w:space="0" w:color="auto"/>
            </w:tcBorders>
          </w:tcPr>
          <w:p w14:paraId="7AD61E92" w14:textId="77777777" w:rsidR="00935A0B" w:rsidRPr="00F43810" w:rsidRDefault="008B64DE" w:rsidP="00935A0B">
            <w:pPr>
              <w:spacing w:before="240" w:line="240" w:lineRule="exact"/>
            </w:pPr>
            <w:proofErr w:type="spellStart"/>
            <w:r>
              <w:t>Distr</w:t>
            </w:r>
            <w:proofErr w:type="spellEnd"/>
            <w:r>
              <w:t>.</w:t>
            </w:r>
            <w:r w:rsidRPr="00F43810">
              <w:t xml:space="preserve"> general</w:t>
            </w:r>
          </w:p>
          <w:p w14:paraId="32E5D844" w14:textId="77777777" w:rsidR="00CD7A71" w:rsidRDefault="008B64DE" w:rsidP="00935A0B">
            <w:r w:rsidRPr="00F43810">
              <w:t>2 de junio de 2026</w:t>
            </w:r>
          </w:p>
          <w:p w14:paraId="275B32A3" w14:textId="77777777" w:rsidR="006733B3" w:rsidRDefault="006733B3" w:rsidP="00935A0B"/>
          <w:p w14:paraId="491DBB64" w14:textId="09629E2F" w:rsidR="00935A0B" w:rsidRPr="00F43810" w:rsidRDefault="008B64DE" w:rsidP="00935A0B">
            <w:r w:rsidRPr="00F43810">
              <w:t>Original: español</w:t>
            </w:r>
          </w:p>
          <w:p w14:paraId="14AAD282" w14:textId="77777777" w:rsidR="002D5AAC" w:rsidRDefault="00935A0B" w:rsidP="00935A0B">
            <w:pPr>
              <w:spacing w:line="240" w:lineRule="exact"/>
            </w:pPr>
            <w:r w:rsidRPr="00F43810">
              <w:t>Español, francés e inglés únicamente</w:t>
            </w:r>
          </w:p>
        </w:tc>
      </w:tr>
    </w:tbl>
    <w:p w14:paraId="4284BB2C" w14:textId="77777777" w:rsidR="00007BCB" w:rsidRPr="007E2EEE" w:rsidRDefault="008B64DE" w:rsidP="00007BCB">
      <w:pPr>
        <w:spacing w:before="120"/>
      </w:pPr>
      <w:r>
        <w:rPr>
          <w:rFonts w:ascii="Times New Roman Bold" w:hAnsi="Times New Roman Bold"/>
          <w:b/>
          <w:color w:val="000000"/>
          <w:sz w:val="24"/>
        </w:rPr>
        <w:t>Comité de Derechos Humanos</w:t>
      </w:r>
    </w:p>
    <w:p w14:paraId="29CEA3FE" w14:textId="77777777" w:rsidR="00CD7A71" w:rsidRDefault="008B64DE" w:rsidP="00EB2B7E">
      <w:pPr>
        <w:pStyle w:val="HMG"/>
        <w:rPr>
          <w:b w:val="0"/>
          <w:sz w:val="20"/>
        </w:rPr>
      </w:pPr>
      <w:r>
        <w:rPr>
          <w:color w:val="000000"/>
        </w:rPr>
        <w:tab/>
      </w:r>
      <w:r>
        <w:rPr>
          <w:color w:val="000000"/>
        </w:rPr>
        <w:tab/>
      </w:r>
      <w:r>
        <w:t>Séptimo informe periódico</w:t>
      </w:r>
      <w:r>
        <w:rPr>
          <w:color w:val="000000"/>
        </w:rPr>
        <w:t xml:space="preserve"> </w:t>
      </w:r>
      <w:r>
        <w:t>que Costa Rica</w:t>
      </w:r>
      <w:r>
        <w:t xml:space="preserve"> debía presentar en </w:t>
      </w:r>
      <w:r w:rsidR="00B32183" w:rsidRPr="00B32183">
        <w:t>2025</w:t>
      </w:r>
      <w:r w:rsidRPr="00B32183">
        <w:t xml:space="preserve"> en virtud </w:t>
      </w:r>
      <w:r>
        <w:t xml:space="preserve">del artículo </w:t>
      </w:r>
      <w:r w:rsidR="006D77FE">
        <w:t>40</w:t>
      </w:r>
      <w:r>
        <w:t xml:space="preserve"> del</w:t>
      </w:r>
      <w:r w:rsidR="006D77FE">
        <w:t xml:space="preserve"> Pacto</w:t>
      </w:r>
      <w:r w:rsidR="000203BF">
        <w:t xml:space="preserve"> </w:t>
      </w:r>
      <w:r w:rsidR="000203BF" w:rsidRPr="00075E5D">
        <w:rPr>
          <w:lang w:val="es-ES_tradnl"/>
        </w:rPr>
        <w:t xml:space="preserve">con </w:t>
      </w:r>
      <w:r w:rsidR="000203BF" w:rsidRPr="00B32183">
        <w:rPr>
          <w:lang w:val="es-ES_tradnl"/>
        </w:rPr>
        <w:t xml:space="preserve">arreglo al procedimiento facultativo de presentación de </w:t>
      </w:r>
      <w:r w:rsidR="000203BF" w:rsidRPr="003B2CB9">
        <w:rPr>
          <w:lang w:val="es-ES_tradnl"/>
        </w:rPr>
        <w:t>informes</w:t>
      </w:r>
      <w:r w:rsidRPr="003B2CB9">
        <w:rPr>
          <w:rStyle w:val="FootnoteReference"/>
          <w:b w:val="0"/>
          <w:bCs/>
          <w:sz w:val="20"/>
          <w:vertAlign w:val="baseline"/>
          <w:lang w:val="es-ES_tradnl"/>
        </w:rPr>
        <w:footnoteReference w:customMarkFollows="1" w:id="1"/>
        <w:t>*</w:t>
      </w:r>
      <w:r w:rsidR="00A7074A" w:rsidRPr="003B2CB9">
        <w:rPr>
          <w:b w:val="0"/>
          <w:sz w:val="20"/>
        </w:rPr>
        <w:t xml:space="preserve"> </w:t>
      </w:r>
      <w:r w:rsidRPr="003B2CB9">
        <w:rPr>
          <w:rStyle w:val="FootnoteReference"/>
          <w:b w:val="0"/>
          <w:sz w:val="20"/>
          <w:vertAlign w:val="baseline"/>
        </w:rPr>
        <w:footnoteReference w:customMarkFollows="1" w:id="2"/>
        <w:t>**</w:t>
      </w:r>
    </w:p>
    <w:p w14:paraId="13CC335C" w14:textId="36A66DCA" w:rsidR="00EB2B7E" w:rsidRPr="00B32183" w:rsidRDefault="008B64DE" w:rsidP="00EB2B7E">
      <w:pPr>
        <w:pStyle w:val="SingleTxtG"/>
        <w:jc w:val="right"/>
      </w:pPr>
      <w:r w:rsidRPr="00B32183">
        <w:t xml:space="preserve">[Fecha de recepción: </w:t>
      </w:r>
      <w:r w:rsidR="00B32183" w:rsidRPr="00B32183">
        <w:t>27</w:t>
      </w:r>
      <w:r w:rsidRPr="00B32183">
        <w:t xml:space="preserve"> </w:t>
      </w:r>
      <w:r w:rsidRPr="00B32183">
        <w:t>de</w:t>
      </w:r>
      <w:r w:rsidRPr="00B32183">
        <w:t xml:space="preserve"> m</w:t>
      </w:r>
      <w:r w:rsidR="00B32183" w:rsidRPr="00B32183">
        <w:t>ayo</w:t>
      </w:r>
      <w:r w:rsidRPr="00B32183">
        <w:t xml:space="preserve"> </w:t>
      </w:r>
      <w:r w:rsidRPr="00B32183">
        <w:t>de</w:t>
      </w:r>
      <w:r w:rsidRPr="00B32183">
        <w:t xml:space="preserve"> </w:t>
      </w:r>
      <w:r w:rsidR="00B32183" w:rsidRPr="00B32183">
        <w:t>2026</w:t>
      </w:r>
      <w:r w:rsidRPr="00B32183">
        <w:t>]</w:t>
      </w:r>
    </w:p>
    <w:p w14:paraId="3BC9E4E2" w14:textId="0BA741D0" w:rsidR="00B32183" w:rsidRDefault="00B32183">
      <w:pPr>
        <w:spacing w:line="240" w:lineRule="auto"/>
      </w:pPr>
      <w:r>
        <w:br w:type="page"/>
      </w:r>
    </w:p>
    <w:p w14:paraId="61B67E29" w14:textId="5EF6674B" w:rsidR="00CD7A71" w:rsidRPr="00CD7A71" w:rsidRDefault="00CD7A71" w:rsidP="00CD7A71">
      <w:pPr>
        <w:pStyle w:val="HChG"/>
      </w:pPr>
      <w:r>
        <w:lastRenderedPageBreak/>
        <w:tab/>
      </w:r>
      <w:r w:rsidRPr="00CD7A71">
        <w:t xml:space="preserve">I. </w:t>
      </w:r>
      <w:r>
        <w:tab/>
      </w:r>
      <w:r w:rsidRPr="00CD7A71">
        <w:t xml:space="preserve">Introducción </w:t>
      </w:r>
    </w:p>
    <w:p w14:paraId="3112D272" w14:textId="77777777" w:rsidR="00CD7A71" w:rsidRPr="00CD7A71" w:rsidRDefault="00CD7A71" w:rsidP="00CD7A71">
      <w:pPr>
        <w:pStyle w:val="SingleTxtG"/>
      </w:pPr>
      <w:r w:rsidRPr="00CD7A71">
        <w:t>1.</w:t>
      </w:r>
      <w:r w:rsidRPr="00CD7A71">
        <w:tab/>
        <w:t>El séptimo informe periódico en virtud del Pacto Internacional de Derechos Civiles y Políticos, fue elaborado por el Estado de Costa Rica en el marco de la Comisión Interinstitucional para el Seguimiento e Implementación de las Obligaciones Internacionales de Derechos Humanos (CIIDDHH), órgano asesor permanente del Poder Ejecutivo adscrito al Ministerio de Relaciones Exteriores y Culto, encargado de coordinar la implementación nacional de las obligaciones internacionales en derechos humanos, y la articulación de las acciones del Estado en el ámbito internacional.</w:t>
      </w:r>
    </w:p>
    <w:p w14:paraId="3A203A4E" w14:textId="77777777" w:rsidR="00CD7A71" w:rsidRPr="00CD7A71" w:rsidRDefault="00CD7A71" w:rsidP="00CD7A71">
      <w:pPr>
        <w:pStyle w:val="SingleTxtG"/>
      </w:pPr>
      <w:r w:rsidRPr="00CD7A71">
        <w:t>2.</w:t>
      </w:r>
      <w:r w:rsidRPr="00CD7A71">
        <w:tab/>
        <w:t>La coordinación y dirección del proceso corresponde al Ministerio de Relaciones Exteriores y Culto, en su calidad de Coordinación Nacional de la Comisión. Participaron activamente instituciones públicas de los distintos sectores, incluyendo ministerios, entes autónomos y órganos de los poderes del Estado, quienes aportaron insumos sustantivos en el ámbito de sus competencias y fueron consultadas en la etapa de revisión del documento.</w:t>
      </w:r>
    </w:p>
    <w:p w14:paraId="0169827B" w14:textId="77777777" w:rsidR="00CD7A71" w:rsidRPr="00CD7A71" w:rsidRDefault="00CD7A71" w:rsidP="00CD7A71">
      <w:pPr>
        <w:pStyle w:val="SingleTxtG"/>
      </w:pPr>
      <w:r w:rsidRPr="00CD7A71">
        <w:t>3.</w:t>
      </w:r>
      <w:r w:rsidRPr="00CD7A71">
        <w:tab/>
        <w:t>El proceso de elaboración incluyó la recopilación de información administrativa y normativa, así como el uso de la Base de Datos de las Naciones Unidas para el Seguimiento Nacional de las Recomendaciones (NRTD), implementada por el Estado en 2025 como herramienta para el monitoreo y seguimiento de recomendaciones internacionales en derechos humanos.</w:t>
      </w:r>
    </w:p>
    <w:p w14:paraId="47BF4861" w14:textId="77777777" w:rsidR="00CD7A71" w:rsidRPr="00CD7A71" w:rsidRDefault="00CD7A71" w:rsidP="00CD7A71">
      <w:pPr>
        <w:pStyle w:val="SingleTxtG"/>
      </w:pPr>
      <w:r w:rsidRPr="00CD7A71">
        <w:t>4.</w:t>
      </w:r>
      <w:r w:rsidRPr="00CD7A71">
        <w:tab/>
        <w:t>Asimismo, se llevaron a cabo consultas con la sociedad civil a través del Mecanismo de participación y consulta entre la CIIDDHH y la Entidad Permanente de Consulta (EPC), conforme a los principios de buena fe, acceso a la información y participación informada. En este marco, se recibieron aportes de diversas organizaciones, los cuales fueron considerados en la elaboración del presente documento.</w:t>
      </w:r>
    </w:p>
    <w:p w14:paraId="104884B6" w14:textId="77777777" w:rsidR="00CD7A71" w:rsidRPr="00CD7A71" w:rsidRDefault="00CD7A71" w:rsidP="00CD7A71">
      <w:pPr>
        <w:pStyle w:val="SingleTxtG"/>
      </w:pPr>
      <w:r w:rsidRPr="00CD7A71">
        <w:t>5.</w:t>
      </w:r>
      <w:r w:rsidRPr="00CD7A71">
        <w:tab/>
        <w:t>El Estado de Costa Rica reafirma su compromiso histórico con la promoción y protección de los derechos humanos, así como con el cumplimiento de sus obligaciones internacionales y el diálogo constructivo con el Comité de Derechos Humanos.</w:t>
      </w:r>
    </w:p>
    <w:p w14:paraId="49180665" w14:textId="77777777" w:rsidR="00CD7A71" w:rsidRPr="00CD7A71" w:rsidRDefault="00CD7A71" w:rsidP="00CD7A71">
      <w:pPr>
        <w:pStyle w:val="SingleTxtG"/>
      </w:pPr>
      <w:r w:rsidRPr="00CD7A71">
        <w:t>6.</w:t>
      </w:r>
      <w:r w:rsidRPr="00CD7A71">
        <w:tab/>
        <w:t xml:space="preserve">Sin perjuicio de los avances normativos, institucionales y de política pública alcanzados, el Estado reconoce que la consolidación de un Estado Social de Derecho plenamente inclusivo exige superar brechas estructurales persistentes en la garantía efectiva de los derechos civiles y políticos. Estas brechas se manifiestan con especial intensidad en relación con los pueblos indígenas y otras poblaciones históricamente </w:t>
      </w:r>
      <w:proofErr w:type="spellStart"/>
      <w:r w:rsidRPr="00CD7A71">
        <w:t>vulneralizadas</w:t>
      </w:r>
      <w:proofErr w:type="spellEnd"/>
      <w:r w:rsidRPr="00CD7A71">
        <w:t xml:space="preserve">, en las que convergen factores históricos de exclusión, barreras culturales y </w:t>
      </w:r>
      <w:proofErr w:type="spellStart"/>
      <w:r w:rsidRPr="00CD7A71">
        <w:t>ligüísticas</w:t>
      </w:r>
      <w:proofErr w:type="spellEnd"/>
      <w:r w:rsidRPr="00CD7A71">
        <w:t>, limitaciones en el acceso a servicios públicos y debilidades en la adecuación cultural de acción estatal.</w:t>
      </w:r>
    </w:p>
    <w:p w14:paraId="39BA2716" w14:textId="77777777" w:rsidR="00CD7A71" w:rsidRPr="00CD7A71" w:rsidRDefault="00CD7A71" w:rsidP="00CD7A71">
      <w:pPr>
        <w:pStyle w:val="SingleTxtG"/>
      </w:pPr>
      <w:r w:rsidRPr="00CD7A71">
        <w:t>7.</w:t>
      </w:r>
      <w:r w:rsidRPr="00CD7A71">
        <w:tab/>
        <w:t>En particular, el Estado reconoce que, en el caso de los pueblos indígenas, la limitada cobertura institucional, las condiciones de dispersión territorial y la diversidad lingüística en determinados territorios continúan representando desafíos sustantivos para el acceso efectivo a la justicia, a la seguridad, a la salud y a otros servicios esenciales. En este sentido, el aparato judicial, las autoridades locales, los cuerpos policiales y el sistema de salud aún enfrentan el reto de fortalecer su capacidad de respuesta para minimizar riesgos asociados a la discriminación, la exclusión, el acceso desigual a derechos y el impacto de fenómenos como el crimen organizado, incluida la trata de personas, la explotación laboral y la violencia, particularmente contra mujeres y niñas indígenas.</w:t>
      </w:r>
    </w:p>
    <w:p w14:paraId="357A3B07" w14:textId="77777777" w:rsidR="00CD7A71" w:rsidRPr="00CD7A71" w:rsidRDefault="00CD7A71" w:rsidP="00CD7A71">
      <w:pPr>
        <w:pStyle w:val="SingleTxtG"/>
      </w:pPr>
      <w:r w:rsidRPr="00CD7A71">
        <w:t>8.</w:t>
      </w:r>
      <w:r w:rsidRPr="00CD7A71">
        <w:tab/>
        <w:t>Asimismo, el Estado reconoce como desafío pendiente el fortalecimiento de la articulación entre el sistema de justicia estatal y los tribunales de derecho propio, así como la incorporación integral de la pertinencia cultural y lingüística en la prestación de servicios públicos, especialmente en materia de salud y atención a la violencia de género en territorios indígenas.</w:t>
      </w:r>
    </w:p>
    <w:p w14:paraId="59BC2C27" w14:textId="77777777" w:rsidR="00CD7A71" w:rsidRDefault="00CD7A71" w:rsidP="00CD7A71">
      <w:pPr>
        <w:pStyle w:val="SingleTxtG"/>
      </w:pPr>
      <w:r w:rsidRPr="00CD7A71">
        <w:t>9.</w:t>
      </w:r>
      <w:r w:rsidRPr="00CD7A71">
        <w:tab/>
        <w:t>A lo largo de su desarrollo normativo e institucional, el Estado ha procurado incorporar las recomendaciones formuladas por los órganos de tratados, los procedimientos especiales y otros mecanismos internacionales de derechos humanos, y continuará redoblando esfuerzos para avanzar hacia la igualdad sustantiva, la no discriminación y la garantía de los derechos de todas las personas.</w:t>
      </w:r>
    </w:p>
    <w:p w14:paraId="74012F36" w14:textId="002BA4B0" w:rsidR="00CD7A71" w:rsidRPr="00CD7A71" w:rsidRDefault="00CD7A71" w:rsidP="00CD7A71">
      <w:pPr>
        <w:pStyle w:val="HChG"/>
      </w:pPr>
      <w:r>
        <w:lastRenderedPageBreak/>
        <w:tab/>
      </w:r>
      <w:r>
        <w:tab/>
      </w:r>
      <w:r w:rsidRPr="00CD7A71">
        <w:t xml:space="preserve">Información General </w:t>
      </w:r>
    </w:p>
    <w:p w14:paraId="6C7D286B" w14:textId="77777777" w:rsidR="00CD7A71" w:rsidRPr="00CD7A71" w:rsidRDefault="00CD7A71" w:rsidP="00CD7A71">
      <w:pPr>
        <w:pStyle w:val="SingleTxtG"/>
      </w:pPr>
      <w:r w:rsidRPr="00CD7A71">
        <w:t>10.</w:t>
      </w:r>
      <w:r w:rsidRPr="00CD7A71">
        <w:tab/>
        <w:t>La información sobre el marco constitucional, político, jurídico, institucional, así como los datos demográficos y socioeconómicos del Estado, se presenta en el Documento Básico Común, sometido por Costa Rica en 2026 de manera concurrente con el presente informe.</w:t>
      </w:r>
    </w:p>
    <w:p w14:paraId="1884902D" w14:textId="77777777" w:rsidR="00CD7A71" w:rsidRPr="00CD7A71" w:rsidRDefault="00CD7A71" w:rsidP="00CD7A71">
      <w:pPr>
        <w:pStyle w:val="SingleTxtG"/>
      </w:pPr>
      <w:r w:rsidRPr="00CD7A71">
        <w:t>11.</w:t>
      </w:r>
      <w:r w:rsidRPr="00CD7A71">
        <w:tab/>
        <w:t>Costa Rica cuenta con una población estimada de 5,19 millones de habitantes, con una composición diversa que incluye pueblos indígenas, población afrodescendiente y otros grupos étnicos.</w:t>
      </w:r>
    </w:p>
    <w:p w14:paraId="309BD934" w14:textId="77777777" w:rsidR="00CD7A71" w:rsidRPr="00CD7A71" w:rsidRDefault="00CD7A71" w:rsidP="00CD7A71">
      <w:pPr>
        <w:pStyle w:val="SingleTxtG"/>
      </w:pPr>
      <w:r w:rsidRPr="00CD7A71">
        <w:t>12.</w:t>
      </w:r>
      <w:r w:rsidRPr="00CD7A71">
        <w:tab/>
        <w:t>Desde la presentación de su último informe en 2014, el Estado ha continuado desarrollando su marco institucional y normativo en materia de derechos humanos, aspectos que se detallan en las respuestas a la lista de cuestiones. En particular, se destaca el funcionamiento de mecanismos de coordinación interinstitucional como la Comisión Interinstitucional para el Seguimiento e Implementación de las Obligaciones Internacionales de Derechos Humanos.</w:t>
      </w:r>
    </w:p>
    <w:p w14:paraId="65E864F9" w14:textId="77777777" w:rsidR="00CD7A71" w:rsidRPr="00CD7A71" w:rsidRDefault="00CD7A71" w:rsidP="00CD7A71">
      <w:pPr>
        <w:pStyle w:val="SingleTxtG"/>
      </w:pPr>
      <w:r w:rsidRPr="00CD7A71">
        <w:t>13.</w:t>
      </w:r>
      <w:r w:rsidRPr="00CD7A71">
        <w:tab/>
        <w:t>En el plano internacional, Costa Rica mantiene un firme compromiso con el sistema universal y el sistema interamericano de derechos humanos, habiendo ratificado la mayoría de los instrumentos internacionales relevantes. El Estado no ha formulado reservas a los tratados en los que es parte.</w:t>
      </w:r>
    </w:p>
    <w:p w14:paraId="6EF3D813" w14:textId="77777777" w:rsidR="00CD7A71" w:rsidRDefault="00CD7A71" w:rsidP="00CD7A71">
      <w:pPr>
        <w:pStyle w:val="SingleTxtG"/>
      </w:pPr>
      <w:r w:rsidRPr="00CD7A71">
        <w:t>14.</w:t>
      </w:r>
      <w:r w:rsidRPr="00CD7A71">
        <w:tab/>
        <w:t>Los desarrollos normativos, institucionales y de política pública más relevantes para la implementación del Pacto Internacional de Derechos Civiles y Políticos se presentan en las secciones sustantivas del presente documento, en respuesta a las cuestiones planteadas por el Comité.</w:t>
      </w:r>
    </w:p>
    <w:p w14:paraId="5057DB25" w14:textId="0CA56D77" w:rsidR="00CD7A71" w:rsidRDefault="00CD7A71" w:rsidP="00CD7A71">
      <w:pPr>
        <w:pStyle w:val="H1G"/>
      </w:pPr>
      <w:r>
        <w:tab/>
      </w:r>
      <w:r>
        <w:tab/>
      </w:r>
      <w:r w:rsidRPr="00CD7A71">
        <w:t>Respuestas a la lista de cuestiones previa a la presentación del informe (</w:t>
      </w:r>
      <w:hyperlink r:id="rId11" w:history="1">
        <w:r w:rsidRPr="00B32183">
          <w:rPr>
            <w:rStyle w:val="Hyperlink"/>
          </w:rPr>
          <w:t>CCPR/C/CRI/QPR/7</w:t>
        </w:r>
      </w:hyperlink>
      <w:r>
        <w:t>)</w:t>
      </w:r>
      <w:r w:rsidRPr="00CD7A71">
        <w:t xml:space="preserve"> </w:t>
      </w:r>
    </w:p>
    <w:p w14:paraId="5F15D692" w14:textId="3CCCAFD6" w:rsidR="00CD7A71" w:rsidRPr="00CD7A71" w:rsidRDefault="00CD7A71" w:rsidP="00CD7A71">
      <w:pPr>
        <w:pStyle w:val="H23G"/>
      </w:pPr>
      <w:r>
        <w:rPr>
          <w:lang w:val="es-ES_tradnl"/>
        </w:rPr>
        <w:tab/>
      </w:r>
      <w:r>
        <w:rPr>
          <w:lang w:val="es-ES_tradnl"/>
        </w:rPr>
        <w:tab/>
      </w:r>
      <w:r w:rsidRPr="00CD7A71">
        <w:rPr>
          <w:lang w:val="es-ES_tradnl"/>
        </w:rPr>
        <w:t>Respuesta al párrafo</w:t>
      </w:r>
      <w:r w:rsidRPr="00CD7A71">
        <w:rPr>
          <w:lang w:val="es-ES_tradnl"/>
        </w:rPr>
        <w:t xml:space="preserve"> 1</w:t>
      </w:r>
    </w:p>
    <w:p w14:paraId="1A5BC15F" w14:textId="2ED584E4" w:rsidR="00CD7A71" w:rsidRDefault="00CD7A71" w:rsidP="00CD7A71">
      <w:pPr>
        <w:pStyle w:val="SingleTxtG"/>
      </w:pPr>
      <w:r w:rsidRPr="00CD7A71">
        <w:t>15.</w:t>
      </w:r>
      <w:r w:rsidRPr="00CD7A71">
        <w:tab/>
        <w:t xml:space="preserve">Costa Rica es una República democrática, libre, independiente, multiétnica y pluricultural, con un sistema de gobierno que reposa en la división de poderes y en un Estado Social de Derecho. </w:t>
      </w:r>
    </w:p>
    <w:p w14:paraId="6147FFBA" w14:textId="77777777" w:rsidR="00CD7A71" w:rsidRDefault="00CD7A71" w:rsidP="00CD7A71">
      <w:pPr>
        <w:pStyle w:val="SingleTxtG"/>
      </w:pPr>
      <w:r w:rsidRPr="00CD7A71">
        <w:t>16.</w:t>
      </w:r>
      <w:r w:rsidRPr="00CD7A71">
        <w:tab/>
        <w:t>El Estado ha ratificado nueve tratados internacionales de derechos humanos, nueve protocolos facultativos y aceptó siete de los procedimientos de comunicaciones individuales.</w:t>
      </w:r>
    </w:p>
    <w:p w14:paraId="528067C4" w14:textId="77777777" w:rsidR="00CD7A71" w:rsidRDefault="00CD7A71" w:rsidP="00CD7A71">
      <w:pPr>
        <w:pStyle w:val="SingleTxtG"/>
      </w:pPr>
      <w:r w:rsidRPr="00CD7A71">
        <w:t>17.</w:t>
      </w:r>
      <w:r w:rsidRPr="00CD7A71">
        <w:tab/>
        <w:t>Adicionalmente, el país mantiene una invitación abierta y permanente a todos los mecanismos internacionales de derechos humanos a visitar el país.</w:t>
      </w:r>
    </w:p>
    <w:p w14:paraId="2C1B5020" w14:textId="77777777" w:rsidR="00CD7A71" w:rsidRDefault="00CD7A71" w:rsidP="00CD7A71">
      <w:pPr>
        <w:pStyle w:val="SingleTxtG"/>
      </w:pPr>
      <w:r w:rsidRPr="00CD7A71">
        <w:t>18.</w:t>
      </w:r>
      <w:r w:rsidRPr="00CD7A71">
        <w:tab/>
        <w:t>En 2016 ratificó la Convención Interamericana sobre la Protección de los Derechos Humanos de las Personas Mayores.</w:t>
      </w:r>
    </w:p>
    <w:p w14:paraId="0565C302" w14:textId="77777777" w:rsidR="00CD7A71" w:rsidRDefault="00CD7A71" w:rsidP="00CD7A71">
      <w:pPr>
        <w:pStyle w:val="SingleTxtG"/>
      </w:pPr>
      <w:r w:rsidRPr="00CD7A71">
        <w:t>19.</w:t>
      </w:r>
      <w:r w:rsidRPr="00CD7A71">
        <w:tab/>
        <w:t xml:space="preserve">Como parte del cumplimiento de sus obligaciones internacionales de derechos humanos, en el último periodo se presentaron los siguientes informes: V y VI Informe ante el CDN; III y IV Informe ante el CAT; I Informe al CED; VIII Informe ante la CEDAW; II y III Informe ante el CDPD. </w:t>
      </w:r>
    </w:p>
    <w:p w14:paraId="38209243" w14:textId="77777777" w:rsidR="00CD7A71" w:rsidRDefault="00CD7A71" w:rsidP="00CD7A71">
      <w:pPr>
        <w:pStyle w:val="SingleTxtG"/>
      </w:pPr>
      <w:r w:rsidRPr="00CD7A71">
        <w:t>20.</w:t>
      </w:r>
      <w:r w:rsidRPr="00CD7A71">
        <w:tab/>
        <w:t>En 2026, el Estado presentó ante las Naciones Unidas la actualización del Documento Básico Común.</w:t>
      </w:r>
    </w:p>
    <w:p w14:paraId="6134E7ED" w14:textId="77777777" w:rsidR="00CD7A71" w:rsidRDefault="00CD7A71" w:rsidP="00CD7A71">
      <w:pPr>
        <w:pStyle w:val="SingleTxtG"/>
      </w:pPr>
      <w:r w:rsidRPr="00CD7A71">
        <w:t>21.</w:t>
      </w:r>
      <w:r w:rsidRPr="00CD7A71">
        <w:tab/>
        <w:t>En 2019 el país recibió la visita del Subcomité para la Prevención de la Tortura y otros Tratos o Penas Crueles, Inhumanos o Degradantes</w:t>
      </w:r>
    </w:p>
    <w:p w14:paraId="68A4174F" w14:textId="77777777" w:rsidR="00CD7A71" w:rsidRDefault="00CD7A71" w:rsidP="00CD7A71">
      <w:pPr>
        <w:pStyle w:val="SingleTxtG"/>
      </w:pPr>
      <w:r w:rsidRPr="00CD7A71">
        <w:t>22.</w:t>
      </w:r>
      <w:r w:rsidRPr="00CD7A71">
        <w:tab/>
        <w:t xml:space="preserve">El país ha conocido en la última década reformas constitucionales y legales de gran trascendencia para los derechos humanos que se describen en los apartados siguientes según la temática. </w:t>
      </w:r>
    </w:p>
    <w:p w14:paraId="151B9286" w14:textId="77777777" w:rsidR="00CD7A71" w:rsidRDefault="00CD7A71" w:rsidP="00CD7A71">
      <w:pPr>
        <w:pStyle w:val="SingleTxtG"/>
      </w:pPr>
      <w:r w:rsidRPr="00CD7A71">
        <w:t>23.</w:t>
      </w:r>
      <w:r w:rsidRPr="00CD7A71">
        <w:tab/>
        <w:t>En el marco de la adecuación del ordenamiento jurídico interno al Derecho Internacional Humanitario, actualmente se está en proceso de preparar una reforma legislativa al Código Penal, para la implementación de los crímenes contemplados en el Estatuto de la Corte Penal Internacional, incluidas las enmiendas de Kampala.</w:t>
      </w:r>
    </w:p>
    <w:p w14:paraId="2DDEE86E" w14:textId="77777777" w:rsidR="00CD7A71" w:rsidRDefault="00CD7A71" w:rsidP="00CD7A71">
      <w:pPr>
        <w:pStyle w:val="SingleTxtG"/>
      </w:pPr>
      <w:r w:rsidRPr="00CD7A71">
        <w:lastRenderedPageBreak/>
        <w:t>24.</w:t>
      </w:r>
      <w:r w:rsidRPr="00CD7A71">
        <w:tab/>
        <w:t xml:space="preserve">En 2018 se declaró agosto como el Mes Histórico de la </w:t>
      </w:r>
      <w:proofErr w:type="spellStart"/>
      <w:r w:rsidRPr="00CD7A71">
        <w:t>Afrodescendencia</w:t>
      </w:r>
      <w:proofErr w:type="spellEnd"/>
      <w:r w:rsidRPr="00CD7A71">
        <w:t xml:space="preserve"> en Costa Rica, mediante la aprobación de una ley que insta a todas las instituciones públicas a destinar recursos o realizar donaciones para divulgar y celebrar los hechos históricos relacionados con la población afrodescendiente. La normativa dispone la incorporación de esta conmemoración en el calendario escolar y en los programas de estudio, para fortalecer la educación en valores de respeto, igualdad y reconocimiento de la diversidad cultural.</w:t>
      </w:r>
    </w:p>
    <w:p w14:paraId="7B9E2013" w14:textId="77777777" w:rsidR="00CD7A71" w:rsidRDefault="00CD7A71" w:rsidP="00CD7A71">
      <w:pPr>
        <w:pStyle w:val="SingleTxtG"/>
      </w:pPr>
      <w:r w:rsidRPr="00CD7A71">
        <w:t>25.</w:t>
      </w:r>
      <w:r w:rsidRPr="00CD7A71">
        <w:tab/>
        <w:t xml:space="preserve">Costa Rica experimentó un cambio histórico a partir del 2020 para la protección de los derechos humanos, incluyendo de la población sexualmente diversa, luego del pronunciamiento de la Corte Interamericana de Derechos Humanos (OC-24/17), solicitada por el Gobierno en 2016. En atención a dicha Opinión Consultiva, la Sala Constitucional de la Corte Suprema de Justicia, declaró inconstitucional la prohibición del matrimonio entre personas del mismo sexo contemplada en el Código de Familia, que permitió el reconocimiento legal de dichas uniones y todos los derechos asociados, a partir del 26 de mayo de 2020. </w:t>
      </w:r>
    </w:p>
    <w:p w14:paraId="75432466" w14:textId="77777777" w:rsidR="00CD7A71" w:rsidRDefault="00CD7A71" w:rsidP="00CD7A71">
      <w:pPr>
        <w:pStyle w:val="SingleTxtG"/>
      </w:pPr>
      <w:r w:rsidRPr="00CD7A71">
        <w:t>26.</w:t>
      </w:r>
      <w:r w:rsidRPr="00CD7A71">
        <w:tab/>
        <w:t>Como miembro del Consejo de Derechos Humanos en el período 2023-2025, el país promueve una visión transversal de los derechos humanos, mediante el diálogo político y la coordinación con todos los actores.</w:t>
      </w:r>
    </w:p>
    <w:p w14:paraId="2678BEFC" w14:textId="77777777" w:rsidR="00CD7A71" w:rsidRDefault="00CD7A71" w:rsidP="00CD7A71">
      <w:pPr>
        <w:pStyle w:val="SingleTxtG"/>
      </w:pPr>
      <w:r w:rsidRPr="00CD7A71">
        <w:t>27.</w:t>
      </w:r>
      <w:r w:rsidRPr="00CD7A71">
        <w:tab/>
        <w:t>Costa Rica desempeña un papel de liderazgo en la adopción de nuevos estándares en derechos humanos, como la proclama del derecho humano a un medio ambiente limpio, saludable y sostenible en el Consejo de Derechos Humanos y la Asamblea General de Naciones Unidas, respectivamente; la declaración del Día Internacional de los Afrodescendientes, y el establecimiento del Foro Permanente de los Afrodescendientes.</w:t>
      </w:r>
    </w:p>
    <w:p w14:paraId="17566761" w14:textId="77777777" w:rsidR="00CD7A71" w:rsidRDefault="00CD7A71" w:rsidP="00CD7A71">
      <w:pPr>
        <w:pStyle w:val="SingleTxtG"/>
      </w:pPr>
      <w:r w:rsidRPr="00CD7A71">
        <w:t>28.</w:t>
      </w:r>
      <w:r w:rsidRPr="00CD7A71">
        <w:tab/>
        <w:t xml:space="preserve">Costa Rica se integró como miembro pleno de la Organización para la Cooperación y el Desarrollo Económico en 2021, abriendo nuevas oportunidades de mejora en múltiples áreas del desarrollo sostenible, innovación en el sector público, el diseño de política pública de prospección, información estadística para la toma de decisiones, y una participación más robusta de actores no gubernamentales. </w:t>
      </w:r>
    </w:p>
    <w:p w14:paraId="73D72029" w14:textId="77777777" w:rsidR="00CD7A71" w:rsidRDefault="00CD7A71" w:rsidP="00CD7A71">
      <w:pPr>
        <w:pStyle w:val="SingleTxtG"/>
      </w:pPr>
      <w:r w:rsidRPr="00CD7A71">
        <w:t>29.</w:t>
      </w:r>
      <w:r w:rsidRPr="00CD7A71">
        <w:tab/>
        <w:t xml:space="preserve">Costa Rica se convirtió en el primer país del mundo en reafirmar un compromiso colectivo de alto nivel para alcanzar los Objetivos de Desarrollo Sostenible (ODS), tras la firma en 2016 de un Pacto Nacional que busca lograr cambios estructurales de largo plazo bajo un desarrollo inclusivo con sostenibilidad ambiental con el fin de “No dejar a nadie atrás‟, sentó las bases, para la construcción de una estructura de gobernanza inclusiva, diversa y </w:t>
      </w:r>
      <w:proofErr w:type="spellStart"/>
      <w:r w:rsidRPr="00CD7A71">
        <w:t>multiactor</w:t>
      </w:r>
      <w:proofErr w:type="spellEnd"/>
      <w:r w:rsidRPr="00CD7A71">
        <w:t xml:space="preserve"> para la implementación de los ODS.</w:t>
      </w:r>
    </w:p>
    <w:p w14:paraId="6EA68647" w14:textId="77777777" w:rsidR="00CD7A71" w:rsidRDefault="00CD7A71" w:rsidP="00CD7A71">
      <w:pPr>
        <w:pStyle w:val="SingleTxtG"/>
      </w:pPr>
      <w:r w:rsidRPr="00CD7A71">
        <w:t>30.</w:t>
      </w:r>
      <w:r w:rsidRPr="00CD7A71">
        <w:tab/>
        <w:t>El país ejerció un liderazgo diplomático en la adopción de la resolución A/79/325 por la Asamblea General de Naciones Unidas en 2025, que establece, por primera vez, un marco multilateral inclusivo para la gobernanza global de la inteligencia artificial, garantizando una participación equitativa de los Estados y promoviendo su desarrollo conforme a principios éticos, cooperación internacional y respeto de los derechos humanos. Ese mismo año, el país firmó la Convención de las Naciones Unidas contra la Ciberdelincuencia, tras haber participado activamente en el proceso de negociación desde sus inicios.</w:t>
      </w:r>
    </w:p>
    <w:p w14:paraId="3F35A624" w14:textId="77777777" w:rsidR="00CD7A71" w:rsidRDefault="00CD7A71" w:rsidP="00CD7A71">
      <w:pPr>
        <w:pStyle w:val="SingleTxtG"/>
      </w:pPr>
      <w:r w:rsidRPr="00CD7A71">
        <w:t>31.</w:t>
      </w:r>
      <w:r w:rsidRPr="00CD7A71">
        <w:tab/>
        <w:t xml:space="preserve">A nivel institucional, el país ha fortalecido la planificación estratégica mediante la implementación del Plan Nacional de Desarrollo e Inversión Pública. El plan 2019-2022 introdujo por primera vez la participación ciudadana para orientar al Gobierno y a los tomadores de decisiones en relación con las necesidades reales de la población, mientras que el plan 2023-2026, vinculó por primera vez las políticas nacionales con los ODS, el Consenso de Montevideo, los estándares y recomendaciones de la OCDE, integrando transversalmente los enfoques de género, derechos humanos, desarrollo territorial y gestión de riesgos. </w:t>
      </w:r>
    </w:p>
    <w:p w14:paraId="3DE57735" w14:textId="77777777" w:rsidR="00CD7A71" w:rsidRDefault="00CD7A71" w:rsidP="00CD7A71">
      <w:pPr>
        <w:pStyle w:val="SingleTxtG"/>
      </w:pPr>
      <w:r w:rsidRPr="00CD7A71">
        <w:t>32.</w:t>
      </w:r>
      <w:r w:rsidRPr="00CD7A71">
        <w:tab/>
        <w:t xml:space="preserve">En 2019, Costa Rica lanzó el Plan para la descarbonización al 2050, con el compromiso de convertirse en una economía moderna, verde y libre de emisiones. </w:t>
      </w:r>
    </w:p>
    <w:p w14:paraId="4FDD19E3" w14:textId="77777777" w:rsidR="00CD7A71" w:rsidRDefault="00CD7A71" w:rsidP="00CD7A71">
      <w:pPr>
        <w:pStyle w:val="SingleTxtG"/>
      </w:pPr>
      <w:r w:rsidRPr="00CD7A71">
        <w:t>33.</w:t>
      </w:r>
      <w:r w:rsidRPr="00CD7A71">
        <w:tab/>
        <w:t>Costa Rica posee una arquitectura robusta de instituciones dedicadas a tutelar derechos de poblaciones de especial protección, así como múltiples instancias de coordinación interinstitucional, sobre las cuales se amplía en las secciones siguientes. Cabe destacar que la Defensoría de los Habitantes, consolidó en 2024 su reacreditación con estatus A.</w:t>
      </w:r>
    </w:p>
    <w:p w14:paraId="0609F58E" w14:textId="77777777" w:rsidR="00CD7A71" w:rsidRDefault="00CD7A71" w:rsidP="00CD7A71">
      <w:pPr>
        <w:pStyle w:val="SingleTxtG"/>
      </w:pPr>
      <w:r w:rsidRPr="00CD7A71">
        <w:lastRenderedPageBreak/>
        <w:t>34.</w:t>
      </w:r>
      <w:r w:rsidRPr="00CD7A71">
        <w:tab/>
        <w:t>El Grupo Instituto Costarricense de Electricidad, conglomerado de empresas del Estado dedicadas a la electrificación y telecomunicaciones, con un sentido social y ambiental, es la primera empresa propiedad del Estado en suscribir en 2023 el compromiso de “Debida Diligencia de los Derechos Humanos”, poniendo en marcha un proceso permanente de debida diligencia en todas sus operaciones, cadenas de suministro y relaciones comerciales. Este proceso es un hito para el país, en línea con los Principios Rectores sobre Empresas y Derechos Humanos y los estándares de la OCDE.</w:t>
      </w:r>
    </w:p>
    <w:p w14:paraId="104F9829" w14:textId="7D2FF784"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 xml:space="preserve">2 </w:t>
      </w:r>
    </w:p>
    <w:p w14:paraId="5C79727E" w14:textId="77777777" w:rsidR="00CD7A71" w:rsidRDefault="00CD7A71" w:rsidP="00CD7A71">
      <w:pPr>
        <w:pStyle w:val="SingleTxtG"/>
      </w:pPr>
      <w:r w:rsidRPr="00CD7A71">
        <w:t>35.</w:t>
      </w:r>
      <w:r w:rsidRPr="00CD7A71">
        <w:tab/>
        <w:t>a) El Estado costarricense, por medio del Poder Judicial y otras instituciones, ha continuado promoviendo la difusión del Pacto Internacional de Derechos Civiles y Políticos y de sus Protocolos Facultativos entre los operadores de justicia y la ciudadanía.</w:t>
      </w:r>
    </w:p>
    <w:p w14:paraId="7FFCF22B" w14:textId="77777777" w:rsidR="00CD7A71" w:rsidRDefault="00CD7A71" w:rsidP="00CD7A71">
      <w:pPr>
        <w:pStyle w:val="SingleTxtG"/>
      </w:pPr>
      <w:r w:rsidRPr="00CD7A71">
        <w:t>36.</w:t>
      </w:r>
      <w:r w:rsidRPr="00CD7A71">
        <w:tab/>
        <w:t>Desde la aprobación de las Reglas de Brasilia de Acceso a la Justicia, reformuladas en el 2019, el Poder Judicial cuenta con políticas institucionales y lineamientos específicos para distintas poblaciones, entre ellas, LGTBIQ+, afrodescendientes, Pueblos Indígenas, niñez y adolescencia, mujeres, personas adultas mayores, personas con discapacidad, jóvenes en conflicto con la ley penal, personas privadas de libertad, a fin de garantizar el respeto y la protección de sus derechos humanos y su acceso a la justicia.</w:t>
      </w:r>
    </w:p>
    <w:p w14:paraId="1B0AA4A6" w14:textId="77777777" w:rsidR="00CD7A71" w:rsidRDefault="00CD7A71" w:rsidP="00CD7A71">
      <w:pPr>
        <w:pStyle w:val="SingleTxtG"/>
      </w:pPr>
      <w:r w:rsidRPr="00CD7A71">
        <w:t>37.</w:t>
      </w:r>
      <w:r w:rsidRPr="00CD7A71">
        <w:tab/>
        <w:t xml:space="preserve">La Corte Plena aprobó la Circular No.188-2019, que establece 19 ejes de acción que deben cumplir las oficinas judiciales para garantizar los derechos y particularidades de los Pueblos Indígenas. </w:t>
      </w:r>
    </w:p>
    <w:p w14:paraId="7EB00E36" w14:textId="77777777" w:rsidR="00CD7A71" w:rsidRDefault="00CD7A71" w:rsidP="00CD7A71">
      <w:pPr>
        <w:pStyle w:val="SingleTxtG"/>
      </w:pPr>
      <w:r w:rsidRPr="00CD7A71">
        <w:t>38.</w:t>
      </w:r>
      <w:r w:rsidRPr="00CD7A71">
        <w:tab/>
        <w:t>La Comisión Nacional para el Mejoramiento de la Administración de Justicia, del Poder Judicial, impulsó desde el 2021 la definición e implementación de variables sobre orientación sexual e identidad de género en los sistemas de gestión judicial y la elaboración de un Plan de Recolección de Datos de Personas LGBTIQ+, con la participación directa de representantes de esta población. Las variables fueron aprobadas por el Consejo Superior y se realizó un plan piloto. En 2025 se realizaron actividades dirigidas a la información y sensibilización sobre la importancia de la recolección de estas variables tanto, dirigidas a la sociedad en general como al personal judicial. También se elaboró un curso virtual para capacitar al personal que tiene la tarea de recolectar los datos en los despachos y oficinas judiciales.</w:t>
      </w:r>
    </w:p>
    <w:p w14:paraId="784694BC" w14:textId="77777777" w:rsidR="00CD7A71" w:rsidRDefault="00CD7A71" w:rsidP="00CD7A71">
      <w:pPr>
        <w:pStyle w:val="SingleTxtG"/>
      </w:pPr>
      <w:r w:rsidRPr="00CD7A71">
        <w:t>39.</w:t>
      </w:r>
      <w:r w:rsidRPr="00CD7A71">
        <w:tab/>
        <w:t>b) La Escuela Judicial ha consolidado lineamientos pedagógicos para transversalizar el enfoque de derechos humanos en todos sus programas formativos, dirigidos a personas juzgadoras, fiscales, defensoras públicas y peritas, personal técnico, administrativo y de cuido, y a miembros de la comunidad.</w:t>
      </w:r>
    </w:p>
    <w:p w14:paraId="09966F7E" w14:textId="77777777" w:rsidR="00CD7A71" w:rsidRDefault="00CD7A71" w:rsidP="00CD7A71">
      <w:pPr>
        <w:pStyle w:val="SingleTxtG"/>
      </w:pPr>
      <w:r w:rsidRPr="00CD7A71">
        <w:t>40.</w:t>
      </w:r>
      <w:r w:rsidRPr="00CD7A71">
        <w:tab/>
        <w:t>Entre los cursos destacan, Derechos Humanos de poblaciones en condición de vulnerabilidad en conflicto con la ley con 120 personas aprobadas en 2017; Derechos Humanos y Justicia Penal con 10 personas aprobadas en 2020 y 2022; Derechos Humanos y Estándares Internacionales con 92 personas aprobadas entre 2016 y 2023; Derechos Humanos Sexuales y Reproductivos con 153 personas aprobadas entre 2016 y 2023; y Derechos Humanos retos en el contexto migratorio actual con 26 personas aprobadas en 2025.</w:t>
      </w:r>
    </w:p>
    <w:p w14:paraId="0F1F4105" w14:textId="77777777" w:rsidR="00CD7A71" w:rsidRDefault="00CD7A71" w:rsidP="00CD7A71">
      <w:pPr>
        <w:pStyle w:val="SingleTxtG"/>
      </w:pPr>
      <w:r w:rsidRPr="00CD7A71">
        <w:t>41.</w:t>
      </w:r>
      <w:r w:rsidRPr="00CD7A71">
        <w:tab/>
        <w:t xml:space="preserve">Asimismo, programas estructurales como el Curso de Formación Inicial a Aspirantes de la Judicatura y las Especializaciones en Derecho de Familia y Penal Juvenil incluyen módulos dedicados al estudio y aplicación del Pacto y de otros instrumentos internacionales de derechos humanos. La Comisión de Acceso a la Justicia del Poder Judicial y sus subcomisiones trabajan de manera permanente con la Escuela Judicial para fortalecer estos procesos de formación y sensibilización. </w:t>
      </w:r>
    </w:p>
    <w:p w14:paraId="5E4C2DA9" w14:textId="77777777" w:rsidR="00CD7A71" w:rsidRDefault="00CD7A71" w:rsidP="00CD7A71">
      <w:pPr>
        <w:pStyle w:val="SingleTxtG"/>
      </w:pPr>
      <w:r w:rsidRPr="00CD7A71">
        <w:t>42.</w:t>
      </w:r>
      <w:r w:rsidRPr="00CD7A71">
        <w:tab/>
        <w:t xml:space="preserve">De manera complementaria, el Poder Judicial desarrolló y facilitó a las personas servidoras judiciales, incluida la judicatura, el Programa virtual obligatorio de formación Acceso a la Justicia, compuesto por una serie de cursos orientados a promover el conocimiento y respeto de los derechos de todas las personas y de las poblaciones en condición de vulnerabilidad, así como la comprensión del papel del Poder Judicial en la protección y tutela de los derechos humanos, en consonancia con la normativa nacional e internacional. Como parte de esta oferta se destacan los temas relacionados con la población </w:t>
      </w:r>
      <w:r w:rsidRPr="00CD7A71">
        <w:lastRenderedPageBreak/>
        <w:t xml:space="preserve">LGBTIQ+, personas con discapacidad, población privada de libertad, pueblos indígenas, niñez y adolescencia, entre otros. </w:t>
      </w:r>
    </w:p>
    <w:p w14:paraId="7E036DF2" w14:textId="77777777" w:rsidR="00CD7A71" w:rsidRDefault="00CD7A71" w:rsidP="00CD7A71">
      <w:pPr>
        <w:pStyle w:val="SingleTxtG"/>
      </w:pPr>
      <w:r w:rsidRPr="00CD7A71">
        <w:t>43.</w:t>
      </w:r>
      <w:r w:rsidRPr="00CD7A71">
        <w:tab/>
        <w:t>En la misma línea, el Poder Judicial, capacita al personal judicial en herramientas que faciliten un servicio accesible, destacándose la promoción del aprendizaje de la Lengua de Señas Costarricense (LESCO), entre otras acciones.</w:t>
      </w:r>
    </w:p>
    <w:p w14:paraId="17C8532F" w14:textId="77777777" w:rsidR="00CD7A71" w:rsidRDefault="00CD7A71" w:rsidP="00CD7A71">
      <w:pPr>
        <w:pStyle w:val="SingleTxtG"/>
      </w:pPr>
      <w:r w:rsidRPr="00CD7A71">
        <w:t>44.</w:t>
      </w:r>
      <w:r w:rsidRPr="00CD7A71">
        <w:tab/>
        <w:t xml:space="preserve">c) El Pacto Internacional de Derechos Civiles y Políticos tiene plena aplicabilidad directa en el ordenamiento jurídico costarricense, conforme al artículo 7 de la Constitución Política y a la jurisprudencia constante de la Sala Constitucional, que reconoce jerarquía supralegal a los tratados internacionales sobre derechos humanos. </w:t>
      </w:r>
    </w:p>
    <w:p w14:paraId="5CEA1137" w14:textId="77777777" w:rsidR="00CD7A71" w:rsidRDefault="00CD7A71" w:rsidP="00CD7A71">
      <w:pPr>
        <w:pStyle w:val="SingleTxtG"/>
      </w:pPr>
      <w:r w:rsidRPr="00CD7A71">
        <w:t>45.</w:t>
      </w:r>
      <w:r w:rsidRPr="00CD7A71">
        <w:tab/>
        <w:t xml:space="preserve">Los tribunales han reconocido y garantizado los derechos de las víctimas, en particular su derecho a ser escuchadas en el debate, incluso si no fueron ofrecidas formalmente como testigos, y se ha valorado la violencia vicaria como circunstancia relevante aun cuando no haya sido incluida expresamente en la acusación. </w:t>
      </w:r>
    </w:p>
    <w:p w14:paraId="04E47A58" w14:textId="77777777" w:rsidR="00CD7A71" w:rsidRDefault="00CD7A71" w:rsidP="00CD7A71">
      <w:pPr>
        <w:pStyle w:val="SingleTxtG"/>
      </w:pPr>
      <w:r w:rsidRPr="00CD7A71">
        <w:t>46.</w:t>
      </w:r>
      <w:r w:rsidRPr="00CD7A71">
        <w:tab/>
        <w:t xml:space="preserve">Se ha resuelto que el rechazo de sustitución de la pena en casos de personas con adicción a las drogas, en situación de indigencia y desempleo, resulta contrario al principio de legalidad y al fin resocializador de la pena. </w:t>
      </w:r>
    </w:p>
    <w:p w14:paraId="56906961" w14:textId="77777777" w:rsidR="00CD7A71" w:rsidRDefault="00CD7A71" w:rsidP="00CD7A71">
      <w:pPr>
        <w:pStyle w:val="SingleTxtG"/>
      </w:pPr>
      <w:r w:rsidRPr="00CD7A71">
        <w:t>47.</w:t>
      </w:r>
      <w:r w:rsidRPr="00CD7A71">
        <w:tab/>
        <w:t xml:space="preserve">Se ha declarado la ilegitimidad de detenciones producto de retenes policiales indiscriminados y sin justificación, reforzando la garantía contra la privación arbitraria de libertad. Se han anulado resoluciones por vulneraciones al principio de imparcialidad en materia penal, por deficiencias en el ejercicio de la defensa técnica, y por afectaciones al derecho de la víctima a ser escuchada. De igual manera, se ha hecho referencia al principio del juez natural, especialmente en procesos de violencia doméstica, reafirmando la necesidad de una jurisdicción competente y especializada en estos asuntos. </w:t>
      </w:r>
    </w:p>
    <w:p w14:paraId="593E5826" w14:textId="6B77BD48"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3</w:t>
      </w:r>
    </w:p>
    <w:p w14:paraId="2C4E4A4C" w14:textId="77777777" w:rsidR="00CD7A71" w:rsidRDefault="00CD7A71" w:rsidP="00CD7A71">
      <w:pPr>
        <w:pStyle w:val="SingleTxtG"/>
      </w:pPr>
      <w:r w:rsidRPr="00CD7A71">
        <w:t>48.</w:t>
      </w:r>
      <w:r w:rsidRPr="00CD7A71">
        <w:tab/>
        <w:t>La Comisión Interinstitucional para el Seguimiento e Implementación de las Obligaciones Internacionales de Derechos Humanos (CIIDDHH) creada mediante el Decreto 36776-RE, es coordinada por el Ministerio de Relaciones Exteriores y Culto e integrada por los representantes de las distintas instituciones públicas, y por representantes del Poder Judicial, el Tribunal Supremo de Elecciones, la Defensoría de los Habitantes y la Asamblea Legislativa. Todas las personas funcionarias que integran esta Comisión sirven en sus cargos en forma ad honórem.</w:t>
      </w:r>
    </w:p>
    <w:p w14:paraId="5625E6B1" w14:textId="77777777" w:rsidR="00CD7A71" w:rsidRDefault="00CD7A71" w:rsidP="00CD7A71">
      <w:pPr>
        <w:pStyle w:val="SingleTxtG"/>
      </w:pPr>
      <w:r w:rsidRPr="00CD7A71">
        <w:t>49.</w:t>
      </w:r>
      <w:r w:rsidRPr="00CD7A71">
        <w:tab/>
        <w:t>La CIIDDHH no cuenta con presupuesto propio ni con personal exclusivo para el desarrollo de sus funciones. Esta carencia de recursos financieros y humanos constituye una limitación estructural que incide en su capacidad para garantizar un seguimiento sistemático y efectivo de las recomendaciones internacionales sobre derechos humanos. No obstante, la Comisión ha adoptado medidas para fortalecer sus capacidades técnicas mediante la creación de subcomisiones de trabajo, tanto permanentes como transitorias, así como mediante la celebración de reuniones periódicas cada dos meses y sesiones extraordinarias cuando la agenda de trabajo lo requiere.</w:t>
      </w:r>
    </w:p>
    <w:p w14:paraId="0BDBCDF9" w14:textId="77777777" w:rsidR="00CD7A71" w:rsidRDefault="00CD7A71" w:rsidP="00CD7A71">
      <w:pPr>
        <w:pStyle w:val="SingleTxtG"/>
      </w:pPr>
      <w:r w:rsidRPr="00CD7A71">
        <w:t>50.</w:t>
      </w:r>
      <w:r w:rsidRPr="00CD7A71">
        <w:tab/>
        <w:t>La Comisión ha recibido apoyo técnico constante de la Oficina del Alto Comisionado de las Naciones Unidas para los Derechos Humanos (OACNUDH), mediante la asesoría de un especialista en derechos humanos, quien brinda acompañamiento en la planificación, seguimiento de recomendaciones internacionales y fortalecimiento de capacidades institucionales.</w:t>
      </w:r>
    </w:p>
    <w:p w14:paraId="7427928F" w14:textId="77777777" w:rsidR="00CD7A71" w:rsidRDefault="00CD7A71" w:rsidP="00CD7A71">
      <w:pPr>
        <w:pStyle w:val="SingleTxtG"/>
      </w:pPr>
      <w:r w:rsidRPr="00CD7A71">
        <w:t>51.</w:t>
      </w:r>
      <w:r w:rsidRPr="00CD7A71">
        <w:tab/>
        <w:t xml:space="preserve">a) La CIIDDHH desarrolló la construcción de la Política Nacional para una Sociedad Libre de Racismo, Discriminación Racial y Xenofobia (2014-2025), en conjunto con los pueblos y poblaciones destinatarias de esta, como resultado de las recomendaciones del Comité para la Eliminación de la Discriminación Racial. En el marco del proceso de revisión de esta Política, la Comisión se encuentra trabajando en la elaboración de una Estrategia Nacional, para lo cual, un equipo de la CIIDDHH realizó, en junio de 2025, talleres informativos en dos territorios indígenas, Talamanca-Bribri y Talamanca-Cabécar y en las comunidades del Caribe Sur, Cahuita, Puerto Viejo.  </w:t>
      </w:r>
    </w:p>
    <w:p w14:paraId="69881023" w14:textId="77777777" w:rsidR="00CD7A71" w:rsidRDefault="00CD7A71" w:rsidP="00CD7A71">
      <w:pPr>
        <w:pStyle w:val="SingleTxtG"/>
      </w:pPr>
      <w:r w:rsidRPr="00CD7A71">
        <w:lastRenderedPageBreak/>
        <w:t>52.</w:t>
      </w:r>
      <w:r w:rsidRPr="00CD7A71">
        <w:tab/>
        <w:t>En 2024, Costa Rica presentó su IV Informe Nacional ante el Examen Periódico Universal del Consejo de Derechos Humanos de las Naciones Unidas, proceso que contó con la participación de representantes de alto nivel de los tres poderes del Estado. La CIIDDHH, desempeñó un papel fundamental para asegurar la coherencia interinstitucional y la participación integral del Estado en el examen. Durante 2025, la Comisión trabaja en el seguimiento a la implementación de las recomendaciones aceptadas por el país.</w:t>
      </w:r>
    </w:p>
    <w:p w14:paraId="6594FFF2" w14:textId="77777777" w:rsidR="00CD7A71" w:rsidRDefault="00CD7A71" w:rsidP="00CD7A71">
      <w:pPr>
        <w:pStyle w:val="SingleTxtG"/>
      </w:pPr>
      <w:r w:rsidRPr="00CD7A71">
        <w:t>53.</w:t>
      </w:r>
      <w:r w:rsidRPr="00CD7A71">
        <w:tab/>
        <w:t>Dentro de los planes de trabajo anuales, la CIIDDHH promueve actividades de rendición de cuentas e identificación de prioridades nacionales en materia de derechos humanos.</w:t>
      </w:r>
    </w:p>
    <w:p w14:paraId="4DCFECC5" w14:textId="77777777" w:rsidR="00CD7A71" w:rsidRDefault="00CD7A71" w:rsidP="00CD7A71">
      <w:pPr>
        <w:pStyle w:val="SingleTxtG"/>
      </w:pPr>
      <w:r w:rsidRPr="00CD7A71">
        <w:t>54.</w:t>
      </w:r>
      <w:r w:rsidRPr="00CD7A71">
        <w:tab/>
        <w:t>b) Desde la CIIDDHH, se valora el fortalecimiento de los espacios de participación ciudadana en el marco de los compromisos internacionales asumidos por el Estado costarricense en materia de derechos humanos.</w:t>
      </w:r>
    </w:p>
    <w:p w14:paraId="72AC8437" w14:textId="77777777" w:rsidR="00CD7A71" w:rsidRDefault="00CD7A71" w:rsidP="00CD7A71">
      <w:pPr>
        <w:pStyle w:val="SingleTxtG"/>
      </w:pPr>
      <w:r w:rsidRPr="00CD7A71">
        <w:t>55.</w:t>
      </w:r>
      <w:r w:rsidRPr="00CD7A71">
        <w:tab/>
        <w:t xml:space="preserve"> La Entidad Permanente de Consulta con la Sociedad Civil (EPC), creada por el mismo Decreto, participa de manera independiente en los procesos de derechos humanos. En el marco de sus funciones, la EPC emite criterios y recomendaciones orientadas a fortalecer la implementación de las obligaciones internacionales asumidas por el Estado. Actualmente, la EPC cuenta con alrededor de 90 organizaciones de la sociedad civil registradas.</w:t>
      </w:r>
    </w:p>
    <w:p w14:paraId="7AFE315E" w14:textId="77777777" w:rsidR="00CD7A71" w:rsidRDefault="00CD7A71" w:rsidP="00CD7A71">
      <w:pPr>
        <w:pStyle w:val="SingleTxtG"/>
      </w:pPr>
      <w:r w:rsidRPr="00CD7A71">
        <w:t>56.</w:t>
      </w:r>
      <w:r w:rsidRPr="00CD7A71">
        <w:tab/>
        <w:t xml:space="preserve">La CIIDDHH ha adoptado diversas medidas para fortalecer la participación efectiva de la EPC, entre ellas la aprobación del Mecanismo de participación y Consulta con la Entidad. Dicho mecanismo regula la designación de representantes de la EPC para participar en las sesiones de la Comisión y establece procedimientos claros que aseguran la participación de la sociedad civil en la elaboración de informes periódicos y en los procesos de formulación de políticas, planes y medidas institucionales de derechos humanos. </w:t>
      </w:r>
    </w:p>
    <w:p w14:paraId="44446206" w14:textId="77777777" w:rsidR="00CD7A71" w:rsidRDefault="00CD7A71" w:rsidP="00CD7A71">
      <w:pPr>
        <w:pStyle w:val="SingleTxtG"/>
      </w:pPr>
      <w:r w:rsidRPr="00CD7A71">
        <w:t>57.</w:t>
      </w:r>
      <w:r w:rsidRPr="00CD7A71">
        <w:tab/>
        <w:t>Se establecieron dos periodos anuales para que las organizaciones de la sociedad civil puedan registrarse o actualizar sus datos en la EPC.  En conjunto, la CIIDDHH y la EPC fortalecen el compromiso del Estado costarricense con el respeto, promoción y protección de los derechos humanos.</w:t>
      </w:r>
    </w:p>
    <w:p w14:paraId="302F459E" w14:textId="77777777" w:rsidR="00CD7A71" w:rsidRDefault="00CD7A71" w:rsidP="00CD7A71">
      <w:pPr>
        <w:pStyle w:val="SingleTxtG"/>
      </w:pPr>
      <w:r w:rsidRPr="00CD7A71">
        <w:t>58.</w:t>
      </w:r>
      <w:r w:rsidRPr="00CD7A71">
        <w:tab/>
        <w:t xml:space="preserve">c) En cumplimiento de las observaciones finales del Comité de Derechos Humanos, la CIIDDHH ha impulsado el seguimiento sistemático de las recomendaciones internacionales formuladas al Estado. En 2025 se puso en marcha la herramienta de monitoreo e implementación de recomendaciones internacionales de derechos humanos, denominada Base de datos de las Naciones Unidas para el Seguimiento Nacional de las Recomendaciones (NRTD, por sus siglas en inglés), desarrollada con el acompañamiento técnico de la OACNUDH, para fortalecer la sistematización, el monitoreo y la evaluación de las recomendaciones emitidas por los órganos de tratados. </w:t>
      </w:r>
    </w:p>
    <w:p w14:paraId="5638D381" w14:textId="1232DA42"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4</w:t>
      </w:r>
    </w:p>
    <w:p w14:paraId="43145706" w14:textId="77777777" w:rsidR="00CD7A71" w:rsidRDefault="00CD7A71" w:rsidP="00CD7A71">
      <w:pPr>
        <w:pStyle w:val="SingleTxtG"/>
      </w:pPr>
      <w:r w:rsidRPr="00CD7A71">
        <w:t>59.</w:t>
      </w:r>
      <w:r w:rsidRPr="00CD7A71">
        <w:tab/>
        <w:t xml:space="preserve">La Defensoría de los Habitantes fue creada mediante la Ley 7319 del 17 de noviembre de 1992. El artículo 29 estipula que el financiamiento de la Defensoría se incluirá en el presupuesto del Poder Legislativo. </w:t>
      </w:r>
    </w:p>
    <w:p w14:paraId="0EA9240E" w14:textId="77777777" w:rsidR="00CD7A71" w:rsidRDefault="00CD7A71" w:rsidP="00CD7A71">
      <w:pPr>
        <w:pStyle w:val="SingleTxtG"/>
      </w:pPr>
      <w:r w:rsidRPr="00CD7A71">
        <w:t>60.</w:t>
      </w:r>
      <w:r w:rsidRPr="00CD7A71">
        <w:tab/>
        <w:t xml:space="preserve">En el Informe anual 2023-2024 de la Defensoría, se indica que se logró una sostenibilidad financiera y operativa de la institución por un monto aproximado de ¢1.178.304.000 millones de colones, aproximadamente US$ 2.36 millones, al comparar la asignación presupuestaria para el 2025 y la asignación propuesta por el Ministerio de Hacienda en el Escenario Inicial del 2024. </w:t>
      </w:r>
    </w:p>
    <w:p w14:paraId="6339A2CE" w14:textId="77777777" w:rsidR="00CD7A71" w:rsidRDefault="00CD7A71" w:rsidP="00CD7A71">
      <w:pPr>
        <w:pStyle w:val="SingleTxtG"/>
      </w:pPr>
      <w:r w:rsidRPr="00CD7A71">
        <w:t>61.</w:t>
      </w:r>
      <w:r w:rsidRPr="00CD7A71">
        <w:tab/>
        <w:t xml:space="preserve">Con respecto al proceso de selección del Defensor Adjunto, la misma Ley, establece que la “… Asamblea Legislativa nombrará al Defensor Adjunto, de una lista de tres candidatos propuestos por el Defensor de los Habitantes, a más tardar un mes después del nombramiento de éste.” La vinculación del nombramiento del Adjunto a la sugerencia que haga el Defensor de los Habitantes por medio de una terna tiene la intención de asegurar que quien obtenga el nombramiento sea de confianza de la persona titular, a fin de que entre ellas se desarrolle una sinergia positiva que potencie el mejor desempeño de la institución.  </w:t>
      </w:r>
    </w:p>
    <w:p w14:paraId="4E9F5591" w14:textId="77777777" w:rsidR="00CD7A71" w:rsidRDefault="00CD7A71" w:rsidP="00CD7A71">
      <w:pPr>
        <w:pStyle w:val="SingleTxtG"/>
      </w:pPr>
      <w:r w:rsidRPr="00CD7A71">
        <w:t>62.</w:t>
      </w:r>
      <w:r w:rsidRPr="00CD7A71">
        <w:tab/>
        <w:t xml:space="preserve">En 2024, la Defensoría consolidó su reacreditación como Institución Nacional de Derechos Humanos en la categoría más alta, estatus A, determinándose que cumple con los </w:t>
      </w:r>
      <w:r w:rsidRPr="00CD7A71">
        <w:lastRenderedPageBreak/>
        <w:t xml:space="preserve">Principios de París. La Defensoría cuenta con acceso directo e independiente a los órganos de Naciones Unidas que supervisan el cumplimiento de las obligaciones de derechos humanos asumidas por Costa Rica, y tiene potestad para facilitar toda información que considere oportuna desde el ejercicio independiente de sus competencias.   </w:t>
      </w:r>
    </w:p>
    <w:p w14:paraId="0C7FEDBA" w14:textId="5D87DC4A"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5</w:t>
      </w:r>
    </w:p>
    <w:p w14:paraId="2EAEC44E" w14:textId="77777777" w:rsidR="00CD7A71" w:rsidRDefault="00CD7A71" w:rsidP="00CD7A71">
      <w:pPr>
        <w:pStyle w:val="SingleTxtG"/>
      </w:pPr>
      <w:r w:rsidRPr="00CD7A71">
        <w:t>63.</w:t>
      </w:r>
      <w:r w:rsidRPr="00CD7A71">
        <w:tab/>
        <w:t>a) Mediante acuerdo de Consejo Directivo No 048-2016, en 2016 se emitió la Política Institucional para la incorporación de la perspectiva étnico-racial en la producción y divulgación de las estadísticas nacionales.</w:t>
      </w:r>
    </w:p>
    <w:p w14:paraId="7E12BC4C" w14:textId="77777777" w:rsidR="00CD7A71" w:rsidRDefault="00CD7A71" w:rsidP="00CD7A71">
      <w:pPr>
        <w:pStyle w:val="SingleTxtG"/>
      </w:pPr>
      <w:r w:rsidRPr="00CD7A71">
        <w:t>64.</w:t>
      </w:r>
      <w:r w:rsidRPr="00CD7A71">
        <w:tab/>
        <w:t>La Asamblea Legislativa declaró de interés institucional el cumplimiento de los Objetivos de Desarrollo Sostenible (ODS), y brinda continuidad a la integración, seguimiento y evaluación de la Agenda 2030, impulsando una clasificación de proyectos de ley existentes y nuevos bajo los ODS.</w:t>
      </w:r>
    </w:p>
    <w:p w14:paraId="25FF7577" w14:textId="77777777" w:rsidR="00CD7A71" w:rsidRDefault="00CD7A71" w:rsidP="00CD7A71">
      <w:pPr>
        <w:pStyle w:val="SingleTxtG"/>
      </w:pPr>
      <w:r w:rsidRPr="00CD7A71">
        <w:t>65.</w:t>
      </w:r>
      <w:r w:rsidRPr="00CD7A71">
        <w:tab/>
        <w:t>En el ámbito legislativo, en 2017 entró en vigor la Reforma Procesal Laboral, que reforzó el sistema de protección social, al prohibir expresamente toda forma de discriminación en el trabajo, ya sea por razones de edad, etnia, sexo, religión, raza, orientación sexual, estado civil, opinión política, ascendencia nacional, origen social, filiación, discapacidad, afiliación sindical, situación económica o cualquier otra forma análoga de discriminación y promueve una justicia laboral pronta y cumplida.</w:t>
      </w:r>
    </w:p>
    <w:p w14:paraId="3AA7B0CB" w14:textId="77777777" w:rsidR="00CD7A71" w:rsidRDefault="00CD7A71" w:rsidP="00CD7A71">
      <w:pPr>
        <w:pStyle w:val="SingleTxtG"/>
      </w:pPr>
      <w:r w:rsidRPr="00CD7A71">
        <w:t>66.</w:t>
      </w:r>
      <w:r w:rsidRPr="00CD7A71">
        <w:tab/>
        <w:t>En 2021 entró en vigor la Ley contra la Violencia y el Racismo en el Deporte, que tiene por objetivo sensibilizar, prevenir y sancionar hechos de violencia, racismo y discriminación contraria a la dignidad humana en eventos deportivos oficiales.</w:t>
      </w:r>
    </w:p>
    <w:p w14:paraId="0F22FF25" w14:textId="77777777" w:rsidR="00CD7A71" w:rsidRDefault="00CD7A71" w:rsidP="00CD7A71">
      <w:pPr>
        <w:pStyle w:val="SingleTxtG"/>
      </w:pPr>
      <w:r w:rsidRPr="00CD7A71">
        <w:t>67.</w:t>
      </w:r>
      <w:r w:rsidRPr="00CD7A71">
        <w:tab/>
        <w:t xml:space="preserve">En febrero de 2022 se aprobó la Ley 10120 Acciones afirmativas a favor de la población afrodescendiente, que reconoce que esta población ha sufrido históricamente de racismo, discriminación y </w:t>
      </w:r>
      <w:proofErr w:type="spellStart"/>
      <w:r w:rsidRPr="00CD7A71">
        <w:t>etnofobia</w:t>
      </w:r>
      <w:proofErr w:type="spellEnd"/>
      <w:r w:rsidRPr="00CD7A71">
        <w:t>. Establece medidas de acción afirmativa con una vigencia de diez años, tales como la obligación de las instituciones públicas reserven al menos un 7% de sus vacantes anuales; la asignación del 7% de los cupos educativos del Instituto Nacional de Aprendizaje; la inclusión del legado afrodescendiente en los programas de estudio de primaria y secundaria; y la promoción de espacios culturales y educativos dedicados a visibilizar la historia y aportes afrodescendientes a la sociedad costarricense.</w:t>
      </w:r>
    </w:p>
    <w:p w14:paraId="1F4BEB59" w14:textId="77777777" w:rsidR="00CD7A71" w:rsidRDefault="00CD7A71" w:rsidP="00CD7A71">
      <w:pPr>
        <w:pStyle w:val="SingleTxtG"/>
      </w:pPr>
      <w:r w:rsidRPr="00CD7A71">
        <w:t>68.</w:t>
      </w:r>
      <w:r w:rsidRPr="00CD7A71">
        <w:tab/>
        <w:t xml:space="preserve">Ese mismo mes, mediante la Ley 10131 se reformó Código de Trabajo para eliminar la discriminación laboral contra las mujeres, que les prohibía desempeñar labores insalubres, pesadas o peligrosas, y restringía a las mujeres solteras menores de edad el ejercicio de oficios en sitios públicos. La reforma mantiene solo limitaciones por edad y ya no por sexo o estado civil, garantizando la libertad de elección de empleo de las mujeres y la igualdad de oportunidades en todos los sectores de la economía. </w:t>
      </w:r>
    </w:p>
    <w:p w14:paraId="475364E0" w14:textId="77777777" w:rsidR="00CD7A71" w:rsidRDefault="00CD7A71" w:rsidP="00CD7A71">
      <w:pPr>
        <w:pStyle w:val="SingleTxtG"/>
      </w:pPr>
      <w:r w:rsidRPr="00CD7A71">
        <w:t>69.</w:t>
      </w:r>
      <w:r w:rsidRPr="00CD7A71">
        <w:tab/>
        <w:t>En mayo de 2022 entró en vigor la Ley 10175, que adicionó el inciso once al artículo 112 del Código Penal de Costa Rica, incorporando como circunstancia de homicidio calificado, sancionada con penas de veinte a treinta y cinco años de prisión, el dar muerte a una persona por motivos de odio relacionados con su pertenencia a un grupo etario, racial, étnico o religioso, así como por su nacionalidad, opinión política, situación migratoria, orientación sexual, identidad o expresión de género, discapacidad o características genéticas.</w:t>
      </w:r>
    </w:p>
    <w:p w14:paraId="0E68F867" w14:textId="77777777" w:rsidR="00CD7A71" w:rsidRDefault="00CD7A71" w:rsidP="00CD7A71">
      <w:pPr>
        <w:pStyle w:val="SingleTxtG"/>
      </w:pPr>
      <w:r w:rsidRPr="00CD7A71">
        <w:t>70.</w:t>
      </w:r>
      <w:r w:rsidRPr="00CD7A71">
        <w:tab/>
        <w:t xml:space="preserve">En 2024 Costa Rica se convirtió en el primer país de América Latina y el Caribe en lanzar una Estrategia Nacional contra los Discursos de Odio y Discriminación con el fin de abordar el crecimiento exponencial de los discursos de odio en el país, originados particularmente desde las redes sociales. </w:t>
      </w:r>
    </w:p>
    <w:p w14:paraId="7A0188D5" w14:textId="77777777" w:rsidR="00CD7A71" w:rsidRDefault="00CD7A71" w:rsidP="00CD7A71">
      <w:pPr>
        <w:pStyle w:val="SingleTxtG"/>
      </w:pPr>
      <w:r w:rsidRPr="00CD7A71">
        <w:t>71.</w:t>
      </w:r>
      <w:r w:rsidRPr="00CD7A71">
        <w:tab/>
        <w:t xml:space="preserve">b) El Estado adoptó decretos y directrices orientados a eliminar la discriminación por motivos de orientación sexual e identidad de género. En 2018, el Decreto 7-2018 del Tribunal Supremo de Elecciones, reformó el Reglamento del Registro del Estado Civil y el Reglamento de la Cédula de Identidad, estableciendo un procedimiento para el cambio de nombre por identidad de género </w:t>
      </w:r>
      <w:proofErr w:type="spellStart"/>
      <w:r w:rsidRPr="00CD7A71">
        <w:t>autopercibida</w:t>
      </w:r>
      <w:proofErr w:type="spellEnd"/>
      <w:r w:rsidRPr="00CD7A71">
        <w:t xml:space="preserve">, sin exigir certificaciones médicas, psicológicas ni otros requisitos de carácter </w:t>
      </w:r>
      <w:proofErr w:type="spellStart"/>
      <w:r w:rsidRPr="00CD7A71">
        <w:t>patologizante</w:t>
      </w:r>
      <w:proofErr w:type="spellEnd"/>
      <w:r w:rsidRPr="00CD7A71">
        <w:t>.</w:t>
      </w:r>
    </w:p>
    <w:p w14:paraId="09F24CE1" w14:textId="77777777" w:rsidR="00CD7A71" w:rsidRDefault="00CD7A71" w:rsidP="00CD7A71">
      <w:pPr>
        <w:pStyle w:val="SingleTxtG"/>
      </w:pPr>
      <w:r w:rsidRPr="00CD7A71">
        <w:t>72.</w:t>
      </w:r>
      <w:r w:rsidRPr="00CD7A71">
        <w:tab/>
        <w:t xml:space="preserve">Ese mismo año, el Decreto Ejecutivo 41173-MP reguló la adecuación del nombre, la imagen y la referencia al sexo o género en los registros, documentos y trámites de la </w:t>
      </w:r>
      <w:r w:rsidRPr="00CD7A71">
        <w:lastRenderedPageBreak/>
        <w:t>Administración Pública, conforme a la identidad sexual y de género de la persona. A partir del cambio en la cédula de identidad, las personas pueden solicitar la adecuación de dichos datos en pasaportes, licencias de conducir, títulos académicos, carnés institucionales, registros penitenciarios y otros documentos administrativos, este listado no es taxativo.</w:t>
      </w:r>
    </w:p>
    <w:p w14:paraId="4527AF67" w14:textId="77777777" w:rsidR="00CD7A71" w:rsidRDefault="00CD7A71" w:rsidP="00CD7A71">
      <w:pPr>
        <w:pStyle w:val="SingleTxtG"/>
      </w:pPr>
      <w:r w:rsidRPr="00CD7A71">
        <w:t>73.</w:t>
      </w:r>
      <w:r w:rsidRPr="00CD7A71">
        <w:tab/>
        <w:t xml:space="preserve">También en 2018, el Decreto Ejecutivo 41329-MGP reconoció los derechos migratorios derivados de las uniones conformadas por parejas del mismo sexo, y el Decreto Ejecutivo 41337-MGP reglamentó el reconocimiento del derecho a la identidad sexual y de género de las personas extranjeras en el Documento de Identificación Migratorio para Extranjeros, permitiendo la adecuación del nombre, la imagen y la referencia al género conforme a la identidad </w:t>
      </w:r>
      <w:proofErr w:type="spellStart"/>
      <w:r w:rsidRPr="00CD7A71">
        <w:t>autopercibida</w:t>
      </w:r>
      <w:proofErr w:type="spellEnd"/>
      <w:r w:rsidRPr="00CD7A71">
        <w:t>.</w:t>
      </w:r>
    </w:p>
    <w:p w14:paraId="4E809951" w14:textId="77777777" w:rsidR="00CD7A71" w:rsidRDefault="00CD7A71" w:rsidP="00CD7A71">
      <w:pPr>
        <w:pStyle w:val="SingleTxtG"/>
      </w:pPr>
      <w:r w:rsidRPr="00CD7A71">
        <w:t>74.</w:t>
      </w:r>
      <w:r w:rsidRPr="00CD7A71">
        <w:tab/>
        <w:t xml:space="preserve">El cambio de nombre por identidad de género </w:t>
      </w:r>
      <w:proofErr w:type="spellStart"/>
      <w:r w:rsidRPr="00CD7A71">
        <w:t>autopercibido</w:t>
      </w:r>
      <w:proofErr w:type="spellEnd"/>
      <w:r w:rsidRPr="00CD7A71">
        <w:t xml:space="preserve"> en sede administrativo-registral opera en casos de personas trans binarias; no aplica a personas no binarias que pretendan modificar su nombre manteniendo o incorporando uno acorde con el sexo registral; estas solicitudes deben tramitarse en vía civil ordinaria, como lo evidencian más de veinte rechazos de gestiones de ese tipo.</w:t>
      </w:r>
    </w:p>
    <w:p w14:paraId="619DC3C8" w14:textId="77777777" w:rsidR="00CD7A71" w:rsidRDefault="00CD7A71" w:rsidP="00CD7A71">
      <w:pPr>
        <w:pStyle w:val="SingleTxtG"/>
      </w:pPr>
      <w:r w:rsidRPr="00CD7A71">
        <w:t>75.</w:t>
      </w:r>
      <w:r w:rsidRPr="00CD7A71">
        <w:tab/>
        <w:t>En 2019, el Decreto Ejecutivo 41313-S, reformó el marco normativo que declara el 17 de mayo de cada año como Día Nacional contra la homofobia, la lesbofobia y la transfobia, incorporando expresamente la bifobia como una forma de discriminación. En 2022, el Poder Ejecutivo dispuso la descontinuación de las acciones de difusión y promoción de esta efeméride, y en 2025 anunció la decisión de eliminar su conmemoración en las escuelas y colegios para sustituirla por el día contra todo tipo de discriminación.</w:t>
      </w:r>
    </w:p>
    <w:p w14:paraId="722A823A" w14:textId="77777777" w:rsidR="00CD7A71" w:rsidRDefault="00CD7A71" w:rsidP="00CD7A71">
      <w:pPr>
        <w:pStyle w:val="SingleTxtG"/>
      </w:pPr>
      <w:r w:rsidRPr="00CD7A71">
        <w:t>76.</w:t>
      </w:r>
      <w:r w:rsidRPr="00CD7A71">
        <w:tab/>
        <w:t>En 2019, la directriz 038-MIVAH-MP garantizó el acceso a bonos familiares de vivienda a parejas de mismo sexo.</w:t>
      </w:r>
    </w:p>
    <w:p w14:paraId="2948DFD7" w14:textId="77777777" w:rsidR="00CD7A71" w:rsidRDefault="00CD7A71" w:rsidP="00CD7A71">
      <w:pPr>
        <w:pStyle w:val="SingleTxtG"/>
      </w:pPr>
      <w:r w:rsidRPr="00CD7A71">
        <w:t>77.</w:t>
      </w:r>
      <w:r w:rsidRPr="00CD7A71">
        <w:tab/>
        <w:t xml:space="preserve">La Comisión Especializada de Empleo y Discapacidad, creada en 2021, vela por el cumplimiento de la disposición legal que obliga a las instituciones públicas a reservar al menos un 5 % de las plazas vacantes para personas con discapacidad, promoviendo su inclusión laboral y el respeto de sus derechos. </w:t>
      </w:r>
    </w:p>
    <w:p w14:paraId="3F9A9FFF" w14:textId="77777777" w:rsidR="00CD7A71" w:rsidRDefault="00CD7A71" w:rsidP="00CD7A71">
      <w:pPr>
        <w:pStyle w:val="SingleTxtG"/>
      </w:pPr>
      <w:r w:rsidRPr="00CD7A71">
        <w:t>78.</w:t>
      </w:r>
      <w:r w:rsidRPr="00CD7A71">
        <w:tab/>
        <w:t>Desde el 2022 el Poder Legislativo asegura que todos los informes de Servicios Técnicos incorporen un análisis de impacto de género con recomendaciones para su abordaje en proyectos de ley, y en 2024 aprobó una ficha técnica que guía el análisis de proyectos con enfoque de género.</w:t>
      </w:r>
    </w:p>
    <w:p w14:paraId="493A87FA" w14:textId="77777777" w:rsidR="00CD7A71" w:rsidRDefault="00CD7A71" w:rsidP="00CD7A71">
      <w:pPr>
        <w:pStyle w:val="SingleTxtG"/>
      </w:pPr>
      <w:r w:rsidRPr="00CD7A71">
        <w:t>79.</w:t>
      </w:r>
      <w:r w:rsidRPr="00CD7A71">
        <w:tab/>
        <w:t>En 2025 se presentó el Plan Estratégico Nacional de VIH y SIDA 2024-2027, que reafirma el compromiso de Costa Rica de erradicar la epidemia para 2030. El Plan incluye medidas para promover el respeto a los derechos humanos de todas las personas en todas sus diversidades, a reducir cualquier forma de estigma y discriminación basada en la orientación sexual, identidad y expresión de género, y a fomentar entornos libres de discriminación y violencia.</w:t>
      </w:r>
    </w:p>
    <w:p w14:paraId="60B5C208" w14:textId="77777777" w:rsidR="00CD7A71" w:rsidRDefault="00CD7A71" w:rsidP="00CD7A71">
      <w:pPr>
        <w:pStyle w:val="SingleTxtG"/>
      </w:pPr>
      <w:r w:rsidRPr="00CD7A71">
        <w:t>80.</w:t>
      </w:r>
      <w:r w:rsidRPr="00CD7A71">
        <w:tab/>
        <w:t>c) Se avanza en la formulación de una Estrategia Nacional para la articulación interinstitucional de políticas existentes hacia la atención de las necesidades de las personas afrodescendientes, Pueblos Indígenas y población migrante, sobre la base de la Política Nacional para una Sociedad Libre de Racismo, Discriminación Racial, Xenofobia 2014-2025.</w:t>
      </w:r>
    </w:p>
    <w:p w14:paraId="655F3800" w14:textId="77777777" w:rsidR="00CD7A71" w:rsidRDefault="00CD7A71" w:rsidP="00CD7A71">
      <w:pPr>
        <w:pStyle w:val="SingleTxtG"/>
      </w:pPr>
      <w:r w:rsidRPr="00CD7A71">
        <w:t>81.</w:t>
      </w:r>
      <w:r w:rsidRPr="00CD7A71">
        <w:tab/>
        <w:t>En el ámbito educativo, se ejecuta el Protocolo de Actuación en Situaciones de Discriminación Racial y Xenofobia dirigido al personal docente y administrativo con el objetivo de combatir el racismo y la discriminación en el sector educativo, junto con la incorporación de la variable de estereotipos raciales en los planes de formación permanente.</w:t>
      </w:r>
    </w:p>
    <w:p w14:paraId="064DB292" w14:textId="77777777" w:rsidR="00CD7A71" w:rsidRDefault="00CD7A71" w:rsidP="00CD7A71">
      <w:pPr>
        <w:pStyle w:val="SingleTxtG"/>
      </w:pPr>
      <w:r w:rsidRPr="00CD7A71">
        <w:t>82.</w:t>
      </w:r>
      <w:r w:rsidRPr="00CD7A71">
        <w:tab/>
        <w:t xml:space="preserve">La Dirección General de Migración y Extranjería, en el marco de la Política Migratoria Integral 2024-2034, implementa campañas de sensibilización en redes sociales, contra la discriminación y la xenofobia hacia las personas migrantes y refugiadas, bajo los lemas #NoalaXenofobia y #YonoDiscrimino. La primera fase incluyó cuatro mensajes, evaluados positivamente, y actualmente se desarrolla una segunda fase con seis mensajes adicionales para su difusión mensual en redes sociales. Entre estos destacan: “La diversidad cultural es una fortaleza que enriquece nuestra sociedad”, “La discriminación vulnera la </w:t>
      </w:r>
      <w:r w:rsidRPr="00CD7A71">
        <w:lastRenderedPageBreak/>
        <w:t>dignidad de las personas” y “Respetando nuestras diferencias fomentamos una sociedad más justa, inclusiva y solidaria”.</w:t>
      </w:r>
    </w:p>
    <w:p w14:paraId="2B03D0D3" w14:textId="086766F6"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6</w:t>
      </w:r>
    </w:p>
    <w:p w14:paraId="0B032ADB" w14:textId="77777777" w:rsidR="00CD7A71" w:rsidRDefault="00CD7A71" w:rsidP="00CD7A71">
      <w:pPr>
        <w:pStyle w:val="SingleTxtG"/>
      </w:pPr>
      <w:r w:rsidRPr="00CD7A71">
        <w:t>83.</w:t>
      </w:r>
      <w:r w:rsidRPr="00CD7A71">
        <w:tab/>
        <w:t>Los proyectos de ley 19.288 “Prevención, eliminación, sanción del racismo y de toda forma de discriminación” y 19.299 “Investigación sobre la realidad de los derechos humanos de la población afrodescendiente” se encuentran archivados por vencimiento de plazo.</w:t>
      </w:r>
    </w:p>
    <w:p w14:paraId="0CFEBF84" w14:textId="77777777" w:rsidR="00CD7A71" w:rsidRDefault="00CD7A71" w:rsidP="00CD7A71">
      <w:pPr>
        <w:pStyle w:val="SingleTxtG"/>
      </w:pPr>
      <w:r w:rsidRPr="00CD7A71">
        <w:t>84.</w:t>
      </w:r>
      <w:r w:rsidRPr="00CD7A71">
        <w:tab/>
        <w:t>Costa Rica aplica un enfoque de derechos humanos en la gestión de la movilidad humana y ha innovado mediante la aplicación de mecanismos que hoy se reconocen como mejores prácticas y que se enmarcan en la Política Migratoria Integral 2024-2034 y el Plan Nacional de Integración 2023-2027. El Estado reconoce la situación particular de los pueblos indígenas migrantes, quienes enfrentan desafíos adicionales e interseccionales en el reconocimiento de su identidad cultural y acceso a derechos en contextos de movilidad. Entre las principales medidas implementadas destacan:</w:t>
      </w:r>
    </w:p>
    <w:p w14:paraId="31E1F5FF" w14:textId="641C52D5" w:rsidR="00CD7A71" w:rsidRPr="00CD7A71" w:rsidRDefault="00CD7A71" w:rsidP="00CD7A71">
      <w:pPr>
        <w:pStyle w:val="Bullet1G"/>
      </w:pPr>
      <w:r w:rsidRPr="00CD7A71">
        <w:t>El Sistema de Información de Migraciones Laborales, que funciona con base en la disponibilidad de oferta laboral y en los niveles de demanda existentes en el mercado nacional.</w:t>
      </w:r>
    </w:p>
    <w:p w14:paraId="44A6F873" w14:textId="542BB42D" w:rsidR="00CD7A71" w:rsidRPr="00CD7A71" w:rsidRDefault="00CD7A71" w:rsidP="00CD7A71">
      <w:pPr>
        <w:pStyle w:val="Bullet1G"/>
      </w:pPr>
      <w:r w:rsidRPr="00CD7A71">
        <w:t>El Sistema de Trazabilidad Laboral Migratorio, que monitorea el ingreso, permanencia y salida de mano de obra migrante en los sectores de mayor demanda laboral.</w:t>
      </w:r>
    </w:p>
    <w:p w14:paraId="54963230" w14:textId="01E4F8DF" w:rsidR="00CD7A71" w:rsidRPr="00CD7A71" w:rsidRDefault="00CD7A71" w:rsidP="00CD7A71">
      <w:pPr>
        <w:pStyle w:val="Bullet1G"/>
      </w:pPr>
      <w:r w:rsidRPr="00CD7A71">
        <w:t>El Proyecto de Cobertura Sanitaria y Acceso a Empleo para Migrantes, orientado a apoyar a personas migrantes económicas y refugiadas en situación de vulnerabilidad, mediante la cobertura de costos de documentación migratoria.</w:t>
      </w:r>
    </w:p>
    <w:p w14:paraId="0FD6F7C6" w14:textId="60648B6A" w:rsidR="00CD7A71" w:rsidRDefault="00CD7A71" w:rsidP="00CD7A71">
      <w:pPr>
        <w:pStyle w:val="Bullet1G"/>
      </w:pPr>
      <w:r w:rsidRPr="00CD7A71">
        <w:t>El Equipo para Situaciones Migratorias Especiales, que permite la identificación y atención de personas en situaciones migratorias específicas, tales como personas menores de edad en tránsito.</w:t>
      </w:r>
    </w:p>
    <w:p w14:paraId="33307D43" w14:textId="77777777" w:rsidR="00CD7A71" w:rsidRDefault="00CD7A71" w:rsidP="00CD7A71">
      <w:pPr>
        <w:pStyle w:val="SingleTxtG"/>
      </w:pPr>
      <w:r w:rsidRPr="00CD7A71">
        <w:t>85.</w:t>
      </w:r>
      <w:r w:rsidRPr="00CD7A71">
        <w:tab/>
        <w:t xml:space="preserve">El Plan Nacional de Integración (PNICR), es liderado por la Dirección General de Migración y Extranjería, y se formula mediante procesos participativos que incorporan a instituciones públicas, gobiernos locales, sociedad civil y otros actores relevantes, bajo un enfoque </w:t>
      </w:r>
      <w:proofErr w:type="spellStart"/>
      <w:r w:rsidRPr="00CD7A71">
        <w:t>pansocial</w:t>
      </w:r>
      <w:proofErr w:type="spellEnd"/>
      <w:r w:rsidRPr="00CD7A71">
        <w:t xml:space="preserve"> y </w:t>
      </w:r>
      <w:proofErr w:type="spellStart"/>
      <w:r w:rsidRPr="00CD7A71">
        <w:t>pangubernamental</w:t>
      </w:r>
      <w:proofErr w:type="spellEnd"/>
      <w:r w:rsidRPr="00CD7A71">
        <w:t>.</w:t>
      </w:r>
    </w:p>
    <w:p w14:paraId="161F4BD6" w14:textId="77777777" w:rsidR="00CD7A71" w:rsidRDefault="00CD7A71" w:rsidP="00CD7A71">
      <w:pPr>
        <w:pStyle w:val="SingleTxtG"/>
      </w:pPr>
      <w:r w:rsidRPr="00CD7A71">
        <w:t>86.</w:t>
      </w:r>
      <w:r w:rsidRPr="00CD7A71">
        <w:tab/>
        <w:t>El PNICR 2018-2022, se estructuró en seis ejes estratégicos, reconocimiento de la diversidad; población y personas en situación de vulnerabilidad; migración y trabajo; migración y salud; migración y educación; y fortalecimiento institucional. Este plan contempló veintiocho metas, de las cuales siete alcanzaron un cumplimiento total y diecinueve un cumplimiento parcial. Los resultados obtenidos son particularmente relevantes considerando el contexto excepcional de la pandemia por COVID-19.</w:t>
      </w:r>
    </w:p>
    <w:p w14:paraId="1119C0E5" w14:textId="77777777" w:rsidR="00CD7A71" w:rsidRDefault="00CD7A71" w:rsidP="00CD7A71">
      <w:pPr>
        <w:pStyle w:val="SingleTxtG"/>
      </w:pPr>
      <w:r w:rsidRPr="00CD7A71">
        <w:t>87.</w:t>
      </w:r>
      <w:r w:rsidRPr="00CD7A71">
        <w:tab/>
        <w:t xml:space="preserve">El PNICR 2023-2027 mantiene los seis ejes estratégicos y establece 35 acciones estratégicas, con el objetivo de promover la integración e inclusión política, socioeconómica y sociocultural de la población migrante, refugiada y solicitante de refugio, mediante la articulación interinstitucional y la participación de diversos sectores. Cada meta cuenta con responsables definidos y actores colaboradores. </w:t>
      </w:r>
    </w:p>
    <w:p w14:paraId="24CDB12D" w14:textId="77777777" w:rsidR="00CD7A71" w:rsidRDefault="00CD7A71" w:rsidP="00CD7A71">
      <w:pPr>
        <w:pStyle w:val="SingleTxtG"/>
      </w:pPr>
      <w:r w:rsidRPr="00CD7A71">
        <w:t>88.</w:t>
      </w:r>
      <w:r w:rsidRPr="00CD7A71">
        <w:tab/>
        <w:t>Para el seguimiento, se ha implementado una matriz de monitoreo que permite medir el avance en el cumplimiento de objetivos, metas y acciones, asegurando la rendición de cuentas y la mejora continua.</w:t>
      </w:r>
    </w:p>
    <w:p w14:paraId="3B422BD3" w14:textId="2409BE13" w:rsidR="00CD7A71" w:rsidRPr="00CD7A71" w:rsidRDefault="00CD7A71" w:rsidP="00CD7A71">
      <w:pPr>
        <w:pStyle w:val="SingleTxtG"/>
      </w:pPr>
      <w:r w:rsidRPr="00CD7A71">
        <w:t>89.</w:t>
      </w:r>
      <w:r w:rsidRPr="00CD7A71">
        <w:tab/>
        <w:t>En 2024 se programó la ejecución de 48 metas. De estas, 43 alcanzaron un cumplimiento total, una presentó avance parcial y cuatro no fueron cumplidas, lo que representa un 90% de cumplimiento total, considerado como un nivel satisfactorio de ejecución del plan. Se observa cumplimiento pleno en los ejes de migración y trabajo, migración y salud, migración y educación y fortalecimiento institucional, mientras que los ejes de reconocimiento de la diversidad y de población en situación de vulnerabilidad presentan rezagos puntuales.</w:t>
      </w:r>
    </w:p>
    <w:p w14:paraId="7497FE50" w14:textId="77777777" w:rsidR="00CD7A71" w:rsidRPr="00CD7A71" w:rsidRDefault="00CD7A71" w:rsidP="00CD7A71">
      <w:pPr>
        <w:pStyle w:val="SingleTxtG"/>
      </w:pPr>
      <w:r w:rsidRPr="00CD7A71">
        <w:t>90.</w:t>
      </w:r>
      <w:r w:rsidRPr="00CD7A71">
        <w:tab/>
        <w:t xml:space="preserve">Para 2025, se establecieron 47 metas. Durante el primer semestre, se reporta un 54% de cumplimiento total, un 13% de avance parcial y un 33% de metas no cumplidas, lo cual </w:t>
      </w:r>
      <w:r w:rsidRPr="00CD7A71">
        <w:lastRenderedPageBreak/>
        <w:t>refleja avances en la implementación, aunque también evidencia desafíos en el ritmo de ejecución que continúan siendo objeto de seguimiento institucional.</w:t>
      </w:r>
    </w:p>
    <w:p w14:paraId="6669FFBE" w14:textId="62ACFC4C"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7</w:t>
      </w:r>
    </w:p>
    <w:p w14:paraId="6B2E09B0" w14:textId="77777777" w:rsidR="00CD7A71" w:rsidRPr="00CD7A71" w:rsidRDefault="00CD7A71" w:rsidP="00CD7A71">
      <w:pPr>
        <w:pStyle w:val="SingleTxtG"/>
      </w:pPr>
      <w:r w:rsidRPr="00CD7A71">
        <w:t>91.</w:t>
      </w:r>
      <w:r w:rsidRPr="00CD7A71">
        <w:tab/>
        <w:t xml:space="preserve">Costa Rica ha promovido reformas orientadas a reducir la brecha salarial de género. En particular, la reforma a la Ley 7142, Ley de Promoción de la Igualdad Social de la Mujer, que establece la igualdad salarial entre mujeres y hombres por trabajo de igual valor en el sector público y privado. </w:t>
      </w:r>
    </w:p>
    <w:p w14:paraId="60369CAC" w14:textId="77777777" w:rsidR="00CD7A71" w:rsidRPr="00CD7A71" w:rsidRDefault="00CD7A71" w:rsidP="00CD7A71">
      <w:pPr>
        <w:pStyle w:val="SingleTxtG"/>
      </w:pPr>
      <w:r w:rsidRPr="00CD7A71">
        <w:t>92.</w:t>
      </w:r>
      <w:r w:rsidRPr="00CD7A71">
        <w:tab/>
        <w:t xml:space="preserve">Se han adoptado medidas para fortalecer la participación de las mujeres y mejorar sus condiciones laborales, incluyendo reformas al Código de Trabajo, entre ellas la Ley 9758 sobre regulación de la jornada nocturna de mujeres trabajadoras y la Ley 10131, que garantiza la libertad de elección de empleo para eliminar la discriminación en determinados sectores de la economía. </w:t>
      </w:r>
    </w:p>
    <w:p w14:paraId="2A255684" w14:textId="77777777" w:rsidR="00CD7A71" w:rsidRPr="00CD7A71" w:rsidRDefault="00CD7A71" w:rsidP="00CD7A71">
      <w:pPr>
        <w:pStyle w:val="SingleTxtG"/>
      </w:pPr>
      <w:r w:rsidRPr="00CD7A71">
        <w:t>93.</w:t>
      </w:r>
      <w:r w:rsidRPr="00CD7A71">
        <w:tab/>
        <w:t>La Ley 10159 de marzo de 2022 y la Ley 10211 de mayo de 2022, establecen las licencias de paternidad en el sector público y privado, alcanzando en 2023 una razón de 0,8 licencia de paternidad por cada licencia de maternidad</w:t>
      </w:r>
    </w:p>
    <w:p w14:paraId="7574CC3C" w14:textId="77777777" w:rsidR="00CD7A71" w:rsidRPr="00CD7A71" w:rsidRDefault="00CD7A71" w:rsidP="00CD7A71">
      <w:pPr>
        <w:pStyle w:val="SingleTxtG"/>
      </w:pPr>
      <w:r w:rsidRPr="00CD7A71">
        <w:t>94.</w:t>
      </w:r>
      <w:r w:rsidRPr="00CD7A71">
        <w:tab/>
        <w:t>El país impulsa la eliminación de la brecha salarial discriminatoria en el servicio doméstico mediante ajustes salariales anuales diferenciados, que culminarán en el 2034 con la equiparación de salarios de esta población con los de otros trabajadores no calificados. En 2025, la diferencia porcentual entre ambas categorías se situó en un 23,14% frente al 46,88% en 2014.</w:t>
      </w:r>
    </w:p>
    <w:p w14:paraId="1CCC022D" w14:textId="77777777" w:rsidR="00CD7A71" w:rsidRPr="00CD7A71" w:rsidRDefault="00CD7A71" w:rsidP="00CD7A71">
      <w:pPr>
        <w:pStyle w:val="SingleTxtG"/>
      </w:pPr>
      <w:r w:rsidRPr="00CD7A71">
        <w:t>95.</w:t>
      </w:r>
      <w:r w:rsidRPr="00CD7A71">
        <w:tab/>
        <w:t xml:space="preserve">El Programa Sello de Igualdad de Género, ha promovido buenas prácticas laborales con enfoque de género, articulando prevención, promoción y transversalización, mediante capacitación empresarial, a través del curso “Introducción a la perspectiva de género en el empleo” en el que participaron 743 personas de diferentes empresas durante 2016 y 2025, la implementación de sistemas de reconocimiento de buenas prácticas laborales que incluye la gestión del personal sin discriminación por razones de género, y la adopción de las normas INTE-G:38-2021, que exigen políticas de incentivos con enfoque de diversidad, objetivos específicos para cerrar brechas salariales, acciones afirmativas demostrables y estructuras salariales basadas en criterios objetivos y no discriminatorios. </w:t>
      </w:r>
    </w:p>
    <w:p w14:paraId="597C2CDF" w14:textId="77777777" w:rsidR="00CD7A71" w:rsidRPr="00CD7A71" w:rsidRDefault="00CD7A71" w:rsidP="00CD7A71">
      <w:pPr>
        <w:pStyle w:val="SingleTxtG"/>
      </w:pPr>
      <w:r w:rsidRPr="00CD7A71">
        <w:t>96.</w:t>
      </w:r>
      <w:r w:rsidRPr="00CD7A71">
        <w:tab/>
        <w:t xml:space="preserve">En 2024 se celebró el X Encuentro Nacional Empresarial, “Beneficios de la Igualdad Salarial”, con más de 100 participantes de 40 organizaciones, para visibilizar la brecha salarial como una manifestación de desigualdad estructural y promover su abordaje desde una perspectiva de derechos. </w:t>
      </w:r>
    </w:p>
    <w:p w14:paraId="26B91919" w14:textId="77777777" w:rsidR="00CD7A71" w:rsidRDefault="00CD7A71" w:rsidP="00CD7A71">
      <w:pPr>
        <w:pStyle w:val="SingleTxtG"/>
      </w:pPr>
      <w:r w:rsidRPr="00CD7A71">
        <w:t>97.</w:t>
      </w:r>
      <w:r w:rsidRPr="00CD7A71">
        <w:tab/>
        <w:t>El Ministerio de Trabajo y Seguridad Social (MTSS) ha desarrollado instrumentos de inspección especializados, como la Guía de Inspección de Trabajo con Enfoque de Género, su Manual Didáctico de Aplicación y el Catálogo de Infracciones de Género.</w:t>
      </w:r>
    </w:p>
    <w:p w14:paraId="1AE7B28D" w14:textId="77777777" w:rsidR="00CD7A71" w:rsidRDefault="00CD7A71" w:rsidP="00CD7A71">
      <w:pPr>
        <w:pStyle w:val="SingleTxtG"/>
      </w:pPr>
      <w:r w:rsidRPr="00CD7A71">
        <w:t>98.</w:t>
      </w:r>
      <w:r w:rsidRPr="00CD7A71">
        <w:tab/>
        <w:t xml:space="preserve">El MTSS con un grupo de inspectoras capacitadas en género, el primero en Centroamérica, cuya labor es fomentar buenas prácticas empresariales, asesorar sobre la igualdad salarial y promover una cultura de igualdad en los centros de trabajo. </w:t>
      </w:r>
    </w:p>
    <w:p w14:paraId="7BFB9FA1" w14:textId="77777777" w:rsidR="00CD7A71" w:rsidRDefault="00CD7A71" w:rsidP="00CD7A71">
      <w:pPr>
        <w:pStyle w:val="SingleTxtG"/>
      </w:pPr>
      <w:r w:rsidRPr="00CD7A71">
        <w:t>99.</w:t>
      </w:r>
      <w:r w:rsidRPr="00CD7A71">
        <w:tab/>
        <w:t xml:space="preserve">Entre 2021 y 2025 la Unidad de Género del MTSS capacitó a más de 13.000 personas en materia de discriminación por sexo. En 2024 se realizaron 382 inspecciones con enfoque de género. </w:t>
      </w:r>
    </w:p>
    <w:p w14:paraId="3995E0C5" w14:textId="77777777" w:rsidR="00CD7A71" w:rsidRDefault="00CD7A71" w:rsidP="00CD7A71">
      <w:pPr>
        <w:pStyle w:val="SingleTxtG"/>
      </w:pPr>
      <w:r w:rsidRPr="00CD7A71">
        <w:t>100.</w:t>
      </w:r>
      <w:r w:rsidRPr="00CD7A71">
        <w:tab/>
        <w:t>El MTSS mediante el Decreto14714-MTSS-H, creó el Sistema de Reconocimientos Sociolaborales, que otorga reconocimientos a empresas privadas e instituciones públicas que implementan una gestión y compromiso de mejora continua sobre conducta empresarial responsable en el ámbito laboral. Este sistema promueve la igualdad de derechos de las personas trabajadoras, con especial atención a aquellas en situación de vulnerabilidad, en concordancia con la normativa nacional e internacional vigente y en el marco de los ODS. En 2024, nueve empresas e instituciones fueron reconocidas bajo este sistema.</w:t>
      </w:r>
    </w:p>
    <w:p w14:paraId="3D607037" w14:textId="77777777" w:rsidR="00CD7A71" w:rsidRDefault="00CD7A71" w:rsidP="00CD7A71">
      <w:pPr>
        <w:pStyle w:val="SingleTxtG"/>
      </w:pPr>
      <w:r w:rsidRPr="00CD7A71">
        <w:t>101.</w:t>
      </w:r>
      <w:r w:rsidRPr="00CD7A71">
        <w:tab/>
        <w:t xml:space="preserve">El país participa en la Coalición Internacional en Favor de la Igualdad de Remuneración, liderada por la OIT, ONU Mujeres y la OCDE. </w:t>
      </w:r>
    </w:p>
    <w:p w14:paraId="08B2BD6D" w14:textId="77777777" w:rsidR="00CD7A71" w:rsidRDefault="00CD7A71" w:rsidP="00CD7A71">
      <w:pPr>
        <w:pStyle w:val="SingleTxtG"/>
      </w:pPr>
      <w:r w:rsidRPr="00CD7A71">
        <w:lastRenderedPageBreak/>
        <w:t>102.</w:t>
      </w:r>
      <w:r w:rsidRPr="00CD7A71">
        <w:tab/>
        <w:t xml:space="preserve">Costa Rica ha desarrollado un conjunto de medidas para incrementar la participación de las mujeres en todos los niveles del Estado. En las elecciones nacionales de febrero de 2022, se aplicó por segunda vez en la historia del país, el principio de paridad y mecanismo de alternancia en la inscripción de candidaturas a las diputaciones. Se obtuvo el mayor número de mujeres diputadas de todos los tiempos, alcanzando el 47,7% de los puestos. Posteriormente, en 2024, debido a la renuncia de un diputado y como resultado de la normativa paritaria, ingresó en su sustitución una nueva diputada al Congreso, por lo que se alcanzó el número de 28 mujeres diputadas, alcanzando un 49,12%.  En 2026 por primera vez en la historia, las mujeres alcanzaron la mayoría de las diputaciones con un 52,63% de los escaños, lo que corresponde a 30 mujeres diputadas y 27 hombres diputados, consolidando el avance hacia la paridad de género en el órgano legislativo.  Por otro lado, y también por primera vez en el país y en el linaje ancestral indígena de Alto de Conte Burica, en 2022 se nombró una mujer cacique Ngäbe de manera oficial, la señora Idalia Andrade Degracia.  </w:t>
      </w:r>
    </w:p>
    <w:p w14:paraId="1355379C" w14:textId="77777777" w:rsidR="00CD7A71" w:rsidRDefault="00CD7A71" w:rsidP="00CD7A71">
      <w:pPr>
        <w:pStyle w:val="SingleTxtG"/>
      </w:pPr>
      <w:r w:rsidRPr="00CD7A71">
        <w:t>103.</w:t>
      </w:r>
      <w:r w:rsidRPr="00CD7A71">
        <w:tab/>
        <w:t>Además, desde el 2022 el país cuenta con la Ley 10235 para prevenir, atender, sancionar y erradicar la violencia contra las mujeres en la política, en la cual se tipifica ampliamente lo que se entiende por violencia contra las mujeres en la política, sus diferentes manifestaciones, las responsabilidades de los partidos políticos en materia de prevención y atención a casos que se den en el ejercicio de cargos de elección popular, incluyendo el nivel municipal y legislativo, así como en instituciones públicas, estableciendo el debido proceso para la investigación de las denuncias, plazos, medidas de acompañamiento a víctimas, y las sanciones políticas, éticas y administrativas que proceden. Para el caso de organizaciones sociales, la ley contempla compromisos de carácter preventivo.</w:t>
      </w:r>
    </w:p>
    <w:p w14:paraId="723BBB63" w14:textId="77777777" w:rsidR="00CD7A71" w:rsidRDefault="00CD7A71" w:rsidP="00CD7A71">
      <w:pPr>
        <w:pStyle w:val="SingleTxtG"/>
      </w:pPr>
      <w:r w:rsidRPr="00CD7A71">
        <w:t>104.</w:t>
      </w:r>
      <w:r w:rsidRPr="00CD7A71">
        <w:tab/>
        <w:t xml:space="preserve">El INAMU ha brindado acompañamiento técnico a los Foros Nacionales de Mujeres Afrodescendientes e Indígenas. En el caso del Foro Nacional de Mujeres Afrodescendientes, entre 2015 y 2022 se brindó acompañamiento y asesoría técnica en organización, liderazgo e incidencia política, mediante la realización de reuniones, sesiones de trabajo, capacitaciones y asambleas con el fin de elaborar la Agenda Nacional de Mujeres Afrodescendientes y sus planes de trabajo. Asimismo, se promovieron alianzas, pactos entre mujeres y espacios de interlocución con funcionarios en los temas de salud, salud mental, </w:t>
      </w:r>
      <w:proofErr w:type="spellStart"/>
      <w:r w:rsidRPr="00CD7A71">
        <w:t>empresariedad</w:t>
      </w:r>
      <w:proofErr w:type="spellEnd"/>
      <w:r w:rsidRPr="00CD7A71">
        <w:t xml:space="preserve"> y políticas públicas dirigidas a población afrodescendiente. La Agenda Nacional resultante recoge las necesidades y propuestas de las mujeres afrodescendientes en ámbitos de políticas públicas, salud, trabajo, participación política y educación y cultura.  </w:t>
      </w:r>
    </w:p>
    <w:p w14:paraId="65504FB6" w14:textId="77777777" w:rsidR="00CD7A71" w:rsidRDefault="00CD7A71" w:rsidP="00CD7A71">
      <w:pPr>
        <w:pStyle w:val="SingleTxtG"/>
      </w:pPr>
      <w:r w:rsidRPr="00CD7A71">
        <w:t>105.</w:t>
      </w:r>
      <w:r w:rsidRPr="00CD7A71">
        <w:tab/>
        <w:t xml:space="preserve">Por su parte, entre 2018 al 2023 el INAMU brindó acompañamiento y asesoría técnica al Foro Nacional de Mujeres Indígenas, conformado por 28 lideresas, incluida una mujer </w:t>
      </w:r>
      <w:proofErr w:type="spellStart"/>
      <w:r w:rsidRPr="00CD7A71">
        <w:t>ngöbe</w:t>
      </w:r>
      <w:proofErr w:type="spellEnd"/>
      <w:r w:rsidRPr="00CD7A71">
        <w:t xml:space="preserve"> migrante y su suplente, más tres mujeres que en cada Foro fuera importante sumar, según los temas a tratar, de esta manera, están representados los 24 territorios y los 8 pueblos indígenas. El acompañamiento consistió en la elaboración de su agenda y el fortalecimiento de su incidencia mediante el establecimiento de espacios de diálogo con instituciones nacionales y organismos internacionales, en torno a sus necesidades y propuestas.</w:t>
      </w:r>
    </w:p>
    <w:p w14:paraId="36803E80" w14:textId="77777777" w:rsidR="00CD7A71" w:rsidRDefault="00CD7A71" w:rsidP="00CD7A71">
      <w:pPr>
        <w:pStyle w:val="SingleTxtG"/>
      </w:pPr>
      <w:r w:rsidRPr="00CD7A71">
        <w:t>106.</w:t>
      </w:r>
      <w:r w:rsidRPr="00CD7A71">
        <w:tab/>
        <w:t>En 2022 y 2023 se apoyó a este Foro en la elaboración y concreción de temas prioritarios según sus intereses y necesidades.  Se realizaron sesiones de trabajo para identificar puntos coincidentes entre las agendas de cinco colectivos de mujeres y su vinculación con la Política Nacional para la Igualdad Efectiva entre Mujeres y Hombres 2018–2030. Dichas agendas y prioridades fueron presentadas a representantes de los mecanismos de género de los partidos políticos, la violencia en sus distintas manifestaciones figura como un eje prioritario común en las demandas de los colectivos.</w:t>
      </w:r>
    </w:p>
    <w:p w14:paraId="72B6A204" w14:textId="77777777" w:rsidR="00CD7A71" w:rsidRDefault="00CD7A71" w:rsidP="00CD7A71">
      <w:pPr>
        <w:pStyle w:val="SingleTxtG"/>
      </w:pPr>
      <w:r w:rsidRPr="00CD7A71">
        <w:t>107.</w:t>
      </w:r>
      <w:r w:rsidRPr="00CD7A71">
        <w:tab/>
        <w:t xml:space="preserve">El Centro de Formación Política de las Mujeres ha ejecutado estrategias diferenciadas para mujeres indígenas y afrodescendientes. Dentro de estas estrategias, además del acompañamiento a las dos agendas de mujeres indígenas y afrodescendientes, ha implementado cursos específicos a estos dos grupos desde la perspectiva interseccional e intercultural, incluyendo cursos de liderazgo, participación e incidencia política, cursos sobre violencia contra las mujeres en la política, y procesos formativos como “Lideresas para el Cambio” y “Nosotras Lideramos el Cambio”, entre otros. Entre 2015 y 2016, se capacitó a 41 lideresas indígenas y afrodescendientes en la región Huetar Caribe, y durante 2021-2024 se impartieron cursos a 93 mujeres indígenas y 42 afrodescendientes. El proyecto Multiplicadoras Indígenas (2009-2019) permitió capacitar a 37 lideresas indígenas, de 7 </w:t>
      </w:r>
      <w:r w:rsidRPr="00CD7A71">
        <w:lastRenderedPageBreak/>
        <w:t xml:space="preserve">pueblos indígenas, que a su vez impartieron talleres en sus idiomas, con material audiovisual consultado y construido por mujeres indígenas replicando sus conocimientos a 5.015 mujeres en 44 comunidades de 15 territorios indígenas.  En 2020-2021, se ejecutaron cursos virtuales para veinticinco lideresas de cantones indígenas, y en 2022 se realizó un curso presencial de liderazgo para 28 mujeres indígenas de </w:t>
      </w:r>
      <w:proofErr w:type="spellStart"/>
      <w:r w:rsidRPr="00CD7A71">
        <w:t>Quitirrisí</w:t>
      </w:r>
      <w:proofErr w:type="spellEnd"/>
      <w:r w:rsidRPr="00CD7A71">
        <w:t>, territorio indígena en el cantón de Mora en San José.</w:t>
      </w:r>
    </w:p>
    <w:p w14:paraId="34D7F34D" w14:textId="77777777" w:rsidR="00CD7A71" w:rsidRDefault="00CD7A71" w:rsidP="00CD7A71">
      <w:pPr>
        <w:pStyle w:val="SingleTxtG"/>
      </w:pPr>
      <w:r w:rsidRPr="00CD7A71">
        <w:t>108.</w:t>
      </w:r>
      <w:r w:rsidRPr="00CD7A71">
        <w:tab/>
        <w:t xml:space="preserve">Se ha capacitado en género, liderazgos transformadores y sororidad a 58 lideresas jóvenes indígenas de centros educativos de secundaria en coordinación con el Ministerio de Educación Pública. Los cursos del Centro de Formación Política incluyen la historia de la lucha de los derechos y ciudadanía por parte del pueblo y las mujeres afrodescendientes y el movimiento social indígena </w:t>
      </w:r>
      <w:proofErr w:type="spellStart"/>
      <w:r w:rsidRPr="00CD7A71">
        <w:t>ngobe</w:t>
      </w:r>
      <w:proofErr w:type="spellEnd"/>
      <w:r w:rsidRPr="00CD7A71">
        <w:t xml:space="preserve"> por la cedulación. Dentro de la legislación a estudiar, se incluye, el Programa de Acción de la Conferencia Mundial contra el Racismo y la Convención internacional sobre la Eliminación de Todas las Formas de Discriminación Racial y la Convención Interamericana contra el Racismo, la Discriminación Racial y Formas Con de Intolerancia.</w:t>
      </w:r>
    </w:p>
    <w:p w14:paraId="4A94E066" w14:textId="77777777" w:rsidR="00CD7A71" w:rsidRDefault="00CD7A71" w:rsidP="00CD7A71">
      <w:pPr>
        <w:pStyle w:val="SingleTxtG"/>
      </w:pPr>
      <w:r w:rsidRPr="00CD7A71">
        <w:t>109.</w:t>
      </w:r>
      <w:r w:rsidRPr="00CD7A71">
        <w:tab/>
        <w:t>En 2023, se organizaron talleres presenciales y cursos de formación electoral y política con enfoque paritario, incluyendo el Curso Candidatas Electorales, beneficiando a mujeres afrodescendientes e indígenas, se otorgaron becas, con enfoque paritario a representantes de partidos políticos y a mujeres lideresas en su diversidad, para garantizar su participación</w:t>
      </w:r>
    </w:p>
    <w:p w14:paraId="39753FD7" w14:textId="77777777" w:rsidR="00CD7A71" w:rsidRDefault="00CD7A71" w:rsidP="00CD7A71">
      <w:pPr>
        <w:pStyle w:val="SingleTxtG"/>
      </w:pPr>
      <w:r w:rsidRPr="00CD7A71">
        <w:t>110.</w:t>
      </w:r>
      <w:r w:rsidRPr="00CD7A71">
        <w:tab/>
        <w:t xml:space="preserve">En 2021 entró en vigor el Reglamento de la Ley 8901, que dispone la integración paritaria de las juntas directivas de organizaciones sociales y la Guía práctica para su aplicación. </w:t>
      </w:r>
    </w:p>
    <w:p w14:paraId="4AF38E46" w14:textId="7DA73ABF"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8</w:t>
      </w:r>
    </w:p>
    <w:p w14:paraId="1A084C2A" w14:textId="77777777" w:rsidR="00CD7A71" w:rsidRDefault="00CD7A71" w:rsidP="00CD7A71">
      <w:pPr>
        <w:pStyle w:val="SingleTxtG"/>
      </w:pPr>
      <w:r w:rsidRPr="00CD7A71">
        <w:t>111.</w:t>
      </w:r>
      <w:r w:rsidRPr="00CD7A71">
        <w:tab/>
        <w:t xml:space="preserve">El alcance del fallo de la Sala Constitucional a raíz de la opinión consultiva de la Corte Interamericana de Derechos Humanos, OC-24/17, es transversal a toda la institucionalidad; y ha generado cambios positivos en el quehacer institucional para resguardar el principio de no discriminación para todas las personas. </w:t>
      </w:r>
    </w:p>
    <w:p w14:paraId="07BC0BF7" w14:textId="77777777" w:rsidR="00CD7A71" w:rsidRDefault="00CD7A71" w:rsidP="00CD7A71">
      <w:pPr>
        <w:pStyle w:val="SingleTxtG"/>
      </w:pPr>
      <w:r w:rsidRPr="00CD7A71">
        <w:t>112.</w:t>
      </w:r>
      <w:r w:rsidRPr="00CD7A71">
        <w:tab/>
        <w:t xml:space="preserve">Se cuenta con un protocolo de actuación en situaciones de discriminación hacia la población LGBTIQ+ para cuerpos policiales, y en el caso del Sistema Penitenciario Nacional prima la libertad de auto determinación para la persona privada de libertad en su ubicación. </w:t>
      </w:r>
    </w:p>
    <w:p w14:paraId="771AD78E" w14:textId="77777777" w:rsidR="00CD7A71" w:rsidRDefault="00CD7A71" w:rsidP="00CD7A71">
      <w:pPr>
        <w:pStyle w:val="SingleTxtG"/>
      </w:pPr>
      <w:r w:rsidRPr="00CD7A71">
        <w:t>113.</w:t>
      </w:r>
      <w:r w:rsidRPr="00CD7A71">
        <w:tab/>
        <w:t xml:space="preserve">En materia de salud, el país cuenta con el Protocolo de Atención Integral de Personas Transgénero para la </w:t>
      </w:r>
      <w:proofErr w:type="spellStart"/>
      <w:r w:rsidRPr="00CD7A71">
        <w:t>Hormonización</w:t>
      </w:r>
      <w:proofErr w:type="spellEnd"/>
      <w:r w:rsidRPr="00CD7A71">
        <w:t xml:space="preserve"> en la Red de Servicios de Salud, de la Caja Costarricense de Seguro Social; y se ha incluido la variable de orientación sexual e identidad de género en sus registros estadísticos. </w:t>
      </w:r>
    </w:p>
    <w:p w14:paraId="49BD5F4D" w14:textId="77777777" w:rsidR="00CD7A71" w:rsidRDefault="00CD7A71" w:rsidP="00CD7A71">
      <w:pPr>
        <w:pStyle w:val="SingleTxtG"/>
      </w:pPr>
      <w:r w:rsidRPr="00CD7A71">
        <w:t>114.</w:t>
      </w:r>
      <w:r w:rsidRPr="00CD7A71">
        <w:tab/>
        <w:t xml:space="preserve">En 2019 el Ministerio de Educación Pública diseñó el Protocolo de atención del </w:t>
      </w:r>
      <w:proofErr w:type="spellStart"/>
      <w:proofErr w:type="gramStart"/>
      <w:r w:rsidRPr="00CD7A71">
        <w:t>bullying</w:t>
      </w:r>
      <w:proofErr w:type="spellEnd"/>
      <w:proofErr w:type="gramEnd"/>
      <w:r w:rsidRPr="00CD7A71">
        <w:t xml:space="preserve"> contra población estudiantil LGTB inserta en los centros educativos. En 2025, el Ministerio, anunció un enfoque renovado en su política educativa, centrado en promover la igualdad y el respeto entre todos los estudiantes, independientemente de sus características personales, señalando que las clasificaciones pueden generar segregación. Asimismo, dispuso dejar de lado las actividades que diferencian a las personas por su orientación sexual, promoviendo en su lugar un Día contra todo tipo de Discriminación.</w:t>
      </w:r>
    </w:p>
    <w:p w14:paraId="27E5A73A" w14:textId="77777777" w:rsidR="00CD7A71" w:rsidRDefault="00CD7A71" w:rsidP="00CD7A71">
      <w:pPr>
        <w:pStyle w:val="SingleTxtG"/>
      </w:pPr>
      <w:r w:rsidRPr="00CD7A71">
        <w:t>115.</w:t>
      </w:r>
      <w:r w:rsidRPr="00CD7A71">
        <w:tab/>
        <w:t xml:space="preserve">En 2019 mediante Decreto Ejecutivo 38999 se adoptó la Política del Poder Ejecutivo para erradicar de sus instituciones la discriminación hacia la población LGBTI, que impulsó la creación de comisiones y políticas institucionales de igualdad, así como acciones de sensibilización y protocolos orientados a promover una cultura de respeto y no discriminación. </w:t>
      </w:r>
    </w:p>
    <w:p w14:paraId="1B22FF74" w14:textId="77777777" w:rsidR="00CD7A71" w:rsidRDefault="00CD7A71" w:rsidP="00CD7A71">
      <w:pPr>
        <w:pStyle w:val="SingleTxtG"/>
      </w:pPr>
      <w:r w:rsidRPr="00CD7A71">
        <w:t>116.</w:t>
      </w:r>
      <w:r w:rsidRPr="00CD7A71">
        <w:tab/>
        <w:t>El proyecto de Ley 20970 “Adición de los artículos 35, 68 bis, 384 bis y de un inciso e) al artículo 260 de la Ley General de Salud 5395 de 1973 y sus reformas”, que tiene por objeto prohibir las “terapias” que buscan revertir o modificar la orientación sexual de las personas LGBTI, permanece en estudio tras haber ingresado al orden del día del Plenario Legislativo en octubre 2024, en donde continúa su trámite.</w:t>
      </w:r>
    </w:p>
    <w:p w14:paraId="490C6192" w14:textId="7D75B572" w:rsidR="00CD7A71" w:rsidRDefault="00CD7A71" w:rsidP="00CD7A71">
      <w:pPr>
        <w:pStyle w:val="H23G"/>
        <w:rPr>
          <w:lang w:val="es-ES_tradnl"/>
        </w:rPr>
      </w:pPr>
      <w:r>
        <w:rPr>
          <w:lang w:val="es-ES_tradnl"/>
        </w:rPr>
        <w:lastRenderedPageBreak/>
        <w:tab/>
      </w:r>
      <w:r>
        <w:rPr>
          <w:lang w:val="es-ES_tradnl"/>
        </w:rPr>
        <w:tab/>
      </w:r>
      <w:r w:rsidRPr="00CD7A71">
        <w:rPr>
          <w:lang w:val="es-ES_tradnl"/>
        </w:rPr>
        <w:t xml:space="preserve">Respuesta al párrafo </w:t>
      </w:r>
      <w:r>
        <w:rPr>
          <w:lang w:val="es-ES_tradnl"/>
        </w:rPr>
        <w:t>9</w:t>
      </w:r>
    </w:p>
    <w:p w14:paraId="11556031" w14:textId="77777777" w:rsidR="00CD7A71" w:rsidRDefault="00CD7A71" w:rsidP="00CD7A71">
      <w:pPr>
        <w:pStyle w:val="SingleTxtG"/>
      </w:pPr>
      <w:r w:rsidRPr="00CD7A71">
        <w:t>117.</w:t>
      </w:r>
      <w:r w:rsidRPr="00CD7A71">
        <w:tab/>
        <w:t>En diciembre de 2019 se oficializó la Norma Técnica para el Procedimiento Médico Vinculado con el artículo 121 del Código Penal (aborto impune), mediante la cual se establecieron los lineamientos para la interrupción del embarazo cuando existía un riesgo a la vida o a la salud de la persona gestante.  Asimismo, se estandarizó la práctica clínica, garantizando que las decisiones médicas se fundamentaran en criterios técnicos y científicos, y no en valoraciones subjetivas, morales o personales del personal de salud.</w:t>
      </w:r>
    </w:p>
    <w:p w14:paraId="2F7F4DBE" w14:textId="77777777" w:rsidR="00CD7A71" w:rsidRDefault="00CD7A71" w:rsidP="00CD7A71">
      <w:pPr>
        <w:pStyle w:val="SingleTxtG"/>
      </w:pPr>
      <w:r w:rsidRPr="00CD7A71">
        <w:t>118.</w:t>
      </w:r>
      <w:r w:rsidRPr="00CD7A71">
        <w:tab/>
        <w:t xml:space="preserve">En octubre de 2025, el Poder Ejecutivo emitió una nueva versión de dicha norma técnica, que sustituye a la anterior y mantiene la posibilidad de interrupción del embarazo únicamente en los casos en que esté en peligro la vida de la persona gestante, eliminando la posibilidad de aplicación cuando esté en peligro la salud de la persona gestante.   </w:t>
      </w:r>
    </w:p>
    <w:p w14:paraId="51248A56" w14:textId="1357EF2D" w:rsidR="00CD7A71" w:rsidRPr="00CD7A71" w:rsidRDefault="00CD7A71" w:rsidP="00CD7A71">
      <w:pPr>
        <w:pStyle w:val="SingleTxtG"/>
      </w:pPr>
      <w:r w:rsidRPr="00CD7A71">
        <w:t>119.</w:t>
      </w:r>
      <w:r w:rsidRPr="00CD7A71">
        <w:tab/>
        <w:t>Del 2019 al 2025 se registraron 27 egresos hospitalarios asociados a aborto terapéutico. De estos, trece corresponden al 2025 y ocho al 2024. Esta cifra se obtuvo a partir de la identificación de eventos en los que el aborto terapéutico figura como diagnóstico principal o secundario en los registros de egresos hospitalarios.</w:t>
      </w:r>
    </w:p>
    <w:p w14:paraId="01DBF8F0" w14:textId="46B55B64" w:rsidR="00CD7A71" w:rsidRPr="00CD7A71" w:rsidRDefault="00CD7A71" w:rsidP="00CD7A71">
      <w:pPr>
        <w:pStyle w:val="H23G"/>
      </w:pPr>
      <w:r>
        <w:rPr>
          <w:lang w:val="es-ES_tradnl"/>
        </w:rPr>
        <w:tab/>
      </w:r>
      <w:r>
        <w:rPr>
          <w:lang w:val="es-ES_tradnl"/>
        </w:rPr>
        <w:tab/>
      </w:r>
      <w:r w:rsidRPr="00CD7A71">
        <w:rPr>
          <w:lang w:val="es-ES_tradnl"/>
        </w:rPr>
        <w:t>Respuesta al párrafo</w:t>
      </w:r>
      <w:r>
        <w:rPr>
          <w:lang w:val="es-ES_tradnl"/>
        </w:rPr>
        <w:t xml:space="preserve"> 10</w:t>
      </w:r>
    </w:p>
    <w:p w14:paraId="7C9080DE" w14:textId="77777777" w:rsidR="00CD7A71" w:rsidRDefault="00CD7A71" w:rsidP="00CD7A71">
      <w:pPr>
        <w:pStyle w:val="SingleTxtG"/>
      </w:pPr>
      <w:r w:rsidRPr="00CD7A71">
        <w:t>120.</w:t>
      </w:r>
      <w:r w:rsidRPr="00CD7A71">
        <w:tab/>
        <w:t xml:space="preserve">En el contexto de incremento de flujos de movilidad humana en tránsito por el país, en 2025 se elaboró el Plan </w:t>
      </w:r>
      <w:proofErr w:type="spellStart"/>
      <w:r w:rsidRPr="00CD7A71">
        <w:t>interagencial</w:t>
      </w:r>
      <w:proofErr w:type="spellEnd"/>
      <w:r w:rsidRPr="00CD7A71">
        <w:t xml:space="preserve"> de las Naciones Unidas para el fortalecimiento de las capacidades de socios locales para prepararse y responder a las necesidades de las personas en tránsito por Costa Rica, orientado a mejorar la atención en salud sexual y reproductiva, la violencia sexual y la violencia basada en género, mediante acciones de capacitación, asistencia técnica, generación de herramientas, producción y análisis de datos, así como la articulación y coordinación entre actores locales, nacionales y regionales.</w:t>
      </w:r>
    </w:p>
    <w:p w14:paraId="5370834E" w14:textId="77777777" w:rsidR="00CD7A71" w:rsidRDefault="00CD7A71" w:rsidP="00CD7A71">
      <w:pPr>
        <w:pStyle w:val="SingleTxtG"/>
      </w:pPr>
      <w:r w:rsidRPr="00CD7A71">
        <w:t>121.</w:t>
      </w:r>
      <w:r w:rsidRPr="00CD7A71">
        <w:tab/>
        <w:t>El objetivo principal de esta iniciativa es fortalecer las competencias del personal de salud para la atención integral de las necesidades de salud sexual y reproductiva y de violencia basada en género de las personas en tránsito. El programa está dirigido al personal de la Caja Costarricense de Seguro Social en los niveles local, regional y central, con énfasis en servicios de emergencias y en personal de medicina general, enfermería, trabajo social y psicología, incorporando contenidos sobre derechos humanos y salud sexual y reproductiva.</w:t>
      </w:r>
    </w:p>
    <w:p w14:paraId="6AF750F4" w14:textId="77777777" w:rsidR="00CD7A71" w:rsidRDefault="00CD7A71" w:rsidP="00CD7A71">
      <w:pPr>
        <w:pStyle w:val="SingleTxtG"/>
      </w:pPr>
      <w:r w:rsidRPr="00CD7A71">
        <w:t>122.</w:t>
      </w:r>
      <w:r w:rsidRPr="00CD7A71">
        <w:tab/>
        <w:t xml:space="preserve">La Ley 10081 de 2022 establece un marco jurídico para garantizar que las mujeres reciban atención calificada, digna y respetuosa del embarazo, parto, posparto y atención del recién nacido. En el marco de su implementación, las áreas de maternidad del sistema de salud público han realizado ajustes para mejorar la atención, incluyendo la creación de condiciones que aseguren mayor privacidad, el apoyo al bienestar emocional y el respeto a las particularidades de las mujeres con discapacidad y la interculturalidad. En particular, en el Hospital Regional de Ciudad Neilly, ubicado en la provincia de Puntarenas, se brinda la oportunidad de utilizar diferentes modalidades de parto, ajustadas a las prácticas culturales de la población indígena Ngäbe-Buglé.  </w:t>
      </w:r>
    </w:p>
    <w:p w14:paraId="17F205A2" w14:textId="77777777" w:rsidR="00CD7A71" w:rsidRDefault="00CD7A71" w:rsidP="00CD7A71">
      <w:pPr>
        <w:pStyle w:val="SingleTxtG"/>
      </w:pPr>
      <w:r w:rsidRPr="00CD7A71">
        <w:t>123.</w:t>
      </w:r>
      <w:r w:rsidRPr="00CD7A71">
        <w:tab/>
        <w:t>En hospitales como Juana Pila de San Vito, el Hospital Regional de Ciudad Neilly y el Hospital de Turrialba, se desarrolla de manera progresiva un trabajo conjunto con mujeres indígenas y sus comunidades, orientado a identificar sus necesidades biológicas, culturales, socioeconómicas, geográficas y topográficas, con el fin de adecuar las intervenciones y los contextos de atención, incorporado criterios de pertinencia cultural en la prestación de los servicios. Este proceso se implementa de forma paulatina y supone ajustes técnicos, administrativos y legales en los procedimientos institucionales, en cumplimiento del marco normativo que garantiza los derechos de los pueblos indígenas.</w:t>
      </w:r>
    </w:p>
    <w:p w14:paraId="2ACB4225" w14:textId="77777777" w:rsidR="00CD7A71" w:rsidRDefault="00CD7A71" w:rsidP="00CD7A71">
      <w:pPr>
        <w:pStyle w:val="SingleTxtG"/>
      </w:pPr>
      <w:r w:rsidRPr="00CD7A71">
        <w:t>124.</w:t>
      </w:r>
      <w:r w:rsidRPr="00CD7A71">
        <w:tab/>
        <w:t>Del 2013 al 2025 el Ministerio de Educación Pública implementó el Programa de Estudio de Afectividad y Sexualidad Integral, dirigido a promover la educación en salud sexual y reproductiva, la afectividad, la diversidad, la identidad de género y el respeto de los derechos de la comunidad estudiantil. En 2025, dicho programa fue retirado. Posteriormente, el Ministerio desarrolló el Programa de Educación para la Paz y la Convivencia, que integra contenidos de educación sexual y reproductiva.</w:t>
      </w:r>
    </w:p>
    <w:p w14:paraId="11ED0C27" w14:textId="77777777" w:rsidR="00CD7A71" w:rsidRDefault="00CD7A71" w:rsidP="00CD7A71">
      <w:pPr>
        <w:pStyle w:val="SingleTxtG"/>
      </w:pPr>
      <w:r w:rsidRPr="00CD7A71">
        <w:t>125.</w:t>
      </w:r>
      <w:r w:rsidRPr="00CD7A71">
        <w:tab/>
        <w:t xml:space="preserve">Costa Rica cuenta con el Plan Estratégico Nacional de Salud de las Personas Adolescentes 2021-2030, que tiene como meta para el 2030 la reducción de nacimientos en </w:t>
      </w:r>
      <w:r w:rsidRPr="00CD7A71">
        <w:lastRenderedPageBreak/>
        <w:t>mujeres adolescentes al 2%. En este marco, la tasa de maternidad en adolescentes y niñas ha mostrado una tendencia a la baja, pasando de un 9% en 2021 a un 5% en 2024. Las acciones desarrolladas por la versión anterior del Plan 2010-2018 contribuyeron a una disminución del 6%.</w:t>
      </w:r>
    </w:p>
    <w:p w14:paraId="3ACC131F" w14:textId="77777777" w:rsidR="00CD7A71" w:rsidRDefault="00CD7A71" w:rsidP="00CD7A71">
      <w:pPr>
        <w:pStyle w:val="SingleTxtG"/>
      </w:pPr>
      <w:r w:rsidRPr="00CD7A71">
        <w:t>126.</w:t>
      </w:r>
      <w:r w:rsidRPr="00CD7A71">
        <w:tab/>
        <w:t xml:space="preserve">La estrategia de acceso universal a condones garantiza la disponibilidad y promoción del uso de condones masculinos y femeninos para todo el territorio nacional como parte del derecho a la salud sexual y reproductiva. Las principales líneas de acción incluyen la distribución gratuita a través de la Caja Costarricense de Seguro Social (CCSS), la promoción de su uso a nivel nacional mediante campañas y el establecimiento de un Día Nacional para la promoción de su uso.  </w:t>
      </w:r>
    </w:p>
    <w:p w14:paraId="0B091F4D" w14:textId="77777777" w:rsidR="00CD7A71" w:rsidRDefault="00CD7A71" w:rsidP="00CD7A71">
      <w:pPr>
        <w:pStyle w:val="SingleTxtG"/>
      </w:pPr>
      <w:r w:rsidRPr="00CD7A71">
        <w:t>127.</w:t>
      </w:r>
      <w:r w:rsidRPr="00CD7A71">
        <w:tab/>
        <w:t>En 2019 se incorporó la Vacuna del Virus del Papiloma Humano al Esquema Nacional de Vacunación, y la CCSS realiza campañas de sensibilización sobre los beneficios inherentes a la inmunización contra el Virus en la población infantil.</w:t>
      </w:r>
    </w:p>
    <w:p w14:paraId="13E9A33C" w14:textId="77777777" w:rsidR="00CD7A71" w:rsidRDefault="00CD7A71" w:rsidP="00CD7A71">
      <w:pPr>
        <w:pStyle w:val="SingleTxtG"/>
      </w:pPr>
      <w:r w:rsidRPr="00CD7A71">
        <w:t>128.</w:t>
      </w:r>
      <w:r w:rsidRPr="00CD7A71">
        <w:tab/>
        <w:t>En 2023 se aprobó la Ley 10424, Menstruación y Justicia, que reconoce los derechos de todas las mujeres en capacidad de menstruar e incluye medidas de acceso a productos de gestión menstrual, y divulgación de estadísticas sobre higiene y pobreza menstrual.</w:t>
      </w:r>
    </w:p>
    <w:p w14:paraId="69EC35BC" w14:textId="77777777" w:rsidR="00CD7A71" w:rsidRDefault="00CD7A71" w:rsidP="00CD7A71">
      <w:pPr>
        <w:pStyle w:val="SingleTxtG"/>
      </w:pPr>
      <w:r w:rsidRPr="00CD7A71">
        <w:t>129.</w:t>
      </w:r>
      <w:r w:rsidRPr="00CD7A71">
        <w:tab/>
        <w:t>En 2024 la Caja Costarricense de Seguro Social declaró el 09 de enero de cada año como Día Institucional contra la Violencia Obstétrica.</w:t>
      </w:r>
    </w:p>
    <w:p w14:paraId="2A064948" w14:textId="77777777" w:rsidR="00CD7A71" w:rsidRDefault="00CD7A71" w:rsidP="00CD7A71">
      <w:pPr>
        <w:pStyle w:val="SingleTxtG"/>
      </w:pPr>
      <w:r w:rsidRPr="00CD7A71">
        <w:t>130.</w:t>
      </w:r>
      <w:r w:rsidRPr="00CD7A71">
        <w:tab/>
        <w:t xml:space="preserve">En 2025 se aprobó la Ley 10674 que declaró el 09 de enero de cada año como el Día Nacional contra la Violencia Obstétrica y autoriza a las instituciones del Estado para que promuevan la conmemoración de este día. Además, se oficializó la Estrategia Institucional de prevención y atención de la violencia obstétrica, con el fin de desarrollar acciones contundentes para prevenir, sancionar y erradicar la violencia obstétrica en los centros médicos de la Caja Costarricense de Seguro Social. Para su implementación, se adoptó un plan de acción que incluye actividades definidas, cronogramas e indicadores de seguimiento. Persisten las limitaciones estructurales con respecto al alcance efectivo en los 24 territorios indígenas. </w:t>
      </w:r>
    </w:p>
    <w:p w14:paraId="0E84D3AD" w14:textId="77777777" w:rsidR="00CD7A71" w:rsidRDefault="00CD7A71" w:rsidP="00CD7A71">
      <w:pPr>
        <w:pStyle w:val="SingleTxtG"/>
      </w:pPr>
      <w:r w:rsidRPr="00CD7A71">
        <w:t>131.</w:t>
      </w:r>
      <w:r w:rsidRPr="00CD7A71">
        <w:tab/>
        <w:t xml:space="preserve">Durante el 2018 al 2025 se desarrollaron capacitaciones en bioética, que incluyeron contenidos sobre principios bioéticos, consentimiento informado, autonomía progresiva y análisis de casos clínicos relacionados con salud sexual y reproductiva. Estas capacitaciones contaron con un promedio de 450 personas participantes por año. Asimismo, se impartió la capacitación específica sobre interrupción terapéutica del embarazo, dirigida al personal de salud de todo el país, con un total de 474 participantes. </w:t>
      </w:r>
    </w:p>
    <w:p w14:paraId="15B01B50" w14:textId="77777777" w:rsidR="00CD7A71" w:rsidRDefault="00CD7A71" w:rsidP="00CD7A71">
      <w:pPr>
        <w:pStyle w:val="SingleTxtG"/>
      </w:pPr>
      <w:r w:rsidRPr="00CD7A71">
        <w:t>132.</w:t>
      </w:r>
      <w:r w:rsidRPr="00CD7A71">
        <w:tab/>
        <w:t xml:space="preserve">Actualmente se encuentran vigentes diversos instrumentos normativos de carácter ético y técnico, entre ellos el Lineamiento bioético para la adecuación del esfuerzo terapéutico, que orienta la actuación ética en situaciones clínicas complejas y el Manual para la redacción de aspectos bioéticos y de derechos humanos en los Protocolos de atención clínica, que incorpora de manera transversal el enfoque bioético y de derechos humanos en la elaboración de normativa asistencial. </w:t>
      </w:r>
    </w:p>
    <w:p w14:paraId="4D8A6183" w14:textId="77777777" w:rsidR="00CD7A71" w:rsidRDefault="00CD7A71" w:rsidP="00CD7A71">
      <w:pPr>
        <w:pStyle w:val="SingleTxtG"/>
      </w:pPr>
      <w:r w:rsidRPr="00CD7A71">
        <w:t>133.</w:t>
      </w:r>
      <w:r w:rsidRPr="00CD7A71">
        <w:tab/>
        <w:t xml:space="preserve">Se cuenta con un Protocolo Clínico de Atención Integral a Personas Usuarias con Pérdida Gestacional Temprana, de acatamiento obligatorio y divulgado al personal de salud a nivel nacional.  </w:t>
      </w:r>
    </w:p>
    <w:p w14:paraId="31F0AB53" w14:textId="77777777" w:rsidR="00CD7A71" w:rsidRDefault="00CD7A71" w:rsidP="00CD7A71">
      <w:pPr>
        <w:pStyle w:val="SingleTxtG"/>
      </w:pPr>
      <w:r w:rsidRPr="00CD7A71">
        <w:t>134.</w:t>
      </w:r>
      <w:r w:rsidRPr="00CD7A71">
        <w:tab/>
        <w:t>En materia de salud sexual y reproductiva, se encuentra en aplicación el Protocolo de las 72 horas para la atención integral en casos de violación. En este marco, la Caja Costarricense de Seguro Social (CCSS) mantiene lineamientos institucionales para garantizar el acceso a la anticoncepción de emergencia en todos los niveles de atención.</w:t>
      </w:r>
    </w:p>
    <w:p w14:paraId="2BC9FCD4" w14:textId="77777777" w:rsidR="00CD7A71" w:rsidRDefault="00CD7A71" w:rsidP="00CD7A71">
      <w:pPr>
        <w:pStyle w:val="SingleTxtG"/>
      </w:pPr>
      <w:r w:rsidRPr="00CD7A71">
        <w:t>135.</w:t>
      </w:r>
      <w:r w:rsidRPr="00CD7A71">
        <w:tab/>
        <w:t xml:space="preserve">En 2020, la CCSS emitió el Lineamiento para la prescripción de la anticoncepción de emergencia, mediante la administración de </w:t>
      </w:r>
      <w:proofErr w:type="spellStart"/>
      <w:r w:rsidRPr="00CD7A71">
        <w:t>Levonorgestrel</w:t>
      </w:r>
      <w:proofErr w:type="spellEnd"/>
      <w:r w:rsidRPr="00CD7A71">
        <w:t xml:space="preserve"> 1.5 mg o, mediante tabletas anticonceptivas combinadas (método </w:t>
      </w:r>
      <w:proofErr w:type="spellStart"/>
      <w:r w:rsidRPr="00CD7A71">
        <w:t>Yuzpe</w:t>
      </w:r>
      <w:proofErr w:type="spellEnd"/>
      <w:r w:rsidRPr="00CD7A71">
        <w:t>). Dicho lineamiento establece que la anticoncepción de emergencia puede ser utilizada por cualquier mujer en edad fértil que la requiera para prevenir un embarazo no deseado.</w:t>
      </w:r>
    </w:p>
    <w:p w14:paraId="1C96FAF6" w14:textId="77777777" w:rsidR="00CD7A71" w:rsidRDefault="00CD7A71" w:rsidP="00CD7A71">
      <w:pPr>
        <w:pStyle w:val="SingleTxtG"/>
      </w:pPr>
      <w:r w:rsidRPr="00CD7A71">
        <w:t>136.</w:t>
      </w:r>
      <w:r w:rsidRPr="00CD7A71">
        <w:tab/>
        <w:t xml:space="preserve">El acceso a la anticoncepción de emergencia se garantiza mediante procedimientos de consejería y prescripción en distintos servicios de la CCSS, incluyendo los servicios de emergencias, la consulta externa de los Equipos Básicos de Atención Integral en Salud </w:t>
      </w:r>
      <w:r w:rsidRPr="00CD7A71">
        <w:lastRenderedPageBreak/>
        <w:t>(EBAIS) y las consultas externas de áreas de salud y hospitales, siempre que la atención se realice dentro del plazo máximo de 120 horas posteriores a la relación sexual con posibilidad de embarazo. El personal de medicina y enfermería en obstetricia es responsable de brindar un acompañamiento integral, que comprende tanto la indicación farmacológica como la consejería necesaria para la toma de decisiones informadas.</w:t>
      </w:r>
    </w:p>
    <w:p w14:paraId="46E4478E" w14:textId="77777777" w:rsidR="00CD7A71" w:rsidRDefault="00CD7A71" w:rsidP="00CD7A71">
      <w:pPr>
        <w:pStyle w:val="SingleTxtG"/>
      </w:pPr>
      <w:r w:rsidRPr="00CD7A71">
        <w:t>137.</w:t>
      </w:r>
      <w:r w:rsidRPr="00CD7A71">
        <w:tab/>
        <w:t xml:space="preserve">El suministro del medicamento inició en 2022, registrándose despachos de 1.500 tabletas de </w:t>
      </w:r>
      <w:proofErr w:type="spellStart"/>
      <w:r w:rsidRPr="00CD7A71">
        <w:t>Levonorgestrel</w:t>
      </w:r>
      <w:proofErr w:type="spellEnd"/>
      <w:r w:rsidRPr="00CD7A71">
        <w:t xml:space="preserve"> en 2022, 1.000 en 2023, 1.400 en 2024 y 1.200 en 2025</w:t>
      </w:r>
    </w:p>
    <w:p w14:paraId="31242DE0" w14:textId="77777777" w:rsidR="00CD7A71" w:rsidRDefault="00CD7A71" w:rsidP="00CD7A71">
      <w:pPr>
        <w:pStyle w:val="SingleTxtG"/>
      </w:pPr>
      <w:r w:rsidRPr="00CD7A71">
        <w:t>138.</w:t>
      </w:r>
      <w:r w:rsidRPr="00CD7A71">
        <w:tab/>
        <w:t>En el contexto costarricense, la toma de decisiones en salud respecto a personas menores de edad se rige por el principio de autonomía progresiva, que reconoce su derecho a participar activamente en las decisiones que afectan su cuerpo y su salud, en función de su edad y madurez. Este principio no sustituye la responsabilidad de protección que corresponde a los padres, representantes legales o al Estado, sino que busca equilibrar el respeto por la persona menor como agente moral en desarrollo con la obligación de prevenir daños irreversibles y decisiones prematuras.</w:t>
      </w:r>
    </w:p>
    <w:p w14:paraId="3B49511A" w14:textId="77777777" w:rsidR="00CD7A71" w:rsidRDefault="00CD7A71" w:rsidP="00CD7A71">
      <w:pPr>
        <w:pStyle w:val="SingleTxtG"/>
      </w:pPr>
      <w:r w:rsidRPr="00CD7A71">
        <w:t>139.</w:t>
      </w:r>
      <w:r w:rsidRPr="00CD7A71">
        <w:tab/>
        <w:t>Bajo este mismo principio, se reconoce, que las personas menores de edad pueden participar activamente en decisiones relacionadas con su salud sexual y reproductiva; sin embargo, no pueden adoptar decisiones irreversibles sin salvaguardas legales reforzadas.</w:t>
      </w:r>
    </w:p>
    <w:p w14:paraId="114BD8F1" w14:textId="29A15634"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11</w:t>
      </w:r>
    </w:p>
    <w:p w14:paraId="1D00D1A8" w14:textId="77777777" w:rsidR="00CD7A71" w:rsidRDefault="00CD7A71" w:rsidP="00CD7A71">
      <w:pPr>
        <w:pStyle w:val="SingleTxtG"/>
      </w:pPr>
      <w:r w:rsidRPr="00CD7A71">
        <w:t>140.</w:t>
      </w:r>
      <w:r w:rsidRPr="00CD7A71">
        <w:tab/>
        <w:t xml:space="preserve">a) Costa Rica cuenta con la Política Nacional para la Atención y la Prevención de la Violencia contra las Mujeres de todas las edades 2017-2032, orientada a erradicar todas las formas de violencia contras las mujeres. </w:t>
      </w:r>
    </w:p>
    <w:p w14:paraId="66AEFEEA" w14:textId="77777777" w:rsidR="00CD7A71" w:rsidRDefault="00CD7A71" w:rsidP="00CD7A71">
      <w:pPr>
        <w:pStyle w:val="SingleTxtG"/>
      </w:pPr>
      <w:r w:rsidRPr="00CD7A71">
        <w:t>141.</w:t>
      </w:r>
      <w:r w:rsidRPr="00CD7A71">
        <w:tab/>
        <w:t>En el ámbito legislativo, la Ley 9877 de 2020 tipificó y sancionó el acoso sexual callejero como un delito, penalizando conductas como el exhibicionismo, la persecución, la intimidación o la producción de material con connotación sexual sin consentimiento en espacios públicos o privados de acceso público.</w:t>
      </w:r>
    </w:p>
    <w:p w14:paraId="6C50BA16" w14:textId="77777777" w:rsidR="00CD7A71" w:rsidRDefault="00CD7A71" w:rsidP="00CD7A71">
      <w:pPr>
        <w:pStyle w:val="SingleTxtG"/>
      </w:pPr>
      <w:r w:rsidRPr="00CD7A71">
        <w:t>142.</w:t>
      </w:r>
      <w:r w:rsidRPr="00CD7A71">
        <w:tab/>
        <w:t>La Ley 9975 de 2021 reformó la Ley de Penalización de la Violencia Contra las Mujeres y Código Penal, para proteger los derechos de las mujeres víctimas de violencia y sancionar las formas de violencia física, psicológica, sexual y patrimonial perpetrada en su contra, por ser una práctica discriminatoria por razón de género, específicamente en una relación o vínculo de pareja, sea matrimonial, unión de hecho, noviazgo, convivencia, de no convivencia, casual u otra análoga, aun cuando medie divorcio, separación o ruptura.</w:t>
      </w:r>
    </w:p>
    <w:p w14:paraId="441ECB61" w14:textId="77777777" w:rsidR="00CD7A71" w:rsidRDefault="00CD7A71" w:rsidP="00CD7A71">
      <w:pPr>
        <w:pStyle w:val="SingleTxtG"/>
      </w:pPr>
      <w:r w:rsidRPr="00CD7A71">
        <w:t>143.</w:t>
      </w:r>
      <w:r w:rsidRPr="00CD7A71">
        <w:tab/>
        <w:t>Ese mismo año, la Ley 10022, incorporó la figura del femicidio ampliado, extendiendo la figura penal a casos en los que el agresor se aprovecha de una relación de confianza, amistad o parentesco, o donde existan antecedentes de violencia previa, imponiendo penas de 20 a 35 años de prisión.</w:t>
      </w:r>
    </w:p>
    <w:p w14:paraId="31C6EAAE" w14:textId="77777777" w:rsidR="00CD7A71" w:rsidRDefault="00CD7A71" w:rsidP="00CD7A71">
      <w:pPr>
        <w:pStyle w:val="SingleTxtG"/>
      </w:pPr>
      <w:r w:rsidRPr="00CD7A71">
        <w:t>144.</w:t>
      </w:r>
      <w:r w:rsidRPr="00CD7A71">
        <w:tab/>
        <w:t>Ley 10454 de 2024 facilitó los procesos de notificación de apertura de procedimientos disciplinarios por acoso u hostigamiento sexual en el empleo y la docencia.</w:t>
      </w:r>
    </w:p>
    <w:p w14:paraId="44032665" w14:textId="77777777" w:rsidR="00CD7A71" w:rsidRDefault="00CD7A71" w:rsidP="00CD7A71">
      <w:pPr>
        <w:pStyle w:val="SingleTxtG"/>
      </w:pPr>
      <w:r w:rsidRPr="00CD7A71">
        <w:t>145.</w:t>
      </w:r>
      <w:r w:rsidRPr="00CD7A71">
        <w:tab/>
        <w:t xml:space="preserve">Se ha aplicado la metodología de análisis de las denominadas autopsias sociales a través de veintiocho Informes Locales de Análisis del Femicidio, que incluyen antecedentes de las mujeres víctimas, las circunstancias comunitarias y las diferentes respuestas institucionales que se dieron, una referencia importante para reorientar acciones y respuestas institucionales ante situaciones de riesgo por femicidio. </w:t>
      </w:r>
    </w:p>
    <w:p w14:paraId="31CFB756" w14:textId="77777777" w:rsidR="00CD7A71" w:rsidRDefault="00CD7A71" w:rsidP="00CD7A71">
      <w:pPr>
        <w:pStyle w:val="SingleTxtG"/>
      </w:pPr>
      <w:r w:rsidRPr="00CD7A71">
        <w:t>146.</w:t>
      </w:r>
      <w:r w:rsidRPr="00CD7A71">
        <w:tab/>
        <w:t>El Poder Judicial ha fortalecido la capacitación con perspectiva de género a través de la Escuela Judicial y la Dirección de Gestión Humana, incorporando contenidos sobre la CEDAW, la Convención Belém do Pará, violencia vicaria, acoso sexual callejero, lenguaje inclusivo, y sentencias con perspectiva de género, entre otros.</w:t>
      </w:r>
    </w:p>
    <w:p w14:paraId="40877EE5" w14:textId="77777777" w:rsidR="00CD7A71" w:rsidRDefault="00CD7A71" w:rsidP="00CD7A71">
      <w:pPr>
        <w:pStyle w:val="SingleTxtG"/>
      </w:pPr>
      <w:r w:rsidRPr="00CD7A71">
        <w:t>147.</w:t>
      </w:r>
      <w:r w:rsidRPr="00CD7A71">
        <w:tab/>
        <w:t>En materia de protección de los derechos de la niñez y la adolescencia, en 2017 entró vigor la Ley 9406 de Fortalecimiento de la protección legal de las niñas y las adolescentes ante situaciones de violencia de género asociadas a relaciones abusivas, tipificó como delito las relaciones sexuales con niñas menores de 15 años y prohibió el matrimonio a una edad inferior a los 18 años y, reformó el Código Penal, el Código de Familia, la Ley Orgánica del Tribunal Supremo de Elecciones, Registro Civil y Código Civil.</w:t>
      </w:r>
    </w:p>
    <w:p w14:paraId="2D377165" w14:textId="77777777" w:rsidR="00CD7A71" w:rsidRDefault="00CD7A71" w:rsidP="00CD7A71">
      <w:pPr>
        <w:pStyle w:val="SingleTxtG"/>
      </w:pPr>
      <w:r w:rsidRPr="00CD7A71">
        <w:lastRenderedPageBreak/>
        <w:t>148.</w:t>
      </w:r>
      <w:r w:rsidRPr="00CD7A71">
        <w:tab/>
        <w:t xml:space="preserve">La Ley 9685 de 2019 sobre Derecho al Tiempo, amplió el plazo de prescripción de la acción penal en casos de delitos sexuales contra personas menores de edad o sin capacidad volitiva o cognoscitiva hasta por 25 años. </w:t>
      </w:r>
    </w:p>
    <w:p w14:paraId="564A1EE0" w14:textId="77777777" w:rsidR="00CD7A71" w:rsidRDefault="00CD7A71" w:rsidP="00CD7A71">
      <w:pPr>
        <w:pStyle w:val="SingleTxtG"/>
      </w:pPr>
      <w:r w:rsidRPr="00CD7A71">
        <w:t>149.</w:t>
      </w:r>
      <w:r w:rsidRPr="00CD7A71">
        <w:tab/>
        <w:t xml:space="preserve">Ley 10020 de 2021 para la Prevención del Acoso a Personas Menores de Edad por medios electrónicos o virtuales (grooming), estableció un marco regulatorio de protección frente al acoso cibernético. Se fortaleció el abordaje del grooming mediante la creación de una Comisión Interinstitucional, la incorporación del tema en la Política Nacional de Niñez y Adolescencia 2024-2036, y mediante acciones sostenidas de prevención, sensibilización y formación dirigidas a personas menores de edad, familiar y comunidad, incluyendo la conmemoración anual del Día Nacional de Lucha contra el Grooming. </w:t>
      </w:r>
    </w:p>
    <w:p w14:paraId="3A67AE6D" w14:textId="77777777" w:rsidR="00CD7A71" w:rsidRDefault="00CD7A71" w:rsidP="00CD7A71">
      <w:pPr>
        <w:pStyle w:val="SingleTxtG"/>
      </w:pPr>
      <w:r w:rsidRPr="00CD7A71">
        <w:t>150.</w:t>
      </w:r>
      <w:r w:rsidRPr="00CD7A71">
        <w:tab/>
        <w:t>La Ley 9999 de 2021 para Prevenir la Revictimización y Garantizar los Derechos de las Personas Menores de Edad en el Sistema Educativo Costarricense, reconoció a las personas menores de edad como sujetos de derechos en el régimen disciplinario del sistema educativo.</w:t>
      </w:r>
    </w:p>
    <w:p w14:paraId="038C3FFC" w14:textId="77777777" w:rsidR="00CD7A71" w:rsidRDefault="00CD7A71" w:rsidP="00CD7A71">
      <w:pPr>
        <w:pStyle w:val="SingleTxtG"/>
      </w:pPr>
      <w:r w:rsidRPr="00CD7A71">
        <w:t>151.</w:t>
      </w:r>
      <w:r w:rsidRPr="00CD7A71">
        <w:tab/>
        <w:t>La Ley 10329 de 2023 introdujo el deber de denunciar ante el Ministerio Público cualquier sospecha razonable de maltrato o abuso contra personas menores de edad, cuando estos hechos sean cometidos por personas que ostenten posiciones de autoridad en ámbitos educativos, deportivos, culturales, religiosos u otros.</w:t>
      </w:r>
    </w:p>
    <w:p w14:paraId="4C0148A1" w14:textId="77777777" w:rsidR="00CD7A71" w:rsidRDefault="00CD7A71" w:rsidP="00CD7A71">
      <w:pPr>
        <w:pStyle w:val="SingleTxtG"/>
      </w:pPr>
      <w:r w:rsidRPr="00CD7A71">
        <w:t>152.</w:t>
      </w:r>
      <w:r w:rsidRPr="00CD7A71">
        <w:tab/>
        <w:t>En 2024 se aprobó la Ley 10404, que establece el Día Nacional para prevenir la explotación, los abusos y la violencia sexual contra las personas menores de edad y promover la sanación.</w:t>
      </w:r>
    </w:p>
    <w:p w14:paraId="4EFE1D75" w14:textId="77777777" w:rsidR="00CD7A71" w:rsidRDefault="00CD7A71" w:rsidP="00CD7A71">
      <w:pPr>
        <w:pStyle w:val="SingleTxtG"/>
      </w:pPr>
      <w:r w:rsidRPr="00CD7A71">
        <w:t>153.</w:t>
      </w:r>
      <w:r w:rsidRPr="00CD7A71">
        <w:tab/>
        <w:t xml:space="preserve">La Ley 10476 de 2024 sobre Prevención, Detección Temprana y Respuesta de la Violencia contra la Niñez y la Adolescencia, busca generar acciones de prevención y detección temprana de todas las formas de violencia contra la niñez y la adolescencia, a través de procesos de concientización en la sociedad y la acción coordinada entre las instituciones del Estado. Estableció que varias instituciones deberán crear el Protocolo de Coordinación Interinstitucional para la Protección de la Niñez y Adolescencia, para la unificación de criterios de acción en la detección y atención de casos de violencia contra la niñez y adolescencia. </w:t>
      </w:r>
    </w:p>
    <w:p w14:paraId="3E6080D4" w14:textId="77777777" w:rsidR="00CD7A71" w:rsidRDefault="00CD7A71" w:rsidP="00CD7A71">
      <w:pPr>
        <w:pStyle w:val="SingleTxtG"/>
      </w:pPr>
      <w:r w:rsidRPr="00CD7A71">
        <w:t>154.</w:t>
      </w:r>
      <w:r w:rsidRPr="00CD7A71">
        <w:tab/>
        <w:t>La Ley 10487 de 2024 tipificó el acoso predatorio, sancionando el hostigamiento reiterado e insistente que afecte la intimidad, integridad o vida cotidiana de las personas, e incorporó agravantes ante determinadas situaciones.</w:t>
      </w:r>
    </w:p>
    <w:p w14:paraId="4F97A633" w14:textId="77777777" w:rsidR="00CD7A71" w:rsidRDefault="00CD7A71" w:rsidP="00CD7A71">
      <w:pPr>
        <w:pStyle w:val="SingleTxtG"/>
      </w:pPr>
      <w:r w:rsidRPr="00CD7A71">
        <w:t>155.</w:t>
      </w:r>
      <w:r w:rsidRPr="00CD7A71">
        <w:tab/>
        <w:t>La Ley 10521 de 2024 reformó el Código Procesal Penal para hacer obligatorio el anticipo jurisdiccional de prueba en los procesos penales relacionados con delitos sexuales, fortaleciendo la investigación y persecución penal de estos delitos.</w:t>
      </w:r>
    </w:p>
    <w:p w14:paraId="5F5645DC" w14:textId="173B0E13" w:rsidR="00CD7A71" w:rsidRPr="00CD7A71" w:rsidRDefault="00CD7A71" w:rsidP="00CD7A71">
      <w:pPr>
        <w:pStyle w:val="SingleTxtG"/>
      </w:pPr>
      <w:r w:rsidRPr="00CD7A71">
        <w:t>156.</w:t>
      </w:r>
      <w:r w:rsidRPr="00CD7A71">
        <w:tab/>
        <w:t>La Ley 10544 de 2024 agravó las penas aplicables a las personas adultas que participen como autoras, instigadoras o cómplices en delitos en los que se involucre a personas menores de edad, especialmente cuando estos hechos se cometan en contextos de delincuencia organizada.</w:t>
      </w:r>
    </w:p>
    <w:p w14:paraId="0BC30528" w14:textId="77777777" w:rsidR="00CD7A71" w:rsidRPr="00CD7A71" w:rsidRDefault="00CD7A71" w:rsidP="00CD7A71">
      <w:pPr>
        <w:pStyle w:val="SingleTxtG"/>
      </w:pPr>
      <w:r w:rsidRPr="00CD7A71">
        <w:t>157.</w:t>
      </w:r>
      <w:r w:rsidRPr="00CD7A71">
        <w:tab/>
        <w:t>La Ley 10603 de ese mismo año fortaleció la protección a las personas menores de edad frente a las relaciones impropias, explicitando el deber del Estado y de madres y padres, de proteger a las niñas, niños y adolescentes frente a esta forma de violencia. Estableció que la negligencia derivada de la omisión de denunciar este tipo de relaciones constituye causal de pérdida o suspensión de los atributos de la responsabilidad parental.</w:t>
      </w:r>
    </w:p>
    <w:p w14:paraId="53A98926" w14:textId="77777777" w:rsidR="00CD7A71" w:rsidRPr="00CD7A71" w:rsidRDefault="00CD7A71" w:rsidP="00CD7A71">
      <w:pPr>
        <w:pStyle w:val="SingleTxtG"/>
      </w:pPr>
      <w:r w:rsidRPr="00CD7A71">
        <w:t>158.</w:t>
      </w:r>
      <w:r w:rsidRPr="00CD7A71">
        <w:tab/>
        <w:t>En 2025 se aprobó la Ley 10813 contra el Silencio en Delitos Sexuales en perjuicio de la niñez y personas con discapacidad, que introduce la responsabilidad civil solidaria, refuerza el deber de denuncia y garantiza el cumplimiento de los protocolos de investigación.</w:t>
      </w:r>
    </w:p>
    <w:p w14:paraId="29FF6ACC" w14:textId="77777777" w:rsidR="00CD7A71" w:rsidRPr="00CD7A71" w:rsidRDefault="00CD7A71" w:rsidP="00CD7A71">
      <w:pPr>
        <w:pStyle w:val="SingleTxtG"/>
      </w:pPr>
      <w:r w:rsidRPr="00CD7A71">
        <w:t>159.</w:t>
      </w:r>
      <w:r w:rsidRPr="00CD7A71">
        <w:tab/>
        <w:t>La Ley 10685 de 2025 sancionó el reclutamiento ilícito de personas menores de edad para su participación en delitos dolosos, penalizando a las personas adultas que, conociendo la minoría de edad, las involucren en actividades delictivas.</w:t>
      </w:r>
    </w:p>
    <w:p w14:paraId="46B0CE7A" w14:textId="77777777" w:rsidR="00CD7A71" w:rsidRPr="00CD7A71" w:rsidRDefault="00CD7A71" w:rsidP="00CD7A71">
      <w:pPr>
        <w:pStyle w:val="SingleTxtG"/>
      </w:pPr>
      <w:r w:rsidRPr="00CD7A71">
        <w:t>160.</w:t>
      </w:r>
      <w:r w:rsidRPr="00CD7A71">
        <w:tab/>
        <w:t xml:space="preserve">La Ley 10634 de 2025 contra la Violencia Vicaria, reconoce y sanciona esta forma específica de violencia de género ejercida contra las mujeres mediante el daño causado a </w:t>
      </w:r>
      <w:r w:rsidRPr="00CD7A71">
        <w:lastRenderedPageBreak/>
        <w:t>personas dependientes, familiares, bienes o animales de compañía, con el objetivo de generar un perjuicio emocional, psicológico o patrimonial.</w:t>
      </w:r>
    </w:p>
    <w:p w14:paraId="4A2AC075" w14:textId="77777777" w:rsidR="00CD7A71" w:rsidRDefault="00CD7A71" w:rsidP="00CD7A71">
      <w:pPr>
        <w:pStyle w:val="SingleTxtG"/>
      </w:pPr>
      <w:r w:rsidRPr="00CD7A71">
        <w:t>161.</w:t>
      </w:r>
      <w:r w:rsidRPr="00CD7A71">
        <w:tab/>
        <w:t>En cuanto a medidas administrativas, se encuentran los dictados de protección y resoluciones administrativas, como resultado de la aplicación de los principios normativos a la situación fáctica, atendiendo al interés superior de la persona menor de edad, visto desde sus tres aristas, como norma, principio y derecho, y asegurando el cumplimiento de los lineamientos de la Política Nacional de la Niñez y Adolescencia.</w:t>
      </w:r>
    </w:p>
    <w:p w14:paraId="0B9D2430" w14:textId="07CFCE51" w:rsidR="00CD7A71" w:rsidRPr="00CD7A71" w:rsidRDefault="00CD7A71" w:rsidP="00CD7A71">
      <w:pPr>
        <w:pStyle w:val="SingleTxtG"/>
      </w:pPr>
      <w:r w:rsidRPr="00CD7A71">
        <w:t>162.</w:t>
      </w:r>
      <w:r w:rsidRPr="00CD7A71">
        <w:tab/>
        <w:t>El Patronato Nacional de la Infancia (PANI) representa legalmente a las personas menores de edad en situaciones de ausencia de sus padres o encargados, cuando sus intereses se contrapongan a los de quienes ejercen la autoridad parental o cuando exista duda sobre la representación legal.</w:t>
      </w:r>
    </w:p>
    <w:p w14:paraId="2682001C" w14:textId="77777777" w:rsidR="00CD7A71" w:rsidRPr="00CD7A71" w:rsidRDefault="00CD7A71" w:rsidP="00CD7A71">
      <w:pPr>
        <w:pStyle w:val="SingleTxtG"/>
      </w:pPr>
      <w:r w:rsidRPr="00CD7A71">
        <w:t>163.</w:t>
      </w:r>
      <w:r w:rsidRPr="00CD7A71">
        <w:tab/>
        <w:t>Desde 2008, Costa Rica prohíbe el castigo corporal. De manera complementaria, el Programa Academia de Crianza se implementa a nivel nacional para promover modelos de crianza respetuosos y de trato digno hacia la persona menor de edad; en 2023 participaron 6.216 familias.</w:t>
      </w:r>
    </w:p>
    <w:p w14:paraId="644AEE43" w14:textId="77777777" w:rsidR="00CD7A71" w:rsidRPr="00CD7A71" w:rsidRDefault="00CD7A71" w:rsidP="00CD7A71">
      <w:pPr>
        <w:pStyle w:val="SingleTxtG"/>
      </w:pPr>
      <w:r w:rsidRPr="00CD7A71">
        <w:t>164.</w:t>
      </w:r>
      <w:r w:rsidRPr="00CD7A71">
        <w:tab/>
        <w:t>En 2024 se reactivó la Comisión Nacional que ejecuta el Plan Nacional contra la Explotación Sexual Comercial de Niños, Niñas y Adolescentes 2022–2025. Paralelamente, se promueven incentivos al sector turismo para la adopción del Código de Conducta, con el fin de desestimular la explotación sexual de la niñez asociada a viajes y turismo.</w:t>
      </w:r>
    </w:p>
    <w:p w14:paraId="29A3741B" w14:textId="77777777" w:rsidR="00CD7A71" w:rsidRPr="00CD7A71" w:rsidRDefault="00CD7A71" w:rsidP="00CD7A71">
      <w:pPr>
        <w:pStyle w:val="SingleTxtG"/>
      </w:pPr>
      <w:r w:rsidRPr="00CD7A71">
        <w:t>165.</w:t>
      </w:r>
      <w:r w:rsidRPr="00CD7A71">
        <w:tab/>
        <w:t>En el ámbito preventivo, en 2025 el PANI desarrolló campañas de comunicación ciudadana orientadas a sensibilizar sobre los derechos de las personas menores de edad, promover prácticas de crianza respetuosa y prevenir distintas formas de violencia. Estas acciones incluyeron información clara sobre los mecanismos institucionales de orientación y denuncia, y se implementaron principalmente mediante canales digitales y alianzas estratégicas, priorizando criterios de acceso amplio, eficiencia en el uso de los recursos públicos y fortalecimiento de la visibilidad institucional como ente rector y garante de derechos.</w:t>
      </w:r>
    </w:p>
    <w:p w14:paraId="7EA9FBA2" w14:textId="77777777" w:rsidR="00CD7A71" w:rsidRPr="00CD7A71" w:rsidRDefault="00CD7A71" w:rsidP="00CD7A71">
      <w:pPr>
        <w:pStyle w:val="SingleTxtG"/>
      </w:pPr>
      <w:r w:rsidRPr="00CD7A71">
        <w:t>166.</w:t>
      </w:r>
      <w:r w:rsidRPr="00CD7A71">
        <w:tab/>
        <w:t xml:space="preserve">b) En Costa Rica existe el deber de denunciar ante el Ministerio Público cualquier sospecha razonable de maltrato o abuso contra personas menores de edad, cuando estos hechos sean cometidos por personas que ostenten posiciones de autoridad en ámbitos educativos, deportivos, culturales, religiosos u otros. Asimismo, toda situación de hecho que sea conocida por las personas trabajadoras del Patronato Nacional de la Infancia (PANI) en el ejercicio de sus funciones, que involucren presuntas violaciones de derechos de personas menores de edad, debe ser denunciada en forma inmediata ante el Ministerio Público.  </w:t>
      </w:r>
    </w:p>
    <w:p w14:paraId="5A276F29" w14:textId="77777777" w:rsidR="00CD7A71" w:rsidRPr="00CD7A71" w:rsidRDefault="00CD7A71" w:rsidP="00CD7A71">
      <w:pPr>
        <w:pStyle w:val="SingleTxtG"/>
      </w:pPr>
      <w:r w:rsidRPr="00CD7A71">
        <w:t>167.</w:t>
      </w:r>
      <w:r w:rsidRPr="00CD7A71">
        <w:tab/>
        <w:t>El país dispone de doce juzgados especializados en violencia doméstica.</w:t>
      </w:r>
    </w:p>
    <w:p w14:paraId="35E054BB" w14:textId="77777777" w:rsidR="00CD7A71" w:rsidRPr="00CD7A71" w:rsidRDefault="00CD7A71" w:rsidP="00CD7A71">
      <w:pPr>
        <w:pStyle w:val="SingleTxtG"/>
      </w:pPr>
      <w:r w:rsidRPr="00CD7A71">
        <w:t>168.</w:t>
      </w:r>
      <w:r w:rsidRPr="00CD7A71">
        <w:tab/>
        <w:t xml:space="preserve">El Poder Judicial mantiene comisiones permanentes para el seguimiento de las leyes de violencia doméstica, de penalización de la violencia contra las mujeres y la violencia de género. Estas comisiones cumplen funciones de sensibilización y difusión de los mecanismos de denuncia. Persiste la necesidad de contar con datos desagregados por etnia. </w:t>
      </w:r>
    </w:p>
    <w:p w14:paraId="7A1F65CB" w14:textId="77777777" w:rsidR="00CD7A71" w:rsidRPr="00CD7A71" w:rsidRDefault="00CD7A71" w:rsidP="00CD7A71">
      <w:pPr>
        <w:pStyle w:val="SingleTxtG"/>
      </w:pPr>
      <w:r w:rsidRPr="00CD7A71">
        <w:t>169.</w:t>
      </w:r>
      <w:r w:rsidRPr="00CD7A71">
        <w:tab/>
        <w:t xml:space="preserve">El Observatorio de Violencia de Género contra las Mujeres y Acceso a la Justicia del Poder Judicial sistematiza los datos de denuncias y sentencias, y promueve la transparencia institucional. </w:t>
      </w:r>
    </w:p>
    <w:p w14:paraId="2191111D" w14:textId="77777777" w:rsidR="00CD7A71" w:rsidRPr="00CD7A71" w:rsidRDefault="00CD7A71" w:rsidP="00CD7A71">
      <w:pPr>
        <w:pStyle w:val="SingleTxtG"/>
      </w:pPr>
      <w:r w:rsidRPr="00CD7A71">
        <w:t>170.</w:t>
      </w:r>
      <w:r w:rsidRPr="00CD7A71">
        <w:tab/>
        <w:t>En materia de violencia política, la Ley 10235 establece que todo proceso de denuncia debe garantizar la confidencialidad de las partes y el principio de no revictimización, prohibiendo interrogatorios extenuantes, incriminatorios o tratos humillantes. Prohíbe realizar investigaciones preliminares sobre los hechos y promover la conciliación entre partes. Todo procedimiento de investigación por denuncias de violencia contra las mujeres en la política tiene un trámite prioritario y expedido. Cuando se determina la responsabilidad de una persona por ejercer violencia contra una mujer en la política y se le aplica una sanción, la información deja de ser confidencial y se remite al instituto Nacional de las Mujeres para levantar un registro completo de sanciones.</w:t>
      </w:r>
    </w:p>
    <w:p w14:paraId="554A3C75" w14:textId="77777777" w:rsidR="00CD7A71" w:rsidRPr="00CD7A71" w:rsidRDefault="00CD7A71" w:rsidP="00CD7A71">
      <w:pPr>
        <w:pStyle w:val="SingleTxtG"/>
      </w:pPr>
      <w:r w:rsidRPr="00CD7A71">
        <w:t>171.</w:t>
      </w:r>
      <w:r w:rsidRPr="00CD7A71">
        <w:tab/>
        <w:t xml:space="preserve">En 2022 la Ley 10263, de Reparación Integral para Personas Sobrevivientes de Femicidio, creó el Régimen de Reparación Integral para las Personas Sobrevivientes de Femicidio y un Fondo Económico de Reparación Integral para Sobrevivientes de Femicidio. </w:t>
      </w:r>
    </w:p>
    <w:p w14:paraId="1BFE33D1" w14:textId="77777777" w:rsidR="00CD7A71" w:rsidRPr="00CD7A71" w:rsidRDefault="00CD7A71" w:rsidP="00CD7A71">
      <w:pPr>
        <w:pStyle w:val="SingleTxtG"/>
      </w:pPr>
      <w:r w:rsidRPr="00CD7A71">
        <w:lastRenderedPageBreak/>
        <w:t>172.</w:t>
      </w:r>
      <w:r w:rsidRPr="00CD7A71">
        <w:tab/>
        <w:t>Se consolidó el Centro Operativo de Atención a la Violencia Intrafamiliar y la Violencia contra las Mujeres y se declararon como esenciales los servicios de atención de la violencia contra las mujeres.</w:t>
      </w:r>
    </w:p>
    <w:p w14:paraId="02168E34" w14:textId="77777777" w:rsidR="00CD7A71" w:rsidRPr="00CD7A71" w:rsidRDefault="00CD7A71" w:rsidP="00CD7A71">
      <w:pPr>
        <w:pStyle w:val="SingleTxtG"/>
      </w:pPr>
      <w:r w:rsidRPr="00CD7A71">
        <w:t>173.</w:t>
      </w:r>
      <w:r w:rsidRPr="00CD7A71">
        <w:tab/>
        <w:t>c) En 2024 se registraron 16.924 aprehensiones por delitos de violencia contra las mujeres, de los cuales 6.652 correspondieron a conductas tipificadas bajo la Ley de Penalización de la Violencia contra las Mujeres y 10.272 por la Ley de Violencia Doméstica.</w:t>
      </w:r>
    </w:p>
    <w:p w14:paraId="365A19FD" w14:textId="77777777" w:rsidR="00CD7A71" w:rsidRPr="00CD7A71" w:rsidRDefault="00CD7A71" w:rsidP="00CD7A71">
      <w:pPr>
        <w:pStyle w:val="SingleTxtG"/>
      </w:pPr>
      <w:r w:rsidRPr="00CD7A71">
        <w:t>174.</w:t>
      </w:r>
      <w:r w:rsidRPr="00CD7A71">
        <w:tab/>
        <w:t>En materia judicial en 2024, se interpusieron 339 causas civiles resarcitorias, de las cuales 38 fueron declaradas con lugar, lo que representa un 11% del total. Se tramitaron 3.165 delitos sexuales contra mujeres y 4.085 casos bajo la Ley de Penalización de la Violencia contra las Mujeres, con acciones civiles resarcitorias del 3,9% y 1,32%, respectivamente.</w:t>
      </w:r>
    </w:p>
    <w:p w14:paraId="39A3C220" w14:textId="77777777" w:rsidR="00CD7A71" w:rsidRPr="00CD7A71" w:rsidRDefault="00CD7A71" w:rsidP="00CD7A71">
      <w:pPr>
        <w:pStyle w:val="SingleTxtG"/>
      </w:pPr>
      <w:r w:rsidRPr="00CD7A71">
        <w:t>175.</w:t>
      </w:r>
      <w:r w:rsidRPr="00CD7A71">
        <w:tab/>
        <w:t>El Poder Judicial, en 2024 recibió 25.420 casos por infracciones a la Ley de Penalización de la Violencia contra las Mujeres, siendo los delitos más frecuentes el maltrato con 10.007 causas; el incumplimiento de medidas de protección, con 5.919; la violencia psicológica, con 5.017; y las amenazas con 3.061 casos registrados.</w:t>
      </w:r>
    </w:p>
    <w:p w14:paraId="5A5B0D7B" w14:textId="77777777" w:rsidR="00CD7A71" w:rsidRPr="00CD7A71" w:rsidRDefault="00CD7A71" w:rsidP="00CD7A71">
      <w:pPr>
        <w:pStyle w:val="SingleTxtG"/>
      </w:pPr>
      <w:r w:rsidRPr="00CD7A71">
        <w:t>176.</w:t>
      </w:r>
      <w:r w:rsidRPr="00CD7A71">
        <w:tab/>
        <w:t xml:space="preserve">Asimismo, en 2024 se documentaron 18.018 denuncias por delitos sexuales, incluyendo violación, abuso sexual a menores, trata y acoso sexual callejero. </w:t>
      </w:r>
    </w:p>
    <w:p w14:paraId="722108F0" w14:textId="77777777" w:rsidR="00CD7A71" w:rsidRPr="00CD7A71" w:rsidRDefault="00CD7A71" w:rsidP="00CD7A71">
      <w:pPr>
        <w:pStyle w:val="SingleTxtG"/>
      </w:pPr>
      <w:r w:rsidRPr="00CD7A71">
        <w:t>177.</w:t>
      </w:r>
      <w:r w:rsidRPr="00CD7A71">
        <w:tab/>
        <w:t>Entre 2019 y 2025 se registraron 93 feminicidios contra mujeres adultas que eran madres, lo que implicó la afectación directa de 180 hijos e hijas en condición de orfandad. Y se registraron 12 feminicidios contra niñas y adolescentes mujeres.</w:t>
      </w:r>
    </w:p>
    <w:p w14:paraId="7860D68C" w14:textId="77777777" w:rsidR="00CD7A71" w:rsidRPr="00CD7A71" w:rsidRDefault="00CD7A71" w:rsidP="00CD7A71">
      <w:pPr>
        <w:pStyle w:val="SingleTxtG"/>
      </w:pPr>
      <w:r w:rsidRPr="00CD7A71">
        <w:t>178.</w:t>
      </w:r>
      <w:r w:rsidRPr="00CD7A71">
        <w:tab/>
        <w:t>En materia de reparación integral, durante 2024, 99 personas sobrevivientes indirectas de femicidio recibieron atención institucional. De estas, 33 fueron atendidas por el Instituto Nacional de la Mujer, 42 por el Instituto Mixto de Ayuda Social y veinticuatro por el Patronato Nacional de la Infancia (PANI).</w:t>
      </w:r>
    </w:p>
    <w:p w14:paraId="3613A056" w14:textId="77777777" w:rsidR="00CD7A71" w:rsidRPr="00CD7A71" w:rsidRDefault="00CD7A71" w:rsidP="00CD7A71">
      <w:pPr>
        <w:pStyle w:val="SingleTxtG"/>
      </w:pPr>
      <w:r w:rsidRPr="00CD7A71">
        <w:t>179.</w:t>
      </w:r>
      <w:r w:rsidRPr="00CD7A71">
        <w:tab/>
        <w:t>Por su parte, en 2025 ingresaron al PANI un total de 96.669 denuncias de situaciones violatorias de derechos, lo que representa un incremento del 2,7 % con respecto al año anterior. En dichas denuncias se identificaron 128.644 personas menores de edad involucradas, un aumento del 2,4 % en comparación con 2024. Estos registros comprenden tanto situaciones de presunta vulneración de derechos como solicitudes de orientación y activación de rutas de atención, y se enmarcan en el fortalecimiento progresivo de la presencia institucional, las acciones de sensibilización y los mecanismos de acceso a denuncia.</w:t>
      </w:r>
    </w:p>
    <w:p w14:paraId="29FAD73D" w14:textId="77777777" w:rsidR="00CD7A71" w:rsidRPr="00CD7A71" w:rsidRDefault="00CD7A71" w:rsidP="00CD7A71">
      <w:pPr>
        <w:pStyle w:val="SingleTxtG"/>
      </w:pPr>
      <w:r w:rsidRPr="00CD7A71">
        <w:t>180.</w:t>
      </w:r>
      <w:r w:rsidRPr="00CD7A71">
        <w:tab/>
        <w:t>d) En 2018, mediante decreto ejecutivo, la violencia contra las mujeres fue declarada grave problema nacional, permitiendo reforzar la intervención estatal mediante servicios especializados, gratuitos e interdisciplinarios, seguridad y protección, acceso a la justicia, atención en salud y atención psicosocial, incluyendo jornadas itinerantes en comunidades priorizadas. Estas acciones contemplan seguimiento a las mujeres atendidas y a los procesos iniciados, así como la conformación de equipos especializados para la atención de medidas de protección, delitos sexuales, infracciones a la Ley de Penalización de la Violencia contra las Mujeres, relaciones impropias, atención psicosocial y asesoría en pensiones alimentarias.</w:t>
      </w:r>
    </w:p>
    <w:p w14:paraId="17200A64" w14:textId="77777777" w:rsidR="00CD7A71" w:rsidRPr="00CD7A71" w:rsidRDefault="00CD7A71" w:rsidP="00CD7A71">
      <w:pPr>
        <w:pStyle w:val="SingleTxtG"/>
      </w:pPr>
      <w:r w:rsidRPr="00CD7A71">
        <w:t>181.</w:t>
      </w:r>
      <w:r w:rsidRPr="00CD7A71">
        <w:tab/>
        <w:t>El país lanzó la Ruta de Género, para fortalecer el acceso a justicia de las mujeres según el nuevo modelo de regionalización. Se abrieron 32 “Puntos Violeta”, para brindar primeros auxilios psicológicos a mujeres que viven violencia, con especial énfasis en hostigamiento laboral y sexual y acoso callejero, ubicados en todas las regiones del país.   Al cierre de 2024, 4.069 mujeres habían recibido atención en estos puntos.</w:t>
      </w:r>
    </w:p>
    <w:p w14:paraId="433B5FE4" w14:textId="77777777" w:rsidR="00CD7A71" w:rsidRPr="00CD7A71" w:rsidRDefault="00CD7A71" w:rsidP="00CD7A71">
      <w:pPr>
        <w:pStyle w:val="SingleTxtG"/>
      </w:pPr>
      <w:r w:rsidRPr="00CD7A71">
        <w:t>182.</w:t>
      </w:r>
      <w:r w:rsidRPr="00CD7A71">
        <w:tab/>
        <w:t>Los Espacios Seguros, implementados en alianza con negocios previamente identificados, sirven como refugios a mujeres ante casos de violencia o situaciones de peligro, esta iniciativa busca involucrar a la sociedad en su conjunto en la búsqueda de soluciones, mediante la dotación de herramientas a través de la capacitación a empresas e instituciones. En este sentido, se capacita a las instancias interesadas, con quienes se firma un compromiso y se les otorga un rótulo que lo habilita como espacio seguro. En 2024 se capacitó 1.388 empresas o instituciones en el tema de violencia sexual con énfasis en acoso callejero.</w:t>
      </w:r>
    </w:p>
    <w:p w14:paraId="57DA8532" w14:textId="77777777" w:rsidR="00CD7A71" w:rsidRPr="00CD7A71" w:rsidRDefault="00CD7A71" w:rsidP="00CD7A71">
      <w:pPr>
        <w:pStyle w:val="SingleTxtG"/>
      </w:pPr>
      <w:r w:rsidRPr="00CD7A71">
        <w:t>183.</w:t>
      </w:r>
      <w:r w:rsidRPr="00CD7A71">
        <w:tab/>
        <w:t xml:space="preserve">Se han abierto 23 Comités Locales de Atención Inmediata y Seguimiento para la protección y atención inmediata de las mujeres en situaciones de riesgo de femicidio. Se desarrolló la Estrategia de Atención Itinerante para facilitar el acceso a servicios de atención </w:t>
      </w:r>
      <w:r w:rsidRPr="00CD7A71">
        <w:lastRenderedPageBreak/>
        <w:t xml:space="preserve">integral a mujeres afectadas por violencia que residen en zonas alejadas de los centros urbanos y en comunidades indígenas. </w:t>
      </w:r>
    </w:p>
    <w:p w14:paraId="7534A10F" w14:textId="77777777" w:rsidR="00CD7A71" w:rsidRPr="00CD7A71" w:rsidRDefault="00CD7A71" w:rsidP="00CD7A71">
      <w:pPr>
        <w:pStyle w:val="SingleTxtG"/>
      </w:pPr>
      <w:r w:rsidRPr="00CD7A71">
        <w:t>184.</w:t>
      </w:r>
      <w:r w:rsidRPr="00CD7A71">
        <w:tab/>
        <w:t>Se dota a mujeres que se encuentran en alto riesgo de femicidio y que no pueden o no desean ingresar a un Centro de Atención y Albergue Temporal de un dispositivo de geolocalización o GPS conectado al Sistema de Emergencias 9-1-1, por lo que con presionar el botón se genera la llamada garantizando una oportuna y efectiva respuesta de la policía. En 2024, se entregaron 631 dispositivos.</w:t>
      </w:r>
    </w:p>
    <w:p w14:paraId="7F13AABD" w14:textId="77777777" w:rsidR="00CD7A71" w:rsidRPr="00CD7A71" w:rsidRDefault="00CD7A71" w:rsidP="00CD7A71">
      <w:pPr>
        <w:pStyle w:val="SingleTxtG"/>
      </w:pPr>
      <w:r w:rsidRPr="00CD7A71">
        <w:t>185.</w:t>
      </w:r>
      <w:r w:rsidRPr="00CD7A71">
        <w:tab/>
        <w:t>Se aplica un protocolo para la atención efectiva y oportuna de la violencia sexual, para unificar la respuesta de atención interdisciplinaria, integral y oportuna a la persona víctima de violación en las primeras 72 horas de ocurrido el evento, con el propósito de disminuir la probabilidad de infección por ITS y VIH, y evitar la revictimización, así como obtener las evidencias legales, garantizando los derechos de las víctimas. En este mecanismo intervienen principalmente, la Fuerza Pública, el Poder Judicial y la Caja Costarricense de Seguro Social.  En 2024, el Poder Judicial atendió a 350 personas, 70 menores de edad, tres hombres y 67 mujeres y a 256 mujeres mayores de edad.</w:t>
      </w:r>
    </w:p>
    <w:p w14:paraId="041FCEB6" w14:textId="77777777" w:rsidR="00CD7A71" w:rsidRDefault="00CD7A71" w:rsidP="00CD7A71">
      <w:pPr>
        <w:pStyle w:val="SingleTxtG"/>
      </w:pPr>
      <w:r w:rsidRPr="00CD7A71">
        <w:t>186.</w:t>
      </w:r>
      <w:r w:rsidRPr="00CD7A71">
        <w:tab/>
        <w:t>En 2021 se elaboró el Protocolo Interinstitucional de atención a víctimas indirectas de femicidio, mismo que se aplica para atención y seguimiento a las víctimas. En 2024 en total se atendió a 99 personas sobrevivientes de femicidio.</w:t>
      </w:r>
    </w:p>
    <w:p w14:paraId="5317FB98" w14:textId="77777777" w:rsidR="00CD7A71" w:rsidRDefault="00CD7A71" w:rsidP="00CD7A71">
      <w:pPr>
        <w:pStyle w:val="SingleTxtG"/>
      </w:pPr>
      <w:r w:rsidRPr="00CD7A71">
        <w:t>187.</w:t>
      </w:r>
      <w:r w:rsidRPr="00CD7A71">
        <w:tab/>
        <w:t>En relación con la niñez y adolescencia el Patronato Nacional de la Infancia (PANI) ha ampliado los servicios de protección integral, mediante la apertura de nuevas oficinas en los cantones de Matina en Limón y El Guarco en Cartago, identificados como prioritarios en relación con la incidencia de diversas formas de violencia. Asimismo, se habilitaron los Departamentos de Atención Regional Inmediata en las Direcciones de San José Central y San José Sur, lo que garantiza cobertura en todo el país, con atención 24 horas, los 365 días del año.</w:t>
      </w:r>
    </w:p>
    <w:p w14:paraId="0D821940" w14:textId="5349D908" w:rsidR="00CD7A71" w:rsidRPr="00CD7A71" w:rsidRDefault="00CD7A71" w:rsidP="00CD7A71">
      <w:pPr>
        <w:pStyle w:val="SingleTxtG"/>
      </w:pPr>
      <w:r w:rsidRPr="00CD7A71">
        <w:t>188.</w:t>
      </w:r>
      <w:r w:rsidRPr="00CD7A71">
        <w:tab/>
        <w:t>El PANI cuenta con veintinueve albergues y tres aldeas institucionales, por lo que, en amparo con la política de desinstitucionalización, se determinó que no existe aval para la creación de más albergues institucionales. Estos servicios están a cargo del Departamento de Protección, que dispone de tres personas profesionales para la supervisión de albergues institucionales y seis para la supervisión de alternativas operadas por Servicios de Protección Básica, utilizando indicadores orientados a evaluar la calidad de la atención, la identificación de posibles vulneraciones de derechos y la incorporación de la opinión de las personas menores de edad.</w:t>
      </w:r>
    </w:p>
    <w:p w14:paraId="530F76E1" w14:textId="77777777" w:rsidR="00CD7A71" w:rsidRPr="00CD7A71" w:rsidRDefault="00CD7A71" w:rsidP="00CD7A71">
      <w:pPr>
        <w:pStyle w:val="SingleTxtG"/>
      </w:pPr>
      <w:r w:rsidRPr="00CD7A71">
        <w:t>189.</w:t>
      </w:r>
      <w:r w:rsidRPr="00CD7A71">
        <w:tab/>
        <w:t>Se han adoptado medidas administrativas para fortalecer el recurso humano destinado a la atención en los albergues institucionales, incluyendo ajustes en los horarios del personal auxiliar de servicios infantiles y gestiones para la contratación de mayor personal.</w:t>
      </w:r>
    </w:p>
    <w:p w14:paraId="034DCF9E" w14:textId="30F6005A"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 xml:space="preserve">12 </w:t>
      </w:r>
    </w:p>
    <w:p w14:paraId="00C9B304" w14:textId="77777777" w:rsidR="00CD7A71" w:rsidRDefault="00CD7A71" w:rsidP="00CD7A71">
      <w:pPr>
        <w:pStyle w:val="SingleTxtG"/>
      </w:pPr>
      <w:r w:rsidRPr="00CD7A71">
        <w:t>190.</w:t>
      </w:r>
      <w:r w:rsidRPr="00CD7A71">
        <w:tab/>
        <w:t xml:space="preserve">El Sistema Penitenciario Nacional no registra, a la fecha, hechos acreditados que configuren el delito de tortura contra personas privadas de libertad. </w:t>
      </w:r>
    </w:p>
    <w:p w14:paraId="7A0BA313" w14:textId="77777777" w:rsidR="00CD7A71" w:rsidRDefault="00CD7A71" w:rsidP="00CD7A71">
      <w:pPr>
        <w:pStyle w:val="SingleTxtG"/>
      </w:pPr>
      <w:r w:rsidRPr="00CD7A71">
        <w:t>191.</w:t>
      </w:r>
      <w:r w:rsidRPr="00CD7A71">
        <w:tab/>
        <w:t>Para prevenir y desincentivar cualquier forma de violencia institucional, se implementan acciones estructurales y operativas como la instalación y uso de cámaras en espacios carcelarios para documentar requisas e incidentes de control y el fortalecimiento de supervisión interna y emisión de directrices recordatorias para activar de inmediato la coordinación interinstitucional ante denuncias.</w:t>
      </w:r>
    </w:p>
    <w:p w14:paraId="507A3974" w14:textId="77777777" w:rsidR="00CD7A71" w:rsidRDefault="00CD7A71" w:rsidP="00CD7A71">
      <w:pPr>
        <w:pStyle w:val="SingleTxtG"/>
      </w:pPr>
      <w:r w:rsidRPr="00CD7A71">
        <w:t>192.</w:t>
      </w:r>
      <w:r w:rsidRPr="00CD7A71">
        <w:tab/>
        <w:t xml:space="preserve">Se mantiene un programa sostenido de formación en derechos humanos para personal penitenciario, y se impulsa la Mesa de Diálogo Intersectorial. </w:t>
      </w:r>
    </w:p>
    <w:p w14:paraId="65493B5D" w14:textId="77777777" w:rsidR="00CD7A71" w:rsidRDefault="00CD7A71" w:rsidP="00CD7A71">
      <w:pPr>
        <w:pStyle w:val="SingleTxtG"/>
      </w:pPr>
      <w:r w:rsidRPr="00CD7A71">
        <w:t>193.</w:t>
      </w:r>
      <w:r w:rsidRPr="00CD7A71">
        <w:tab/>
        <w:t xml:space="preserve">En 2023 se creó el Modelo de Actuación Integral del Sistema de Registro, Comunicación y Atención Integral a Víctimas de Violencia Institucional Carcelaria (SIRCAIVI) para el seguimiento de las denuncias judiciales, asegurar trazabilidad y promover acceso a atención médica y psicológica. A julio de 2025 se habían atendido 78 casos. </w:t>
      </w:r>
    </w:p>
    <w:p w14:paraId="0A485DDA" w14:textId="77777777" w:rsidR="00CD7A71" w:rsidRDefault="00CD7A71" w:rsidP="00CD7A71">
      <w:pPr>
        <w:pStyle w:val="SingleTxtG"/>
      </w:pPr>
      <w:r w:rsidRPr="00CD7A71">
        <w:t>194.</w:t>
      </w:r>
      <w:r w:rsidRPr="00CD7A71">
        <w:tab/>
        <w:t xml:space="preserve">Se realizan visitas semestrales de monitoreo a todas las cárceles del país y la emisión de los respectivos informes por parte de la Defensa Pública.    </w:t>
      </w:r>
    </w:p>
    <w:p w14:paraId="1954C00E" w14:textId="77777777" w:rsidR="00CD7A71" w:rsidRDefault="00CD7A71" w:rsidP="00CD7A71">
      <w:pPr>
        <w:pStyle w:val="SingleTxtG"/>
      </w:pPr>
      <w:r w:rsidRPr="00CD7A71">
        <w:lastRenderedPageBreak/>
        <w:t>195.</w:t>
      </w:r>
      <w:r w:rsidRPr="00CD7A71">
        <w:tab/>
        <w:t xml:space="preserve">El Estado dispone de vías múltiples, accesibles y gratuitas para denunciar. La persona privada de libertad puede, presentar su relato ante la dirección del centro penitenciario para remisión inmediata a la Fiscalía Adjunta de Probidad; solicitar la intervención de la Defensa Pública, que le entrevista y formaliza la denuncia; informar al personal de salud de la Caja Costarricense de Seguro Social, que tiene el deber legal de denunciar cuando identifica lesiones que podrían provenir de delito; o comunicarse telefónicamente con Defensa o la Fiscalía o por medio de familiares. </w:t>
      </w:r>
    </w:p>
    <w:p w14:paraId="5970E6D3" w14:textId="77777777" w:rsidR="00CD7A71" w:rsidRDefault="00CD7A71" w:rsidP="00CD7A71">
      <w:pPr>
        <w:pStyle w:val="SingleTxtG"/>
      </w:pPr>
      <w:r w:rsidRPr="00CD7A71">
        <w:t>196.</w:t>
      </w:r>
      <w:r w:rsidRPr="00CD7A71">
        <w:tab/>
        <w:t xml:space="preserve">A nivel institucional, se instruyó a las direcciones de centros a coordinar denuncias con la Defensa Pública de Ejecución de la Pena y la Fiscalía Adjunta de Probidad, Transparencia y Anticorrupción, distribuyéndose listados actualizados de contactos. El SIRCAIVI centraliza el registro y el seguimiento de los casos y resguarda evidencia, incluyendo constancias de atención médica y psicológica. </w:t>
      </w:r>
    </w:p>
    <w:p w14:paraId="440244FE" w14:textId="77777777" w:rsidR="00CD7A71" w:rsidRDefault="00CD7A71" w:rsidP="00CD7A71">
      <w:pPr>
        <w:pStyle w:val="SingleTxtG"/>
      </w:pPr>
      <w:r w:rsidRPr="00CD7A71">
        <w:t>197.</w:t>
      </w:r>
      <w:r w:rsidRPr="00CD7A71">
        <w:tab/>
        <w:t>Se reformó el artículo 181 del Código Procesal Penal para establecer la invalidez de la prueba obtenida mediante tortura, maltrato, coacción, amenaza, engaño o intromisión indebida.</w:t>
      </w:r>
    </w:p>
    <w:p w14:paraId="5B52B8AB" w14:textId="77777777" w:rsidR="00CD7A71" w:rsidRDefault="00CD7A71" w:rsidP="00CD7A71">
      <w:pPr>
        <w:pStyle w:val="SingleTxtG"/>
      </w:pPr>
      <w:r w:rsidRPr="00CD7A71">
        <w:t>198.</w:t>
      </w:r>
      <w:r w:rsidRPr="00CD7A71">
        <w:tab/>
        <w:t xml:space="preserve">Al 02 de septiembre de 2025, se registraron en el SIRCAIVI a 69 denuncias formalizadas desde 2023 por presunta violencia institucional, de estas, seis fueron desestimadas, una tramitada como contravencional, dos elevadas a juicio, cuatro con trámites pendientes para su elevación, y las restantes en investigación. </w:t>
      </w:r>
    </w:p>
    <w:p w14:paraId="3E6FFF12" w14:textId="77777777" w:rsidR="00CD7A71" w:rsidRDefault="00CD7A71" w:rsidP="00CD7A71">
      <w:pPr>
        <w:pStyle w:val="SingleTxtG"/>
      </w:pPr>
      <w:r w:rsidRPr="00CD7A71">
        <w:t>199.</w:t>
      </w:r>
      <w:r w:rsidRPr="00CD7A71">
        <w:tab/>
        <w:t xml:space="preserve">Cuando de los informes se desprenden posibles faltas disciplinarias, se activan procedimientos administrativos y, de ser necesario, medidas de separación funcional para evitar contacto entre la persona denunciada y la denunciante mientras se sustancia el caso.  </w:t>
      </w:r>
    </w:p>
    <w:p w14:paraId="344E32D3" w14:textId="77777777" w:rsidR="00CD7A71" w:rsidRDefault="00CD7A71" w:rsidP="00CD7A71">
      <w:pPr>
        <w:pStyle w:val="SingleTxtG"/>
      </w:pPr>
      <w:r w:rsidRPr="00CD7A71">
        <w:t>200.</w:t>
      </w:r>
      <w:r w:rsidRPr="00CD7A71">
        <w:tab/>
        <w:t>En Costa Rica, el enfoque institucional contempla atención médica y psicológica inmediata, registro fotográfico y documental en el expediente del SIRCAIVI, y derivaciones a servicios especializados. El Poder Judicial, a través de la Oficina de Atención y Protección a la Víctima y la Unidad de Protección a Víctimas y Testigos, valora y dicta medidas de resguardo cuando procede, lo que puede incluir restricciones de contacto, traslados intrasistema o ajustes cautelares, en coordinación con la Dirección General de Adaptación Social.</w:t>
      </w:r>
    </w:p>
    <w:p w14:paraId="2ECE08CA" w14:textId="77777777" w:rsidR="00CD7A71" w:rsidRDefault="00CD7A71" w:rsidP="00CD7A71">
      <w:pPr>
        <w:pStyle w:val="SingleTxtG"/>
      </w:pPr>
      <w:r w:rsidRPr="00CD7A71">
        <w:t>201.</w:t>
      </w:r>
      <w:r w:rsidRPr="00CD7A71">
        <w:tab/>
        <w:t xml:space="preserve">El personal policial de nuevo ingreso recibe formación inicial en la Academia Nacional de Policía de Costa Rica en el marco del Curso de Gestión de la Seguridad Pública, con contenidos de derechos humanos, incluyendo formación en enfoque intercultural y derechos de pueblos indígenas. </w:t>
      </w:r>
    </w:p>
    <w:p w14:paraId="34B81F5D" w14:textId="77777777" w:rsidR="00CD7A71" w:rsidRDefault="00CD7A71" w:rsidP="00CD7A71">
      <w:pPr>
        <w:pStyle w:val="SingleTxtG"/>
      </w:pPr>
      <w:r w:rsidRPr="00CD7A71">
        <w:t>202.</w:t>
      </w:r>
      <w:r w:rsidRPr="00CD7A71">
        <w:tab/>
        <w:t xml:space="preserve">La Escuela de Capacitación Penitenciaria y aliados interinstitucionales han impartido cursos, talleres y seminarios sobre derechos humanos y prevención de la tortura, discriminación, trata de personas, violencia carcelaria y probidad, derecho internacional humanitario, y atención diferenciada, entre otros, con participación del Mecanismo Nacional de Prevención de la Tortura, Ministerio Público, ILANUD y otros. </w:t>
      </w:r>
    </w:p>
    <w:p w14:paraId="7C858B37" w14:textId="31340BDE" w:rsidR="00CD7A71" w:rsidRPr="00CD7A71" w:rsidRDefault="00CD7A71" w:rsidP="00CD7A71">
      <w:pPr>
        <w:pStyle w:val="SingleTxtG"/>
      </w:pPr>
      <w:r w:rsidRPr="00CD7A71">
        <w:t>203.</w:t>
      </w:r>
      <w:r w:rsidRPr="00CD7A71">
        <w:tab/>
        <w:t xml:space="preserve">En 2024 la Defensa Pública impartió 25 charlas a personas privadas de libertad. El Organismo de Investigación Judicial coordinó cuatro jornadas sobre autolesiones, suicidio y perfiles psicológicos vinculados al crimen organizado. Estas actividades se orientan a incorporar estándares internacionales, incluido el Protocolo de Estambul, en la práctica cotidiana mediante prevención, observación, registro clínico-administrativo y derivaciones.   </w:t>
      </w:r>
    </w:p>
    <w:p w14:paraId="2A3AA9B4" w14:textId="52E4AECD" w:rsidR="00CD7A71" w:rsidRPr="00CD7A71" w:rsidRDefault="00CD7A71" w:rsidP="00CD7A71">
      <w:pPr>
        <w:pStyle w:val="H23G"/>
      </w:pPr>
      <w:r w:rsidRPr="00CD7A71">
        <w:t xml:space="preserve"> </w:t>
      </w:r>
      <w:r>
        <w:tab/>
      </w:r>
      <w:r>
        <w:tab/>
      </w:r>
      <w:r w:rsidRPr="00CD7A71">
        <w:rPr>
          <w:lang w:val="es-ES_tradnl"/>
        </w:rPr>
        <w:t>Respuesta al párrafo</w:t>
      </w:r>
      <w:r>
        <w:rPr>
          <w:lang w:val="es-ES_tradnl"/>
        </w:rPr>
        <w:t xml:space="preserve"> 13</w:t>
      </w:r>
    </w:p>
    <w:p w14:paraId="0A56B4FA" w14:textId="77777777" w:rsidR="00CD7A71" w:rsidRDefault="00CD7A71" w:rsidP="00CD7A71">
      <w:pPr>
        <w:pStyle w:val="SingleTxtG"/>
      </w:pPr>
      <w:r w:rsidRPr="00CD7A71">
        <w:t>204.</w:t>
      </w:r>
      <w:r w:rsidRPr="00CD7A71">
        <w:tab/>
        <w:t xml:space="preserve">Entre 2022 y enero de 2025 se ejecutaron inversiones por más de ₡19.800 millones en infraestructura penitenciaria (aproximadamente US$39,5 millones), que comprendieron la construcción de nuevos módulos de mediana contención, remodelaciones integrales de cocinas y sistemas de agua potable, instalación de sistemas de supresión contra incendios y cerramientos perimetrales. Estas intervenciones han mejorado condiciones materiales, y han permitido atender órdenes sanitarias y resoluciones judiciales vinculadas a infraestructura y servicios básicos. En noviembre de 2024, la Unidad de Atención Integral Reinaldo Villalobos Zúñiga obtuvo la acreditación de la American </w:t>
      </w:r>
      <w:proofErr w:type="spellStart"/>
      <w:r w:rsidRPr="00CD7A71">
        <w:t>Correctional</w:t>
      </w:r>
      <w:proofErr w:type="spellEnd"/>
      <w:r w:rsidRPr="00CD7A71">
        <w:t xml:space="preserve"> Association, constituyéndose en el primer centro penitenciario del país en alcanzar este reconocimiento, que acredita </w:t>
      </w:r>
      <w:r w:rsidRPr="00CD7A71">
        <w:lastRenderedPageBreak/>
        <w:t xml:space="preserve">cumplimiento de estándares en gestión, seguridad, respeto a los derechos humanos y programas de inserción social.  </w:t>
      </w:r>
    </w:p>
    <w:p w14:paraId="5CBB3D50" w14:textId="77777777" w:rsidR="00CD7A71" w:rsidRDefault="00CD7A71" w:rsidP="00CD7A71">
      <w:pPr>
        <w:pStyle w:val="SingleTxtG"/>
      </w:pPr>
      <w:r w:rsidRPr="00CD7A71">
        <w:t>205.</w:t>
      </w:r>
      <w:r w:rsidRPr="00CD7A71">
        <w:tab/>
        <w:t xml:space="preserve">En todos los establecimientos penitenciarios se cuenta con servicios de salud gratuitos, en condiciones de calidad equivales al resto de la población. Todas las personas privadas de libertad reciben los tratamientos médicos que requieren, de manera gratuita y las personas con padecimientos crónicos no sufren interrupciones de su tratamiento. Entre los servicios, se incluye el tamizaje por VIH, para promover la detección y manejo oportuno de esa enfermedad. </w:t>
      </w:r>
    </w:p>
    <w:p w14:paraId="333E38FC" w14:textId="77777777" w:rsidR="00CD7A71" w:rsidRDefault="00CD7A71" w:rsidP="00CD7A71">
      <w:pPr>
        <w:pStyle w:val="SingleTxtG"/>
      </w:pPr>
      <w:r w:rsidRPr="00CD7A71">
        <w:t>206.</w:t>
      </w:r>
      <w:r w:rsidRPr="00CD7A71">
        <w:tab/>
        <w:t>Se cuenta con 10 profesionales en psicología para la atención del Nivel Penal Juvenil, 08 en Unidades de Atención Integral y 52 en centros de modalidad cerrada de personas adultas. De estos, 20 poseen especialidad clínica. La atención se complementa con personal médico y gestión de referencias a servicios hospitalarios especializados.</w:t>
      </w:r>
    </w:p>
    <w:p w14:paraId="7160BB42" w14:textId="77777777" w:rsidR="00CD7A71" w:rsidRDefault="00CD7A71" w:rsidP="00CD7A71">
      <w:pPr>
        <w:pStyle w:val="SingleTxtG"/>
      </w:pPr>
      <w:r w:rsidRPr="00CD7A71">
        <w:t>207.</w:t>
      </w:r>
      <w:r w:rsidRPr="00CD7A71">
        <w:tab/>
        <w:t xml:space="preserve">En 2019 se inauguró una clínica exclusivamente para la mujer en el centro penitenciario de mujeres. Se cuenta con módulos materno-infantiles en las dos prisiones que albergan mujeres, el Centro de Atención Institucional Vilma Curling para mujeres adultas y el Centro de Formación Juvenil </w:t>
      </w:r>
      <w:proofErr w:type="spellStart"/>
      <w:r w:rsidRPr="00CD7A71">
        <w:t>Zurquí</w:t>
      </w:r>
      <w:proofErr w:type="spellEnd"/>
      <w:r w:rsidRPr="00CD7A71">
        <w:t>, para mujeres menores de edad, que contemplan espacios adecuados para que los niños menores de tres años permanezcan con sus madres, separados del resto de la población de los centros.</w:t>
      </w:r>
    </w:p>
    <w:p w14:paraId="49250127" w14:textId="77777777" w:rsidR="00CD7A71" w:rsidRDefault="00CD7A71" w:rsidP="00CD7A71">
      <w:pPr>
        <w:pStyle w:val="SingleTxtG"/>
      </w:pPr>
      <w:r w:rsidRPr="00CD7A71">
        <w:t>208.</w:t>
      </w:r>
      <w:r w:rsidRPr="00CD7A71">
        <w:tab/>
        <w:t xml:space="preserve">En el marco de la Ley 9582, Ley de Justicia Restaurativa de 2019, la justicia se ha consolidado como un instrumento del ordenamiento jurídico costarricense que promueve la resolución alternativa de los conflictos derivados del delito, con la </w:t>
      </w:r>
      <w:proofErr w:type="gramStart"/>
      <w:r w:rsidRPr="00CD7A71">
        <w:t>participación activa</w:t>
      </w:r>
      <w:proofErr w:type="gramEnd"/>
      <w:r w:rsidRPr="00CD7A71">
        <w:t xml:space="preserve"> de las partes, procurando la reparación del daño a la víctima y la reinserción social de la persona ofensora, en aras de la paz social. </w:t>
      </w:r>
    </w:p>
    <w:p w14:paraId="3096A737" w14:textId="26FCBE80" w:rsidR="00CD7A71" w:rsidRPr="00CD7A71" w:rsidRDefault="00CD7A71" w:rsidP="00CD7A71">
      <w:pPr>
        <w:pStyle w:val="SingleTxtG"/>
      </w:pPr>
      <w:r w:rsidRPr="00CD7A71">
        <w:t>209.</w:t>
      </w:r>
      <w:r w:rsidRPr="00CD7A71">
        <w:tab/>
        <w:t xml:space="preserve">Durante el último quinquenio se ha resuelto un número significativo de asuntos mediante la aplicación de medidas alternativas a la privación de libertad en materia penal, contribuyendo a la reducción de la población penitenciaria; no obstante, persisten niveles significativos de hacinamiento. Al 31 de julio de 2025, el porcentaje global de hacinamiento es de 34% y la tasa de </w:t>
      </w:r>
      <w:proofErr w:type="spellStart"/>
      <w:r w:rsidRPr="00CD7A71">
        <w:t>prisionalización</w:t>
      </w:r>
      <w:proofErr w:type="spellEnd"/>
      <w:r w:rsidRPr="00CD7A71">
        <w:t xml:space="preserve"> indica que hay 354,36 personas privadas de libertad por cada 100.000 habitantes.  Este índice muestra una tendencia histórica al crecimiento. Al 01 de mayo de 2026 hay 176 personas indígenas adscritas al Sistema.</w:t>
      </w:r>
    </w:p>
    <w:p w14:paraId="0ADC8F16" w14:textId="77777777" w:rsidR="00CD7A71" w:rsidRPr="00CD7A71" w:rsidRDefault="00CD7A71" w:rsidP="00CD7A71">
      <w:pPr>
        <w:pStyle w:val="SingleTxtG"/>
      </w:pPr>
      <w:r w:rsidRPr="00CD7A71">
        <w:t>210.</w:t>
      </w:r>
      <w:r w:rsidRPr="00CD7A71">
        <w:tab/>
        <w:t xml:space="preserve">El sistema penitenciario costarricense asegura la separación entre personas en espera de juicio y personas condenadas, en cumplimiento de las Reglas Mandela. En paralelo, el Instituto Nacional de Criminología y el Departamento Técnico han robustecido los mecanismos para cambio de modalidad de custodia hacia niveles más abiertos, así entre mayo de 2022 y agosto de 2025 se resolvieron 2.649 solicitudes, con una aprobación del 78,6%, priorizando traslados a modalidades semiinstitucionales. Asimismo, se mantiene la evaluación técnica de solicitudes de libertad condicional conforme al Código Penal, garantizando que las recomendaciones se sustenten en criterios de seguridad e inserción social. </w:t>
      </w:r>
    </w:p>
    <w:p w14:paraId="5ED52843" w14:textId="77777777" w:rsidR="00CD7A71" w:rsidRPr="00CD7A71" w:rsidRDefault="00CD7A71" w:rsidP="00CD7A71">
      <w:pPr>
        <w:pStyle w:val="SingleTxtG"/>
      </w:pPr>
      <w:r w:rsidRPr="00CD7A71">
        <w:t>211.</w:t>
      </w:r>
      <w:r w:rsidRPr="00CD7A71">
        <w:tab/>
        <w:t xml:space="preserve">La Escuela Judicial brinda formación continua al personal juzgador, administrativo y a la comunidad en general en temas de justicia restaurativa, conciliación y medidas alternativas. Entre las actividades destacan la Especialización en Justicia Restaurativa y los cursos sobre conciliación judicial, perspectiva de género en la justicia alternativa y derechos de los pueblos indígenas en la resolución de conflictos, incluyendo el reconocimiento del pluralismo jurídico, entre otros. </w:t>
      </w:r>
    </w:p>
    <w:p w14:paraId="05AC1877" w14:textId="71E38081"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14</w:t>
      </w:r>
    </w:p>
    <w:p w14:paraId="35033D6D" w14:textId="77777777" w:rsidR="00CD7A71" w:rsidRDefault="00CD7A71" w:rsidP="00CD7A71">
      <w:pPr>
        <w:pStyle w:val="SingleTxtG"/>
      </w:pPr>
      <w:r w:rsidRPr="00CD7A71">
        <w:t>212.</w:t>
      </w:r>
      <w:r w:rsidRPr="00CD7A71">
        <w:tab/>
        <w:t xml:space="preserve">El Estado dedica esfuerzos para prevenir, reprimir y sancionar la trata de personas. El delito de Trata de personas está establecido por el numeral 172 del Código Penal, y en agosto de 2019 se aprobó una reforma a la Ley contra la Trata de Personas y Creación de la Coalición Nacional contra el Tráfico Ilícito de Migrantes y la Trata de Personas (CONATT), que amplió el tipo de explotación de extracción ilícita de órganos, yendo más allá del concepto del Protocolo de Palermo, para contar con una herramienta más efectiva para combatir ese delito. La CONATT es la instancia encargada del rescate, protección de víctimas y demostración ante los sistemas judiciales de la prueba fundamental para la sanción de personas imputadas. </w:t>
      </w:r>
    </w:p>
    <w:p w14:paraId="5025F3C8" w14:textId="77777777" w:rsidR="00CD7A71" w:rsidRDefault="00CD7A71" w:rsidP="00CD7A71">
      <w:pPr>
        <w:pStyle w:val="SingleTxtG"/>
      </w:pPr>
      <w:r w:rsidRPr="00CD7A71">
        <w:lastRenderedPageBreak/>
        <w:t>213.</w:t>
      </w:r>
      <w:r w:rsidRPr="00CD7A71">
        <w:tab/>
        <w:t xml:space="preserve">En Costa Rica, el matrimonio infantil está prohibido desde 2017, y el matrimonio forzado es considerado uno de los fines de la trata de personas. En 2023 el Patronato Nacional de la Infancia (PANI) creó el Protocolo institucional de atención de relaciones impropias reforzando la prevención del matrimonio forzado. </w:t>
      </w:r>
    </w:p>
    <w:p w14:paraId="1507038F" w14:textId="77777777" w:rsidR="00CD7A71" w:rsidRDefault="00CD7A71" w:rsidP="00CD7A71">
      <w:pPr>
        <w:pStyle w:val="SingleTxtG"/>
      </w:pPr>
      <w:r w:rsidRPr="00CD7A71">
        <w:t>214.</w:t>
      </w:r>
      <w:r w:rsidRPr="00CD7A71">
        <w:tab/>
        <w:t>Se cuenta con la Política Nacional contra la Trata de Personas 2020-2030, el Plan Nacional Estratégico de la CONATT 2022-2027, y los Lineamientos de Coordinación Interinstitucional sobre Delitos de Trata de Personas y Tráfico Ilícito de Migrantes de 2023.</w:t>
      </w:r>
    </w:p>
    <w:p w14:paraId="77D334B8" w14:textId="77777777" w:rsidR="00CD7A71" w:rsidRDefault="00CD7A71" w:rsidP="00CD7A71">
      <w:pPr>
        <w:pStyle w:val="SingleTxtG"/>
      </w:pPr>
      <w:r w:rsidRPr="00CD7A71">
        <w:t>215.</w:t>
      </w:r>
      <w:r w:rsidRPr="00CD7A71">
        <w:tab/>
        <w:t xml:space="preserve">Se dispone del Equipo de Respuesta Inmediata (ERI), un cuerpo especializado interinstitucional para la activación de medidas de atención primaria de las personas víctimas de la trata de personas y sus dependientes, y de la Oficina de Atención y Protección a la Víctima del Delito, perteneciente al Ministerio Público. A junio de 2025, el ERI acreditó 564 personas víctimas y se encuentra implementando un Tablero de datos con estándares internacionales para la sistematización estadística del delito. </w:t>
      </w:r>
    </w:p>
    <w:p w14:paraId="4ACD9097" w14:textId="77777777" w:rsidR="00CD7A71" w:rsidRDefault="00CD7A71" w:rsidP="00CD7A71">
      <w:pPr>
        <w:pStyle w:val="SingleTxtG"/>
      </w:pPr>
      <w:r w:rsidRPr="00CD7A71">
        <w:t>216.</w:t>
      </w:r>
      <w:r w:rsidRPr="00CD7A71">
        <w:tab/>
        <w:t>Se cuenta con un Fondo Nacional contra la Trata de Personas y el Tráfico Ilícito de Migrantes (</w:t>
      </w:r>
      <w:proofErr w:type="spellStart"/>
      <w:r w:rsidRPr="00CD7A71">
        <w:t>Fonatt</w:t>
      </w:r>
      <w:proofErr w:type="spellEnd"/>
      <w:r w:rsidRPr="00CD7A71">
        <w:t xml:space="preserve">), financiado con el cobro de un dólar estadounidense en el impuesto de salida del país establecido en la Ley Reguladora de los Derechos de Salida del Territorio Nacional, de 2002. Los recursos del Fondo se destinan exclusivamente al financiamiento de gastos administrativos y operativos para la prevención, investigación, persecución y detección del delito de trata de personas; atención integral, protección y reintegración social de las víctimas, tanto nacionales como extranjeras, así como el combate integral del delito de tráfico ilícito de migrantes. </w:t>
      </w:r>
    </w:p>
    <w:p w14:paraId="28B1EDCA" w14:textId="77777777" w:rsidR="00CD7A71" w:rsidRDefault="00CD7A71" w:rsidP="00CD7A71">
      <w:pPr>
        <w:pStyle w:val="SingleTxtG"/>
      </w:pPr>
      <w:r w:rsidRPr="00CD7A71">
        <w:t>217.</w:t>
      </w:r>
      <w:r w:rsidRPr="00CD7A71">
        <w:tab/>
        <w:t xml:space="preserve">En materia de prevención, la CONATT desarrolla campañas de sensibilización, guías y materiales informativos con enfoque de género e interseccionalidad; realiza capacitaciones para actores claves y sociedad civil; y mantiene acercamientos con redes locales y sectores vulnerables, como el sector pesquero.  </w:t>
      </w:r>
    </w:p>
    <w:p w14:paraId="7E31ABFC" w14:textId="77777777" w:rsidR="00CD7A71" w:rsidRDefault="00CD7A71" w:rsidP="00CD7A71">
      <w:pPr>
        <w:pStyle w:val="SingleTxtG"/>
      </w:pPr>
      <w:r w:rsidRPr="00CD7A71">
        <w:t>218.</w:t>
      </w:r>
      <w:r w:rsidRPr="00CD7A71">
        <w:tab/>
        <w:t>Costa Rica es parte del movimiento Corazón Azul contra la Trata de Personas, el cual pretende generar conciencia colectiva sobre cómo abordar la lucha contra este delito.</w:t>
      </w:r>
    </w:p>
    <w:p w14:paraId="3CAD9FF9" w14:textId="4CFC1801" w:rsidR="00CD7A71" w:rsidRPr="00CD7A71" w:rsidRDefault="00CD7A71" w:rsidP="00CD7A71">
      <w:pPr>
        <w:pStyle w:val="SingleTxtG"/>
      </w:pPr>
      <w:r w:rsidRPr="00CD7A71">
        <w:t>219.</w:t>
      </w:r>
      <w:r w:rsidRPr="00CD7A71">
        <w:tab/>
        <w:t>Respecto a la investigación y persecución penal, la Fiscalía Adjunta contra la Trata y el Tráfico Ilícito de Migrantes recibe denuncias y mantiene investigaciones y procesos judiciales en curso, con sentencias condenatorias firmes en diversos casos.  Entre 2019 y 2024, se abrieron de 369 causas por trata de personas. La distribución anual fue la siguiente, 81 causas en 2019, 57 en 2020, 41 en 2021, 41 en 2022, 53 en 2023 y 96 en 2024.</w:t>
      </w:r>
    </w:p>
    <w:p w14:paraId="5BD32599" w14:textId="77777777" w:rsidR="00CD7A71" w:rsidRDefault="00CD7A71" w:rsidP="00CD7A71">
      <w:pPr>
        <w:pStyle w:val="SingleTxtG"/>
      </w:pPr>
      <w:r w:rsidRPr="00CD7A71">
        <w:t>220.</w:t>
      </w:r>
      <w:r w:rsidRPr="00CD7A71">
        <w:tab/>
        <w:t xml:space="preserve">En el marco de los procesos penales, durante 2023 se identificaron cuarenta víctimas, mientras que en 2024 la cifra ascendió a cien víctimas. Los principales fines de explotación en 2023 fueron la explotación sexual, con 38 casos; la explotación laboral, con ocho casos, el trabajo o servicios forzados, con tres casos; la mendicidad forzada con cuatro casos; servidumbre, dos casos y adopción irregular, con un caso. En 2024 predominó, la explotación sexual, con 69 casos; la explotación laboral, con trece casos y trabajos o servicios forzados con cuatro casos. </w:t>
      </w:r>
    </w:p>
    <w:p w14:paraId="5E65E5E5" w14:textId="77777777" w:rsidR="00CD7A71" w:rsidRDefault="00CD7A71" w:rsidP="00CD7A71">
      <w:pPr>
        <w:pStyle w:val="SingleTxtG"/>
      </w:pPr>
      <w:r w:rsidRPr="00CD7A71">
        <w:t>221.</w:t>
      </w:r>
      <w:r w:rsidRPr="00CD7A71">
        <w:tab/>
        <w:t xml:space="preserve">Entre 2019 y 2024, se llevaron a cabo 46 enjuiciamientos por trata de personas. Las penas impuestas se encuentran dentro de los rangos establecidos por el tipo penal, para el delito simple, de seis a diez años de prisión, y para el agravado, de ocho a diez años. En la práctica, las condenas han oscilado entre cinco y veintiocho años, según la gravedad del caso y las circunstancias específicas. </w:t>
      </w:r>
    </w:p>
    <w:p w14:paraId="2FC6C384" w14:textId="77777777" w:rsidR="00CD7A71" w:rsidRDefault="00CD7A71" w:rsidP="00CD7A71">
      <w:pPr>
        <w:pStyle w:val="SingleTxtG"/>
      </w:pPr>
      <w:r w:rsidRPr="00CD7A71">
        <w:t>222.</w:t>
      </w:r>
      <w:r w:rsidRPr="00CD7A71">
        <w:tab/>
        <w:t xml:space="preserve">Para la identificación y derivación de víctimas, se cuenta con una Ruta de detección y derivación del ERI, así como con formularios estandarizados para el registro de casos por medio de hojas de registro y boletas de noticia-crimen y, mecanismos de denuncia a través de los números 9-1-1 y 1-1-7-6. Además, existen rutas locales articuladas y protocolos específicos para la protección de personas menores de edad, a cargo del PANI. </w:t>
      </w:r>
    </w:p>
    <w:p w14:paraId="0CBDEC3D" w14:textId="77777777" w:rsidR="00CD7A71" w:rsidRDefault="00CD7A71" w:rsidP="00CD7A71">
      <w:pPr>
        <w:pStyle w:val="SingleTxtG"/>
      </w:pPr>
      <w:r w:rsidRPr="00CD7A71">
        <w:t>223.</w:t>
      </w:r>
      <w:r w:rsidRPr="00CD7A71">
        <w:tab/>
        <w:t xml:space="preserve">El país dispone de recursos efectivos de atención, rehabilitación y reintegración, que incluyen servicios de salud física y mental, acompañamiento psicosocial, asistencia social y proyectos de empleabilidad y emprendimiento apoyados con fondos del FONATT.  </w:t>
      </w:r>
    </w:p>
    <w:p w14:paraId="7E6F4DD4" w14:textId="77777777" w:rsidR="00CD7A71" w:rsidRDefault="00CD7A71" w:rsidP="00CD7A71">
      <w:pPr>
        <w:pStyle w:val="SingleTxtG"/>
      </w:pPr>
      <w:r w:rsidRPr="00CD7A71">
        <w:t>224.</w:t>
      </w:r>
      <w:r w:rsidRPr="00CD7A71">
        <w:tab/>
        <w:t xml:space="preserve">La Estrategia de Atención Integral y de Movilización de Recursos de Apoyo para las Víctimas-Sobrevivientes de la Trata de Personas y sus dependientes, y el Protocolo para la </w:t>
      </w:r>
      <w:r w:rsidRPr="00CD7A71">
        <w:lastRenderedPageBreak/>
        <w:t>atención integral en los servicios de salud de la Caja Costarricense de Seguro Social, han demostrado ser un ejemplo de articulación interinstitucional para el abordaje integral de las personas víctimas.</w:t>
      </w:r>
    </w:p>
    <w:p w14:paraId="03DEBB94" w14:textId="77777777" w:rsidR="00CD7A71" w:rsidRDefault="00CD7A71" w:rsidP="00CD7A71">
      <w:pPr>
        <w:pStyle w:val="SingleTxtG"/>
      </w:pPr>
      <w:r w:rsidRPr="00CD7A71">
        <w:t>225.</w:t>
      </w:r>
      <w:r w:rsidRPr="00CD7A71">
        <w:tab/>
        <w:t>Desde 2017 se estableció el Protocolo Institucional del Ministerio Público para la Atención de Personas Menores de Edad Víctimas y Sobrevivientes del Delito de Trata de Personas, el cual generó un marco jurídico y un procedimiento especializado para su intervención.</w:t>
      </w:r>
    </w:p>
    <w:p w14:paraId="46220F5E" w14:textId="0F09BE85" w:rsidR="00CD7A71" w:rsidRPr="00CD7A71" w:rsidRDefault="00CD7A71" w:rsidP="00CD7A71">
      <w:pPr>
        <w:pStyle w:val="SingleTxtG"/>
      </w:pPr>
      <w:r w:rsidRPr="00CD7A71">
        <w:t>226.</w:t>
      </w:r>
      <w:r w:rsidRPr="00CD7A71">
        <w:tab/>
        <w:t xml:space="preserve">Se cuenta con un Memorando de Entendimiento entre el ERI de Costa Rica y la Unidad de Identificación y Atención a Víctimas de Panamá, para la elaboración de una Hoja de Ruta Especializada en Retornos Asistidos. </w:t>
      </w:r>
    </w:p>
    <w:p w14:paraId="23B45B7F" w14:textId="6A4437AE" w:rsidR="00CD7A71" w:rsidRPr="00CD7A71" w:rsidRDefault="00CD7A71" w:rsidP="00CD7A71">
      <w:pPr>
        <w:pStyle w:val="H23G"/>
      </w:pPr>
      <w:r>
        <w:rPr>
          <w:lang w:val="es-ES_tradnl"/>
        </w:rPr>
        <w:tab/>
      </w:r>
      <w:r>
        <w:rPr>
          <w:lang w:val="es-ES_tradnl"/>
        </w:rPr>
        <w:tab/>
      </w:r>
      <w:r w:rsidRPr="00CD7A71">
        <w:rPr>
          <w:lang w:val="es-ES_tradnl"/>
        </w:rPr>
        <w:t>Respuesta al párrafo</w:t>
      </w:r>
      <w:r>
        <w:rPr>
          <w:lang w:val="es-ES_tradnl"/>
        </w:rPr>
        <w:t xml:space="preserve"> 15</w:t>
      </w:r>
    </w:p>
    <w:p w14:paraId="1B5C11D9" w14:textId="77777777" w:rsidR="00CD7A71" w:rsidRDefault="00CD7A71" w:rsidP="00CD7A71">
      <w:pPr>
        <w:pStyle w:val="SingleTxtG"/>
      </w:pPr>
      <w:r w:rsidRPr="00CD7A71">
        <w:t>227.</w:t>
      </w:r>
      <w:r w:rsidRPr="00CD7A71">
        <w:tab/>
        <w:t xml:space="preserve">En el marco del Decreto Ejecutivo 44219-MP-MSP de 2023, el Estado ejecutó contrataciones con fondos de la Comisión Nacional de Emergencias y del Fondo Especial Migratorio, para garantizar condiciones básicas de atención a la población migrante ante el incremento sin precedentes de los flujos migratorios.  </w:t>
      </w:r>
    </w:p>
    <w:p w14:paraId="52C383D8" w14:textId="77777777" w:rsidR="00CD7A71" w:rsidRDefault="00CD7A71" w:rsidP="00CD7A71">
      <w:pPr>
        <w:pStyle w:val="SingleTxtG"/>
      </w:pPr>
      <w:r w:rsidRPr="00CD7A71">
        <w:t>228.</w:t>
      </w:r>
      <w:r w:rsidRPr="00CD7A71">
        <w:tab/>
        <w:t xml:space="preserve">Entre las principales acciones destacan: </w:t>
      </w:r>
    </w:p>
    <w:p w14:paraId="23A8D2DA" w14:textId="155CE2F5" w:rsidR="00CD7A71" w:rsidRPr="00CD7A71" w:rsidRDefault="00CD7A71" w:rsidP="00CD7A71">
      <w:pPr>
        <w:pStyle w:val="Bullet1G"/>
      </w:pPr>
      <w:r w:rsidRPr="00CD7A71">
        <w:t xml:space="preserve">Prestación de servicios de alimentación en la Estación Migratoria Sur (EMISUR), con tres tiempos de comida diarios durante los 365 días del año. </w:t>
      </w:r>
    </w:p>
    <w:p w14:paraId="1EADB9C2" w14:textId="496DCAA8" w:rsidR="00CD7A71" w:rsidRPr="00CD7A71" w:rsidRDefault="00CD7A71" w:rsidP="00CD7A71">
      <w:pPr>
        <w:pStyle w:val="Bullet1G"/>
      </w:pPr>
      <w:r w:rsidRPr="00CD7A71">
        <w:t xml:space="preserve">Contratación de recurso humano adicional para los servicios de cocina. </w:t>
      </w:r>
    </w:p>
    <w:p w14:paraId="09BC02AC" w14:textId="07D36937" w:rsidR="00CD7A71" w:rsidRPr="00CD7A71" w:rsidRDefault="00CD7A71" w:rsidP="00CD7A71">
      <w:pPr>
        <w:pStyle w:val="Bullet1G"/>
      </w:pPr>
      <w:r w:rsidRPr="00CD7A71">
        <w:t xml:space="preserve">Mantenimiento de servicios médicos y de ambulancia permanentes con recursos de la institución. En 2023 se contó con el apoyo del Sistema de Naciones Unidas y se coordinó con el Ministerio de Salud la atención de casos que requerían intervenciones especiales. </w:t>
      </w:r>
    </w:p>
    <w:p w14:paraId="0CBF46FF" w14:textId="1C8F88DC" w:rsidR="00CD7A71" w:rsidRPr="00CD7A71" w:rsidRDefault="00CD7A71" w:rsidP="00CD7A71">
      <w:pPr>
        <w:pStyle w:val="Bullet1G"/>
      </w:pPr>
      <w:r w:rsidRPr="00CD7A71">
        <w:t xml:space="preserve">Activación de mesas de coordinación en salud y salud mental, con la participación de instituciones públicas, organismos internacionales y organizaciones no gubernamentales. </w:t>
      </w:r>
    </w:p>
    <w:p w14:paraId="21135531" w14:textId="230BA9BB" w:rsidR="00CD7A71" w:rsidRPr="00CD7A71" w:rsidRDefault="00CD7A71" w:rsidP="00CD7A71">
      <w:pPr>
        <w:pStyle w:val="Bullet1G"/>
      </w:pPr>
      <w:r w:rsidRPr="00CD7A71">
        <w:t xml:space="preserve">Mantenimiento del sistema de potabilización de agua en EMISUR y activación de una mesa de trabajo sectorial sobre Agua, Saneamiento e Higiene, Wash por sus siglas en inglés, permitiendo reforzar el acceso a agua potable en 2023. </w:t>
      </w:r>
    </w:p>
    <w:p w14:paraId="7DB8073F" w14:textId="3E04F464" w:rsidR="00CD7A71" w:rsidRPr="00CD7A71" w:rsidRDefault="00CD7A71" w:rsidP="00CD7A71">
      <w:pPr>
        <w:pStyle w:val="Bullet1G"/>
      </w:pPr>
      <w:r w:rsidRPr="00CD7A71">
        <w:t xml:space="preserve">Disponibilidad de baterías de duchas, fregaderos para lavado de ropa, y habitaciones equipadas con camarotes y colchones. </w:t>
      </w:r>
    </w:p>
    <w:p w14:paraId="45058DB8" w14:textId="7B51FCEB" w:rsidR="00CD7A71" w:rsidRDefault="00CD7A71" w:rsidP="00CD7A71">
      <w:pPr>
        <w:pStyle w:val="Bullet1G"/>
      </w:pPr>
      <w:r w:rsidRPr="00CD7A71">
        <w:t xml:space="preserve">Ejecución en curso de obras de mejoramiento de infraestructura, para contar con instalaciones adaptadas a las necesidades de las personas usuarias. </w:t>
      </w:r>
    </w:p>
    <w:p w14:paraId="76B797B7" w14:textId="77777777" w:rsidR="00CD7A71" w:rsidRDefault="00CD7A71" w:rsidP="00CD7A71">
      <w:pPr>
        <w:pStyle w:val="SingleTxtG"/>
      </w:pPr>
      <w:r w:rsidRPr="00CD7A71">
        <w:t>229.</w:t>
      </w:r>
      <w:r w:rsidRPr="00CD7A71">
        <w:tab/>
        <w:t xml:space="preserve">Se proyectó la apertura de un Centro de Atención en la Zona Huetar Norte; sin embargo, debido a limitaciones presupuestarias y a la reducción de los flujos migratorios durante la vigencia del decreto de emergencia, el proyecto no se materializó. No obstante, Dirección General de Migración y Extranjería (DGME), mantiene acciones de atención con recursos propios. </w:t>
      </w:r>
    </w:p>
    <w:p w14:paraId="63CF32A7" w14:textId="77777777" w:rsidR="00CD7A71" w:rsidRDefault="00CD7A71" w:rsidP="00CD7A71">
      <w:pPr>
        <w:pStyle w:val="SingleTxtG"/>
      </w:pPr>
      <w:r w:rsidRPr="00CD7A71">
        <w:t>230.</w:t>
      </w:r>
      <w:r w:rsidRPr="00CD7A71">
        <w:tab/>
        <w:t xml:space="preserve">Se trazaron rutas seguras en coordinación con el Consejo de Seguridad Vial, con el fin de facilitar un tránsito ordenado de las personas migrantes. </w:t>
      </w:r>
    </w:p>
    <w:p w14:paraId="3CFF94C6" w14:textId="77777777" w:rsidR="00CD7A71" w:rsidRDefault="00CD7A71" w:rsidP="00CD7A71">
      <w:pPr>
        <w:pStyle w:val="SingleTxtG"/>
      </w:pPr>
      <w:r w:rsidRPr="00CD7A71">
        <w:t>231.</w:t>
      </w:r>
      <w:r w:rsidRPr="00CD7A71">
        <w:tab/>
        <w:t xml:space="preserve">En materia de refugio, se han implementado medidas orientadas a garantizar el acceso efectivo y la protección del principio de no devolución. </w:t>
      </w:r>
    </w:p>
    <w:p w14:paraId="4BF34919" w14:textId="77777777" w:rsidR="00CD7A71" w:rsidRDefault="00CD7A71" w:rsidP="00CD7A71">
      <w:pPr>
        <w:pStyle w:val="SingleTxtG"/>
      </w:pPr>
      <w:r w:rsidRPr="00CD7A71">
        <w:t>232.</w:t>
      </w:r>
      <w:r w:rsidRPr="00CD7A71">
        <w:tab/>
        <w:t xml:space="preserve">Desde 2024, se desarrolla la Estrategia de Atención y Prevención de la Mora en la Unidad de Refugio, con apoyo del ACNUR, lo que permitió ampliar la capacidad de recepción de solicitudes de 350 semanales en enero de 2024 a 660 en 2025, esto, incluyó la atención prioritaria de personas adultas mayores y con discapacidad, sin necesidad de cita previa.  </w:t>
      </w:r>
    </w:p>
    <w:p w14:paraId="1D34F276" w14:textId="77777777" w:rsidR="00CD7A71" w:rsidRDefault="00CD7A71" w:rsidP="00CD7A71">
      <w:pPr>
        <w:pStyle w:val="SingleTxtG"/>
      </w:pPr>
      <w:r w:rsidRPr="00CD7A71">
        <w:t>233.</w:t>
      </w:r>
      <w:r w:rsidRPr="00CD7A71">
        <w:tab/>
        <w:t xml:space="preserve">Se habilitó un centro de llamadas para la asignación de citas de refugio, asegurando el principio de no devolución desde el momento en que la persona manifiesta su voluntad de solicitar protección ante la autoridad migratoria. </w:t>
      </w:r>
    </w:p>
    <w:p w14:paraId="0B309A8A" w14:textId="77777777" w:rsidR="00CD7A71" w:rsidRDefault="00CD7A71" w:rsidP="00CD7A71">
      <w:pPr>
        <w:pStyle w:val="SingleTxtG"/>
      </w:pPr>
      <w:r w:rsidRPr="00CD7A71">
        <w:lastRenderedPageBreak/>
        <w:t>234.</w:t>
      </w:r>
      <w:r w:rsidRPr="00CD7A71">
        <w:tab/>
        <w:t xml:space="preserve">Entre 2024 y 2025 se ejecutó el proyecto “Fortalecimiento de la identificación y derivación de personas solicitantes de la condición de refugiado y/o con perfiles de especial vulnerabilidad, mediante la modernización de la Plataforma de la Unidad de Refugio de Costa Rica”, financiado con apoyo internacional, permitiendo mejorar los flujos de atención y reforzar la confidencialidad en los trámites.  </w:t>
      </w:r>
    </w:p>
    <w:p w14:paraId="7DE0FE2F" w14:textId="77777777" w:rsidR="00CD7A71" w:rsidRDefault="00CD7A71" w:rsidP="00CD7A71">
      <w:pPr>
        <w:pStyle w:val="SingleTxtG"/>
      </w:pPr>
      <w:r w:rsidRPr="00CD7A71">
        <w:t>235.</w:t>
      </w:r>
      <w:r w:rsidRPr="00CD7A71">
        <w:tab/>
        <w:t xml:space="preserve">La Unidad de Refugio cuenta con dos oficinas regionales en San Carlos y Paso Canoas, que facilitan el acceso a personas residentes fuera del Área Metropolitana. El Decreto Ejecutivo 44501 reformó parcialmente el Reglamento de Personas Refugiadas, garantizando que las personas solicitantes mayores de 18 años puedan obtener un permiso laboral el día en que presentan su solicitud de protección internacional.  </w:t>
      </w:r>
    </w:p>
    <w:p w14:paraId="5AE7884D" w14:textId="77777777" w:rsidR="00CD7A71" w:rsidRDefault="00CD7A71" w:rsidP="00CD7A71">
      <w:pPr>
        <w:pStyle w:val="SingleTxtG"/>
      </w:pPr>
      <w:r w:rsidRPr="00CD7A71">
        <w:t>236.</w:t>
      </w:r>
      <w:r w:rsidRPr="00CD7A71">
        <w:tab/>
        <w:t>En el marco de la Estrategia de Empleabilidad para Personas Migrantes, en 2023 mediante la oferta del Instituto Mixto de Ayuda Social se logró atender a 4.208 personas refugiadas y solicitantes de refugio, con una inversión total de 1.750 millones de colones, aproximadamente US$3,2millones.</w:t>
      </w:r>
    </w:p>
    <w:p w14:paraId="5C0238AB" w14:textId="77777777" w:rsidR="00CD7A71" w:rsidRDefault="00CD7A71" w:rsidP="00CD7A71">
      <w:pPr>
        <w:pStyle w:val="SingleTxtG"/>
      </w:pPr>
      <w:r w:rsidRPr="00CD7A71">
        <w:t>237.</w:t>
      </w:r>
      <w:r w:rsidRPr="00CD7A71">
        <w:tab/>
        <w:t xml:space="preserve">En cuanto a la seguridad y prevención, la Policía Profesional de Migración ha fortalecido su capacidad operativa mediante la dotación de equipos, uniformes, vehículos y capacitaciones especializadas para la prevención y atención de delitos de trata y tráfico ilícito de migrantes en fronteras y rutas de tránsito. </w:t>
      </w:r>
    </w:p>
    <w:p w14:paraId="14687645" w14:textId="7F64E06A" w:rsidR="00CD7A71" w:rsidRPr="00CD7A71" w:rsidRDefault="00CD7A71" w:rsidP="00CD7A71">
      <w:pPr>
        <w:pStyle w:val="SingleTxtG"/>
      </w:pPr>
      <w:r w:rsidRPr="00CD7A71">
        <w:t>238.</w:t>
      </w:r>
      <w:r w:rsidRPr="00CD7A71">
        <w:tab/>
        <w:t>Se establecieron mecanismos de denuncia accesibles y confidenciales, como la integración directa con el sistema 9-1-1, que canaliza de forma inmediata las denuncias a la Policía, además de las direcciones electrónicas especializadas denunciasppm@migracion.go.cr; denunciatrataytrafico@migracion.go.cr y líneas telefónicas fijas y móviles visibles en la página oficial de la DGME.</w:t>
      </w:r>
    </w:p>
    <w:p w14:paraId="59CCBE4B" w14:textId="77777777" w:rsidR="00CD7A71" w:rsidRDefault="00CD7A71" w:rsidP="00CD7A71">
      <w:pPr>
        <w:pStyle w:val="SingleTxtG"/>
      </w:pPr>
      <w:r w:rsidRPr="00CD7A71">
        <w:t>239.</w:t>
      </w:r>
      <w:r w:rsidRPr="00CD7A71">
        <w:tab/>
        <w:t xml:space="preserve">Entre 2018 y septiembre de 2025, la Policía Profesional de Migración, a través de la Gestión de Investigaciones, Análisis e Inteligencia, desarrolló 260 investigaciones relacionadas con trata y tráfico ilícito de migrantes. De estas, 114 culminaron con la detención de personas imputadas y su judicialización ante el Ministerio Público, y varias concluyeron con sentencias condenatorias de hasta ocho años de prisión.    </w:t>
      </w:r>
    </w:p>
    <w:p w14:paraId="5ED8F8B7" w14:textId="77777777" w:rsidR="00CD7A71" w:rsidRDefault="00CD7A71" w:rsidP="00CD7A71">
      <w:pPr>
        <w:pStyle w:val="SingleTxtG"/>
      </w:pPr>
      <w:r w:rsidRPr="00CD7A71">
        <w:t>240.</w:t>
      </w:r>
      <w:r w:rsidRPr="00CD7A71">
        <w:tab/>
        <w:t xml:space="preserve">Para dimensionar la magnitud del fenómeno migratorio atendido por el Estado costarricense, cabe destacar que el flujo migratorio pasó de 41,349 personas en 2022, a 458,015 en 2023 y 313,093 en 2024.  </w:t>
      </w:r>
    </w:p>
    <w:p w14:paraId="7DD60517" w14:textId="2AE4DC80"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 xml:space="preserve">16 </w:t>
      </w:r>
    </w:p>
    <w:p w14:paraId="73DF940A" w14:textId="44CA637D" w:rsidR="00CD7A71" w:rsidRDefault="00CD7A71" w:rsidP="00CD7A71">
      <w:pPr>
        <w:pStyle w:val="SingleTxtG"/>
      </w:pPr>
      <w:r w:rsidRPr="00CD7A71">
        <w:t>241.</w:t>
      </w:r>
      <w:r w:rsidRPr="00CD7A71">
        <w:tab/>
        <w:t>Costa Rica no cuenta con centros de detención para personas migrantes o solicitantes de refugio.</w:t>
      </w:r>
    </w:p>
    <w:p w14:paraId="4E03A144" w14:textId="1EAD27E1" w:rsidR="00CD7A71" w:rsidRPr="00CD7A71" w:rsidRDefault="00CD7A71" w:rsidP="00CD7A71">
      <w:pPr>
        <w:pStyle w:val="SingleTxtG"/>
      </w:pPr>
      <w:r w:rsidRPr="00CD7A71">
        <w:t>242.</w:t>
      </w:r>
      <w:r w:rsidRPr="00CD7A71">
        <w:tab/>
        <w:t>En la gestión migratoria, opera el Centro de Atención Temporal para Migrantes, con capacidad para 300 personas, el Centro brinda alojamiento y servicios básicos a personas migrantes en tránsito, sin restricción de su libertad de circulación. Ofrece alimentación, atención médica, apoyo logístico y orientación, y sus condiciones son mantenidas mediante contratos institucionales que aseguran servicios continuos de limpieza, salud y alimentación.</w:t>
      </w:r>
    </w:p>
    <w:p w14:paraId="7C4E7DA6" w14:textId="77777777" w:rsidR="00CD7A71" w:rsidRPr="00CD7A71" w:rsidRDefault="00CD7A71" w:rsidP="00CD7A71">
      <w:pPr>
        <w:pStyle w:val="SingleTxtG"/>
      </w:pPr>
      <w:r w:rsidRPr="00CD7A71">
        <w:t>243.</w:t>
      </w:r>
      <w:r w:rsidRPr="00CD7A71">
        <w:tab/>
        <w:t>En el ámbito de la aprehensión administrativa migratoria, el Centro de Aprehensión de la Región Central se utiliza de manera excepcional y por plazos limitados, conforme a la Ley General de Migración y Extranjería. La normativa establece garantías como el carácter subsidiario de la detención, la revisión de medidas menos gravosas, plazos máximos para la aprehensión y el derecho a permanecer en condiciones dignas, con atención a particularidades de género, edad y discapacidad. Se garantiza alimentación, atención médica y, de ser necesario, traslado a centros hospitalarios.</w:t>
      </w:r>
    </w:p>
    <w:p w14:paraId="0A571A4F" w14:textId="77777777" w:rsidR="00CD7A71" w:rsidRDefault="00CD7A71" w:rsidP="00CD7A71">
      <w:pPr>
        <w:pStyle w:val="SingleTxtG"/>
      </w:pPr>
      <w:r w:rsidRPr="00CD7A71">
        <w:t>244.</w:t>
      </w:r>
      <w:r w:rsidRPr="00CD7A71">
        <w:tab/>
        <w:t xml:space="preserve">Para la permanencia temporal de personas inadmitidas que solicitan refugio o interponen recursos, se utilizan las salas de situaciones Migratorias Especiales, mientras se tramita su situación migratoria. En la Sala de la terminal del Aeropuerto Internacional Juan Santamaría (AIJS) la Policía Profesional de Migración lleva una bitácora en la que se registra de manera detallada toda actividad relacionada con cada persona en condición migratoria especial que permanezca en el sitio. Toda persona alojada en dicha sala es valorada periódicamente por personal de la Cruz Roja, destacado en el AIJS. La alimentación es </w:t>
      </w:r>
      <w:r w:rsidRPr="00CD7A71">
        <w:lastRenderedPageBreak/>
        <w:t xml:space="preserve">suministrada por la aerolínea responsable del pasajero, mientras que los artículos de aseo personal son proporcionados por la DGME. </w:t>
      </w:r>
    </w:p>
    <w:p w14:paraId="67BC16CA" w14:textId="77777777" w:rsidR="00CD7A71" w:rsidRDefault="00CD7A71" w:rsidP="00CD7A71">
      <w:pPr>
        <w:pStyle w:val="SingleTxtG"/>
      </w:pPr>
      <w:r w:rsidRPr="00CD7A71">
        <w:t>245.</w:t>
      </w:r>
      <w:r w:rsidRPr="00CD7A71">
        <w:tab/>
        <w:t xml:space="preserve">La permanencia en la Sala se extiende únicamente hasta que la persona agote la vía administrativa correspondiente. Su custodia recae en la aerolínea, bajo el acompañamiento permanente de oficiales de la Policía Profesional de Migración. Estas personas pueden salir de la sala temporalmente para realizar recorridos por salas de abordaje y otros espacios que permitan su acceso a aire libre, garantizando condiciones humanas y dignas de estancia.  </w:t>
      </w:r>
    </w:p>
    <w:p w14:paraId="1A8F7682" w14:textId="77777777" w:rsidR="00CD7A71" w:rsidRDefault="00CD7A71" w:rsidP="00CD7A71">
      <w:pPr>
        <w:pStyle w:val="SingleTxtG"/>
      </w:pPr>
      <w:r w:rsidRPr="00CD7A71">
        <w:t>246.</w:t>
      </w:r>
      <w:r w:rsidRPr="00CD7A71">
        <w:tab/>
        <w:t xml:space="preserve">Los oficiales de migración realizan verificaciones constantes sobre el estado de salud de las personas alojadas. En caso de requerimientos especiales, como iluminación adicional, libros u otros insumos, se coordina con la administración de la terminal aérea, que brinda la asistencia necesaria para atender dichas solicitudes.  </w:t>
      </w:r>
    </w:p>
    <w:p w14:paraId="2D6C8CC6" w14:textId="35C325D7" w:rsidR="00CD7A71" w:rsidRPr="00CD7A71" w:rsidRDefault="00CD7A71" w:rsidP="00CD7A71">
      <w:pPr>
        <w:pStyle w:val="SingleTxtG"/>
      </w:pPr>
      <w:r w:rsidRPr="00CD7A71">
        <w:t>247.</w:t>
      </w:r>
      <w:r w:rsidRPr="00CD7A71">
        <w:tab/>
        <w:t xml:space="preserve">Durante el período 2024-2025 la DGME registró tres casos de personas atendidas en la Sala de Situaciones Migratorias Especiales del AIJS, nacionales de Estados Unidos, Nicaragua y Rusia. Estas personas ingresaron en calidad de solicitantes de refugio y permanecieron en la sala por periodos de siete, dos y 67 días, respectivamente. Las dos primeras desistieron voluntariamente de su solicitud y salieron del país en vuelos regulares; la tercera persona permaneció hasta agotar la vía administrativa, tras lo cual salió en buenas condiciones de salud. Todas las actuaciones se documentaron mediante las actas de rechazo.  </w:t>
      </w:r>
    </w:p>
    <w:p w14:paraId="38614DD7" w14:textId="2A9C959C" w:rsidR="00CD7A71" w:rsidRPr="00CD7A71" w:rsidRDefault="00CD7A71" w:rsidP="00CD7A71">
      <w:pPr>
        <w:pStyle w:val="H23G"/>
      </w:pPr>
      <w:r>
        <w:rPr>
          <w:lang w:val="es-ES_tradnl"/>
        </w:rPr>
        <w:tab/>
      </w:r>
      <w:r>
        <w:rPr>
          <w:lang w:val="es-ES_tradnl"/>
        </w:rPr>
        <w:tab/>
      </w:r>
      <w:r w:rsidRPr="00CD7A71">
        <w:rPr>
          <w:lang w:val="es-ES_tradnl"/>
        </w:rPr>
        <w:t>Respuesta al párrafo</w:t>
      </w:r>
      <w:r>
        <w:rPr>
          <w:lang w:val="es-ES_tradnl"/>
        </w:rPr>
        <w:t xml:space="preserve"> 17</w:t>
      </w:r>
      <w:r w:rsidRPr="00CD7A71">
        <w:t xml:space="preserve">   </w:t>
      </w:r>
    </w:p>
    <w:p w14:paraId="4821ED04" w14:textId="77777777" w:rsidR="00CD7A71" w:rsidRDefault="00CD7A71" w:rsidP="00CD7A71">
      <w:pPr>
        <w:pStyle w:val="SingleTxtG"/>
      </w:pPr>
      <w:r w:rsidRPr="00CD7A71">
        <w:t>248.</w:t>
      </w:r>
      <w:r w:rsidRPr="00CD7A71">
        <w:tab/>
        <w:t xml:space="preserve">La Escuela Judicial ha incorporado la transversalización de ejes estratégicos, entre ellos el de ética judicial, en el diseño de todos sus programas académicos. Se capacita tanto al personal juzgador como al personal técnico y de apoyo en temas vinculados con los Principios de Bangalore sobre Conducta Judicial y la prevención de la corrupción. </w:t>
      </w:r>
    </w:p>
    <w:p w14:paraId="40F8C131" w14:textId="77777777" w:rsidR="00CD7A71" w:rsidRDefault="00CD7A71" w:rsidP="00CD7A71">
      <w:pPr>
        <w:pStyle w:val="SingleTxtG"/>
      </w:pPr>
      <w:r w:rsidRPr="00CD7A71">
        <w:t>249.</w:t>
      </w:r>
      <w:r w:rsidRPr="00CD7A71">
        <w:tab/>
        <w:t>Entre las acciones formativas destacan los cursos de: Ética aplicada al Poder Judicial; Los conflictos de interés en el Poder Judicial, marco normativo, identificación y gestión; Implicaciones éticas en la función judicial, impartido en el Programa de Formación Inicial para Aspirantes a la Judicatura; Conducta y Ética Judicial, orientado al estudio de los Principios de Bangalore; Ética Judicial, módulo del Programa Integral para Personal Técnico Judicial; y La corrupción en la función pública como fenómeno de la criminalidad organizada.</w:t>
      </w:r>
    </w:p>
    <w:p w14:paraId="4A3E22AC" w14:textId="0009CCDB"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18</w:t>
      </w:r>
    </w:p>
    <w:p w14:paraId="40AD4C55" w14:textId="77777777" w:rsidR="00CD7A71" w:rsidRDefault="00CD7A71" w:rsidP="00CD7A71">
      <w:pPr>
        <w:pStyle w:val="SingleTxtG"/>
      </w:pPr>
      <w:r w:rsidRPr="00CD7A71">
        <w:t>250.</w:t>
      </w:r>
      <w:r w:rsidRPr="00CD7A71">
        <w:tab/>
        <w:t xml:space="preserve">La Constitución Política establece que la Religión Católica, Apostólica, Romana, es la del Estado, pero garantiza el libre ejercicio en la República de otros cultos en el territorio, también está garantizada la libertad de aquellos que no profesan ninguna religión o creencia. </w:t>
      </w:r>
    </w:p>
    <w:p w14:paraId="29BCD2DC" w14:textId="77777777" w:rsidR="00CD7A71" w:rsidRDefault="00CD7A71" w:rsidP="00CD7A71">
      <w:pPr>
        <w:pStyle w:val="SingleTxtG"/>
      </w:pPr>
      <w:r w:rsidRPr="00CD7A71">
        <w:t>251.</w:t>
      </w:r>
      <w:r w:rsidRPr="00CD7A71">
        <w:tab/>
        <w:t xml:space="preserve">El matrimonio celebrado por la Iglesia Católica conforme a las disposiciones del Código de Familia surte efectos civiles. Además, dispone que los ministros de esta Iglesia que oficien dichos matrimonios quedan sujetos a las normas del Código y, para estos efectos, se les considera funcionarios públicos.  </w:t>
      </w:r>
    </w:p>
    <w:p w14:paraId="1D5FF038" w14:textId="77777777" w:rsidR="00CD7A71" w:rsidRDefault="00CD7A71" w:rsidP="00CD7A71">
      <w:pPr>
        <w:pStyle w:val="SingleTxtG"/>
      </w:pPr>
      <w:r w:rsidRPr="00CD7A71">
        <w:t>252.</w:t>
      </w:r>
      <w:r w:rsidRPr="00CD7A71">
        <w:tab/>
        <w:t>La normativa vigente no contempla disposiciones equivalentes para otras confesiones religiosas, sin embargo, todas las personas que deseen contraer matrimonio bajo otras denominaciones o ritos pueden hacerlo libremente en profesión de su fe y acudir a las autoridades civiles autorizadas para la realización de su matrimonio y los efectos consecuentes.</w:t>
      </w:r>
    </w:p>
    <w:p w14:paraId="6750D0F8" w14:textId="32E82C13"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19</w:t>
      </w:r>
    </w:p>
    <w:p w14:paraId="39744F1C" w14:textId="77777777" w:rsidR="00CD7A71" w:rsidRDefault="00CD7A71" w:rsidP="00CD7A71">
      <w:pPr>
        <w:pStyle w:val="SingleTxtG"/>
      </w:pPr>
      <w:r w:rsidRPr="00CD7A71">
        <w:t>253.</w:t>
      </w:r>
      <w:r w:rsidRPr="00CD7A71">
        <w:tab/>
        <w:t>El Ministerio de Seguridad Pública ha fortalecido la incorporación transversal de la libertad de expresión en los procesos de formación policial, a través de la Academia Nacional de Policía. Este enfoque se integra tanto en el curso de Gestión de los Cuerpos Policiales de Seguridad Pública en el Ámbito Nacional como en los cursos de ascenso. En este marco, se abordan contenidos específicos relativos a la libertad de expresión como pilar del sistema democrático, la prohibición de intimidación, la responsabilidad disciplinaria y penal por abuso de autoridad, y la legitimidad de la actuación policial.</w:t>
      </w:r>
    </w:p>
    <w:p w14:paraId="60F6E6ED" w14:textId="77777777" w:rsidR="00CD7A71" w:rsidRDefault="00CD7A71" w:rsidP="00CD7A71">
      <w:pPr>
        <w:pStyle w:val="SingleTxtG"/>
      </w:pPr>
      <w:r w:rsidRPr="00CD7A71">
        <w:lastRenderedPageBreak/>
        <w:t>254.</w:t>
      </w:r>
      <w:r w:rsidRPr="00CD7A71">
        <w:tab/>
        <w:t>Asimismo, se refuerzan contenidos sobre ética policial y servicio público, incluyendo el estudio del Manual de Ética y Valores de los Cuerpos Policiales. Se promueve una cultura institucional de respeto frente a la crítica pública y al escrutinio social, así como pautas de comunicación respetuosa con la ciudadanía y los medios de comunicación, para prevenir actos de intimidación, agresiones verbales u hostigamiento contra periodistas y personas defensoras de derechos humanos.</w:t>
      </w:r>
    </w:p>
    <w:p w14:paraId="3243CDCB" w14:textId="77777777" w:rsidR="00CD7A71" w:rsidRDefault="00CD7A71" w:rsidP="00CD7A71">
      <w:pPr>
        <w:pStyle w:val="SingleTxtG"/>
      </w:pPr>
      <w:r w:rsidRPr="00CD7A71">
        <w:t>255.</w:t>
      </w:r>
      <w:r w:rsidRPr="00CD7A71">
        <w:tab/>
        <w:t xml:space="preserve">En 2025 se presentó el proyecto de Ley 25.125 para evitar acciones coercitivas en el ejercicio de la libertad de expresión, que busca reformar el artículo 86.1 del Código Procesal Civil para impedir embargos preventivos o medidas judiciales de carácter patrimonial contra personas demandadas por ejercer derechos constitucionales, en particular la libertad de expresión y la participación en asuntos ambientales.  </w:t>
      </w:r>
    </w:p>
    <w:p w14:paraId="1B486756" w14:textId="77777777" w:rsidR="00CD7A71" w:rsidRDefault="00CD7A71" w:rsidP="00CD7A71">
      <w:pPr>
        <w:pStyle w:val="SingleTxtG"/>
      </w:pPr>
      <w:r w:rsidRPr="00CD7A71">
        <w:t>256.</w:t>
      </w:r>
      <w:r w:rsidRPr="00CD7A71">
        <w:tab/>
        <w:t>En 2026 entró a regir la Ley 10853 que derogó los artículos 7 y 8 de la Ley de la Imprenta que establecían penas de arresto por los delitos de injurias y calumnia en prensa y extendían la responsabilidad a autores, editores y responsables de imprenta, así como sanciones por publicaciones consideradas contrarias al orden o a las relaciones internacionales.</w:t>
      </w:r>
    </w:p>
    <w:p w14:paraId="72F055ED" w14:textId="42B86992"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20</w:t>
      </w:r>
    </w:p>
    <w:p w14:paraId="66E90B20" w14:textId="77777777" w:rsidR="00CD7A71" w:rsidRDefault="00CD7A71" w:rsidP="00CD7A71">
      <w:pPr>
        <w:pStyle w:val="SingleTxtG"/>
      </w:pPr>
      <w:r w:rsidRPr="00CD7A71">
        <w:t>257.</w:t>
      </w:r>
      <w:r w:rsidRPr="00CD7A71">
        <w:tab/>
        <w:t>Los derechos de reunión pacífica y libertad de asociación están consagrados dentro del capítulo de derechos y garantías individuales de la Constitución Política.</w:t>
      </w:r>
    </w:p>
    <w:p w14:paraId="22BE859F" w14:textId="77777777" w:rsidR="00CD7A71" w:rsidRDefault="00CD7A71" w:rsidP="00CD7A71">
      <w:pPr>
        <w:pStyle w:val="SingleTxtG"/>
      </w:pPr>
      <w:r w:rsidRPr="00CD7A71">
        <w:t>258.</w:t>
      </w:r>
      <w:r w:rsidRPr="00CD7A71">
        <w:tab/>
        <w:t>En relación con la libertad de asociación, la Sala Constitucional de la Corte Suprema de Justicia ha indicado que constituye una libertad pública inherente a la naturaleza humana. Al respecto, ha señalado que el derecho de asociación presenta una dimensión positiva referida al derecho de asociarse para cualquier finalidad y una dimensión negativa, que comprende la libertad de dejar de pertenecer a una organización</w:t>
      </w:r>
    </w:p>
    <w:p w14:paraId="125F7D78" w14:textId="77777777" w:rsidR="00CD7A71" w:rsidRDefault="00CD7A71" w:rsidP="00CD7A71">
      <w:pPr>
        <w:pStyle w:val="SingleTxtG"/>
      </w:pPr>
      <w:r w:rsidRPr="00CD7A71">
        <w:t>259.</w:t>
      </w:r>
      <w:r w:rsidRPr="00CD7A71">
        <w:tab/>
        <w:t xml:space="preserve">En cuanto al ejercicio de la protesta pacífica en términos generales, todas las manifestaciones o huelgas se trabajan mediante orden de alerta policial o en su defecto, por medio de orden de ejecución, en las que se hace énfasis al respeto de todas las personas manifestantes; y se instruye a las fuerzas policiales a mantener el diálogo con el objetivo de salvaguardar la integridad física de civiles y personal policial y respetar el derecho constitucional a manifestarse.  </w:t>
      </w:r>
    </w:p>
    <w:p w14:paraId="315D5FA1" w14:textId="77777777" w:rsidR="00CD7A71" w:rsidRDefault="00CD7A71" w:rsidP="00CD7A71">
      <w:pPr>
        <w:pStyle w:val="SingleTxtG"/>
      </w:pPr>
      <w:r w:rsidRPr="00CD7A71">
        <w:t>260.</w:t>
      </w:r>
      <w:r w:rsidRPr="00CD7A71">
        <w:tab/>
        <w:t>En lo relativo al derecho a la huelga, la Ley para Brindar Seguridad Jurídica sobre la Huelga y sus Procedimientos entró en vigor en 2020. Durante el proceso de elaboración, la comisión legislativa correspondiente sostuvo reuniones con un amplio número de actores sociales y organizaciones sindicales representativas, y recibió propuestas de modificación tanto de estos sectores como del plenario legislativo. El texto final fue objeto de ajustes por roces de constitucionalidad y fue aprobado en segundo debate.</w:t>
      </w:r>
    </w:p>
    <w:p w14:paraId="7B2B2407" w14:textId="77777777" w:rsidR="00CD7A71" w:rsidRDefault="00CD7A71" w:rsidP="00CD7A71">
      <w:pPr>
        <w:pStyle w:val="SingleTxtG"/>
      </w:pPr>
      <w:r w:rsidRPr="00CD7A71">
        <w:t>261.</w:t>
      </w:r>
      <w:r w:rsidRPr="00CD7A71">
        <w:tab/>
        <w:t>La Ley en mención introdujo la definición expresa de la huelga y de sus finalidades, la prohibición de huelgas en servicios públicos esenciales y la obligación de garantizar servicios mínimos, la regulación de los requisitos formales para la convocatoria y ejecución de huelgas, incluido el aviso previo y la acreditación de apoyo mayoritario, el establecimiento de límites para las huelgas vinculadas a políticas públicas, y la creación de un procedimiento judicial sumarísimo con plazos estrictos para la calificación de la legalidad del movimiento. Regula los efectos laborales y disciplinarios de la declaratoria de ilegalidad, establece mecanismos de arbitraje obligatorio cuando la huelga no es procedente, y refuerza la prioridad, celeridad y control disciplinario en la actuación judicial, para brindar seguridad jurídica a todas las partes.</w:t>
      </w:r>
    </w:p>
    <w:p w14:paraId="54DC7884" w14:textId="47336838"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21</w:t>
      </w:r>
    </w:p>
    <w:p w14:paraId="07788CCB" w14:textId="41120D6A" w:rsidR="00CD7A71" w:rsidRDefault="00CD7A71" w:rsidP="00CD7A71">
      <w:pPr>
        <w:pStyle w:val="SingleTxtG"/>
      </w:pPr>
      <w:r w:rsidRPr="00CD7A71">
        <w:t>262.</w:t>
      </w:r>
      <w:r w:rsidRPr="00CD7A71">
        <w:tab/>
        <w:t>Costa Rica mantiene la prohibición legal del trabajo de personas menores de quince años, y cuenta con una Hoja de Ruta 2026-2030 para hacer de Costa Rica un país libre de trabajo infantil.</w:t>
      </w:r>
    </w:p>
    <w:p w14:paraId="3349F523" w14:textId="77777777" w:rsidR="00CD7A71" w:rsidRDefault="00CD7A71" w:rsidP="00CD7A71">
      <w:pPr>
        <w:pStyle w:val="SingleTxtG"/>
      </w:pPr>
      <w:r w:rsidRPr="00CD7A71">
        <w:t>263.</w:t>
      </w:r>
      <w:r w:rsidRPr="00CD7A71">
        <w:tab/>
        <w:t xml:space="preserve">Esta Hoja de Ruta es un instrumento estratégico del Estado para orientar, coordinar y acelerar los esfuerzos nacionales dirigidos a la prevención y erradicación del trabajo infantil y sus peores formas. Su formulación responde a la necesidad de fortalecer la articulación </w:t>
      </w:r>
      <w:r w:rsidRPr="00CD7A71">
        <w:lastRenderedPageBreak/>
        <w:t>interinstitucional, potenciar la acción territorial y consolidar mecanismos de detección temprana, atención integral y referenciación oportuna de casos, particularmente de niños, niñas y adolescentes en situación de riesgo social o en contextos de calle.</w:t>
      </w:r>
    </w:p>
    <w:p w14:paraId="47688E97" w14:textId="77777777" w:rsidR="00CD7A71" w:rsidRDefault="00CD7A71" w:rsidP="00CD7A71">
      <w:pPr>
        <w:pStyle w:val="SingleTxtG"/>
      </w:pPr>
      <w:r w:rsidRPr="00CD7A71">
        <w:t>264.</w:t>
      </w:r>
      <w:r w:rsidRPr="00CD7A71">
        <w:tab/>
        <w:t xml:space="preserve">La Hoja de Ruta promueve, por ejemplo, medidas alternas al trabajo peligroso realizado por personas menores de edad identificadas a través de procesos especiales de protección, priorizando su restitución de derechos, la permanencia en el sistema educativo y el acceso a programas de protección social. Incorpora un enfoque de derechos humanos, igualdad y no discriminación, reconociendo la diversidad y las desigualdades estructurales que enfrentan las poblaciones indígenas, afrodescendientes, rurales, migrantes y con discapacidad, asegurando su </w:t>
      </w:r>
      <w:proofErr w:type="gramStart"/>
      <w:r w:rsidRPr="00CD7A71">
        <w:t>participación activa</w:t>
      </w:r>
      <w:proofErr w:type="gramEnd"/>
      <w:r w:rsidRPr="00CD7A71">
        <w:t xml:space="preserve"> y el acceso equitativo a los servicios de protección, así como a oportunidades educativas y de desarrollo integral.</w:t>
      </w:r>
    </w:p>
    <w:p w14:paraId="51E7ACE8" w14:textId="77777777" w:rsidR="00CD7A71" w:rsidRDefault="00CD7A71" w:rsidP="00CD7A71">
      <w:pPr>
        <w:pStyle w:val="SingleTxtG"/>
      </w:pPr>
      <w:r w:rsidRPr="00CD7A71">
        <w:t>265.</w:t>
      </w:r>
      <w:r w:rsidRPr="00CD7A71">
        <w:tab/>
        <w:t xml:space="preserve">Desde 2016, el Ministerio de Trabajo y Seguridad Social y el Instituto Mixto de Ayuda Social  suscriben convenios de cooperación interinstitucional con el objetivo de beneficiar, a través del Programa Transferencia Monetaria Condicionada a Personas Trabajadoras Menores de Edad, a familias con personas menores de edad trabajadoras incorporadas en el sistema educativo formal, que requerían cubrir necesidades básicas y de estudio, para garantizar la permanencia de las personas en el sistema educativo y evitar que ejercieran actividades laborales. </w:t>
      </w:r>
    </w:p>
    <w:p w14:paraId="6E2E58AE" w14:textId="55CA6DEB" w:rsidR="00CD7A71" w:rsidRDefault="00CD7A71" w:rsidP="00CD7A71">
      <w:pPr>
        <w:pStyle w:val="SingleTxtG"/>
      </w:pPr>
      <w:r w:rsidRPr="00CD7A71">
        <w:t>266.</w:t>
      </w:r>
      <w:r w:rsidRPr="00CD7A71">
        <w:tab/>
        <w:t xml:space="preserve">El beneficio se extiende hasta los 25 </w:t>
      </w:r>
      <w:proofErr w:type="gramStart"/>
      <w:r w:rsidRPr="00CD7A71">
        <w:t>años de edad</w:t>
      </w:r>
      <w:proofErr w:type="gramEnd"/>
      <w:r w:rsidRPr="00CD7A71">
        <w:t xml:space="preserve">, siempre que haya sido otorgado antes de los 18 años y que la persona beneficiaria permanezca en el sistema educativo. Al 2024 se benefició a 3.505 jóvenes, con una inversión total de 2.080 millones de colones, aproximadamente US$ 3,9 millones. </w:t>
      </w:r>
    </w:p>
    <w:p w14:paraId="24148EEF" w14:textId="77777777" w:rsidR="00CD7A71" w:rsidRDefault="00CD7A71" w:rsidP="00CD7A71">
      <w:pPr>
        <w:pStyle w:val="SingleTxtG"/>
      </w:pPr>
      <w:r w:rsidRPr="00CD7A71">
        <w:t>267.</w:t>
      </w:r>
      <w:r w:rsidRPr="00CD7A71">
        <w:tab/>
        <w:t xml:space="preserve">En 2024 la tasa de ocupación de personas de 12 a 17 años fue de 1,6%, equivalente a 7.358 personas, de los cuales 5.954 son hombres y 1.404 mujeres. Del total, 92% tiene entre 15 y 17 años, y el 73,7% se desempeña como personas asalariadas. Las actividades más frecuentes son el comercio, hoteles y restaurantes con un 31,6%, y la agricultura, con un 26,8%. </w:t>
      </w:r>
    </w:p>
    <w:p w14:paraId="2332BA2D" w14:textId="77777777" w:rsidR="00CD7A71" w:rsidRDefault="00CD7A71" w:rsidP="00CD7A71">
      <w:pPr>
        <w:pStyle w:val="SingleTxtG"/>
      </w:pPr>
      <w:r w:rsidRPr="00CD7A71">
        <w:t>268.</w:t>
      </w:r>
      <w:r w:rsidRPr="00CD7A71">
        <w:tab/>
        <w:t xml:space="preserve">El porcentaje de hogares pobres con presencia de trabajo infantil o adolescentes trabajadores cayó de 41,8% en 2020 a 19,1% en 2023.  </w:t>
      </w:r>
    </w:p>
    <w:p w14:paraId="307343F7" w14:textId="77777777" w:rsidR="00CD7A71" w:rsidRDefault="00CD7A71" w:rsidP="00CD7A71">
      <w:pPr>
        <w:pStyle w:val="SingleTxtG"/>
      </w:pPr>
      <w:r w:rsidRPr="00CD7A71">
        <w:t>269.</w:t>
      </w:r>
      <w:r w:rsidRPr="00CD7A71">
        <w:tab/>
        <w:t xml:space="preserve">En materia de protección y atención de niños, niñas y adolescentes en situación de calle o riesgo social, el Patronato Nacional de la Infancia (PANI) implementa acciones de detección temprana, atención integral y reintegración familiar o comunitaria, y campañas de sensibilización ciudadana sobre derechos de la niñez.  </w:t>
      </w:r>
    </w:p>
    <w:p w14:paraId="3B93F356" w14:textId="77777777" w:rsidR="00CD7A71" w:rsidRDefault="00CD7A71" w:rsidP="00CD7A71">
      <w:pPr>
        <w:pStyle w:val="SingleTxtG"/>
      </w:pPr>
      <w:r w:rsidRPr="00CD7A71">
        <w:t>270.</w:t>
      </w:r>
      <w:r w:rsidRPr="00CD7A71">
        <w:tab/>
        <w:t xml:space="preserve">Al recibirse una denuncia de una persona menor de edad en situación de calle, el PANI registra la información en el Sistema de Información Institucional (SIPME), activándose de manera inmediata las rutas institucionales de atención y protección, incluyendo </w:t>
      </w:r>
      <w:proofErr w:type="spellStart"/>
      <w:r w:rsidRPr="00CD7A71">
        <w:t>submotivos</w:t>
      </w:r>
      <w:proofErr w:type="spellEnd"/>
      <w:r w:rsidRPr="00CD7A71">
        <w:t xml:space="preserve"> asociados a mendicidad. Una vez registrada la denuncia, se ejecuta el proceso especial de protección, que comprende la valoración integral de la situación y, de ser necesario, la adopción de medidas orientadas a la restitución efectiva de derechos, conforme al Código de la Niñez y la Adolescencia y bajo los principios del interés superior de la persona menor de edad, protección integral y debida diligencia, permitiendo respuestas oportunas, diferenciadas y articuladas frente a contextos de riesgo social y vida en calle.</w:t>
      </w:r>
    </w:p>
    <w:p w14:paraId="52581830" w14:textId="099317D5"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22</w:t>
      </w:r>
    </w:p>
    <w:p w14:paraId="49D43EFD" w14:textId="77777777" w:rsidR="00CD7A71" w:rsidRDefault="00CD7A71" w:rsidP="00CD7A71">
      <w:pPr>
        <w:pStyle w:val="SingleTxtG"/>
      </w:pPr>
      <w:r w:rsidRPr="00CD7A71">
        <w:t>271.</w:t>
      </w:r>
      <w:r w:rsidRPr="00CD7A71">
        <w:tab/>
        <w:t xml:space="preserve">Costa Rica, a través del Tribunal Supremo de Elecciones (TSE) y su Registro Civil, fortalece de manera sostenida el derecho a la identidad de todas las personas menores de edad nacidas en el territorio nacional, con especial atención a las poblaciones en situación de vulnerabilidad y a quienes habitan en zonas fronterizas o de difícil acceso, como el pueblo indígena </w:t>
      </w:r>
      <w:proofErr w:type="spellStart"/>
      <w:r w:rsidRPr="00CD7A71">
        <w:t>ngäbe-buglé</w:t>
      </w:r>
      <w:proofErr w:type="spellEnd"/>
      <w:r w:rsidRPr="00CD7A71">
        <w:t>, una población transfronteriza y nómada que se desplaza entre Costa Rica y Panamá.</w:t>
      </w:r>
    </w:p>
    <w:p w14:paraId="6EDD949A" w14:textId="77777777" w:rsidR="00CD7A71" w:rsidRDefault="00CD7A71" w:rsidP="00CD7A71">
      <w:pPr>
        <w:pStyle w:val="SingleTxtG"/>
      </w:pPr>
      <w:r w:rsidRPr="00CD7A71">
        <w:t>272.</w:t>
      </w:r>
      <w:r w:rsidRPr="00CD7A71">
        <w:tab/>
        <w:t>El Programa binacional “</w:t>
      </w:r>
      <w:proofErr w:type="spellStart"/>
      <w:r w:rsidRPr="00CD7A71">
        <w:t>Chiriticos</w:t>
      </w:r>
      <w:proofErr w:type="spellEnd"/>
      <w:r w:rsidRPr="00CD7A71">
        <w:t xml:space="preserve">”, desarrollado desde 2015 en coordinación con el ACNUR y el Tribunal Electoral de Panamá, busca establecer la nacionalidad de personas </w:t>
      </w:r>
      <w:proofErr w:type="spellStart"/>
      <w:r w:rsidRPr="00CD7A71">
        <w:t>ngäbe-buglé</w:t>
      </w:r>
      <w:proofErr w:type="spellEnd"/>
      <w:r w:rsidRPr="00CD7A71">
        <w:t xml:space="preserve"> en condición de apatridia o con nacionalidad no definida. Al 2025, se han confirmado 503 nacionalidades costarricenses y 719 panameñas. Durante el 2017 se realizaron más de 4.500 trámites registrales, incluyendo inscripciones de nacimiento, </w:t>
      </w:r>
      <w:r w:rsidRPr="00CD7A71">
        <w:lastRenderedPageBreak/>
        <w:t xml:space="preserve">certificaciones, verificaciones de nacionalidad, ocursos y emisión de tarjetas de identidad para personas menores de edad.  </w:t>
      </w:r>
    </w:p>
    <w:p w14:paraId="60D5F660" w14:textId="77777777" w:rsidR="00CD7A71" w:rsidRDefault="00CD7A71" w:rsidP="00CD7A71">
      <w:pPr>
        <w:pStyle w:val="SingleTxtG"/>
      </w:pPr>
      <w:r w:rsidRPr="00CD7A71">
        <w:t>273.</w:t>
      </w:r>
      <w:r w:rsidRPr="00CD7A71">
        <w:tab/>
        <w:t xml:space="preserve">Desde 2015 se fortalecieron los procesos de inscripción de nacimientos oportunos y extemporáneos en coordinación con el Ministerio de Salud y el Patronato Nacional de la Infancia. En 2019 se lanzó el Proyecto Chirripó dirigido a atender inscripciones en pueblos originarios y zonas alejadas. </w:t>
      </w:r>
    </w:p>
    <w:p w14:paraId="0C961659" w14:textId="77777777" w:rsidR="00CD7A71" w:rsidRDefault="00CD7A71" w:rsidP="00CD7A71">
      <w:pPr>
        <w:pStyle w:val="SingleTxtG"/>
      </w:pPr>
      <w:r w:rsidRPr="00CD7A71">
        <w:t>274.</w:t>
      </w:r>
      <w:r w:rsidRPr="00CD7A71">
        <w:tab/>
        <w:t xml:space="preserve">La Ley 9710 de 2019 sobre el derecho a la nacionalidad costarricense y de la garantía de la integración de la persona indígena transfronteriza, habilitó al Registro Civil a adoptar procedimientos simplificados que reconocen las particularidades culturales y geográficas del pueblo </w:t>
      </w:r>
      <w:proofErr w:type="spellStart"/>
      <w:r w:rsidRPr="00CD7A71">
        <w:t>ngäbe-buglé</w:t>
      </w:r>
      <w:proofErr w:type="spellEnd"/>
      <w:r w:rsidRPr="00CD7A71">
        <w:t xml:space="preserve">. En 2020 se realizaron 192 trámites registrales en los cantones de Corredores y Golfito, incluyendo emisión de cédulas por primera vez, duplicados, traslados y declaraciones de nacimiento tardías. En 2021, se gestionaron 730 solicitudes de naturalización, principalmente en las zonas de Sixaola, Coto Brus, Casona </w:t>
      </w:r>
      <w:proofErr w:type="spellStart"/>
      <w:r w:rsidRPr="00CD7A71">
        <w:t>Guaymí</w:t>
      </w:r>
      <w:proofErr w:type="spellEnd"/>
      <w:r w:rsidRPr="00CD7A71">
        <w:t xml:space="preserve"> y San Miguel de Sabalito. En 2022 se incorporó a intérpretes para consolidar el trabajo de las giras registrales., y se cuenta con el apoyo de líderes comunitarios, para fortalecer el trabajo registral en territorio indígena. </w:t>
      </w:r>
    </w:p>
    <w:p w14:paraId="6AE143CF" w14:textId="77777777" w:rsidR="00CD7A71" w:rsidRDefault="00CD7A71" w:rsidP="00CD7A71">
      <w:pPr>
        <w:pStyle w:val="SingleTxtG"/>
      </w:pPr>
      <w:r w:rsidRPr="00CD7A71">
        <w:t>275.</w:t>
      </w:r>
      <w:r w:rsidRPr="00CD7A71">
        <w:tab/>
        <w:t xml:space="preserve">En 2023, en </w:t>
      </w:r>
      <w:proofErr w:type="spellStart"/>
      <w:r w:rsidRPr="00CD7A71">
        <w:t>Guaymí</w:t>
      </w:r>
      <w:proofErr w:type="spellEnd"/>
      <w:r w:rsidRPr="00CD7A71">
        <w:t xml:space="preserve"> de Burica, Golfito se realizaron 35 trámites, y en Alto Conte y Burica, Corredores, Osa y Golfito, 743 trámites, incluyendo 209 solicitudes de cédula y 291 trámites. En 2024, en Cuesta Carona y </w:t>
      </w:r>
      <w:proofErr w:type="spellStart"/>
      <w:r w:rsidRPr="00CD7A71">
        <w:t>Guaymí</w:t>
      </w:r>
      <w:proofErr w:type="spellEnd"/>
      <w:r w:rsidRPr="00CD7A71">
        <w:t xml:space="preserve"> de Burica se efectuaron 89 trámites; en Altos de San Antonio y Abrojo Montezuma, 881 trámites. En </w:t>
      </w:r>
      <w:proofErr w:type="spellStart"/>
      <w:r w:rsidRPr="00CD7A71">
        <w:t>Telire</w:t>
      </w:r>
      <w:proofErr w:type="spellEnd"/>
      <w:r w:rsidRPr="00CD7A71">
        <w:t xml:space="preserve">, Turrialba y Sitio Hilda, Limón, 591 trámites, en su mayoría, cédulas y declaraciones de nacimiento. En 2025, se atendieron 498 trámites en comunidades como </w:t>
      </w:r>
      <w:proofErr w:type="spellStart"/>
      <w:r w:rsidRPr="00CD7A71">
        <w:t>Guaymí</w:t>
      </w:r>
      <w:proofErr w:type="spellEnd"/>
      <w:r w:rsidRPr="00CD7A71">
        <w:t xml:space="preserve"> de Burica, Cuesta Carona, Abrojo Montezuma y Altamira, incluyendo cien solicitudes de cédula, 215 tarjetas de identificación para personas menores de edad, 117 trámites civiles y dos de paternidad responsable. </w:t>
      </w:r>
    </w:p>
    <w:p w14:paraId="36E2478C" w14:textId="77777777" w:rsidR="00CD7A71" w:rsidRDefault="00CD7A71" w:rsidP="00CD7A71">
      <w:pPr>
        <w:pStyle w:val="SingleTxtG"/>
      </w:pPr>
      <w:r w:rsidRPr="00CD7A71">
        <w:t>276.</w:t>
      </w:r>
      <w:r w:rsidRPr="00CD7A71">
        <w:tab/>
        <w:t xml:space="preserve">En materia de registro civil, desde 2016 se implementó la Declaración Digital de Nacimiento, que permite registrar nacimientos directamente desde los hospitales públicos, conectando la información con la base de datos nacional. Esta innovación ha agilizado los procesos y mejorado la cobertura en comunidades indígenas y zonas remotas. </w:t>
      </w:r>
    </w:p>
    <w:p w14:paraId="14504812" w14:textId="77777777" w:rsidR="00CD7A71" w:rsidRDefault="00CD7A71" w:rsidP="00CD7A71">
      <w:pPr>
        <w:pStyle w:val="SingleTxtG"/>
      </w:pPr>
      <w:r w:rsidRPr="00CD7A71">
        <w:t>277.</w:t>
      </w:r>
      <w:r w:rsidRPr="00CD7A71">
        <w:tab/>
        <w:t xml:space="preserve">Se consolidó la regionalización de los servicios registrales en 16 zonas del país, junto con la apertura de más de 30 puntos fijos de atención mensual en comunidades rurales y la incorporación de la figura del facilitador registral comunitario en 2024, clave para fortalecer la presencia institucional en territorios indígenas. </w:t>
      </w:r>
    </w:p>
    <w:p w14:paraId="1B7A0224" w14:textId="35EB05F5" w:rsidR="00CD7A71" w:rsidRDefault="00CD7A71" w:rsidP="00CD7A71">
      <w:pPr>
        <w:pStyle w:val="SingleTxtG"/>
      </w:pPr>
      <w:r w:rsidRPr="00CD7A71">
        <w:t>278.</w:t>
      </w:r>
      <w:r w:rsidRPr="00CD7A71">
        <w:tab/>
        <w:t xml:space="preserve">En materia de cedulación, en 2017 se publicó el protocolo institucional para la inscripción de nacimientos de personas menores edad en situación de vulnerabilidad, a su vez el TSE promovió el acercamiento directo a comunidades vulnerables mediante visitas ambulantes, con la entrega de más de 8.500 cédulas. En 2021 se habilitaron innovaciones como la reimpresión de cédulas en línea y entregas por medio de Correos de Costa Rica.   </w:t>
      </w:r>
    </w:p>
    <w:p w14:paraId="1A5ECF74" w14:textId="21DFA2EC" w:rsidR="00CD7A71" w:rsidRPr="00CD7A71" w:rsidRDefault="00CD7A71" w:rsidP="00CD7A71">
      <w:pPr>
        <w:pStyle w:val="SingleTxtG"/>
      </w:pPr>
      <w:r w:rsidRPr="00CD7A71">
        <w:t>279.</w:t>
      </w:r>
      <w:r w:rsidRPr="00CD7A71">
        <w:tab/>
        <w:t xml:space="preserve">Entre 2015 y 2019, se consolidó un proceso estratégico y progresivo que sentó las bases de un enfoque territorial y culturalmente pertinente para garantizar el derecho a la identidad.   </w:t>
      </w:r>
    </w:p>
    <w:p w14:paraId="42495953" w14:textId="271E5D95" w:rsidR="00CD7A71" w:rsidRPr="00CD7A71" w:rsidRDefault="00CD7A71" w:rsidP="00CD7A71">
      <w:pPr>
        <w:pStyle w:val="H23G"/>
      </w:pPr>
      <w:r>
        <w:rPr>
          <w:lang w:val="es-ES_tradnl"/>
        </w:rPr>
        <w:tab/>
      </w:r>
      <w:r>
        <w:rPr>
          <w:lang w:val="es-ES_tradnl"/>
        </w:rPr>
        <w:tab/>
      </w:r>
      <w:r w:rsidRPr="00CD7A71">
        <w:rPr>
          <w:lang w:val="es-ES_tradnl"/>
        </w:rPr>
        <w:t>Respuesta al párrafo</w:t>
      </w:r>
      <w:r>
        <w:rPr>
          <w:lang w:val="es-ES_tradnl"/>
        </w:rPr>
        <w:t xml:space="preserve"> 23</w:t>
      </w:r>
      <w:r w:rsidRPr="00CD7A71">
        <w:t xml:space="preserve">   </w:t>
      </w:r>
    </w:p>
    <w:p w14:paraId="1A817EB3" w14:textId="77777777" w:rsidR="00CD7A71" w:rsidRDefault="00CD7A71" w:rsidP="00CD7A71">
      <w:pPr>
        <w:pStyle w:val="SingleTxtG"/>
      </w:pPr>
      <w:r w:rsidRPr="00CD7A71">
        <w:t>280.</w:t>
      </w:r>
      <w:r w:rsidRPr="00CD7A71">
        <w:tab/>
        <w:t xml:space="preserve">Costa Rica, a través del Sistema Penal Juvenil, mantiene una oferta continua de atención profesional e interinstitucional orientada al desarrollo de habilidades sociales, educativas y ocupacionales de las personas menores de edad en conflicto con la ley, con planes anuales y evaluación semestral. </w:t>
      </w:r>
    </w:p>
    <w:p w14:paraId="43B56FA7" w14:textId="77777777" w:rsidR="00CD7A71" w:rsidRDefault="00CD7A71" w:rsidP="00CD7A71">
      <w:pPr>
        <w:pStyle w:val="SingleTxtG"/>
      </w:pPr>
      <w:r w:rsidRPr="00CD7A71">
        <w:t>281.</w:t>
      </w:r>
      <w:r w:rsidRPr="00CD7A71">
        <w:tab/>
        <w:t xml:space="preserve">Entre 2024 y junio de 2025 destacan avances como la articulación con Centros Cívicos por la Paz, la creación de la Comisión Nacional para el Abordaje Integral de la Población Penal Juvenil y la participación de jóvenes y personal en la Política Nacional de Niñez y Adolescencia 2024–2036 y en la nueva Política de la Persona Joven. </w:t>
      </w:r>
    </w:p>
    <w:p w14:paraId="064A3FBA" w14:textId="77777777" w:rsidR="00CD7A71" w:rsidRDefault="00CD7A71" w:rsidP="00CD7A71">
      <w:pPr>
        <w:pStyle w:val="SingleTxtG"/>
      </w:pPr>
      <w:r w:rsidRPr="00CD7A71">
        <w:t>282.</w:t>
      </w:r>
      <w:r w:rsidRPr="00CD7A71">
        <w:tab/>
        <w:t xml:space="preserve">Paralelamente, se fortaleció la inserción de jóvenes en la Red de Empleabilidad de Alajuela y la coordinación con redes de atención en consumo de sustancias, trata de personas, niñez, adolescencia y salud mental, así como la coordinación sistemática con el Poder </w:t>
      </w:r>
      <w:r w:rsidRPr="00CD7A71">
        <w:lastRenderedPageBreak/>
        <w:t xml:space="preserve">Judicial. Se encuentra en construcción la actualización del modelo de atención profesional del Nivel Penal Juvenil. </w:t>
      </w:r>
    </w:p>
    <w:p w14:paraId="41BFACC5" w14:textId="77777777" w:rsidR="00CD7A71" w:rsidRDefault="00CD7A71" w:rsidP="00CD7A71">
      <w:pPr>
        <w:pStyle w:val="SingleTxtG"/>
      </w:pPr>
      <w:r w:rsidRPr="00CD7A71">
        <w:t>283.</w:t>
      </w:r>
      <w:r w:rsidRPr="00CD7A71">
        <w:tab/>
        <w:t xml:space="preserve">El Programa de Sanciones Alternativas (PSA) desarrolla abordajes individuales y grupales para el análisis del comportamiento delictivo, aplicando además un enfoque de género. Entre 2024 y junio de 2025 se atendió a 2.978 personas de manera individual y a 22 grupos, con 190 personas atendidas en psicología, 165 familias involucradas y 2.755 verificaciones de supervisión judicial. Se realizaron actividades de justicia restaurativa, empleabilidad, educación ambiental, prevención de consumo y sensibilización en género y violencia intrafamiliar. </w:t>
      </w:r>
    </w:p>
    <w:p w14:paraId="3AE0E1C3" w14:textId="77777777" w:rsidR="00CD7A71" w:rsidRDefault="00CD7A71" w:rsidP="00CD7A71">
      <w:pPr>
        <w:pStyle w:val="SingleTxtG"/>
      </w:pPr>
      <w:r w:rsidRPr="00CD7A71">
        <w:t>284.</w:t>
      </w:r>
      <w:r w:rsidRPr="00CD7A71">
        <w:tab/>
        <w:t xml:space="preserve">En el Centro de Formación Juvenil </w:t>
      </w:r>
      <w:proofErr w:type="spellStart"/>
      <w:r w:rsidRPr="00CD7A71">
        <w:t>Zurquí</w:t>
      </w:r>
      <w:proofErr w:type="spellEnd"/>
      <w:r w:rsidRPr="00CD7A71">
        <w:t xml:space="preserve"> (CFJZ) se brindó atención terapéutica y socioeducativa, individual y grupal en 965 ocasiones. Se ejecutaron 1631 actividades culturales y recreativas, se impartió capacitación laboral para 33 jóvenes y se mantuvo la cobertura educativa formal con graduaciones en primaria, noveno, bachillerato, inglés y contabilidad. </w:t>
      </w:r>
    </w:p>
    <w:p w14:paraId="56A9A4D0" w14:textId="77777777" w:rsidR="00CD7A71" w:rsidRDefault="00CD7A71" w:rsidP="00CD7A71">
      <w:pPr>
        <w:pStyle w:val="SingleTxtG"/>
      </w:pPr>
      <w:r w:rsidRPr="00CD7A71">
        <w:t>285.</w:t>
      </w:r>
      <w:r w:rsidRPr="00CD7A71">
        <w:tab/>
        <w:t>En 2024 en el Centro Especializado Ofelia Vincenzi Peñaranda (CEOVI) se desarrollaron 85 sesiones destinadas a fortalecer los vínculos con familiares y redes de apoyo; se realizaron procesos grupales de sensibilización, psicología, empleabilidad y prevención de consumo; se registraron 31 graduaciones en educación formal y en educación técnica; se gestionaron salidas culturales y educativas conforme al artículo 70 de la Ley de Ejecución de Sanciones Penales Juveniles.  En 2025 se encuentran en curso 122 procesos de certificación en educación formal.</w:t>
      </w:r>
    </w:p>
    <w:p w14:paraId="2C50E5B9" w14:textId="77777777" w:rsidR="00CD7A71" w:rsidRDefault="00CD7A71" w:rsidP="00CD7A71">
      <w:pPr>
        <w:pStyle w:val="SingleTxtG"/>
      </w:pPr>
      <w:r w:rsidRPr="00CD7A71">
        <w:t>286.</w:t>
      </w:r>
      <w:r w:rsidRPr="00CD7A71">
        <w:tab/>
        <w:t>El Patronato Nacional de la Infancia (PANI) ha desarrollado acciones preventivas, formativas y de articulación interinstitucional dirigidas a personas adolescentes vinculadas o en riesgo de vinculación con procesos en materia penal juvenil. Destacan la implementación de iniciativas de alfabetización sobre justicia penal juvenil y las charlas institucionales en centros educativos sobre la Ley Penal Juvenil, conductas de riesgo y estrategias preventivas.</w:t>
      </w:r>
    </w:p>
    <w:p w14:paraId="5D1EDE72" w14:textId="77777777" w:rsidR="00CD7A71" w:rsidRDefault="00CD7A71" w:rsidP="00CD7A71">
      <w:pPr>
        <w:pStyle w:val="SingleTxtG"/>
      </w:pPr>
      <w:r w:rsidRPr="00CD7A71">
        <w:t>287.</w:t>
      </w:r>
      <w:r w:rsidRPr="00CD7A71">
        <w:tab/>
        <w:t>Se fortalecieron los abordajes de justicia juvenil restaurativa, mediante la articulación con redes cantonales, el seguimiento a la Política Pública de Justicia Juvenil Restaurativa 2022–2026 y la participación en procesos nacionales y regionales orientados a la construcción de marcos conceptuales y metodológicos con enfoque restaurativo, incorporando la participación de personas menores de edad y sociedad civil.</w:t>
      </w:r>
    </w:p>
    <w:p w14:paraId="714D5C5E" w14:textId="77777777" w:rsidR="00CD7A71" w:rsidRDefault="00CD7A71" w:rsidP="00CD7A71">
      <w:pPr>
        <w:pStyle w:val="SingleTxtG"/>
      </w:pPr>
      <w:r w:rsidRPr="00CD7A71">
        <w:t>288.</w:t>
      </w:r>
      <w:r w:rsidRPr="00CD7A71">
        <w:tab/>
        <w:t xml:space="preserve">No se han concretado cambios legislativos para elevar la edad mínima de responsabilidad penal. No obstante, en el periodo 2024–2025 no se registraron ingresos al PSA ni al CFJZ de personas menores de 14 años, reflejando un tamizaje acorde con la normativa vigente y la derivación al sistema de protección cuando corresponde.  </w:t>
      </w:r>
    </w:p>
    <w:p w14:paraId="2CAE2D2C" w14:textId="77777777" w:rsidR="00CD7A71" w:rsidRDefault="00CD7A71" w:rsidP="00CD7A71">
      <w:pPr>
        <w:pStyle w:val="SingleTxtG"/>
      </w:pPr>
      <w:r w:rsidRPr="00CD7A71">
        <w:t>289.</w:t>
      </w:r>
      <w:r w:rsidRPr="00CD7A71">
        <w:tab/>
        <w:t>En el CFJZ se brinda atención profesional sistemática con seguimiento individual por Trabajo Social, Psicología, Orientación, Educación, Derecho y Salud. En 2024 y 2025 se presentaron informes al Departamento de Arquitectura sobre el estado de la infraestructura, que respaldan mejoras como la remodelación de la cocina, la Sección de Convivencia Femenina y C1; la sustitución del 90% de las camas; las adecuaciones para personas con discapacidad física, el mantenimiento general; y la construcción de una bodega de alimentos. Se inició la gestión de una nueva sección convivencial para varones menores de 15 años.  En materia educativa, el 98% de la población estudia en primaria, secundaria o universidad; se registra solo a una persona que, por decisión propia, no continúa con los estudios universitarios. En salud se garantiza cobertura médica continua y derivación hospitalaria especializada. El Centro ha participado activamente en 10 intervenciones en la Red para la Atención Integral a Mujeres Vinculadas a un Proceso Penal.</w:t>
      </w:r>
    </w:p>
    <w:p w14:paraId="112287AB" w14:textId="77777777" w:rsidR="00CD7A71" w:rsidRDefault="00CD7A71" w:rsidP="00CD7A71">
      <w:pPr>
        <w:pStyle w:val="SingleTxtG"/>
      </w:pPr>
      <w:r w:rsidRPr="00CD7A71">
        <w:t>290.</w:t>
      </w:r>
      <w:r w:rsidRPr="00CD7A71">
        <w:tab/>
        <w:t xml:space="preserve">En el CEOVI se reformularon las prácticas de convivencia mediante órganos colegiados, reduciendo al mínimo el aislamiento y logrando la no utilización casi definitiva de la Sección H desde marzo de 2025. Se fortaleció el control del proceder policial mediante Consejos de Seguridad, supervisión constante de los equipos y uso obligatorio de cámaras personales para documentar actuaciones y, se institucionalizó un sistema de recepción de peticiones dos veces por semana, con registro en actas, trazabilidad y respuesta formal.  </w:t>
      </w:r>
    </w:p>
    <w:p w14:paraId="51825844" w14:textId="77777777" w:rsidR="00CD7A71" w:rsidRDefault="00CD7A71" w:rsidP="00CD7A71">
      <w:pPr>
        <w:pStyle w:val="SingleTxtG"/>
      </w:pPr>
      <w:r w:rsidRPr="00CD7A71">
        <w:t>291.</w:t>
      </w:r>
      <w:r w:rsidRPr="00CD7A71">
        <w:tab/>
        <w:t>Se incorporaron compromisos internacionales para la atención integral a mujeres madres menores de edad y a sus hijos e hijas en situación de vulnerabilidad.</w:t>
      </w:r>
    </w:p>
    <w:p w14:paraId="3F096EA7" w14:textId="77777777" w:rsidR="00CD7A71" w:rsidRDefault="00CD7A71" w:rsidP="00CD7A71">
      <w:pPr>
        <w:pStyle w:val="SingleTxtG"/>
      </w:pPr>
      <w:r w:rsidRPr="00CD7A71">
        <w:lastRenderedPageBreak/>
        <w:t>292.</w:t>
      </w:r>
      <w:r w:rsidRPr="00CD7A71">
        <w:tab/>
        <w:t xml:space="preserve">El Estado implementa un programa sostenido de capacitación y sensibilización del personal que atiende a personas menores privadas de libertad, con enfoque en derechos humanos, justicia restaurativa, prevención de riesgos y atención integral. </w:t>
      </w:r>
    </w:p>
    <w:p w14:paraId="1DDCC99C" w14:textId="77777777" w:rsidR="00CD7A71" w:rsidRDefault="00CD7A71" w:rsidP="00CD7A71">
      <w:pPr>
        <w:pStyle w:val="SingleTxtG"/>
      </w:pPr>
      <w:r w:rsidRPr="00CD7A71">
        <w:t>293.</w:t>
      </w:r>
      <w:r w:rsidRPr="00CD7A71">
        <w:tab/>
        <w:t>En 2024 y 2025, en la Coordinación del Nivel Penal Juvenil se formó a 30 profesiones en Enfoque de Juventudes, Gestores de Paz, Justicia Restaurativa y prácticas restaurativas. Se capacitó a 47 policías penitenciarios sobre derechos humanos, la Convención sobre los Derechos del Niño, Ley de Justicia Penal Juvenil y adolescencia.</w:t>
      </w:r>
    </w:p>
    <w:p w14:paraId="3B661E2B" w14:textId="77777777" w:rsidR="00CD7A71" w:rsidRDefault="00CD7A71" w:rsidP="00CD7A71">
      <w:pPr>
        <w:pStyle w:val="SingleTxtG"/>
      </w:pPr>
      <w:r w:rsidRPr="00CD7A71">
        <w:t>294.</w:t>
      </w:r>
      <w:r w:rsidRPr="00CD7A71">
        <w:tab/>
        <w:t xml:space="preserve">En el PSA se imparten capacitaciones en trabajo social y sistemas penitenciarios latinoamericanos, trabajo social pericial, intervención social, círculos de paz, justicia juvenil restaurativa, trata y tráfico de personas con enfoque de género, enfoque de juventudes, informes psicológicos de valoración de riesgo y gestores de paz. </w:t>
      </w:r>
    </w:p>
    <w:p w14:paraId="35F2A06C" w14:textId="77777777" w:rsidR="00CD7A71" w:rsidRDefault="00CD7A71" w:rsidP="00CD7A71">
      <w:pPr>
        <w:pStyle w:val="SingleTxtG"/>
      </w:pPr>
      <w:r w:rsidRPr="00CD7A71">
        <w:t>295.</w:t>
      </w:r>
      <w:r w:rsidRPr="00CD7A71">
        <w:tab/>
        <w:t xml:space="preserve">En el CFJZ se ofrece formación sobre justicia restaurativa, círculos de paz, prevención del comportamiento suicida, evaluación forense, elaboración de informes sociales y primeros auxilios. </w:t>
      </w:r>
    </w:p>
    <w:p w14:paraId="1DAEA54E" w14:textId="77777777" w:rsidR="00CD7A71" w:rsidRDefault="00CD7A71" w:rsidP="00CD7A71">
      <w:pPr>
        <w:pStyle w:val="SingleTxtG"/>
      </w:pPr>
      <w:r w:rsidRPr="00CD7A71">
        <w:t>296.</w:t>
      </w:r>
      <w:r w:rsidRPr="00CD7A71">
        <w:tab/>
        <w:t xml:space="preserve">En el CEOVI se desarrollan capacitaciones en prácticas restaurativas, círculos de paz, gestores de paz, trata de personas, habilidades blandas y participación en foro virtual sobre comunidades educativas protectoras. </w:t>
      </w:r>
    </w:p>
    <w:p w14:paraId="6ADE3EE7" w14:textId="77777777" w:rsidR="00CD7A71" w:rsidRDefault="00CD7A71" w:rsidP="00CD7A71">
      <w:pPr>
        <w:pStyle w:val="SingleTxtG"/>
      </w:pPr>
      <w:r w:rsidRPr="00CD7A71">
        <w:t>297.</w:t>
      </w:r>
      <w:r w:rsidRPr="00CD7A71">
        <w:tab/>
        <w:t>La Escuela Judicial imparte especialización en materia penal juvenil para personas juzgadoras, con módulos sobre aspectos psicosociales de la adolescencia, derecho sustantivo, estándares nacionales e internacionales de protección de derechos, proceso penal juvenil, determinación y ejecución de sanciones y medios de impugnación. También ofrece capacitaciones sobre debate y elaboración de sentencias, consumo de sustancias, trastornos mentales, estrategias de intervención y servicios del Instituto sobre Alcoholismo y Farmacodependencia.</w:t>
      </w:r>
    </w:p>
    <w:p w14:paraId="4B670763" w14:textId="77777777" w:rsidR="00CD7A71" w:rsidRDefault="00CD7A71" w:rsidP="00CD7A71">
      <w:pPr>
        <w:pStyle w:val="SingleTxtG"/>
      </w:pPr>
      <w:r w:rsidRPr="00CD7A71">
        <w:t>298.</w:t>
      </w:r>
      <w:r w:rsidRPr="00CD7A71">
        <w:tab/>
        <w:t>Cuando se detectan presuntos casos de violencia de personal hacia personas menores de edad adscritas, se remite a las autoridades competentes para investigación y se adoptan medidas administrativas preventivas, como el traslado del personal, para evitar contacto con la persona denunciante mientras se investiga el caso.</w:t>
      </w:r>
    </w:p>
    <w:p w14:paraId="0E3537A6" w14:textId="77777777" w:rsidR="00CD7A71" w:rsidRDefault="00CD7A71" w:rsidP="00CD7A71">
      <w:pPr>
        <w:pStyle w:val="SingleTxtG"/>
      </w:pPr>
      <w:r w:rsidRPr="00CD7A71">
        <w:t>299.</w:t>
      </w:r>
      <w:r w:rsidRPr="00CD7A71">
        <w:tab/>
        <w:t xml:space="preserve">Las medidas de reparación comprenden atención médica y psicosocial, derivaciones especializadas, y, cuando procede, medidas de protección coordinadas con el Poder Judicial, conforme al análisis de vulnerabilidad y riesgo.  </w:t>
      </w:r>
    </w:p>
    <w:p w14:paraId="2AB78D15" w14:textId="77777777" w:rsidR="00CD7A71" w:rsidRDefault="00CD7A71" w:rsidP="00CD7A71">
      <w:pPr>
        <w:pStyle w:val="SingleTxtG"/>
      </w:pPr>
      <w:r w:rsidRPr="00CD7A71">
        <w:t>300.</w:t>
      </w:r>
      <w:r w:rsidRPr="00CD7A71">
        <w:tab/>
        <w:t>Se avanzó en el fortalecimiento de la gestión institucional mediante la implementación de herramientas tecnológicas para la caracterización de la población institucionalizada en albergues del PANI, incorporando variables asociadas a procesos penales juveniles, como tipo de delito, número de causa, estado, sanciones, entre otras, lo que contribuye a una mejor toma de decisiones, seguimiento de casos y planificación de las intervenciones.</w:t>
      </w:r>
    </w:p>
    <w:p w14:paraId="3FF25836" w14:textId="0539ED9F"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24</w:t>
      </w:r>
    </w:p>
    <w:p w14:paraId="0E6AA1DC" w14:textId="77777777" w:rsidR="00CD7A71" w:rsidRDefault="00CD7A71" w:rsidP="00CD7A71">
      <w:pPr>
        <w:pStyle w:val="SingleTxtG"/>
      </w:pPr>
      <w:r w:rsidRPr="00CD7A71">
        <w:t>301.</w:t>
      </w:r>
      <w:r w:rsidRPr="00CD7A71">
        <w:tab/>
        <w:t xml:space="preserve">a) El Mecanismo General de Consulta a Pueblos Indígenas (MGCPI), establecido mediante Decreto Ejecutivo, reglamenta para el Poder Ejecutivo la forma de realizar procesos de consulta libre, previa e informada con los pueblos indígenas, cuando se prevean medidas administrativas, proyectos de ley promovidos por el Poder Ejecutivo o proyectos privados susceptibles de afectar sus derechos colectivos. </w:t>
      </w:r>
    </w:p>
    <w:p w14:paraId="6D540F95" w14:textId="77777777" w:rsidR="00CD7A71" w:rsidRDefault="00CD7A71" w:rsidP="00CD7A71">
      <w:pPr>
        <w:pStyle w:val="SingleTxtG"/>
      </w:pPr>
      <w:r w:rsidRPr="00CD7A71">
        <w:t>302.</w:t>
      </w:r>
      <w:r w:rsidRPr="00CD7A71">
        <w:tab/>
        <w:t xml:space="preserve">El MGCPI es de aplicación obligatoria para la Administración Pública Central. No obstante, y sin perjuicio  del Convenio 169 de la OIT, así como del principio de separación de poderes y de los regímenes de autonomía constitucional y legal, el Poder Legislativo, el Poder Judicial, el Tribunal Supremo de Elecciones, las municipalidades, las universidades estatales, las instituciones autónomas o semiautónomas, las empresas públicas y las empresas privadas que administren bienes públicos o ejerzan potestades públicas pueden aplicar el Mecanismo como marco de referencia para sus propias normas. </w:t>
      </w:r>
    </w:p>
    <w:p w14:paraId="4CFE13AD" w14:textId="77777777" w:rsidR="00CD7A71" w:rsidRDefault="00CD7A71" w:rsidP="00CD7A71">
      <w:pPr>
        <w:pStyle w:val="SingleTxtG"/>
      </w:pPr>
      <w:r w:rsidRPr="00CD7A71">
        <w:t>303.</w:t>
      </w:r>
      <w:r w:rsidRPr="00CD7A71">
        <w:tab/>
        <w:t xml:space="preserve">Se define como proyecto privado toda iniciativa generada por persona física o jurídica de derecho privado, incluyendo aquellas promovidas por Asociaciones de Desarrollo Integral Indígena.  </w:t>
      </w:r>
    </w:p>
    <w:p w14:paraId="6F755B7A" w14:textId="77777777" w:rsidR="00CD7A71" w:rsidRDefault="00CD7A71" w:rsidP="00CD7A71">
      <w:pPr>
        <w:pStyle w:val="SingleTxtG"/>
      </w:pPr>
      <w:r w:rsidRPr="00CD7A71">
        <w:lastRenderedPageBreak/>
        <w:t>304.</w:t>
      </w:r>
      <w:r w:rsidRPr="00CD7A71">
        <w:tab/>
        <w:t xml:space="preserve">Los gobiernos locales, pueden solicitar voluntariamente la activación del MGCPI cuando promuevan políticas o medidas que afecten derechos de pueblos indígenas en sus cantones; en tales casos, la Unidad Técnica de Consulta Indígena (UTCI) tramita las solicitudes en forma análoga a las de instituciones del Poder Ejecutivo. </w:t>
      </w:r>
    </w:p>
    <w:p w14:paraId="232BC7EA" w14:textId="77777777" w:rsidR="00CD7A71" w:rsidRDefault="00CD7A71" w:rsidP="00CD7A71">
      <w:pPr>
        <w:pStyle w:val="SingleTxtG"/>
      </w:pPr>
      <w:r w:rsidRPr="00CD7A71">
        <w:t>305.</w:t>
      </w:r>
      <w:r w:rsidRPr="00CD7A71">
        <w:tab/>
        <w:t xml:space="preserve">Los Poderes Judicial y Legislativo han iniciado procesos propios para formalizar sus mecanismos de consulta, en concordancia con los estándares internacionales. </w:t>
      </w:r>
    </w:p>
    <w:p w14:paraId="7C5468C6" w14:textId="77777777" w:rsidR="00CD7A71" w:rsidRDefault="00CD7A71" w:rsidP="00CD7A71">
      <w:pPr>
        <w:pStyle w:val="SingleTxtG"/>
      </w:pPr>
      <w:r w:rsidRPr="00CD7A71">
        <w:t>306.</w:t>
      </w:r>
      <w:r w:rsidRPr="00CD7A71">
        <w:tab/>
        <w:t xml:space="preserve">b) En cuanto a su operacionalización, el MGCPI define un procedimiento preclusivo de ocho etapas: solicitud, admisibilidad, acuerdos preparatorios, intercambio de información, evaluación interna del pueblo indígena, diálogo y negociación, finalización del proceso, y cumplimiento y monitoreo de los acuerdos. </w:t>
      </w:r>
    </w:p>
    <w:p w14:paraId="55AC7395" w14:textId="77777777" w:rsidR="00CD7A71" w:rsidRDefault="00CD7A71" w:rsidP="00CD7A71">
      <w:pPr>
        <w:pStyle w:val="SingleTxtG"/>
      </w:pPr>
      <w:r w:rsidRPr="00CD7A71">
        <w:t>307.</w:t>
      </w:r>
      <w:r w:rsidRPr="00CD7A71">
        <w:tab/>
        <w:t xml:space="preserve">Los acuerdos alcanzados entre pueblos indígenas, instituciones públicas y actores privados en cualquier etapa del proceso, incluidos los acuerdos preparatorios, finales y de seguimiento, son vinculantes para todas las partes. </w:t>
      </w:r>
    </w:p>
    <w:p w14:paraId="1572978C" w14:textId="77777777" w:rsidR="00CD7A71" w:rsidRDefault="00CD7A71" w:rsidP="00CD7A71">
      <w:pPr>
        <w:pStyle w:val="SingleTxtG"/>
      </w:pPr>
      <w:r w:rsidRPr="00CD7A71">
        <w:t>308.</w:t>
      </w:r>
      <w:r w:rsidRPr="00CD7A71">
        <w:tab/>
        <w:t>La implementación del Mecanismo ha permitido consolidar una arquitectura institucional de protección, integrada por la Mesa Técnica Interinstitucional para Asuntos Indígenas, como espacio previsto para articular una ruta de trabajo entre los pueblos indígenas y el Estado.</w:t>
      </w:r>
    </w:p>
    <w:p w14:paraId="12F33382" w14:textId="77777777" w:rsidR="00CD7A71" w:rsidRDefault="00CD7A71" w:rsidP="00CD7A71">
      <w:pPr>
        <w:pStyle w:val="SingleTxtG"/>
      </w:pPr>
      <w:r w:rsidRPr="00CD7A71">
        <w:t>309.</w:t>
      </w:r>
      <w:r w:rsidRPr="00CD7A71">
        <w:tab/>
        <w:t>La UTCI es la encargada de gestionar los procesos de consulta y de crear y capacitar a las Instancias Territoriales de Consulta Indígena (</w:t>
      </w:r>
      <w:proofErr w:type="spellStart"/>
      <w:r w:rsidRPr="00CD7A71">
        <w:t>ITCIs</w:t>
      </w:r>
      <w:proofErr w:type="spellEnd"/>
      <w:r w:rsidRPr="00CD7A71">
        <w:t>), responsables de la logística y la coordinación especializada en los territorios.</w:t>
      </w:r>
    </w:p>
    <w:p w14:paraId="0C30B11C" w14:textId="77777777" w:rsidR="00CD7A71" w:rsidRDefault="00CD7A71" w:rsidP="00CD7A71">
      <w:pPr>
        <w:pStyle w:val="SingleTxtG"/>
      </w:pPr>
      <w:r w:rsidRPr="00CD7A71">
        <w:t>310.</w:t>
      </w:r>
      <w:r w:rsidRPr="00CD7A71">
        <w:tab/>
        <w:t xml:space="preserve">La UTCI recibe solicitudes de consulta provenientes de pueblos indígenas, instituciones del Estado y actores privados, y tramitan conforme al tipo de impacto y afectación según el nivel de alcance ya sea nacional, regional, territorial o comunal. En la práctica, los pueblos indígenas instan a actores a ajustarse MGCPI y a iniciar procesos de consulta cuando identifican medidas o proyectos que puedan afectar sus derechos colectivos.  </w:t>
      </w:r>
    </w:p>
    <w:p w14:paraId="7B55F08B" w14:textId="317A1734"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25</w:t>
      </w:r>
    </w:p>
    <w:p w14:paraId="37C22681" w14:textId="43074228" w:rsidR="00CD7A71" w:rsidRDefault="00CD7A71" w:rsidP="00CD7A71">
      <w:pPr>
        <w:pStyle w:val="SingleTxtG"/>
      </w:pPr>
      <w:r w:rsidRPr="00CD7A71">
        <w:t>311.</w:t>
      </w:r>
      <w:r w:rsidRPr="00CD7A71">
        <w:tab/>
        <w:t>El Plan Nacional de Recuperación de Territorios Indígenas (PLAN-RTI) surge en 2016 como un instrumento interinstitucional orientado a dar cumplimiento a la Ley Indígena 6172, para la realización de estudios técnicos de ubicación, diagnóstico de posesión y levantamiento de información territorial.</w:t>
      </w:r>
    </w:p>
    <w:p w14:paraId="3089E0D6" w14:textId="77777777" w:rsidR="00CD7A71" w:rsidRDefault="00CD7A71" w:rsidP="00CD7A71">
      <w:pPr>
        <w:pStyle w:val="SingleTxtG"/>
      </w:pPr>
      <w:r w:rsidRPr="00CD7A71">
        <w:t>312.</w:t>
      </w:r>
      <w:r w:rsidRPr="00CD7A71">
        <w:tab/>
        <w:t>A partir de 2019 se incorpora a las actividades del PLAN-RTI la ejecución de Procedimientos Administrativos Ordinarios, con el fin de determinar la buena o mala fe en la ocupación de tierras indígenas.</w:t>
      </w:r>
    </w:p>
    <w:p w14:paraId="2A2899A0" w14:textId="77777777" w:rsidR="00CD7A71" w:rsidRDefault="00CD7A71" w:rsidP="00CD7A71">
      <w:pPr>
        <w:pStyle w:val="SingleTxtG"/>
      </w:pPr>
      <w:r w:rsidRPr="00CD7A71">
        <w:t>313.</w:t>
      </w:r>
      <w:r w:rsidRPr="00CD7A71">
        <w:tab/>
        <w:t xml:space="preserve">Su ejecución comprende ocho actividades secuenciales: recopilación de información, amojonamiento, estudio censal, levantamiento topográfico, expediente de investigaciones preliminares, procedimiento ordinario administrativo, resolución de la Junta Directiva del Instituto Nacional de Desarrollo Rural (INDER) sobre la </w:t>
      </w:r>
      <w:proofErr w:type="spellStart"/>
      <w:r w:rsidRPr="00CD7A71">
        <w:t>indemnizabilidad</w:t>
      </w:r>
      <w:proofErr w:type="spellEnd"/>
      <w:r w:rsidRPr="00CD7A71">
        <w:t xml:space="preserve">; y ejecución del acuerdo una vez firme. Esta ejecución secuencial sustenta y garantiza la práctica del derecho a la tierra. </w:t>
      </w:r>
    </w:p>
    <w:p w14:paraId="249AACDE" w14:textId="77777777" w:rsidR="00CD7A71" w:rsidRDefault="00CD7A71" w:rsidP="00CD7A71">
      <w:pPr>
        <w:pStyle w:val="SingleTxtG"/>
      </w:pPr>
      <w:r w:rsidRPr="00CD7A71">
        <w:t>314.</w:t>
      </w:r>
      <w:r w:rsidRPr="00CD7A71">
        <w:tab/>
        <w:t xml:space="preserve">La resolución de la Junta Directiva puede impugnarse en un plazo de tres días, primero ante la misma Junta y, en sede jerárquica, ante el Tribunal Agrario, lo que garantiza salvaguardas procesales para las personas ocupantes. </w:t>
      </w:r>
    </w:p>
    <w:p w14:paraId="126325E2" w14:textId="77777777" w:rsidR="00CD7A71" w:rsidRDefault="00CD7A71" w:rsidP="00CD7A71">
      <w:pPr>
        <w:pStyle w:val="SingleTxtG"/>
      </w:pPr>
      <w:r w:rsidRPr="00CD7A71">
        <w:t>315.</w:t>
      </w:r>
      <w:r w:rsidRPr="00CD7A71">
        <w:tab/>
        <w:t xml:space="preserve">La ejecución ha priorizado propiedades identificadas como estratégicas; algunos casos se encuentran en análisis judicial, ajeno al Plan, mientras que otros avanzan en las etapas técnicas y administrativas previstas por el Plan. </w:t>
      </w:r>
    </w:p>
    <w:p w14:paraId="22F8EB37" w14:textId="77777777" w:rsidR="00CD7A71" w:rsidRDefault="00CD7A71" w:rsidP="00CD7A71">
      <w:pPr>
        <w:pStyle w:val="SingleTxtG"/>
      </w:pPr>
      <w:r w:rsidRPr="00CD7A71">
        <w:t>316.</w:t>
      </w:r>
      <w:r w:rsidRPr="00CD7A71">
        <w:tab/>
        <w:t>Entre 2018 y 2025 se han reportado más de 19.000 documentos analizados, fortaleciendo el sustento jurídico de la recuperación. Se han colocado más de 270 mojones. Se han ejecutado más de 12.900 registros efectivos y no efectivos, identificando ocupaciones y posesiones. Se han medido más de 140 kilómetros de caminos y cientos de predios, insumos clave para los avalúos. Se han conformado más de 200 expedientes, varios de ellos con procedimientos resueltos a favor de los pueblos indígenas y se han realizado avalúos en fincas ocupadas por terceros, como paso previo a procesos de compensación e indemnización.</w:t>
      </w:r>
    </w:p>
    <w:p w14:paraId="1E6C6A4D" w14:textId="77777777" w:rsidR="00CD7A71" w:rsidRDefault="00CD7A71" w:rsidP="00CD7A71">
      <w:pPr>
        <w:pStyle w:val="SingleTxtG"/>
      </w:pPr>
      <w:r w:rsidRPr="00CD7A71">
        <w:lastRenderedPageBreak/>
        <w:t>317.</w:t>
      </w:r>
      <w:r w:rsidRPr="00CD7A71">
        <w:tab/>
        <w:t xml:space="preserve">Específicamente en 2025 el PLAN-RTI ha generado resultados concretos como, la colocación de 18 mojones que delimitan oficialmente el </w:t>
      </w:r>
      <w:proofErr w:type="spellStart"/>
      <w:r w:rsidRPr="00CD7A71">
        <w:t>Brörán</w:t>
      </w:r>
      <w:proofErr w:type="spellEnd"/>
      <w:r w:rsidRPr="00CD7A71">
        <w:t xml:space="preserve"> de Térraba</w:t>
      </w:r>
    </w:p>
    <w:p w14:paraId="0EDFD603" w14:textId="77777777" w:rsidR="00CD7A71" w:rsidRDefault="00CD7A71" w:rsidP="00CD7A71">
      <w:pPr>
        <w:pStyle w:val="SingleTxtG"/>
      </w:pPr>
      <w:r w:rsidRPr="00CD7A71">
        <w:t>318.</w:t>
      </w:r>
      <w:r w:rsidRPr="00CD7A71">
        <w:tab/>
        <w:t xml:space="preserve">Corresponde al INDER en coordinación con la Comisión Nacional de Asuntos Indígenas (CONAI) realizar estudios técnicos y legales de ocupación y trámites de expropiación e indemnización. El Plan es de actualización continua, por lo que su información operativa evoluciona con el tiempo.  </w:t>
      </w:r>
    </w:p>
    <w:p w14:paraId="7EC85820" w14:textId="77777777" w:rsidR="00CD7A71" w:rsidRDefault="00CD7A71" w:rsidP="00CD7A71">
      <w:pPr>
        <w:pStyle w:val="SingleTxtG"/>
      </w:pPr>
      <w:r w:rsidRPr="00CD7A71">
        <w:t>319.</w:t>
      </w:r>
      <w:r w:rsidRPr="00CD7A71">
        <w:tab/>
        <w:t>Para asegurar la viabilidad financiera se creó el Fondo Nacional de Indemnizaciones para la Recuperación de Territorios Indígenas, administrado por la CONAI y financiado con aportes del INDER por ₡500 millones anuales, aproximadamente US$950.000, durante cuatro años hasta 2027, además de eventuales recursos del gobierno central. La exclusión de la CONAI del ámbito de aplicación de la Regla Fiscal habilitó la ejecución presupuestaria necesaria para el Plan, iniciando con el pago de la primera expropiación a una persona no indígena ocupante de buena fe, realizada en diciembre de 2023 en territorio indígena Conte Burica, logrando el traspaso de la propiedad a la Asociación de Desarrollo Integral Indígena del territorio.  En Costa Rica, la Regla Fiscal es un mecanismo de la Ley de Fortalecimiento de las Finanzas Públicas que limita el crecimiento del gasto público en función del Producto Interno Bruto y de la deuda del Gobierno Central.</w:t>
      </w:r>
    </w:p>
    <w:p w14:paraId="2EA0697E" w14:textId="77777777" w:rsidR="00CD7A71" w:rsidRDefault="00CD7A71" w:rsidP="00CD7A71">
      <w:pPr>
        <w:pStyle w:val="SingleTxtG"/>
      </w:pPr>
      <w:r w:rsidRPr="00CD7A71">
        <w:t>320.</w:t>
      </w:r>
      <w:r w:rsidRPr="00CD7A71">
        <w:tab/>
        <w:t xml:space="preserve">A la fecha, se reporta la indemnización y recuperación de veintiún fincas, devueltas a sus legítimos propietarios indígenas y se encuentran en curso cuatro procesos adicionales. En paralelo, la CONAI ha emitido criterios jurídicos sobre expedientes con acto final de buena fe, lo que constituye una garantía legal adicional antes de la fase expropiatoria para lograr la posesión material.  </w:t>
      </w:r>
    </w:p>
    <w:p w14:paraId="0C605326" w14:textId="77777777" w:rsidR="00CD7A71" w:rsidRDefault="00CD7A71" w:rsidP="00CD7A71">
      <w:pPr>
        <w:pStyle w:val="SingleTxtG"/>
      </w:pPr>
      <w:r w:rsidRPr="00CD7A71">
        <w:t>321.</w:t>
      </w:r>
      <w:r w:rsidRPr="00CD7A71">
        <w:tab/>
        <w:t xml:space="preserve">Se ha garantizado la inclusión del Consejo </w:t>
      </w:r>
      <w:proofErr w:type="spellStart"/>
      <w:r w:rsidRPr="00CD7A71">
        <w:t>Brörán</w:t>
      </w:r>
      <w:proofErr w:type="spellEnd"/>
      <w:r w:rsidRPr="00CD7A71">
        <w:t xml:space="preserve"> y de las Asociaciones de Desarrollo Integral Indígena.  Además, desde el 2025 el INDER notifica simultáneamente a ambas partes en todos los nuevos procedimientos.</w:t>
      </w:r>
    </w:p>
    <w:p w14:paraId="6FCBBF62" w14:textId="77777777" w:rsidR="00CD7A71" w:rsidRDefault="00CD7A71" w:rsidP="00CD7A71">
      <w:pPr>
        <w:pStyle w:val="SingleTxtG"/>
      </w:pPr>
      <w:r w:rsidRPr="00CD7A71">
        <w:t>322.</w:t>
      </w:r>
      <w:r w:rsidRPr="00CD7A71">
        <w:tab/>
        <w:t>En el territorio indígena de Térraba se identifican dos casos relevantes vinculados al mismo ocupante. El primero corresponde a un área de 200 hectáreas 3.757 metros cuadrados, de las cuales 44,9 hectáreas se ubican dentro del territorio indígena de Térraba y 155,3 hectáreas en Curré, respecto del cual fue declarado poseedor de buena fe en un proceso de expropiación pendiente de indemnización mediante el Fondo Nacional de Indemnizaciones; el segundo abarca un área de 102 hectáreas 2.139 metros cuadrados, de las cuales 56,2 hectáreas se localizan dentro del territorio indígena de Térraba y 45,9 hectáreas en Curré, y en el cual fue declarado poseedor de mala fe, encontrándose el proceso en fase de apelación ante el Tribunal Agrario.</w:t>
      </w:r>
    </w:p>
    <w:p w14:paraId="42616F7B" w14:textId="77777777" w:rsidR="00CD7A71" w:rsidRDefault="00CD7A71" w:rsidP="00CD7A71">
      <w:pPr>
        <w:pStyle w:val="SingleTxtG"/>
      </w:pPr>
      <w:r w:rsidRPr="00CD7A71">
        <w:t>323.</w:t>
      </w:r>
      <w:r w:rsidRPr="00CD7A71">
        <w:tab/>
        <w:t xml:space="preserve">En 2025 se indemnizaron tres propiedades ocupadas por personas no indígenas en los territorios de China </w:t>
      </w:r>
      <w:proofErr w:type="spellStart"/>
      <w:r w:rsidRPr="00CD7A71">
        <w:t>Kichá</w:t>
      </w:r>
      <w:proofErr w:type="spellEnd"/>
      <w:r w:rsidRPr="00CD7A71">
        <w:t xml:space="preserve"> (dos fincas) y Zapatón (una finca). Para el 2026 se prevé la indemnización de una finca con </w:t>
      </w:r>
      <w:proofErr w:type="gramStart"/>
      <w:r w:rsidRPr="00CD7A71">
        <w:t>traslape</w:t>
      </w:r>
      <w:proofErr w:type="gramEnd"/>
      <w:r w:rsidRPr="00CD7A71">
        <w:t xml:space="preserve"> en los territorios indígenas de Térraba y Rey Curré, conforme a las condiciones administrativas y operativas correspondientes. </w:t>
      </w:r>
    </w:p>
    <w:p w14:paraId="769BCCA1" w14:textId="77777777" w:rsidR="00CD7A71" w:rsidRDefault="00CD7A71" w:rsidP="00CD7A71">
      <w:pPr>
        <w:pStyle w:val="SingleTxtG"/>
      </w:pPr>
      <w:r w:rsidRPr="00CD7A71">
        <w:t>324.</w:t>
      </w:r>
      <w:r w:rsidRPr="00CD7A71">
        <w:tab/>
        <w:t xml:space="preserve">El reconocimiento se enmarca en la Ley Indígena y en el Convenio N.º 169 de la OIT y en las directrices administrativas aplicables al Mecanismo, que exige procesos de consulta libre, previa e informada con las instituciones representativas. En el plano operativo, el PLAN-RTI articula con las Asociaciones de Desarrollo Integral y Concejos de Mayores, y se encuentra en curso la validación antropológica ordenada por la Sala Constitucional de la Corte Suprema de Justicia para determinar, cuando existan divergencias, cuál autoridad tradicional resulta válida en cada territorio, lo que contribuye al reconocimiento efectivo y a la seguridad jurídica de las decisiones.   </w:t>
      </w:r>
    </w:p>
    <w:p w14:paraId="507090CB" w14:textId="77777777" w:rsidR="00CD7A71" w:rsidRDefault="00CD7A71" w:rsidP="00CD7A71">
      <w:pPr>
        <w:pStyle w:val="SingleTxtG"/>
      </w:pPr>
      <w:r w:rsidRPr="00CD7A71">
        <w:t>325.</w:t>
      </w:r>
      <w:r w:rsidRPr="00CD7A71">
        <w:tab/>
        <w:t xml:space="preserve">Asimismo, la CONAI, como entidad coordinadora y administradora del fondo, ha fortalecido el andamiaje jurídico con criterios legales sobre procedimientos declarativos y revisiones de expedientes, lo que coadyuva a la estandarización de prácticas y a la tutela de derechos colectivos durante la recuperación territorial. De manera complementaria, se han desarrollado acciones de actualización y difusión normativa entre diversos grupos de pueblos indígenas sobre la vigencia de la Ley Indígena y del Convenio OIT.  </w:t>
      </w:r>
    </w:p>
    <w:p w14:paraId="7669C2D0" w14:textId="77777777" w:rsidR="00CD7A71" w:rsidRDefault="00CD7A71" w:rsidP="00CD7A71">
      <w:pPr>
        <w:pStyle w:val="SingleTxtG"/>
      </w:pPr>
      <w:r w:rsidRPr="00CD7A71">
        <w:t>326.</w:t>
      </w:r>
      <w:r w:rsidRPr="00CD7A71">
        <w:tab/>
        <w:t xml:space="preserve">El progreso del Plan-RTI ha derivado en una serie de tareas y acciones conexas, como lo son: confección de planos catastrados para procesos expropiatorios, actualización o modificación de asientos registrales de inmuebles, constancias a instituciones </w:t>
      </w:r>
      <w:r w:rsidRPr="00CD7A71">
        <w:lastRenderedPageBreak/>
        <w:t>gubernamentales y no gubernamentales donde se indica si una propiedad se encuentra o no afectada por territorio indígena, demarcación en el terreno de los límites establecidos en los decretos de los territorios indígenas conforme a la Ley, mesas de trabajo con el Instituto Geográfico Nacional (IGN) para validar la correcta interpretación de los límites a través de las hojas cartográficas oficiales del país que delimitan los territorios, entre otras gestiones técnicas y legales.</w:t>
      </w:r>
    </w:p>
    <w:p w14:paraId="56C351E2" w14:textId="217F0B35" w:rsidR="00CD7A71" w:rsidRDefault="00CD7A71" w:rsidP="00CD7A71">
      <w:pPr>
        <w:pStyle w:val="H23G"/>
        <w:rPr>
          <w:lang w:val="es-ES_tradnl"/>
        </w:rPr>
      </w:pPr>
      <w:r>
        <w:rPr>
          <w:lang w:val="es-ES_tradnl"/>
        </w:rPr>
        <w:tab/>
      </w:r>
      <w:r>
        <w:rPr>
          <w:lang w:val="es-ES_tradnl"/>
        </w:rPr>
        <w:tab/>
      </w:r>
      <w:r w:rsidRPr="00CD7A71">
        <w:rPr>
          <w:lang w:val="es-ES_tradnl"/>
        </w:rPr>
        <w:t xml:space="preserve">Respuesta al párrafo </w:t>
      </w:r>
      <w:r>
        <w:rPr>
          <w:lang w:val="es-ES_tradnl"/>
        </w:rPr>
        <w:t>26</w:t>
      </w:r>
    </w:p>
    <w:p w14:paraId="3A92CFB0" w14:textId="526397AD" w:rsidR="00CD7A71" w:rsidRDefault="00CD7A71" w:rsidP="00CD7A71">
      <w:pPr>
        <w:pStyle w:val="SingleTxtG"/>
      </w:pPr>
      <w:r w:rsidRPr="00CD7A71">
        <w:t>327.</w:t>
      </w:r>
      <w:r w:rsidRPr="00CD7A71">
        <w:tab/>
        <w:t xml:space="preserve">En febrero de 2023, la Presidencia de la República y la Mesa Técnica Interinstitucional de Asuntos Indígenas propusieron un plan de paz con liderazgos indígenas de Buenos Aires y Pérez Zeledón para el cese de hechos violentos y la desincentivación de recuperaciones por vías de hecho, promoviendo que los conflictos de tierra se tramiten por vías legalmente establecidas, como lo son los procedimientos administrativos de declaratoria de buena fe o mala fe, a efectos de indemnización o desalojo administrativo, según corresponda. Desde entonces se sostiene un diálogo constante con los territorios para preservar la paz social mientras el Estado continúa los procesos de indemnización y restitución legal a favor de los pueblos indígenas. </w:t>
      </w:r>
    </w:p>
    <w:p w14:paraId="4DCE4CA5" w14:textId="420E52FF" w:rsidR="00CD7A71" w:rsidRPr="00CD7A71" w:rsidRDefault="00CD7A71" w:rsidP="00CD7A71">
      <w:pPr>
        <w:pStyle w:val="SingleTxtG"/>
      </w:pPr>
      <w:r w:rsidRPr="00CD7A71">
        <w:t>328.</w:t>
      </w:r>
      <w:r w:rsidRPr="00CD7A71">
        <w:tab/>
        <w:t>En relación con la prevención y combate de las ocupaciones ilegales de tierras indígenas y la protección de la vida e integridad de las personas indígenas y defensoras de derechos humanos, el Estado ha implementado acciones sostenidas, incluso en el marco de la Medida Cautelar MC-321-12 dictada por la Comisión Interamericana de Derechos Humanos, particularmente en los territorios indígenas de Térraba y Salitre, en el cantón de Buenos Aires. El Ministerio de Seguridad Pública ha desempeñado un rol activo mediante redes distritales con reuniones periódicas, patrullajes preventivos, atención de incidentes, coordinación interinstitucional con el Ministerio Público y el Organismo de Investigación Judicial, y la aplicación de un protocolo de atención de incidentes en comunidades indígenas. Como parte de estas acciones, se han desarrollado talleres de capacitación en derechos humanos de los pueblos indígenas para oficiales de la Fuerza Pública, incluyendo actividades realizadas en junio y julio de 2025 que capacitaron a 35 oficiales.</w:t>
      </w:r>
    </w:p>
    <w:p w14:paraId="7E5F35EC" w14:textId="77777777" w:rsidR="00CD7A71" w:rsidRPr="00CD7A71" w:rsidRDefault="00CD7A71" w:rsidP="00CD7A71">
      <w:pPr>
        <w:pStyle w:val="SingleTxtG"/>
      </w:pPr>
      <w:r w:rsidRPr="00CD7A71">
        <w:t>329.</w:t>
      </w:r>
      <w:r w:rsidRPr="00CD7A71">
        <w:tab/>
        <w:t xml:space="preserve">Asimismo, el Poder Judicial ha brindado un acompañamiento permanente, mediante visitas periódicas a los territorios indígenas, talleres con comunidades y líderes locales, seguimiento de denuncias e investigaciones, y la adopción de medidas de protección individualizadas, como parte de un acompañamiento constante y preventivo que no se limita a reaccionar ante emergencias. En este marco, se realizan visitas periódicas a personas defensoras de derechos humanos en situación de riesgo, incluyendo al líder indígena comunal </w:t>
      </w:r>
      <w:proofErr w:type="spellStart"/>
      <w:r w:rsidRPr="00CD7A71">
        <w:t>Brörán</w:t>
      </w:r>
      <w:proofErr w:type="spellEnd"/>
      <w:r w:rsidRPr="00CD7A71">
        <w:t xml:space="preserve"> y representante del grupo conocido como recuperadores del territorio de Térraba, como parte de las acciones de prevención y protección.</w:t>
      </w:r>
    </w:p>
    <w:p w14:paraId="19D89869" w14:textId="77777777" w:rsidR="00CD7A71" w:rsidRDefault="00CD7A71" w:rsidP="00CD7A71">
      <w:pPr>
        <w:pStyle w:val="SingleTxtG"/>
      </w:pPr>
      <w:r w:rsidRPr="00CD7A71">
        <w:t>330.</w:t>
      </w:r>
      <w:r w:rsidRPr="00CD7A71">
        <w:tab/>
        <w:t xml:space="preserve">Desde la Escuela Judicial se desarrollan procesos sostenidos de capacitación en derechos de los pueblos indígenas, incluyendo un plan anual sobre el acceso a la justicia dirigido primordialmente al personal judicial que atiende mayor población indígena, como en Buenos Aires y Pérez Zeledón. Estas acciones comprenden actividades formativas tales como el Módulo didáctico para la promoción de derechos humanos de los pueblos indígenas, el Foro sobre acceso a la justicia de pueblos indígenas y el curso sobre los pueblos y personas indígenas de Costa Rica.  </w:t>
      </w:r>
    </w:p>
    <w:p w14:paraId="49E69D2A" w14:textId="77777777" w:rsidR="00CD7A71" w:rsidRDefault="00CD7A71" w:rsidP="00CD7A71">
      <w:pPr>
        <w:pStyle w:val="SingleTxtG"/>
      </w:pPr>
      <w:r w:rsidRPr="00CD7A71">
        <w:t>331.</w:t>
      </w:r>
      <w:r w:rsidRPr="00CD7A71">
        <w:tab/>
        <w:t xml:space="preserve">Asimismo, se han impartido conferencias y talleres especializados sobre interpretación de idiomas indígenas, justicia restaurativa, resolución alternativa de conflictos, tribunales de derecho propio, aplicación de la normativa y jurisprudencia nacional e internacional.  </w:t>
      </w:r>
    </w:p>
    <w:p w14:paraId="336367EB" w14:textId="77777777" w:rsidR="00CD7A71" w:rsidRDefault="00CD7A71" w:rsidP="00CD7A71">
      <w:pPr>
        <w:pStyle w:val="SingleTxtG"/>
      </w:pPr>
      <w:r w:rsidRPr="00CD7A71">
        <w:t>332.</w:t>
      </w:r>
      <w:r w:rsidRPr="00CD7A71">
        <w:tab/>
        <w:t>Pese a los avances en capacitación, patrullaje y coordinación interinstitucional, persisten retos importantes como la limitada cooperación de algunas personas líderesas locales, y la necesidad de actualizar los planes de emergencia.</w:t>
      </w:r>
    </w:p>
    <w:p w14:paraId="2A946F9A" w14:textId="72D1E4DF" w:rsidR="00381C24" w:rsidRPr="00B32183" w:rsidRDefault="00CD7A71" w:rsidP="00CD7A71">
      <w:pPr>
        <w:pStyle w:val="SingleTxtG"/>
        <w:jc w:val="center"/>
        <w:rPr>
          <w:lang w:val="en-029"/>
        </w:rPr>
      </w:pPr>
      <w:r>
        <w:rPr>
          <w:lang w:val="en-029"/>
        </w:rPr>
        <w:t>__________</w:t>
      </w:r>
    </w:p>
    <w:sectPr w:rsidR="00381C24" w:rsidRPr="00B32183"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0BAF1" w14:textId="77777777" w:rsidR="008B64DE" w:rsidRDefault="008B64DE">
      <w:r>
        <w:separator/>
      </w:r>
    </w:p>
  </w:endnote>
  <w:endnote w:type="continuationSeparator" w:id="0">
    <w:p w14:paraId="28D47534" w14:textId="77777777" w:rsidR="008B64DE" w:rsidRDefault="008B6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EDDAD" w14:textId="77777777" w:rsidR="001A4396" w:rsidRPr="001A4396" w:rsidRDefault="008B64DE"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E4D82">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BDC7A" w14:textId="77777777" w:rsidR="001A4396" w:rsidRPr="001A4396" w:rsidRDefault="008B64DE"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70AE5">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EB271" w14:textId="77777777" w:rsidR="002D4172" w:rsidRDefault="008B64DE" w:rsidP="00521DC1">
    <w:pPr>
      <w:pStyle w:val="Footer"/>
      <w:rPr>
        <w:noProof/>
        <w:lang w:val="fr-FR" w:eastAsia="fr-FR"/>
      </w:rPr>
    </w:pPr>
    <w:r>
      <w:t>GE.</w:t>
    </w:r>
    <w:r>
      <w:rPr>
        <w:noProof/>
        <w:lang w:val="fr-FR" w:eastAsia="fr-FR"/>
      </w:rPr>
      <w:t xml:space="preserve"> </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5343E8" w14:paraId="1F152DA8" w14:textId="77777777" w:rsidTr="00303190">
      <w:tc>
        <w:tcPr>
          <w:tcW w:w="1848" w:type="dxa"/>
          <w:vAlign w:val="bottom"/>
          <w:hideMark/>
        </w:tcPr>
        <w:p w14:paraId="6D407DFA" w14:textId="77777777" w:rsidR="002D4172" w:rsidRPr="00754B77" w:rsidRDefault="008B64DE"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val="fr-CH" w:eastAsia="fr-CH"/>
            </w:rPr>
            <w:drawing>
              <wp:inline distT="0" distB="0" distL="0" distR="0" wp14:anchorId="0BF1B1A6" wp14:editId="5238F1CA">
                <wp:extent cx="10764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5E2DD36F"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0A8541D4" w14:textId="77777777" w:rsidR="00A86F80" w:rsidRPr="002A02C6" w:rsidRDefault="00A86F80"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AA329" w14:textId="77777777" w:rsidR="008B64DE" w:rsidRPr="001075E9" w:rsidRDefault="008B64DE" w:rsidP="001075E9">
      <w:pPr>
        <w:tabs>
          <w:tab w:val="right" w:pos="2155"/>
        </w:tabs>
        <w:spacing w:after="80" w:line="240" w:lineRule="auto"/>
        <w:ind w:left="680"/>
        <w:rPr>
          <w:u w:val="single"/>
        </w:rPr>
      </w:pPr>
      <w:r>
        <w:rPr>
          <w:u w:val="single"/>
        </w:rPr>
        <w:tab/>
      </w:r>
    </w:p>
  </w:footnote>
  <w:footnote w:type="continuationSeparator" w:id="0">
    <w:p w14:paraId="179FC8DB" w14:textId="77777777" w:rsidR="008B64DE" w:rsidRDefault="008B64DE" w:rsidP="00407B78">
      <w:pPr>
        <w:tabs>
          <w:tab w:val="right" w:pos="2155"/>
        </w:tabs>
        <w:spacing w:after="80"/>
        <w:ind w:left="680"/>
        <w:rPr>
          <w:u w:val="single"/>
        </w:rPr>
      </w:pPr>
      <w:r>
        <w:rPr>
          <w:u w:val="single"/>
        </w:rPr>
        <w:tab/>
      </w:r>
    </w:p>
  </w:footnote>
  <w:footnote w:id="1">
    <w:p w14:paraId="6DA0ACF8" w14:textId="77777777" w:rsidR="00A7074A" w:rsidRPr="005236F5" w:rsidRDefault="008B64DE" w:rsidP="00A7074A">
      <w:pPr>
        <w:pStyle w:val="FootnoteText"/>
        <w:rPr>
          <w:sz w:val="20"/>
        </w:rPr>
      </w:pPr>
      <w:r>
        <w:tab/>
      </w:r>
      <w:r w:rsidRPr="005236F5">
        <w:rPr>
          <w:rStyle w:val="FootnoteReference"/>
          <w:sz w:val="20"/>
          <w:vertAlign w:val="baseline"/>
        </w:rPr>
        <w:t>*</w:t>
      </w:r>
      <w:r w:rsidRPr="005236F5">
        <w:rPr>
          <w:rStyle w:val="FootnoteReference"/>
          <w:vertAlign w:val="baseline"/>
        </w:rPr>
        <w:tab/>
      </w:r>
      <w:r w:rsidRPr="005236F5">
        <w:rPr>
          <w:lang w:val="es-ES_tradnl"/>
        </w:rPr>
        <w:t>El presente documento se publica sin haber sido objeto de revisión editorial oficial.</w:t>
      </w:r>
    </w:p>
  </w:footnote>
  <w:footnote w:id="2">
    <w:p w14:paraId="48189716" w14:textId="0427F323" w:rsidR="00A7074A" w:rsidRPr="005236F5" w:rsidRDefault="008B64DE" w:rsidP="00A7074A">
      <w:pPr>
        <w:pStyle w:val="FootnoteText"/>
        <w:rPr>
          <w:sz w:val="20"/>
        </w:rPr>
      </w:pPr>
      <w:r>
        <w:tab/>
      </w:r>
      <w:r w:rsidRPr="005236F5">
        <w:rPr>
          <w:rStyle w:val="FootnoteReference"/>
          <w:sz w:val="20"/>
          <w:vertAlign w:val="baseline"/>
        </w:rPr>
        <w:t>**</w:t>
      </w:r>
      <w:r w:rsidRPr="005236F5">
        <w:rPr>
          <w:rStyle w:val="FootnoteReference"/>
          <w:vertAlign w:val="baseline"/>
        </w:rPr>
        <w:tab/>
      </w:r>
      <w:r w:rsidRPr="00A10106">
        <w:rPr>
          <w:lang w:val="es-ES_tradnl"/>
        </w:rPr>
        <w:t>E</w:t>
      </w:r>
      <w:r>
        <w:rPr>
          <w:lang w:val="es-ES_tradnl"/>
        </w:rPr>
        <w:t>ste</w:t>
      </w:r>
      <w:r w:rsidRPr="00A10106">
        <w:rPr>
          <w:lang w:val="es-ES_tradnl"/>
        </w:rPr>
        <w:t xml:space="preserve"> documento </w:t>
      </w:r>
      <w:r>
        <w:rPr>
          <w:lang w:val="es-ES_tradnl"/>
        </w:rPr>
        <w:t>se</w:t>
      </w:r>
      <w:r w:rsidRPr="00A10106">
        <w:rPr>
          <w:lang w:val="es-ES_tradnl"/>
        </w:rPr>
        <w:t xml:space="preserve"> present</w:t>
      </w:r>
      <w:r>
        <w:rPr>
          <w:lang w:val="es-ES_tradnl"/>
        </w:rPr>
        <w:t>ó</w:t>
      </w:r>
      <w:r w:rsidRPr="00A10106">
        <w:rPr>
          <w:lang w:val="es-ES_tradnl"/>
        </w:rPr>
        <w:t xml:space="preserve"> de conformidad con el procedimiento simplificado de presentación de informes. </w:t>
      </w:r>
      <w:r>
        <w:rPr>
          <w:lang w:val="es-ES_tradnl"/>
        </w:rPr>
        <w:t>Contiene</w:t>
      </w:r>
      <w:r w:rsidRPr="00B37E06">
        <w:rPr>
          <w:lang w:val="es-ES_tradnl"/>
        </w:rPr>
        <w:t xml:space="preserve"> las respuestas </w:t>
      </w:r>
      <w:r>
        <w:rPr>
          <w:lang w:val="es-ES_tradnl"/>
        </w:rPr>
        <w:t xml:space="preserve">del Estado parte </w:t>
      </w:r>
      <w:r w:rsidRPr="00B37E06">
        <w:rPr>
          <w:lang w:val="es-ES_tradnl"/>
        </w:rPr>
        <w:t>a la lista de cuestiones previa</w:t>
      </w:r>
      <w:r>
        <w:rPr>
          <w:lang w:val="es-ES_tradnl"/>
        </w:rPr>
        <w:t xml:space="preserve"> a la presentación del informe preparada por el Comité </w:t>
      </w:r>
      <w:r w:rsidRPr="00B32183">
        <w:rPr>
          <w:lang w:val="es-ES_tradnl"/>
        </w:rPr>
        <w:t>(</w:t>
      </w:r>
      <w:hyperlink r:id="rId1" w:history="1">
        <w:r w:rsidRPr="00B32183">
          <w:rPr>
            <w:rStyle w:val="Hyperlink"/>
          </w:rPr>
          <w:t>CCPR/C/</w:t>
        </w:r>
        <w:r w:rsidR="00B32183" w:rsidRPr="00B32183">
          <w:rPr>
            <w:rStyle w:val="Hyperlink"/>
          </w:rPr>
          <w:t>C</w:t>
        </w:r>
        <w:r w:rsidR="00B32183" w:rsidRPr="00B32183">
          <w:rPr>
            <w:rStyle w:val="Hyperlink"/>
          </w:rPr>
          <w:t>R</w:t>
        </w:r>
        <w:r w:rsidR="00B32183" w:rsidRPr="00B32183">
          <w:rPr>
            <w:rStyle w:val="Hyperlink"/>
          </w:rPr>
          <w:t>I</w:t>
        </w:r>
        <w:r w:rsidRPr="00B32183">
          <w:rPr>
            <w:rStyle w:val="Hyperlink"/>
          </w:rPr>
          <w:t>/QPR/</w:t>
        </w:r>
        <w:r w:rsidR="00B32183" w:rsidRPr="00B32183">
          <w:rPr>
            <w:rStyle w:val="Hyperlink"/>
          </w:rPr>
          <w:t>7</w:t>
        </w:r>
      </w:hyperlink>
      <w:r w:rsidRPr="00B32183">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FB614" w14:textId="77777777" w:rsidR="001A4396" w:rsidRPr="001A4396" w:rsidRDefault="00970AE5">
    <w:pPr>
      <w:pStyle w:val="Header"/>
    </w:pPr>
    <w:r>
      <w:t>CCPR/C/CRI/7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0010A" w14:textId="77777777" w:rsidR="001A4396" w:rsidRPr="00935A0B" w:rsidRDefault="00970AE5" w:rsidP="00935A0B">
    <w:pPr>
      <w:pStyle w:val="Header"/>
      <w:jc w:val="right"/>
      <w:rPr>
        <w:u w:val="double"/>
      </w:rPr>
    </w:pPr>
    <w:r>
      <w:t>CCPR/C/CRI/7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A484EF6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C0665B0" w:tentative="1">
      <w:start w:val="1"/>
      <w:numFmt w:val="lowerLetter"/>
      <w:lvlText w:val="%2."/>
      <w:lvlJc w:val="left"/>
      <w:pPr>
        <w:tabs>
          <w:tab w:val="num" w:pos="1440"/>
        </w:tabs>
        <w:ind w:left="1440" w:hanging="360"/>
      </w:pPr>
    </w:lvl>
    <w:lvl w:ilvl="2" w:tplc="768417E2" w:tentative="1">
      <w:start w:val="1"/>
      <w:numFmt w:val="lowerRoman"/>
      <w:lvlText w:val="%3."/>
      <w:lvlJc w:val="right"/>
      <w:pPr>
        <w:tabs>
          <w:tab w:val="num" w:pos="2160"/>
        </w:tabs>
        <w:ind w:left="2160" w:hanging="180"/>
      </w:pPr>
    </w:lvl>
    <w:lvl w:ilvl="3" w:tplc="A0902086" w:tentative="1">
      <w:start w:val="1"/>
      <w:numFmt w:val="decimal"/>
      <w:lvlText w:val="%4."/>
      <w:lvlJc w:val="left"/>
      <w:pPr>
        <w:tabs>
          <w:tab w:val="num" w:pos="2880"/>
        </w:tabs>
        <w:ind w:left="2880" w:hanging="360"/>
      </w:pPr>
    </w:lvl>
    <w:lvl w:ilvl="4" w:tplc="15863B02" w:tentative="1">
      <w:start w:val="1"/>
      <w:numFmt w:val="lowerLetter"/>
      <w:lvlText w:val="%5."/>
      <w:lvlJc w:val="left"/>
      <w:pPr>
        <w:tabs>
          <w:tab w:val="num" w:pos="3600"/>
        </w:tabs>
        <w:ind w:left="3600" w:hanging="360"/>
      </w:pPr>
    </w:lvl>
    <w:lvl w:ilvl="5" w:tplc="247ABB12" w:tentative="1">
      <w:start w:val="1"/>
      <w:numFmt w:val="lowerRoman"/>
      <w:lvlText w:val="%6."/>
      <w:lvlJc w:val="right"/>
      <w:pPr>
        <w:tabs>
          <w:tab w:val="num" w:pos="4320"/>
        </w:tabs>
        <w:ind w:left="4320" w:hanging="180"/>
      </w:pPr>
    </w:lvl>
    <w:lvl w:ilvl="6" w:tplc="5024DED8" w:tentative="1">
      <w:start w:val="1"/>
      <w:numFmt w:val="decimal"/>
      <w:lvlText w:val="%7."/>
      <w:lvlJc w:val="left"/>
      <w:pPr>
        <w:tabs>
          <w:tab w:val="num" w:pos="5040"/>
        </w:tabs>
        <w:ind w:left="5040" w:hanging="360"/>
      </w:pPr>
    </w:lvl>
    <w:lvl w:ilvl="7" w:tplc="835CD738" w:tentative="1">
      <w:start w:val="1"/>
      <w:numFmt w:val="lowerLetter"/>
      <w:lvlText w:val="%8."/>
      <w:lvlJc w:val="left"/>
      <w:pPr>
        <w:tabs>
          <w:tab w:val="num" w:pos="5760"/>
        </w:tabs>
        <w:ind w:left="5760" w:hanging="360"/>
      </w:pPr>
    </w:lvl>
    <w:lvl w:ilvl="8" w:tplc="06B80F4A"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C166DF4C">
      <w:start w:val="1"/>
      <w:numFmt w:val="bullet"/>
      <w:pStyle w:val="Bullet2G"/>
      <w:lvlText w:val="•"/>
      <w:lvlJc w:val="left"/>
      <w:pPr>
        <w:tabs>
          <w:tab w:val="num" w:pos="2268"/>
        </w:tabs>
        <w:ind w:left="2268" w:hanging="170"/>
      </w:pPr>
      <w:rPr>
        <w:rFonts w:ascii="Times New Roman" w:hAnsi="Times New Roman" w:cs="Times New Roman" w:hint="default"/>
      </w:rPr>
    </w:lvl>
    <w:lvl w:ilvl="1" w:tplc="0032F156" w:tentative="1">
      <w:start w:val="1"/>
      <w:numFmt w:val="bullet"/>
      <w:lvlText w:val="o"/>
      <w:lvlJc w:val="left"/>
      <w:pPr>
        <w:tabs>
          <w:tab w:val="num" w:pos="1440"/>
        </w:tabs>
        <w:ind w:left="1440" w:hanging="360"/>
      </w:pPr>
      <w:rPr>
        <w:rFonts w:ascii="Courier New" w:hAnsi="Courier New" w:hint="default"/>
      </w:rPr>
    </w:lvl>
    <w:lvl w:ilvl="2" w:tplc="FFB45888" w:tentative="1">
      <w:start w:val="1"/>
      <w:numFmt w:val="bullet"/>
      <w:lvlText w:val=""/>
      <w:lvlJc w:val="left"/>
      <w:pPr>
        <w:tabs>
          <w:tab w:val="num" w:pos="2160"/>
        </w:tabs>
        <w:ind w:left="2160" w:hanging="360"/>
      </w:pPr>
      <w:rPr>
        <w:rFonts w:ascii="Wingdings" w:hAnsi="Wingdings" w:hint="default"/>
      </w:rPr>
    </w:lvl>
    <w:lvl w:ilvl="3" w:tplc="BCEA14C2" w:tentative="1">
      <w:start w:val="1"/>
      <w:numFmt w:val="bullet"/>
      <w:lvlText w:val=""/>
      <w:lvlJc w:val="left"/>
      <w:pPr>
        <w:tabs>
          <w:tab w:val="num" w:pos="2880"/>
        </w:tabs>
        <w:ind w:left="2880" w:hanging="360"/>
      </w:pPr>
      <w:rPr>
        <w:rFonts w:ascii="Symbol" w:hAnsi="Symbol" w:hint="default"/>
      </w:rPr>
    </w:lvl>
    <w:lvl w:ilvl="4" w:tplc="C32887BC" w:tentative="1">
      <w:start w:val="1"/>
      <w:numFmt w:val="bullet"/>
      <w:lvlText w:val="o"/>
      <w:lvlJc w:val="left"/>
      <w:pPr>
        <w:tabs>
          <w:tab w:val="num" w:pos="3600"/>
        </w:tabs>
        <w:ind w:left="3600" w:hanging="360"/>
      </w:pPr>
      <w:rPr>
        <w:rFonts w:ascii="Courier New" w:hAnsi="Courier New" w:hint="default"/>
      </w:rPr>
    </w:lvl>
    <w:lvl w:ilvl="5" w:tplc="CEA87B70" w:tentative="1">
      <w:start w:val="1"/>
      <w:numFmt w:val="bullet"/>
      <w:lvlText w:val=""/>
      <w:lvlJc w:val="left"/>
      <w:pPr>
        <w:tabs>
          <w:tab w:val="num" w:pos="4320"/>
        </w:tabs>
        <w:ind w:left="4320" w:hanging="360"/>
      </w:pPr>
      <w:rPr>
        <w:rFonts w:ascii="Wingdings" w:hAnsi="Wingdings" w:hint="default"/>
      </w:rPr>
    </w:lvl>
    <w:lvl w:ilvl="6" w:tplc="0A468640" w:tentative="1">
      <w:start w:val="1"/>
      <w:numFmt w:val="bullet"/>
      <w:lvlText w:val=""/>
      <w:lvlJc w:val="left"/>
      <w:pPr>
        <w:tabs>
          <w:tab w:val="num" w:pos="5040"/>
        </w:tabs>
        <w:ind w:left="5040" w:hanging="360"/>
      </w:pPr>
      <w:rPr>
        <w:rFonts w:ascii="Symbol" w:hAnsi="Symbol" w:hint="default"/>
      </w:rPr>
    </w:lvl>
    <w:lvl w:ilvl="7" w:tplc="C3064544" w:tentative="1">
      <w:start w:val="1"/>
      <w:numFmt w:val="bullet"/>
      <w:lvlText w:val="o"/>
      <w:lvlJc w:val="left"/>
      <w:pPr>
        <w:tabs>
          <w:tab w:val="num" w:pos="5760"/>
        </w:tabs>
        <w:ind w:left="5760" w:hanging="360"/>
      </w:pPr>
      <w:rPr>
        <w:rFonts w:ascii="Courier New" w:hAnsi="Courier New" w:hint="default"/>
      </w:rPr>
    </w:lvl>
    <w:lvl w:ilvl="8" w:tplc="C38EC31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FF503DAC">
      <w:start w:val="1"/>
      <w:numFmt w:val="bullet"/>
      <w:pStyle w:val="Bullet1G"/>
      <w:lvlText w:val="•"/>
      <w:lvlJc w:val="left"/>
      <w:pPr>
        <w:tabs>
          <w:tab w:val="num" w:pos="1701"/>
        </w:tabs>
        <w:ind w:left="1701" w:hanging="170"/>
      </w:pPr>
      <w:rPr>
        <w:rFonts w:ascii="Times New Roman" w:hAnsi="Times New Roman" w:cs="Times New Roman" w:hint="default"/>
      </w:rPr>
    </w:lvl>
    <w:lvl w:ilvl="1" w:tplc="77CAE0D2" w:tentative="1">
      <w:start w:val="1"/>
      <w:numFmt w:val="bullet"/>
      <w:lvlText w:val="o"/>
      <w:lvlJc w:val="left"/>
      <w:pPr>
        <w:tabs>
          <w:tab w:val="num" w:pos="1440"/>
        </w:tabs>
        <w:ind w:left="1440" w:hanging="360"/>
      </w:pPr>
      <w:rPr>
        <w:rFonts w:ascii="Courier New" w:hAnsi="Courier New" w:hint="default"/>
      </w:rPr>
    </w:lvl>
    <w:lvl w:ilvl="2" w:tplc="93B29BE2" w:tentative="1">
      <w:start w:val="1"/>
      <w:numFmt w:val="bullet"/>
      <w:lvlText w:val=""/>
      <w:lvlJc w:val="left"/>
      <w:pPr>
        <w:tabs>
          <w:tab w:val="num" w:pos="2160"/>
        </w:tabs>
        <w:ind w:left="2160" w:hanging="360"/>
      </w:pPr>
      <w:rPr>
        <w:rFonts w:ascii="Wingdings" w:hAnsi="Wingdings" w:hint="default"/>
      </w:rPr>
    </w:lvl>
    <w:lvl w:ilvl="3" w:tplc="A5009606" w:tentative="1">
      <w:start w:val="1"/>
      <w:numFmt w:val="bullet"/>
      <w:lvlText w:val=""/>
      <w:lvlJc w:val="left"/>
      <w:pPr>
        <w:tabs>
          <w:tab w:val="num" w:pos="2880"/>
        </w:tabs>
        <w:ind w:left="2880" w:hanging="360"/>
      </w:pPr>
      <w:rPr>
        <w:rFonts w:ascii="Symbol" w:hAnsi="Symbol" w:hint="default"/>
      </w:rPr>
    </w:lvl>
    <w:lvl w:ilvl="4" w:tplc="CCE89FE4" w:tentative="1">
      <w:start w:val="1"/>
      <w:numFmt w:val="bullet"/>
      <w:lvlText w:val="o"/>
      <w:lvlJc w:val="left"/>
      <w:pPr>
        <w:tabs>
          <w:tab w:val="num" w:pos="3600"/>
        </w:tabs>
        <w:ind w:left="3600" w:hanging="360"/>
      </w:pPr>
      <w:rPr>
        <w:rFonts w:ascii="Courier New" w:hAnsi="Courier New" w:hint="default"/>
      </w:rPr>
    </w:lvl>
    <w:lvl w:ilvl="5" w:tplc="593CCF7C" w:tentative="1">
      <w:start w:val="1"/>
      <w:numFmt w:val="bullet"/>
      <w:lvlText w:val=""/>
      <w:lvlJc w:val="left"/>
      <w:pPr>
        <w:tabs>
          <w:tab w:val="num" w:pos="4320"/>
        </w:tabs>
        <w:ind w:left="4320" w:hanging="360"/>
      </w:pPr>
      <w:rPr>
        <w:rFonts w:ascii="Wingdings" w:hAnsi="Wingdings" w:hint="default"/>
      </w:rPr>
    </w:lvl>
    <w:lvl w:ilvl="6" w:tplc="45CAE370" w:tentative="1">
      <w:start w:val="1"/>
      <w:numFmt w:val="bullet"/>
      <w:lvlText w:val=""/>
      <w:lvlJc w:val="left"/>
      <w:pPr>
        <w:tabs>
          <w:tab w:val="num" w:pos="5040"/>
        </w:tabs>
        <w:ind w:left="5040" w:hanging="360"/>
      </w:pPr>
      <w:rPr>
        <w:rFonts w:ascii="Symbol" w:hAnsi="Symbol" w:hint="default"/>
      </w:rPr>
    </w:lvl>
    <w:lvl w:ilvl="7" w:tplc="E18C432E" w:tentative="1">
      <w:start w:val="1"/>
      <w:numFmt w:val="bullet"/>
      <w:lvlText w:val="o"/>
      <w:lvlJc w:val="left"/>
      <w:pPr>
        <w:tabs>
          <w:tab w:val="num" w:pos="5760"/>
        </w:tabs>
        <w:ind w:left="5760" w:hanging="360"/>
      </w:pPr>
      <w:rPr>
        <w:rFonts w:ascii="Courier New" w:hAnsi="Courier New" w:hint="default"/>
      </w:rPr>
    </w:lvl>
    <w:lvl w:ilvl="8" w:tplc="B830828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24286980">
    <w:abstractNumId w:val="13"/>
  </w:num>
  <w:num w:numId="2" w16cid:durableId="850266276">
    <w:abstractNumId w:val="11"/>
  </w:num>
  <w:num w:numId="3" w16cid:durableId="869955424">
    <w:abstractNumId w:val="15"/>
  </w:num>
  <w:num w:numId="4" w16cid:durableId="306016738">
    <w:abstractNumId w:val="14"/>
  </w:num>
  <w:num w:numId="5" w16cid:durableId="1969847941">
    <w:abstractNumId w:val="12"/>
  </w:num>
  <w:num w:numId="6" w16cid:durableId="1431731225">
    <w:abstractNumId w:val="8"/>
  </w:num>
  <w:num w:numId="7" w16cid:durableId="496727202">
    <w:abstractNumId w:val="3"/>
  </w:num>
  <w:num w:numId="8" w16cid:durableId="1696269605">
    <w:abstractNumId w:val="2"/>
  </w:num>
  <w:num w:numId="9" w16cid:durableId="1308508688">
    <w:abstractNumId w:val="1"/>
  </w:num>
  <w:num w:numId="10" w16cid:durableId="136263535">
    <w:abstractNumId w:val="0"/>
  </w:num>
  <w:num w:numId="11" w16cid:durableId="1794400778">
    <w:abstractNumId w:val="9"/>
  </w:num>
  <w:num w:numId="12" w16cid:durableId="1640723181">
    <w:abstractNumId w:val="7"/>
  </w:num>
  <w:num w:numId="13" w16cid:durableId="1812601559">
    <w:abstractNumId w:val="6"/>
  </w:num>
  <w:num w:numId="14" w16cid:durableId="1244219568">
    <w:abstractNumId w:val="5"/>
  </w:num>
  <w:num w:numId="15" w16cid:durableId="1875389615">
    <w:abstractNumId w:val="4"/>
  </w:num>
  <w:num w:numId="16" w16cid:durableId="1409769271">
    <w:abstractNumId w:val="13"/>
  </w:num>
  <w:num w:numId="17" w16cid:durableId="1845315867">
    <w:abstractNumId w:val="11"/>
  </w:num>
  <w:num w:numId="18" w16cid:durableId="2069528206">
    <w:abstractNumId w:val="15"/>
  </w:num>
  <w:num w:numId="19" w16cid:durableId="748691984">
    <w:abstractNumId w:val="14"/>
  </w:num>
  <w:num w:numId="20" w16cid:durableId="1357124218">
    <w:abstractNumId w:val="12"/>
  </w:num>
  <w:num w:numId="21" w16cid:durableId="949358886">
    <w:abstractNumId w:val="8"/>
  </w:num>
  <w:num w:numId="22" w16cid:durableId="339967636">
    <w:abstractNumId w:val="3"/>
  </w:num>
  <w:num w:numId="23" w16cid:durableId="70467319">
    <w:abstractNumId w:val="2"/>
  </w:num>
  <w:num w:numId="24" w16cid:durableId="937299915">
    <w:abstractNumId w:val="1"/>
  </w:num>
  <w:num w:numId="25" w16cid:durableId="2079666080">
    <w:abstractNumId w:val="0"/>
  </w:num>
  <w:num w:numId="26" w16cid:durableId="706491806">
    <w:abstractNumId w:val="9"/>
  </w:num>
  <w:num w:numId="27" w16cid:durableId="321661695">
    <w:abstractNumId w:val="7"/>
  </w:num>
  <w:num w:numId="28" w16cid:durableId="1640380754">
    <w:abstractNumId w:val="6"/>
  </w:num>
  <w:num w:numId="29" w16cid:durableId="1809738210">
    <w:abstractNumId w:val="5"/>
  </w:num>
  <w:num w:numId="30" w16cid:durableId="1543252250">
    <w:abstractNumId w:val="4"/>
  </w:num>
  <w:num w:numId="31" w16cid:durableId="1682202928">
    <w:abstractNumId w:val="10"/>
  </w:num>
  <w:num w:numId="32" w16cid:durableId="15488528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hyphenationZone w:val="425"/>
  <w:doNotHyphenateCaps/>
  <w:evenAndOddHeaders/>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203BF"/>
    <w:rsid w:val="00033EE1"/>
    <w:rsid w:val="0003500C"/>
    <w:rsid w:val="00042B72"/>
    <w:rsid w:val="000558BD"/>
    <w:rsid w:val="00075E5D"/>
    <w:rsid w:val="000B3567"/>
    <w:rsid w:val="000B57E7"/>
    <w:rsid w:val="000B6373"/>
    <w:rsid w:val="000D3664"/>
    <w:rsid w:val="000F09DF"/>
    <w:rsid w:val="000F3170"/>
    <w:rsid w:val="000F61B2"/>
    <w:rsid w:val="001075E9"/>
    <w:rsid w:val="00180183"/>
    <w:rsid w:val="0018024D"/>
    <w:rsid w:val="0018649F"/>
    <w:rsid w:val="00196389"/>
    <w:rsid w:val="001A4396"/>
    <w:rsid w:val="001B3EF6"/>
    <w:rsid w:val="001C7A89"/>
    <w:rsid w:val="001F7425"/>
    <w:rsid w:val="002872D4"/>
    <w:rsid w:val="002A02C6"/>
    <w:rsid w:val="002A2EFC"/>
    <w:rsid w:val="002C0E18"/>
    <w:rsid w:val="002D4172"/>
    <w:rsid w:val="002D5AAC"/>
    <w:rsid w:val="002F405F"/>
    <w:rsid w:val="00301299"/>
    <w:rsid w:val="00307FB6"/>
    <w:rsid w:val="00317339"/>
    <w:rsid w:val="00322004"/>
    <w:rsid w:val="003402C2"/>
    <w:rsid w:val="00347142"/>
    <w:rsid w:val="00356166"/>
    <w:rsid w:val="00376E4E"/>
    <w:rsid w:val="00381C24"/>
    <w:rsid w:val="003958D0"/>
    <w:rsid w:val="003A3CE4"/>
    <w:rsid w:val="003B00E5"/>
    <w:rsid w:val="003B2CB9"/>
    <w:rsid w:val="003D3526"/>
    <w:rsid w:val="003E0332"/>
    <w:rsid w:val="003F43D1"/>
    <w:rsid w:val="003F6FF0"/>
    <w:rsid w:val="00407B78"/>
    <w:rsid w:val="00424203"/>
    <w:rsid w:val="004452DE"/>
    <w:rsid w:val="00454E07"/>
    <w:rsid w:val="00457A5F"/>
    <w:rsid w:val="004D1828"/>
    <w:rsid w:val="004E4D82"/>
    <w:rsid w:val="0050108D"/>
    <w:rsid w:val="00513081"/>
    <w:rsid w:val="00517901"/>
    <w:rsid w:val="00521DC1"/>
    <w:rsid w:val="005236F5"/>
    <w:rsid w:val="00526683"/>
    <w:rsid w:val="005343E8"/>
    <w:rsid w:val="005709E0"/>
    <w:rsid w:val="00572E19"/>
    <w:rsid w:val="005961C8"/>
    <w:rsid w:val="005B1BB6"/>
    <w:rsid w:val="005D6774"/>
    <w:rsid w:val="005D7914"/>
    <w:rsid w:val="005F0B42"/>
    <w:rsid w:val="00615628"/>
    <w:rsid w:val="00621949"/>
    <w:rsid w:val="006733B3"/>
    <w:rsid w:val="00681A10"/>
    <w:rsid w:val="006C2031"/>
    <w:rsid w:val="006D461A"/>
    <w:rsid w:val="006D77FE"/>
    <w:rsid w:val="006F35EE"/>
    <w:rsid w:val="007021FF"/>
    <w:rsid w:val="00712895"/>
    <w:rsid w:val="00754B77"/>
    <w:rsid w:val="00757357"/>
    <w:rsid w:val="007C0306"/>
    <w:rsid w:val="007C333F"/>
    <w:rsid w:val="007E072F"/>
    <w:rsid w:val="007E2EEE"/>
    <w:rsid w:val="007F4F13"/>
    <w:rsid w:val="00805D1C"/>
    <w:rsid w:val="00825F8D"/>
    <w:rsid w:val="00832E63"/>
    <w:rsid w:val="00834B71"/>
    <w:rsid w:val="00841CBA"/>
    <w:rsid w:val="0086445C"/>
    <w:rsid w:val="00894693"/>
    <w:rsid w:val="008A08D7"/>
    <w:rsid w:val="008B64DE"/>
    <w:rsid w:val="008B6909"/>
    <w:rsid w:val="00906890"/>
    <w:rsid w:val="00911BE4"/>
    <w:rsid w:val="00927B9D"/>
    <w:rsid w:val="00935A0B"/>
    <w:rsid w:val="00951972"/>
    <w:rsid w:val="00953B31"/>
    <w:rsid w:val="009608F3"/>
    <w:rsid w:val="00970AE5"/>
    <w:rsid w:val="009713F0"/>
    <w:rsid w:val="009D28EB"/>
    <w:rsid w:val="00A0507F"/>
    <w:rsid w:val="00A10106"/>
    <w:rsid w:val="00A17804"/>
    <w:rsid w:val="00A32382"/>
    <w:rsid w:val="00A44B2D"/>
    <w:rsid w:val="00A7074A"/>
    <w:rsid w:val="00A84021"/>
    <w:rsid w:val="00A86F80"/>
    <w:rsid w:val="00A90C2B"/>
    <w:rsid w:val="00A917B3"/>
    <w:rsid w:val="00AB4B51"/>
    <w:rsid w:val="00AE5F3B"/>
    <w:rsid w:val="00B10CC7"/>
    <w:rsid w:val="00B32183"/>
    <w:rsid w:val="00B37E06"/>
    <w:rsid w:val="00B539E7"/>
    <w:rsid w:val="00B563EB"/>
    <w:rsid w:val="00B62458"/>
    <w:rsid w:val="00B80A93"/>
    <w:rsid w:val="00BD33EE"/>
    <w:rsid w:val="00BF2E5C"/>
    <w:rsid w:val="00BF5E1E"/>
    <w:rsid w:val="00C106D6"/>
    <w:rsid w:val="00C60F0C"/>
    <w:rsid w:val="00C805C9"/>
    <w:rsid w:val="00C92939"/>
    <w:rsid w:val="00CA1679"/>
    <w:rsid w:val="00CB151C"/>
    <w:rsid w:val="00CB242B"/>
    <w:rsid w:val="00CD7A71"/>
    <w:rsid w:val="00CE5A1A"/>
    <w:rsid w:val="00CF55F6"/>
    <w:rsid w:val="00D04407"/>
    <w:rsid w:val="00D33D63"/>
    <w:rsid w:val="00D4778E"/>
    <w:rsid w:val="00D82740"/>
    <w:rsid w:val="00D90138"/>
    <w:rsid w:val="00DB34FA"/>
    <w:rsid w:val="00E31CF9"/>
    <w:rsid w:val="00E56EE3"/>
    <w:rsid w:val="00E73F76"/>
    <w:rsid w:val="00E86371"/>
    <w:rsid w:val="00E927DF"/>
    <w:rsid w:val="00EA2C9F"/>
    <w:rsid w:val="00EB2B7E"/>
    <w:rsid w:val="00ED0BDA"/>
    <w:rsid w:val="00ED3749"/>
    <w:rsid w:val="00EE7654"/>
    <w:rsid w:val="00EF1360"/>
    <w:rsid w:val="00EF3220"/>
    <w:rsid w:val="00F43810"/>
    <w:rsid w:val="00F63772"/>
    <w:rsid w:val="00F76A49"/>
    <w:rsid w:val="00F9377E"/>
    <w:rsid w:val="00F94155"/>
    <w:rsid w:val="00FA028D"/>
    <w:rsid w:val="00FD234F"/>
    <w:rsid w:val="00FD2EF7"/>
    <w:rsid w:val="00FE0F0D"/>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79E95"/>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Heading1">
    <w:name w:val="heading 1"/>
    <w:aliases w:val="Cuadro_G"/>
    <w:basedOn w:val="SingleTxtG"/>
    <w:next w:val="SingleTxtG"/>
    <w:link w:val="Heading1Ch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521DC1"/>
    <w:pPr>
      <w:keepNext/>
      <w:outlineLvl w:val="1"/>
    </w:pPr>
    <w:rPr>
      <w:rFonts w:cs="Arial"/>
      <w:bCs/>
      <w:iCs/>
      <w:szCs w:val="28"/>
    </w:rPr>
  </w:style>
  <w:style w:type="paragraph" w:styleId="Heading3">
    <w:name w:val="heading 3"/>
    <w:basedOn w:val="Normal"/>
    <w:next w:val="Normal"/>
    <w:semiHidden/>
    <w:rsid w:val="00521DC1"/>
    <w:pPr>
      <w:keepNext/>
      <w:spacing w:before="240" w:after="60"/>
      <w:outlineLvl w:val="2"/>
    </w:pPr>
    <w:rPr>
      <w:rFonts w:ascii="Arial" w:hAnsi="Arial" w:cs="Arial"/>
      <w:b/>
      <w:bCs/>
      <w:sz w:val="26"/>
      <w:szCs w:val="26"/>
    </w:rPr>
  </w:style>
  <w:style w:type="paragraph" w:styleId="Heading4">
    <w:name w:val="heading 4"/>
    <w:basedOn w:val="Normal"/>
    <w:next w:val="Normal"/>
    <w:semiHidden/>
    <w:rsid w:val="00521DC1"/>
    <w:pPr>
      <w:keepNext/>
      <w:spacing w:before="240" w:after="60"/>
      <w:outlineLvl w:val="3"/>
    </w:pPr>
    <w:rPr>
      <w:b/>
      <w:bCs/>
      <w:sz w:val="28"/>
      <w:szCs w:val="28"/>
    </w:rPr>
  </w:style>
  <w:style w:type="paragraph" w:styleId="Heading5">
    <w:name w:val="heading 5"/>
    <w:basedOn w:val="Normal"/>
    <w:next w:val="Normal"/>
    <w:semiHidden/>
    <w:rsid w:val="00521DC1"/>
    <w:pPr>
      <w:spacing w:before="240" w:after="60"/>
      <w:outlineLvl w:val="4"/>
    </w:pPr>
    <w:rPr>
      <w:b/>
      <w:bCs/>
      <w:i/>
      <w:iCs/>
      <w:sz w:val="26"/>
      <w:szCs w:val="26"/>
    </w:rPr>
  </w:style>
  <w:style w:type="paragraph" w:styleId="Heading6">
    <w:name w:val="heading 6"/>
    <w:basedOn w:val="Normal"/>
    <w:next w:val="Normal"/>
    <w:semiHidden/>
    <w:rsid w:val="00521DC1"/>
    <w:pPr>
      <w:spacing w:before="240" w:after="60"/>
      <w:outlineLvl w:val="5"/>
    </w:pPr>
    <w:rPr>
      <w:b/>
      <w:bCs/>
      <w:sz w:val="22"/>
      <w:szCs w:val="22"/>
    </w:rPr>
  </w:style>
  <w:style w:type="paragraph" w:styleId="Heading7">
    <w:name w:val="heading 7"/>
    <w:basedOn w:val="Normal"/>
    <w:next w:val="Normal"/>
    <w:semiHidden/>
    <w:rsid w:val="00521DC1"/>
    <w:pPr>
      <w:spacing w:before="240" w:after="60"/>
      <w:outlineLvl w:val="6"/>
    </w:pPr>
    <w:rPr>
      <w:sz w:val="24"/>
      <w:szCs w:val="24"/>
    </w:rPr>
  </w:style>
  <w:style w:type="paragraph" w:styleId="Heading8">
    <w:name w:val="heading 8"/>
    <w:basedOn w:val="Normal"/>
    <w:next w:val="Normal"/>
    <w:semiHidden/>
    <w:rsid w:val="00521DC1"/>
    <w:pPr>
      <w:spacing w:before="240" w:after="60"/>
      <w:outlineLvl w:val="7"/>
    </w:pPr>
    <w:rPr>
      <w:i/>
      <w:iCs/>
      <w:sz w:val="24"/>
      <w:szCs w:val="24"/>
    </w:rPr>
  </w:style>
  <w:style w:type="paragraph" w:styleId="Heading9">
    <w:name w:val="heading 9"/>
    <w:basedOn w:val="Normal"/>
    <w:next w:val="Normal"/>
    <w:semiHidden/>
    <w:rsid w:val="00521DC1"/>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Footer">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521DC1"/>
    <w:pPr>
      <w:tabs>
        <w:tab w:val="right" w:pos="1021"/>
      </w:tabs>
      <w:spacing w:line="220" w:lineRule="exact"/>
      <w:ind w:left="1134" w:right="1134" w:hanging="1134"/>
    </w:pPr>
    <w:rPr>
      <w:sz w:val="18"/>
    </w:rPr>
  </w:style>
  <w:style w:type="table" w:styleId="TableGrid">
    <w:name w:val="Table Grid"/>
    <w:basedOn w:val="Table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3"/>
      </w:numPr>
    </w:pPr>
  </w:style>
  <w:style w:type="numbering" w:styleId="1ai">
    <w:name w:val="Outline List 1"/>
    <w:basedOn w:val="NoList"/>
    <w:semiHidden/>
    <w:rsid w:val="00521DC1"/>
    <w:pPr>
      <w:numPr>
        <w:numId w:val="4"/>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5"/>
      </w:numPr>
    </w:pPr>
  </w:style>
  <w:style w:type="paragraph" w:styleId="Closing">
    <w:name w:val="Closing"/>
    <w:basedOn w:val="Normal"/>
    <w:semiHidden/>
    <w:rsid w:val="00521DC1"/>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semiHidden/>
    <w:rsid w:val="00521DC1"/>
    <w:pPr>
      <w:spacing w:after="120"/>
      <w:ind w:left="283"/>
    </w:pPr>
  </w:style>
  <w:style w:type="paragraph" w:styleId="ListContinue2">
    <w:name w:val="List Continue 2"/>
    <w:basedOn w:val="Normal"/>
    <w:semiHidden/>
    <w:rsid w:val="00521DC1"/>
    <w:pPr>
      <w:spacing w:after="120"/>
      <w:ind w:left="566"/>
    </w:pPr>
  </w:style>
  <w:style w:type="paragraph" w:styleId="ListContinue3">
    <w:name w:val="List Continue 3"/>
    <w:basedOn w:val="Normal"/>
    <w:semiHidden/>
    <w:rsid w:val="00521DC1"/>
    <w:pPr>
      <w:spacing w:after="120"/>
      <w:ind w:left="849"/>
    </w:pPr>
  </w:style>
  <w:style w:type="paragraph" w:styleId="ListContinue4">
    <w:name w:val="List Continue 4"/>
    <w:basedOn w:val="Normal"/>
    <w:semiHidden/>
    <w:rsid w:val="00521DC1"/>
    <w:pPr>
      <w:spacing w:after="120"/>
      <w:ind w:left="1132"/>
    </w:pPr>
  </w:style>
  <w:style w:type="paragraph" w:styleId="ListContinue5">
    <w:name w:val="List Continue 5"/>
    <w:basedOn w:val="Normal"/>
    <w:semiHidden/>
    <w:rsid w:val="00521DC1"/>
    <w:pPr>
      <w:spacing w:after="120"/>
      <w:ind w:left="1415"/>
    </w:pPr>
  </w:style>
  <w:style w:type="character" w:styleId="HTMLDefinition">
    <w:name w:val="HTML Definition"/>
    <w:semiHidden/>
    <w:rsid w:val="00521DC1"/>
    <w:rPr>
      <w:i/>
      <w:iCs/>
    </w:rPr>
  </w:style>
  <w:style w:type="paragraph" w:styleId="HTMLAddress">
    <w:name w:val="HTML Address"/>
    <w:basedOn w:val="Normal"/>
    <w:semiHidden/>
    <w:rsid w:val="00521DC1"/>
    <w:rPr>
      <w:i/>
      <w:iCs/>
    </w:rPr>
  </w:style>
  <w:style w:type="paragraph" w:styleId="EnvelopeAddress">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21DC1"/>
  </w:style>
  <w:style w:type="character" w:styleId="Emphasis">
    <w:name w:val="Emphasis"/>
    <w:semiHidden/>
    <w:rsid w:val="00521DC1"/>
    <w:rPr>
      <w:i/>
      <w:iCs/>
    </w:rPr>
  </w:style>
  <w:style w:type="paragraph" w:styleId="Date">
    <w:name w:val="Date"/>
    <w:basedOn w:val="Normal"/>
    <w:next w:val="Normal"/>
    <w:semiHidden/>
    <w:rsid w:val="00521DC1"/>
  </w:style>
  <w:style w:type="paragraph" w:styleId="Signature">
    <w:name w:val="Signature"/>
    <w:basedOn w:val="Normal"/>
    <w:semiHidden/>
    <w:rsid w:val="00521DC1"/>
    <w:pPr>
      <w:ind w:left="4252"/>
    </w:pPr>
  </w:style>
  <w:style w:type="paragraph" w:styleId="E-mailSignature">
    <w:name w:val="E-mail Signature"/>
    <w:basedOn w:val="Normal"/>
    <w:semiHidden/>
    <w:rsid w:val="00521DC1"/>
  </w:style>
  <w:style w:type="character" w:styleId="Hyperlink">
    <w:name w:val="Hyperlink"/>
    <w:semiHidden/>
    <w:rsid w:val="00521DC1"/>
    <w:rPr>
      <w:color w:val="0000FF"/>
      <w:u w:val="none"/>
    </w:rPr>
  </w:style>
  <w:style w:type="character" w:styleId="FollowedHyperlink">
    <w:name w:val="FollowedHyperlink"/>
    <w:semiHidden/>
    <w:rsid w:val="00521DC1"/>
    <w:rPr>
      <w:color w:val="0000FF"/>
      <w:u w:val="none"/>
    </w:rPr>
  </w:style>
  <w:style w:type="paragraph" w:styleId="HTMLPreformatted">
    <w:name w:val="HTML Preformatted"/>
    <w:basedOn w:val="Normal"/>
    <w:semiHidden/>
    <w:rsid w:val="00521DC1"/>
    <w:rPr>
      <w:rFonts w:ascii="Courier New" w:hAnsi="Courier New" w:cs="Courier New"/>
    </w:rPr>
  </w:style>
  <w:style w:type="paragraph" w:styleId="List">
    <w:name w:val="List"/>
    <w:basedOn w:val="Normal"/>
    <w:semiHidden/>
    <w:rsid w:val="00521DC1"/>
    <w:pPr>
      <w:ind w:left="283" w:hanging="283"/>
    </w:pPr>
  </w:style>
  <w:style w:type="paragraph" w:styleId="List2">
    <w:name w:val="List 2"/>
    <w:basedOn w:val="Normal"/>
    <w:semiHidden/>
    <w:rsid w:val="00521DC1"/>
    <w:pPr>
      <w:ind w:left="566" w:hanging="283"/>
    </w:pPr>
  </w:style>
  <w:style w:type="paragraph" w:styleId="List3">
    <w:name w:val="List 3"/>
    <w:basedOn w:val="Normal"/>
    <w:semiHidden/>
    <w:rsid w:val="00521DC1"/>
    <w:pPr>
      <w:ind w:left="849" w:hanging="283"/>
    </w:pPr>
  </w:style>
  <w:style w:type="paragraph" w:styleId="List4">
    <w:name w:val="List 4"/>
    <w:basedOn w:val="Normal"/>
    <w:semiHidden/>
    <w:rsid w:val="00521DC1"/>
    <w:pPr>
      <w:ind w:left="1132" w:hanging="283"/>
    </w:pPr>
  </w:style>
  <w:style w:type="paragraph" w:styleId="List5">
    <w:name w:val="List 5"/>
    <w:basedOn w:val="Normal"/>
    <w:semiHidden/>
    <w:rsid w:val="00521DC1"/>
    <w:pPr>
      <w:ind w:left="1415" w:hanging="283"/>
    </w:pPr>
  </w:style>
  <w:style w:type="paragraph" w:styleId="ListNumber">
    <w:name w:val="List Number"/>
    <w:basedOn w:val="Normal"/>
    <w:semiHidden/>
    <w:rsid w:val="00521DC1"/>
    <w:pPr>
      <w:numPr>
        <w:numId w:val="21"/>
      </w:numPr>
    </w:pPr>
  </w:style>
  <w:style w:type="paragraph" w:styleId="ListNumber2">
    <w:name w:val="List Number 2"/>
    <w:basedOn w:val="Normal"/>
    <w:semiHidden/>
    <w:rsid w:val="00521DC1"/>
    <w:pPr>
      <w:numPr>
        <w:numId w:val="22"/>
      </w:numPr>
    </w:pPr>
  </w:style>
  <w:style w:type="paragraph" w:styleId="ListNumber3">
    <w:name w:val="List Number 3"/>
    <w:basedOn w:val="Normal"/>
    <w:semiHidden/>
    <w:rsid w:val="00521DC1"/>
    <w:pPr>
      <w:numPr>
        <w:numId w:val="23"/>
      </w:numPr>
    </w:pPr>
  </w:style>
  <w:style w:type="paragraph" w:styleId="ListNumber4">
    <w:name w:val="List Number 4"/>
    <w:basedOn w:val="Normal"/>
    <w:semiHidden/>
    <w:rsid w:val="00521DC1"/>
    <w:pPr>
      <w:numPr>
        <w:numId w:val="24"/>
      </w:numPr>
    </w:pPr>
  </w:style>
  <w:style w:type="paragraph" w:styleId="ListNumber5">
    <w:name w:val="List Number 5"/>
    <w:basedOn w:val="Normal"/>
    <w:semiHidden/>
    <w:rsid w:val="00521DC1"/>
    <w:pPr>
      <w:numPr>
        <w:numId w:val="25"/>
      </w:numPr>
    </w:pPr>
  </w:style>
  <w:style w:type="paragraph" w:styleId="ListBullet">
    <w:name w:val="List Bullet"/>
    <w:basedOn w:val="Normal"/>
    <w:semiHidden/>
    <w:rsid w:val="00521DC1"/>
    <w:pPr>
      <w:numPr>
        <w:numId w:val="26"/>
      </w:numPr>
    </w:pPr>
  </w:style>
  <w:style w:type="paragraph" w:styleId="ListBullet2">
    <w:name w:val="List Bullet 2"/>
    <w:basedOn w:val="Normal"/>
    <w:semiHidden/>
    <w:rsid w:val="00521DC1"/>
    <w:pPr>
      <w:numPr>
        <w:numId w:val="27"/>
      </w:numPr>
    </w:pPr>
  </w:style>
  <w:style w:type="paragraph" w:styleId="ListBullet3">
    <w:name w:val="List Bullet 3"/>
    <w:basedOn w:val="Normal"/>
    <w:semiHidden/>
    <w:rsid w:val="00521DC1"/>
    <w:pPr>
      <w:numPr>
        <w:numId w:val="28"/>
      </w:numPr>
    </w:pPr>
  </w:style>
  <w:style w:type="paragraph" w:styleId="ListBullet4">
    <w:name w:val="List Bullet 4"/>
    <w:basedOn w:val="Normal"/>
    <w:semiHidden/>
    <w:rsid w:val="00521DC1"/>
    <w:pPr>
      <w:numPr>
        <w:numId w:val="29"/>
      </w:numPr>
    </w:pPr>
  </w:style>
  <w:style w:type="paragraph" w:styleId="ListBullet5">
    <w:name w:val="List Bullet 5"/>
    <w:basedOn w:val="Normal"/>
    <w:semiHidden/>
    <w:rsid w:val="00521DC1"/>
    <w:pPr>
      <w:numPr>
        <w:numId w:val="30"/>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LineNumber">
    <w:name w:val="line number"/>
    <w:basedOn w:val="DefaultParagraphFont"/>
    <w:semiHidden/>
    <w:rsid w:val="00521DC1"/>
  </w:style>
  <w:style w:type="character" w:styleId="PageNumber">
    <w:name w:val="page number"/>
    <w:aliases w:val="7_G"/>
    <w:qFormat/>
    <w:rsid w:val="00521DC1"/>
    <w:rPr>
      <w:b/>
      <w:sz w:val="18"/>
    </w:rPr>
  </w:style>
  <w:style w:type="character" w:styleId="EndnoteReference">
    <w:name w:val="endnote reference"/>
    <w:aliases w:val="1_G"/>
    <w:qFormat/>
    <w:rsid w:val="00521DC1"/>
    <w:rPr>
      <w:rFonts w:ascii="Times New Roman" w:hAnsi="Times New Roman"/>
      <w:sz w:val="18"/>
      <w:vertAlign w:val="superscript"/>
    </w:rPr>
  </w:style>
  <w:style w:type="paragraph" w:styleId="EnvelopeReturn">
    <w:name w:val="envelope return"/>
    <w:basedOn w:val="Normal"/>
    <w:semiHidden/>
    <w:rsid w:val="00521DC1"/>
    <w:rPr>
      <w:rFonts w:ascii="Arial" w:hAnsi="Arial" w:cs="Arial"/>
    </w:rPr>
  </w:style>
  <w:style w:type="paragraph" w:styleId="Salutation">
    <w:name w:val="Salutation"/>
    <w:basedOn w:val="Normal"/>
    <w:next w:val="Normal"/>
    <w:semiHidden/>
    <w:rsid w:val="00521DC1"/>
  </w:style>
  <w:style w:type="paragraph" w:styleId="BodyTextIndent2">
    <w:name w:val="Body Text Indent 2"/>
    <w:basedOn w:val="Normal"/>
    <w:semiHidden/>
    <w:rsid w:val="00521DC1"/>
    <w:pPr>
      <w:spacing w:after="120" w:line="480" w:lineRule="auto"/>
      <w:ind w:left="283"/>
    </w:pPr>
  </w:style>
  <w:style w:type="paragraph" w:styleId="BodyTextIndent3">
    <w:name w:val="Body Text Indent 3"/>
    <w:basedOn w:val="Normal"/>
    <w:semiHidden/>
    <w:rsid w:val="00521DC1"/>
    <w:pPr>
      <w:spacing w:after="120"/>
      <w:ind w:left="283"/>
    </w:pPr>
    <w:rPr>
      <w:sz w:val="16"/>
      <w:szCs w:val="16"/>
    </w:rPr>
  </w:style>
  <w:style w:type="paragraph" w:styleId="BodyTextIndent">
    <w:name w:val="Body Text Indent"/>
    <w:basedOn w:val="Normal"/>
    <w:semiHidden/>
    <w:rsid w:val="00521DC1"/>
    <w:pPr>
      <w:spacing w:after="120"/>
      <w:ind w:left="283"/>
    </w:pPr>
  </w:style>
  <w:style w:type="paragraph" w:styleId="NormalIndent">
    <w:name w:val="Normal Indent"/>
    <w:basedOn w:val="Normal"/>
    <w:semiHidden/>
    <w:rsid w:val="00521DC1"/>
    <w:pPr>
      <w:ind w:left="567"/>
    </w:pPr>
  </w:style>
  <w:style w:type="paragraph" w:styleId="Subtitle">
    <w:name w:val="Subtitle"/>
    <w:basedOn w:val="Normal"/>
    <w:semiHidden/>
    <w:rsid w:val="00521DC1"/>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semiHidden/>
    <w:rsid w:val="00521DC1"/>
    <w:pPr>
      <w:spacing w:after="120"/>
      <w:ind w:left="1440" w:right="1440"/>
    </w:pPr>
  </w:style>
  <w:style w:type="character" w:styleId="Strong">
    <w:name w:val="Strong"/>
    <w:semiHidden/>
    <w:rsid w:val="00521DC1"/>
    <w:rPr>
      <w:b/>
      <w:bCs/>
    </w:rPr>
  </w:style>
  <w:style w:type="paragraph" w:styleId="BodyText">
    <w:name w:val="Body Text"/>
    <w:basedOn w:val="Normal"/>
    <w:semiHidden/>
    <w:rsid w:val="00521DC1"/>
    <w:pPr>
      <w:spacing w:after="120"/>
    </w:pPr>
  </w:style>
  <w:style w:type="paragraph" w:styleId="BodyText2">
    <w:name w:val="Body Text 2"/>
    <w:basedOn w:val="Normal"/>
    <w:semiHidden/>
    <w:rsid w:val="00521DC1"/>
    <w:pPr>
      <w:spacing w:after="120" w:line="480" w:lineRule="auto"/>
    </w:pPr>
  </w:style>
  <w:style w:type="paragraph" w:styleId="BodyText3">
    <w:name w:val="Body Text 3"/>
    <w:basedOn w:val="Normal"/>
    <w:semiHidden/>
    <w:rsid w:val="00521DC1"/>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qFormat/>
    <w:rsid w:val="00521DC1"/>
  </w:style>
  <w:style w:type="paragraph" w:styleId="PlainText">
    <w:name w:val="Plain Text"/>
    <w:basedOn w:val="Normal"/>
    <w:semiHidden/>
    <w:rsid w:val="00521DC1"/>
    <w:rPr>
      <w:rFonts w:ascii="Courier New" w:hAnsi="Courier New" w:cs="Courier New"/>
    </w:rPr>
  </w:style>
  <w:style w:type="paragraph" w:styleId="Title">
    <w:name w:val="Title"/>
    <w:basedOn w:val="Normal"/>
    <w:semiHidden/>
    <w:rsid w:val="00521DC1"/>
    <w:pPr>
      <w:spacing w:before="240" w:after="60"/>
      <w:jc w:val="center"/>
      <w:outlineLvl w:val="0"/>
    </w:pPr>
    <w:rPr>
      <w:rFonts w:ascii="Arial" w:hAnsi="Arial" w:cs="Arial"/>
      <w:b/>
      <w:bCs/>
      <w:kern w:val="28"/>
      <w:sz w:val="32"/>
      <w:szCs w:val="32"/>
    </w:rPr>
  </w:style>
  <w:style w:type="character" w:styleId="HTMLVariable">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521DC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521DC1"/>
    <w:rPr>
      <w:b/>
      <w:bCs/>
      <w:i/>
      <w:iCs/>
      <w:color w:val="4F81BD"/>
      <w:lang w:val="es-ES" w:eastAsia="es-ES"/>
    </w:rPr>
  </w:style>
  <w:style w:type="character" w:styleId="IntenseEmphasis">
    <w:name w:val="Intense Emphasis"/>
    <w:uiPriority w:val="21"/>
    <w:semiHidden/>
    <w:rsid w:val="00521DC1"/>
    <w:rPr>
      <w:b/>
      <w:bCs/>
      <w:i/>
      <w:iCs/>
      <w:color w:val="4F81BD"/>
    </w:rPr>
  </w:style>
  <w:style w:type="character" w:customStyle="1" w:styleId="Heading1Char">
    <w:name w:val="Heading 1 Char"/>
    <w:aliases w:val="Cuadro_G Char"/>
    <w:basedOn w:val="DefaultParagraphFont"/>
    <w:link w:val="Heading1"/>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F3170"/>
    <w:pPr>
      <w:numPr>
        <w:numId w:val="32"/>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FootnoteTextChar">
    <w:name w:val="Footnote Text Char"/>
    <w:aliases w:val="5_G Char"/>
    <w:basedOn w:val="DefaultParagraphFont"/>
    <w:link w:val="FootnoteText"/>
    <w:rsid w:val="00A7074A"/>
    <w:rPr>
      <w:sz w:val="18"/>
      <w:lang w:val="es-ES" w:eastAsia="es-ES"/>
    </w:rPr>
  </w:style>
  <w:style w:type="character" w:styleId="UnresolvedMention">
    <w:name w:val="Unresolved Mention"/>
    <w:basedOn w:val="DefaultParagraphFont"/>
    <w:uiPriority w:val="99"/>
    <w:semiHidden/>
    <w:unhideWhenUsed/>
    <w:rsid w:val="00B321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cs.un.org/CCPR/C/CRI/QPR/7"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CCPR/C/CRI/QPR/7"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2026-06-02T09:39:43+00:00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87E9B4-9805-4DFD-B7F3-CB21FD3462B2}">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B7B2519A-F39C-430F-8A60-F077A93F205B}">
  <ds:schemaRefs>
    <ds:schemaRef ds:uri="http://schemas.openxmlformats.org/officeDocument/2006/bibliography"/>
  </ds:schemaRefs>
</ds:datastoreItem>
</file>

<file path=customXml/itemProps3.xml><?xml version="1.0" encoding="utf-8"?>
<ds:datastoreItem xmlns:ds="http://schemas.openxmlformats.org/officeDocument/2006/customXml" ds:itemID="{602F928E-80A6-45CA-8CA0-2A1B5705F928}"/>
</file>

<file path=customXml/itemProps4.xml><?xml version="1.0" encoding="utf-8"?>
<ds:datastoreItem xmlns:ds="http://schemas.openxmlformats.org/officeDocument/2006/customXml" ds:itemID="{44C5B5A3-D265-452F-8235-9CAA257BE2C1}">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34</Pages>
  <Words>20904</Words>
  <Characters>119159</Characters>
  <Application>Microsoft Office Word</Application>
  <DocSecurity>0</DocSecurity>
  <Lines>992</Lines>
  <Paragraphs>279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CAT/C/XXX/Y</vt:lpstr>
      <vt:lpstr>CAT/C/XXX/Y</vt:lpstr>
    </vt:vector>
  </TitlesOfParts>
  <Company>DCM</Company>
  <LinksUpToDate>false</LinksUpToDate>
  <CharactersWithSpaces>139784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CCPR/C/CRI/7</dc:title>
  <dc:creator>Gloria</dc:creator>
  <cp:lastModifiedBy>Cherry Balmaceda</cp:lastModifiedBy>
  <cp:revision>2</cp:revision>
  <cp:lastPrinted>2013-10-24T10:25:00Z</cp:lastPrinted>
  <dcterms:created xsi:type="dcterms:W3CDTF">2026-06-02T09:39:00Z</dcterms:created>
  <dcterms:modified xsi:type="dcterms:W3CDTF">2026-06-02T09:39:00Z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0x0101004100868408537B4FA2A9FA4AC7F0070F</vt:lpwstr>
  </property>
  <property fmtid="{D5CDD505-2E9C-101B-9397-08002B2CF9AE}" pid="8" name="count">
    <vt:lpwstr>de Costa Rica</vt:lpwstr>
  </property>
  <property fmtid="{D5CDD505-2E9C-101B-9397-08002B2CF9AE}" pid="9" name="countw">
    <vt:lpwstr>Costa Rica</vt:lpwstr>
  </property>
  <property fmtid="{D5CDD505-2E9C-101B-9397-08002B2CF9AE}" pid="10" name="countwd">
    <vt:lpwstr>Costa Rica</vt:lpwstr>
  </property>
  <property fmtid="{D5CDD505-2E9C-101B-9397-08002B2CF9AE}" pid="11" name="date">
    <vt:lpwstr>2 de junio de 2026</vt:lpwstr>
  </property>
  <property fmtid="{D5CDD505-2E9C-101B-9397-08002B2CF9AE}" pid="12" name="Date-Generated">
    <vt:filetime>2026-06-02T09:09:03Z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250400</vt:r8>
  </property>
  <property fmtid="{D5CDD505-2E9C-101B-9397-08002B2CF9AE}" pid="23" name="Org">
    <vt:lpwstr>OHCHR</vt:lpwstr>
  </property>
  <property fmtid="{D5CDD505-2E9C-101B-9397-08002B2CF9AE}" pid="24" name="prep">
    <vt:lpwstr>al séptimo informe periódico de Costa Rica</vt:lpwstr>
  </property>
  <property fmtid="{D5CDD505-2E9C-101B-9397-08002B2CF9AE}" pid="25" name="preps">
    <vt:lpwstr>séptimo informe periódico de Costa Rica</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C/CRI/7</vt:lpwstr>
  </property>
  <property fmtid="{D5CDD505-2E9C-101B-9397-08002B2CF9AE}" pid="34" name="symh">
    <vt:lpwstr>CCPR/C/CRI/7</vt:lpwstr>
  </property>
  <property fmtid="{D5CDD505-2E9C-101B-9397-08002B2CF9AE}" pid="35" name="Title">
    <vt:lpwstr>CCPR/C/CRI/7</vt:lpwstr>
  </property>
  <property fmtid="{D5CDD505-2E9C-101B-9397-08002B2CF9AE}" pid="36" name="tlang">
    <vt:lpwstr/>
  </property>
  <property fmtid="{D5CDD505-2E9C-101B-9397-08002B2CF9AE}" pid="37" name="virs">
    <vt:lpwstr>Español, francés e inglés únicamente</vt:lpwstr>
  </property>
</Properties>
</file>