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32E009" w14:textId="77777777" w:rsidR="00F31157" w:rsidRDefault="00F31157">
      <w:pPr>
        <w:spacing w:before="1600"/>
      </w:pPr>
    </w:p>
    <w:p w14:paraId="31C99C53" w14:textId="77777777" w:rsidR="00F31157" w:rsidRDefault="00FD7E42">
      <w:pPr>
        <w:spacing w:after="200"/>
        <w:jc w:val="center"/>
      </w:pPr>
      <w:r>
        <w:rPr>
          <w:b/>
          <w:bCs/>
          <w:color w:val="1F3864"/>
          <w:sz w:val="28"/>
          <w:szCs w:val="28"/>
        </w:rPr>
        <w:t>FUNDACIÓN MAWEN</w:t>
      </w:r>
    </w:p>
    <w:p w14:paraId="1E7EFAF0" w14:textId="77777777" w:rsidR="00F31157" w:rsidRDefault="00FD7E42">
      <w:pPr>
        <w:spacing w:after="600"/>
        <w:jc w:val="center"/>
      </w:pPr>
      <w:r>
        <w:rPr>
          <w:i/>
          <w:iCs/>
          <w:color w:val="2E5395"/>
        </w:rPr>
        <w:t>Santiago de Chile</w:t>
      </w:r>
    </w:p>
    <w:p w14:paraId="086D9A6A" w14:textId="77777777" w:rsidR="00F31157" w:rsidRDefault="00FD7E42">
      <w:pPr>
        <w:spacing w:after="300"/>
        <w:jc w:val="center"/>
      </w:pPr>
      <w:r>
        <w:rPr>
          <w:b/>
          <w:bCs/>
          <w:color w:val="1F3864"/>
          <w:sz w:val="40"/>
          <w:szCs w:val="40"/>
        </w:rPr>
        <w:t>Cultura, agencia y participación efectiva</w:t>
      </w:r>
    </w:p>
    <w:p w14:paraId="6FC98416" w14:textId="77777777" w:rsidR="00F31157" w:rsidRDefault="00FD7E42">
      <w:pPr>
        <w:spacing w:after="500"/>
        <w:jc w:val="center"/>
        <w:rPr>
          <w:color w:val="2E5395"/>
          <w:sz w:val="24"/>
          <w:szCs w:val="24"/>
        </w:rPr>
      </w:pPr>
      <w:r>
        <w:rPr>
          <w:color w:val="2E5395"/>
          <w:sz w:val="24"/>
          <w:szCs w:val="24"/>
        </w:rPr>
        <w:t xml:space="preserve">Aporte complementario de Fundación </w:t>
      </w:r>
      <w:proofErr w:type="spellStart"/>
      <w:r>
        <w:rPr>
          <w:color w:val="2E5395"/>
          <w:sz w:val="24"/>
          <w:szCs w:val="24"/>
        </w:rPr>
        <w:t>Mawen</w:t>
      </w:r>
      <w:proofErr w:type="spellEnd"/>
      <w:r>
        <w:rPr>
          <w:color w:val="2E5395"/>
          <w:sz w:val="24"/>
          <w:szCs w:val="24"/>
        </w:rPr>
        <w:t xml:space="preserve"> al Informe Temático 3 — Discriminación, toma de conciencia, accesibilidad y participación efectiva (Artículos CRPD 5, 8, 9, 21, 29 y 30), con nota complementaria sobre trabajo y empleo (Artículo 27)</w:t>
      </w:r>
    </w:p>
    <w:p w14:paraId="63ABF2D1" w14:textId="77777777" w:rsidR="00180F3C" w:rsidRDefault="00180F3C">
      <w:pPr>
        <w:spacing w:after="500"/>
        <w:jc w:val="center"/>
        <w:rPr>
          <w:color w:val="2E5395"/>
          <w:sz w:val="24"/>
          <w:szCs w:val="24"/>
        </w:rPr>
      </w:pPr>
    </w:p>
    <w:p w14:paraId="31472DB6" w14:textId="77777777" w:rsidR="00180F3C" w:rsidRDefault="00180F3C">
      <w:pPr>
        <w:spacing w:after="500"/>
        <w:jc w:val="center"/>
        <w:rPr>
          <w:color w:val="2E5395"/>
          <w:sz w:val="24"/>
          <w:szCs w:val="24"/>
        </w:rPr>
      </w:pPr>
    </w:p>
    <w:p w14:paraId="0094EE1B" w14:textId="4ECB23BE" w:rsidR="007416A9" w:rsidRPr="007416A9" w:rsidRDefault="007416A9" w:rsidP="007416A9">
      <w:pPr>
        <w:spacing w:after="500"/>
        <w:jc w:val="center"/>
        <w:rPr>
          <w:color w:val="2E5395"/>
          <w:sz w:val="24"/>
          <w:szCs w:val="24"/>
        </w:rPr>
      </w:pPr>
      <w:r>
        <w:rPr>
          <w:noProof/>
          <w:color w:val="2E5395"/>
          <w:sz w:val="24"/>
          <w:szCs w:val="24"/>
        </w:rPr>
        <w:drawing>
          <wp:inline distT="0" distB="0" distL="0" distR="0" wp14:anchorId="0DF8D922" wp14:editId="5C669A2C">
            <wp:extent cx="3324162" cy="1011232"/>
            <wp:effectExtent l="0" t="0" r="3810" b="5080"/>
            <wp:docPr id="7303748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374829" name="Imagen 730374829"/>
                    <pic:cNvPicPr/>
                  </pic:nvPicPr>
                  <pic:blipFill rotWithShape="1">
                    <a:blip r:embed="rId10" cstate="print">
                      <a:extLst>
                        <a:ext uri="{28A0092B-C50C-407E-A947-70E740481C1C}">
                          <a14:useLocalDpi xmlns:a14="http://schemas.microsoft.com/office/drawing/2010/main" val="0"/>
                        </a:ext>
                      </a:extLst>
                    </a:blip>
                    <a:srcRect t="16090" b="18128"/>
                    <a:stretch/>
                  </pic:blipFill>
                  <pic:spPr bwMode="auto">
                    <a:xfrm>
                      <a:off x="0" y="0"/>
                      <a:ext cx="3383410" cy="1029256"/>
                    </a:xfrm>
                    <a:prstGeom prst="rect">
                      <a:avLst/>
                    </a:prstGeom>
                    <a:ln>
                      <a:noFill/>
                    </a:ln>
                    <a:extLst>
                      <a:ext uri="{53640926-AAD7-44D8-BBD7-CCE9431645EC}">
                        <a14:shadowObscured xmlns:a14="http://schemas.microsoft.com/office/drawing/2010/main"/>
                      </a:ext>
                    </a:extLst>
                  </pic:spPr>
                </pic:pic>
              </a:graphicData>
            </a:graphic>
          </wp:inline>
        </w:drawing>
      </w:r>
    </w:p>
    <w:p w14:paraId="2F3ED57A" w14:textId="77777777" w:rsidR="00180F3C" w:rsidRDefault="00180F3C">
      <w:pPr>
        <w:spacing w:after="100"/>
        <w:jc w:val="center"/>
        <w:rPr>
          <w:b/>
          <w:bCs/>
        </w:rPr>
      </w:pPr>
    </w:p>
    <w:p w14:paraId="4AB307D3" w14:textId="40480C9C" w:rsidR="00F31157" w:rsidRDefault="007416A9" w:rsidP="007416A9">
      <w:pPr>
        <w:spacing w:after="100"/>
        <w:jc w:val="center"/>
        <w:rPr>
          <w:sz w:val="20"/>
          <w:szCs w:val="20"/>
        </w:rPr>
      </w:pPr>
      <w:r>
        <w:rPr>
          <w:sz w:val="20"/>
          <w:szCs w:val="20"/>
        </w:rPr>
        <w:t xml:space="preserve">                    </w:t>
      </w:r>
    </w:p>
    <w:p w14:paraId="467743CF" w14:textId="77777777" w:rsidR="007416A9" w:rsidRDefault="007416A9" w:rsidP="007416A9">
      <w:pPr>
        <w:rPr>
          <w:sz w:val="20"/>
          <w:szCs w:val="20"/>
        </w:rPr>
      </w:pPr>
    </w:p>
    <w:p w14:paraId="2F25FF16" w14:textId="77777777" w:rsidR="007416A9" w:rsidRDefault="007416A9" w:rsidP="007416A9">
      <w:pPr>
        <w:rPr>
          <w:sz w:val="20"/>
          <w:szCs w:val="20"/>
        </w:rPr>
      </w:pPr>
    </w:p>
    <w:p w14:paraId="3AAD77D4" w14:textId="38D0FDA2" w:rsidR="007416A9" w:rsidRPr="007416A9" w:rsidRDefault="007416A9" w:rsidP="007416A9">
      <w:pPr>
        <w:jc w:val="right"/>
        <w:rPr>
          <w:b/>
          <w:bCs/>
          <w:sz w:val="20"/>
          <w:szCs w:val="20"/>
        </w:rPr>
      </w:pPr>
      <w:r w:rsidRPr="007416A9">
        <w:rPr>
          <w:b/>
          <w:bCs/>
          <w:sz w:val="20"/>
          <w:szCs w:val="20"/>
        </w:rPr>
        <w:t>Responsables:</w:t>
      </w:r>
    </w:p>
    <w:p w14:paraId="22639292" w14:textId="77777777" w:rsidR="007416A9" w:rsidRDefault="007416A9" w:rsidP="007416A9">
      <w:pPr>
        <w:jc w:val="right"/>
        <w:rPr>
          <w:sz w:val="20"/>
          <w:szCs w:val="20"/>
        </w:rPr>
      </w:pPr>
    </w:p>
    <w:p w14:paraId="35990B4A" w14:textId="34539B94" w:rsidR="007416A9" w:rsidRDefault="007416A9" w:rsidP="007416A9">
      <w:pPr>
        <w:jc w:val="right"/>
        <w:rPr>
          <w:sz w:val="20"/>
          <w:szCs w:val="20"/>
        </w:rPr>
      </w:pPr>
      <w:r>
        <w:rPr>
          <w:sz w:val="20"/>
          <w:szCs w:val="20"/>
        </w:rPr>
        <w:t>Victor Romero-Rojas</w:t>
      </w:r>
    </w:p>
    <w:p w14:paraId="19B13B63" w14:textId="4D44ED53" w:rsidR="007416A9" w:rsidRDefault="007416A9" w:rsidP="007416A9">
      <w:pPr>
        <w:jc w:val="right"/>
        <w:rPr>
          <w:sz w:val="20"/>
          <w:szCs w:val="20"/>
        </w:rPr>
      </w:pPr>
      <w:r>
        <w:rPr>
          <w:sz w:val="20"/>
          <w:szCs w:val="20"/>
        </w:rPr>
        <w:t>Valeria Suárez</w:t>
      </w:r>
    </w:p>
    <w:p w14:paraId="2A9B21ED" w14:textId="43CBC596" w:rsidR="007416A9" w:rsidRDefault="007416A9" w:rsidP="007416A9">
      <w:pPr>
        <w:jc w:val="right"/>
        <w:rPr>
          <w:sz w:val="20"/>
          <w:szCs w:val="20"/>
        </w:rPr>
      </w:pPr>
      <w:r>
        <w:rPr>
          <w:sz w:val="20"/>
          <w:szCs w:val="20"/>
        </w:rPr>
        <w:t>Claudia Valenzuela</w:t>
      </w:r>
    </w:p>
    <w:p w14:paraId="142D2903" w14:textId="003D71A9" w:rsidR="007416A9" w:rsidRDefault="007416A9" w:rsidP="007416A9">
      <w:pPr>
        <w:jc w:val="right"/>
        <w:rPr>
          <w:sz w:val="20"/>
          <w:szCs w:val="20"/>
        </w:rPr>
      </w:pPr>
      <w:r>
        <w:rPr>
          <w:sz w:val="20"/>
          <w:szCs w:val="20"/>
        </w:rPr>
        <w:t>Carolina Martínez</w:t>
      </w:r>
    </w:p>
    <w:p w14:paraId="45239B39" w14:textId="77777777" w:rsidR="007416A9" w:rsidRDefault="007416A9" w:rsidP="007416A9">
      <w:pPr>
        <w:jc w:val="right"/>
        <w:rPr>
          <w:sz w:val="20"/>
          <w:szCs w:val="20"/>
        </w:rPr>
      </w:pPr>
      <w:r>
        <w:rPr>
          <w:sz w:val="20"/>
          <w:szCs w:val="20"/>
        </w:rPr>
        <w:t>Manuela Pacheco</w:t>
      </w:r>
      <w:r w:rsidRPr="007416A9">
        <w:rPr>
          <w:sz w:val="20"/>
          <w:szCs w:val="20"/>
        </w:rPr>
        <w:t xml:space="preserve"> </w:t>
      </w:r>
    </w:p>
    <w:p w14:paraId="7814691D" w14:textId="0206C3F6" w:rsidR="007416A9" w:rsidRDefault="007416A9" w:rsidP="007416A9">
      <w:pPr>
        <w:jc w:val="right"/>
        <w:rPr>
          <w:sz w:val="20"/>
          <w:szCs w:val="20"/>
        </w:rPr>
      </w:pPr>
      <w:r>
        <w:rPr>
          <w:sz w:val="20"/>
          <w:szCs w:val="20"/>
        </w:rPr>
        <w:t>Héctor Galáz</w:t>
      </w:r>
    </w:p>
    <w:p w14:paraId="2227A261" w14:textId="7DE0E808" w:rsidR="007416A9" w:rsidRDefault="007416A9" w:rsidP="007416A9">
      <w:pPr>
        <w:jc w:val="right"/>
        <w:rPr>
          <w:sz w:val="20"/>
          <w:szCs w:val="20"/>
        </w:rPr>
      </w:pPr>
      <w:r>
        <w:rPr>
          <w:sz w:val="20"/>
          <w:szCs w:val="20"/>
        </w:rPr>
        <w:t>Monserrat Sembler</w:t>
      </w:r>
    </w:p>
    <w:p w14:paraId="2BFA65D9" w14:textId="77777777" w:rsidR="007416A9" w:rsidRDefault="007416A9" w:rsidP="007416A9">
      <w:pPr>
        <w:jc w:val="right"/>
        <w:rPr>
          <w:sz w:val="20"/>
          <w:szCs w:val="20"/>
        </w:rPr>
      </w:pPr>
    </w:p>
    <w:p w14:paraId="71D7B829" w14:textId="77777777" w:rsidR="007416A9" w:rsidRDefault="007416A9" w:rsidP="007416A9">
      <w:pPr>
        <w:jc w:val="right"/>
        <w:rPr>
          <w:sz w:val="20"/>
          <w:szCs w:val="20"/>
        </w:rPr>
      </w:pPr>
    </w:p>
    <w:p w14:paraId="5306F264" w14:textId="77777777" w:rsidR="00F31157" w:rsidRDefault="00F31157"/>
    <w:p w14:paraId="72693CBF" w14:textId="77777777" w:rsidR="007416A9" w:rsidRDefault="007416A9"/>
    <w:p w14:paraId="6CD47F1F" w14:textId="1152AE81" w:rsidR="007416A9" w:rsidRDefault="007416A9" w:rsidP="007416A9">
      <w:pPr>
        <w:jc w:val="center"/>
        <w:rPr>
          <w:sz w:val="20"/>
          <w:szCs w:val="20"/>
        </w:rPr>
      </w:pPr>
      <w:r>
        <w:rPr>
          <w:sz w:val="20"/>
          <w:szCs w:val="20"/>
        </w:rPr>
        <w:t>Santiago de Chile, julio de 2026</w:t>
      </w:r>
    </w:p>
    <w:p w14:paraId="513FF913" w14:textId="77777777" w:rsidR="007416A9" w:rsidRDefault="007416A9">
      <w:pPr>
        <w:sectPr w:rsidR="007416A9">
          <w:headerReference w:type="default" r:id="rId11"/>
          <w:footerReference w:type="default" r:id="rId12"/>
          <w:pgSz w:w="11906" w:h="16838"/>
          <w:pgMar w:top="1440" w:right="1440" w:bottom="1440" w:left="1440" w:header="708" w:footer="708" w:gutter="0"/>
          <w:pgNumType w:start="1"/>
          <w:cols w:space="720"/>
          <w:docGrid w:linePitch="360"/>
        </w:sectPr>
      </w:pPr>
    </w:p>
    <w:p w14:paraId="1E433C6D" w14:textId="77777777" w:rsidR="00F31157" w:rsidRDefault="00FD7E42">
      <w:pPr>
        <w:pStyle w:val="Heading1"/>
        <w:spacing w:before="480" w:after="240"/>
      </w:pPr>
      <w:r>
        <w:rPr>
          <w:b/>
          <w:bCs/>
          <w:color w:val="1F3864"/>
          <w:sz w:val="30"/>
          <w:szCs w:val="30"/>
        </w:rPr>
        <w:lastRenderedPageBreak/>
        <w:t>Siglas y abreviaturas</w:t>
      </w: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7500"/>
      </w:tblGrid>
      <w:tr w:rsidR="00F31157" w14:paraId="1C69EA47" w14:textId="77777777">
        <w:trPr>
          <w:tblHeader/>
        </w:trPr>
        <w:tc>
          <w:tcPr>
            <w:tcW w:w="2200" w:type="dxa"/>
            <w:shd w:val="clear" w:color="auto" w:fill="1F3864"/>
            <w:tcMar>
              <w:top w:w="100" w:type="dxa"/>
              <w:left w:w="120" w:type="dxa"/>
              <w:bottom w:w="100" w:type="dxa"/>
              <w:right w:w="120" w:type="dxa"/>
            </w:tcMar>
            <w:vAlign w:val="center"/>
          </w:tcPr>
          <w:p w14:paraId="1471D201" w14:textId="77777777" w:rsidR="00F31157" w:rsidRDefault="00FD7E42">
            <w:r>
              <w:rPr>
                <w:b/>
                <w:bCs/>
                <w:color w:val="FFFFFF"/>
                <w:sz w:val="19"/>
                <w:szCs w:val="19"/>
              </w:rPr>
              <w:t>Sigla</w:t>
            </w:r>
          </w:p>
        </w:tc>
        <w:tc>
          <w:tcPr>
            <w:tcW w:w="7500" w:type="dxa"/>
            <w:shd w:val="clear" w:color="auto" w:fill="1F3864"/>
            <w:tcMar>
              <w:top w:w="100" w:type="dxa"/>
              <w:left w:w="120" w:type="dxa"/>
              <w:bottom w:w="100" w:type="dxa"/>
              <w:right w:w="120" w:type="dxa"/>
            </w:tcMar>
            <w:vAlign w:val="center"/>
          </w:tcPr>
          <w:p w14:paraId="6D9230E0" w14:textId="77777777" w:rsidR="00F31157" w:rsidRDefault="00FD7E42">
            <w:r>
              <w:rPr>
                <w:b/>
                <w:bCs/>
                <w:color w:val="FFFFFF"/>
                <w:sz w:val="19"/>
                <w:szCs w:val="19"/>
              </w:rPr>
              <w:t>Significado</w:t>
            </w:r>
          </w:p>
        </w:tc>
      </w:tr>
      <w:tr w:rsidR="00F31157" w14:paraId="70C1746E" w14:textId="77777777">
        <w:tc>
          <w:tcPr>
            <w:tcW w:w="2200" w:type="dxa"/>
            <w:tcMar>
              <w:top w:w="100" w:type="dxa"/>
              <w:left w:w="120" w:type="dxa"/>
              <w:bottom w:w="100" w:type="dxa"/>
              <w:right w:w="120" w:type="dxa"/>
            </w:tcMar>
            <w:vAlign w:val="center"/>
          </w:tcPr>
          <w:p w14:paraId="264D64A9" w14:textId="77777777" w:rsidR="00F31157" w:rsidRDefault="00FD7E42">
            <w:pPr>
              <w:jc w:val="both"/>
            </w:pPr>
            <w:r>
              <w:rPr>
                <w:sz w:val="19"/>
                <w:szCs w:val="19"/>
              </w:rPr>
              <w:t>CDPD / CRPD</w:t>
            </w:r>
          </w:p>
        </w:tc>
        <w:tc>
          <w:tcPr>
            <w:tcW w:w="7500" w:type="dxa"/>
            <w:tcMar>
              <w:top w:w="100" w:type="dxa"/>
              <w:left w:w="120" w:type="dxa"/>
              <w:bottom w:w="100" w:type="dxa"/>
              <w:right w:w="120" w:type="dxa"/>
            </w:tcMar>
            <w:vAlign w:val="center"/>
          </w:tcPr>
          <w:p w14:paraId="021B6A16" w14:textId="77777777" w:rsidR="00F31157" w:rsidRDefault="00FD7E42">
            <w:pPr>
              <w:jc w:val="both"/>
            </w:pPr>
            <w:r>
              <w:rPr>
                <w:sz w:val="19"/>
                <w:szCs w:val="19"/>
              </w:rPr>
              <w:t>Convención sobre los Derechos de las Personas con Discapacidad de Naciones Unidas</w:t>
            </w:r>
          </w:p>
        </w:tc>
      </w:tr>
      <w:tr w:rsidR="00F31157" w14:paraId="52939817" w14:textId="77777777">
        <w:tc>
          <w:tcPr>
            <w:tcW w:w="2200" w:type="dxa"/>
            <w:tcMar>
              <w:top w:w="100" w:type="dxa"/>
              <w:left w:w="120" w:type="dxa"/>
              <w:bottom w:w="100" w:type="dxa"/>
              <w:right w:w="120" w:type="dxa"/>
            </w:tcMar>
            <w:vAlign w:val="center"/>
          </w:tcPr>
          <w:p w14:paraId="489C80C5" w14:textId="77777777" w:rsidR="00F31157" w:rsidRDefault="00FD7E42">
            <w:pPr>
              <w:jc w:val="both"/>
            </w:pPr>
            <w:r>
              <w:rPr>
                <w:sz w:val="19"/>
                <w:szCs w:val="19"/>
              </w:rPr>
              <w:t>Comité</w:t>
            </w:r>
          </w:p>
        </w:tc>
        <w:tc>
          <w:tcPr>
            <w:tcW w:w="7500" w:type="dxa"/>
            <w:tcMar>
              <w:top w:w="100" w:type="dxa"/>
              <w:left w:w="120" w:type="dxa"/>
              <w:bottom w:w="100" w:type="dxa"/>
              <w:right w:w="120" w:type="dxa"/>
            </w:tcMar>
            <w:vAlign w:val="center"/>
          </w:tcPr>
          <w:p w14:paraId="3704EA0C" w14:textId="77777777" w:rsidR="00F31157" w:rsidRDefault="00FD7E42">
            <w:pPr>
              <w:jc w:val="both"/>
            </w:pPr>
            <w:r>
              <w:rPr>
                <w:sz w:val="19"/>
                <w:szCs w:val="19"/>
              </w:rPr>
              <w:t>Comité sobre los Derechos de las Personas con Discapacidad de Naciones Unidas</w:t>
            </w:r>
          </w:p>
        </w:tc>
      </w:tr>
      <w:tr w:rsidR="00F31157" w14:paraId="0F690102" w14:textId="77777777">
        <w:tc>
          <w:tcPr>
            <w:tcW w:w="2200" w:type="dxa"/>
            <w:tcMar>
              <w:top w:w="100" w:type="dxa"/>
              <w:left w:w="120" w:type="dxa"/>
              <w:bottom w:w="100" w:type="dxa"/>
              <w:right w:w="120" w:type="dxa"/>
            </w:tcMar>
            <w:vAlign w:val="center"/>
          </w:tcPr>
          <w:p w14:paraId="033E7A02" w14:textId="77777777" w:rsidR="00F31157" w:rsidRDefault="00FD7E42">
            <w:pPr>
              <w:jc w:val="both"/>
            </w:pPr>
            <w:r>
              <w:rPr>
                <w:sz w:val="19"/>
                <w:szCs w:val="19"/>
              </w:rPr>
              <w:t>CRPD/C/CHL/CO/1</w:t>
            </w:r>
          </w:p>
        </w:tc>
        <w:tc>
          <w:tcPr>
            <w:tcW w:w="7500" w:type="dxa"/>
            <w:tcMar>
              <w:top w:w="100" w:type="dxa"/>
              <w:left w:w="120" w:type="dxa"/>
              <w:bottom w:w="100" w:type="dxa"/>
              <w:right w:w="120" w:type="dxa"/>
            </w:tcMar>
            <w:vAlign w:val="center"/>
          </w:tcPr>
          <w:p w14:paraId="0EDB556D" w14:textId="77777777" w:rsidR="00F31157" w:rsidRDefault="00FD7E42">
            <w:pPr>
              <w:jc w:val="both"/>
            </w:pPr>
            <w:r>
              <w:rPr>
                <w:sz w:val="19"/>
                <w:szCs w:val="19"/>
              </w:rPr>
              <w:t>Observaciones Finales del Comité sobre el informe inicial de Chile (18 de abril de 2016)</w:t>
            </w:r>
          </w:p>
        </w:tc>
      </w:tr>
      <w:tr w:rsidR="00F31157" w14:paraId="1B6A8074" w14:textId="77777777">
        <w:tc>
          <w:tcPr>
            <w:tcW w:w="2200" w:type="dxa"/>
            <w:tcMar>
              <w:top w:w="100" w:type="dxa"/>
              <w:left w:w="120" w:type="dxa"/>
              <w:bottom w:w="100" w:type="dxa"/>
              <w:right w:w="120" w:type="dxa"/>
            </w:tcMar>
            <w:vAlign w:val="center"/>
          </w:tcPr>
          <w:p w14:paraId="4A585C01" w14:textId="77777777" w:rsidR="00F31157" w:rsidRDefault="00FD7E42">
            <w:pPr>
              <w:jc w:val="both"/>
            </w:pPr>
            <w:r>
              <w:rPr>
                <w:sz w:val="19"/>
                <w:szCs w:val="19"/>
              </w:rPr>
              <w:t>ENDISC-II</w:t>
            </w:r>
          </w:p>
        </w:tc>
        <w:tc>
          <w:tcPr>
            <w:tcW w:w="7500" w:type="dxa"/>
            <w:tcMar>
              <w:top w:w="100" w:type="dxa"/>
              <w:left w:w="120" w:type="dxa"/>
              <w:bottom w:w="100" w:type="dxa"/>
              <w:right w:w="120" w:type="dxa"/>
            </w:tcMar>
            <w:vAlign w:val="center"/>
          </w:tcPr>
          <w:p w14:paraId="3ACE67A2" w14:textId="77777777" w:rsidR="00F31157" w:rsidRDefault="00FD7E42">
            <w:pPr>
              <w:jc w:val="both"/>
            </w:pPr>
            <w:r>
              <w:rPr>
                <w:sz w:val="19"/>
                <w:szCs w:val="19"/>
              </w:rPr>
              <w:t>Segundo Estudio Nacional de la Discapacidad (2015)</w:t>
            </w:r>
          </w:p>
        </w:tc>
      </w:tr>
      <w:tr w:rsidR="00F31157" w14:paraId="1C903FA5" w14:textId="77777777">
        <w:tc>
          <w:tcPr>
            <w:tcW w:w="2200" w:type="dxa"/>
            <w:tcMar>
              <w:top w:w="100" w:type="dxa"/>
              <w:left w:w="120" w:type="dxa"/>
              <w:bottom w:w="100" w:type="dxa"/>
              <w:right w:w="120" w:type="dxa"/>
            </w:tcMar>
            <w:vAlign w:val="center"/>
          </w:tcPr>
          <w:p w14:paraId="5FCEAA5F" w14:textId="77777777" w:rsidR="00F31157" w:rsidRDefault="00FD7E42">
            <w:pPr>
              <w:jc w:val="both"/>
            </w:pPr>
            <w:r>
              <w:rPr>
                <w:sz w:val="19"/>
                <w:szCs w:val="19"/>
              </w:rPr>
              <w:t>ENPCCL</w:t>
            </w:r>
          </w:p>
        </w:tc>
        <w:tc>
          <w:tcPr>
            <w:tcW w:w="7500" w:type="dxa"/>
            <w:tcMar>
              <w:top w:w="100" w:type="dxa"/>
              <w:left w:w="120" w:type="dxa"/>
              <w:bottom w:w="100" w:type="dxa"/>
              <w:right w:w="120" w:type="dxa"/>
            </w:tcMar>
            <w:vAlign w:val="center"/>
          </w:tcPr>
          <w:p w14:paraId="166ADC40" w14:textId="77777777" w:rsidR="00F31157" w:rsidRDefault="00FD7E42">
            <w:pPr>
              <w:jc w:val="both"/>
            </w:pPr>
            <w:r>
              <w:rPr>
                <w:sz w:val="19"/>
                <w:szCs w:val="19"/>
              </w:rPr>
              <w:t>Encuesta Nacional de Participación Cultural y Comportamiento Lector</w:t>
            </w:r>
          </w:p>
        </w:tc>
      </w:tr>
      <w:tr w:rsidR="00F31157" w14:paraId="6B86E55C" w14:textId="77777777">
        <w:tc>
          <w:tcPr>
            <w:tcW w:w="2200" w:type="dxa"/>
            <w:tcMar>
              <w:top w:w="100" w:type="dxa"/>
              <w:left w:w="120" w:type="dxa"/>
              <w:bottom w:w="100" w:type="dxa"/>
              <w:right w:w="120" w:type="dxa"/>
            </w:tcMar>
            <w:vAlign w:val="center"/>
          </w:tcPr>
          <w:p w14:paraId="64E65FDA" w14:textId="77777777" w:rsidR="00F31157" w:rsidRDefault="00FD7E42">
            <w:pPr>
              <w:jc w:val="both"/>
            </w:pPr>
            <w:r>
              <w:rPr>
                <w:sz w:val="19"/>
                <w:szCs w:val="19"/>
              </w:rPr>
              <w:t>FONAPI</w:t>
            </w:r>
          </w:p>
        </w:tc>
        <w:tc>
          <w:tcPr>
            <w:tcW w:w="7500" w:type="dxa"/>
            <w:tcMar>
              <w:top w:w="100" w:type="dxa"/>
              <w:left w:w="120" w:type="dxa"/>
              <w:bottom w:w="100" w:type="dxa"/>
              <w:right w:w="120" w:type="dxa"/>
            </w:tcMar>
            <w:vAlign w:val="center"/>
          </w:tcPr>
          <w:p w14:paraId="74F80FE6" w14:textId="77777777" w:rsidR="00F31157" w:rsidRDefault="00FD7E42">
            <w:pPr>
              <w:jc w:val="both"/>
            </w:pPr>
            <w:r>
              <w:rPr>
                <w:sz w:val="19"/>
                <w:szCs w:val="19"/>
              </w:rPr>
              <w:t>Fondo Nacional de Proyectos Inclusivos, Servicio Nacional de la Discapacidad</w:t>
            </w:r>
          </w:p>
        </w:tc>
      </w:tr>
      <w:tr w:rsidR="00F31157" w14:paraId="6DF01C8D" w14:textId="77777777">
        <w:tc>
          <w:tcPr>
            <w:tcW w:w="2200" w:type="dxa"/>
            <w:tcMar>
              <w:top w:w="100" w:type="dxa"/>
              <w:left w:w="120" w:type="dxa"/>
              <w:bottom w:w="100" w:type="dxa"/>
              <w:right w:w="120" w:type="dxa"/>
            </w:tcMar>
            <w:vAlign w:val="center"/>
          </w:tcPr>
          <w:p w14:paraId="3119EF89" w14:textId="77777777" w:rsidR="00F31157" w:rsidRDefault="00FD7E42">
            <w:pPr>
              <w:jc w:val="both"/>
            </w:pPr>
            <w:r>
              <w:rPr>
                <w:sz w:val="19"/>
                <w:szCs w:val="19"/>
              </w:rPr>
              <w:t>INDH</w:t>
            </w:r>
          </w:p>
        </w:tc>
        <w:tc>
          <w:tcPr>
            <w:tcW w:w="7500" w:type="dxa"/>
            <w:tcMar>
              <w:top w:w="100" w:type="dxa"/>
              <w:left w:w="120" w:type="dxa"/>
              <w:bottom w:w="100" w:type="dxa"/>
              <w:right w:w="120" w:type="dxa"/>
            </w:tcMar>
            <w:vAlign w:val="center"/>
          </w:tcPr>
          <w:p w14:paraId="4B073103" w14:textId="77777777" w:rsidR="00F31157" w:rsidRDefault="00FD7E42">
            <w:pPr>
              <w:jc w:val="both"/>
            </w:pPr>
            <w:r>
              <w:rPr>
                <w:sz w:val="19"/>
                <w:szCs w:val="19"/>
              </w:rPr>
              <w:t>Instituto Nacional de Derechos Humanos</w:t>
            </w:r>
          </w:p>
        </w:tc>
      </w:tr>
      <w:tr w:rsidR="00F31157" w14:paraId="0ABB8438" w14:textId="77777777">
        <w:tc>
          <w:tcPr>
            <w:tcW w:w="2200" w:type="dxa"/>
            <w:tcMar>
              <w:top w:w="100" w:type="dxa"/>
              <w:left w:w="120" w:type="dxa"/>
              <w:bottom w:w="100" w:type="dxa"/>
              <w:right w:w="120" w:type="dxa"/>
            </w:tcMar>
            <w:vAlign w:val="center"/>
          </w:tcPr>
          <w:p w14:paraId="2F842C9C" w14:textId="77777777" w:rsidR="00F31157" w:rsidRDefault="00FD7E42">
            <w:pPr>
              <w:jc w:val="both"/>
            </w:pPr>
            <w:proofErr w:type="spellStart"/>
            <w:r>
              <w:rPr>
                <w:sz w:val="19"/>
                <w:szCs w:val="19"/>
              </w:rPr>
              <w:t>LSCh</w:t>
            </w:r>
            <w:proofErr w:type="spellEnd"/>
          </w:p>
        </w:tc>
        <w:tc>
          <w:tcPr>
            <w:tcW w:w="7500" w:type="dxa"/>
            <w:tcMar>
              <w:top w:w="100" w:type="dxa"/>
              <w:left w:w="120" w:type="dxa"/>
              <w:bottom w:w="100" w:type="dxa"/>
              <w:right w:w="120" w:type="dxa"/>
            </w:tcMar>
            <w:vAlign w:val="center"/>
          </w:tcPr>
          <w:p w14:paraId="7CB018FC" w14:textId="77777777" w:rsidR="00F31157" w:rsidRDefault="00FD7E42">
            <w:pPr>
              <w:jc w:val="both"/>
            </w:pPr>
            <w:r>
              <w:rPr>
                <w:sz w:val="19"/>
                <w:szCs w:val="19"/>
              </w:rPr>
              <w:t>Lengua de Señas Chilena</w:t>
            </w:r>
          </w:p>
        </w:tc>
      </w:tr>
      <w:tr w:rsidR="00F31157" w14:paraId="78740D42" w14:textId="77777777">
        <w:tc>
          <w:tcPr>
            <w:tcW w:w="2200" w:type="dxa"/>
            <w:tcMar>
              <w:top w:w="100" w:type="dxa"/>
              <w:left w:w="120" w:type="dxa"/>
              <w:bottom w:w="100" w:type="dxa"/>
              <w:right w:w="120" w:type="dxa"/>
            </w:tcMar>
            <w:vAlign w:val="center"/>
          </w:tcPr>
          <w:p w14:paraId="56CC17CF" w14:textId="77777777" w:rsidR="00F31157" w:rsidRDefault="00FD7E42">
            <w:pPr>
              <w:jc w:val="both"/>
            </w:pPr>
            <w:r>
              <w:rPr>
                <w:sz w:val="19"/>
                <w:szCs w:val="19"/>
              </w:rPr>
              <w:t>NDSC</w:t>
            </w:r>
          </w:p>
        </w:tc>
        <w:tc>
          <w:tcPr>
            <w:tcW w:w="7500" w:type="dxa"/>
            <w:tcMar>
              <w:top w:w="100" w:type="dxa"/>
              <w:left w:w="120" w:type="dxa"/>
              <w:bottom w:w="100" w:type="dxa"/>
              <w:right w:w="120" w:type="dxa"/>
            </w:tcMar>
            <w:vAlign w:val="center"/>
          </w:tcPr>
          <w:p w14:paraId="6EBA3444" w14:textId="77777777" w:rsidR="00F31157" w:rsidRDefault="00FD7E42">
            <w:pPr>
              <w:jc w:val="both"/>
            </w:pPr>
            <w:proofErr w:type="spellStart"/>
            <w:r>
              <w:rPr>
                <w:sz w:val="19"/>
                <w:szCs w:val="19"/>
              </w:rPr>
              <w:t>National</w:t>
            </w:r>
            <w:proofErr w:type="spellEnd"/>
            <w:r>
              <w:rPr>
                <w:sz w:val="19"/>
                <w:szCs w:val="19"/>
              </w:rPr>
              <w:t xml:space="preserve"> Down </w:t>
            </w:r>
            <w:proofErr w:type="spellStart"/>
            <w:r>
              <w:rPr>
                <w:sz w:val="19"/>
                <w:szCs w:val="19"/>
              </w:rPr>
              <w:t>Syndrome</w:t>
            </w:r>
            <w:proofErr w:type="spellEnd"/>
            <w:r>
              <w:rPr>
                <w:sz w:val="19"/>
                <w:szCs w:val="19"/>
              </w:rPr>
              <w:t xml:space="preserve"> Congress (Estados Unidos)</w:t>
            </w:r>
          </w:p>
        </w:tc>
      </w:tr>
      <w:tr w:rsidR="00F31157" w14:paraId="19E03937" w14:textId="77777777">
        <w:tc>
          <w:tcPr>
            <w:tcW w:w="2200" w:type="dxa"/>
            <w:tcMar>
              <w:top w:w="100" w:type="dxa"/>
              <w:left w:w="120" w:type="dxa"/>
              <w:bottom w:w="100" w:type="dxa"/>
              <w:right w:w="120" w:type="dxa"/>
            </w:tcMar>
            <w:vAlign w:val="center"/>
          </w:tcPr>
          <w:p w14:paraId="172DA739" w14:textId="77777777" w:rsidR="00F31157" w:rsidRDefault="00FD7E42">
            <w:pPr>
              <w:jc w:val="both"/>
            </w:pPr>
            <w:r>
              <w:rPr>
                <w:sz w:val="19"/>
                <w:szCs w:val="19"/>
              </w:rPr>
              <w:t>RM</w:t>
            </w:r>
          </w:p>
        </w:tc>
        <w:tc>
          <w:tcPr>
            <w:tcW w:w="7500" w:type="dxa"/>
            <w:tcMar>
              <w:top w:w="100" w:type="dxa"/>
              <w:left w:w="120" w:type="dxa"/>
              <w:bottom w:w="100" w:type="dxa"/>
              <w:right w:w="120" w:type="dxa"/>
            </w:tcMar>
            <w:vAlign w:val="center"/>
          </w:tcPr>
          <w:p w14:paraId="4D74EE21" w14:textId="77777777" w:rsidR="00F31157" w:rsidRDefault="00FD7E42">
            <w:pPr>
              <w:jc w:val="both"/>
            </w:pPr>
            <w:r>
              <w:rPr>
                <w:sz w:val="19"/>
                <w:szCs w:val="19"/>
              </w:rPr>
              <w:t>Región Metropolitana de Santiago</w:t>
            </w:r>
          </w:p>
        </w:tc>
      </w:tr>
      <w:tr w:rsidR="00F31157" w14:paraId="41701D6C" w14:textId="77777777">
        <w:tc>
          <w:tcPr>
            <w:tcW w:w="2200" w:type="dxa"/>
            <w:tcMar>
              <w:top w:w="100" w:type="dxa"/>
              <w:left w:w="120" w:type="dxa"/>
              <w:bottom w:w="100" w:type="dxa"/>
              <w:right w:w="120" w:type="dxa"/>
            </w:tcMar>
            <w:vAlign w:val="center"/>
          </w:tcPr>
          <w:p w14:paraId="49FFA28F" w14:textId="77777777" w:rsidR="00F31157" w:rsidRDefault="00FD7E42">
            <w:pPr>
              <w:jc w:val="both"/>
            </w:pPr>
            <w:r>
              <w:rPr>
                <w:sz w:val="19"/>
                <w:szCs w:val="19"/>
              </w:rPr>
              <w:t>SENADIS</w:t>
            </w:r>
          </w:p>
        </w:tc>
        <w:tc>
          <w:tcPr>
            <w:tcW w:w="7500" w:type="dxa"/>
            <w:tcMar>
              <w:top w:w="100" w:type="dxa"/>
              <w:left w:w="120" w:type="dxa"/>
              <w:bottom w:w="100" w:type="dxa"/>
              <w:right w:w="120" w:type="dxa"/>
            </w:tcMar>
            <w:vAlign w:val="center"/>
          </w:tcPr>
          <w:p w14:paraId="6F0C2EE6" w14:textId="77777777" w:rsidR="00F31157" w:rsidRDefault="00FD7E42">
            <w:pPr>
              <w:jc w:val="both"/>
            </w:pPr>
            <w:r>
              <w:rPr>
                <w:sz w:val="19"/>
                <w:szCs w:val="19"/>
              </w:rPr>
              <w:t>Servicio Nacional de la Discapacidad</w:t>
            </w:r>
          </w:p>
        </w:tc>
      </w:tr>
      <w:tr w:rsidR="00F31157" w14:paraId="2F4DCE14" w14:textId="77777777">
        <w:tc>
          <w:tcPr>
            <w:tcW w:w="2200" w:type="dxa"/>
            <w:tcMar>
              <w:top w:w="100" w:type="dxa"/>
              <w:left w:w="120" w:type="dxa"/>
              <w:bottom w:w="100" w:type="dxa"/>
              <w:right w:w="120" w:type="dxa"/>
            </w:tcMar>
            <w:vAlign w:val="center"/>
          </w:tcPr>
          <w:p w14:paraId="0525996C" w14:textId="77777777" w:rsidR="00F31157" w:rsidRDefault="00FD7E42">
            <w:pPr>
              <w:jc w:val="both"/>
            </w:pPr>
            <w:r>
              <w:rPr>
                <w:sz w:val="19"/>
                <w:szCs w:val="19"/>
              </w:rPr>
              <w:t>SII</w:t>
            </w:r>
          </w:p>
        </w:tc>
        <w:tc>
          <w:tcPr>
            <w:tcW w:w="7500" w:type="dxa"/>
            <w:tcMar>
              <w:top w:w="100" w:type="dxa"/>
              <w:left w:w="120" w:type="dxa"/>
              <w:bottom w:w="100" w:type="dxa"/>
              <w:right w:w="120" w:type="dxa"/>
            </w:tcMar>
            <w:vAlign w:val="center"/>
          </w:tcPr>
          <w:p w14:paraId="0E7B67E7" w14:textId="77777777" w:rsidR="00F31157" w:rsidRDefault="00FD7E42">
            <w:pPr>
              <w:jc w:val="both"/>
            </w:pPr>
            <w:r>
              <w:rPr>
                <w:sz w:val="19"/>
                <w:szCs w:val="19"/>
              </w:rPr>
              <w:t>Servicio de Impuestos Internos</w:t>
            </w:r>
          </w:p>
        </w:tc>
      </w:tr>
      <w:tr w:rsidR="00F31157" w14:paraId="0B79C16E" w14:textId="77777777">
        <w:tc>
          <w:tcPr>
            <w:tcW w:w="2200" w:type="dxa"/>
            <w:tcMar>
              <w:top w:w="100" w:type="dxa"/>
              <w:left w:w="120" w:type="dxa"/>
              <w:bottom w:w="100" w:type="dxa"/>
              <w:right w:w="120" w:type="dxa"/>
            </w:tcMar>
            <w:vAlign w:val="center"/>
          </w:tcPr>
          <w:p w14:paraId="56E7A1D7" w14:textId="77777777" w:rsidR="00F31157" w:rsidRDefault="00FD7E42">
            <w:pPr>
              <w:jc w:val="both"/>
            </w:pPr>
            <w:r>
              <w:rPr>
                <w:sz w:val="19"/>
                <w:szCs w:val="19"/>
              </w:rPr>
              <w:t>SMART</w:t>
            </w:r>
          </w:p>
        </w:tc>
        <w:tc>
          <w:tcPr>
            <w:tcW w:w="7500" w:type="dxa"/>
            <w:tcMar>
              <w:top w:w="100" w:type="dxa"/>
              <w:left w:w="120" w:type="dxa"/>
              <w:bottom w:w="100" w:type="dxa"/>
              <w:right w:w="120" w:type="dxa"/>
            </w:tcMar>
            <w:vAlign w:val="center"/>
          </w:tcPr>
          <w:p w14:paraId="0F38A760" w14:textId="77777777" w:rsidR="00F31157" w:rsidRDefault="00FD7E42">
            <w:pPr>
              <w:jc w:val="both"/>
            </w:pPr>
            <w:r>
              <w:rPr>
                <w:sz w:val="19"/>
                <w:szCs w:val="19"/>
              </w:rPr>
              <w:t>Recomendación específica, medible, alcanzable, relevante y con plazo definido (</w:t>
            </w:r>
            <w:proofErr w:type="spellStart"/>
            <w:r>
              <w:rPr>
                <w:sz w:val="19"/>
                <w:szCs w:val="19"/>
              </w:rPr>
              <w:t>Specific</w:t>
            </w:r>
            <w:proofErr w:type="spellEnd"/>
            <w:r>
              <w:rPr>
                <w:sz w:val="19"/>
                <w:szCs w:val="19"/>
              </w:rPr>
              <w:t xml:space="preserve">, </w:t>
            </w:r>
            <w:proofErr w:type="spellStart"/>
            <w:r>
              <w:rPr>
                <w:sz w:val="19"/>
                <w:szCs w:val="19"/>
              </w:rPr>
              <w:t>Measurable</w:t>
            </w:r>
            <w:proofErr w:type="spellEnd"/>
            <w:r>
              <w:rPr>
                <w:sz w:val="19"/>
                <w:szCs w:val="19"/>
              </w:rPr>
              <w:t xml:space="preserve">, </w:t>
            </w:r>
            <w:proofErr w:type="spellStart"/>
            <w:r>
              <w:rPr>
                <w:sz w:val="19"/>
                <w:szCs w:val="19"/>
              </w:rPr>
              <w:t>Achievable</w:t>
            </w:r>
            <w:proofErr w:type="spellEnd"/>
            <w:r>
              <w:rPr>
                <w:sz w:val="19"/>
                <w:szCs w:val="19"/>
              </w:rPr>
              <w:t xml:space="preserve">, </w:t>
            </w:r>
            <w:proofErr w:type="spellStart"/>
            <w:r>
              <w:rPr>
                <w:sz w:val="19"/>
                <w:szCs w:val="19"/>
              </w:rPr>
              <w:t>Relevant</w:t>
            </w:r>
            <w:proofErr w:type="spellEnd"/>
            <w:r>
              <w:rPr>
                <w:sz w:val="19"/>
                <w:szCs w:val="19"/>
              </w:rPr>
              <w:t>, Time-</w:t>
            </w:r>
            <w:proofErr w:type="spellStart"/>
            <w:r>
              <w:rPr>
                <w:sz w:val="19"/>
                <w:szCs w:val="19"/>
              </w:rPr>
              <w:t>bound</w:t>
            </w:r>
            <w:proofErr w:type="spellEnd"/>
            <w:r>
              <w:rPr>
                <w:sz w:val="19"/>
                <w:szCs w:val="19"/>
              </w:rPr>
              <w:t>)</w:t>
            </w:r>
          </w:p>
        </w:tc>
      </w:tr>
      <w:tr w:rsidR="00F31157" w14:paraId="4716A290" w14:textId="77777777">
        <w:tc>
          <w:tcPr>
            <w:tcW w:w="2200" w:type="dxa"/>
            <w:tcMar>
              <w:top w:w="100" w:type="dxa"/>
              <w:left w:w="120" w:type="dxa"/>
              <w:bottom w:w="100" w:type="dxa"/>
              <w:right w:w="120" w:type="dxa"/>
            </w:tcMar>
            <w:vAlign w:val="center"/>
          </w:tcPr>
          <w:p w14:paraId="58FE4B3D" w14:textId="77777777" w:rsidR="00F31157" w:rsidRDefault="00FD7E42">
            <w:pPr>
              <w:jc w:val="both"/>
            </w:pPr>
            <w:r>
              <w:rPr>
                <w:sz w:val="19"/>
                <w:szCs w:val="19"/>
              </w:rPr>
              <w:t>TAD</w:t>
            </w:r>
          </w:p>
        </w:tc>
        <w:tc>
          <w:tcPr>
            <w:tcW w:w="7500" w:type="dxa"/>
            <w:tcMar>
              <w:top w:w="100" w:type="dxa"/>
              <w:left w:w="120" w:type="dxa"/>
              <w:bottom w:w="100" w:type="dxa"/>
              <w:right w:w="120" w:type="dxa"/>
            </w:tcMar>
            <w:vAlign w:val="center"/>
          </w:tcPr>
          <w:p w14:paraId="2E99386E" w14:textId="77777777" w:rsidR="00F31157" w:rsidRDefault="00FD7E42">
            <w:pPr>
              <w:jc w:val="both"/>
            </w:pPr>
            <w:r>
              <w:rPr>
                <w:sz w:val="19"/>
                <w:szCs w:val="19"/>
              </w:rPr>
              <w:t>Fundación Talleres de Adaptación y Desarrollo</w:t>
            </w:r>
          </w:p>
        </w:tc>
      </w:tr>
      <w:tr w:rsidR="00F31157" w14:paraId="5EA6CA30" w14:textId="77777777">
        <w:tc>
          <w:tcPr>
            <w:tcW w:w="2200" w:type="dxa"/>
            <w:tcMar>
              <w:top w:w="100" w:type="dxa"/>
              <w:left w:w="120" w:type="dxa"/>
              <w:bottom w:w="100" w:type="dxa"/>
              <w:right w:w="120" w:type="dxa"/>
            </w:tcMar>
            <w:vAlign w:val="center"/>
          </w:tcPr>
          <w:p w14:paraId="4A67368B" w14:textId="77777777" w:rsidR="00F31157" w:rsidRDefault="00FD7E42">
            <w:pPr>
              <w:jc w:val="both"/>
            </w:pPr>
            <w:r>
              <w:rPr>
                <w:sz w:val="19"/>
                <w:szCs w:val="19"/>
              </w:rPr>
              <w:t>UC</w:t>
            </w:r>
          </w:p>
        </w:tc>
        <w:tc>
          <w:tcPr>
            <w:tcW w:w="7500" w:type="dxa"/>
            <w:tcMar>
              <w:top w:w="100" w:type="dxa"/>
              <w:left w:w="120" w:type="dxa"/>
              <w:bottom w:w="100" w:type="dxa"/>
              <w:right w:w="120" w:type="dxa"/>
            </w:tcMar>
            <w:vAlign w:val="center"/>
          </w:tcPr>
          <w:p w14:paraId="74A4503A" w14:textId="77777777" w:rsidR="00F31157" w:rsidRDefault="00FD7E42">
            <w:pPr>
              <w:jc w:val="both"/>
            </w:pPr>
            <w:r>
              <w:rPr>
                <w:sz w:val="19"/>
                <w:szCs w:val="19"/>
              </w:rPr>
              <w:t>Pontificia Universidad Católica de Chile (Centro UC Síndrome de Down / Centro de Políticas Públicas UC)</w:t>
            </w:r>
          </w:p>
        </w:tc>
      </w:tr>
    </w:tbl>
    <w:p w14:paraId="3FA77CB6" w14:textId="77777777" w:rsidR="00F31157" w:rsidRDefault="00F31157">
      <w:pPr>
        <w:spacing w:after="200"/>
      </w:pPr>
    </w:p>
    <w:p w14:paraId="176833D4" w14:textId="77777777" w:rsidR="00F31157" w:rsidRDefault="00FD7E42">
      <w:r>
        <w:br w:type="page"/>
      </w:r>
    </w:p>
    <w:p w14:paraId="1398FA19" w14:textId="77777777" w:rsidR="00F31157" w:rsidRDefault="00FD7E42">
      <w:pPr>
        <w:pStyle w:val="Heading1"/>
        <w:spacing w:before="480" w:after="240"/>
      </w:pPr>
      <w:r>
        <w:rPr>
          <w:b/>
          <w:bCs/>
          <w:color w:val="1F3864"/>
          <w:sz w:val="30"/>
          <w:szCs w:val="30"/>
        </w:rPr>
        <w:lastRenderedPageBreak/>
        <w:t>Índice de contenidos</w:t>
      </w:r>
    </w:p>
    <w:p w14:paraId="6EBF5FC1" w14:textId="77777777" w:rsidR="00F31157" w:rsidRDefault="00FD7E42">
      <w:pPr>
        <w:spacing w:after="160"/>
      </w:pPr>
      <w:r>
        <w:rPr>
          <w:b/>
          <w:bCs/>
        </w:rPr>
        <w:t>1. Resumen ejecutivo</w:t>
      </w:r>
    </w:p>
    <w:p w14:paraId="3EC964AD" w14:textId="77777777" w:rsidR="00F31157" w:rsidRDefault="00FD7E42">
      <w:pPr>
        <w:spacing w:after="160"/>
      </w:pPr>
      <w:r>
        <w:rPr>
          <w:b/>
          <w:bCs/>
        </w:rPr>
        <w:t>2. Introducción</w:t>
      </w:r>
    </w:p>
    <w:p w14:paraId="4F281A89" w14:textId="77777777" w:rsidR="00F31157" w:rsidRDefault="00FD7E42">
      <w:pPr>
        <w:spacing w:after="60"/>
        <w:ind w:left="300"/>
      </w:pPr>
      <w:r>
        <w:t>2.1 Quiénes somos</w:t>
      </w:r>
    </w:p>
    <w:p w14:paraId="508EE3DE" w14:textId="77777777" w:rsidR="00F31157" w:rsidRDefault="00FD7E42">
      <w:pPr>
        <w:spacing w:after="60"/>
        <w:ind w:left="300"/>
      </w:pPr>
      <w:r>
        <w:t>2.2 Fuentes de evidencia</w:t>
      </w:r>
    </w:p>
    <w:p w14:paraId="14C89D48" w14:textId="77777777" w:rsidR="00F31157" w:rsidRDefault="00FD7E42">
      <w:pPr>
        <w:spacing w:after="60"/>
        <w:ind w:left="300"/>
      </w:pPr>
      <w:r>
        <w:t>2.3 Alcance, límites y encuadre temático</w:t>
      </w:r>
    </w:p>
    <w:p w14:paraId="6F46A0A1" w14:textId="77777777" w:rsidR="00F31157" w:rsidRDefault="00FD7E42">
      <w:pPr>
        <w:spacing w:after="60"/>
        <w:ind w:left="300"/>
      </w:pPr>
      <w:r>
        <w:t>2.4 Cómo leer este informe</w:t>
      </w:r>
    </w:p>
    <w:p w14:paraId="038D39A7" w14:textId="77777777" w:rsidR="00F31157" w:rsidRDefault="00FD7E42">
      <w:pPr>
        <w:spacing w:after="160"/>
      </w:pPr>
      <w:r>
        <w:rPr>
          <w:b/>
          <w:bCs/>
        </w:rPr>
        <w:t>3. Marco conceptual</w:t>
      </w:r>
    </w:p>
    <w:p w14:paraId="5BE96434" w14:textId="77777777" w:rsidR="00F31157" w:rsidRDefault="00FD7E42">
      <w:pPr>
        <w:spacing w:after="160"/>
      </w:pPr>
      <w:r>
        <w:rPr>
          <w:b/>
          <w:bCs/>
        </w:rPr>
        <w:t>4. Declaración de confidencialidad y protección de datos</w:t>
      </w:r>
    </w:p>
    <w:p w14:paraId="23B602FF" w14:textId="77777777" w:rsidR="00F31157" w:rsidRDefault="00FD7E42">
      <w:pPr>
        <w:spacing w:after="160"/>
      </w:pPr>
      <w:r>
        <w:rPr>
          <w:b/>
          <w:bCs/>
        </w:rPr>
        <w:t>5. Capítulo — Igualdad y no discriminación (Artículo 5)</w:t>
      </w:r>
    </w:p>
    <w:p w14:paraId="189DBDE4" w14:textId="77777777" w:rsidR="00F31157" w:rsidRDefault="00FD7E42">
      <w:pPr>
        <w:spacing w:after="160"/>
      </w:pPr>
      <w:r>
        <w:rPr>
          <w:b/>
          <w:bCs/>
        </w:rPr>
        <w:t>6. Capítulo — Toma de conciencia (Artículo 8)</w:t>
      </w:r>
    </w:p>
    <w:p w14:paraId="768A91B7" w14:textId="77777777" w:rsidR="00F31157" w:rsidRDefault="00FD7E42">
      <w:pPr>
        <w:spacing w:after="160"/>
      </w:pPr>
      <w:r>
        <w:rPr>
          <w:b/>
          <w:bCs/>
        </w:rPr>
        <w:t>7. Capítulo — Accesibilidad (Artículo 9)</w:t>
      </w:r>
    </w:p>
    <w:p w14:paraId="3D051B08" w14:textId="77777777" w:rsidR="00F31157" w:rsidRDefault="00FD7E42">
      <w:pPr>
        <w:spacing w:after="160"/>
      </w:pPr>
      <w:r>
        <w:rPr>
          <w:b/>
          <w:bCs/>
        </w:rPr>
        <w:t>8. Capítulo — Libertad de expresión, de opinión y acceso a la información (Artículo 21)</w:t>
      </w:r>
    </w:p>
    <w:p w14:paraId="07EADDFF" w14:textId="77777777" w:rsidR="00F31157" w:rsidRDefault="00FD7E42">
      <w:pPr>
        <w:spacing w:after="160"/>
      </w:pPr>
      <w:r>
        <w:rPr>
          <w:b/>
          <w:bCs/>
        </w:rPr>
        <w:t>9. Nota complementaria — Trabajo y empleo (Artículo 27)</w:t>
      </w:r>
    </w:p>
    <w:p w14:paraId="58533C2D" w14:textId="77777777" w:rsidR="00F31157" w:rsidRDefault="00FD7E42">
      <w:pPr>
        <w:spacing w:after="160"/>
      </w:pPr>
      <w:r>
        <w:rPr>
          <w:b/>
          <w:bCs/>
        </w:rPr>
        <w:t>10. Capítulo — Participación en la vida política y pública (Artículo 29)</w:t>
      </w:r>
    </w:p>
    <w:p w14:paraId="0C388190" w14:textId="77777777" w:rsidR="00F31157" w:rsidRDefault="00FD7E42">
      <w:pPr>
        <w:spacing w:after="160"/>
      </w:pPr>
      <w:r>
        <w:rPr>
          <w:b/>
          <w:bCs/>
        </w:rPr>
        <w:t>11. Capítulo — Participación en la vida cultural, las actividades recreativas, el esparcimiento y el deporte (Artículo 30)</w:t>
      </w:r>
    </w:p>
    <w:p w14:paraId="6ECF2469" w14:textId="77777777" w:rsidR="00F31157" w:rsidRDefault="00FD7E42">
      <w:pPr>
        <w:spacing w:after="160"/>
      </w:pPr>
      <w:r>
        <w:rPr>
          <w:b/>
          <w:bCs/>
        </w:rPr>
        <w:t>12. Síntesis de recomendaciones SMART</w:t>
      </w:r>
    </w:p>
    <w:p w14:paraId="1BB4CBB4" w14:textId="77777777" w:rsidR="00F31157" w:rsidRDefault="00FD7E42">
      <w:pPr>
        <w:spacing w:after="160"/>
      </w:pPr>
      <w:r>
        <w:rPr>
          <w:b/>
          <w:bCs/>
        </w:rPr>
        <w:t>13. Conclusiones y llamado al Comité</w:t>
      </w:r>
    </w:p>
    <w:p w14:paraId="01F7801A" w14:textId="77777777" w:rsidR="00F31157" w:rsidRDefault="00FD7E42">
      <w:pPr>
        <w:spacing w:after="160"/>
      </w:pPr>
      <w:r>
        <w:rPr>
          <w:b/>
          <w:bCs/>
        </w:rPr>
        <w:t>Anexo A — Nota metodológica ampliada</w:t>
      </w:r>
    </w:p>
    <w:p w14:paraId="0EFA1268" w14:textId="77777777" w:rsidR="00F31157" w:rsidRDefault="00FD7E42">
      <w:pPr>
        <w:spacing w:after="160"/>
      </w:pPr>
      <w:r>
        <w:rPr>
          <w:b/>
          <w:bCs/>
        </w:rPr>
        <w:t>Anexo B — Glosario de lenguaje respetuoso utilizado</w:t>
      </w:r>
    </w:p>
    <w:p w14:paraId="2AA0D2A9" w14:textId="77777777" w:rsidR="00F31157" w:rsidRDefault="00FD7E42">
      <w:pPr>
        <w:spacing w:after="160"/>
      </w:pPr>
      <w:r>
        <w:rPr>
          <w:b/>
          <w:bCs/>
        </w:rPr>
        <w:t>Anexo C — Referencias y fuentes oficiales citadas</w:t>
      </w:r>
    </w:p>
    <w:p w14:paraId="76BE74AF" w14:textId="77777777" w:rsidR="00F31157" w:rsidRDefault="00FD7E42">
      <w:r>
        <w:br w:type="page"/>
      </w:r>
    </w:p>
    <w:p w14:paraId="038F4EDF" w14:textId="77777777" w:rsidR="00F31157" w:rsidRDefault="00FD7E42">
      <w:pPr>
        <w:pStyle w:val="Heading1"/>
        <w:spacing w:before="480" w:after="240"/>
      </w:pPr>
      <w:r>
        <w:rPr>
          <w:b/>
          <w:bCs/>
          <w:color w:val="1F3864"/>
          <w:sz w:val="30"/>
          <w:szCs w:val="30"/>
        </w:rPr>
        <w:lastRenderedPageBreak/>
        <w:t>1. Resumen ejecutivo</w:t>
      </w:r>
    </w:p>
    <w:p w14:paraId="2BD166B4" w14:textId="77777777" w:rsidR="00F31157" w:rsidRDefault="00FD7E42">
      <w:pPr>
        <w:spacing w:after="200" w:line="300" w:lineRule="auto"/>
        <w:jc w:val="both"/>
      </w:pPr>
      <w:r>
        <w:t xml:space="preserve">Este informe es un aporte complementario de Fundación </w:t>
      </w:r>
      <w:proofErr w:type="spellStart"/>
      <w:r>
        <w:t>Mawen</w:t>
      </w:r>
      <w:proofErr w:type="spellEnd"/>
      <w:r>
        <w:t xml:space="preserve"> a la sociedad civil chilena que participa del proceso de examen del Estado de Chile por el Comité sobre los Derechos de las Personas con Discapacidad (CDPD), en el marco de su 2ª revisión periódica y la 35ª sesión del Comité (Ginebra, 12-27 de agosto de 2026, sujeto a confirmación oficial). Fundación </w:t>
      </w:r>
      <w:proofErr w:type="spellStart"/>
      <w:r>
        <w:t>Mawen</w:t>
      </w:r>
      <w:proofErr w:type="spellEnd"/>
      <w:r>
        <w:t xml:space="preserve"> es una organización de la sociedad civil dedicada a la formación en artes y cultura, la empleabilidad y la agencia cultural de personas con discapacidad intelectual, particularmente síndrome de Down.</w:t>
      </w:r>
    </w:p>
    <w:p w14:paraId="1B5DC8E1" w14:textId="77777777" w:rsidR="00F31157" w:rsidRDefault="00FD7E42">
      <w:pPr>
        <w:spacing w:after="200" w:line="300" w:lineRule="auto"/>
        <w:jc w:val="both"/>
      </w:pPr>
      <w:r>
        <w:t xml:space="preserve">En el proceso de elaboración de los informes complementarios de la sociedad civil, los distintos aportes fueron organizados en cinco ejes temáticos, a partir de una articulación coordinada por el Instituto Nacional de Derechos Humanos (INDH) y la Oficina Regional para América del Sur del Alto Comisionado de las Naciones Unidas para los Derechos Humanos. </w:t>
      </w:r>
      <w:r w:rsidRPr="00180F3C">
        <w:rPr>
          <w:b/>
          <w:bCs/>
        </w:rPr>
        <w:t>El artículo 30 de la Convención (participación en la vida cultural, las actividades recreativas, el esparcimiento y el deporte) no fue asignado explícitamente a ninguno de los cinco grupos</w:t>
      </w:r>
      <w:r>
        <w:t xml:space="preserve">. Este informe se presenta como aporte al Grupo 3 — Discriminación, accesibilidad y participación efectiva (arts. 5, 8, 9, 21 y 29), desarrollando íntegramente el articulado que le fue asignado a ese grupo y añadiendo el artículo 30 como eje central no cubierto por la estructura de cinco ejes del taller: el derecho a la participación cultural efectiva es, en la lectura de Fundación </w:t>
      </w:r>
      <w:proofErr w:type="spellStart"/>
      <w:r>
        <w:t>Mawen</w:t>
      </w:r>
      <w:proofErr w:type="spellEnd"/>
      <w:r>
        <w:t>, una extensión directa del derecho a la participación política y pública (art. 29) y depende, como condición habilitante, de la accesibilidad universal (art. 9) y de la accesibilidad de la información (art. 21). El informe incluye, además, una nota complementaria sobre trabajo y empleo (art. 27) dirigida a servir de puente hacia el Grupo 2, sin pretender duplicar su contenido.</w:t>
      </w:r>
    </w:p>
    <w:p w14:paraId="77F03022" w14:textId="77777777" w:rsidR="00F31157" w:rsidRDefault="00FD7E42">
      <w:pPr>
        <w:spacing w:after="200" w:line="300" w:lineRule="auto"/>
        <w:jc w:val="both"/>
      </w:pPr>
      <w:r>
        <w:rPr>
          <w:b/>
          <w:bCs/>
        </w:rPr>
        <w:t xml:space="preserve">Seis hallazgos centrales. </w:t>
      </w:r>
      <w:r>
        <w:t>El informe documenta seis hallazgos centrales, sustentados en evidencia verificable:</w:t>
      </w:r>
    </w:p>
    <w:p w14:paraId="547384BB" w14:textId="77777777" w:rsidR="00F31157" w:rsidRDefault="00FD7E42">
      <w:pPr>
        <w:spacing w:after="140" w:line="300" w:lineRule="auto"/>
        <w:ind w:left="400" w:hanging="260"/>
        <w:jc w:val="both"/>
      </w:pPr>
      <w:r>
        <w:rPr>
          <w:b/>
          <w:bCs/>
        </w:rPr>
        <w:t xml:space="preserve">a) </w:t>
      </w:r>
      <w:r>
        <w:t>el artículo 30 de la Convención no registra ninguna observación del Comité en las Observaciones Finales de 2016 (CRPD/C/CHL/CO/1): de los 73 párrafos del documento, ninguno se refiere a la vida cultural, artística, recreativa o deportiva, lo que constituye una laguna de escrutinio, no evidencia de ausencia de problema;</w:t>
      </w:r>
    </w:p>
    <w:p w14:paraId="6EB7E7DA" w14:textId="77777777" w:rsidR="00F31157" w:rsidRDefault="00FD7E42">
      <w:pPr>
        <w:spacing w:after="140" w:line="300" w:lineRule="auto"/>
        <w:ind w:left="400" w:hanging="260"/>
        <w:jc w:val="both"/>
      </w:pPr>
      <w:r>
        <w:rPr>
          <w:b/>
          <w:bCs/>
        </w:rPr>
        <w:t xml:space="preserve">b) </w:t>
      </w:r>
      <w:r>
        <w:t xml:space="preserve">Fundación </w:t>
      </w:r>
      <w:proofErr w:type="spellStart"/>
      <w:r>
        <w:t>Mawen</w:t>
      </w:r>
      <w:proofErr w:type="spellEnd"/>
      <w:r>
        <w:t xml:space="preserve"> ha desarrollado, desde 2015, un modelo de formalización laboral y mediación cultural con resultados cuantificables: un crecimiento del 103% en su elenco de artistas entre 2015 y 2024, un 56% de participantes con inicio de actividades ante el Servicio de Impuestos Internos (SII), y 253 boletas de honorarios emitidas por servicios artísticos, de las cuales 114 (45%) corresponden a la propia Fundación y 139 (55%) a otras instituciones o empresas, evidenciando empleabilidad externa real y no solo interna;</w:t>
      </w:r>
    </w:p>
    <w:p w14:paraId="204681F2" w14:textId="7AF9ACC8" w:rsidR="00F31157" w:rsidRDefault="00FD7E42">
      <w:pPr>
        <w:spacing w:after="140" w:line="300" w:lineRule="auto"/>
        <w:ind w:left="400" w:hanging="260"/>
        <w:jc w:val="both"/>
      </w:pPr>
      <w:r>
        <w:rPr>
          <w:b/>
          <w:bCs/>
        </w:rPr>
        <w:t xml:space="preserve">c) </w:t>
      </w:r>
      <w:r>
        <w:t>programas concretos de mediación cultural y formación</w:t>
      </w:r>
      <w:r w:rsidR="00180F3C">
        <w:t xml:space="preserve">, </w:t>
      </w:r>
      <w:r>
        <w:t>alianza con la Fundación Talleres de Adaptación y Desarrollo (TAD) desde 2021, colaboración con el Centro Cultural La Moneda, proyecto FONAPI-SENADIS 2023-2024 con 12 artistas contratados como asistentes creativos en cuatro comunas, e intervención de conciencia medioambiental "MUNDITO en Vitacura" con 18 intervenciones teatrales en 18 escuelas públicas</w:t>
      </w:r>
      <w:r w:rsidR="00180F3C">
        <w:t xml:space="preserve">; </w:t>
      </w:r>
      <w:r>
        <w:t xml:space="preserve">muestran que la participación cultural efectiva </w:t>
      </w:r>
      <w:r>
        <w:lastRenderedPageBreak/>
        <w:t>de personas con discapacidad intelectual es viable y escalable cuando existe financiamiento e institucionalidad de respaldo;</w:t>
      </w:r>
    </w:p>
    <w:p w14:paraId="4BF3DC08" w14:textId="77777777" w:rsidR="00F31157" w:rsidRDefault="00FD7E42">
      <w:pPr>
        <w:spacing w:after="140" w:line="300" w:lineRule="auto"/>
        <w:ind w:left="400" w:hanging="260"/>
        <w:jc w:val="both"/>
      </w:pPr>
      <w:r>
        <w:rPr>
          <w:b/>
          <w:bCs/>
        </w:rPr>
        <w:t xml:space="preserve">d) </w:t>
      </w:r>
      <w:r>
        <w:t>toda esta evidencia está concentrada territorialmente en la Región Metropolitana de Santiago, lo que impide extrapolar conclusiones a regiones extremas, zonas rurales o comunidades indígenas, y constituye en sí mismo un hallazgo sobre concentración territorial de las escasas iniciativas existentes;</w:t>
      </w:r>
    </w:p>
    <w:p w14:paraId="654D04CF" w14:textId="77777777" w:rsidR="00F31157" w:rsidRDefault="00FD7E42">
      <w:pPr>
        <w:spacing w:after="140" w:line="300" w:lineRule="auto"/>
        <w:ind w:left="400" w:hanging="260"/>
        <w:jc w:val="both"/>
      </w:pPr>
      <w:r>
        <w:rPr>
          <w:b/>
          <w:bCs/>
        </w:rPr>
        <w:t xml:space="preserve">e) </w:t>
      </w:r>
      <w:r>
        <w:t>no existen en Chile datos oficiales desglosados por edad, sexo, tipo de discapacidad o ubicación geográfica sobre participación cultural de personas con discapacidad intelectual, vacío coherente con lo ya observado por el Comité respecto del artículo 31 en 2016, y que el principal instrumento de medición en desarrollo (la Encuesta Nacional de Participación Cultural y Comportamiento Lector, ENPCCL) no evidencia, en su descripción pública, una desagregación por discapacidad; y</w:t>
      </w:r>
    </w:p>
    <w:p w14:paraId="56BE543C" w14:textId="5AFE86D4" w:rsidR="00F31157" w:rsidRDefault="00FD7E42">
      <w:pPr>
        <w:spacing w:after="140" w:line="300" w:lineRule="auto"/>
        <w:ind w:left="400" w:hanging="260"/>
        <w:jc w:val="both"/>
      </w:pPr>
      <w:r>
        <w:rPr>
          <w:b/>
          <w:bCs/>
        </w:rPr>
        <w:t xml:space="preserve">f) </w:t>
      </w:r>
      <w:r>
        <w:t>la revisión íntegra de los tres instrumentos vigentes de planificación cultural chilena</w:t>
      </w:r>
      <w:r w:rsidR="00180F3C">
        <w:t xml:space="preserve">, </w:t>
      </w:r>
      <w:r>
        <w:t>la Estrategia Quinquenal Nacional para el Desarrollo Cultural 2024-2029, la Política Nacional de Educación Artística 2024-2029 y la Cuenta Pública Participativa 2025 del Ministerio de las Culturas</w:t>
      </w:r>
      <w:r w:rsidR="00180F3C">
        <w:t xml:space="preserve">, </w:t>
      </w:r>
      <w:r>
        <w:t>muestra que la discapacidad se menciona de forma genérica y no programática (8, 2 y 1 veces respectivamente), sin que ninguno de los tres documentos distinga discapacidad intelectual o cognitiva de otros tipos de discapacidad, ni mencione lectura fácil, pictogramas o accesibilidad cognitiva en ningún pasaje: existe, en consecuencia, una brecha verificable entre el discurso general de inclusión y el desarrollo de medidas específicas para este colectivo.</w:t>
      </w:r>
    </w:p>
    <w:p w14:paraId="5EB2763C" w14:textId="77777777" w:rsidR="00F31157" w:rsidRDefault="00FD7E42">
      <w:pPr>
        <w:spacing w:after="200" w:line="300" w:lineRule="auto"/>
        <w:jc w:val="both"/>
      </w:pPr>
      <w:r>
        <w:t xml:space="preserve">Sobre esta base, el informe formula recomendaciones SMART organizadas por artículo, dirigidas a que el Comité las incorpore en sus Observaciones Finales al Estado de Chile. Fundación </w:t>
      </w:r>
      <w:proofErr w:type="spellStart"/>
      <w:r>
        <w:t>Mawen</w:t>
      </w:r>
      <w:proofErr w:type="spellEnd"/>
      <w:r>
        <w:t xml:space="preserve"> declara expresamente los límites de su evidencia: los datos cuantitativos aquí presentados corresponden a la trayectoria de una organización específica, con actividad concentrada en la Región Metropolitana, y no constituyen una muestra representativa del universo nacional de personas con discapacidad intelectual. Se presentan como evidencia de viabilidad y como llamado a la generación de datos oficiales desglosados, no como sustituto de estos.</w:t>
      </w:r>
    </w:p>
    <w:p w14:paraId="7F6EBFF9" w14:textId="77777777" w:rsidR="00F31157" w:rsidRDefault="00FD7E42">
      <w:r>
        <w:br w:type="page"/>
      </w:r>
    </w:p>
    <w:p w14:paraId="56C7AE0A" w14:textId="77777777" w:rsidR="00F31157" w:rsidRDefault="00FD7E42">
      <w:pPr>
        <w:pStyle w:val="Heading1"/>
        <w:spacing w:before="480" w:after="240"/>
      </w:pPr>
      <w:r>
        <w:rPr>
          <w:b/>
          <w:bCs/>
          <w:color w:val="1F3864"/>
          <w:sz w:val="30"/>
          <w:szCs w:val="30"/>
        </w:rPr>
        <w:lastRenderedPageBreak/>
        <w:t>2. Introducción</w:t>
      </w:r>
    </w:p>
    <w:p w14:paraId="456C95C4" w14:textId="77777777" w:rsidR="00F31157" w:rsidRDefault="00FD7E42">
      <w:pPr>
        <w:pStyle w:val="Heading2"/>
        <w:spacing w:before="320" w:after="160"/>
      </w:pPr>
      <w:r>
        <w:rPr>
          <w:b/>
          <w:bCs/>
          <w:color w:val="2E5395"/>
          <w:sz w:val="24"/>
          <w:szCs w:val="24"/>
        </w:rPr>
        <w:t>2.1 Quiénes somos</w:t>
      </w:r>
    </w:p>
    <w:p w14:paraId="71BA5BC3" w14:textId="77777777" w:rsidR="00F31157" w:rsidRDefault="00FD7E42">
      <w:pPr>
        <w:spacing w:after="200" w:line="300" w:lineRule="auto"/>
        <w:jc w:val="both"/>
      </w:pPr>
      <w:r>
        <w:t xml:space="preserve">Fundación </w:t>
      </w:r>
      <w:proofErr w:type="spellStart"/>
      <w:r>
        <w:t>Mawen</w:t>
      </w:r>
      <w:proofErr w:type="spellEnd"/>
      <w:r>
        <w:t xml:space="preserve"> es una organización de la sociedad civil con sede en Santiago de Chile, dedicada hace 11 años a la formación en artes y cultura, la empleabilidad y la agencia cultural de personas con discapacidad intelectual. Su trabajo se sitúa en la intersección entre discapacidad, cultura y política, y busca que las personas con discapacidad intelectual sean reconocidas como creadoras, gestoras y agentes culturales, y no únicamente como receptoras de programas culturales diseñados por terceros. La Fundación </w:t>
      </w:r>
      <w:proofErr w:type="spellStart"/>
      <w:r>
        <w:t>Mawen</w:t>
      </w:r>
      <w:proofErr w:type="spellEnd"/>
      <w:r>
        <w:t xml:space="preserve"> (RUT 65.114.692-5) es una organización sin fines de lucro legalmente constituida en Chile, con personalidad jurídica vigente y reconocida para desarrollar iniciativas en el ámbito de las artes, la cultura y la inclusión. Asimismo, mantiene proyectos e iniciativas tramitadas y aprobadas ante el Ministerio de las Culturas, las Artes y el Patrimonio.</w:t>
      </w:r>
    </w:p>
    <w:p w14:paraId="155F46B2" w14:textId="77777777" w:rsidR="00F31157" w:rsidRDefault="00FD7E42">
      <w:pPr>
        <w:pStyle w:val="Heading2"/>
        <w:spacing w:before="320" w:after="160"/>
      </w:pPr>
      <w:r>
        <w:rPr>
          <w:b/>
          <w:bCs/>
          <w:color w:val="2E5395"/>
          <w:sz w:val="24"/>
          <w:szCs w:val="24"/>
        </w:rPr>
        <w:t>2.2 Fuentes de evidencia</w:t>
      </w:r>
    </w:p>
    <w:p w14:paraId="0327E213" w14:textId="4125A759" w:rsidR="00F31157" w:rsidRDefault="00FD7E42">
      <w:pPr>
        <w:spacing w:after="200" w:line="300" w:lineRule="auto"/>
        <w:jc w:val="both"/>
      </w:pPr>
      <w:r>
        <w:t xml:space="preserve">Este informe se elaboró a partir de fuentes trazables, sistematizadas en detalle en el Anexo A (Nota metodológica ampliada): sistematización interna de Fundación </w:t>
      </w:r>
      <w:proofErr w:type="spellStart"/>
      <w:r>
        <w:t>Mawen</w:t>
      </w:r>
      <w:proofErr w:type="spellEnd"/>
      <w:r>
        <w:t xml:space="preserve"> para este proceso (julio de 2026); material de postulación al premio Laura Lee Advocacy Award del </w:t>
      </w:r>
      <w:proofErr w:type="spellStart"/>
      <w:r>
        <w:t>National</w:t>
      </w:r>
      <w:proofErr w:type="spellEnd"/>
      <w:r>
        <w:t xml:space="preserve"> Down </w:t>
      </w:r>
      <w:proofErr w:type="spellStart"/>
      <w:r>
        <w:t>Syndrome</w:t>
      </w:r>
      <w:proofErr w:type="spellEnd"/>
      <w:r>
        <w:t xml:space="preserve"> Congress (NDSC), edición 2026; las Observaciones Finales del Comité respecto del informe inicial de Chile (CRPD/C/CHL/CO/1, 2016), revisadas en su integridad; el Policy Brief "Síndrome de Down: propuestas para un nuevo ciclo de gobierno" (Centro UC Síndrome de Down y Centro de Políticas Públicas UC, 2024-2025); el capítulo académico "Discapacidad y </w:t>
      </w:r>
      <w:proofErr w:type="spellStart"/>
      <w:r>
        <w:t>Artivismo</w:t>
      </w:r>
      <w:proofErr w:type="spellEnd"/>
      <w:r>
        <w:t>: potencia creativa y expresión ciudadana" (Romero-Rojas y Fernández Droguett</w:t>
      </w:r>
      <w:r w:rsidR="007416A9">
        <w:t>, 2024</w:t>
      </w:r>
      <w:r>
        <w:t xml:space="preserve">); el informe de sistematización "10 años de Fundación </w:t>
      </w:r>
      <w:proofErr w:type="spellStart"/>
      <w:r>
        <w:t>Mawen</w:t>
      </w:r>
      <w:proofErr w:type="spellEnd"/>
      <w:r>
        <w:t>: mapeo preliminar de sus metodologías" (Montaña, 2025); y los tres instrumentos oficiales vigentes de política cultural chilena, revisados en su texto íntegro para este informe. Toda cifra o hecho presentado en este documento proviene de alguna de estas fuentes. Donde la evidencia disponible es insuficiente para sostener una afirmación general sobre la población nacional de personas con discapacidad intelectual, el informe lo declara expresamente en lugar de extrapolar.</w:t>
      </w:r>
    </w:p>
    <w:p w14:paraId="2C18AA5A" w14:textId="77777777" w:rsidR="00F31157" w:rsidRDefault="00FD7E42">
      <w:pPr>
        <w:pStyle w:val="Heading2"/>
        <w:spacing w:before="320" w:after="160"/>
      </w:pPr>
      <w:r>
        <w:rPr>
          <w:b/>
          <w:bCs/>
          <w:color w:val="2E5395"/>
          <w:sz w:val="24"/>
          <w:szCs w:val="24"/>
        </w:rPr>
        <w:t>2.3 Alcance, límites y encuadre temático</w:t>
      </w:r>
    </w:p>
    <w:p w14:paraId="494C020F" w14:textId="19D5716C" w:rsidR="00F31157" w:rsidRDefault="00FD7E42">
      <w:pPr>
        <w:spacing w:after="200" w:line="300" w:lineRule="auto"/>
        <w:jc w:val="both"/>
      </w:pPr>
      <w:r>
        <w:t xml:space="preserve">Este informe no pretende ser un informe temático completo ni sustituir a los cinco informes coordinados por el Taller CDPD. Desarrolla íntegramente el articulado asignado al Grupo 3 (Discriminación, accesibilidad y participación efectiva: arts. 5, 8, 9, 21 y 29), en el orden de la Convención, y añade el artículo 30 como eje no asignado a ninguno de los cinco grupos temáticos, junto con una nota complementaria dirigida al Grupo 2 (Empleo) respecto del artículo 27. Fundación </w:t>
      </w:r>
      <w:proofErr w:type="spellStart"/>
      <w:r>
        <w:t>Mawen</w:t>
      </w:r>
      <w:proofErr w:type="spellEnd"/>
      <w:r>
        <w:t xml:space="preserve"> ha optado por esta vía</w:t>
      </w:r>
      <w:r w:rsidR="00180F3C">
        <w:t xml:space="preserve">, </w:t>
      </w:r>
      <w:r>
        <w:t>enviar el contenido como aporte transversal, dejando constancia expresa de qué artículos cuentan con evidencia propia y cuáles se sistematizan a partir de fuentes oficiales</w:t>
      </w:r>
      <w:r w:rsidR="00180F3C">
        <w:t xml:space="preserve">, </w:t>
      </w:r>
      <w:r>
        <w:t xml:space="preserve">en lugar de presentar un informe autónomo, para evitar la fragmentación de los aportes de sociedad civil ante el Comité y facilitar su incorporación en el proceso coordinado. Si dicha </w:t>
      </w:r>
      <w:r>
        <w:lastRenderedPageBreak/>
        <w:t>incorporación no resultara posible dentro de los plazos del proceso, este documento puede presentarse de forma independiente como aporte complementario directo al Comité.</w:t>
      </w:r>
    </w:p>
    <w:p w14:paraId="03F7CF3F" w14:textId="412B4482" w:rsidR="00F31157" w:rsidRDefault="00FD7E42">
      <w:pPr>
        <w:spacing w:after="200" w:line="300" w:lineRule="auto"/>
        <w:jc w:val="both"/>
      </w:pPr>
      <w:r>
        <w:t xml:space="preserve">Dos límites deben declararse explícitamente. Primero, la evidencia cuantitativa propia de Fundación </w:t>
      </w:r>
      <w:proofErr w:type="spellStart"/>
      <w:r>
        <w:t>Mawen</w:t>
      </w:r>
      <w:proofErr w:type="spellEnd"/>
      <w:r>
        <w:t xml:space="preserve"> corresponde a la trayectoria de una organización entre 2015 y 2024, con actividad concentrada casi en su totalidad en la Región Metropolitana de Santiago; no es una muestra representativa del universo nacional de personas con discapacidad intelectual, de otras regiones del país, ni de otras organizaciones culturales que trabajan con esta población. Segundo, no toda la evidencia disponible cubre por igual los cinco artículos del Grupo 3: en materia de accesibilidad de la información y comunicación (art. 21)</w:t>
      </w:r>
      <w:r w:rsidR="00180F3C">
        <w:t xml:space="preserve">, </w:t>
      </w:r>
      <w:r>
        <w:t xml:space="preserve">lengua de señas chilena y sistema Braille, Fundación </w:t>
      </w:r>
      <w:proofErr w:type="spellStart"/>
      <w:r>
        <w:t>Mawen</w:t>
      </w:r>
      <w:proofErr w:type="spellEnd"/>
      <w:r>
        <w:t xml:space="preserve"> no cuenta con evidencia propia, dado que su trabajo se centra en discapacidad intelectual y accesibilidad cognitiva, no en comunidades sordas o con discapacidad visual; por ello se limita a sistematizar la observación ya formulada por el Comité en 2016. Ambos límites se declaran en el capítulo correspondiente, en lugar de omitirse o compensarse con extrapolación.</w:t>
      </w:r>
    </w:p>
    <w:p w14:paraId="54D6568A" w14:textId="77777777" w:rsidR="00F31157" w:rsidRDefault="00FD7E42">
      <w:pPr>
        <w:pStyle w:val="Heading2"/>
        <w:spacing w:before="320" w:after="160"/>
      </w:pPr>
      <w:r>
        <w:rPr>
          <w:b/>
          <w:bCs/>
          <w:color w:val="2E5395"/>
          <w:sz w:val="24"/>
          <w:szCs w:val="24"/>
        </w:rPr>
        <w:t>2.4 Cómo leer este informe</w:t>
      </w:r>
    </w:p>
    <w:p w14:paraId="3DC2BDE1" w14:textId="77777777" w:rsidR="00F31157" w:rsidRDefault="00FD7E42">
      <w:pPr>
        <w:spacing w:after="200" w:line="300" w:lineRule="auto"/>
        <w:jc w:val="both"/>
      </w:pPr>
      <w:r>
        <w:t xml:space="preserve">Siguiendo un estándar de rigurosidad y trazabilidad documental, cada capítulo sustantivo de este informe (capítulos 5 a 10) se organiza en cinco secciones homogéneas: (1) Marco normativo, que sistematiza la legislación chilena vigente y las observaciones ya formuladas por el Comité en 2016 (CRPD/C/CHL/CO/1); (2) Políticas públicas, que describe las estrategias estatales existentes o su ausencia; (3) Implementación práctica, que documenta la experiencia y la evidencia propia de Fundación </w:t>
      </w:r>
      <w:proofErr w:type="spellStart"/>
      <w:r>
        <w:t>Mawen</w:t>
      </w:r>
      <w:proofErr w:type="spellEnd"/>
      <w:r>
        <w:t xml:space="preserve">; (4) Evidencia, que sintetiza los datos presupuestarios y estadísticos disponibles y destaca, en un recuadro destacado, el punto crítico que Fundación </w:t>
      </w:r>
      <w:proofErr w:type="spellStart"/>
      <w:r>
        <w:t>Mawen</w:t>
      </w:r>
      <w:proofErr w:type="spellEnd"/>
      <w:r>
        <w:t xml:space="preserve"> considera más relevante para esta etapa de supervisión del Comité; y (5) Recomendaciones, formuladas en formato SMART (específicas, medibles, alcanzables, relevantes y con plazo definido) y presentadas como una lista de acciones concretas que Fundación </w:t>
      </w:r>
      <w:proofErr w:type="spellStart"/>
      <w:r>
        <w:t>Mawen</w:t>
      </w:r>
      <w:proofErr w:type="spellEnd"/>
      <w:r>
        <w:t xml:space="preserve"> sugiere al Comité instar al Estado de Chile a adoptar. El informe cierra con una síntesis consolidada de todas las recomendaciones SMART (capítulo 12), unas conclusiones y llamado al Comité (capítulo 13), y tres anexos que documentan la metodología, el lenguaje utilizado y las fuentes citadas.</w:t>
      </w:r>
    </w:p>
    <w:p w14:paraId="72FB4118" w14:textId="77777777" w:rsidR="00F31157" w:rsidRDefault="00FD7E42">
      <w:r>
        <w:br w:type="page"/>
      </w:r>
    </w:p>
    <w:p w14:paraId="2BFD2630" w14:textId="77777777" w:rsidR="00F31157" w:rsidRDefault="00FD7E42">
      <w:pPr>
        <w:pStyle w:val="Heading1"/>
        <w:spacing w:before="480" w:after="240"/>
      </w:pPr>
      <w:r>
        <w:rPr>
          <w:b/>
          <w:bCs/>
          <w:color w:val="1F3864"/>
          <w:sz w:val="30"/>
          <w:szCs w:val="30"/>
        </w:rPr>
        <w:lastRenderedPageBreak/>
        <w:t>3. Marco conceptual</w:t>
      </w:r>
    </w:p>
    <w:p w14:paraId="29AECBA4" w14:textId="77777777" w:rsidR="00F31157" w:rsidRDefault="00FD7E42">
      <w:pPr>
        <w:spacing w:after="200" w:line="300" w:lineRule="auto"/>
        <w:jc w:val="both"/>
      </w:pPr>
      <w:r>
        <w:t>Este informe se sitúa en el marco de los estudios críticos de la discapacidad, que entienden la discapacidad no como un atributo individual sino como el resultado de la interacción entre una condición corporal o cognitiva y un entorno social, cultural e institucional que impone barreras. Bajo este marco, la exclusión de personas con discapacidad intelectual de la vida cultural no es un déficit de las personas, sino una falla de accesibilidad, de reconocimiento institucional y de distribución de recursos.</w:t>
      </w:r>
    </w:p>
    <w:p w14:paraId="31C72201" w14:textId="4143E453" w:rsidR="00F31157" w:rsidRDefault="00FD7E42">
      <w:pPr>
        <w:spacing w:after="200" w:line="300" w:lineRule="auto"/>
        <w:jc w:val="both"/>
      </w:pPr>
      <w:r>
        <w:t xml:space="preserve">El capítulo "Discapacidad y </w:t>
      </w:r>
      <w:proofErr w:type="spellStart"/>
      <w:r>
        <w:t>Artivismo</w:t>
      </w:r>
      <w:proofErr w:type="spellEnd"/>
      <w:r>
        <w:t>: potencia creativa y expresión ciudadana" (Romero-Rojas y Fernández Droguett</w:t>
      </w:r>
      <w:r w:rsidR="007416A9">
        <w:t>, 2024</w:t>
      </w:r>
      <w:r>
        <w:t xml:space="preserve">) plantea el </w:t>
      </w:r>
      <w:proofErr w:type="spellStart"/>
      <w:r>
        <w:t>artivismo</w:t>
      </w:r>
      <w:proofErr w:type="spellEnd"/>
      <w:r w:rsidR="00180F3C">
        <w:t>, l</w:t>
      </w:r>
      <w:r>
        <w:t>a intersección entre práctica artística y acción política</w:t>
      </w:r>
      <w:r w:rsidR="00180F3C">
        <w:t>,</w:t>
      </w:r>
      <w:r>
        <w:t xml:space="preserve"> como dispositivo de producción de agencia y de reconfiguración del espacio público para personas con discapacidad. Este informe adopta esa perspectiva: la participación cultural de personas con discapacidad intelectual no debe leerse únicamente como acceso a bienes culturales (dimensión receptiva), sino como ejercicio de agencia, autoría y ciudadanía cultural (dimensión productiva y política). Esta distinción es la que fundamenta la lectura de Fundación </w:t>
      </w:r>
      <w:proofErr w:type="spellStart"/>
      <w:r>
        <w:t>Mawen</w:t>
      </w:r>
      <w:proofErr w:type="spellEnd"/>
      <w:r>
        <w:t xml:space="preserve"> de que el artículo 30 de la Convención comparte lógica con el artículo 29: ambos regulan el derecho a tomar parte activa, no solo a recibir servicios.</w:t>
      </w:r>
    </w:p>
    <w:p w14:paraId="3F704885" w14:textId="77777777" w:rsidR="00F31157" w:rsidRDefault="00FD7E42">
      <w:pPr>
        <w:spacing w:after="200" w:line="300" w:lineRule="auto"/>
        <w:jc w:val="both"/>
      </w:pPr>
      <w:r>
        <w:t xml:space="preserve">La accesibilidad universal (art. 9) y la accesibilidad de la información y la comunicación (art. 21) operan en este marco como condiciones habilitantes, no como añadidos posteriores. En particular, la accesibilidad cognitiva —comprensión, lectura fácil, señalética adaptada, procesos de mediación adecuados al perfil cognitivo de cada persona— es la dimensión de accesibilidad menos desarrollada en la política cultural chilena, y es precisamente la que Fundación </w:t>
      </w:r>
      <w:proofErr w:type="spellStart"/>
      <w:r>
        <w:t>Mawen</w:t>
      </w:r>
      <w:proofErr w:type="spellEnd"/>
      <w:r>
        <w:t xml:space="preserve"> ha debido construir de forma autogestionada en su trabajo con personas con discapacidad intelectual. Esta misma trayectoria, sin embargo, está concentrada geográficamente en Santiago, lo que exige leer sus resultados como evidencia de viabilidad y no como retrato representativo del país.</w:t>
      </w:r>
    </w:p>
    <w:p w14:paraId="519AED15" w14:textId="77777777" w:rsidR="00F31157" w:rsidRDefault="00FD7E42">
      <w:pPr>
        <w:spacing w:after="200" w:line="300" w:lineRule="auto"/>
        <w:jc w:val="both"/>
      </w:pPr>
      <w:r>
        <w:t>Sobre la terminología: si bien la literatura diagnóstica hegemónica utiliza "discapacidad intelectual" (</w:t>
      </w:r>
      <w:proofErr w:type="spellStart"/>
      <w:r>
        <w:t>Schalock</w:t>
      </w:r>
      <w:proofErr w:type="spellEnd"/>
      <w:r>
        <w:t xml:space="preserve"> et al., 2019), este informe reconoce, siguiendo a Lizama (2024), que ese término corre el riesgo de reducir la comprensión de la discapacidad a la puntuación en un test de inteligencia. Por ello se emplea también "discapacidad cognitiva", que permite dar cuenta de la modificabilidad cognitiva de la persona (Feuerstein et al., 2006; Lizama, 2024) y de la relación entre apoyos, entorno y calidad de vida (Verdugo et al., 2012; </w:t>
      </w:r>
      <w:proofErr w:type="spellStart"/>
      <w:r>
        <w:t>Schalock</w:t>
      </w:r>
      <w:proofErr w:type="spellEnd"/>
      <w:r>
        <w:t xml:space="preserve"> et al., 2019). Esta precisión conceptual no es meramente académica: como se documenta en el capítulo 11, ninguno de los instrumentos vigentes de política cultural chilena distingue entre discapacidad en general y discapacidad intelectual o cognitiva en particular, lo que diluye a este colectivo dentro de una categoría amplia sin medidas diferenciadas. Este informe sostiene, en línea con los estudios críticos de la discapacidad, que el reconocimiento discursivo de la inclusión no equivale a una estrategia específica: la ausencia de desagregación conceptual y estadística es, en sí misma, una forma de exclusión de segundo orden, que impide diseñar, financiar y evaluar medidas dirigidas a este grupo.</w:t>
      </w:r>
    </w:p>
    <w:p w14:paraId="3F862581" w14:textId="77777777" w:rsidR="00F31157" w:rsidRDefault="00FD7E42">
      <w:pPr>
        <w:pStyle w:val="Heading1"/>
        <w:spacing w:before="480" w:after="240"/>
      </w:pPr>
      <w:r>
        <w:rPr>
          <w:b/>
          <w:bCs/>
          <w:color w:val="1F3864"/>
          <w:sz w:val="30"/>
          <w:szCs w:val="30"/>
        </w:rPr>
        <w:lastRenderedPageBreak/>
        <w:t>4. Declaración de confidencialidad y protección de datos</w:t>
      </w:r>
    </w:p>
    <w:p w14:paraId="1859AEC4" w14:textId="77777777" w:rsidR="00F31157" w:rsidRDefault="00FD7E42">
      <w:pPr>
        <w:spacing w:after="200" w:line="300" w:lineRule="auto"/>
        <w:jc w:val="both"/>
      </w:pPr>
      <w:r>
        <w:t xml:space="preserve">Fundación </w:t>
      </w:r>
      <w:proofErr w:type="spellStart"/>
      <w:r>
        <w:t>Mawen</w:t>
      </w:r>
      <w:proofErr w:type="spellEnd"/>
      <w:r>
        <w:t xml:space="preserve"> no solicita que este documento sea tratado como confidencial y autoriza su publicación en el sitio web del Comité, conforme a la práctica ordinaria de tratamiento de informes complementarios. Este informe no identifica por su nombre a ninguna persona con discapacidad; toda referencia a la trayectoria de artistas de Fundación </w:t>
      </w:r>
      <w:proofErr w:type="spellStart"/>
      <w:r>
        <w:t>Mawen</w:t>
      </w:r>
      <w:proofErr w:type="spellEnd"/>
      <w:r>
        <w:t xml:space="preserve"> se presenta de forma agregada o institucional (número de artistas, cifras de formalización laboral, nombre de programas y de instituciones aliadas), sin individualizar a personas. No se incluye información sensible de salud, diagnóstico clínico individualizado, ni datos de niños, niñas o adolescentes identificables. El lenguaje utilizado en este informe evita terminología peyorativa o asistencialista, en línea con la preocupación expresada por el propio Comité en 2016 respecto del uso de términos como "invalidez", "incapaces" o "dementes" en la normativa chilena (CRPD/C/CHL/CO/1, párr. 5), y con el modelo de derechos humanos de la discapacidad que la Convención promueve. El Anexo B de este informe detalla el glosario de lenguaje respetuoso utilizado.</w:t>
      </w:r>
    </w:p>
    <w:p w14:paraId="43925411" w14:textId="77777777" w:rsidR="00F31157" w:rsidRDefault="00FD7E42">
      <w:r>
        <w:br w:type="page"/>
      </w:r>
    </w:p>
    <w:p w14:paraId="5FAFF939" w14:textId="77777777" w:rsidR="00F31157" w:rsidRDefault="00FD7E42">
      <w:pPr>
        <w:pStyle w:val="Heading1"/>
        <w:spacing w:before="480" w:after="240"/>
      </w:pPr>
      <w:r>
        <w:rPr>
          <w:b/>
          <w:bCs/>
          <w:color w:val="1F3864"/>
          <w:sz w:val="30"/>
          <w:szCs w:val="30"/>
        </w:rPr>
        <w:lastRenderedPageBreak/>
        <w:t>5. Capítulo — Igualdad y no discriminación (Artículo 5)</w:t>
      </w:r>
    </w:p>
    <w:p w14:paraId="7CF8F2DE" w14:textId="77777777" w:rsidR="00F31157" w:rsidRDefault="00FD7E42">
      <w:pPr>
        <w:pStyle w:val="Heading2"/>
        <w:spacing w:before="320" w:after="160"/>
      </w:pPr>
      <w:r>
        <w:rPr>
          <w:b/>
          <w:bCs/>
          <w:color w:val="2E5395"/>
          <w:sz w:val="24"/>
          <w:szCs w:val="24"/>
        </w:rPr>
        <w:t>5.1 Marco normativo</w:t>
      </w:r>
    </w:p>
    <w:p w14:paraId="758A35D1" w14:textId="77777777" w:rsidR="00F31157" w:rsidRDefault="00FD7E42">
      <w:pPr>
        <w:spacing w:after="200" w:line="300" w:lineRule="auto"/>
        <w:jc w:val="both"/>
      </w:pPr>
      <w:r>
        <w:t xml:space="preserve">La Ley </w:t>
      </w:r>
      <w:proofErr w:type="spellStart"/>
      <w:r>
        <w:t>N°</w:t>
      </w:r>
      <w:proofErr w:type="spellEnd"/>
      <w:r>
        <w:t xml:space="preserve"> 20.609, que establece medidas contra la discriminación (2012), incorpora la discapacidad como categoría protegida. Sin embargo, el Comité observó en 2016 que la definición de ajuste razonable en la legislación chilena no se adapta al artículo 2 de la Convención, y que la denegación de ajustes razonables no está reconocida como forma de discriminación fuera del ámbito laboral (CRPD/C/CHL/CO/1, párr. 11). Esta limitación es directamente relevante para el campo cultural: si la denegación de ajustes razonables no constituye discriminación fuera del empleo, un centro cultural, un fondo concursable o una institución de formación artística puede negar adaptaciones cognitivas o de formato sin que ello sea impugnable como discriminación.</w:t>
      </w:r>
    </w:p>
    <w:p w14:paraId="523F86D7" w14:textId="77777777" w:rsidR="00F31157" w:rsidRDefault="00FD7E42">
      <w:pPr>
        <w:pStyle w:val="Heading2"/>
        <w:spacing w:before="320" w:after="160"/>
      </w:pPr>
      <w:r>
        <w:rPr>
          <w:b/>
          <w:bCs/>
          <w:color w:val="2E5395"/>
          <w:sz w:val="24"/>
          <w:szCs w:val="24"/>
        </w:rPr>
        <w:t>5.2 Políticas públicas</w:t>
      </w:r>
    </w:p>
    <w:p w14:paraId="6A24BFF1" w14:textId="77777777" w:rsidR="00F31157" w:rsidRDefault="00FD7E42">
      <w:pPr>
        <w:spacing w:after="200" w:line="300" w:lineRule="auto"/>
        <w:jc w:val="both"/>
      </w:pPr>
      <w:r>
        <w:t>El Comité observó también, en 2016, la ausencia de políticas que combatan la discriminación múltiple e interseccional (CRPD/C/CHL/CO/1, párr. 11). En el campo cultural, esta ausencia se traduce en la falta de estrategias que reconozcan que una persona con discapacidad intelectual enfrenta, simultáneamente, barreras de acceso físico, de comprensión (accesibilidad cognitiva) y de reconocimiento profesional (empleabilidad cultural), que rara vez son abordadas de forma integrada por una misma política pública.</w:t>
      </w:r>
    </w:p>
    <w:p w14:paraId="1EE47897" w14:textId="77777777" w:rsidR="00F31157" w:rsidRDefault="00FD7E42">
      <w:pPr>
        <w:pStyle w:val="Heading2"/>
        <w:spacing w:before="320" w:after="160"/>
      </w:pPr>
      <w:r>
        <w:rPr>
          <w:b/>
          <w:bCs/>
          <w:color w:val="2E5395"/>
          <w:sz w:val="24"/>
          <w:szCs w:val="24"/>
        </w:rPr>
        <w:t>5.3 Implementación práctica</w:t>
      </w:r>
    </w:p>
    <w:p w14:paraId="3DF2EBE2" w14:textId="7640D28F" w:rsidR="00F31157" w:rsidRDefault="00FD7E42">
      <w:pPr>
        <w:spacing w:after="200" w:line="300" w:lineRule="auto"/>
        <w:jc w:val="both"/>
      </w:pPr>
      <w:r>
        <w:t xml:space="preserve">En la experiencia de Fundación </w:t>
      </w:r>
      <w:proofErr w:type="spellStart"/>
      <w:r>
        <w:t>Mawen</w:t>
      </w:r>
      <w:proofErr w:type="spellEnd"/>
      <w:r>
        <w:t xml:space="preserve">, la ausencia de un marco antidiscriminatorio robusto en el campo cultural se manifiesta como informalidad: la relación entre artistas con discapacidad intelectual y las instituciones culturales que los contratan (colegios, empresas, centros culturales, plataformas digitales) se sostiene, en gran medida, sobre la gestión directa de la Fundación, sin mecanismos institucionales que garanticen condiciones equivalentes a las de cualquier otro prestador de servicios artísticos. No se cuenta con información sobre denuncias o registros de discriminación en el acceso a espacios culturales específicamente para personas con discapacidad intelectual, lo que impide dimensionar la magnitud del problema. Cabe además una precisión territorial: la evidencia disponible para este informe proviene casi en su totalidad de la Región Metropolitana, donde se concentra la actividad de Fundación </w:t>
      </w:r>
      <w:proofErr w:type="spellStart"/>
      <w:r>
        <w:t>Mawen</w:t>
      </w:r>
      <w:proofErr w:type="spellEnd"/>
      <w:r>
        <w:t>; no existen antecedentes, dentro del alcance de este informe, sobre discriminación en el acceso a la vida cultural para personas con discapacidad intelectual que residen en regiones extremas o zonas rurales, ni un análisis diferenciado por sexo o pertenencia étnica. Esta ausencia de información territorial y sobre los grupos con mayor exclusión</w:t>
      </w:r>
      <w:r w:rsidR="00180F3C">
        <w:t xml:space="preserve">, </w:t>
      </w:r>
      <w:r>
        <w:t>mujeres con discapacidad intelectual, personas indígenas, personas que viven en zonas rurales o aisladas</w:t>
      </w:r>
      <w:r w:rsidR="00180F3C">
        <w:t>,</w:t>
      </w:r>
      <w:r>
        <w:t xml:space="preserve"> es en sí misma un hallazgo: no puede afirmarse que el problema no exista fuera de Santiago, solo que no ha sido medido.</w:t>
      </w:r>
    </w:p>
    <w:p w14:paraId="2B500B54" w14:textId="77777777" w:rsidR="00F31157" w:rsidRDefault="00FD7E42">
      <w:pPr>
        <w:pStyle w:val="Heading2"/>
        <w:spacing w:before="320" w:after="160"/>
      </w:pPr>
      <w:r>
        <w:rPr>
          <w:b/>
          <w:bCs/>
          <w:color w:val="2E5395"/>
          <w:sz w:val="24"/>
          <w:szCs w:val="24"/>
        </w:rPr>
        <w:t>5.4 Evidencia</w:t>
      </w:r>
    </w:p>
    <w:p w14:paraId="38CF6145" w14:textId="77777777" w:rsidR="00F31157" w:rsidRDefault="00FD7E42">
      <w:pPr>
        <w:spacing w:after="200" w:line="300" w:lineRule="auto"/>
        <w:jc w:val="both"/>
      </w:pPr>
      <w:r>
        <w:t xml:space="preserve">No existen partidas presupuestarias identificables destinadas específicamente a prevenir la discriminación de personas con discapacidad en el acceso a la vida cultural. Según el Tercer Estudio </w:t>
      </w:r>
      <w:r>
        <w:lastRenderedPageBreak/>
        <w:t>Nacional de la Discapacidad, el 14,7% de la población chilena entre 2 y 17 años vive con discapacidad, y el 1,3% de ese grupo (7.640 personas) presenta síndrome de Down (Policy Brief Síndrome de Down, Centro UC Síndrome de Down / Centro de Políticas Públicas UC). No existen datos oficiales desglosados por edad, sexo o ubicación geográfica sobre discriminación en el acceso a bienes y servicios culturales para esta población.</w:t>
      </w:r>
    </w:p>
    <w:tbl>
      <w:tblPr>
        <w:tblW w:w="5000" w:type="pct"/>
        <w:tblBorders>
          <w:top w:val="single" w:sz="12" w:space="0" w:color="C0392B"/>
          <w:left w:val="single" w:sz="24" w:space="0" w:color="C0392B"/>
          <w:bottom w:val="single" w:sz="12" w:space="0" w:color="C0392B"/>
          <w:right w:val="single" w:sz="12" w:space="0" w:color="C0392B"/>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981"/>
      </w:tblGrid>
      <w:tr w:rsidR="00F31157" w14:paraId="212F9A42" w14:textId="77777777">
        <w:tc>
          <w:tcPr>
            <w:tcW w:w="0" w:type="auto"/>
            <w:shd w:val="clear" w:color="auto" w:fill="FDEDEC"/>
            <w:tcMar>
              <w:top w:w="160" w:type="dxa"/>
              <w:left w:w="200" w:type="dxa"/>
              <w:bottom w:w="160" w:type="dxa"/>
              <w:right w:w="200" w:type="dxa"/>
            </w:tcMar>
          </w:tcPr>
          <w:p w14:paraId="06D3600C" w14:textId="77777777" w:rsidR="00F31157" w:rsidRDefault="00FD7E42">
            <w:pPr>
              <w:spacing w:after="80"/>
            </w:pPr>
            <w:r>
              <w:rPr>
                <w:b/>
                <w:bCs/>
                <w:color w:val="C0392B"/>
              </w:rPr>
              <w:t>Punto crítico para esta etapa de supervisión</w:t>
            </w:r>
          </w:p>
          <w:p w14:paraId="761866E0" w14:textId="77777777" w:rsidR="00F31157" w:rsidRDefault="00FD7E42">
            <w:pPr>
              <w:jc w:val="both"/>
            </w:pPr>
            <w:r>
              <w:t>La denegación de ajustes razonables no está reconocida como forma de discriminación fuera del ámbito laboral en la legislación chilena (CRPD/C/CHL/CO/1, párr. 11), lo que deja sin protección jurídica exigible el acceso de personas con discapacidad intelectual a bienes y servicios culturales, y sin ningún dato oficial que permita dimensionar el problema.</w:t>
            </w:r>
          </w:p>
        </w:tc>
      </w:tr>
    </w:tbl>
    <w:p w14:paraId="3A3DAB9F" w14:textId="77777777" w:rsidR="00F31157" w:rsidRDefault="00F31157">
      <w:pPr>
        <w:spacing w:after="200"/>
      </w:pPr>
    </w:p>
    <w:p w14:paraId="6AEDBDD6" w14:textId="77777777" w:rsidR="00F31157" w:rsidRDefault="00FD7E42">
      <w:pPr>
        <w:spacing w:after="200" w:line="300" w:lineRule="auto"/>
        <w:jc w:val="both"/>
      </w:pPr>
      <w:r>
        <w:rPr>
          <w:b/>
          <w:bCs/>
        </w:rPr>
        <w:t xml:space="preserve">Recomendaciones. </w:t>
      </w:r>
      <w:r>
        <w:t xml:space="preserve">Fundación </w:t>
      </w:r>
      <w:proofErr w:type="spellStart"/>
      <w:r>
        <w:t>Mawen</w:t>
      </w:r>
      <w:proofErr w:type="spellEnd"/>
      <w:r>
        <w:t xml:space="preserve"> sugiere al Comité instar al Estado de Chile a:</w:t>
      </w:r>
    </w:p>
    <w:p w14:paraId="3D98BB18" w14:textId="799926D6" w:rsidR="00F31157" w:rsidRDefault="00FD7E42">
      <w:pPr>
        <w:spacing w:after="140" w:line="300" w:lineRule="auto"/>
        <w:ind w:left="400" w:hanging="260"/>
        <w:jc w:val="both"/>
      </w:pPr>
      <w:r>
        <w:rPr>
          <w:b/>
          <w:bCs/>
        </w:rPr>
        <w:t xml:space="preserve">a) </w:t>
      </w:r>
      <w:r w:rsidR="00F23FBE">
        <w:rPr>
          <w:b/>
          <w:bCs/>
        </w:rPr>
        <w:t xml:space="preserve"> </w:t>
      </w:r>
      <w:r w:rsidR="00F23FBE" w:rsidRPr="00F23FBE">
        <w:t xml:space="preserve">revisar la definición de </w:t>
      </w:r>
      <w:r w:rsidR="00F23FBE" w:rsidRPr="00F23FBE">
        <w:rPr>
          <w:b/>
          <w:bCs/>
        </w:rPr>
        <w:t>ajuste razonable</w:t>
      </w:r>
      <w:r w:rsidR="00F23FBE" w:rsidRPr="00F23FBE">
        <w:t xml:space="preserve"> en la legislación antidiscriminatoria dentro de un plazo determinado. Dicho proceso </w:t>
      </w:r>
      <w:r w:rsidR="00F23FBE">
        <w:t>debiera ser</w:t>
      </w:r>
      <w:r w:rsidR="00F23FBE" w:rsidRPr="00F23FBE">
        <w:t xml:space="preserve"> verificable a través de un cronograma público, establecido a partir de la adopción de las Observaciones Finales</w:t>
      </w:r>
      <w:r>
        <w:t>, para reconocer su denegación como forma de discriminación en todos los ámbitos de la vida, incluido explícitamente el acceso a bienes y servicios culturales;</w:t>
      </w:r>
    </w:p>
    <w:p w14:paraId="274E6767" w14:textId="77777777" w:rsidR="00F31157" w:rsidRDefault="00FD7E42">
      <w:pPr>
        <w:spacing w:after="140" w:line="300" w:lineRule="auto"/>
        <w:ind w:left="400" w:hanging="260"/>
        <w:jc w:val="both"/>
      </w:pPr>
      <w:r>
        <w:rPr>
          <w:b/>
          <w:bCs/>
        </w:rPr>
        <w:t xml:space="preserve">b) </w:t>
      </w:r>
      <w:r>
        <w:t>establecer indicadores de cumplimiento desglosados por región, verificables por el Instituto Nacional de Derechos Humanos; y</w:t>
      </w:r>
    </w:p>
    <w:p w14:paraId="05E1B28A" w14:textId="77777777" w:rsidR="00F31157" w:rsidRDefault="00FD7E42">
      <w:pPr>
        <w:spacing w:after="140" w:line="300" w:lineRule="auto"/>
        <w:ind w:left="400" w:hanging="260"/>
        <w:jc w:val="both"/>
      </w:pPr>
      <w:r>
        <w:rPr>
          <w:b/>
          <w:bCs/>
        </w:rPr>
        <w:t xml:space="preserve">c) </w:t>
      </w:r>
      <w:r>
        <w:t>informar sobre la existencia de mecanismos de reclamación accesibles cognitivamente para personas con discapacidad intelectual que enfrenten discriminación en el acceso a bienes y servicios culturales, dado que la ausencia de denuncias registradas puede deberse tanto a la inexistencia del problema como a la inaccesibilidad del propio mecanismo de reclamo.</w:t>
      </w:r>
    </w:p>
    <w:p w14:paraId="3E8AFCA0" w14:textId="77777777" w:rsidR="00F31157" w:rsidRDefault="00FD7E42">
      <w:r>
        <w:br w:type="page"/>
      </w:r>
    </w:p>
    <w:p w14:paraId="750A4B35" w14:textId="77777777" w:rsidR="00F31157" w:rsidRDefault="00FD7E42">
      <w:pPr>
        <w:pStyle w:val="Heading1"/>
        <w:spacing w:before="480" w:after="240"/>
      </w:pPr>
      <w:r>
        <w:rPr>
          <w:b/>
          <w:bCs/>
          <w:color w:val="1F3864"/>
          <w:sz w:val="30"/>
          <w:szCs w:val="30"/>
        </w:rPr>
        <w:lastRenderedPageBreak/>
        <w:t>6. Capítulo — Toma de conciencia (Artículo 8)</w:t>
      </w:r>
    </w:p>
    <w:p w14:paraId="26F41C3A" w14:textId="77777777" w:rsidR="00F31157" w:rsidRDefault="00FD7E42">
      <w:pPr>
        <w:pStyle w:val="Heading2"/>
        <w:spacing w:before="320" w:after="160"/>
      </w:pPr>
      <w:r>
        <w:rPr>
          <w:b/>
          <w:bCs/>
          <w:color w:val="2E5395"/>
          <w:sz w:val="24"/>
          <w:szCs w:val="24"/>
        </w:rPr>
        <w:t>6.1 Marco normativo</w:t>
      </w:r>
    </w:p>
    <w:p w14:paraId="7DEBAD2A" w14:textId="77777777" w:rsidR="00F31157" w:rsidRDefault="00FD7E42">
      <w:pPr>
        <w:spacing w:after="200" w:line="300" w:lineRule="auto"/>
        <w:jc w:val="both"/>
      </w:pPr>
      <w:r>
        <w:t xml:space="preserve">No existe en Chile un marco legal específico que regule las campañas de sensibilización pública sobre discapacidad ni que condicione el uso de fondos públicos en campañas que refuercen el modelo asistencialista. El Comité expresó en 2016 su preocupación por la insuficiencia de los esfuerzos del Estado para combatir prejuicios y estereotipos, señalando explícitamente campañas públicas como la Teletón —receptora de fondos públicos— como reforzadoras del modelo asistencialista hacia las personas con discapacidad, y recomendó impulsar campañas que presenten a las personas con discapacidad como sujetos de derechos humanos y no como objetos de caridad (CRPD/C/CHL/CO/1, </w:t>
      </w:r>
      <w:proofErr w:type="spellStart"/>
      <w:r>
        <w:t>párrs</w:t>
      </w:r>
      <w:proofErr w:type="spellEnd"/>
      <w:r>
        <w:t>. 17-18).</w:t>
      </w:r>
    </w:p>
    <w:p w14:paraId="555F2B21" w14:textId="77777777" w:rsidR="00F31157" w:rsidRDefault="00FD7E42">
      <w:pPr>
        <w:pStyle w:val="Heading2"/>
        <w:spacing w:before="320" w:after="160"/>
      </w:pPr>
      <w:r>
        <w:rPr>
          <w:b/>
          <w:bCs/>
          <w:color w:val="2E5395"/>
          <w:sz w:val="24"/>
          <w:szCs w:val="24"/>
        </w:rPr>
        <w:t>6.2 Políticas públicas</w:t>
      </w:r>
    </w:p>
    <w:p w14:paraId="3F066908" w14:textId="77777777" w:rsidR="00F31157" w:rsidRDefault="00FD7E42">
      <w:pPr>
        <w:spacing w:after="200" w:line="300" w:lineRule="auto"/>
        <w:jc w:val="both"/>
      </w:pPr>
      <w:r>
        <w:t xml:space="preserve">No existe una línea presupuestaria estatal permanente destinada a modelos de sensibilización protagonizados por personas con discapacidad como agentes culturales. Tampoco existe reconocimiento formal, en los instrumentos de política cultural ni en los criterios de asignación de fondos públicos, del rol gestor y formativo que desempeñan organizaciones como Fundación </w:t>
      </w:r>
      <w:proofErr w:type="spellStart"/>
      <w:r>
        <w:t>Mawen</w:t>
      </w:r>
      <w:proofErr w:type="spellEnd"/>
      <w:r>
        <w:t xml:space="preserve"> dentro del circuito artístico-cultural.</w:t>
      </w:r>
    </w:p>
    <w:p w14:paraId="73F81BCA" w14:textId="77777777" w:rsidR="00F31157" w:rsidRDefault="00FD7E42">
      <w:pPr>
        <w:pStyle w:val="Heading2"/>
        <w:spacing w:before="320" w:after="160"/>
      </w:pPr>
      <w:r>
        <w:rPr>
          <w:b/>
          <w:bCs/>
          <w:color w:val="2E5395"/>
          <w:sz w:val="24"/>
          <w:szCs w:val="24"/>
        </w:rPr>
        <w:t>6.3 Implementación práctica</w:t>
      </w:r>
    </w:p>
    <w:p w14:paraId="104F03F4" w14:textId="77777777" w:rsidR="00F31157" w:rsidRDefault="00FD7E42">
      <w:pPr>
        <w:spacing w:after="200" w:line="300" w:lineRule="auto"/>
        <w:jc w:val="both"/>
      </w:pPr>
      <w:r>
        <w:t xml:space="preserve">Fundación </w:t>
      </w:r>
      <w:proofErr w:type="spellStart"/>
      <w:r>
        <w:t>Mawen</w:t>
      </w:r>
      <w:proofErr w:type="spellEnd"/>
      <w:r>
        <w:t xml:space="preserve"> constituye, en este contexto, un modelo alternativo de toma de conciencia basado en la agencia artística: en lugar de campañas de sensibilización dirigidas hacia las personas con discapacidad como objeto de la campaña, sus artistas son protagonistas activos de la producción cultural. Ejemplos documentados incluyen la puesta en escena "Cactus, sólo muere lo que se olvida", protagonizada por artistas con discapacidad intelectual de entre 16 y 50 años, presentada en gira internacional en Madrid y Barcelona en 2019, vista por más de 3.500 espectadores y cubierta por medios como El Mundo (España), La Vanguardia, La Tercera, CNN y TVN; y programas de sensibilización corporativa como los talleres de concienciación desarrollados con ENTEL Chile (11 eventos conmemorativos del Mes de la Inclusión) y con Salmones Austral. Este modelo revierte la lógica identificada por el Comité en 2016: la persona con discapacidad no es objeto de la campaña de sensibilización, sino su autora y ejecutora. Con todo, los programas documentados se concentran en la Región Metropolitana, con una excepción parcial en la Región de La Araucanía (funciones en establecimientos educacionales); no se cuenta con evidencia sobre modelos equivalentes en otras regiones del país, ni sobre su alcance a comunidades indígenas o rurales.</w:t>
      </w:r>
    </w:p>
    <w:p w14:paraId="42576CF3" w14:textId="77777777" w:rsidR="00F31157" w:rsidRDefault="00FD7E42">
      <w:pPr>
        <w:spacing w:after="200" w:line="300" w:lineRule="auto"/>
        <w:jc w:val="both"/>
      </w:pPr>
      <w:r>
        <w:t xml:space="preserve">A esta agencia artística se suma una brecha distinta, de naturaleza institucional: el Estado no reconoce formalmente el rol gestor y formativo que desempeñan organizaciones como Fundación </w:t>
      </w:r>
      <w:proofErr w:type="spellStart"/>
      <w:r>
        <w:t>Mawen</w:t>
      </w:r>
      <w:proofErr w:type="spellEnd"/>
      <w:r>
        <w:t xml:space="preserve"> dentro del circuito artístico-cultural. Esta falta de reconocimiento no es solo simbólica: determina si una institución de este tipo es considerada interlocutora legítima en mesas de política cultural, si puede acceder a categorías de financiamiento reservadas a instituciones culturales "formales", y si su trabajo es citado como antecedente en instrumentos de planificación cultural regional o nacional. </w:t>
      </w:r>
      <w:r>
        <w:lastRenderedPageBreak/>
        <w:t>Mientras el Estado siga situando a estas organizaciones en la periferia de la política cultural —como beneficiarias ocasionales de programas de inclusión social y no como actores del campo cultural propiamente tal—, su continuidad institucional seguirá dependiendo de voluntades individuales dentro de la administración pública, y no de una política de Estado sostenida en el tiempo.</w:t>
      </w:r>
    </w:p>
    <w:p w14:paraId="2EFB80CB" w14:textId="77777777" w:rsidR="00F31157" w:rsidRDefault="00FD7E42">
      <w:pPr>
        <w:pStyle w:val="Heading2"/>
        <w:spacing w:before="320" w:after="160"/>
      </w:pPr>
      <w:r>
        <w:rPr>
          <w:b/>
          <w:bCs/>
          <w:color w:val="2E5395"/>
          <w:sz w:val="24"/>
          <w:szCs w:val="24"/>
        </w:rPr>
        <w:t>6.4 Evidencia</w:t>
      </w:r>
    </w:p>
    <w:p w14:paraId="0188AF69" w14:textId="77777777" w:rsidR="00F31157" w:rsidRDefault="00FD7E42">
      <w:pPr>
        <w:spacing w:after="200" w:line="300" w:lineRule="auto"/>
        <w:jc w:val="both"/>
      </w:pPr>
      <w:r>
        <w:t xml:space="preserve">Las actividades de toma de conciencia protagonizadas por Fundación </w:t>
      </w:r>
      <w:proofErr w:type="spellStart"/>
      <w:r>
        <w:t>Mawen</w:t>
      </w:r>
      <w:proofErr w:type="spellEnd"/>
      <w:r>
        <w:t xml:space="preserve"> se han financiado, hasta la fecha, mediante alianzas con empresas privadas (ENTEL, Salmones Austral), instituciones educativas y fondos concursables puntuales (FONAPI-SENADIS 2023-2024), sin una línea presupuestaria estatal permanente. No existen registros oficiales que comparen el financiamiento público destinado a campañas asistencialistas de sensibilización con el destinado a modelos protagonizados por personas con discapacidad como agentes culturales, ni desglose alguno por región.</w:t>
      </w:r>
    </w:p>
    <w:tbl>
      <w:tblPr>
        <w:tblW w:w="5000" w:type="pct"/>
        <w:tblBorders>
          <w:top w:val="single" w:sz="12" w:space="0" w:color="C0392B"/>
          <w:left w:val="single" w:sz="24" w:space="0" w:color="C0392B"/>
          <w:bottom w:val="single" w:sz="12" w:space="0" w:color="C0392B"/>
          <w:right w:val="single" w:sz="12" w:space="0" w:color="C0392B"/>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981"/>
      </w:tblGrid>
      <w:tr w:rsidR="00F31157" w14:paraId="4A9B96FA" w14:textId="77777777">
        <w:tc>
          <w:tcPr>
            <w:tcW w:w="0" w:type="auto"/>
            <w:shd w:val="clear" w:color="auto" w:fill="FDEDEC"/>
            <w:tcMar>
              <w:top w:w="160" w:type="dxa"/>
              <w:left w:w="200" w:type="dxa"/>
              <w:bottom w:w="160" w:type="dxa"/>
              <w:right w:w="200" w:type="dxa"/>
            </w:tcMar>
          </w:tcPr>
          <w:p w14:paraId="73BE0371" w14:textId="77777777" w:rsidR="00F31157" w:rsidRDefault="00FD7E42">
            <w:pPr>
              <w:spacing w:after="80"/>
            </w:pPr>
            <w:r>
              <w:rPr>
                <w:b/>
                <w:bCs/>
                <w:color w:val="C0392B"/>
              </w:rPr>
              <w:t>Punto crítico para esta etapa de supervisión</w:t>
            </w:r>
          </w:p>
          <w:p w14:paraId="5B96FE03" w14:textId="77777777" w:rsidR="00F31157" w:rsidRDefault="00FD7E42">
            <w:pPr>
              <w:jc w:val="both"/>
            </w:pPr>
            <w:r>
              <w:t xml:space="preserve">El Estado no reconoce formalmente, ni en los instrumentos de política cultural ni en los criterios de asignación de fondos públicos, el rol gestor y formativo que desempeñan organizaciones como Fundación </w:t>
            </w:r>
            <w:proofErr w:type="spellStart"/>
            <w:r>
              <w:t>Mawen</w:t>
            </w:r>
            <w:proofErr w:type="spellEnd"/>
            <w:r>
              <w:t>, lo que perpetúa la dependencia de voluntades individuales dentro de la administración pública antes que de una política de Estado sostenida.</w:t>
            </w:r>
          </w:p>
        </w:tc>
      </w:tr>
    </w:tbl>
    <w:p w14:paraId="33EC8B86" w14:textId="77777777" w:rsidR="00F23FBE" w:rsidRDefault="00F23FBE">
      <w:pPr>
        <w:spacing w:after="200" w:line="300" w:lineRule="auto"/>
        <w:jc w:val="both"/>
        <w:rPr>
          <w:b/>
          <w:bCs/>
        </w:rPr>
      </w:pPr>
    </w:p>
    <w:p w14:paraId="4DFBBF26" w14:textId="49F76BBA" w:rsidR="00F31157" w:rsidRDefault="00FD7E42">
      <w:pPr>
        <w:spacing w:after="200" w:line="300" w:lineRule="auto"/>
        <w:jc w:val="both"/>
      </w:pPr>
      <w:r>
        <w:rPr>
          <w:b/>
          <w:bCs/>
        </w:rPr>
        <w:t xml:space="preserve">Recomendaciones. </w:t>
      </w:r>
      <w:r>
        <w:t xml:space="preserve">Fundación </w:t>
      </w:r>
      <w:proofErr w:type="spellStart"/>
      <w:r>
        <w:t>Mawen</w:t>
      </w:r>
      <w:proofErr w:type="spellEnd"/>
      <w:r>
        <w:t xml:space="preserve"> sugiere al Comité instar al Estado de Chile a que, a través del Ministerio de las Culturas, las Artes y el Patrimonio, en coordinación con el Servicio Nacional de la Discapacidad:</w:t>
      </w:r>
    </w:p>
    <w:p w14:paraId="4DE0F5D6" w14:textId="1BD9085A" w:rsidR="00F31157" w:rsidRDefault="00FD7E42">
      <w:pPr>
        <w:spacing w:after="140" w:line="300" w:lineRule="auto"/>
        <w:ind w:left="400" w:hanging="260"/>
        <w:jc w:val="both"/>
      </w:pPr>
      <w:r>
        <w:rPr>
          <w:b/>
          <w:bCs/>
        </w:rPr>
        <w:t xml:space="preserve">a) </w:t>
      </w:r>
      <w:r>
        <w:t>destine, en u</w:t>
      </w:r>
      <w:r w:rsidR="00F23FBE">
        <w:t>n</w:t>
      </w:r>
      <w:r w:rsidR="00F23FBE" w:rsidRPr="00F23FBE">
        <w:t xml:space="preserve"> plazo determinado</w:t>
      </w:r>
      <w:r w:rsidR="00F23FBE">
        <w:t xml:space="preserve"> y verificable</w:t>
      </w:r>
      <w:r>
        <w:t>, una línea de financiamiento concursable específica para programas de sensibilización pública protagonizados por personas con discapacidad como agentes culturales activos, con criterios explícitos de distribución territorial fuera de la Región Metropolitana;</w:t>
      </w:r>
    </w:p>
    <w:p w14:paraId="4A43F533" w14:textId="77777777" w:rsidR="00F31157" w:rsidRDefault="00FD7E42">
      <w:pPr>
        <w:spacing w:after="140" w:line="300" w:lineRule="auto"/>
        <w:ind w:left="400" w:hanging="260"/>
        <w:jc w:val="both"/>
      </w:pPr>
      <w:r>
        <w:rPr>
          <w:b/>
          <w:bCs/>
        </w:rPr>
        <w:t xml:space="preserve">b) </w:t>
      </w:r>
      <w:r>
        <w:t>reconozca pública y formalmente, en sus instrumentos de política cultural y en los criterios de asignación de fondos, el rol gestor y formativo de las organizaciones de la sociedad civil que trabajan con personas con discapacidad en el campo artístico-cultural;</w:t>
      </w:r>
    </w:p>
    <w:p w14:paraId="2C2272EE" w14:textId="70221373" w:rsidR="00F31157" w:rsidRDefault="00FD7E42">
      <w:pPr>
        <w:spacing w:after="140" w:line="300" w:lineRule="auto"/>
        <w:ind w:left="400" w:hanging="260"/>
        <w:jc w:val="both"/>
      </w:pPr>
      <w:r>
        <w:rPr>
          <w:b/>
          <w:bCs/>
        </w:rPr>
        <w:t xml:space="preserve">c) </w:t>
      </w:r>
      <w:r w:rsidR="00F23FBE">
        <w:rPr>
          <w:b/>
          <w:bCs/>
        </w:rPr>
        <w:t xml:space="preserve"> </w:t>
      </w:r>
      <w:r>
        <w:t>audite el uso de fondos públicos en campañas de sensibilización para asegurar que no refuercen el modelo asistencialista, conforme a lo ya solicitado por el Comité en 2016; y</w:t>
      </w:r>
    </w:p>
    <w:p w14:paraId="409FE04A" w14:textId="77777777" w:rsidR="00F31157" w:rsidRDefault="00FD7E42">
      <w:pPr>
        <w:spacing w:after="140" w:line="300" w:lineRule="auto"/>
        <w:ind w:left="400" w:hanging="260"/>
        <w:jc w:val="both"/>
      </w:pPr>
      <w:r>
        <w:rPr>
          <w:b/>
          <w:bCs/>
        </w:rPr>
        <w:t xml:space="preserve">d) </w:t>
      </w:r>
      <w:r>
        <w:t>exija, como requisito de asignación de fondos, que cualquier futura campaña de sensibilización incluya la participación de personas con discapacidad intelectual en el diseño y no solo en la ejecución.</w:t>
      </w:r>
    </w:p>
    <w:p w14:paraId="506C49D4" w14:textId="77777777" w:rsidR="00F31157" w:rsidRDefault="00FD7E42">
      <w:r>
        <w:br w:type="page"/>
      </w:r>
    </w:p>
    <w:p w14:paraId="655926C6" w14:textId="77777777" w:rsidR="00F31157" w:rsidRDefault="00FD7E42">
      <w:pPr>
        <w:pStyle w:val="Heading1"/>
        <w:spacing w:before="480" w:after="240"/>
      </w:pPr>
      <w:r>
        <w:rPr>
          <w:b/>
          <w:bCs/>
          <w:color w:val="1F3864"/>
          <w:sz w:val="30"/>
          <w:szCs w:val="30"/>
        </w:rPr>
        <w:lastRenderedPageBreak/>
        <w:t>7. Capítulo — Accesibilidad (Artículo 9)</w:t>
      </w:r>
    </w:p>
    <w:p w14:paraId="28317530" w14:textId="77777777" w:rsidR="00F31157" w:rsidRDefault="00FD7E42">
      <w:pPr>
        <w:pStyle w:val="Heading2"/>
        <w:spacing w:before="320" w:after="160"/>
      </w:pPr>
      <w:r>
        <w:rPr>
          <w:b/>
          <w:bCs/>
          <w:color w:val="2E5395"/>
          <w:sz w:val="24"/>
          <w:szCs w:val="24"/>
        </w:rPr>
        <w:t>7.1 Marco normativo</w:t>
      </w:r>
    </w:p>
    <w:p w14:paraId="0C698490" w14:textId="77777777" w:rsidR="00F31157" w:rsidRDefault="00FD7E42">
      <w:pPr>
        <w:spacing w:after="200" w:line="300" w:lineRule="auto"/>
        <w:jc w:val="both"/>
      </w:pPr>
      <w:r>
        <w:t xml:space="preserve">La Ley </w:t>
      </w:r>
      <w:proofErr w:type="spellStart"/>
      <w:r>
        <w:t>N°</w:t>
      </w:r>
      <w:proofErr w:type="spellEnd"/>
      <w:r>
        <w:t xml:space="preserve"> 20.422 (2010) establece normas sobre igualdad de oportunidades e inclusión social de personas con discapacidad, incluyendo disposiciones de accesibilidad. El Comité observó en 2016 pocos avances en su cumplimiento y la inexistencia de mecanismos de queja por falta de accesibilidad (CRPD/C/CHL/CO/1, párr. 19), recomendando la adopción de un plan de accesibilidad general conforme a la Observación General </w:t>
      </w:r>
      <w:proofErr w:type="spellStart"/>
      <w:r>
        <w:t>N°</w:t>
      </w:r>
      <w:proofErr w:type="spellEnd"/>
      <w:r>
        <w:t xml:space="preserve"> 2 (2014) del propio Comité, que incluya accesibilidad en transporte, edificaciones, información y comunicación, con plazos y sanciones (párr. 20).</w:t>
      </w:r>
    </w:p>
    <w:p w14:paraId="470F3EC9" w14:textId="77777777" w:rsidR="00F31157" w:rsidRDefault="00FD7E42">
      <w:pPr>
        <w:pStyle w:val="Heading2"/>
        <w:spacing w:before="320" w:after="160"/>
      </w:pPr>
      <w:r>
        <w:rPr>
          <w:b/>
          <w:bCs/>
          <w:color w:val="2E5395"/>
          <w:sz w:val="24"/>
          <w:szCs w:val="24"/>
        </w:rPr>
        <w:t>7.2 Políticas públicas</w:t>
      </w:r>
    </w:p>
    <w:p w14:paraId="2EE880E2" w14:textId="77777777" w:rsidR="00F31157" w:rsidRDefault="00FD7E42">
      <w:pPr>
        <w:spacing w:after="200" w:line="300" w:lineRule="auto"/>
        <w:jc w:val="both"/>
      </w:pPr>
      <w:r>
        <w:t>El Policy Brief "Síndrome de Down: propuestas para un nuevo ciclo de gobierno" (2024-2025), elaborado a partir de un proceso participativo con 367 personas de distintas regiones del país, identifica como brecha persistente que, pese a los esfuerzos en accesibilidad física y sensorial, la accesibilidad cognitiva sigue siendo un aspecto ignorado en la política pública chilena, y propone explícitamente la creación de un centro nacional de accesibilidad cognitiva, con material educativo en lectura fácil y señalética adaptada como componentes centrales.</w:t>
      </w:r>
    </w:p>
    <w:p w14:paraId="28A52C1B" w14:textId="77777777" w:rsidR="00F31157" w:rsidRDefault="00FD7E42">
      <w:pPr>
        <w:pStyle w:val="Heading2"/>
        <w:spacing w:before="320" w:after="160"/>
      </w:pPr>
      <w:r>
        <w:rPr>
          <w:b/>
          <w:bCs/>
          <w:color w:val="2E5395"/>
          <w:sz w:val="24"/>
          <w:szCs w:val="24"/>
        </w:rPr>
        <w:t>7.3 Implementación práctica</w:t>
      </w:r>
    </w:p>
    <w:p w14:paraId="6399BEA7" w14:textId="1CD233AD" w:rsidR="00F31157" w:rsidRDefault="00FD7E42">
      <w:pPr>
        <w:spacing w:after="200" w:line="300" w:lineRule="auto"/>
        <w:jc w:val="both"/>
      </w:pPr>
      <w:r>
        <w:t xml:space="preserve">En el campo cultural, la ausencia de una política de accesibilidad cognitiva obliga a que sean las propias organizaciones, como Fundación </w:t>
      </w:r>
      <w:proofErr w:type="spellStart"/>
      <w:r>
        <w:t>Mawen</w:t>
      </w:r>
      <w:proofErr w:type="spellEnd"/>
      <w:r>
        <w:t>, quienes desarrollen, de forma autogestionada, los formatos y procesos de mediación necesarios para que personas con discapacidad intelectual puedan participar como creadoras y no solo como público. La alianza TAD (Talleres de Adaptación y Desarrollo), vigente desde 2021, y la colaboración con el Centro Cultural La Moneda</w:t>
      </w:r>
      <w:r w:rsidR="00F23FBE">
        <w:t xml:space="preserve">, </w:t>
      </w:r>
      <w:r>
        <w:t xml:space="preserve">que ha formado a artistas de Fundación </w:t>
      </w:r>
      <w:proofErr w:type="spellStart"/>
      <w:r>
        <w:t>Mawen</w:t>
      </w:r>
      <w:proofErr w:type="spellEnd"/>
      <w:r>
        <w:t xml:space="preserve"> como guías en espacios culturales, entregando información accesible</w:t>
      </w:r>
      <w:r w:rsidR="00F23FBE">
        <w:t xml:space="preserve"> cognitivamente</w:t>
      </w:r>
      <w:r>
        <w:t xml:space="preserve"> y experiencias inclusivas para todo público, son ejemplos de esta accesibilidad construida sin respaldo de una política nacional. La intervención "MUNDITO en Vitacura" (18 intervenciones teatrales de sensibilización ambiental en 18 escuelas públicas de la comuna) muestra además que estos modelos de accesibilidad y mediación cultural pueden escalar territorialmente cuando cuentan con financiamiento, aunque sea puntual. Debe señalarse, sin embargo, que estas intervenciones son urbanas y se concentran en comunas de la Región Metropolitana; no existe evidencia, dentro del alcance de este informe, de programas equivalentes en regiones extremas, zonas rurales o comunas de menores ingresos, lo que sugiere, sin que este informe pueda demostrarlo con datos representativos, un riesgo de concentración territorial de las escasas iniciativas existentes.</w:t>
      </w:r>
    </w:p>
    <w:p w14:paraId="1C340B60" w14:textId="77777777" w:rsidR="00F31157" w:rsidRDefault="00FD7E42">
      <w:pPr>
        <w:pStyle w:val="Heading2"/>
        <w:spacing w:before="320" w:after="160"/>
      </w:pPr>
      <w:r>
        <w:rPr>
          <w:b/>
          <w:bCs/>
          <w:color w:val="2E5395"/>
          <w:sz w:val="24"/>
          <w:szCs w:val="24"/>
        </w:rPr>
        <w:t>7.4 Evidencia</w:t>
      </w:r>
    </w:p>
    <w:p w14:paraId="13A51B46" w14:textId="77777777" w:rsidR="00F31157" w:rsidRDefault="00FD7E42">
      <w:pPr>
        <w:spacing w:after="200" w:line="300" w:lineRule="auto"/>
        <w:jc w:val="both"/>
      </w:pPr>
      <w:r>
        <w:t xml:space="preserve">El proyecto FONAPI del Servicio Nacional de la Discapacidad (SENADIS), adjudicado a Fundación </w:t>
      </w:r>
      <w:proofErr w:type="spellStart"/>
      <w:r>
        <w:t>Mawen</w:t>
      </w:r>
      <w:proofErr w:type="spellEnd"/>
      <w:r>
        <w:t xml:space="preserve"> en el período 2023-2024, financió presentaciones ciudadanas en cuatro comunas de Santiago y la contratación de 12 artistas de la Fundación como asistentes creativos en teatro, artes visuales, música y danza. Este es, hasta donde la evidencia de este informe permite establecer, uno de los pocos </w:t>
      </w:r>
      <w:r>
        <w:lastRenderedPageBreak/>
        <w:t>financiamientos públicos identificables destinados específicamente a accesibilidad y mediación cultural con participación protagónica de personas con discapacidad intelectual, y tuvo carácter acotado en el tiempo y en el territorio (cuatro comunas de una sola región), no permanente ni nacional. No existen estadísticas oficiales sobre accesibilidad cognitiva en espacios culturales a nivel nacional, ni desglose regional de la escasa oferta existente. La propuesta de creación de un centro nacional de accesibilidad cognitiva, formulada en el proceso participativo de 367 personas antes referido, no ha sido adoptada por el Estado a la fecha de este informe.</w:t>
      </w:r>
    </w:p>
    <w:tbl>
      <w:tblPr>
        <w:tblW w:w="5000" w:type="pct"/>
        <w:tblBorders>
          <w:top w:val="single" w:sz="12" w:space="0" w:color="C0392B"/>
          <w:left w:val="single" w:sz="24" w:space="0" w:color="C0392B"/>
          <w:bottom w:val="single" w:sz="12" w:space="0" w:color="C0392B"/>
          <w:right w:val="single" w:sz="12" w:space="0" w:color="C0392B"/>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981"/>
      </w:tblGrid>
      <w:tr w:rsidR="00F31157" w14:paraId="06CFB661" w14:textId="77777777">
        <w:tc>
          <w:tcPr>
            <w:tcW w:w="0" w:type="auto"/>
            <w:shd w:val="clear" w:color="auto" w:fill="FDEDEC"/>
            <w:tcMar>
              <w:top w:w="160" w:type="dxa"/>
              <w:left w:w="200" w:type="dxa"/>
              <w:bottom w:w="160" w:type="dxa"/>
              <w:right w:w="200" w:type="dxa"/>
            </w:tcMar>
          </w:tcPr>
          <w:p w14:paraId="40140527" w14:textId="77777777" w:rsidR="00F31157" w:rsidRDefault="00FD7E42">
            <w:pPr>
              <w:spacing w:after="80"/>
            </w:pPr>
            <w:r>
              <w:rPr>
                <w:b/>
                <w:bCs/>
                <w:color w:val="C0392B"/>
              </w:rPr>
              <w:t>Punto crítico para esta etapa de supervisión</w:t>
            </w:r>
          </w:p>
          <w:p w14:paraId="5B166FE6" w14:textId="77777777" w:rsidR="00F31157" w:rsidRDefault="00FD7E42">
            <w:pPr>
              <w:jc w:val="both"/>
            </w:pPr>
            <w:r>
              <w:t xml:space="preserve">A diez años de la recomendación del Comité de adoptar un plan de accesibilidad general conforme a su Observación General </w:t>
            </w:r>
            <w:proofErr w:type="spellStart"/>
            <w:r>
              <w:t>N°</w:t>
            </w:r>
            <w:proofErr w:type="spellEnd"/>
            <w:r>
              <w:t xml:space="preserve"> 2 (2014), no existe evidencia de su implementación, y la accesibilidad cognitiva —la dimensión menos desarrollada— permanece ausente de la política cultural, pese a existir metodologías ya sistematizadas por la sociedad civil (véase capítulo 11.3).</w:t>
            </w:r>
          </w:p>
        </w:tc>
      </w:tr>
    </w:tbl>
    <w:p w14:paraId="1310BBA0" w14:textId="77777777" w:rsidR="00F23FBE" w:rsidRDefault="00F23FBE">
      <w:pPr>
        <w:spacing w:after="200" w:line="300" w:lineRule="auto"/>
        <w:jc w:val="both"/>
        <w:rPr>
          <w:b/>
          <w:bCs/>
        </w:rPr>
      </w:pPr>
    </w:p>
    <w:p w14:paraId="69946953" w14:textId="4715314A" w:rsidR="00F31157" w:rsidRDefault="00FD7E42">
      <w:pPr>
        <w:spacing w:after="200" w:line="300" w:lineRule="auto"/>
        <w:jc w:val="both"/>
      </w:pPr>
      <w:r>
        <w:rPr>
          <w:b/>
          <w:bCs/>
        </w:rPr>
        <w:t xml:space="preserve">Recomendaciones. </w:t>
      </w:r>
      <w:r>
        <w:t xml:space="preserve">Fundación </w:t>
      </w:r>
      <w:proofErr w:type="spellStart"/>
      <w:r>
        <w:t>Mawen</w:t>
      </w:r>
      <w:proofErr w:type="spellEnd"/>
      <w:r>
        <w:t xml:space="preserve"> sugiere al Comité instar al Estado de Chile a:</w:t>
      </w:r>
    </w:p>
    <w:p w14:paraId="7D9976EE" w14:textId="57D076F5" w:rsidR="00F31157" w:rsidRDefault="00FD7E42">
      <w:pPr>
        <w:spacing w:after="140" w:line="300" w:lineRule="auto"/>
        <w:ind w:left="400" w:hanging="260"/>
        <w:jc w:val="both"/>
      </w:pPr>
      <w:r>
        <w:rPr>
          <w:b/>
          <w:bCs/>
        </w:rPr>
        <w:t xml:space="preserve">a) </w:t>
      </w:r>
      <w:r w:rsidR="00F23FBE">
        <w:rPr>
          <w:b/>
          <w:bCs/>
        </w:rPr>
        <w:t xml:space="preserve"> </w:t>
      </w:r>
      <w:r>
        <w:t>incorporar explícitamente la accesibilidad cognitiva</w:t>
      </w:r>
      <w:r w:rsidR="00F23FBE">
        <w:t xml:space="preserve">, </w:t>
      </w:r>
      <w:r>
        <w:t>lectura fácil, señalética adaptada y procesos de mediación cultural</w:t>
      </w:r>
      <w:r w:rsidR="00F23FBE">
        <w:t xml:space="preserve">, </w:t>
      </w:r>
      <w:r>
        <w:t xml:space="preserve">en el plan de accesibilidad general recomendado en 2016, con metas específicas para el sector cultural y cobertura explícita fuera de la Región Metropolitana, en un plazo </w:t>
      </w:r>
      <w:r w:rsidR="00F23FBE" w:rsidRPr="00F23FBE">
        <w:t>determinado</w:t>
      </w:r>
      <w:r w:rsidR="00F23FBE">
        <w:t xml:space="preserve"> y verificable </w:t>
      </w:r>
      <w:r>
        <w:t>desde la adopción de las Observaciones Finales; y</w:t>
      </w:r>
    </w:p>
    <w:p w14:paraId="03748A3E" w14:textId="0651FBE5" w:rsidR="00F31157" w:rsidRDefault="00FD7E42">
      <w:pPr>
        <w:spacing w:after="140" w:line="300" w:lineRule="auto"/>
        <w:ind w:left="400" w:hanging="260"/>
        <w:jc w:val="both"/>
      </w:pPr>
      <w:r>
        <w:rPr>
          <w:b/>
          <w:bCs/>
        </w:rPr>
        <w:t xml:space="preserve">b) </w:t>
      </w:r>
      <w:r w:rsidR="00F23FBE" w:rsidRPr="00F23FBE">
        <w:t>dar conocimiento e</w:t>
      </w:r>
      <w:r w:rsidR="00F23FBE">
        <w:rPr>
          <w:b/>
          <w:bCs/>
        </w:rPr>
        <w:t xml:space="preserve"> </w:t>
      </w:r>
      <w:r>
        <w:t>informa</w:t>
      </w:r>
      <w:r w:rsidR="00F23FBE">
        <w:t>ción</w:t>
      </w:r>
      <w:r>
        <w:t xml:space="preserve"> públicamente sobre el estado de avance de la propuesta de centro nacional de accesibilidad cognitiva formulada por la sociedad civil, y presentar un cronograma público de implementación del plan de accesibilidad general con hitos verificables para accesibilidad cognitiva, dado que han transcurrido diez años desde la recomendación de 2016 sin evidencia de su adopción.</w:t>
      </w:r>
    </w:p>
    <w:p w14:paraId="28E810B7" w14:textId="77777777" w:rsidR="00F31157" w:rsidRDefault="00FD7E42">
      <w:r>
        <w:br w:type="page"/>
      </w:r>
    </w:p>
    <w:p w14:paraId="69D60C0D" w14:textId="77777777" w:rsidR="00F31157" w:rsidRDefault="00FD7E42">
      <w:pPr>
        <w:pStyle w:val="Heading1"/>
        <w:spacing w:before="480" w:after="240"/>
      </w:pPr>
      <w:r>
        <w:rPr>
          <w:b/>
          <w:bCs/>
          <w:color w:val="1F3864"/>
          <w:sz w:val="30"/>
          <w:szCs w:val="30"/>
        </w:rPr>
        <w:lastRenderedPageBreak/>
        <w:t>8. Capítulo — Libertad de expresión, de opinión y acceso a la información (Artículo 21)</w:t>
      </w:r>
    </w:p>
    <w:p w14:paraId="53994B2D" w14:textId="77777777" w:rsidR="00F31157" w:rsidRDefault="00FD7E42">
      <w:pPr>
        <w:pStyle w:val="Heading2"/>
        <w:spacing w:before="320" w:after="160"/>
      </w:pPr>
      <w:r>
        <w:rPr>
          <w:b/>
          <w:bCs/>
          <w:color w:val="2E5395"/>
          <w:sz w:val="24"/>
          <w:szCs w:val="24"/>
        </w:rPr>
        <w:t>8.1 Marco normativo</w:t>
      </w:r>
    </w:p>
    <w:p w14:paraId="3AE5F23D" w14:textId="77777777" w:rsidR="00F31157" w:rsidRDefault="00FD7E42">
      <w:pPr>
        <w:spacing w:after="200" w:line="300" w:lineRule="auto"/>
        <w:jc w:val="both"/>
      </w:pPr>
      <w:r>
        <w:t>El Comité observó en 2016 que la lengua de señas chilena y el sistema Braille no son reconocidos como oficiales en Chile, y que las normas de accesibilidad en programas televisivos oficiales (Ley 20.422) no se aplican adecuadamente en procesos electorales ni en situaciones de emergencia y desastres naturales, con mecanismos administrativos y judiciales ineficaces en caso de incumplimiento (CRPD/C/CHL/CO/1, párr. 45). El Comité recomendó que el Estado reconozca como oficiales la lengua de señas chilena y el sistema Braille, y que haga accesible la transmisión de toda información pública, en particular la referida a procesos nacionales y a situaciones de emergencia o desastres naturales (párr. 46). La evidencia revisada para este informe no permite establecer si el Estado ha avanzado en esta recomendación desde 2016.</w:t>
      </w:r>
    </w:p>
    <w:p w14:paraId="228ACF6D" w14:textId="77777777" w:rsidR="00F31157" w:rsidRDefault="00FD7E42">
      <w:pPr>
        <w:pStyle w:val="Heading2"/>
        <w:spacing w:before="320" w:after="160"/>
      </w:pPr>
      <w:r>
        <w:rPr>
          <w:b/>
          <w:bCs/>
          <w:color w:val="2E5395"/>
          <w:sz w:val="24"/>
          <w:szCs w:val="24"/>
        </w:rPr>
        <w:t>8.2 Políticas públicas</w:t>
      </w:r>
    </w:p>
    <w:p w14:paraId="42444417" w14:textId="77777777" w:rsidR="00F31157" w:rsidRDefault="00FD7E42">
      <w:pPr>
        <w:spacing w:after="200" w:line="300" w:lineRule="auto"/>
        <w:jc w:val="both"/>
      </w:pPr>
      <w:r>
        <w:t>No se cuenta, dentro del alcance de este informe, con información sobre el presupuesto público destinado al reconocimiento oficial de la lengua de señas chilena, al sistema Braille, o a la accesibilidad de la información pública.</w:t>
      </w:r>
    </w:p>
    <w:p w14:paraId="4FF508BC" w14:textId="77777777" w:rsidR="00F31157" w:rsidRDefault="00FD7E42">
      <w:pPr>
        <w:pStyle w:val="Heading2"/>
        <w:spacing w:before="320" w:after="160"/>
      </w:pPr>
      <w:r>
        <w:rPr>
          <w:b/>
          <w:bCs/>
          <w:color w:val="2E5395"/>
          <w:sz w:val="24"/>
          <w:szCs w:val="24"/>
        </w:rPr>
        <w:t>8.3 Implementación práctica</w:t>
      </w:r>
    </w:p>
    <w:p w14:paraId="065D0119" w14:textId="139B17B8" w:rsidR="00F31157" w:rsidRDefault="00FD7E42">
      <w:pPr>
        <w:spacing w:after="200" w:line="300" w:lineRule="auto"/>
        <w:jc w:val="both"/>
      </w:pPr>
      <w:r>
        <w:t xml:space="preserve">Fundación </w:t>
      </w:r>
      <w:proofErr w:type="spellStart"/>
      <w:r>
        <w:t>Mawen</w:t>
      </w:r>
      <w:proofErr w:type="spellEnd"/>
      <w:r>
        <w:t xml:space="preserve"> declara expresamente que no cuenta con evidencia propia sobre esta materia: su trabajo se centra en discapacidad intelectual y accesibilidad cognitiva</w:t>
      </w:r>
      <w:r w:rsidR="00F23FBE">
        <w:t xml:space="preserve">, </w:t>
      </w:r>
      <w:r>
        <w:t xml:space="preserve">lectura fácil, mediación, señalética adaptada al perfil cognitivo, no en las comunidades sordas o con discapacidad visual a las que se dirige específicamente la recomendación del Comité sobre lengua de señas y Braille. Este capítulo se incluye porque el artículo 21 forma parte del articulado asignado al Grupo 3, y se limita a sistematizar la observación ya formulada por el Comité en 2016, sin aportar evidencia adicional propia. Fundación </w:t>
      </w:r>
      <w:proofErr w:type="spellStart"/>
      <w:r>
        <w:t>Mawen</w:t>
      </w:r>
      <w:proofErr w:type="spellEnd"/>
      <w:r>
        <w:t xml:space="preserve"> sugiere a los coordinadores del Grupo 3 contrastar este capítulo con el aporte de organizaciones que representen específicamente a personas sordas o con discapacidad visual, que sí pueden documentar la implementación práctica de esta recomendación.</w:t>
      </w:r>
    </w:p>
    <w:p w14:paraId="38FFC5AB" w14:textId="77777777" w:rsidR="00F31157" w:rsidRDefault="00FD7E42">
      <w:pPr>
        <w:pStyle w:val="Heading2"/>
        <w:spacing w:before="320" w:after="160"/>
      </w:pPr>
      <w:r>
        <w:rPr>
          <w:b/>
          <w:bCs/>
          <w:color w:val="2E5395"/>
          <w:sz w:val="24"/>
          <w:szCs w:val="24"/>
        </w:rPr>
        <w:t>8.4 Evidencia</w:t>
      </w:r>
    </w:p>
    <w:p w14:paraId="474F03B1" w14:textId="77777777" w:rsidR="00F31157" w:rsidRDefault="00FD7E42">
      <w:pPr>
        <w:spacing w:after="200" w:line="300" w:lineRule="auto"/>
        <w:jc w:val="both"/>
      </w:pPr>
      <w:r>
        <w:t>No se cuenta, dentro del alcance de este informe, con datos sobre el estado de accesibilidad de la información pública para personas sordas o con discapacidad visual en Chile.</w:t>
      </w:r>
    </w:p>
    <w:tbl>
      <w:tblPr>
        <w:tblW w:w="5000" w:type="pct"/>
        <w:tblBorders>
          <w:top w:val="single" w:sz="12" w:space="0" w:color="C0392B"/>
          <w:left w:val="single" w:sz="24" w:space="0" w:color="C0392B"/>
          <w:bottom w:val="single" w:sz="12" w:space="0" w:color="C0392B"/>
          <w:right w:val="single" w:sz="12" w:space="0" w:color="C0392B"/>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981"/>
      </w:tblGrid>
      <w:tr w:rsidR="00F31157" w14:paraId="4C203EBC" w14:textId="77777777">
        <w:tc>
          <w:tcPr>
            <w:tcW w:w="0" w:type="auto"/>
            <w:shd w:val="clear" w:color="auto" w:fill="FDEDEC"/>
            <w:tcMar>
              <w:top w:w="160" w:type="dxa"/>
              <w:left w:w="200" w:type="dxa"/>
              <w:bottom w:w="160" w:type="dxa"/>
              <w:right w:w="200" w:type="dxa"/>
            </w:tcMar>
          </w:tcPr>
          <w:p w14:paraId="3D4D7D96" w14:textId="77777777" w:rsidR="00F31157" w:rsidRDefault="00FD7E42">
            <w:pPr>
              <w:spacing w:after="80"/>
            </w:pPr>
            <w:r>
              <w:rPr>
                <w:b/>
                <w:bCs/>
                <w:color w:val="C0392B"/>
              </w:rPr>
              <w:t>Punto crítico para esta etapa de supervisión</w:t>
            </w:r>
          </w:p>
          <w:p w14:paraId="60D7A6A0" w14:textId="77777777" w:rsidR="00F31157" w:rsidRDefault="00FD7E42">
            <w:pPr>
              <w:jc w:val="both"/>
            </w:pPr>
            <w:r>
              <w:t xml:space="preserve">Fundación </w:t>
            </w:r>
            <w:proofErr w:type="spellStart"/>
            <w:r>
              <w:t>Mawen</w:t>
            </w:r>
            <w:proofErr w:type="spellEnd"/>
            <w:r>
              <w:t xml:space="preserve"> no cuenta con evidencia propia sobre esta materia; este capítulo se limita a sistematizar la observación del Comité de 2016 y remite expresamente a organizaciones representativas de personas sordas o con discapacidad visual para su contraste antes de que el Comité formule sus Observaciones Finales.</w:t>
            </w:r>
          </w:p>
        </w:tc>
      </w:tr>
    </w:tbl>
    <w:p w14:paraId="38EFE83D" w14:textId="77777777" w:rsidR="00F23FBE" w:rsidRDefault="00F23FBE">
      <w:pPr>
        <w:spacing w:after="200" w:line="300" w:lineRule="auto"/>
        <w:jc w:val="both"/>
        <w:rPr>
          <w:b/>
          <w:bCs/>
        </w:rPr>
      </w:pPr>
    </w:p>
    <w:p w14:paraId="0C13A0BF" w14:textId="12393D43" w:rsidR="00F31157" w:rsidRDefault="00FD7E42">
      <w:pPr>
        <w:spacing w:after="200" w:line="300" w:lineRule="auto"/>
        <w:jc w:val="both"/>
      </w:pPr>
      <w:r>
        <w:rPr>
          <w:b/>
          <w:bCs/>
        </w:rPr>
        <w:lastRenderedPageBreak/>
        <w:t xml:space="preserve">Recomendaciones. </w:t>
      </w:r>
      <w:r>
        <w:t xml:space="preserve">Fundación </w:t>
      </w:r>
      <w:proofErr w:type="spellStart"/>
      <w:r>
        <w:t>Mawen</w:t>
      </w:r>
      <w:proofErr w:type="spellEnd"/>
      <w:r>
        <w:t xml:space="preserve"> sugiere al Comité instar al Estado de Chile a:</w:t>
      </w:r>
    </w:p>
    <w:p w14:paraId="680A68D2" w14:textId="77777777" w:rsidR="00F31157" w:rsidRDefault="00FD7E42">
      <w:pPr>
        <w:spacing w:after="140" w:line="300" w:lineRule="auto"/>
        <w:ind w:left="400" w:hanging="260"/>
        <w:jc w:val="both"/>
      </w:pPr>
      <w:r>
        <w:rPr>
          <w:b/>
          <w:bCs/>
        </w:rPr>
        <w:t xml:space="preserve">a) </w:t>
      </w:r>
      <w:r>
        <w:t>informar, en su próximo informe periódico, sobre el estado de avance del reconocimiento oficial de la lengua de señas chilena y el sistema Braille recomendado en 2016 (CRPD/C/CHL/CO/1, párr. 46);</w:t>
      </w:r>
    </w:p>
    <w:p w14:paraId="72642B49" w14:textId="3FE9A5AA" w:rsidR="00F31157" w:rsidRDefault="00FD7E42">
      <w:pPr>
        <w:spacing w:after="140" w:line="300" w:lineRule="auto"/>
        <w:ind w:left="400" w:hanging="260"/>
        <w:jc w:val="both"/>
      </w:pPr>
      <w:r>
        <w:rPr>
          <w:b/>
          <w:bCs/>
        </w:rPr>
        <w:t xml:space="preserve">b) </w:t>
      </w:r>
      <w:r w:rsidR="00F23FBE">
        <w:rPr>
          <w:b/>
          <w:bCs/>
        </w:rPr>
        <w:t xml:space="preserve"> </w:t>
      </w:r>
      <w:r>
        <w:t>asegurar que, en el ámbito específico de la política cultural, los materiales y actividades culturales en formatos accesibles a que se refiere el artículo 30.1(a)-(b) de la Convención incluyan explícitamente formatos accesibles para personas sordas y con discapacidad visual, y no solo adaptaciones cognitivas; y</w:t>
      </w:r>
    </w:p>
    <w:p w14:paraId="07DD780C" w14:textId="018550F7" w:rsidR="00F31157" w:rsidRDefault="00FD7E42">
      <w:pPr>
        <w:spacing w:after="140" w:line="300" w:lineRule="auto"/>
        <w:ind w:left="400" w:hanging="260"/>
        <w:jc w:val="both"/>
      </w:pPr>
      <w:r>
        <w:rPr>
          <w:b/>
          <w:bCs/>
        </w:rPr>
        <w:t>c)</w:t>
      </w:r>
      <w:r>
        <w:t>contrastar la información aquí sistematizada con el aporte directo de organizaciones representativas de personas sordas o con discapacidad visual antes de formular sus Observaciones Finales sobre este artículo.</w:t>
      </w:r>
    </w:p>
    <w:p w14:paraId="565326D2" w14:textId="77777777" w:rsidR="00F31157" w:rsidRDefault="00FD7E42">
      <w:r>
        <w:br w:type="page"/>
      </w:r>
    </w:p>
    <w:p w14:paraId="4F05248C" w14:textId="77777777" w:rsidR="00F31157" w:rsidRDefault="00FD7E42">
      <w:pPr>
        <w:pStyle w:val="Heading1"/>
        <w:spacing w:before="480" w:after="240"/>
      </w:pPr>
      <w:r>
        <w:rPr>
          <w:b/>
          <w:bCs/>
          <w:color w:val="1F3864"/>
          <w:sz w:val="30"/>
          <w:szCs w:val="30"/>
        </w:rPr>
        <w:lastRenderedPageBreak/>
        <w:t>9. Nota complementaria — Trabajo y empleo (Artículo 27)</w:t>
      </w:r>
    </w:p>
    <w:p w14:paraId="1357FC08" w14:textId="77777777" w:rsidR="00F31157" w:rsidRDefault="00FD7E42">
      <w:pPr>
        <w:spacing w:after="200" w:line="300" w:lineRule="auto"/>
        <w:jc w:val="both"/>
      </w:pPr>
      <w:r>
        <w:t>Esta sección no pretende sustituir el informe temático del Grupo 2 (Empleo, inclusión laboral, protección social y nivel de vida adecuado), sino aportar evidencia específica sobre empleabilidad en el sector cultural, como puente entre ambos grupos temáticos. Por su carácter de nota puente y no de capítulo autónomo del Grupo 3, se desarrolla con la misma estructura de cinco partes, de forma más breve.</w:t>
      </w:r>
    </w:p>
    <w:p w14:paraId="316C8B56" w14:textId="77777777" w:rsidR="00F31157" w:rsidRDefault="00FD7E42">
      <w:pPr>
        <w:pStyle w:val="Heading2"/>
        <w:spacing w:before="320" w:after="160"/>
      </w:pPr>
      <w:r>
        <w:rPr>
          <w:b/>
          <w:bCs/>
          <w:color w:val="2E5395"/>
          <w:sz w:val="24"/>
          <w:szCs w:val="24"/>
        </w:rPr>
        <w:t>9.1 Marco normativo</w:t>
      </w:r>
    </w:p>
    <w:p w14:paraId="2C2A2036" w14:textId="77777777" w:rsidR="00F31157" w:rsidRDefault="00FD7E42">
      <w:pPr>
        <w:spacing w:after="200" w:line="300" w:lineRule="auto"/>
        <w:jc w:val="both"/>
      </w:pPr>
      <w:r>
        <w:t xml:space="preserve">La Ley </w:t>
      </w:r>
      <w:proofErr w:type="spellStart"/>
      <w:r>
        <w:t>N°</w:t>
      </w:r>
      <w:proofErr w:type="spellEnd"/>
      <w:r>
        <w:t xml:space="preserve"> 20.422 (2010) y la Ley </w:t>
      </w:r>
      <w:proofErr w:type="spellStart"/>
      <w:r>
        <w:t>N°</w:t>
      </w:r>
      <w:proofErr w:type="spellEnd"/>
      <w:r>
        <w:t xml:space="preserve"> 21.015 (2017, que establece un sistema de cuotas de contratación de personas con discapacidad en el sector público y en empresas de 100 o más trabajadores) no contemplan disposiciones específicas sobre el sector cultural y artístico, ni sobre modalidades de trabajo a honorarios, que es la forma predominante de contratación documentada en la trayectoria de Fundación </w:t>
      </w:r>
      <w:proofErr w:type="spellStart"/>
      <w:r>
        <w:t>Mawen</w:t>
      </w:r>
      <w:proofErr w:type="spellEnd"/>
      <w:r>
        <w:t xml:space="preserve">. El Comité observó en 2016 la ausencia de estrategias específicas de vinculación al empleo para personas con discapacidad (CRPD/C/CHL/CO/1, </w:t>
      </w:r>
      <w:proofErr w:type="spellStart"/>
      <w:r>
        <w:t>párrs</w:t>
      </w:r>
      <w:proofErr w:type="spellEnd"/>
      <w:r>
        <w:t xml:space="preserve">. 57-58); la falta de especificidad sectorial de la Ley </w:t>
      </w:r>
      <w:proofErr w:type="spellStart"/>
      <w:r>
        <w:t>N°</w:t>
      </w:r>
      <w:proofErr w:type="spellEnd"/>
      <w:r>
        <w:t xml:space="preserve"> 21.015 es una manifestación concreta de esa ausencia en el campo cultural.</w:t>
      </w:r>
    </w:p>
    <w:p w14:paraId="67227368" w14:textId="77777777" w:rsidR="00F31157" w:rsidRDefault="00FD7E42">
      <w:pPr>
        <w:pStyle w:val="Heading2"/>
        <w:spacing w:before="320" w:after="160"/>
      </w:pPr>
      <w:r>
        <w:rPr>
          <w:b/>
          <w:bCs/>
          <w:color w:val="2E5395"/>
          <w:sz w:val="24"/>
          <w:szCs w:val="24"/>
        </w:rPr>
        <w:t>9.2 Políticas públicas</w:t>
      </w:r>
    </w:p>
    <w:p w14:paraId="2FB25B09" w14:textId="1D5FA560" w:rsidR="00F31157" w:rsidRDefault="00FD7E42">
      <w:pPr>
        <w:spacing w:after="200" w:line="300" w:lineRule="auto"/>
        <w:jc w:val="both"/>
      </w:pPr>
      <w:r>
        <w:t xml:space="preserve">El Comité observó en 2016 la existencia de una brecha de inclusión laboral en perjuicio de las personas con discapacidad y la ausencia de estrategias específicas para promover su vinculación al empleo (CRPD/C/CHL/CO/1, </w:t>
      </w:r>
      <w:proofErr w:type="spellStart"/>
      <w:r>
        <w:t>párrs</w:t>
      </w:r>
      <w:proofErr w:type="spellEnd"/>
      <w:r>
        <w:t xml:space="preserve">. 57-58). La trayectoria de Fundación </w:t>
      </w:r>
      <w:proofErr w:type="spellStart"/>
      <w:r>
        <w:t>Mawen</w:t>
      </w:r>
      <w:proofErr w:type="spellEnd"/>
      <w:r>
        <w:t xml:space="preserve"> aporta evidencia concreta de formalización laboral en un nicho específico</w:t>
      </w:r>
      <w:r w:rsidR="00F23FBE">
        <w:t xml:space="preserve">, </w:t>
      </w:r>
      <w:r>
        <w:t>el sector cultural y artístico, concentrado en la Región Metropolitana, que puede informar el diseño de dicha estrategia, sin ser representativa de otras regiones del país.</w:t>
      </w:r>
    </w:p>
    <w:p w14:paraId="685B4494" w14:textId="77777777" w:rsidR="00F31157" w:rsidRDefault="00FD7E42">
      <w:pPr>
        <w:pStyle w:val="Heading2"/>
        <w:spacing w:before="320" w:after="160"/>
      </w:pPr>
      <w:r>
        <w:rPr>
          <w:b/>
          <w:bCs/>
          <w:color w:val="2E5395"/>
          <w:sz w:val="24"/>
          <w:szCs w:val="24"/>
        </w:rPr>
        <w:t>9.3 Implementación práctica</w:t>
      </w:r>
    </w:p>
    <w:p w14:paraId="1062D994" w14:textId="77777777" w:rsidR="00F31157" w:rsidRDefault="00FD7E42">
      <w:pPr>
        <w:spacing w:after="200" w:line="300" w:lineRule="auto"/>
        <w:jc w:val="both"/>
      </w:pPr>
      <w:r>
        <w:t xml:space="preserve">Entre 2015 y 2024, el 56% de los participantes de la Fundación iniciaron actividades laborales formales ante el Servicio de Impuestos Internos (SII). En ese mismo período se emitieron 253 boletas de honorarios por servicios artísticos prestados por artistas de la Fundación, de las cuales 114 (45%) corresponden a servicios prestados a la propia Fundación </w:t>
      </w:r>
      <w:proofErr w:type="spellStart"/>
      <w:r>
        <w:t>Mawen</w:t>
      </w:r>
      <w:proofErr w:type="spellEnd"/>
      <w:r>
        <w:t xml:space="preserve"> y 139 (55%) a otras instituciones o empresas, con un rango de entre 1 y 37 boletas emitidas por artista. Estos datos indican que la mayoría de la actividad remunerada documentada corresponde a empleadores externos, y sugieren que la mediación cultural remunerada en instituciones públicas y privadas (colegios, empresas, centros culturales) es una vía de empleo formal viable para personas con discapacidad intelectual cuando existe una organización que estructura la relación laboral y desarrolla las competencias necesarias, aunque no existe evidencia sobre si este modelo es replicable en regiones con menor densidad de instituciones culturales y empresariales que Santiago.</w:t>
      </w:r>
    </w:p>
    <w:p w14:paraId="4568E7F7" w14:textId="77777777" w:rsidR="00F23FBE" w:rsidRDefault="00F23FBE">
      <w:pPr>
        <w:pStyle w:val="Heading2"/>
        <w:spacing w:before="320" w:after="160"/>
        <w:rPr>
          <w:b/>
          <w:bCs/>
          <w:color w:val="2E5395"/>
          <w:sz w:val="24"/>
          <w:szCs w:val="24"/>
        </w:rPr>
      </w:pPr>
    </w:p>
    <w:p w14:paraId="10D1966B" w14:textId="77777777" w:rsidR="00F23FBE" w:rsidRDefault="00F23FBE">
      <w:pPr>
        <w:pStyle w:val="Heading2"/>
        <w:spacing w:before="320" w:after="160"/>
        <w:rPr>
          <w:b/>
          <w:bCs/>
          <w:color w:val="2E5395"/>
          <w:sz w:val="24"/>
          <w:szCs w:val="24"/>
        </w:rPr>
      </w:pPr>
    </w:p>
    <w:p w14:paraId="3B41C740" w14:textId="3E1D9B0A" w:rsidR="00F31157" w:rsidRDefault="00FD7E42">
      <w:pPr>
        <w:pStyle w:val="Heading2"/>
        <w:spacing w:before="320" w:after="160"/>
      </w:pPr>
      <w:r>
        <w:rPr>
          <w:b/>
          <w:bCs/>
          <w:color w:val="2E5395"/>
          <w:sz w:val="24"/>
          <w:szCs w:val="24"/>
        </w:rPr>
        <w:lastRenderedPageBreak/>
        <w:t>9.4 Evidencia</w:t>
      </w:r>
    </w:p>
    <w:p w14:paraId="6585BCD6" w14:textId="77777777" w:rsidR="00F31157" w:rsidRDefault="00FD7E42">
      <w:pPr>
        <w:spacing w:after="200" w:line="300" w:lineRule="auto"/>
        <w:jc w:val="both"/>
      </w:pPr>
      <w:r>
        <w:t xml:space="preserve">No existen partidas presupuestarias públicas identificables destinadas específicamente a programas de empleabilidad cultural para personas con discapacidad intelectual. El financiamiento documentado en la trayectoria de Fundación </w:t>
      </w:r>
      <w:proofErr w:type="spellStart"/>
      <w:r>
        <w:t>Mawen</w:t>
      </w:r>
      <w:proofErr w:type="spellEnd"/>
      <w:r>
        <w:t xml:space="preserve"> proviene de la gestión directa de convenios con instituciones empleadoras, no de un subsidio o de una línea de empleo protegido o apoyado del Estado en el sector cultural. No existen estadísticas oficiales sobre empleo formal de personas con discapacidad intelectual en el sector cultural y artístico, ni desglose por región, sexo o tipo de contratación; los únicos datos disponibles son los registros internos de Fundación </w:t>
      </w:r>
      <w:proofErr w:type="spellStart"/>
      <w:r>
        <w:t>Mawen</w:t>
      </w:r>
      <w:proofErr w:type="spellEnd"/>
      <w:r>
        <w:t>, referidos en la sección 9.3, y no son extrapolables al universo nacional.</w:t>
      </w:r>
    </w:p>
    <w:tbl>
      <w:tblPr>
        <w:tblW w:w="5000" w:type="pct"/>
        <w:tblBorders>
          <w:top w:val="single" w:sz="12" w:space="0" w:color="C0392B"/>
          <w:left w:val="single" w:sz="24" w:space="0" w:color="C0392B"/>
          <w:bottom w:val="single" w:sz="12" w:space="0" w:color="C0392B"/>
          <w:right w:val="single" w:sz="12" w:space="0" w:color="C0392B"/>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981"/>
      </w:tblGrid>
      <w:tr w:rsidR="00F31157" w14:paraId="08AC0215" w14:textId="77777777">
        <w:tc>
          <w:tcPr>
            <w:tcW w:w="0" w:type="auto"/>
            <w:shd w:val="clear" w:color="auto" w:fill="FDEDEC"/>
            <w:tcMar>
              <w:top w:w="160" w:type="dxa"/>
              <w:left w:w="200" w:type="dxa"/>
              <w:bottom w:w="160" w:type="dxa"/>
              <w:right w:w="200" w:type="dxa"/>
            </w:tcMar>
          </w:tcPr>
          <w:p w14:paraId="56AA4EBC" w14:textId="77777777" w:rsidR="00F31157" w:rsidRDefault="00FD7E42">
            <w:pPr>
              <w:spacing w:after="80"/>
            </w:pPr>
            <w:r>
              <w:rPr>
                <w:b/>
                <w:bCs/>
                <w:color w:val="C0392B"/>
              </w:rPr>
              <w:t>Punto crítico para esta etapa de supervisión</w:t>
            </w:r>
          </w:p>
          <w:p w14:paraId="5E9B58D6" w14:textId="61DE8BDD" w:rsidR="00F31157" w:rsidRDefault="00FD7E42">
            <w:pPr>
              <w:jc w:val="both"/>
            </w:pPr>
            <w:r>
              <w:t>El 55% de las boletas de honorarios documentadas corresponden a empleadores externos a la Fundación</w:t>
            </w:r>
            <w:r w:rsidR="00F23FBE">
              <w:t xml:space="preserve">, </w:t>
            </w:r>
            <w:r>
              <w:t>evidencia de empleabilidad real en el mercado abierto, pero sin ningún respaldo de una política de empleo protegido o apoyado del Estado en el sector cultural.</w:t>
            </w:r>
          </w:p>
        </w:tc>
      </w:tr>
    </w:tbl>
    <w:p w14:paraId="12D0793B" w14:textId="77777777" w:rsidR="00F23FBE" w:rsidRDefault="00F23FBE">
      <w:pPr>
        <w:spacing w:after="200" w:line="300" w:lineRule="auto"/>
        <w:jc w:val="both"/>
        <w:rPr>
          <w:b/>
          <w:bCs/>
        </w:rPr>
      </w:pPr>
    </w:p>
    <w:p w14:paraId="49D8882A" w14:textId="650D74FC" w:rsidR="00F31157" w:rsidRDefault="00FD7E42">
      <w:pPr>
        <w:spacing w:after="200" w:line="300" w:lineRule="auto"/>
        <w:jc w:val="both"/>
      </w:pPr>
      <w:r>
        <w:rPr>
          <w:b/>
          <w:bCs/>
        </w:rPr>
        <w:t xml:space="preserve">Recomendaciones. </w:t>
      </w:r>
      <w:r>
        <w:t xml:space="preserve">Fundación </w:t>
      </w:r>
      <w:proofErr w:type="spellStart"/>
      <w:r>
        <w:t>Mawen</w:t>
      </w:r>
      <w:proofErr w:type="spellEnd"/>
      <w:r>
        <w:t xml:space="preserve"> sugiere al Comité instar al Estado de Chile a que, a través del Ministerio de las Culturas y el Ministerio del Trabajo, </w:t>
      </w:r>
      <w:r w:rsidR="00F23FBE">
        <w:t>en un</w:t>
      </w:r>
      <w:r w:rsidR="00F23FBE" w:rsidRPr="00F23FBE">
        <w:t xml:space="preserve"> plazo determinado</w:t>
      </w:r>
      <w:r w:rsidR="00F23FBE">
        <w:t xml:space="preserve"> y verificable</w:t>
      </w:r>
      <w:r>
        <w:t>:</w:t>
      </w:r>
    </w:p>
    <w:p w14:paraId="12EC975D" w14:textId="77777777" w:rsidR="00F31157" w:rsidRDefault="00FD7E42">
      <w:pPr>
        <w:spacing w:after="140" w:line="300" w:lineRule="auto"/>
        <w:ind w:left="400" w:hanging="260"/>
        <w:jc w:val="both"/>
      </w:pPr>
      <w:r>
        <w:rPr>
          <w:b/>
          <w:bCs/>
        </w:rPr>
        <w:t xml:space="preserve">a) </w:t>
      </w:r>
      <w:r>
        <w:t>facilite la apertura de espacios culturales públicos para la recepción y formación en empleabilidad de personas con discapacidad cognitiva (arts. 9 y 27);</w:t>
      </w:r>
    </w:p>
    <w:p w14:paraId="1977980A" w14:textId="77777777" w:rsidR="00F31157" w:rsidRDefault="00FD7E42">
      <w:pPr>
        <w:spacing w:after="140" w:line="300" w:lineRule="auto"/>
        <w:ind w:left="400" w:hanging="260"/>
        <w:jc w:val="both"/>
      </w:pPr>
      <w:r>
        <w:rPr>
          <w:b/>
          <w:bCs/>
        </w:rPr>
        <w:t xml:space="preserve">b) </w:t>
      </w:r>
      <w:r>
        <w:t>cree o fortalezca la figura de mediador cultural remunerado y permanente en servicios públicos de arte y cultura como vía de empleo formal (art. 27);</w:t>
      </w:r>
    </w:p>
    <w:p w14:paraId="1C107587" w14:textId="77777777" w:rsidR="00F31157" w:rsidRDefault="00FD7E42">
      <w:pPr>
        <w:spacing w:after="140" w:line="300" w:lineRule="auto"/>
        <w:ind w:left="400" w:hanging="260"/>
        <w:jc w:val="both"/>
      </w:pPr>
      <w:r>
        <w:rPr>
          <w:b/>
          <w:bCs/>
        </w:rPr>
        <w:t xml:space="preserve">c) </w:t>
      </w:r>
      <w:r>
        <w:t xml:space="preserve">otorgue certificación con validez pública a la formación impartida por instituciones culturales como Fundación </w:t>
      </w:r>
      <w:proofErr w:type="spellStart"/>
      <w:r>
        <w:t>Mawen</w:t>
      </w:r>
      <w:proofErr w:type="spellEnd"/>
      <w:r>
        <w:t>, conectando dicha certificación con la empleabilidad (arts. 24.5 y 27.1.d); y</w:t>
      </w:r>
    </w:p>
    <w:p w14:paraId="3E7970DE" w14:textId="77777777" w:rsidR="00F31157" w:rsidRDefault="00FD7E42">
      <w:pPr>
        <w:spacing w:after="140" w:line="300" w:lineRule="auto"/>
        <w:ind w:left="400" w:hanging="260"/>
        <w:jc w:val="both"/>
      </w:pPr>
      <w:r>
        <w:rPr>
          <w:b/>
          <w:bCs/>
        </w:rPr>
        <w:t xml:space="preserve">d) </w:t>
      </w:r>
      <w:r>
        <w:t>distinga, en cualquier seguimiento del Comité sobre empleo, entre empleo protegido y empleo formal en el mercado abierto, dado que la evidencia de esta Fundación corresponde a esta segunda categoría.</w:t>
      </w:r>
    </w:p>
    <w:p w14:paraId="53EBD0A9" w14:textId="77777777" w:rsidR="00F31157" w:rsidRDefault="00FD7E42">
      <w:pPr>
        <w:spacing w:after="200" w:line="300" w:lineRule="auto"/>
        <w:jc w:val="both"/>
      </w:pPr>
      <w:r>
        <w:t xml:space="preserve">Fundación </w:t>
      </w:r>
      <w:proofErr w:type="spellStart"/>
      <w:r>
        <w:t>Mawen</w:t>
      </w:r>
      <w:proofErr w:type="spellEnd"/>
      <w:r>
        <w:t xml:space="preserve"> solicita que esta nota complementaria se remita también a los coordinadores del Grupo 2.</w:t>
      </w:r>
    </w:p>
    <w:p w14:paraId="18B0BF56" w14:textId="77777777" w:rsidR="00F31157" w:rsidRDefault="00FD7E42">
      <w:r>
        <w:br w:type="page"/>
      </w:r>
    </w:p>
    <w:p w14:paraId="4FA8F4D9" w14:textId="77777777" w:rsidR="00F31157" w:rsidRDefault="00FD7E42">
      <w:pPr>
        <w:pStyle w:val="Heading1"/>
        <w:spacing w:before="480" w:after="240"/>
      </w:pPr>
      <w:r>
        <w:rPr>
          <w:b/>
          <w:bCs/>
          <w:color w:val="1F3864"/>
          <w:sz w:val="30"/>
          <w:szCs w:val="30"/>
        </w:rPr>
        <w:lastRenderedPageBreak/>
        <w:t>10. Capítulo — Participación en la vida política y pública (Artículo 29)</w:t>
      </w:r>
    </w:p>
    <w:p w14:paraId="1FC601ED" w14:textId="77777777" w:rsidR="00F31157" w:rsidRDefault="00FD7E42">
      <w:pPr>
        <w:pStyle w:val="Heading2"/>
        <w:spacing w:before="320" w:after="160"/>
      </w:pPr>
      <w:r>
        <w:rPr>
          <w:b/>
          <w:bCs/>
          <w:color w:val="2E5395"/>
          <w:sz w:val="24"/>
          <w:szCs w:val="24"/>
        </w:rPr>
        <w:t>10.1 Marco normativo</w:t>
      </w:r>
    </w:p>
    <w:p w14:paraId="0A449374" w14:textId="39E2F9CD" w:rsidR="00F31157" w:rsidRDefault="00FD7E42">
      <w:pPr>
        <w:spacing w:after="200" w:line="300" w:lineRule="auto"/>
        <w:jc w:val="both"/>
      </w:pPr>
      <w:r>
        <w:t xml:space="preserve">El Comité observó en 2016 que la declaratoria de interdicción constituye un impedimento para que una persona con discapacidad pueda ejercer su derecho al voto y a la participación política, y recomendó revisar el registro electoral para garantizar que no se prive del derecho al voto por razón de un impedimento o de limitaciones en la capacidad jurídica (CRPD/C/CHL/CO/1, </w:t>
      </w:r>
      <w:proofErr w:type="spellStart"/>
      <w:r>
        <w:t>párrs</w:t>
      </w:r>
      <w:proofErr w:type="spellEnd"/>
      <w:r>
        <w:t>. 61-62). Esta observación, referida al artículo 29(a)</w:t>
      </w:r>
      <w:r w:rsidR="00F23FBE">
        <w:t xml:space="preserve">, </w:t>
      </w:r>
      <w:r>
        <w:t>participación política y pública, es distinta pero conceptualmente conexa con el artículo 29(b), que regula la participación activa de personas con discapacidad en asuntos públicos a través de organizaciones que las representen.</w:t>
      </w:r>
    </w:p>
    <w:p w14:paraId="03D97F05" w14:textId="77777777" w:rsidR="00F31157" w:rsidRDefault="00FD7E42">
      <w:pPr>
        <w:pStyle w:val="Heading2"/>
        <w:spacing w:before="320" w:after="160"/>
      </w:pPr>
      <w:r>
        <w:rPr>
          <w:b/>
          <w:bCs/>
          <w:color w:val="2E5395"/>
          <w:sz w:val="24"/>
          <w:szCs w:val="24"/>
        </w:rPr>
        <w:t>10.2 Políticas públicas</w:t>
      </w:r>
    </w:p>
    <w:p w14:paraId="49EA86EE" w14:textId="5451A2AA" w:rsidR="00F31157" w:rsidRDefault="00FD7E42">
      <w:pPr>
        <w:spacing w:after="200" w:line="300" w:lineRule="auto"/>
        <w:jc w:val="both"/>
      </w:pPr>
      <w:r>
        <w:t>No existe en Chile una política que reconozca formalmente mecanismos de vocería directa de personas con discapacidad intelectual</w:t>
      </w:r>
      <w:r w:rsidR="00F23FBE">
        <w:t xml:space="preserve">, </w:t>
      </w:r>
      <w:r>
        <w:t>diferenciada de la vocería ejercida por sus organizaciones representativas o por familiares</w:t>
      </w:r>
      <w:r w:rsidR="00F23FBE">
        <w:t xml:space="preserve">, </w:t>
      </w:r>
      <w:r>
        <w:t>en procesos de política pública, incluida la política cultural.</w:t>
      </w:r>
    </w:p>
    <w:p w14:paraId="4547476E" w14:textId="77777777" w:rsidR="00F31157" w:rsidRDefault="00FD7E42">
      <w:pPr>
        <w:pStyle w:val="Heading2"/>
        <w:spacing w:before="320" w:after="160"/>
      </w:pPr>
      <w:r>
        <w:rPr>
          <w:b/>
          <w:bCs/>
          <w:color w:val="2E5395"/>
          <w:sz w:val="24"/>
          <w:szCs w:val="24"/>
        </w:rPr>
        <w:t>10.3 Implementación práctica</w:t>
      </w:r>
    </w:p>
    <w:p w14:paraId="5A8C212C" w14:textId="77777777" w:rsidR="00F31157" w:rsidRDefault="00FD7E42">
      <w:pPr>
        <w:spacing w:after="200" w:line="300" w:lineRule="auto"/>
        <w:jc w:val="both"/>
      </w:pPr>
      <w:r>
        <w:t xml:space="preserve">Fundación </w:t>
      </w:r>
      <w:proofErr w:type="spellStart"/>
      <w:r>
        <w:t>Mawen</w:t>
      </w:r>
      <w:proofErr w:type="spellEnd"/>
      <w:r>
        <w:t xml:space="preserve"> ha constatado, en su propia experiencia formativa, la ausencia de espacios claros que definan cómo, cuándo y dónde se recoge la vocería directa de personas con discapacidad intelectual en los procesos de política cultural. Su propuesta es que dicha vocería se profesionalice de manera complementaria, no sustitutiva, a la que ya ejercen las organizaciones de la sociedad civil, y que se explore el establecimiento de una cuota de participación política reservada para personas con discapacidad intelectual, junto con formación específica que asegure representatividad efectiva y no meramente simbólica. Cabe una precisión metodológica: no existe actualmente en la Convención ni en la legislación chilena un mecanismo de cuota de este tipo aplicado a discapacidad intelectual; se trata de una propuesta de política pública formulada por Fundación </w:t>
      </w:r>
      <w:proofErr w:type="spellStart"/>
      <w:r>
        <w:t>Mawen</w:t>
      </w:r>
      <w:proofErr w:type="spellEnd"/>
      <w:r>
        <w:t>, no de una obligación ya reconocida, y se presenta como tal. Cabe además una precisión territorial e interseccional: esta propuesta no ha sido contrastada con la realidad de personas con discapacidad intelectual en regiones fuera de la Región Metropolitana, ni analizada desde una perspectiva de género o de pueblos indígenas. El diseño de cualquier mecanismo de vocería o cuota debiera, en consecuencia, incorporar consulta específica con estos grupos conforme al artículo 4.3 de la Convención, evitando que la representación recaiga únicamente en personas con mayor cercanía a las organizaciones formadas en Santiago.</w:t>
      </w:r>
    </w:p>
    <w:p w14:paraId="4CE1897F" w14:textId="77777777" w:rsidR="00F31157" w:rsidRDefault="00FD7E42">
      <w:pPr>
        <w:spacing w:after="200" w:line="300" w:lineRule="auto"/>
        <w:jc w:val="both"/>
      </w:pPr>
      <w:r>
        <w:t xml:space="preserve">Un antecedente institucional que documenta esta práctica de vocería directa es el registro audiovisual "Reflexiones Estallido Social: Por un Chile más justo" (Fundación </w:t>
      </w:r>
      <w:proofErr w:type="spellStart"/>
      <w:r>
        <w:t>Mawen</w:t>
      </w:r>
      <w:proofErr w:type="spellEnd"/>
      <w:r>
        <w:t xml:space="preserve">, 2019), producido a partir de jornadas de reflexión en las que jóvenes artistas con discapacidad intelectual de la Compañía Música-Teatro de la Fundación comparten, en primera persona y sin mediación de terceros, sus propias lecturas sobre la justicia social y el país que aspiran a construir, en el contexto del estallido social iniciado el 18 de octubre de 2019 (disponible en vimeo.com/508680929). Fundación </w:t>
      </w:r>
      <w:proofErr w:type="spellStart"/>
      <w:r>
        <w:t>Mawen</w:t>
      </w:r>
      <w:proofErr w:type="spellEnd"/>
      <w:r>
        <w:t xml:space="preserve"> pone este material a disposición del Comité como evidencia de que la vocería directa que solicita en sus </w:t>
      </w:r>
      <w:r>
        <w:lastRenderedPageBreak/>
        <w:t>recomendaciones no es una aspiración abstracta, sino una práctica institucional ya en curso, que el Estado podría reconocer, respaldar con recursos permanentes y extender a los espacios formales de decisión en política cultural, hoy inexistentes para esta población.</w:t>
      </w:r>
    </w:p>
    <w:p w14:paraId="0364B84A" w14:textId="77777777" w:rsidR="00F31157" w:rsidRDefault="00FD7E42">
      <w:pPr>
        <w:pStyle w:val="Heading2"/>
        <w:spacing w:before="320" w:after="160"/>
      </w:pPr>
      <w:r>
        <w:rPr>
          <w:b/>
          <w:bCs/>
          <w:color w:val="2E5395"/>
          <w:sz w:val="24"/>
          <w:szCs w:val="24"/>
        </w:rPr>
        <w:t>10.4 Evidencia</w:t>
      </w:r>
    </w:p>
    <w:p w14:paraId="49FE989E" w14:textId="77777777" w:rsidR="00F31157" w:rsidRDefault="00FD7E42">
      <w:pPr>
        <w:spacing w:after="200" w:line="300" w:lineRule="auto"/>
        <w:jc w:val="both"/>
      </w:pPr>
      <w:r>
        <w:t>No existen partidas presupuestarias identificables destinadas a financiar mecanismos de vocería directa o de formación en liderazgo político para personas con discapacidad intelectual. No existen registros oficiales sobre el número de personas con discapacidad intelectual que ejercen cargos de representación o vocería formal en instancias de política pública en Chile, incluida la política cultural, ni desglose por región, sexo o pertenencia étnica.</w:t>
      </w:r>
    </w:p>
    <w:tbl>
      <w:tblPr>
        <w:tblW w:w="5000" w:type="pct"/>
        <w:tblBorders>
          <w:top w:val="single" w:sz="12" w:space="0" w:color="C0392B"/>
          <w:left w:val="single" w:sz="24" w:space="0" w:color="C0392B"/>
          <w:bottom w:val="single" w:sz="12" w:space="0" w:color="C0392B"/>
          <w:right w:val="single" w:sz="12" w:space="0" w:color="C0392B"/>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981"/>
      </w:tblGrid>
      <w:tr w:rsidR="00F31157" w14:paraId="2C118D0A" w14:textId="77777777">
        <w:tc>
          <w:tcPr>
            <w:tcW w:w="0" w:type="auto"/>
            <w:shd w:val="clear" w:color="auto" w:fill="FDEDEC"/>
            <w:tcMar>
              <w:top w:w="160" w:type="dxa"/>
              <w:left w:w="200" w:type="dxa"/>
              <w:bottom w:w="160" w:type="dxa"/>
              <w:right w:w="200" w:type="dxa"/>
            </w:tcMar>
          </w:tcPr>
          <w:p w14:paraId="4731C5E8" w14:textId="77777777" w:rsidR="00F31157" w:rsidRDefault="00FD7E42">
            <w:pPr>
              <w:spacing w:after="80"/>
            </w:pPr>
            <w:r>
              <w:rPr>
                <w:b/>
                <w:bCs/>
                <w:color w:val="C0392B"/>
              </w:rPr>
              <w:t>Punto crítico para esta etapa de supervisión</w:t>
            </w:r>
          </w:p>
          <w:p w14:paraId="5B822D52" w14:textId="77777777" w:rsidR="00F31157" w:rsidRDefault="00FD7E42">
            <w:pPr>
              <w:jc w:val="both"/>
            </w:pPr>
            <w:r>
              <w:t xml:space="preserve">No existe en Chile un mecanismo formal que reconozca la vocería directa de personas con discapacidad intelectual en los procesos de política pública, incluida la política cultural; la práctica ya documentada por Fundación </w:t>
            </w:r>
            <w:proofErr w:type="spellStart"/>
            <w:r>
              <w:t>Mawen</w:t>
            </w:r>
            <w:proofErr w:type="spellEnd"/>
            <w:r>
              <w:t xml:space="preserve"> desde 2019 demuestra viabilidad, pero sin ningún respaldo estatal.</w:t>
            </w:r>
          </w:p>
        </w:tc>
      </w:tr>
    </w:tbl>
    <w:p w14:paraId="7DBB27C5" w14:textId="77777777" w:rsidR="00F23FBE" w:rsidRDefault="00F23FBE">
      <w:pPr>
        <w:spacing w:after="200" w:line="300" w:lineRule="auto"/>
        <w:jc w:val="both"/>
        <w:rPr>
          <w:b/>
          <w:bCs/>
        </w:rPr>
      </w:pPr>
    </w:p>
    <w:p w14:paraId="385C81D7" w14:textId="3E3D09DB" w:rsidR="00F31157" w:rsidRDefault="00FD7E42">
      <w:pPr>
        <w:spacing w:after="200" w:line="300" w:lineRule="auto"/>
        <w:jc w:val="both"/>
      </w:pPr>
      <w:r>
        <w:rPr>
          <w:b/>
          <w:bCs/>
        </w:rPr>
        <w:t xml:space="preserve">Recomendaciones. </w:t>
      </w:r>
      <w:r>
        <w:t xml:space="preserve">Fundación </w:t>
      </w:r>
      <w:proofErr w:type="spellStart"/>
      <w:r>
        <w:t>Mawen</w:t>
      </w:r>
      <w:proofErr w:type="spellEnd"/>
      <w:r>
        <w:t xml:space="preserve"> sugiere al Comité instar al Estado de Chile a que, en consulta estrecha con las organizaciones que representan a personas con discapacidad conforme al artículo 4.3 de la Convención</w:t>
      </w:r>
      <w:r w:rsidR="00F23FBE">
        <w:t xml:space="preserve">, </w:t>
      </w:r>
      <w:r>
        <w:t>incluyendo organizaciones de regiones fuera de la Región Metropolitana y organizaciones de mujeres con discapacidad y de pueblos indígenas:</w:t>
      </w:r>
    </w:p>
    <w:p w14:paraId="4FEDDA57" w14:textId="6A6EFD30" w:rsidR="00F31157" w:rsidRDefault="00FD7E42">
      <w:pPr>
        <w:spacing w:after="140" w:line="300" w:lineRule="auto"/>
        <w:ind w:left="400" w:hanging="260"/>
        <w:jc w:val="both"/>
      </w:pPr>
      <w:r>
        <w:rPr>
          <w:b/>
          <w:bCs/>
        </w:rPr>
        <w:t xml:space="preserve">a) </w:t>
      </w:r>
      <w:r>
        <w:t xml:space="preserve">defina, </w:t>
      </w:r>
      <w:r w:rsidR="00F23FBE">
        <w:t>en un</w:t>
      </w:r>
      <w:r w:rsidR="00F23FBE" w:rsidRPr="00F23FBE">
        <w:t xml:space="preserve"> plazo determinado</w:t>
      </w:r>
      <w:r w:rsidR="00F23FBE">
        <w:t xml:space="preserve"> y verificable</w:t>
      </w:r>
      <w:r>
        <w:t>, un mecanismo formal y financiado de vocería directa de personas con discapacidad intelectual en los procesos de política cultural;</w:t>
      </w:r>
    </w:p>
    <w:p w14:paraId="72DE0F26" w14:textId="77777777" w:rsidR="00F31157" w:rsidRDefault="00FD7E42">
      <w:pPr>
        <w:spacing w:after="140" w:line="300" w:lineRule="auto"/>
        <w:ind w:left="400" w:hanging="260"/>
        <w:jc w:val="both"/>
      </w:pPr>
      <w:r>
        <w:rPr>
          <w:b/>
          <w:bCs/>
        </w:rPr>
        <w:t xml:space="preserve">b) </w:t>
      </w:r>
      <w:r>
        <w:t>acompañe dicho mecanismo de formación específica en liderazgo, oratoria y comprensión institucional adaptada a las necesidades de accesibilidad cognitiva;</w:t>
      </w:r>
    </w:p>
    <w:p w14:paraId="4BF812F3" w14:textId="77777777" w:rsidR="00F31157" w:rsidRDefault="00FD7E42">
      <w:pPr>
        <w:spacing w:after="140" w:line="300" w:lineRule="auto"/>
        <w:ind w:left="400" w:hanging="260"/>
        <w:jc w:val="both"/>
      </w:pPr>
      <w:r>
        <w:rPr>
          <w:b/>
          <w:bCs/>
        </w:rPr>
        <w:t xml:space="preserve">c) </w:t>
      </w:r>
      <w:r>
        <w:t>evalúe, dentro del mismo plazo, la viabilidad de mecanismos de representación política reforzada para personas con discapacidad intelectual, informando sus conclusiones al Comité en su próximo informe periódico; y</w:t>
      </w:r>
    </w:p>
    <w:p w14:paraId="06FBCE92" w14:textId="77777777" w:rsidR="00F31157" w:rsidRDefault="00FD7E42">
      <w:pPr>
        <w:spacing w:after="140" w:line="300" w:lineRule="auto"/>
        <w:ind w:left="400" w:hanging="260"/>
        <w:jc w:val="both"/>
      </w:pPr>
      <w:r>
        <w:rPr>
          <w:b/>
          <w:bCs/>
        </w:rPr>
        <w:t xml:space="preserve">d) </w:t>
      </w:r>
      <w:r>
        <w:t>informe si existen mecanismos equivalentes de participación política reservada para personas con discapacidad intelectual en otros ámbitos de política pública (salud, educación) que pudieran servir de modelo replicable para la política cultural.</w:t>
      </w:r>
    </w:p>
    <w:p w14:paraId="053065CC" w14:textId="77777777" w:rsidR="00F31157" w:rsidRDefault="00FD7E42">
      <w:r>
        <w:br w:type="page"/>
      </w:r>
    </w:p>
    <w:p w14:paraId="2CBE03C6" w14:textId="77777777" w:rsidR="00F31157" w:rsidRDefault="00FD7E42">
      <w:pPr>
        <w:pStyle w:val="Heading1"/>
        <w:spacing w:before="480" w:after="240"/>
      </w:pPr>
      <w:r>
        <w:rPr>
          <w:b/>
          <w:bCs/>
          <w:color w:val="1F3864"/>
          <w:sz w:val="30"/>
          <w:szCs w:val="30"/>
        </w:rPr>
        <w:lastRenderedPageBreak/>
        <w:t>11. Capítulo — Participación en la vida cultural, las actividades recreativas, el esparcimiento y el deporte (Artículo 30)</w:t>
      </w:r>
    </w:p>
    <w:p w14:paraId="10A39368" w14:textId="77777777" w:rsidR="00F31157" w:rsidRDefault="00FD7E42">
      <w:pPr>
        <w:spacing w:after="200" w:line="300" w:lineRule="auto"/>
        <w:jc w:val="both"/>
      </w:pPr>
      <w:r>
        <w:t xml:space="preserve">Este es el capítulo central de este informe: el artículo 30 no fue asignado a ninguno de los cinco grupos temáticos coordinados para la sociedad civil chilena, y Fundación </w:t>
      </w:r>
      <w:proofErr w:type="spellStart"/>
      <w:r>
        <w:t>Mawen</w:t>
      </w:r>
      <w:proofErr w:type="spellEnd"/>
      <w:r>
        <w:t xml:space="preserve"> lo desarrolla aquí íntegramente, con el mismo nivel de exigencia probatoria que los capítulos anteriores.</w:t>
      </w:r>
    </w:p>
    <w:p w14:paraId="6E5AB367" w14:textId="77777777" w:rsidR="00F31157" w:rsidRDefault="00FD7E42">
      <w:pPr>
        <w:pStyle w:val="Heading2"/>
        <w:spacing w:before="320" w:after="160"/>
      </w:pPr>
      <w:r>
        <w:rPr>
          <w:b/>
          <w:bCs/>
          <w:color w:val="2E5395"/>
          <w:sz w:val="24"/>
          <w:szCs w:val="24"/>
        </w:rPr>
        <w:t>11.1 Marco normativo</w:t>
      </w:r>
    </w:p>
    <w:p w14:paraId="28A16038" w14:textId="77777777" w:rsidR="00F31157" w:rsidRDefault="00FD7E42">
      <w:pPr>
        <w:spacing w:after="200" w:line="300" w:lineRule="auto"/>
        <w:jc w:val="both"/>
      </w:pPr>
      <w:r>
        <w:t>Este es el hallazgo central de este informe: de los 73 párrafos de las Observaciones Finales del Comité sobre el informe inicial de Chile (CRPD/C/CHL/CO/1, 2016), ninguno se refiere al artículo 30 de la Convención. El documento revisa de forma correlativa los artículos 5 a 29 y luego pasa directamente a las obligaciones específicas de los artículos 31 a 33 (recopilación de datos, cooperación internacional, aplicación y seguimiento nacionales), sin que exista un párrafo dedicado a la vida cultural, las actividades recreativas, el esparcimiento o el deporte. No existe en la legislación chilena, hasta donde permite establecer la evidencia revisada para este informe, una ley o política que desarrolle específicamente el derecho a la participación cultural de personas con discapacidad conforme al estándar del artículo 30 de la Convención. Esta ausencia no debe leerse como evidencia de que no existe un problema, sino como evidencia de que el problema no ha sido objeto de escrutinio internacional ni de desarrollo normativo interno.</w:t>
      </w:r>
    </w:p>
    <w:p w14:paraId="51F50A1A" w14:textId="77777777" w:rsidR="00F31157" w:rsidRDefault="00FD7E42">
      <w:pPr>
        <w:pStyle w:val="Heading2"/>
        <w:spacing w:before="320" w:after="160"/>
      </w:pPr>
      <w:r>
        <w:rPr>
          <w:b/>
          <w:bCs/>
          <w:color w:val="2E5395"/>
          <w:sz w:val="24"/>
          <w:szCs w:val="24"/>
        </w:rPr>
        <w:t>11.2 Políticas públicas</w:t>
      </w:r>
    </w:p>
    <w:p w14:paraId="40916568" w14:textId="77777777" w:rsidR="00F31157" w:rsidRDefault="00FD7E42">
      <w:pPr>
        <w:spacing w:after="200" w:line="300" w:lineRule="auto"/>
        <w:jc w:val="both"/>
      </w:pPr>
      <w:r>
        <w:t xml:space="preserve">La política cultural chilena no cuenta, hasta donde permite establecer la evidencia revisada para este informe, con una estrategia específica de inclusión de personas con discapacidad intelectual como creadoras y gestoras culturales, a diferencia de políticas de acceso pasivo a la cultura (por ejemplo, gratuidad o descuentos en entradas), que sí existen de forma más extendida en distintos países pero no abordan la dimensión productiva del derecho. El artículo 30.2 de la Convención obliga a los Estados a adoptar medidas para que las personas con discapacidad puedan desarrollar y utilizar su potencial creativo, artístico e intelectual, no solo en su propio beneficio, sino también en beneficio de la sociedad. Fundación </w:t>
      </w:r>
      <w:proofErr w:type="spellStart"/>
      <w:r>
        <w:t>Mawen</w:t>
      </w:r>
      <w:proofErr w:type="spellEnd"/>
      <w:r>
        <w:t xml:space="preserve"> no ha identificado una política pública chilena que desarrolle específicamente esta obligación.</w:t>
      </w:r>
    </w:p>
    <w:p w14:paraId="24EC1815" w14:textId="77777777" w:rsidR="00F31157" w:rsidRDefault="00FD7E42">
      <w:pPr>
        <w:spacing w:after="200" w:line="300" w:lineRule="auto"/>
        <w:jc w:val="both"/>
      </w:pPr>
      <w:r>
        <w:t>Para sustentar esta afirmación con evidencia trazable y no solo con la ausencia de hallazgos, este informe revisó en su texto íntegro los tres instrumentos vigentes de política cultural chilena identificados como los más relevantes para el artículo 30, y contabilizó de forma sistemática toda mención a discapacidad y a discapacidad intelectual, cognitiva o síndrome de Down:</w:t>
      </w:r>
    </w:p>
    <w:p w14:paraId="1064942E" w14:textId="77777777" w:rsidR="00F31157" w:rsidRDefault="00FD7E42">
      <w:pPr>
        <w:spacing w:after="120" w:line="300" w:lineRule="auto"/>
        <w:ind w:left="400" w:hanging="260"/>
        <w:jc w:val="both"/>
      </w:pPr>
      <w:r>
        <w:t xml:space="preserve">— Estrategia Quinquenal Nacional para el Desarrollo Cultural 2024-2029 (Ministerio de las Culturas, las Artes y el Patrimonio, diciembre de 2024): menciona "discapacidad" 8 veces en todo el documento. En los ocho casos, la mención es genérica y transversal —personas con discapacidad aparecen enumeradas junto a otros grupos prioritarios (migrantes, identidades de género, infancias, juventudes y personas mayores) o citadas dentro de una referencia de estándares internacionales—, sin que en ningún pasaje se desarrolle una línea de acción, meta, indicador o </w:t>
      </w:r>
      <w:r>
        <w:lastRenderedPageBreak/>
        <w:t>presupuesto específico. El documento no contiene ninguna mención a discapacidad intelectual, discapacidad cognitiva, síndrome de Down, accesibilidad cognitiva, lectura fácil o Lengua de Señas Chilena.</w:t>
      </w:r>
    </w:p>
    <w:p w14:paraId="7D95652D" w14:textId="77777777" w:rsidR="00F31157" w:rsidRDefault="00FD7E42">
      <w:pPr>
        <w:spacing w:after="120" w:line="300" w:lineRule="auto"/>
        <w:ind w:left="400" w:hanging="260"/>
        <w:jc w:val="both"/>
      </w:pPr>
      <w:r>
        <w:t xml:space="preserve">— Política Nacional de Educación Artística 2024-2029 (Resolución </w:t>
      </w:r>
      <w:proofErr w:type="spellStart"/>
      <w:r>
        <w:t>N°</w:t>
      </w:r>
      <w:proofErr w:type="spellEnd"/>
      <w:r>
        <w:t xml:space="preserve"> 2.494 exenta del 8 de septiembre de 2025 de la Subsecretaría de las Culturas y las Artes, publicada el 25 de septiembre de 2025): menciona "discapacidad" 2 veces en todo el texto. La primera corresponde al principio de "Enfoque de inclusión", formulado en términos genéricos; la segunda es una falsa coincidencia terminológica, ya que la palabra "cognitivo" aparece dentro del principio de "Integralidad" para describir una dimensión general del desarrollo humano en la pedagogía artística, sin relación alguna con discapacidad o accesibilidad cognitiva. El documento tampoco menciona discapacidad intelectual, síndrome de Down ni accesibilidad cognitiva en ningún pasaje.</w:t>
      </w:r>
    </w:p>
    <w:p w14:paraId="67575F97" w14:textId="77777777" w:rsidR="00F31157" w:rsidRDefault="00FD7E42">
      <w:pPr>
        <w:spacing w:after="120" w:line="300" w:lineRule="auto"/>
        <w:ind w:left="400" w:hanging="260"/>
        <w:jc w:val="both"/>
      </w:pPr>
      <w:r>
        <w:t xml:space="preserve">— Informe Final de la Cuenta Pública Participativa 2025 (Ministerio de las Culturas, las Artes y el Patrimonio, gestión junio 2024-mayo 2025): menciona "discapacidad" exactamente 1 vez en todo el documento, referida a 97 nuevos subtítulos accesibles para personas con discapacidad auditiva (225 en total) y 46 películas con audiodescripción para personas ciegas o con baja visión, disponibles en la plataforma </w:t>
      </w:r>
      <w:proofErr w:type="spellStart"/>
      <w:r>
        <w:t>OndaMedia</w:t>
      </w:r>
      <w:proofErr w:type="spellEnd"/>
      <w:r>
        <w:t>. Esta es la única mención de discapacidad en todo el informe de gestión anual del Ministerio, y se refiere exclusivamente a accesibilidad sensorial; no hay mención alguna a discapacidad intelectual, cognitiva o síndrome de Down. El mismo documento anuncia la Encuesta Nacional de Participación Cultural y Comportamiento Lector (ENPCCL), representativa de más de 13 millones de personas de sectores urbanos de Chile, con levantamiento de datos concluido en diciembre de 2024 y resultados anunciados para agosto de 2025, sin que se mencione ninguna desagregación por discapacidad en su diseño (véase sección 11.5).</w:t>
      </w:r>
    </w:p>
    <w:p w14:paraId="1DFB0171" w14:textId="77777777" w:rsidR="00F31157" w:rsidRDefault="00FD7E42">
      <w:pPr>
        <w:spacing w:after="200" w:line="300" w:lineRule="auto"/>
        <w:jc w:val="both"/>
      </w:pPr>
      <w:r>
        <w:rPr>
          <w:b/>
          <w:bCs/>
        </w:rPr>
        <w:t xml:space="preserve">Puntos críticos identificados en el conteo. </w:t>
      </w:r>
      <w:r>
        <w:t>El conteo anterior permite sostener, con precisión y no como impresión general, los puntos más débiles del panorama de política cultural chilena respecto de la discapacidad intelectual:</w:t>
      </w:r>
    </w:p>
    <w:p w14:paraId="417320DF" w14:textId="77777777" w:rsidR="00F31157" w:rsidRDefault="00FD7E42">
      <w:pPr>
        <w:spacing w:after="140" w:line="300" w:lineRule="auto"/>
        <w:ind w:left="400" w:hanging="260"/>
        <w:jc w:val="both"/>
      </w:pPr>
      <w:r>
        <w:rPr>
          <w:b/>
          <w:bCs/>
        </w:rPr>
        <w:t xml:space="preserve">a) </w:t>
      </w:r>
      <w:r>
        <w:t>la inclusión de la discapacidad en los instrumentos de planificación cultural es enunciativa, no programática: se nombra como parte de una lista de grupos prioritarios, pero no se traduce en ninguna meta, indicador, línea de financiamiento o mecanismo de participación específico;</w:t>
      </w:r>
    </w:p>
    <w:p w14:paraId="78C0D629" w14:textId="77777777" w:rsidR="00F31157" w:rsidRDefault="00FD7E42">
      <w:pPr>
        <w:spacing w:after="140" w:line="300" w:lineRule="auto"/>
        <w:ind w:left="400" w:hanging="260"/>
        <w:jc w:val="both"/>
      </w:pPr>
      <w:r>
        <w:rPr>
          <w:b/>
          <w:bCs/>
        </w:rPr>
        <w:t xml:space="preserve">b) </w:t>
      </w:r>
      <w:r>
        <w:t>ningún instrumento revisado distingue, ni siquiera nominalmente, entre discapacidad física, sensorial, intelectual o psicosocial, lo que impide diseñar medidas diferenciadas para un colectivo cuyas barreras de acceso y de producción cultural son cualitativamente distintas de las de otros tipos de discapacidad;</w:t>
      </w:r>
    </w:p>
    <w:p w14:paraId="18E4EA38" w14:textId="77777777" w:rsidR="00F31157" w:rsidRDefault="00FD7E42">
      <w:pPr>
        <w:spacing w:after="140" w:line="300" w:lineRule="auto"/>
        <w:ind w:left="400" w:hanging="260"/>
        <w:jc w:val="both"/>
      </w:pPr>
      <w:r>
        <w:rPr>
          <w:b/>
          <w:bCs/>
        </w:rPr>
        <w:t xml:space="preserve">c) </w:t>
      </w:r>
      <w:r>
        <w:t xml:space="preserve">cuando la política cultural chilena sí desarrolla accesibilidad de forma concreta (subtítulos, audiodescripción en </w:t>
      </w:r>
      <w:proofErr w:type="spellStart"/>
      <w:r>
        <w:t>OndaMedia</w:t>
      </w:r>
      <w:proofErr w:type="spellEnd"/>
      <w:r>
        <w:t>), lo hace exclusivamente para discapacidad sensorial, reproduciendo una jerarquía implícita entre tipos de discapacidad en la que la discapacidad intelectual queda sistemáticamente último o ausente; y</w:t>
      </w:r>
    </w:p>
    <w:p w14:paraId="20FA1B78" w14:textId="5A8C883C" w:rsidR="00F31157" w:rsidRDefault="00FD7E42">
      <w:pPr>
        <w:spacing w:after="140" w:line="300" w:lineRule="auto"/>
        <w:ind w:left="400" w:hanging="260"/>
        <w:jc w:val="both"/>
      </w:pPr>
      <w:r>
        <w:rPr>
          <w:b/>
          <w:bCs/>
        </w:rPr>
        <w:lastRenderedPageBreak/>
        <w:t xml:space="preserve">d) </w:t>
      </w:r>
      <w:r>
        <w:t>la coincidencia de que la única palabra "cognitivo" localizada en los tres documentos no se refiere a discapacidad sino a una dimensión pedagógica general es, en sí misma, un indicador de que el vocabulario de la accesibilidad cognitiva</w:t>
      </w:r>
      <w:r w:rsidR="00F23FBE">
        <w:t xml:space="preserve">, </w:t>
      </w:r>
      <w:r>
        <w:t xml:space="preserve">central en el trabajo ya desarrollado por organizaciones de la sociedad civil como Fundación </w:t>
      </w:r>
      <w:proofErr w:type="spellStart"/>
      <w:r>
        <w:t>Mawen</w:t>
      </w:r>
      <w:proofErr w:type="spellEnd"/>
      <w:r>
        <w:t xml:space="preserve"> (véase sección 11.3)</w:t>
      </w:r>
      <w:r w:rsidR="00F23FBE">
        <w:t xml:space="preserve">, </w:t>
      </w:r>
      <w:r>
        <w:t>no ha ingresado aún al lenguaje de la planificación cultural estatal chilena.</w:t>
      </w:r>
    </w:p>
    <w:p w14:paraId="35FC9C1E" w14:textId="77777777" w:rsidR="00F31157" w:rsidRDefault="00FD7E42">
      <w:pPr>
        <w:spacing w:after="200" w:line="300" w:lineRule="auto"/>
        <w:jc w:val="both"/>
      </w:pPr>
      <w:r>
        <w:t>Esta ausencia de desagregación conceptual, ya anticipada en el marco conceptual de este informe (capítulo 3), no es un defecto menor de redacción: es la condición que permite que el discurso de inclusión general conviva, sin contradicción aparente, con la inexistencia de medidas específicas para discapacidad intelectual.</w:t>
      </w:r>
    </w:p>
    <w:p w14:paraId="36FDF65A" w14:textId="77777777" w:rsidR="00F31157" w:rsidRDefault="00FD7E42">
      <w:pPr>
        <w:pStyle w:val="Heading2"/>
        <w:spacing w:before="320" w:after="160"/>
      </w:pPr>
      <w:r>
        <w:rPr>
          <w:b/>
          <w:bCs/>
          <w:color w:val="2E5395"/>
          <w:sz w:val="24"/>
          <w:szCs w:val="24"/>
        </w:rPr>
        <w:t>11.3 Implementación práctica</w:t>
      </w:r>
    </w:p>
    <w:p w14:paraId="47E0B12A" w14:textId="77777777" w:rsidR="00F31157" w:rsidRDefault="00FD7E42">
      <w:pPr>
        <w:spacing w:after="200" w:line="300" w:lineRule="auto"/>
        <w:jc w:val="both"/>
      </w:pPr>
      <w:r>
        <w:t xml:space="preserve">La trayectoria de Fundación </w:t>
      </w:r>
      <w:proofErr w:type="spellStart"/>
      <w:r>
        <w:t>Mawen</w:t>
      </w:r>
      <w:proofErr w:type="spellEnd"/>
      <w:r>
        <w:t xml:space="preserve"> entre 2015 y 2024 constituye, en ausencia de política pública específica, un modelo autogestionado de implementación del artículo 30.2. Los datos documentados incluyen: un crecimiento del 103% en el número de artistas del elenco de la compañía de música-teatro entre 2015 y 2024; producciones teatrales originales ("Trilogía del Hilo Rojo", "Cactus, sólo muere lo que se olvida", "La canción perdida", entre otras) presentadas en 23 funciones en establecimientos educacionales de las regiones Metropolitana y de La Araucanía, en la plataforma digital chilena de artes escénicas </w:t>
      </w:r>
      <w:proofErr w:type="spellStart"/>
      <w:r>
        <w:t>Escenix</w:t>
      </w:r>
      <w:proofErr w:type="spellEnd"/>
      <w:r>
        <w:t xml:space="preserve">, y en empresas como ENTEL; dos roles en teleseries de televisión chilena (canal Mega) y un rol en una película chilena que obtuvo el premio a mejor actriz en un festival de cine; y la gira internacional de 2019 a Madrid y Barcelona con la obra "Cactus", vista por más de 3.500 personas y cubierta por prensa española e internacional (El Mundo, La Vanguardia, CNN, entre otros medios). El registro formal de Fundación </w:t>
      </w:r>
      <w:proofErr w:type="spellStart"/>
      <w:r>
        <w:t>Mawen</w:t>
      </w:r>
      <w:proofErr w:type="spellEnd"/>
      <w:r>
        <w:t xml:space="preserve"> ante el Ministerio de las Culturas, las Artes y el Patrimonio en julio de 2024 es un antecedente positivo de reconocimiento institucional, pero corresponde a una gestión propia de la organización, no a una política estatal de identificación y apoyo activo a instituciones formativas del campo cultural que trabajan con personas con discapacidad intelectual. Debe señalarse, con la misma franqueza con que se declaran los logros, que toda esta trayectoria corresponde a una organización con sede en Santiago; no existe evidencia, dentro del alcance de esta sistematización, sobre el estado de la participación cultural activa de personas con discapacidad intelectual en regiones extremas, zonas rurales o comunidades indígenas, ni un análisis diferenciado por sexo. Esta concentración territorial de la evidencia disponible es, en sí misma, indicativa de una brecha de acceso a oportunidades culturales fuera de la capital, que el Estado debiera investigar activamente en lugar de asumir su inexistencia por falta de reportes.</w:t>
      </w:r>
    </w:p>
    <w:p w14:paraId="11F96344" w14:textId="77777777" w:rsidR="00F31157" w:rsidRDefault="00FD7E42">
      <w:pPr>
        <w:spacing w:after="200" w:line="300" w:lineRule="auto"/>
        <w:jc w:val="both"/>
      </w:pPr>
      <w:r>
        <w:t xml:space="preserve">Un hallazgo adicional, documentado en la sistematización metodológica interna de la Fundación (Montaña, 2025), es que Fundación </w:t>
      </w:r>
      <w:proofErr w:type="spellStart"/>
      <w:r>
        <w:t>Mawen</w:t>
      </w:r>
      <w:proofErr w:type="spellEnd"/>
      <w:r>
        <w:t xml:space="preserve"> ha desarrollado de forma autogestionada, sin que exista un estándar o requisito estatal que lo exija, un conjunto de prácticas concretas de accesibilidad cognitiva: guías de sesión adaptadas a lectura fácil (usadas de forma sistemática desde la transición a modalidad virtual en 2020-2022), uso de pictogramas e instrucciones claras en la coreografía y en la mediación de los talleres, incorporación de Lengua de Señas Chilena en el trabajo artístico y en el material de difusión (subtítulos e interpretación en </w:t>
      </w:r>
      <w:proofErr w:type="spellStart"/>
      <w:r>
        <w:t>LSCh</w:t>
      </w:r>
      <w:proofErr w:type="spellEnd"/>
      <w:r>
        <w:t xml:space="preserve">), y una incorporación creciente del protagonismo creativo de las propias personas con discapacidad cognitiva en el diseño de las obras </w:t>
      </w:r>
      <w:r>
        <w:lastRenderedPageBreak/>
        <w:t>(por ejemplo, coreografías creadas por los propios participantes del Taller de Danza, y no solo enseñadas a ellos). Este conjunto de prácticas constituye, en los hechos, una implementación de accesibilidad cognitiva en el campo cultural más desarrollada que la de cualquiera de los tres instrumentos oficiales de política cultural revisados en la sección 11.2, ninguno de los cuales menciona lectura fácil, pictogramas o accesibilidad cognitiva en ningún pasaje. La brecha, en consecuencia, no es de conocimiento técnico disponible en el país —la metodología existe, ha sido sistematizada y es transferible—, sino de reconocimiento institucional, financiamiento estructural y voluntad de estandarización por parte del Estado: lo que hoy depende de la autogestión de una organización con sede en Santiago podría, con respaldo estatal, convertirse en un estándar nacional de accesibilidad cultural cognitiva.</w:t>
      </w:r>
    </w:p>
    <w:p w14:paraId="2761D45D" w14:textId="77777777" w:rsidR="00F31157" w:rsidRDefault="00FD7E42">
      <w:pPr>
        <w:pStyle w:val="Heading2"/>
        <w:spacing w:before="320" w:after="160"/>
      </w:pPr>
      <w:r>
        <w:rPr>
          <w:b/>
          <w:bCs/>
          <w:color w:val="2E5395"/>
          <w:sz w:val="24"/>
          <w:szCs w:val="24"/>
        </w:rPr>
        <w:t>11.4 Evidencia</w:t>
      </w:r>
    </w:p>
    <w:p w14:paraId="6F1CB126" w14:textId="77777777" w:rsidR="00F31157" w:rsidRDefault="00FD7E42">
      <w:pPr>
        <w:spacing w:after="200" w:line="300" w:lineRule="auto"/>
        <w:jc w:val="both"/>
      </w:pPr>
      <w:r>
        <w:t xml:space="preserve">El artículo 4.2 de la Convención obliga a los Estados a adoptar medidas hasta el máximo de los recursos disponibles para la realización progresiva de los derechos económicos, sociales y culturales, entre ellos el artículo 30. La evidencia revisada para este informe no permite identificar una partida presupuestaria pública permanente, a nivel nacional, destinada específicamente a la participación cultural de personas con discapacidad intelectual como creadoras y gestoras. El financiamiento documentado en la trayectoria de Fundación </w:t>
      </w:r>
      <w:proofErr w:type="spellStart"/>
      <w:r>
        <w:t>Mawen</w:t>
      </w:r>
      <w:proofErr w:type="spellEnd"/>
      <w:r>
        <w:t xml:space="preserve"> proviene mayoritariamente de fondos concursables puntuales (FONAPI-SENADIS 2023-2024) y de alianzas con el sector privado (ENTEL, Salmones Austral) e instituciones educativas, no de una línea presupuestaria pública estructural.</w:t>
      </w:r>
    </w:p>
    <w:p w14:paraId="3AC4F5F1" w14:textId="77777777" w:rsidR="00F31157" w:rsidRDefault="00FD7E42">
      <w:pPr>
        <w:spacing w:after="200" w:line="300" w:lineRule="auto"/>
        <w:jc w:val="both"/>
      </w:pPr>
      <w:r>
        <w:t xml:space="preserve">No existen en Chile datos oficiales desglosados por tipo de discapacidad, edad, sexo o ubicación geográfica sobre participación cultural activa (como creadores, gestores o profesionales del sector), a diferencia de la participación cultural pasiva (como público o beneficiarios de programas de acceso). Este vacío es coherente con lo ya observado por el Comité en 2016 respecto del artículo 31: la encuesta ENDISC-II (2015) no incluyó a personas institucionalizadas, privadas de libertad, en situación de calle o indígenas, y el Comité recomendó la recopilación de datos desglosados por edad, sexo, tipo de deficiencia, pertenencia étnica y localización geográfica (CRPD/C/CHL/CO/1, </w:t>
      </w:r>
      <w:proofErr w:type="spellStart"/>
      <w:r>
        <w:t>párrs</w:t>
      </w:r>
      <w:proofErr w:type="spellEnd"/>
      <w:r>
        <w:t>. 63-64). Los únicos datos cuantitativos disponibles para este informe sobre participación cultural activa de personas con discapacidad intelectual provienen de los registros internos de una sola organización, concentrada en la Región Metropolitana, y no son extrapolables al universo nacional. Como referencia poblacional general, el Tercer Estudio Nacional de la Discapacidad estima que el 1,3% de la población chilena entre 2 y 17 años (7.640 personas) presenta síndrome de Down, y que la esperanza de vida de estas personas puede alcanzar entre 55 y 58 años.</w:t>
      </w:r>
    </w:p>
    <w:p w14:paraId="311BF10C" w14:textId="77777777" w:rsidR="00F31157" w:rsidRDefault="00FD7E42">
      <w:pPr>
        <w:spacing w:after="200" w:line="300" w:lineRule="auto"/>
        <w:jc w:val="both"/>
      </w:pPr>
      <w:r>
        <w:t xml:space="preserve">Un vacío adicional concierne al principal instrumento de medición de participación cultural actualmente en desarrollo: la Encuesta Nacional de Participación Cultural y Comportamiento Lector (ENPCCL), anunciada como representativa de más de 13 millones de personas de sectores urbanos de Chile, con levantamiento de datos concluido en diciembre de 2024 y resultados anunciados para agosto de 2025. La descripción pública de esta encuesta, revisada para este informe, no menciona ninguna desagregación por discapacidad entre sus variables de diseño. De confirmarse esta omisión al publicarse los resultados, la ENPCCL replicaría, en su próxima edición, el mismo vacío de datos que </w:t>
      </w:r>
      <w:r>
        <w:lastRenderedPageBreak/>
        <w:t xml:space="preserve">el Comité observó en 2016 respecto de la ENDISC-II: una encuesta poblacional de gran escala y alta inversión pública que, sin embargo, no permite responder si las personas con discapacidad intelectual participan culturalmente de forma activa, pasiva o nula. Fundación </w:t>
      </w:r>
      <w:proofErr w:type="spellStart"/>
      <w:r>
        <w:t>Mawen</w:t>
      </w:r>
      <w:proofErr w:type="spellEnd"/>
      <w:r>
        <w:t xml:space="preserve"> no tiene evidencia para afirmar si esta omisión fue subsanada o no en el instrumento finalmente aplicado, y señala este punto como una pregunta específica y verificable que el Comité puede formular al Estado de Chile.</w:t>
      </w:r>
    </w:p>
    <w:tbl>
      <w:tblPr>
        <w:tblW w:w="5000" w:type="pct"/>
        <w:tblBorders>
          <w:top w:val="single" w:sz="12" w:space="0" w:color="C0392B"/>
          <w:left w:val="single" w:sz="24" w:space="0" w:color="C0392B"/>
          <w:bottom w:val="single" w:sz="12" w:space="0" w:color="C0392B"/>
          <w:right w:val="single" w:sz="12" w:space="0" w:color="C0392B"/>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981"/>
      </w:tblGrid>
      <w:tr w:rsidR="00F31157" w14:paraId="4CFC81AF" w14:textId="77777777">
        <w:tc>
          <w:tcPr>
            <w:tcW w:w="0" w:type="auto"/>
            <w:shd w:val="clear" w:color="auto" w:fill="FDEDEC"/>
            <w:tcMar>
              <w:top w:w="160" w:type="dxa"/>
              <w:left w:w="200" w:type="dxa"/>
              <w:bottom w:w="160" w:type="dxa"/>
              <w:right w:w="200" w:type="dxa"/>
            </w:tcMar>
          </w:tcPr>
          <w:p w14:paraId="17FB32AD" w14:textId="77777777" w:rsidR="00F31157" w:rsidRDefault="00FD7E42">
            <w:pPr>
              <w:spacing w:after="80"/>
            </w:pPr>
            <w:r>
              <w:rPr>
                <w:b/>
                <w:bCs/>
                <w:color w:val="C0392B"/>
              </w:rPr>
              <w:t>Punto crítico para esta etapa de supervisión</w:t>
            </w:r>
          </w:p>
          <w:p w14:paraId="1AD3DE1B" w14:textId="13FD5ACA" w:rsidR="00F31157" w:rsidRDefault="00FD7E42">
            <w:pPr>
              <w:jc w:val="both"/>
            </w:pPr>
            <w:r>
              <w:t>El artículo 30 no ha recibido ninguna observación del Comité desde 2016, vacío que coincide con la ausencia de un eje temático dedicado a la vida cultural en la coordinación de la sociedad civil para la 35ª sesión: esta doble ausencia</w:t>
            </w:r>
            <w:r w:rsidR="00F23FBE">
              <w:t xml:space="preserve">, </w:t>
            </w:r>
            <w:r>
              <w:t>de escrutinio internacional y de instrumento nacional</w:t>
            </w:r>
            <w:r w:rsidR="00F23FBE">
              <w:t xml:space="preserve">, </w:t>
            </w:r>
            <w:r>
              <w:t>deja al artículo 30 sin ningún mecanismo de rendición de cuentas verificable, mientras el único dato desagregado por discapacidad hallado en la política cultural vigente se limita a subtítulos y audiodescripción para discapacidad sensorial.</w:t>
            </w:r>
          </w:p>
        </w:tc>
      </w:tr>
    </w:tbl>
    <w:p w14:paraId="407E4E7F" w14:textId="77777777" w:rsidR="00F23FBE" w:rsidRDefault="00F23FBE">
      <w:pPr>
        <w:spacing w:after="200" w:line="300" w:lineRule="auto"/>
        <w:jc w:val="both"/>
        <w:rPr>
          <w:b/>
          <w:bCs/>
        </w:rPr>
      </w:pPr>
    </w:p>
    <w:p w14:paraId="0E07E22E" w14:textId="155E91D0" w:rsidR="00F31157" w:rsidRDefault="00FD7E42">
      <w:pPr>
        <w:spacing w:after="200" w:line="300" w:lineRule="auto"/>
        <w:jc w:val="both"/>
      </w:pPr>
      <w:r>
        <w:rPr>
          <w:b/>
          <w:bCs/>
        </w:rPr>
        <w:t xml:space="preserve">Recomendaciones. </w:t>
      </w:r>
      <w:r>
        <w:t xml:space="preserve">Fundación </w:t>
      </w:r>
      <w:proofErr w:type="spellStart"/>
      <w:r>
        <w:t>Mawen</w:t>
      </w:r>
      <w:proofErr w:type="spellEnd"/>
      <w:r>
        <w:t xml:space="preserve"> sugiere al Comité incluir en sus Observaciones Finales una recomendación específica al Estado de Chile sobre el artículo 30</w:t>
      </w:r>
      <w:r w:rsidR="00F23FBE">
        <w:t xml:space="preserve">, </w:t>
      </w:r>
      <w:r>
        <w:t xml:space="preserve">ausente en las Observaciones Finales de 2016, solicitando que, </w:t>
      </w:r>
      <w:r w:rsidR="00F23FBE">
        <w:t xml:space="preserve">en un </w:t>
      </w:r>
      <w:r w:rsidR="00F23FBE" w:rsidRPr="00F23FBE">
        <w:t>plazo determinado</w:t>
      </w:r>
      <w:r w:rsidR="00F23FBE">
        <w:t xml:space="preserve"> y verificable</w:t>
      </w:r>
      <w:r>
        <w:t>:</w:t>
      </w:r>
    </w:p>
    <w:p w14:paraId="5F7CBCC0" w14:textId="62B5540E" w:rsidR="00F31157" w:rsidRDefault="00FD7E42">
      <w:pPr>
        <w:spacing w:after="140" w:line="300" w:lineRule="auto"/>
        <w:ind w:left="400" w:hanging="260"/>
        <w:jc w:val="both"/>
      </w:pPr>
      <w:r>
        <w:rPr>
          <w:b/>
          <w:bCs/>
        </w:rPr>
        <w:t>a)</w:t>
      </w:r>
      <w:r w:rsidR="00F23FBE">
        <w:rPr>
          <w:b/>
          <w:bCs/>
        </w:rPr>
        <w:t xml:space="preserve"> </w:t>
      </w:r>
      <w:r>
        <w:rPr>
          <w:b/>
          <w:bCs/>
        </w:rPr>
        <w:t xml:space="preserve"> </w:t>
      </w:r>
      <w:r>
        <w:t>diseñe una política nacional de participación cultural de personas con discapacidad que reconozca explícitamente su dimensión productiva (creación, gestión, mediación), no solo receptiva, con cobertura explícita en regiones fuera de la Región Metropolitana;</w:t>
      </w:r>
    </w:p>
    <w:p w14:paraId="4F61FAE0" w14:textId="77777777" w:rsidR="00F31157" w:rsidRDefault="00FD7E42">
      <w:pPr>
        <w:spacing w:after="140" w:line="300" w:lineRule="auto"/>
        <w:ind w:left="400" w:hanging="260"/>
        <w:jc w:val="both"/>
      </w:pPr>
      <w:r>
        <w:rPr>
          <w:b/>
          <w:bCs/>
        </w:rPr>
        <w:t xml:space="preserve">b) </w:t>
      </w:r>
      <w:r>
        <w:t>incorpore un módulo de participación cultural activa desglosado por tipo de discapacidad, edad, sexo, pertenencia étnica y ubicación geográfica en el próximo instrumento nacional de recopilación de datos sobre discapacidad;</w:t>
      </w:r>
    </w:p>
    <w:p w14:paraId="7CE23724" w14:textId="77777777" w:rsidR="00F31157" w:rsidRDefault="00FD7E42">
      <w:pPr>
        <w:spacing w:after="140" w:line="300" w:lineRule="auto"/>
        <w:ind w:left="400" w:hanging="260"/>
        <w:jc w:val="both"/>
      </w:pPr>
      <w:r>
        <w:rPr>
          <w:b/>
          <w:bCs/>
        </w:rPr>
        <w:t xml:space="preserve">c) </w:t>
      </w:r>
      <w:r>
        <w:t>aumente el financiamiento público concursable destinado a instituciones formativas del campo cultural que trabajan con personas con discapacidad cognitiva, con criterios de distribución territorial, informando al Comité sobre los resultados en su próximo informe periódico;</w:t>
      </w:r>
    </w:p>
    <w:p w14:paraId="0D6A6322" w14:textId="77777777" w:rsidR="00F31157" w:rsidRDefault="00FD7E42">
      <w:pPr>
        <w:spacing w:after="140" w:line="300" w:lineRule="auto"/>
        <w:ind w:left="400" w:hanging="260"/>
        <w:jc w:val="both"/>
      </w:pPr>
      <w:r>
        <w:rPr>
          <w:b/>
          <w:bCs/>
        </w:rPr>
        <w:t xml:space="preserve">d) </w:t>
      </w:r>
      <w:r>
        <w:t>incorpore, en la próxima actualización o evaluación intermedia de la Estrategia Quinquenal Nacional para el Desarrollo Cultural 2024-2029, una línea de acción explícita para discapacidad intelectual y cognitiva, diferenciada de las menciones genéricas ya existentes, con metas e indicadores propios;</w:t>
      </w:r>
    </w:p>
    <w:p w14:paraId="4569B6FD" w14:textId="17AC6020" w:rsidR="00F31157" w:rsidRDefault="00FD7E42">
      <w:pPr>
        <w:spacing w:after="140" w:line="300" w:lineRule="auto"/>
        <w:ind w:left="400" w:hanging="260"/>
        <w:jc w:val="both"/>
      </w:pPr>
      <w:r>
        <w:rPr>
          <w:b/>
          <w:bCs/>
        </w:rPr>
        <w:t xml:space="preserve">e) </w:t>
      </w:r>
      <w:r>
        <w:t>incorpore, en el reglamento o normas de implementación de la Política Nacional de Educación Artística 2024-2029, criterios de accesibilidad cognitiva (lectura fácil, pictogramas, mediación adaptada) para la formación artística de personas con discapacidad intelectual, tomando como referencia técnica metodologías ya sistematizadas por organizaciones de la sociedad civil chilena; y</w:t>
      </w:r>
      <w:r w:rsidR="00F23FBE">
        <w:t xml:space="preserve"> que</w:t>
      </w:r>
    </w:p>
    <w:p w14:paraId="039DE520" w14:textId="26A592E9" w:rsidR="00F31157" w:rsidRDefault="00FD7E42">
      <w:pPr>
        <w:spacing w:after="140" w:line="300" w:lineRule="auto"/>
        <w:ind w:left="400" w:hanging="260"/>
        <w:jc w:val="both"/>
      </w:pPr>
      <w:r>
        <w:rPr>
          <w:b/>
          <w:bCs/>
        </w:rPr>
        <w:t xml:space="preserve">f) </w:t>
      </w:r>
      <w:r w:rsidR="00F23FBE">
        <w:rPr>
          <w:b/>
          <w:bCs/>
        </w:rPr>
        <w:t xml:space="preserve"> </w:t>
      </w:r>
      <w:r>
        <w:t>incluya, en la Encuesta Nacional de Participación Cultural y Comportamiento Lector (ENPCCL) y sus futuras ediciones, una variable de tipo de discapacidad</w:t>
      </w:r>
      <w:r w:rsidR="00F23FBE">
        <w:t xml:space="preserve">, </w:t>
      </w:r>
      <w:r>
        <w:t>distinguiendo discapacidad intelectual o cognitiva de otros tipos de discapacidad</w:t>
      </w:r>
      <w:r w:rsidR="00F23FBE">
        <w:t xml:space="preserve">, </w:t>
      </w:r>
      <w:r>
        <w:t xml:space="preserve">entre sus categorías de desagregación, e informe al </w:t>
      </w:r>
      <w:r>
        <w:lastRenderedPageBreak/>
        <w:t>Comité, en su próximo informe periódico, si esta variable fue incorporada en la edición de resultados anunciada para 2025.</w:t>
      </w:r>
    </w:p>
    <w:p w14:paraId="5B6BAE9A" w14:textId="77777777" w:rsidR="00F31157" w:rsidRDefault="00FD7E42">
      <w:pPr>
        <w:spacing w:after="200" w:line="300" w:lineRule="auto"/>
        <w:jc w:val="both"/>
      </w:pPr>
      <w:r>
        <w:t xml:space="preserve">Fundación </w:t>
      </w:r>
      <w:proofErr w:type="spellStart"/>
      <w:r>
        <w:t>Mawen</w:t>
      </w:r>
      <w:proofErr w:type="spellEnd"/>
      <w:r>
        <w:t xml:space="preserve"> pone a disposición del Comité su propia experiencia metodológica, en formación artística, mediación cultural y accesibilidad cognitiva, para apoyar técnicamente al Estado de Chile en el diseño de la política nacional de participación cultural aquí recomendada, si así lo estimara pertinente el Comité o el Ministerio de las Culturas.</w:t>
      </w:r>
    </w:p>
    <w:p w14:paraId="4D1629B4" w14:textId="77777777" w:rsidR="00F31157" w:rsidRDefault="00FD7E42">
      <w:r>
        <w:br w:type="page"/>
      </w:r>
    </w:p>
    <w:p w14:paraId="664ABD79" w14:textId="77777777" w:rsidR="00F31157" w:rsidRDefault="00FD7E42">
      <w:pPr>
        <w:pStyle w:val="Heading1"/>
        <w:spacing w:before="480" w:after="240"/>
      </w:pPr>
      <w:r>
        <w:rPr>
          <w:b/>
          <w:bCs/>
          <w:color w:val="1F3864"/>
          <w:sz w:val="30"/>
          <w:szCs w:val="30"/>
        </w:rPr>
        <w:lastRenderedPageBreak/>
        <w:t>12. Síntesis de recomendaciones SMART</w:t>
      </w:r>
    </w:p>
    <w:p w14:paraId="5C53B80D" w14:textId="77777777" w:rsidR="00F31157" w:rsidRDefault="00FD7E42">
      <w:pPr>
        <w:spacing w:after="200" w:line="300" w:lineRule="auto"/>
        <w:jc w:val="both"/>
      </w:pPr>
      <w:r>
        <w:t>La siguiente tabla consolida, por artículo de la Convención, las recomendaciones SMART formuladas en los capítulos 5 a 11 de este informe, indicando la instancia estatal responsable de su implementación y el plazo sugerido.</w:t>
      </w: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00"/>
        <w:gridCol w:w="4257"/>
        <w:gridCol w:w="2693"/>
        <w:gridCol w:w="2050"/>
      </w:tblGrid>
      <w:tr w:rsidR="00F31157" w14:paraId="412280D2" w14:textId="77777777" w:rsidTr="00F23FBE">
        <w:trPr>
          <w:tblHeader/>
        </w:trPr>
        <w:tc>
          <w:tcPr>
            <w:tcW w:w="700" w:type="dxa"/>
            <w:shd w:val="clear" w:color="auto" w:fill="1F3864"/>
            <w:tcMar>
              <w:top w:w="100" w:type="dxa"/>
              <w:left w:w="120" w:type="dxa"/>
              <w:bottom w:w="100" w:type="dxa"/>
              <w:right w:w="120" w:type="dxa"/>
            </w:tcMar>
            <w:vAlign w:val="center"/>
          </w:tcPr>
          <w:p w14:paraId="12C8B68C" w14:textId="77777777" w:rsidR="00F31157" w:rsidRDefault="00FD7E42">
            <w:r>
              <w:rPr>
                <w:b/>
                <w:bCs/>
                <w:color w:val="FFFFFF"/>
                <w:sz w:val="19"/>
                <w:szCs w:val="19"/>
              </w:rPr>
              <w:t>Art.</w:t>
            </w:r>
          </w:p>
        </w:tc>
        <w:tc>
          <w:tcPr>
            <w:tcW w:w="4257" w:type="dxa"/>
            <w:shd w:val="clear" w:color="auto" w:fill="1F3864"/>
            <w:tcMar>
              <w:top w:w="100" w:type="dxa"/>
              <w:left w:w="120" w:type="dxa"/>
              <w:bottom w:w="100" w:type="dxa"/>
              <w:right w:w="120" w:type="dxa"/>
            </w:tcMar>
            <w:vAlign w:val="center"/>
          </w:tcPr>
          <w:p w14:paraId="390FDAF2" w14:textId="77777777" w:rsidR="00F31157" w:rsidRDefault="00FD7E42">
            <w:r>
              <w:rPr>
                <w:b/>
                <w:bCs/>
                <w:color w:val="FFFFFF"/>
                <w:sz w:val="19"/>
                <w:szCs w:val="19"/>
              </w:rPr>
              <w:t>Recomendación SMART (síntesis)</w:t>
            </w:r>
          </w:p>
        </w:tc>
        <w:tc>
          <w:tcPr>
            <w:tcW w:w="2693" w:type="dxa"/>
            <w:shd w:val="clear" w:color="auto" w:fill="1F3864"/>
            <w:tcMar>
              <w:top w:w="100" w:type="dxa"/>
              <w:left w:w="120" w:type="dxa"/>
              <w:bottom w:w="100" w:type="dxa"/>
              <w:right w:w="120" w:type="dxa"/>
            </w:tcMar>
            <w:vAlign w:val="center"/>
          </w:tcPr>
          <w:p w14:paraId="304F57B2" w14:textId="77777777" w:rsidR="00F31157" w:rsidRDefault="00FD7E42">
            <w:r>
              <w:rPr>
                <w:b/>
                <w:bCs/>
                <w:color w:val="FFFFFF"/>
                <w:sz w:val="19"/>
                <w:szCs w:val="19"/>
              </w:rPr>
              <w:t>Responsable</w:t>
            </w:r>
          </w:p>
        </w:tc>
        <w:tc>
          <w:tcPr>
            <w:tcW w:w="2050" w:type="dxa"/>
            <w:shd w:val="clear" w:color="auto" w:fill="1F3864"/>
            <w:tcMar>
              <w:top w:w="100" w:type="dxa"/>
              <w:left w:w="120" w:type="dxa"/>
              <w:bottom w:w="100" w:type="dxa"/>
              <w:right w:w="120" w:type="dxa"/>
            </w:tcMar>
            <w:vAlign w:val="center"/>
          </w:tcPr>
          <w:p w14:paraId="6EE42313" w14:textId="77777777" w:rsidR="00F31157" w:rsidRDefault="00FD7E42">
            <w:r>
              <w:rPr>
                <w:b/>
                <w:bCs/>
                <w:color w:val="FFFFFF"/>
                <w:sz w:val="19"/>
                <w:szCs w:val="19"/>
              </w:rPr>
              <w:t>Plazo</w:t>
            </w:r>
          </w:p>
        </w:tc>
      </w:tr>
      <w:tr w:rsidR="00F31157" w14:paraId="2EACB875" w14:textId="77777777" w:rsidTr="00F23FBE">
        <w:tc>
          <w:tcPr>
            <w:tcW w:w="700" w:type="dxa"/>
            <w:tcMar>
              <w:top w:w="100" w:type="dxa"/>
              <w:left w:w="120" w:type="dxa"/>
              <w:bottom w:w="100" w:type="dxa"/>
              <w:right w:w="120" w:type="dxa"/>
            </w:tcMar>
            <w:vAlign w:val="center"/>
          </w:tcPr>
          <w:p w14:paraId="63B4C7F0" w14:textId="77777777" w:rsidR="00F31157" w:rsidRDefault="00FD7E42">
            <w:pPr>
              <w:jc w:val="both"/>
            </w:pPr>
            <w:r>
              <w:rPr>
                <w:sz w:val="19"/>
                <w:szCs w:val="19"/>
              </w:rPr>
              <w:t>5</w:t>
            </w:r>
          </w:p>
        </w:tc>
        <w:tc>
          <w:tcPr>
            <w:tcW w:w="4257" w:type="dxa"/>
            <w:tcMar>
              <w:top w:w="100" w:type="dxa"/>
              <w:left w:w="120" w:type="dxa"/>
              <w:bottom w:w="100" w:type="dxa"/>
              <w:right w:w="120" w:type="dxa"/>
            </w:tcMar>
            <w:vAlign w:val="center"/>
          </w:tcPr>
          <w:p w14:paraId="29671F40" w14:textId="77777777" w:rsidR="00F31157" w:rsidRDefault="00FD7E42">
            <w:pPr>
              <w:jc w:val="both"/>
            </w:pPr>
            <w:r>
              <w:rPr>
                <w:sz w:val="19"/>
                <w:szCs w:val="19"/>
              </w:rPr>
              <w:t>Revisar la definición de ajuste razonable para reconocer su denegación como discriminación en el acceso a bienes y servicios culturales, con indicadores desglosados por región.</w:t>
            </w:r>
          </w:p>
        </w:tc>
        <w:tc>
          <w:tcPr>
            <w:tcW w:w="2693" w:type="dxa"/>
            <w:tcMar>
              <w:top w:w="100" w:type="dxa"/>
              <w:left w:w="120" w:type="dxa"/>
              <w:bottom w:w="100" w:type="dxa"/>
              <w:right w:w="120" w:type="dxa"/>
            </w:tcMar>
            <w:vAlign w:val="center"/>
          </w:tcPr>
          <w:p w14:paraId="7426A4A7" w14:textId="77777777" w:rsidR="00F31157" w:rsidRDefault="00FD7E42">
            <w:pPr>
              <w:jc w:val="both"/>
            </w:pPr>
            <w:r>
              <w:rPr>
                <w:sz w:val="19"/>
                <w:szCs w:val="19"/>
              </w:rPr>
              <w:t>Ministerio de Desarrollo Social / SENADIS</w:t>
            </w:r>
          </w:p>
        </w:tc>
        <w:tc>
          <w:tcPr>
            <w:tcW w:w="2050" w:type="dxa"/>
            <w:tcMar>
              <w:top w:w="100" w:type="dxa"/>
              <w:left w:w="120" w:type="dxa"/>
              <w:bottom w:w="100" w:type="dxa"/>
              <w:right w:w="120" w:type="dxa"/>
            </w:tcMar>
            <w:vAlign w:val="center"/>
          </w:tcPr>
          <w:p w14:paraId="098782AC" w14:textId="1A364DF5" w:rsidR="00F31157" w:rsidRPr="00F23FBE" w:rsidRDefault="00F23FBE">
            <w:pPr>
              <w:jc w:val="both"/>
              <w:rPr>
                <w:sz w:val="19"/>
                <w:szCs w:val="19"/>
              </w:rPr>
            </w:pPr>
            <w:r w:rsidRPr="00F23FBE">
              <w:rPr>
                <w:sz w:val="19"/>
                <w:szCs w:val="19"/>
              </w:rPr>
              <w:t>en un plazo determinado y verificable por medio de un cronograma público</w:t>
            </w:r>
          </w:p>
        </w:tc>
      </w:tr>
      <w:tr w:rsidR="00F23FBE" w14:paraId="2692E623" w14:textId="77777777" w:rsidTr="00F23FBE">
        <w:tc>
          <w:tcPr>
            <w:tcW w:w="700" w:type="dxa"/>
            <w:tcMar>
              <w:top w:w="100" w:type="dxa"/>
              <w:left w:w="120" w:type="dxa"/>
              <w:bottom w:w="100" w:type="dxa"/>
              <w:right w:w="120" w:type="dxa"/>
            </w:tcMar>
            <w:vAlign w:val="center"/>
          </w:tcPr>
          <w:p w14:paraId="332D2E48" w14:textId="77777777" w:rsidR="00F23FBE" w:rsidRDefault="00F23FBE" w:rsidP="00F23FBE">
            <w:pPr>
              <w:jc w:val="both"/>
            </w:pPr>
            <w:r>
              <w:rPr>
                <w:sz w:val="19"/>
                <w:szCs w:val="19"/>
              </w:rPr>
              <w:t>8</w:t>
            </w:r>
          </w:p>
        </w:tc>
        <w:tc>
          <w:tcPr>
            <w:tcW w:w="4257" w:type="dxa"/>
            <w:tcMar>
              <w:top w:w="100" w:type="dxa"/>
              <w:left w:w="120" w:type="dxa"/>
              <w:bottom w:w="100" w:type="dxa"/>
              <w:right w:w="120" w:type="dxa"/>
            </w:tcMar>
            <w:vAlign w:val="center"/>
          </w:tcPr>
          <w:p w14:paraId="67554876" w14:textId="77777777" w:rsidR="00F23FBE" w:rsidRDefault="00F23FBE" w:rsidP="00F23FBE">
            <w:pPr>
              <w:jc w:val="both"/>
            </w:pPr>
            <w:r>
              <w:rPr>
                <w:sz w:val="19"/>
                <w:szCs w:val="19"/>
              </w:rPr>
              <w:t>Crear línea de financiamiento concursable para sensibilización pública protagonizada por personas con discapacidad como agentes culturales, con distribución territorial fuera de la RM, y reconocer formalmente el rol gestor de las organizaciones que trabajan con discapacidad en el campo artístico-cultural.</w:t>
            </w:r>
          </w:p>
        </w:tc>
        <w:tc>
          <w:tcPr>
            <w:tcW w:w="2693" w:type="dxa"/>
            <w:tcMar>
              <w:top w:w="100" w:type="dxa"/>
              <w:left w:w="120" w:type="dxa"/>
              <w:bottom w:w="100" w:type="dxa"/>
              <w:right w:w="120" w:type="dxa"/>
            </w:tcMar>
            <w:vAlign w:val="center"/>
          </w:tcPr>
          <w:p w14:paraId="4DC9BB92" w14:textId="77777777" w:rsidR="00F23FBE" w:rsidRDefault="00F23FBE" w:rsidP="00F23FBE">
            <w:pPr>
              <w:jc w:val="both"/>
            </w:pPr>
            <w:r>
              <w:rPr>
                <w:sz w:val="19"/>
                <w:szCs w:val="19"/>
              </w:rPr>
              <w:t>Ministerio de las Culturas / SENADIS</w:t>
            </w:r>
          </w:p>
        </w:tc>
        <w:tc>
          <w:tcPr>
            <w:tcW w:w="2050" w:type="dxa"/>
            <w:tcMar>
              <w:top w:w="100" w:type="dxa"/>
              <w:left w:w="120" w:type="dxa"/>
              <w:bottom w:w="100" w:type="dxa"/>
              <w:right w:w="120" w:type="dxa"/>
            </w:tcMar>
            <w:vAlign w:val="center"/>
          </w:tcPr>
          <w:p w14:paraId="4F2DAEAC" w14:textId="50EF78AA" w:rsidR="00F23FBE" w:rsidRDefault="00F23FBE" w:rsidP="00F23FBE">
            <w:pPr>
              <w:jc w:val="both"/>
            </w:pPr>
            <w:r w:rsidRPr="00F23FBE">
              <w:rPr>
                <w:sz w:val="19"/>
                <w:szCs w:val="19"/>
              </w:rPr>
              <w:t>en un plazo determinado y verificable por medio de un cronograma público</w:t>
            </w:r>
          </w:p>
        </w:tc>
      </w:tr>
      <w:tr w:rsidR="00F23FBE" w14:paraId="546758F9" w14:textId="77777777" w:rsidTr="00F23FBE">
        <w:tc>
          <w:tcPr>
            <w:tcW w:w="700" w:type="dxa"/>
            <w:tcMar>
              <w:top w:w="100" w:type="dxa"/>
              <w:left w:w="120" w:type="dxa"/>
              <w:bottom w:w="100" w:type="dxa"/>
              <w:right w:w="120" w:type="dxa"/>
            </w:tcMar>
            <w:vAlign w:val="center"/>
          </w:tcPr>
          <w:p w14:paraId="6C938489" w14:textId="77777777" w:rsidR="00F23FBE" w:rsidRDefault="00F23FBE" w:rsidP="00F23FBE">
            <w:pPr>
              <w:jc w:val="both"/>
            </w:pPr>
            <w:r>
              <w:rPr>
                <w:sz w:val="19"/>
                <w:szCs w:val="19"/>
              </w:rPr>
              <w:t>9</w:t>
            </w:r>
          </w:p>
        </w:tc>
        <w:tc>
          <w:tcPr>
            <w:tcW w:w="4257" w:type="dxa"/>
            <w:tcMar>
              <w:top w:w="100" w:type="dxa"/>
              <w:left w:w="120" w:type="dxa"/>
              <w:bottom w:w="100" w:type="dxa"/>
              <w:right w:w="120" w:type="dxa"/>
            </w:tcMar>
            <w:vAlign w:val="center"/>
          </w:tcPr>
          <w:p w14:paraId="725061F8" w14:textId="77777777" w:rsidR="00F23FBE" w:rsidRDefault="00F23FBE" w:rsidP="00F23FBE">
            <w:pPr>
              <w:jc w:val="both"/>
            </w:pPr>
            <w:r>
              <w:rPr>
                <w:sz w:val="19"/>
                <w:szCs w:val="19"/>
              </w:rPr>
              <w:t>Incorporar accesibilidad cognitiva (lectura fácil, señalética, mediación) en el plan nacional de accesibilidad, con metas para el sector cultural fuera de la RM.</w:t>
            </w:r>
          </w:p>
        </w:tc>
        <w:tc>
          <w:tcPr>
            <w:tcW w:w="2693" w:type="dxa"/>
            <w:tcMar>
              <w:top w:w="100" w:type="dxa"/>
              <w:left w:w="120" w:type="dxa"/>
              <w:bottom w:w="100" w:type="dxa"/>
              <w:right w:w="120" w:type="dxa"/>
            </w:tcMar>
            <w:vAlign w:val="center"/>
          </w:tcPr>
          <w:p w14:paraId="10CB5E02" w14:textId="77777777" w:rsidR="00F23FBE" w:rsidRDefault="00F23FBE" w:rsidP="00F23FBE">
            <w:pPr>
              <w:jc w:val="both"/>
            </w:pPr>
            <w:r>
              <w:rPr>
                <w:sz w:val="19"/>
                <w:szCs w:val="19"/>
              </w:rPr>
              <w:t>Ministerio de las Culturas</w:t>
            </w:r>
          </w:p>
        </w:tc>
        <w:tc>
          <w:tcPr>
            <w:tcW w:w="2050" w:type="dxa"/>
            <w:tcMar>
              <w:top w:w="100" w:type="dxa"/>
              <w:left w:w="120" w:type="dxa"/>
              <w:bottom w:w="100" w:type="dxa"/>
              <w:right w:w="120" w:type="dxa"/>
            </w:tcMar>
            <w:vAlign w:val="center"/>
          </w:tcPr>
          <w:p w14:paraId="64E23064" w14:textId="7D45F9EC" w:rsidR="00F23FBE" w:rsidRDefault="00F23FBE" w:rsidP="00F23FBE">
            <w:pPr>
              <w:jc w:val="both"/>
            </w:pPr>
            <w:r w:rsidRPr="00F23FBE">
              <w:rPr>
                <w:sz w:val="19"/>
                <w:szCs w:val="19"/>
              </w:rPr>
              <w:t>en un plazo determinado y verificable por medio de un cronograma público</w:t>
            </w:r>
          </w:p>
        </w:tc>
      </w:tr>
      <w:tr w:rsidR="00F23FBE" w14:paraId="70FD1854" w14:textId="77777777" w:rsidTr="00F23FBE">
        <w:tc>
          <w:tcPr>
            <w:tcW w:w="700" w:type="dxa"/>
            <w:tcMar>
              <w:top w:w="100" w:type="dxa"/>
              <w:left w:w="120" w:type="dxa"/>
              <w:bottom w:w="100" w:type="dxa"/>
              <w:right w:w="120" w:type="dxa"/>
            </w:tcMar>
            <w:vAlign w:val="center"/>
          </w:tcPr>
          <w:p w14:paraId="1BCD30D6" w14:textId="77777777" w:rsidR="00F23FBE" w:rsidRDefault="00F23FBE" w:rsidP="00F23FBE">
            <w:pPr>
              <w:jc w:val="both"/>
            </w:pPr>
            <w:r>
              <w:rPr>
                <w:sz w:val="19"/>
                <w:szCs w:val="19"/>
              </w:rPr>
              <w:t>21</w:t>
            </w:r>
          </w:p>
        </w:tc>
        <w:tc>
          <w:tcPr>
            <w:tcW w:w="4257" w:type="dxa"/>
            <w:tcMar>
              <w:top w:w="100" w:type="dxa"/>
              <w:left w:w="120" w:type="dxa"/>
              <w:bottom w:w="100" w:type="dxa"/>
              <w:right w:w="120" w:type="dxa"/>
            </w:tcMar>
            <w:vAlign w:val="center"/>
          </w:tcPr>
          <w:p w14:paraId="29D73632" w14:textId="77777777" w:rsidR="00F23FBE" w:rsidRDefault="00F23FBE" w:rsidP="00F23FBE">
            <w:pPr>
              <w:jc w:val="both"/>
            </w:pPr>
            <w:r>
              <w:rPr>
                <w:sz w:val="19"/>
                <w:szCs w:val="19"/>
              </w:rPr>
              <w:t>Informar sobre el avance del reconocimiento oficial de la lengua de señas chilena y el Braille, e incluir formatos accesibles para personas sordas y ciegas en la política cultural.</w:t>
            </w:r>
          </w:p>
        </w:tc>
        <w:tc>
          <w:tcPr>
            <w:tcW w:w="2693" w:type="dxa"/>
            <w:tcMar>
              <w:top w:w="100" w:type="dxa"/>
              <w:left w:w="120" w:type="dxa"/>
              <w:bottom w:w="100" w:type="dxa"/>
              <w:right w:w="120" w:type="dxa"/>
            </w:tcMar>
            <w:vAlign w:val="center"/>
          </w:tcPr>
          <w:p w14:paraId="4046D556" w14:textId="77777777" w:rsidR="00F23FBE" w:rsidRDefault="00F23FBE" w:rsidP="00F23FBE">
            <w:pPr>
              <w:jc w:val="both"/>
            </w:pPr>
            <w:r>
              <w:rPr>
                <w:sz w:val="19"/>
                <w:szCs w:val="19"/>
              </w:rPr>
              <w:t>Ministerio de las Culturas / SENADIS</w:t>
            </w:r>
          </w:p>
        </w:tc>
        <w:tc>
          <w:tcPr>
            <w:tcW w:w="2050" w:type="dxa"/>
            <w:tcMar>
              <w:top w:w="100" w:type="dxa"/>
              <w:left w:w="120" w:type="dxa"/>
              <w:bottom w:w="100" w:type="dxa"/>
              <w:right w:w="120" w:type="dxa"/>
            </w:tcMar>
            <w:vAlign w:val="center"/>
          </w:tcPr>
          <w:p w14:paraId="78730E6B" w14:textId="77777777" w:rsidR="00F23FBE" w:rsidRDefault="00F23FBE" w:rsidP="00F23FBE">
            <w:pPr>
              <w:jc w:val="both"/>
            </w:pPr>
            <w:r>
              <w:rPr>
                <w:sz w:val="19"/>
                <w:szCs w:val="19"/>
              </w:rPr>
              <w:t>Próximo informe periódico</w:t>
            </w:r>
          </w:p>
        </w:tc>
      </w:tr>
      <w:tr w:rsidR="00F23FBE" w14:paraId="62674F96" w14:textId="77777777" w:rsidTr="00F23FBE">
        <w:tc>
          <w:tcPr>
            <w:tcW w:w="700" w:type="dxa"/>
            <w:tcMar>
              <w:top w:w="100" w:type="dxa"/>
              <w:left w:w="120" w:type="dxa"/>
              <w:bottom w:w="100" w:type="dxa"/>
              <w:right w:w="120" w:type="dxa"/>
            </w:tcMar>
            <w:vAlign w:val="center"/>
          </w:tcPr>
          <w:p w14:paraId="389B394A" w14:textId="77777777" w:rsidR="00F23FBE" w:rsidRDefault="00F23FBE" w:rsidP="00F23FBE">
            <w:pPr>
              <w:jc w:val="both"/>
            </w:pPr>
            <w:r>
              <w:rPr>
                <w:sz w:val="19"/>
                <w:szCs w:val="19"/>
              </w:rPr>
              <w:t>27</w:t>
            </w:r>
          </w:p>
        </w:tc>
        <w:tc>
          <w:tcPr>
            <w:tcW w:w="4257" w:type="dxa"/>
            <w:tcMar>
              <w:top w:w="100" w:type="dxa"/>
              <w:left w:w="120" w:type="dxa"/>
              <w:bottom w:w="100" w:type="dxa"/>
              <w:right w:w="120" w:type="dxa"/>
            </w:tcMar>
            <w:vAlign w:val="center"/>
          </w:tcPr>
          <w:p w14:paraId="35F19F94" w14:textId="77777777" w:rsidR="00F23FBE" w:rsidRDefault="00F23FBE" w:rsidP="00F23FBE">
            <w:pPr>
              <w:jc w:val="both"/>
            </w:pPr>
            <w:r>
              <w:rPr>
                <w:sz w:val="19"/>
                <w:szCs w:val="19"/>
              </w:rPr>
              <w:t>Otorgar certificación con validez pública a la formación impartida por instituciones culturales y conectarla con empleabilidad.</w:t>
            </w:r>
          </w:p>
        </w:tc>
        <w:tc>
          <w:tcPr>
            <w:tcW w:w="2693" w:type="dxa"/>
            <w:tcMar>
              <w:top w:w="100" w:type="dxa"/>
              <w:left w:w="120" w:type="dxa"/>
              <w:bottom w:w="100" w:type="dxa"/>
              <w:right w:w="120" w:type="dxa"/>
            </w:tcMar>
            <w:vAlign w:val="center"/>
          </w:tcPr>
          <w:p w14:paraId="1183C67D" w14:textId="77777777" w:rsidR="00F23FBE" w:rsidRDefault="00F23FBE" w:rsidP="00F23FBE">
            <w:pPr>
              <w:jc w:val="both"/>
            </w:pPr>
            <w:r>
              <w:rPr>
                <w:sz w:val="19"/>
                <w:szCs w:val="19"/>
              </w:rPr>
              <w:t>Ministerio de las Culturas / Ministerio del Trabajo</w:t>
            </w:r>
          </w:p>
        </w:tc>
        <w:tc>
          <w:tcPr>
            <w:tcW w:w="2050" w:type="dxa"/>
            <w:tcMar>
              <w:top w:w="100" w:type="dxa"/>
              <w:left w:w="120" w:type="dxa"/>
              <w:bottom w:w="100" w:type="dxa"/>
              <w:right w:w="120" w:type="dxa"/>
            </w:tcMar>
            <w:vAlign w:val="center"/>
          </w:tcPr>
          <w:p w14:paraId="07625519" w14:textId="2A13EA2F" w:rsidR="00F23FBE" w:rsidRDefault="00F23FBE" w:rsidP="00F23FBE">
            <w:pPr>
              <w:jc w:val="both"/>
            </w:pPr>
            <w:r w:rsidRPr="00F23FBE">
              <w:rPr>
                <w:sz w:val="19"/>
                <w:szCs w:val="19"/>
              </w:rPr>
              <w:t>en un plazo determinado y verificable por medio de un cronograma público</w:t>
            </w:r>
          </w:p>
        </w:tc>
      </w:tr>
      <w:tr w:rsidR="00F23FBE" w14:paraId="75677A59" w14:textId="77777777" w:rsidTr="00F23FBE">
        <w:tc>
          <w:tcPr>
            <w:tcW w:w="700" w:type="dxa"/>
            <w:tcMar>
              <w:top w:w="100" w:type="dxa"/>
              <w:left w:w="120" w:type="dxa"/>
              <w:bottom w:w="100" w:type="dxa"/>
              <w:right w:w="120" w:type="dxa"/>
            </w:tcMar>
            <w:vAlign w:val="center"/>
          </w:tcPr>
          <w:p w14:paraId="30650D7A" w14:textId="77777777" w:rsidR="00F23FBE" w:rsidRDefault="00F23FBE" w:rsidP="00F23FBE">
            <w:pPr>
              <w:jc w:val="both"/>
            </w:pPr>
            <w:r>
              <w:rPr>
                <w:sz w:val="19"/>
                <w:szCs w:val="19"/>
              </w:rPr>
              <w:t>29</w:t>
            </w:r>
          </w:p>
        </w:tc>
        <w:tc>
          <w:tcPr>
            <w:tcW w:w="4257" w:type="dxa"/>
            <w:tcMar>
              <w:top w:w="100" w:type="dxa"/>
              <w:left w:w="120" w:type="dxa"/>
              <w:bottom w:w="100" w:type="dxa"/>
              <w:right w:w="120" w:type="dxa"/>
            </w:tcMar>
            <w:vAlign w:val="center"/>
          </w:tcPr>
          <w:p w14:paraId="2FC2CEF3" w14:textId="77777777" w:rsidR="00F23FBE" w:rsidRDefault="00F23FBE" w:rsidP="00F23FBE">
            <w:pPr>
              <w:jc w:val="both"/>
            </w:pPr>
            <w:r>
              <w:rPr>
                <w:sz w:val="19"/>
                <w:szCs w:val="19"/>
              </w:rPr>
              <w:t>Definir mecanismo formal y financiado de vocería directa de personas con discapacidad intelectual en política cultural, con consulta a organizaciones regionales, de mujeres y de pueblos indígenas.</w:t>
            </w:r>
          </w:p>
        </w:tc>
        <w:tc>
          <w:tcPr>
            <w:tcW w:w="2693" w:type="dxa"/>
            <w:tcMar>
              <w:top w:w="100" w:type="dxa"/>
              <w:left w:w="120" w:type="dxa"/>
              <w:bottom w:w="100" w:type="dxa"/>
              <w:right w:w="120" w:type="dxa"/>
            </w:tcMar>
            <w:vAlign w:val="center"/>
          </w:tcPr>
          <w:p w14:paraId="5F89FAA5" w14:textId="77777777" w:rsidR="00F23FBE" w:rsidRDefault="00F23FBE" w:rsidP="00F23FBE">
            <w:pPr>
              <w:jc w:val="both"/>
            </w:pPr>
            <w:r>
              <w:rPr>
                <w:sz w:val="19"/>
                <w:szCs w:val="19"/>
              </w:rPr>
              <w:t>SENADIS / Ministerio de las Culturas</w:t>
            </w:r>
          </w:p>
        </w:tc>
        <w:tc>
          <w:tcPr>
            <w:tcW w:w="2050" w:type="dxa"/>
            <w:tcMar>
              <w:top w:w="100" w:type="dxa"/>
              <w:left w:w="120" w:type="dxa"/>
              <w:bottom w:w="100" w:type="dxa"/>
              <w:right w:w="120" w:type="dxa"/>
            </w:tcMar>
            <w:vAlign w:val="center"/>
          </w:tcPr>
          <w:p w14:paraId="4B6178E3" w14:textId="4D752B8E" w:rsidR="00F23FBE" w:rsidRDefault="00F23FBE" w:rsidP="00F23FBE">
            <w:pPr>
              <w:jc w:val="both"/>
            </w:pPr>
            <w:r w:rsidRPr="00F23FBE">
              <w:rPr>
                <w:sz w:val="19"/>
                <w:szCs w:val="19"/>
              </w:rPr>
              <w:t>en un plazo determinado y verificable por medio de un cronograma público</w:t>
            </w:r>
          </w:p>
        </w:tc>
      </w:tr>
      <w:tr w:rsidR="00F23FBE" w14:paraId="059BE02B" w14:textId="77777777" w:rsidTr="00F23FBE">
        <w:tc>
          <w:tcPr>
            <w:tcW w:w="700" w:type="dxa"/>
            <w:tcMar>
              <w:top w:w="100" w:type="dxa"/>
              <w:left w:w="120" w:type="dxa"/>
              <w:bottom w:w="100" w:type="dxa"/>
              <w:right w:w="120" w:type="dxa"/>
            </w:tcMar>
            <w:vAlign w:val="center"/>
          </w:tcPr>
          <w:p w14:paraId="1DCD9907" w14:textId="77777777" w:rsidR="00F23FBE" w:rsidRDefault="00F23FBE" w:rsidP="00F23FBE">
            <w:pPr>
              <w:jc w:val="both"/>
            </w:pPr>
            <w:r>
              <w:rPr>
                <w:sz w:val="19"/>
                <w:szCs w:val="19"/>
              </w:rPr>
              <w:t>30</w:t>
            </w:r>
          </w:p>
        </w:tc>
        <w:tc>
          <w:tcPr>
            <w:tcW w:w="4257" w:type="dxa"/>
            <w:tcMar>
              <w:top w:w="100" w:type="dxa"/>
              <w:left w:w="120" w:type="dxa"/>
              <w:bottom w:w="100" w:type="dxa"/>
              <w:right w:w="120" w:type="dxa"/>
            </w:tcMar>
            <w:vAlign w:val="center"/>
          </w:tcPr>
          <w:p w14:paraId="73745C36" w14:textId="77777777" w:rsidR="00F23FBE" w:rsidRDefault="00F23FBE" w:rsidP="00F23FBE">
            <w:pPr>
              <w:jc w:val="both"/>
            </w:pPr>
            <w:r>
              <w:rPr>
                <w:sz w:val="19"/>
                <w:szCs w:val="19"/>
              </w:rPr>
              <w:t>Diseñar política nacional de participación cultural activa (creación y gestión, no solo recepción), con cobertura fuera de la RM.</w:t>
            </w:r>
          </w:p>
        </w:tc>
        <w:tc>
          <w:tcPr>
            <w:tcW w:w="2693" w:type="dxa"/>
            <w:tcMar>
              <w:top w:w="100" w:type="dxa"/>
              <w:left w:w="120" w:type="dxa"/>
              <w:bottom w:w="100" w:type="dxa"/>
              <w:right w:w="120" w:type="dxa"/>
            </w:tcMar>
            <w:vAlign w:val="center"/>
          </w:tcPr>
          <w:p w14:paraId="52026612" w14:textId="77777777" w:rsidR="00F23FBE" w:rsidRDefault="00F23FBE" w:rsidP="00F23FBE">
            <w:pPr>
              <w:jc w:val="both"/>
            </w:pPr>
            <w:r>
              <w:rPr>
                <w:sz w:val="19"/>
                <w:szCs w:val="19"/>
              </w:rPr>
              <w:t>Ministerio de las Culturas</w:t>
            </w:r>
          </w:p>
        </w:tc>
        <w:tc>
          <w:tcPr>
            <w:tcW w:w="2050" w:type="dxa"/>
            <w:tcMar>
              <w:top w:w="100" w:type="dxa"/>
              <w:left w:w="120" w:type="dxa"/>
              <w:bottom w:w="100" w:type="dxa"/>
              <w:right w:w="120" w:type="dxa"/>
            </w:tcMar>
            <w:vAlign w:val="center"/>
          </w:tcPr>
          <w:p w14:paraId="4112B44E" w14:textId="1CE90C30" w:rsidR="00F23FBE" w:rsidRDefault="00F23FBE" w:rsidP="00F23FBE">
            <w:pPr>
              <w:jc w:val="both"/>
            </w:pPr>
            <w:r w:rsidRPr="00F23FBE">
              <w:rPr>
                <w:sz w:val="19"/>
                <w:szCs w:val="19"/>
              </w:rPr>
              <w:t>en un plazo determinado y verificable por medio de un cronograma público</w:t>
            </w:r>
          </w:p>
        </w:tc>
      </w:tr>
      <w:tr w:rsidR="00F23FBE" w14:paraId="7E83A128" w14:textId="77777777" w:rsidTr="00F23FBE">
        <w:tc>
          <w:tcPr>
            <w:tcW w:w="700" w:type="dxa"/>
            <w:tcMar>
              <w:top w:w="100" w:type="dxa"/>
              <w:left w:w="120" w:type="dxa"/>
              <w:bottom w:w="100" w:type="dxa"/>
              <w:right w:w="120" w:type="dxa"/>
            </w:tcMar>
            <w:vAlign w:val="center"/>
          </w:tcPr>
          <w:p w14:paraId="47F37E34" w14:textId="77777777" w:rsidR="00F23FBE" w:rsidRDefault="00F23FBE" w:rsidP="00F23FBE">
            <w:pPr>
              <w:jc w:val="both"/>
            </w:pPr>
            <w:r>
              <w:rPr>
                <w:sz w:val="19"/>
                <w:szCs w:val="19"/>
              </w:rPr>
              <w:t>30</w:t>
            </w:r>
          </w:p>
        </w:tc>
        <w:tc>
          <w:tcPr>
            <w:tcW w:w="4257" w:type="dxa"/>
            <w:tcMar>
              <w:top w:w="100" w:type="dxa"/>
              <w:left w:w="120" w:type="dxa"/>
              <w:bottom w:w="100" w:type="dxa"/>
              <w:right w:w="120" w:type="dxa"/>
            </w:tcMar>
            <w:vAlign w:val="center"/>
          </w:tcPr>
          <w:p w14:paraId="633D6DA6" w14:textId="77777777" w:rsidR="00F23FBE" w:rsidRDefault="00F23FBE" w:rsidP="00F23FBE">
            <w:pPr>
              <w:jc w:val="both"/>
            </w:pPr>
            <w:r>
              <w:rPr>
                <w:sz w:val="19"/>
                <w:szCs w:val="19"/>
              </w:rPr>
              <w:t>Incorporar línea de acción, metas e indicadores específicos para discapacidad intelectual y cognitiva en la Estrategia Quinquenal Nacional para el Desarrollo Cultural 2024-2029 (hoy 8 menciones genéricas, sin especificidad).</w:t>
            </w:r>
          </w:p>
        </w:tc>
        <w:tc>
          <w:tcPr>
            <w:tcW w:w="2693" w:type="dxa"/>
            <w:tcMar>
              <w:top w:w="100" w:type="dxa"/>
              <w:left w:w="120" w:type="dxa"/>
              <w:bottom w:w="100" w:type="dxa"/>
              <w:right w:w="120" w:type="dxa"/>
            </w:tcMar>
            <w:vAlign w:val="center"/>
          </w:tcPr>
          <w:p w14:paraId="46A47490" w14:textId="77777777" w:rsidR="00F23FBE" w:rsidRDefault="00F23FBE" w:rsidP="00F23FBE">
            <w:pPr>
              <w:jc w:val="both"/>
            </w:pPr>
            <w:r>
              <w:rPr>
                <w:sz w:val="19"/>
                <w:szCs w:val="19"/>
              </w:rPr>
              <w:t>Ministerio de las Culturas</w:t>
            </w:r>
          </w:p>
        </w:tc>
        <w:tc>
          <w:tcPr>
            <w:tcW w:w="2050" w:type="dxa"/>
            <w:tcMar>
              <w:top w:w="100" w:type="dxa"/>
              <w:left w:w="120" w:type="dxa"/>
              <w:bottom w:w="100" w:type="dxa"/>
              <w:right w:w="120" w:type="dxa"/>
            </w:tcMar>
            <w:vAlign w:val="center"/>
          </w:tcPr>
          <w:p w14:paraId="2E188A6F" w14:textId="77777777" w:rsidR="00F23FBE" w:rsidRDefault="00F23FBE" w:rsidP="00F23FBE">
            <w:pPr>
              <w:jc w:val="both"/>
            </w:pPr>
            <w:r>
              <w:rPr>
                <w:sz w:val="19"/>
                <w:szCs w:val="19"/>
              </w:rPr>
              <w:t>Próxima actualización o evaluación intermedia</w:t>
            </w:r>
          </w:p>
        </w:tc>
      </w:tr>
      <w:tr w:rsidR="00F23FBE" w14:paraId="1FE2AE39" w14:textId="77777777" w:rsidTr="00F23FBE">
        <w:tc>
          <w:tcPr>
            <w:tcW w:w="700" w:type="dxa"/>
            <w:tcMar>
              <w:top w:w="100" w:type="dxa"/>
              <w:left w:w="120" w:type="dxa"/>
              <w:bottom w:w="100" w:type="dxa"/>
              <w:right w:w="120" w:type="dxa"/>
            </w:tcMar>
            <w:vAlign w:val="center"/>
          </w:tcPr>
          <w:p w14:paraId="1ACA7DC2" w14:textId="77777777" w:rsidR="00F23FBE" w:rsidRDefault="00F23FBE" w:rsidP="00F23FBE">
            <w:pPr>
              <w:jc w:val="both"/>
            </w:pPr>
            <w:r>
              <w:rPr>
                <w:sz w:val="19"/>
                <w:szCs w:val="19"/>
              </w:rPr>
              <w:lastRenderedPageBreak/>
              <w:t>30</w:t>
            </w:r>
          </w:p>
        </w:tc>
        <w:tc>
          <w:tcPr>
            <w:tcW w:w="4257" w:type="dxa"/>
            <w:tcMar>
              <w:top w:w="100" w:type="dxa"/>
              <w:left w:w="120" w:type="dxa"/>
              <w:bottom w:w="100" w:type="dxa"/>
              <w:right w:w="120" w:type="dxa"/>
            </w:tcMar>
            <w:vAlign w:val="center"/>
          </w:tcPr>
          <w:p w14:paraId="6547497A" w14:textId="77777777" w:rsidR="00F23FBE" w:rsidRDefault="00F23FBE" w:rsidP="00F23FBE">
            <w:pPr>
              <w:jc w:val="both"/>
            </w:pPr>
            <w:r>
              <w:rPr>
                <w:sz w:val="19"/>
                <w:szCs w:val="19"/>
              </w:rPr>
              <w:t>Incorporar criterios de accesibilidad cognitiva (lectura fácil, pictogramas, mediación adaptada) en el reglamento de implementación de la Política Nacional de Educación Artística 2024-2029.</w:t>
            </w:r>
          </w:p>
        </w:tc>
        <w:tc>
          <w:tcPr>
            <w:tcW w:w="2693" w:type="dxa"/>
            <w:tcMar>
              <w:top w:w="100" w:type="dxa"/>
              <w:left w:w="120" w:type="dxa"/>
              <w:bottom w:w="100" w:type="dxa"/>
              <w:right w:w="120" w:type="dxa"/>
            </w:tcMar>
            <w:vAlign w:val="center"/>
          </w:tcPr>
          <w:p w14:paraId="7ADAAA87" w14:textId="77777777" w:rsidR="00F23FBE" w:rsidRDefault="00F23FBE" w:rsidP="00F23FBE">
            <w:pPr>
              <w:jc w:val="both"/>
            </w:pPr>
            <w:r>
              <w:rPr>
                <w:sz w:val="19"/>
                <w:szCs w:val="19"/>
              </w:rPr>
              <w:t>Ministerio de las Culturas / Subsecretaría de las Culturas y las Artes</w:t>
            </w:r>
          </w:p>
        </w:tc>
        <w:tc>
          <w:tcPr>
            <w:tcW w:w="2050" w:type="dxa"/>
            <w:tcMar>
              <w:top w:w="100" w:type="dxa"/>
              <w:left w:w="120" w:type="dxa"/>
              <w:bottom w:w="100" w:type="dxa"/>
              <w:right w:w="120" w:type="dxa"/>
            </w:tcMar>
            <w:vAlign w:val="center"/>
          </w:tcPr>
          <w:p w14:paraId="31CCFBBF" w14:textId="65EE195A" w:rsidR="00F23FBE" w:rsidRDefault="00F23FBE" w:rsidP="00F23FBE">
            <w:pPr>
              <w:jc w:val="both"/>
            </w:pPr>
            <w:r w:rsidRPr="00F23FBE">
              <w:rPr>
                <w:sz w:val="19"/>
                <w:szCs w:val="19"/>
              </w:rPr>
              <w:t>en un plazo determinado y verificable por medio de un cronograma público</w:t>
            </w:r>
          </w:p>
        </w:tc>
      </w:tr>
      <w:tr w:rsidR="00F23FBE" w14:paraId="071D334B" w14:textId="77777777" w:rsidTr="00F23FBE">
        <w:tc>
          <w:tcPr>
            <w:tcW w:w="700" w:type="dxa"/>
            <w:tcMar>
              <w:top w:w="100" w:type="dxa"/>
              <w:left w:w="120" w:type="dxa"/>
              <w:bottom w:w="100" w:type="dxa"/>
              <w:right w:w="120" w:type="dxa"/>
            </w:tcMar>
            <w:vAlign w:val="center"/>
          </w:tcPr>
          <w:p w14:paraId="56428065" w14:textId="77777777" w:rsidR="00F23FBE" w:rsidRDefault="00F23FBE" w:rsidP="00F23FBE">
            <w:pPr>
              <w:jc w:val="both"/>
            </w:pPr>
            <w:r>
              <w:rPr>
                <w:sz w:val="19"/>
                <w:szCs w:val="19"/>
              </w:rPr>
              <w:t>30 / 31</w:t>
            </w:r>
          </w:p>
        </w:tc>
        <w:tc>
          <w:tcPr>
            <w:tcW w:w="4257" w:type="dxa"/>
            <w:tcMar>
              <w:top w:w="100" w:type="dxa"/>
              <w:left w:w="120" w:type="dxa"/>
              <w:bottom w:w="100" w:type="dxa"/>
              <w:right w:w="120" w:type="dxa"/>
            </w:tcMar>
            <w:vAlign w:val="center"/>
          </w:tcPr>
          <w:p w14:paraId="50448BAA" w14:textId="77777777" w:rsidR="00F23FBE" w:rsidRDefault="00F23FBE" w:rsidP="00F23FBE">
            <w:pPr>
              <w:jc w:val="both"/>
            </w:pPr>
            <w:r>
              <w:rPr>
                <w:sz w:val="19"/>
                <w:szCs w:val="19"/>
              </w:rPr>
              <w:t>Incorporar módulo de participación cultural activa desglosado por tipo de discapacidad, edad, sexo, etnia y geografía en el próximo instrumento nacional de datos.</w:t>
            </w:r>
          </w:p>
        </w:tc>
        <w:tc>
          <w:tcPr>
            <w:tcW w:w="2693" w:type="dxa"/>
            <w:tcMar>
              <w:top w:w="100" w:type="dxa"/>
              <w:left w:w="120" w:type="dxa"/>
              <w:bottom w:w="100" w:type="dxa"/>
              <w:right w:w="120" w:type="dxa"/>
            </w:tcMar>
            <w:vAlign w:val="center"/>
          </w:tcPr>
          <w:p w14:paraId="70AEE4F4" w14:textId="77777777" w:rsidR="00F23FBE" w:rsidRDefault="00F23FBE" w:rsidP="00F23FBE">
            <w:pPr>
              <w:jc w:val="both"/>
            </w:pPr>
            <w:r>
              <w:rPr>
                <w:sz w:val="19"/>
                <w:szCs w:val="19"/>
              </w:rPr>
              <w:t>Instituto Nacional de Estadísticas / SENADIS</w:t>
            </w:r>
          </w:p>
        </w:tc>
        <w:tc>
          <w:tcPr>
            <w:tcW w:w="2050" w:type="dxa"/>
            <w:tcMar>
              <w:top w:w="100" w:type="dxa"/>
              <w:left w:w="120" w:type="dxa"/>
              <w:bottom w:w="100" w:type="dxa"/>
              <w:right w:w="120" w:type="dxa"/>
            </w:tcMar>
            <w:vAlign w:val="center"/>
          </w:tcPr>
          <w:p w14:paraId="00924993" w14:textId="015E31F3" w:rsidR="00F23FBE" w:rsidRDefault="00F23FBE" w:rsidP="00F23FBE">
            <w:pPr>
              <w:jc w:val="both"/>
            </w:pPr>
            <w:r w:rsidRPr="00F23FBE">
              <w:rPr>
                <w:sz w:val="19"/>
                <w:szCs w:val="19"/>
              </w:rPr>
              <w:t>en un plazo determinado y verificable por medio de un cronograma público</w:t>
            </w:r>
          </w:p>
        </w:tc>
      </w:tr>
      <w:tr w:rsidR="00F23FBE" w14:paraId="316D8330" w14:textId="77777777" w:rsidTr="00F23FBE">
        <w:tc>
          <w:tcPr>
            <w:tcW w:w="700" w:type="dxa"/>
            <w:tcMar>
              <w:top w:w="100" w:type="dxa"/>
              <w:left w:w="120" w:type="dxa"/>
              <w:bottom w:w="100" w:type="dxa"/>
              <w:right w:w="120" w:type="dxa"/>
            </w:tcMar>
            <w:vAlign w:val="center"/>
          </w:tcPr>
          <w:p w14:paraId="06458224" w14:textId="77777777" w:rsidR="00F23FBE" w:rsidRDefault="00F23FBE" w:rsidP="00F23FBE">
            <w:pPr>
              <w:jc w:val="both"/>
            </w:pPr>
            <w:r>
              <w:rPr>
                <w:sz w:val="19"/>
                <w:szCs w:val="19"/>
              </w:rPr>
              <w:t>30 / 31</w:t>
            </w:r>
          </w:p>
        </w:tc>
        <w:tc>
          <w:tcPr>
            <w:tcW w:w="4257" w:type="dxa"/>
            <w:tcMar>
              <w:top w:w="100" w:type="dxa"/>
              <w:left w:w="120" w:type="dxa"/>
              <w:bottom w:w="100" w:type="dxa"/>
              <w:right w:w="120" w:type="dxa"/>
            </w:tcMar>
            <w:vAlign w:val="center"/>
          </w:tcPr>
          <w:p w14:paraId="339E5F68" w14:textId="77777777" w:rsidR="00F23FBE" w:rsidRDefault="00F23FBE" w:rsidP="00F23FBE">
            <w:pPr>
              <w:jc w:val="both"/>
            </w:pPr>
            <w:r>
              <w:rPr>
                <w:sz w:val="19"/>
                <w:szCs w:val="19"/>
              </w:rPr>
              <w:t>Incluir variable de tipo de discapacidad (diferenciando discapacidad intelectual/cognitiva) en la Encuesta Nacional de Participación Cultural y Comportamiento Lector (ENPCCL) e informar si fue incorporada en los resultados de 2025.</w:t>
            </w:r>
          </w:p>
        </w:tc>
        <w:tc>
          <w:tcPr>
            <w:tcW w:w="2693" w:type="dxa"/>
            <w:tcMar>
              <w:top w:w="100" w:type="dxa"/>
              <w:left w:w="120" w:type="dxa"/>
              <w:bottom w:w="100" w:type="dxa"/>
              <w:right w:w="120" w:type="dxa"/>
            </w:tcMar>
            <w:vAlign w:val="center"/>
          </w:tcPr>
          <w:p w14:paraId="5DBEDD14" w14:textId="77777777" w:rsidR="00F23FBE" w:rsidRDefault="00F23FBE" w:rsidP="00F23FBE">
            <w:pPr>
              <w:jc w:val="both"/>
            </w:pPr>
            <w:r>
              <w:rPr>
                <w:sz w:val="19"/>
                <w:szCs w:val="19"/>
              </w:rPr>
              <w:t>Ministerio de las Culturas / Instituto Nacional de Estadísticas</w:t>
            </w:r>
          </w:p>
        </w:tc>
        <w:tc>
          <w:tcPr>
            <w:tcW w:w="2050" w:type="dxa"/>
            <w:tcMar>
              <w:top w:w="100" w:type="dxa"/>
              <w:left w:w="120" w:type="dxa"/>
              <w:bottom w:w="100" w:type="dxa"/>
              <w:right w:w="120" w:type="dxa"/>
            </w:tcMar>
            <w:vAlign w:val="center"/>
          </w:tcPr>
          <w:p w14:paraId="7E34249C" w14:textId="77777777" w:rsidR="00F23FBE" w:rsidRDefault="00F23FBE" w:rsidP="00F23FBE">
            <w:pPr>
              <w:jc w:val="both"/>
            </w:pPr>
            <w:r>
              <w:rPr>
                <w:sz w:val="19"/>
                <w:szCs w:val="19"/>
              </w:rPr>
              <w:t>Próximo informe periódico</w:t>
            </w:r>
          </w:p>
        </w:tc>
      </w:tr>
    </w:tbl>
    <w:p w14:paraId="514E8E58" w14:textId="77777777" w:rsidR="00F31157" w:rsidRDefault="00FD7E42">
      <w:r>
        <w:br w:type="page"/>
      </w:r>
    </w:p>
    <w:p w14:paraId="4DB7B1DD" w14:textId="77777777" w:rsidR="00F31157" w:rsidRDefault="00FD7E42">
      <w:pPr>
        <w:pStyle w:val="Heading1"/>
        <w:spacing w:before="480" w:after="240"/>
      </w:pPr>
      <w:r>
        <w:rPr>
          <w:b/>
          <w:bCs/>
          <w:color w:val="1F3864"/>
          <w:sz w:val="30"/>
          <w:szCs w:val="30"/>
        </w:rPr>
        <w:lastRenderedPageBreak/>
        <w:t>13. Conclusiones y llamado al Comité</w:t>
      </w:r>
    </w:p>
    <w:p w14:paraId="1B2F5AB5" w14:textId="77777777" w:rsidR="00F31157" w:rsidRDefault="00FD7E42">
      <w:pPr>
        <w:spacing w:after="200" w:line="300" w:lineRule="auto"/>
        <w:jc w:val="both"/>
      </w:pPr>
      <w:r>
        <w:t>El artículo 30 de la Convención sobre los Derechos de las Personas con Discapacidad no ha sido objeto de ninguna observación del Comité respecto de Chile desde la entrada en vigor de la Convención en el país. Esta ausencia coincide con una ausencia estructural equivalente en la coordinación de la sociedad civil chilena para la 35ª sesión del Comité: de los cinco grupos temáticos organizados por el Taller CDPD, ninguno tiene como eje explícito la vida cultural, recreativa, de esparcimiento o deportiva de las personas con discapacidad.</w:t>
      </w:r>
    </w:p>
    <w:p w14:paraId="02B7890E" w14:textId="1E422A2C" w:rsidR="00F31157" w:rsidRDefault="00FD7E42">
      <w:pPr>
        <w:spacing w:after="200" w:line="300" w:lineRule="auto"/>
        <w:jc w:val="both"/>
      </w:pPr>
      <w:r>
        <w:t xml:space="preserve">Fundación </w:t>
      </w:r>
      <w:proofErr w:type="spellStart"/>
      <w:r>
        <w:t>Mawen</w:t>
      </w:r>
      <w:proofErr w:type="spellEnd"/>
      <w:r>
        <w:t xml:space="preserve"> presenta este informe como evidencia de que dicha ausencia no responde a la falta de actividad, de resultados o de agencia de las personas con discapacidad intelectual en el campo cultural, sino a la falta de reconocimiento institucional, de financiamiento estructural y de datos oficiales desglosados que permitan medir el fenómeno a escala nacional y territorial. La trayectoria documentada de la propia Fundación</w:t>
      </w:r>
      <w:r w:rsidR="00F23FBE">
        <w:t xml:space="preserve">, </w:t>
      </w:r>
      <w:r>
        <w:t>crecimiento sostenido, formalización laboral creciente, proyección internacional y reconocimiento institucional reciente</w:t>
      </w:r>
      <w:r w:rsidR="00F23FBE">
        <w:t xml:space="preserve">, </w:t>
      </w:r>
      <w:r>
        <w:t>demuestra viabilidad, aunque esa viabilidad esté hoy concentrada en una sola organización y en una sola región del país.</w:t>
      </w:r>
    </w:p>
    <w:p w14:paraId="56119382" w14:textId="77777777" w:rsidR="00F31157" w:rsidRDefault="00FD7E42">
      <w:pPr>
        <w:spacing w:after="200" w:line="300" w:lineRule="auto"/>
        <w:jc w:val="both"/>
      </w:pPr>
      <w:r>
        <w:t xml:space="preserve">Corresponde ahora al Estado de Chile, con el acompañamiento del Comité, transformar esa viabilidad demostrada en política pública sistemática, desglosada y de alcance nacional. Fundación </w:t>
      </w:r>
      <w:proofErr w:type="spellStart"/>
      <w:r>
        <w:t>Mawen</w:t>
      </w:r>
      <w:proofErr w:type="spellEnd"/>
      <w:r>
        <w:t xml:space="preserve"> solicita respetuosamente al Comité que, al formular sus Observaciones Finales sobre el examen del Estado de Chile:</w:t>
      </w:r>
    </w:p>
    <w:p w14:paraId="7B54CF9F" w14:textId="77777777" w:rsidR="00F31157" w:rsidRDefault="00FD7E42">
      <w:pPr>
        <w:spacing w:after="140" w:line="300" w:lineRule="auto"/>
        <w:ind w:left="400" w:hanging="260"/>
        <w:jc w:val="both"/>
      </w:pPr>
      <w:r>
        <w:rPr>
          <w:b/>
          <w:bCs/>
        </w:rPr>
        <w:t xml:space="preserve">a) </w:t>
      </w:r>
      <w:r>
        <w:t>incluya al artículo 30 entre los artículos objeto de observación específica, corrigiendo la laguna de escrutinio identificada en este informe desde 2016;</w:t>
      </w:r>
    </w:p>
    <w:p w14:paraId="7FADFF18" w14:textId="77777777" w:rsidR="00F31157" w:rsidRDefault="00FD7E42">
      <w:pPr>
        <w:spacing w:after="140" w:line="300" w:lineRule="auto"/>
        <w:ind w:left="400" w:hanging="260"/>
        <w:jc w:val="both"/>
      </w:pPr>
      <w:r>
        <w:rPr>
          <w:b/>
          <w:bCs/>
        </w:rPr>
        <w:t xml:space="preserve">b) </w:t>
      </w:r>
      <w:r>
        <w:t>incorpore las recomendaciones SMART sintetizadas en el capítulo 12, con especial atención a la exigencia de datos oficiales desglosados por tipo de discapacidad, región, sexo y pertenencia étnica; y</w:t>
      </w:r>
    </w:p>
    <w:p w14:paraId="512030FB" w14:textId="77777777" w:rsidR="00F31157" w:rsidRDefault="00FD7E42">
      <w:pPr>
        <w:spacing w:after="140" w:line="300" w:lineRule="auto"/>
        <w:ind w:left="400" w:hanging="260"/>
        <w:jc w:val="both"/>
      </w:pPr>
      <w:r>
        <w:rPr>
          <w:b/>
          <w:bCs/>
        </w:rPr>
        <w:t xml:space="preserve">c) </w:t>
      </w:r>
      <w:r>
        <w:t>solicite al Estado de Chile un informe de avance intermedio, antes de su próximo examen periódico, sobre la incorporación de la discapacidad intelectual y cognitiva en los instrumentos de política cultural vigentes.</w:t>
      </w:r>
    </w:p>
    <w:p w14:paraId="5B03F15D" w14:textId="77777777" w:rsidR="00F31157" w:rsidRDefault="00FD7E42">
      <w:pPr>
        <w:spacing w:after="200" w:line="300" w:lineRule="auto"/>
        <w:jc w:val="both"/>
      </w:pPr>
      <w:r>
        <w:t xml:space="preserve">Fundación </w:t>
      </w:r>
      <w:proofErr w:type="spellStart"/>
      <w:r>
        <w:t>Mawen</w:t>
      </w:r>
      <w:proofErr w:type="spellEnd"/>
      <w:r>
        <w:t xml:space="preserve"> reitera su disposición a poner su experiencia metodológica a disposición del Estado y del Comité, y a colaborar en el seguimiento de estas recomendaciones en los procesos que correspondan.</w:t>
      </w:r>
    </w:p>
    <w:p w14:paraId="414F5101" w14:textId="77777777" w:rsidR="00F31157" w:rsidRDefault="00FD7E42">
      <w:r>
        <w:br w:type="page"/>
      </w:r>
    </w:p>
    <w:p w14:paraId="1AE37380" w14:textId="77777777" w:rsidR="00F31157" w:rsidRDefault="00FD7E42">
      <w:pPr>
        <w:pStyle w:val="Heading1"/>
        <w:spacing w:before="480" w:after="240"/>
      </w:pPr>
      <w:r>
        <w:rPr>
          <w:b/>
          <w:bCs/>
          <w:color w:val="1F3864"/>
          <w:sz w:val="30"/>
          <w:szCs w:val="30"/>
        </w:rPr>
        <w:lastRenderedPageBreak/>
        <w:t>Anexo A — Nota metodológica ampliada</w:t>
      </w:r>
    </w:p>
    <w:p w14:paraId="22D2AAB4" w14:textId="77777777" w:rsidR="00F31157" w:rsidRDefault="00FD7E42">
      <w:pPr>
        <w:spacing w:after="200" w:line="300" w:lineRule="auto"/>
        <w:jc w:val="both"/>
      </w:pPr>
      <w:r>
        <w:t>Este anexo detalla el origen, la naturaleza y las limitaciones de cada fuente de evidencia utilizada en este informe, ampliando lo señalado de forma resumida en la sección 2.2.</w:t>
      </w:r>
    </w:p>
    <w:p w14:paraId="06EB6D85" w14:textId="77777777" w:rsidR="00F31157" w:rsidRDefault="00FD7E42">
      <w:pPr>
        <w:pStyle w:val="Heading2"/>
        <w:spacing w:before="320" w:after="160"/>
      </w:pPr>
      <w:r>
        <w:rPr>
          <w:b/>
          <w:bCs/>
          <w:color w:val="2E5395"/>
          <w:sz w:val="24"/>
          <w:szCs w:val="24"/>
        </w:rPr>
        <w:t>A.1 Fuentes documentales institucionales</w:t>
      </w:r>
    </w:p>
    <w:p w14:paraId="10D54EA7" w14:textId="77777777" w:rsidR="00F31157" w:rsidRDefault="00FD7E42">
      <w:pPr>
        <w:spacing w:after="120" w:line="300" w:lineRule="auto"/>
        <w:ind w:left="400" w:hanging="260"/>
        <w:jc w:val="both"/>
      </w:pPr>
      <w:r>
        <w:t xml:space="preserve">— Sistematización interna de Fundación </w:t>
      </w:r>
      <w:proofErr w:type="spellStart"/>
      <w:r>
        <w:t>Mawen</w:t>
      </w:r>
      <w:proofErr w:type="spellEnd"/>
      <w:r>
        <w:t xml:space="preserve"> para la elaboración de su aporte complementario ante el Comité (julio de 2026), que incluye el mapeo de diez puntos programáticos al articulado de la Convención y un borrador de carta organizada en cuatro bloques temáticos.</w:t>
      </w:r>
    </w:p>
    <w:p w14:paraId="62370D25" w14:textId="77777777" w:rsidR="00F31157" w:rsidRDefault="00FD7E42">
      <w:pPr>
        <w:spacing w:after="120" w:line="300" w:lineRule="auto"/>
        <w:ind w:left="400" w:hanging="260"/>
        <w:jc w:val="both"/>
      </w:pPr>
      <w:r>
        <w:t xml:space="preserve">— Material de postulación de Fundación </w:t>
      </w:r>
      <w:proofErr w:type="spellStart"/>
      <w:r>
        <w:t>Mawen</w:t>
      </w:r>
      <w:proofErr w:type="spellEnd"/>
      <w:r>
        <w:t xml:space="preserve"> al premio Laura Lee Advocacy Award del </w:t>
      </w:r>
      <w:proofErr w:type="spellStart"/>
      <w:r>
        <w:t>National</w:t>
      </w:r>
      <w:proofErr w:type="spellEnd"/>
      <w:r>
        <w:t xml:space="preserve"> Down </w:t>
      </w:r>
      <w:proofErr w:type="spellStart"/>
      <w:r>
        <w:t>Syndrome</w:t>
      </w:r>
      <w:proofErr w:type="spellEnd"/>
      <w:r>
        <w:t xml:space="preserve"> Congress (NDSC), edición 2026, que documenta de forma cuantitativa y cualitativa la trayectoria de la organización entre 2015 y 2024 en mediación cultural, formación artístico-pedagógica y producción y difusión artística, incluyendo estadísticas laborales, comprobantes institucionales y cobertura de prensa.</w:t>
      </w:r>
    </w:p>
    <w:p w14:paraId="75003249" w14:textId="77777777" w:rsidR="00F31157" w:rsidRDefault="00FD7E42">
      <w:pPr>
        <w:spacing w:after="120" w:line="300" w:lineRule="auto"/>
        <w:ind w:left="400" w:hanging="260"/>
        <w:jc w:val="both"/>
      </w:pPr>
      <w:r>
        <w:t xml:space="preserve">— Documentos internos de sistematización estratégica de Fundación </w:t>
      </w:r>
      <w:proofErr w:type="spellStart"/>
      <w:r>
        <w:t>Mawen</w:t>
      </w:r>
      <w:proofErr w:type="spellEnd"/>
      <w:r>
        <w:t xml:space="preserve"> para este proceso (julio de 2026), incluyendo un mapeo de diez brechas críticas agrupadas en cuatro categorías.</w:t>
      </w:r>
    </w:p>
    <w:p w14:paraId="2395FF4D" w14:textId="77777777" w:rsidR="00F31157" w:rsidRDefault="00FD7E42">
      <w:pPr>
        <w:pStyle w:val="Heading2"/>
        <w:spacing w:before="320" w:after="160"/>
      </w:pPr>
      <w:r>
        <w:rPr>
          <w:b/>
          <w:bCs/>
          <w:color w:val="2E5395"/>
          <w:sz w:val="24"/>
          <w:szCs w:val="24"/>
        </w:rPr>
        <w:t>A.2 Fuentes oficiales del sistema CDPD</w:t>
      </w:r>
    </w:p>
    <w:p w14:paraId="4C6FEC49" w14:textId="77777777" w:rsidR="00F31157" w:rsidRDefault="00FD7E42">
      <w:pPr>
        <w:spacing w:after="120" w:line="300" w:lineRule="auto"/>
        <w:ind w:left="400" w:hanging="260"/>
        <w:jc w:val="both"/>
      </w:pPr>
      <w:r>
        <w:t>— Observaciones Finales del Comité sobre los Derechos de las Personas con Discapacidad respecto del informe inicial de Chile (CRPD/C/CHL/CO/1, 18 de abril de 2016), documento oficial de acceso público, revisado en su integridad (73 párrafos).</w:t>
      </w:r>
    </w:p>
    <w:p w14:paraId="7CC89903" w14:textId="77777777" w:rsidR="00F31157" w:rsidRDefault="00FD7E42">
      <w:pPr>
        <w:pStyle w:val="Heading2"/>
        <w:spacing w:before="320" w:after="160"/>
      </w:pPr>
      <w:r>
        <w:rPr>
          <w:b/>
          <w:bCs/>
          <w:color w:val="2E5395"/>
          <w:sz w:val="24"/>
          <w:szCs w:val="24"/>
        </w:rPr>
        <w:t>A.3 Fuentes académicas y de política pública</w:t>
      </w:r>
    </w:p>
    <w:p w14:paraId="36A308E4" w14:textId="77777777" w:rsidR="00F31157" w:rsidRDefault="00FD7E42">
      <w:pPr>
        <w:spacing w:after="120" w:line="300" w:lineRule="auto"/>
        <w:ind w:left="400" w:hanging="260"/>
        <w:jc w:val="both"/>
      </w:pPr>
      <w:r>
        <w:t>— Policy Brief "Síndrome de Down: propuestas para un nuevo ciclo de gobierno" (Centro UC Síndrome de Down y Centro de Políticas Públicas UC, 2024-2025), que sistematiza los resultados de una consulta participativa a 367 personas de distintas regiones del país.</w:t>
      </w:r>
    </w:p>
    <w:p w14:paraId="2798F5F6" w14:textId="745A5DF1" w:rsidR="00F31157" w:rsidRDefault="00FD7E42">
      <w:pPr>
        <w:spacing w:after="120" w:line="300" w:lineRule="auto"/>
        <w:ind w:left="400" w:hanging="260"/>
        <w:jc w:val="both"/>
      </w:pPr>
      <w:r>
        <w:t xml:space="preserve">— Capítulo académico "Discapacidad y </w:t>
      </w:r>
      <w:proofErr w:type="spellStart"/>
      <w:r>
        <w:t>Artivismo</w:t>
      </w:r>
      <w:proofErr w:type="spellEnd"/>
      <w:r>
        <w:t>: potencia creativa y expresión ciudadana" (Víctor Romero-Rojas y Roberto Fernández Droguett</w:t>
      </w:r>
      <w:r w:rsidR="007416A9">
        <w:t>, 2024</w:t>
      </w:r>
      <w:r>
        <w:t>), que aporta el marco conceptual de estudios críticos de la discapacidad utilizado en este informe.</w:t>
      </w:r>
    </w:p>
    <w:p w14:paraId="32209DC2" w14:textId="77777777" w:rsidR="00F31157" w:rsidRDefault="00FD7E42">
      <w:pPr>
        <w:spacing w:after="120" w:line="300" w:lineRule="auto"/>
        <w:ind w:left="400" w:hanging="260"/>
        <w:jc w:val="both"/>
      </w:pPr>
      <w:r>
        <w:t xml:space="preserve">— Informe de sistematización "10 años de Fundación </w:t>
      </w:r>
      <w:proofErr w:type="spellStart"/>
      <w:r>
        <w:t>Mawen</w:t>
      </w:r>
      <w:proofErr w:type="spellEnd"/>
      <w:r>
        <w:t xml:space="preserve">: mapeo preliminar de sus metodologías" (Natalia Montaña, práctica profesional de Sociología, agosto de 2025), que documenta mediante revisión documental, observación no participante (12 sesiones) y entrevistas semiestructuradas (7 integrantes del equipo) las metodologías de accesibilidad cognitiva desarrolladas por Fundación </w:t>
      </w:r>
      <w:proofErr w:type="spellStart"/>
      <w:r>
        <w:t>Mawen</w:t>
      </w:r>
      <w:proofErr w:type="spellEnd"/>
      <w:r>
        <w:t xml:space="preserve"> entre 2010 y 2025.</w:t>
      </w:r>
    </w:p>
    <w:p w14:paraId="2850E894" w14:textId="77777777" w:rsidR="00F31157" w:rsidRDefault="00FD7E42">
      <w:pPr>
        <w:pStyle w:val="Heading2"/>
        <w:spacing w:before="320" w:after="160"/>
      </w:pPr>
      <w:r>
        <w:rPr>
          <w:b/>
          <w:bCs/>
          <w:color w:val="2E5395"/>
          <w:sz w:val="24"/>
          <w:szCs w:val="24"/>
        </w:rPr>
        <w:t>A.4 Instrumentos oficiales de política cultural revisados en texto íntegro</w:t>
      </w:r>
    </w:p>
    <w:p w14:paraId="42F74C15" w14:textId="77777777" w:rsidR="00F31157" w:rsidRDefault="00FD7E42">
      <w:pPr>
        <w:spacing w:after="120" w:line="300" w:lineRule="auto"/>
        <w:ind w:left="400" w:hanging="260"/>
        <w:jc w:val="both"/>
      </w:pPr>
      <w:r>
        <w:t>— Estrategia Quinquenal Nacional para el Desarrollo Cultural 2024-2029 (Ministerio de las Culturas, las Artes y el Patrimonio, diciembre de 2024, versión oficial digital).</w:t>
      </w:r>
    </w:p>
    <w:p w14:paraId="242EA510" w14:textId="77777777" w:rsidR="00F31157" w:rsidRDefault="00FD7E42">
      <w:pPr>
        <w:spacing w:after="120" w:line="300" w:lineRule="auto"/>
        <w:ind w:left="400" w:hanging="260"/>
        <w:jc w:val="both"/>
      </w:pPr>
      <w:r>
        <w:lastRenderedPageBreak/>
        <w:t xml:space="preserve">— Política Nacional de Educación Artística 2024-2029, aprobada por Resolución </w:t>
      </w:r>
      <w:proofErr w:type="spellStart"/>
      <w:r>
        <w:t>N°</w:t>
      </w:r>
      <w:proofErr w:type="spellEnd"/>
      <w:r>
        <w:t xml:space="preserve"> 2.494 exenta del 8 de septiembre de 2025 de la Subsecretaría de las Culturas y las Artes (publicada el 25 de septiembre de 2025).</w:t>
      </w:r>
    </w:p>
    <w:p w14:paraId="2C7F0BB7" w14:textId="77777777" w:rsidR="00F31157" w:rsidRDefault="00FD7E42">
      <w:pPr>
        <w:spacing w:after="120" w:line="300" w:lineRule="auto"/>
        <w:ind w:left="400" w:hanging="260"/>
        <w:jc w:val="both"/>
      </w:pPr>
      <w:r>
        <w:t>— Informe Final de la Cuenta Pública Participativa 2025 del Ministerio de las Culturas, las Artes y el Patrimonio (gestión junio 2024-mayo 2025).</w:t>
      </w:r>
    </w:p>
    <w:p w14:paraId="20F1281A" w14:textId="77777777" w:rsidR="00F31157" w:rsidRDefault="00FD7E42">
      <w:pPr>
        <w:pStyle w:val="Heading2"/>
        <w:spacing w:before="320" w:after="160"/>
      </w:pPr>
      <w:r>
        <w:rPr>
          <w:b/>
          <w:bCs/>
          <w:color w:val="2E5395"/>
          <w:sz w:val="24"/>
          <w:szCs w:val="24"/>
        </w:rPr>
        <w:t>A.5 Límites metodológicos declarados</w:t>
      </w:r>
    </w:p>
    <w:p w14:paraId="5E9C1EE5" w14:textId="77777777" w:rsidR="00F31157" w:rsidRDefault="00FD7E42">
      <w:pPr>
        <w:spacing w:after="200" w:line="300" w:lineRule="auto"/>
        <w:jc w:val="both"/>
      </w:pPr>
      <w:r>
        <w:t xml:space="preserve">Toda cifra o hecho presentado en este informe proviene de alguna de las fuentes anteriores. Donde la evidencia disponible es insuficiente para sostener una afirmación general sobre la población nacional de personas con discapacidad intelectual, el informe lo declara expresamente en lugar de extrapolar. En síntesis, los límites metodológicos de este informe son: (1) la evidencia cuantitativa propia de Fundación </w:t>
      </w:r>
      <w:proofErr w:type="spellStart"/>
      <w:r>
        <w:t>Mawen</w:t>
      </w:r>
      <w:proofErr w:type="spellEnd"/>
      <w:r>
        <w:t xml:space="preserve"> corresponde a la trayectoria de una única organización, con actividad concentrada casi en su totalidad en la Región Metropolitana de Santiago, y no constituye una muestra representativa del universo nacional de personas con discapacidad intelectual; (2) no toda la evidencia disponible cubre por igual los artículos desarrollados en este informe: en materia de accesibilidad de la información y comunicación (art. 21), Fundación </w:t>
      </w:r>
      <w:proofErr w:type="spellStart"/>
      <w:r>
        <w:t>Mawen</w:t>
      </w:r>
      <w:proofErr w:type="spellEnd"/>
      <w:r>
        <w:t xml:space="preserve"> no cuenta con evidencia propia y se limita a sistematizar la observación ya formulada por el Comité en 2016; y (3) el conteo de menciones a discapacidad en los tres instrumentos de política cultural revisados (capítulo 11.2) corresponde a una revisión de texto íntegro realizada por el equipo de Fundación </w:t>
      </w:r>
      <w:proofErr w:type="spellStart"/>
      <w:r>
        <w:t>Mawen</w:t>
      </w:r>
      <w:proofErr w:type="spellEnd"/>
      <w:r>
        <w:t xml:space="preserve"> para este informe, reproducible por terceros a partir de las versiones oficiales públicas de dichos documentos.</w:t>
      </w:r>
    </w:p>
    <w:p w14:paraId="265A32E6" w14:textId="77777777" w:rsidR="00F31157" w:rsidRDefault="00FD7E42">
      <w:r>
        <w:br w:type="page"/>
      </w:r>
    </w:p>
    <w:p w14:paraId="6D5F771F" w14:textId="77777777" w:rsidR="00F31157" w:rsidRDefault="00FD7E42">
      <w:pPr>
        <w:pStyle w:val="Heading1"/>
        <w:spacing w:before="480" w:after="240"/>
      </w:pPr>
      <w:r>
        <w:rPr>
          <w:b/>
          <w:bCs/>
          <w:color w:val="1F3864"/>
          <w:sz w:val="30"/>
          <w:szCs w:val="30"/>
        </w:rPr>
        <w:lastRenderedPageBreak/>
        <w:t>Anexo B — Glosario de lenguaje respetuoso utilizado</w:t>
      </w:r>
    </w:p>
    <w:p w14:paraId="0269CABD" w14:textId="77777777" w:rsidR="00F31157" w:rsidRDefault="00FD7E42">
      <w:pPr>
        <w:spacing w:after="200" w:line="300" w:lineRule="auto"/>
        <w:jc w:val="both"/>
      </w:pPr>
      <w:r>
        <w:t>Este informe utiliza el lenguaje que se define a continuación, en línea con el modelo de derechos humanos de la discapacidad que promueve la Convención y con la preocupación expresada por el Comité en 2016 respecto del uso de terminología peyorativa o asistencialista en la normativa chilena (CRPD/C/CHL/CO/1, párr. 5).</w:t>
      </w: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22"/>
        <w:gridCol w:w="7278"/>
      </w:tblGrid>
      <w:tr w:rsidR="00F31157" w14:paraId="61843C04" w14:textId="77777777" w:rsidTr="007416A9">
        <w:trPr>
          <w:tblHeader/>
        </w:trPr>
        <w:tc>
          <w:tcPr>
            <w:tcW w:w="2122" w:type="dxa"/>
            <w:shd w:val="clear" w:color="auto" w:fill="1F3864"/>
            <w:tcMar>
              <w:top w:w="100" w:type="dxa"/>
              <w:left w:w="120" w:type="dxa"/>
              <w:bottom w:w="100" w:type="dxa"/>
              <w:right w:w="120" w:type="dxa"/>
            </w:tcMar>
            <w:vAlign w:val="center"/>
          </w:tcPr>
          <w:p w14:paraId="2F936C7C" w14:textId="77777777" w:rsidR="00F31157" w:rsidRDefault="00FD7E42">
            <w:r>
              <w:rPr>
                <w:b/>
                <w:bCs/>
                <w:color w:val="FFFFFF"/>
                <w:sz w:val="19"/>
                <w:szCs w:val="19"/>
              </w:rPr>
              <w:t>Término</w:t>
            </w:r>
          </w:p>
        </w:tc>
        <w:tc>
          <w:tcPr>
            <w:tcW w:w="7278" w:type="dxa"/>
            <w:shd w:val="clear" w:color="auto" w:fill="1F3864"/>
            <w:tcMar>
              <w:top w:w="100" w:type="dxa"/>
              <w:left w:w="120" w:type="dxa"/>
              <w:bottom w:w="100" w:type="dxa"/>
              <w:right w:w="120" w:type="dxa"/>
            </w:tcMar>
            <w:vAlign w:val="center"/>
          </w:tcPr>
          <w:p w14:paraId="45B590E3" w14:textId="77777777" w:rsidR="00F31157" w:rsidRDefault="00FD7E42">
            <w:r>
              <w:rPr>
                <w:b/>
                <w:bCs/>
                <w:color w:val="FFFFFF"/>
                <w:sz w:val="19"/>
                <w:szCs w:val="19"/>
              </w:rPr>
              <w:t>Definición utilizada en este informe</w:t>
            </w:r>
          </w:p>
        </w:tc>
      </w:tr>
      <w:tr w:rsidR="00F31157" w14:paraId="2FC6683B" w14:textId="77777777" w:rsidTr="007416A9">
        <w:tc>
          <w:tcPr>
            <w:tcW w:w="2122" w:type="dxa"/>
            <w:tcMar>
              <w:top w:w="100" w:type="dxa"/>
              <w:left w:w="120" w:type="dxa"/>
              <w:bottom w:w="100" w:type="dxa"/>
              <w:right w:w="120" w:type="dxa"/>
            </w:tcMar>
            <w:vAlign w:val="center"/>
          </w:tcPr>
          <w:p w14:paraId="28FF4058" w14:textId="77777777" w:rsidR="00F31157" w:rsidRDefault="00FD7E42">
            <w:pPr>
              <w:jc w:val="both"/>
            </w:pPr>
            <w:r>
              <w:rPr>
                <w:sz w:val="19"/>
                <w:szCs w:val="19"/>
              </w:rPr>
              <w:t>Discapacidad intelectual</w:t>
            </w:r>
          </w:p>
        </w:tc>
        <w:tc>
          <w:tcPr>
            <w:tcW w:w="7278" w:type="dxa"/>
            <w:tcMar>
              <w:top w:w="100" w:type="dxa"/>
              <w:left w:w="120" w:type="dxa"/>
              <w:bottom w:w="100" w:type="dxa"/>
              <w:right w:w="120" w:type="dxa"/>
            </w:tcMar>
            <w:vAlign w:val="center"/>
          </w:tcPr>
          <w:p w14:paraId="6354301B" w14:textId="77777777" w:rsidR="00F31157" w:rsidRDefault="00FD7E42">
            <w:pPr>
              <w:jc w:val="both"/>
            </w:pPr>
            <w:r>
              <w:rPr>
                <w:sz w:val="19"/>
                <w:szCs w:val="19"/>
              </w:rPr>
              <w:t>Término diagnóstico hegemónico (</w:t>
            </w:r>
            <w:proofErr w:type="spellStart"/>
            <w:r>
              <w:rPr>
                <w:sz w:val="19"/>
                <w:szCs w:val="19"/>
              </w:rPr>
              <w:t>Schalock</w:t>
            </w:r>
            <w:proofErr w:type="spellEnd"/>
            <w:r>
              <w:rPr>
                <w:sz w:val="19"/>
                <w:szCs w:val="19"/>
              </w:rPr>
              <w:t xml:space="preserve"> et al., 2019) que describe limitaciones significativas en el funcionamiento intelectual y en la conducta adaptativa. Este informe lo utiliza reconociendo su origen clínico-diagnóstico.</w:t>
            </w:r>
          </w:p>
        </w:tc>
      </w:tr>
      <w:tr w:rsidR="00F31157" w14:paraId="49B64A21" w14:textId="77777777" w:rsidTr="007416A9">
        <w:tc>
          <w:tcPr>
            <w:tcW w:w="2122" w:type="dxa"/>
            <w:tcMar>
              <w:top w:w="100" w:type="dxa"/>
              <w:left w:w="120" w:type="dxa"/>
              <w:bottom w:w="100" w:type="dxa"/>
              <w:right w:w="120" w:type="dxa"/>
            </w:tcMar>
            <w:vAlign w:val="center"/>
          </w:tcPr>
          <w:p w14:paraId="699972E7" w14:textId="77777777" w:rsidR="00F31157" w:rsidRDefault="00FD7E42">
            <w:pPr>
              <w:jc w:val="both"/>
            </w:pPr>
            <w:r>
              <w:rPr>
                <w:sz w:val="19"/>
                <w:szCs w:val="19"/>
              </w:rPr>
              <w:t>Discapacidad cognitiva</w:t>
            </w:r>
          </w:p>
        </w:tc>
        <w:tc>
          <w:tcPr>
            <w:tcW w:w="7278" w:type="dxa"/>
            <w:tcMar>
              <w:top w:w="100" w:type="dxa"/>
              <w:left w:w="120" w:type="dxa"/>
              <w:bottom w:w="100" w:type="dxa"/>
              <w:right w:w="120" w:type="dxa"/>
            </w:tcMar>
            <w:vAlign w:val="center"/>
          </w:tcPr>
          <w:p w14:paraId="3ED9EF18" w14:textId="77777777" w:rsidR="00F31157" w:rsidRDefault="00FD7E42">
            <w:pPr>
              <w:jc w:val="both"/>
            </w:pPr>
            <w:r>
              <w:rPr>
                <w:sz w:val="19"/>
                <w:szCs w:val="19"/>
              </w:rPr>
              <w:t>Término preferido en este informe siguiendo a Lizama (2024), que evita reducir a la persona a una puntuación en un test de inteligencia y permite dar cuenta de la modificabilidad cognitiva (Feuerstein et al., 2006) y de la relación entre apoyos, entorno y calidad de vida (Verdugo et al., 2012).</w:t>
            </w:r>
          </w:p>
        </w:tc>
      </w:tr>
      <w:tr w:rsidR="00F31157" w14:paraId="7F206BC2" w14:textId="77777777" w:rsidTr="007416A9">
        <w:tc>
          <w:tcPr>
            <w:tcW w:w="2122" w:type="dxa"/>
            <w:tcMar>
              <w:top w:w="100" w:type="dxa"/>
              <w:left w:w="120" w:type="dxa"/>
              <w:bottom w:w="100" w:type="dxa"/>
              <w:right w:w="120" w:type="dxa"/>
            </w:tcMar>
            <w:vAlign w:val="center"/>
          </w:tcPr>
          <w:p w14:paraId="7146A8BB" w14:textId="77777777" w:rsidR="00F31157" w:rsidRDefault="00FD7E42">
            <w:pPr>
              <w:jc w:val="both"/>
            </w:pPr>
            <w:r>
              <w:rPr>
                <w:sz w:val="19"/>
                <w:szCs w:val="19"/>
              </w:rPr>
              <w:t>Agencia cultural</w:t>
            </w:r>
          </w:p>
        </w:tc>
        <w:tc>
          <w:tcPr>
            <w:tcW w:w="7278" w:type="dxa"/>
            <w:tcMar>
              <w:top w:w="100" w:type="dxa"/>
              <w:left w:w="120" w:type="dxa"/>
              <w:bottom w:w="100" w:type="dxa"/>
              <w:right w:w="120" w:type="dxa"/>
            </w:tcMar>
            <w:vAlign w:val="center"/>
          </w:tcPr>
          <w:p w14:paraId="3EC3F87B" w14:textId="77777777" w:rsidR="00F31157" w:rsidRDefault="00FD7E42">
            <w:pPr>
              <w:jc w:val="both"/>
            </w:pPr>
            <w:r>
              <w:rPr>
                <w:sz w:val="19"/>
                <w:szCs w:val="19"/>
              </w:rPr>
              <w:t>Capacidad de las personas con discapacidad intelectual de actuar como creadoras, gestoras y autoras de producción cultural, y no únicamente como receptoras de programas diseñados por terceros.</w:t>
            </w:r>
          </w:p>
        </w:tc>
      </w:tr>
      <w:tr w:rsidR="00F31157" w14:paraId="6260CCA1" w14:textId="77777777" w:rsidTr="007416A9">
        <w:tc>
          <w:tcPr>
            <w:tcW w:w="2122" w:type="dxa"/>
            <w:tcMar>
              <w:top w:w="100" w:type="dxa"/>
              <w:left w:w="120" w:type="dxa"/>
              <w:bottom w:w="100" w:type="dxa"/>
              <w:right w:w="120" w:type="dxa"/>
            </w:tcMar>
            <w:vAlign w:val="center"/>
          </w:tcPr>
          <w:p w14:paraId="19D2F2F5" w14:textId="77777777" w:rsidR="00F31157" w:rsidRDefault="00FD7E42">
            <w:pPr>
              <w:jc w:val="both"/>
            </w:pPr>
            <w:proofErr w:type="spellStart"/>
            <w:r>
              <w:rPr>
                <w:sz w:val="19"/>
                <w:szCs w:val="19"/>
              </w:rPr>
              <w:t>Artivismo</w:t>
            </w:r>
            <w:proofErr w:type="spellEnd"/>
          </w:p>
        </w:tc>
        <w:tc>
          <w:tcPr>
            <w:tcW w:w="7278" w:type="dxa"/>
            <w:tcMar>
              <w:top w:w="100" w:type="dxa"/>
              <w:left w:w="120" w:type="dxa"/>
              <w:bottom w:w="100" w:type="dxa"/>
              <w:right w:w="120" w:type="dxa"/>
            </w:tcMar>
            <w:vAlign w:val="center"/>
          </w:tcPr>
          <w:p w14:paraId="4CBF4FAF" w14:textId="67D77E44" w:rsidR="00F31157" w:rsidRDefault="00FD7E42">
            <w:pPr>
              <w:jc w:val="both"/>
            </w:pPr>
            <w:r>
              <w:rPr>
                <w:sz w:val="19"/>
                <w:szCs w:val="19"/>
              </w:rPr>
              <w:t>Intersección entre práctica artística y acción política, entendida como dispositivo de producción de agencia y de reconfiguración del espacio público para personas con discapacidad (Romero-Rojas y Fernández Droguett</w:t>
            </w:r>
            <w:r w:rsidR="007416A9">
              <w:rPr>
                <w:sz w:val="19"/>
                <w:szCs w:val="19"/>
              </w:rPr>
              <w:t>, 2024</w:t>
            </w:r>
            <w:r>
              <w:rPr>
                <w:sz w:val="19"/>
                <w:szCs w:val="19"/>
              </w:rPr>
              <w:t>).</w:t>
            </w:r>
          </w:p>
        </w:tc>
      </w:tr>
      <w:tr w:rsidR="00F31157" w14:paraId="702FEC7F" w14:textId="77777777" w:rsidTr="007416A9">
        <w:tc>
          <w:tcPr>
            <w:tcW w:w="2122" w:type="dxa"/>
            <w:tcMar>
              <w:top w:w="100" w:type="dxa"/>
              <w:left w:w="120" w:type="dxa"/>
              <w:bottom w:w="100" w:type="dxa"/>
              <w:right w:w="120" w:type="dxa"/>
            </w:tcMar>
            <w:vAlign w:val="center"/>
          </w:tcPr>
          <w:p w14:paraId="36973772" w14:textId="77777777" w:rsidR="00F31157" w:rsidRDefault="00FD7E42">
            <w:pPr>
              <w:jc w:val="both"/>
            </w:pPr>
            <w:r>
              <w:rPr>
                <w:sz w:val="19"/>
                <w:szCs w:val="19"/>
              </w:rPr>
              <w:t>Accesibilidad cognitiva</w:t>
            </w:r>
          </w:p>
        </w:tc>
        <w:tc>
          <w:tcPr>
            <w:tcW w:w="7278" w:type="dxa"/>
            <w:tcMar>
              <w:top w:w="100" w:type="dxa"/>
              <w:left w:w="120" w:type="dxa"/>
              <w:bottom w:w="100" w:type="dxa"/>
              <w:right w:w="120" w:type="dxa"/>
            </w:tcMar>
            <w:vAlign w:val="center"/>
          </w:tcPr>
          <w:p w14:paraId="6236ED06" w14:textId="77777777" w:rsidR="00F31157" w:rsidRDefault="00FD7E42">
            <w:pPr>
              <w:jc w:val="both"/>
            </w:pPr>
            <w:r>
              <w:rPr>
                <w:sz w:val="19"/>
                <w:szCs w:val="19"/>
              </w:rPr>
              <w:t>Dimensión de la accesibilidad referida a la comprensión: lectura fácil, señalética adaptada y procesos de mediación adecuados al perfil cognitivo de cada persona.</w:t>
            </w:r>
          </w:p>
        </w:tc>
      </w:tr>
      <w:tr w:rsidR="00F31157" w14:paraId="5D48D57E" w14:textId="77777777" w:rsidTr="007416A9">
        <w:tc>
          <w:tcPr>
            <w:tcW w:w="2122" w:type="dxa"/>
            <w:tcMar>
              <w:top w:w="100" w:type="dxa"/>
              <w:left w:w="120" w:type="dxa"/>
              <w:bottom w:w="100" w:type="dxa"/>
              <w:right w:w="120" w:type="dxa"/>
            </w:tcMar>
            <w:vAlign w:val="center"/>
          </w:tcPr>
          <w:p w14:paraId="7990C4DC" w14:textId="77777777" w:rsidR="00F31157" w:rsidRDefault="00FD7E42">
            <w:pPr>
              <w:jc w:val="both"/>
            </w:pPr>
            <w:r>
              <w:rPr>
                <w:sz w:val="19"/>
                <w:szCs w:val="19"/>
              </w:rPr>
              <w:t>Lectura fácil</w:t>
            </w:r>
          </w:p>
        </w:tc>
        <w:tc>
          <w:tcPr>
            <w:tcW w:w="7278" w:type="dxa"/>
            <w:tcMar>
              <w:top w:w="100" w:type="dxa"/>
              <w:left w:w="120" w:type="dxa"/>
              <w:bottom w:w="100" w:type="dxa"/>
              <w:right w:w="120" w:type="dxa"/>
            </w:tcMar>
            <w:vAlign w:val="center"/>
          </w:tcPr>
          <w:p w14:paraId="41DD2E5F" w14:textId="77777777" w:rsidR="00F31157" w:rsidRDefault="00FD7E42">
            <w:pPr>
              <w:jc w:val="both"/>
            </w:pPr>
            <w:r>
              <w:rPr>
                <w:sz w:val="19"/>
                <w:szCs w:val="19"/>
              </w:rPr>
              <w:t>Formato de redacción y diseño que simplifica el lenguaje y el soporte visual de un texto para facilitar su comprensión por personas con discapacidad cognitiva.</w:t>
            </w:r>
          </w:p>
        </w:tc>
      </w:tr>
      <w:tr w:rsidR="00F31157" w14:paraId="40CBC219" w14:textId="77777777" w:rsidTr="007416A9">
        <w:tc>
          <w:tcPr>
            <w:tcW w:w="2122" w:type="dxa"/>
            <w:tcMar>
              <w:top w:w="100" w:type="dxa"/>
              <w:left w:w="120" w:type="dxa"/>
              <w:bottom w:w="100" w:type="dxa"/>
              <w:right w:w="120" w:type="dxa"/>
            </w:tcMar>
            <w:vAlign w:val="center"/>
          </w:tcPr>
          <w:p w14:paraId="4E331A97" w14:textId="77777777" w:rsidR="00F31157" w:rsidRDefault="00FD7E42">
            <w:pPr>
              <w:jc w:val="both"/>
            </w:pPr>
            <w:r>
              <w:rPr>
                <w:sz w:val="19"/>
                <w:szCs w:val="19"/>
              </w:rPr>
              <w:t>Mediación cultural</w:t>
            </w:r>
          </w:p>
        </w:tc>
        <w:tc>
          <w:tcPr>
            <w:tcW w:w="7278" w:type="dxa"/>
            <w:tcMar>
              <w:top w:w="100" w:type="dxa"/>
              <w:left w:w="120" w:type="dxa"/>
              <w:bottom w:w="100" w:type="dxa"/>
              <w:right w:w="120" w:type="dxa"/>
            </w:tcMar>
            <w:vAlign w:val="center"/>
          </w:tcPr>
          <w:p w14:paraId="198FE834" w14:textId="77777777" w:rsidR="00F31157" w:rsidRDefault="00FD7E42">
            <w:pPr>
              <w:jc w:val="both"/>
            </w:pPr>
            <w:r>
              <w:rPr>
                <w:sz w:val="19"/>
                <w:szCs w:val="19"/>
              </w:rPr>
              <w:t>Proceso de acompañamiento que facilita la comprensión, participación y producción cultural de personas con discapacidad intelectual en espacios artísticos y culturales.</w:t>
            </w:r>
          </w:p>
        </w:tc>
      </w:tr>
      <w:tr w:rsidR="00F31157" w14:paraId="789DAFE0" w14:textId="77777777" w:rsidTr="007416A9">
        <w:tc>
          <w:tcPr>
            <w:tcW w:w="2122" w:type="dxa"/>
            <w:tcMar>
              <w:top w:w="100" w:type="dxa"/>
              <w:left w:w="120" w:type="dxa"/>
              <w:bottom w:w="100" w:type="dxa"/>
              <w:right w:w="120" w:type="dxa"/>
            </w:tcMar>
            <w:vAlign w:val="center"/>
          </w:tcPr>
          <w:p w14:paraId="63E1FD31" w14:textId="77777777" w:rsidR="00F31157" w:rsidRDefault="00FD7E42">
            <w:pPr>
              <w:jc w:val="both"/>
            </w:pPr>
            <w:r>
              <w:rPr>
                <w:sz w:val="19"/>
                <w:szCs w:val="19"/>
              </w:rPr>
              <w:t>Ciudadanía cultural</w:t>
            </w:r>
          </w:p>
        </w:tc>
        <w:tc>
          <w:tcPr>
            <w:tcW w:w="7278" w:type="dxa"/>
            <w:tcMar>
              <w:top w:w="100" w:type="dxa"/>
              <w:left w:w="120" w:type="dxa"/>
              <w:bottom w:w="100" w:type="dxa"/>
              <w:right w:w="120" w:type="dxa"/>
            </w:tcMar>
            <w:vAlign w:val="center"/>
          </w:tcPr>
          <w:p w14:paraId="6FBB1EE8" w14:textId="77777777" w:rsidR="00F31157" w:rsidRDefault="00FD7E42">
            <w:pPr>
              <w:jc w:val="both"/>
            </w:pPr>
            <w:r>
              <w:rPr>
                <w:sz w:val="19"/>
                <w:szCs w:val="19"/>
              </w:rPr>
              <w:t>Ejercicio del derecho a la participación cultural como forma de ciudadanía activa, que incluye tanto el acceso a bienes culturales (dimensión receptiva) como la autoría y gestión cultural (dimensión productiva y política).</w:t>
            </w:r>
          </w:p>
        </w:tc>
      </w:tr>
      <w:tr w:rsidR="00F31157" w14:paraId="0E664863" w14:textId="77777777" w:rsidTr="007416A9">
        <w:tc>
          <w:tcPr>
            <w:tcW w:w="2122" w:type="dxa"/>
            <w:tcMar>
              <w:top w:w="100" w:type="dxa"/>
              <w:left w:w="120" w:type="dxa"/>
              <w:bottom w:w="100" w:type="dxa"/>
              <w:right w:w="120" w:type="dxa"/>
            </w:tcMar>
            <w:vAlign w:val="center"/>
          </w:tcPr>
          <w:p w14:paraId="54711F7B" w14:textId="77777777" w:rsidR="00F31157" w:rsidRDefault="00FD7E42">
            <w:pPr>
              <w:jc w:val="both"/>
            </w:pPr>
            <w:r>
              <w:rPr>
                <w:sz w:val="19"/>
                <w:szCs w:val="19"/>
              </w:rPr>
              <w:t>Participación cultural activa / pasiva</w:t>
            </w:r>
          </w:p>
        </w:tc>
        <w:tc>
          <w:tcPr>
            <w:tcW w:w="7278" w:type="dxa"/>
            <w:tcMar>
              <w:top w:w="100" w:type="dxa"/>
              <w:left w:w="120" w:type="dxa"/>
              <w:bottom w:w="100" w:type="dxa"/>
              <w:right w:w="120" w:type="dxa"/>
            </w:tcMar>
            <w:vAlign w:val="center"/>
          </w:tcPr>
          <w:p w14:paraId="12D19C4F" w14:textId="77777777" w:rsidR="00F31157" w:rsidRDefault="00FD7E42">
            <w:pPr>
              <w:jc w:val="both"/>
            </w:pPr>
            <w:r>
              <w:rPr>
                <w:sz w:val="19"/>
                <w:szCs w:val="19"/>
              </w:rPr>
              <w:t>Distinción utilizada en este informe entre la participación como creador, gestor o profesional del sector cultural (activa) y la participación como público o beneficiario de programas de acceso (pasiva).</w:t>
            </w:r>
          </w:p>
        </w:tc>
      </w:tr>
      <w:tr w:rsidR="00F31157" w14:paraId="5D0693C0" w14:textId="77777777" w:rsidTr="007416A9">
        <w:tc>
          <w:tcPr>
            <w:tcW w:w="2122" w:type="dxa"/>
            <w:tcMar>
              <w:top w:w="100" w:type="dxa"/>
              <w:left w:w="120" w:type="dxa"/>
              <w:bottom w:w="100" w:type="dxa"/>
              <w:right w:w="120" w:type="dxa"/>
            </w:tcMar>
            <w:vAlign w:val="center"/>
          </w:tcPr>
          <w:p w14:paraId="04F3AE99" w14:textId="77777777" w:rsidR="00F31157" w:rsidRDefault="00FD7E42">
            <w:pPr>
              <w:jc w:val="both"/>
            </w:pPr>
            <w:r>
              <w:rPr>
                <w:sz w:val="19"/>
                <w:szCs w:val="19"/>
              </w:rPr>
              <w:t>Estudios críticos de la discapacidad</w:t>
            </w:r>
          </w:p>
        </w:tc>
        <w:tc>
          <w:tcPr>
            <w:tcW w:w="7278" w:type="dxa"/>
            <w:tcMar>
              <w:top w:w="100" w:type="dxa"/>
              <w:left w:w="120" w:type="dxa"/>
              <w:bottom w:w="100" w:type="dxa"/>
              <w:right w:w="120" w:type="dxa"/>
            </w:tcMar>
            <w:vAlign w:val="center"/>
          </w:tcPr>
          <w:p w14:paraId="137DD2A4" w14:textId="77777777" w:rsidR="00F31157" w:rsidRDefault="00FD7E42">
            <w:pPr>
              <w:jc w:val="both"/>
            </w:pPr>
            <w:r>
              <w:rPr>
                <w:sz w:val="19"/>
                <w:szCs w:val="19"/>
              </w:rPr>
              <w:t>Marco teórico que entiende la discapacidad como resultado de la interacción entre una condición corporal o cognitiva y un entorno social, cultural e institucional que impone barreras, y no como un atributo individual.</w:t>
            </w:r>
          </w:p>
        </w:tc>
      </w:tr>
      <w:tr w:rsidR="00F31157" w14:paraId="75E6482C" w14:textId="77777777" w:rsidTr="007416A9">
        <w:tc>
          <w:tcPr>
            <w:tcW w:w="2122" w:type="dxa"/>
            <w:tcMar>
              <w:top w:w="100" w:type="dxa"/>
              <w:left w:w="120" w:type="dxa"/>
              <w:bottom w:w="100" w:type="dxa"/>
              <w:right w:w="120" w:type="dxa"/>
            </w:tcMar>
            <w:vAlign w:val="center"/>
          </w:tcPr>
          <w:p w14:paraId="605F131A" w14:textId="77777777" w:rsidR="00F31157" w:rsidRDefault="00FD7E42">
            <w:pPr>
              <w:jc w:val="both"/>
            </w:pPr>
            <w:r>
              <w:rPr>
                <w:sz w:val="19"/>
                <w:szCs w:val="19"/>
              </w:rPr>
              <w:t>Ajuste razonable</w:t>
            </w:r>
          </w:p>
        </w:tc>
        <w:tc>
          <w:tcPr>
            <w:tcW w:w="7278" w:type="dxa"/>
            <w:tcMar>
              <w:top w:w="100" w:type="dxa"/>
              <w:left w:w="120" w:type="dxa"/>
              <w:bottom w:w="100" w:type="dxa"/>
              <w:right w:w="120" w:type="dxa"/>
            </w:tcMar>
            <w:vAlign w:val="center"/>
          </w:tcPr>
          <w:p w14:paraId="3A6CAAEE" w14:textId="77777777" w:rsidR="00F31157" w:rsidRDefault="00FD7E42">
            <w:pPr>
              <w:jc w:val="both"/>
            </w:pPr>
            <w:r>
              <w:rPr>
                <w:sz w:val="19"/>
                <w:szCs w:val="19"/>
              </w:rPr>
              <w:t>Modificaciones y adaptaciones necesarias, conforme al artículo 2 de la Convención, para garantizar a las personas con discapacidad el goce de sus derechos en igualdad de condiciones.</w:t>
            </w:r>
          </w:p>
        </w:tc>
      </w:tr>
    </w:tbl>
    <w:p w14:paraId="1E6BA66A" w14:textId="77777777" w:rsidR="00F31157" w:rsidRDefault="00FD7E42">
      <w:r>
        <w:br w:type="page"/>
      </w:r>
    </w:p>
    <w:p w14:paraId="22DBEFAD" w14:textId="77777777" w:rsidR="00F31157" w:rsidRDefault="00FD7E42">
      <w:pPr>
        <w:pStyle w:val="Heading1"/>
        <w:spacing w:before="480" w:after="240"/>
      </w:pPr>
      <w:r>
        <w:rPr>
          <w:b/>
          <w:bCs/>
          <w:color w:val="1F3864"/>
          <w:sz w:val="30"/>
          <w:szCs w:val="30"/>
        </w:rPr>
        <w:lastRenderedPageBreak/>
        <w:t>Anexo C — Referencias y fuentes oficiales citadas</w:t>
      </w:r>
    </w:p>
    <w:p w14:paraId="6A86780B" w14:textId="77777777" w:rsidR="00F31157" w:rsidRDefault="00FD7E42">
      <w:pPr>
        <w:pStyle w:val="Heading2"/>
        <w:spacing w:before="320" w:after="160"/>
      </w:pPr>
      <w:r>
        <w:rPr>
          <w:b/>
          <w:bCs/>
          <w:color w:val="2E5395"/>
          <w:sz w:val="24"/>
          <w:szCs w:val="24"/>
        </w:rPr>
        <w:t>Normativa e instrumentos internacionales</w:t>
      </w:r>
    </w:p>
    <w:p w14:paraId="43B820AD" w14:textId="77777777" w:rsidR="00F31157" w:rsidRDefault="00FD7E42">
      <w:pPr>
        <w:spacing w:after="120" w:line="300" w:lineRule="auto"/>
        <w:ind w:left="400" w:hanging="260"/>
        <w:jc w:val="both"/>
      </w:pPr>
      <w:r>
        <w:t>— Convención sobre los Derechos de las Personas con Discapacidad (CDPD), Naciones Unidas.</w:t>
      </w:r>
    </w:p>
    <w:p w14:paraId="09CA6F28" w14:textId="77777777" w:rsidR="00F31157" w:rsidRDefault="00FD7E42">
      <w:pPr>
        <w:spacing w:after="120" w:line="300" w:lineRule="auto"/>
        <w:ind w:left="400" w:hanging="260"/>
        <w:jc w:val="both"/>
      </w:pPr>
      <w:r>
        <w:t>— Comité sobre los Derechos de las Personas con Discapacidad. Observaciones Finales sobre el informe inicial de Chile, CRPD/C/CHL/CO/1 (18 de abril de 2016).</w:t>
      </w:r>
    </w:p>
    <w:p w14:paraId="361710FF" w14:textId="77777777" w:rsidR="00F31157" w:rsidRDefault="00FD7E42">
      <w:pPr>
        <w:spacing w:after="120" w:line="300" w:lineRule="auto"/>
        <w:ind w:left="400" w:hanging="260"/>
        <w:jc w:val="both"/>
      </w:pPr>
      <w:r>
        <w:t xml:space="preserve">— Comité sobre los Derechos de las Personas con Discapacidad. Observación General </w:t>
      </w:r>
      <w:proofErr w:type="spellStart"/>
      <w:r>
        <w:t>N°</w:t>
      </w:r>
      <w:proofErr w:type="spellEnd"/>
      <w:r>
        <w:t xml:space="preserve"> 2 (2014), sobre accesibilidad.</w:t>
      </w:r>
    </w:p>
    <w:p w14:paraId="2DF3DAB5" w14:textId="77777777" w:rsidR="00F31157" w:rsidRDefault="00FD7E42">
      <w:pPr>
        <w:pStyle w:val="Heading2"/>
        <w:spacing w:before="320" w:after="160"/>
      </w:pPr>
      <w:r>
        <w:rPr>
          <w:b/>
          <w:bCs/>
          <w:color w:val="2E5395"/>
          <w:sz w:val="24"/>
          <w:szCs w:val="24"/>
        </w:rPr>
        <w:t>Legislación chilena</w:t>
      </w:r>
    </w:p>
    <w:p w14:paraId="7F1A23F2" w14:textId="77777777" w:rsidR="00F31157" w:rsidRDefault="00FD7E42">
      <w:pPr>
        <w:spacing w:after="120" w:line="300" w:lineRule="auto"/>
        <w:ind w:left="400" w:hanging="260"/>
        <w:jc w:val="both"/>
      </w:pPr>
      <w:r>
        <w:t xml:space="preserve">— Ley </w:t>
      </w:r>
      <w:proofErr w:type="spellStart"/>
      <w:r>
        <w:t>N°</w:t>
      </w:r>
      <w:proofErr w:type="spellEnd"/>
      <w:r>
        <w:t xml:space="preserve"> 20.422 (2010), que establece normas sobre igualdad de oportunidades e inclusión social de personas con discapacidad.</w:t>
      </w:r>
    </w:p>
    <w:p w14:paraId="28E20515" w14:textId="77777777" w:rsidR="00F31157" w:rsidRDefault="00FD7E42">
      <w:pPr>
        <w:spacing w:after="120" w:line="300" w:lineRule="auto"/>
        <w:ind w:left="400" w:hanging="260"/>
        <w:jc w:val="both"/>
      </w:pPr>
      <w:r>
        <w:t xml:space="preserve">— Ley </w:t>
      </w:r>
      <w:proofErr w:type="spellStart"/>
      <w:r>
        <w:t>N°</w:t>
      </w:r>
      <w:proofErr w:type="spellEnd"/>
      <w:r>
        <w:t xml:space="preserve"> 20.609 (2012), que establece medidas contra la discriminación.</w:t>
      </w:r>
    </w:p>
    <w:p w14:paraId="01E9CE60" w14:textId="77777777" w:rsidR="00F31157" w:rsidRDefault="00FD7E42">
      <w:pPr>
        <w:spacing w:after="120" w:line="300" w:lineRule="auto"/>
        <w:ind w:left="400" w:hanging="260"/>
        <w:jc w:val="both"/>
      </w:pPr>
      <w:r>
        <w:t xml:space="preserve">— Ley </w:t>
      </w:r>
      <w:proofErr w:type="spellStart"/>
      <w:r>
        <w:t>N°</w:t>
      </w:r>
      <w:proofErr w:type="spellEnd"/>
      <w:r>
        <w:t xml:space="preserve"> 21.015 (2017), que incentiva la inclusión de personas con discapacidad al mundo laboral.</w:t>
      </w:r>
    </w:p>
    <w:p w14:paraId="019EE0E4" w14:textId="77777777" w:rsidR="00F31157" w:rsidRDefault="00FD7E42">
      <w:pPr>
        <w:pStyle w:val="Heading2"/>
        <w:spacing w:before="320" w:after="160"/>
      </w:pPr>
      <w:r>
        <w:rPr>
          <w:b/>
          <w:bCs/>
          <w:color w:val="2E5395"/>
          <w:sz w:val="24"/>
          <w:szCs w:val="24"/>
        </w:rPr>
        <w:t>Instrumentos de política cultural</w:t>
      </w:r>
    </w:p>
    <w:p w14:paraId="47263E28" w14:textId="77777777" w:rsidR="00F31157" w:rsidRDefault="00FD7E42">
      <w:pPr>
        <w:spacing w:after="120" w:line="300" w:lineRule="auto"/>
        <w:ind w:left="400" w:hanging="260"/>
        <w:jc w:val="both"/>
      </w:pPr>
      <w:r>
        <w:t>— Ministerio de las Culturas, las Artes y el Patrimonio. Estrategia Quinquenal Nacional para el Desarrollo Cultural 2024-2029 (diciembre de 2024).</w:t>
      </w:r>
    </w:p>
    <w:p w14:paraId="212B5F44" w14:textId="77777777" w:rsidR="00F31157" w:rsidRDefault="00FD7E42">
      <w:pPr>
        <w:spacing w:after="120" w:line="300" w:lineRule="auto"/>
        <w:ind w:left="400" w:hanging="260"/>
        <w:jc w:val="both"/>
      </w:pPr>
      <w:r>
        <w:t xml:space="preserve">— Subsecretaría de las Culturas y las Artes. Política Nacional de Educación Artística 2024-2029, Resolución </w:t>
      </w:r>
      <w:proofErr w:type="spellStart"/>
      <w:r>
        <w:t>N°</w:t>
      </w:r>
      <w:proofErr w:type="spellEnd"/>
      <w:r>
        <w:t xml:space="preserve"> 2.494 exenta (8 de septiembre de 2025, publicada el 25 de septiembre de 2025).</w:t>
      </w:r>
    </w:p>
    <w:p w14:paraId="17F2792A" w14:textId="77777777" w:rsidR="00F31157" w:rsidRDefault="00FD7E42">
      <w:pPr>
        <w:spacing w:after="120" w:line="300" w:lineRule="auto"/>
        <w:ind w:left="400" w:hanging="260"/>
        <w:jc w:val="both"/>
      </w:pPr>
      <w:r>
        <w:t>— Ministerio de las Culturas, las Artes y el Patrimonio. Informe Final de la Cuenta Pública Participativa 2025 (gestión junio 2024-mayo 2025).</w:t>
      </w:r>
    </w:p>
    <w:p w14:paraId="4C1F0258" w14:textId="77777777" w:rsidR="00F31157" w:rsidRDefault="00FD7E42">
      <w:pPr>
        <w:pStyle w:val="Heading2"/>
        <w:spacing w:before="320" w:after="160"/>
      </w:pPr>
      <w:r>
        <w:rPr>
          <w:b/>
          <w:bCs/>
          <w:color w:val="2E5395"/>
          <w:sz w:val="24"/>
          <w:szCs w:val="24"/>
        </w:rPr>
        <w:t xml:space="preserve">Estudios y </w:t>
      </w:r>
      <w:proofErr w:type="spellStart"/>
      <w:r>
        <w:rPr>
          <w:b/>
          <w:bCs/>
          <w:color w:val="2E5395"/>
          <w:sz w:val="24"/>
          <w:szCs w:val="24"/>
        </w:rPr>
        <w:t>policy</w:t>
      </w:r>
      <w:proofErr w:type="spellEnd"/>
      <w:r>
        <w:rPr>
          <w:b/>
          <w:bCs/>
          <w:color w:val="2E5395"/>
          <w:sz w:val="24"/>
          <w:szCs w:val="24"/>
        </w:rPr>
        <w:t xml:space="preserve"> </w:t>
      </w:r>
      <w:proofErr w:type="spellStart"/>
      <w:r>
        <w:rPr>
          <w:b/>
          <w:bCs/>
          <w:color w:val="2E5395"/>
          <w:sz w:val="24"/>
          <w:szCs w:val="24"/>
        </w:rPr>
        <w:t>briefs</w:t>
      </w:r>
      <w:proofErr w:type="spellEnd"/>
    </w:p>
    <w:p w14:paraId="5CA9CBC0" w14:textId="77777777" w:rsidR="00F31157" w:rsidRDefault="00FD7E42">
      <w:pPr>
        <w:spacing w:after="120" w:line="300" w:lineRule="auto"/>
        <w:ind w:left="400" w:hanging="260"/>
        <w:jc w:val="both"/>
      </w:pPr>
      <w:r>
        <w:t>— Tercer Estudio Nacional de la Discapacidad.</w:t>
      </w:r>
    </w:p>
    <w:p w14:paraId="78FA6029" w14:textId="77777777" w:rsidR="00F31157" w:rsidRDefault="00FD7E42">
      <w:pPr>
        <w:spacing w:after="120" w:line="300" w:lineRule="auto"/>
        <w:ind w:left="400" w:hanging="260"/>
        <w:jc w:val="both"/>
      </w:pPr>
      <w:r>
        <w:t>— Centro UC Síndrome de Down y Centro de Políticas Públicas UC. Policy Brief "Síndrome de Down: propuestas para un nuevo ciclo de gobierno" (2024-2025).</w:t>
      </w:r>
    </w:p>
    <w:p w14:paraId="3847F5D0" w14:textId="77777777" w:rsidR="00F31157" w:rsidRDefault="00FD7E42">
      <w:pPr>
        <w:spacing w:after="120" w:line="300" w:lineRule="auto"/>
        <w:ind w:left="400" w:hanging="260"/>
        <w:jc w:val="both"/>
      </w:pPr>
      <w:r>
        <w:t xml:space="preserve">— Montaña, N. (2025). "10 años de Fundación </w:t>
      </w:r>
      <w:proofErr w:type="spellStart"/>
      <w:r>
        <w:t>Mawen</w:t>
      </w:r>
      <w:proofErr w:type="spellEnd"/>
      <w:r>
        <w:t>: mapeo preliminar de sus metodologías" (informe de práctica profesional de Sociología).</w:t>
      </w:r>
    </w:p>
    <w:p w14:paraId="3BADFC36" w14:textId="77777777" w:rsidR="00F31157" w:rsidRDefault="00FD7E42">
      <w:pPr>
        <w:pStyle w:val="Heading2"/>
        <w:spacing w:before="320" w:after="160"/>
      </w:pPr>
      <w:r>
        <w:rPr>
          <w:b/>
          <w:bCs/>
          <w:color w:val="2E5395"/>
          <w:sz w:val="24"/>
          <w:szCs w:val="24"/>
        </w:rPr>
        <w:t>Fuente académica</w:t>
      </w:r>
    </w:p>
    <w:p w14:paraId="1CB180AE" w14:textId="09FC8B7A" w:rsidR="00F31157" w:rsidRDefault="00FD7E42">
      <w:pPr>
        <w:spacing w:after="120" w:line="300" w:lineRule="auto"/>
        <w:ind w:left="400" w:hanging="260"/>
        <w:jc w:val="both"/>
      </w:pPr>
      <w:r>
        <w:t xml:space="preserve">— Romero-Rojas, V. y Fernández Droguett, R. </w:t>
      </w:r>
      <w:r w:rsidR="007416A9">
        <w:t xml:space="preserve">(2024). </w:t>
      </w:r>
      <w:r>
        <w:t xml:space="preserve">"Discapacidad y </w:t>
      </w:r>
      <w:proofErr w:type="spellStart"/>
      <w:r>
        <w:t>Artivismo</w:t>
      </w:r>
      <w:proofErr w:type="spellEnd"/>
      <w:r>
        <w:t>: potencia creativa y expresión ciudadana".</w:t>
      </w:r>
    </w:p>
    <w:p w14:paraId="60A25D9D" w14:textId="77777777" w:rsidR="00F31157" w:rsidRDefault="00FD7E42">
      <w:pPr>
        <w:spacing w:after="120" w:line="300" w:lineRule="auto"/>
        <w:ind w:left="400" w:hanging="260"/>
        <w:jc w:val="both"/>
      </w:pPr>
      <w:r>
        <w:t>— Feuerstein, R. et al. (2006). Obras sobre modificabilidad cognitiva estructural.</w:t>
      </w:r>
    </w:p>
    <w:p w14:paraId="4FEE3809" w14:textId="77777777" w:rsidR="00F31157" w:rsidRDefault="00FD7E42">
      <w:pPr>
        <w:spacing w:after="120" w:line="300" w:lineRule="auto"/>
        <w:ind w:left="400" w:hanging="260"/>
        <w:jc w:val="both"/>
      </w:pPr>
      <w:r>
        <w:t xml:space="preserve">— </w:t>
      </w:r>
      <w:proofErr w:type="spellStart"/>
      <w:r>
        <w:t>Schalock</w:t>
      </w:r>
      <w:proofErr w:type="spellEnd"/>
      <w:r>
        <w:t>, R. et al. (2019). Obras sobre discapacidad intelectual y modelos de apoyos.</w:t>
      </w:r>
    </w:p>
    <w:p w14:paraId="00E88F9C" w14:textId="77777777" w:rsidR="00F31157" w:rsidRDefault="00FD7E42">
      <w:pPr>
        <w:spacing w:after="120" w:line="300" w:lineRule="auto"/>
        <w:ind w:left="400" w:hanging="260"/>
        <w:jc w:val="both"/>
      </w:pPr>
      <w:r w:rsidRPr="00E41137">
        <w:rPr>
          <w:lang w:val="fr-FR"/>
        </w:rPr>
        <w:t xml:space="preserve">— Verdugo, M. Á. et al. </w:t>
      </w:r>
      <w:r>
        <w:t>(2012). Obras sobre calidad de vida y discapacidad.</w:t>
      </w:r>
    </w:p>
    <w:p w14:paraId="74D9FB15" w14:textId="77777777" w:rsidR="00F31157" w:rsidRDefault="00FD7E42">
      <w:pPr>
        <w:spacing w:after="120" w:line="300" w:lineRule="auto"/>
        <w:ind w:left="400" w:hanging="260"/>
        <w:jc w:val="both"/>
      </w:pPr>
      <w:r>
        <w:lastRenderedPageBreak/>
        <w:t>— Lizama, M. (2024). Obra sobre terminología y discapacidad cognitiva.</w:t>
      </w:r>
    </w:p>
    <w:p w14:paraId="6982434C" w14:textId="77777777" w:rsidR="00F31157" w:rsidRDefault="00FD7E42">
      <w:pPr>
        <w:pStyle w:val="Heading2"/>
        <w:spacing w:before="320" w:after="160"/>
      </w:pPr>
      <w:r>
        <w:rPr>
          <w:b/>
          <w:bCs/>
          <w:color w:val="2E5395"/>
          <w:sz w:val="24"/>
          <w:szCs w:val="24"/>
        </w:rPr>
        <w:t xml:space="preserve">Materiales institucionales y de prensa de Fundación </w:t>
      </w:r>
      <w:proofErr w:type="spellStart"/>
      <w:r>
        <w:rPr>
          <w:b/>
          <w:bCs/>
          <w:color w:val="2E5395"/>
          <w:sz w:val="24"/>
          <w:szCs w:val="24"/>
        </w:rPr>
        <w:t>Mawen</w:t>
      </w:r>
      <w:proofErr w:type="spellEnd"/>
    </w:p>
    <w:p w14:paraId="455CAAC7" w14:textId="77777777" w:rsidR="00F31157" w:rsidRDefault="00FD7E42">
      <w:pPr>
        <w:spacing w:after="120" w:line="300" w:lineRule="auto"/>
        <w:ind w:left="400" w:hanging="260"/>
        <w:jc w:val="both"/>
      </w:pPr>
      <w:r>
        <w:t xml:space="preserve">— Material de postulación de Fundación </w:t>
      </w:r>
      <w:proofErr w:type="spellStart"/>
      <w:r>
        <w:t>Mawen</w:t>
      </w:r>
      <w:proofErr w:type="spellEnd"/>
      <w:r>
        <w:t xml:space="preserve"> al premio Laura Lee Advocacy Award, </w:t>
      </w:r>
      <w:proofErr w:type="spellStart"/>
      <w:r>
        <w:t>National</w:t>
      </w:r>
      <w:proofErr w:type="spellEnd"/>
      <w:r>
        <w:t xml:space="preserve"> Down </w:t>
      </w:r>
      <w:proofErr w:type="spellStart"/>
      <w:r>
        <w:t>Syndrome</w:t>
      </w:r>
      <w:proofErr w:type="spellEnd"/>
      <w:r>
        <w:t xml:space="preserve"> Congress (NDSC), edición 2026.</w:t>
      </w:r>
    </w:p>
    <w:p w14:paraId="0F106AEA" w14:textId="77777777" w:rsidR="00F31157" w:rsidRDefault="00FD7E42">
      <w:pPr>
        <w:spacing w:after="120" w:line="300" w:lineRule="auto"/>
        <w:ind w:left="400" w:hanging="260"/>
        <w:jc w:val="both"/>
      </w:pPr>
      <w:r>
        <w:t xml:space="preserve">— Fundación </w:t>
      </w:r>
      <w:proofErr w:type="spellStart"/>
      <w:r>
        <w:t>Mawen</w:t>
      </w:r>
      <w:proofErr w:type="spellEnd"/>
      <w:r>
        <w:t xml:space="preserve"> (2019). Registro audiovisual "Reflexiones Estallido Social: Por un Chile más justo". Disponible en: vimeo.com/508680929.</w:t>
      </w:r>
    </w:p>
    <w:p w14:paraId="03E24597" w14:textId="77777777" w:rsidR="00F31157" w:rsidRDefault="00FD7E42">
      <w:pPr>
        <w:spacing w:after="120" w:line="300" w:lineRule="auto"/>
        <w:ind w:left="400" w:hanging="260"/>
        <w:jc w:val="both"/>
      </w:pPr>
      <w:r>
        <w:t>— Cobertura de prensa de la gira internacional 2019 de la obra "Cactus, sólo muere lo que se olvida": El Mundo (España), La Vanguardia, La Tercera, CNN, TVN.</w:t>
      </w:r>
    </w:p>
    <w:sectPr w:rsidR="00F31157">
      <w:headerReference w:type="default" r:id="rId13"/>
      <w:footerReference w:type="default" r:id="rId14"/>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1B786" w14:textId="77777777" w:rsidR="0048717F" w:rsidRDefault="0048717F">
      <w:r>
        <w:separator/>
      </w:r>
    </w:p>
  </w:endnote>
  <w:endnote w:type="continuationSeparator" w:id="0">
    <w:p w14:paraId="62098CD2" w14:textId="77777777" w:rsidR="0048717F" w:rsidRDefault="00487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5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1083A" w14:textId="77777777" w:rsidR="00F31157" w:rsidRDefault="00F3115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0EDBE" w14:textId="4A6278FC" w:rsidR="00F31157" w:rsidRDefault="00FD7E42">
    <w:pPr>
      <w:jc w:val="center"/>
    </w:pPr>
    <w:r>
      <w:rPr>
        <w:color w:val="666666"/>
        <w:sz w:val="16"/>
        <w:szCs w:val="16"/>
      </w:rPr>
      <w:t xml:space="preserve">Fundación </w:t>
    </w:r>
    <w:proofErr w:type="spellStart"/>
    <w:r>
      <w:rPr>
        <w:color w:val="666666"/>
        <w:sz w:val="16"/>
        <w:szCs w:val="16"/>
      </w:rPr>
      <w:t>Mawen</w:t>
    </w:r>
    <w:proofErr w:type="spellEnd"/>
    <w:r>
      <w:rPr>
        <w:color w:val="666666"/>
        <w:sz w:val="16"/>
        <w:szCs w:val="16"/>
      </w:rPr>
      <w:t xml:space="preserve"> — Aporte complementario al Comité CDPD, Naciones Unidas — Página </w:t>
    </w:r>
    <w:r>
      <w:rPr>
        <w:color w:val="666666"/>
        <w:sz w:val="16"/>
        <w:szCs w:val="16"/>
      </w:rPr>
      <w:fldChar w:fldCharType="begin"/>
    </w:r>
    <w:r>
      <w:rPr>
        <w:color w:val="666666"/>
        <w:sz w:val="16"/>
        <w:szCs w:val="16"/>
      </w:rPr>
      <w:instrText>PAGE</w:instrText>
    </w:r>
    <w:r>
      <w:rPr>
        <w:color w:val="666666"/>
        <w:sz w:val="16"/>
        <w:szCs w:val="16"/>
      </w:rPr>
      <w:fldChar w:fldCharType="separate"/>
    </w:r>
    <w:r w:rsidR="00180F3C">
      <w:rPr>
        <w:noProof/>
        <w:color w:val="666666"/>
        <w:sz w:val="16"/>
        <w:szCs w:val="16"/>
      </w:rPr>
      <w:t>2</w:t>
    </w:r>
    <w:r>
      <w:rPr>
        <w:color w:val="666666"/>
        <w:sz w:val="16"/>
        <w:szCs w:val="16"/>
      </w:rPr>
      <w:fldChar w:fldCharType="end"/>
    </w:r>
    <w:r>
      <w:rPr>
        <w:color w:val="666666"/>
        <w:sz w:val="16"/>
        <w:szCs w:val="16"/>
      </w:rPr>
      <w:t xml:space="preserve"> de </w:t>
    </w:r>
    <w:r>
      <w:rPr>
        <w:color w:val="666666"/>
        <w:sz w:val="16"/>
        <w:szCs w:val="16"/>
      </w:rPr>
      <w:fldChar w:fldCharType="begin"/>
    </w:r>
    <w:r>
      <w:rPr>
        <w:color w:val="666666"/>
        <w:sz w:val="16"/>
        <w:szCs w:val="16"/>
      </w:rPr>
      <w:instrText>NUMPAGES</w:instrText>
    </w:r>
    <w:r>
      <w:rPr>
        <w:color w:val="666666"/>
        <w:sz w:val="16"/>
        <w:szCs w:val="16"/>
      </w:rPr>
      <w:fldChar w:fldCharType="separate"/>
    </w:r>
    <w:r w:rsidR="00180F3C">
      <w:rPr>
        <w:noProof/>
        <w:color w:val="666666"/>
        <w:sz w:val="16"/>
        <w:szCs w:val="16"/>
      </w:rPr>
      <w:t>3</w:t>
    </w:r>
    <w:r>
      <w:rPr>
        <w:color w:val="666666"/>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2FD305" w14:textId="77777777" w:rsidR="0048717F" w:rsidRDefault="0048717F">
      <w:r>
        <w:separator/>
      </w:r>
    </w:p>
  </w:footnote>
  <w:footnote w:type="continuationSeparator" w:id="0">
    <w:p w14:paraId="6AEF3577" w14:textId="77777777" w:rsidR="0048717F" w:rsidRDefault="004871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81588" w14:textId="77777777" w:rsidR="00F31157" w:rsidRDefault="00F3115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11AC4" w14:textId="77777777" w:rsidR="00F31157" w:rsidRDefault="00FD7E42">
    <w:pPr>
      <w:jc w:val="right"/>
    </w:pPr>
    <w:r>
      <w:rPr>
        <w:i/>
        <w:iCs/>
        <w:color w:val="999999"/>
        <w:sz w:val="16"/>
        <w:szCs w:val="16"/>
      </w:rPr>
      <w:t xml:space="preserve">Cultura, agencia y participación efectiva — Fundación </w:t>
    </w:r>
    <w:proofErr w:type="spellStart"/>
    <w:r>
      <w:rPr>
        <w:i/>
        <w:iCs/>
        <w:color w:val="999999"/>
        <w:sz w:val="16"/>
        <w:szCs w:val="16"/>
      </w:rPr>
      <w:t>Mawen</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8670E8"/>
    <w:multiLevelType w:val="hybridMultilevel"/>
    <w:tmpl w:val="6AFCABB2"/>
    <w:lvl w:ilvl="0" w:tplc="51164BB6">
      <w:start w:val="1"/>
      <w:numFmt w:val="bullet"/>
      <w:lvlText w:val="●"/>
      <w:lvlJc w:val="left"/>
      <w:pPr>
        <w:ind w:left="720" w:hanging="360"/>
      </w:pPr>
    </w:lvl>
    <w:lvl w:ilvl="1" w:tplc="D7E62BDC">
      <w:start w:val="1"/>
      <w:numFmt w:val="bullet"/>
      <w:lvlText w:val="○"/>
      <w:lvlJc w:val="left"/>
      <w:pPr>
        <w:ind w:left="1440" w:hanging="360"/>
      </w:pPr>
    </w:lvl>
    <w:lvl w:ilvl="2" w:tplc="1056F5A4">
      <w:start w:val="1"/>
      <w:numFmt w:val="bullet"/>
      <w:lvlText w:val="■"/>
      <w:lvlJc w:val="left"/>
      <w:pPr>
        <w:ind w:left="2160" w:hanging="360"/>
      </w:pPr>
    </w:lvl>
    <w:lvl w:ilvl="3" w:tplc="36E418C8">
      <w:start w:val="1"/>
      <w:numFmt w:val="bullet"/>
      <w:lvlText w:val="●"/>
      <w:lvlJc w:val="left"/>
      <w:pPr>
        <w:ind w:left="2880" w:hanging="360"/>
      </w:pPr>
    </w:lvl>
    <w:lvl w:ilvl="4" w:tplc="FB80F972">
      <w:start w:val="1"/>
      <w:numFmt w:val="bullet"/>
      <w:lvlText w:val="○"/>
      <w:lvlJc w:val="left"/>
      <w:pPr>
        <w:ind w:left="3600" w:hanging="360"/>
      </w:pPr>
    </w:lvl>
    <w:lvl w:ilvl="5" w:tplc="5484A540">
      <w:start w:val="1"/>
      <w:numFmt w:val="bullet"/>
      <w:lvlText w:val="■"/>
      <w:lvlJc w:val="left"/>
      <w:pPr>
        <w:ind w:left="4320" w:hanging="360"/>
      </w:pPr>
    </w:lvl>
    <w:lvl w:ilvl="6" w:tplc="2350358E">
      <w:start w:val="1"/>
      <w:numFmt w:val="bullet"/>
      <w:lvlText w:val="●"/>
      <w:lvlJc w:val="left"/>
      <w:pPr>
        <w:ind w:left="5040" w:hanging="360"/>
      </w:pPr>
    </w:lvl>
    <w:lvl w:ilvl="7" w:tplc="F88E0568">
      <w:start w:val="1"/>
      <w:numFmt w:val="bullet"/>
      <w:lvlText w:val="●"/>
      <w:lvlJc w:val="left"/>
      <w:pPr>
        <w:ind w:left="5760" w:hanging="360"/>
      </w:pPr>
    </w:lvl>
    <w:lvl w:ilvl="8" w:tplc="B22836F8">
      <w:start w:val="1"/>
      <w:numFmt w:val="bullet"/>
      <w:lvlText w:val="●"/>
      <w:lvlJc w:val="left"/>
      <w:pPr>
        <w:ind w:left="6480" w:hanging="360"/>
      </w:pPr>
    </w:lvl>
  </w:abstractNum>
  <w:num w:numId="1" w16cid:durableId="205969634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1157"/>
    <w:rsid w:val="00180F3C"/>
    <w:rsid w:val="001C3152"/>
    <w:rsid w:val="00210785"/>
    <w:rsid w:val="0048717F"/>
    <w:rsid w:val="007416A9"/>
    <w:rsid w:val="00CA2840"/>
    <w:rsid w:val="00D86DAD"/>
    <w:rsid w:val="00E41137"/>
    <w:rsid w:val="00F23FBE"/>
    <w:rsid w:val="00F31157"/>
    <w:rsid w:val="00F6649A"/>
    <w:rsid w:val="00FD7E42"/>
  </w:rsids>
  <m:mathPr>
    <m:mathFont m:val="Cambria Math"/>
    <m:brkBin m:val="before"/>
    <m:brkBinSub m:val="--"/>
    <m:smallFrac m:val="0"/>
    <m:dispDef/>
    <m:lMargin m:val="0"/>
    <m:rMargin m:val="0"/>
    <m:defJc m:val="centerGroup"/>
    <m:wrapIndent m:val="1440"/>
    <m:intLim m:val="subSup"/>
    <m:naryLim m:val="undOvr"/>
  </m:mathPr>
  <w:themeFontLang w:val="es-CL"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8BAEF"/>
  <w15:docId w15:val="{DF9B6169-995D-F544-A7C8-33A7FD363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L"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Textoennegrita1">
    <w:name w:val="Texto en negrita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2026-07-13T07:34:19+00:00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B3503A-D3DD-49A8-ADFE-1BC4AB16AD7E}">
  <ds:schemaRefs>
    <ds:schemaRef ds:uri="http://schemas.microsoft.com/office/2006/metadata/properties"/>
    <ds:schemaRef ds:uri="http://schemas.microsoft.com/office/infopath/2007/PartnerControls"/>
    <ds:schemaRef ds:uri="985ec44e-1bab-4c0b-9df0-6ba128686fc9"/>
    <ds:schemaRef ds:uri="11a6fe0c-d8de-4390-afb3-d9c7c54181f0"/>
    <ds:schemaRef ds:uri="c43d6523-f909-4250-bbe1-6bcdc0c7194c"/>
  </ds:schemaRefs>
</ds:datastoreItem>
</file>

<file path=customXml/itemProps2.xml><?xml version="1.0" encoding="utf-8"?>
<ds:datastoreItem xmlns:ds="http://schemas.openxmlformats.org/officeDocument/2006/customXml" ds:itemID="{DE373E40-11D6-4586-8E93-1B91EDE1B14C}">
  <ds:schemaRefs>
    <ds:schemaRef ds:uri="http://schemas.microsoft.com/sharepoint/v3/contenttype/forms"/>
  </ds:schemaRefs>
</ds:datastoreItem>
</file>

<file path=customXml/itemProps3.xml><?xml version="1.0" encoding="utf-8"?>
<ds:datastoreItem xmlns:ds="http://schemas.openxmlformats.org/officeDocument/2006/customXml" ds:itemID="{568FA5C9-8580-4B2D-A4D1-6E83F5D4AC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2</TotalTime>
  <Pages>35</Pages>
  <Words>12046</Words>
  <Characters>68665</Characters>
  <Application>Microsoft Office Word</Application>
  <DocSecurity>0</DocSecurity>
  <Lines>572</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Robert OUKO</cp:lastModifiedBy>
  <cp:revision>2</cp:revision>
  <dcterms:created xsi:type="dcterms:W3CDTF">2026-08-13T15:10:00Z</dcterms:created>
  <dcterms:modified xsi:type="dcterms:W3CDTF">2026-08-13T15:10:00Z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