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6BE3C" w14:textId="77777777" w:rsidR="00BF1A31" w:rsidRDefault="00BF1A31">
      <w:pPr>
        <w:rPr>
          <w:rFonts w:ascii="Times New Roman" w:eastAsia="Times New Roman" w:hAnsi="Times New Roman" w:cs="Times New Roman"/>
          <w:b/>
          <w:sz w:val="24"/>
          <w:szCs w:val="24"/>
        </w:rPr>
      </w:pPr>
    </w:p>
    <w:tbl>
      <w:tblPr>
        <w:tblStyle w:val="a7"/>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BF1A31" w14:paraId="2E691873" w14:textId="77777777">
        <w:trPr>
          <w:trHeight w:val="1575"/>
          <w:jc w:val="center"/>
        </w:trPr>
        <w:tc>
          <w:tcPr>
            <w:tcW w:w="9029" w:type="dxa"/>
            <w:shd w:val="clear" w:color="auto" w:fill="auto"/>
            <w:tcMar>
              <w:top w:w="100" w:type="dxa"/>
              <w:left w:w="100" w:type="dxa"/>
              <w:bottom w:w="100" w:type="dxa"/>
              <w:right w:w="100" w:type="dxa"/>
            </w:tcMar>
          </w:tcPr>
          <w:p w14:paraId="2D3CEF9F" w14:textId="77777777" w:rsidR="00BF1A31" w:rsidRDefault="00F5799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COMITÉ DE DERECHOS ECONOMICOS, CULTURALES Y SOCIALES (DESC)</w:t>
            </w:r>
          </w:p>
          <w:p w14:paraId="15C168DA" w14:textId="77777777" w:rsidR="00BF1A31" w:rsidRDefault="00F5799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7E02E9D" w14:textId="77777777" w:rsidR="00BF1A31" w:rsidRDefault="00F5799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Participación de organizaciones no gubernamentales (ONG)</w:t>
            </w:r>
          </w:p>
        </w:tc>
      </w:tr>
    </w:tbl>
    <w:p w14:paraId="10DBBE56" w14:textId="77777777" w:rsidR="00BF1A31" w:rsidRDefault="00BF1A31">
      <w:pPr>
        <w:rPr>
          <w:rFonts w:ascii="Times New Roman" w:eastAsia="Times New Roman" w:hAnsi="Times New Roman" w:cs="Times New Roman"/>
          <w:b/>
          <w:sz w:val="24"/>
          <w:szCs w:val="24"/>
        </w:rPr>
      </w:pPr>
    </w:p>
    <w:p w14:paraId="59219274" w14:textId="77777777" w:rsidR="00BF1A31" w:rsidRDefault="00F5799A">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77FC423B" w14:textId="77777777" w:rsidR="00BF1A31" w:rsidRDefault="00F5799A">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73° período de sesiones (13 de febrero de 2023), Ginebra, Naciones Unidas, Sala –</w:t>
      </w:r>
    </w:p>
    <w:p w14:paraId="2385C653" w14:textId="77777777" w:rsidR="00BF1A31" w:rsidRDefault="00F5799A">
      <w:pPr>
        <w:pStyle w:val="Heading1"/>
        <w:keepNext w:val="0"/>
        <w:keepLines w:val="0"/>
        <w:spacing w:before="480"/>
        <w:jc w:val="both"/>
        <w:rPr>
          <w:rFonts w:ascii="Times New Roman" w:eastAsia="Times New Roman" w:hAnsi="Times New Roman" w:cs="Times New Roman"/>
          <w:b/>
          <w:color w:val="202124"/>
          <w:sz w:val="24"/>
          <w:szCs w:val="24"/>
        </w:rPr>
      </w:pPr>
      <w:bookmarkStart w:id="0" w:name="_heading=h.gjdgxs" w:colFirst="0" w:colLast="0"/>
      <w:bookmarkEnd w:id="0"/>
      <w:r>
        <w:rPr>
          <w:rFonts w:ascii="Times New Roman" w:eastAsia="Times New Roman" w:hAnsi="Times New Roman" w:cs="Times New Roman"/>
          <w:b/>
          <w:sz w:val="24"/>
          <w:szCs w:val="24"/>
        </w:rPr>
        <w:t xml:space="preserve">Organizaciones: Fundación Iguales Panamá, </w:t>
      </w:r>
      <w:r>
        <w:rPr>
          <w:rFonts w:ascii="Times New Roman" w:eastAsia="Times New Roman" w:hAnsi="Times New Roman" w:cs="Times New Roman"/>
          <w:b/>
          <w:color w:val="202124"/>
          <w:sz w:val="24"/>
          <w:szCs w:val="24"/>
        </w:rPr>
        <w:t>Asociación Hombres y Mujeres Nuevos de Panamá (AHMNP), Centro de Iniciativas Democráticas, Voces de Mujeres Afrodescendientes en Pan</w:t>
      </w:r>
      <w:r>
        <w:rPr>
          <w:rFonts w:ascii="Times New Roman" w:eastAsia="Times New Roman" w:hAnsi="Times New Roman" w:cs="Times New Roman"/>
          <w:b/>
          <w:color w:val="202124"/>
          <w:sz w:val="24"/>
          <w:szCs w:val="24"/>
        </w:rPr>
        <w:t xml:space="preserve">amá, Fundación para el Desarrollo de la Libertad Ciudadana, Hombres </w:t>
      </w:r>
      <w:proofErr w:type="gramStart"/>
      <w:r>
        <w:rPr>
          <w:rFonts w:ascii="Times New Roman" w:eastAsia="Times New Roman" w:hAnsi="Times New Roman" w:cs="Times New Roman"/>
          <w:b/>
          <w:color w:val="202124"/>
          <w:sz w:val="24"/>
          <w:szCs w:val="24"/>
        </w:rPr>
        <w:t>Trans Panamá</w:t>
      </w:r>
      <w:proofErr w:type="gramEnd"/>
      <w:r>
        <w:rPr>
          <w:rFonts w:ascii="Times New Roman" w:eastAsia="Times New Roman" w:hAnsi="Times New Roman" w:cs="Times New Roman"/>
          <w:b/>
          <w:color w:val="202124"/>
          <w:sz w:val="24"/>
          <w:szCs w:val="24"/>
        </w:rPr>
        <w:t xml:space="preserve">, Fundación rescate de alimentos, Viviendo positivamente, Coalición Internacional de Mujeres y Familias (CIMUF), Todas con Voz </w:t>
      </w:r>
      <w:proofErr w:type="spellStart"/>
      <w:r>
        <w:rPr>
          <w:rFonts w:ascii="Times New Roman" w:eastAsia="Times New Roman" w:hAnsi="Times New Roman" w:cs="Times New Roman"/>
          <w:b/>
          <w:color w:val="202124"/>
          <w:sz w:val="24"/>
          <w:szCs w:val="24"/>
        </w:rPr>
        <w:t>Org</w:t>
      </w:r>
      <w:proofErr w:type="spellEnd"/>
      <w:r>
        <w:rPr>
          <w:rFonts w:ascii="Times New Roman" w:eastAsia="Times New Roman" w:hAnsi="Times New Roman" w:cs="Times New Roman"/>
          <w:b/>
          <w:color w:val="202124"/>
          <w:sz w:val="24"/>
          <w:szCs w:val="24"/>
        </w:rPr>
        <w:t>.</w:t>
      </w:r>
    </w:p>
    <w:p w14:paraId="5E161F6A" w14:textId="77777777" w:rsidR="00BF1A31" w:rsidRDefault="00F5799A">
      <w:pPr>
        <w:pStyle w:val="Heading1"/>
        <w:keepNext w:val="0"/>
        <w:keepLines w:val="0"/>
        <w:spacing w:before="480"/>
        <w:jc w:val="both"/>
        <w:rPr>
          <w:rFonts w:ascii="Times New Roman" w:eastAsia="Times New Roman" w:hAnsi="Times New Roman" w:cs="Times New Roman"/>
          <w:b/>
          <w:sz w:val="24"/>
          <w:szCs w:val="24"/>
        </w:rPr>
      </w:pPr>
      <w:bookmarkStart w:id="1" w:name="_heading=h.30j0zll" w:colFirst="0" w:colLast="0"/>
      <w:bookmarkEnd w:id="1"/>
      <w:r>
        <w:rPr>
          <w:rFonts w:ascii="Times New Roman" w:eastAsia="Times New Roman" w:hAnsi="Times New Roman" w:cs="Times New Roman"/>
          <w:b/>
          <w:sz w:val="24"/>
          <w:szCs w:val="24"/>
        </w:rPr>
        <w:t>Estado Parte: Panamá.</w:t>
      </w:r>
    </w:p>
    <w:p w14:paraId="11C0075E" w14:textId="77777777" w:rsidR="00BF1A31" w:rsidRDefault="00BF1A31">
      <w:pPr>
        <w:jc w:val="both"/>
        <w:rPr>
          <w:rFonts w:ascii="Times New Roman" w:eastAsia="Times New Roman" w:hAnsi="Times New Roman" w:cs="Times New Roman"/>
          <w:b/>
          <w:sz w:val="24"/>
          <w:szCs w:val="24"/>
        </w:rPr>
      </w:pPr>
    </w:p>
    <w:p w14:paraId="0EE75D2B" w14:textId="77777777" w:rsidR="00BF1A31" w:rsidRDefault="00F5799A">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Documento puede ser p</w:t>
      </w:r>
      <w:r>
        <w:rPr>
          <w:rFonts w:ascii="Times New Roman" w:eastAsia="Times New Roman" w:hAnsi="Times New Roman" w:cs="Times New Roman"/>
          <w:b/>
          <w:sz w:val="24"/>
          <w:szCs w:val="24"/>
        </w:rPr>
        <w:t>ublicado.</w:t>
      </w:r>
    </w:p>
    <w:p w14:paraId="5CEE010D" w14:textId="77777777" w:rsidR="00BF1A31" w:rsidRDefault="00BF1A31">
      <w:pPr>
        <w:rPr>
          <w:rFonts w:ascii="Times New Roman" w:eastAsia="Times New Roman" w:hAnsi="Times New Roman" w:cs="Times New Roman"/>
          <w:b/>
          <w:sz w:val="24"/>
          <w:szCs w:val="24"/>
        </w:rPr>
      </w:pPr>
    </w:p>
    <w:tbl>
      <w:tblPr>
        <w:tblStyle w:val="a8"/>
        <w:tblW w:w="943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35"/>
      </w:tblGrid>
      <w:tr w:rsidR="00BF1A31" w14:paraId="12AA99D8" w14:textId="77777777">
        <w:trPr>
          <w:trHeight w:val="773"/>
        </w:trPr>
        <w:tc>
          <w:tcPr>
            <w:tcW w:w="9435" w:type="dxa"/>
            <w:shd w:val="clear" w:color="auto" w:fill="auto"/>
            <w:tcMar>
              <w:top w:w="100" w:type="dxa"/>
              <w:left w:w="100" w:type="dxa"/>
              <w:bottom w:w="100" w:type="dxa"/>
              <w:right w:w="100" w:type="dxa"/>
            </w:tcMar>
          </w:tcPr>
          <w:p w14:paraId="31AB4609" w14:textId="77777777" w:rsidR="00BF1A31" w:rsidRDefault="00F5799A">
            <w:pPr>
              <w:widowControl w:val="0"/>
              <w:spacing w:before="360" w:after="240"/>
              <w:ind w:right="11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No discriminación (art. 2, párr. 2)</w:t>
            </w:r>
          </w:p>
        </w:tc>
      </w:tr>
    </w:tbl>
    <w:p w14:paraId="35DCAD64" w14:textId="77777777" w:rsidR="00BF1A31" w:rsidRDefault="00BF1A31">
      <w:pPr>
        <w:rPr>
          <w:rFonts w:ascii="Times New Roman" w:eastAsia="Times New Roman" w:hAnsi="Times New Roman" w:cs="Times New Roman"/>
          <w:sz w:val="24"/>
          <w:szCs w:val="24"/>
        </w:rPr>
      </w:pPr>
    </w:p>
    <w:p w14:paraId="6DF49876" w14:textId="77777777" w:rsidR="00BF1A31" w:rsidRDefault="00BF1A31">
      <w:pPr>
        <w:rPr>
          <w:rFonts w:ascii="Times New Roman" w:eastAsia="Times New Roman" w:hAnsi="Times New Roman" w:cs="Times New Roman"/>
          <w:sz w:val="24"/>
          <w:szCs w:val="24"/>
        </w:rPr>
      </w:pPr>
    </w:p>
    <w:p w14:paraId="5B89DD7A" w14:textId="77777777" w:rsidR="00BF1A31" w:rsidRDefault="00BF1A31">
      <w:pPr>
        <w:ind w:left="720"/>
        <w:jc w:val="both"/>
        <w:rPr>
          <w:rFonts w:ascii="Times New Roman" w:eastAsia="Times New Roman" w:hAnsi="Times New Roman" w:cs="Times New Roman"/>
          <w:sz w:val="24"/>
          <w:szCs w:val="24"/>
        </w:rPr>
      </w:pPr>
    </w:p>
    <w:p w14:paraId="53027FD7" w14:textId="77777777" w:rsidR="00BF1A31" w:rsidRDefault="00F5799A">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pesar de los intentos por el Estado de crear iniciativas para la supuesta no discriminación, estas excluyen a la gran mayoría de las minorías presentes en el país y adolecen de una perspectiva interseccional a las problemáticas. Grupos minoritarios tales</w:t>
      </w:r>
      <w:r>
        <w:rPr>
          <w:rFonts w:ascii="Times New Roman" w:eastAsia="Times New Roman" w:hAnsi="Times New Roman" w:cs="Times New Roman"/>
          <w:sz w:val="24"/>
          <w:szCs w:val="24"/>
        </w:rPr>
        <w:t xml:space="preserve"> como las mujeres indígenas, afrodescendientes, niños y la comunidad LGBTIQ+ son gravemente afectados todos los días por la falta de atención por parte del Estado hacia ellos. </w:t>
      </w:r>
    </w:p>
    <w:p w14:paraId="21EF31E0" w14:textId="77777777" w:rsidR="00BF1A31" w:rsidRDefault="00BF1A31">
      <w:pPr>
        <w:jc w:val="both"/>
        <w:rPr>
          <w:rFonts w:ascii="Times New Roman" w:eastAsia="Times New Roman" w:hAnsi="Times New Roman" w:cs="Times New Roman"/>
          <w:sz w:val="24"/>
          <w:szCs w:val="24"/>
        </w:rPr>
      </w:pPr>
    </w:p>
    <w:p w14:paraId="70591EE3" w14:textId="77777777" w:rsidR="00BF1A31" w:rsidRDefault="00F5799A">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falta de perspectiva interseccional a estas problemáticas se ve claramente </w:t>
      </w:r>
      <w:r>
        <w:rPr>
          <w:rFonts w:ascii="Times New Roman" w:eastAsia="Times New Roman" w:hAnsi="Times New Roman" w:cs="Times New Roman"/>
          <w:sz w:val="24"/>
          <w:szCs w:val="24"/>
        </w:rPr>
        <w:t>reflejada en la “Ley núm. 82 de 24 de octubre de 2013 que adopta medidas de prevención contra la violencia en las mujeres y reforma el Código Penal para tipificar el femicidio y sancionar los hechos de violencia contra la mujer.”</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Dicha ley no considera q</w:t>
      </w:r>
      <w:r>
        <w:rPr>
          <w:rFonts w:ascii="Times New Roman" w:eastAsia="Times New Roman" w:hAnsi="Times New Roman" w:cs="Times New Roman"/>
          <w:sz w:val="24"/>
          <w:szCs w:val="24"/>
        </w:rPr>
        <w:t xml:space="preserve">ue los </w:t>
      </w:r>
      <w:r>
        <w:rPr>
          <w:rFonts w:ascii="Times New Roman" w:eastAsia="Times New Roman" w:hAnsi="Times New Roman" w:cs="Times New Roman"/>
          <w:sz w:val="24"/>
          <w:szCs w:val="24"/>
        </w:rPr>
        <w:lastRenderedPageBreak/>
        <w:t xml:space="preserve">crímenes que sean cometidos contra las mujeres trans sean tipificados como feminicidios. </w:t>
      </w:r>
    </w:p>
    <w:p w14:paraId="2602D35E" w14:textId="77777777" w:rsidR="00BF1A31" w:rsidRDefault="00BF1A31">
      <w:pPr>
        <w:ind w:left="720"/>
        <w:jc w:val="both"/>
        <w:rPr>
          <w:rFonts w:ascii="Times New Roman" w:eastAsia="Times New Roman" w:hAnsi="Times New Roman" w:cs="Times New Roman"/>
          <w:sz w:val="24"/>
          <w:szCs w:val="24"/>
        </w:rPr>
      </w:pPr>
    </w:p>
    <w:p w14:paraId="55737C03" w14:textId="77777777" w:rsidR="00BF1A31" w:rsidRDefault="00F5799A">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Cabe resaltar que no existe ninguna legislación o política pública que garantice el derecho a la no discriminación de personas por orientación sexual e identi</w:t>
      </w:r>
      <w:r>
        <w:rPr>
          <w:rFonts w:ascii="Times New Roman" w:eastAsia="Times New Roman" w:hAnsi="Times New Roman" w:cs="Times New Roman"/>
          <w:sz w:val="24"/>
          <w:szCs w:val="24"/>
          <w:highlight w:val="white"/>
        </w:rPr>
        <w:t xml:space="preserve">dad de género. </w:t>
      </w:r>
    </w:p>
    <w:p w14:paraId="4A696824" w14:textId="77777777" w:rsidR="00BF1A31" w:rsidRDefault="00BF1A31">
      <w:pPr>
        <w:jc w:val="both"/>
        <w:rPr>
          <w:rFonts w:ascii="Times New Roman" w:eastAsia="Times New Roman" w:hAnsi="Times New Roman" w:cs="Times New Roman"/>
          <w:sz w:val="24"/>
          <w:szCs w:val="24"/>
        </w:rPr>
      </w:pPr>
    </w:p>
    <w:p w14:paraId="48CCF9E1" w14:textId="77777777" w:rsidR="00BF1A31" w:rsidRDefault="00F5799A">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Así como también sucede en el caso de la Ley núm. 4 de 29 de enero de 1999 que </w:t>
      </w:r>
      <w:r>
        <w:rPr>
          <w:rFonts w:ascii="Times New Roman" w:eastAsia="Times New Roman" w:hAnsi="Times New Roman" w:cs="Times New Roman"/>
          <w:color w:val="202124"/>
          <w:sz w:val="24"/>
          <w:szCs w:val="24"/>
          <w:highlight w:val="white"/>
        </w:rPr>
        <w:t>por la cual se Instituye la Igualdad de Oportunidades para las Mujeres”</w:t>
      </w:r>
      <w:r>
        <w:rPr>
          <w:rFonts w:ascii="Times New Roman" w:eastAsia="Times New Roman" w:hAnsi="Times New Roman" w:cs="Times New Roman"/>
          <w:color w:val="202124"/>
          <w:sz w:val="24"/>
          <w:szCs w:val="24"/>
          <w:highlight w:val="white"/>
          <w:vertAlign w:val="superscript"/>
        </w:rPr>
        <w:footnoteReference w:id="2"/>
      </w:r>
      <w:r>
        <w:rPr>
          <w:rFonts w:ascii="Times New Roman" w:eastAsia="Times New Roman" w:hAnsi="Times New Roman" w:cs="Times New Roman"/>
          <w:color w:val="202124"/>
          <w:sz w:val="24"/>
          <w:szCs w:val="24"/>
          <w:highlight w:val="white"/>
        </w:rPr>
        <w:t xml:space="preserve"> la misma no incluye ningún tipo de política a favor de las mujeres lesbianas, bisexuales y transgénero. </w:t>
      </w:r>
    </w:p>
    <w:p w14:paraId="7A9B0D8B" w14:textId="77777777" w:rsidR="00BF1A31" w:rsidRDefault="00BF1A31">
      <w:pPr>
        <w:jc w:val="both"/>
        <w:rPr>
          <w:rFonts w:ascii="Times New Roman" w:eastAsia="Times New Roman" w:hAnsi="Times New Roman" w:cs="Times New Roman"/>
          <w:sz w:val="24"/>
          <w:szCs w:val="24"/>
          <w:highlight w:val="white"/>
        </w:rPr>
      </w:pPr>
    </w:p>
    <w:p w14:paraId="29638169" w14:textId="77777777" w:rsidR="00BF1A31" w:rsidRDefault="00F5799A">
      <w:pPr>
        <w:numPr>
          <w:ilvl w:val="0"/>
          <w:numId w:val="2"/>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En materia legislativa en la República de Panamá no existe ninguna ley que tipifique la violencia de género a mujeres LBT. Todos los tipos de violenc</w:t>
      </w:r>
      <w:r>
        <w:rPr>
          <w:rFonts w:ascii="Times New Roman" w:eastAsia="Times New Roman" w:hAnsi="Times New Roman" w:cs="Times New Roman"/>
          <w:sz w:val="24"/>
          <w:szCs w:val="24"/>
          <w:highlight w:val="white"/>
        </w:rPr>
        <w:t xml:space="preserve">ia se encuentran vinculados únicamente a la violencia intrafamiliar, o violencia contra las mujeres sin mencionar o considerar a las mujeres LBT. </w:t>
      </w:r>
    </w:p>
    <w:p w14:paraId="696872FB" w14:textId="77777777" w:rsidR="00BF1A31" w:rsidRDefault="00BF1A31">
      <w:pPr>
        <w:jc w:val="both"/>
        <w:rPr>
          <w:rFonts w:ascii="Times New Roman" w:eastAsia="Times New Roman" w:hAnsi="Times New Roman" w:cs="Times New Roman"/>
          <w:sz w:val="24"/>
          <w:szCs w:val="24"/>
          <w:highlight w:val="white"/>
        </w:rPr>
      </w:pPr>
    </w:p>
    <w:p w14:paraId="670FFF37" w14:textId="77777777" w:rsidR="00BF1A31" w:rsidRDefault="00F5799A">
      <w:pPr>
        <w:numPr>
          <w:ilvl w:val="0"/>
          <w:numId w:val="2"/>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El acceso a la justicia en Panamá no garantiza ningún tipo de igualdad de condiciones para interponer las de</w:t>
      </w:r>
      <w:r>
        <w:rPr>
          <w:rFonts w:ascii="Times New Roman" w:eastAsia="Times New Roman" w:hAnsi="Times New Roman" w:cs="Times New Roman"/>
          <w:sz w:val="24"/>
          <w:szCs w:val="24"/>
          <w:highlight w:val="white"/>
        </w:rPr>
        <w:t xml:space="preserve">nuncias respectivas, ya que se les </w:t>
      </w:r>
      <w:proofErr w:type="spellStart"/>
      <w:r>
        <w:rPr>
          <w:rFonts w:ascii="Times New Roman" w:eastAsia="Times New Roman" w:hAnsi="Times New Roman" w:cs="Times New Roman"/>
          <w:sz w:val="24"/>
          <w:szCs w:val="24"/>
          <w:highlight w:val="white"/>
        </w:rPr>
        <w:t>exije</w:t>
      </w:r>
      <w:proofErr w:type="spellEnd"/>
      <w:r>
        <w:rPr>
          <w:rFonts w:ascii="Times New Roman" w:eastAsia="Times New Roman" w:hAnsi="Times New Roman" w:cs="Times New Roman"/>
          <w:sz w:val="24"/>
          <w:szCs w:val="24"/>
          <w:highlight w:val="white"/>
        </w:rPr>
        <w:t xml:space="preserve"> por parte de la fuerza policial a las personas sexo diversas que acudan con un </w:t>
      </w:r>
      <w:proofErr w:type="spellStart"/>
      <w:r>
        <w:rPr>
          <w:rFonts w:ascii="Times New Roman" w:eastAsia="Times New Roman" w:hAnsi="Times New Roman" w:cs="Times New Roman"/>
          <w:sz w:val="24"/>
          <w:szCs w:val="24"/>
          <w:highlight w:val="white"/>
        </w:rPr>
        <w:t>aboagado</w:t>
      </w:r>
      <w:proofErr w:type="spellEnd"/>
      <w:r>
        <w:rPr>
          <w:rFonts w:ascii="Times New Roman" w:eastAsia="Times New Roman" w:hAnsi="Times New Roman" w:cs="Times New Roman"/>
          <w:sz w:val="24"/>
          <w:szCs w:val="24"/>
          <w:highlight w:val="white"/>
        </w:rPr>
        <w:t xml:space="preserve">, cuando el código procesal penal es claro y cita en su artículo 2022 “Toda persona en pleno goce de sus derechos civiles puede </w:t>
      </w:r>
      <w:r>
        <w:rPr>
          <w:rFonts w:ascii="Times New Roman" w:eastAsia="Times New Roman" w:hAnsi="Times New Roman" w:cs="Times New Roman"/>
          <w:sz w:val="24"/>
          <w:szCs w:val="24"/>
          <w:highlight w:val="white"/>
        </w:rPr>
        <w:t>ejercer acción penal como acusador, en los casos y las formas indicadas en esta Sección, por delitos cometidos contra sí mismo, o su cónyuge o contra sus parientes en el segundo grado de consanguinidad o segundo de afinidad o contra aquéllos que estuvieren</w:t>
      </w:r>
      <w:r>
        <w:rPr>
          <w:rFonts w:ascii="Times New Roman" w:eastAsia="Times New Roman" w:hAnsi="Times New Roman" w:cs="Times New Roman"/>
          <w:sz w:val="24"/>
          <w:szCs w:val="24"/>
          <w:highlight w:val="white"/>
        </w:rPr>
        <w:t xml:space="preserve"> bajo su guarda o cuidado o de quienes fuere representante legal o dependiente” </w:t>
      </w:r>
      <w:r>
        <w:rPr>
          <w:rFonts w:ascii="Times New Roman" w:eastAsia="Times New Roman" w:hAnsi="Times New Roman" w:cs="Times New Roman"/>
          <w:sz w:val="24"/>
          <w:szCs w:val="24"/>
          <w:highlight w:val="white"/>
          <w:vertAlign w:val="superscript"/>
        </w:rPr>
        <w:footnoteReference w:id="3"/>
      </w:r>
      <w:r>
        <w:rPr>
          <w:rFonts w:ascii="Times New Roman" w:eastAsia="Times New Roman" w:hAnsi="Times New Roman" w:cs="Times New Roman"/>
          <w:sz w:val="24"/>
          <w:szCs w:val="24"/>
          <w:highlight w:val="white"/>
        </w:rPr>
        <w:t>.</w:t>
      </w:r>
    </w:p>
    <w:p w14:paraId="6BBEE0BB" w14:textId="77777777" w:rsidR="00BF1A31" w:rsidRDefault="00BF1A31">
      <w:pPr>
        <w:jc w:val="both"/>
        <w:rPr>
          <w:rFonts w:ascii="Times New Roman" w:eastAsia="Times New Roman" w:hAnsi="Times New Roman" w:cs="Times New Roman"/>
          <w:sz w:val="24"/>
          <w:szCs w:val="24"/>
        </w:rPr>
      </w:pPr>
    </w:p>
    <w:p w14:paraId="14C05A86" w14:textId="77777777" w:rsidR="00BF1A31" w:rsidRDefault="00F5799A">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Recomendaciones</w:t>
      </w:r>
    </w:p>
    <w:p w14:paraId="325D926F" w14:textId="77777777" w:rsidR="00BF1A31" w:rsidRDefault="00BF1A31">
      <w:pPr>
        <w:jc w:val="both"/>
        <w:rPr>
          <w:rFonts w:ascii="Times New Roman" w:eastAsia="Times New Roman" w:hAnsi="Times New Roman" w:cs="Times New Roman"/>
          <w:sz w:val="24"/>
          <w:szCs w:val="24"/>
        </w:rPr>
      </w:pPr>
    </w:p>
    <w:p w14:paraId="4AC7784D" w14:textId="77777777" w:rsidR="00BF1A31" w:rsidRDefault="00F5799A">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Desde las organizaciones de sociedad civil recomendamos al estado panameño la creación de la </w:t>
      </w:r>
      <w:r>
        <w:rPr>
          <w:rFonts w:ascii="Times New Roman" w:eastAsia="Times New Roman" w:hAnsi="Times New Roman" w:cs="Times New Roman"/>
          <w:b/>
          <w:i/>
          <w:sz w:val="24"/>
          <w:szCs w:val="24"/>
        </w:rPr>
        <w:t>“Ley de No Discriminación por Orientación Sexual e Identidad de Género”</w:t>
      </w:r>
      <w:r>
        <w:rPr>
          <w:rFonts w:ascii="Times New Roman" w:eastAsia="Times New Roman" w:hAnsi="Times New Roman" w:cs="Times New Roman"/>
          <w:sz w:val="24"/>
          <w:szCs w:val="24"/>
        </w:rPr>
        <w:t>. Esta iniciativa se fundamenta, en el hecho de que el país no cuenta con normas legislativa</w:t>
      </w:r>
      <w:r>
        <w:rPr>
          <w:rFonts w:ascii="Times New Roman" w:eastAsia="Times New Roman" w:hAnsi="Times New Roman" w:cs="Times New Roman"/>
          <w:sz w:val="24"/>
          <w:szCs w:val="24"/>
        </w:rPr>
        <w:t>s que prevengan situaciones de exclusión, que protejan a esos grupos de personas de cualquier forma de discriminación y que, en caso de presentarse, repriman a sus autores. Situación que ha sido ampliamente evidenciada por organismos internacionales que ha</w:t>
      </w:r>
      <w:r>
        <w:rPr>
          <w:rFonts w:ascii="Times New Roman" w:eastAsia="Times New Roman" w:hAnsi="Times New Roman" w:cs="Times New Roman"/>
          <w:sz w:val="24"/>
          <w:szCs w:val="24"/>
        </w:rPr>
        <w:t>n solicitado a nuestras autoridades realizar esfuerzos para mejorar la situación de discriminación que actualmente existe, tal como ocurrió durante el último Examen Periódico Universal de la ONU, celebrado en mayo de 2015 en Ginebra, Suiza.</w:t>
      </w:r>
    </w:p>
    <w:p w14:paraId="615F02DA" w14:textId="77777777" w:rsidR="00BF1A31" w:rsidRDefault="00BF1A31">
      <w:pPr>
        <w:jc w:val="both"/>
        <w:rPr>
          <w:rFonts w:ascii="Times New Roman" w:eastAsia="Times New Roman" w:hAnsi="Times New Roman" w:cs="Times New Roman"/>
          <w:sz w:val="24"/>
          <w:szCs w:val="24"/>
        </w:rPr>
      </w:pPr>
    </w:p>
    <w:p w14:paraId="14FD6015" w14:textId="77777777" w:rsidR="00BF1A31" w:rsidRDefault="00F5799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Escenario dond</w:t>
      </w:r>
      <w:r>
        <w:rPr>
          <w:rFonts w:ascii="Times New Roman" w:eastAsia="Times New Roman" w:hAnsi="Times New Roman" w:cs="Times New Roman"/>
          <w:sz w:val="24"/>
          <w:szCs w:val="24"/>
        </w:rPr>
        <w:t xml:space="preserve">e la delegación del Gobierno </w:t>
      </w:r>
      <w:proofErr w:type="gramStart"/>
      <w:r>
        <w:rPr>
          <w:rFonts w:ascii="Times New Roman" w:eastAsia="Times New Roman" w:hAnsi="Times New Roman" w:cs="Times New Roman"/>
          <w:sz w:val="24"/>
          <w:szCs w:val="24"/>
        </w:rPr>
        <w:t>Panameño,</w:t>
      </w:r>
      <w:proofErr w:type="gramEnd"/>
      <w:r>
        <w:rPr>
          <w:rFonts w:ascii="Times New Roman" w:eastAsia="Times New Roman" w:hAnsi="Times New Roman" w:cs="Times New Roman"/>
          <w:sz w:val="24"/>
          <w:szCs w:val="24"/>
        </w:rPr>
        <w:t xml:space="preserve"> declaró que tomaría medidas en torno a las recomendaciones de los Estados hermanos, tendientes a la adopción de una legislación que prohíba de forma clara, todas las formas de discriminación existentes en nuestro país</w:t>
      </w:r>
      <w:r>
        <w:rPr>
          <w:rFonts w:ascii="Times New Roman" w:eastAsia="Times New Roman" w:hAnsi="Times New Roman" w:cs="Times New Roman"/>
          <w:sz w:val="24"/>
          <w:szCs w:val="24"/>
        </w:rPr>
        <w:t>. Reconocemos que se trata de una propuesta de ley que apenas es un eslabón en el camino del reconocimiento de los derechos de las personas que manifiesten orientación sexual e identidad de género distinta y que no satisface todas las aspiraciones del grup</w:t>
      </w:r>
      <w:r>
        <w:rPr>
          <w:rFonts w:ascii="Times New Roman" w:eastAsia="Times New Roman" w:hAnsi="Times New Roman" w:cs="Times New Roman"/>
          <w:sz w:val="24"/>
          <w:szCs w:val="24"/>
        </w:rPr>
        <w:t xml:space="preserve">o de estas personas. No obstante, de ser acogida, ya que esta constituirá un gran avance legislativo porque contribuirá a prevenir y reprimir los actos de discriminación. Se trata, </w:t>
      </w:r>
      <w:proofErr w:type="gramStart"/>
      <w:r>
        <w:rPr>
          <w:rFonts w:ascii="Times New Roman" w:eastAsia="Times New Roman" w:hAnsi="Times New Roman" w:cs="Times New Roman"/>
          <w:sz w:val="24"/>
          <w:szCs w:val="24"/>
        </w:rPr>
        <w:t>sin lugar a dudas</w:t>
      </w:r>
      <w:proofErr w:type="gramEnd"/>
      <w:r>
        <w:rPr>
          <w:rFonts w:ascii="Times New Roman" w:eastAsia="Times New Roman" w:hAnsi="Times New Roman" w:cs="Times New Roman"/>
          <w:sz w:val="24"/>
          <w:szCs w:val="24"/>
        </w:rPr>
        <w:t>, de un desarrollo expansivo de los derechos y garantías f</w:t>
      </w:r>
      <w:r>
        <w:rPr>
          <w:rFonts w:ascii="Times New Roman" w:eastAsia="Times New Roman" w:hAnsi="Times New Roman" w:cs="Times New Roman"/>
          <w:sz w:val="24"/>
          <w:szCs w:val="24"/>
        </w:rPr>
        <w:t>undamentales reconocidos en la Constitución Política, en cuyo artículo 17, tales derechos se reconocen como mínimos a favor del respeto de la dignidad de la persona. Las organizaciones de sociedad civil tenemos más de quince años tratando de que esta propu</w:t>
      </w:r>
      <w:r>
        <w:rPr>
          <w:rFonts w:ascii="Times New Roman" w:eastAsia="Times New Roman" w:hAnsi="Times New Roman" w:cs="Times New Roman"/>
          <w:sz w:val="24"/>
          <w:szCs w:val="24"/>
        </w:rPr>
        <w:t xml:space="preserve">esta llegue a primer debate legislativo, sin </w:t>
      </w:r>
      <w:proofErr w:type="gramStart"/>
      <w:r>
        <w:rPr>
          <w:rFonts w:ascii="Times New Roman" w:eastAsia="Times New Roman" w:hAnsi="Times New Roman" w:cs="Times New Roman"/>
          <w:sz w:val="24"/>
          <w:szCs w:val="24"/>
        </w:rPr>
        <w:t>embargo</w:t>
      </w:r>
      <w:proofErr w:type="gramEnd"/>
      <w:r>
        <w:rPr>
          <w:rFonts w:ascii="Times New Roman" w:eastAsia="Times New Roman" w:hAnsi="Times New Roman" w:cs="Times New Roman"/>
          <w:sz w:val="24"/>
          <w:szCs w:val="24"/>
        </w:rPr>
        <w:t xml:space="preserve"> la falta de prioridad del estado panameño para reconocer los derechos de las personas de diversidad sexual es cada vez más evidente. </w:t>
      </w:r>
    </w:p>
    <w:p w14:paraId="575BB4E8" w14:textId="77777777" w:rsidR="00BF1A31" w:rsidRDefault="00BF1A31">
      <w:pPr>
        <w:jc w:val="both"/>
        <w:rPr>
          <w:rFonts w:ascii="Times New Roman" w:eastAsia="Times New Roman" w:hAnsi="Times New Roman" w:cs="Times New Roman"/>
          <w:sz w:val="24"/>
          <w:szCs w:val="24"/>
        </w:rPr>
      </w:pPr>
    </w:p>
    <w:p w14:paraId="743819B8" w14:textId="77777777" w:rsidR="00BF1A31" w:rsidRDefault="00F5799A">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 importante recalcar que por parte del estado panameño no existe </w:t>
      </w:r>
      <w:proofErr w:type="spellStart"/>
      <w:r>
        <w:rPr>
          <w:rFonts w:ascii="Times New Roman" w:eastAsia="Times New Roman" w:hAnsi="Times New Roman" w:cs="Times New Roman"/>
          <w:sz w:val="24"/>
          <w:szCs w:val="24"/>
        </w:rPr>
        <w:t>n</w:t>
      </w:r>
      <w:r>
        <w:rPr>
          <w:rFonts w:ascii="Times New Roman" w:eastAsia="Times New Roman" w:hAnsi="Times New Roman" w:cs="Times New Roman"/>
          <w:sz w:val="24"/>
          <w:szCs w:val="24"/>
        </w:rPr>
        <w:t>ingun</w:t>
      </w:r>
      <w:proofErr w:type="spellEnd"/>
      <w:r>
        <w:rPr>
          <w:rFonts w:ascii="Times New Roman" w:eastAsia="Times New Roman" w:hAnsi="Times New Roman" w:cs="Times New Roman"/>
          <w:sz w:val="24"/>
          <w:szCs w:val="24"/>
        </w:rPr>
        <w:t xml:space="preserve"> tipo de </w:t>
      </w:r>
      <w:r>
        <w:rPr>
          <w:rFonts w:ascii="Times New Roman" w:eastAsia="Times New Roman" w:hAnsi="Times New Roman" w:cs="Times New Roman"/>
          <w:sz w:val="24"/>
          <w:szCs w:val="24"/>
          <w:highlight w:val="white"/>
        </w:rPr>
        <w:t xml:space="preserve">reconocimiento por ley de los mismos derechos a las parejas del mismo sexo, que aquellos que se otorgan a las parejas heterosexuales en materia de protecciones y beneficios de la seguridad social, contratos civiles como el de matrimonio, por </w:t>
      </w:r>
      <w:r>
        <w:rPr>
          <w:rFonts w:ascii="Times New Roman" w:eastAsia="Times New Roman" w:hAnsi="Times New Roman" w:cs="Times New Roman"/>
          <w:sz w:val="24"/>
          <w:szCs w:val="24"/>
          <w:highlight w:val="white"/>
        </w:rPr>
        <w:t xml:space="preserve">lo que no tienen acceso a las protecciones patrimoniales mutuas del mismo. </w:t>
      </w:r>
    </w:p>
    <w:p w14:paraId="273FA833" w14:textId="77777777" w:rsidR="00BF1A31" w:rsidRDefault="00BF1A31">
      <w:pPr>
        <w:jc w:val="both"/>
        <w:rPr>
          <w:rFonts w:ascii="Times New Roman" w:eastAsia="Times New Roman" w:hAnsi="Times New Roman" w:cs="Times New Roman"/>
          <w:sz w:val="24"/>
          <w:szCs w:val="24"/>
          <w:highlight w:val="white"/>
        </w:rPr>
      </w:pPr>
    </w:p>
    <w:p w14:paraId="502465D9" w14:textId="77777777" w:rsidR="00BF1A31" w:rsidRDefault="00F5799A">
      <w:pPr>
        <w:numPr>
          <w:ilvl w:val="0"/>
          <w:numId w:val="4"/>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Expandiendo en materia legislativa insistimos en que el estado panameño debe incidir en el trato de la Policía Nacional a las personas trans que ejerzan el trabajo sexual, son rep</w:t>
      </w:r>
      <w:r>
        <w:rPr>
          <w:rFonts w:ascii="Times New Roman" w:eastAsia="Times New Roman" w:hAnsi="Times New Roman" w:cs="Times New Roman"/>
          <w:sz w:val="24"/>
          <w:szCs w:val="24"/>
          <w:highlight w:val="white"/>
        </w:rPr>
        <w:t>etitivas las situaciones en las cuales estas personas son extorsionadas por la fuerza policial panameña. Así mismo el trato diferenciado hacia personas LGBTIQ+ es notable por parte de la Policía que en muchos casos ejerce una discriminación hacia este grup</w:t>
      </w:r>
      <w:r>
        <w:rPr>
          <w:rFonts w:ascii="Times New Roman" w:eastAsia="Times New Roman" w:hAnsi="Times New Roman" w:cs="Times New Roman"/>
          <w:sz w:val="24"/>
          <w:szCs w:val="24"/>
          <w:highlight w:val="white"/>
        </w:rPr>
        <w:t>o humano.</w:t>
      </w:r>
    </w:p>
    <w:p w14:paraId="1F640DF3" w14:textId="77777777" w:rsidR="00BF1A31" w:rsidRDefault="00BF1A31">
      <w:pPr>
        <w:jc w:val="both"/>
        <w:rPr>
          <w:rFonts w:ascii="Times New Roman" w:eastAsia="Times New Roman" w:hAnsi="Times New Roman" w:cs="Times New Roman"/>
          <w:sz w:val="24"/>
          <w:szCs w:val="24"/>
          <w:highlight w:val="white"/>
        </w:rPr>
      </w:pPr>
    </w:p>
    <w:p w14:paraId="5C77EE21" w14:textId="77777777" w:rsidR="00BF1A31" w:rsidRDefault="00BF1A31">
      <w:pPr>
        <w:jc w:val="both"/>
        <w:rPr>
          <w:rFonts w:ascii="Times New Roman" w:eastAsia="Times New Roman" w:hAnsi="Times New Roman" w:cs="Times New Roman"/>
          <w:sz w:val="24"/>
          <w:szCs w:val="24"/>
          <w:highlight w:val="white"/>
        </w:rPr>
      </w:pPr>
    </w:p>
    <w:tbl>
      <w:tblPr>
        <w:tblStyle w:val="a9"/>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BF1A31" w14:paraId="4E48B54C" w14:textId="77777777">
        <w:tc>
          <w:tcPr>
            <w:tcW w:w="9029" w:type="dxa"/>
            <w:shd w:val="clear" w:color="auto" w:fill="auto"/>
            <w:tcMar>
              <w:top w:w="100" w:type="dxa"/>
              <w:left w:w="100" w:type="dxa"/>
              <w:bottom w:w="100" w:type="dxa"/>
              <w:right w:w="100" w:type="dxa"/>
            </w:tcMar>
          </w:tcPr>
          <w:p w14:paraId="7FF7536F" w14:textId="77777777" w:rsidR="00BF1A31" w:rsidRDefault="00F5799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Igualdad de derechos entre hombres y mujeres (art. 3)</w:t>
            </w:r>
          </w:p>
        </w:tc>
      </w:tr>
    </w:tbl>
    <w:p w14:paraId="565FF4B5" w14:textId="77777777" w:rsidR="00BF1A31" w:rsidRDefault="00BF1A31">
      <w:pPr>
        <w:jc w:val="both"/>
        <w:rPr>
          <w:rFonts w:ascii="Times New Roman" w:eastAsia="Times New Roman" w:hAnsi="Times New Roman" w:cs="Times New Roman"/>
          <w:sz w:val="24"/>
          <w:szCs w:val="24"/>
          <w:highlight w:val="white"/>
        </w:rPr>
      </w:pPr>
    </w:p>
    <w:p w14:paraId="3A3BA443" w14:textId="77777777" w:rsidR="00BF1A31" w:rsidRDefault="00F5799A">
      <w:pPr>
        <w:numPr>
          <w:ilvl w:val="0"/>
          <w:numId w:val="6"/>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La situación de desigualdad entre hombres y mujeres en Panamá es evidente tanto a nivel social y económico.  Panamá tiene una brecha de género del 74.3%, con este porcentaje situándose en </w:t>
      </w:r>
      <w:r>
        <w:rPr>
          <w:rFonts w:ascii="Times New Roman" w:eastAsia="Times New Roman" w:hAnsi="Times New Roman" w:cs="Times New Roman"/>
          <w:sz w:val="24"/>
          <w:szCs w:val="24"/>
          <w:highlight w:val="white"/>
        </w:rPr>
        <w:t xml:space="preserve">el puesto 40 del ranking mundial de la brecha de género según el “Índice de Brecha Global de Género del Foro Económico Mundial”. </w:t>
      </w:r>
      <w:r>
        <w:rPr>
          <w:rFonts w:ascii="Times New Roman" w:eastAsia="Times New Roman" w:hAnsi="Times New Roman" w:cs="Times New Roman"/>
          <w:sz w:val="24"/>
          <w:szCs w:val="24"/>
          <w:highlight w:val="white"/>
          <w:vertAlign w:val="superscript"/>
        </w:rPr>
        <w:footnoteReference w:id="4"/>
      </w:r>
      <w:r>
        <w:rPr>
          <w:rFonts w:ascii="Times New Roman" w:eastAsia="Times New Roman" w:hAnsi="Times New Roman" w:cs="Times New Roman"/>
          <w:sz w:val="24"/>
          <w:szCs w:val="24"/>
          <w:highlight w:val="white"/>
        </w:rPr>
        <w:t xml:space="preserve"> </w:t>
      </w:r>
    </w:p>
    <w:p w14:paraId="1D197662" w14:textId="77777777" w:rsidR="00BF1A31" w:rsidRDefault="00BF1A31">
      <w:pPr>
        <w:jc w:val="both"/>
        <w:rPr>
          <w:rFonts w:ascii="Times New Roman" w:eastAsia="Times New Roman" w:hAnsi="Times New Roman" w:cs="Times New Roman"/>
          <w:sz w:val="24"/>
          <w:szCs w:val="24"/>
          <w:highlight w:val="white"/>
        </w:rPr>
      </w:pPr>
    </w:p>
    <w:p w14:paraId="74DF517C" w14:textId="77777777" w:rsidR="00BF1A31" w:rsidRDefault="00F5799A">
      <w:pPr>
        <w:numPr>
          <w:ilvl w:val="0"/>
          <w:numId w:val="6"/>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Entre las mujeres y los hombres en el rango de edad entre los 15 y 24 años: en el 2017, este informe reporta que la tasa de participación laboral </w:t>
      </w:r>
      <w:proofErr w:type="gramStart"/>
      <w:r>
        <w:rPr>
          <w:rFonts w:ascii="Times New Roman" w:eastAsia="Times New Roman" w:hAnsi="Times New Roman" w:cs="Times New Roman"/>
          <w:sz w:val="24"/>
          <w:szCs w:val="24"/>
          <w:highlight w:val="white"/>
        </w:rPr>
        <w:t>de los hombre</w:t>
      </w:r>
      <w:proofErr w:type="gramEnd"/>
      <w:r>
        <w:rPr>
          <w:rFonts w:ascii="Times New Roman" w:eastAsia="Times New Roman" w:hAnsi="Times New Roman" w:cs="Times New Roman"/>
          <w:sz w:val="24"/>
          <w:szCs w:val="24"/>
          <w:highlight w:val="white"/>
        </w:rPr>
        <w:t xml:space="preserve"> era de 16.6 puntos más que la de las mujeres. Sin embargo, la brecha más alta se manifiesta en e</w:t>
      </w:r>
      <w:r>
        <w:rPr>
          <w:rFonts w:ascii="Times New Roman" w:eastAsia="Times New Roman" w:hAnsi="Times New Roman" w:cs="Times New Roman"/>
          <w:sz w:val="24"/>
          <w:szCs w:val="24"/>
          <w:highlight w:val="white"/>
        </w:rPr>
        <w:t xml:space="preserve">l </w:t>
      </w:r>
      <w:r>
        <w:rPr>
          <w:rFonts w:ascii="Times New Roman" w:eastAsia="Times New Roman" w:hAnsi="Times New Roman" w:cs="Times New Roman"/>
          <w:sz w:val="24"/>
          <w:szCs w:val="24"/>
          <w:highlight w:val="white"/>
        </w:rPr>
        <w:lastRenderedPageBreak/>
        <w:t xml:space="preserve">rango de edad entre los 20 </w:t>
      </w:r>
      <w:proofErr w:type="gramStart"/>
      <w:r>
        <w:rPr>
          <w:rFonts w:ascii="Times New Roman" w:eastAsia="Times New Roman" w:hAnsi="Times New Roman" w:cs="Times New Roman"/>
          <w:sz w:val="24"/>
          <w:szCs w:val="24"/>
          <w:highlight w:val="white"/>
        </w:rPr>
        <w:t>y  24</w:t>
      </w:r>
      <w:proofErr w:type="gramEnd"/>
      <w:r>
        <w:rPr>
          <w:rFonts w:ascii="Times New Roman" w:eastAsia="Times New Roman" w:hAnsi="Times New Roman" w:cs="Times New Roman"/>
          <w:sz w:val="24"/>
          <w:szCs w:val="24"/>
          <w:highlight w:val="white"/>
        </w:rPr>
        <w:t xml:space="preserve"> años, donde la tasa masculina era 30.7 puntos por encima: 82.7 en el caso de los hombres y 52 para las mujeres.</w:t>
      </w:r>
    </w:p>
    <w:p w14:paraId="3645F19E" w14:textId="77777777" w:rsidR="00BF1A31" w:rsidRDefault="00BF1A31">
      <w:pPr>
        <w:jc w:val="both"/>
        <w:rPr>
          <w:rFonts w:ascii="Times New Roman" w:eastAsia="Times New Roman" w:hAnsi="Times New Roman" w:cs="Times New Roman"/>
          <w:sz w:val="24"/>
          <w:szCs w:val="24"/>
          <w:highlight w:val="white"/>
        </w:rPr>
      </w:pPr>
    </w:p>
    <w:p w14:paraId="3452FFB5" w14:textId="77777777" w:rsidR="00BF1A31" w:rsidRDefault="00F5799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Con la afectación económica, la pérdida de empleo y la disminución de las fuentes de empleo debido a la cris</w:t>
      </w:r>
      <w:r>
        <w:rPr>
          <w:rFonts w:ascii="Times New Roman" w:eastAsia="Times New Roman" w:hAnsi="Times New Roman" w:cs="Times New Roman"/>
          <w:sz w:val="24"/>
          <w:szCs w:val="24"/>
          <w:highlight w:val="white"/>
        </w:rPr>
        <w:t xml:space="preserve">is de COVID-19 se puede estimar que durante 2020 esta brecha pudo haberse incrementado. Un aspecto a </w:t>
      </w:r>
      <w:proofErr w:type="gramStart"/>
      <w:r>
        <w:rPr>
          <w:rFonts w:ascii="Times New Roman" w:eastAsia="Times New Roman" w:hAnsi="Times New Roman" w:cs="Times New Roman"/>
          <w:sz w:val="24"/>
          <w:szCs w:val="24"/>
          <w:highlight w:val="white"/>
        </w:rPr>
        <w:t>destacar,</w:t>
      </w:r>
      <w:proofErr w:type="gramEnd"/>
      <w:r>
        <w:rPr>
          <w:rFonts w:ascii="Times New Roman" w:eastAsia="Times New Roman" w:hAnsi="Times New Roman" w:cs="Times New Roman"/>
          <w:sz w:val="24"/>
          <w:szCs w:val="24"/>
          <w:highlight w:val="white"/>
        </w:rPr>
        <w:t xml:space="preserve"> es el reportado por el informe de la CEPAL “La autonomía económica de las mujeres en la recuperación sostenible y con igualdad”, que indica que l</w:t>
      </w:r>
      <w:r>
        <w:rPr>
          <w:rFonts w:ascii="Times New Roman" w:eastAsia="Times New Roman" w:hAnsi="Times New Roman" w:cs="Times New Roman"/>
          <w:sz w:val="24"/>
          <w:szCs w:val="24"/>
          <w:highlight w:val="white"/>
        </w:rPr>
        <w:t>a brecha salarial entre los hombres y mujeres que trabajan en el sector salud es 32,9, siendo que los ingresos de las trabajadoras de la salud son mucho menor que el de los hombres que desempeñan la misma función.</w:t>
      </w:r>
      <w:r>
        <w:rPr>
          <w:rFonts w:ascii="Times New Roman" w:eastAsia="Times New Roman" w:hAnsi="Times New Roman" w:cs="Times New Roman"/>
          <w:sz w:val="24"/>
          <w:szCs w:val="24"/>
          <w:highlight w:val="white"/>
          <w:vertAlign w:val="superscript"/>
        </w:rPr>
        <w:footnoteReference w:id="5"/>
      </w:r>
    </w:p>
    <w:p w14:paraId="6F289D44" w14:textId="77777777" w:rsidR="00BF1A31" w:rsidRDefault="00BF1A31">
      <w:pPr>
        <w:jc w:val="both"/>
        <w:rPr>
          <w:rFonts w:ascii="Times New Roman" w:eastAsia="Times New Roman" w:hAnsi="Times New Roman" w:cs="Times New Roman"/>
          <w:color w:val="202124"/>
          <w:sz w:val="24"/>
          <w:szCs w:val="24"/>
          <w:highlight w:val="white"/>
        </w:rPr>
      </w:pPr>
    </w:p>
    <w:p w14:paraId="042623BB" w14:textId="77777777" w:rsidR="00BF1A31" w:rsidRDefault="00F5799A">
      <w:pPr>
        <w:numPr>
          <w:ilvl w:val="0"/>
          <w:numId w:val="6"/>
        </w:numPr>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 xml:space="preserve">La desigualdad en Panamá se refleja en </w:t>
      </w:r>
      <w:r>
        <w:rPr>
          <w:rFonts w:ascii="Times New Roman" w:eastAsia="Times New Roman" w:hAnsi="Times New Roman" w:cs="Times New Roman"/>
          <w:color w:val="202124"/>
          <w:sz w:val="24"/>
          <w:szCs w:val="24"/>
          <w:highlight w:val="white"/>
        </w:rPr>
        <w:t xml:space="preserve">el aspecto económico ya que el índice refleja cómo la mujer participa menos en el mercado laboral (48.3%) que los hombres (72.6%); a pesar de contar con mayor nivel educativo, ya que al 2019 las mujeres contaban con 12 años de escolaridad mientras que los </w:t>
      </w:r>
      <w:r>
        <w:rPr>
          <w:rFonts w:ascii="Times New Roman" w:eastAsia="Times New Roman" w:hAnsi="Times New Roman" w:cs="Times New Roman"/>
          <w:color w:val="202124"/>
          <w:sz w:val="24"/>
          <w:szCs w:val="24"/>
          <w:highlight w:val="white"/>
        </w:rPr>
        <w:t xml:space="preserve">hombres 11 años. Estas diferencias aumentan cuando analizamos el nivel universitario, ya que el 55% de las personas que se gradúan son mujeres. Sin embargo, estas no se encuentran laborando en los sectores mejor remunerados. </w:t>
      </w:r>
    </w:p>
    <w:p w14:paraId="4635714F" w14:textId="77777777" w:rsidR="00BF1A31" w:rsidRDefault="00BF1A31">
      <w:pPr>
        <w:jc w:val="both"/>
        <w:rPr>
          <w:rFonts w:ascii="Times New Roman" w:eastAsia="Times New Roman" w:hAnsi="Times New Roman" w:cs="Times New Roman"/>
          <w:color w:val="202124"/>
          <w:sz w:val="24"/>
          <w:szCs w:val="24"/>
          <w:highlight w:val="white"/>
        </w:rPr>
      </w:pPr>
    </w:p>
    <w:p w14:paraId="0B48BC45" w14:textId="77777777" w:rsidR="00BF1A31" w:rsidRDefault="00F5799A">
      <w:pPr>
        <w:numPr>
          <w:ilvl w:val="0"/>
          <w:numId w:val="6"/>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En el tema de salud sexual y </w:t>
      </w:r>
      <w:r>
        <w:rPr>
          <w:rFonts w:ascii="Times New Roman" w:eastAsia="Times New Roman" w:hAnsi="Times New Roman" w:cs="Times New Roman"/>
          <w:sz w:val="24"/>
          <w:szCs w:val="24"/>
          <w:highlight w:val="white"/>
        </w:rPr>
        <w:t xml:space="preserve">reproductiva, existe tratamiento desigual entre hombres y mujeres para acceder a procedimientos de esterilización en el sistema de salud pública. La ley 7 del 5 de </w:t>
      </w:r>
      <w:proofErr w:type="gramStart"/>
      <w:r>
        <w:rPr>
          <w:rFonts w:ascii="Times New Roman" w:eastAsia="Times New Roman" w:hAnsi="Times New Roman" w:cs="Times New Roman"/>
          <w:sz w:val="24"/>
          <w:szCs w:val="24"/>
          <w:highlight w:val="white"/>
        </w:rPr>
        <w:t>Marzo</w:t>
      </w:r>
      <w:proofErr w:type="gramEnd"/>
      <w:r>
        <w:rPr>
          <w:rFonts w:ascii="Times New Roman" w:eastAsia="Times New Roman" w:hAnsi="Times New Roman" w:cs="Times New Roman"/>
          <w:sz w:val="24"/>
          <w:szCs w:val="24"/>
          <w:highlight w:val="white"/>
        </w:rPr>
        <w:t xml:space="preserve"> del 2013</w:t>
      </w:r>
      <w:r>
        <w:rPr>
          <w:rFonts w:ascii="Times New Roman" w:eastAsia="Times New Roman" w:hAnsi="Times New Roman" w:cs="Times New Roman"/>
          <w:sz w:val="24"/>
          <w:szCs w:val="24"/>
          <w:highlight w:val="white"/>
          <w:vertAlign w:val="superscript"/>
        </w:rPr>
        <w:footnoteReference w:id="6"/>
      </w:r>
      <w:r>
        <w:rPr>
          <w:rFonts w:ascii="Times New Roman" w:eastAsia="Times New Roman" w:hAnsi="Times New Roman" w:cs="Times New Roman"/>
          <w:sz w:val="24"/>
          <w:szCs w:val="24"/>
          <w:highlight w:val="white"/>
        </w:rPr>
        <w:t xml:space="preserve"> “Que establece el marco regulatorio para la esterilización femenina” decret</w:t>
      </w:r>
      <w:r>
        <w:rPr>
          <w:rFonts w:ascii="Times New Roman" w:eastAsia="Times New Roman" w:hAnsi="Times New Roman" w:cs="Times New Roman"/>
          <w:sz w:val="24"/>
          <w:szCs w:val="24"/>
          <w:highlight w:val="white"/>
        </w:rPr>
        <w:t>a en su artículo 4 que “Las mujeres mayores de veintitrés años de edad y con dos hijos o más podrán solicitar a los centros de salud u hospitalarios del sector público del país la práctica gratuita de la esterilización siempre que cumplan los requisitos es</w:t>
      </w:r>
      <w:r>
        <w:rPr>
          <w:rFonts w:ascii="Times New Roman" w:eastAsia="Times New Roman" w:hAnsi="Times New Roman" w:cs="Times New Roman"/>
          <w:sz w:val="24"/>
          <w:szCs w:val="24"/>
          <w:highlight w:val="white"/>
        </w:rPr>
        <w:t xml:space="preserve">tablecidos en la presente Ley”. Por el contrario, esta ley concreta en su artículo 8 que los hombres a partir de los 18 años pueden acceder a la </w:t>
      </w:r>
      <w:r>
        <w:rPr>
          <w:rFonts w:ascii="Times New Roman" w:eastAsia="Times New Roman" w:hAnsi="Times New Roman" w:cs="Times New Roman"/>
          <w:color w:val="3C4043"/>
          <w:sz w:val="24"/>
          <w:szCs w:val="24"/>
          <w:highlight w:val="white"/>
        </w:rPr>
        <w:t>esterilización voluntaria en el sistema de salud pública</w:t>
      </w:r>
      <w:r>
        <w:rPr>
          <w:rFonts w:ascii="Times New Roman" w:eastAsia="Times New Roman" w:hAnsi="Times New Roman" w:cs="Times New Roman"/>
          <w:sz w:val="24"/>
          <w:szCs w:val="24"/>
          <w:highlight w:val="white"/>
        </w:rPr>
        <w:t>, de esta manera el Estado obliga a las mujeres a repro</w:t>
      </w:r>
      <w:r>
        <w:rPr>
          <w:rFonts w:ascii="Times New Roman" w:eastAsia="Times New Roman" w:hAnsi="Times New Roman" w:cs="Times New Roman"/>
          <w:sz w:val="24"/>
          <w:szCs w:val="24"/>
          <w:highlight w:val="white"/>
        </w:rPr>
        <w:t xml:space="preserve">ducirse, estableciendo claramente una diferencia legal que implica mayores requisitos para ellas y limita su acceso a servicios afectando su autonomía reproductiva. La discriminación anteriormente mencionada fue apoyada por la Corte Suprema de Justicia de </w:t>
      </w:r>
      <w:r>
        <w:rPr>
          <w:rFonts w:ascii="Times New Roman" w:eastAsia="Times New Roman" w:hAnsi="Times New Roman" w:cs="Times New Roman"/>
          <w:sz w:val="24"/>
          <w:szCs w:val="24"/>
          <w:highlight w:val="white"/>
        </w:rPr>
        <w:t>Panamá</w:t>
      </w:r>
      <w:r>
        <w:rPr>
          <w:rFonts w:ascii="Times New Roman" w:eastAsia="Times New Roman" w:hAnsi="Times New Roman" w:cs="Times New Roman"/>
          <w:sz w:val="24"/>
          <w:szCs w:val="24"/>
          <w:highlight w:val="white"/>
          <w:vertAlign w:val="superscript"/>
        </w:rPr>
        <w:footnoteReference w:id="7"/>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vertAlign w:val="superscript"/>
        </w:rPr>
        <w:footnoteReference w:id="8"/>
      </w:r>
    </w:p>
    <w:p w14:paraId="006B4B02" w14:textId="77777777" w:rsidR="00BF1A31" w:rsidRDefault="00BF1A31">
      <w:pPr>
        <w:jc w:val="both"/>
        <w:rPr>
          <w:rFonts w:ascii="Times New Roman" w:eastAsia="Times New Roman" w:hAnsi="Times New Roman" w:cs="Times New Roman"/>
          <w:sz w:val="24"/>
          <w:szCs w:val="24"/>
          <w:highlight w:val="white"/>
        </w:rPr>
      </w:pPr>
    </w:p>
    <w:p w14:paraId="2F293816" w14:textId="77777777" w:rsidR="00BF1A31" w:rsidRDefault="00F5799A">
      <w:pPr>
        <w:numPr>
          <w:ilvl w:val="0"/>
          <w:numId w:val="6"/>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El Perfil de Género presentado por el Sistema de Naciones Unidas en Panamá en marzo de 2021 </w:t>
      </w:r>
      <w:r>
        <w:rPr>
          <w:rFonts w:ascii="Times New Roman" w:eastAsia="Times New Roman" w:hAnsi="Times New Roman" w:cs="Times New Roman"/>
          <w:sz w:val="24"/>
          <w:szCs w:val="24"/>
          <w:highlight w:val="white"/>
          <w:vertAlign w:val="superscript"/>
        </w:rPr>
        <w:footnoteReference w:id="9"/>
      </w:r>
      <w:r>
        <w:rPr>
          <w:rFonts w:ascii="Times New Roman" w:eastAsia="Times New Roman" w:hAnsi="Times New Roman" w:cs="Times New Roman"/>
          <w:sz w:val="24"/>
          <w:szCs w:val="24"/>
          <w:highlight w:val="white"/>
        </w:rPr>
        <w:t xml:space="preserve">concluye que las mujeres, adolescentes y niñas en Panamá tienen mayores </w:t>
      </w:r>
      <w:r>
        <w:rPr>
          <w:rFonts w:ascii="Times New Roman" w:eastAsia="Times New Roman" w:hAnsi="Times New Roman" w:cs="Times New Roman"/>
          <w:sz w:val="24"/>
          <w:szCs w:val="24"/>
          <w:highlight w:val="white"/>
        </w:rPr>
        <w:lastRenderedPageBreak/>
        <w:t xml:space="preserve">niveles de vulnerabilidad frente a la violencia basada en género, y que han </w:t>
      </w:r>
      <w:r>
        <w:rPr>
          <w:rFonts w:ascii="Times New Roman" w:eastAsia="Times New Roman" w:hAnsi="Times New Roman" w:cs="Times New Roman"/>
          <w:sz w:val="24"/>
          <w:szCs w:val="24"/>
          <w:highlight w:val="white"/>
        </w:rPr>
        <w:t>visto afectadas áreas clave referidas al empoderamiento económico, la seguridad alimentaria, la participación y representatividad.</w:t>
      </w:r>
    </w:p>
    <w:p w14:paraId="5B596BD9" w14:textId="77777777" w:rsidR="00BF1A31" w:rsidRDefault="00BF1A31">
      <w:pPr>
        <w:jc w:val="both"/>
        <w:rPr>
          <w:rFonts w:ascii="Times New Roman" w:eastAsia="Times New Roman" w:hAnsi="Times New Roman" w:cs="Times New Roman"/>
          <w:sz w:val="24"/>
          <w:szCs w:val="24"/>
          <w:highlight w:val="white"/>
        </w:rPr>
      </w:pPr>
    </w:p>
    <w:p w14:paraId="108B5098" w14:textId="77777777" w:rsidR="00BF1A31" w:rsidRDefault="00F5799A">
      <w:pPr>
        <w:numPr>
          <w:ilvl w:val="0"/>
          <w:numId w:val="6"/>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Si bien la ley no otorga derechos distintos a hombres y mujeres en materia del proceso electoral, las asimetrías son tan pro</w:t>
      </w:r>
      <w:r>
        <w:rPr>
          <w:rFonts w:ascii="Times New Roman" w:eastAsia="Times New Roman" w:hAnsi="Times New Roman" w:cs="Times New Roman"/>
          <w:sz w:val="24"/>
          <w:szCs w:val="24"/>
          <w:highlight w:val="white"/>
        </w:rPr>
        <w:t>fundas, que resulta en una muy desigual representación de mujeres en puestos de elección popular. En las elecciones de 2009 las mujeres elegidas representaron el 11% de todos los puestos de elección por votación popular; en las elecciones de 2014 en número</w:t>
      </w:r>
      <w:r>
        <w:rPr>
          <w:rFonts w:ascii="Times New Roman" w:eastAsia="Times New Roman" w:hAnsi="Times New Roman" w:cs="Times New Roman"/>
          <w:sz w:val="24"/>
          <w:szCs w:val="24"/>
          <w:highlight w:val="white"/>
        </w:rPr>
        <w:t xml:space="preserve"> no aumentó y el 2019 fue el 12%. Este número refleja el pobre número de candidaturas de mujeres, con el agravante de que 51% de todas las personas inscritas en partidos políticos son mujeres. </w:t>
      </w:r>
    </w:p>
    <w:p w14:paraId="4B9F9077" w14:textId="77777777" w:rsidR="00BF1A31" w:rsidRDefault="00BF1A31">
      <w:pPr>
        <w:jc w:val="both"/>
        <w:rPr>
          <w:rFonts w:ascii="Times New Roman" w:eastAsia="Times New Roman" w:hAnsi="Times New Roman" w:cs="Times New Roman"/>
          <w:sz w:val="24"/>
          <w:szCs w:val="24"/>
          <w:highlight w:val="white"/>
        </w:rPr>
      </w:pPr>
    </w:p>
    <w:p w14:paraId="4375F661" w14:textId="77777777" w:rsidR="00BF1A31" w:rsidRDefault="00F5799A">
      <w:pPr>
        <w:numPr>
          <w:ilvl w:val="0"/>
          <w:numId w:val="6"/>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En Panamá, todavía se mantiene la atávica costumbre de que la</w:t>
      </w:r>
      <w:r>
        <w:rPr>
          <w:rFonts w:ascii="Times New Roman" w:eastAsia="Times New Roman" w:hAnsi="Times New Roman" w:cs="Times New Roman"/>
          <w:sz w:val="24"/>
          <w:szCs w:val="24"/>
          <w:highlight w:val="white"/>
        </w:rPr>
        <w:t xml:space="preserve">s adolescentes embarazadas tengan que retirarse de los centros de estudio, mientras </w:t>
      </w:r>
      <w:proofErr w:type="gramStart"/>
      <w:r>
        <w:rPr>
          <w:rFonts w:ascii="Times New Roman" w:eastAsia="Times New Roman" w:hAnsi="Times New Roman" w:cs="Times New Roman"/>
          <w:sz w:val="24"/>
          <w:szCs w:val="24"/>
          <w:highlight w:val="white"/>
        </w:rPr>
        <w:t>que</w:t>
      </w:r>
      <w:proofErr w:type="gramEnd"/>
      <w:r>
        <w:rPr>
          <w:rFonts w:ascii="Times New Roman" w:eastAsia="Times New Roman" w:hAnsi="Times New Roman" w:cs="Times New Roman"/>
          <w:sz w:val="24"/>
          <w:szCs w:val="24"/>
          <w:highlight w:val="white"/>
        </w:rPr>
        <w:t xml:space="preserve"> a los varones, cuando son padres adolescentes, no se les impone esta condición. Esto es realmente grave ya que en Panamá se registra una tasa de fecundidad de un 20% en</w:t>
      </w:r>
      <w:r>
        <w:rPr>
          <w:rFonts w:ascii="Times New Roman" w:eastAsia="Times New Roman" w:hAnsi="Times New Roman" w:cs="Times New Roman"/>
          <w:sz w:val="24"/>
          <w:szCs w:val="24"/>
          <w:highlight w:val="white"/>
        </w:rPr>
        <w:t xml:space="preserve"> adolescentes</w:t>
      </w:r>
      <w:r>
        <w:rPr>
          <w:rFonts w:ascii="Times New Roman" w:eastAsia="Times New Roman" w:hAnsi="Times New Roman" w:cs="Times New Roman"/>
          <w:sz w:val="24"/>
          <w:szCs w:val="24"/>
          <w:highlight w:val="white"/>
          <w:vertAlign w:val="superscript"/>
        </w:rPr>
        <w:footnoteReference w:id="10"/>
      </w:r>
      <w:r>
        <w:rPr>
          <w:rFonts w:ascii="Times New Roman" w:eastAsia="Times New Roman" w:hAnsi="Times New Roman" w:cs="Times New Roman"/>
          <w:sz w:val="24"/>
          <w:szCs w:val="24"/>
          <w:highlight w:val="white"/>
        </w:rPr>
        <w:t>.</w:t>
      </w:r>
    </w:p>
    <w:p w14:paraId="1F79B637" w14:textId="77777777" w:rsidR="00BF1A31" w:rsidRDefault="00BF1A31">
      <w:pPr>
        <w:jc w:val="both"/>
        <w:rPr>
          <w:rFonts w:ascii="Times New Roman" w:eastAsia="Times New Roman" w:hAnsi="Times New Roman" w:cs="Times New Roman"/>
          <w:sz w:val="24"/>
          <w:szCs w:val="24"/>
          <w:highlight w:val="white"/>
        </w:rPr>
      </w:pPr>
    </w:p>
    <w:p w14:paraId="1B5020B1" w14:textId="77777777" w:rsidR="00BF1A31" w:rsidRDefault="00F5799A">
      <w:p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Recomendaciones</w:t>
      </w:r>
    </w:p>
    <w:p w14:paraId="6C02EF6E" w14:textId="77777777" w:rsidR="00BF1A31" w:rsidRDefault="00BF1A31">
      <w:pPr>
        <w:jc w:val="both"/>
        <w:rPr>
          <w:rFonts w:ascii="Times New Roman" w:eastAsia="Times New Roman" w:hAnsi="Times New Roman" w:cs="Times New Roman"/>
          <w:sz w:val="24"/>
          <w:szCs w:val="24"/>
          <w:highlight w:val="white"/>
        </w:rPr>
      </w:pPr>
    </w:p>
    <w:p w14:paraId="47A83397" w14:textId="77777777" w:rsidR="00BF1A31" w:rsidRDefault="00F5799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Sugerimos al Comité revisar La ley 7 del 5 de </w:t>
      </w:r>
      <w:proofErr w:type="gramStart"/>
      <w:r>
        <w:rPr>
          <w:rFonts w:ascii="Times New Roman" w:eastAsia="Times New Roman" w:hAnsi="Times New Roman" w:cs="Times New Roman"/>
          <w:sz w:val="24"/>
          <w:szCs w:val="24"/>
          <w:highlight w:val="white"/>
        </w:rPr>
        <w:t>Marzo</w:t>
      </w:r>
      <w:proofErr w:type="gramEnd"/>
      <w:r>
        <w:rPr>
          <w:rFonts w:ascii="Times New Roman" w:eastAsia="Times New Roman" w:hAnsi="Times New Roman" w:cs="Times New Roman"/>
          <w:sz w:val="24"/>
          <w:szCs w:val="24"/>
          <w:highlight w:val="white"/>
        </w:rPr>
        <w:t xml:space="preserve"> del 2013 y modificar el artículo 4 de la misma.</w:t>
      </w:r>
    </w:p>
    <w:p w14:paraId="1ACFFF99" w14:textId="77777777" w:rsidR="00BF1A31" w:rsidRDefault="00BF1A31">
      <w:pPr>
        <w:jc w:val="both"/>
        <w:rPr>
          <w:rFonts w:ascii="Times New Roman" w:eastAsia="Times New Roman" w:hAnsi="Times New Roman" w:cs="Times New Roman"/>
          <w:sz w:val="24"/>
          <w:szCs w:val="24"/>
          <w:highlight w:val="white"/>
        </w:rPr>
      </w:pPr>
    </w:p>
    <w:p w14:paraId="388D5EF5" w14:textId="77777777" w:rsidR="00BF1A31" w:rsidRDefault="00BF1A31">
      <w:pPr>
        <w:jc w:val="both"/>
        <w:rPr>
          <w:rFonts w:ascii="Times New Roman" w:eastAsia="Times New Roman" w:hAnsi="Times New Roman" w:cs="Times New Roman"/>
          <w:sz w:val="24"/>
          <w:szCs w:val="24"/>
          <w:highlight w:val="white"/>
        </w:rPr>
      </w:pPr>
    </w:p>
    <w:tbl>
      <w:tblPr>
        <w:tblStyle w:val="a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BF1A31" w14:paraId="3EED8E66" w14:textId="77777777">
        <w:tc>
          <w:tcPr>
            <w:tcW w:w="9029" w:type="dxa"/>
            <w:shd w:val="clear" w:color="auto" w:fill="auto"/>
            <w:tcMar>
              <w:top w:w="100" w:type="dxa"/>
              <w:left w:w="100" w:type="dxa"/>
              <w:bottom w:w="100" w:type="dxa"/>
              <w:right w:w="100" w:type="dxa"/>
            </w:tcMar>
          </w:tcPr>
          <w:p w14:paraId="2280B6B2" w14:textId="77777777" w:rsidR="00BF1A31" w:rsidRDefault="00F5799A">
            <w:pPr>
              <w:widowControl w:val="0"/>
              <w:pBdr>
                <w:top w:val="nil"/>
                <w:left w:val="nil"/>
                <w:bottom w:val="nil"/>
                <w:right w:val="nil"/>
                <w:between w:val="nil"/>
              </w:pBdr>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Derecho a trabajar (art. 6)</w:t>
            </w:r>
          </w:p>
        </w:tc>
      </w:tr>
    </w:tbl>
    <w:p w14:paraId="3A7CC0B0" w14:textId="77777777" w:rsidR="00BF1A31" w:rsidRDefault="00BF1A31">
      <w:pPr>
        <w:jc w:val="both"/>
        <w:rPr>
          <w:rFonts w:ascii="Times New Roman" w:eastAsia="Times New Roman" w:hAnsi="Times New Roman" w:cs="Times New Roman"/>
          <w:sz w:val="24"/>
          <w:szCs w:val="24"/>
          <w:highlight w:val="white"/>
        </w:rPr>
      </w:pPr>
    </w:p>
    <w:p w14:paraId="5EF8ED69" w14:textId="77777777" w:rsidR="00BF1A31" w:rsidRDefault="00F5799A">
      <w:pPr>
        <w:numPr>
          <w:ilvl w:val="0"/>
          <w:numId w:val="5"/>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 pesar de que Panamá cuenta con una ley que prohíbe la discriminación laboral, esta no incluye en ninguna parte a las personas de diversidad sexual. La “Ley 11 De 22 de abril de 2005 Que prohíbe la discriminación laboral y adopta otras medidas”</w:t>
      </w:r>
      <w:r>
        <w:rPr>
          <w:rFonts w:ascii="Times New Roman" w:eastAsia="Times New Roman" w:hAnsi="Times New Roman" w:cs="Times New Roman"/>
          <w:sz w:val="24"/>
          <w:szCs w:val="24"/>
          <w:highlight w:val="white"/>
          <w:vertAlign w:val="superscript"/>
        </w:rPr>
        <w:footnoteReference w:id="11"/>
      </w:r>
      <w:r>
        <w:rPr>
          <w:rFonts w:ascii="Times New Roman" w:eastAsia="Times New Roman" w:hAnsi="Times New Roman" w:cs="Times New Roman"/>
          <w:sz w:val="24"/>
          <w:szCs w:val="24"/>
          <w:highlight w:val="white"/>
        </w:rPr>
        <w:t xml:space="preserve"> en su ar</w:t>
      </w:r>
      <w:r>
        <w:rPr>
          <w:rFonts w:ascii="Times New Roman" w:eastAsia="Times New Roman" w:hAnsi="Times New Roman" w:cs="Times New Roman"/>
          <w:sz w:val="24"/>
          <w:szCs w:val="24"/>
          <w:highlight w:val="white"/>
        </w:rPr>
        <w:t>tículo 1 establece “Se prohíbe la discriminación laboral, por razones de raza, nacimiento, discapacidad, clase social, sexo, religión o ideas políticas.” resultando que las personas de diversidad sexual no tengan protección alguna ante la discriminación en</w:t>
      </w:r>
      <w:r>
        <w:rPr>
          <w:rFonts w:ascii="Times New Roman" w:eastAsia="Times New Roman" w:hAnsi="Times New Roman" w:cs="Times New Roman"/>
          <w:sz w:val="24"/>
          <w:szCs w:val="24"/>
          <w:highlight w:val="white"/>
        </w:rPr>
        <w:t xml:space="preserve"> el entorno laboral. </w:t>
      </w:r>
    </w:p>
    <w:p w14:paraId="0EB8CE4F" w14:textId="77777777" w:rsidR="00BF1A31" w:rsidRDefault="00BF1A31">
      <w:pPr>
        <w:jc w:val="both"/>
        <w:rPr>
          <w:rFonts w:ascii="Times New Roman" w:eastAsia="Times New Roman" w:hAnsi="Times New Roman" w:cs="Times New Roman"/>
          <w:sz w:val="24"/>
          <w:szCs w:val="24"/>
          <w:highlight w:val="white"/>
        </w:rPr>
      </w:pPr>
    </w:p>
    <w:p w14:paraId="62CF5529" w14:textId="77777777" w:rsidR="00BF1A31" w:rsidRDefault="00F5799A">
      <w:pPr>
        <w:numPr>
          <w:ilvl w:val="0"/>
          <w:numId w:val="5"/>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Según un estudio realizado por el portal de empleos Konzerta.com sobre la diversidad sexual en el ámbito laboral, el 32% de los panameños encuestados mencionan haber sufrido discriminación en el trabajo a causa de su orientación sexu</w:t>
      </w:r>
      <w:r>
        <w:rPr>
          <w:rFonts w:ascii="Times New Roman" w:eastAsia="Times New Roman" w:hAnsi="Times New Roman" w:cs="Times New Roman"/>
          <w:sz w:val="24"/>
          <w:szCs w:val="24"/>
          <w:highlight w:val="white"/>
        </w:rPr>
        <w:t>al.</w:t>
      </w:r>
      <w:r>
        <w:rPr>
          <w:rFonts w:ascii="Times New Roman" w:eastAsia="Times New Roman" w:hAnsi="Times New Roman" w:cs="Times New Roman"/>
          <w:sz w:val="24"/>
          <w:szCs w:val="24"/>
          <w:highlight w:val="white"/>
          <w:vertAlign w:val="superscript"/>
        </w:rPr>
        <w:footnoteReference w:id="12"/>
      </w:r>
      <w:r>
        <w:rPr>
          <w:rFonts w:ascii="Times New Roman" w:eastAsia="Times New Roman" w:hAnsi="Times New Roman" w:cs="Times New Roman"/>
          <w:sz w:val="24"/>
          <w:szCs w:val="24"/>
          <w:highlight w:val="white"/>
        </w:rPr>
        <w:t xml:space="preserve"> Mientras tanto, el 18% recalcó que recibió discriminación a motivo de su edad, el 7% estableció que se </w:t>
      </w:r>
      <w:r>
        <w:rPr>
          <w:rFonts w:ascii="Times New Roman" w:eastAsia="Times New Roman" w:hAnsi="Times New Roman" w:cs="Times New Roman"/>
          <w:sz w:val="24"/>
          <w:szCs w:val="24"/>
          <w:highlight w:val="white"/>
        </w:rPr>
        <w:lastRenderedPageBreak/>
        <w:t>debido a su género, el otro 7% afirmó que la causa fue su color de piel. Es clave resaltar que un 20% mencionó que tuvo que ocultar su identidad de</w:t>
      </w:r>
      <w:r>
        <w:rPr>
          <w:rFonts w:ascii="Times New Roman" w:eastAsia="Times New Roman" w:hAnsi="Times New Roman" w:cs="Times New Roman"/>
          <w:sz w:val="24"/>
          <w:szCs w:val="24"/>
          <w:highlight w:val="white"/>
        </w:rPr>
        <w:t xml:space="preserve"> género por miedo a ser discriminado o a inclusive perder su empleo.  </w:t>
      </w:r>
    </w:p>
    <w:p w14:paraId="4702E308" w14:textId="77777777" w:rsidR="00BF1A31" w:rsidRDefault="00BF1A31">
      <w:pPr>
        <w:jc w:val="both"/>
        <w:rPr>
          <w:rFonts w:ascii="Times New Roman" w:eastAsia="Times New Roman" w:hAnsi="Times New Roman" w:cs="Times New Roman"/>
          <w:sz w:val="24"/>
          <w:szCs w:val="24"/>
          <w:highlight w:val="white"/>
        </w:rPr>
      </w:pPr>
    </w:p>
    <w:p w14:paraId="54CC7B47" w14:textId="77777777" w:rsidR="00BF1A31" w:rsidRDefault="00BF1A31">
      <w:pPr>
        <w:jc w:val="both"/>
        <w:rPr>
          <w:rFonts w:ascii="Times New Roman" w:eastAsia="Times New Roman" w:hAnsi="Times New Roman" w:cs="Times New Roman"/>
          <w:b/>
          <w:sz w:val="24"/>
          <w:szCs w:val="24"/>
          <w:highlight w:val="white"/>
        </w:rPr>
      </w:pPr>
    </w:p>
    <w:p w14:paraId="43A236AC" w14:textId="77777777" w:rsidR="00BF1A31" w:rsidRDefault="00BF1A31">
      <w:pPr>
        <w:jc w:val="both"/>
        <w:rPr>
          <w:rFonts w:ascii="Times New Roman" w:eastAsia="Times New Roman" w:hAnsi="Times New Roman" w:cs="Times New Roman"/>
          <w:b/>
          <w:sz w:val="24"/>
          <w:szCs w:val="24"/>
          <w:highlight w:val="white"/>
        </w:rPr>
      </w:pPr>
    </w:p>
    <w:tbl>
      <w:tblPr>
        <w:tblStyle w:val="ab"/>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BF1A31" w14:paraId="5AD69F6B" w14:textId="77777777">
        <w:tc>
          <w:tcPr>
            <w:tcW w:w="9029" w:type="dxa"/>
            <w:shd w:val="clear" w:color="auto" w:fill="auto"/>
            <w:tcMar>
              <w:top w:w="100" w:type="dxa"/>
              <w:left w:w="100" w:type="dxa"/>
              <w:bottom w:w="100" w:type="dxa"/>
              <w:right w:w="100" w:type="dxa"/>
            </w:tcMar>
          </w:tcPr>
          <w:p w14:paraId="41184332" w14:textId="77777777" w:rsidR="00BF1A31" w:rsidRDefault="00F5799A">
            <w:pPr>
              <w:widowControl w:val="0"/>
              <w:pBdr>
                <w:top w:val="nil"/>
                <w:left w:val="nil"/>
                <w:bottom w:val="nil"/>
                <w:right w:val="nil"/>
                <w:between w:val="nil"/>
              </w:pBdr>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Protección de la familia y el niño (art. 10)</w:t>
            </w:r>
          </w:p>
        </w:tc>
      </w:tr>
    </w:tbl>
    <w:p w14:paraId="76AEA5EF" w14:textId="77777777" w:rsidR="00BF1A31" w:rsidRDefault="00BF1A31">
      <w:pPr>
        <w:jc w:val="both"/>
        <w:rPr>
          <w:rFonts w:ascii="Times New Roman" w:eastAsia="Times New Roman" w:hAnsi="Times New Roman" w:cs="Times New Roman"/>
          <w:sz w:val="24"/>
          <w:szCs w:val="24"/>
          <w:highlight w:val="white"/>
        </w:rPr>
      </w:pPr>
    </w:p>
    <w:p w14:paraId="2520A867" w14:textId="77777777" w:rsidR="00BF1A31" w:rsidRDefault="00BF1A31">
      <w:pPr>
        <w:jc w:val="both"/>
        <w:rPr>
          <w:rFonts w:ascii="Times New Roman" w:eastAsia="Times New Roman" w:hAnsi="Times New Roman" w:cs="Times New Roman"/>
          <w:sz w:val="24"/>
          <w:szCs w:val="24"/>
          <w:highlight w:val="white"/>
        </w:rPr>
      </w:pPr>
    </w:p>
    <w:p w14:paraId="70E94484" w14:textId="77777777" w:rsidR="00BF1A31" w:rsidRDefault="00F5799A">
      <w:pPr>
        <w:numPr>
          <w:ilvl w:val="0"/>
          <w:numId w:val="3"/>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En Panamá según datos de la Contraloría General de la Nación en el 2020 se registraron 392 nacimientos de niños vivos en mujeres menores de 15 años. Particularmente, en el 2021 una niña de 8 años luego de ser violada por su tío, el Gobierno no le permitió </w:t>
      </w:r>
      <w:r>
        <w:rPr>
          <w:rFonts w:ascii="Times New Roman" w:eastAsia="Times New Roman" w:hAnsi="Times New Roman" w:cs="Times New Roman"/>
          <w:sz w:val="24"/>
          <w:szCs w:val="24"/>
          <w:highlight w:val="white"/>
        </w:rPr>
        <w:t>interrumpir el embarazo, ya que los “facultativos médicos que hicieron las evaluaciones determinaron el avanzado estado de embarazo y recomendaron no hacer un aborto terapéutico.”</w:t>
      </w:r>
      <w:r>
        <w:rPr>
          <w:rFonts w:ascii="Times New Roman" w:eastAsia="Times New Roman" w:hAnsi="Times New Roman" w:cs="Times New Roman"/>
          <w:sz w:val="24"/>
          <w:szCs w:val="24"/>
          <w:highlight w:val="white"/>
          <w:vertAlign w:val="superscript"/>
        </w:rPr>
        <w:footnoteReference w:id="13"/>
      </w:r>
      <w:r>
        <w:rPr>
          <w:rFonts w:ascii="Times New Roman" w:eastAsia="Times New Roman" w:hAnsi="Times New Roman" w:cs="Times New Roman"/>
          <w:sz w:val="24"/>
          <w:szCs w:val="24"/>
          <w:highlight w:val="white"/>
        </w:rPr>
        <w:t xml:space="preserve"> </w:t>
      </w:r>
    </w:p>
    <w:p w14:paraId="3FF678A2" w14:textId="77777777" w:rsidR="00BF1A31" w:rsidRDefault="00BF1A31">
      <w:pPr>
        <w:jc w:val="both"/>
        <w:rPr>
          <w:rFonts w:ascii="Times New Roman" w:eastAsia="Times New Roman" w:hAnsi="Times New Roman" w:cs="Times New Roman"/>
          <w:sz w:val="24"/>
          <w:szCs w:val="24"/>
          <w:highlight w:val="white"/>
        </w:rPr>
      </w:pPr>
    </w:p>
    <w:p w14:paraId="6D7EC247" w14:textId="77777777" w:rsidR="00BF1A31" w:rsidRDefault="00F5799A">
      <w:pPr>
        <w:numPr>
          <w:ilvl w:val="0"/>
          <w:numId w:val="3"/>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Según la Convención sobre los Derechos del Niño; todo niño(a) tiene Dere</w:t>
      </w:r>
      <w:r>
        <w:rPr>
          <w:rFonts w:ascii="Times New Roman" w:eastAsia="Times New Roman" w:hAnsi="Times New Roman" w:cs="Times New Roman"/>
          <w:sz w:val="24"/>
          <w:szCs w:val="24"/>
          <w:highlight w:val="white"/>
        </w:rPr>
        <w:t xml:space="preserve">cho a no ser separado de su familia; sin embargo, Panamá al no reconocer las familias </w:t>
      </w:r>
      <w:proofErr w:type="spellStart"/>
      <w:r>
        <w:rPr>
          <w:rFonts w:ascii="Times New Roman" w:eastAsia="Times New Roman" w:hAnsi="Times New Roman" w:cs="Times New Roman"/>
          <w:sz w:val="24"/>
          <w:szCs w:val="24"/>
          <w:highlight w:val="white"/>
        </w:rPr>
        <w:t>Lesbomaternales</w:t>
      </w:r>
      <w:proofErr w:type="spellEnd"/>
      <w:r>
        <w:rPr>
          <w:rFonts w:ascii="Times New Roman" w:eastAsia="Times New Roman" w:hAnsi="Times New Roman" w:cs="Times New Roman"/>
          <w:sz w:val="24"/>
          <w:szCs w:val="24"/>
          <w:highlight w:val="white"/>
        </w:rPr>
        <w:t xml:space="preserve"> o Homoparentales, ha incurrido en distintas ocasiones en la separación familias diversas Refugiadas o Migrantes, así como en solicitarle a una de las part</w:t>
      </w:r>
      <w:r>
        <w:rPr>
          <w:rFonts w:ascii="Times New Roman" w:eastAsia="Times New Roman" w:hAnsi="Times New Roman" w:cs="Times New Roman"/>
          <w:sz w:val="24"/>
          <w:szCs w:val="24"/>
          <w:highlight w:val="white"/>
        </w:rPr>
        <w:t xml:space="preserve">es renunciar a su patria potestad. Panamá no reconoce el certificado de nacimiento de </w:t>
      </w:r>
      <w:proofErr w:type="gramStart"/>
      <w:r>
        <w:rPr>
          <w:rFonts w:ascii="Times New Roman" w:eastAsia="Times New Roman" w:hAnsi="Times New Roman" w:cs="Times New Roman"/>
          <w:sz w:val="24"/>
          <w:szCs w:val="24"/>
          <w:highlight w:val="white"/>
        </w:rPr>
        <w:t>los niños y niñas</w:t>
      </w:r>
      <w:proofErr w:type="gramEnd"/>
      <w:r>
        <w:rPr>
          <w:rFonts w:ascii="Times New Roman" w:eastAsia="Times New Roman" w:hAnsi="Times New Roman" w:cs="Times New Roman"/>
          <w:sz w:val="24"/>
          <w:szCs w:val="24"/>
          <w:highlight w:val="white"/>
        </w:rPr>
        <w:t xml:space="preserve"> cuya acta de nacimiento reconozca que es hijo de dos madres o dos padres. El estado panameño obliga a que uno de los padres renuncie a la potestad, lo c</w:t>
      </w:r>
      <w:r>
        <w:rPr>
          <w:rFonts w:ascii="Times New Roman" w:eastAsia="Times New Roman" w:hAnsi="Times New Roman" w:cs="Times New Roman"/>
          <w:sz w:val="24"/>
          <w:szCs w:val="24"/>
          <w:highlight w:val="white"/>
        </w:rPr>
        <w:t>ual atenta directamente contra la declaración universal de derechos del niño y la niña a tener una familia sin ningún tipo de discriminación. En los centros escolares no se permite que, en caso de familias homoparentales, ambas personas sean acudientes o r</w:t>
      </w:r>
      <w:r>
        <w:rPr>
          <w:rFonts w:ascii="Times New Roman" w:eastAsia="Times New Roman" w:hAnsi="Times New Roman" w:cs="Times New Roman"/>
          <w:sz w:val="24"/>
          <w:szCs w:val="24"/>
          <w:highlight w:val="white"/>
        </w:rPr>
        <w:t>esponsables de sus hijos. Se les exige que únicamente se reconozca a uno de los dos como padre o madre.</w:t>
      </w:r>
    </w:p>
    <w:p w14:paraId="32F01F6C" w14:textId="77777777" w:rsidR="00BF1A31" w:rsidRDefault="00BF1A31">
      <w:pPr>
        <w:jc w:val="both"/>
        <w:rPr>
          <w:rFonts w:ascii="Times New Roman" w:eastAsia="Times New Roman" w:hAnsi="Times New Roman" w:cs="Times New Roman"/>
          <w:sz w:val="24"/>
          <w:szCs w:val="24"/>
          <w:highlight w:val="white"/>
        </w:rPr>
      </w:pPr>
    </w:p>
    <w:p w14:paraId="40F22F00" w14:textId="77777777" w:rsidR="00BF1A31" w:rsidRDefault="00BF1A31">
      <w:pPr>
        <w:jc w:val="both"/>
        <w:rPr>
          <w:rFonts w:ascii="Times New Roman" w:eastAsia="Times New Roman" w:hAnsi="Times New Roman" w:cs="Times New Roman"/>
          <w:sz w:val="24"/>
          <w:szCs w:val="24"/>
          <w:highlight w:val="white"/>
        </w:rPr>
      </w:pPr>
    </w:p>
    <w:p w14:paraId="2601F8C1" w14:textId="77777777" w:rsidR="00BF1A31" w:rsidRDefault="00F5799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Recomendaciones:</w:t>
      </w:r>
    </w:p>
    <w:p w14:paraId="34B0D137" w14:textId="77777777" w:rsidR="00BF1A31" w:rsidRDefault="00BF1A31">
      <w:pPr>
        <w:jc w:val="both"/>
        <w:rPr>
          <w:rFonts w:ascii="Times New Roman" w:eastAsia="Times New Roman" w:hAnsi="Times New Roman" w:cs="Times New Roman"/>
          <w:sz w:val="24"/>
          <w:szCs w:val="24"/>
          <w:highlight w:val="white"/>
        </w:rPr>
      </w:pPr>
    </w:p>
    <w:p w14:paraId="7E57014B" w14:textId="77777777" w:rsidR="00BF1A31" w:rsidRDefault="00F5799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Recomendamos </w:t>
      </w:r>
      <w:proofErr w:type="gramStart"/>
      <w:r>
        <w:rPr>
          <w:rFonts w:ascii="Times New Roman" w:eastAsia="Times New Roman" w:hAnsi="Times New Roman" w:cs="Times New Roman"/>
          <w:sz w:val="24"/>
          <w:szCs w:val="24"/>
          <w:highlight w:val="white"/>
        </w:rPr>
        <w:t>que</w:t>
      </w:r>
      <w:proofErr w:type="gramEnd"/>
      <w:r>
        <w:rPr>
          <w:rFonts w:ascii="Times New Roman" w:eastAsia="Times New Roman" w:hAnsi="Times New Roman" w:cs="Times New Roman"/>
          <w:sz w:val="24"/>
          <w:szCs w:val="24"/>
          <w:highlight w:val="white"/>
        </w:rPr>
        <w:t xml:space="preserve"> en el caso de violación de menores de 12 años, debe permitirse que se realice la interrupción del embarazo por lo m</w:t>
      </w:r>
      <w:r>
        <w:rPr>
          <w:rFonts w:ascii="Times New Roman" w:eastAsia="Times New Roman" w:hAnsi="Times New Roman" w:cs="Times New Roman"/>
          <w:sz w:val="24"/>
          <w:szCs w:val="24"/>
          <w:highlight w:val="white"/>
        </w:rPr>
        <w:t>enos hasta las 16 semanas de embarazo.</w:t>
      </w:r>
    </w:p>
    <w:p w14:paraId="6AD9A409" w14:textId="77777777" w:rsidR="00BF1A31" w:rsidRDefault="00BF1A31">
      <w:pPr>
        <w:jc w:val="both"/>
        <w:rPr>
          <w:rFonts w:ascii="Times New Roman" w:eastAsia="Times New Roman" w:hAnsi="Times New Roman" w:cs="Times New Roman"/>
          <w:sz w:val="24"/>
          <w:szCs w:val="24"/>
          <w:highlight w:val="white"/>
        </w:rPr>
      </w:pPr>
    </w:p>
    <w:p w14:paraId="3A76EEF9" w14:textId="77777777" w:rsidR="00BF1A31" w:rsidRDefault="00F5799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En el caso de los centros escolares exigimos que las familiares homoparentales puedan fungir ambos como acudientes. </w:t>
      </w:r>
    </w:p>
    <w:p w14:paraId="7FBA8A1D" w14:textId="77777777" w:rsidR="00BF1A31" w:rsidRDefault="00BF1A31">
      <w:pPr>
        <w:jc w:val="both"/>
        <w:rPr>
          <w:rFonts w:ascii="Times New Roman" w:eastAsia="Times New Roman" w:hAnsi="Times New Roman" w:cs="Times New Roman"/>
          <w:sz w:val="24"/>
          <w:szCs w:val="24"/>
          <w:highlight w:val="white"/>
        </w:rPr>
      </w:pPr>
    </w:p>
    <w:p w14:paraId="32517B90" w14:textId="77777777" w:rsidR="00BF1A31" w:rsidRDefault="00BF1A31">
      <w:pPr>
        <w:jc w:val="both"/>
        <w:rPr>
          <w:rFonts w:ascii="Times New Roman" w:eastAsia="Times New Roman" w:hAnsi="Times New Roman" w:cs="Times New Roman"/>
          <w:sz w:val="24"/>
          <w:szCs w:val="24"/>
          <w:highlight w:val="white"/>
        </w:rPr>
      </w:pPr>
    </w:p>
    <w:p w14:paraId="7AFE150E" w14:textId="77777777" w:rsidR="00BF1A31" w:rsidRDefault="00BF1A31">
      <w:pPr>
        <w:jc w:val="both"/>
        <w:rPr>
          <w:rFonts w:ascii="Times New Roman" w:eastAsia="Times New Roman" w:hAnsi="Times New Roman" w:cs="Times New Roman"/>
          <w:sz w:val="24"/>
          <w:szCs w:val="24"/>
          <w:highlight w:val="white"/>
        </w:rPr>
      </w:pPr>
    </w:p>
    <w:tbl>
      <w:tblPr>
        <w:tblStyle w:val="ac"/>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BF1A31" w14:paraId="1C4BE00E" w14:textId="77777777">
        <w:trPr>
          <w:trHeight w:val="500"/>
        </w:trPr>
        <w:tc>
          <w:tcPr>
            <w:tcW w:w="9029" w:type="dxa"/>
            <w:shd w:val="clear" w:color="auto" w:fill="auto"/>
            <w:tcMar>
              <w:top w:w="100" w:type="dxa"/>
              <w:left w:w="100" w:type="dxa"/>
              <w:bottom w:w="100" w:type="dxa"/>
              <w:right w:w="100" w:type="dxa"/>
            </w:tcMar>
          </w:tcPr>
          <w:p w14:paraId="007AC0D0" w14:textId="77777777" w:rsidR="00BF1A31" w:rsidRDefault="00BF1A31">
            <w:pPr>
              <w:jc w:val="both"/>
              <w:rPr>
                <w:rFonts w:ascii="Times New Roman" w:eastAsia="Times New Roman" w:hAnsi="Times New Roman" w:cs="Times New Roman"/>
                <w:b/>
                <w:sz w:val="24"/>
                <w:szCs w:val="24"/>
              </w:rPr>
            </w:pPr>
          </w:p>
          <w:p w14:paraId="00438F75" w14:textId="77777777" w:rsidR="00BF1A31" w:rsidRDefault="00BF1A31">
            <w:pPr>
              <w:jc w:val="both"/>
              <w:rPr>
                <w:rFonts w:ascii="Times New Roman" w:eastAsia="Times New Roman" w:hAnsi="Times New Roman" w:cs="Times New Roman"/>
                <w:b/>
                <w:sz w:val="24"/>
                <w:szCs w:val="24"/>
              </w:rPr>
            </w:pPr>
          </w:p>
          <w:p w14:paraId="3AE32F35" w14:textId="77777777" w:rsidR="00BF1A31" w:rsidRDefault="00F5799A">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Derecho a la salud física y mental (art. 12)</w:t>
            </w:r>
          </w:p>
          <w:p w14:paraId="3896CFF8" w14:textId="77777777" w:rsidR="00BF1A31" w:rsidRDefault="00BF1A31">
            <w:pPr>
              <w:jc w:val="both"/>
              <w:rPr>
                <w:rFonts w:ascii="Times New Roman" w:eastAsia="Times New Roman" w:hAnsi="Times New Roman" w:cs="Times New Roman"/>
                <w:b/>
                <w:sz w:val="24"/>
                <w:szCs w:val="24"/>
              </w:rPr>
            </w:pPr>
          </w:p>
          <w:p w14:paraId="0CB524A7" w14:textId="77777777" w:rsidR="00BF1A31" w:rsidRDefault="00BF1A31">
            <w:pPr>
              <w:jc w:val="both"/>
              <w:rPr>
                <w:rFonts w:ascii="Times New Roman" w:eastAsia="Times New Roman" w:hAnsi="Times New Roman" w:cs="Times New Roman"/>
                <w:b/>
                <w:sz w:val="24"/>
                <w:szCs w:val="24"/>
              </w:rPr>
            </w:pPr>
          </w:p>
        </w:tc>
      </w:tr>
    </w:tbl>
    <w:p w14:paraId="25DF3435" w14:textId="77777777" w:rsidR="00BF1A31" w:rsidRDefault="00BF1A31">
      <w:pPr>
        <w:jc w:val="both"/>
        <w:rPr>
          <w:rFonts w:ascii="Times New Roman" w:eastAsia="Times New Roman" w:hAnsi="Times New Roman" w:cs="Times New Roman"/>
          <w:sz w:val="24"/>
          <w:szCs w:val="24"/>
          <w:highlight w:val="white"/>
        </w:rPr>
      </w:pPr>
    </w:p>
    <w:p w14:paraId="7EE294CA" w14:textId="77777777" w:rsidR="00BF1A31" w:rsidRDefault="00BF1A31">
      <w:pPr>
        <w:jc w:val="both"/>
        <w:rPr>
          <w:rFonts w:ascii="Times New Roman" w:eastAsia="Times New Roman" w:hAnsi="Times New Roman" w:cs="Times New Roman"/>
          <w:sz w:val="24"/>
          <w:szCs w:val="24"/>
          <w:highlight w:val="white"/>
        </w:rPr>
      </w:pPr>
    </w:p>
    <w:p w14:paraId="55730AC8" w14:textId="77777777" w:rsidR="00BF1A31" w:rsidRDefault="00F5799A">
      <w:pPr>
        <w:numPr>
          <w:ilvl w:val="0"/>
          <w:numId w:val="1"/>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En Panamá el acceso a la salud física y mental se ha convertido en un privilegio, a </w:t>
      </w:r>
      <w:r>
        <w:rPr>
          <w:rFonts w:ascii="Times New Roman" w:eastAsia="Times New Roman" w:hAnsi="Times New Roman" w:cs="Times New Roman"/>
          <w:sz w:val="24"/>
          <w:szCs w:val="24"/>
          <w:highlight w:val="white"/>
        </w:rPr>
        <w:t>pesar de que contamos con un sistema de salud público que debe ser accesible para todos los panameños. En la temática de salud mental se ha reportado que más del 10% de los panameños tienen algún trastorno mental sin diagnosticar.</w:t>
      </w:r>
      <w:r>
        <w:rPr>
          <w:rFonts w:ascii="Times New Roman" w:eastAsia="Times New Roman" w:hAnsi="Times New Roman" w:cs="Times New Roman"/>
          <w:sz w:val="24"/>
          <w:szCs w:val="24"/>
          <w:highlight w:val="white"/>
          <w:vertAlign w:val="superscript"/>
        </w:rPr>
        <w:footnoteReference w:id="14"/>
      </w:r>
      <w:r>
        <w:rPr>
          <w:rFonts w:ascii="Times New Roman" w:eastAsia="Times New Roman" w:hAnsi="Times New Roman" w:cs="Times New Roman"/>
          <w:sz w:val="24"/>
          <w:szCs w:val="24"/>
          <w:highlight w:val="white"/>
        </w:rPr>
        <w:t xml:space="preserve"> Solamente del 2017 al 2</w:t>
      </w:r>
      <w:r>
        <w:rPr>
          <w:rFonts w:ascii="Times New Roman" w:eastAsia="Times New Roman" w:hAnsi="Times New Roman" w:cs="Times New Roman"/>
          <w:sz w:val="24"/>
          <w:szCs w:val="24"/>
          <w:highlight w:val="white"/>
        </w:rPr>
        <w:t xml:space="preserve">018 se reportaron 6538 casos de ansiedad y 2083 </w:t>
      </w:r>
      <w:r>
        <w:rPr>
          <w:rFonts w:ascii="Times New Roman" w:eastAsia="Times New Roman" w:hAnsi="Times New Roman" w:cs="Times New Roman"/>
          <w:sz w:val="24"/>
          <w:szCs w:val="24"/>
          <w:highlight w:val="white"/>
          <w:vertAlign w:val="superscript"/>
        </w:rPr>
        <w:footnoteReference w:id="15"/>
      </w:r>
      <w:r>
        <w:rPr>
          <w:rFonts w:ascii="Times New Roman" w:eastAsia="Times New Roman" w:hAnsi="Times New Roman" w:cs="Times New Roman"/>
          <w:sz w:val="24"/>
          <w:szCs w:val="24"/>
          <w:highlight w:val="white"/>
        </w:rPr>
        <w:t xml:space="preserve">casos de depresión, reconociendo que la mayoría de los casos de estos trastornos nunca son reportados. En el 2022 se reportaron 800 casos de estudiantes de primaria, </w:t>
      </w:r>
      <w:proofErr w:type="spellStart"/>
      <w:r>
        <w:rPr>
          <w:rFonts w:ascii="Times New Roman" w:eastAsia="Times New Roman" w:hAnsi="Times New Roman" w:cs="Times New Roman"/>
          <w:sz w:val="24"/>
          <w:szCs w:val="24"/>
          <w:highlight w:val="white"/>
        </w:rPr>
        <w:t>premedia</w:t>
      </w:r>
      <w:proofErr w:type="spellEnd"/>
      <w:r>
        <w:rPr>
          <w:rFonts w:ascii="Times New Roman" w:eastAsia="Times New Roman" w:hAnsi="Times New Roman" w:cs="Times New Roman"/>
          <w:sz w:val="24"/>
          <w:szCs w:val="24"/>
          <w:highlight w:val="white"/>
        </w:rPr>
        <w:t xml:space="preserve"> y media quienes tenían una idea</w:t>
      </w:r>
      <w:r>
        <w:rPr>
          <w:rFonts w:ascii="Times New Roman" w:eastAsia="Times New Roman" w:hAnsi="Times New Roman" w:cs="Times New Roman"/>
          <w:sz w:val="24"/>
          <w:szCs w:val="24"/>
          <w:highlight w:val="white"/>
        </w:rPr>
        <w:t>ción suicida.</w:t>
      </w:r>
      <w:r>
        <w:rPr>
          <w:rFonts w:ascii="Times New Roman" w:eastAsia="Times New Roman" w:hAnsi="Times New Roman" w:cs="Times New Roman"/>
          <w:sz w:val="24"/>
          <w:szCs w:val="24"/>
          <w:highlight w:val="white"/>
          <w:vertAlign w:val="superscript"/>
        </w:rPr>
        <w:footnoteReference w:id="16"/>
      </w:r>
      <w:r>
        <w:rPr>
          <w:rFonts w:ascii="Times New Roman" w:eastAsia="Times New Roman" w:hAnsi="Times New Roman" w:cs="Times New Roman"/>
          <w:sz w:val="24"/>
          <w:szCs w:val="24"/>
          <w:highlight w:val="white"/>
        </w:rPr>
        <w:t xml:space="preserve">  Es importante notar que el personal de salud mental no está sensibilizado para atender población LGBTIQ+, ni personas que han sufrido violencia o crímenes de odio basados en orientación sexual e identidad de género. </w:t>
      </w:r>
    </w:p>
    <w:p w14:paraId="39718F2C" w14:textId="77777777" w:rsidR="00BF1A31" w:rsidRDefault="00BF1A31">
      <w:pPr>
        <w:jc w:val="both"/>
        <w:rPr>
          <w:rFonts w:ascii="Times New Roman" w:eastAsia="Times New Roman" w:hAnsi="Times New Roman" w:cs="Times New Roman"/>
          <w:sz w:val="24"/>
          <w:szCs w:val="24"/>
          <w:highlight w:val="white"/>
        </w:rPr>
      </w:pPr>
    </w:p>
    <w:p w14:paraId="548E4FC5" w14:textId="77777777" w:rsidR="00BF1A31" w:rsidRDefault="00F5799A">
      <w:pPr>
        <w:numPr>
          <w:ilvl w:val="0"/>
          <w:numId w:val="1"/>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La situación de las mujeres, las jóvenes y las niñas en Panamá es reflejo del nivel regional y ya implicaba enormes brechas de desigualdad que se incrementaron durante la pandemia de COVID-19. Áreas como el acceso a servicios de salud sexual y reproductiva</w:t>
      </w:r>
      <w:r>
        <w:rPr>
          <w:rFonts w:ascii="Times New Roman" w:eastAsia="Times New Roman" w:hAnsi="Times New Roman" w:cs="Times New Roman"/>
          <w:sz w:val="24"/>
          <w:szCs w:val="24"/>
          <w:highlight w:val="white"/>
        </w:rPr>
        <w:t xml:space="preserve"> han sido considerablemente afectadas en Panamá: la Asociación Panameña de Planificación Familiar (</w:t>
      </w:r>
      <w:proofErr w:type="spellStart"/>
      <w:r>
        <w:rPr>
          <w:rFonts w:ascii="Times New Roman" w:eastAsia="Times New Roman" w:hAnsi="Times New Roman" w:cs="Times New Roman"/>
          <w:sz w:val="24"/>
          <w:szCs w:val="24"/>
          <w:highlight w:val="white"/>
        </w:rPr>
        <w:t>Aplafa</w:t>
      </w:r>
      <w:proofErr w:type="spellEnd"/>
      <w:r>
        <w:rPr>
          <w:rFonts w:ascii="Times New Roman" w:eastAsia="Times New Roman" w:hAnsi="Times New Roman" w:cs="Times New Roman"/>
          <w:sz w:val="24"/>
          <w:szCs w:val="24"/>
          <w:highlight w:val="white"/>
        </w:rPr>
        <w:t>), reportó una disminución del 38% en servicios médicos prestados durante la pandemia (2020) y con respecto a 2019.</w:t>
      </w:r>
      <w:r>
        <w:rPr>
          <w:rFonts w:ascii="Times New Roman" w:eastAsia="Times New Roman" w:hAnsi="Times New Roman" w:cs="Times New Roman"/>
          <w:sz w:val="24"/>
          <w:szCs w:val="24"/>
          <w:highlight w:val="white"/>
          <w:vertAlign w:val="superscript"/>
        </w:rPr>
        <w:footnoteReference w:id="17"/>
      </w:r>
    </w:p>
    <w:p w14:paraId="729708A9" w14:textId="77777777" w:rsidR="00BF1A31" w:rsidRDefault="00BF1A31">
      <w:pPr>
        <w:jc w:val="both"/>
        <w:rPr>
          <w:rFonts w:ascii="Times New Roman" w:eastAsia="Times New Roman" w:hAnsi="Times New Roman" w:cs="Times New Roman"/>
          <w:sz w:val="24"/>
          <w:szCs w:val="24"/>
          <w:highlight w:val="white"/>
        </w:rPr>
      </w:pPr>
    </w:p>
    <w:p w14:paraId="27344244" w14:textId="77777777" w:rsidR="00BF1A31" w:rsidRDefault="00F5799A">
      <w:pPr>
        <w:numPr>
          <w:ilvl w:val="0"/>
          <w:numId w:val="1"/>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La sociedad civil ha identificad</w:t>
      </w:r>
      <w:r>
        <w:rPr>
          <w:rFonts w:ascii="Times New Roman" w:eastAsia="Times New Roman" w:hAnsi="Times New Roman" w:cs="Times New Roman"/>
          <w:sz w:val="24"/>
          <w:szCs w:val="24"/>
          <w:highlight w:val="white"/>
        </w:rPr>
        <w:t>o que las instituciones de Salud Pública en Panamá ejercen constantemente violencia obstétrica sobre las mujeres lesbianas y bisexuales. Urge para el estado revisar el protocolo técnico para la intervención del embarazo para víctimas de abuso sexual, espec</w:t>
      </w:r>
      <w:r>
        <w:rPr>
          <w:rFonts w:ascii="Times New Roman" w:eastAsia="Times New Roman" w:hAnsi="Times New Roman" w:cs="Times New Roman"/>
          <w:sz w:val="24"/>
          <w:szCs w:val="24"/>
          <w:highlight w:val="white"/>
        </w:rPr>
        <w:t xml:space="preserve">íficamente para ampliar el tiempo de gestación permitido para realizar la intervención del embarazo. El Estado no garantiza sistemas de anticoncepción gratuitos y seguros en los centros de salud pública, teniendo como resultado que Panamá está posicionado </w:t>
      </w:r>
      <w:r>
        <w:rPr>
          <w:rFonts w:ascii="Times New Roman" w:eastAsia="Times New Roman" w:hAnsi="Times New Roman" w:cs="Times New Roman"/>
          <w:sz w:val="24"/>
          <w:szCs w:val="24"/>
          <w:highlight w:val="white"/>
        </w:rPr>
        <w:t xml:space="preserve">como uno de los países con más embarazos adolescentes de la región. Le pedimos al estado que considere la reproducción asistida como un derecho de salud sexual y reproductiva. </w:t>
      </w:r>
    </w:p>
    <w:p w14:paraId="1ADF02BF" w14:textId="77777777" w:rsidR="00BF1A31" w:rsidRDefault="00BF1A31">
      <w:pPr>
        <w:jc w:val="both"/>
        <w:rPr>
          <w:rFonts w:ascii="Times New Roman" w:eastAsia="Times New Roman" w:hAnsi="Times New Roman" w:cs="Times New Roman"/>
          <w:sz w:val="24"/>
          <w:szCs w:val="24"/>
          <w:highlight w:val="white"/>
        </w:rPr>
      </w:pPr>
    </w:p>
    <w:p w14:paraId="78791D45" w14:textId="77777777" w:rsidR="00BF1A31" w:rsidRDefault="00F5799A">
      <w:pPr>
        <w:numPr>
          <w:ilvl w:val="0"/>
          <w:numId w:val="1"/>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En el caso de las mujeres trans, estas no reciben la atención de endocrinologí</w:t>
      </w:r>
      <w:r>
        <w:rPr>
          <w:rFonts w:ascii="Times New Roman" w:eastAsia="Times New Roman" w:hAnsi="Times New Roman" w:cs="Times New Roman"/>
          <w:sz w:val="24"/>
          <w:szCs w:val="24"/>
          <w:highlight w:val="white"/>
        </w:rPr>
        <w:t xml:space="preserve">a pertinente a sus necesidades de </w:t>
      </w:r>
      <w:proofErr w:type="spellStart"/>
      <w:r>
        <w:rPr>
          <w:rFonts w:ascii="Times New Roman" w:eastAsia="Times New Roman" w:hAnsi="Times New Roman" w:cs="Times New Roman"/>
          <w:sz w:val="24"/>
          <w:szCs w:val="24"/>
          <w:highlight w:val="white"/>
        </w:rPr>
        <w:t>hormonización</w:t>
      </w:r>
      <w:proofErr w:type="spellEnd"/>
      <w:r>
        <w:rPr>
          <w:rFonts w:ascii="Times New Roman" w:eastAsia="Times New Roman" w:hAnsi="Times New Roman" w:cs="Times New Roman"/>
          <w:sz w:val="24"/>
          <w:szCs w:val="24"/>
          <w:highlight w:val="white"/>
        </w:rPr>
        <w:t xml:space="preserve">. El Estado panameño, a través del Ministerio de </w:t>
      </w:r>
      <w:r>
        <w:rPr>
          <w:rFonts w:ascii="Times New Roman" w:eastAsia="Times New Roman" w:hAnsi="Times New Roman" w:cs="Times New Roman"/>
          <w:sz w:val="24"/>
          <w:szCs w:val="24"/>
          <w:highlight w:val="white"/>
        </w:rPr>
        <w:lastRenderedPageBreak/>
        <w:t>Salud esteriliza de manera forzada a las mujeres indígenas. No se les informa que serán esterilizadas y tampoco se les informa que ya fueron.</w:t>
      </w:r>
    </w:p>
    <w:p w14:paraId="5964CFA2" w14:textId="77777777" w:rsidR="00BF1A31" w:rsidRDefault="00BF1A31">
      <w:pPr>
        <w:jc w:val="both"/>
        <w:rPr>
          <w:rFonts w:ascii="Times New Roman" w:eastAsia="Times New Roman" w:hAnsi="Times New Roman" w:cs="Times New Roman"/>
          <w:sz w:val="24"/>
          <w:szCs w:val="24"/>
          <w:highlight w:val="white"/>
        </w:rPr>
      </w:pPr>
    </w:p>
    <w:p w14:paraId="0B7E6587" w14:textId="77777777" w:rsidR="00BF1A31" w:rsidRDefault="00BF1A31">
      <w:pPr>
        <w:jc w:val="both"/>
        <w:rPr>
          <w:rFonts w:ascii="Times New Roman" w:eastAsia="Times New Roman" w:hAnsi="Times New Roman" w:cs="Times New Roman"/>
          <w:sz w:val="24"/>
          <w:szCs w:val="24"/>
          <w:highlight w:val="white"/>
        </w:rPr>
      </w:pPr>
    </w:p>
    <w:p w14:paraId="0B09A032" w14:textId="77777777" w:rsidR="00BF1A31" w:rsidRDefault="00BF1A31">
      <w:pPr>
        <w:rPr>
          <w:rFonts w:ascii="Times New Roman" w:eastAsia="Times New Roman" w:hAnsi="Times New Roman" w:cs="Times New Roman"/>
          <w:sz w:val="24"/>
          <w:szCs w:val="24"/>
          <w:highlight w:val="white"/>
        </w:rPr>
      </w:pPr>
    </w:p>
    <w:tbl>
      <w:tblPr>
        <w:tblStyle w:val="ad"/>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BF1A31" w14:paraId="69259F99" w14:textId="77777777">
        <w:tc>
          <w:tcPr>
            <w:tcW w:w="9029" w:type="dxa"/>
            <w:shd w:val="clear" w:color="auto" w:fill="auto"/>
            <w:tcMar>
              <w:top w:w="100" w:type="dxa"/>
              <w:left w:w="100" w:type="dxa"/>
              <w:bottom w:w="100" w:type="dxa"/>
              <w:right w:w="100" w:type="dxa"/>
            </w:tcMar>
          </w:tcPr>
          <w:p w14:paraId="0B5361D4" w14:textId="77777777" w:rsidR="00BF1A31" w:rsidRDefault="00BF1A31">
            <w:pPr>
              <w:widowControl w:val="0"/>
              <w:pBdr>
                <w:top w:val="nil"/>
                <w:left w:val="nil"/>
                <w:bottom w:val="nil"/>
                <w:right w:val="nil"/>
                <w:between w:val="nil"/>
              </w:pBdr>
              <w:jc w:val="center"/>
              <w:rPr>
                <w:rFonts w:ascii="Times New Roman" w:eastAsia="Times New Roman" w:hAnsi="Times New Roman" w:cs="Times New Roman"/>
                <w:b/>
                <w:sz w:val="24"/>
                <w:szCs w:val="24"/>
                <w:highlight w:val="white"/>
              </w:rPr>
            </w:pPr>
          </w:p>
          <w:p w14:paraId="18DCB651" w14:textId="77777777" w:rsidR="00BF1A31" w:rsidRDefault="00F5799A">
            <w:pPr>
              <w:widowControl w:val="0"/>
              <w:pBdr>
                <w:top w:val="nil"/>
                <w:left w:val="nil"/>
                <w:bottom w:val="nil"/>
                <w:right w:val="nil"/>
                <w:between w:val="nil"/>
              </w:pBdr>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Derecho a la educación (arts. 13 y 14)</w:t>
            </w:r>
          </w:p>
          <w:p w14:paraId="664B1305" w14:textId="77777777" w:rsidR="00BF1A31" w:rsidRDefault="00BF1A31">
            <w:pPr>
              <w:widowControl w:val="0"/>
              <w:pBdr>
                <w:top w:val="nil"/>
                <w:left w:val="nil"/>
                <w:bottom w:val="nil"/>
                <w:right w:val="nil"/>
                <w:between w:val="nil"/>
              </w:pBdr>
              <w:rPr>
                <w:rFonts w:ascii="Times New Roman" w:eastAsia="Times New Roman" w:hAnsi="Times New Roman" w:cs="Times New Roman"/>
                <w:b/>
                <w:sz w:val="24"/>
                <w:szCs w:val="24"/>
                <w:highlight w:val="white"/>
              </w:rPr>
            </w:pPr>
          </w:p>
        </w:tc>
      </w:tr>
    </w:tbl>
    <w:p w14:paraId="6368A94A" w14:textId="77777777" w:rsidR="00BF1A31" w:rsidRDefault="00BF1A31">
      <w:pPr>
        <w:jc w:val="both"/>
        <w:rPr>
          <w:rFonts w:ascii="Times New Roman" w:eastAsia="Times New Roman" w:hAnsi="Times New Roman" w:cs="Times New Roman"/>
          <w:sz w:val="24"/>
          <w:szCs w:val="24"/>
          <w:highlight w:val="white"/>
        </w:rPr>
      </w:pPr>
    </w:p>
    <w:p w14:paraId="41336DA0" w14:textId="77777777" w:rsidR="00BF1A31" w:rsidRDefault="00BF1A31">
      <w:pPr>
        <w:jc w:val="both"/>
        <w:rPr>
          <w:rFonts w:ascii="Times New Roman" w:eastAsia="Times New Roman" w:hAnsi="Times New Roman" w:cs="Times New Roman"/>
          <w:sz w:val="24"/>
          <w:szCs w:val="24"/>
          <w:highlight w:val="white"/>
        </w:rPr>
      </w:pPr>
    </w:p>
    <w:p w14:paraId="6D01629F" w14:textId="77777777" w:rsidR="00BF1A31" w:rsidRDefault="00F5799A">
      <w:pPr>
        <w:numPr>
          <w:ilvl w:val="0"/>
          <w:numId w:val="7"/>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El sistema educativo panameño se vio gravemente afectado a raíz de la Pandemia por el COVID-19. Panamá suspendió clases presenciales el 11 de marzo de 2020 a tan solo dos semanas del inicio del año escolar y posteriormente, el 3 de julio, se anunció el nue</w:t>
      </w:r>
      <w:r>
        <w:rPr>
          <w:rFonts w:ascii="Times New Roman" w:eastAsia="Times New Roman" w:hAnsi="Times New Roman" w:cs="Times New Roman"/>
          <w:sz w:val="24"/>
          <w:szCs w:val="24"/>
          <w:highlight w:val="white"/>
        </w:rPr>
        <w:t>vo calendario escolar del 20 de julio al 18 de diciembre de 2020 a distancia. El año lectivo 2020 trajo consigo una deserción aproximada de 10 mil estudiantes y, más preocupante aún, al realizar una comparativa entre el Tribunal Electoral de Panamá y el Mi</w:t>
      </w:r>
      <w:r>
        <w:rPr>
          <w:rFonts w:ascii="Times New Roman" w:eastAsia="Times New Roman" w:hAnsi="Times New Roman" w:cs="Times New Roman"/>
          <w:sz w:val="24"/>
          <w:szCs w:val="24"/>
          <w:highlight w:val="white"/>
        </w:rPr>
        <w:t xml:space="preserve">nisterio de Educación, salta a la vista un desequilibrio en dos fases, la preescolar y la media. En el primer caso, el Tribunal contabiliza 448,793 niños de 0 a 5 años, en comparación con los 97,341 que están en el sistema. Esto supone un 22% de cobertura </w:t>
      </w:r>
      <w:r>
        <w:rPr>
          <w:rFonts w:ascii="Times New Roman" w:eastAsia="Times New Roman" w:hAnsi="Times New Roman" w:cs="Times New Roman"/>
          <w:sz w:val="24"/>
          <w:szCs w:val="24"/>
          <w:highlight w:val="white"/>
        </w:rPr>
        <w:t>de la totalidad de los menores en todo el país.</w:t>
      </w:r>
    </w:p>
    <w:p w14:paraId="6931633F" w14:textId="77777777" w:rsidR="00BF1A31" w:rsidRDefault="00F5799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26B960E6" w14:textId="77777777" w:rsidR="00BF1A31" w:rsidRDefault="00F5799A">
      <w:pPr>
        <w:numPr>
          <w:ilvl w:val="0"/>
          <w:numId w:val="7"/>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La cantidad de alumnos matriculados en </w:t>
      </w:r>
      <w:proofErr w:type="spellStart"/>
      <w:r>
        <w:rPr>
          <w:rFonts w:ascii="Times New Roman" w:eastAsia="Times New Roman" w:hAnsi="Times New Roman" w:cs="Times New Roman"/>
          <w:sz w:val="24"/>
          <w:szCs w:val="24"/>
          <w:highlight w:val="white"/>
        </w:rPr>
        <w:t>premedia</w:t>
      </w:r>
      <w:proofErr w:type="spellEnd"/>
      <w:r>
        <w:rPr>
          <w:rFonts w:ascii="Times New Roman" w:eastAsia="Times New Roman" w:hAnsi="Times New Roman" w:cs="Times New Roman"/>
          <w:sz w:val="24"/>
          <w:szCs w:val="24"/>
          <w:highlight w:val="white"/>
        </w:rPr>
        <w:t xml:space="preserve"> y media, según el Ministerio, alcanza los 297,908,</w:t>
      </w:r>
      <w:r>
        <w:rPr>
          <w:rFonts w:ascii="Times New Roman" w:eastAsia="Times New Roman" w:hAnsi="Times New Roman" w:cs="Times New Roman"/>
          <w:sz w:val="24"/>
          <w:szCs w:val="24"/>
          <w:highlight w:val="white"/>
          <w:vertAlign w:val="superscript"/>
        </w:rPr>
        <w:footnoteReference w:id="18"/>
      </w:r>
      <w:r>
        <w:rPr>
          <w:rFonts w:ascii="Times New Roman" w:eastAsia="Times New Roman" w:hAnsi="Times New Roman" w:cs="Times New Roman"/>
          <w:sz w:val="24"/>
          <w:szCs w:val="24"/>
          <w:highlight w:val="white"/>
        </w:rPr>
        <w:t xml:space="preserve"> Sin embargo, el Tribunal Electoral registra casi el doble de personas, 512,254. Esto corresponde a un 58%</w:t>
      </w:r>
      <w:r>
        <w:rPr>
          <w:rFonts w:ascii="Times New Roman" w:eastAsia="Times New Roman" w:hAnsi="Times New Roman" w:cs="Times New Roman"/>
          <w:sz w:val="24"/>
          <w:szCs w:val="24"/>
          <w:highlight w:val="white"/>
        </w:rPr>
        <w:t xml:space="preserve"> de jóvenes que no terminan sus estudios. Para el inicio del año lectivo 2021 se reportaron miles de estudiantes con más de 15 meses de no asistir a la escuela. Cifras que reflejan la situación de la falta de garantía del derecho de la educación en Panamá:</w:t>
      </w:r>
      <w:r>
        <w:rPr>
          <w:rFonts w:ascii="Times New Roman" w:eastAsia="Times New Roman" w:hAnsi="Times New Roman" w:cs="Times New Roman"/>
          <w:sz w:val="24"/>
          <w:szCs w:val="24"/>
          <w:highlight w:val="white"/>
          <w:vertAlign w:val="superscript"/>
        </w:rPr>
        <w:footnoteReference w:id="19"/>
      </w:r>
      <w:r>
        <w:rPr>
          <w:rFonts w:ascii="Times New Roman" w:eastAsia="Times New Roman" w:hAnsi="Times New Roman" w:cs="Times New Roman"/>
          <w:sz w:val="24"/>
          <w:szCs w:val="24"/>
          <w:highlight w:val="white"/>
        </w:rPr>
        <w:t xml:space="preserve"> </w:t>
      </w:r>
    </w:p>
    <w:p w14:paraId="30C71872" w14:textId="77777777" w:rsidR="00BF1A31" w:rsidRDefault="00BF1A31">
      <w:pPr>
        <w:jc w:val="both"/>
        <w:rPr>
          <w:rFonts w:ascii="Times New Roman" w:eastAsia="Times New Roman" w:hAnsi="Times New Roman" w:cs="Times New Roman"/>
          <w:sz w:val="24"/>
          <w:szCs w:val="24"/>
          <w:highlight w:val="white"/>
          <w:u w:val="single"/>
        </w:rPr>
      </w:pPr>
    </w:p>
    <w:p w14:paraId="61018C6D" w14:textId="77777777" w:rsidR="00BF1A31" w:rsidRDefault="00F5799A">
      <w:pPr>
        <w:ind w:left="1080" w:hanging="360"/>
        <w:jc w:val="both"/>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b/>
      </w:r>
      <w:proofErr w:type="gramEnd"/>
      <w:r>
        <w:rPr>
          <w:rFonts w:ascii="Times New Roman" w:eastAsia="Times New Roman" w:hAnsi="Times New Roman" w:cs="Times New Roman"/>
          <w:sz w:val="24"/>
          <w:szCs w:val="24"/>
          <w:highlight w:val="white"/>
        </w:rPr>
        <w:t>4 de cada 10 niños no acceden a la educación preescolar</w:t>
      </w:r>
    </w:p>
    <w:p w14:paraId="13752896" w14:textId="77777777" w:rsidR="00BF1A31" w:rsidRDefault="00F5799A">
      <w:pPr>
        <w:ind w:left="1080" w:hanging="360"/>
        <w:jc w:val="both"/>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b/>
      </w:r>
      <w:proofErr w:type="gramEnd"/>
      <w:r>
        <w:rPr>
          <w:rFonts w:ascii="Times New Roman" w:eastAsia="Times New Roman" w:hAnsi="Times New Roman" w:cs="Times New Roman"/>
          <w:sz w:val="24"/>
          <w:szCs w:val="24"/>
          <w:highlight w:val="white"/>
        </w:rPr>
        <w:t xml:space="preserve">3 de cada 10 jóvenes no asisten a </w:t>
      </w:r>
      <w:proofErr w:type="spellStart"/>
      <w:r>
        <w:rPr>
          <w:rFonts w:ascii="Times New Roman" w:eastAsia="Times New Roman" w:hAnsi="Times New Roman" w:cs="Times New Roman"/>
          <w:sz w:val="24"/>
          <w:szCs w:val="24"/>
          <w:highlight w:val="white"/>
        </w:rPr>
        <w:t>premedia</w:t>
      </w:r>
      <w:proofErr w:type="spellEnd"/>
      <w:r>
        <w:rPr>
          <w:rFonts w:ascii="Times New Roman" w:eastAsia="Times New Roman" w:hAnsi="Times New Roman" w:cs="Times New Roman"/>
          <w:sz w:val="24"/>
          <w:szCs w:val="24"/>
          <w:highlight w:val="white"/>
        </w:rPr>
        <w:t>.</w:t>
      </w:r>
    </w:p>
    <w:p w14:paraId="10A2C70E" w14:textId="77777777" w:rsidR="00BF1A31" w:rsidRDefault="00F5799A">
      <w:pPr>
        <w:ind w:left="1080" w:hanging="360"/>
        <w:jc w:val="both"/>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b/>
      </w:r>
      <w:proofErr w:type="gramEnd"/>
      <w:r>
        <w:rPr>
          <w:rFonts w:ascii="Times New Roman" w:eastAsia="Times New Roman" w:hAnsi="Times New Roman" w:cs="Times New Roman"/>
          <w:sz w:val="24"/>
          <w:szCs w:val="24"/>
          <w:highlight w:val="white"/>
        </w:rPr>
        <w:t>5 de cada 10 no asisten al nivel medio.</w:t>
      </w:r>
    </w:p>
    <w:p w14:paraId="4FBB1F47" w14:textId="77777777" w:rsidR="00BF1A31" w:rsidRDefault="00F5799A">
      <w:pPr>
        <w:ind w:left="1080" w:hanging="360"/>
        <w:jc w:val="both"/>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b/>
      </w:r>
      <w:proofErr w:type="gramEnd"/>
      <w:r>
        <w:rPr>
          <w:rFonts w:ascii="Times New Roman" w:eastAsia="Times New Roman" w:hAnsi="Times New Roman" w:cs="Times New Roman"/>
          <w:sz w:val="24"/>
          <w:szCs w:val="24"/>
          <w:highlight w:val="white"/>
        </w:rPr>
        <w:t>8 de cada 10 niños accedieron a la educación a distancia, pero sólo 6 de cada 10 lo hacen a tra</w:t>
      </w:r>
      <w:r>
        <w:rPr>
          <w:rFonts w:ascii="Times New Roman" w:eastAsia="Times New Roman" w:hAnsi="Times New Roman" w:cs="Times New Roman"/>
          <w:sz w:val="24"/>
          <w:szCs w:val="24"/>
          <w:highlight w:val="white"/>
        </w:rPr>
        <w:t xml:space="preserve">vés de plataformas educativas. </w:t>
      </w:r>
    </w:p>
    <w:p w14:paraId="58ABD3AA" w14:textId="77777777" w:rsidR="00BF1A31" w:rsidRDefault="00F5799A">
      <w:pPr>
        <w:ind w:left="1080" w:hanging="360"/>
        <w:jc w:val="both"/>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b/>
      </w:r>
      <w:proofErr w:type="gramEnd"/>
      <w:r>
        <w:rPr>
          <w:rFonts w:ascii="Times New Roman" w:eastAsia="Times New Roman" w:hAnsi="Times New Roman" w:cs="Times New Roman"/>
          <w:sz w:val="24"/>
          <w:szCs w:val="24"/>
          <w:highlight w:val="white"/>
        </w:rPr>
        <w:t xml:space="preserve">En los niveles socioeconómicos más altos, solo 2 de cada 10 accedieron a clases a través de </w:t>
      </w:r>
      <w:proofErr w:type="spellStart"/>
      <w:r>
        <w:rPr>
          <w:rFonts w:ascii="Times New Roman" w:eastAsia="Times New Roman" w:hAnsi="Times New Roman" w:cs="Times New Roman"/>
          <w:sz w:val="24"/>
          <w:szCs w:val="24"/>
          <w:highlight w:val="white"/>
        </w:rPr>
        <w:t>Whatsapp</w:t>
      </w:r>
      <w:proofErr w:type="spellEnd"/>
      <w:r>
        <w:rPr>
          <w:rFonts w:ascii="Times New Roman" w:eastAsia="Times New Roman" w:hAnsi="Times New Roman" w:cs="Times New Roman"/>
          <w:sz w:val="24"/>
          <w:szCs w:val="24"/>
          <w:highlight w:val="white"/>
        </w:rPr>
        <w:t xml:space="preserve">, en los niveles más bajos esta cifra aumentó a 6 de cada 10. </w:t>
      </w:r>
    </w:p>
    <w:p w14:paraId="52E3F7AC" w14:textId="77777777" w:rsidR="00BF1A31" w:rsidRDefault="00BF1A31">
      <w:pPr>
        <w:rPr>
          <w:rFonts w:ascii="Times New Roman" w:eastAsia="Times New Roman" w:hAnsi="Times New Roman" w:cs="Times New Roman"/>
          <w:sz w:val="24"/>
          <w:szCs w:val="24"/>
          <w:highlight w:val="white"/>
        </w:rPr>
      </w:pPr>
    </w:p>
    <w:p w14:paraId="0EA1764D" w14:textId="77777777" w:rsidR="00BF1A31" w:rsidRDefault="00F5799A">
      <w:pPr>
        <w:numPr>
          <w:ilvl w:val="0"/>
          <w:numId w:val="7"/>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vertAlign w:val="superscript"/>
        </w:rPr>
        <w:footnoteReference w:id="20"/>
      </w:r>
      <w:r>
        <w:rPr>
          <w:rFonts w:ascii="Times New Roman" w:eastAsia="Times New Roman" w:hAnsi="Times New Roman" w:cs="Times New Roman"/>
          <w:sz w:val="24"/>
          <w:szCs w:val="24"/>
          <w:highlight w:val="white"/>
        </w:rPr>
        <w:t>En materia de nutrición, para diciembre 2022, el Progr</w:t>
      </w:r>
      <w:r>
        <w:rPr>
          <w:rFonts w:ascii="Times New Roman" w:eastAsia="Times New Roman" w:hAnsi="Times New Roman" w:cs="Times New Roman"/>
          <w:sz w:val="24"/>
          <w:szCs w:val="24"/>
          <w:highlight w:val="white"/>
        </w:rPr>
        <w:t xml:space="preserve">ama de Alimentación Complementaria Escolar (PACE) posee un impacto incompleto en nuestros centros </w:t>
      </w:r>
      <w:r>
        <w:rPr>
          <w:rFonts w:ascii="Times New Roman" w:eastAsia="Times New Roman" w:hAnsi="Times New Roman" w:cs="Times New Roman"/>
          <w:sz w:val="24"/>
          <w:szCs w:val="24"/>
          <w:highlight w:val="white"/>
        </w:rPr>
        <w:lastRenderedPageBreak/>
        <w:t>educativos por razones burocráticas y atrasos administrativos, por lo cual no se ha podido suministrar de forma eficiente y en tiempos correctos, los recursos</w:t>
      </w:r>
      <w:r>
        <w:rPr>
          <w:rFonts w:ascii="Times New Roman" w:eastAsia="Times New Roman" w:hAnsi="Times New Roman" w:cs="Times New Roman"/>
          <w:sz w:val="24"/>
          <w:szCs w:val="24"/>
          <w:highlight w:val="white"/>
        </w:rPr>
        <w:t xml:space="preserve"> para ambas modalidades (#1 Leche descremada saborizada o natural + galleta nutricionalmente mejorada | #2 Crema nutritiva saborizada + galleta nutricionalmente mejorada).</w:t>
      </w:r>
    </w:p>
    <w:p w14:paraId="63442244" w14:textId="77777777" w:rsidR="00BF1A31" w:rsidRDefault="00BF1A31">
      <w:pPr>
        <w:jc w:val="both"/>
        <w:rPr>
          <w:rFonts w:ascii="Times New Roman" w:eastAsia="Times New Roman" w:hAnsi="Times New Roman" w:cs="Times New Roman"/>
          <w:sz w:val="24"/>
          <w:szCs w:val="24"/>
          <w:highlight w:val="white"/>
        </w:rPr>
      </w:pPr>
    </w:p>
    <w:p w14:paraId="47E370AE" w14:textId="77777777" w:rsidR="00BF1A31" w:rsidRDefault="00F5799A">
      <w:pPr>
        <w:numPr>
          <w:ilvl w:val="0"/>
          <w:numId w:val="7"/>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Un ejemplo tangible, es en el comedor piloto en la Escuela Alto Jaramillo en Boquete, en donde la modalidad #1 de </w:t>
      </w:r>
      <w:proofErr w:type="gramStart"/>
      <w:r>
        <w:rPr>
          <w:rFonts w:ascii="Times New Roman" w:eastAsia="Times New Roman" w:hAnsi="Times New Roman" w:cs="Times New Roman"/>
          <w:sz w:val="24"/>
          <w:szCs w:val="24"/>
          <w:highlight w:val="white"/>
        </w:rPr>
        <w:t>alimentación  fue</w:t>
      </w:r>
      <w:proofErr w:type="gramEnd"/>
      <w:r>
        <w:rPr>
          <w:rFonts w:ascii="Times New Roman" w:eastAsia="Times New Roman" w:hAnsi="Times New Roman" w:cs="Times New Roman"/>
          <w:sz w:val="24"/>
          <w:szCs w:val="24"/>
          <w:highlight w:val="white"/>
        </w:rPr>
        <w:t xml:space="preserve"> entregada a pocas semanas de la finalización del año escolar 2022, claramente podemos apreciar que la gestión realizada para</w:t>
      </w:r>
      <w:r>
        <w:rPr>
          <w:rFonts w:ascii="Times New Roman" w:eastAsia="Times New Roman" w:hAnsi="Times New Roman" w:cs="Times New Roman"/>
          <w:sz w:val="24"/>
          <w:szCs w:val="24"/>
          <w:highlight w:val="white"/>
        </w:rPr>
        <w:t xml:space="preserve"> la nutrición y alimentación escolar como clave del desarrollo de nuestros estudiantes, no es una prioridad para el acompañamiento y progreso de los niños y jóvenes que se benefician del programa. </w:t>
      </w:r>
    </w:p>
    <w:p w14:paraId="7B66A537" w14:textId="77777777" w:rsidR="00BF1A31" w:rsidRDefault="00BF1A31">
      <w:pPr>
        <w:jc w:val="both"/>
        <w:rPr>
          <w:rFonts w:ascii="Times New Roman" w:eastAsia="Times New Roman" w:hAnsi="Times New Roman" w:cs="Times New Roman"/>
          <w:sz w:val="24"/>
          <w:szCs w:val="24"/>
          <w:highlight w:val="white"/>
        </w:rPr>
      </w:pPr>
    </w:p>
    <w:p w14:paraId="2BDD1F4D" w14:textId="77777777" w:rsidR="00BF1A31" w:rsidRDefault="00F5799A">
      <w:pPr>
        <w:numPr>
          <w:ilvl w:val="0"/>
          <w:numId w:val="7"/>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Más del 38% de la población de estudiantes menores de 12 </w:t>
      </w:r>
      <w:r>
        <w:rPr>
          <w:rFonts w:ascii="Times New Roman" w:eastAsia="Times New Roman" w:hAnsi="Times New Roman" w:cs="Times New Roman"/>
          <w:sz w:val="24"/>
          <w:szCs w:val="24"/>
          <w:highlight w:val="white"/>
        </w:rPr>
        <w:t>años muestra predisposición al sobrepeso y obesidad, y más del 21% refleja signos de desnutrición según datos de la Caja del Seguro Social en el 2008; números que marcan una total desproporción nutricional y que validamos en la gestión pública de contratac</w:t>
      </w:r>
      <w:r>
        <w:rPr>
          <w:rFonts w:ascii="Times New Roman" w:eastAsia="Times New Roman" w:hAnsi="Times New Roman" w:cs="Times New Roman"/>
          <w:sz w:val="24"/>
          <w:szCs w:val="24"/>
          <w:highlight w:val="white"/>
        </w:rPr>
        <w:t>ión y requisición, con la formulación que posee la unión de la leche saborizada y la galleta nutricionalmente mejorada, que en su conjunto posee alrededor de 18 gramos de azúcar, representando un 48% del total requerido para un niño, tomando en consideraci</w:t>
      </w:r>
      <w:r>
        <w:rPr>
          <w:rFonts w:ascii="Times New Roman" w:eastAsia="Times New Roman" w:hAnsi="Times New Roman" w:cs="Times New Roman"/>
          <w:sz w:val="24"/>
          <w:szCs w:val="24"/>
          <w:highlight w:val="white"/>
        </w:rPr>
        <w:t xml:space="preserve">ón que la OMS recomienda una ingesta no mayor a 37 gramos de azúcar diario o el 10% del total de su ingesta diaria calórica. </w:t>
      </w:r>
    </w:p>
    <w:p w14:paraId="5D068B3D" w14:textId="77777777" w:rsidR="00BF1A31" w:rsidRDefault="00BF1A31">
      <w:pPr>
        <w:jc w:val="both"/>
        <w:rPr>
          <w:rFonts w:ascii="Times New Roman" w:eastAsia="Times New Roman" w:hAnsi="Times New Roman" w:cs="Times New Roman"/>
          <w:sz w:val="24"/>
          <w:szCs w:val="24"/>
          <w:highlight w:val="white"/>
        </w:rPr>
      </w:pPr>
    </w:p>
    <w:p w14:paraId="5F187AD3" w14:textId="77777777" w:rsidR="00BF1A31" w:rsidRDefault="00F5799A">
      <w:pPr>
        <w:numPr>
          <w:ilvl w:val="0"/>
          <w:numId w:val="7"/>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 existen tampoco indicadores de conexión o triangulación entre los programas nutricionales del MEDUCA versus el rendimiento aca</w:t>
      </w:r>
      <w:r>
        <w:rPr>
          <w:rFonts w:ascii="Times New Roman" w:eastAsia="Times New Roman" w:hAnsi="Times New Roman" w:cs="Times New Roman"/>
          <w:sz w:val="24"/>
          <w:szCs w:val="24"/>
          <w:highlight w:val="white"/>
        </w:rPr>
        <w:t xml:space="preserve">démico de los estudiantes y su crecimiento o desarrollo físico/bienestar. La parametrización de datos, son necesarias </w:t>
      </w:r>
      <w:proofErr w:type="gramStart"/>
      <w:r>
        <w:rPr>
          <w:rFonts w:ascii="Times New Roman" w:eastAsia="Times New Roman" w:hAnsi="Times New Roman" w:cs="Times New Roman"/>
          <w:sz w:val="24"/>
          <w:szCs w:val="24"/>
          <w:highlight w:val="white"/>
        </w:rPr>
        <w:t>para  que</w:t>
      </w:r>
      <w:proofErr w:type="gramEnd"/>
      <w:r>
        <w:rPr>
          <w:rFonts w:ascii="Times New Roman" w:eastAsia="Times New Roman" w:hAnsi="Times New Roman" w:cs="Times New Roman"/>
          <w:sz w:val="24"/>
          <w:szCs w:val="24"/>
          <w:highlight w:val="white"/>
        </w:rPr>
        <w:t xml:space="preserve"> se establezcan objetivos medibles y reales, cónsonos con los requerimientos de los estudiantes. </w:t>
      </w:r>
    </w:p>
    <w:p w14:paraId="492CDE6C" w14:textId="77777777" w:rsidR="00BF1A31" w:rsidRDefault="00BF1A31">
      <w:pPr>
        <w:jc w:val="both"/>
        <w:rPr>
          <w:rFonts w:ascii="Times New Roman" w:eastAsia="Times New Roman" w:hAnsi="Times New Roman" w:cs="Times New Roman"/>
          <w:sz w:val="24"/>
          <w:szCs w:val="24"/>
          <w:highlight w:val="white"/>
        </w:rPr>
      </w:pPr>
    </w:p>
    <w:p w14:paraId="595DB30B" w14:textId="77777777" w:rsidR="00BF1A31" w:rsidRDefault="00BF1A31">
      <w:pPr>
        <w:jc w:val="both"/>
        <w:rPr>
          <w:rFonts w:ascii="Times New Roman" w:eastAsia="Times New Roman" w:hAnsi="Times New Roman" w:cs="Times New Roman"/>
          <w:sz w:val="24"/>
          <w:szCs w:val="24"/>
          <w:highlight w:val="white"/>
        </w:rPr>
      </w:pPr>
    </w:p>
    <w:tbl>
      <w:tblPr>
        <w:tblStyle w:val="ae"/>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BF1A31" w14:paraId="7D64F5FE" w14:textId="77777777">
        <w:tc>
          <w:tcPr>
            <w:tcW w:w="9029" w:type="dxa"/>
            <w:shd w:val="clear" w:color="auto" w:fill="auto"/>
            <w:tcMar>
              <w:top w:w="100" w:type="dxa"/>
              <w:left w:w="100" w:type="dxa"/>
              <w:bottom w:w="100" w:type="dxa"/>
              <w:right w:w="100" w:type="dxa"/>
            </w:tcMar>
          </w:tcPr>
          <w:p w14:paraId="7AAA96B7" w14:textId="77777777" w:rsidR="00BF1A31" w:rsidRDefault="00F5799A">
            <w:pPr>
              <w:widowControl w:val="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ANEXOS: Violencia de género</w:t>
            </w:r>
          </w:p>
        </w:tc>
      </w:tr>
    </w:tbl>
    <w:p w14:paraId="253E19DF" w14:textId="77777777" w:rsidR="00BF1A31" w:rsidRDefault="00BF1A31">
      <w:pPr>
        <w:jc w:val="both"/>
        <w:rPr>
          <w:rFonts w:ascii="Times New Roman" w:eastAsia="Times New Roman" w:hAnsi="Times New Roman" w:cs="Times New Roman"/>
          <w:sz w:val="24"/>
          <w:szCs w:val="24"/>
          <w:highlight w:val="white"/>
        </w:rPr>
      </w:pPr>
    </w:p>
    <w:p w14:paraId="5A733895" w14:textId="77777777" w:rsidR="00BF1A31" w:rsidRDefault="00BF1A31">
      <w:pPr>
        <w:jc w:val="both"/>
        <w:rPr>
          <w:rFonts w:ascii="Times New Roman" w:eastAsia="Times New Roman" w:hAnsi="Times New Roman" w:cs="Times New Roman"/>
          <w:sz w:val="24"/>
          <w:szCs w:val="24"/>
          <w:highlight w:val="white"/>
        </w:rPr>
      </w:pPr>
    </w:p>
    <w:p w14:paraId="114E8B4A" w14:textId="77777777" w:rsidR="00BF1A31" w:rsidRDefault="00F5799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Con respecto a la violencia de género, según Diagnóstico de la Violencia hacia mujeres afrodescendientes (UNFPA Panamá, marzo 2022) Los datos demuestran que el delito de femicidio está en aumento en el país, a pesar de que en los últimos años se han desa</w:t>
      </w:r>
      <w:r>
        <w:rPr>
          <w:rFonts w:ascii="Times New Roman" w:eastAsia="Times New Roman" w:hAnsi="Times New Roman" w:cs="Times New Roman"/>
          <w:sz w:val="24"/>
          <w:szCs w:val="24"/>
          <w:highlight w:val="white"/>
        </w:rPr>
        <w:t>rrollado políticas públicas encaminadas a velar por la seguridad y la vida de las mujeres, como la Ley 82 del 24 de octubre del 2013 y la creación de los Centros Nacionales de Atención a la Mujer, (CINAMUS). Entre el 2014 y el 2019, las víctimas de femicid</w:t>
      </w:r>
      <w:r>
        <w:rPr>
          <w:rFonts w:ascii="Times New Roman" w:eastAsia="Times New Roman" w:hAnsi="Times New Roman" w:cs="Times New Roman"/>
          <w:sz w:val="24"/>
          <w:szCs w:val="24"/>
          <w:highlight w:val="white"/>
        </w:rPr>
        <w:t xml:space="preserve">ios consumados y en grado de tentativa tenían entre 18 y 49 </w:t>
      </w:r>
      <w:proofErr w:type="gramStart"/>
      <w:r>
        <w:rPr>
          <w:rFonts w:ascii="Times New Roman" w:eastAsia="Times New Roman" w:hAnsi="Times New Roman" w:cs="Times New Roman"/>
          <w:sz w:val="24"/>
          <w:szCs w:val="24"/>
          <w:highlight w:val="white"/>
        </w:rPr>
        <w:t>años de edad</w:t>
      </w:r>
      <w:proofErr w:type="gramEnd"/>
      <w:r>
        <w:rPr>
          <w:rFonts w:ascii="Times New Roman" w:eastAsia="Times New Roman" w:hAnsi="Times New Roman" w:cs="Times New Roman"/>
          <w:sz w:val="24"/>
          <w:szCs w:val="24"/>
          <w:highlight w:val="white"/>
        </w:rPr>
        <w:t>. De los 199 femicidios ocurridos en este período, 18 mujeres tenían entre 0 y 17 años. En el período del 2015 al 2019, las provincias donde más femicidios se cometieron fueron Panamá,</w:t>
      </w:r>
      <w:r>
        <w:rPr>
          <w:rFonts w:ascii="Times New Roman" w:eastAsia="Times New Roman" w:hAnsi="Times New Roman" w:cs="Times New Roman"/>
          <w:sz w:val="24"/>
          <w:szCs w:val="24"/>
          <w:highlight w:val="white"/>
        </w:rPr>
        <w:t xml:space="preserve"> Chiriquí y Panamá Oeste, con 63 (39%), 27 (17%) y </w:t>
      </w:r>
      <w:r>
        <w:rPr>
          <w:rFonts w:ascii="Times New Roman" w:eastAsia="Times New Roman" w:hAnsi="Times New Roman" w:cs="Times New Roman"/>
          <w:sz w:val="24"/>
          <w:szCs w:val="24"/>
          <w:highlight w:val="white"/>
        </w:rPr>
        <w:lastRenderedPageBreak/>
        <w:t xml:space="preserve">26 (16%) casos, respectivamente.  Un hecho que refleja estos datos es la falta de pertinencia étnica en la publicación de </w:t>
      </w:r>
      <w:proofErr w:type="gramStart"/>
      <w:r>
        <w:rPr>
          <w:rFonts w:ascii="Times New Roman" w:eastAsia="Times New Roman" w:hAnsi="Times New Roman" w:cs="Times New Roman"/>
          <w:sz w:val="24"/>
          <w:szCs w:val="24"/>
          <w:highlight w:val="white"/>
        </w:rPr>
        <w:t>los mismos</w:t>
      </w:r>
      <w:proofErr w:type="gramEnd"/>
      <w:r>
        <w:rPr>
          <w:rFonts w:ascii="Times New Roman" w:eastAsia="Times New Roman" w:hAnsi="Times New Roman" w:cs="Times New Roman"/>
          <w:sz w:val="24"/>
          <w:szCs w:val="24"/>
          <w:highlight w:val="white"/>
        </w:rPr>
        <w:t xml:space="preserve">. Ello no es una prioridad para los operadores de justicia. </w:t>
      </w:r>
    </w:p>
    <w:p w14:paraId="0D426396" w14:textId="77777777" w:rsidR="00BF1A31" w:rsidRDefault="00BF1A31">
      <w:pPr>
        <w:jc w:val="both"/>
        <w:rPr>
          <w:rFonts w:ascii="Times New Roman" w:eastAsia="Times New Roman" w:hAnsi="Times New Roman" w:cs="Times New Roman"/>
          <w:sz w:val="24"/>
          <w:szCs w:val="24"/>
          <w:highlight w:val="white"/>
        </w:rPr>
      </w:pPr>
    </w:p>
    <w:p w14:paraId="46F332D4" w14:textId="77777777" w:rsidR="00BF1A31" w:rsidRDefault="00F5799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En cuanto a</w:t>
      </w:r>
      <w:r>
        <w:rPr>
          <w:rFonts w:ascii="Times New Roman" w:eastAsia="Times New Roman" w:hAnsi="Times New Roman" w:cs="Times New Roman"/>
          <w:sz w:val="24"/>
          <w:szCs w:val="24"/>
          <w:highlight w:val="white"/>
        </w:rPr>
        <w:t xml:space="preserve"> los delitos de violación cometidos en el año 2019 en todo el país, 1,762 fueron a menores de edad, de los cuales el 88.42% de las victimas fue del sexo femenino y 11.57% del masculino. La cifra más alta ocurrió en menores de 10 a 14 años con un 46.59%, se</w:t>
      </w:r>
      <w:r>
        <w:rPr>
          <w:rFonts w:ascii="Times New Roman" w:eastAsia="Times New Roman" w:hAnsi="Times New Roman" w:cs="Times New Roman"/>
          <w:sz w:val="24"/>
          <w:szCs w:val="24"/>
          <w:highlight w:val="white"/>
        </w:rPr>
        <w:t>guidas del rango de edad de 15 a 17 años con el 37.68%, y en tercer lugar en el grupo de 5 a 9 años en el 11.12% de los casos. En el año 2019 se denunciaron 285 violaciones doblemente agravadas, de las cuales 262 fueron del sexo femenino. En 11 denuncias l</w:t>
      </w:r>
      <w:r>
        <w:rPr>
          <w:rFonts w:ascii="Times New Roman" w:eastAsia="Times New Roman" w:hAnsi="Times New Roman" w:cs="Times New Roman"/>
          <w:sz w:val="24"/>
          <w:szCs w:val="24"/>
          <w:highlight w:val="white"/>
        </w:rPr>
        <w:t xml:space="preserve">as víctimas tenían entre 0 y 4 años y en 32 denuncias la víctima tenía de 5 a 9 </w:t>
      </w:r>
      <w:proofErr w:type="gramStart"/>
      <w:r>
        <w:rPr>
          <w:rFonts w:ascii="Times New Roman" w:eastAsia="Times New Roman" w:hAnsi="Times New Roman" w:cs="Times New Roman"/>
          <w:sz w:val="24"/>
          <w:szCs w:val="24"/>
          <w:highlight w:val="white"/>
        </w:rPr>
        <w:t>años de edad</w:t>
      </w:r>
      <w:proofErr w:type="gramEnd"/>
      <w:r>
        <w:rPr>
          <w:rFonts w:ascii="Times New Roman" w:eastAsia="Times New Roman" w:hAnsi="Times New Roman" w:cs="Times New Roman"/>
          <w:sz w:val="24"/>
          <w:szCs w:val="24"/>
          <w:highlight w:val="white"/>
        </w:rPr>
        <w:t>, según datos suministrados por el Ministerio Público. El 92% de las víctimas de este tipo fueron niñas y adolescentes. De enero a octubre de 2020 se denunciaron 4,</w:t>
      </w:r>
      <w:r>
        <w:rPr>
          <w:rFonts w:ascii="Times New Roman" w:eastAsia="Times New Roman" w:hAnsi="Times New Roman" w:cs="Times New Roman"/>
          <w:sz w:val="24"/>
          <w:szCs w:val="24"/>
          <w:highlight w:val="white"/>
        </w:rPr>
        <w:t>525 delitos sexuales. Dentro de este renglón, el delito más frecuente fue la violación: 1,742 casos, frente a estos datos que denotan el grado de vulnerabilidad que vive la niñez y adolescencia en Panamá, la persona entrevistada en el Ministerio Público as</w:t>
      </w:r>
      <w:r>
        <w:rPr>
          <w:rFonts w:ascii="Times New Roman" w:eastAsia="Times New Roman" w:hAnsi="Times New Roman" w:cs="Times New Roman"/>
          <w:sz w:val="24"/>
          <w:szCs w:val="24"/>
          <w:highlight w:val="white"/>
        </w:rPr>
        <w:t>eguró que los datos por etnia solo se obtienen para las indígenas, y no los hay para las niñas, adolescentes y mujeres afrodescendientes. El Observatorio Panameño contra la Violencia de Género registró durante 2020 las cifras más altas de feminicidios desd</w:t>
      </w:r>
      <w:r>
        <w:rPr>
          <w:rFonts w:ascii="Times New Roman" w:eastAsia="Times New Roman" w:hAnsi="Times New Roman" w:cs="Times New Roman"/>
          <w:sz w:val="24"/>
          <w:szCs w:val="24"/>
          <w:highlight w:val="white"/>
        </w:rPr>
        <w:t>e 2015. Según estas estadísticas basadas en los reportes del Ministerio Público, durante el año 2020 un total de 31 mujeres fueron asesinadas, hubo 5 tentativas de femicidio y 15 muertes violentas. De igual forma, durante 2020 el Ministerio Público recibió</w:t>
      </w:r>
      <w:r>
        <w:rPr>
          <w:rFonts w:ascii="Times New Roman" w:eastAsia="Times New Roman" w:hAnsi="Times New Roman" w:cs="Times New Roman"/>
          <w:sz w:val="24"/>
          <w:szCs w:val="24"/>
          <w:highlight w:val="white"/>
        </w:rPr>
        <w:t xml:space="preserve"> un total de 15.123 denuncias por violencia doméstica o intrafamiliar, además de 5.159 denuncias relacionadas con delitos sexuales: 2.124 violaciones, 205 violaciones doblemente agravadas, 17 tentativas de violación, 1.913 delitos de acceso sexual a person</w:t>
      </w:r>
      <w:r>
        <w:rPr>
          <w:rFonts w:ascii="Times New Roman" w:eastAsia="Times New Roman" w:hAnsi="Times New Roman" w:cs="Times New Roman"/>
          <w:sz w:val="24"/>
          <w:szCs w:val="24"/>
          <w:highlight w:val="white"/>
        </w:rPr>
        <w:t xml:space="preserve">as mayores a 14 años y menores a 18 años, 876 actos libidinosos y 24 denuncias de acoso sexual. </w:t>
      </w:r>
    </w:p>
    <w:p w14:paraId="7AF1D7D6" w14:textId="77777777" w:rsidR="00BF1A31" w:rsidRDefault="00BF1A31">
      <w:pPr>
        <w:jc w:val="both"/>
        <w:rPr>
          <w:rFonts w:ascii="Times New Roman" w:eastAsia="Times New Roman" w:hAnsi="Times New Roman" w:cs="Times New Roman"/>
          <w:sz w:val="24"/>
          <w:szCs w:val="24"/>
          <w:highlight w:val="white"/>
        </w:rPr>
      </w:pPr>
    </w:p>
    <w:p w14:paraId="2AF2315E" w14:textId="77777777" w:rsidR="00BF1A31" w:rsidRDefault="00BF1A31">
      <w:pPr>
        <w:jc w:val="both"/>
        <w:rPr>
          <w:rFonts w:ascii="Times New Roman" w:eastAsia="Times New Roman" w:hAnsi="Times New Roman" w:cs="Times New Roman"/>
          <w:sz w:val="24"/>
          <w:szCs w:val="24"/>
          <w:highlight w:val="white"/>
        </w:rPr>
      </w:pPr>
    </w:p>
    <w:p w14:paraId="285CAA1B" w14:textId="77777777" w:rsidR="00BF1A31" w:rsidRDefault="00BF1A31">
      <w:pPr>
        <w:jc w:val="both"/>
        <w:rPr>
          <w:rFonts w:ascii="Times New Roman" w:eastAsia="Times New Roman" w:hAnsi="Times New Roman" w:cs="Times New Roman"/>
          <w:sz w:val="24"/>
          <w:szCs w:val="24"/>
          <w:highlight w:val="white"/>
        </w:rPr>
      </w:pPr>
    </w:p>
    <w:p w14:paraId="05F6A82D" w14:textId="77777777" w:rsidR="00BF1A31" w:rsidRDefault="00BF1A31">
      <w:pPr>
        <w:jc w:val="both"/>
        <w:rPr>
          <w:rFonts w:ascii="Times New Roman" w:eastAsia="Times New Roman" w:hAnsi="Times New Roman" w:cs="Times New Roman"/>
          <w:sz w:val="24"/>
          <w:szCs w:val="24"/>
          <w:highlight w:val="white"/>
        </w:rPr>
      </w:pPr>
    </w:p>
    <w:p w14:paraId="629E7C12" w14:textId="77777777" w:rsidR="00BF1A31" w:rsidRDefault="00BF1A31">
      <w:pPr>
        <w:jc w:val="both"/>
        <w:rPr>
          <w:rFonts w:ascii="Times New Roman" w:eastAsia="Times New Roman" w:hAnsi="Times New Roman" w:cs="Times New Roman"/>
          <w:sz w:val="24"/>
          <w:szCs w:val="24"/>
          <w:highlight w:val="white"/>
        </w:rPr>
      </w:pPr>
    </w:p>
    <w:p w14:paraId="750AA171" w14:textId="77777777" w:rsidR="00BF1A31" w:rsidRDefault="00BF1A31">
      <w:pPr>
        <w:jc w:val="both"/>
        <w:rPr>
          <w:rFonts w:ascii="Times New Roman" w:eastAsia="Times New Roman" w:hAnsi="Times New Roman" w:cs="Times New Roman"/>
          <w:sz w:val="24"/>
          <w:szCs w:val="24"/>
          <w:highlight w:val="white"/>
        </w:rPr>
      </w:pPr>
    </w:p>
    <w:p w14:paraId="33E06343" w14:textId="77777777" w:rsidR="00BF1A31" w:rsidRDefault="00BF1A31">
      <w:pPr>
        <w:jc w:val="both"/>
        <w:rPr>
          <w:rFonts w:ascii="Times New Roman" w:eastAsia="Times New Roman" w:hAnsi="Times New Roman" w:cs="Times New Roman"/>
          <w:sz w:val="24"/>
          <w:szCs w:val="24"/>
          <w:highlight w:val="white"/>
        </w:rPr>
      </w:pPr>
    </w:p>
    <w:p w14:paraId="424CDAE1" w14:textId="77777777" w:rsidR="00BF1A31" w:rsidRDefault="00BF1A31">
      <w:pPr>
        <w:jc w:val="both"/>
        <w:rPr>
          <w:rFonts w:ascii="Times New Roman" w:eastAsia="Times New Roman" w:hAnsi="Times New Roman" w:cs="Times New Roman"/>
          <w:sz w:val="24"/>
          <w:szCs w:val="24"/>
          <w:highlight w:val="white"/>
        </w:rPr>
      </w:pPr>
    </w:p>
    <w:p w14:paraId="1975C5E7" w14:textId="77777777" w:rsidR="00BF1A31" w:rsidRDefault="00BF1A31">
      <w:pPr>
        <w:jc w:val="both"/>
        <w:rPr>
          <w:rFonts w:ascii="Times New Roman" w:eastAsia="Times New Roman" w:hAnsi="Times New Roman" w:cs="Times New Roman"/>
          <w:sz w:val="24"/>
          <w:szCs w:val="24"/>
          <w:highlight w:val="white"/>
        </w:rPr>
      </w:pPr>
    </w:p>
    <w:p w14:paraId="5635F26D" w14:textId="77777777" w:rsidR="00BF1A31" w:rsidRDefault="00BF1A31">
      <w:pPr>
        <w:jc w:val="both"/>
        <w:rPr>
          <w:rFonts w:ascii="Times New Roman" w:eastAsia="Times New Roman" w:hAnsi="Times New Roman" w:cs="Times New Roman"/>
          <w:sz w:val="24"/>
          <w:szCs w:val="24"/>
          <w:highlight w:val="white"/>
        </w:rPr>
      </w:pPr>
    </w:p>
    <w:p w14:paraId="6EA232AF" w14:textId="77777777" w:rsidR="00BF1A31" w:rsidRDefault="00BF1A31">
      <w:pPr>
        <w:rPr>
          <w:rFonts w:ascii="Times New Roman" w:eastAsia="Times New Roman" w:hAnsi="Times New Roman" w:cs="Times New Roman"/>
          <w:sz w:val="24"/>
          <w:szCs w:val="24"/>
          <w:highlight w:val="white"/>
        </w:rPr>
      </w:pPr>
    </w:p>
    <w:p w14:paraId="5F7F63C6" w14:textId="77777777" w:rsidR="00BF1A31" w:rsidRDefault="00BF1A31">
      <w:pPr>
        <w:rPr>
          <w:rFonts w:ascii="Times New Roman" w:eastAsia="Times New Roman" w:hAnsi="Times New Roman" w:cs="Times New Roman"/>
          <w:sz w:val="24"/>
          <w:szCs w:val="24"/>
          <w:highlight w:val="white"/>
        </w:rPr>
      </w:pPr>
    </w:p>
    <w:p w14:paraId="35239B0A" w14:textId="77777777" w:rsidR="00BF1A31" w:rsidRDefault="00BF1A31">
      <w:pPr>
        <w:rPr>
          <w:rFonts w:ascii="Times New Roman" w:eastAsia="Times New Roman" w:hAnsi="Times New Roman" w:cs="Times New Roman"/>
          <w:sz w:val="24"/>
          <w:szCs w:val="24"/>
          <w:highlight w:val="white"/>
        </w:rPr>
      </w:pPr>
    </w:p>
    <w:p w14:paraId="31FFAEFE" w14:textId="77777777" w:rsidR="00BF1A31" w:rsidRDefault="00BF1A31">
      <w:pPr>
        <w:rPr>
          <w:rFonts w:ascii="Times New Roman" w:eastAsia="Times New Roman" w:hAnsi="Times New Roman" w:cs="Times New Roman"/>
          <w:sz w:val="24"/>
          <w:szCs w:val="24"/>
          <w:highlight w:val="white"/>
        </w:rPr>
      </w:pPr>
    </w:p>
    <w:p w14:paraId="38E91061" w14:textId="77777777" w:rsidR="00BF1A31" w:rsidRDefault="00BF1A31">
      <w:pPr>
        <w:rPr>
          <w:sz w:val="20"/>
          <w:szCs w:val="20"/>
          <w:highlight w:val="white"/>
        </w:rPr>
      </w:pPr>
    </w:p>
    <w:p w14:paraId="6026255D" w14:textId="77777777" w:rsidR="00BF1A31" w:rsidRDefault="00BF1A31">
      <w:pPr>
        <w:rPr>
          <w:sz w:val="20"/>
          <w:szCs w:val="20"/>
          <w:highlight w:val="white"/>
        </w:rPr>
      </w:pPr>
    </w:p>
    <w:p w14:paraId="32744F9B" w14:textId="77777777" w:rsidR="00BF1A31" w:rsidRDefault="00BF1A31">
      <w:pPr>
        <w:rPr>
          <w:sz w:val="20"/>
          <w:szCs w:val="20"/>
          <w:highlight w:val="white"/>
        </w:rPr>
      </w:pPr>
    </w:p>
    <w:p w14:paraId="331EB996" w14:textId="77777777" w:rsidR="00BF1A31" w:rsidRDefault="00BF1A31">
      <w:pPr>
        <w:rPr>
          <w:sz w:val="20"/>
          <w:szCs w:val="20"/>
          <w:highlight w:val="white"/>
        </w:rPr>
      </w:pPr>
    </w:p>
    <w:p w14:paraId="3CC285E3" w14:textId="77777777" w:rsidR="00BF1A31" w:rsidRDefault="00BF1A31">
      <w:pPr>
        <w:rPr>
          <w:sz w:val="20"/>
          <w:szCs w:val="20"/>
          <w:highlight w:val="white"/>
        </w:rPr>
      </w:pPr>
    </w:p>
    <w:p w14:paraId="0D971981" w14:textId="77777777" w:rsidR="00BF1A31" w:rsidRDefault="00BF1A31">
      <w:pPr>
        <w:rPr>
          <w:sz w:val="20"/>
          <w:szCs w:val="20"/>
          <w:highlight w:val="white"/>
        </w:rPr>
      </w:pPr>
    </w:p>
    <w:p w14:paraId="78BA1AA3" w14:textId="77777777" w:rsidR="00BF1A31" w:rsidRDefault="00BF1A31">
      <w:pPr>
        <w:rPr>
          <w:sz w:val="20"/>
          <w:szCs w:val="20"/>
          <w:highlight w:val="white"/>
        </w:rPr>
      </w:pPr>
    </w:p>
    <w:p w14:paraId="169CE8F0" w14:textId="77777777" w:rsidR="00BF1A31" w:rsidRDefault="00BF1A31">
      <w:pPr>
        <w:rPr>
          <w:sz w:val="20"/>
          <w:szCs w:val="20"/>
          <w:highlight w:val="white"/>
        </w:rPr>
      </w:pPr>
    </w:p>
    <w:p w14:paraId="1CA0ED45" w14:textId="77777777" w:rsidR="00BF1A31" w:rsidRDefault="00BF1A31">
      <w:pPr>
        <w:rPr>
          <w:sz w:val="20"/>
          <w:szCs w:val="20"/>
          <w:highlight w:val="white"/>
        </w:rPr>
      </w:pPr>
    </w:p>
    <w:p w14:paraId="64BB3EBD" w14:textId="77777777" w:rsidR="00BF1A31" w:rsidRDefault="00BF1A31">
      <w:pPr>
        <w:rPr>
          <w:sz w:val="20"/>
          <w:szCs w:val="20"/>
          <w:highlight w:val="white"/>
        </w:rPr>
      </w:pPr>
    </w:p>
    <w:p w14:paraId="7E62CE38" w14:textId="77777777" w:rsidR="00BF1A31" w:rsidRDefault="00BF1A31">
      <w:pPr>
        <w:rPr>
          <w:sz w:val="20"/>
          <w:szCs w:val="20"/>
          <w:highlight w:val="white"/>
        </w:rPr>
      </w:pPr>
    </w:p>
    <w:p w14:paraId="2F8E3A53" w14:textId="77777777" w:rsidR="00BF1A31" w:rsidRDefault="00BF1A31">
      <w:pPr>
        <w:rPr>
          <w:sz w:val="20"/>
          <w:szCs w:val="20"/>
          <w:highlight w:val="white"/>
        </w:rPr>
      </w:pPr>
    </w:p>
    <w:p w14:paraId="7E603EEA" w14:textId="77777777" w:rsidR="00BF1A31" w:rsidRDefault="00BF1A31">
      <w:pPr>
        <w:rPr>
          <w:sz w:val="20"/>
          <w:szCs w:val="20"/>
          <w:highlight w:val="white"/>
        </w:rPr>
      </w:pPr>
    </w:p>
    <w:p w14:paraId="4D5AA320" w14:textId="77777777" w:rsidR="00BF1A31" w:rsidRDefault="00BF1A31">
      <w:pPr>
        <w:rPr>
          <w:rFonts w:ascii="Roboto" w:eastAsia="Roboto" w:hAnsi="Roboto" w:cs="Roboto"/>
          <w:sz w:val="20"/>
          <w:szCs w:val="20"/>
          <w:highlight w:val="white"/>
        </w:rPr>
      </w:pPr>
    </w:p>
    <w:p w14:paraId="2930CFE1" w14:textId="77777777" w:rsidR="00BF1A31" w:rsidRDefault="00BF1A31">
      <w:pPr>
        <w:rPr>
          <w:rFonts w:ascii="Roboto" w:eastAsia="Roboto" w:hAnsi="Roboto" w:cs="Roboto"/>
          <w:sz w:val="20"/>
          <w:szCs w:val="20"/>
          <w:highlight w:val="white"/>
        </w:rPr>
      </w:pPr>
    </w:p>
    <w:p w14:paraId="50A3A8A1" w14:textId="77777777" w:rsidR="00BF1A31" w:rsidRDefault="00BF1A31">
      <w:pPr>
        <w:rPr>
          <w:sz w:val="20"/>
          <w:szCs w:val="20"/>
          <w:highlight w:val="white"/>
        </w:rPr>
      </w:pPr>
    </w:p>
    <w:sectPr w:rsidR="00BF1A3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105CA" w14:textId="77777777" w:rsidR="00000000" w:rsidRDefault="00F5799A">
      <w:pPr>
        <w:spacing w:line="240" w:lineRule="auto"/>
      </w:pPr>
      <w:r>
        <w:separator/>
      </w:r>
    </w:p>
  </w:endnote>
  <w:endnote w:type="continuationSeparator" w:id="0">
    <w:p w14:paraId="27F3ADAD" w14:textId="77777777" w:rsidR="00000000" w:rsidRDefault="00F579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903AD" w14:textId="77777777" w:rsidR="00000000" w:rsidRDefault="00F5799A">
      <w:pPr>
        <w:spacing w:line="240" w:lineRule="auto"/>
      </w:pPr>
      <w:r>
        <w:separator/>
      </w:r>
    </w:p>
  </w:footnote>
  <w:footnote w:type="continuationSeparator" w:id="0">
    <w:p w14:paraId="02BED6DD" w14:textId="77777777" w:rsidR="00000000" w:rsidRDefault="00F5799A">
      <w:pPr>
        <w:spacing w:line="240" w:lineRule="auto"/>
      </w:pPr>
      <w:r>
        <w:continuationSeparator/>
      </w:r>
    </w:p>
  </w:footnote>
  <w:footnote w:id="1">
    <w:p w14:paraId="415AE642" w14:textId="77777777" w:rsidR="00BF1A31" w:rsidRDefault="00F5799A">
      <w:pPr>
        <w:spacing w:line="240" w:lineRule="auto"/>
        <w:rPr>
          <w:sz w:val="20"/>
          <w:szCs w:val="20"/>
        </w:rPr>
      </w:pPr>
      <w:r>
        <w:rPr>
          <w:vertAlign w:val="superscript"/>
        </w:rPr>
        <w:footnoteRef/>
      </w:r>
      <w:r>
        <w:rPr>
          <w:rFonts w:ascii="Times New Roman" w:eastAsia="Times New Roman" w:hAnsi="Times New Roman" w:cs="Times New Roman"/>
          <w:sz w:val="16"/>
          <w:szCs w:val="16"/>
        </w:rPr>
        <w:t xml:space="preserve"> “Ley núm. 82 de 24 de octubre de 2013 que adopta medidas de prevención contra la violencia en las mujeres y reforma el Código Penal para tipificar el femicidio y sancionar los hechos de violencia contra la mujer. </w:t>
      </w:r>
      <w:hyperlink r:id="rId1">
        <w:r>
          <w:rPr>
            <w:color w:val="1155CC"/>
            <w:sz w:val="18"/>
            <w:szCs w:val="18"/>
            <w:highlight w:val="white"/>
            <w:u w:val="single"/>
          </w:rPr>
          <w:t>https://www.organojudicial.gob.pa/uploads/wp_repo/uploads/2016/11/Ley-82-de-2013.pdf</w:t>
        </w:r>
      </w:hyperlink>
    </w:p>
    <w:p w14:paraId="574040E0" w14:textId="77777777" w:rsidR="00BF1A31" w:rsidRDefault="00BF1A31">
      <w:pPr>
        <w:spacing w:line="240" w:lineRule="auto"/>
        <w:rPr>
          <w:sz w:val="20"/>
          <w:szCs w:val="20"/>
        </w:rPr>
      </w:pPr>
    </w:p>
    <w:p w14:paraId="5705B57A" w14:textId="77777777" w:rsidR="00BF1A31" w:rsidRDefault="00BF1A31">
      <w:pPr>
        <w:spacing w:line="240" w:lineRule="auto"/>
        <w:rPr>
          <w:sz w:val="20"/>
          <w:szCs w:val="20"/>
        </w:rPr>
      </w:pPr>
    </w:p>
    <w:p w14:paraId="110FFCF0" w14:textId="77777777" w:rsidR="00BF1A31" w:rsidRDefault="00BF1A31">
      <w:pPr>
        <w:spacing w:line="240" w:lineRule="auto"/>
        <w:rPr>
          <w:sz w:val="20"/>
          <w:szCs w:val="20"/>
        </w:rPr>
      </w:pPr>
    </w:p>
  </w:footnote>
  <w:footnote w:id="2">
    <w:p w14:paraId="2D674114" w14:textId="77777777" w:rsidR="00BF1A31" w:rsidRDefault="00F5799A">
      <w:pPr>
        <w:spacing w:line="240" w:lineRule="auto"/>
        <w:rPr>
          <w:rFonts w:ascii="Times New Roman" w:eastAsia="Times New Roman" w:hAnsi="Times New Roman" w:cs="Times New Roman"/>
          <w:color w:val="202124"/>
          <w:sz w:val="16"/>
          <w:szCs w:val="16"/>
          <w:highlight w:val="white"/>
        </w:rPr>
      </w:pPr>
      <w:r>
        <w:rPr>
          <w:vertAlign w:val="superscript"/>
        </w:rPr>
        <w:footnoteRef/>
      </w:r>
      <w:r>
        <w:rPr>
          <w:sz w:val="20"/>
          <w:szCs w:val="20"/>
        </w:rPr>
        <w:t xml:space="preserve"> </w:t>
      </w:r>
      <w:r>
        <w:rPr>
          <w:rFonts w:ascii="Times New Roman" w:eastAsia="Times New Roman" w:hAnsi="Times New Roman" w:cs="Times New Roman"/>
          <w:sz w:val="16"/>
          <w:szCs w:val="16"/>
        </w:rPr>
        <w:t xml:space="preserve">“Ley núm. 4 de 29 de enero de 1999 que </w:t>
      </w:r>
      <w:r>
        <w:rPr>
          <w:rFonts w:ascii="Times New Roman" w:eastAsia="Times New Roman" w:hAnsi="Times New Roman" w:cs="Times New Roman"/>
          <w:color w:val="202124"/>
          <w:sz w:val="16"/>
          <w:szCs w:val="16"/>
          <w:highlight w:val="white"/>
        </w:rPr>
        <w:t>por la cual se Instituye la Igualdad de Oportunidades para las Mujeres ''</w:t>
      </w:r>
      <w:r>
        <w:rPr>
          <w:rFonts w:ascii="Times New Roman" w:eastAsia="Times New Roman" w:hAnsi="Times New Roman" w:cs="Times New Roman"/>
          <w:sz w:val="16"/>
          <w:szCs w:val="16"/>
        </w:rPr>
        <w:t xml:space="preserve">Ley núm. 4 de 29 de enero de 1999 que </w:t>
      </w:r>
      <w:r>
        <w:rPr>
          <w:rFonts w:ascii="Times New Roman" w:eastAsia="Times New Roman" w:hAnsi="Times New Roman" w:cs="Times New Roman"/>
          <w:color w:val="202124"/>
          <w:sz w:val="16"/>
          <w:szCs w:val="16"/>
          <w:highlight w:val="white"/>
        </w:rPr>
        <w:t xml:space="preserve">por la cual se Instituye la Igualdad de Oportunidades para las Mujeres” </w:t>
      </w:r>
      <w:hyperlink r:id="rId2">
        <w:r>
          <w:rPr>
            <w:rFonts w:ascii="Times New Roman" w:eastAsia="Times New Roman" w:hAnsi="Times New Roman" w:cs="Times New Roman"/>
            <w:color w:val="1155CC"/>
            <w:sz w:val="16"/>
            <w:szCs w:val="16"/>
            <w:u w:val="single"/>
          </w:rPr>
          <w:t>https://utp.ac.pa/documentos/2010/pdf/LEY_DE_GENERO(8).pdf</w:t>
        </w:r>
      </w:hyperlink>
    </w:p>
  </w:footnote>
  <w:footnote w:id="3">
    <w:p w14:paraId="6D387773" w14:textId="77777777" w:rsidR="00BF1A31" w:rsidRDefault="00F5799A">
      <w:pPr>
        <w:spacing w:line="240" w:lineRule="auto"/>
        <w:rPr>
          <w:rFonts w:ascii="Times New Roman" w:eastAsia="Times New Roman" w:hAnsi="Times New Roman" w:cs="Times New Roman"/>
          <w:sz w:val="16"/>
          <w:szCs w:val="16"/>
        </w:rPr>
      </w:pPr>
      <w:r>
        <w:rPr>
          <w:vertAlign w:val="superscript"/>
        </w:rPr>
        <w:footnoteRef/>
      </w:r>
      <w:r>
        <w:rPr>
          <w:sz w:val="20"/>
          <w:szCs w:val="20"/>
        </w:rPr>
        <w:t xml:space="preserve">  </w:t>
      </w:r>
      <w:r>
        <w:rPr>
          <w:rFonts w:ascii="Times New Roman" w:eastAsia="Times New Roman" w:hAnsi="Times New Roman" w:cs="Times New Roman"/>
          <w:sz w:val="16"/>
          <w:szCs w:val="16"/>
        </w:rPr>
        <w:t xml:space="preserve">Constitución Política de Panamá </w:t>
      </w:r>
      <w:hyperlink r:id="rId3">
        <w:r>
          <w:rPr>
            <w:rFonts w:ascii="Times New Roman" w:eastAsia="Times New Roman" w:hAnsi="Times New Roman" w:cs="Times New Roman"/>
            <w:color w:val="1155CC"/>
            <w:sz w:val="16"/>
            <w:szCs w:val="16"/>
            <w:highlight w:val="white"/>
            <w:u w:val="single"/>
          </w:rPr>
          <w:t>https://ministeriopublico.gob.p</w:t>
        </w:r>
        <w:r>
          <w:rPr>
            <w:rFonts w:ascii="Times New Roman" w:eastAsia="Times New Roman" w:hAnsi="Times New Roman" w:cs="Times New Roman"/>
            <w:color w:val="1155CC"/>
            <w:sz w:val="16"/>
            <w:szCs w:val="16"/>
            <w:highlight w:val="white"/>
            <w:u w:val="single"/>
          </w:rPr>
          <w:t>a/wp-content/uploads/2016/09/constitucion-politica-con-indice-analitico.pdf</w:t>
        </w:r>
      </w:hyperlink>
    </w:p>
  </w:footnote>
  <w:footnote w:id="4">
    <w:p w14:paraId="2A4B7927" w14:textId="77777777" w:rsidR="00BF1A31" w:rsidRDefault="00F5799A">
      <w:pPr>
        <w:spacing w:line="240" w:lineRule="auto"/>
        <w:rPr>
          <w:rFonts w:ascii="Times New Roman" w:eastAsia="Times New Roman" w:hAnsi="Times New Roman" w:cs="Times New Roman"/>
          <w:sz w:val="16"/>
          <w:szCs w:val="16"/>
          <w:highlight w:val="white"/>
        </w:rPr>
      </w:pPr>
      <w:r>
        <w:rPr>
          <w:vertAlign w:val="superscript"/>
        </w:rPr>
        <w:footnoteRef/>
      </w:r>
      <w:r>
        <w:rPr>
          <w:sz w:val="20"/>
          <w:szCs w:val="20"/>
        </w:rPr>
        <w:t xml:space="preserve"> </w:t>
      </w:r>
      <w:r>
        <w:rPr>
          <w:rFonts w:ascii="Times New Roman" w:eastAsia="Times New Roman" w:hAnsi="Times New Roman" w:cs="Times New Roman"/>
          <w:color w:val="202124"/>
          <w:sz w:val="16"/>
          <w:szCs w:val="16"/>
          <w:highlight w:val="white"/>
        </w:rPr>
        <w:t>Índice de Brecha de Género 2022 del Foro Económico Mundial</w:t>
      </w:r>
      <w:r>
        <w:rPr>
          <w:rFonts w:ascii="Times New Roman" w:eastAsia="Times New Roman" w:hAnsi="Times New Roman" w:cs="Times New Roman"/>
          <w:sz w:val="16"/>
          <w:szCs w:val="16"/>
          <w:highlight w:val="white"/>
        </w:rPr>
        <w:t xml:space="preserve"> </w:t>
      </w:r>
      <w:hyperlink r:id="rId4">
        <w:r>
          <w:rPr>
            <w:rFonts w:ascii="Times New Roman" w:eastAsia="Times New Roman" w:hAnsi="Times New Roman" w:cs="Times New Roman"/>
            <w:color w:val="1155CC"/>
            <w:sz w:val="16"/>
            <w:szCs w:val="16"/>
            <w:highlight w:val="white"/>
            <w:u w:val="single"/>
          </w:rPr>
          <w:t>https://www3.weforum.org/docs/WEF_GGGR_2022.pdf</w:t>
        </w:r>
      </w:hyperlink>
    </w:p>
    <w:p w14:paraId="2C73A91B" w14:textId="77777777" w:rsidR="00BF1A31" w:rsidRDefault="00BF1A31">
      <w:pPr>
        <w:spacing w:line="240" w:lineRule="auto"/>
        <w:rPr>
          <w:sz w:val="20"/>
          <w:szCs w:val="20"/>
        </w:rPr>
      </w:pPr>
    </w:p>
  </w:footnote>
  <w:footnote w:id="5">
    <w:p w14:paraId="6C2B45C6" w14:textId="77777777" w:rsidR="00BF1A31" w:rsidRDefault="00F5799A">
      <w:pPr>
        <w:spacing w:line="240" w:lineRule="auto"/>
        <w:rPr>
          <w:sz w:val="20"/>
          <w:szCs w:val="20"/>
        </w:rPr>
      </w:pPr>
      <w:r>
        <w:rPr>
          <w:vertAlign w:val="superscript"/>
        </w:rPr>
        <w:footnoteRef/>
      </w:r>
      <w:hyperlink r:id="rId5">
        <w:r>
          <w:rPr>
            <w:rFonts w:ascii="Times New Roman" w:eastAsia="Times New Roman" w:hAnsi="Times New Roman" w:cs="Times New Roman"/>
            <w:color w:val="1155CC"/>
            <w:sz w:val="16"/>
            <w:szCs w:val="16"/>
            <w:u w:val="single"/>
          </w:rPr>
          <w:t>https://pges.org.pa/equidad-de-genero-en-panama/</w:t>
        </w:r>
      </w:hyperlink>
    </w:p>
    <w:p w14:paraId="5320BC62" w14:textId="77777777" w:rsidR="00BF1A31" w:rsidRDefault="00F5799A">
      <w:pPr>
        <w:spacing w:line="240" w:lineRule="auto"/>
        <w:rPr>
          <w:sz w:val="20"/>
          <w:szCs w:val="20"/>
        </w:rPr>
      </w:pPr>
      <w:r>
        <w:rPr>
          <w:sz w:val="20"/>
          <w:szCs w:val="20"/>
        </w:rPr>
        <w:t xml:space="preserve"> </w:t>
      </w:r>
    </w:p>
  </w:footnote>
  <w:footnote w:id="6">
    <w:p w14:paraId="29E7D465" w14:textId="77777777" w:rsidR="00BF1A31" w:rsidRDefault="00F5799A">
      <w:pPr>
        <w:spacing w:line="240" w:lineRule="auto"/>
        <w:rPr>
          <w:rFonts w:ascii="Times New Roman" w:eastAsia="Times New Roman" w:hAnsi="Times New Roman" w:cs="Times New Roman"/>
          <w:sz w:val="16"/>
          <w:szCs w:val="16"/>
        </w:rPr>
      </w:pPr>
      <w:r>
        <w:rPr>
          <w:vertAlign w:val="superscript"/>
        </w:rPr>
        <w:footnoteRef/>
      </w:r>
      <w:r>
        <w:rPr>
          <w:sz w:val="20"/>
          <w:szCs w:val="20"/>
        </w:rPr>
        <w:t xml:space="preserve"> </w:t>
      </w:r>
      <w:r>
        <w:rPr>
          <w:rFonts w:ascii="Times New Roman" w:eastAsia="Times New Roman" w:hAnsi="Times New Roman" w:cs="Times New Roman"/>
          <w:sz w:val="16"/>
          <w:szCs w:val="16"/>
          <w:highlight w:val="white"/>
        </w:rPr>
        <w:t xml:space="preserve">La ley 7 del 5 de Marzo del 2013 </w:t>
      </w:r>
      <w:proofErr w:type="gramStart"/>
      <w:r>
        <w:rPr>
          <w:rFonts w:ascii="Times New Roman" w:eastAsia="Times New Roman" w:hAnsi="Times New Roman" w:cs="Times New Roman"/>
          <w:sz w:val="16"/>
          <w:szCs w:val="16"/>
          <w:highlight w:val="white"/>
        </w:rPr>
        <w:t>#“ Que</w:t>
      </w:r>
      <w:proofErr w:type="gramEnd"/>
      <w:r>
        <w:rPr>
          <w:rFonts w:ascii="Times New Roman" w:eastAsia="Times New Roman" w:hAnsi="Times New Roman" w:cs="Times New Roman"/>
          <w:sz w:val="16"/>
          <w:szCs w:val="16"/>
          <w:highlight w:val="white"/>
        </w:rPr>
        <w:t xml:space="preserve"> establece el marco regulatorio para la esterilización femenina”</w:t>
      </w:r>
      <w:hyperlink r:id="rId6">
        <w:r>
          <w:rPr>
            <w:rFonts w:ascii="Times New Roman" w:eastAsia="Times New Roman" w:hAnsi="Times New Roman" w:cs="Times New Roman"/>
            <w:color w:val="1155CC"/>
            <w:sz w:val="16"/>
            <w:szCs w:val="16"/>
            <w:highlight w:val="white"/>
            <w:u w:val="single"/>
          </w:rPr>
          <w:t>https://www.asamblea.gob.pa/APPS/LEGISPAN/PDF_NORMAS/2010/2013/2013_601_3127.pdf</w:t>
        </w:r>
      </w:hyperlink>
    </w:p>
  </w:footnote>
  <w:footnote w:id="7">
    <w:p w14:paraId="3DCBE389" w14:textId="77777777" w:rsidR="00BF1A31" w:rsidRDefault="00F5799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Un fallo del Supremo que "discrimina" a las mujeres genera repudio en Panamá</w:t>
      </w:r>
    </w:p>
    <w:p w14:paraId="51E4C520" w14:textId="77777777" w:rsidR="00BF1A31" w:rsidRDefault="00F5799A">
      <w:pPr>
        <w:spacing w:line="240" w:lineRule="auto"/>
        <w:rPr>
          <w:rFonts w:ascii="Times New Roman" w:eastAsia="Times New Roman" w:hAnsi="Times New Roman" w:cs="Times New Roman"/>
          <w:sz w:val="16"/>
          <w:szCs w:val="16"/>
        </w:rPr>
      </w:pPr>
      <w:hyperlink r:id="rId7">
        <w:r>
          <w:rPr>
            <w:rFonts w:ascii="Times New Roman" w:eastAsia="Times New Roman" w:hAnsi="Times New Roman" w:cs="Times New Roman"/>
            <w:color w:val="1155CC"/>
            <w:sz w:val="16"/>
            <w:szCs w:val="16"/>
            <w:u w:val="single"/>
          </w:rPr>
          <w:t>https://www.swissinfo.ch/spa/panam%C3%A1-d-humanos_un-fallo-del-supremo-que--discrimina--a-las-mujeres-genera-repudio-en-panam%C</w:t>
        </w:r>
        <w:r>
          <w:rPr>
            <w:rFonts w:ascii="Times New Roman" w:eastAsia="Times New Roman" w:hAnsi="Times New Roman" w:cs="Times New Roman"/>
            <w:color w:val="1155CC"/>
            <w:sz w:val="16"/>
            <w:szCs w:val="16"/>
            <w:u w:val="single"/>
          </w:rPr>
          <w:t>3%A1/46466752</w:t>
        </w:r>
      </w:hyperlink>
      <w:r>
        <w:rPr>
          <w:rFonts w:ascii="Times New Roman" w:eastAsia="Times New Roman" w:hAnsi="Times New Roman" w:cs="Times New Roman"/>
          <w:sz w:val="16"/>
          <w:szCs w:val="16"/>
        </w:rPr>
        <w:t xml:space="preserve"> </w:t>
      </w:r>
    </w:p>
  </w:footnote>
  <w:footnote w:id="8">
    <w:p w14:paraId="506B4BF8" w14:textId="77777777" w:rsidR="00BF1A31" w:rsidRDefault="00F5799A">
      <w:pPr>
        <w:spacing w:line="240" w:lineRule="auto"/>
        <w:rPr>
          <w:sz w:val="20"/>
          <w:szCs w:val="20"/>
        </w:rPr>
      </w:pPr>
      <w:r>
        <w:rPr>
          <w:vertAlign w:val="superscript"/>
        </w:rPr>
        <w:footnoteRef/>
      </w:r>
      <w:hyperlink r:id="rId8">
        <w:r>
          <w:rPr>
            <w:rFonts w:ascii="Times New Roman" w:eastAsia="Times New Roman" w:hAnsi="Times New Roman" w:cs="Times New Roman"/>
            <w:color w:val="1155CC"/>
            <w:sz w:val="16"/>
            <w:szCs w:val="16"/>
            <w:u w:val="single"/>
          </w:rPr>
          <w:t>https://pges.org.pa/equidad-de-genero-en-panama/</w:t>
        </w:r>
      </w:hyperlink>
    </w:p>
    <w:p w14:paraId="3F4E3FC9" w14:textId="77777777" w:rsidR="00BF1A31" w:rsidRDefault="00F5799A">
      <w:pPr>
        <w:spacing w:line="240" w:lineRule="auto"/>
        <w:rPr>
          <w:sz w:val="20"/>
          <w:szCs w:val="20"/>
        </w:rPr>
      </w:pPr>
      <w:r>
        <w:rPr>
          <w:sz w:val="20"/>
          <w:szCs w:val="20"/>
        </w:rPr>
        <w:t xml:space="preserve"> </w:t>
      </w:r>
    </w:p>
  </w:footnote>
  <w:footnote w:id="9">
    <w:p w14:paraId="37F1E1EE" w14:textId="77777777" w:rsidR="00BF1A31" w:rsidRDefault="00F5799A">
      <w:pPr>
        <w:spacing w:line="240" w:lineRule="auto"/>
        <w:rPr>
          <w:rFonts w:ascii="Times New Roman" w:eastAsia="Times New Roman" w:hAnsi="Times New Roman" w:cs="Times New Roman"/>
          <w:sz w:val="16"/>
          <w:szCs w:val="16"/>
        </w:rPr>
      </w:pPr>
      <w:r>
        <w:rPr>
          <w:vertAlign w:val="superscript"/>
        </w:rPr>
        <w:footnoteRef/>
      </w:r>
      <w:hyperlink r:id="rId9">
        <w:r>
          <w:rPr>
            <w:rFonts w:ascii="Times New Roman" w:eastAsia="Times New Roman" w:hAnsi="Times New Roman" w:cs="Times New Roman"/>
            <w:color w:val="1155CC"/>
            <w:sz w:val="16"/>
            <w:szCs w:val="16"/>
            <w:u w:val="single"/>
          </w:rPr>
          <w:t>https://lac.unwomen.org/sites/default/files/Field%20Office%20Americas/Documentos/Publicaciones/2021/03/Perfil%20de%20pais%20segun%20igualdad%20de%20genero%20ONU%20Mujeres%20web</w:t>
        </w:r>
        <w:r>
          <w:rPr>
            <w:rFonts w:ascii="Times New Roman" w:eastAsia="Times New Roman" w:hAnsi="Times New Roman" w:cs="Times New Roman"/>
            <w:color w:val="1155CC"/>
            <w:sz w:val="16"/>
            <w:szCs w:val="16"/>
            <w:u w:val="single"/>
          </w:rPr>
          <w:t>.pdf</w:t>
        </w:r>
      </w:hyperlink>
    </w:p>
    <w:p w14:paraId="55752E1E" w14:textId="77777777" w:rsidR="00BF1A31" w:rsidRDefault="00BF1A31">
      <w:pPr>
        <w:spacing w:line="240" w:lineRule="auto"/>
        <w:rPr>
          <w:sz w:val="20"/>
          <w:szCs w:val="20"/>
        </w:rPr>
      </w:pPr>
    </w:p>
  </w:footnote>
  <w:footnote w:id="10">
    <w:p w14:paraId="0B7719C1" w14:textId="77777777" w:rsidR="00BF1A31" w:rsidRDefault="00F5799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10">
        <w:r>
          <w:rPr>
            <w:rFonts w:ascii="Times New Roman" w:eastAsia="Times New Roman" w:hAnsi="Times New Roman" w:cs="Times New Roman"/>
            <w:color w:val="1155CC"/>
            <w:sz w:val="16"/>
            <w:szCs w:val="16"/>
            <w:u w:val="single"/>
          </w:rPr>
          <w:t>https://www.mides.gob.pa/2021/10/04/presentan-estrategia-nacional-de-prevencion-y-atencion-al-embarazo-en-ninas</w:t>
        </w:r>
        <w:r>
          <w:rPr>
            <w:rFonts w:ascii="Times New Roman" w:eastAsia="Times New Roman" w:hAnsi="Times New Roman" w:cs="Times New Roman"/>
            <w:color w:val="1155CC"/>
            <w:sz w:val="16"/>
            <w:szCs w:val="16"/>
            <w:u w:val="single"/>
          </w:rPr>
          <w:t>-y-adolescentes/</w:t>
        </w:r>
      </w:hyperlink>
    </w:p>
    <w:p w14:paraId="7323C751" w14:textId="77777777" w:rsidR="00BF1A31" w:rsidRDefault="00BF1A31">
      <w:pPr>
        <w:spacing w:line="240" w:lineRule="auto"/>
        <w:rPr>
          <w:sz w:val="20"/>
          <w:szCs w:val="20"/>
        </w:rPr>
      </w:pPr>
    </w:p>
  </w:footnote>
  <w:footnote w:id="11">
    <w:p w14:paraId="3EA27632" w14:textId="77777777" w:rsidR="00BF1A31" w:rsidRDefault="00F5799A">
      <w:pPr>
        <w:spacing w:line="240" w:lineRule="auto"/>
        <w:rPr>
          <w:rFonts w:ascii="Times New Roman" w:eastAsia="Times New Roman" w:hAnsi="Times New Roman" w:cs="Times New Roman"/>
          <w:sz w:val="16"/>
          <w:szCs w:val="16"/>
        </w:rPr>
      </w:pPr>
      <w:r>
        <w:rPr>
          <w:vertAlign w:val="superscript"/>
        </w:rPr>
        <w:footnoteRef/>
      </w:r>
      <w:r>
        <w:rPr>
          <w:sz w:val="20"/>
          <w:szCs w:val="20"/>
        </w:rPr>
        <w:t xml:space="preserve"> </w:t>
      </w:r>
      <w:r>
        <w:rPr>
          <w:rFonts w:ascii="Times New Roman" w:eastAsia="Times New Roman" w:hAnsi="Times New Roman" w:cs="Times New Roman"/>
          <w:sz w:val="16"/>
          <w:szCs w:val="16"/>
          <w:highlight w:val="white"/>
        </w:rPr>
        <w:t xml:space="preserve">Ley 11 De 22 de abril de 2005 Que prohíbe la discriminación laboral y adopta otras medidas </w:t>
      </w:r>
      <w:hyperlink r:id="rId11">
        <w:r>
          <w:rPr>
            <w:rFonts w:ascii="Times New Roman" w:eastAsia="Times New Roman" w:hAnsi="Times New Roman" w:cs="Times New Roman"/>
            <w:color w:val="1155CC"/>
            <w:sz w:val="16"/>
            <w:szCs w:val="16"/>
            <w:highlight w:val="white"/>
            <w:u w:val="single"/>
          </w:rPr>
          <w:t>https://docs.panama.justia.com/federales/leyes/11-de</w:t>
        </w:r>
        <w:r>
          <w:rPr>
            <w:rFonts w:ascii="Times New Roman" w:eastAsia="Times New Roman" w:hAnsi="Times New Roman" w:cs="Times New Roman"/>
            <w:color w:val="1155CC"/>
            <w:sz w:val="16"/>
            <w:szCs w:val="16"/>
            <w:highlight w:val="white"/>
            <w:u w:val="single"/>
          </w:rPr>
          <w:t>-2005-apr-27-2005.pdf</w:t>
        </w:r>
      </w:hyperlink>
    </w:p>
  </w:footnote>
  <w:footnote w:id="12">
    <w:p w14:paraId="799D3B18" w14:textId="77777777" w:rsidR="00BF1A31" w:rsidRDefault="00F5799A">
      <w:pPr>
        <w:spacing w:line="240" w:lineRule="auto"/>
        <w:rPr>
          <w:rFonts w:ascii="Times New Roman" w:eastAsia="Times New Roman" w:hAnsi="Times New Roman" w:cs="Times New Roman"/>
          <w:sz w:val="16"/>
          <w:szCs w:val="16"/>
        </w:rPr>
      </w:pPr>
      <w:r>
        <w:rPr>
          <w:vertAlign w:val="superscript"/>
        </w:rPr>
        <w:footnoteRef/>
      </w:r>
      <w:r>
        <w:rPr>
          <w:sz w:val="20"/>
          <w:szCs w:val="20"/>
        </w:rPr>
        <w:t xml:space="preserve"> </w:t>
      </w:r>
      <w:hyperlink r:id="rId12">
        <w:r>
          <w:rPr>
            <w:rFonts w:ascii="Times New Roman" w:eastAsia="Times New Roman" w:hAnsi="Times New Roman" w:cs="Times New Roman"/>
            <w:color w:val="1155CC"/>
            <w:sz w:val="16"/>
            <w:szCs w:val="16"/>
            <w:highlight w:val="white"/>
            <w:u w:val="single"/>
          </w:rPr>
          <w:t>https://www.konzerta.com/noticias/en-el-trabajo/32-ha-sufrido-discriminacion-por-su-orien</w:t>
        </w:r>
        <w:r>
          <w:rPr>
            <w:rFonts w:ascii="Times New Roman" w:eastAsia="Times New Roman" w:hAnsi="Times New Roman" w:cs="Times New Roman"/>
            <w:color w:val="1155CC"/>
            <w:sz w:val="16"/>
            <w:szCs w:val="16"/>
            <w:highlight w:val="white"/>
            <w:u w:val="single"/>
          </w:rPr>
          <w:t>tacion-sexual-en-el-mundo-laboral/</w:t>
        </w:r>
      </w:hyperlink>
    </w:p>
  </w:footnote>
  <w:footnote w:id="13">
    <w:p w14:paraId="1FF10D3E" w14:textId="77777777" w:rsidR="00BF1A31" w:rsidRDefault="00F5799A">
      <w:pPr>
        <w:spacing w:line="240" w:lineRule="auto"/>
        <w:rPr>
          <w:sz w:val="20"/>
          <w:szCs w:val="20"/>
        </w:rPr>
      </w:pPr>
      <w:r>
        <w:rPr>
          <w:vertAlign w:val="superscript"/>
        </w:rPr>
        <w:footnoteRef/>
      </w:r>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1155CC"/>
            <w:sz w:val="16"/>
            <w:szCs w:val="16"/>
            <w:highlight w:val="white"/>
            <w:u w:val="single"/>
          </w:rPr>
          <w:t>https://www.laestrella.com.pa/nacional/220224/sistema-fallo-caso-nina-embarazada</w:t>
        </w:r>
      </w:hyperlink>
    </w:p>
  </w:footnote>
  <w:footnote w:id="14">
    <w:p w14:paraId="7D95D15F" w14:textId="77777777" w:rsidR="00BF1A31" w:rsidRDefault="00F5799A">
      <w:pPr>
        <w:spacing w:line="240" w:lineRule="auto"/>
        <w:rPr>
          <w:rFonts w:ascii="Times New Roman" w:eastAsia="Times New Roman" w:hAnsi="Times New Roman" w:cs="Times New Roman"/>
          <w:sz w:val="16"/>
          <w:szCs w:val="16"/>
        </w:rPr>
      </w:pPr>
      <w:r>
        <w:rPr>
          <w:vertAlign w:val="superscript"/>
        </w:rPr>
        <w:footnoteRef/>
      </w:r>
      <w:r>
        <w:rPr>
          <w:sz w:val="20"/>
          <w:szCs w:val="20"/>
        </w:rPr>
        <w:t xml:space="preserve"> </w:t>
      </w:r>
      <w:hyperlink r:id="rId14">
        <w:r>
          <w:rPr>
            <w:rFonts w:ascii="Times New Roman" w:eastAsia="Times New Roman" w:hAnsi="Times New Roman" w:cs="Times New Roman"/>
            <w:color w:val="1155CC"/>
            <w:sz w:val="16"/>
            <w:szCs w:val="16"/>
            <w:highlight w:val="white"/>
            <w:u w:val="single"/>
          </w:rPr>
          <w:t>https://www.prensa.com/sociedad/10-de-la-poblacion-tiene-algun-trastorno-mental-sin-diagnosticar-segun-estudio-de-la-css/</w:t>
        </w:r>
      </w:hyperlink>
    </w:p>
  </w:footnote>
  <w:footnote w:id="15">
    <w:p w14:paraId="778E1F25" w14:textId="77777777" w:rsidR="00BF1A31" w:rsidRDefault="00F5799A">
      <w:pPr>
        <w:spacing w:line="240" w:lineRule="auto"/>
        <w:rPr>
          <w:sz w:val="20"/>
          <w:szCs w:val="20"/>
        </w:rPr>
      </w:pPr>
      <w:r>
        <w:rPr>
          <w:vertAlign w:val="superscript"/>
        </w:rPr>
        <w:footnoteRef/>
      </w:r>
      <w:r>
        <w:rPr>
          <w:rFonts w:ascii="Times New Roman" w:eastAsia="Times New Roman" w:hAnsi="Times New Roman" w:cs="Times New Roman"/>
          <w:sz w:val="16"/>
          <w:szCs w:val="16"/>
        </w:rPr>
        <w:t xml:space="preserve"> </w:t>
      </w:r>
      <w:hyperlink r:id="rId15">
        <w:r>
          <w:rPr>
            <w:rFonts w:ascii="Times New Roman" w:eastAsia="Times New Roman" w:hAnsi="Times New Roman" w:cs="Times New Roman"/>
            <w:color w:val="1155CC"/>
            <w:sz w:val="16"/>
            <w:szCs w:val="16"/>
            <w:u w:val="single"/>
          </w:rPr>
          <w:t>https://www.asamblea.gob.pa/APPS/SEG_LEGIS/PDF_SEG/PDF_SEG_2020/PDF_SEG_2020/2020_P_314.pdf</w:t>
        </w:r>
      </w:hyperlink>
    </w:p>
  </w:footnote>
  <w:footnote w:id="16">
    <w:p w14:paraId="224DD58A" w14:textId="77777777" w:rsidR="00BF1A31" w:rsidRDefault="00F5799A">
      <w:pPr>
        <w:spacing w:line="240" w:lineRule="auto"/>
        <w:rPr>
          <w:rFonts w:ascii="Times New Roman" w:eastAsia="Times New Roman" w:hAnsi="Times New Roman" w:cs="Times New Roman"/>
          <w:sz w:val="16"/>
          <w:szCs w:val="16"/>
          <w:highlight w:val="white"/>
        </w:rPr>
      </w:pPr>
      <w:r>
        <w:rPr>
          <w:vertAlign w:val="superscript"/>
        </w:rPr>
        <w:footnoteRef/>
      </w:r>
      <w:r>
        <w:rPr>
          <w:sz w:val="20"/>
          <w:szCs w:val="20"/>
        </w:rPr>
        <w:t xml:space="preserve"> </w:t>
      </w:r>
      <w:hyperlink r:id="rId16">
        <w:r>
          <w:rPr>
            <w:rFonts w:ascii="Times New Roman" w:eastAsia="Times New Roman" w:hAnsi="Times New Roman" w:cs="Times New Roman"/>
            <w:color w:val="1155CC"/>
            <w:sz w:val="16"/>
            <w:szCs w:val="16"/>
            <w:highlight w:val="white"/>
            <w:u w:val="single"/>
          </w:rPr>
          <w:t>https://www.laestrella.com.pa/nacional/220704/mas-30-intentos-suicidio-registrados-mes-centros-escolares-panama</w:t>
        </w:r>
      </w:hyperlink>
    </w:p>
    <w:p w14:paraId="1F05D5CB" w14:textId="77777777" w:rsidR="00BF1A31" w:rsidRDefault="00BF1A31">
      <w:pPr>
        <w:spacing w:line="240" w:lineRule="auto"/>
        <w:rPr>
          <w:sz w:val="20"/>
          <w:szCs w:val="20"/>
        </w:rPr>
      </w:pPr>
    </w:p>
  </w:footnote>
  <w:footnote w:id="17">
    <w:p w14:paraId="3DE78B3D" w14:textId="77777777" w:rsidR="00BF1A31" w:rsidRDefault="00F5799A">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17">
        <w:r>
          <w:rPr>
            <w:rFonts w:ascii="Times New Roman" w:eastAsia="Times New Roman" w:hAnsi="Times New Roman" w:cs="Times New Roman"/>
            <w:color w:val="1155CC"/>
            <w:sz w:val="16"/>
            <w:szCs w:val="16"/>
            <w:u w:val="single"/>
          </w:rPr>
          <w:t>https://pges.org.pa/equidad-de-gen</w:t>
        </w:r>
        <w:r>
          <w:rPr>
            <w:rFonts w:ascii="Times New Roman" w:eastAsia="Times New Roman" w:hAnsi="Times New Roman" w:cs="Times New Roman"/>
            <w:color w:val="1155CC"/>
            <w:sz w:val="16"/>
            <w:szCs w:val="16"/>
            <w:u w:val="single"/>
          </w:rPr>
          <w:t>ero-en-panama/</w:t>
        </w:r>
      </w:hyperlink>
    </w:p>
    <w:p w14:paraId="76D5695D" w14:textId="77777777" w:rsidR="00BF1A31" w:rsidRDefault="00BF1A31">
      <w:pPr>
        <w:spacing w:line="240" w:lineRule="auto"/>
        <w:rPr>
          <w:sz w:val="20"/>
          <w:szCs w:val="20"/>
        </w:rPr>
      </w:pPr>
    </w:p>
  </w:footnote>
  <w:footnote w:id="18">
    <w:p w14:paraId="74381C8D" w14:textId="77777777" w:rsidR="00BF1A31" w:rsidRDefault="00F5799A">
      <w:pPr>
        <w:spacing w:line="240" w:lineRule="auto"/>
        <w:rPr>
          <w:sz w:val="20"/>
          <w:szCs w:val="20"/>
        </w:rPr>
      </w:pPr>
      <w:r>
        <w:rPr>
          <w:vertAlign w:val="superscript"/>
        </w:rPr>
        <w:footnoteRef/>
      </w:r>
      <w:r>
        <w:rPr>
          <w:sz w:val="20"/>
          <w:szCs w:val="20"/>
        </w:rPr>
        <w:t xml:space="preserve"> </w:t>
      </w:r>
      <w:hyperlink r:id="rId18">
        <w:r>
          <w:rPr>
            <w:color w:val="1155CC"/>
            <w:sz w:val="20"/>
            <w:szCs w:val="20"/>
            <w:u w:val="single"/>
          </w:rPr>
          <w:t>https://www.laestrella.com.pa/nacional/210210/cobertura-repitencia-desercion-escolar-talon</w:t>
        </w:r>
      </w:hyperlink>
    </w:p>
    <w:p w14:paraId="27AC5286" w14:textId="77777777" w:rsidR="00BF1A31" w:rsidRDefault="00BF1A31">
      <w:pPr>
        <w:spacing w:line="240" w:lineRule="auto"/>
        <w:rPr>
          <w:sz w:val="20"/>
          <w:szCs w:val="20"/>
        </w:rPr>
      </w:pPr>
    </w:p>
  </w:footnote>
  <w:footnote w:id="19">
    <w:p w14:paraId="18E6978E" w14:textId="77777777" w:rsidR="00BF1A31" w:rsidRDefault="00F5799A">
      <w:pPr>
        <w:spacing w:line="240" w:lineRule="auto"/>
        <w:rPr>
          <w:sz w:val="20"/>
          <w:szCs w:val="20"/>
        </w:rPr>
      </w:pPr>
      <w:r>
        <w:rPr>
          <w:vertAlign w:val="superscript"/>
        </w:rPr>
        <w:footnoteRef/>
      </w:r>
      <w:hyperlink r:id="rId19">
        <w:r>
          <w:rPr>
            <w:rFonts w:ascii="Roboto" w:eastAsia="Roboto" w:hAnsi="Roboto" w:cs="Roboto"/>
            <w:color w:val="1155CC"/>
            <w:sz w:val="20"/>
            <w:szCs w:val="20"/>
            <w:highlight w:val="white"/>
            <w:u w:val="single"/>
          </w:rPr>
          <w:t>https://www.unicef.org/panama/media/1621/file/Capitulo%202%20derecho%20a%20la%20educacion.pdf</w:t>
        </w:r>
      </w:hyperlink>
    </w:p>
  </w:footnote>
  <w:footnote w:id="20">
    <w:p w14:paraId="6150D0E4" w14:textId="77777777" w:rsidR="00BF1A31" w:rsidRDefault="00F5799A">
      <w:pPr>
        <w:spacing w:line="240" w:lineRule="auto"/>
        <w:rPr>
          <w:sz w:val="20"/>
          <w:szCs w:val="20"/>
        </w:rPr>
      </w:pPr>
      <w:r>
        <w:rPr>
          <w:vertAlign w:val="superscript"/>
        </w:rPr>
        <w:footnoteRef/>
      </w:r>
      <w:r>
        <w:rPr>
          <w:sz w:val="20"/>
          <w:szCs w:val="20"/>
        </w:rPr>
        <w:t xml:space="preserve"> </w:t>
      </w:r>
      <w:hyperlink r:id="rId20">
        <w:r>
          <w:rPr>
            <w:color w:val="1155CC"/>
            <w:sz w:val="20"/>
            <w:szCs w:val="20"/>
            <w:u w:val="single"/>
          </w:rPr>
          <w:t>https://www.unicef.org/panama/informes/tercera-encuesta-de-hogares</w:t>
        </w:r>
      </w:hyperlink>
    </w:p>
    <w:p w14:paraId="746A9E68" w14:textId="77777777" w:rsidR="00BF1A31" w:rsidRDefault="00BF1A31">
      <w:pPr>
        <w:spacing w:line="240" w:lineRule="auto"/>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63419"/>
    <w:multiLevelType w:val="multilevel"/>
    <w:tmpl w:val="E77E5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E516CDD"/>
    <w:multiLevelType w:val="multilevel"/>
    <w:tmpl w:val="650C03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1115C31"/>
    <w:multiLevelType w:val="multilevel"/>
    <w:tmpl w:val="F5D23E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C2141D8"/>
    <w:multiLevelType w:val="multilevel"/>
    <w:tmpl w:val="8B1E5E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8161220"/>
    <w:multiLevelType w:val="multilevel"/>
    <w:tmpl w:val="05AE57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B8E15D7"/>
    <w:multiLevelType w:val="multilevel"/>
    <w:tmpl w:val="1A3856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4C214F8"/>
    <w:multiLevelType w:val="multilevel"/>
    <w:tmpl w:val="46A0C4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4"/>
  </w:num>
  <w:num w:numId="3">
    <w:abstractNumId w:val="5"/>
  </w:num>
  <w:num w:numId="4">
    <w:abstractNumId w:val="2"/>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A31"/>
    <w:rsid w:val="00BF1A31"/>
    <w:rsid w:val="00F579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9754D"/>
  <w15:docId w15:val="{11A374D5-A0B8-4B18-BA92-4E78C5D46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419"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paragraph" w:styleId="Revision">
    <w:name w:val="Revision"/>
    <w:hidden/>
    <w:uiPriority w:val="99"/>
    <w:semiHidden/>
    <w:rsid w:val="00EE7BE4"/>
    <w:pPr>
      <w:spacing w:line="240" w:lineRule="auto"/>
    </w:pPr>
  </w:style>
  <w:style w:type="character" w:styleId="CommentReference">
    <w:name w:val="annotation reference"/>
    <w:basedOn w:val="DefaultParagraphFont"/>
    <w:uiPriority w:val="99"/>
    <w:semiHidden/>
    <w:unhideWhenUsed/>
    <w:rsid w:val="00702D0F"/>
    <w:rPr>
      <w:sz w:val="16"/>
      <w:szCs w:val="16"/>
    </w:rPr>
  </w:style>
  <w:style w:type="paragraph" w:styleId="CommentText">
    <w:name w:val="annotation text"/>
    <w:basedOn w:val="Normal"/>
    <w:link w:val="CommentTextChar"/>
    <w:uiPriority w:val="99"/>
    <w:unhideWhenUsed/>
    <w:rsid w:val="00702D0F"/>
    <w:pPr>
      <w:spacing w:line="240" w:lineRule="auto"/>
    </w:pPr>
    <w:rPr>
      <w:sz w:val="20"/>
      <w:szCs w:val="20"/>
    </w:rPr>
  </w:style>
  <w:style w:type="character" w:customStyle="1" w:styleId="CommentTextChar">
    <w:name w:val="Comment Text Char"/>
    <w:basedOn w:val="DefaultParagraphFont"/>
    <w:link w:val="CommentText"/>
    <w:uiPriority w:val="99"/>
    <w:rsid w:val="00702D0F"/>
    <w:rPr>
      <w:sz w:val="20"/>
      <w:szCs w:val="20"/>
    </w:rPr>
  </w:style>
  <w:style w:type="paragraph" w:styleId="CommentSubject">
    <w:name w:val="annotation subject"/>
    <w:basedOn w:val="CommentText"/>
    <w:next w:val="CommentText"/>
    <w:link w:val="CommentSubjectChar"/>
    <w:uiPriority w:val="99"/>
    <w:semiHidden/>
    <w:unhideWhenUsed/>
    <w:rsid w:val="00702D0F"/>
    <w:rPr>
      <w:b/>
      <w:bCs/>
    </w:rPr>
  </w:style>
  <w:style w:type="character" w:customStyle="1" w:styleId="CommentSubjectChar">
    <w:name w:val="Comment Subject Char"/>
    <w:basedOn w:val="CommentTextChar"/>
    <w:link w:val="CommentSubject"/>
    <w:uiPriority w:val="99"/>
    <w:semiHidden/>
    <w:rsid w:val="00702D0F"/>
    <w:rPr>
      <w:b/>
      <w:bCs/>
      <w:sz w:val="20"/>
      <w:szCs w:val="20"/>
    </w:rPr>
  </w:style>
  <w:style w:type="table" w:customStyle="1" w:styleId="a7">
    <w:basedOn w:val="TableNormal1"/>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top w:w="100" w:type="dxa"/>
        <w:left w:w="100" w:type="dxa"/>
        <w:bottom w:w="100" w:type="dxa"/>
        <w:right w:w="100" w:type="dxa"/>
      </w:tblCellMar>
    </w:tblPr>
  </w:style>
  <w:style w:type="table" w:customStyle="1" w:styleId="a9">
    <w:basedOn w:val="TableNormal1"/>
    <w:tblPr>
      <w:tblStyleRowBandSize w:val="1"/>
      <w:tblStyleColBandSize w:val="1"/>
      <w:tblCellMar>
        <w:top w:w="100" w:type="dxa"/>
        <w:left w:w="100" w:type="dxa"/>
        <w:bottom w:w="100" w:type="dxa"/>
        <w:right w:w="100" w:type="dxa"/>
      </w:tblCellMar>
    </w:tblPr>
  </w:style>
  <w:style w:type="table" w:customStyle="1" w:styleId="aa">
    <w:basedOn w:val="TableNormal1"/>
    <w:tblPr>
      <w:tblStyleRowBandSize w:val="1"/>
      <w:tblStyleColBandSize w:val="1"/>
      <w:tblCellMar>
        <w:top w:w="100" w:type="dxa"/>
        <w:left w:w="100" w:type="dxa"/>
        <w:bottom w:w="100" w:type="dxa"/>
        <w:right w:w="100" w:type="dxa"/>
      </w:tblCellMar>
    </w:tblPr>
  </w:style>
  <w:style w:type="table" w:customStyle="1" w:styleId="ab">
    <w:basedOn w:val="TableNormal1"/>
    <w:tblPr>
      <w:tblStyleRowBandSize w:val="1"/>
      <w:tblStyleColBandSize w:val="1"/>
      <w:tblCellMar>
        <w:top w:w="100" w:type="dxa"/>
        <w:left w:w="100" w:type="dxa"/>
        <w:bottom w:w="100" w:type="dxa"/>
        <w:right w:w="100" w:type="dxa"/>
      </w:tblCellMar>
    </w:tblPr>
  </w:style>
  <w:style w:type="table" w:customStyle="1" w:styleId="ac">
    <w:basedOn w:val="TableNormal1"/>
    <w:tblPr>
      <w:tblStyleRowBandSize w:val="1"/>
      <w:tblStyleColBandSize w:val="1"/>
      <w:tblCellMar>
        <w:top w:w="100" w:type="dxa"/>
        <w:left w:w="100" w:type="dxa"/>
        <w:bottom w:w="100" w:type="dxa"/>
        <w:right w:w="100" w:type="dxa"/>
      </w:tblCellMar>
    </w:tblPr>
  </w:style>
  <w:style w:type="table" w:customStyle="1" w:styleId="ad">
    <w:basedOn w:val="TableNormal1"/>
    <w:tblPr>
      <w:tblStyleRowBandSize w:val="1"/>
      <w:tblStyleColBandSize w:val="1"/>
      <w:tblCellMar>
        <w:top w:w="100" w:type="dxa"/>
        <w:left w:w="100" w:type="dxa"/>
        <w:bottom w:w="100" w:type="dxa"/>
        <w:right w:w="100" w:type="dxa"/>
      </w:tblCellMar>
    </w:tblPr>
  </w:style>
  <w:style w:type="table" w:customStyle="1" w:styleId="ae">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pges.org.pa/equidad-de-genero-en-panama/" TargetMode="External"/><Relationship Id="rId13" Type="http://schemas.openxmlformats.org/officeDocument/2006/relationships/hyperlink" Target="https://www.laestrella.com.pa/nacional/220224/sistema-fallo-caso-nina-embarazada" TargetMode="External"/><Relationship Id="rId18" Type="http://schemas.openxmlformats.org/officeDocument/2006/relationships/hyperlink" Target="https://www.laestrella.com.pa/nacional/210210/cobertura-repitencia-desercion-escolar-talon" TargetMode="External"/><Relationship Id="rId3" Type="http://schemas.openxmlformats.org/officeDocument/2006/relationships/hyperlink" Target="https://ministeriopublico.gob.pa/wp-content/uploads/2016/09/constitucion-politica-con-indice-analitico.pdf" TargetMode="External"/><Relationship Id="rId7" Type="http://schemas.openxmlformats.org/officeDocument/2006/relationships/hyperlink" Target="https://www.swissinfo.ch/spa/panam%C3%A1-d-humanos_un-fallo-del-supremo-que--discrimina--a-las-mujeres-genera-repudio-en-panam%C3%A1/46466752" TargetMode="External"/><Relationship Id="rId12" Type="http://schemas.openxmlformats.org/officeDocument/2006/relationships/hyperlink" Target="https://www.konzerta.com/noticias/en-el-trabajo/32-ha-sufrido-discriminacion-por-su-orientacion-sexual-en-el-mundo-laboral/" TargetMode="External"/><Relationship Id="rId17" Type="http://schemas.openxmlformats.org/officeDocument/2006/relationships/hyperlink" Target="https://pges.org.pa/equidad-de-genero-en-panama/" TargetMode="External"/><Relationship Id="rId2" Type="http://schemas.openxmlformats.org/officeDocument/2006/relationships/hyperlink" Target="https://utp.ac.pa/documentos/2010/pdf/LEY_DE_GENERO(8).pdf" TargetMode="External"/><Relationship Id="rId16" Type="http://schemas.openxmlformats.org/officeDocument/2006/relationships/hyperlink" Target="https://www.laestrella.com.pa/nacional/220704/mas-30-intentos-suicidio-registrados-mes-centros-escolares-panama" TargetMode="External"/><Relationship Id="rId20" Type="http://schemas.openxmlformats.org/officeDocument/2006/relationships/hyperlink" Target="https://www.unicef.org/panama/informes/tercera-encuesta-de-hogares" TargetMode="External"/><Relationship Id="rId1" Type="http://schemas.openxmlformats.org/officeDocument/2006/relationships/hyperlink" Target="https://www.organojudicial.gob.pa/uploads/wp_repo/uploads/2016/11/Ley-82-de-2013.pdf" TargetMode="External"/><Relationship Id="rId6" Type="http://schemas.openxmlformats.org/officeDocument/2006/relationships/hyperlink" Target="https://www.asamblea.gob.pa/APPS/LEGISPAN/PDF_NORMAS/2010/2013/2013_601_3127.pdf" TargetMode="External"/><Relationship Id="rId11" Type="http://schemas.openxmlformats.org/officeDocument/2006/relationships/hyperlink" Target="https://docs.panama.justia.com/federales/leyes/11-de-2005-apr-27-2005.pdf" TargetMode="External"/><Relationship Id="rId5" Type="http://schemas.openxmlformats.org/officeDocument/2006/relationships/hyperlink" Target="https://pges.org.pa/equidad-de-genero-en-panama/" TargetMode="External"/><Relationship Id="rId15" Type="http://schemas.openxmlformats.org/officeDocument/2006/relationships/hyperlink" Target="https://www.asamblea.gob.pa/APPS/SEG_LEGIS/PDF_SEG/PDF_SEG_2020/PDF_SEG_2020/2020_P_314.pdf" TargetMode="External"/><Relationship Id="rId10" Type="http://schemas.openxmlformats.org/officeDocument/2006/relationships/hyperlink" Target="https://www.mides.gob.pa/2021/10/04/presentan-estrategia-nacional-de-prevencion-y-atencion-al-embarazo-en-ninas-y-adolescentes/" TargetMode="External"/><Relationship Id="rId19" Type="http://schemas.openxmlformats.org/officeDocument/2006/relationships/hyperlink" Target="https://www.unicef.org/panama/media/1621/file/Capitulo%202%20derecho%20a%20la%20educacion.pdf" TargetMode="External"/><Relationship Id="rId4" Type="http://schemas.openxmlformats.org/officeDocument/2006/relationships/hyperlink" Target="https://www3.weforum.org/docs/WEF_GGGR_2022.pdf" TargetMode="External"/><Relationship Id="rId9" Type="http://schemas.openxmlformats.org/officeDocument/2006/relationships/hyperlink" Target="https://lac.unwomen.org/sites/default/files/Field%20Office%20Americas/Documentos/Publicaciones/2021/03/Perfil%20de%20pais%20segun%20igualdad%20de%20genero%20ONU%20Mujeres%20web.pdf" TargetMode="External"/><Relationship Id="rId14" Type="http://schemas.openxmlformats.org/officeDocument/2006/relationships/hyperlink" Target="https://www.prensa.com/sociedad/10-de-la-poblacion-tiene-algun-trastorno-mental-sin-diagnosticar-segun-estudio-de-la-c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NlsSJp0NiAa8IB48K+n1f0A42GA==">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3311</Words>
  <Characters>18878</Characters>
  <Application>Microsoft Office Word</Application>
  <DocSecurity>0</DocSecurity>
  <Lines>157</Lines>
  <Paragraphs>44</Paragraphs>
  <ScaleCrop>false</ScaleCrop>
  <Company>OHCHR</Company>
  <LinksUpToDate>false</LinksUpToDate>
  <CharactersWithSpaces>22145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Celine Reynaud</cp:lastModifiedBy>
  <cp:revision>2</cp:revision>
  <dcterms:created xsi:type="dcterms:W3CDTF">2023-01-17T09:33:00Z</dcterms:created>
  <dcterms:modified xsi:type="dcterms:W3CDTF">2023-01-17T09:33:00Z</dcterms:modified>
</cp:coreProperties>
</file>