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9873F" w14:textId="496F535D" w:rsidR="0041597E" w:rsidRPr="00D2074D" w:rsidRDefault="002402BE" w:rsidP="003A7E61">
      <w:pPr>
        <w:pStyle w:val="FootnoteText"/>
        <w:spacing w:line="300" w:lineRule="atLeast"/>
        <w:jc w:val="center"/>
        <w:rPr>
          <w:rFonts w:cs="Times New Roman"/>
          <w:b/>
          <w:bCs/>
          <w:sz w:val="26"/>
          <w:szCs w:val="26"/>
        </w:rPr>
      </w:pPr>
      <w:r w:rsidRPr="00D2074D">
        <w:rPr>
          <w:rFonts w:cs="Times New Roman"/>
          <w:b/>
          <w:bCs/>
          <w:sz w:val="26"/>
          <w:szCs w:val="26"/>
        </w:rPr>
        <w:t>ANNEX</w:t>
      </w:r>
      <w:r w:rsidR="00B53120" w:rsidRPr="00D2074D">
        <w:rPr>
          <w:rFonts w:cs="Times New Roman"/>
          <w:b/>
          <w:bCs/>
          <w:sz w:val="26"/>
          <w:szCs w:val="26"/>
        </w:rPr>
        <w:t xml:space="preserve"> 2</w:t>
      </w:r>
    </w:p>
    <w:p w14:paraId="4FE387FE" w14:textId="77777777" w:rsidR="0041597E" w:rsidRPr="00D2074D" w:rsidRDefault="0041597E" w:rsidP="003A7E61">
      <w:pPr>
        <w:pStyle w:val="FootnoteText"/>
        <w:spacing w:line="300" w:lineRule="atLeast"/>
        <w:jc w:val="center"/>
        <w:rPr>
          <w:rFonts w:cs="Times New Roman"/>
          <w:b/>
          <w:bCs/>
          <w:sz w:val="26"/>
          <w:szCs w:val="26"/>
        </w:rPr>
      </w:pPr>
    </w:p>
    <w:p w14:paraId="56D73E28" w14:textId="222ADE00" w:rsidR="006B1C53" w:rsidRPr="00D2074D" w:rsidRDefault="00D2074D" w:rsidP="002402BE">
      <w:pPr>
        <w:pStyle w:val="FootnoteText"/>
        <w:spacing w:line="300" w:lineRule="atLeast"/>
        <w:jc w:val="center"/>
        <w:rPr>
          <w:rFonts w:cs="Times New Roman"/>
          <w:b/>
          <w:bCs/>
          <w:sz w:val="26"/>
          <w:szCs w:val="26"/>
        </w:rPr>
      </w:pPr>
      <w:r w:rsidRPr="00D2074D">
        <w:rPr>
          <w:rFonts w:cs="Times New Roman"/>
          <w:b/>
          <w:bCs/>
          <w:sz w:val="26"/>
          <w:szCs w:val="26"/>
        </w:rPr>
        <w:t>A</w:t>
      </w:r>
      <w:r w:rsidRPr="00D2074D">
        <w:rPr>
          <w:rFonts w:cs="Times New Roman"/>
          <w:b/>
          <w:bCs/>
          <w:sz w:val="26"/>
          <w:szCs w:val="26"/>
          <w:lang w:val="vi-VN"/>
        </w:rPr>
        <w:t xml:space="preserve"> NUMBER OF </w:t>
      </w:r>
      <w:r w:rsidRPr="00D2074D">
        <w:rPr>
          <w:rFonts w:cs="Times New Roman"/>
          <w:b/>
          <w:bCs/>
          <w:sz w:val="26"/>
          <w:szCs w:val="26"/>
        </w:rPr>
        <w:t>REGULATIONS, MEASURES AND RESULTS ON IMPLEMENTATION OF THE ICCPR</w:t>
      </w:r>
    </w:p>
    <w:p w14:paraId="14C8D50D" w14:textId="0EBC96BF" w:rsidR="00280B0A" w:rsidRPr="00D2074D" w:rsidRDefault="00280B0A" w:rsidP="002402BE">
      <w:pPr>
        <w:pStyle w:val="FootnoteText"/>
        <w:spacing w:line="300" w:lineRule="atLeast"/>
        <w:jc w:val="center"/>
        <w:rPr>
          <w:rFonts w:cs="Times New Roman"/>
          <w:b/>
          <w:bCs/>
          <w:sz w:val="26"/>
          <w:szCs w:val="26"/>
        </w:rPr>
      </w:pPr>
      <w:r w:rsidRPr="00D2074D">
        <w:rPr>
          <w:rFonts w:cs="Times New Roman"/>
          <w:b/>
          <w:bCs/>
          <w:sz w:val="26"/>
          <w:szCs w:val="26"/>
        </w:rPr>
        <w:t>(</w:t>
      </w:r>
      <w:r w:rsidRPr="00D2074D">
        <w:rPr>
          <w:rFonts w:cs="Times New Roman"/>
          <w:b/>
          <w:bCs/>
          <w:i/>
          <w:iCs/>
          <w:sz w:val="26"/>
          <w:szCs w:val="26"/>
        </w:rPr>
        <w:t>supplementing information for some footnotes</w:t>
      </w:r>
      <w:r w:rsidR="00D2074D">
        <w:rPr>
          <w:rFonts w:cs="Times New Roman"/>
          <w:b/>
          <w:bCs/>
          <w:i/>
          <w:iCs/>
          <w:sz w:val="26"/>
          <w:szCs w:val="26"/>
          <w:lang w:val="vi-VN"/>
        </w:rPr>
        <w:t xml:space="preserve"> </w:t>
      </w:r>
      <w:r w:rsidRPr="00D2074D">
        <w:rPr>
          <w:rFonts w:cs="Times New Roman"/>
          <w:b/>
          <w:bCs/>
          <w:i/>
          <w:iCs/>
          <w:sz w:val="26"/>
          <w:szCs w:val="26"/>
        </w:rPr>
        <w:t>of the Written Response</w:t>
      </w:r>
      <w:r w:rsidRPr="00D2074D">
        <w:rPr>
          <w:rFonts w:cs="Times New Roman"/>
          <w:b/>
          <w:bCs/>
          <w:sz w:val="26"/>
          <w:szCs w:val="26"/>
        </w:rPr>
        <w:t>)</w:t>
      </w:r>
    </w:p>
    <w:p w14:paraId="3CDDA282" w14:textId="4F909EC0" w:rsidR="00CB19C0" w:rsidRPr="00D2074D" w:rsidRDefault="00520431" w:rsidP="002402BE">
      <w:pPr>
        <w:pStyle w:val="FootnoteText"/>
        <w:tabs>
          <w:tab w:val="left" w:pos="851"/>
        </w:tabs>
        <w:spacing w:line="300" w:lineRule="atLeast"/>
        <w:jc w:val="both"/>
        <w:rPr>
          <w:rFonts w:cs="Times New Roman"/>
          <w:sz w:val="26"/>
          <w:szCs w:val="26"/>
        </w:rPr>
      </w:pPr>
      <w:r w:rsidRPr="00D2074D">
        <w:rPr>
          <w:rFonts w:cs="Times New Roman"/>
          <w:bCs/>
          <w:sz w:val="26"/>
          <w:szCs w:val="26"/>
        </w:rPr>
        <w:t xml:space="preserve">    </w:t>
      </w:r>
    </w:p>
    <w:p w14:paraId="54799965" w14:textId="08873AE6" w:rsidR="00280B0A" w:rsidRPr="00D2074D" w:rsidRDefault="002402BE" w:rsidP="002402B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1</w:t>
      </w:r>
      <w:r w:rsidR="00280B0A"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280B0A" w:rsidRPr="00D2074D">
        <w:rPr>
          <w:rFonts w:ascii="Times New Roman" w:eastAsia="Times New Roman" w:hAnsi="Times New Roman" w:cs="Times New Roman"/>
          <w:b/>
          <w:bCs/>
          <w:kern w:val="0"/>
          <w:sz w:val="26"/>
          <w:szCs w:val="26"/>
          <w:lang w:val="en-US"/>
          <w14:ligatures w14:val="none"/>
        </w:rPr>
        <w:t>page 4</w:t>
      </w:r>
      <w:r w:rsidR="00D2074D">
        <w:rPr>
          <w:rFonts w:ascii="Times New Roman" w:eastAsia="Times New Roman" w:hAnsi="Times New Roman" w:cs="Times New Roman"/>
          <w:b/>
          <w:bCs/>
          <w:kern w:val="0"/>
          <w:sz w:val="26"/>
          <w:szCs w:val="26"/>
          <w:lang w:val="vi-VN"/>
          <w14:ligatures w14:val="none"/>
        </w:rPr>
        <w:t xml:space="preserve"> of the Written Response</w:t>
      </w:r>
      <w:r w:rsidR="00280B0A"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 xml:space="preserve"> </w:t>
      </w:r>
    </w:p>
    <w:p w14:paraId="3D042B74" w14:textId="71E9F4CB" w:rsidR="002402BE" w:rsidRPr="00D2074D" w:rsidRDefault="002402BE" w:rsidP="002402B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According to summary reports on Decision No. 1252/QĐ-TTg from local authorities and various ministries and sectors, provincial People</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s Committees have issued numerous documents to implement the assigned tasks. These documents ensure constitutionality and legality and have had a positive practical impact, enhancing the efficiency of citizen reception and the resolution of complaints and denunciations. The resolution of complaints and denunciations related to violations of individuals</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 xml:space="preserve"> civil and political rights has also been carried out regularly as part of operational plans, integrated into the reception, processing, and resolution procedures of each agency, unit, and locality.</w:t>
      </w:r>
    </w:p>
    <w:p w14:paraId="04814F03" w14:textId="37610276" w:rsidR="002402BE" w:rsidRPr="00D2074D" w:rsidRDefault="002402BE" w:rsidP="002402B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Most complaints and denunciations are related to compensation and support during land acquisition, the issuance of land use rights certificates, policies and regimes, administrative penalty decisions, unlawful acts, and violations in official duties. Provincial departments, agencies, and district-level People</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s Committees have received and provided detailed information on the processes for the public. Local channels for receiving complaints and denunciations are diverse, creating safer and more convenient conditions for individuals addressing civil and political rights violations. In addition to directly filing complaints and denunciations, organizations and individuals may also utilize postal services, which currently serve as the primary method.</w:t>
      </w:r>
      <w:r w:rsidR="00CB6C9D"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However, in practice, some citizens submit their petitions to multiple agencies, units, and localities. This is often due to a lack of understanding of the competent authority or individual authorized to resolve their issues. Additionally, some organizations or individuals may not fully comprehend the legal status of their case files, leading to persistent or escalated complaints and denunciations. Other common issues include petitions without clear addresses or content, unsigned petitions, impersonations, or anonymous complaints.</w:t>
      </w:r>
    </w:p>
    <w:p w14:paraId="5558D67C" w14:textId="4E5B129E" w:rsidR="002402BE" w:rsidRPr="00D2074D" w:rsidRDefault="002402BE" w:rsidP="002402B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Agencies have rigorously adhered to regular and periodic citizen reception activities per regulations, issuing announcements and public notices for awareness among agencies, organizations, and the public. Furthermore, local authorities have maintained hotlines and electronic mailboxes for receiving and processing information related to complaints and denunciations about harassment and administrative obstacles faced by citizens and businesses. They also address inquiries about areas under the jurisdiction of provincial departments and agencies, and publicize information on officials handling feedback and petitions through the National Public Service Portal.</w:t>
      </w:r>
      <w:r w:rsidR="00CB6C9D"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 xml:space="preserve">In some localities, inspection teams have been established to evaluate the reception and resolution of complaints and denunciations related to civil and political rights violations on an annual basis. These evaluations assess the reception process and the accountability of leaders in addressing complaints and denunciations. Additionally, periodic surveys of complainants and </w:t>
      </w:r>
      <w:r w:rsidRPr="00D2074D">
        <w:rPr>
          <w:rFonts w:ascii="Times New Roman" w:eastAsia="Times New Roman" w:hAnsi="Times New Roman" w:cs="Times New Roman"/>
          <w:kern w:val="0"/>
          <w:sz w:val="26"/>
          <w:szCs w:val="26"/>
          <w:lang w:val="en-US"/>
          <w14:ligatures w14:val="none"/>
        </w:rPr>
        <w:lastRenderedPageBreak/>
        <w:t>whistleblowers are conducted to measure satisfaction levels and improve the processes for receiving, handling, and resolving complaints and denunciations.</w:t>
      </w:r>
    </w:p>
    <w:p w14:paraId="5377675D" w14:textId="71648334" w:rsidR="00E97E0C" w:rsidRPr="00D2074D" w:rsidRDefault="00E97E0C" w:rsidP="00E97E0C">
      <w:pPr>
        <w:pStyle w:val="NormalWeb"/>
        <w:jc w:val="both"/>
        <w:rPr>
          <w:sz w:val="26"/>
          <w:szCs w:val="26"/>
        </w:rPr>
      </w:pPr>
      <w:r w:rsidRPr="00D2074D">
        <w:rPr>
          <w:sz w:val="26"/>
          <w:szCs w:val="26"/>
        </w:rPr>
        <w:t>The Supreme People</w:t>
      </w:r>
      <w:r w:rsidR="00280B0A" w:rsidRPr="00D2074D">
        <w:rPr>
          <w:sz w:val="26"/>
          <w:szCs w:val="26"/>
        </w:rPr>
        <w:t>’</w:t>
      </w:r>
      <w:r w:rsidRPr="00D2074D">
        <w:rPr>
          <w:sz w:val="26"/>
          <w:szCs w:val="26"/>
        </w:rPr>
        <w:t xml:space="preserve">s Procuracy (SPP), along with various ministries, ministerial-level agencies, government bodies, and provincial-level local authorities, has integrated the implementation of the </w:t>
      </w:r>
      <w:r w:rsidRPr="00D2074D">
        <w:rPr>
          <w:bCs/>
          <w:sz w:val="26"/>
          <w:szCs w:val="26"/>
        </w:rPr>
        <w:t>State compensation responsibility Law (SCRL)</w:t>
      </w:r>
      <w:r w:rsidRPr="00D2074D">
        <w:rPr>
          <w:sz w:val="26"/>
          <w:szCs w:val="26"/>
        </w:rPr>
        <w:t xml:space="preserve"> into their operational plans (Court Sector: Official Dispatch No. 74/TANDTC-TH dated </w:t>
      </w:r>
      <w:r w:rsidR="00280B0A" w:rsidRPr="00D2074D">
        <w:rPr>
          <w:sz w:val="26"/>
          <w:szCs w:val="26"/>
        </w:rPr>
        <w:t xml:space="preserve">9 </w:t>
      </w:r>
      <w:r w:rsidRPr="00D2074D">
        <w:rPr>
          <w:sz w:val="26"/>
          <w:szCs w:val="26"/>
        </w:rPr>
        <w:t>July 2018, issued by the Chief Justice of the Supreme People</w:t>
      </w:r>
      <w:r w:rsidR="00280B0A" w:rsidRPr="00D2074D">
        <w:rPr>
          <w:sz w:val="26"/>
          <w:szCs w:val="26"/>
        </w:rPr>
        <w:t>’</w:t>
      </w:r>
      <w:r w:rsidRPr="00D2074D">
        <w:rPr>
          <w:sz w:val="26"/>
          <w:szCs w:val="26"/>
        </w:rPr>
        <w:t xml:space="preserve">s Court; Directive No. 01/2018/CT-TA dated </w:t>
      </w:r>
      <w:r w:rsidR="00280B0A" w:rsidRPr="00D2074D">
        <w:rPr>
          <w:sz w:val="26"/>
          <w:szCs w:val="26"/>
        </w:rPr>
        <w:t xml:space="preserve">26 </w:t>
      </w:r>
      <w:r w:rsidRPr="00D2074D">
        <w:rPr>
          <w:sz w:val="26"/>
          <w:szCs w:val="26"/>
        </w:rPr>
        <w:t>January 2018; Supreme People</w:t>
      </w:r>
      <w:r w:rsidR="00280B0A" w:rsidRPr="00D2074D">
        <w:rPr>
          <w:sz w:val="26"/>
          <w:szCs w:val="26"/>
        </w:rPr>
        <w:t>’</w:t>
      </w:r>
      <w:r w:rsidRPr="00D2074D">
        <w:rPr>
          <w:sz w:val="26"/>
          <w:szCs w:val="26"/>
        </w:rPr>
        <w:t>s Procuracy: Plan No. 90/KH-VKSTC dated August 10, 2017, issued by the Supreme People</w:t>
      </w:r>
      <w:r w:rsidR="00280B0A" w:rsidRPr="00D2074D">
        <w:rPr>
          <w:sz w:val="26"/>
          <w:szCs w:val="26"/>
        </w:rPr>
        <w:t>’</w:t>
      </w:r>
      <w:r w:rsidRPr="00D2074D">
        <w:rPr>
          <w:sz w:val="26"/>
          <w:szCs w:val="26"/>
        </w:rPr>
        <w:t>s Procuracy; Ministry of Public Security: Plan No. 304/KH-BCA dated October 24, 2017). This integration includes judicial work at the local level through diverse methods, effectively enhancing its efficiency.</w:t>
      </w:r>
    </w:p>
    <w:p w14:paraId="26C544E3" w14:textId="380A5774" w:rsidR="00E97E0C" w:rsidRPr="00D2074D" w:rsidRDefault="00E97E0C" w:rsidP="00280B0A">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The implementation of state compensation work strictly complies with the provisions of the </w:t>
      </w:r>
      <w:r w:rsidRPr="00D2074D">
        <w:rPr>
          <w:rFonts w:ascii="Times New Roman" w:eastAsia="Times New Roman" w:hAnsi="Times New Roman" w:cs="Times New Roman"/>
          <w:bCs/>
          <w:kern w:val="0"/>
          <w:sz w:val="26"/>
          <w:szCs w:val="26"/>
          <w:lang w:val="en-US"/>
          <w14:ligatures w14:val="none"/>
        </w:rPr>
        <w:t>SCRL</w:t>
      </w:r>
      <w:r w:rsidRPr="00D2074D">
        <w:rPr>
          <w:rFonts w:ascii="Times New Roman" w:eastAsia="Times New Roman" w:hAnsi="Times New Roman" w:cs="Times New Roman"/>
          <w:kern w:val="0"/>
          <w:sz w:val="26"/>
          <w:szCs w:val="26"/>
          <w:lang w:val="en-US"/>
          <w14:ligatures w14:val="none"/>
        </w:rPr>
        <w:t xml:space="preserve"> and related legal documents detailing its application. The Supreme People</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s Court (SPC) issued one circular guiding the resolution of compensation requests in criminal and administrative proceedings. The Ministry of Public Security also issued a circular detailing procedures for resolving compensation requests related to criminal proceedings, enforcement of criminal judgments, and administrative management within the police sector.</w:t>
      </w:r>
    </w:p>
    <w:p w14:paraId="78F073BB" w14:textId="77777777" w:rsidR="00E97E0C" w:rsidRPr="00D2074D" w:rsidRDefault="00E97E0C" w:rsidP="00280B0A">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In addition to the issuance of legal documents, authorities have provided professional guidance on compensation resolution, clarified legal questions, and supported individuals in seeking compensation. These efforts ensure effective implementation of state compensation processes while protecting the legitimate rights and interests of affected individuals. From 2018 to June 30, 2023, these measures included:</w:t>
      </w:r>
    </w:p>
    <w:p w14:paraId="17A32CFE" w14:textId="7FC9D6D4" w:rsidR="00E97E0C" w:rsidRPr="00D2074D" w:rsidRDefault="00E97E0C" w:rsidP="00D2074D">
      <w:pPr>
        <w:pStyle w:val="ListParagraph"/>
        <w:numPr>
          <w:ilvl w:val="0"/>
          <w:numId w:val="20"/>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The Ministry of Justice</w:t>
      </w:r>
      <w:r w:rsidRPr="00D2074D">
        <w:rPr>
          <w:rFonts w:ascii="Times New Roman" w:eastAsia="Times New Roman" w:hAnsi="Times New Roman" w:cs="Times New Roman"/>
          <w:kern w:val="0"/>
          <w:sz w:val="26"/>
          <w:szCs w:val="26"/>
          <w:lang w:val="en-US"/>
          <w14:ligatures w14:val="none"/>
        </w:rPr>
        <w:t xml:space="preserve"> issued nearly </w:t>
      </w:r>
      <w:r w:rsidRPr="00D2074D">
        <w:rPr>
          <w:rFonts w:ascii="Times New Roman" w:eastAsia="Times New Roman" w:hAnsi="Times New Roman" w:cs="Times New Roman"/>
          <w:bCs/>
          <w:kern w:val="0"/>
          <w:sz w:val="26"/>
          <w:szCs w:val="26"/>
          <w:lang w:val="en-US"/>
          <w14:ligatures w14:val="none"/>
        </w:rPr>
        <w:t>400 documents</w:t>
      </w:r>
      <w:r w:rsidRPr="00D2074D">
        <w:rPr>
          <w:rFonts w:ascii="Times New Roman" w:eastAsia="Times New Roman" w:hAnsi="Times New Roman" w:cs="Times New Roman"/>
          <w:kern w:val="0"/>
          <w:sz w:val="26"/>
          <w:szCs w:val="26"/>
          <w:lang w:val="en-US"/>
          <w14:ligatures w14:val="none"/>
        </w:rPr>
        <w:t xml:space="preserve">, comprising </w:t>
      </w:r>
      <w:r w:rsidRPr="00D2074D">
        <w:rPr>
          <w:rFonts w:ascii="Times New Roman" w:eastAsia="Times New Roman" w:hAnsi="Times New Roman" w:cs="Times New Roman"/>
          <w:bCs/>
          <w:kern w:val="0"/>
          <w:sz w:val="26"/>
          <w:szCs w:val="26"/>
          <w:lang w:val="en-US"/>
          <w14:ligatures w14:val="none"/>
        </w:rPr>
        <w:t>157</w:t>
      </w:r>
      <w:r w:rsidRPr="00D2074D">
        <w:rPr>
          <w:rFonts w:ascii="Times New Roman" w:eastAsia="Times New Roman" w:hAnsi="Times New Roman" w:cs="Times New Roman"/>
          <w:kern w:val="0"/>
          <w:sz w:val="26"/>
          <w:szCs w:val="26"/>
          <w:lang w:val="en-US"/>
          <w14:ligatures w14:val="none"/>
        </w:rPr>
        <w:t xml:space="preserve"> professional guidance documents, </w:t>
      </w:r>
      <w:r w:rsidRPr="00D2074D">
        <w:rPr>
          <w:rFonts w:ascii="Times New Roman" w:eastAsia="Times New Roman" w:hAnsi="Times New Roman" w:cs="Times New Roman"/>
          <w:bCs/>
          <w:kern w:val="0"/>
          <w:sz w:val="26"/>
          <w:szCs w:val="26"/>
          <w:lang w:val="en-US"/>
          <w14:ligatures w14:val="none"/>
        </w:rPr>
        <w:t>74</w:t>
      </w:r>
      <w:r w:rsidRPr="00D2074D">
        <w:rPr>
          <w:rFonts w:ascii="Times New Roman" w:eastAsia="Times New Roman" w:hAnsi="Times New Roman" w:cs="Times New Roman"/>
          <w:kern w:val="0"/>
          <w:sz w:val="26"/>
          <w:szCs w:val="26"/>
          <w:lang w:val="en-US"/>
          <w14:ligatures w14:val="none"/>
        </w:rPr>
        <w:t xml:space="preserve"> legal clarification documents, and </w:t>
      </w:r>
      <w:r w:rsidRPr="00D2074D">
        <w:rPr>
          <w:rFonts w:ascii="Times New Roman" w:eastAsia="Times New Roman" w:hAnsi="Times New Roman" w:cs="Times New Roman"/>
          <w:bCs/>
          <w:kern w:val="0"/>
          <w:sz w:val="26"/>
          <w:szCs w:val="26"/>
          <w:lang w:val="en-US"/>
          <w14:ligatures w14:val="none"/>
        </w:rPr>
        <w:t>144</w:t>
      </w:r>
      <w:r w:rsidRPr="00D2074D">
        <w:rPr>
          <w:rFonts w:ascii="Times New Roman" w:eastAsia="Times New Roman" w:hAnsi="Times New Roman" w:cs="Times New Roman"/>
          <w:kern w:val="0"/>
          <w:sz w:val="26"/>
          <w:szCs w:val="26"/>
          <w:lang w:val="en-US"/>
          <w14:ligatures w14:val="none"/>
        </w:rPr>
        <w:t xml:space="preserve"> documents to support and guide affected individuals in compensation procedures. The Ministry of Justice also integrated guidance into other professional activities and deployed working teams to assist individuals directly at local levels. The Ministry also collaborated with socio-political and professional organizations across provinces and cities to support affected individuals through the execution of these organizations</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 xml:space="preserve"> tasks.</w:t>
      </w:r>
    </w:p>
    <w:p w14:paraId="641F9824" w14:textId="735AE62B" w:rsidR="00E97E0C" w:rsidRPr="00D2074D" w:rsidRDefault="00E97E0C" w:rsidP="00D2074D">
      <w:pPr>
        <w:pStyle w:val="ListParagraph"/>
        <w:numPr>
          <w:ilvl w:val="0"/>
          <w:numId w:val="20"/>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The judiciary and prosecution sectors issued </w:t>
      </w:r>
      <w:r w:rsidRPr="00D2074D">
        <w:rPr>
          <w:rFonts w:ascii="Times New Roman" w:eastAsia="Times New Roman" w:hAnsi="Times New Roman" w:cs="Times New Roman"/>
          <w:bCs/>
          <w:kern w:val="0"/>
          <w:sz w:val="26"/>
          <w:szCs w:val="26"/>
          <w:lang w:val="en-US"/>
          <w14:ligatures w14:val="none"/>
        </w:rPr>
        <w:t>12 documents</w:t>
      </w:r>
      <w:r w:rsidRPr="00D2074D">
        <w:rPr>
          <w:rFonts w:ascii="Times New Roman" w:eastAsia="Times New Roman" w:hAnsi="Times New Roman" w:cs="Times New Roman"/>
          <w:kern w:val="0"/>
          <w:sz w:val="26"/>
          <w:szCs w:val="26"/>
          <w:lang w:val="en-US"/>
          <w14:ligatures w14:val="none"/>
        </w:rPr>
        <w:t xml:space="preserve"> on state compensation, including </w:t>
      </w:r>
      <w:r w:rsidRPr="00D2074D">
        <w:rPr>
          <w:rFonts w:ascii="Times New Roman" w:eastAsia="Times New Roman" w:hAnsi="Times New Roman" w:cs="Times New Roman"/>
          <w:bCs/>
          <w:kern w:val="0"/>
          <w:sz w:val="26"/>
          <w:szCs w:val="26"/>
          <w:lang w:val="en-US"/>
          <w14:ligatures w14:val="none"/>
        </w:rPr>
        <w:t>5 documents by the SPC</w:t>
      </w:r>
      <w:r w:rsidRPr="00D2074D">
        <w:rPr>
          <w:rFonts w:ascii="Times New Roman" w:eastAsia="Times New Roman" w:hAnsi="Times New Roman" w:cs="Times New Roman"/>
          <w:kern w:val="0"/>
          <w:sz w:val="26"/>
          <w:szCs w:val="26"/>
          <w:lang w:val="en-US"/>
          <w14:ligatures w14:val="none"/>
        </w:rPr>
        <w:t xml:space="preserve">, such as Resolution No. 02/2022/NQ-HĐTP of the SPC Judicial Council </w:t>
      </w:r>
      <w:r w:rsidR="00280B0A" w:rsidRPr="00D2074D">
        <w:rPr>
          <w:rFonts w:ascii="Times New Roman" w:eastAsia="Times New Roman" w:hAnsi="Times New Roman" w:cs="Times New Roman"/>
          <w:kern w:val="0"/>
          <w:sz w:val="26"/>
          <w:szCs w:val="26"/>
          <w:lang w:val="en-US"/>
          <w14:ligatures w14:val="none"/>
        </w:rPr>
        <w:t xml:space="preserve">dated 06 </w:t>
      </w:r>
      <w:r w:rsidRPr="00D2074D">
        <w:rPr>
          <w:rFonts w:ascii="Times New Roman" w:eastAsia="Times New Roman" w:hAnsi="Times New Roman" w:cs="Times New Roman"/>
          <w:kern w:val="0"/>
          <w:sz w:val="26"/>
          <w:szCs w:val="26"/>
          <w:lang w:val="en-US"/>
          <w14:ligatures w14:val="none"/>
        </w:rPr>
        <w:t>September 2022, guiding the application of certain provisions of the Civil Code on non-contractual liability for damages.</w:t>
      </w:r>
    </w:p>
    <w:p w14:paraId="74941F8E" w14:textId="66BEC6A6" w:rsidR="00280B0A" w:rsidRPr="00D2074D" w:rsidRDefault="00E97E0C" w:rsidP="00D2074D">
      <w:pPr>
        <w:pStyle w:val="ListParagraph"/>
        <w:numPr>
          <w:ilvl w:val="0"/>
          <w:numId w:val="20"/>
        </w:num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 xml:space="preserve">The SPP issued </w:t>
      </w:r>
      <w:r w:rsidR="00280B0A" w:rsidRPr="00D2074D">
        <w:rPr>
          <w:rFonts w:ascii="Times New Roman" w:eastAsia="Times New Roman" w:hAnsi="Times New Roman" w:cs="Times New Roman"/>
          <w:bCs/>
          <w:kern w:val="0"/>
          <w:sz w:val="26"/>
          <w:szCs w:val="26"/>
          <w:lang w:val="en-US"/>
          <w14:ligatures w14:val="none"/>
        </w:rPr>
        <w:t>0</w:t>
      </w:r>
      <w:r w:rsidRPr="00D2074D">
        <w:rPr>
          <w:rFonts w:ascii="Times New Roman" w:eastAsia="Times New Roman" w:hAnsi="Times New Roman" w:cs="Times New Roman"/>
          <w:bCs/>
          <w:kern w:val="0"/>
          <w:sz w:val="26"/>
          <w:szCs w:val="26"/>
          <w:lang w:val="en-US"/>
          <w14:ligatures w14:val="none"/>
        </w:rPr>
        <w:t xml:space="preserve">1 directive and </w:t>
      </w:r>
      <w:r w:rsidR="00280B0A" w:rsidRPr="00D2074D">
        <w:rPr>
          <w:rFonts w:ascii="Times New Roman" w:eastAsia="Times New Roman" w:hAnsi="Times New Roman" w:cs="Times New Roman"/>
          <w:bCs/>
          <w:kern w:val="0"/>
          <w:sz w:val="26"/>
          <w:szCs w:val="26"/>
          <w:lang w:val="en-US"/>
          <w14:ligatures w14:val="none"/>
        </w:rPr>
        <w:t>0</w:t>
      </w:r>
      <w:r w:rsidRPr="00D2074D">
        <w:rPr>
          <w:rFonts w:ascii="Times New Roman" w:eastAsia="Times New Roman" w:hAnsi="Times New Roman" w:cs="Times New Roman"/>
          <w:bCs/>
          <w:kern w:val="0"/>
          <w:sz w:val="26"/>
          <w:szCs w:val="26"/>
          <w:lang w:val="en-US"/>
          <w14:ligatures w14:val="none"/>
        </w:rPr>
        <w:t>4 guidelines</w:t>
      </w:r>
      <w:r w:rsidRPr="00D2074D">
        <w:rPr>
          <w:rFonts w:ascii="Times New Roman" w:eastAsia="Times New Roman" w:hAnsi="Times New Roman" w:cs="Times New Roman"/>
          <w:kern w:val="0"/>
          <w:sz w:val="26"/>
          <w:szCs w:val="26"/>
          <w:lang w:val="en-US"/>
          <w14:ligatures w14:val="none"/>
        </w:rPr>
        <w:t xml:space="preserve"> regarding state compensation processes in criminal proceedings, management of compensation requests within prosecutorial responsibilities, and application of state compensation laws for specific issues. Additionally, two notices were issued to share lessons learned in resolving compensation cases involving provincial-level people</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 xml:space="preserve">s procuracies. Approximately </w:t>
      </w:r>
      <w:r w:rsidRPr="00D2074D">
        <w:rPr>
          <w:rFonts w:ascii="Times New Roman" w:eastAsia="Times New Roman" w:hAnsi="Times New Roman" w:cs="Times New Roman"/>
          <w:bCs/>
          <w:kern w:val="0"/>
          <w:sz w:val="26"/>
          <w:szCs w:val="26"/>
          <w:lang w:val="en-US"/>
          <w14:ligatures w14:val="none"/>
        </w:rPr>
        <w:t>100 cases</w:t>
      </w:r>
      <w:r w:rsidRPr="00D2074D">
        <w:rPr>
          <w:rFonts w:ascii="Times New Roman" w:eastAsia="Times New Roman" w:hAnsi="Times New Roman" w:cs="Times New Roman"/>
          <w:kern w:val="0"/>
          <w:sz w:val="26"/>
          <w:szCs w:val="26"/>
          <w:lang w:val="en-US"/>
          <w14:ligatures w14:val="none"/>
        </w:rPr>
        <w:t xml:space="preserve"> received procedural or legal consultation from various levels of the SPP. Justice departments at provincial levels assisted provincial People</w:t>
      </w:r>
      <w:r w:rsidR="00280B0A" w:rsidRPr="00D2074D">
        <w:rPr>
          <w:rFonts w:ascii="Times New Roman" w:eastAsia="Times New Roman" w:hAnsi="Times New Roman" w:cs="Times New Roman"/>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 xml:space="preserve">s Committees in guiding compensation resolution processes and </w:t>
      </w:r>
      <w:r w:rsidRPr="00D2074D">
        <w:rPr>
          <w:rFonts w:ascii="Times New Roman" w:eastAsia="Times New Roman" w:hAnsi="Times New Roman" w:cs="Times New Roman"/>
          <w:kern w:val="0"/>
          <w:sz w:val="26"/>
          <w:szCs w:val="26"/>
          <w:lang w:val="en-US"/>
          <w14:ligatures w14:val="none"/>
        </w:rPr>
        <w:lastRenderedPageBreak/>
        <w:t xml:space="preserve">coordinating state compensation management in their jurisdictions. These departments also supported affected individuals in navigating compensation procedures under the </w:t>
      </w:r>
      <w:r w:rsidRPr="00D2074D">
        <w:rPr>
          <w:rFonts w:ascii="Times New Roman" w:eastAsia="Times New Roman" w:hAnsi="Times New Roman" w:cs="Times New Roman"/>
          <w:bCs/>
          <w:kern w:val="0"/>
          <w:sz w:val="26"/>
          <w:szCs w:val="26"/>
          <w:lang w:val="en-US"/>
          <w14:ligatures w14:val="none"/>
        </w:rPr>
        <w:t>SCRL</w:t>
      </w:r>
      <w:r w:rsidRPr="00D2074D">
        <w:rPr>
          <w:rFonts w:ascii="Times New Roman" w:eastAsia="Times New Roman" w:hAnsi="Times New Roman" w:cs="Times New Roman"/>
          <w:kern w:val="0"/>
          <w:sz w:val="26"/>
          <w:szCs w:val="26"/>
          <w:lang w:val="en-US"/>
          <w14:ligatures w14:val="none"/>
        </w:rPr>
        <w:t>.</w:t>
      </w:r>
    </w:p>
    <w:p w14:paraId="443CE494" w14:textId="30B4D523" w:rsidR="00280B0A" w:rsidRPr="00D2074D" w:rsidRDefault="00E97E0C" w:rsidP="00F01646">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2</w:t>
      </w:r>
      <w:r w:rsidR="00280B0A"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280B0A" w:rsidRPr="00D2074D">
        <w:rPr>
          <w:rFonts w:ascii="Times New Roman" w:eastAsia="Times New Roman" w:hAnsi="Times New Roman" w:cs="Times New Roman"/>
          <w:b/>
          <w:bCs/>
          <w:kern w:val="0"/>
          <w:sz w:val="26"/>
          <w:szCs w:val="26"/>
          <w:lang w:val="en-US"/>
          <w14:ligatures w14:val="none"/>
        </w:rPr>
        <w:t>page 4</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280B0A"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kern w:val="0"/>
          <w:sz w:val="26"/>
          <w:szCs w:val="26"/>
          <w:lang w:val="en-US"/>
          <w14:ligatures w14:val="none"/>
        </w:rPr>
        <w:t xml:space="preserve">: </w:t>
      </w:r>
    </w:p>
    <w:p w14:paraId="1DBAD25D" w14:textId="550773C7" w:rsidR="00280B0A" w:rsidRPr="00D2074D" w:rsidRDefault="00E97E0C" w:rsidP="00D2074D">
      <w:pPr>
        <w:pStyle w:val="ListParagraph"/>
        <w:numPr>
          <w:ilvl w:val="0"/>
          <w:numId w:val="21"/>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In </w:t>
      </w:r>
      <w:r w:rsidRPr="00D2074D">
        <w:rPr>
          <w:rFonts w:ascii="Times New Roman" w:eastAsia="Times New Roman" w:hAnsi="Times New Roman" w:cs="Times New Roman"/>
          <w:bCs/>
          <w:kern w:val="0"/>
          <w:sz w:val="26"/>
          <w:szCs w:val="26"/>
          <w:lang w:val="en-US"/>
          <w14:ligatures w14:val="none"/>
        </w:rPr>
        <w:t>administrative management</w:t>
      </w:r>
      <w:r w:rsidRPr="00D2074D">
        <w:rPr>
          <w:rFonts w:ascii="Times New Roman" w:eastAsia="Times New Roman" w:hAnsi="Times New Roman" w:cs="Times New Roman"/>
          <w:kern w:val="0"/>
          <w:sz w:val="26"/>
          <w:szCs w:val="26"/>
          <w:lang w:val="en-US"/>
          <w14:ligatures w14:val="none"/>
        </w:rPr>
        <w:t>, Hoàng Diễm Thúy case (Đắk Lắk),</w:t>
      </w:r>
      <w:r w:rsidR="00F01646"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 xml:space="preserve">Cam Lâm </w:t>
      </w:r>
      <w:r w:rsidR="00F01646" w:rsidRPr="00D2074D">
        <w:rPr>
          <w:rFonts w:ascii="Times New Roman" w:eastAsia="Times New Roman" w:hAnsi="Times New Roman" w:cs="Times New Roman"/>
          <w:kern w:val="0"/>
          <w:sz w:val="26"/>
          <w:szCs w:val="26"/>
          <w:lang w:val="en-US"/>
          <w14:ligatures w14:val="none"/>
        </w:rPr>
        <w:t xml:space="preserve">Construction Limited liablity company </w:t>
      </w:r>
      <w:r w:rsidRPr="00D2074D">
        <w:rPr>
          <w:rFonts w:ascii="Times New Roman" w:eastAsia="Times New Roman" w:hAnsi="Times New Roman" w:cs="Times New Roman"/>
          <w:kern w:val="0"/>
          <w:sz w:val="26"/>
          <w:szCs w:val="26"/>
          <w:lang w:val="en-US"/>
          <w14:ligatures w14:val="none"/>
        </w:rPr>
        <w:t>case (Khánh Hòa),</w:t>
      </w:r>
      <w:r w:rsidR="00F01646"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Nguyễn Thị Kiểm case (Quảng Ninh).</w:t>
      </w:r>
      <w:r w:rsidR="00F01646" w:rsidRPr="00D2074D">
        <w:rPr>
          <w:rFonts w:ascii="Times New Roman" w:eastAsia="Times New Roman" w:hAnsi="Times New Roman" w:cs="Times New Roman"/>
          <w:kern w:val="0"/>
          <w:sz w:val="26"/>
          <w:szCs w:val="26"/>
          <w:lang w:val="en-US"/>
          <w14:ligatures w14:val="none"/>
        </w:rPr>
        <w:t xml:space="preserve"> </w:t>
      </w:r>
    </w:p>
    <w:p w14:paraId="25D5AEC1" w14:textId="19F16A98" w:rsidR="00280B0A" w:rsidRPr="00D2074D" w:rsidRDefault="00F01646" w:rsidP="00D2074D">
      <w:pPr>
        <w:pStyle w:val="ListParagraph"/>
        <w:numPr>
          <w:ilvl w:val="0"/>
          <w:numId w:val="21"/>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I</w:t>
      </w:r>
      <w:r w:rsidR="00E97E0C" w:rsidRPr="00D2074D">
        <w:rPr>
          <w:rFonts w:ascii="Times New Roman" w:eastAsia="Times New Roman" w:hAnsi="Times New Roman" w:cs="Times New Roman"/>
          <w:kern w:val="0"/>
          <w:sz w:val="26"/>
          <w:szCs w:val="26"/>
          <w:lang w:val="en-US"/>
          <w14:ligatures w14:val="none"/>
        </w:rPr>
        <w:t xml:space="preserve">n </w:t>
      </w:r>
      <w:r w:rsidR="00E97E0C" w:rsidRPr="00D2074D">
        <w:rPr>
          <w:rFonts w:ascii="Times New Roman" w:eastAsia="Times New Roman" w:hAnsi="Times New Roman" w:cs="Times New Roman"/>
          <w:bCs/>
          <w:kern w:val="0"/>
          <w:sz w:val="26"/>
          <w:szCs w:val="26"/>
          <w:lang w:val="en-US"/>
          <w14:ligatures w14:val="none"/>
        </w:rPr>
        <w:t>criminal proceedings</w:t>
      </w:r>
      <w:r w:rsidRPr="00D2074D">
        <w:rPr>
          <w:rFonts w:ascii="Times New Roman" w:eastAsia="Times New Roman" w:hAnsi="Times New Roman" w:cs="Times New Roman"/>
          <w:kern w:val="0"/>
          <w:sz w:val="26"/>
          <w:szCs w:val="26"/>
          <w:lang w:val="en-US"/>
          <w14:ligatures w14:val="none"/>
        </w:rPr>
        <w:t>, c</w:t>
      </w:r>
      <w:r w:rsidR="00E97E0C" w:rsidRPr="00D2074D">
        <w:rPr>
          <w:rFonts w:ascii="Times New Roman" w:eastAsia="Times New Roman" w:hAnsi="Times New Roman" w:cs="Times New Roman"/>
          <w:kern w:val="0"/>
          <w:sz w:val="26"/>
          <w:szCs w:val="26"/>
          <w:lang w:val="en-US"/>
          <w14:ligatures w14:val="none"/>
        </w:rPr>
        <w:t>ases of Nguyễn Thị May, Trần Thị Nga, and Trần Ngọc Hùng (Cao Bằng),</w:t>
      </w:r>
      <w:r w:rsidRPr="00D2074D">
        <w:rPr>
          <w:rFonts w:ascii="Times New Roman" w:eastAsia="Times New Roman" w:hAnsi="Times New Roman" w:cs="Times New Roman"/>
          <w:kern w:val="0"/>
          <w:sz w:val="26"/>
          <w:szCs w:val="26"/>
          <w:lang w:val="en-US"/>
          <w14:ligatures w14:val="none"/>
        </w:rPr>
        <w:t xml:space="preserve"> </w:t>
      </w:r>
      <w:r w:rsidR="00E97E0C" w:rsidRPr="00D2074D">
        <w:rPr>
          <w:rFonts w:ascii="Times New Roman" w:eastAsia="Times New Roman" w:hAnsi="Times New Roman" w:cs="Times New Roman"/>
          <w:kern w:val="0"/>
          <w:sz w:val="26"/>
          <w:szCs w:val="26"/>
          <w:lang w:val="en-US"/>
          <w14:ligatures w14:val="none"/>
        </w:rPr>
        <w:t>Phạm Ngọc Tuân case (Quảng Ngãi),</w:t>
      </w:r>
      <w:r w:rsidRPr="00D2074D">
        <w:rPr>
          <w:rFonts w:ascii="Times New Roman" w:eastAsia="Times New Roman" w:hAnsi="Times New Roman" w:cs="Times New Roman"/>
          <w:kern w:val="0"/>
          <w:sz w:val="26"/>
          <w:szCs w:val="26"/>
          <w:lang w:val="en-US"/>
          <w14:ligatures w14:val="none"/>
        </w:rPr>
        <w:t xml:space="preserve"> </w:t>
      </w:r>
      <w:r w:rsidR="00E97E0C" w:rsidRPr="00D2074D">
        <w:rPr>
          <w:rFonts w:ascii="Times New Roman" w:eastAsia="Times New Roman" w:hAnsi="Times New Roman" w:cs="Times New Roman"/>
          <w:kern w:val="0"/>
          <w:sz w:val="26"/>
          <w:szCs w:val="26"/>
          <w:lang w:val="en-US"/>
          <w14:ligatures w14:val="none"/>
        </w:rPr>
        <w:t>Ngô Văn Phán case (Sóc Trăng).</w:t>
      </w:r>
      <w:r w:rsidRPr="00D2074D">
        <w:rPr>
          <w:rFonts w:ascii="Times New Roman" w:eastAsia="Times New Roman" w:hAnsi="Times New Roman" w:cs="Times New Roman"/>
          <w:kern w:val="0"/>
          <w:sz w:val="26"/>
          <w:szCs w:val="26"/>
          <w:lang w:val="en-US"/>
          <w14:ligatures w14:val="none"/>
        </w:rPr>
        <w:t xml:space="preserve"> </w:t>
      </w:r>
    </w:p>
    <w:p w14:paraId="058AEAAD" w14:textId="1467625B" w:rsidR="0049615E" w:rsidRPr="0049615E" w:rsidRDefault="00E97E0C" w:rsidP="002A592D">
      <w:pPr>
        <w:pStyle w:val="ListParagraph"/>
        <w:numPr>
          <w:ilvl w:val="0"/>
          <w:numId w:val="21"/>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In </w:t>
      </w:r>
      <w:r w:rsidRPr="00D2074D">
        <w:rPr>
          <w:rFonts w:ascii="Times New Roman" w:eastAsia="Times New Roman" w:hAnsi="Times New Roman" w:cs="Times New Roman"/>
          <w:bCs/>
          <w:kern w:val="0"/>
          <w:sz w:val="26"/>
          <w:szCs w:val="26"/>
          <w:lang w:val="en-US"/>
          <w14:ligatures w14:val="none"/>
        </w:rPr>
        <w:t>judgment enforcement</w:t>
      </w:r>
      <w:r w:rsidR="00F01646" w:rsidRPr="00D2074D">
        <w:rPr>
          <w:rFonts w:ascii="Times New Roman" w:eastAsia="Times New Roman" w:hAnsi="Times New Roman" w:cs="Times New Roman"/>
          <w:kern w:val="0"/>
          <w:sz w:val="26"/>
          <w:szCs w:val="26"/>
          <w:lang w:val="en-US"/>
          <w14:ligatures w14:val="none"/>
        </w:rPr>
        <w:t>, c</w:t>
      </w:r>
      <w:r w:rsidRPr="00D2074D">
        <w:rPr>
          <w:rFonts w:ascii="Times New Roman" w:eastAsia="Times New Roman" w:hAnsi="Times New Roman" w:cs="Times New Roman"/>
          <w:kern w:val="0"/>
          <w:sz w:val="26"/>
          <w:szCs w:val="26"/>
          <w:lang w:val="en-US"/>
          <w14:ligatures w14:val="none"/>
        </w:rPr>
        <w:t>ases of Nguyễn Văn Hùng and Vũ Thị Hạt (Hải Dương),</w:t>
      </w:r>
      <w:r w:rsidR="00F01646"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Nguyễn Thị Huệ, Võ Thị Hồng Nhan, and Phạm Ngọc Lài (Tây Ninh),</w:t>
      </w:r>
      <w:r w:rsidR="00F01646"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Bùi Văn Hà (Bình Phước),</w:t>
      </w:r>
      <w:r w:rsidR="00F01646"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Phạm Ngọc Tuân (Quảng Ngãi),</w:t>
      </w:r>
      <w:r w:rsidR="00F01646"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Hoàng Thị Vanh (Cao Bằng).</w:t>
      </w:r>
    </w:p>
    <w:p w14:paraId="29A830A3" w14:textId="48EEA05D" w:rsidR="00280B0A" w:rsidRPr="00D2074D" w:rsidRDefault="002A592D" w:rsidP="002A592D">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9</w:t>
      </w:r>
      <w:r w:rsidR="00280B0A"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280B0A" w:rsidRPr="00D2074D">
        <w:rPr>
          <w:rFonts w:ascii="Times New Roman" w:eastAsia="Times New Roman" w:hAnsi="Times New Roman" w:cs="Times New Roman"/>
          <w:b/>
          <w:bCs/>
          <w:kern w:val="0"/>
          <w:sz w:val="26"/>
          <w:szCs w:val="26"/>
          <w:lang w:val="en-US"/>
          <w14:ligatures w14:val="none"/>
        </w:rPr>
        <w:t>page 6</w:t>
      </w:r>
      <w:r w:rsidR="00D2074D" w:rsidRP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280B0A"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 xml:space="preserve">: </w:t>
      </w:r>
    </w:p>
    <w:p w14:paraId="5492371F" w14:textId="5BECE208" w:rsidR="002A592D" w:rsidRPr="00D2074D" w:rsidRDefault="002A592D" w:rsidP="002A592D">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In alignment with the Constitution and the ICCPR, principles governing the restriction of rights during states of emergency have been detailed in various legal instruments, including the Law on Emergency Situations, the National Security Law (2004), the Defense Law (2018), the Law on Prevention and Control of Infectious Diseases (2007), the Veterinary Medicine Law (2015), the Law on Requisition and Compulsory Purchase of Assets (2008), and associated implementation guidelines:</w:t>
      </w:r>
    </w:p>
    <w:p w14:paraId="4F24BE59" w14:textId="7EE15425" w:rsidR="002A592D" w:rsidRPr="00D2074D" w:rsidRDefault="002A592D" w:rsidP="00D2074D">
      <w:pPr>
        <w:pStyle w:val="ListParagraph"/>
        <w:numPr>
          <w:ilvl w:val="0"/>
          <w:numId w:val="20"/>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Sector-specific laws detail emergency conditions. These laws specify conditions for declaring states of emergency with reference to overarching emergency legislation. The Defense Law outlines conditions where there is an imminent threat or act of invasion or armed rebellion not amounting to a declaration of war (</w:t>
      </w:r>
      <w:r w:rsidR="008F3377" w:rsidRPr="00D2074D">
        <w:rPr>
          <w:rFonts w:ascii="Times New Roman" w:eastAsia="Times New Roman" w:hAnsi="Times New Roman" w:cs="Times New Roman"/>
          <w:kern w:val="0"/>
          <w:sz w:val="26"/>
          <w:szCs w:val="26"/>
          <w:lang w:val="en-US"/>
          <w14:ligatures w14:val="none"/>
        </w:rPr>
        <w:t>para</w:t>
      </w:r>
      <w:r w:rsidR="008F3377" w:rsidRPr="00D2074D">
        <w:rPr>
          <w:rFonts w:ascii="Times New Roman" w:eastAsia="Times New Roman" w:hAnsi="Times New Roman" w:cs="Times New Roman"/>
          <w:kern w:val="0"/>
          <w:sz w:val="26"/>
          <w:szCs w:val="26"/>
          <w:lang w:val="vi-VN"/>
          <w14:ligatures w14:val="none"/>
        </w:rPr>
        <w:t>.</w:t>
      </w:r>
      <w:r w:rsidRPr="00D2074D">
        <w:rPr>
          <w:rFonts w:ascii="Times New Roman" w:eastAsia="Times New Roman" w:hAnsi="Times New Roman" w:cs="Times New Roman"/>
          <w:kern w:val="0"/>
          <w:sz w:val="26"/>
          <w:szCs w:val="26"/>
          <w:lang w:val="en-US"/>
          <w14:ligatures w14:val="none"/>
        </w:rPr>
        <w:t xml:space="preserve"> 10, Article 2). The Law on Prevention and Control of Infectious Diseases mandates a declaration of emergency for rapidly spreading diseases posing grave risks to public health, safety, and socio-economic stability (</w:t>
      </w:r>
      <w:r w:rsidR="008F3377" w:rsidRPr="00D2074D">
        <w:rPr>
          <w:rFonts w:ascii="Times New Roman" w:eastAsia="Times New Roman" w:hAnsi="Times New Roman" w:cs="Times New Roman"/>
          <w:kern w:val="0"/>
          <w:sz w:val="26"/>
          <w:szCs w:val="26"/>
          <w:lang w:val="en-US"/>
          <w14:ligatures w14:val="none"/>
        </w:rPr>
        <w:t>para</w:t>
      </w:r>
      <w:r w:rsidR="008F3377" w:rsidRPr="00D2074D">
        <w:rPr>
          <w:rFonts w:ascii="Times New Roman" w:eastAsia="Times New Roman" w:hAnsi="Times New Roman" w:cs="Times New Roman"/>
          <w:kern w:val="0"/>
          <w:sz w:val="26"/>
          <w:szCs w:val="26"/>
          <w:lang w:val="vi-VN"/>
          <w14:ligatures w14:val="none"/>
        </w:rPr>
        <w:t>.</w:t>
      </w:r>
      <w:r w:rsidRPr="00D2074D">
        <w:rPr>
          <w:rFonts w:ascii="Times New Roman" w:eastAsia="Times New Roman" w:hAnsi="Times New Roman" w:cs="Times New Roman"/>
          <w:kern w:val="0"/>
          <w:sz w:val="26"/>
          <w:szCs w:val="26"/>
          <w:lang w:val="en-US"/>
          <w14:ligatures w14:val="none"/>
        </w:rPr>
        <w:t>1, Article 42). The Veterinary Medicine Law addresses emergency declarations for rapidly spreading animal diseases that threaten human health or cause significant socio-economic damage (</w:t>
      </w:r>
      <w:r w:rsidR="008F3377" w:rsidRPr="00D2074D">
        <w:rPr>
          <w:rFonts w:ascii="Times New Roman" w:eastAsia="Times New Roman" w:hAnsi="Times New Roman" w:cs="Times New Roman"/>
          <w:kern w:val="0"/>
          <w:sz w:val="26"/>
          <w:szCs w:val="26"/>
          <w:lang w:val="en-US"/>
          <w14:ligatures w14:val="none"/>
        </w:rPr>
        <w:t xml:space="preserve">Para. </w:t>
      </w:r>
      <w:r w:rsidRPr="00D2074D">
        <w:rPr>
          <w:rFonts w:ascii="Times New Roman" w:eastAsia="Times New Roman" w:hAnsi="Times New Roman" w:cs="Times New Roman"/>
          <w:kern w:val="0"/>
          <w:sz w:val="26"/>
          <w:szCs w:val="26"/>
          <w:lang w:val="en-US"/>
          <w14:ligatures w14:val="none"/>
        </w:rPr>
        <w:t>6, Article 28).</w:t>
      </w:r>
    </w:p>
    <w:p w14:paraId="349AE5F8" w14:textId="5F11666F" w:rsidR="0049615E" w:rsidRPr="0049615E" w:rsidRDefault="002A592D" w:rsidP="0049615E">
      <w:pPr>
        <w:pStyle w:val="ListParagraph"/>
        <w:numPr>
          <w:ilvl w:val="0"/>
          <w:numId w:val="20"/>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Laws restricting rights during emergencies: Several sector-specific laws stipulate measures limiting human and civil rights in emergencies, including the Law on Prevention and Control of Infectious Diseases which provides for measures such as medical quarantine (Article 43); suspension of certain food services in outbreak areas (Point a, </w:t>
      </w:r>
      <w:r w:rsidR="008F3377" w:rsidRPr="00D2074D">
        <w:rPr>
          <w:rFonts w:ascii="Times New Roman" w:eastAsia="Times New Roman" w:hAnsi="Times New Roman" w:cs="Times New Roman"/>
          <w:kern w:val="0"/>
          <w:sz w:val="26"/>
          <w:szCs w:val="26"/>
          <w:lang w:val="en-US"/>
          <w14:ligatures w14:val="none"/>
        </w:rPr>
        <w:t xml:space="preserve">Para. </w:t>
      </w:r>
      <w:r w:rsidRPr="00D2074D">
        <w:rPr>
          <w:rFonts w:ascii="Times New Roman" w:eastAsia="Times New Roman" w:hAnsi="Times New Roman" w:cs="Times New Roman"/>
          <w:kern w:val="0"/>
          <w:sz w:val="26"/>
          <w:szCs w:val="26"/>
          <w:lang w:val="en-US"/>
          <w14:ligatures w14:val="none"/>
        </w:rPr>
        <w:t xml:space="preserve">1, Article 52); prohibition of trading or using food items identified as disease carriers (Point b, </w:t>
      </w:r>
      <w:r w:rsidR="008F3377" w:rsidRPr="00D2074D">
        <w:rPr>
          <w:rFonts w:ascii="Times New Roman" w:eastAsia="Times New Roman" w:hAnsi="Times New Roman" w:cs="Times New Roman"/>
          <w:kern w:val="0"/>
          <w:sz w:val="26"/>
          <w:szCs w:val="26"/>
          <w:lang w:val="en-US"/>
          <w14:ligatures w14:val="none"/>
        </w:rPr>
        <w:t xml:space="preserve">Para. </w:t>
      </w:r>
      <w:r w:rsidRPr="00D2074D">
        <w:rPr>
          <w:rFonts w:ascii="Times New Roman" w:eastAsia="Times New Roman" w:hAnsi="Times New Roman" w:cs="Times New Roman"/>
          <w:kern w:val="0"/>
          <w:sz w:val="26"/>
          <w:szCs w:val="26"/>
          <w:lang w:val="en-US"/>
          <w14:ligatures w14:val="none"/>
        </w:rPr>
        <w:t xml:space="preserve">1, Article 52); bans on moving items out of outbreak areas (Point b, </w:t>
      </w:r>
      <w:r w:rsidR="008F3377" w:rsidRPr="00D2074D">
        <w:rPr>
          <w:rFonts w:ascii="Times New Roman" w:eastAsia="Times New Roman" w:hAnsi="Times New Roman" w:cs="Times New Roman"/>
          <w:kern w:val="0"/>
          <w:sz w:val="26"/>
          <w:szCs w:val="26"/>
          <w:lang w:val="en-US"/>
          <w14:ligatures w14:val="none"/>
        </w:rPr>
        <w:t xml:space="preserve">Para. </w:t>
      </w:r>
      <w:r w:rsidRPr="00D2074D">
        <w:rPr>
          <w:rFonts w:ascii="Times New Roman" w:eastAsia="Times New Roman" w:hAnsi="Times New Roman" w:cs="Times New Roman"/>
          <w:kern w:val="0"/>
          <w:sz w:val="26"/>
          <w:szCs w:val="26"/>
          <w:lang w:val="en-US"/>
          <w14:ligatures w14:val="none"/>
        </w:rPr>
        <w:t xml:space="preserve">1, Article 53); and destruction of contaminated animals, food, and materials (Point g, </w:t>
      </w:r>
      <w:r w:rsidR="008F3377" w:rsidRPr="00D2074D">
        <w:rPr>
          <w:rFonts w:ascii="Times New Roman" w:eastAsia="Times New Roman" w:hAnsi="Times New Roman" w:cs="Times New Roman"/>
          <w:kern w:val="0"/>
          <w:sz w:val="26"/>
          <w:szCs w:val="26"/>
          <w:lang w:val="en-US"/>
          <w14:ligatures w14:val="none"/>
        </w:rPr>
        <w:t xml:space="preserve">Para. </w:t>
      </w:r>
      <w:r w:rsidRPr="00D2074D">
        <w:rPr>
          <w:rFonts w:ascii="Times New Roman" w:eastAsia="Times New Roman" w:hAnsi="Times New Roman" w:cs="Times New Roman"/>
          <w:kern w:val="0"/>
          <w:sz w:val="26"/>
          <w:szCs w:val="26"/>
          <w:lang w:val="en-US"/>
          <w14:ligatures w14:val="none"/>
        </w:rPr>
        <w:t>2, Article 54), and the Veterinary Medicine Law which mandates the destruction or compulsory slaughter of infected animals (</w:t>
      </w:r>
      <w:r w:rsidR="008F3377" w:rsidRPr="00D2074D">
        <w:rPr>
          <w:rFonts w:ascii="Times New Roman" w:eastAsia="Times New Roman" w:hAnsi="Times New Roman" w:cs="Times New Roman"/>
          <w:kern w:val="0"/>
          <w:sz w:val="26"/>
          <w:szCs w:val="26"/>
          <w:lang w:val="en-US"/>
          <w14:ligatures w14:val="none"/>
        </w:rPr>
        <w:t xml:space="preserve">Para. </w:t>
      </w:r>
      <w:r w:rsidRPr="00D2074D">
        <w:rPr>
          <w:rFonts w:ascii="Times New Roman" w:eastAsia="Times New Roman" w:hAnsi="Times New Roman" w:cs="Times New Roman"/>
          <w:kern w:val="0"/>
          <w:sz w:val="26"/>
          <w:szCs w:val="26"/>
          <w:lang w:val="en-US"/>
          <w14:ligatures w14:val="none"/>
        </w:rPr>
        <w:t>1, Article 30).</w:t>
      </w:r>
    </w:p>
    <w:p w14:paraId="6BD7242B" w14:textId="3D59AEFD" w:rsidR="00AA0317" w:rsidRPr="00D2074D" w:rsidRDefault="002A592D" w:rsidP="00725DE2">
      <w:pPr>
        <w:tabs>
          <w:tab w:val="left" w:pos="1134"/>
        </w:tabs>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11</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7</w:t>
      </w:r>
      <w:r w:rsidR="00D2074D" w:rsidRP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 xml:space="preserve">: </w:t>
      </w:r>
    </w:p>
    <w:p w14:paraId="4470631C" w14:textId="2AD29627" w:rsidR="002A592D" w:rsidRPr="00D2074D" w:rsidRDefault="002A592D" w:rsidP="00725DE2">
      <w:p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lastRenderedPageBreak/>
        <w:t>From 2023 onwards, several new regulations and policies concerning anti-discrimination and gender equality have been introduced, including:</w:t>
      </w:r>
    </w:p>
    <w:p w14:paraId="26971538" w14:textId="52CC03AA" w:rsidR="002A592D" w:rsidRPr="00D2074D" w:rsidRDefault="002A592D" w:rsidP="00D2074D">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 xml:space="preserve">Revised </w:t>
      </w:r>
      <w:r w:rsidR="008F3377" w:rsidRPr="00D2074D">
        <w:rPr>
          <w:rFonts w:ascii="Times New Roman" w:eastAsia="Times New Roman" w:hAnsi="Times New Roman" w:cs="Times New Roman"/>
          <w:bCs/>
          <w:kern w:val="0"/>
          <w:sz w:val="26"/>
          <w:szCs w:val="26"/>
          <w:lang w:val="en-US"/>
          <w14:ligatures w14:val="none"/>
        </w:rPr>
        <w:t xml:space="preserve">Law on </w:t>
      </w:r>
      <w:r w:rsidRPr="00D2074D">
        <w:rPr>
          <w:rFonts w:ascii="Times New Roman" w:eastAsia="Times New Roman" w:hAnsi="Times New Roman" w:cs="Times New Roman"/>
          <w:bCs/>
          <w:kern w:val="0"/>
          <w:sz w:val="26"/>
          <w:szCs w:val="26"/>
          <w:lang w:val="en-US"/>
          <w14:ligatures w14:val="none"/>
        </w:rPr>
        <w:t xml:space="preserve">Domestic Violence Prevention and Control (effective </w:t>
      </w:r>
      <w:r w:rsidR="008F3377" w:rsidRPr="00D2074D">
        <w:rPr>
          <w:rFonts w:ascii="Times New Roman" w:eastAsia="Times New Roman" w:hAnsi="Times New Roman" w:cs="Times New Roman"/>
          <w:bCs/>
          <w:kern w:val="0"/>
          <w:sz w:val="26"/>
          <w:szCs w:val="26"/>
          <w:lang w:val="en-US"/>
          <w14:ligatures w14:val="none"/>
        </w:rPr>
        <w:t xml:space="preserve">from 1st </w:t>
      </w:r>
      <w:r w:rsidRPr="00D2074D">
        <w:rPr>
          <w:rFonts w:ascii="Times New Roman" w:eastAsia="Times New Roman" w:hAnsi="Times New Roman" w:cs="Times New Roman"/>
          <w:bCs/>
          <w:kern w:val="0"/>
          <w:sz w:val="26"/>
          <w:szCs w:val="26"/>
          <w:lang w:val="en-US"/>
          <w14:ligatures w14:val="none"/>
        </w:rPr>
        <w:t>July 2023):</w:t>
      </w:r>
      <w:r w:rsidRPr="00D2074D">
        <w:rPr>
          <w:rFonts w:ascii="Times New Roman" w:eastAsia="Times New Roman" w:hAnsi="Times New Roman" w:cs="Times New Roman"/>
          <w:kern w:val="0"/>
          <w:sz w:val="26"/>
          <w:szCs w:val="26"/>
          <w:lang w:val="en-US"/>
          <w14:ligatures w14:val="none"/>
        </w:rPr>
        <w:t xml:space="preserve"> This law strengthens the enforcement of domestic violence prevention and victim support while promoting human rights and gender equality. Decree No. 76/2023/ND-CP (</w:t>
      </w:r>
      <w:r w:rsidR="008F3377" w:rsidRPr="00D2074D">
        <w:rPr>
          <w:rFonts w:ascii="Times New Roman" w:eastAsia="Times New Roman" w:hAnsi="Times New Roman" w:cs="Times New Roman"/>
          <w:kern w:val="0"/>
          <w:sz w:val="26"/>
          <w:szCs w:val="26"/>
          <w:lang w:val="en-US"/>
          <w14:ligatures w14:val="none"/>
        </w:rPr>
        <w:t>1</w:t>
      </w:r>
      <w:r w:rsidR="008F3377" w:rsidRPr="00D2074D">
        <w:rPr>
          <w:rFonts w:ascii="Times New Roman" w:eastAsia="Times New Roman" w:hAnsi="Times New Roman" w:cs="Times New Roman"/>
          <w:kern w:val="0"/>
          <w:sz w:val="26"/>
          <w:szCs w:val="26"/>
          <w:vertAlign w:val="superscript"/>
          <w:lang w:val="en-US"/>
          <w14:ligatures w14:val="none"/>
        </w:rPr>
        <w:t>st</w:t>
      </w:r>
      <w:r w:rsidR="008F3377"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November 2023) elaborates on provisions to ensure safety and support for women affected by violence.</w:t>
      </w:r>
    </w:p>
    <w:p w14:paraId="0D15DC57" w14:textId="77B582A5" w:rsidR="002A592D" w:rsidRPr="00D2074D" w:rsidRDefault="002A592D" w:rsidP="00D2074D">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National Action Plan on Women, Peace, and Security (2024–2030):</w:t>
      </w:r>
      <w:r w:rsidRPr="00D2074D">
        <w:rPr>
          <w:rFonts w:ascii="Times New Roman" w:eastAsia="Times New Roman" w:hAnsi="Times New Roman" w:cs="Times New Roman"/>
          <w:kern w:val="0"/>
          <w:sz w:val="26"/>
          <w:szCs w:val="26"/>
          <w:lang w:val="en-US"/>
          <w14:ligatures w14:val="none"/>
        </w:rPr>
        <w:t xml:space="preserve"> Approved by the Prime Minister on </w:t>
      </w:r>
      <w:r w:rsidR="008F3377" w:rsidRPr="00D2074D">
        <w:rPr>
          <w:rFonts w:ascii="Times New Roman" w:eastAsia="Times New Roman" w:hAnsi="Times New Roman" w:cs="Times New Roman"/>
          <w:kern w:val="0"/>
          <w:sz w:val="26"/>
          <w:szCs w:val="26"/>
          <w:lang w:val="en-US"/>
          <w14:ligatures w14:val="none"/>
        </w:rPr>
        <w:t xml:space="preserve">25 </w:t>
      </w:r>
      <w:r w:rsidRPr="00D2074D">
        <w:rPr>
          <w:rFonts w:ascii="Times New Roman" w:eastAsia="Times New Roman" w:hAnsi="Times New Roman" w:cs="Times New Roman"/>
          <w:kern w:val="0"/>
          <w:sz w:val="26"/>
          <w:szCs w:val="26"/>
          <w:lang w:val="en-US"/>
          <w14:ligatures w14:val="none"/>
        </w:rPr>
        <w:t>January 2024, this program aims to enhance national policy frameworks on gender equality, elevate women's roles and voices in peace and security, and address non-traditional security challenges effectively.</w:t>
      </w:r>
    </w:p>
    <w:p w14:paraId="6C462912" w14:textId="0E69FAFC" w:rsidR="002A592D" w:rsidRPr="00D2074D" w:rsidRDefault="002A592D" w:rsidP="00D2074D">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 xml:space="preserve">Revised Social Insurance Law (effective </w:t>
      </w:r>
      <w:r w:rsidR="008F3377" w:rsidRPr="00D2074D">
        <w:rPr>
          <w:rFonts w:ascii="Times New Roman" w:eastAsia="Times New Roman" w:hAnsi="Times New Roman" w:cs="Times New Roman"/>
          <w:bCs/>
          <w:kern w:val="0"/>
          <w:sz w:val="26"/>
          <w:szCs w:val="26"/>
          <w:lang w:val="en-US"/>
          <w14:ligatures w14:val="none"/>
        </w:rPr>
        <w:t>from the 01</w:t>
      </w:r>
      <w:r w:rsidR="008F3377" w:rsidRPr="00D2074D">
        <w:rPr>
          <w:rFonts w:ascii="Times New Roman" w:eastAsia="Times New Roman" w:hAnsi="Times New Roman" w:cs="Times New Roman"/>
          <w:bCs/>
          <w:kern w:val="0"/>
          <w:sz w:val="26"/>
          <w:szCs w:val="26"/>
          <w:vertAlign w:val="superscript"/>
          <w:lang w:val="en-US"/>
          <w14:ligatures w14:val="none"/>
        </w:rPr>
        <w:t>st</w:t>
      </w:r>
      <w:r w:rsidR="008F3377" w:rsidRPr="00D2074D">
        <w:rPr>
          <w:rFonts w:ascii="Times New Roman" w:eastAsia="Times New Roman" w:hAnsi="Times New Roman" w:cs="Times New Roman"/>
          <w:bCs/>
          <w:kern w:val="0"/>
          <w:sz w:val="26"/>
          <w:szCs w:val="26"/>
          <w:lang w:val="en-US"/>
          <w14:ligatures w14:val="none"/>
        </w:rPr>
        <w:t xml:space="preserve"> </w:t>
      </w:r>
      <w:r w:rsidRPr="00D2074D">
        <w:rPr>
          <w:rFonts w:ascii="Times New Roman" w:eastAsia="Times New Roman" w:hAnsi="Times New Roman" w:cs="Times New Roman"/>
          <w:bCs/>
          <w:kern w:val="0"/>
          <w:sz w:val="26"/>
          <w:szCs w:val="26"/>
          <w:lang w:val="en-US"/>
          <w14:ligatures w14:val="none"/>
        </w:rPr>
        <w:t>July 2025):</w:t>
      </w:r>
      <w:r w:rsidRPr="00D2074D">
        <w:rPr>
          <w:rFonts w:ascii="Times New Roman" w:eastAsia="Times New Roman" w:hAnsi="Times New Roman" w:cs="Times New Roman"/>
          <w:kern w:val="0"/>
          <w:sz w:val="26"/>
          <w:szCs w:val="26"/>
          <w:lang w:val="en-US"/>
          <w14:ligatures w14:val="none"/>
        </w:rPr>
        <w:t xml:space="preserve"> Approved on </w:t>
      </w:r>
      <w:r w:rsidR="008F3377" w:rsidRPr="00D2074D">
        <w:rPr>
          <w:rFonts w:ascii="Times New Roman" w:eastAsia="Times New Roman" w:hAnsi="Times New Roman" w:cs="Times New Roman"/>
          <w:kern w:val="0"/>
          <w:sz w:val="26"/>
          <w:szCs w:val="26"/>
          <w:lang w:val="en-US"/>
          <w14:ligatures w14:val="none"/>
        </w:rPr>
        <w:t xml:space="preserve">29 </w:t>
      </w:r>
      <w:r w:rsidRPr="00D2074D">
        <w:rPr>
          <w:rFonts w:ascii="Times New Roman" w:eastAsia="Times New Roman" w:hAnsi="Times New Roman" w:cs="Times New Roman"/>
          <w:kern w:val="0"/>
          <w:sz w:val="26"/>
          <w:szCs w:val="26"/>
          <w:lang w:val="en-US"/>
          <w14:ligatures w14:val="none"/>
        </w:rPr>
        <w:t>June 2024, the law introduces significant advancements such as aligning retirement age provisions with the Labor Code (2019), extending maternity benefits to voluntary social insurance schemes, granting sickness and maternity benefits to part-time commune-level workers, including provisions for leave in cases of infertility treatment, miscarriage, stillbirth, or postnatal infant death.</w:t>
      </w:r>
    </w:p>
    <w:p w14:paraId="37EF6C4C" w14:textId="3C3D8890" w:rsidR="002A592D" w:rsidRPr="00D2074D" w:rsidRDefault="002A592D" w:rsidP="00D2074D">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Decree 76/2023/ND-CP detailing a number of artilces of the Law on Domestic violence prevention and control.</w:t>
      </w:r>
    </w:p>
    <w:p w14:paraId="32E03FCD" w14:textId="12CE498D" w:rsidR="002A592D" w:rsidRPr="00D2074D" w:rsidRDefault="002A592D" w:rsidP="00D2074D">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 xml:space="preserve">Draft </w:t>
      </w:r>
      <w:r w:rsidR="008F3377" w:rsidRPr="00D2074D">
        <w:rPr>
          <w:rFonts w:ascii="Times New Roman" w:eastAsia="Times New Roman" w:hAnsi="Times New Roman" w:cs="Times New Roman"/>
          <w:bCs/>
          <w:kern w:val="0"/>
          <w:sz w:val="26"/>
          <w:szCs w:val="26"/>
          <w:lang w:val="en-US"/>
          <w14:ligatures w14:val="none"/>
        </w:rPr>
        <w:t xml:space="preserve">Law on </w:t>
      </w:r>
      <w:r w:rsidRPr="00D2074D">
        <w:rPr>
          <w:rFonts w:ascii="Times New Roman" w:eastAsia="Times New Roman" w:hAnsi="Times New Roman" w:cs="Times New Roman"/>
          <w:bCs/>
          <w:kern w:val="0"/>
          <w:sz w:val="26"/>
          <w:szCs w:val="26"/>
          <w:lang w:val="en-US"/>
          <w14:ligatures w14:val="none"/>
        </w:rPr>
        <w:t>Employment:</w:t>
      </w:r>
      <w:r w:rsidRPr="00D2074D">
        <w:rPr>
          <w:rFonts w:ascii="Times New Roman" w:eastAsia="Times New Roman" w:hAnsi="Times New Roman" w:cs="Times New Roman"/>
          <w:kern w:val="0"/>
          <w:sz w:val="26"/>
          <w:szCs w:val="26"/>
          <w:lang w:val="en-US"/>
          <w14:ligatures w14:val="none"/>
        </w:rPr>
        <w:t xml:space="preserve"> The Government is refining policies for labor market development with an emphasis on gender equality, modern management, unemployment insurance enhancements, and skill development for workforce improvement.</w:t>
      </w:r>
    </w:p>
    <w:p w14:paraId="4BACE775" w14:textId="5C453A2E" w:rsidR="002A592D" w:rsidRPr="00D2074D" w:rsidRDefault="002A592D" w:rsidP="00D2074D">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Administrative Penalties for Discrimination: Several decrees outline administrative penalties for discrimination across sectors, including (i) Decree No. 144/2021/ND-CP (</w:t>
      </w:r>
      <w:r w:rsidR="008F3377" w:rsidRPr="00D2074D">
        <w:rPr>
          <w:rFonts w:ascii="Times New Roman" w:eastAsia="Times New Roman" w:hAnsi="Times New Roman" w:cs="Times New Roman"/>
          <w:kern w:val="0"/>
          <w:sz w:val="26"/>
          <w:szCs w:val="26"/>
          <w:lang w:val="en-US"/>
          <w14:ligatures w14:val="none"/>
        </w:rPr>
        <w:t xml:space="preserve">31 </w:t>
      </w:r>
      <w:r w:rsidRPr="00D2074D">
        <w:rPr>
          <w:rFonts w:ascii="Times New Roman" w:eastAsia="Times New Roman" w:hAnsi="Times New Roman" w:cs="Times New Roman"/>
          <w:kern w:val="0"/>
          <w:sz w:val="26"/>
          <w:szCs w:val="26"/>
          <w:lang w:val="en-US"/>
          <w14:ligatures w14:val="none"/>
        </w:rPr>
        <w:t>December 2021) addresses offenses related to security, social order, fire prevention, and domestic violence; (ii) Decree No. 12/2022/ND-CP (</w:t>
      </w:r>
      <w:r w:rsidR="008F3377" w:rsidRPr="00D2074D">
        <w:rPr>
          <w:rFonts w:ascii="Times New Roman" w:eastAsia="Times New Roman" w:hAnsi="Times New Roman" w:cs="Times New Roman"/>
          <w:kern w:val="0"/>
          <w:sz w:val="26"/>
          <w:szCs w:val="26"/>
          <w:lang w:val="en-US"/>
          <w14:ligatures w14:val="none"/>
        </w:rPr>
        <w:t xml:space="preserve">17 </w:t>
      </w:r>
      <w:r w:rsidRPr="00D2074D">
        <w:rPr>
          <w:rFonts w:ascii="Times New Roman" w:eastAsia="Times New Roman" w:hAnsi="Times New Roman" w:cs="Times New Roman"/>
          <w:kern w:val="0"/>
          <w:sz w:val="26"/>
          <w:szCs w:val="26"/>
          <w:lang w:val="en-US"/>
          <w14:ligatures w14:val="none"/>
        </w:rPr>
        <w:t>January 2022) regulates violations in labor, social insurance, and overseas employment; (iii) Decree No. 130/2021/ND-CP (</w:t>
      </w:r>
      <w:r w:rsidR="00E866E0" w:rsidRPr="00D2074D">
        <w:rPr>
          <w:rFonts w:ascii="Times New Roman" w:eastAsia="Times New Roman" w:hAnsi="Times New Roman" w:cs="Times New Roman"/>
          <w:kern w:val="0"/>
          <w:sz w:val="26"/>
          <w:szCs w:val="26"/>
          <w:lang w:val="en-US"/>
          <w14:ligatures w14:val="none"/>
        </w:rPr>
        <w:t xml:space="preserve">30 </w:t>
      </w:r>
      <w:r w:rsidRPr="00D2074D">
        <w:rPr>
          <w:rFonts w:ascii="Times New Roman" w:eastAsia="Times New Roman" w:hAnsi="Times New Roman" w:cs="Times New Roman"/>
          <w:kern w:val="0"/>
          <w:sz w:val="26"/>
          <w:szCs w:val="26"/>
          <w:lang w:val="en-US"/>
          <w14:ligatures w14:val="none"/>
        </w:rPr>
        <w:t>December 2021) covers penalties in social assistance and child welfare sectors; (iv) Decree No. 125/2021/ND-CP (</w:t>
      </w:r>
      <w:r w:rsidR="00E866E0" w:rsidRPr="00D2074D">
        <w:rPr>
          <w:rFonts w:ascii="Times New Roman" w:eastAsia="Times New Roman" w:hAnsi="Times New Roman" w:cs="Times New Roman"/>
          <w:kern w:val="0"/>
          <w:sz w:val="26"/>
          <w:szCs w:val="26"/>
          <w:lang w:val="en-US"/>
          <w14:ligatures w14:val="none"/>
        </w:rPr>
        <w:t xml:space="preserve">28 </w:t>
      </w:r>
      <w:r w:rsidRPr="00D2074D">
        <w:rPr>
          <w:rFonts w:ascii="Times New Roman" w:eastAsia="Times New Roman" w:hAnsi="Times New Roman" w:cs="Times New Roman"/>
          <w:kern w:val="0"/>
          <w:sz w:val="26"/>
          <w:szCs w:val="26"/>
          <w:lang w:val="en-US"/>
          <w14:ligatures w14:val="none"/>
        </w:rPr>
        <w:t>December 2021) stipulates administrative violations, forms of penalties, levels of fines, and remedial measures for each specific administrative violation. It also details the authority to issue violation records, impose penalties, and the specific fines applicable to each position in cases of administrative violations in the field of gender equality.</w:t>
      </w:r>
    </w:p>
    <w:p w14:paraId="5B432F42" w14:textId="4BA706ED" w:rsidR="00AA0317" w:rsidRPr="0049615E" w:rsidRDefault="002A592D" w:rsidP="00AA0317">
      <w:pPr>
        <w:pStyle w:val="ListParagraph"/>
        <w:numPr>
          <w:ilvl w:val="0"/>
          <w:numId w:val="23"/>
        </w:numPr>
        <w:tabs>
          <w:tab w:val="left" w:pos="1134"/>
        </w:tabs>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Amendment of Decree No. 10/2015/ND-CP on In Vitro Fertilization and Surrogacy: The Government has directed the Ministry of Health to revise this decree to enhance reproductive health regulations, curb illegal activities, and ensure strict adherence to gender selection laws.</w:t>
      </w:r>
      <w:r w:rsidR="00725DE2" w:rsidRPr="00D2074D">
        <w:rPr>
          <w:rFonts w:ascii="Times New Roman" w:eastAsia="Times New Roman" w:hAnsi="Times New Roman" w:cs="Times New Roman"/>
          <w:kern w:val="0"/>
          <w:sz w:val="26"/>
          <w:szCs w:val="26"/>
          <w:lang w:val="en-US"/>
          <w14:ligatures w14:val="none"/>
        </w:rPr>
        <w:t xml:space="preserve"> </w:t>
      </w:r>
      <w:r w:rsidRPr="00D2074D">
        <w:rPr>
          <w:rFonts w:ascii="Times New Roman" w:eastAsia="Times New Roman" w:hAnsi="Times New Roman" w:cs="Times New Roman"/>
          <w:kern w:val="0"/>
          <w:sz w:val="26"/>
          <w:szCs w:val="26"/>
          <w:lang w:val="en-US"/>
          <w14:ligatures w14:val="none"/>
        </w:rPr>
        <w:t>These updates reflect the Government's commitment to advancing equality and combating discrimination in diverse sectors.</w:t>
      </w:r>
    </w:p>
    <w:p w14:paraId="6EBA061F" w14:textId="181C2431" w:rsidR="00AA0317" w:rsidRPr="00D2074D" w:rsidRDefault="00725DE2" w:rsidP="00725DE2">
      <w:pPr>
        <w:pStyle w:val="Heading3"/>
        <w:tabs>
          <w:tab w:val="left" w:pos="851"/>
        </w:tabs>
        <w:jc w:val="both"/>
        <w:rPr>
          <w:rStyle w:val="Strong"/>
          <w:rFonts w:ascii="Times New Roman" w:hAnsi="Times New Roman" w:cs="Times New Roman"/>
          <w:b w:val="0"/>
          <w:bCs w:val="0"/>
          <w:color w:val="000000" w:themeColor="text1"/>
          <w:sz w:val="26"/>
          <w:szCs w:val="26"/>
        </w:rPr>
      </w:pPr>
      <w:r w:rsidRPr="00D2074D">
        <w:rPr>
          <w:rStyle w:val="Strong"/>
          <w:rFonts w:ascii="Times New Roman" w:hAnsi="Times New Roman" w:cs="Times New Roman"/>
          <w:bCs w:val="0"/>
          <w:color w:val="000000" w:themeColor="text1"/>
          <w:sz w:val="26"/>
          <w:szCs w:val="26"/>
        </w:rPr>
        <w:lastRenderedPageBreak/>
        <w:t>Footnote 33</w:t>
      </w:r>
      <w:r w:rsidR="00AA0317" w:rsidRPr="00D2074D">
        <w:rPr>
          <w:rStyle w:val="Strong"/>
          <w:rFonts w:ascii="Times New Roman" w:hAnsi="Times New Roman" w:cs="Times New Roman"/>
          <w:bCs w:val="0"/>
          <w:color w:val="000000" w:themeColor="text1"/>
          <w:sz w:val="26"/>
          <w:szCs w:val="26"/>
        </w:rPr>
        <w:t xml:space="preserve"> (</w:t>
      </w:r>
      <w:r w:rsidR="00D2074D">
        <w:rPr>
          <w:rStyle w:val="Strong"/>
          <w:rFonts w:ascii="Times New Roman" w:hAnsi="Times New Roman" w:cs="Times New Roman"/>
          <w:bCs w:val="0"/>
          <w:color w:val="000000" w:themeColor="text1"/>
          <w:sz w:val="26"/>
          <w:szCs w:val="26"/>
        </w:rPr>
        <w:t>at</w:t>
      </w:r>
      <w:r w:rsidR="00D2074D">
        <w:rPr>
          <w:rStyle w:val="Strong"/>
          <w:rFonts w:ascii="Times New Roman" w:hAnsi="Times New Roman" w:cs="Times New Roman"/>
          <w:bCs w:val="0"/>
          <w:color w:val="000000" w:themeColor="text1"/>
          <w:sz w:val="26"/>
          <w:szCs w:val="26"/>
          <w:lang w:val="vi-VN"/>
        </w:rPr>
        <w:t xml:space="preserve"> </w:t>
      </w:r>
      <w:r w:rsidR="00AA0317" w:rsidRPr="00D2074D">
        <w:rPr>
          <w:rStyle w:val="Strong"/>
          <w:rFonts w:ascii="Times New Roman" w:hAnsi="Times New Roman" w:cs="Times New Roman"/>
          <w:bCs w:val="0"/>
          <w:color w:val="000000" w:themeColor="text1"/>
          <w:sz w:val="26"/>
          <w:szCs w:val="26"/>
        </w:rPr>
        <w:t>page 16</w:t>
      </w:r>
      <w:r w:rsidR="00D2074D">
        <w:rPr>
          <w:rStyle w:val="Strong"/>
          <w:rFonts w:ascii="Times New Roman" w:hAnsi="Times New Roman" w:cs="Times New Roman"/>
          <w:bCs w:val="0"/>
          <w:color w:val="000000" w:themeColor="text1"/>
          <w:sz w:val="26"/>
          <w:szCs w:val="26"/>
          <w:lang w:val="vi-VN"/>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Style w:val="Strong"/>
          <w:rFonts w:ascii="Times New Roman" w:hAnsi="Times New Roman" w:cs="Times New Roman"/>
          <w:bCs w:val="0"/>
          <w:color w:val="000000" w:themeColor="text1"/>
          <w:sz w:val="26"/>
          <w:szCs w:val="26"/>
        </w:rPr>
        <w:t>)</w:t>
      </w:r>
      <w:r w:rsidRPr="00D2074D">
        <w:rPr>
          <w:rStyle w:val="Strong"/>
          <w:rFonts w:ascii="Times New Roman" w:hAnsi="Times New Roman" w:cs="Times New Roman"/>
          <w:bCs w:val="0"/>
          <w:color w:val="000000" w:themeColor="text1"/>
          <w:sz w:val="26"/>
          <w:szCs w:val="26"/>
        </w:rPr>
        <w:t>:</w:t>
      </w:r>
      <w:r w:rsidRPr="00D2074D">
        <w:rPr>
          <w:rStyle w:val="Strong"/>
          <w:rFonts w:ascii="Times New Roman" w:hAnsi="Times New Roman" w:cs="Times New Roman"/>
          <w:b w:val="0"/>
          <w:bCs w:val="0"/>
          <w:color w:val="000000" w:themeColor="text1"/>
          <w:sz w:val="26"/>
          <w:szCs w:val="26"/>
        </w:rPr>
        <w:t xml:space="preserve"> </w:t>
      </w:r>
    </w:p>
    <w:p w14:paraId="593666F4" w14:textId="086B4830" w:rsidR="0049615E" w:rsidRPr="0049615E" w:rsidRDefault="00725DE2" w:rsidP="00725DE2">
      <w:pPr>
        <w:pStyle w:val="Heading3"/>
        <w:tabs>
          <w:tab w:val="left" w:pos="851"/>
        </w:tabs>
        <w:jc w:val="both"/>
        <w:rPr>
          <w:rStyle w:val="Strong"/>
          <w:rFonts w:ascii="Times New Roman" w:hAnsi="Times New Roman" w:cs="Times New Roman"/>
          <w:b w:val="0"/>
          <w:bCs w:val="0"/>
          <w:color w:val="000000" w:themeColor="text1"/>
          <w:sz w:val="26"/>
          <w:szCs w:val="26"/>
        </w:rPr>
      </w:pPr>
      <w:r w:rsidRPr="00D2074D">
        <w:rPr>
          <w:rFonts w:ascii="Times New Roman" w:hAnsi="Times New Roman" w:cs="Times New Roman"/>
          <w:color w:val="000000" w:themeColor="text1"/>
          <w:sz w:val="26"/>
          <w:szCs w:val="26"/>
        </w:rPr>
        <w:t>Approximately 260,000 direct community-based communication events on human trafficking prevention have been conducted, engaging nearly 25 million participants. Additionally, awareness on human trafficking has been integrated with other topics, reaching over 50 million participants. Alongside these campaigns, various communication models have been established and maintained by local organizations, such as communication initiatives at highland markets, the "5 Knows" campaign, community support for anti-trafficking, and the "Safe Migration" program. These organizations have prioritized dissemination through central and local mass media (press, radio, television) and collaborated on special sections and columns to provide the public with information and skills for handling situations related to human trafficking.</w:t>
      </w:r>
    </w:p>
    <w:p w14:paraId="4927E9B4" w14:textId="61C18C76" w:rsidR="00AA0317" w:rsidRPr="00D2074D" w:rsidRDefault="00725DE2" w:rsidP="00725DE2">
      <w:pPr>
        <w:pStyle w:val="Heading3"/>
        <w:tabs>
          <w:tab w:val="left" w:pos="851"/>
        </w:tabs>
        <w:jc w:val="both"/>
        <w:rPr>
          <w:rStyle w:val="Strong"/>
          <w:rFonts w:ascii="Times New Roman" w:hAnsi="Times New Roman" w:cs="Times New Roman"/>
          <w:b w:val="0"/>
          <w:bCs w:val="0"/>
          <w:color w:val="000000" w:themeColor="text1"/>
          <w:sz w:val="26"/>
          <w:szCs w:val="26"/>
        </w:rPr>
      </w:pPr>
      <w:r w:rsidRPr="00D2074D">
        <w:rPr>
          <w:rStyle w:val="Strong"/>
          <w:rFonts w:ascii="Times New Roman" w:hAnsi="Times New Roman" w:cs="Times New Roman"/>
          <w:bCs w:val="0"/>
          <w:color w:val="000000" w:themeColor="text1"/>
          <w:sz w:val="26"/>
          <w:szCs w:val="26"/>
        </w:rPr>
        <w:t>Footnote 34</w:t>
      </w:r>
      <w:r w:rsidR="00AA0317" w:rsidRPr="00D2074D">
        <w:rPr>
          <w:rStyle w:val="Strong"/>
          <w:rFonts w:ascii="Times New Roman" w:hAnsi="Times New Roman" w:cs="Times New Roman"/>
          <w:bCs w:val="0"/>
          <w:color w:val="000000" w:themeColor="text1"/>
          <w:sz w:val="26"/>
          <w:szCs w:val="26"/>
        </w:rPr>
        <w:t xml:space="preserve"> (</w:t>
      </w:r>
      <w:r w:rsidR="00D2074D">
        <w:rPr>
          <w:rStyle w:val="Strong"/>
          <w:rFonts w:ascii="Times New Roman" w:hAnsi="Times New Roman" w:cs="Times New Roman"/>
          <w:bCs w:val="0"/>
          <w:color w:val="000000" w:themeColor="text1"/>
          <w:sz w:val="26"/>
          <w:szCs w:val="26"/>
        </w:rPr>
        <w:t>at</w:t>
      </w:r>
      <w:r w:rsidR="00D2074D">
        <w:rPr>
          <w:rStyle w:val="Strong"/>
          <w:rFonts w:ascii="Times New Roman" w:hAnsi="Times New Roman" w:cs="Times New Roman"/>
          <w:bCs w:val="0"/>
          <w:color w:val="000000" w:themeColor="text1"/>
          <w:sz w:val="26"/>
          <w:szCs w:val="26"/>
          <w:lang w:val="vi-VN"/>
        </w:rPr>
        <w:t xml:space="preserve"> </w:t>
      </w:r>
      <w:r w:rsidR="00AA0317" w:rsidRPr="00D2074D">
        <w:rPr>
          <w:rStyle w:val="Strong"/>
          <w:rFonts w:ascii="Times New Roman" w:hAnsi="Times New Roman" w:cs="Times New Roman"/>
          <w:bCs w:val="0"/>
          <w:color w:val="000000" w:themeColor="text1"/>
          <w:sz w:val="26"/>
          <w:szCs w:val="26"/>
        </w:rPr>
        <w:t>page 16</w:t>
      </w:r>
      <w:r w:rsidR="00D2074D">
        <w:rPr>
          <w:rStyle w:val="Strong"/>
          <w:rFonts w:ascii="Times New Roman" w:hAnsi="Times New Roman" w:cs="Times New Roman"/>
          <w:bCs w:val="0"/>
          <w:color w:val="000000" w:themeColor="text1"/>
          <w:sz w:val="26"/>
          <w:szCs w:val="26"/>
          <w:lang w:val="vi-VN"/>
        </w:rPr>
        <w:t xml:space="preserve"> </w:t>
      </w:r>
      <w:r w:rsidR="00D2074D" w:rsidRPr="00D2074D">
        <w:rPr>
          <w:rFonts w:ascii="Times New Roman" w:eastAsia="Times New Roman" w:hAnsi="Times New Roman" w:cs="Times New Roman"/>
          <w:b/>
          <w:bCs/>
          <w:color w:val="auto"/>
          <w:kern w:val="0"/>
          <w:sz w:val="26"/>
          <w:szCs w:val="26"/>
          <w:lang w:val="vi-VN"/>
          <w14:ligatures w14:val="none"/>
        </w:rPr>
        <w:t>of the Written Response</w:t>
      </w:r>
      <w:r w:rsidR="00AA0317" w:rsidRPr="00D2074D">
        <w:rPr>
          <w:rStyle w:val="Strong"/>
          <w:rFonts w:ascii="Times New Roman" w:hAnsi="Times New Roman" w:cs="Times New Roman"/>
          <w:bCs w:val="0"/>
          <w:color w:val="000000" w:themeColor="text1"/>
          <w:sz w:val="26"/>
          <w:szCs w:val="26"/>
        </w:rPr>
        <w:t>)</w:t>
      </w:r>
      <w:r w:rsidRPr="00D2074D">
        <w:rPr>
          <w:rStyle w:val="Strong"/>
          <w:rFonts w:ascii="Times New Roman" w:hAnsi="Times New Roman" w:cs="Times New Roman"/>
          <w:bCs w:val="0"/>
          <w:color w:val="000000" w:themeColor="text1"/>
          <w:sz w:val="26"/>
          <w:szCs w:val="26"/>
        </w:rPr>
        <w:t>:</w:t>
      </w:r>
      <w:r w:rsidRPr="00D2074D">
        <w:rPr>
          <w:rStyle w:val="Strong"/>
          <w:rFonts w:ascii="Times New Roman" w:hAnsi="Times New Roman" w:cs="Times New Roman"/>
          <w:b w:val="0"/>
          <w:bCs w:val="0"/>
          <w:color w:val="000000" w:themeColor="text1"/>
          <w:sz w:val="26"/>
          <w:szCs w:val="26"/>
        </w:rPr>
        <w:t xml:space="preserve"> </w:t>
      </w:r>
    </w:p>
    <w:p w14:paraId="222EA8B6" w14:textId="246D192B" w:rsidR="0049615E" w:rsidRPr="0049615E" w:rsidRDefault="00725DE2" w:rsidP="00725DE2">
      <w:pPr>
        <w:pStyle w:val="Heading3"/>
        <w:tabs>
          <w:tab w:val="left" w:pos="851"/>
        </w:tabs>
        <w:jc w:val="both"/>
        <w:rPr>
          <w:rStyle w:val="Strong"/>
          <w:rFonts w:ascii="Times New Roman" w:hAnsi="Times New Roman" w:cs="Times New Roman"/>
          <w:b w:val="0"/>
          <w:bCs w:val="0"/>
          <w:color w:val="000000" w:themeColor="text1"/>
          <w:sz w:val="26"/>
          <w:szCs w:val="26"/>
        </w:rPr>
      </w:pPr>
      <w:r w:rsidRPr="00D2074D">
        <w:rPr>
          <w:rFonts w:ascii="Times New Roman" w:hAnsi="Times New Roman" w:cs="Times New Roman"/>
          <w:color w:val="000000" w:themeColor="text1"/>
          <w:sz w:val="26"/>
          <w:szCs w:val="26"/>
        </w:rPr>
        <w:t>Currently, the Women’s Development Center in Ha</w:t>
      </w:r>
      <w:r w:rsidR="00E866E0" w:rsidRPr="00D2074D">
        <w:rPr>
          <w:rFonts w:ascii="Times New Roman" w:hAnsi="Times New Roman" w:cs="Times New Roman"/>
          <w:color w:val="000000" w:themeColor="text1"/>
          <w:sz w:val="26"/>
          <w:szCs w:val="26"/>
        </w:rPr>
        <w:t xml:space="preserve"> Noi </w:t>
      </w:r>
      <w:r w:rsidRPr="00D2074D">
        <w:rPr>
          <w:rFonts w:ascii="Times New Roman" w:hAnsi="Times New Roman" w:cs="Times New Roman"/>
          <w:color w:val="000000" w:themeColor="text1"/>
          <w:sz w:val="26"/>
          <w:szCs w:val="26"/>
        </w:rPr>
        <w:t xml:space="preserve">operates two </w:t>
      </w:r>
      <w:r w:rsidRPr="00D2074D">
        <w:rPr>
          <w:rStyle w:val="Emphasis"/>
          <w:rFonts w:ascii="Times New Roman" w:hAnsi="Times New Roman" w:cs="Times New Roman"/>
          <w:color w:val="000000" w:themeColor="text1"/>
          <w:sz w:val="26"/>
          <w:szCs w:val="26"/>
        </w:rPr>
        <w:t>Peaceful Houses</w:t>
      </w:r>
      <w:r w:rsidRPr="00D2074D">
        <w:rPr>
          <w:rFonts w:ascii="Times New Roman" w:hAnsi="Times New Roman" w:cs="Times New Roman"/>
          <w:color w:val="000000" w:themeColor="text1"/>
          <w:sz w:val="26"/>
          <w:szCs w:val="26"/>
        </w:rPr>
        <w:t xml:space="preserve">, while another is located in Can Tho. Plans are underway to expand these shelters to Quang Binh. From 2007 to August 2024, </w:t>
      </w:r>
      <w:r w:rsidRPr="00D2074D">
        <w:rPr>
          <w:rStyle w:val="Emphasis"/>
          <w:rFonts w:ascii="Times New Roman" w:hAnsi="Times New Roman" w:cs="Times New Roman"/>
          <w:color w:val="000000" w:themeColor="text1"/>
          <w:sz w:val="26"/>
          <w:szCs w:val="26"/>
        </w:rPr>
        <w:t>Peaceful Houses</w:t>
      </w:r>
      <w:r w:rsidRPr="00D2074D">
        <w:rPr>
          <w:rFonts w:ascii="Times New Roman" w:hAnsi="Times New Roman" w:cs="Times New Roman"/>
          <w:color w:val="000000" w:themeColor="text1"/>
          <w:sz w:val="26"/>
          <w:szCs w:val="26"/>
        </w:rPr>
        <w:t xml:space="preserve"> have accommodated 1,741 residents from 56 out of 63 provinces/cities, representing 17 ethnic groups, with some being foreign nationals. Among them: </w:t>
      </w:r>
      <w:r w:rsidRPr="00D2074D">
        <w:rPr>
          <w:rStyle w:val="Strong"/>
          <w:rFonts w:ascii="Times New Roman" w:hAnsi="Times New Roman" w:cs="Times New Roman"/>
          <w:b w:val="0"/>
          <w:color w:val="000000" w:themeColor="text1"/>
          <w:sz w:val="26"/>
          <w:szCs w:val="26"/>
        </w:rPr>
        <w:t>Domestic violence and sexual abuse victims</w:t>
      </w:r>
      <w:r w:rsidRPr="00D2074D">
        <w:rPr>
          <w:rFonts w:ascii="Times New Roman" w:hAnsi="Times New Roman" w:cs="Times New Roman"/>
          <w:b/>
          <w:color w:val="000000" w:themeColor="text1"/>
          <w:sz w:val="26"/>
          <w:szCs w:val="26"/>
        </w:rPr>
        <w:t>:</w:t>
      </w:r>
      <w:r w:rsidRPr="00D2074D">
        <w:rPr>
          <w:rFonts w:ascii="Times New Roman" w:hAnsi="Times New Roman" w:cs="Times New Roman"/>
          <w:color w:val="000000" w:themeColor="text1"/>
          <w:sz w:val="26"/>
          <w:szCs w:val="26"/>
        </w:rPr>
        <w:t xml:space="preserve"> 1,267 individuals (720 women, 547 children); </w:t>
      </w:r>
      <w:r w:rsidRPr="00D2074D">
        <w:rPr>
          <w:rStyle w:val="Strong"/>
          <w:rFonts w:ascii="Times New Roman" w:hAnsi="Times New Roman" w:cs="Times New Roman"/>
          <w:b w:val="0"/>
          <w:color w:val="000000" w:themeColor="text1"/>
          <w:sz w:val="26"/>
          <w:szCs w:val="26"/>
        </w:rPr>
        <w:t>Human trafficking victims</w:t>
      </w:r>
      <w:r w:rsidRPr="00D2074D">
        <w:rPr>
          <w:rFonts w:ascii="Times New Roman" w:hAnsi="Times New Roman" w:cs="Times New Roman"/>
          <w:color w:val="000000" w:themeColor="text1"/>
          <w:sz w:val="26"/>
          <w:szCs w:val="26"/>
        </w:rPr>
        <w:t>: 474 individuals (314 adults, 160 children). Services provided include safe accommodation, medical examination, physical recovery, mental health counseling, legal advice, vocational training, job placement, life skills training, and continued reintegration support for up to 24 months post-residence.</w:t>
      </w:r>
    </w:p>
    <w:p w14:paraId="2AD729CC" w14:textId="1718818C" w:rsidR="00AA0317" w:rsidRPr="00D2074D" w:rsidRDefault="00725DE2" w:rsidP="00725DE2">
      <w:pPr>
        <w:pStyle w:val="Heading3"/>
        <w:tabs>
          <w:tab w:val="left" w:pos="851"/>
        </w:tabs>
        <w:jc w:val="both"/>
        <w:rPr>
          <w:rStyle w:val="Strong"/>
          <w:rFonts w:ascii="Times New Roman" w:hAnsi="Times New Roman" w:cs="Times New Roman"/>
          <w:color w:val="000000" w:themeColor="text1"/>
          <w:sz w:val="26"/>
          <w:szCs w:val="26"/>
        </w:rPr>
      </w:pPr>
      <w:r w:rsidRPr="00D2074D">
        <w:rPr>
          <w:rStyle w:val="Strong"/>
          <w:rFonts w:ascii="Times New Roman" w:hAnsi="Times New Roman" w:cs="Times New Roman"/>
          <w:color w:val="000000" w:themeColor="text1"/>
          <w:sz w:val="26"/>
          <w:szCs w:val="26"/>
        </w:rPr>
        <w:t>Footnote 38</w:t>
      </w:r>
      <w:r w:rsidR="00AA0317" w:rsidRPr="00D2074D">
        <w:rPr>
          <w:rStyle w:val="Strong"/>
          <w:rFonts w:ascii="Times New Roman" w:hAnsi="Times New Roman" w:cs="Times New Roman"/>
          <w:color w:val="000000" w:themeColor="text1"/>
          <w:sz w:val="26"/>
          <w:szCs w:val="26"/>
        </w:rPr>
        <w:t xml:space="preserve"> (</w:t>
      </w:r>
      <w:r w:rsidR="00D2074D">
        <w:rPr>
          <w:rStyle w:val="Strong"/>
          <w:rFonts w:ascii="Times New Roman" w:hAnsi="Times New Roman" w:cs="Times New Roman"/>
          <w:color w:val="000000" w:themeColor="text1"/>
          <w:sz w:val="26"/>
          <w:szCs w:val="26"/>
        </w:rPr>
        <w:t>at</w:t>
      </w:r>
      <w:r w:rsidR="00D2074D">
        <w:rPr>
          <w:rStyle w:val="Strong"/>
          <w:rFonts w:ascii="Times New Roman" w:hAnsi="Times New Roman" w:cs="Times New Roman"/>
          <w:color w:val="000000" w:themeColor="text1"/>
          <w:sz w:val="26"/>
          <w:szCs w:val="26"/>
          <w:lang w:val="vi-VN"/>
        </w:rPr>
        <w:t xml:space="preserve"> </w:t>
      </w:r>
      <w:r w:rsidR="00AA0317" w:rsidRPr="00D2074D">
        <w:rPr>
          <w:rStyle w:val="Strong"/>
          <w:rFonts w:ascii="Times New Roman" w:hAnsi="Times New Roman" w:cs="Times New Roman"/>
          <w:color w:val="000000" w:themeColor="text1"/>
          <w:sz w:val="26"/>
          <w:szCs w:val="26"/>
        </w:rPr>
        <w:t>page 19</w:t>
      </w:r>
      <w:r w:rsidR="00D2074D">
        <w:rPr>
          <w:rStyle w:val="Strong"/>
          <w:rFonts w:ascii="Times New Roman" w:hAnsi="Times New Roman" w:cs="Times New Roman"/>
          <w:color w:val="000000" w:themeColor="text1"/>
          <w:sz w:val="26"/>
          <w:szCs w:val="26"/>
          <w:lang w:val="vi-VN"/>
        </w:rPr>
        <w:t xml:space="preserve"> </w:t>
      </w:r>
      <w:r w:rsidR="00D2074D" w:rsidRPr="0049615E">
        <w:rPr>
          <w:rFonts w:ascii="Times New Roman" w:eastAsia="Times New Roman" w:hAnsi="Times New Roman" w:cs="Times New Roman"/>
          <w:b/>
          <w:bCs/>
          <w:color w:val="auto"/>
          <w:kern w:val="0"/>
          <w:sz w:val="26"/>
          <w:szCs w:val="26"/>
          <w:lang w:val="vi-VN"/>
          <w14:ligatures w14:val="none"/>
        </w:rPr>
        <w:t>of the Written Response</w:t>
      </w:r>
      <w:r w:rsidR="00AA0317" w:rsidRPr="0049615E">
        <w:rPr>
          <w:rStyle w:val="Strong"/>
          <w:rFonts w:ascii="Times New Roman" w:hAnsi="Times New Roman" w:cs="Times New Roman"/>
          <w:color w:val="auto"/>
          <w:sz w:val="26"/>
          <w:szCs w:val="26"/>
        </w:rPr>
        <w:t>)</w:t>
      </w:r>
      <w:r w:rsidRPr="0049615E">
        <w:rPr>
          <w:rStyle w:val="Strong"/>
          <w:rFonts w:ascii="Times New Roman" w:hAnsi="Times New Roman" w:cs="Times New Roman"/>
          <w:color w:val="auto"/>
          <w:sz w:val="26"/>
          <w:szCs w:val="26"/>
        </w:rPr>
        <w:t xml:space="preserve">: </w:t>
      </w:r>
    </w:p>
    <w:p w14:paraId="10433599" w14:textId="6C62C6AF" w:rsidR="0049615E" w:rsidRPr="0049615E" w:rsidRDefault="00725DE2" w:rsidP="00725DE2">
      <w:pPr>
        <w:pStyle w:val="Heading3"/>
        <w:tabs>
          <w:tab w:val="left" w:pos="851"/>
        </w:tabs>
        <w:jc w:val="both"/>
        <w:rPr>
          <w:rStyle w:val="Strong"/>
          <w:rFonts w:ascii="Times New Roman" w:hAnsi="Times New Roman" w:cs="Times New Roman"/>
          <w:b w:val="0"/>
          <w:bCs w:val="0"/>
          <w:color w:val="000000" w:themeColor="text1"/>
          <w:sz w:val="26"/>
          <w:szCs w:val="26"/>
        </w:rPr>
      </w:pPr>
      <w:r w:rsidRPr="00D2074D">
        <w:rPr>
          <w:rFonts w:ascii="Times New Roman" w:hAnsi="Times New Roman" w:cs="Times New Roman"/>
          <w:color w:val="000000" w:themeColor="text1"/>
          <w:sz w:val="26"/>
          <w:szCs w:val="26"/>
        </w:rPr>
        <w:t xml:space="preserve">The Supreme People’s Procuracy is compiling statistical data on prosecutorial powers and judicial supervision through templates issued under Decision No. 560/QĐ-VKSTC dated November 13, 2019. These statistics are collected monthly, biannually, and annually and include (i) </w:t>
      </w:r>
      <w:r w:rsidRPr="00D2074D">
        <w:rPr>
          <w:rFonts w:ascii="Times New Roman" w:hAnsi="Times New Roman" w:cs="Times New Roman"/>
          <w:bCs/>
          <w:color w:val="000000" w:themeColor="text1"/>
          <w:sz w:val="26"/>
          <w:szCs w:val="26"/>
        </w:rPr>
        <w:t>C</w:t>
      </w:r>
      <w:r w:rsidR="00E866E0" w:rsidRPr="00D2074D">
        <w:rPr>
          <w:rFonts w:ascii="Times New Roman" w:hAnsi="Times New Roman" w:cs="Times New Roman"/>
          <w:bCs/>
          <w:color w:val="000000" w:themeColor="text1"/>
          <w:sz w:val="26"/>
          <w:szCs w:val="26"/>
        </w:rPr>
        <w:t>r</w:t>
      </w:r>
      <w:r w:rsidRPr="00D2074D">
        <w:rPr>
          <w:rStyle w:val="Strong"/>
          <w:rFonts w:ascii="Times New Roman" w:hAnsi="Times New Roman" w:cs="Times New Roman"/>
          <w:b w:val="0"/>
          <w:color w:val="000000" w:themeColor="text1"/>
          <w:sz w:val="26"/>
          <w:szCs w:val="26"/>
        </w:rPr>
        <w:t>iminal data related to civil and political rights violations</w:t>
      </w:r>
      <w:r w:rsidRPr="00D2074D">
        <w:rPr>
          <w:rFonts w:ascii="Times New Roman" w:hAnsi="Times New Roman" w:cs="Times New Roman"/>
          <w:color w:val="000000" w:themeColor="text1"/>
          <w:sz w:val="26"/>
          <w:szCs w:val="26"/>
        </w:rPr>
        <w:t>, such as crimes infringing on life, health, dignity, and honor; crimes violating personal freedoms and democratic rights; crimes infringing on property rights; crimes against the marriage and family regime; (ii) C</w:t>
      </w:r>
      <w:r w:rsidRPr="00D2074D">
        <w:rPr>
          <w:rStyle w:val="Strong"/>
          <w:rFonts w:ascii="Times New Roman" w:hAnsi="Times New Roman" w:cs="Times New Roman"/>
          <w:b w:val="0"/>
          <w:color w:val="000000" w:themeColor="text1"/>
          <w:sz w:val="26"/>
          <w:szCs w:val="26"/>
        </w:rPr>
        <w:t>ivil data on complaints, denunciations, and lawsuits concerning violations of civil and political rights</w:t>
      </w:r>
      <w:r w:rsidRPr="00D2074D">
        <w:rPr>
          <w:rFonts w:ascii="Times New Roman" w:hAnsi="Times New Roman" w:cs="Times New Roman"/>
          <w:color w:val="000000" w:themeColor="text1"/>
          <w:sz w:val="26"/>
          <w:szCs w:val="26"/>
        </w:rPr>
        <w:t>, including actions of authorities in arrests, detention, and custody, requests for compensation for damages caused by procedural officers.</w:t>
      </w:r>
    </w:p>
    <w:p w14:paraId="6C9B6828" w14:textId="45DD4257" w:rsidR="00AA0317" w:rsidRPr="00D2074D" w:rsidRDefault="00725DE2" w:rsidP="00725DE2">
      <w:pPr>
        <w:pStyle w:val="Heading3"/>
        <w:tabs>
          <w:tab w:val="left" w:pos="851"/>
        </w:tabs>
        <w:jc w:val="both"/>
        <w:rPr>
          <w:rStyle w:val="Strong"/>
          <w:rFonts w:ascii="Times New Roman" w:hAnsi="Times New Roman" w:cs="Times New Roman"/>
          <w:b w:val="0"/>
          <w:bCs w:val="0"/>
          <w:color w:val="000000" w:themeColor="text1"/>
          <w:sz w:val="26"/>
          <w:szCs w:val="26"/>
        </w:rPr>
      </w:pPr>
      <w:r w:rsidRPr="00D2074D">
        <w:rPr>
          <w:rStyle w:val="Strong"/>
          <w:rFonts w:ascii="Times New Roman" w:hAnsi="Times New Roman" w:cs="Times New Roman"/>
          <w:bCs w:val="0"/>
          <w:color w:val="000000" w:themeColor="text1"/>
          <w:sz w:val="26"/>
          <w:szCs w:val="26"/>
        </w:rPr>
        <w:t>Footnote 44</w:t>
      </w:r>
      <w:r w:rsidR="00AA0317" w:rsidRPr="00D2074D">
        <w:rPr>
          <w:rStyle w:val="Strong"/>
          <w:rFonts w:ascii="Times New Roman" w:hAnsi="Times New Roman" w:cs="Times New Roman"/>
          <w:bCs w:val="0"/>
          <w:color w:val="000000" w:themeColor="text1"/>
          <w:sz w:val="26"/>
          <w:szCs w:val="26"/>
        </w:rPr>
        <w:t xml:space="preserve"> (</w:t>
      </w:r>
      <w:r w:rsidR="00D2074D">
        <w:rPr>
          <w:rStyle w:val="Strong"/>
          <w:rFonts w:ascii="Times New Roman" w:hAnsi="Times New Roman" w:cs="Times New Roman"/>
          <w:bCs w:val="0"/>
          <w:color w:val="000000" w:themeColor="text1"/>
          <w:sz w:val="26"/>
          <w:szCs w:val="26"/>
        </w:rPr>
        <w:t>at</w:t>
      </w:r>
      <w:r w:rsidR="00D2074D">
        <w:rPr>
          <w:rStyle w:val="Strong"/>
          <w:rFonts w:ascii="Times New Roman" w:hAnsi="Times New Roman" w:cs="Times New Roman"/>
          <w:bCs w:val="0"/>
          <w:color w:val="000000" w:themeColor="text1"/>
          <w:sz w:val="26"/>
          <w:szCs w:val="26"/>
          <w:lang w:val="vi-VN"/>
        </w:rPr>
        <w:t xml:space="preserve"> </w:t>
      </w:r>
      <w:r w:rsidR="00AA0317" w:rsidRPr="00D2074D">
        <w:rPr>
          <w:rStyle w:val="Strong"/>
          <w:rFonts w:ascii="Times New Roman" w:hAnsi="Times New Roman" w:cs="Times New Roman"/>
          <w:bCs w:val="0"/>
          <w:color w:val="000000" w:themeColor="text1"/>
          <w:sz w:val="26"/>
          <w:szCs w:val="26"/>
        </w:rPr>
        <w:t>page 20</w:t>
      </w:r>
      <w:r w:rsidR="00D2074D">
        <w:rPr>
          <w:rStyle w:val="Strong"/>
          <w:rFonts w:ascii="Times New Roman" w:hAnsi="Times New Roman" w:cs="Times New Roman"/>
          <w:bCs w:val="0"/>
          <w:color w:val="000000" w:themeColor="text1"/>
          <w:sz w:val="26"/>
          <w:szCs w:val="26"/>
          <w:lang w:val="vi-VN"/>
        </w:rPr>
        <w:t xml:space="preserve"> </w:t>
      </w:r>
      <w:r w:rsidR="0049615E" w:rsidRPr="0049615E">
        <w:rPr>
          <w:rFonts w:ascii="Times New Roman" w:eastAsia="Times New Roman" w:hAnsi="Times New Roman" w:cs="Times New Roman"/>
          <w:b/>
          <w:bCs/>
          <w:color w:val="auto"/>
          <w:kern w:val="0"/>
          <w:sz w:val="26"/>
          <w:szCs w:val="26"/>
          <w:lang w:val="vi-VN"/>
          <w14:ligatures w14:val="none"/>
        </w:rPr>
        <w:t>of the Written Response</w:t>
      </w:r>
      <w:r w:rsidR="00AA0317" w:rsidRPr="00D2074D">
        <w:rPr>
          <w:rStyle w:val="Strong"/>
          <w:rFonts w:ascii="Times New Roman" w:hAnsi="Times New Roman" w:cs="Times New Roman"/>
          <w:bCs w:val="0"/>
          <w:color w:val="000000" w:themeColor="text1"/>
          <w:sz w:val="26"/>
          <w:szCs w:val="26"/>
        </w:rPr>
        <w:t>)</w:t>
      </w:r>
      <w:r w:rsidRPr="00D2074D">
        <w:rPr>
          <w:rStyle w:val="Strong"/>
          <w:rFonts w:ascii="Times New Roman" w:hAnsi="Times New Roman" w:cs="Times New Roman"/>
          <w:bCs w:val="0"/>
          <w:color w:val="000000" w:themeColor="text1"/>
          <w:sz w:val="26"/>
          <w:szCs w:val="26"/>
        </w:rPr>
        <w:t>:</w:t>
      </w:r>
      <w:r w:rsidRPr="00D2074D">
        <w:rPr>
          <w:rStyle w:val="Strong"/>
          <w:rFonts w:ascii="Times New Roman" w:hAnsi="Times New Roman" w:cs="Times New Roman"/>
          <w:b w:val="0"/>
          <w:bCs w:val="0"/>
          <w:color w:val="000000" w:themeColor="text1"/>
          <w:sz w:val="26"/>
          <w:szCs w:val="26"/>
        </w:rPr>
        <w:t xml:space="preserve"> </w:t>
      </w:r>
    </w:p>
    <w:p w14:paraId="083A968A" w14:textId="3A551065" w:rsidR="0049615E" w:rsidRPr="0049615E" w:rsidRDefault="00725DE2" w:rsidP="0049615E">
      <w:pPr>
        <w:pStyle w:val="Heading3"/>
        <w:tabs>
          <w:tab w:val="left" w:pos="851"/>
        </w:tabs>
        <w:jc w:val="both"/>
        <w:rPr>
          <w:rFonts w:ascii="Times New Roman" w:hAnsi="Times New Roman" w:cs="Times New Roman"/>
          <w:color w:val="000000" w:themeColor="text1"/>
          <w:sz w:val="26"/>
          <w:szCs w:val="26"/>
        </w:rPr>
      </w:pPr>
      <w:r w:rsidRPr="00D2074D">
        <w:rPr>
          <w:rFonts w:ascii="Times New Roman" w:hAnsi="Times New Roman" w:cs="Times New Roman"/>
          <w:color w:val="000000" w:themeColor="text1"/>
          <w:sz w:val="26"/>
          <w:szCs w:val="26"/>
        </w:rPr>
        <w:lastRenderedPageBreak/>
        <w:t>There are 11 diversion measures for juvenile offenders at the community level:  (1) Reprimand; (2) Apology to the victim; (3) Compensation for damages; (4) Participation in educational or vocational training programs; (5) Psychological treatment and counseling; (6) Community service; (7) Prohibition from contacting individuals likely to lead to reoffending; (8) Restricted mobility during certain hours; (</w:t>
      </w:r>
      <w:r w:rsidR="00E866E0" w:rsidRPr="00D2074D">
        <w:rPr>
          <w:rFonts w:ascii="Times New Roman" w:hAnsi="Times New Roman" w:cs="Times New Roman"/>
          <w:color w:val="000000" w:themeColor="text1"/>
          <w:sz w:val="26"/>
          <w:szCs w:val="26"/>
        </w:rPr>
        <w:t>9</w:t>
      </w:r>
      <w:r w:rsidRPr="00D2074D">
        <w:rPr>
          <w:rFonts w:ascii="Times New Roman" w:hAnsi="Times New Roman" w:cs="Times New Roman"/>
          <w:color w:val="000000" w:themeColor="text1"/>
          <w:sz w:val="26"/>
          <w:szCs w:val="26"/>
        </w:rPr>
        <w:t>) Ban from visiting specific locations prone to triggering reoffending; (</w:t>
      </w:r>
      <w:r w:rsidR="00E866E0" w:rsidRPr="00D2074D">
        <w:rPr>
          <w:rFonts w:ascii="Times New Roman" w:hAnsi="Times New Roman" w:cs="Times New Roman"/>
          <w:color w:val="000000" w:themeColor="text1"/>
          <w:sz w:val="26"/>
          <w:szCs w:val="26"/>
        </w:rPr>
        <w:t>10</w:t>
      </w:r>
      <w:r w:rsidRPr="00D2074D">
        <w:rPr>
          <w:rFonts w:ascii="Times New Roman" w:hAnsi="Times New Roman" w:cs="Times New Roman"/>
          <w:color w:val="000000" w:themeColor="text1"/>
          <w:sz w:val="26"/>
          <w:szCs w:val="26"/>
        </w:rPr>
        <w:t xml:space="preserve">) Education at the commune, ward, or township level; </w:t>
      </w:r>
      <w:r w:rsidR="00E866E0" w:rsidRPr="00D2074D">
        <w:rPr>
          <w:rFonts w:ascii="Times New Roman" w:hAnsi="Times New Roman" w:cs="Times New Roman"/>
          <w:color w:val="000000" w:themeColor="text1"/>
          <w:sz w:val="26"/>
          <w:szCs w:val="26"/>
        </w:rPr>
        <w:t xml:space="preserve">and </w:t>
      </w:r>
      <w:r w:rsidRPr="00D2074D">
        <w:rPr>
          <w:rFonts w:ascii="Times New Roman" w:hAnsi="Times New Roman" w:cs="Times New Roman"/>
          <w:color w:val="000000" w:themeColor="text1"/>
          <w:sz w:val="26"/>
          <w:szCs w:val="26"/>
        </w:rPr>
        <w:t>(1</w:t>
      </w:r>
      <w:r w:rsidR="00E866E0" w:rsidRPr="00D2074D">
        <w:rPr>
          <w:rFonts w:ascii="Times New Roman" w:hAnsi="Times New Roman" w:cs="Times New Roman"/>
          <w:color w:val="000000" w:themeColor="text1"/>
          <w:sz w:val="26"/>
          <w:szCs w:val="26"/>
        </w:rPr>
        <w:t>1</w:t>
      </w:r>
      <w:r w:rsidRPr="00D2074D">
        <w:rPr>
          <w:rFonts w:ascii="Times New Roman" w:hAnsi="Times New Roman" w:cs="Times New Roman"/>
          <w:color w:val="000000" w:themeColor="text1"/>
          <w:sz w:val="26"/>
          <w:szCs w:val="26"/>
        </w:rPr>
        <w:t>) Family supervision.</w:t>
      </w:r>
    </w:p>
    <w:p w14:paraId="7DD0DD6C" w14:textId="730B0137" w:rsidR="00AA0317" w:rsidRPr="00D2074D" w:rsidRDefault="00725DE2" w:rsidP="0022772E">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46</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21</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w:t>
      </w:r>
    </w:p>
    <w:p w14:paraId="61DF401E" w14:textId="66B30B99" w:rsidR="00725DE2" w:rsidRPr="00D2074D" w:rsidRDefault="00725DE2"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In 2023, the State management agencies on beliefs and religions organized three training conferences on communication and information skills regarding religion for 640 officials and civil servants working in the religious field at the local level; nine professional training conferences on religious affairs for over 800 religious officers; 12 conferences to disseminate and popularize legal knowledge on beliefs and religions for 3,420 delegates, including religious dignitaries, clerics, monks, followers of religious organizations, subordinate religious organizations, representatives, and management boards of belief establishments; and three training conferences on communication and information skills for 750 delegates and religious dignitaries and clerics from various localities. The People's Committees of provinces and cities organized 520 training and professional development conferences on religious affairs for more than 63,500 officials and civil servants engaged in religious work and conducted 1,306 conferences to disseminate legal knowledge on beliefs and religions for approximately 144,000 </w:t>
      </w:r>
      <w:proofErr w:type="gramStart"/>
      <w:r w:rsidRPr="00D2074D">
        <w:rPr>
          <w:rFonts w:ascii="Times New Roman" w:eastAsia="Times New Roman" w:hAnsi="Times New Roman" w:cs="Times New Roman"/>
          <w:kern w:val="0"/>
          <w:sz w:val="26"/>
          <w:szCs w:val="26"/>
          <w:lang w:val="en-US"/>
          <w14:ligatures w14:val="none"/>
        </w:rPr>
        <w:t>religious</w:t>
      </w:r>
      <w:proofErr w:type="gramEnd"/>
      <w:r w:rsidRPr="00D2074D">
        <w:rPr>
          <w:rFonts w:ascii="Times New Roman" w:eastAsia="Times New Roman" w:hAnsi="Times New Roman" w:cs="Times New Roman"/>
          <w:kern w:val="0"/>
          <w:sz w:val="26"/>
          <w:szCs w:val="26"/>
          <w:lang w:val="en-US"/>
          <w14:ligatures w14:val="none"/>
        </w:rPr>
        <w:t xml:space="preserve"> dignitaries, clerics, and followers.</w:t>
      </w:r>
    </w:p>
    <w:p w14:paraId="4CAB9836" w14:textId="77777777" w:rsidR="00725DE2" w:rsidRPr="00D2074D" w:rsidRDefault="00725DE2"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Every year, specialized inspection teams on beliefs and religions are dispatched, along with teams to monitor the implementation of laws on beliefs and religions at the local level. Local People's Committees develop plans for inspecting and monitoring the implementation of laws on beliefs and religions within their provinces.</w:t>
      </w:r>
    </w:p>
    <w:p w14:paraId="0E70526E" w14:textId="0616F8D7" w:rsidR="0049615E" w:rsidRPr="0049615E" w:rsidRDefault="00725DE2"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A total of 43 administrative procedures at the central level have been moved online as part of e-government services, and 115 accounts have been issued to religious organizations and individuals for participation in online public services (an increase of 17 accounts compared to 2022). At the local level, a one-stop mechanism for processing administrative procedures has been implemented, with procedures and response timelines publicly posted.</w:t>
      </w:r>
    </w:p>
    <w:p w14:paraId="69459B31" w14:textId="4AADF3D7" w:rsidR="00AA0317" w:rsidRPr="00D2074D" w:rsidRDefault="00725DE2" w:rsidP="0022772E">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47</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21</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w:t>
      </w:r>
      <w:r w:rsidR="0022772E" w:rsidRPr="00D2074D">
        <w:rPr>
          <w:rFonts w:ascii="Times New Roman" w:eastAsia="Times New Roman" w:hAnsi="Times New Roman" w:cs="Times New Roman"/>
          <w:b/>
          <w:bCs/>
          <w:kern w:val="0"/>
          <w:sz w:val="26"/>
          <w:szCs w:val="26"/>
          <w:lang w:val="en-US"/>
          <w14:ligatures w14:val="none"/>
        </w:rPr>
        <w:t xml:space="preserve"> </w:t>
      </w:r>
    </w:p>
    <w:p w14:paraId="429FE828" w14:textId="65723419" w:rsidR="00725DE2" w:rsidRPr="00D2074D" w:rsidRDefault="00725DE2"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In the Central Highlands and northern mountainous regions, where many ethnic minorities reside, dozens of Protestant organizations from various denominations operate, maintaining interconnections among themselves. Followers of these organizations can freely transfer between them based on individual needs, without any "coercion" from third parties. The Cham ethnic community following Islam and Balamon religions has established representative committees to support religious activities. The Vietnam Buddhist Sangha has built the Khmer Theravāda Buddhist Academy to meet the training needs of Khmer Theravāda Buddhist monks. Religious texts from various organizations have been published in 21 ethnic languages. Thousands </w:t>
      </w:r>
      <w:r w:rsidRPr="00D2074D">
        <w:rPr>
          <w:rFonts w:ascii="Times New Roman" w:eastAsia="Times New Roman" w:hAnsi="Times New Roman" w:cs="Times New Roman"/>
          <w:kern w:val="0"/>
          <w:sz w:val="26"/>
          <w:szCs w:val="26"/>
          <w:lang w:val="en-US"/>
          <w14:ligatures w14:val="none"/>
        </w:rPr>
        <w:lastRenderedPageBreak/>
        <w:t>of worship groups and Evangelical sub-congregations of ethnic minorities in the Central Highlands and northern mountainous regions have been granted permits for collective religious activities, and ethnic minority followers are allowed to participate in international religious activities.</w:t>
      </w:r>
    </w:p>
    <w:p w14:paraId="52319B94" w14:textId="473A6FAE" w:rsidR="00AA0317" w:rsidRPr="00D2074D" w:rsidRDefault="00725DE2" w:rsidP="0022772E">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49</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22</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w:t>
      </w:r>
      <w:r w:rsidR="0022772E" w:rsidRPr="00D2074D">
        <w:rPr>
          <w:rFonts w:ascii="Times New Roman" w:eastAsia="Times New Roman" w:hAnsi="Times New Roman" w:cs="Times New Roman"/>
          <w:b/>
          <w:bCs/>
          <w:kern w:val="0"/>
          <w:sz w:val="26"/>
          <w:szCs w:val="26"/>
          <w:lang w:val="en-US"/>
          <w14:ligatures w14:val="none"/>
        </w:rPr>
        <w:t xml:space="preserve"> </w:t>
      </w:r>
    </w:p>
    <w:p w14:paraId="3B79FC30" w14:textId="4AA6C586" w:rsidR="00725DE2" w:rsidRPr="00D2074D" w:rsidRDefault="00725DE2"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7,500 square meters of land </w:t>
      </w:r>
      <w:r w:rsidR="00E866E0" w:rsidRPr="00D2074D">
        <w:rPr>
          <w:rFonts w:ascii="Times New Roman" w:eastAsia="Times New Roman" w:hAnsi="Times New Roman" w:cs="Times New Roman"/>
          <w:kern w:val="0"/>
          <w:sz w:val="26"/>
          <w:szCs w:val="26"/>
          <w:lang w:val="en-US"/>
          <w14:ligatures w14:val="none"/>
        </w:rPr>
        <w:t xml:space="preserve">at Ho Chi Minh City was allocated </w:t>
      </w:r>
      <w:r w:rsidRPr="00D2074D">
        <w:rPr>
          <w:rFonts w:ascii="Times New Roman" w:eastAsia="Times New Roman" w:hAnsi="Times New Roman" w:cs="Times New Roman"/>
          <w:kern w:val="0"/>
          <w:sz w:val="26"/>
          <w:szCs w:val="26"/>
          <w:lang w:val="en-US"/>
          <w14:ligatures w14:val="none"/>
        </w:rPr>
        <w:t>to the Southern Evangelical Church of Viet</w:t>
      </w:r>
      <w:r w:rsidR="00E866E0" w:rsidRPr="00D2074D">
        <w:rPr>
          <w:rFonts w:ascii="Times New Roman" w:eastAsia="Times New Roman" w:hAnsi="Times New Roman" w:cs="Times New Roman"/>
          <w:kern w:val="0"/>
          <w:sz w:val="26"/>
          <w:szCs w:val="26"/>
          <w:lang w:val="en-US"/>
          <w14:ligatures w14:val="none"/>
        </w:rPr>
        <w:t xml:space="preserve"> Nam </w:t>
      </w:r>
      <w:r w:rsidRPr="00D2074D">
        <w:rPr>
          <w:rFonts w:ascii="Times New Roman" w:eastAsia="Times New Roman" w:hAnsi="Times New Roman" w:cs="Times New Roman"/>
          <w:kern w:val="0"/>
          <w:sz w:val="26"/>
          <w:szCs w:val="26"/>
          <w:lang w:val="en-US"/>
          <w14:ligatures w14:val="none"/>
        </w:rPr>
        <w:t xml:space="preserve">(General Assembly) for constructing the Theology Institute. 20 hectares of land </w:t>
      </w:r>
      <w:r w:rsidR="000F5BF3" w:rsidRPr="00D2074D">
        <w:rPr>
          <w:rFonts w:ascii="Times New Roman" w:eastAsia="Times New Roman" w:hAnsi="Times New Roman" w:cs="Times New Roman"/>
          <w:kern w:val="0"/>
          <w:sz w:val="26"/>
          <w:szCs w:val="26"/>
          <w:lang w:val="en-US"/>
          <w14:ligatures w14:val="none"/>
        </w:rPr>
        <w:t xml:space="preserve">at Thừa Thiên Huế Province was allocated </w:t>
      </w:r>
      <w:r w:rsidRPr="00D2074D">
        <w:rPr>
          <w:rFonts w:ascii="Times New Roman" w:eastAsia="Times New Roman" w:hAnsi="Times New Roman" w:cs="Times New Roman"/>
          <w:kern w:val="0"/>
          <w:sz w:val="26"/>
          <w:szCs w:val="26"/>
          <w:lang w:val="en-US"/>
          <w14:ligatures w14:val="none"/>
        </w:rPr>
        <w:t>to the Viet</w:t>
      </w:r>
      <w:r w:rsidR="000F5BF3" w:rsidRPr="00D2074D">
        <w:rPr>
          <w:rFonts w:ascii="Times New Roman" w:eastAsia="Times New Roman" w:hAnsi="Times New Roman" w:cs="Times New Roman"/>
          <w:kern w:val="0"/>
          <w:sz w:val="26"/>
          <w:szCs w:val="26"/>
          <w:lang w:val="en-US"/>
          <w14:ligatures w14:val="none"/>
        </w:rPr>
        <w:t xml:space="preserve"> Nam’s </w:t>
      </w:r>
      <w:r w:rsidRPr="00D2074D">
        <w:rPr>
          <w:rFonts w:ascii="Times New Roman" w:eastAsia="Times New Roman" w:hAnsi="Times New Roman" w:cs="Times New Roman"/>
          <w:kern w:val="0"/>
          <w:sz w:val="26"/>
          <w:szCs w:val="26"/>
          <w:lang w:val="en-US"/>
          <w14:ligatures w14:val="none"/>
        </w:rPr>
        <w:t xml:space="preserve">Buddhist Academy in Hue for its use. 6,000 square meters of land </w:t>
      </w:r>
      <w:r w:rsidR="000F5BF3" w:rsidRPr="00D2074D">
        <w:rPr>
          <w:rFonts w:ascii="Times New Roman" w:eastAsia="Times New Roman" w:hAnsi="Times New Roman" w:cs="Times New Roman"/>
          <w:kern w:val="0"/>
          <w:sz w:val="26"/>
          <w:szCs w:val="26"/>
          <w:lang w:val="en-US"/>
          <w14:ligatures w14:val="none"/>
        </w:rPr>
        <w:t xml:space="preserve">in Da Nang City was allocated </w:t>
      </w:r>
      <w:r w:rsidRPr="00D2074D">
        <w:rPr>
          <w:rFonts w:ascii="Times New Roman" w:eastAsia="Times New Roman" w:hAnsi="Times New Roman" w:cs="Times New Roman"/>
          <w:kern w:val="0"/>
          <w:sz w:val="26"/>
          <w:szCs w:val="26"/>
          <w:lang w:val="en-US"/>
          <w14:ligatures w14:val="none"/>
        </w:rPr>
        <w:t>to the Viet</w:t>
      </w:r>
      <w:r w:rsidR="000F5BF3" w:rsidRPr="00D2074D">
        <w:rPr>
          <w:rFonts w:ascii="Times New Roman" w:eastAsia="Times New Roman" w:hAnsi="Times New Roman" w:cs="Times New Roman"/>
          <w:kern w:val="0"/>
          <w:sz w:val="26"/>
          <w:szCs w:val="26"/>
          <w:lang w:val="en-US"/>
          <w14:ligatures w14:val="none"/>
        </w:rPr>
        <w:t xml:space="preserve"> Nam’s </w:t>
      </w:r>
      <w:r w:rsidRPr="00D2074D">
        <w:rPr>
          <w:rFonts w:ascii="Times New Roman" w:eastAsia="Times New Roman" w:hAnsi="Times New Roman" w:cs="Times New Roman"/>
          <w:kern w:val="0"/>
          <w:sz w:val="26"/>
          <w:szCs w:val="26"/>
          <w:lang w:val="en-US"/>
          <w14:ligatures w14:val="none"/>
        </w:rPr>
        <w:t>Christian Missionary Association for its activities.</w:t>
      </w:r>
    </w:p>
    <w:p w14:paraId="02D8FB50" w14:textId="2A4A9A17" w:rsidR="00AA0317" w:rsidRPr="00D2074D" w:rsidRDefault="00725DE2" w:rsidP="0022772E">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53</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24</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w:t>
      </w:r>
      <w:r w:rsidR="0022772E" w:rsidRPr="00D2074D">
        <w:rPr>
          <w:rFonts w:ascii="Times New Roman" w:eastAsia="Times New Roman" w:hAnsi="Times New Roman" w:cs="Times New Roman"/>
          <w:b/>
          <w:bCs/>
          <w:kern w:val="0"/>
          <w:sz w:val="26"/>
          <w:szCs w:val="26"/>
          <w:lang w:val="en-US"/>
          <w14:ligatures w14:val="none"/>
        </w:rPr>
        <w:t xml:space="preserve"> </w:t>
      </w:r>
    </w:p>
    <w:p w14:paraId="7FF04228" w14:textId="698B6F13" w:rsidR="00725DE2" w:rsidRPr="00D2074D" w:rsidRDefault="00725DE2"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Decree No. 14/2022/ND-CP dated </w:t>
      </w:r>
      <w:r w:rsidR="000F5BF3" w:rsidRPr="00D2074D">
        <w:rPr>
          <w:rFonts w:ascii="Times New Roman" w:eastAsia="Times New Roman" w:hAnsi="Times New Roman" w:cs="Times New Roman"/>
          <w:kern w:val="0"/>
          <w:sz w:val="26"/>
          <w:szCs w:val="26"/>
          <w:lang w:val="en-US"/>
          <w14:ligatures w14:val="none"/>
        </w:rPr>
        <w:t xml:space="preserve">27 </w:t>
      </w:r>
      <w:r w:rsidRPr="00D2074D">
        <w:rPr>
          <w:rFonts w:ascii="Times New Roman" w:eastAsia="Times New Roman" w:hAnsi="Times New Roman" w:cs="Times New Roman"/>
          <w:kern w:val="0"/>
          <w:sz w:val="26"/>
          <w:szCs w:val="26"/>
          <w:lang w:val="en-US"/>
          <w14:ligatures w14:val="none"/>
        </w:rPr>
        <w:t xml:space="preserve">January 2022, amended and supplemented several provisions of Decree No. 15/2020/ND-CP dated </w:t>
      </w:r>
      <w:r w:rsidR="000F5BF3" w:rsidRPr="00D2074D">
        <w:rPr>
          <w:rFonts w:ascii="Times New Roman" w:eastAsia="Times New Roman" w:hAnsi="Times New Roman" w:cs="Times New Roman"/>
          <w:kern w:val="0"/>
          <w:sz w:val="26"/>
          <w:szCs w:val="26"/>
          <w:lang w:val="en-US"/>
          <w14:ligatures w14:val="none"/>
        </w:rPr>
        <w:t xml:space="preserve">03 </w:t>
      </w:r>
      <w:r w:rsidRPr="00D2074D">
        <w:rPr>
          <w:rFonts w:ascii="Times New Roman" w:eastAsia="Times New Roman" w:hAnsi="Times New Roman" w:cs="Times New Roman"/>
          <w:kern w:val="0"/>
          <w:sz w:val="26"/>
          <w:szCs w:val="26"/>
          <w:lang w:val="en-US"/>
          <w14:ligatures w14:val="none"/>
        </w:rPr>
        <w:t xml:space="preserve">February 2020, regarding administrative penalties in the fields of postal services, telecommunications, radio frequencies, information technology, and electronic transactions. It also amended Decree No. 119/2020/ND-CP dated </w:t>
      </w:r>
      <w:r w:rsidR="000F5BF3" w:rsidRPr="00D2074D">
        <w:rPr>
          <w:rFonts w:ascii="Times New Roman" w:eastAsia="Times New Roman" w:hAnsi="Times New Roman" w:cs="Times New Roman"/>
          <w:kern w:val="0"/>
          <w:sz w:val="26"/>
          <w:szCs w:val="26"/>
          <w:lang w:val="en-US"/>
          <w14:ligatures w14:val="none"/>
        </w:rPr>
        <w:t xml:space="preserve">07 </w:t>
      </w:r>
      <w:r w:rsidRPr="00D2074D">
        <w:rPr>
          <w:rFonts w:ascii="Times New Roman" w:eastAsia="Times New Roman" w:hAnsi="Times New Roman" w:cs="Times New Roman"/>
          <w:kern w:val="0"/>
          <w:sz w:val="26"/>
          <w:szCs w:val="26"/>
          <w:lang w:val="en-US"/>
          <w14:ligatures w14:val="none"/>
        </w:rPr>
        <w:t xml:space="preserve">October 2020, on administrative penalties in journalism and publishing, increasing fines for many offenses related to journalism activities. Decree No. 80/2020/ND-CP dated </w:t>
      </w:r>
      <w:r w:rsidR="000F5BF3" w:rsidRPr="00D2074D">
        <w:rPr>
          <w:rFonts w:ascii="Times New Roman" w:eastAsia="Times New Roman" w:hAnsi="Times New Roman" w:cs="Times New Roman"/>
          <w:kern w:val="0"/>
          <w:sz w:val="26"/>
          <w:szCs w:val="26"/>
          <w:lang w:val="en-US"/>
          <w14:ligatures w14:val="none"/>
        </w:rPr>
        <w:t xml:space="preserve">08 </w:t>
      </w:r>
      <w:r w:rsidRPr="00D2074D">
        <w:rPr>
          <w:rFonts w:ascii="Times New Roman" w:eastAsia="Times New Roman" w:hAnsi="Times New Roman" w:cs="Times New Roman"/>
          <w:kern w:val="0"/>
          <w:sz w:val="26"/>
          <w:szCs w:val="26"/>
          <w:lang w:val="en-US"/>
          <w14:ligatures w14:val="none"/>
        </w:rPr>
        <w:t>July 2020, governs the management and use of non-refundable aid outside official development assistance provided by foreign organizations and individuals to Viet</w:t>
      </w:r>
      <w:r w:rsidR="000F5BF3" w:rsidRPr="00D2074D">
        <w:rPr>
          <w:rFonts w:ascii="Times New Roman" w:eastAsia="Times New Roman" w:hAnsi="Times New Roman" w:cs="Times New Roman"/>
          <w:kern w:val="0"/>
          <w:sz w:val="26"/>
          <w:szCs w:val="26"/>
          <w:lang w:val="en-US"/>
          <w14:ligatures w14:val="none"/>
        </w:rPr>
        <w:t xml:space="preserve"> Nam</w:t>
      </w:r>
      <w:r w:rsidRPr="00D2074D">
        <w:rPr>
          <w:rFonts w:ascii="Times New Roman" w:eastAsia="Times New Roman" w:hAnsi="Times New Roman" w:cs="Times New Roman"/>
          <w:kern w:val="0"/>
          <w:sz w:val="26"/>
          <w:szCs w:val="26"/>
          <w:lang w:val="en-US"/>
          <w14:ligatures w14:val="none"/>
        </w:rPr>
        <w:t>. Decree No. 58/2022/ND-CP replaced Decree No. 12/2012/ND-CP on the registration and management of foreign non-governmental organizations operating in Viet</w:t>
      </w:r>
      <w:r w:rsidR="000F5BF3" w:rsidRPr="00D2074D">
        <w:rPr>
          <w:rFonts w:ascii="Times New Roman" w:eastAsia="Times New Roman" w:hAnsi="Times New Roman" w:cs="Times New Roman"/>
          <w:kern w:val="0"/>
          <w:sz w:val="26"/>
          <w:szCs w:val="26"/>
          <w:lang w:val="en-US"/>
          <w14:ligatures w14:val="none"/>
        </w:rPr>
        <w:t xml:space="preserve"> Nam</w:t>
      </w:r>
      <w:r w:rsidRPr="00D2074D">
        <w:rPr>
          <w:rFonts w:ascii="Times New Roman" w:eastAsia="Times New Roman" w:hAnsi="Times New Roman" w:cs="Times New Roman"/>
          <w:kern w:val="0"/>
          <w:sz w:val="26"/>
          <w:szCs w:val="26"/>
          <w:lang w:val="en-US"/>
          <w14:ligatures w14:val="none"/>
        </w:rPr>
        <w:t>, with clear regulations to shorten processing times for issuing and renewing operational registrations and enhancing financial transparency.</w:t>
      </w:r>
    </w:p>
    <w:p w14:paraId="3D6D361C" w14:textId="598F5931" w:rsidR="00AA0317" w:rsidRPr="00D2074D" w:rsidRDefault="0022772E" w:rsidP="0022772E">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65</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28</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 xml:space="preserve">: </w:t>
      </w:r>
    </w:p>
    <w:p w14:paraId="770A409C" w14:textId="77777777" w:rsidR="000F5BF3" w:rsidRPr="00D2074D" w:rsidRDefault="0022772E"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These programs and policies are specifically designed for ethnic minorities and regions inhabited by ethnic minorities and mountainous areas, or they are general national programs and policies with prioritized support for ethnic minorities and regions inhabited by ethnic minorities and mountainous areas. Based on socio-economic fields, they are categorized into nine policy groups: </w:t>
      </w:r>
    </w:p>
    <w:p w14:paraId="416FD4FD" w14:textId="25310FA2"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for sustainable economic development</w:t>
      </w:r>
      <w:r w:rsidRPr="00D2074D">
        <w:rPr>
          <w:rFonts w:ascii="Times New Roman" w:eastAsia="Times New Roman" w:hAnsi="Times New Roman" w:cs="Times New Roman"/>
          <w:kern w:val="0"/>
          <w:sz w:val="26"/>
          <w:szCs w:val="26"/>
          <w:lang w:val="en-US"/>
          <w14:ligatures w14:val="none"/>
        </w:rPr>
        <w:t xml:space="preserve">: 52 ethnic policies, including eight specifically for ethnic minorities and regions inhabited by ethnic minorities and mountainous areas; </w:t>
      </w:r>
    </w:p>
    <w:p w14:paraId="6BA8C630" w14:textId="66318A9F"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on education, training, vocational training, and job creation</w:t>
      </w:r>
      <w:r w:rsidRPr="00D2074D">
        <w:rPr>
          <w:rFonts w:ascii="Times New Roman" w:eastAsia="Times New Roman" w:hAnsi="Times New Roman" w:cs="Times New Roman"/>
          <w:kern w:val="0"/>
          <w:sz w:val="26"/>
          <w:szCs w:val="26"/>
          <w:lang w:val="en-US"/>
          <w14:ligatures w14:val="none"/>
        </w:rPr>
        <w:t xml:space="preserve">: 25 ethnic policies, including 13 specifically for ethnic minorities and their regions; </w:t>
      </w:r>
    </w:p>
    <w:p w14:paraId="7FB9730D" w14:textId="159FEEA0"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on healthcare, population, and public health</w:t>
      </w:r>
      <w:r w:rsidRPr="00D2074D">
        <w:rPr>
          <w:rFonts w:ascii="Times New Roman" w:eastAsia="Times New Roman" w:hAnsi="Times New Roman" w:cs="Times New Roman"/>
          <w:kern w:val="0"/>
          <w:sz w:val="26"/>
          <w:szCs w:val="26"/>
          <w:lang w:val="en-US"/>
          <w14:ligatures w14:val="none"/>
        </w:rPr>
        <w:t xml:space="preserve">: Nine ethnic policies, including one specifically for ethnic minorities and their regions; </w:t>
      </w:r>
    </w:p>
    <w:p w14:paraId="23D74C01" w14:textId="33922314"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on culture, sports, and tourism</w:t>
      </w:r>
      <w:r w:rsidRPr="00D2074D">
        <w:rPr>
          <w:rFonts w:ascii="Times New Roman" w:eastAsia="Times New Roman" w:hAnsi="Times New Roman" w:cs="Times New Roman"/>
          <w:kern w:val="0"/>
          <w:sz w:val="26"/>
          <w:szCs w:val="26"/>
          <w:lang w:val="en-US"/>
          <w14:ligatures w14:val="none"/>
        </w:rPr>
        <w:t xml:space="preserve">: Nine ethnic policies, including one specifically for ethnic minorities and their regions; </w:t>
      </w:r>
    </w:p>
    <w:p w14:paraId="02A95139" w14:textId="08587D87"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on information, communication, legal dissemination, and legal aid</w:t>
      </w:r>
      <w:r w:rsidRPr="00D2074D">
        <w:rPr>
          <w:rFonts w:ascii="Times New Roman" w:eastAsia="Times New Roman" w:hAnsi="Times New Roman" w:cs="Times New Roman"/>
          <w:kern w:val="0"/>
          <w:sz w:val="26"/>
          <w:szCs w:val="26"/>
          <w:lang w:val="en-US"/>
          <w14:ligatures w14:val="none"/>
        </w:rPr>
        <w:t xml:space="preserve">: 10 ethnic policies, including four specifically for ethnic minorities and their regions; </w:t>
      </w:r>
    </w:p>
    <w:p w14:paraId="3AE412A1" w14:textId="45D44D8E"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lastRenderedPageBreak/>
        <w:t>Policies on gender equality and children</w:t>
      </w:r>
      <w:r w:rsidRPr="00D2074D">
        <w:rPr>
          <w:rFonts w:ascii="Times New Roman" w:eastAsia="Times New Roman" w:hAnsi="Times New Roman" w:cs="Times New Roman"/>
          <w:kern w:val="0"/>
          <w:sz w:val="26"/>
          <w:szCs w:val="26"/>
          <w:lang w:val="en-US"/>
          <w14:ligatures w14:val="none"/>
        </w:rPr>
        <w:t xml:space="preserve">: Five ethnic policies, including two specifically for ethnic minorities and their regions; </w:t>
      </w:r>
    </w:p>
    <w:p w14:paraId="7ED05320" w14:textId="7CB00C2F"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for organizational structures, officials, civil servants, public employees, armed forces, and trusted individuals</w:t>
      </w:r>
      <w:r w:rsidRPr="00D2074D">
        <w:rPr>
          <w:rFonts w:ascii="Times New Roman" w:eastAsia="Times New Roman" w:hAnsi="Times New Roman" w:cs="Times New Roman"/>
          <w:kern w:val="0"/>
          <w:sz w:val="26"/>
          <w:szCs w:val="26"/>
          <w:lang w:val="en-US"/>
          <w14:ligatures w14:val="none"/>
        </w:rPr>
        <w:t xml:space="preserve">: 20 ethnic policies, including nine specifically for ethnic minorities and their regions; </w:t>
      </w:r>
    </w:p>
    <w:p w14:paraId="009DAEA4" w14:textId="08D071D8" w:rsidR="000F5BF3"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on international cooperation in ethnic affairs</w:t>
      </w:r>
      <w:r w:rsidRPr="00D2074D">
        <w:rPr>
          <w:rFonts w:ascii="Times New Roman" w:eastAsia="Times New Roman" w:hAnsi="Times New Roman" w:cs="Times New Roman"/>
          <w:kern w:val="0"/>
          <w:sz w:val="26"/>
          <w:szCs w:val="26"/>
          <w:lang w:val="en-US"/>
          <w14:ligatures w14:val="none"/>
        </w:rPr>
        <w:t xml:space="preserve">: One ethnic policy specifically for ethnic minorities and their regions; </w:t>
      </w:r>
    </w:p>
    <w:p w14:paraId="3C2FD11A" w14:textId="3FAC2E3B" w:rsidR="0022772E" w:rsidRPr="00D2074D" w:rsidRDefault="0022772E" w:rsidP="00D2074D">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bCs/>
          <w:kern w:val="0"/>
          <w:sz w:val="26"/>
          <w:szCs w:val="26"/>
          <w:lang w:val="en-US"/>
          <w14:ligatures w14:val="none"/>
        </w:rPr>
        <w:t>Policies on national defense and security</w:t>
      </w:r>
      <w:r w:rsidRPr="00D2074D">
        <w:rPr>
          <w:rFonts w:ascii="Times New Roman" w:eastAsia="Times New Roman" w:hAnsi="Times New Roman" w:cs="Times New Roman"/>
          <w:kern w:val="0"/>
          <w:sz w:val="26"/>
          <w:szCs w:val="26"/>
          <w:lang w:val="en-US"/>
          <w14:ligatures w14:val="none"/>
        </w:rPr>
        <w:t>: Three ethnic policies, none specifically for ethnic minorities and their regions.</w:t>
      </w:r>
    </w:p>
    <w:p w14:paraId="568E21F1" w14:textId="1B898775" w:rsidR="00AA0317" w:rsidRPr="00D2074D" w:rsidRDefault="0022772E" w:rsidP="0022772E">
      <w:pPr>
        <w:spacing w:before="100" w:beforeAutospacing="1" w:after="100" w:afterAutospacing="1" w:line="240" w:lineRule="auto"/>
        <w:jc w:val="both"/>
        <w:rPr>
          <w:rFonts w:ascii="Times New Roman" w:eastAsia="Times New Roman" w:hAnsi="Times New Roman" w:cs="Times New Roman"/>
          <w:b/>
          <w:bCs/>
          <w:kern w:val="0"/>
          <w:sz w:val="26"/>
          <w:szCs w:val="26"/>
          <w:lang w:val="en-US"/>
          <w14:ligatures w14:val="none"/>
        </w:rPr>
      </w:pPr>
      <w:r w:rsidRPr="00D2074D">
        <w:rPr>
          <w:rFonts w:ascii="Times New Roman" w:eastAsia="Times New Roman" w:hAnsi="Times New Roman" w:cs="Times New Roman"/>
          <w:b/>
          <w:bCs/>
          <w:kern w:val="0"/>
          <w:sz w:val="26"/>
          <w:szCs w:val="26"/>
          <w:lang w:val="en-US"/>
          <w14:ligatures w14:val="none"/>
        </w:rPr>
        <w:t>Footnote 66</w:t>
      </w:r>
      <w:r w:rsidR="00AA0317" w:rsidRPr="00D2074D">
        <w:rPr>
          <w:rFonts w:ascii="Times New Roman" w:eastAsia="Times New Roman" w:hAnsi="Times New Roman" w:cs="Times New Roman"/>
          <w:b/>
          <w:bCs/>
          <w:kern w:val="0"/>
          <w:sz w:val="26"/>
          <w:szCs w:val="26"/>
          <w:lang w:val="en-US"/>
          <w14:ligatures w14:val="none"/>
        </w:rPr>
        <w:t xml:space="preserve"> (</w:t>
      </w:r>
      <w:r w:rsidR="00D2074D">
        <w:rPr>
          <w:rFonts w:ascii="Times New Roman" w:eastAsia="Times New Roman" w:hAnsi="Times New Roman" w:cs="Times New Roman"/>
          <w:b/>
          <w:bCs/>
          <w:kern w:val="0"/>
          <w:sz w:val="26"/>
          <w:szCs w:val="26"/>
          <w:lang w:val="en-US"/>
          <w14:ligatures w14:val="none"/>
        </w:rPr>
        <w:t>at</w:t>
      </w:r>
      <w:r w:rsidR="00D2074D">
        <w:rPr>
          <w:rFonts w:ascii="Times New Roman" w:eastAsia="Times New Roman" w:hAnsi="Times New Roman" w:cs="Times New Roman"/>
          <w:b/>
          <w:bCs/>
          <w:kern w:val="0"/>
          <w:sz w:val="26"/>
          <w:szCs w:val="26"/>
          <w:lang w:val="vi-VN"/>
          <w14:ligatures w14:val="none"/>
        </w:rPr>
        <w:t xml:space="preserve"> </w:t>
      </w:r>
      <w:r w:rsidR="00AA0317" w:rsidRPr="00D2074D">
        <w:rPr>
          <w:rFonts w:ascii="Times New Roman" w:eastAsia="Times New Roman" w:hAnsi="Times New Roman" w:cs="Times New Roman"/>
          <w:b/>
          <w:bCs/>
          <w:kern w:val="0"/>
          <w:sz w:val="26"/>
          <w:szCs w:val="26"/>
          <w:lang w:val="en-US"/>
          <w14:ligatures w14:val="none"/>
        </w:rPr>
        <w:t>page 28</w:t>
      </w:r>
      <w:r w:rsidR="00D2074D">
        <w:rPr>
          <w:rFonts w:ascii="Times New Roman" w:eastAsia="Times New Roman" w:hAnsi="Times New Roman" w:cs="Times New Roman"/>
          <w:b/>
          <w:bCs/>
          <w:kern w:val="0"/>
          <w:sz w:val="26"/>
          <w:szCs w:val="26"/>
          <w:lang w:val="vi-VN"/>
          <w14:ligatures w14:val="none"/>
        </w:rPr>
        <w:t xml:space="preserve"> </w:t>
      </w:r>
      <w:r w:rsidR="00D2074D">
        <w:rPr>
          <w:rFonts w:ascii="Times New Roman" w:eastAsia="Times New Roman" w:hAnsi="Times New Roman" w:cs="Times New Roman"/>
          <w:b/>
          <w:bCs/>
          <w:kern w:val="0"/>
          <w:sz w:val="26"/>
          <w:szCs w:val="26"/>
          <w:lang w:val="vi-VN"/>
          <w14:ligatures w14:val="none"/>
        </w:rPr>
        <w:t>of the Written Response</w:t>
      </w:r>
      <w:r w:rsidR="00AA0317" w:rsidRPr="00D2074D">
        <w:rPr>
          <w:rFonts w:ascii="Times New Roman" w:eastAsia="Times New Roman" w:hAnsi="Times New Roman" w:cs="Times New Roman"/>
          <w:b/>
          <w:bCs/>
          <w:kern w:val="0"/>
          <w:sz w:val="26"/>
          <w:szCs w:val="26"/>
          <w:lang w:val="en-US"/>
          <w14:ligatures w14:val="none"/>
        </w:rPr>
        <w:t>)</w:t>
      </w:r>
      <w:r w:rsidRPr="00D2074D">
        <w:rPr>
          <w:rFonts w:ascii="Times New Roman" w:eastAsia="Times New Roman" w:hAnsi="Times New Roman" w:cs="Times New Roman"/>
          <w:b/>
          <w:bCs/>
          <w:kern w:val="0"/>
          <w:sz w:val="26"/>
          <w:szCs w:val="26"/>
          <w:lang w:val="en-US"/>
          <w14:ligatures w14:val="none"/>
        </w:rPr>
        <w:t xml:space="preserve">: </w:t>
      </w:r>
    </w:p>
    <w:p w14:paraId="7B272CFB" w14:textId="177BE494" w:rsidR="000F5BF3" w:rsidRPr="00D2074D" w:rsidRDefault="0022772E"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Resolution No. 88/2019/QH14 dated </w:t>
      </w:r>
      <w:r w:rsidR="000F5BF3" w:rsidRPr="00D2074D">
        <w:rPr>
          <w:rFonts w:ascii="Times New Roman" w:eastAsia="Times New Roman" w:hAnsi="Times New Roman" w:cs="Times New Roman"/>
          <w:kern w:val="0"/>
          <w:sz w:val="26"/>
          <w:szCs w:val="26"/>
          <w:lang w:val="en-US"/>
          <w14:ligatures w14:val="none"/>
        </w:rPr>
        <w:t xml:space="preserve">18 </w:t>
      </w:r>
      <w:r w:rsidRPr="00D2074D">
        <w:rPr>
          <w:rFonts w:ascii="Times New Roman" w:eastAsia="Times New Roman" w:hAnsi="Times New Roman" w:cs="Times New Roman"/>
          <w:kern w:val="0"/>
          <w:sz w:val="26"/>
          <w:szCs w:val="26"/>
          <w:lang w:val="en-US"/>
          <w14:ligatures w14:val="none"/>
        </w:rPr>
        <w:t xml:space="preserve">November 2019 of the National Assembly approved the overall socio-economic development project for regions inhabited by ethnic minorities and mountainous areas for the period 2021–2030. </w:t>
      </w:r>
    </w:p>
    <w:p w14:paraId="65778E04" w14:textId="2BB88F8B" w:rsidR="000F5BF3" w:rsidRPr="00D2074D" w:rsidRDefault="0022772E"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Resolution No. 120/2020/QH14 dated </w:t>
      </w:r>
      <w:r w:rsidR="000F5BF3" w:rsidRPr="00D2074D">
        <w:rPr>
          <w:rFonts w:ascii="Times New Roman" w:eastAsia="Times New Roman" w:hAnsi="Times New Roman" w:cs="Times New Roman"/>
          <w:kern w:val="0"/>
          <w:sz w:val="26"/>
          <w:szCs w:val="26"/>
          <w:lang w:val="en-US"/>
          <w14:ligatures w14:val="none"/>
        </w:rPr>
        <w:t xml:space="preserve">19 </w:t>
      </w:r>
      <w:r w:rsidRPr="00D2074D">
        <w:rPr>
          <w:rFonts w:ascii="Times New Roman" w:eastAsia="Times New Roman" w:hAnsi="Times New Roman" w:cs="Times New Roman"/>
          <w:kern w:val="0"/>
          <w:sz w:val="26"/>
          <w:szCs w:val="26"/>
          <w:lang w:val="en-US"/>
          <w14:ligatures w14:val="none"/>
        </w:rPr>
        <w:t>June 2020 of the National Assembly approved the National Target Program for socio-economic development in regions inhabited by ethnic minorities and mountainous areas for the period 2021–2030.</w:t>
      </w:r>
      <w:r w:rsidR="000F5BF3" w:rsidRPr="00D2074D">
        <w:rPr>
          <w:rFonts w:ascii="Times New Roman" w:eastAsia="Times New Roman" w:hAnsi="Times New Roman" w:cs="Times New Roman"/>
          <w:kern w:val="0"/>
          <w:sz w:val="26"/>
          <w:szCs w:val="26"/>
          <w:lang w:val="en-US"/>
          <w14:ligatures w14:val="none"/>
        </w:rPr>
        <w:t xml:space="preserve"> </w:t>
      </w:r>
    </w:p>
    <w:p w14:paraId="1DDBB6C6" w14:textId="3D09CD63" w:rsidR="0022772E" w:rsidRPr="00D2074D" w:rsidRDefault="0022772E" w:rsidP="0022772E">
      <w:pPr>
        <w:spacing w:before="100" w:beforeAutospacing="1" w:after="100" w:afterAutospacing="1" w:line="240" w:lineRule="auto"/>
        <w:jc w:val="both"/>
        <w:rPr>
          <w:rFonts w:ascii="Times New Roman" w:eastAsia="Times New Roman" w:hAnsi="Times New Roman" w:cs="Times New Roman"/>
          <w:kern w:val="0"/>
          <w:sz w:val="26"/>
          <w:szCs w:val="26"/>
          <w:lang w:val="en-US"/>
          <w14:ligatures w14:val="none"/>
        </w:rPr>
      </w:pPr>
      <w:r w:rsidRPr="00D2074D">
        <w:rPr>
          <w:rFonts w:ascii="Times New Roman" w:eastAsia="Times New Roman" w:hAnsi="Times New Roman" w:cs="Times New Roman"/>
          <w:kern w:val="0"/>
          <w:sz w:val="26"/>
          <w:szCs w:val="26"/>
          <w:lang w:val="en-US"/>
          <w14:ligatures w14:val="none"/>
        </w:rPr>
        <w:t xml:space="preserve">Decision No. 1719/QĐ-TTg dated </w:t>
      </w:r>
      <w:r w:rsidR="000F5BF3" w:rsidRPr="00D2074D">
        <w:rPr>
          <w:rFonts w:ascii="Times New Roman" w:eastAsia="Times New Roman" w:hAnsi="Times New Roman" w:cs="Times New Roman"/>
          <w:kern w:val="0"/>
          <w:sz w:val="26"/>
          <w:szCs w:val="26"/>
          <w:lang w:val="en-US"/>
          <w14:ligatures w14:val="none"/>
        </w:rPr>
        <w:t xml:space="preserve">14 </w:t>
      </w:r>
      <w:r w:rsidRPr="00D2074D">
        <w:rPr>
          <w:rFonts w:ascii="Times New Roman" w:eastAsia="Times New Roman" w:hAnsi="Times New Roman" w:cs="Times New Roman"/>
          <w:kern w:val="0"/>
          <w:sz w:val="26"/>
          <w:szCs w:val="26"/>
          <w:lang w:val="en-US"/>
          <w14:ligatures w14:val="none"/>
        </w:rPr>
        <w:t>October 2021 of the Prime Minister approved the National Target Program for socio-economic development in regions inhabited by ethnic minorities and mountainous areas for the period 2021–2030, Phase I: from 2021 to 2025 (with 10 component projects), aiming to address the shortage of residential land, housing, production land, and drinking water; plan, arrange, and stabilize residential settlements where necessary; develop agricultural and forestry production, leveraging the potential and strengths of different regions to create value-chain products; invest in essential infrastructure for production and living conditions in ethnic minority and mountainous areas and public service units in the ethnic field; develop education and training, improve the quality of human resources; preserve and promote the cultural values and traditions of ethnic minorities in connection with tourism development; enhance public health, improve the physical stature of ethnic minority populations, and prevent child malnutrition; promote gender equality and address urgent issues affecting women and children; invest in the development of ethnic groups with very small populations and those facing significant challenges; conduct communication, advocacy, and outreach in ethnic minority and mountainous areas, and monitor, supervise, and evaluate the implementation of the program.</w:t>
      </w:r>
    </w:p>
    <w:p w14:paraId="33BE76C9" w14:textId="77777777" w:rsidR="00F1427B" w:rsidRPr="00D2074D" w:rsidRDefault="00F1427B" w:rsidP="00CF07B3">
      <w:pPr>
        <w:spacing w:after="0" w:line="280" w:lineRule="atLeast"/>
        <w:jc w:val="both"/>
        <w:rPr>
          <w:rFonts w:ascii="Times New Roman" w:hAnsi="Times New Roman" w:cs="Times New Roman"/>
          <w:b/>
          <w:color w:val="000000" w:themeColor="text1"/>
          <w:sz w:val="26"/>
          <w:szCs w:val="26"/>
          <w:lang w:val="en-US"/>
        </w:rPr>
      </w:pPr>
    </w:p>
    <w:sectPr w:rsidR="00F1427B" w:rsidRPr="00D2074D" w:rsidSect="001B1F56">
      <w:footerReference w:type="default" r:id="rId8"/>
      <w:pgSz w:w="11906" w:h="16838"/>
      <w:pgMar w:top="1135"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82727" w14:textId="77777777" w:rsidR="00EF09A7" w:rsidRDefault="00EF09A7" w:rsidP="00DF25BD">
      <w:pPr>
        <w:spacing w:after="0" w:line="240" w:lineRule="auto"/>
      </w:pPr>
      <w:r>
        <w:separator/>
      </w:r>
    </w:p>
  </w:endnote>
  <w:endnote w:type="continuationSeparator" w:id="0">
    <w:p w14:paraId="09615D1D" w14:textId="77777777" w:rsidR="00EF09A7" w:rsidRDefault="00EF09A7" w:rsidP="00DF2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793418"/>
      <w:docPartObj>
        <w:docPartGallery w:val="Page Numbers (Bottom of Page)"/>
        <w:docPartUnique/>
      </w:docPartObj>
    </w:sdtPr>
    <w:sdtEndPr>
      <w:rPr>
        <w:noProof/>
      </w:rPr>
    </w:sdtEndPr>
    <w:sdtContent>
      <w:p w14:paraId="7081B8EC" w14:textId="6ADC5F09" w:rsidR="00725DE2" w:rsidRDefault="00725D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EC320" w14:textId="77777777" w:rsidR="00725DE2" w:rsidRPr="00A03F96" w:rsidRDefault="00725DE2">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87364" w14:textId="77777777" w:rsidR="00EF09A7" w:rsidRDefault="00EF09A7" w:rsidP="00DF25BD">
      <w:pPr>
        <w:spacing w:after="0" w:line="240" w:lineRule="auto"/>
      </w:pPr>
      <w:r>
        <w:separator/>
      </w:r>
    </w:p>
  </w:footnote>
  <w:footnote w:type="continuationSeparator" w:id="0">
    <w:p w14:paraId="2283B82D" w14:textId="77777777" w:rsidR="00EF09A7" w:rsidRDefault="00EF09A7" w:rsidP="00DF25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2076"/>
    <w:multiLevelType w:val="hybridMultilevel"/>
    <w:tmpl w:val="8E363A42"/>
    <w:lvl w:ilvl="0" w:tplc="3954D448">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E40E0"/>
    <w:multiLevelType w:val="multilevel"/>
    <w:tmpl w:val="105C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120A9"/>
    <w:multiLevelType w:val="multilevel"/>
    <w:tmpl w:val="7A80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77247"/>
    <w:multiLevelType w:val="hybridMultilevel"/>
    <w:tmpl w:val="363E4018"/>
    <w:lvl w:ilvl="0" w:tplc="EF56361C">
      <w:start w:val="3"/>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2CD0912"/>
    <w:multiLevelType w:val="hybridMultilevel"/>
    <w:tmpl w:val="72EEA92A"/>
    <w:lvl w:ilvl="0" w:tplc="C2BA0FF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0E6272"/>
    <w:multiLevelType w:val="hybridMultilevel"/>
    <w:tmpl w:val="107CC054"/>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E10836"/>
    <w:multiLevelType w:val="hybridMultilevel"/>
    <w:tmpl w:val="8C3A3014"/>
    <w:lvl w:ilvl="0" w:tplc="C602BD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D04B1A"/>
    <w:multiLevelType w:val="multilevel"/>
    <w:tmpl w:val="88AEEC2E"/>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eastAsia="Times New Roman" w:hAnsi="Times New Roman" w:cs="Times New Roman" w:hint="default"/>
        <w:b/>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833B83"/>
    <w:multiLevelType w:val="hybridMultilevel"/>
    <w:tmpl w:val="8278A7EC"/>
    <w:lvl w:ilvl="0" w:tplc="9A80B4FA">
      <w:start w:val="6"/>
      <w:numFmt w:val="bullet"/>
      <w:lvlText w:val="–"/>
      <w:lvlJc w:val="left"/>
      <w:pPr>
        <w:ind w:left="720" w:hanging="360"/>
      </w:pPr>
      <w:rPr>
        <w:rFonts w:ascii="Times New Roman" w:eastAsiaTheme="minorHAnsi" w:hAnsi="Times New Roman" w:cs="Times New Roman" w:hint="default"/>
        <w:b/>
        <w:color w:val="000000" w:themeColor="text1"/>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323B4C94"/>
    <w:multiLevelType w:val="multilevel"/>
    <w:tmpl w:val="1EF2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C60CD6"/>
    <w:multiLevelType w:val="multilevel"/>
    <w:tmpl w:val="5E18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691BDE"/>
    <w:multiLevelType w:val="hybridMultilevel"/>
    <w:tmpl w:val="C45ED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A30C06"/>
    <w:multiLevelType w:val="hybridMultilevel"/>
    <w:tmpl w:val="FE000D9C"/>
    <w:lvl w:ilvl="0" w:tplc="04090011">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31A058E"/>
    <w:multiLevelType w:val="hybridMultilevel"/>
    <w:tmpl w:val="B5C01D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812ED3"/>
    <w:multiLevelType w:val="hybridMultilevel"/>
    <w:tmpl w:val="10A4CCE6"/>
    <w:lvl w:ilvl="0" w:tplc="04090011">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89305DA"/>
    <w:multiLevelType w:val="hybridMultilevel"/>
    <w:tmpl w:val="7C983354"/>
    <w:lvl w:ilvl="0" w:tplc="7A5A479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8E3BE5"/>
    <w:multiLevelType w:val="multilevel"/>
    <w:tmpl w:val="0456D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266E89"/>
    <w:multiLevelType w:val="multilevel"/>
    <w:tmpl w:val="9BAE0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F200AD"/>
    <w:multiLevelType w:val="multilevel"/>
    <w:tmpl w:val="17207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35E56"/>
    <w:multiLevelType w:val="hybridMultilevel"/>
    <w:tmpl w:val="C130E592"/>
    <w:lvl w:ilvl="0" w:tplc="7318E6CC">
      <w:start w:val="1"/>
      <w:numFmt w:val="decimal"/>
      <w:lvlText w:val="%1."/>
      <w:lvlJc w:val="left"/>
      <w:pPr>
        <w:ind w:left="720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786B30"/>
    <w:multiLevelType w:val="hybridMultilevel"/>
    <w:tmpl w:val="ABA2F268"/>
    <w:lvl w:ilvl="0" w:tplc="7A5A479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8C080E"/>
    <w:multiLevelType w:val="multilevel"/>
    <w:tmpl w:val="02B4EBF8"/>
    <w:lvl w:ilvl="0">
      <w:start w:val="1"/>
      <w:numFmt w:val="bullet"/>
      <w:lvlText w:val=""/>
      <w:lvlJc w:val="left"/>
      <w:pPr>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decimal"/>
      <w:lvlText w:val="(%4)"/>
      <w:lvlJc w:val="left"/>
      <w:pPr>
        <w:ind w:left="2620" w:hanging="460"/>
      </w:pPr>
      <w:rPr>
        <w:rFonts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71C60E83"/>
    <w:multiLevelType w:val="multilevel"/>
    <w:tmpl w:val="7DA6D270"/>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7C4D7682"/>
    <w:multiLevelType w:val="multilevel"/>
    <w:tmpl w:val="4FCCCA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5513658">
    <w:abstractNumId w:val="6"/>
  </w:num>
  <w:num w:numId="2" w16cid:durableId="1026440024">
    <w:abstractNumId w:val="3"/>
  </w:num>
  <w:num w:numId="3" w16cid:durableId="1320622857">
    <w:abstractNumId w:val="11"/>
  </w:num>
  <w:num w:numId="4" w16cid:durableId="2122677654">
    <w:abstractNumId w:val="0"/>
  </w:num>
  <w:num w:numId="5" w16cid:durableId="686252463">
    <w:abstractNumId w:val="4"/>
  </w:num>
  <w:num w:numId="6" w16cid:durableId="2079936184">
    <w:abstractNumId w:val="19"/>
  </w:num>
  <w:num w:numId="7" w16cid:durableId="666859665">
    <w:abstractNumId w:val="8"/>
  </w:num>
  <w:num w:numId="8" w16cid:durableId="1533152796">
    <w:abstractNumId w:val="7"/>
  </w:num>
  <w:num w:numId="9" w16cid:durableId="1019771849">
    <w:abstractNumId w:val="23"/>
  </w:num>
  <w:num w:numId="10" w16cid:durableId="1161460410">
    <w:abstractNumId w:val="15"/>
  </w:num>
  <w:num w:numId="11" w16cid:durableId="979260887">
    <w:abstractNumId w:val="17"/>
  </w:num>
  <w:num w:numId="12" w16cid:durableId="1922254183">
    <w:abstractNumId w:val="10"/>
  </w:num>
  <w:num w:numId="13" w16cid:durableId="466513525">
    <w:abstractNumId w:val="20"/>
  </w:num>
  <w:num w:numId="14" w16cid:durableId="838618695">
    <w:abstractNumId w:val="9"/>
  </w:num>
  <w:num w:numId="15" w16cid:durableId="725881361">
    <w:abstractNumId w:val="18"/>
  </w:num>
  <w:num w:numId="16" w16cid:durableId="1825927733">
    <w:abstractNumId w:val="16"/>
  </w:num>
  <w:num w:numId="17" w16cid:durableId="1332634386">
    <w:abstractNumId w:val="1"/>
  </w:num>
  <w:num w:numId="18" w16cid:durableId="1050036143">
    <w:abstractNumId w:val="2"/>
  </w:num>
  <w:num w:numId="19" w16cid:durableId="2012760029">
    <w:abstractNumId w:val="22"/>
  </w:num>
  <w:num w:numId="20" w16cid:durableId="966814875">
    <w:abstractNumId w:val="21"/>
  </w:num>
  <w:num w:numId="21" w16cid:durableId="1915968389">
    <w:abstractNumId w:val="14"/>
  </w:num>
  <w:num w:numId="22" w16cid:durableId="2142263929">
    <w:abstractNumId w:val="5"/>
  </w:num>
  <w:num w:numId="23" w16cid:durableId="1902057461">
    <w:abstractNumId w:val="13"/>
  </w:num>
  <w:num w:numId="24" w16cid:durableId="1788592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54E"/>
    <w:rsid w:val="000036F5"/>
    <w:rsid w:val="00017DA8"/>
    <w:rsid w:val="0004289E"/>
    <w:rsid w:val="00080BFD"/>
    <w:rsid w:val="00087CA6"/>
    <w:rsid w:val="0009735B"/>
    <w:rsid w:val="00097655"/>
    <w:rsid w:val="000A3A78"/>
    <w:rsid w:val="000C1845"/>
    <w:rsid w:val="000C3BDD"/>
    <w:rsid w:val="000C45B8"/>
    <w:rsid w:val="000E0E57"/>
    <w:rsid w:val="000E3B59"/>
    <w:rsid w:val="000E57E1"/>
    <w:rsid w:val="000E7D68"/>
    <w:rsid w:val="000F4C5F"/>
    <w:rsid w:val="000F5BF3"/>
    <w:rsid w:val="00145804"/>
    <w:rsid w:val="0016211E"/>
    <w:rsid w:val="00175A79"/>
    <w:rsid w:val="00175F6E"/>
    <w:rsid w:val="00177B0E"/>
    <w:rsid w:val="001A7608"/>
    <w:rsid w:val="001B1F56"/>
    <w:rsid w:val="001D4115"/>
    <w:rsid w:val="001F5C25"/>
    <w:rsid w:val="0022145F"/>
    <w:rsid w:val="0022772E"/>
    <w:rsid w:val="002353A4"/>
    <w:rsid w:val="002402BE"/>
    <w:rsid w:val="002568F2"/>
    <w:rsid w:val="00261726"/>
    <w:rsid w:val="00264175"/>
    <w:rsid w:val="00264A7B"/>
    <w:rsid w:val="00280B0A"/>
    <w:rsid w:val="00294583"/>
    <w:rsid w:val="002A1CEC"/>
    <w:rsid w:val="002A592D"/>
    <w:rsid w:val="002B45F9"/>
    <w:rsid w:val="002B5F0A"/>
    <w:rsid w:val="002B602C"/>
    <w:rsid w:val="002C039C"/>
    <w:rsid w:val="002D39C3"/>
    <w:rsid w:val="002E3327"/>
    <w:rsid w:val="002E3444"/>
    <w:rsid w:val="002E4563"/>
    <w:rsid w:val="002F5C34"/>
    <w:rsid w:val="00302008"/>
    <w:rsid w:val="00316DC7"/>
    <w:rsid w:val="003232B0"/>
    <w:rsid w:val="00327276"/>
    <w:rsid w:val="00330691"/>
    <w:rsid w:val="003666BF"/>
    <w:rsid w:val="00390F2A"/>
    <w:rsid w:val="003925F3"/>
    <w:rsid w:val="00394C0E"/>
    <w:rsid w:val="003956EA"/>
    <w:rsid w:val="00397FDB"/>
    <w:rsid w:val="003A549E"/>
    <w:rsid w:val="003A7E61"/>
    <w:rsid w:val="003B136B"/>
    <w:rsid w:val="003B4F93"/>
    <w:rsid w:val="003B6875"/>
    <w:rsid w:val="003C75A0"/>
    <w:rsid w:val="003D27FC"/>
    <w:rsid w:val="003E0758"/>
    <w:rsid w:val="00410654"/>
    <w:rsid w:val="0041597E"/>
    <w:rsid w:val="004230FB"/>
    <w:rsid w:val="00464CE3"/>
    <w:rsid w:val="00470B64"/>
    <w:rsid w:val="00481306"/>
    <w:rsid w:val="00482931"/>
    <w:rsid w:val="00487FDB"/>
    <w:rsid w:val="0049615E"/>
    <w:rsid w:val="004C3FF2"/>
    <w:rsid w:val="004C4A13"/>
    <w:rsid w:val="004C654E"/>
    <w:rsid w:val="004F6762"/>
    <w:rsid w:val="00501F05"/>
    <w:rsid w:val="00506D17"/>
    <w:rsid w:val="00510D13"/>
    <w:rsid w:val="00520431"/>
    <w:rsid w:val="00524522"/>
    <w:rsid w:val="00533E3E"/>
    <w:rsid w:val="00535165"/>
    <w:rsid w:val="00536D73"/>
    <w:rsid w:val="00542E49"/>
    <w:rsid w:val="00567907"/>
    <w:rsid w:val="005927C8"/>
    <w:rsid w:val="005971A4"/>
    <w:rsid w:val="005C1340"/>
    <w:rsid w:val="005C709E"/>
    <w:rsid w:val="005D3CCD"/>
    <w:rsid w:val="005F54B1"/>
    <w:rsid w:val="006042CD"/>
    <w:rsid w:val="00607FF6"/>
    <w:rsid w:val="00616B80"/>
    <w:rsid w:val="00641A86"/>
    <w:rsid w:val="00652D4A"/>
    <w:rsid w:val="006806DE"/>
    <w:rsid w:val="00681E06"/>
    <w:rsid w:val="006853CA"/>
    <w:rsid w:val="006A00AD"/>
    <w:rsid w:val="006B1C53"/>
    <w:rsid w:val="006B1FDA"/>
    <w:rsid w:val="006B58EE"/>
    <w:rsid w:val="006C1E59"/>
    <w:rsid w:val="00705254"/>
    <w:rsid w:val="00725DE2"/>
    <w:rsid w:val="00762144"/>
    <w:rsid w:val="007734EE"/>
    <w:rsid w:val="0078106D"/>
    <w:rsid w:val="00782154"/>
    <w:rsid w:val="00792C3D"/>
    <w:rsid w:val="007A4BD5"/>
    <w:rsid w:val="007B254D"/>
    <w:rsid w:val="007C408D"/>
    <w:rsid w:val="007E2A57"/>
    <w:rsid w:val="00806B2B"/>
    <w:rsid w:val="008117CE"/>
    <w:rsid w:val="0083785C"/>
    <w:rsid w:val="00854744"/>
    <w:rsid w:val="0086390C"/>
    <w:rsid w:val="00866B01"/>
    <w:rsid w:val="00881B71"/>
    <w:rsid w:val="008D30F3"/>
    <w:rsid w:val="008F303A"/>
    <w:rsid w:val="008F3377"/>
    <w:rsid w:val="009075AF"/>
    <w:rsid w:val="00912DBA"/>
    <w:rsid w:val="00921F17"/>
    <w:rsid w:val="009473CB"/>
    <w:rsid w:val="00952B9C"/>
    <w:rsid w:val="009551C8"/>
    <w:rsid w:val="00956ED2"/>
    <w:rsid w:val="0096252F"/>
    <w:rsid w:val="00967ABF"/>
    <w:rsid w:val="009815CB"/>
    <w:rsid w:val="009D69D3"/>
    <w:rsid w:val="00A03F96"/>
    <w:rsid w:val="00A27573"/>
    <w:rsid w:val="00A63BDE"/>
    <w:rsid w:val="00A74E55"/>
    <w:rsid w:val="00A75A91"/>
    <w:rsid w:val="00A76B3E"/>
    <w:rsid w:val="00A81808"/>
    <w:rsid w:val="00A943D3"/>
    <w:rsid w:val="00A94D10"/>
    <w:rsid w:val="00AA0317"/>
    <w:rsid w:val="00AC736A"/>
    <w:rsid w:val="00AD54B3"/>
    <w:rsid w:val="00AE0231"/>
    <w:rsid w:val="00AE6C62"/>
    <w:rsid w:val="00B05593"/>
    <w:rsid w:val="00B121DD"/>
    <w:rsid w:val="00B13B00"/>
    <w:rsid w:val="00B173DE"/>
    <w:rsid w:val="00B26E1B"/>
    <w:rsid w:val="00B33CFB"/>
    <w:rsid w:val="00B46F56"/>
    <w:rsid w:val="00B509E9"/>
    <w:rsid w:val="00B53120"/>
    <w:rsid w:val="00B620D2"/>
    <w:rsid w:val="00B8389B"/>
    <w:rsid w:val="00B865D2"/>
    <w:rsid w:val="00BB23B9"/>
    <w:rsid w:val="00BF6F3E"/>
    <w:rsid w:val="00C10A40"/>
    <w:rsid w:val="00C41D5E"/>
    <w:rsid w:val="00C46CE6"/>
    <w:rsid w:val="00C47A75"/>
    <w:rsid w:val="00C530C7"/>
    <w:rsid w:val="00C60B95"/>
    <w:rsid w:val="00C73078"/>
    <w:rsid w:val="00C912E4"/>
    <w:rsid w:val="00CA21DB"/>
    <w:rsid w:val="00CA2C2C"/>
    <w:rsid w:val="00CA52C1"/>
    <w:rsid w:val="00CB19C0"/>
    <w:rsid w:val="00CB6C9D"/>
    <w:rsid w:val="00CC1B62"/>
    <w:rsid w:val="00CF07B3"/>
    <w:rsid w:val="00CF3E1D"/>
    <w:rsid w:val="00D2074D"/>
    <w:rsid w:val="00D2366D"/>
    <w:rsid w:val="00D40174"/>
    <w:rsid w:val="00D40C7D"/>
    <w:rsid w:val="00D40D72"/>
    <w:rsid w:val="00D525D8"/>
    <w:rsid w:val="00D52DFC"/>
    <w:rsid w:val="00D8775E"/>
    <w:rsid w:val="00DE3CB3"/>
    <w:rsid w:val="00DF25BD"/>
    <w:rsid w:val="00DF6C9F"/>
    <w:rsid w:val="00E13A47"/>
    <w:rsid w:val="00E26981"/>
    <w:rsid w:val="00E31724"/>
    <w:rsid w:val="00E4387D"/>
    <w:rsid w:val="00E54FE6"/>
    <w:rsid w:val="00E559D8"/>
    <w:rsid w:val="00E61553"/>
    <w:rsid w:val="00E77E3C"/>
    <w:rsid w:val="00E866E0"/>
    <w:rsid w:val="00E97E0C"/>
    <w:rsid w:val="00EF09A7"/>
    <w:rsid w:val="00F01646"/>
    <w:rsid w:val="00F1427B"/>
    <w:rsid w:val="00F21A5A"/>
    <w:rsid w:val="00F4000A"/>
    <w:rsid w:val="00F725BA"/>
    <w:rsid w:val="00F7740B"/>
    <w:rsid w:val="00F86061"/>
    <w:rsid w:val="00F86E08"/>
    <w:rsid w:val="00FA138F"/>
    <w:rsid w:val="00FB014D"/>
    <w:rsid w:val="00FB233C"/>
    <w:rsid w:val="00FB2CE6"/>
    <w:rsid w:val="00FC3FAA"/>
    <w:rsid w:val="00FD3E54"/>
    <w:rsid w:val="00FF588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B731"/>
  <w15:docId w15:val="{456603EE-D640-4610-BA6B-E2F03E3DA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5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5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65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5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5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5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5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5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5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5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5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65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5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5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54E"/>
    <w:rPr>
      <w:rFonts w:eastAsiaTheme="majorEastAsia" w:cstheme="majorBidi"/>
      <w:color w:val="272727" w:themeColor="text1" w:themeTint="D8"/>
    </w:rPr>
  </w:style>
  <w:style w:type="paragraph" w:styleId="Title">
    <w:name w:val="Title"/>
    <w:basedOn w:val="Normal"/>
    <w:next w:val="Normal"/>
    <w:link w:val="TitleChar"/>
    <w:uiPriority w:val="10"/>
    <w:qFormat/>
    <w:rsid w:val="004C65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5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54E"/>
    <w:pPr>
      <w:spacing w:before="160"/>
      <w:jc w:val="center"/>
    </w:pPr>
    <w:rPr>
      <w:i/>
      <w:iCs/>
      <w:color w:val="404040" w:themeColor="text1" w:themeTint="BF"/>
    </w:rPr>
  </w:style>
  <w:style w:type="character" w:customStyle="1" w:styleId="QuoteChar">
    <w:name w:val="Quote Char"/>
    <w:basedOn w:val="DefaultParagraphFont"/>
    <w:link w:val="Quote"/>
    <w:uiPriority w:val="29"/>
    <w:rsid w:val="004C654E"/>
    <w:rPr>
      <w:i/>
      <w:iCs/>
      <w:color w:val="404040" w:themeColor="text1" w:themeTint="BF"/>
    </w:rPr>
  </w:style>
  <w:style w:type="paragraph" w:styleId="ListParagraph">
    <w:name w:val="List Paragraph"/>
    <w:basedOn w:val="Normal"/>
    <w:uiPriority w:val="34"/>
    <w:qFormat/>
    <w:rsid w:val="004C654E"/>
    <w:pPr>
      <w:ind w:left="720"/>
      <w:contextualSpacing/>
    </w:pPr>
  </w:style>
  <w:style w:type="character" w:styleId="IntenseEmphasis">
    <w:name w:val="Intense Emphasis"/>
    <w:basedOn w:val="DefaultParagraphFont"/>
    <w:uiPriority w:val="21"/>
    <w:qFormat/>
    <w:rsid w:val="004C654E"/>
    <w:rPr>
      <w:i/>
      <w:iCs/>
      <w:color w:val="0F4761" w:themeColor="accent1" w:themeShade="BF"/>
    </w:rPr>
  </w:style>
  <w:style w:type="paragraph" w:styleId="IntenseQuote">
    <w:name w:val="Intense Quote"/>
    <w:basedOn w:val="Normal"/>
    <w:next w:val="Normal"/>
    <w:link w:val="IntenseQuoteChar"/>
    <w:uiPriority w:val="30"/>
    <w:qFormat/>
    <w:rsid w:val="004C65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54E"/>
    <w:rPr>
      <w:i/>
      <w:iCs/>
      <w:color w:val="0F4761" w:themeColor="accent1" w:themeShade="BF"/>
    </w:rPr>
  </w:style>
  <w:style w:type="character" w:styleId="IntenseReference">
    <w:name w:val="Intense Reference"/>
    <w:basedOn w:val="DefaultParagraphFont"/>
    <w:uiPriority w:val="32"/>
    <w:qFormat/>
    <w:rsid w:val="004C654E"/>
    <w:rPr>
      <w:b/>
      <w:bCs/>
      <w:smallCaps/>
      <w:color w:val="0F4761" w:themeColor="accent1" w:themeShade="BF"/>
      <w:spacing w:val="5"/>
    </w:rPr>
  </w:style>
  <w:style w:type="paragraph" w:styleId="FootnoteText">
    <w:name w:val="footnote text"/>
    <w:aliases w:val="Footnote Text Char Char Char Char Char,Footnote Text Char Char Char Char Char Char Ch,fn,footnote text,Footnotes,Footnote ak,Footnotes Char Char,Footnotes Char Ch,Geneva 9,Font: Geneva 9,Boston 10,f Char,f,Footnote Text Char1 Char1,FOOTNOT"/>
    <w:basedOn w:val="Normal"/>
    <w:link w:val="FootnoteTextChar"/>
    <w:uiPriority w:val="99"/>
    <w:unhideWhenUsed/>
    <w:qFormat/>
    <w:rsid w:val="00D40D72"/>
    <w:pPr>
      <w:spacing w:after="0" w:line="240" w:lineRule="auto"/>
    </w:pPr>
    <w:rPr>
      <w:rFonts w:ascii="Times New Roman" w:hAnsi="Times New Roman"/>
      <w:kern w:val="0"/>
      <w:sz w:val="20"/>
      <w:szCs w:val="20"/>
      <w:lang w:val="en-US"/>
      <w14:ligatures w14:val="none"/>
    </w:rPr>
  </w:style>
  <w:style w:type="character" w:customStyle="1" w:styleId="FootnoteTextChar">
    <w:name w:val="Footnote Text Char"/>
    <w:aliases w:val="Footnote Text Char Char Char Char Char Char,Footnote Text Char Char Char Char Char Char Ch Char,fn Char,footnote text Char,Footnotes Char,Footnote ak Char,Footnotes Char Char Char,Footnotes Char Ch Char,Geneva 9 Char,Boston 10 Char"/>
    <w:basedOn w:val="DefaultParagraphFont"/>
    <w:link w:val="FootnoteText"/>
    <w:uiPriority w:val="99"/>
    <w:qFormat/>
    <w:rsid w:val="00D40D72"/>
    <w:rPr>
      <w:rFonts w:ascii="Times New Roman" w:hAnsi="Times New Roman"/>
      <w:kern w:val="0"/>
      <w:sz w:val="20"/>
      <w:szCs w:val="20"/>
      <w:lang w:val="en-US"/>
      <w14:ligatures w14:val="none"/>
    </w:rPr>
  </w:style>
  <w:style w:type="paragraph" w:styleId="NormalWeb">
    <w:name w:val="Normal (Web)"/>
    <w:basedOn w:val="Normal"/>
    <w:link w:val="NormalWebChar"/>
    <w:uiPriority w:val="99"/>
    <w:unhideWhenUsed/>
    <w:rsid w:val="00F1427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WebChar">
    <w:name w:val="Normal (Web) Char"/>
    <w:link w:val="NormalWeb"/>
    <w:uiPriority w:val="99"/>
    <w:rsid w:val="00F1427B"/>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806B2B"/>
    <w:rPr>
      <w:color w:val="467886" w:themeColor="hyperlink"/>
      <w:u w:val="single"/>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_"/>
    <w:basedOn w:val="DefaultParagraphFont"/>
    <w:link w:val="RefChar"/>
    <w:uiPriority w:val="99"/>
    <w:unhideWhenUsed/>
    <w:qFormat/>
    <w:rsid w:val="00806B2B"/>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1 Char Char,Ref Char Char Char,ftref Char1 Char Char"/>
    <w:basedOn w:val="Normal"/>
    <w:link w:val="FootnoteReference"/>
    <w:uiPriority w:val="99"/>
    <w:qFormat/>
    <w:rsid w:val="00806B2B"/>
    <w:pPr>
      <w:spacing w:line="240" w:lineRule="exact"/>
    </w:pPr>
    <w:rPr>
      <w:vertAlign w:val="superscript"/>
    </w:rPr>
  </w:style>
  <w:style w:type="character" w:styleId="Emphasis">
    <w:name w:val="Emphasis"/>
    <w:basedOn w:val="DefaultParagraphFont"/>
    <w:uiPriority w:val="20"/>
    <w:qFormat/>
    <w:rsid w:val="00806B2B"/>
    <w:rPr>
      <w:i/>
      <w:iCs/>
    </w:rPr>
  </w:style>
  <w:style w:type="paragraph" w:styleId="BalloonText">
    <w:name w:val="Balloon Text"/>
    <w:basedOn w:val="Normal"/>
    <w:link w:val="BalloonTextChar"/>
    <w:uiPriority w:val="99"/>
    <w:semiHidden/>
    <w:unhideWhenUsed/>
    <w:rsid w:val="00CA52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2C1"/>
    <w:rPr>
      <w:rFonts w:ascii="Tahoma" w:hAnsi="Tahoma" w:cs="Tahoma"/>
      <w:sz w:val="16"/>
      <w:szCs w:val="16"/>
    </w:rPr>
  </w:style>
  <w:style w:type="table" w:styleId="TableGrid">
    <w:name w:val="Table Grid"/>
    <w:basedOn w:val="TableNormal"/>
    <w:uiPriority w:val="39"/>
    <w:rsid w:val="001D4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6252F"/>
    <w:rPr>
      <w:color w:val="605E5C"/>
      <w:shd w:val="clear" w:color="auto" w:fill="E1DFDD"/>
    </w:rPr>
  </w:style>
  <w:style w:type="paragraph" w:styleId="Header">
    <w:name w:val="header"/>
    <w:basedOn w:val="Normal"/>
    <w:link w:val="HeaderChar"/>
    <w:uiPriority w:val="99"/>
    <w:unhideWhenUsed/>
    <w:rsid w:val="00A03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F96"/>
  </w:style>
  <w:style w:type="paragraph" w:styleId="Footer">
    <w:name w:val="footer"/>
    <w:basedOn w:val="Normal"/>
    <w:link w:val="FooterChar"/>
    <w:uiPriority w:val="99"/>
    <w:unhideWhenUsed/>
    <w:rsid w:val="00A03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F96"/>
  </w:style>
  <w:style w:type="character" w:styleId="Strong">
    <w:name w:val="Strong"/>
    <w:basedOn w:val="DefaultParagraphFont"/>
    <w:uiPriority w:val="22"/>
    <w:qFormat/>
    <w:rsid w:val="002402BE"/>
    <w:rPr>
      <w:b/>
      <w:bCs/>
    </w:rPr>
  </w:style>
  <w:style w:type="paragraph" w:styleId="Revision">
    <w:name w:val="Revision"/>
    <w:hidden/>
    <w:uiPriority w:val="99"/>
    <w:semiHidden/>
    <w:rsid w:val="00280B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7834">
      <w:bodyDiv w:val="1"/>
      <w:marLeft w:val="0"/>
      <w:marRight w:val="0"/>
      <w:marTop w:val="0"/>
      <w:marBottom w:val="0"/>
      <w:divBdr>
        <w:top w:val="none" w:sz="0" w:space="0" w:color="auto"/>
        <w:left w:val="none" w:sz="0" w:space="0" w:color="auto"/>
        <w:bottom w:val="none" w:sz="0" w:space="0" w:color="auto"/>
        <w:right w:val="none" w:sz="0" w:space="0" w:color="auto"/>
      </w:divBdr>
    </w:div>
    <w:div w:id="707727070">
      <w:bodyDiv w:val="1"/>
      <w:marLeft w:val="0"/>
      <w:marRight w:val="0"/>
      <w:marTop w:val="0"/>
      <w:marBottom w:val="0"/>
      <w:divBdr>
        <w:top w:val="none" w:sz="0" w:space="0" w:color="auto"/>
        <w:left w:val="none" w:sz="0" w:space="0" w:color="auto"/>
        <w:bottom w:val="none" w:sz="0" w:space="0" w:color="auto"/>
        <w:right w:val="none" w:sz="0" w:space="0" w:color="auto"/>
      </w:divBdr>
    </w:div>
    <w:div w:id="1056588304">
      <w:bodyDiv w:val="1"/>
      <w:marLeft w:val="0"/>
      <w:marRight w:val="0"/>
      <w:marTop w:val="0"/>
      <w:marBottom w:val="0"/>
      <w:divBdr>
        <w:top w:val="none" w:sz="0" w:space="0" w:color="auto"/>
        <w:left w:val="none" w:sz="0" w:space="0" w:color="auto"/>
        <w:bottom w:val="none" w:sz="0" w:space="0" w:color="auto"/>
        <w:right w:val="none" w:sz="0" w:space="0" w:color="auto"/>
      </w:divBdr>
      <w:divsChild>
        <w:div w:id="1846162354">
          <w:marLeft w:val="0"/>
          <w:marRight w:val="0"/>
          <w:marTop w:val="0"/>
          <w:marBottom w:val="0"/>
          <w:divBdr>
            <w:top w:val="none" w:sz="0" w:space="0" w:color="auto"/>
            <w:left w:val="none" w:sz="0" w:space="0" w:color="auto"/>
            <w:bottom w:val="none" w:sz="0" w:space="0" w:color="auto"/>
            <w:right w:val="none" w:sz="0" w:space="0" w:color="auto"/>
          </w:divBdr>
          <w:divsChild>
            <w:div w:id="854153468">
              <w:marLeft w:val="0"/>
              <w:marRight w:val="0"/>
              <w:marTop w:val="0"/>
              <w:marBottom w:val="0"/>
              <w:divBdr>
                <w:top w:val="none" w:sz="0" w:space="0" w:color="auto"/>
                <w:left w:val="none" w:sz="0" w:space="0" w:color="auto"/>
                <w:bottom w:val="none" w:sz="0" w:space="0" w:color="auto"/>
                <w:right w:val="none" w:sz="0" w:space="0" w:color="auto"/>
              </w:divBdr>
              <w:divsChild>
                <w:div w:id="2090035752">
                  <w:marLeft w:val="0"/>
                  <w:marRight w:val="0"/>
                  <w:marTop w:val="0"/>
                  <w:marBottom w:val="0"/>
                  <w:divBdr>
                    <w:top w:val="none" w:sz="0" w:space="0" w:color="auto"/>
                    <w:left w:val="none" w:sz="0" w:space="0" w:color="auto"/>
                    <w:bottom w:val="none" w:sz="0" w:space="0" w:color="auto"/>
                    <w:right w:val="none" w:sz="0" w:space="0" w:color="auto"/>
                  </w:divBdr>
                  <w:divsChild>
                    <w:div w:id="1227640374">
                      <w:marLeft w:val="0"/>
                      <w:marRight w:val="0"/>
                      <w:marTop w:val="0"/>
                      <w:marBottom w:val="0"/>
                      <w:divBdr>
                        <w:top w:val="none" w:sz="0" w:space="0" w:color="auto"/>
                        <w:left w:val="none" w:sz="0" w:space="0" w:color="auto"/>
                        <w:bottom w:val="none" w:sz="0" w:space="0" w:color="auto"/>
                        <w:right w:val="none" w:sz="0" w:space="0" w:color="auto"/>
                      </w:divBdr>
                      <w:divsChild>
                        <w:div w:id="1256665981">
                          <w:marLeft w:val="0"/>
                          <w:marRight w:val="0"/>
                          <w:marTop w:val="0"/>
                          <w:marBottom w:val="0"/>
                          <w:divBdr>
                            <w:top w:val="none" w:sz="0" w:space="0" w:color="auto"/>
                            <w:left w:val="none" w:sz="0" w:space="0" w:color="auto"/>
                            <w:bottom w:val="none" w:sz="0" w:space="0" w:color="auto"/>
                            <w:right w:val="none" w:sz="0" w:space="0" w:color="auto"/>
                          </w:divBdr>
                          <w:divsChild>
                            <w:div w:id="86051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048786">
      <w:bodyDiv w:val="1"/>
      <w:marLeft w:val="0"/>
      <w:marRight w:val="0"/>
      <w:marTop w:val="0"/>
      <w:marBottom w:val="0"/>
      <w:divBdr>
        <w:top w:val="none" w:sz="0" w:space="0" w:color="auto"/>
        <w:left w:val="none" w:sz="0" w:space="0" w:color="auto"/>
        <w:bottom w:val="none" w:sz="0" w:space="0" w:color="auto"/>
        <w:right w:val="none" w:sz="0" w:space="0" w:color="auto"/>
      </w:divBdr>
      <w:divsChild>
        <w:div w:id="1800489195">
          <w:marLeft w:val="0"/>
          <w:marRight w:val="0"/>
          <w:marTop w:val="0"/>
          <w:marBottom w:val="0"/>
          <w:divBdr>
            <w:top w:val="none" w:sz="0" w:space="0" w:color="auto"/>
            <w:left w:val="none" w:sz="0" w:space="0" w:color="auto"/>
            <w:bottom w:val="none" w:sz="0" w:space="0" w:color="auto"/>
            <w:right w:val="none" w:sz="0" w:space="0" w:color="auto"/>
          </w:divBdr>
          <w:divsChild>
            <w:div w:id="2004968808">
              <w:marLeft w:val="0"/>
              <w:marRight w:val="0"/>
              <w:marTop w:val="0"/>
              <w:marBottom w:val="0"/>
              <w:divBdr>
                <w:top w:val="none" w:sz="0" w:space="0" w:color="auto"/>
                <w:left w:val="none" w:sz="0" w:space="0" w:color="auto"/>
                <w:bottom w:val="none" w:sz="0" w:space="0" w:color="auto"/>
                <w:right w:val="none" w:sz="0" w:space="0" w:color="auto"/>
              </w:divBdr>
              <w:divsChild>
                <w:div w:id="1710717226">
                  <w:marLeft w:val="0"/>
                  <w:marRight w:val="0"/>
                  <w:marTop w:val="0"/>
                  <w:marBottom w:val="0"/>
                  <w:divBdr>
                    <w:top w:val="none" w:sz="0" w:space="0" w:color="auto"/>
                    <w:left w:val="none" w:sz="0" w:space="0" w:color="auto"/>
                    <w:bottom w:val="none" w:sz="0" w:space="0" w:color="auto"/>
                    <w:right w:val="none" w:sz="0" w:space="0" w:color="auto"/>
                  </w:divBdr>
                  <w:divsChild>
                    <w:div w:id="277954040">
                      <w:marLeft w:val="0"/>
                      <w:marRight w:val="0"/>
                      <w:marTop w:val="0"/>
                      <w:marBottom w:val="0"/>
                      <w:divBdr>
                        <w:top w:val="none" w:sz="0" w:space="0" w:color="auto"/>
                        <w:left w:val="none" w:sz="0" w:space="0" w:color="auto"/>
                        <w:bottom w:val="none" w:sz="0" w:space="0" w:color="auto"/>
                        <w:right w:val="none" w:sz="0" w:space="0" w:color="auto"/>
                      </w:divBdr>
                      <w:divsChild>
                        <w:div w:id="1590113090">
                          <w:marLeft w:val="0"/>
                          <w:marRight w:val="0"/>
                          <w:marTop w:val="0"/>
                          <w:marBottom w:val="0"/>
                          <w:divBdr>
                            <w:top w:val="none" w:sz="0" w:space="0" w:color="auto"/>
                            <w:left w:val="none" w:sz="0" w:space="0" w:color="auto"/>
                            <w:bottom w:val="none" w:sz="0" w:space="0" w:color="auto"/>
                            <w:right w:val="none" w:sz="0" w:space="0" w:color="auto"/>
                          </w:divBdr>
                          <w:divsChild>
                            <w:div w:id="2028866580">
                              <w:marLeft w:val="0"/>
                              <w:marRight w:val="0"/>
                              <w:marTop w:val="0"/>
                              <w:marBottom w:val="0"/>
                              <w:divBdr>
                                <w:top w:val="none" w:sz="0" w:space="0" w:color="auto"/>
                                <w:left w:val="none" w:sz="0" w:space="0" w:color="auto"/>
                                <w:bottom w:val="none" w:sz="0" w:space="0" w:color="auto"/>
                                <w:right w:val="none" w:sz="0" w:space="0" w:color="auto"/>
                              </w:divBdr>
                              <w:divsChild>
                                <w:div w:id="1383866477">
                                  <w:marLeft w:val="0"/>
                                  <w:marRight w:val="0"/>
                                  <w:marTop w:val="0"/>
                                  <w:marBottom w:val="0"/>
                                  <w:divBdr>
                                    <w:top w:val="none" w:sz="0" w:space="0" w:color="auto"/>
                                    <w:left w:val="none" w:sz="0" w:space="0" w:color="auto"/>
                                    <w:bottom w:val="none" w:sz="0" w:space="0" w:color="auto"/>
                                    <w:right w:val="none" w:sz="0" w:space="0" w:color="auto"/>
                                  </w:divBdr>
                                  <w:divsChild>
                                    <w:div w:id="1716541658">
                                      <w:marLeft w:val="0"/>
                                      <w:marRight w:val="0"/>
                                      <w:marTop w:val="0"/>
                                      <w:marBottom w:val="0"/>
                                      <w:divBdr>
                                        <w:top w:val="none" w:sz="0" w:space="0" w:color="auto"/>
                                        <w:left w:val="none" w:sz="0" w:space="0" w:color="auto"/>
                                        <w:bottom w:val="none" w:sz="0" w:space="0" w:color="auto"/>
                                        <w:right w:val="none" w:sz="0" w:space="0" w:color="auto"/>
                                      </w:divBdr>
                                      <w:divsChild>
                                        <w:div w:id="1403335049">
                                          <w:marLeft w:val="0"/>
                                          <w:marRight w:val="0"/>
                                          <w:marTop w:val="0"/>
                                          <w:marBottom w:val="0"/>
                                          <w:divBdr>
                                            <w:top w:val="none" w:sz="0" w:space="0" w:color="auto"/>
                                            <w:left w:val="none" w:sz="0" w:space="0" w:color="auto"/>
                                            <w:bottom w:val="none" w:sz="0" w:space="0" w:color="auto"/>
                                            <w:right w:val="none" w:sz="0" w:space="0" w:color="auto"/>
                                          </w:divBdr>
                                          <w:divsChild>
                                            <w:div w:id="1821997904">
                                              <w:marLeft w:val="0"/>
                                              <w:marRight w:val="0"/>
                                              <w:marTop w:val="0"/>
                                              <w:marBottom w:val="0"/>
                                              <w:divBdr>
                                                <w:top w:val="none" w:sz="0" w:space="0" w:color="auto"/>
                                                <w:left w:val="none" w:sz="0" w:space="0" w:color="auto"/>
                                                <w:bottom w:val="none" w:sz="0" w:space="0" w:color="auto"/>
                                                <w:right w:val="none" w:sz="0" w:space="0" w:color="auto"/>
                                              </w:divBdr>
                                              <w:divsChild>
                                                <w:div w:id="1251542913">
                                                  <w:marLeft w:val="0"/>
                                                  <w:marRight w:val="0"/>
                                                  <w:marTop w:val="0"/>
                                                  <w:marBottom w:val="0"/>
                                                  <w:divBdr>
                                                    <w:top w:val="none" w:sz="0" w:space="0" w:color="auto"/>
                                                    <w:left w:val="none" w:sz="0" w:space="0" w:color="auto"/>
                                                    <w:bottom w:val="none" w:sz="0" w:space="0" w:color="auto"/>
                                                    <w:right w:val="none" w:sz="0" w:space="0" w:color="auto"/>
                                                  </w:divBdr>
                                                  <w:divsChild>
                                                    <w:div w:id="879585990">
                                                      <w:marLeft w:val="0"/>
                                                      <w:marRight w:val="0"/>
                                                      <w:marTop w:val="0"/>
                                                      <w:marBottom w:val="0"/>
                                                      <w:divBdr>
                                                        <w:top w:val="none" w:sz="0" w:space="0" w:color="auto"/>
                                                        <w:left w:val="none" w:sz="0" w:space="0" w:color="auto"/>
                                                        <w:bottom w:val="none" w:sz="0" w:space="0" w:color="auto"/>
                                                        <w:right w:val="none" w:sz="0" w:space="0" w:color="auto"/>
                                                      </w:divBdr>
                                                      <w:divsChild>
                                                        <w:div w:id="112526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436121">
                                              <w:marLeft w:val="0"/>
                                              <w:marRight w:val="0"/>
                                              <w:marTop w:val="0"/>
                                              <w:marBottom w:val="0"/>
                                              <w:divBdr>
                                                <w:top w:val="none" w:sz="0" w:space="0" w:color="auto"/>
                                                <w:left w:val="none" w:sz="0" w:space="0" w:color="auto"/>
                                                <w:bottom w:val="none" w:sz="0" w:space="0" w:color="auto"/>
                                                <w:right w:val="none" w:sz="0" w:space="0" w:color="auto"/>
                                              </w:divBdr>
                                              <w:divsChild>
                                                <w:div w:id="1173490441">
                                                  <w:marLeft w:val="0"/>
                                                  <w:marRight w:val="0"/>
                                                  <w:marTop w:val="0"/>
                                                  <w:marBottom w:val="0"/>
                                                  <w:divBdr>
                                                    <w:top w:val="none" w:sz="0" w:space="0" w:color="auto"/>
                                                    <w:left w:val="none" w:sz="0" w:space="0" w:color="auto"/>
                                                    <w:bottom w:val="none" w:sz="0" w:space="0" w:color="auto"/>
                                                    <w:right w:val="none" w:sz="0" w:space="0" w:color="auto"/>
                                                  </w:divBdr>
                                                  <w:divsChild>
                                                    <w:div w:id="1307858665">
                                                      <w:marLeft w:val="0"/>
                                                      <w:marRight w:val="0"/>
                                                      <w:marTop w:val="0"/>
                                                      <w:marBottom w:val="0"/>
                                                      <w:divBdr>
                                                        <w:top w:val="none" w:sz="0" w:space="0" w:color="auto"/>
                                                        <w:left w:val="none" w:sz="0" w:space="0" w:color="auto"/>
                                                        <w:bottom w:val="none" w:sz="0" w:space="0" w:color="auto"/>
                                                        <w:right w:val="none" w:sz="0" w:space="0" w:color="auto"/>
                                                      </w:divBdr>
                                                      <w:divsChild>
                                                        <w:div w:id="154737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4965725">
          <w:marLeft w:val="0"/>
          <w:marRight w:val="0"/>
          <w:marTop w:val="0"/>
          <w:marBottom w:val="0"/>
          <w:divBdr>
            <w:top w:val="none" w:sz="0" w:space="0" w:color="auto"/>
            <w:left w:val="none" w:sz="0" w:space="0" w:color="auto"/>
            <w:bottom w:val="none" w:sz="0" w:space="0" w:color="auto"/>
            <w:right w:val="none" w:sz="0" w:space="0" w:color="auto"/>
          </w:divBdr>
          <w:divsChild>
            <w:div w:id="563835980">
              <w:marLeft w:val="0"/>
              <w:marRight w:val="0"/>
              <w:marTop w:val="0"/>
              <w:marBottom w:val="0"/>
              <w:divBdr>
                <w:top w:val="none" w:sz="0" w:space="0" w:color="auto"/>
                <w:left w:val="none" w:sz="0" w:space="0" w:color="auto"/>
                <w:bottom w:val="none" w:sz="0" w:space="0" w:color="auto"/>
                <w:right w:val="none" w:sz="0" w:space="0" w:color="auto"/>
              </w:divBdr>
              <w:divsChild>
                <w:div w:id="37318004">
                  <w:marLeft w:val="0"/>
                  <w:marRight w:val="0"/>
                  <w:marTop w:val="0"/>
                  <w:marBottom w:val="0"/>
                  <w:divBdr>
                    <w:top w:val="none" w:sz="0" w:space="0" w:color="auto"/>
                    <w:left w:val="none" w:sz="0" w:space="0" w:color="auto"/>
                    <w:bottom w:val="none" w:sz="0" w:space="0" w:color="auto"/>
                    <w:right w:val="none" w:sz="0" w:space="0" w:color="auto"/>
                  </w:divBdr>
                  <w:divsChild>
                    <w:div w:id="50882864">
                      <w:marLeft w:val="0"/>
                      <w:marRight w:val="0"/>
                      <w:marTop w:val="0"/>
                      <w:marBottom w:val="0"/>
                      <w:divBdr>
                        <w:top w:val="none" w:sz="0" w:space="0" w:color="auto"/>
                        <w:left w:val="none" w:sz="0" w:space="0" w:color="auto"/>
                        <w:bottom w:val="none" w:sz="0" w:space="0" w:color="auto"/>
                        <w:right w:val="none" w:sz="0" w:space="0" w:color="auto"/>
                      </w:divBdr>
                      <w:divsChild>
                        <w:div w:id="501747880">
                          <w:marLeft w:val="0"/>
                          <w:marRight w:val="0"/>
                          <w:marTop w:val="0"/>
                          <w:marBottom w:val="0"/>
                          <w:divBdr>
                            <w:top w:val="none" w:sz="0" w:space="0" w:color="auto"/>
                            <w:left w:val="none" w:sz="0" w:space="0" w:color="auto"/>
                            <w:bottom w:val="none" w:sz="0" w:space="0" w:color="auto"/>
                            <w:right w:val="none" w:sz="0" w:space="0" w:color="auto"/>
                          </w:divBdr>
                          <w:divsChild>
                            <w:div w:id="1321538202">
                              <w:marLeft w:val="0"/>
                              <w:marRight w:val="0"/>
                              <w:marTop w:val="0"/>
                              <w:marBottom w:val="0"/>
                              <w:divBdr>
                                <w:top w:val="none" w:sz="0" w:space="0" w:color="auto"/>
                                <w:left w:val="none" w:sz="0" w:space="0" w:color="auto"/>
                                <w:bottom w:val="none" w:sz="0" w:space="0" w:color="auto"/>
                                <w:right w:val="none" w:sz="0" w:space="0" w:color="auto"/>
                              </w:divBdr>
                              <w:divsChild>
                                <w:div w:id="837160222">
                                  <w:marLeft w:val="0"/>
                                  <w:marRight w:val="0"/>
                                  <w:marTop w:val="0"/>
                                  <w:marBottom w:val="0"/>
                                  <w:divBdr>
                                    <w:top w:val="none" w:sz="0" w:space="0" w:color="auto"/>
                                    <w:left w:val="none" w:sz="0" w:space="0" w:color="auto"/>
                                    <w:bottom w:val="none" w:sz="0" w:space="0" w:color="auto"/>
                                    <w:right w:val="none" w:sz="0" w:space="0" w:color="auto"/>
                                  </w:divBdr>
                                  <w:divsChild>
                                    <w:div w:id="158430828">
                                      <w:marLeft w:val="0"/>
                                      <w:marRight w:val="0"/>
                                      <w:marTop w:val="0"/>
                                      <w:marBottom w:val="0"/>
                                      <w:divBdr>
                                        <w:top w:val="none" w:sz="0" w:space="0" w:color="auto"/>
                                        <w:left w:val="none" w:sz="0" w:space="0" w:color="auto"/>
                                        <w:bottom w:val="none" w:sz="0" w:space="0" w:color="auto"/>
                                        <w:right w:val="none" w:sz="0" w:space="0" w:color="auto"/>
                                      </w:divBdr>
                                      <w:divsChild>
                                        <w:div w:id="413162573">
                                          <w:marLeft w:val="0"/>
                                          <w:marRight w:val="0"/>
                                          <w:marTop w:val="0"/>
                                          <w:marBottom w:val="0"/>
                                          <w:divBdr>
                                            <w:top w:val="none" w:sz="0" w:space="0" w:color="auto"/>
                                            <w:left w:val="none" w:sz="0" w:space="0" w:color="auto"/>
                                            <w:bottom w:val="none" w:sz="0" w:space="0" w:color="auto"/>
                                            <w:right w:val="none" w:sz="0" w:space="0" w:color="auto"/>
                                          </w:divBdr>
                                          <w:divsChild>
                                            <w:div w:id="1154830232">
                                              <w:marLeft w:val="0"/>
                                              <w:marRight w:val="0"/>
                                              <w:marTop w:val="0"/>
                                              <w:marBottom w:val="0"/>
                                              <w:divBdr>
                                                <w:top w:val="none" w:sz="0" w:space="0" w:color="auto"/>
                                                <w:left w:val="none" w:sz="0" w:space="0" w:color="auto"/>
                                                <w:bottom w:val="none" w:sz="0" w:space="0" w:color="auto"/>
                                                <w:right w:val="none" w:sz="0" w:space="0" w:color="auto"/>
                                              </w:divBdr>
                                              <w:divsChild>
                                                <w:div w:id="19072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4519106">
      <w:bodyDiv w:val="1"/>
      <w:marLeft w:val="0"/>
      <w:marRight w:val="0"/>
      <w:marTop w:val="0"/>
      <w:marBottom w:val="0"/>
      <w:divBdr>
        <w:top w:val="none" w:sz="0" w:space="0" w:color="auto"/>
        <w:left w:val="none" w:sz="0" w:space="0" w:color="auto"/>
        <w:bottom w:val="none" w:sz="0" w:space="0" w:color="auto"/>
        <w:right w:val="none" w:sz="0" w:space="0" w:color="auto"/>
      </w:divBdr>
    </w:div>
    <w:div w:id="1766607162">
      <w:bodyDiv w:val="1"/>
      <w:marLeft w:val="0"/>
      <w:marRight w:val="0"/>
      <w:marTop w:val="0"/>
      <w:marBottom w:val="0"/>
      <w:divBdr>
        <w:top w:val="none" w:sz="0" w:space="0" w:color="auto"/>
        <w:left w:val="none" w:sz="0" w:space="0" w:color="auto"/>
        <w:bottom w:val="none" w:sz="0" w:space="0" w:color="auto"/>
        <w:right w:val="none" w:sz="0" w:space="0" w:color="auto"/>
      </w:divBdr>
    </w:div>
    <w:div w:id="1958441222">
      <w:bodyDiv w:val="1"/>
      <w:marLeft w:val="0"/>
      <w:marRight w:val="0"/>
      <w:marTop w:val="0"/>
      <w:marBottom w:val="0"/>
      <w:divBdr>
        <w:top w:val="none" w:sz="0" w:space="0" w:color="auto"/>
        <w:left w:val="none" w:sz="0" w:space="0" w:color="auto"/>
        <w:bottom w:val="none" w:sz="0" w:space="0" w:color="auto"/>
        <w:right w:val="none" w:sz="0" w:space="0" w:color="auto"/>
      </w:divBdr>
    </w:div>
    <w:div w:id="211100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2025-01-23T08:44:32+00:00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45E4FE5-0D0D-46C4-9660-BB6F94D765BF}">
  <ds:schemaRefs>
    <ds:schemaRef ds:uri="http://schemas.openxmlformats.org/officeDocument/2006/bibliography"/>
  </ds:schemaRefs>
</ds:datastoreItem>
</file>

<file path=customXml/itemProps2.xml><?xml version="1.0" encoding="utf-8"?>
<ds:datastoreItem xmlns:ds="http://schemas.openxmlformats.org/officeDocument/2006/customXml" ds:itemID="{4239C70C-FEE0-489C-AFBF-9718247859D1}"/>
</file>

<file path=customXml/itemProps3.xml><?xml version="1.0" encoding="utf-8"?>
<ds:datastoreItem xmlns:ds="http://schemas.openxmlformats.org/officeDocument/2006/customXml" ds:itemID="{47C07D7E-F1C7-4D1A-A523-113C2C716EDD}"/>
</file>

<file path=customXml/itemProps4.xml><?xml version="1.0" encoding="utf-8"?>
<ds:datastoreItem xmlns:ds="http://schemas.openxmlformats.org/officeDocument/2006/customXml" ds:itemID="{D5F56D60-C954-4E73-A849-DB9D33FBFCD1}"/>
</file>

<file path=docProps/app.xml><?xml version="1.0" encoding="utf-8"?>
<Properties xmlns="http://schemas.openxmlformats.org/officeDocument/2006/extended-properties" xmlns:vt="http://schemas.openxmlformats.org/officeDocument/2006/docPropsVTypes">
  <Template>Normal.dotm</Template>
  <TotalTime>3</TotalTime>
  <Pages>8</Pages>
  <Words>4544</Words>
  <Characters>19316</Characters>
  <Application>Microsoft Office Word</Application>
  <DocSecurity>0</DocSecurity>
  <Lines>772</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Linh Kha</dc:creator>
  <cp:lastModifiedBy>Microsoft Office User</cp:lastModifiedBy>
  <cp:revision>3</cp:revision>
  <cp:lastPrinted>2024-11-08T07:04:00Z</cp:lastPrinted>
  <dcterms:created xsi:type="dcterms:W3CDTF">2024-12-19T10:45:00Z</dcterms:created>
  <dcterms:modified xsi:type="dcterms:W3CDTF">2024-12-19T10:47:00Z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