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AFF3A3" w14:textId="77777777" w:rsidR="00DF2CD3" w:rsidRPr="00290A87" w:rsidRDefault="00DF2CD3" w:rsidP="00DF2CD3">
      <w:pPr>
        <w:pStyle w:val="Sansinterligne"/>
        <w:contextualSpacing/>
        <w:jc w:val="center"/>
        <w:rPr>
          <w:rFonts w:ascii="Book Antiqua" w:hAnsi="Book Antiqua" w:cs="Times New Roman"/>
          <w:b/>
          <w:bCs/>
          <w:sz w:val="24"/>
          <w:szCs w:val="24"/>
        </w:rPr>
      </w:pPr>
      <w:r w:rsidRPr="00290A87">
        <w:rPr>
          <w:rFonts w:ascii="Book Antiqua" w:hAnsi="Book Antiqua" w:cs="Times New Roman"/>
          <w:b/>
          <w:bCs/>
          <w:sz w:val="24"/>
          <w:szCs w:val="24"/>
        </w:rPr>
        <w:t xml:space="preserve">PROJET </w:t>
      </w:r>
      <w:r>
        <w:rPr>
          <w:rFonts w:ascii="Book Antiqua" w:hAnsi="Book Antiqua" w:cs="Times New Roman"/>
          <w:b/>
          <w:bCs/>
          <w:sz w:val="24"/>
          <w:szCs w:val="24"/>
        </w:rPr>
        <w:t xml:space="preserve">DE </w:t>
      </w:r>
      <w:r w:rsidRPr="00290A87">
        <w:rPr>
          <w:rFonts w:ascii="Book Antiqua" w:hAnsi="Book Antiqua" w:cs="Times New Roman"/>
          <w:b/>
          <w:bCs/>
          <w:sz w:val="24"/>
          <w:szCs w:val="24"/>
        </w:rPr>
        <w:t xml:space="preserve">DISCOURS </w:t>
      </w:r>
    </w:p>
    <w:p w14:paraId="555B09A6" w14:textId="77777777" w:rsidR="00DF2CD3" w:rsidRDefault="00DF2CD3" w:rsidP="00A0013A">
      <w:pPr>
        <w:contextualSpacing/>
        <w:rPr>
          <w:rFonts w:ascii="Book Antiqua" w:hAnsi="Book Antiqua"/>
          <w:b/>
          <w:bCs/>
          <w:sz w:val="24"/>
          <w:szCs w:val="24"/>
        </w:rPr>
      </w:pPr>
    </w:p>
    <w:p w14:paraId="6BFFE256" w14:textId="77777777" w:rsidR="007A198B" w:rsidRPr="00462C15" w:rsidRDefault="007A198B" w:rsidP="007A198B">
      <w:pPr>
        <w:contextualSpacing/>
        <w:rPr>
          <w:rFonts w:ascii="Book Antiqua" w:hAnsi="Book Antiqua"/>
          <w:sz w:val="24"/>
          <w:szCs w:val="24"/>
        </w:rPr>
      </w:pPr>
      <w:r w:rsidRPr="007A198B">
        <w:rPr>
          <w:rFonts w:ascii="Book Antiqua" w:hAnsi="Book Antiqua"/>
          <w:sz w:val="24"/>
          <w:szCs w:val="24"/>
        </w:rPr>
        <w:t>Monsieur le Président,</w:t>
      </w:r>
    </w:p>
    <w:p w14:paraId="3A900897" w14:textId="529ADBA7" w:rsidR="007A198B" w:rsidRPr="00462C15" w:rsidRDefault="007A198B" w:rsidP="007A198B">
      <w:pPr>
        <w:contextualSpacing/>
        <w:rPr>
          <w:rFonts w:ascii="Book Antiqua" w:hAnsi="Book Antiqua"/>
          <w:sz w:val="24"/>
          <w:szCs w:val="24"/>
        </w:rPr>
      </w:pPr>
      <w:r w:rsidRPr="007A198B">
        <w:rPr>
          <w:rFonts w:ascii="Book Antiqua" w:hAnsi="Book Antiqua"/>
          <w:sz w:val="24"/>
          <w:szCs w:val="24"/>
        </w:rPr>
        <w:br/>
        <w:t>Mesdames et Messieurs les experts du Comité contre la torture,</w:t>
      </w:r>
    </w:p>
    <w:p w14:paraId="19E96A6A" w14:textId="77777777" w:rsidR="007A198B" w:rsidRPr="007A198B" w:rsidRDefault="007A198B" w:rsidP="007A198B">
      <w:pPr>
        <w:contextualSpacing/>
        <w:rPr>
          <w:rFonts w:ascii="Book Antiqua" w:hAnsi="Book Antiqua"/>
          <w:sz w:val="24"/>
          <w:szCs w:val="24"/>
        </w:rPr>
      </w:pPr>
    </w:p>
    <w:p w14:paraId="42A6664B" w14:textId="0E97A74A" w:rsidR="007A198B" w:rsidRDefault="007A198B" w:rsidP="007A198B">
      <w:pPr>
        <w:contextualSpacing/>
        <w:rPr>
          <w:rFonts w:ascii="Book Antiqua" w:hAnsi="Book Antiqua"/>
          <w:sz w:val="24"/>
          <w:szCs w:val="24"/>
        </w:rPr>
      </w:pPr>
      <w:r w:rsidRPr="007A198B">
        <w:rPr>
          <w:rFonts w:ascii="Book Antiqua" w:hAnsi="Book Antiqua"/>
          <w:sz w:val="24"/>
          <w:szCs w:val="24"/>
        </w:rPr>
        <w:t xml:space="preserve">La dignité humaine est une valeur absolue que la Principauté de Monaco s’engage à protéger avec détermination. Aujourd’hui, en présentant son septième rapport, Monaco réaffirme sa volonté d’améliorer sans cesse ses dispositifs de prévention et de protection contre la torture et les traitements inhumains. À cette occasion, </w:t>
      </w:r>
      <w:r w:rsidR="00CB5DE5">
        <w:rPr>
          <w:rFonts w:ascii="Book Antiqua" w:hAnsi="Book Antiqua"/>
          <w:sz w:val="24"/>
          <w:szCs w:val="24"/>
        </w:rPr>
        <w:t>je tiens à exprimer la</w:t>
      </w:r>
      <w:r w:rsidRPr="007A198B">
        <w:rPr>
          <w:rFonts w:ascii="Book Antiqua" w:hAnsi="Book Antiqua"/>
          <w:sz w:val="24"/>
          <w:szCs w:val="24"/>
        </w:rPr>
        <w:t xml:space="preserve"> reconnaissance</w:t>
      </w:r>
      <w:r w:rsidR="00CB5DE5">
        <w:rPr>
          <w:rFonts w:ascii="Book Antiqua" w:hAnsi="Book Antiqua"/>
          <w:sz w:val="24"/>
          <w:szCs w:val="24"/>
        </w:rPr>
        <w:t xml:space="preserve"> de la Principauté</w:t>
      </w:r>
      <w:r w:rsidRPr="007A198B">
        <w:rPr>
          <w:rFonts w:ascii="Book Antiqua" w:hAnsi="Book Antiqua"/>
          <w:sz w:val="24"/>
          <w:szCs w:val="24"/>
        </w:rPr>
        <w:t xml:space="preserve"> pour le rôle fondamental que joue le Comité contre la torture dans la protection des droits humains et la lutte contre les traitements inhumains et dégradants.</w:t>
      </w:r>
    </w:p>
    <w:p w14:paraId="76B9F360" w14:textId="77777777" w:rsidR="007A198B" w:rsidRPr="007A198B" w:rsidRDefault="007A198B" w:rsidP="007A198B">
      <w:pPr>
        <w:contextualSpacing/>
        <w:rPr>
          <w:rFonts w:ascii="Book Antiqua" w:hAnsi="Book Antiqua"/>
          <w:sz w:val="24"/>
          <w:szCs w:val="24"/>
        </w:rPr>
      </w:pPr>
    </w:p>
    <w:p w14:paraId="04AF1222" w14:textId="3E898695" w:rsidR="007A198B" w:rsidRDefault="007A198B" w:rsidP="007A198B">
      <w:pPr>
        <w:contextualSpacing/>
        <w:rPr>
          <w:rFonts w:ascii="Book Antiqua" w:hAnsi="Book Antiqua"/>
          <w:sz w:val="24"/>
          <w:szCs w:val="24"/>
        </w:rPr>
      </w:pPr>
      <w:r w:rsidRPr="007A198B">
        <w:rPr>
          <w:rFonts w:ascii="Book Antiqua" w:hAnsi="Book Antiqua"/>
          <w:sz w:val="24"/>
          <w:szCs w:val="24"/>
        </w:rPr>
        <w:t xml:space="preserve">Depuis la présentation de son premier rapport devant ce Comité en 1994, </w:t>
      </w:r>
      <w:r w:rsidR="00CB5DE5">
        <w:rPr>
          <w:rFonts w:ascii="Book Antiqua" w:hAnsi="Book Antiqua"/>
          <w:sz w:val="24"/>
          <w:szCs w:val="24"/>
        </w:rPr>
        <w:t xml:space="preserve">Monaco </w:t>
      </w:r>
      <w:r w:rsidRPr="007A198B">
        <w:rPr>
          <w:rFonts w:ascii="Book Antiqua" w:hAnsi="Book Antiqua"/>
          <w:sz w:val="24"/>
          <w:szCs w:val="24"/>
        </w:rPr>
        <w:t>a poursuivi ses efforts pour renforcer son cadre juridique et institutionnel. Ce travail constant a permis des avancées significatives, tant sur le plan législatif que par la mise en place de mesures concrètes visant à garantir une protection toujours plus efficace contre toute forme de violence. La délégation monégasque</w:t>
      </w:r>
      <w:r w:rsidR="00E73E06">
        <w:rPr>
          <w:rFonts w:ascii="Book Antiqua" w:hAnsi="Book Antiqua"/>
          <w:sz w:val="24"/>
          <w:szCs w:val="24"/>
        </w:rPr>
        <w:t xml:space="preserve"> </w:t>
      </w:r>
      <w:r w:rsidRPr="007A198B">
        <w:rPr>
          <w:rFonts w:ascii="Book Antiqua" w:hAnsi="Book Antiqua"/>
          <w:sz w:val="24"/>
          <w:szCs w:val="24"/>
        </w:rPr>
        <w:t>se réjouit de présenter ces évolutions et d’engager un dialogue constructif avec le Comité afin d’examiner les recommandations qui pourraient encore renforcer cet engagement.</w:t>
      </w:r>
    </w:p>
    <w:p w14:paraId="3CFCCC9C" w14:textId="49424547" w:rsidR="00E73E06" w:rsidRDefault="00E73E06" w:rsidP="007A198B">
      <w:pPr>
        <w:contextualSpacing/>
        <w:rPr>
          <w:rFonts w:ascii="Book Antiqua" w:hAnsi="Book Antiqua"/>
          <w:sz w:val="24"/>
          <w:szCs w:val="24"/>
        </w:rPr>
      </w:pPr>
    </w:p>
    <w:p w14:paraId="7AEA6117" w14:textId="0511C1D0" w:rsidR="00326ACD" w:rsidRDefault="00E73E06" w:rsidP="007A198B">
      <w:pPr>
        <w:contextualSpacing/>
        <w:rPr>
          <w:rFonts w:ascii="Book Antiqua" w:hAnsi="Book Antiqua"/>
          <w:sz w:val="24"/>
          <w:szCs w:val="24"/>
        </w:rPr>
      </w:pPr>
      <w:r w:rsidRPr="00E73E06">
        <w:rPr>
          <w:rFonts w:ascii="Book Antiqua" w:hAnsi="Book Antiqua"/>
          <w:sz w:val="24"/>
          <w:szCs w:val="24"/>
        </w:rPr>
        <w:t xml:space="preserve">La délégation monégasque devant </w:t>
      </w:r>
      <w:r w:rsidR="0059581A">
        <w:rPr>
          <w:rFonts w:ascii="Book Antiqua" w:hAnsi="Book Antiqua"/>
          <w:sz w:val="24"/>
          <w:szCs w:val="24"/>
        </w:rPr>
        <w:t>c</w:t>
      </w:r>
      <w:r w:rsidRPr="00E73E06">
        <w:rPr>
          <w:rFonts w:ascii="Book Antiqua" w:hAnsi="Book Antiqua"/>
          <w:sz w:val="24"/>
          <w:szCs w:val="24"/>
        </w:rPr>
        <w:t>e Comité se compose de :</w:t>
      </w:r>
    </w:p>
    <w:p w14:paraId="116F5989" w14:textId="77777777" w:rsidR="00326ACD" w:rsidRDefault="00326ACD" w:rsidP="007A198B">
      <w:pPr>
        <w:contextualSpacing/>
        <w:rPr>
          <w:rFonts w:ascii="Book Antiqua" w:hAnsi="Book Antiqua"/>
          <w:sz w:val="24"/>
          <w:szCs w:val="24"/>
        </w:rPr>
      </w:pPr>
    </w:p>
    <w:p w14:paraId="641A4183" w14:textId="38BBF569" w:rsidR="00326ACD" w:rsidRDefault="00E73E06" w:rsidP="00326ACD">
      <w:pPr>
        <w:pStyle w:val="Paragraphedeliste"/>
        <w:numPr>
          <w:ilvl w:val="0"/>
          <w:numId w:val="2"/>
        </w:numPr>
        <w:ind w:left="284" w:hanging="284"/>
        <w:rPr>
          <w:rFonts w:ascii="Book Antiqua" w:hAnsi="Book Antiqua"/>
          <w:sz w:val="24"/>
          <w:szCs w:val="24"/>
        </w:rPr>
      </w:pPr>
      <w:r w:rsidRPr="00326ACD">
        <w:rPr>
          <w:rFonts w:ascii="Book Antiqua" w:hAnsi="Book Antiqua"/>
          <w:sz w:val="24"/>
          <w:szCs w:val="24"/>
        </w:rPr>
        <w:t xml:space="preserve">M. Samuel VUELTA SIMON, Secrétaire d’État à la Justice, Directeur des Services Judiciaires, Chef de délégation, </w:t>
      </w:r>
    </w:p>
    <w:p w14:paraId="1DC789A1" w14:textId="77777777" w:rsidR="00326ACD" w:rsidRDefault="00E73E06" w:rsidP="00326ACD">
      <w:pPr>
        <w:pStyle w:val="Paragraphedeliste"/>
        <w:numPr>
          <w:ilvl w:val="0"/>
          <w:numId w:val="2"/>
        </w:numPr>
        <w:ind w:left="284" w:hanging="284"/>
        <w:rPr>
          <w:rFonts w:ascii="Book Antiqua" w:hAnsi="Book Antiqua"/>
          <w:sz w:val="24"/>
          <w:szCs w:val="24"/>
        </w:rPr>
      </w:pPr>
      <w:r w:rsidRPr="00326ACD">
        <w:rPr>
          <w:rFonts w:ascii="Book Antiqua" w:hAnsi="Book Antiqua"/>
          <w:sz w:val="24"/>
          <w:szCs w:val="24"/>
        </w:rPr>
        <w:t>S.E Mme Carole LANTERI, Ambassadeur, Représentant Permanent de la Principauté de Monaco auprès de l’Office des Nations Unies à Genève,</w:t>
      </w:r>
    </w:p>
    <w:p w14:paraId="442A0660" w14:textId="77777777" w:rsidR="00326ACD" w:rsidRDefault="00E73E06" w:rsidP="00326ACD">
      <w:pPr>
        <w:pStyle w:val="Paragraphedeliste"/>
        <w:numPr>
          <w:ilvl w:val="0"/>
          <w:numId w:val="2"/>
        </w:numPr>
        <w:ind w:left="284" w:hanging="284"/>
        <w:rPr>
          <w:rFonts w:ascii="Book Antiqua" w:hAnsi="Book Antiqua"/>
          <w:sz w:val="24"/>
          <w:szCs w:val="24"/>
        </w:rPr>
      </w:pPr>
      <w:r w:rsidRPr="00326ACD">
        <w:rPr>
          <w:rFonts w:ascii="Book Antiqua" w:hAnsi="Book Antiqua"/>
          <w:sz w:val="24"/>
          <w:szCs w:val="24"/>
        </w:rPr>
        <w:t xml:space="preserve">M. Gilles REALINI, Conseiller, Représentant Permanent Adjoint, Mission Permanente de la Principauté de Monaco auprès de l’Office des Nations Unies à Genève, </w:t>
      </w:r>
    </w:p>
    <w:p w14:paraId="10405A86" w14:textId="77777777" w:rsidR="00326ACD" w:rsidRDefault="00E73E06" w:rsidP="00326ACD">
      <w:pPr>
        <w:pStyle w:val="Paragraphedeliste"/>
        <w:numPr>
          <w:ilvl w:val="0"/>
          <w:numId w:val="2"/>
        </w:numPr>
        <w:ind w:left="284" w:hanging="284"/>
        <w:rPr>
          <w:rFonts w:ascii="Book Antiqua" w:hAnsi="Book Antiqua"/>
          <w:sz w:val="24"/>
          <w:szCs w:val="24"/>
        </w:rPr>
      </w:pPr>
      <w:r w:rsidRPr="00326ACD">
        <w:rPr>
          <w:rFonts w:ascii="Book Antiqua" w:hAnsi="Book Antiqua"/>
          <w:sz w:val="24"/>
          <w:szCs w:val="24"/>
        </w:rPr>
        <w:t>M. Rémy LE JUSTE, Commissaire divisionnaire, Direction de la sûreté publique</w:t>
      </w:r>
    </w:p>
    <w:p w14:paraId="49B76371" w14:textId="77777777" w:rsidR="00326ACD" w:rsidRDefault="00E73E06" w:rsidP="00326ACD">
      <w:pPr>
        <w:pStyle w:val="Paragraphedeliste"/>
        <w:numPr>
          <w:ilvl w:val="0"/>
          <w:numId w:val="2"/>
        </w:numPr>
        <w:ind w:left="284" w:hanging="284"/>
        <w:rPr>
          <w:rFonts w:ascii="Book Antiqua" w:hAnsi="Book Antiqua"/>
          <w:sz w:val="24"/>
          <w:szCs w:val="24"/>
        </w:rPr>
      </w:pPr>
      <w:r w:rsidRPr="00326ACD">
        <w:rPr>
          <w:rFonts w:ascii="Book Antiqua" w:hAnsi="Book Antiqua"/>
          <w:sz w:val="24"/>
          <w:szCs w:val="24"/>
        </w:rPr>
        <w:t xml:space="preserve">M. Florian BOTTO, Conseiller Département des Relations Extérieures et de la Coopération, </w:t>
      </w:r>
    </w:p>
    <w:p w14:paraId="258C402D" w14:textId="77777777" w:rsidR="00326ACD" w:rsidRDefault="00E73E06" w:rsidP="00326ACD">
      <w:pPr>
        <w:pStyle w:val="Paragraphedeliste"/>
        <w:numPr>
          <w:ilvl w:val="0"/>
          <w:numId w:val="2"/>
        </w:numPr>
        <w:ind w:left="284" w:hanging="284"/>
        <w:rPr>
          <w:rFonts w:ascii="Book Antiqua" w:hAnsi="Book Antiqua"/>
          <w:sz w:val="24"/>
          <w:szCs w:val="24"/>
        </w:rPr>
      </w:pPr>
      <w:r w:rsidRPr="00326ACD">
        <w:rPr>
          <w:rFonts w:ascii="Book Antiqua" w:hAnsi="Book Antiqua"/>
          <w:sz w:val="24"/>
          <w:szCs w:val="24"/>
        </w:rPr>
        <w:t>M. Xavier RAUSCHER, Chef de Division, Service du Droit International, des Droits de l’Homme et des Libertés Fondamentales, Direction des Affaires Juridiques,</w:t>
      </w:r>
    </w:p>
    <w:p w14:paraId="7A2E71A3" w14:textId="77777777" w:rsidR="00326ACD" w:rsidRDefault="00E73E06" w:rsidP="00326ACD">
      <w:pPr>
        <w:pStyle w:val="Paragraphedeliste"/>
        <w:numPr>
          <w:ilvl w:val="0"/>
          <w:numId w:val="2"/>
        </w:numPr>
        <w:ind w:left="284" w:hanging="284"/>
        <w:rPr>
          <w:rFonts w:ascii="Book Antiqua" w:hAnsi="Book Antiqua"/>
          <w:sz w:val="24"/>
          <w:szCs w:val="24"/>
        </w:rPr>
      </w:pPr>
      <w:r w:rsidRPr="00326ACD">
        <w:rPr>
          <w:rFonts w:ascii="Book Antiqua" w:hAnsi="Book Antiqua"/>
          <w:sz w:val="24"/>
          <w:szCs w:val="24"/>
        </w:rPr>
        <w:t>M. Samy DOUIDER, Chef de section, Direction des Services Judiciaires,</w:t>
      </w:r>
    </w:p>
    <w:p w14:paraId="04BA1E17" w14:textId="77777777" w:rsidR="00326ACD" w:rsidRDefault="00E73E06" w:rsidP="00326ACD">
      <w:pPr>
        <w:pStyle w:val="Paragraphedeliste"/>
        <w:numPr>
          <w:ilvl w:val="0"/>
          <w:numId w:val="2"/>
        </w:numPr>
        <w:ind w:left="284" w:hanging="284"/>
        <w:rPr>
          <w:rFonts w:ascii="Book Antiqua" w:hAnsi="Book Antiqua"/>
          <w:sz w:val="24"/>
          <w:szCs w:val="24"/>
        </w:rPr>
      </w:pPr>
      <w:r w:rsidRPr="00326ACD">
        <w:rPr>
          <w:rFonts w:ascii="Book Antiqua" w:hAnsi="Book Antiqua"/>
          <w:sz w:val="24"/>
          <w:szCs w:val="24"/>
        </w:rPr>
        <w:t>Mme Clara BERARD, Chef de section, Direction des Services Judiciaires,</w:t>
      </w:r>
    </w:p>
    <w:p w14:paraId="0E688F03" w14:textId="359DE07E" w:rsidR="00E73E06" w:rsidRPr="00326ACD" w:rsidRDefault="00E73E06" w:rsidP="00326ACD">
      <w:pPr>
        <w:pStyle w:val="Paragraphedeliste"/>
        <w:numPr>
          <w:ilvl w:val="0"/>
          <w:numId w:val="2"/>
        </w:numPr>
        <w:ind w:left="284" w:hanging="284"/>
        <w:rPr>
          <w:rFonts w:ascii="Book Antiqua" w:hAnsi="Book Antiqua"/>
          <w:sz w:val="24"/>
          <w:szCs w:val="24"/>
        </w:rPr>
      </w:pPr>
      <w:r w:rsidRPr="00326ACD">
        <w:rPr>
          <w:rFonts w:ascii="Book Antiqua" w:hAnsi="Book Antiqua"/>
          <w:sz w:val="24"/>
          <w:szCs w:val="24"/>
        </w:rPr>
        <w:t>Mme Mathilde PASTA, 3ème Secrétaire Mission Permanente de la Principauté de Monaco auprès de l’Office des Nations Unies à Genève.</w:t>
      </w:r>
    </w:p>
    <w:p w14:paraId="524C70BD" w14:textId="77777777" w:rsidR="007A198B" w:rsidRPr="007A198B" w:rsidRDefault="007A198B" w:rsidP="007A198B">
      <w:pPr>
        <w:contextualSpacing/>
        <w:rPr>
          <w:rFonts w:ascii="Book Antiqua" w:hAnsi="Book Antiqua"/>
          <w:sz w:val="24"/>
          <w:szCs w:val="24"/>
        </w:rPr>
      </w:pPr>
    </w:p>
    <w:p w14:paraId="4B574F62" w14:textId="598DE2B8" w:rsidR="007A198B" w:rsidRDefault="007A198B" w:rsidP="007A198B">
      <w:pPr>
        <w:contextualSpacing/>
        <w:rPr>
          <w:rFonts w:ascii="Book Antiqua" w:hAnsi="Book Antiqua"/>
          <w:sz w:val="24"/>
          <w:szCs w:val="24"/>
        </w:rPr>
      </w:pPr>
      <w:r w:rsidRPr="007A198B">
        <w:rPr>
          <w:rFonts w:ascii="Book Antiqua" w:hAnsi="Book Antiqua"/>
          <w:sz w:val="24"/>
          <w:szCs w:val="24"/>
        </w:rPr>
        <w:t xml:space="preserve">La Principauté de Monaco a toujours placé la protection des droits fondamentaux au cœur de son action. Elle veille à garantir un cadre juridique en parfaite adéquation avec ses engagements internationaux et à adapter régulièrement ses textes afin de mieux répondre aux exigences de la lutte contre la torture et les traitements inhumains. </w:t>
      </w:r>
      <w:r w:rsidRPr="007A198B">
        <w:rPr>
          <w:rFonts w:ascii="Book Antiqua" w:hAnsi="Book Antiqua"/>
          <w:sz w:val="24"/>
          <w:szCs w:val="24"/>
        </w:rPr>
        <w:lastRenderedPageBreak/>
        <w:t>À cet égard, la Constitution monégasque garantit explicitement le respect de la dignité humaine et prohibe tout traitement cruel, inhumain ou dégradant. Cette interdiction absolue est renforcée par plusieurs dispositions du Code pénal et du Code de procédure pénale, qui permettent de sanctionner sévèrement tout acte s’apparentant à de la torture ou à des traitements inhumains.</w:t>
      </w:r>
    </w:p>
    <w:p w14:paraId="333F8170" w14:textId="77777777" w:rsidR="007A198B" w:rsidRPr="007A198B" w:rsidRDefault="007A198B" w:rsidP="007A198B">
      <w:pPr>
        <w:contextualSpacing/>
        <w:rPr>
          <w:rFonts w:ascii="Book Antiqua" w:hAnsi="Book Antiqua"/>
          <w:sz w:val="24"/>
          <w:szCs w:val="24"/>
        </w:rPr>
      </w:pPr>
    </w:p>
    <w:p w14:paraId="6F8D42CF" w14:textId="6DB073F1" w:rsidR="007A198B" w:rsidRDefault="007A198B" w:rsidP="007A198B">
      <w:pPr>
        <w:contextualSpacing/>
        <w:rPr>
          <w:rFonts w:ascii="Book Antiqua" w:hAnsi="Book Antiqua"/>
          <w:sz w:val="24"/>
          <w:szCs w:val="24"/>
        </w:rPr>
      </w:pPr>
      <w:r w:rsidRPr="007A198B">
        <w:rPr>
          <w:rFonts w:ascii="Book Antiqua" w:hAnsi="Book Antiqua"/>
          <w:sz w:val="24"/>
          <w:szCs w:val="24"/>
        </w:rPr>
        <w:t>Consciente de la nécessité de disposer d’un cadre législatif précis et conforme aux standards internationaux, la Principauté a engagé une réflexion approfondie pour intégrer dans son droit interne une définition de la torture pleinement conforme à l’article premier de la Convention. Une proposition législative en cours de</w:t>
      </w:r>
      <w:r w:rsidR="00AF6B2E">
        <w:rPr>
          <w:rFonts w:ascii="Book Antiqua" w:hAnsi="Book Antiqua"/>
          <w:sz w:val="24"/>
          <w:szCs w:val="24"/>
        </w:rPr>
        <w:t xml:space="preserve"> préparation</w:t>
      </w:r>
      <w:r w:rsidRPr="007A198B">
        <w:rPr>
          <w:rFonts w:ascii="Book Antiqua" w:hAnsi="Book Antiqua"/>
          <w:sz w:val="24"/>
          <w:szCs w:val="24"/>
        </w:rPr>
        <w:t xml:space="preserve"> prévoit plusieurs avancées majeures, notamment l’imprescriptibilité du crime de torture, l’inopposabilité de tout ordre hiérarchique invoqué pour le justifier et la nullité absolue des preuves obtenues sous la contrainte. Ces mesures viendront compléter un arsenal juridique déjà strict, qui sanctionne sévèrement les actes de violence, en particulier lorsqu’ils sont commis par un agent public.</w:t>
      </w:r>
    </w:p>
    <w:p w14:paraId="39748AEE" w14:textId="77777777" w:rsidR="007A198B" w:rsidRPr="007A198B" w:rsidRDefault="007A198B" w:rsidP="007A198B">
      <w:pPr>
        <w:contextualSpacing/>
        <w:rPr>
          <w:rFonts w:ascii="Book Antiqua" w:hAnsi="Book Antiqua"/>
          <w:sz w:val="24"/>
          <w:szCs w:val="24"/>
        </w:rPr>
      </w:pPr>
    </w:p>
    <w:p w14:paraId="1948E1BC" w14:textId="2082EF2A" w:rsidR="007A198B" w:rsidRDefault="007A198B" w:rsidP="007A198B">
      <w:pPr>
        <w:contextualSpacing/>
        <w:rPr>
          <w:rFonts w:ascii="Book Antiqua" w:hAnsi="Book Antiqua"/>
          <w:sz w:val="24"/>
          <w:szCs w:val="24"/>
        </w:rPr>
      </w:pPr>
      <w:r w:rsidRPr="007A198B">
        <w:rPr>
          <w:rFonts w:ascii="Book Antiqua" w:hAnsi="Book Antiqua"/>
          <w:sz w:val="24"/>
          <w:szCs w:val="24"/>
        </w:rPr>
        <w:t xml:space="preserve">Au-delà du renforcement des sanctions pénales, Monaco attache une importance particulière à l’accompagnement et à la réparation des victimes. Dans cette optique, la Principauté a adopté en 2023 un dispositif inédit d’indemnisation des victimes d’infractions graves, incluant les violences domestiques et les </w:t>
      </w:r>
      <w:r w:rsidR="008703B1">
        <w:rPr>
          <w:rFonts w:ascii="Book Antiqua" w:hAnsi="Book Antiqua"/>
          <w:sz w:val="24"/>
          <w:szCs w:val="24"/>
        </w:rPr>
        <w:t>délits et crimes</w:t>
      </w:r>
      <w:r w:rsidRPr="007A198B">
        <w:rPr>
          <w:rFonts w:ascii="Book Antiqua" w:hAnsi="Book Antiqua"/>
          <w:sz w:val="24"/>
          <w:szCs w:val="24"/>
        </w:rPr>
        <w:t xml:space="preserve"> contre les </w:t>
      </w:r>
      <w:r w:rsidR="008703B1">
        <w:rPr>
          <w:rFonts w:ascii="Book Antiqua" w:hAnsi="Book Antiqua"/>
          <w:sz w:val="24"/>
          <w:szCs w:val="24"/>
        </w:rPr>
        <w:t>mineur</w:t>
      </w:r>
      <w:r w:rsidRPr="007A198B">
        <w:rPr>
          <w:rFonts w:ascii="Book Antiqua" w:hAnsi="Book Antiqua"/>
          <w:sz w:val="24"/>
          <w:szCs w:val="24"/>
        </w:rPr>
        <w:t xml:space="preserve">s. Ce système garantit désormais une indemnisation rapide et effective aux victimes lorsque les auteurs sont insolvables. Afin d’assurer un accès effectif à ce droit, les juridictions ont l’obligation d’informer les victimes de cette possibilité, simplifiant ainsi leurs démarches et renforçant leur accès à la </w:t>
      </w:r>
      <w:r w:rsidR="008703B1">
        <w:rPr>
          <w:rFonts w:ascii="Book Antiqua" w:hAnsi="Book Antiqua"/>
          <w:sz w:val="24"/>
          <w:szCs w:val="24"/>
        </w:rPr>
        <w:t>J</w:t>
      </w:r>
      <w:r w:rsidRPr="007A198B">
        <w:rPr>
          <w:rFonts w:ascii="Book Antiqua" w:hAnsi="Book Antiqua"/>
          <w:sz w:val="24"/>
          <w:szCs w:val="24"/>
        </w:rPr>
        <w:t>ustice.</w:t>
      </w:r>
    </w:p>
    <w:p w14:paraId="4BC6C8BD" w14:textId="77777777" w:rsidR="007A198B" w:rsidRPr="007A198B" w:rsidRDefault="007A198B" w:rsidP="007A198B">
      <w:pPr>
        <w:contextualSpacing/>
        <w:rPr>
          <w:rFonts w:ascii="Book Antiqua" w:hAnsi="Book Antiqua"/>
          <w:sz w:val="24"/>
          <w:szCs w:val="24"/>
        </w:rPr>
      </w:pPr>
    </w:p>
    <w:p w14:paraId="1C089761" w14:textId="240FDD91" w:rsidR="007A198B" w:rsidRDefault="007A198B" w:rsidP="007A198B">
      <w:pPr>
        <w:contextualSpacing/>
        <w:rPr>
          <w:rFonts w:ascii="Book Antiqua" w:hAnsi="Book Antiqua"/>
          <w:sz w:val="24"/>
          <w:szCs w:val="24"/>
        </w:rPr>
      </w:pPr>
      <w:r w:rsidRPr="007A198B">
        <w:rPr>
          <w:rFonts w:ascii="Book Antiqua" w:hAnsi="Book Antiqua"/>
          <w:sz w:val="24"/>
          <w:szCs w:val="24"/>
        </w:rPr>
        <w:t>La situation des personnes privées de liberté constitue également une priorité pour la Principauté. Monaco ne disposant que d’un seul établissement pénitentiaire, la Maison d’Arrêt, un contrôle judiciaire permanent est assuré afin de garantir des conditions de détention respectueuses des droits fondamentaux. Ces dernières années, des améliorations significatives ont été apportées afin d’offrir un cadre de vie plus adapté aux détenus. La rénovation des cellules a permis d’apporter davantage de lumière naturelle, tandis qu’une nouvelle cour de promenade et une salle d’activités équipées de matériel sportif et ludique ont été mises en place. Dans un souci de respect de la dignité des personnes détenues, un scanner corporel a récemment été introduit afin de limiter le recours aux fouilles à corps, garantissant ainsi un meilleur équilibre entre les impératifs de sécurité et le respect des droits fondamentaux.</w:t>
      </w:r>
    </w:p>
    <w:p w14:paraId="0FB3D487" w14:textId="77777777" w:rsidR="007A198B" w:rsidRPr="007A198B" w:rsidRDefault="007A198B" w:rsidP="007A198B">
      <w:pPr>
        <w:contextualSpacing/>
        <w:rPr>
          <w:rFonts w:ascii="Book Antiqua" w:hAnsi="Book Antiqua"/>
          <w:sz w:val="24"/>
          <w:szCs w:val="24"/>
        </w:rPr>
      </w:pPr>
    </w:p>
    <w:p w14:paraId="10A432EB" w14:textId="6E75785E" w:rsidR="007A198B" w:rsidRDefault="007A198B" w:rsidP="007A198B">
      <w:pPr>
        <w:contextualSpacing/>
        <w:rPr>
          <w:rFonts w:ascii="Book Antiqua" w:hAnsi="Book Antiqua"/>
          <w:sz w:val="24"/>
          <w:szCs w:val="24"/>
        </w:rPr>
      </w:pPr>
      <w:r w:rsidRPr="007A198B">
        <w:rPr>
          <w:rFonts w:ascii="Book Antiqua" w:hAnsi="Book Antiqua"/>
          <w:sz w:val="24"/>
          <w:szCs w:val="24"/>
        </w:rPr>
        <w:t>L’attention portée aux conditions de détention s’accompagne d’un renforcement des droits des détenus. Le régime des visites a été significativement amélioré, permettant aux personnes incarcérées de bénéficier de trois doubles parloirs de quatre-vingt-dix minutes par semaine, en plus de deux parloirs quotidiens de quarante-cinq minutes. De plus, les détenus disposent désormais d’un accès quotidien à la salle de musculation par groupe de trois, pour une durée d’une heure, en complément des activités collectives déjà existantes, telles que les promenades et le temps de gymnase.</w:t>
      </w:r>
    </w:p>
    <w:p w14:paraId="2B97B16D" w14:textId="77777777" w:rsidR="00462C15" w:rsidRPr="007A198B" w:rsidRDefault="00462C15" w:rsidP="007A198B">
      <w:pPr>
        <w:contextualSpacing/>
        <w:rPr>
          <w:rFonts w:ascii="Book Antiqua" w:hAnsi="Book Antiqua"/>
          <w:sz w:val="24"/>
          <w:szCs w:val="24"/>
        </w:rPr>
      </w:pPr>
    </w:p>
    <w:p w14:paraId="06420A36" w14:textId="00ECF226" w:rsidR="007A198B" w:rsidRDefault="007A198B" w:rsidP="007A198B">
      <w:pPr>
        <w:contextualSpacing/>
        <w:rPr>
          <w:rFonts w:ascii="Book Antiqua" w:hAnsi="Book Antiqua"/>
          <w:sz w:val="24"/>
          <w:szCs w:val="24"/>
        </w:rPr>
      </w:pPr>
      <w:r w:rsidRPr="007A198B">
        <w:rPr>
          <w:rFonts w:ascii="Book Antiqua" w:hAnsi="Book Antiqua"/>
          <w:sz w:val="24"/>
          <w:szCs w:val="24"/>
        </w:rPr>
        <w:lastRenderedPageBreak/>
        <w:t>La protection des personnes vulnérables, et en particulier des mineurs, est au centre des préoccupations de la Principauté. Conformément aux principes internationaux en matière de justice des mineurs, Monaco applique le principe selon lequel l’incarcération des mineurs doit rester une mesure d’exception. Afin de favoriser des alternatives adaptées, des réformes récentes ont renforcé les dispositifs permettant, lorsqu’une procédure est engagée et que l’intérêt du mineur l’exige, de prononcer un non-lieu en faveur de mesures éducatives adaptées, telles que l’accomplissement d’un stage d’éducation ou une activité au sein d’une structure sociale. Cette approche permet d’assurer une justice plus équilibrée, soucieuse de la réinsertion et du bien-être des jeunes en conflit avec la loi.</w:t>
      </w:r>
    </w:p>
    <w:p w14:paraId="1D124AA3" w14:textId="77777777" w:rsidR="007A198B" w:rsidRPr="007A198B" w:rsidRDefault="007A198B" w:rsidP="007A198B">
      <w:pPr>
        <w:contextualSpacing/>
        <w:rPr>
          <w:rFonts w:ascii="Book Antiqua" w:hAnsi="Book Antiqua"/>
          <w:sz w:val="24"/>
          <w:szCs w:val="24"/>
        </w:rPr>
      </w:pPr>
    </w:p>
    <w:p w14:paraId="2E8E6CDF" w14:textId="61C616D9" w:rsidR="007A198B" w:rsidRDefault="007A198B" w:rsidP="007A198B">
      <w:pPr>
        <w:contextualSpacing/>
        <w:rPr>
          <w:rFonts w:ascii="Book Antiqua" w:hAnsi="Book Antiqua"/>
          <w:sz w:val="24"/>
          <w:szCs w:val="24"/>
        </w:rPr>
      </w:pPr>
      <w:r w:rsidRPr="007A198B">
        <w:rPr>
          <w:rFonts w:ascii="Book Antiqua" w:hAnsi="Book Antiqua"/>
          <w:sz w:val="24"/>
          <w:szCs w:val="24"/>
        </w:rPr>
        <w:t>La prévention des mauvais traitements ne peut être pleinement efficace sans un encadrement rigoureux des procédures judiciaires. C’est pourquoi Monaco a renforcé les garanties applicables en matière de garde à vue. Toute personne placée en garde à vue bénéficie du droit immédiat à l’information et à l’assistance d’un avocat, d’un contrôle judiciaire permanent et de l’enregistrement audiovisuel des interrogatoires, garantissant ainsi la transparence des procédures. Depuis la réforme de 2022, le droit à l’assistance d’un avocat a été renforcé en cas de prolongation de la garde à vue, offrant ainsi une protection supplémentaire aux personnes concernées.</w:t>
      </w:r>
    </w:p>
    <w:p w14:paraId="07675AB0" w14:textId="77777777" w:rsidR="007A198B" w:rsidRPr="007A198B" w:rsidRDefault="007A198B" w:rsidP="007A198B">
      <w:pPr>
        <w:contextualSpacing/>
        <w:rPr>
          <w:rFonts w:ascii="Book Antiqua" w:hAnsi="Book Antiqua"/>
          <w:sz w:val="24"/>
          <w:szCs w:val="24"/>
        </w:rPr>
      </w:pPr>
    </w:p>
    <w:p w14:paraId="28F363C8" w14:textId="230ED79F" w:rsidR="007A198B" w:rsidRDefault="007A198B" w:rsidP="007A198B">
      <w:pPr>
        <w:contextualSpacing/>
        <w:rPr>
          <w:rFonts w:ascii="Book Antiqua" w:hAnsi="Book Antiqua"/>
          <w:sz w:val="24"/>
          <w:szCs w:val="24"/>
        </w:rPr>
      </w:pPr>
      <w:r w:rsidRPr="007A198B">
        <w:rPr>
          <w:rFonts w:ascii="Book Antiqua" w:hAnsi="Book Antiqua"/>
          <w:sz w:val="24"/>
          <w:szCs w:val="24"/>
        </w:rPr>
        <w:t>La prévention et la sensibilisation des acteurs judiciaires et des forces de l’ordre constituent également un axe fondamental de la politique monégasque en matière de droits humains. L’Institut Monégasque de Formation aux Professions Judiciaires, en collaboration avec l’École Nationale de la Magistrature française et d’autres institutions spécialisées, dispense des formations régulières sur les standards internationaux en matière de respect des droits fondamentaux. Les forces de sûreté publique sont ainsi régulièrement sensibilisées aux bonnes pratiques, notamment en ce qui concerne le traitement des personnes privées de liberté.</w:t>
      </w:r>
    </w:p>
    <w:p w14:paraId="5F8007F1" w14:textId="77777777" w:rsidR="007A198B" w:rsidRPr="007A198B" w:rsidRDefault="007A198B" w:rsidP="007A198B">
      <w:pPr>
        <w:contextualSpacing/>
        <w:rPr>
          <w:rFonts w:ascii="Book Antiqua" w:hAnsi="Book Antiqua"/>
          <w:sz w:val="24"/>
          <w:szCs w:val="24"/>
        </w:rPr>
      </w:pPr>
    </w:p>
    <w:p w14:paraId="1C47AF0C" w14:textId="757E5F10" w:rsidR="007A198B" w:rsidRDefault="007A198B" w:rsidP="007A198B">
      <w:pPr>
        <w:contextualSpacing/>
        <w:rPr>
          <w:rFonts w:ascii="Book Antiqua" w:hAnsi="Book Antiqua"/>
          <w:sz w:val="24"/>
          <w:szCs w:val="24"/>
        </w:rPr>
      </w:pPr>
      <w:r w:rsidRPr="007A198B">
        <w:rPr>
          <w:rFonts w:ascii="Book Antiqua" w:hAnsi="Book Antiqua"/>
          <w:sz w:val="24"/>
          <w:szCs w:val="24"/>
        </w:rPr>
        <w:t>Au-delà des garanties juridiques et des dispositifs de formation, Monaco veille à assurer un contrôle indépendant du respect des droits fondamentaux au sein de son système pénitentiaire. Le Haut-Commissariat à la protection des droits, des libertés et à la médiation joue un rôle clé dans ce dispositif en offrant aux détenus un accès direct pour signaler toute allégation de mauvais traitement. Depuis le dernier examen du Comité, un nouveau droit a été introduit, permettant aux détenus d’appeler directement le Haut-Commissariat une fois par jour, y compris lorsqu’ils sont placés en cellule disciplinaire.</w:t>
      </w:r>
    </w:p>
    <w:p w14:paraId="0C11D90F" w14:textId="77777777" w:rsidR="00462C15" w:rsidRPr="007A198B" w:rsidRDefault="00462C15" w:rsidP="007A198B">
      <w:pPr>
        <w:contextualSpacing/>
        <w:rPr>
          <w:rFonts w:ascii="Book Antiqua" w:hAnsi="Book Antiqua"/>
          <w:sz w:val="24"/>
          <w:szCs w:val="24"/>
        </w:rPr>
      </w:pPr>
    </w:p>
    <w:p w14:paraId="05132C77" w14:textId="4DBD8EE7" w:rsidR="007A198B" w:rsidRDefault="007A198B" w:rsidP="007A198B">
      <w:pPr>
        <w:contextualSpacing/>
        <w:rPr>
          <w:rFonts w:ascii="Book Antiqua" w:hAnsi="Book Antiqua"/>
          <w:sz w:val="24"/>
          <w:szCs w:val="24"/>
        </w:rPr>
      </w:pPr>
      <w:r w:rsidRPr="007A198B">
        <w:rPr>
          <w:rFonts w:ascii="Book Antiqua" w:hAnsi="Book Antiqua"/>
          <w:sz w:val="24"/>
          <w:szCs w:val="24"/>
        </w:rPr>
        <w:t>La Principauté de Monaco réaffirme son engagement total en faveur de la lutte contre la torture et les traitements inhumains ou dégradants. Si des marges de progression existent encore, les avancées législatives, judiciaires et institutionnelles mises en place ces dernières années ont permis de renforcer considérablement la prévention, le contrôle et la sanction des abus. La lutte contre la torture est un combat de chaque instant et Monaco poursuivra ses efforts avec détermination afin de garantir que le respect de la dignité humaine ne soit jamais compromis.</w:t>
      </w:r>
    </w:p>
    <w:p w14:paraId="7C201266" w14:textId="77777777" w:rsidR="007A198B" w:rsidRPr="007A198B" w:rsidRDefault="007A198B" w:rsidP="007A198B">
      <w:pPr>
        <w:contextualSpacing/>
        <w:rPr>
          <w:rFonts w:ascii="Book Antiqua" w:hAnsi="Book Antiqua"/>
          <w:sz w:val="24"/>
          <w:szCs w:val="24"/>
        </w:rPr>
      </w:pPr>
    </w:p>
    <w:p w14:paraId="4B9D812F" w14:textId="77777777" w:rsidR="007A198B" w:rsidRPr="007A198B" w:rsidRDefault="007A198B" w:rsidP="007A198B">
      <w:pPr>
        <w:contextualSpacing/>
        <w:rPr>
          <w:rFonts w:ascii="Book Antiqua" w:hAnsi="Book Antiqua"/>
          <w:sz w:val="24"/>
          <w:szCs w:val="24"/>
        </w:rPr>
      </w:pPr>
      <w:r w:rsidRPr="007A198B">
        <w:rPr>
          <w:rFonts w:ascii="Book Antiqua" w:hAnsi="Book Antiqua"/>
          <w:sz w:val="24"/>
          <w:szCs w:val="24"/>
        </w:rPr>
        <w:lastRenderedPageBreak/>
        <w:t>Je vous remercie.</w:t>
      </w:r>
    </w:p>
    <w:p w14:paraId="7A9A80CA" w14:textId="558D7445" w:rsidR="00F52E4A" w:rsidRPr="00907C02" w:rsidRDefault="00F52E4A">
      <w:pPr>
        <w:contextualSpacing/>
        <w:rPr>
          <w:rFonts w:ascii="Book Antiqua" w:hAnsi="Book Antiqua"/>
          <w:sz w:val="24"/>
          <w:szCs w:val="24"/>
        </w:rPr>
      </w:pPr>
    </w:p>
    <w:sectPr w:rsidR="00F52E4A" w:rsidRPr="00907C02">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9D9E7" w14:textId="77777777" w:rsidR="00581069" w:rsidRDefault="00581069" w:rsidP="00A0013A">
      <w:pPr>
        <w:spacing w:after="0"/>
      </w:pPr>
      <w:r>
        <w:separator/>
      </w:r>
    </w:p>
  </w:endnote>
  <w:endnote w:type="continuationSeparator" w:id="0">
    <w:p w14:paraId="21E8F22F" w14:textId="77777777" w:rsidR="00581069" w:rsidRDefault="00581069" w:rsidP="00A0013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8268452"/>
      <w:docPartObj>
        <w:docPartGallery w:val="Page Numbers (Bottom of Page)"/>
        <w:docPartUnique/>
      </w:docPartObj>
    </w:sdtPr>
    <w:sdtEndPr/>
    <w:sdtContent>
      <w:p w14:paraId="5C573BDB" w14:textId="32F2B53F" w:rsidR="00A0013A" w:rsidRDefault="00A0013A">
        <w:pPr>
          <w:pStyle w:val="Pieddepage"/>
          <w:jc w:val="center"/>
        </w:pPr>
        <w:r>
          <w:fldChar w:fldCharType="begin"/>
        </w:r>
        <w:r>
          <w:instrText>PAGE   \* MERGEFORMAT</w:instrText>
        </w:r>
        <w:r>
          <w:fldChar w:fldCharType="separate"/>
        </w:r>
        <w:r>
          <w:t>2</w:t>
        </w:r>
        <w:r>
          <w:fldChar w:fldCharType="end"/>
        </w:r>
      </w:p>
    </w:sdtContent>
  </w:sdt>
  <w:p w14:paraId="02935A4E" w14:textId="77777777" w:rsidR="00A0013A" w:rsidRDefault="00A0013A">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AB7EEA" w14:textId="77777777" w:rsidR="00581069" w:rsidRDefault="00581069" w:rsidP="00A0013A">
      <w:pPr>
        <w:spacing w:after="0"/>
      </w:pPr>
      <w:r>
        <w:separator/>
      </w:r>
    </w:p>
  </w:footnote>
  <w:footnote w:type="continuationSeparator" w:id="0">
    <w:p w14:paraId="0EE030C8" w14:textId="77777777" w:rsidR="00581069" w:rsidRDefault="00581069" w:rsidP="00A0013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1E566E"/>
    <w:multiLevelType w:val="hybridMultilevel"/>
    <w:tmpl w:val="8806DBBA"/>
    <w:lvl w:ilvl="0" w:tplc="3394453C">
      <w:numFmt w:val="bullet"/>
      <w:lvlText w:val="-"/>
      <w:lvlJc w:val="left"/>
      <w:pPr>
        <w:ind w:left="720" w:hanging="360"/>
      </w:pPr>
      <w:rPr>
        <w:rFonts w:ascii="Book Antiqua" w:eastAsiaTheme="minorHAnsi" w:hAnsi="Book Antiqu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7A8A42B7"/>
    <w:multiLevelType w:val="hybridMultilevel"/>
    <w:tmpl w:val="6A3AC0C2"/>
    <w:lvl w:ilvl="0" w:tplc="2D3EE89C">
      <w:numFmt w:val="bullet"/>
      <w:lvlText w:val="-"/>
      <w:lvlJc w:val="left"/>
      <w:pPr>
        <w:ind w:left="720" w:hanging="360"/>
      </w:pPr>
      <w:rPr>
        <w:rFonts w:ascii="Book Antiqua" w:eastAsiaTheme="minorHAnsi" w:hAnsi="Book Antiqu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258"/>
    <w:rsid w:val="00006F86"/>
    <w:rsid w:val="000C3DC3"/>
    <w:rsid w:val="00147068"/>
    <w:rsid w:val="001B5DD6"/>
    <w:rsid w:val="001F56F0"/>
    <w:rsid w:val="00270C1E"/>
    <w:rsid w:val="00326ACD"/>
    <w:rsid w:val="003476CD"/>
    <w:rsid w:val="003D7038"/>
    <w:rsid w:val="00417E0D"/>
    <w:rsid w:val="00462C15"/>
    <w:rsid w:val="00507433"/>
    <w:rsid w:val="00581069"/>
    <w:rsid w:val="0059581A"/>
    <w:rsid w:val="006C6258"/>
    <w:rsid w:val="007351AB"/>
    <w:rsid w:val="00744BAF"/>
    <w:rsid w:val="007770F0"/>
    <w:rsid w:val="007A198B"/>
    <w:rsid w:val="0081477D"/>
    <w:rsid w:val="008703B1"/>
    <w:rsid w:val="008766E2"/>
    <w:rsid w:val="008D129C"/>
    <w:rsid w:val="00907C02"/>
    <w:rsid w:val="009612BE"/>
    <w:rsid w:val="009D2131"/>
    <w:rsid w:val="009D3229"/>
    <w:rsid w:val="00A0013A"/>
    <w:rsid w:val="00A36380"/>
    <w:rsid w:val="00AF0603"/>
    <w:rsid w:val="00AF6B2E"/>
    <w:rsid w:val="00B03A26"/>
    <w:rsid w:val="00B04EBF"/>
    <w:rsid w:val="00B14C50"/>
    <w:rsid w:val="00B46784"/>
    <w:rsid w:val="00B5301E"/>
    <w:rsid w:val="00B818EE"/>
    <w:rsid w:val="00BC6390"/>
    <w:rsid w:val="00BE7707"/>
    <w:rsid w:val="00C0642A"/>
    <w:rsid w:val="00C20ACD"/>
    <w:rsid w:val="00CB5DE5"/>
    <w:rsid w:val="00CD5B45"/>
    <w:rsid w:val="00D63C29"/>
    <w:rsid w:val="00DC6E86"/>
    <w:rsid w:val="00DE553E"/>
    <w:rsid w:val="00DE6536"/>
    <w:rsid w:val="00DF2CD3"/>
    <w:rsid w:val="00E73E06"/>
    <w:rsid w:val="00E76118"/>
    <w:rsid w:val="00F24E82"/>
    <w:rsid w:val="00F4785D"/>
    <w:rsid w:val="00F52E4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B1B91"/>
  <w15:chartTrackingRefBased/>
  <w15:docId w15:val="{75CACB88-9B94-4668-A21C-DECBDED44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A0013A"/>
    <w:pPr>
      <w:tabs>
        <w:tab w:val="center" w:pos="4536"/>
        <w:tab w:val="right" w:pos="9072"/>
      </w:tabs>
      <w:spacing w:after="0"/>
    </w:pPr>
  </w:style>
  <w:style w:type="character" w:customStyle="1" w:styleId="En-tteCar">
    <w:name w:val="En-tête Car"/>
    <w:basedOn w:val="Policepardfaut"/>
    <w:link w:val="En-tte"/>
    <w:uiPriority w:val="99"/>
    <w:rsid w:val="00A0013A"/>
  </w:style>
  <w:style w:type="paragraph" w:styleId="Pieddepage">
    <w:name w:val="footer"/>
    <w:basedOn w:val="Normal"/>
    <w:link w:val="PieddepageCar"/>
    <w:uiPriority w:val="99"/>
    <w:unhideWhenUsed/>
    <w:rsid w:val="00A0013A"/>
    <w:pPr>
      <w:tabs>
        <w:tab w:val="center" w:pos="4536"/>
        <w:tab w:val="right" w:pos="9072"/>
      </w:tabs>
      <w:spacing w:after="0"/>
    </w:pPr>
  </w:style>
  <w:style w:type="character" w:customStyle="1" w:styleId="PieddepageCar">
    <w:name w:val="Pied de page Car"/>
    <w:basedOn w:val="Policepardfaut"/>
    <w:link w:val="Pieddepage"/>
    <w:uiPriority w:val="99"/>
    <w:rsid w:val="00A0013A"/>
  </w:style>
  <w:style w:type="paragraph" w:styleId="Sansinterligne">
    <w:name w:val="No Spacing"/>
    <w:uiPriority w:val="1"/>
    <w:qFormat/>
    <w:rsid w:val="00DF2CD3"/>
    <w:pPr>
      <w:spacing w:after="0"/>
      <w:jc w:val="left"/>
    </w:pPr>
    <w:rPr>
      <w:kern w:val="2"/>
      <w14:ligatures w14:val="standardContextual"/>
    </w:rPr>
  </w:style>
  <w:style w:type="paragraph" w:styleId="Paragraphedeliste">
    <w:name w:val="List Paragraph"/>
    <w:basedOn w:val="Normal"/>
    <w:uiPriority w:val="34"/>
    <w:qFormat/>
    <w:rsid w:val="00E76118"/>
    <w:pPr>
      <w:ind w:left="720"/>
      <w:contextualSpacing/>
    </w:pPr>
  </w:style>
  <w:style w:type="character" w:styleId="Marquedecommentaire">
    <w:name w:val="annotation reference"/>
    <w:basedOn w:val="Policepardfaut"/>
    <w:uiPriority w:val="99"/>
    <w:semiHidden/>
    <w:unhideWhenUsed/>
    <w:rsid w:val="00B5301E"/>
    <w:rPr>
      <w:sz w:val="16"/>
      <w:szCs w:val="16"/>
    </w:rPr>
  </w:style>
  <w:style w:type="paragraph" w:styleId="Commentaire">
    <w:name w:val="annotation text"/>
    <w:basedOn w:val="Normal"/>
    <w:link w:val="CommentaireCar"/>
    <w:uiPriority w:val="99"/>
    <w:semiHidden/>
    <w:unhideWhenUsed/>
    <w:rsid w:val="00B5301E"/>
    <w:rPr>
      <w:sz w:val="20"/>
      <w:szCs w:val="20"/>
    </w:rPr>
  </w:style>
  <w:style w:type="character" w:customStyle="1" w:styleId="CommentaireCar">
    <w:name w:val="Commentaire Car"/>
    <w:basedOn w:val="Policepardfaut"/>
    <w:link w:val="Commentaire"/>
    <w:uiPriority w:val="99"/>
    <w:semiHidden/>
    <w:rsid w:val="00B5301E"/>
    <w:rPr>
      <w:sz w:val="20"/>
      <w:szCs w:val="20"/>
    </w:rPr>
  </w:style>
  <w:style w:type="paragraph" w:styleId="Objetducommentaire">
    <w:name w:val="annotation subject"/>
    <w:basedOn w:val="Commentaire"/>
    <w:next w:val="Commentaire"/>
    <w:link w:val="ObjetducommentaireCar"/>
    <w:uiPriority w:val="99"/>
    <w:semiHidden/>
    <w:unhideWhenUsed/>
    <w:rsid w:val="00B5301E"/>
    <w:rPr>
      <w:b/>
      <w:bCs/>
    </w:rPr>
  </w:style>
  <w:style w:type="character" w:customStyle="1" w:styleId="ObjetducommentaireCar">
    <w:name w:val="Objet du commentaire Car"/>
    <w:basedOn w:val="CommentaireCar"/>
    <w:link w:val="Objetducommentaire"/>
    <w:uiPriority w:val="99"/>
    <w:semiHidden/>
    <w:rsid w:val="00B5301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3922834">
      <w:bodyDiv w:val="1"/>
      <w:marLeft w:val="0"/>
      <w:marRight w:val="0"/>
      <w:marTop w:val="0"/>
      <w:marBottom w:val="0"/>
      <w:divBdr>
        <w:top w:val="none" w:sz="0" w:space="0" w:color="auto"/>
        <w:left w:val="none" w:sz="0" w:space="0" w:color="auto"/>
        <w:bottom w:val="none" w:sz="0" w:space="0" w:color="auto"/>
        <w:right w:val="none" w:sz="0" w:space="0" w:color="auto"/>
      </w:divBdr>
    </w:div>
    <w:div w:id="802162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347</TotalTime>
  <Pages>4</Pages>
  <Words>1414</Words>
  <Characters>7782</Characters>
  <Application>Microsoft Office Word</Application>
  <DocSecurity>0</DocSecurity>
  <Lines>64</Lines>
  <Paragraphs>18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samy douider</dc:creator>
  <cp:keywords/>
  <dc:description/>
  <cp:lastModifiedBy>samy douider</cp:lastModifiedBy>
  <cp:revision>9</cp:revision>
  <cp:lastPrinted>2025-03-20T11:44:00Z</cp:lastPrinted>
  <dcterms:created xsi:type="dcterms:W3CDTF">2025-03-19T08:44:00Z</dcterms:created>
  <dcterms:modified xsi:type="dcterms:W3CDTF">2025-03-28T09:29:00Z</dcterms:modified>
</cp:coreProperties>
</file>