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137D9" w14:textId="159F3BBA" w:rsidR="009A0020" w:rsidRPr="009A0020" w:rsidRDefault="009A0020" w:rsidP="009A0020">
      <w:pPr>
        <w:jc w:val="center"/>
        <w:rPr>
          <w:rFonts w:asciiTheme="majorBidi" w:hAnsiTheme="majorBidi" w:cstheme="majorBidi"/>
          <w:b/>
          <w:bCs/>
          <w:color w:val="FF0000"/>
          <w:sz w:val="32"/>
          <w:szCs w:val="32"/>
        </w:rPr>
      </w:pPr>
      <w:r w:rsidRPr="009A0020">
        <w:rPr>
          <w:rFonts w:asciiTheme="majorBidi" w:hAnsiTheme="majorBidi" w:cstheme="majorBidi"/>
          <w:b/>
          <w:bCs/>
          <w:color w:val="FF0000"/>
          <w:sz w:val="32"/>
          <w:szCs w:val="32"/>
        </w:rPr>
        <w:t>Maat for Peace’ submission to the Committee on the Rights of Persons with Disabilities- Regarding the State of Palestine</w:t>
      </w:r>
      <w:r>
        <w:rPr>
          <w:rFonts w:asciiTheme="majorBidi" w:hAnsiTheme="majorBidi" w:cstheme="majorBidi"/>
          <w:b/>
          <w:bCs/>
          <w:color w:val="FF0000"/>
          <w:sz w:val="32"/>
          <w:szCs w:val="32"/>
        </w:rPr>
        <w:t xml:space="preserve"> (LOI)</w:t>
      </w:r>
    </w:p>
    <w:p w14:paraId="34C87A7E" w14:textId="77777777" w:rsidR="009A0020" w:rsidRPr="009A0020" w:rsidRDefault="009A0020" w:rsidP="009A0020">
      <w:pPr>
        <w:jc w:val="both"/>
        <w:rPr>
          <w:rFonts w:asciiTheme="majorBidi" w:hAnsiTheme="majorBidi" w:cstheme="majorBidi"/>
          <w:b/>
          <w:bCs/>
          <w:sz w:val="28"/>
          <w:szCs w:val="28"/>
        </w:rPr>
      </w:pPr>
      <w:r w:rsidRPr="009A0020">
        <w:rPr>
          <w:rFonts w:asciiTheme="majorBidi" w:hAnsiTheme="majorBidi" w:cstheme="majorBidi"/>
          <w:b/>
          <w:bCs/>
          <w:sz w:val="28"/>
          <w:szCs w:val="28"/>
        </w:rPr>
        <w:t>Introduction</w:t>
      </w:r>
    </w:p>
    <w:p w14:paraId="0A0FF484"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Palestine acceded to the International Convention on the Rights of Persons with Disabilities on April 2, 2014, and is supposed to be subject to review before the Committee on the Rights of Persons with Disabilities during the pre-sessional working group session scheduled for March 27-31, 2023. It is worth noting that on June 14, 2019, Palestine submitted the first report to the Committee on the Rights of Persons with Disabilities in accordance with Article 26 of the Convention, which is due to be submitted in 2016.</w:t>
      </w:r>
    </w:p>
    <w:p w14:paraId="21241D09"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b/>
          <w:bCs/>
          <w:sz w:val="28"/>
          <w:szCs w:val="28"/>
        </w:rPr>
        <w:t>Maat for Peace, Development and Human Rights</w:t>
      </w:r>
      <w:r w:rsidRPr="009A0020">
        <w:rPr>
          <w:rFonts w:asciiTheme="majorBidi" w:hAnsiTheme="majorBidi" w:cstheme="majorBidi"/>
          <w:sz w:val="28"/>
          <w:szCs w:val="28"/>
        </w:rPr>
        <w:t xml:space="preserve"> reviewed the report submitted by the government of Palestine to the Committee to monitor the progress made by the state in implementing its international obligations under the Convention.</w:t>
      </w:r>
    </w:p>
    <w:p w14:paraId="017A94C6"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By reviewing the report, Maat believes that the measures, policies, and procedures taken by Palestine in implementation of its obligations, in addition to the national legislation could address rights of persons with disabilities in Palestine. The report was also keen to clarify the general image of the legislative provisions and national regulatory measures related to the implementation of the provisions of the Convention in Palestine, in addition to the challenges facing Palestine, especially in light of the continued Israeli occupation and the effects of its illegal policies and the associated systematic and widespread crimes and violations committed by all Israeli political and military levels, including the Israeli occupation army, as well as settlers against the Palestinian people, represented by extrajudicial killings and targeting with the intent of causing permanent disabilities, arbitrary arrest, torture, deportation and forced displacement, in light of the clear absence of international accountability mechanisms for the occupation for daily practices against the Palestinian people.</w:t>
      </w:r>
    </w:p>
    <w:p w14:paraId="56AA33BD"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 xml:space="preserve">Based on Maat’s interest in international human rights mechanisms, Maat was keen to submit this report to the Committee on the Rights of Persons with Disabilities, focusing on some aspects related to the extent of the commitment of the government of Palestine to protecting the rights of persons with disabilities, as well as the challenges faced by the </w:t>
      </w:r>
      <w:r w:rsidRPr="009A0020">
        <w:rPr>
          <w:rFonts w:asciiTheme="majorBidi" w:hAnsiTheme="majorBidi" w:cstheme="majorBidi"/>
          <w:sz w:val="28"/>
          <w:szCs w:val="28"/>
        </w:rPr>
        <w:lastRenderedPageBreak/>
        <w:t>government in implementing these commitments, represented in the continuity of violations committed the Israeli occupation against the Palestinian people.</w:t>
      </w:r>
    </w:p>
    <w:p w14:paraId="5A8FC243" w14:textId="77777777" w:rsidR="009A0020" w:rsidRPr="009A0020" w:rsidRDefault="009A0020" w:rsidP="009A0020">
      <w:pPr>
        <w:jc w:val="both"/>
        <w:rPr>
          <w:rFonts w:asciiTheme="majorBidi" w:hAnsiTheme="majorBidi" w:cstheme="majorBidi"/>
          <w:b/>
          <w:bCs/>
          <w:sz w:val="28"/>
          <w:szCs w:val="28"/>
        </w:rPr>
      </w:pPr>
      <w:r w:rsidRPr="009A0020">
        <w:rPr>
          <w:rFonts w:asciiTheme="majorBidi" w:hAnsiTheme="majorBidi" w:cstheme="majorBidi"/>
          <w:b/>
          <w:bCs/>
          <w:sz w:val="28"/>
          <w:szCs w:val="28"/>
        </w:rPr>
        <w:t>Palestine's position on the implementation of the terms of the Convention</w:t>
      </w:r>
    </w:p>
    <w:p w14:paraId="581C5928"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Despite the accession of Palestine to the International Convention on the Rights of Persons with Disabilities on the 2</w:t>
      </w:r>
      <w:r w:rsidRPr="009A0020">
        <w:rPr>
          <w:rFonts w:asciiTheme="majorBidi" w:hAnsiTheme="majorBidi" w:cstheme="majorBidi"/>
          <w:sz w:val="28"/>
          <w:szCs w:val="28"/>
          <w:vertAlign w:val="superscript"/>
        </w:rPr>
        <w:t>nd</w:t>
      </w:r>
      <w:r w:rsidRPr="009A0020">
        <w:rPr>
          <w:rFonts w:asciiTheme="majorBidi" w:hAnsiTheme="majorBidi" w:cstheme="majorBidi"/>
          <w:sz w:val="28"/>
          <w:szCs w:val="28"/>
        </w:rPr>
        <w:t xml:space="preserve"> of April of 2014, persons with disabilities in Palestine still face difficulties and challenges that impede full social integration, most notably discrimination and social stigma, and they are seen as incapacitated and unable to take care of themselves or take their own decisions, which reduce the effectiveness of the care and rehabilitation programs for this important group of society, especially after the increase in the number of persons with disabilities during the past years as a result of the violations of the occupation, especially during the peaceful return marches and the military aggression, which left hundreds of cases of amputation and disability.</w:t>
      </w:r>
    </w:p>
    <w:p w14:paraId="5295450C" w14:textId="77777777" w:rsidR="009A0020" w:rsidRPr="009A0020" w:rsidRDefault="009A0020" w:rsidP="009A0020">
      <w:pPr>
        <w:jc w:val="both"/>
        <w:rPr>
          <w:rFonts w:asciiTheme="majorBidi" w:hAnsiTheme="majorBidi" w:cstheme="majorBidi"/>
          <w:b/>
          <w:bCs/>
          <w:sz w:val="28"/>
          <w:szCs w:val="28"/>
          <w:u w:val="single"/>
        </w:rPr>
      </w:pPr>
      <w:r w:rsidRPr="009A0020">
        <w:rPr>
          <w:rFonts w:asciiTheme="majorBidi" w:hAnsiTheme="majorBidi" w:cstheme="majorBidi"/>
          <w:b/>
          <w:bCs/>
          <w:sz w:val="28"/>
          <w:szCs w:val="28"/>
          <w:u w:val="single"/>
        </w:rPr>
        <w:t>The reality of disability in Palestine</w:t>
      </w:r>
    </w:p>
    <w:p w14:paraId="4386BE51"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According to the data of the Palestinian Central Bureau of Statistics in December 2022, the percentage of individuals with disabilities in Palestine in 2021 was about 2% of the total Palestinian population, about 2% in the West Bank, and 3% in the Gaza Strip. The final results of the Palestinian Central Bureau of Statistics for the General Census of Population, Housing and Establishments 2017 indicate that the number of Palestinian residents with disabilities in Palestine reached 92,710 individuals, of which 44,570 individuals (48%) are in the West Bank, and 48,140 individuals (52%) are in the Gaza Strip.</w:t>
      </w:r>
    </w:p>
    <w:p w14:paraId="234004EA"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b/>
          <w:bCs/>
          <w:sz w:val="28"/>
          <w:szCs w:val="28"/>
          <w:u w:val="single"/>
        </w:rPr>
        <w:t>Movement disability</w:t>
      </w:r>
      <w:r w:rsidRPr="009A0020">
        <w:rPr>
          <w:rFonts w:asciiTheme="majorBidi" w:hAnsiTheme="majorBidi" w:cstheme="majorBidi"/>
          <w:sz w:val="28"/>
          <w:szCs w:val="28"/>
        </w:rPr>
        <w:t xml:space="preserve"> and use of hands constituted the highest percentage of disabilities among persons with disabilities. According to these statistics, the number of persons with movement disability and use of hands reached (47,109) individuals, and they constitute (51%) of persons with disabilities, or 1.1% of the total Palestinian population as a whole. Followed by </w:t>
      </w:r>
      <w:r w:rsidRPr="009A0020">
        <w:rPr>
          <w:rFonts w:asciiTheme="majorBidi" w:hAnsiTheme="majorBidi" w:cstheme="majorBidi"/>
          <w:b/>
          <w:bCs/>
          <w:sz w:val="28"/>
          <w:szCs w:val="28"/>
          <w:u w:val="single"/>
        </w:rPr>
        <w:t>visual impairments</w:t>
      </w:r>
      <w:r w:rsidRPr="009A0020">
        <w:rPr>
          <w:rFonts w:asciiTheme="majorBidi" w:hAnsiTheme="majorBidi" w:cstheme="majorBidi"/>
          <w:sz w:val="28"/>
          <w:szCs w:val="28"/>
        </w:rPr>
        <w:t xml:space="preserve"> 28,950, which accounted for 0.7%, </w:t>
      </w:r>
      <w:r w:rsidRPr="009A0020">
        <w:rPr>
          <w:rFonts w:asciiTheme="majorBidi" w:hAnsiTheme="majorBidi" w:cstheme="majorBidi"/>
          <w:b/>
          <w:bCs/>
          <w:sz w:val="28"/>
          <w:szCs w:val="28"/>
          <w:u w:val="single"/>
        </w:rPr>
        <w:t>then hearing disabilities</w:t>
      </w:r>
      <w:r w:rsidRPr="009A0020">
        <w:rPr>
          <w:rFonts w:asciiTheme="majorBidi" w:hAnsiTheme="majorBidi" w:cstheme="majorBidi"/>
          <w:sz w:val="28"/>
          <w:szCs w:val="28"/>
        </w:rPr>
        <w:t xml:space="preserve"> 19,811, or 0.5%, </w:t>
      </w:r>
      <w:r w:rsidRPr="009A0020">
        <w:rPr>
          <w:rFonts w:asciiTheme="majorBidi" w:hAnsiTheme="majorBidi" w:cstheme="majorBidi"/>
          <w:b/>
          <w:bCs/>
          <w:sz w:val="28"/>
          <w:szCs w:val="28"/>
          <w:u w:val="single"/>
        </w:rPr>
        <w:t xml:space="preserve">memory and concentration </w:t>
      </w:r>
      <w:r w:rsidRPr="009A0020">
        <w:rPr>
          <w:rFonts w:asciiTheme="majorBidi" w:hAnsiTheme="majorBidi" w:cstheme="majorBidi"/>
          <w:sz w:val="28"/>
          <w:szCs w:val="28"/>
        </w:rPr>
        <w:t xml:space="preserve">17,787, or 0.4%, and finally </w:t>
      </w:r>
      <w:r w:rsidRPr="009A0020">
        <w:rPr>
          <w:rFonts w:asciiTheme="majorBidi" w:hAnsiTheme="majorBidi" w:cstheme="majorBidi"/>
          <w:b/>
          <w:bCs/>
          <w:sz w:val="28"/>
          <w:szCs w:val="28"/>
          <w:u w:val="single"/>
        </w:rPr>
        <w:t>communication disabilities</w:t>
      </w:r>
      <w:r w:rsidRPr="009A0020">
        <w:rPr>
          <w:rFonts w:asciiTheme="majorBidi" w:hAnsiTheme="majorBidi" w:cstheme="majorBidi"/>
          <w:sz w:val="28"/>
          <w:szCs w:val="28"/>
        </w:rPr>
        <w:t xml:space="preserve"> 19,648, or 0.4%. The results also showed that the percentage of those who have at least one disability was the highest in northern Gaza; It reached 3.2% of the total Palestinian population in the governorate compared to the rest of the governorates of Palestine, while the lowest percentage of those with at least one disability was in Jericho and the Jordan Valley at 1.4% of the total Palestinian population in the governorate</w:t>
      </w:r>
      <w:r w:rsidRPr="009A0020">
        <w:rPr>
          <w:rStyle w:val="FootnoteReference"/>
          <w:rFonts w:asciiTheme="majorBidi" w:hAnsiTheme="majorBidi" w:cstheme="majorBidi"/>
          <w:sz w:val="28"/>
          <w:szCs w:val="28"/>
        </w:rPr>
        <w:footnoteReference w:id="1"/>
      </w:r>
      <w:r w:rsidRPr="009A0020">
        <w:rPr>
          <w:rFonts w:asciiTheme="majorBidi" w:hAnsiTheme="majorBidi" w:cstheme="majorBidi"/>
          <w:sz w:val="28"/>
          <w:szCs w:val="28"/>
        </w:rPr>
        <w:t>. Also, about a fifth of persons with disabilities are children under the age of 18, at a rate of (20%). The percentages were more prevalent in the Gaza Strip (22%) compared to the West Bank (17%).</w:t>
      </w:r>
      <w:r w:rsidRPr="009A0020">
        <w:rPr>
          <w:rStyle w:val="FootnoteReference"/>
          <w:rFonts w:asciiTheme="majorBidi" w:hAnsiTheme="majorBidi" w:cstheme="majorBidi"/>
          <w:sz w:val="28"/>
          <w:szCs w:val="28"/>
        </w:rPr>
        <w:footnoteReference w:id="2"/>
      </w:r>
    </w:p>
    <w:p w14:paraId="6A095687"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Access to basic services approved by the International Convention on the Rights of Persons with Disabilities, and guaranteed by the law on the rights of persons with disabilities in the areas of the Palestinian Authority, where they suffer from a low level of diagnostic, preventive, curative and rehabilitative health services, due to the absence of application of the Palestinian Persons with Disabilities Law, despite the passage of more than 23 years since its release. Reports have documented a significant increase in poverty and unemployment rates among people with disabilities, and the inability to deal with their basic requirements, including the provision of aids for them. In addition, the economic and social reality of people with disabilities is worsening in light of the continued Israeli blockade, the (Palestinian) political division, and the funding deficit, which was directly reflected in the reduction of services provided to them in general.</w:t>
      </w:r>
      <w:r w:rsidRPr="009A0020">
        <w:rPr>
          <w:rStyle w:val="FootnoteReference"/>
          <w:rFonts w:asciiTheme="majorBidi" w:hAnsiTheme="majorBidi" w:cstheme="majorBidi"/>
          <w:sz w:val="28"/>
          <w:szCs w:val="28"/>
        </w:rPr>
        <w:footnoteReference w:id="3"/>
      </w:r>
    </w:p>
    <w:p w14:paraId="03496ADD" w14:textId="77777777" w:rsidR="009A0020" w:rsidRPr="009A0020" w:rsidRDefault="009A0020" w:rsidP="009A0020">
      <w:pPr>
        <w:jc w:val="both"/>
        <w:rPr>
          <w:rFonts w:asciiTheme="majorBidi" w:hAnsiTheme="majorBidi" w:cstheme="majorBidi"/>
          <w:b/>
          <w:bCs/>
          <w:sz w:val="28"/>
          <w:szCs w:val="28"/>
          <w:u w:val="single"/>
        </w:rPr>
      </w:pPr>
      <w:r w:rsidRPr="009A0020">
        <w:rPr>
          <w:rFonts w:asciiTheme="majorBidi" w:hAnsiTheme="majorBidi" w:cstheme="majorBidi"/>
          <w:b/>
          <w:bCs/>
          <w:sz w:val="28"/>
          <w:szCs w:val="28"/>
          <w:u w:val="single"/>
        </w:rPr>
        <w:t>Palestinian legislative framework</w:t>
      </w:r>
    </w:p>
    <w:p w14:paraId="32955064"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 xml:space="preserve">The Palestinian Law No. (4) of 1999 on the rights of persons with disabilities defines that a disabled person is a person who suffers from a total or partial congenital or non-congenital disability in any of his senses or his physical, psychological or mental capabilities to the extent that limits the possibility of meeting the requirements of his normal life in the conditions of people like him who are not disabled. </w:t>
      </w:r>
      <w:r w:rsidRPr="009A0020">
        <w:rPr>
          <w:rFonts w:asciiTheme="majorBidi" w:hAnsiTheme="majorBidi" w:cstheme="majorBidi"/>
          <w:b/>
          <w:bCs/>
          <w:sz w:val="28"/>
          <w:szCs w:val="28"/>
          <w:u w:val="single"/>
        </w:rPr>
        <w:t>Article 2</w:t>
      </w:r>
      <w:r w:rsidRPr="009A0020">
        <w:rPr>
          <w:rFonts w:asciiTheme="majorBidi" w:hAnsiTheme="majorBidi" w:cstheme="majorBidi"/>
          <w:sz w:val="28"/>
          <w:szCs w:val="28"/>
        </w:rPr>
        <w:t xml:space="preserve"> stipulates that a person with a disability has the right to enjoy a free life, decent living, and various services, just like other citizens, he has the same rights and duties within the limits of what his capabilities and allow. Disability should not be a reason that prevents a person with a disability from obtaining those rights.</w:t>
      </w:r>
    </w:p>
    <w:p w14:paraId="2539D756"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Article 8 of the amended Palestinian Child Law of 2004 stipulates that the state shall take appropriate procedures and measures to ensure that children with special needs enjoy the necessary care in all fields, especially education, health and vocational rehabilitation, to enhance their self-reliance and ensure their active participation in society. The Law on the Rights of Persons with Disabilities provides for the harmonization of public places for people with disabilities with the aim of achieving a suitable environment for people with disabilities, that guarantees ease of movement and safe use of public places.</w:t>
      </w:r>
      <w:r w:rsidRPr="009A0020">
        <w:rPr>
          <w:rStyle w:val="FootnoteReference"/>
          <w:rFonts w:asciiTheme="majorBidi" w:hAnsiTheme="majorBidi" w:cstheme="majorBidi"/>
          <w:sz w:val="28"/>
          <w:szCs w:val="28"/>
        </w:rPr>
        <w:footnoteReference w:id="4"/>
      </w:r>
    </w:p>
    <w:p w14:paraId="3706C1E7"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However, in fact, according to the data of the Ministry of Education, the ministry confirms that schools are not compatible with the requirements of children with disabilities, as 71.4% of government schools have adaptations for children with disabilities in toilets, and 66.2% have stairs suitable for children with disabilities, which are more in government schools and UNRWA than private schools. Although these schools have toilets and stairs suitable for children with mobility disabilities, there are other types of disabilities that need special adaptations that are not available in schools, or to access schools, such as adaptations in transportation and classrooms.</w:t>
      </w:r>
    </w:p>
    <w:p w14:paraId="19499595"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Despite the decision of the Ministry of Education more than ten years ago that all new schools should be adapted for children with disabilities, and the existence of a legal framework for that, and the existence of a special program and department specialized in inclusive education since 1997, there is still a need to focus on national education and mental disabilities, develop a national strategy for inclusive education, and identify children with disabilities who are not enrolled in any formal educational system or through special rehabilitation institutions.</w:t>
      </w:r>
    </w:p>
    <w:p w14:paraId="36FC46BA"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On the other hand, it is known that the adaptation of schools for students with different disabilities requires financial resources. However, in view of the budget allocated to the Ministry of Education, we find that the percentage of development expenditures for the year 2021 did not exceed (7%), which indicates the difficulty of working on the issue of adaptation in its comprehensive concept, not only the provision of stairs and toilets, which usually serve people with movement disabilities only.</w:t>
      </w:r>
      <w:r w:rsidRPr="009A0020">
        <w:rPr>
          <w:rStyle w:val="FootnoteReference"/>
          <w:rFonts w:asciiTheme="majorBidi" w:hAnsiTheme="majorBidi" w:cstheme="majorBidi"/>
          <w:sz w:val="28"/>
          <w:szCs w:val="28"/>
        </w:rPr>
        <w:footnoteReference w:id="5"/>
      </w:r>
    </w:p>
    <w:p w14:paraId="07321FFF"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b/>
          <w:bCs/>
          <w:sz w:val="28"/>
          <w:szCs w:val="28"/>
          <w:u w:val="single"/>
        </w:rPr>
        <w:t>Legislation related to the rights of persons with disabilities</w:t>
      </w:r>
      <w:r w:rsidRPr="009A0020">
        <w:rPr>
          <w:rFonts w:asciiTheme="majorBidi" w:hAnsiTheme="majorBidi" w:cstheme="majorBidi"/>
          <w:sz w:val="28"/>
          <w:szCs w:val="28"/>
        </w:rPr>
        <w:t xml:space="preserve"> also includes wide forms of discrimination on the basis of disability, type of disability, gender and disability, this legislation also did not constitute a legislative priority during the Corona pandemic and the ongoing state of emergency. Rather, this legislation recorded a new discrimination </w:t>
      </w:r>
      <w:r w:rsidRPr="009A0020">
        <w:rPr>
          <w:rFonts w:asciiTheme="majorBidi" w:hAnsiTheme="majorBidi" w:cstheme="majorBidi"/>
          <w:b/>
          <w:bCs/>
          <w:sz w:val="28"/>
          <w:szCs w:val="28"/>
          <w:u w:val="single"/>
        </w:rPr>
        <w:t>at the legislative level</w:t>
      </w:r>
      <w:r w:rsidRPr="009A0020">
        <w:rPr>
          <w:rFonts w:asciiTheme="majorBidi" w:hAnsiTheme="majorBidi" w:cstheme="majorBidi"/>
          <w:sz w:val="28"/>
          <w:szCs w:val="28"/>
        </w:rPr>
        <w:t xml:space="preserve"> through Decree-Law No. (40) of 2020 on the amendment of the Judicial Authority Law No. (1) 2002, which denied persons with disabilities their right to hold judicial positions by requiring that health conditions be met as an entry point for judicial appointments based on the prevalent stereotypical concept in the past, that deals with disability from a medical perspective through the medical committee to access and enjoy the right to work, at the expense of the human rights concept of disability, the qualifications and capabilities of persons with disabilities, individual differences and the inclusive work environment, in addition to the impact of this law on the independence of the judiciary and the possibility of access to prompt justice.</w:t>
      </w:r>
      <w:r w:rsidRPr="009A0020">
        <w:rPr>
          <w:rStyle w:val="FootnoteReference"/>
          <w:rFonts w:asciiTheme="majorBidi" w:hAnsiTheme="majorBidi" w:cstheme="majorBidi"/>
          <w:sz w:val="28"/>
          <w:szCs w:val="28"/>
        </w:rPr>
        <w:footnoteReference w:id="6"/>
      </w:r>
    </w:p>
    <w:p w14:paraId="2902259F" w14:textId="77777777" w:rsidR="009A0020" w:rsidRPr="009A0020" w:rsidRDefault="009A0020" w:rsidP="009A0020">
      <w:pPr>
        <w:jc w:val="both"/>
        <w:rPr>
          <w:rFonts w:asciiTheme="majorBidi" w:hAnsiTheme="majorBidi" w:cstheme="majorBidi"/>
          <w:b/>
          <w:bCs/>
          <w:sz w:val="28"/>
          <w:szCs w:val="28"/>
        </w:rPr>
      </w:pPr>
      <w:r w:rsidRPr="009A0020">
        <w:rPr>
          <w:rFonts w:asciiTheme="majorBidi" w:hAnsiTheme="majorBidi" w:cstheme="majorBidi"/>
          <w:b/>
          <w:bCs/>
          <w:sz w:val="28"/>
          <w:szCs w:val="28"/>
        </w:rPr>
        <w:t>Israel's violations of the rights of people with disabilities in Palestine</w:t>
      </w:r>
    </w:p>
    <w:p w14:paraId="526A1024"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About 100,000 persons with disabilities in Palestine face great challenges, especially as a result of the occupation policies that target the Palestinian people on a daily basis, despite Israel’s signing of the International Convention on the Rights of Persons with Disabilities, but Israel’s policies and violations confirm that the Israeli occupation authorities are working to injure the largest number of citizens so that they suffer from permanent disabilities.</w:t>
      </w:r>
    </w:p>
    <w:p w14:paraId="49FA0494"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International law has recognized a number of obligations on the occupying powers, including their commitment to apply international law in the occupied territories. Therefore, Israel, being a party to the International Convention on the Rights of Persons with Disabilities, is obligated to respect the rules and provisions of the Convention in the occupied territories under its authority. However, Israel violated many of the rules of this convention</w:t>
      </w:r>
    </w:p>
    <w:p w14:paraId="178E70E5" w14:textId="77777777" w:rsidR="009A0020" w:rsidRPr="009A0020" w:rsidRDefault="009A0020" w:rsidP="009A0020">
      <w:pPr>
        <w:jc w:val="both"/>
        <w:rPr>
          <w:rFonts w:asciiTheme="majorBidi" w:hAnsiTheme="majorBidi" w:cstheme="majorBidi"/>
          <w:b/>
          <w:bCs/>
          <w:sz w:val="28"/>
          <w:szCs w:val="28"/>
          <w:u w:val="single"/>
        </w:rPr>
      </w:pPr>
      <w:r w:rsidRPr="009A0020">
        <w:rPr>
          <w:rFonts w:asciiTheme="majorBidi" w:hAnsiTheme="majorBidi" w:cstheme="majorBidi"/>
          <w:b/>
          <w:bCs/>
          <w:sz w:val="28"/>
          <w:szCs w:val="28"/>
          <w:u w:val="single"/>
        </w:rPr>
        <w:t>Article 11 of the Convention</w:t>
      </w:r>
    </w:p>
    <w:p w14:paraId="4E8DAD79"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The Israeli occupation flouts the legal framework for the protection of persons with disabilities, as Article 11 of the Convention on the Rights of Persons with Disabilities stipulates that states parties undertake, in accordance with their responsibilities under international law, including international humanitarian law, as well as international human rights law, to take all possible measures to ensure the protection and safety of persons with disabilities whose situations are serious, including situations of armed conflict, humanitarian emergencies and natural disasters.</w:t>
      </w:r>
      <w:r w:rsidRPr="009A0020">
        <w:rPr>
          <w:rStyle w:val="FootnoteReference"/>
          <w:rFonts w:asciiTheme="majorBidi" w:hAnsiTheme="majorBidi" w:cstheme="majorBidi"/>
          <w:sz w:val="28"/>
          <w:szCs w:val="28"/>
        </w:rPr>
        <w:footnoteReference w:id="7"/>
      </w:r>
      <w:r w:rsidRPr="009A0020">
        <w:rPr>
          <w:rFonts w:asciiTheme="majorBidi" w:hAnsiTheme="majorBidi" w:cstheme="majorBidi"/>
          <w:sz w:val="28"/>
          <w:szCs w:val="28"/>
        </w:rPr>
        <w:t xml:space="preserve"> It is worth noting that this violation may amount to war crimes against humanity, and therefore the occupation must be prosecuted in international forums and restrained from violating the law for the protection of persons with disabilities.</w:t>
      </w:r>
    </w:p>
    <w:p w14:paraId="2C44E236"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The reality of people with disabilities worsened in the aftermath of the Israeli aggression on the Gaza Strip in May 2021, as Israel impeded the access of children with special needs to schools, in addition to the fact that the closure of the crossings reduced the basic health services needed for this group, especially treatment and aids. According to local governmental and human rights statistics, six people with disabilities were killed during the aggression launched by Israel on May 10, 2021 on Gaza, five males and one female, out of 128,000 cases of disability, at a rate of 6.7% of the population. The aggression also resulted in 50 new disabilities, while more than 10 cases of amputation, 35 cases of quadriplegia, paralysis, and longitudinal paralysis, in addition to the displacement of 3,000 citizens with disabilities, as well as the total destruction and partial damage of 10 institutions that are used as homes or places of residence for people with disabilities, where 24 institutions take care of the affairs of people with disabilities until the declaration of a cease-fire.</w:t>
      </w:r>
      <w:r w:rsidRPr="009A0020">
        <w:rPr>
          <w:rStyle w:val="FootnoteReference"/>
          <w:rFonts w:asciiTheme="majorBidi" w:hAnsiTheme="majorBidi" w:cstheme="majorBidi"/>
          <w:sz w:val="28"/>
          <w:szCs w:val="28"/>
        </w:rPr>
        <w:footnoteReference w:id="8"/>
      </w:r>
    </w:p>
    <w:p w14:paraId="69A6F0A1" w14:textId="77777777" w:rsidR="009A0020" w:rsidRPr="009A0020" w:rsidRDefault="009A0020" w:rsidP="009A0020">
      <w:pPr>
        <w:ind w:firstLine="720"/>
        <w:jc w:val="both"/>
        <w:rPr>
          <w:rFonts w:asciiTheme="majorBidi" w:hAnsiTheme="majorBidi" w:cstheme="majorBidi"/>
          <w:sz w:val="28"/>
          <w:szCs w:val="28"/>
        </w:rPr>
      </w:pPr>
      <w:r w:rsidRPr="009A0020">
        <w:rPr>
          <w:rFonts w:asciiTheme="majorBidi" w:hAnsiTheme="majorBidi" w:cstheme="majorBidi"/>
          <w:sz w:val="28"/>
          <w:szCs w:val="28"/>
        </w:rPr>
        <w:t>Also, during the return marches on the borders of the Gaza Strip, the Israeli occupation, almost three years before the aggression on Gaza, caused an increase in the disability rate, which was targeting the civilian participants directly. The Israeli violations during those marches resulted in 192 cases of disability, which were classified as follows: 128 cases of disability were amputations, 22 cases of disability were classified as spinal cord injuries, and 26 cases of eye injuries resulted in eye loss and health problems that prevent vision.</w:t>
      </w:r>
      <w:r w:rsidRPr="009A0020">
        <w:rPr>
          <w:rStyle w:val="FootnoteReference"/>
          <w:rFonts w:asciiTheme="majorBidi" w:hAnsiTheme="majorBidi" w:cstheme="majorBidi"/>
          <w:sz w:val="28"/>
          <w:szCs w:val="28"/>
        </w:rPr>
        <w:footnoteReference w:id="9"/>
      </w:r>
    </w:p>
    <w:p w14:paraId="446A4779" w14:textId="77777777" w:rsidR="009A0020" w:rsidRPr="009A0020" w:rsidRDefault="009A0020" w:rsidP="009A0020">
      <w:pPr>
        <w:bidi/>
        <w:spacing w:line="240" w:lineRule="auto"/>
        <w:jc w:val="right"/>
        <w:rPr>
          <w:rFonts w:asciiTheme="majorBidi" w:hAnsiTheme="majorBidi" w:cstheme="majorBidi"/>
          <w:sz w:val="28"/>
          <w:szCs w:val="28"/>
        </w:rPr>
      </w:pPr>
    </w:p>
    <w:p w14:paraId="3C44D7E1" w14:textId="77777777" w:rsidR="009A0020" w:rsidRPr="009A0020" w:rsidRDefault="009A0020" w:rsidP="009A0020">
      <w:pPr>
        <w:spacing w:line="240" w:lineRule="auto"/>
        <w:jc w:val="both"/>
        <w:rPr>
          <w:rFonts w:asciiTheme="majorBidi" w:hAnsiTheme="majorBidi" w:cstheme="majorBidi"/>
          <w:b/>
          <w:bCs/>
          <w:sz w:val="28"/>
          <w:szCs w:val="28"/>
          <w:u w:val="single"/>
        </w:rPr>
      </w:pPr>
      <w:r w:rsidRPr="009A0020">
        <w:rPr>
          <w:rFonts w:asciiTheme="majorBidi" w:hAnsiTheme="majorBidi" w:cstheme="majorBidi"/>
          <w:b/>
          <w:bCs/>
          <w:sz w:val="28"/>
          <w:szCs w:val="28"/>
          <w:u w:val="single"/>
        </w:rPr>
        <w:t>Articles 14 and 15: Concerning the freedom and security of the person</w:t>
      </w:r>
    </w:p>
    <w:p w14:paraId="381AB44C" w14:textId="77777777" w:rsidR="009A0020" w:rsidRPr="009A0020" w:rsidRDefault="009A0020" w:rsidP="009A0020">
      <w:pPr>
        <w:spacing w:line="240" w:lineRule="auto"/>
        <w:ind w:firstLine="720"/>
        <w:jc w:val="both"/>
        <w:rPr>
          <w:rFonts w:asciiTheme="majorBidi" w:hAnsiTheme="majorBidi" w:cstheme="majorBidi"/>
          <w:sz w:val="28"/>
          <w:szCs w:val="28"/>
        </w:rPr>
      </w:pPr>
      <w:r w:rsidRPr="009A0020">
        <w:rPr>
          <w:rFonts w:asciiTheme="majorBidi" w:hAnsiTheme="majorBidi" w:cstheme="majorBidi"/>
          <w:sz w:val="28"/>
          <w:szCs w:val="28"/>
        </w:rPr>
        <w:t>Israel does not differentiate between the healthy and the disabled in its escalating violations and crimes. It has not excluded people with disabilities from its arbitrary arrests, nor spared them from its repressive measures and ill-treatment, nor considered their needs after detaining them in its prisons and detention centers. Israel detains in its prisons dozens of people with special needs who suffer from physical disabilities (complete or partial), intellectual, mental, and psychological disabilities, or sensory disabilities (such as hearing and visual disabilities), including those who suffer from two types of disabilities or more, including those who move using a wheelchair. According to human rights reports, the occupation arrests them and causes them injuries and disabilities, and the prison administration does not provide them with their basic needs, such as assistive medical devices, prostheses for the missing limbs, medical glasses, walking devices, medical mattresses, writing machines for the blind, and others</w:t>
      </w:r>
      <w:r w:rsidRPr="009A0020">
        <w:rPr>
          <w:rStyle w:val="FootnoteReference"/>
          <w:rFonts w:asciiTheme="majorBidi" w:hAnsiTheme="majorBidi" w:cstheme="majorBidi"/>
          <w:sz w:val="28"/>
          <w:szCs w:val="28"/>
          <w:rtl/>
          <w:lang w:bidi="ar-EG"/>
        </w:rPr>
        <w:footnoteReference w:id="10"/>
      </w:r>
      <w:r w:rsidRPr="009A0020">
        <w:rPr>
          <w:rFonts w:asciiTheme="majorBidi" w:hAnsiTheme="majorBidi" w:cstheme="majorBidi"/>
          <w:sz w:val="28"/>
          <w:szCs w:val="28"/>
          <w:rtl/>
        </w:rPr>
        <w:t>.</w:t>
      </w:r>
      <w:r w:rsidRPr="009A0020">
        <w:rPr>
          <w:rFonts w:asciiTheme="majorBidi" w:hAnsiTheme="majorBidi" w:cstheme="majorBidi"/>
          <w:sz w:val="28"/>
          <w:szCs w:val="28"/>
        </w:rPr>
        <w:t xml:space="preserve"> </w:t>
      </w:r>
    </w:p>
    <w:p w14:paraId="73838E1D" w14:textId="77777777" w:rsidR="009A0020" w:rsidRPr="009A0020" w:rsidRDefault="009A0020" w:rsidP="009A0020">
      <w:pPr>
        <w:spacing w:line="240" w:lineRule="auto"/>
        <w:ind w:firstLine="720"/>
        <w:jc w:val="both"/>
        <w:rPr>
          <w:rFonts w:asciiTheme="majorBidi" w:hAnsiTheme="majorBidi" w:cstheme="majorBidi"/>
          <w:sz w:val="28"/>
          <w:szCs w:val="28"/>
        </w:rPr>
      </w:pPr>
      <w:r w:rsidRPr="009A0020">
        <w:rPr>
          <w:rFonts w:asciiTheme="majorBidi" w:hAnsiTheme="majorBidi" w:cstheme="majorBidi"/>
          <w:sz w:val="28"/>
          <w:szCs w:val="28"/>
        </w:rPr>
        <w:t>According to local reports, until December 2022, the Israeli occupation detains more than 30 Palestinians in its prisons who suffer from physical or psychological disabilities and conditions of detention that increase their suffering. The prison administration does not provide them with their special needs or assistive devices. The occupation's repressive practices against detainees have contributed to increasing the number of people with disabilities in prisons, such as the practice of cruel and forbidden methods of torture and solitary confinement, which has led to the injury of a number of them with permanent or partial disabilities. In addition, the occupation refuses to enter these medical devices through private institutions or human rights organizations; it is also not allowed them to be through the people</w:t>
      </w:r>
      <w:r w:rsidRPr="009A0020">
        <w:rPr>
          <w:rStyle w:val="FootnoteReference"/>
          <w:rFonts w:asciiTheme="majorBidi" w:hAnsiTheme="majorBidi" w:cstheme="majorBidi"/>
          <w:sz w:val="28"/>
          <w:szCs w:val="28"/>
          <w:shd w:val="clear" w:color="auto" w:fill="FFFFFF"/>
          <w:rtl/>
        </w:rPr>
        <w:footnoteReference w:id="11"/>
      </w:r>
      <w:r w:rsidRPr="009A0020">
        <w:rPr>
          <w:rFonts w:asciiTheme="majorBidi" w:hAnsiTheme="majorBidi" w:cstheme="majorBidi"/>
          <w:sz w:val="28"/>
          <w:szCs w:val="28"/>
          <w:rtl/>
        </w:rPr>
        <w:t>.</w:t>
      </w:r>
    </w:p>
    <w:p w14:paraId="18EFEBD1" w14:textId="77777777" w:rsidR="009A0020" w:rsidRPr="009A0020" w:rsidRDefault="009A0020" w:rsidP="009A0020">
      <w:pPr>
        <w:spacing w:line="240" w:lineRule="auto"/>
        <w:ind w:firstLine="720"/>
        <w:jc w:val="both"/>
        <w:rPr>
          <w:rFonts w:asciiTheme="majorBidi" w:hAnsiTheme="majorBidi" w:cstheme="majorBidi"/>
          <w:sz w:val="28"/>
          <w:szCs w:val="28"/>
          <w:rtl/>
        </w:rPr>
      </w:pPr>
      <w:r w:rsidRPr="009A0020">
        <w:rPr>
          <w:rFonts w:asciiTheme="majorBidi" w:hAnsiTheme="majorBidi" w:cstheme="majorBidi"/>
          <w:sz w:val="28"/>
          <w:szCs w:val="28"/>
        </w:rPr>
        <w:t>On February 21, 2022, more than 5 soldiers of the Israeli occupation forces attempted to arrest a young man with special needs, despite his intense screams and panic. They gathered around the young man and severely beat him, and forcefully pulled him to arrest him, but the residents' insistence on protecting him and pulling him away from the soldiers prevented that</w:t>
      </w:r>
      <w:r w:rsidRPr="009A0020">
        <w:rPr>
          <w:rStyle w:val="FootnoteReference"/>
          <w:rFonts w:asciiTheme="majorBidi" w:hAnsiTheme="majorBidi" w:cstheme="majorBidi"/>
          <w:sz w:val="28"/>
          <w:szCs w:val="28"/>
          <w:rtl/>
        </w:rPr>
        <w:footnoteReference w:id="12"/>
      </w:r>
      <w:r w:rsidRPr="009A0020">
        <w:rPr>
          <w:rFonts w:asciiTheme="majorBidi" w:hAnsiTheme="majorBidi" w:cstheme="majorBidi"/>
          <w:sz w:val="28"/>
          <w:szCs w:val="28"/>
        </w:rPr>
        <w:t>. On September 24, 2022, more than 50 soldiers of the Israeli occupation forces raided the homes of Palestinians from the West Bank, including a young man with special needs, a physical disability, and another former detainee with cancer, and took them to an unknown destination, where they were arrested</w:t>
      </w:r>
      <w:r w:rsidRPr="009A0020">
        <w:rPr>
          <w:rStyle w:val="FootnoteReference"/>
          <w:rFonts w:asciiTheme="majorBidi" w:hAnsiTheme="majorBidi" w:cstheme="majorBidi"/>
          <w:sz w:val="28"/>
          <w:szCs w:val="28"/>
          <w:rtl/>
          <w:lang w:bidi="ar-EG"/>
        </w:rPr>
        <w:footnoteReference w:id="13"/>
      </w:r>
      <w:r w:rsidRPr="009A0020">
        <w:rPr>
          <w:rFonts w:asciiTheme="majorBidi" w:hAnsiTheme="majorBidi" w:cstheme="majorBidi"/>
          <w:sz w:val="28"/>
          <w:szCs w:val="28"/>
          <w:rtl/>
        </w:rPr>
        <w:t>.</w:t>
      </w:r>
    </w:p>
    <w:p w14:paraId="47367F60" w14:textId="77777777" w:rsidR="009A0020" w:rsidRPr="009A0020" w:rsidRDefault="009A0020" w:rsidP="009A0020">
      <w:pPr>
        <w:spacing w:line="240" w:lineRule="auto"/>
        <w:ind w:firstLine="720"/>
        <w:rPr>
          <w:rFonts w:asciiTheme="majorBidi" w:hAnsiTheme="majorBidi" w:cstheme="majorBidi"/>
          <w:sz w:val="28"/>
          <w:szCs w:val="28"/>
        </w:rPr>
      </w:pPr>
      <w:r w:rsidRPr="009A0020">
        <w:rPr>
          <w:rFonts w:asciiTheme="majorBidi" w:hAnsiTheme="majorBidi" w:cstheme="majorBidi"/>
          <w:sz w:val="28"/>
          <w:szCs w:val="28"/>
        </w:rPr>
        <w:t>Hence, Maat asserts that the arrest of persons with disabilities is not only a violation by Israel of its obligations under the Convention for the Protection of Persons with Disabilities but rather an explicit violation of the most basic international norms and covenants that recognize the impermissibility of assaulting people with disabilities, but rather the necessity of providing aid and assistance to them</w:t>
      </w:r>
      <w:r w:rsidRPr="009A0020">
        <w:rPr>
          <w:rFonts w:asciiTheme="majorBidi" w:hAnsiTheme="majorBidi" w:cstheme="majorBidi"/>
          <w:sz w:val="28"/>
          <w:szCs w:val="28"/>
          <w:rtl/>
        </w:rPr>
        <w:t>.</w:t>
      </w:r>
    </w:p>
    <w:p w14:paraId="10C16689" w14:textId="77777777" w:rsidR="009A0020" w:rsidRPr="009A0020" w:rsidRDefault="009A0020" w:rsidP="009A0020">
      <w:pPr>
        <w:spacing w:line="240" w:lineRule="auto"/>
        <w:jc w:val="both"/>
        <w:rPr>
          <w:rFonts w:asciiTheme="majorBidi" w:hAnsiTheme="majorBidi" w:cstheme="majorBidi"/>
          <w:b/>
          <w:bCs/>
          <w:sz w:val="28"/>
          <w:szCs w:val="28"/>
          <w:u w:val="single"/>
        </w:rPr>
      </w:pPr>
    </w:p>
    <w:p w14:paraId="66875562" w14:textId="77777777" w:rsidR="009A0020" w:rsidRPr="009A0020" w:rsidRDefault="009A0020" w:rsidP="009A0020">
      <w:pPr>
        <w:spacing w:line="240" w:lineRule="auto"/>
        <w:jc w:val="both"/>
        <w:rPr>
          <w:rFonts w:asciiTheme="majorBidi" w:hAnsiTheme="majorBidi" w:cstheme="majorBidi"/>
          <w:b/>
          <w:bCs/>
          <w:sz w:val="28"/>
          <w:szCs w:val="28"/>
          <w:u w:val="single"/>
        </w:rPr>
      </w:pPr>
      <w:r w:rsidRPr="009A0020">
        <w:rPr>
          <w:rFonts w:asciiTheme="majorBidi" w:hAnsiTheme="majorBidi" w:cstheme="majorBidi"/>
          <w:b/>
          <w:bCs/>
          <w:sz w:val="28"/>
          <w:szCs w:val="28"/>
          <w:u w:val="single"/>
        </w:rPr>
        <w:t>Articles: 27 and 28 are on work, employment, decent standard of living, and social protection</w:t>
      </w:r>
    </w:p>
    <w:p w14:paraId="70E3729B" w14:textId="77777777" w:rsidR="009A0020" w:rsidRPr="009A0020" w:rsidRDefault="009A0020" w:rsidP="009A0020">
      <w:pPr>
        <w:spacing w:line="240" w:lineRule="auto"/>
        <w:ind w:firstLine="720"/>
        <w:jc w:val="both"/>
        <w:rPr>
          <w:rFonts w:asciiTheme="majorBidi" w:hAnsiTheme="majorBidi" w:cstheme="majorBidi"/>
          <w:sz w:val="28"/>
          <w:szCs w:val="28"/>
          <w:rtl/>
        </w:rPr>
      </w:pPr>
      <w:r w:rsidRPr="009A0020">
        <w:rPr>
          <w:rFonts w:asciiTheme="majorBidi" w:hAnsiTheme="majorBidi" w:cstheme="majorBidi"/>
          <w:sz w:val="28"/>
          <w:szCs w:val="28"/>
        </w:rPr>
        <w:t>The occupation army launched another aggression against the Palestinians in the Gaza Strip in August 2022, killing 49 Palestinians, including 16 children and four women, and continuing the siege of the occupation on the Strip; the Palestinians suffering in the Strip has increased. The occupation army destroyed the infrastructure in the Strip, and the problem of electricity cuts continued for more than 12 hours a day, which exacerbates the suffering of people with disabilities who depend on light to communicate using sign languages, or electrically powered equipment, such as elevators or electric wheelchairs for mobility and movement</w:t>
      </w:r>
      <w:r w:rsidRPr="009A0020">
        <w:rPr>
          <w:rFonts w:asciiTheme="majorBidi" w:hAnsiTheme="majorBidi" w:cstheme="majorBidi"/>
          <w:sz w:val="28"/>
          <w:szCs w:val="28"/>
          <w:rtl/>
        </w:rPr>
        <w:t>.</w:t>
      </w:r>
    </w:p>
    <w:p w14:paraId="60B094A0" w14:textId="77777777" w:rsidR="009A0020" w:rsidRPr="009A0020" w:rsidRDefault="009A0020" w:rsidP="009A0020">
      <w:pPr>
        <w:spacing w:line="240" w:lineRule="auto"/>
        <w:jc w:val="both"/>
        <w:rPr>
          <w:rFonts w:asciiTheme="majorBidi" w:hAnsiTheme="majorBidi" w:cstheme="majorBidi"/>
          <w:sz w:val="28"/>
          <w:szCs w:val="28"/>
        </w:rPr>
      </w:pPr>
    </w:p>
    <w:p w14:paraId="7142A2C0" w14:textId="77777777" w:rsidR="009A0020" w:rsidRPr="009A0020" w:rsidRDefault="009A0020" w:rsidP="009A0020">
      <w:pPr>
        <w:spacing w:line="240" w:lineRule="auto"/>
        <w:ind w:firstLine="720"/>
        <w:jc w:val="both"/>
        <w:rPr>
          <w:rFonts w:asciiTheme="majorBidi" w:hAnsiTheme="majorBidi" w:cstheme="majorBidi"/>
          <w:sz w:val="28"/>
          <w:szCs w:val="28"/>
          <w:rtl/>
        </w:rPr>
      </w:pPr>
      <w:r w:rsidRPr="009A0020">
        <w:rPr>
          <w:rFonts w:asciiTheme="majorBidi" w:hAnsiTheme="majorBidi" w:cstheme="majorBidi"/>
          <w:sz w:val="28"/>
          <w:szCs w:val="28"/>
        </w:rPr>
        <w:t>Palestinian Central Bureau of Statistics data also indicates that unemployment rates among persons with disabilities reached 37% (19% in the West Bank and 54% in the Gaza Strip). The participation rate of women with disabilities in the Palestinian labor force is only 2% of women with disabilities, compared to 23% of men with disabilities</w:t>
      </w:r>
      <w:r w:rsidRPr="009A0020">
        <w:rPr>
          <w:rFonts w:asciiTheme="majorBidi" w:hAnsiTheme="majorBidi" w:cstheme="majorBidi"/>
          <w:sz w:val="28"/>
          <w:szCs w:val="28"/>
          <w:rtl/>
        </w:rPr>
        <w:t>.</w:t>
      </w:r>
    </w:p>
    <w:p w14:paraId="246A9DC8" w14:textId="77777777" w:rsidR="009A0020" w:rsidRPr="009A0020" w:rsidRDefault="009A0020" w:rsidP="009A0020">
      <w:pPr>
        <w:spacing w:line="240" w:lineRule="auto"/>
        <w:ind w:firstLine="720"/>
        <w:jc w:val="both"/>
        <w:rPr>
          <w:rFonts w:asciiTheme="majorBidi" w:hAnsiTheme="majorBidi" w:cstheme="majorBidi"/>
          <w:sz w:val="28"/>
          <w:szCs w:val="28"/>
          <w:rtl/>
        </w:rPr>
      </w:pPr>
      <w:r w:rsidRPr="009A0020">
        <w:rPr>
          <w:rFonts w:asciiTheme="majorBidi" w:hAnsiTheme="majorBidi" w:cstheme="majorBidi"/>
          <w:sz w:val="28"/>
          <w:szCs w:val="28"/>
        </w:rPr>
        <w:t>The reports confirm the fragility of the economic and social conditions of persons with disabilities and the increase in violence against persons with disabilities during the period of aggression; 9.8% of persons with disabilities were subjected to the demolition of their homes due to the aggression occupation, 3.8% were subjected to the injury of one or more persons within the family, 34.1% of persons with disabilities confirmed their inability to access medicine and medical supplies, while 78% confirmed their inability to access food due to aggression, in addition to the displacement of about 28% of persons with disabilities due to the aggression of a relative, this doubles the suffering of persons with disabilities in adapting to a new, unsuitable place, 23.5% of persons with disabilities confirmed their exposure to domestic violence during the period of aggression, 25.8% of persons with disabilities confirmed their exposure to violence before and during the period of aggression, 32% of women with disabilities confirmed their exposure to violence before and during the aggression, and 92.4% of persons with disabilities were affected by psychological and social effects due to the occupation’s aggression on the Gaza Strip, 77% of persons with disabilities affirmed their need to receive psychological and protection services</w:t>
      </w:r>
      <w:r w:rsidRPr="009A0020">
        <w:rPr>
          <w:rFonts w:asciiTheme="majorBidi" w:hAnsiTheme="majorBidi" w:cstheme="majorBidi"/>
          <w:sz w:val="28"/>
          <w:szCs w:val="28"/>
          <w:rtl/>
        </w:rPr>
        <w:t>.</w:t>
      </w:r>
    </w:p>
    <w:p w14:paraId="2933C937" w14:textId="77777777" w:rsidR="009A0020" w:rsidRPr="009A0020" w:rsidRDefault="009A0020" w:rsidP="009A0020">
      <w:pPr>
        <w:spacing w:line="240" w:lineRule="auto"/>
        <w:jc w:val="both"/>
        <w:rPr>
          <w:rFonts w:asciiTheme="majorBidi" w:hAnsiTheme="majorBidi" w:cstheme="majorBidi"/>
          <w:sz w:val="28"/>
          <w:szCs w:val="28"/>
        </w:rPr>
      </w:pPr>
      <w:r w:rsidRPr="009A0020">
        <w:rPr>
          <w:rFonts w:asciiTheme="majorBidi" w:hAnsiTheme="majorBidi" w:cstheme="majorBidi"/>
          <w:sz w:val="28"/>
          <w:szCs w:val="28"/>
          <w:rtl/>
        </w:rPr>
        <w:t xml:space="preserve">  </w:t>
      </w:r>
      <w:r w:rsidRPr="009A0020">
        <w:rPr>
          <w:rFonts w:asciiTheme="majorBidi" w:hAnsiTheme="majorBidi" w:cstheme="majorBidi"/>
          <w:sz w:val="28"/>
          <w:szCs w:val="28"/>
        </w:rPr>
        <w:t>The continued violations of the Israeli occupation forces in the occupied West Bank, and the blockade imposed on the Gaza Strip for more than 16 years, led to the deterioration of the economic and social conditions in the Gaza Strip and the high rates of unemployment, poverty, and food insecurity among the Palestinian population; it has negatively affected the conditions of persons with disabilities and their families, who suffer from a severe shortage of rehabilitation services, social care, health services, and educational services, in addition to the threats and difficulties faced by persons with disabilities in general, and mobility disabilities in particular, during the Israeli aggression against the Gaza Strip, and the difficulty of evacuating them from dangerous areas or threatened civilian homes, this data is a true indicator of the large gap between the reality of persons with disabilities in Palestine and their rights guaranteed by international and local laws</w:t>
      </w:r>
      <w:r w:rsidRPr="009A0020">
        <w:rPr>
          <w:rFonts w:asciiTheme="majorBidi" w:hAnsiTheme="majorBidi" w:cstheme="majorBidi"/>
          <w:sz w:val="28"/>
          <w:szCs w:val="28"/>
          <w:rtl/>
        </w:rPr>
        <w:t>.</w:t>
      </w:r>
    </w:p>
    <w:p w14:paraId="42BB085D" w14:textId="77777777" w:rsidR="009A0020" w:rsidRPr="009A0020" w:rsidRDefault="009A0020" w:rsidP="009A0020">
      <w:pPr>
        <w:spacing w:line="240" w:lineRule="auto"/>
        <w:ind w:firstLine="720"/>
        <w:jc w:val="both"/>
        <w:rPr>
          <w:rFonts w:asciiTheme="majorBidi" w:hAnsiTheme="majorBidi" w:cstheme="majorBidi"/>
          <w:sz w:val="28"/>
          <w:szCs w:val="28"/>
          <w:rtl/>
        </w:rPr>
      </w:pPr>
      <w:r w:rsidRPr="009A0020">
        <w:rPr>
          <w:rFonts w:asciiTheme="majorBidi" w:hAnsiTheme="majorBidi" w:cstheme="majorBidi"/>
          <w:sz w:val="28"/>
          <w:szCs w:val="28"/>
        </w:rPr>
        <w:t>Hence, Maat for Peace, Development and Human Rights asserts that the reality of people with disabilities will not change for the better except by obligating the Israeli occupation to respect the rights of people with disabilities and punishing and criminalizing them for violating them through international institutions, in addition to making a legal amendment that guarantees the preservation and dignity of the rights of this societal group and considers its requirements, needs, and circumstances. It also entails developing plans that are suitable for the desired services for this special group, which leads to positive changes that will develop policies and laws related to mental health, work, means of transportation, and other services that can be It will promote and protect the rights of persons with disabilities in Palestine</w:t>
      </w:r>
      <w:r w:rsidRPr="009A0020">
        <w:rPr>
          <w:rFonts w:asciiTheme="majorBidi" w:hAnsiTheme="majorBidi" w:cstheme="majorBidi"/>
          <w:sz w:val="28"/>
          <w:szCs w:val="28"/>
          <w:rtl/>
        </w:rPr>
        <w:t>.</w:t>
      </w:r>
    </w:p>
    <w:p w14:paraId="1C3CB945" w14:textId="60BE93F3" w:rsidR="009A0020" w:rsidRPr="009A0020" w:rsidRDefault="009A0020" w:rsidP="009A0020">
      <w:pPr>
        <w:spacing w:line="240" w:lineRule="auto"/>
        <w:jc w:val="both"/>
        <w:rPr>
          <w:rFonts w:asciiTheme="majorBidi" w:hAnsiTheme="majorBidi" w:cstheme="majorBidi"/>
          <w:b/>
          <w:bCs/>
          <w:sz w:val="28"/>
          <w:szCs w:val="28"/>
        </w:rPr>
      </w:pPr>
      <w:r w:rsidRPr="009A0020">
        <w:rPr>
          <w:rFonts w:asciiTheme="majorBidi" w:hAnsiTheme="majorBidi" w:cstheme="majorBidi"/>
          <w:b/>
          <w:bCs/>
          <w:sz w:val="28"/>
          <w:szCs w:val="28"/>
        </w:rPr>
        <w:t>Hen</w:t>
      </w:r>
      <w:bookmarkStart w:id="0" w:name="_GoBack"/>
      <w:bookmarkEnd w:id="0"/>
      <w:r w:rsidRPr="009A0020">
        <w:rPr>
          <w:rFonts w:asciiTheme="majorBidi" w:hAnsiTheme="majorBidi" w:cstheme="majorBidi"/>
          <w:b/>
          <w:bCs/>
          <w:sz w:val="28"/>
          <w:szCs w:val="28"/>
        </w:rPr>
        <w:t>ce, Maat</w:t>
      </w:r>
      <w:r>
        <w:rPr>
          <w:rFonts w:asciiTheme="majorBidi" w:hAnsiTheme="majorBidi" w:cstheme="majorBidi"/>
          <w:b/>
          <w:bCs/>
          <w:sz w:val="28"/>
          <w:szCs w:val="28"/>
        </w:rPr>
        <w:t xml:space="preserve"> asks the following</w:t>
      </w:r>
      <w:r w:rsidRPr="009A0020">
        <w:rPr>
          <w:rFonts w:asciiTheme="majorBidi" w:hAnsiTheme="majorBidi" w:cstheme="majorBidi"/>
          <w:b/>
          <w:bCs/>
          <w:sz w:val="28"/>
          <w:szCs w:val="28"/>
          <w:rtl/>
        </w:rPr>
        <w:t>:</w:t>
      </w:r>
    </w:p>
    <w:p w14:paraId="609C4B9B" w14:textId="0791A6F2" w:rsidR="009A0020" w:rsidRPr="009A0020" w:rsidRDefault="009A0020" w:rsidP="009A0020">
      <w:pPr>
        <w:pStyle w:val="ListParagraph"/>
        <w:numPr>
          <w:ilvl w:val="0"/>
          <w:numId w:val="19"/>
        </w:numPr>
        <w:spacing w:after="200" w:line="240" w:lineRule="auto"/>
        <w:jc w:val="both"/>
        <w:rPr>
          <w:rFonts w:asciiTheme="majorBidi" w:hAnsiTheme="majorBidi" w:cstheme="majorBidi"/>
          <w:sz w:val="28"/>
          <w:szCs w:val="28"/>
        </w:rPr>
      </w:pPr>
      <w:r>
        <w:rPr>
          <w:rFonts w:asciiTheme="majorBidi" w:hAnsiTheme="majorBidi" w:cstheme="majorBidi"/>
          <w:sz w:val="28"/>
          <w:szCs w:val="28"/>
        </w:rPr>
        <w:t xml:space="preserve">To </w:t>
      </w:r>
      <w:r w:rsidRPr="009A0020">
        <w:rPr>
          <w:rFonts w:asciiTheme="majorBidi" w:hAnsiTheme="majorBidi" w:cstheme="majorBidi"/>
          <w:sz w:val="28"/>
          <w:szCs w:val="28"/>
        </w:rPr>
        <w:t>Review the Palestinian Law on the Rights of Persons with Disabilities and form a tool for pressure and advocacy to improve the conditions of people with disabilities and preserve their rights</w:t>
      </w:r>
      <w:r w:rsidRPr="009A0020">
        <w:rPr>
          <w:rFonts w:asciiTheme="majorBidi" w:hAnsiTheme="majorBidi" w:cstheme="majorBidi"/>
          <w:sz w:val="28"/>
          <w:szCs w:val="28"/>
          <w:rtl/>
        </w:rPr>
        <w:t>.</w:t>
      </w:r>
    </w:p>
    <w:p w14:paraId="477C8E96" w14:textId="77777777" w:rsidR="009A0020" w:rsidRPr="009A0020" w:rsidRDefault="009A0020" w:rsidP="009A0020">
      <w:pPr>
        <w:pStyle w:val="ListParagraph"/>
        <w:numPr>
          <w:ilvl w:val="0"/>
          <w:numId w:val="19"/>
        </w:numPr>
        <w:spacing w:after="200" w:line="240" w:lineRule="auto"/>
        <w:jc w:val="both"/>
        <w:rPr>
          <w:rFonts w:asciiTheme="majorBidi" w:hAnsiTheme="majorBidi" w:cstheme="majorBidi"/>
          <w:sz w:val="28"/>
          <w:szCs w:val="28"/>
        </w:rPr>
      </w:pPr>
      <w:r w:rsidRPr="009A0020">
        <w:rPr>
          <w:rFonts w:asciiTheme="majorBidi" w:hAnsiTheme="majorBidi" w:cstheme="majorBidi"/>
          <w:sz w:val="28"/>
          <w:szCs w:val="28"/>
        </w:rPr>
        <w:t>Conduct a comprehensive review of all Palestinian legislation regulating the rights of people with disabilities to remove the legal contradiction between them, at the top of these legislations is the Law on the Rights of Persons with Disabilities and its implementing regulations, in addition to the articles contained in the labor and civil service laws</w:t>
      </w:r>
      <w:r w:rsidRPr="009A0020">
        <w:rPr>
          <w:rFonts w:asciiTheme="majorBidi" w:hAnsiTheme="majorBidi" w:cstheme="majorBidi"/>
          <w:sz w:val="28"/>
          <w:szCs w:val="28"/>
          <w:rtl/>
        </w:rPr>
        <w:t>.</w:t>
      </w:r>
    </w:p>
    <w:p w14:paraId="1076F0A1" w14:textId="77777777" w:rsidR="009A0020" w:rsidRPr="009A0020" w:rsidRDefault="009A0020" w:rsidP="009A0020">
      <w:pPr>
        <w:pStyle w:val="ListParagraph"/>
        <w:numPr>
          <w:ilvl w:val="0"/>
          <w:numId w:val="19"/>
        </w:numPr>
        <w:spacing w:after="200" w:line="240" w:lineRule="auto"/>
        <w:jc w:val="both"/>
        <w:rPr>
          <w:rFonts w:asciiTheme="majorBidi" w:hAnsiTheme="majorBidi" w:cstheme="majorBidi"/>
          <w:sz w:val="28"/>
          <w:szCs w:val="28"/>
        </w:rPr>
      </w:pPr>
      <w:r w:rsidRPr="009A0020">
        <w:rPr>
          <w:rFonts w:asciiTheme="majorBidi" w:hAnsiTheme="majorBidi" w:cstheme="majorBidi"/>
          <w:sz w:val="28"/>
          <w:szCs w:val="28"/>
        </w:rPr>
        <w:t>Existence of cooperation and coordination between all institutions and agencies concerned with implementation, such as the government, the General Union of Palestinian Handicapped, the private sector, civil society organizations working in the field of disability, and human rights institutions in general</w:t>
      </w:r>
      <w:r w:rsidRPr="009A0020">
        <w:rPr>
          <w:rFonts w:asciiTheme="majorBidi" w:hAnsiTheme="majorBidi" w:cstheme="majorBidi"/>
          <w:sz w:val="28"/>
          <w:szCs w:val="28"/>
          <w:rtl/>
        </w:rPr>
        <w:t>.</w:t>
      </w:r>
    </w:p>
    <w:p w14:paraId="3DFA05B0" w14:textId="77777777" w:rsidR="009A0020" w:rsidRPr="009A0020" w:rsidRDefault="009A0020" w:rsidP="009A0020">
      <w:pPr>
        <w:pStyle w:val="ListParagraph"/>
        <w:numPr>
          <w:ilvl w:val="0"/>
          <w:numId w:val="19"/>
        </w:numPr>
        <w:spacing w:after="200" w:line="240" w:lineRule="auto"/>
        <w:jc w:val="both"/>
        <w:rPr>
          <w:rFonts w:asciiTheme="majorBidi" w:hAnsiTheme="majorBidi" w:cstheme="majorBidi"/>
          <w:sz w:val="28"/>
          <w:szCs w:val="28"/>
        </w:rPr>
      </w:pPr>
      <w:r w:rsidRPr="009A0020">
        <w:rPr>
          <w:rFonts w:asciiTheme="majorBidi" w:hAnsiTheme="majorBidi" w:cstheme="majorBidi"/>
          <w:sz w:val="28"/>
          <w:szCs w:val="28"/>
        </w:rPr>
        <w:t>Reduce the challenges that prevent the inclusion of persons with disabilities in education and improve the quality of education and its availability for all, focusing on the weak, marginalized, and less fortunate groups, such as persons with disabilities</w:t>
      </w:r>
      <w:r w:rsidRPr="009A0020">
        <w:rPr>
          <w:rFonts w:asciiTheme="majorBidi" w:hAnsiTheme="majorBidi" w:cstheme="majorBidi"/>
          <w:sz w:val="28"/>
          <w:szCs w:val="28"/>
          <w:rtl/>
        </w:rPr>
        <w:t>.</w:t>
      </w:r>
    </w:p>
    <w:p w14:paraId="3BB9096E" w14:textId="77777777" w:rsidR="009A0020" w:rsidRPr="005B656D" w:rsidRDefault="009A0020" w:rsidP="005B656D">
      <w:pPr>
        <w:bidi/>
        <w:rPr>
          <w:rFonts w:asciiTheme="majorBidi" w:hAnsiTheme="majorBidi" w:cstheme="majorBidi"/>
          <w:sz w:val="28"/>
          <w:szCs w:val="28"/>
          <w:lang w:bidi="ar-EG"/>
        </w:rPr>
      </w:pPr>
    </w:p>
    <w:p w14:paraId="44AB884B" w14:textId="77777777" w:rsidR="009A0020" w:rsidRPr="005B656D" w:rsidRDefault="009A0020" w:rsidP="00210223">
      <w:pPr>
        <w:rPr>
          <w:rFonts w:asciiTheme="majorBidi" w:hAnsiTheme="majorBidi" w:cstheme="majorBidi"/>
          <w:sz w:val="28"/>
          <w:szCs w:val="28"/>
        </w:rPr>
      </w:pPr>
    </w:p>
    <w:p w14:paraId="6FA5AA08" w14:textId="77777777" w:rsidR="00C41B4E" w:rsidRPr="009A0020" w:rsidRDefault="00C41B4E" w:rsidP="00295CF7">
      <w:pPr>
        <w:bidi/>
        <w:rPr>
          <w:rtl/>
          <w:lang w:bidi="ar-EG"/>
        </w:rPr>
      </w:pPr>
    </w:p>
    <w:sectPr w:rsidR="00C41B4E" w:rsidRPr="009A0020"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906A1" w14:textId="77777777" w:rsidR="006645D4" w:rsidRDefault="006645D4" w:rsidP="00CF1B4C">
      <w:pPr>
        <w:spacing w:after="0" w:line="240" w:lineRule="auto"/>
      </w:pPr>
      <w:r>
        <w:separator/>
      </w:r>
    </w:p>
  </w:endnote>
  <w:endnote w:type="continuationSeparator" w:id="0">
    <w:p w14:paraId="0D1B5297" w14:textId="77777777" w:rsidR="006645D4" w:rsidRDefault="006645D4"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0712026C" w14:textId="77777777" w:rsidR="005E0A46" w:rsidRDefault="006B714E">
        <w:pPr>
          <w:pStyle w:val="Footer"/>
          <w:jc w:val="center"/>
        </w:pPr>
        <w:r w:rsidRPr="006B714E">
          <w:rPr>
            <w:b/>
            <w:bCs/>
            <w:noProof/>
          </w:rPr>
          <w:drawing>
            <wp:anchor distT="0" distB="0" distL="114300" distR="114300" simplePos="0" relativeHeight="251661312" behindDoc="1" locked="0" layoutInCell="1" allowOverlap="1" wp14:anchorId="38307709" wp14:editId="36535F20">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5E0A46" w:rsidRPr="006B714E">
          <w:rPr>
            <w:b/>
            <w:bCs/>
            <w:noProof/>
          </w:rPr>
          <w:t>2</w:t>
        </w:r>
        <w:r w:rsidR="005E0A46" w:rsidRPr="006B714E">
          <w:rPr>
            <w:b/>
            <w:bCs/>
            <w:noProof/>
          </w:rPr>
          <w:fldChar w:fldCharType="end"/>
        </w:r>
      </w:p>
    </w:sdtContent>
  </w:sdt>
  <w:p w14:paraId="58F3AC38" w14:textId="77777777"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14:paraId="6EE44BC1" w14:textId="77777777" w:rsidTr="0036671B">
      <w:trPr>
        <w:jc w:val="center"/>
      </w:trPr>
      <w:tc>
        <w:tcPr>
          <w:tcW w:w="646" w:type="pct"/>
          <w:vMerge w:val="restart"/>
          <w:vAlign w:val="center"/>
        </w:tcPr>
        <w:p w14:paraId="05F5056C" w14:textId="77777777" w:rsidR="006B714E" w:rsidRDefault="006B714E" w:rsidP="006B714E">
          <w:pPr>
            <w:spacing w:after="60" w:line="240" w:lineRule="auto"/>
            <w:jc w:val="center"/>
            <w:rPr>
              <w:noProof/>
              <w:rtl/>
            </w:rPr>
          </w:pPr>
          <w:r>
            <w:rPr>
              <w:rFonts w:hint="cs"/>
              <w:noProof/>
            </w:rPr>
            <w:drawing>
              <wp:inline distT="0" distB="0" distL="0" distR="0" wp14:anchorId="795EE2DD" wp14:editId="483224C8">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23DDB30A" w14:textId="77777777" w:rsidR="006B714E" w:rsidRDefault="006B714E" w:rsidP="006B714E">
          <w:pPr>
            <w:spacing w:after="60" w:line="240" w:lineRule="auto"/>
            <w:rPr>
              <w:rFonts w:ascii="Times New Roman" w:hAnsi="Times New Roman" w:cs="Times New Roman"/>
              <w:b/>
              <w:bCs/>
              <w:color w:val="000066"/>
              <w:sz w:val="20"/>
              <w:szCs w:val="20"/>
            </w:rPr>
          </w:pPr>
        </w:p>
        <w:p w14:paraId="0B2A3FF5" w14:textId="77777777"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14:paraId="4E971D85" w14:textId="77777777" w:rsidTr="0036671B">
      <w:trPr>
        <w:jc w:val="center"/>
      </w:trPr>
      <w:tc>
        <w:tcPr>
          <w:tcW w:w="646" w:type="pct"/>
          <w:vMerge/>
        </w:tcPr>
        <w:p w14:paraId="473B1C54" w14:textId="77777777" w:rsidR="006B714E" w:rsidRDefault="006B714E" w:rsidP="006B714E">
          <w:pPr>
            <w:spacing w:after="0"/>
            <w:jc w:val="center"/>
            <w:rPr>
              <w:b/>
              <w:bCs/>
              <w:noProof/>
              <w:lang w:bidi="ar-EG"/>
            </w:rPr>
          </w:pPr>
        </w:p>
      </w:tc>
      <w:tc>
        <w:tcPr>
          <w:tcW w:w="278" w:type="pct"/>
          <w:vMerge w:val="restart"/>
          <w:vAlign w:val="center"/>
        </w:tcPr>
        <w:p w14:paraId="41BAAE0A" w14:textId="77777777" w:rsidR="006B714E" w:rsidRPr="000F15D5" w:rsidRDefault="006B714E" w:rsidP="006B714E">
          <w:pPr>
            <w:spacing w:after="0"/>
            <w:jc w:val="center"/>
            <w:rPr>
              <w:b/>
              <w:bCs/>
              <w:lang w:bidi="ar-EG"/>
            </w:rPr>
          </w:pPr>
          <w:r>
            <w:rPr>
              <w:b/>
              <w:bCs/>
              <w:noProof/>
              <w:lang w:bidi="ar-EG"/>
            </w:rPr>
            <w:drawing>
              <wp:inline distT="0" distB="0" distL="0" distR="0" wp14:anchorId="46B9E718" wp14:editId="64E366C6">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31B38236" w14:textId="77777777"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14:paraId="6C7E6195" w14:textId="77777777" w:rsidTr="0036671B">
      <w:trPr>
        <w:jc w:val="center"/>
      </w:trPr>
      <w:tc>
        <w:tcPr>
          <w:tcW w:w="646" w:type="pct"/>
          <w:vMerge/>
        </w:tcPr>
        <w:p w14:paraId="1654513C" w14:textId="77777777" w:rsidR="006B714E" w:rsidRDefault="006B714E" w:rsidP="006B714E">
          <w:pPr>
            <w:spacing w:after="0"/>
            <w:jc w:val="center"/>
            <w:rPr>
              <w:lang w:bidi="ar-EG"/>
            </w:rPr>
          </w:pPr>
        </w:p>
      </w:tc>
      <w:tc>
        <w:tcPr>
          <w:tcW w:w="278" w:type="pct"/>
          <w:vMerge/>
          <w:vAlign w:val="center"/>
        </w:tcPr>
        <w:p w14:paraId="3BBD1D13" w14:textId="77777777" w:rsidR="006B714E" w:rsidRDefault="006B714E" w:rsidP="006B714E">
          <w:pPr>
            <w:spacing w:after="0"/>
            <w:jc w:val="center"/>
            <w:rPr>
              <w:lang w:bidi="ar-EG"/>
            </w:rPr>
          </w:pPr>
        </w:p>
      </w:tc>
      <w:tc>
        <w:tcPr>
          <w:tcW w:w="4076" w:type="pct"/>
          <w:gridSpan w:val="5"/>
          <w:vAlign w:val="center"/>
        </w:tcPr>
        <w:p w14:paraId="6111372B" w14:textId="77777777"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14:paraId="7D34E53F" w14:textId="77777777" w:rsidTr="0036671B">
      <w:trPr>
        <w:jc w:val="center"/>
      </w:trPr>
      <w:tc>
        <w:tcPr>
          <w:tcW w:w="646" w:type="pct"/>
          <w:vMerge/>
        </w:tcPr>
        <w:p w14:paraId="47727FB9" w14:textId="77777777" w:rsidR="006B714E" w:rsidRDefault="006B714E" w:rsidP="006B714E">
          <w:pPr>
            <w:spacing w:after="0"/>
            <w:jc w:val="center"/>
            <w:rPr>
              <w:noProof/>
              <w:lang w:bidi="ar-EG"/>
            </w:rPr>
          </w:pPr>
        </w:p>
      </w:tc>
      <w:tc>
        <w:tcPr>
          <w:tcW w:w="278" w:type="pct"/>
          <w:vAlign w:val="center"/>
        </w:tcPr>
        <w:p w14:paraId="0E9AB9F2" w14:textId="77777777" w:rsidR="006B714E" w:rsidRDefault="006B714E" w:rsidP="006B714E">
          <w:pPr>
            <w:spacing w:after="0"/>
            <w:jc w:val="center"/>
            <w:rPr>
              <w:lang w:bidi="ar-EG"/>
            </w:rPr>
          </w:pPr>
          <w:r>
            <w:rPr>
              <w:noProof/>
              <w:lang w:bidi="ar-EG"/>
            </w:rPr>
            <w:drawing>
              <wp:inline distT="0" distB="0" distL="0" distR="0" wp14:anchorId="02EA98B8" wp14:editId="7CF175B3">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60DC354E" w14:textId="77777777"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7AF5DA9B" w14:textId="77777777"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44D07461" w14:textId="77777777" w:rsidR="006B714E" w:rsidRPr="00A20672" w:rsidRDefault="006B714E" w:rsidP="006B714E">
          <w:pPr>
            <w:spacing w:after="0"/>
            <w:rPr>
              <w:b/>
              <w:bCs/>
              <w:sz w:val="18"/>
              <w:szCs w:val="18"/>
              <w:lang w:bidi="ar-EG"/>
            </w:rPr>
          </w:pPr>
          <w:r>
            <w:rPr>
              <w:b/>
              <w:bCs/>
              <w:noProof/>
              <w:sz w:val="18"/>
              <w:szCs w:val="18"/>
              <w:lang w:bidi="ar-EG"/>
            </w:rPr>
            <w:drawing>
              <wp:inline distT="0" distB="0" distL="0" distR="0" wp14:anchorId="563D5056" wp14:editId="093FCAD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0C0D81B0" w14:textId="77777777"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14:paraId="46AC6109" w14:textId="77777777" w:rsidTr="0036671B">
      <w:trPr>
        <w:jc w:val="center"/>
      </w:trPr>
      <w:tc>
        <w:tcPr>
          <w:tcW w:w="646" w:type="pct"/>
          <w:vMerge/>
        </w:tcPr>
        <w:p w14:paraId="714B9772" w14:textId="77777777" w:rsidR="006B714E" w:rsidRDefault="006B714E" w:rsidP="006B714E">
          <w:pPr>
            <w:spacing w:after="0"/>
            <w:jc w:val="center"/>
            <w:rPr>
              <w:noProof/>
              <w:lang w:bidi="ar-EG"/>
            </w:rPr>
          </w:pPr>
        </w:p>
      </w:tc>
      <w:tc>
        <w:tcPr>
          <w:tcW w:w="278" w:type="pct"/>
          <w:vAlign w:val="center"/>
        </w:tcPr>
        <w:p w14:paraId="7BFDF077" w14:textId="77777777" w:rsidR="006B714E" w:rsidRDefault="006B714E" w:rsidP="006B714E">
          <w:pPr>
            <w:spacing w:after="0"/>
            <w:jc w:val="center"/>
            <w:rPr>
              <w:noProof/>
              <w:lang w:bidi="ar-EG"/>
            </w:rPr>
          </w:pPr>
          <w:r>
            <w:rPr>
              <w:noProof/>
              <w:lang w:bidi="ar-EG"/>
            </w:rPr>
            <w:drawing>
              <wp:inline distT="0" distB="0" distL="0" distR="0" wp14:anchorId="6F55342E" wp14:editId="32BFAAA5">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7FEEF67" w14:textId="77777777"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6A332B17" w14:textId="77777777"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4809080B" w14:textId="77777777"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7E023F00" wp14:editId="3737D2A5">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1D865D0C" w14:textId="77777777"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14:paraId="5E1381A4" w14:textId="77777777"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7398D04A" wp14:editId="487BAA9B">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A7C36" w14:textId="77777777" w:rsidR="006645D4" w:rsidRDefault="006645D4" w:rsidP="00CF1B4C">
      <w:pPr>
        <w:spacing w:after="0" w:line="240" w:lineRule="auto"/>
      </w:pPr>
      <w:r>
        <w:separator/>
      </w:r>
    </w:p>
  </w:footnote>
  <w:footnote w:type="continuationSeparator" w:id="0">
    <w:p w14:paraId="326B21F5" w14:textId="77777777" w:rsidR="006645D4" w:rsidRDefault="006645D4" w:rsidP="00CF1B4C">
      <w:pPr>
        <w:spacing w:after="0" w:line="240" w:lineRule="auto"/>
      </w:pPr>
      <w:r>
        <w:continuationSeparator/>
      </w:r>
    </w:p>
  </w:footnote>
  <w:footnote w:id="1">
    <w:p w14:paraId="03987C18" w14:textId="77777777" w:rsidR="009A0020" w:rsidRDefault="009A0020" w:rsidP="00F7674B">
      <w:pPr>
        <w:pStyle w:val="FootnoteText"/>
        <w:bidi/>
      </w:pPr>
      <w:r>
        <w:rPr>
          <w:rStyle w:val="FootnoteReference"/>
        </w:rPr>
        <w:footnoteRef/>
      </w:r>
      <w:r>
        <w:t xml:space="preserve"> </w:t>
      </w:r>
      <w:r>
        <w:rPr>
          <w:rFonts w:hint="cs"/>
          <w:rtl/>
          <w:lang w:bidi="ar-EG"/>
        </w:rPr>
        <w:t xml:space="preserve">واقع الاعاقة في فلسطين، وكالة الانباء والمعلومات </w:t>
      </w:r>
      <w:proofErr w:type="gramStart"/>
      <w:r>
        <w:rPr>
          <w:rFonts w:hint="cs"/>
          <w:rtl/>
          <w:lang w:bidi="ar-EG"/>
        </w:rPr>
        <w:t>الفلسطينية ،</w:t>
      </w:r>
      <w:proofErr w:type="gramEnd"/>
      <w:r>
        <w:rPr>
          <w:rFonts w:hint="cs"/>
          <w:rtl/>
          <w:lang w:bidi="ar-EG"/>
        </w:rPr>
        <w:t xml:space="preserve"> الرابط، </w:t>
      </w:r>
      <w:hyperlink r:id="rId1" w:history="1">
        <w:r w:rsidRPr="00072876">
          <w:rPr>
            <w:rStyle w:val="Hyperlink"/>
            <w:lang w:bidi="ar-EG"/>
          </w:rPr>
          <w:t>https://info.wafa.ps/ar_page.aspx?id=9475</w:t>
        </w:r>
      </w:hyperlink>
    </w:p>
  </w:footnote>
  <w:footnote w:id="2">
    <w:p w14:paraId="0BDD45D7" w14:textId="77777777" w:rsidR="009A0020" w:rsidRDefault="009A0020" w:rsidP="00F7674B">
      <w:pPr>
        <w:bidi/>
        <w:rPr>
          <w:lang w:bidi="ar-EG"/>
        </w:rPr>
      </w:pPr>
      <w:r>
        <w:rPr>
          <w:rStyle w:val="FootnoteReference"/>
        </w:rPr>
        <w:footnoteRef/>
      </w:r>
      <w:r>
        <w:t xml:space="preserve"> </w:t>
      </w:r>
      <w:r w:rsidRPr="006A06CA">
        <w:rPr>
          <w:rtl/>
        </w:rPr>
        <w:t>استمرار الانتهاكات بحق الأشخاص ذوي الإعاقة في فلسطين</w:t>
      </w:r>
      <w:r>
        <w:rPr>
          <w:rFonts w:hint="cs"/>
          <w:rtl/>
        </w:rPr>
        <w:t xml:space="preserve">، المركز الفلسطيني لحقوق الانسان، 2 ديسمبر 2021، الرابط، </w:t>
      </w:r>
      <w:hyperlink r:id="rId2" w:history="1">
        <w:r w:rsidRPr="0035682E">
          <w:rPr>
            <w:rStyle w:val="Hyperlink"/>
          </w:rPr>
          <w:t>https://bit.ly/3XI2jZl</w:t>
        </w:r>
      </w:hyperlink>
    </w:p>
  </w:footnote>
  <w:footnote w:id="3">
    <w:p w14:paraId="42CD0785" w14:textId="77777777" w:rsidR="009A0020" w:rsidRDefault="009A0020" w:rsidP="00F7674B">
      <w:pPr>
        <w:pStyle w:val="FootnoteText"/>
        <w:bidi/>
      </w:pPr>
      <w:r>
        <w:rPr>
          <w:rStyle w:val="FootnoteReference"/>
        </w:rPr>
        <w:footnoteRef/>
      </w:r>
      <w:r>
        <w:t xml:space="preserve"> </w:t>
      </w:r>
      <w:r>
        <w:rPr>
          <w:rFonts w:hint="cs"/>
          <w:rtl/>
          <w:lang w:bidi="ar-EG"/>
        </w:rPr>
        <w:t xml:space="preserve">ذوو الاعاقة في فلسطين نضال متواصل لتعزيز حقوقهم واحترامها، قدس برس، ديسمبر 2022، الرابط، </w:t>
      </w:r>
      <w:hyperlink r:id="rId3" w:history="1">
        <w:r w:rsidRPr="00982E88">
          <w:rPr>
            <w:rStyle w:val="Hyperlink"/>
            <w:lang w:bidi="ar-EG"/>
          </w:rPr>
          <w:t>https://qudspress.com/10503</w:t>
        </w:r>
        <w:r w:rsidRPr="00982E88">
          <w:rPr>
            <w:rStyle w:val="Hyperlink"/>
            <w:rFonts w:cs="Arial"/>
            <w:rtl/>
            <w:lang w:bidi="ar-EG"/>
          </w:rPr>
          <w:t>/</w:t>
        </w:r>
      </w:hyperlink>
    </w:p>
  </w:footnote>
  <w:footnote w:id="4">
    <w:p w14:paraId="4EA65EEB" w14:textId="77777777" w:rsidR="009A0020" w:rsidRDefault="009A0020">
      <w:pPr>
        <w:pStyle w:val="FootnoteText"/>
      </w:pPr>
      <w:r>
        <w:rPr>
          <w:rStyle w:val="FootnoteReference"/>
        </w:rPr>
        <w:footnoteRef/>
      </w:r>
      <w:r>
        <w:t xml:space="preserve"> </w:t>
      </w:r>
      <w:r w:rsidRPr="00497CA7">
        <w:rPr>
          <w:rtl/>
          <w:lang w:bidi="ar-EG"/>
        </w:rPr>
        <w:t>ذوو الإعاقة في فلسطين</w:t>
      </w:r>
      <w:r>
        <w:rPr>
          <w:rFonts w:hint="cs"/>
          <w:rtl/>
          <w:lang w:bidi="ar-EG"/>
        </w:rPr>
        <w:t>.</w:t>
      </w:r>
      <w:r w:rsidRPr="00497CA7">
        <w:rPr>
          <w:rtl/>
          <w:lang w:bidi="ar-EG"/>
        </w:rPr>
        <w:t xml:space="preserve"> بين القانون والحقوق</w:t>
      </w:r>
      <w:r>
        <w:rPr>
          <w:rFonts w:hint="cs"/>
          <w:rtl/>
          <w:lang w:bidi="ar-EG"/>
        </w:rPr>
        <w:t xml:space="preserve">، وكالة وفا، 2018، الرابط، </w:t>
      </w:r>
      <w:hyperlink r:id="rId4" w:history="1">
        <w:r w:rsidRPr="00072876">
          <w:rPr>
            <w:rStyle w:val="Hyperlink"/>
            <w:lang w:bidi="ar-EG"/>
          </w:rPr>
          <w:t>https://bit.ly/3lYqyFH</w:t>
        </w:r>
      </w:hyperlink>
    </w:p>
  </w:footnote>
  <w:footnote w:id="5">
    <w:p w14:paraId="5F9442E6" w14:textId="77777777" w:rsidR="009A0020" w:rsidRDefault="009A0020" w:rsidP="00C930AB">
      <w:pPr>
        <w:pStyle w:val="FootnoteText"/>
        <w:bidi/>
      </w:pPr>
      <w:r>
        <w:rPr>
          <w:rStyle w:val="FootnoteReference"/>
        </w:rPr>
        <w:footnoteRef/>
      </w:r>
      <w:r>
        <w:t xml:space="preserve"> </w:t>
      </w:r>
      <w:r>
        <w:rPr>
          <w:rFonts w:hint="cs"/>
          <w:rtl/>
          <w:lang w:bidi="ar-EG"/>
        </w:rPr>
        <w:t xml:space="preserve">وضع حقوق الانسان في فلسطين، الهيئة المستقلة لحقوق الانسان، التقرير السنوي السابع والعشرون 2021، الرابط، </w:t>
      </w:r>
      <w:hyperlink r:id="rId5" w:history="1">
        <w:r w:rsidRPr="00072876">
          <w:rPr>
            <w:rStyle w:val="Hyperlink"/>
            <w:lang w:bidi="ar-EG"/>
          </w:rPr>
          <w:t>https://bit.ly/3ILvXbY</w:t>
        </w:r>
      </w:hyperlink>
    </w:p>
  </w:footnote>
  <w:footnote w:id="6">
    <w:p w14:paraId="55D7501D" w14:textId="77777777" w:rsidR="009A0020" w:rsidRDefault="009A0020" w:rsidP="00C930AB">
      <w:pPr>
        <w:pStyle w:val="FootnoteText"/>
        <w:bidi/>
      </w:pPr>
      <w:r>
        <w:rPr>
          <w:rStyle w:val="FootnoteReference"/>
        </w:rPr>
        <w:footnoteRef/>
      </w:r>
      <w:r>
        <w:t xml:space="preserve"> </w:t>
      </w:r>
      <w:r>
        <w:rPr>
          <w:rFonts w:hint="cs"/>
          <w:rtl/>
          <w:lang w:bidi="ar-EG"/>
        </w:rPr>
        <w:t xml:space="preserve">انفاذ الحقوق الاقتصادية والاجتماعية لاتفاقية الاشخاص حقوق ذوي الاعاقة في التشريع الفلسطيني، مؤسسة الحق، 2021، الرابط، </w:t>
      </w:r>
      <w:hyperlink r:id="rId6" w:history="1">
        <w:r w:rsidRPr="00072876">
          <w:rPr>
            <w:rStyle w:val="Hyperlink"/>
            <w:lang w:bidi="ar-EG"/>
          </w:rPr>
          <w:t>https://bit.ly/3IK87gI</w:t>
        </w:r>
      </w:hyperlink>
    </w:p>
  </w:footnote>
  <w:footnote w:id="7">
    <w:p w14:paraId="40294B37" w14:textId="77777777" w:rsidR="009A0020" w:rsidRDefault="009A0020" w:rsidP="00210223">
      <w:pPr>
        <w:pStyle w:val="FootnoteText"/>
        <w:bidi/>
      </w:pPr>
      <w:r>
        <w:rPr>
          <w:rStyle w:val="FootnoteReference"/>
        </w:rPr>
        <w:footnoteRef/>
      </w:r>
      <w:r>
        <w:t xml:space="preserve"> </w:t>
      </w:r>
      <w:r>
        <w:rPr>
          <w:rFonts w:hint="cs"/>
          <w:rtl/>
          <w:lang w:bidi="ar-EG"/>
        </w:rPr>
        <w:t xml:space="preserve">راجع نص المادة 11 من اتفاقية حقوق الاشخاص ذوي الاعاقة، مفوضية حقوق الانسان، الرابط، </w:t>
      </w:r>
      <w:hyperlink r:id="rId7" w:anchor="11" w:history="1">
        <w:r w:rsidRPr="008C6F0E">
          <w:rPr>
            <w:rStyle w:val="Hyperlink"/>
            <w:lang w:bidi="ar-EG"/>
          </w:rPr>
          <w:t>https://www.ohchr.org/ar/instruments-mechanisms/instruments/convention-rights-persons-disabilities#11</w:t>
        </w:r>
      </w:hyperlink>
    </w:p>
  </w:footnote>
  <w:footnote w:id="8">
    <w:p w14:paraId="0B375F4A" w14:textId="77777777" w:rsidR="009A0020" w:rsidRDefault="009A0020" w:rsidP="00210223">
      <w:pPr>
        <w:pStyle w:val="FootnoteText"/>
        <w:bidi/>
      </w:pPr>
      <w:r>
        <w:rPr>
          <w:rStyle w:val="FootnoteReference"/>
        </w:rPr>
        <w:footnoteRef/>
      </w:r>
      <w:r>
        <w:t xml:space="preserve"> </w:t>
      </w:r>
      <w:r w:rsidRPr="003B5483">
        <w:rPr>
          <w:rtl/>
          <w:lang w:bidi="ar-EG"/>
        </w:rPr>
        <w:t>الانتهاكات بحق الأشخاص ذوي الإعاقة جراء العدوان الإسرائيلي على قطاع غزة حتى 24/05/2021</w:t>
      </w:r>
      <w:r w:rsidRPr="003B5483">
        <w:rPr>
          <w:rFonts w:hint="cs"/>
          <w:rtl/>
          <w:lang w:bidi="ar-EG"/>
        </w:rPr>
        <w:t>، الجمعية الوطنية للتأهيل، مايو 2021، الرابط</w:t>
      </w:r>
      <w:r>
        <w:rPr>
          <w:rFonts w:hint="cs"/>
          <w:rtl/>
        </w:rPr>
        <w:t xml:space="preserve">، </w:t>
      </w:r>
      <w:hyperlink r:id="rId8" w:history="1">
        <w:r w:rsidRPr="008C6F0E">
          <w:rPr>
            <w:rStyle w:val="Hyperlink"/>
          </w:rPr>
          <w:t>https://bit.ly/3xIL67F</w:t>
        </w:r>
      </w:hyperlink>
    </w:p>
  </w:footnote>
  <w:footnote w:id="9">
    <w:p w14:paraId="664F5958" w14:textId="77777777" w:rsidR="009A0020" w:rsidRDefault="009A0020" w:rsidP="00210223">
      <w:pPr>
        <w:pStyle w:val="FootnoteText"/>
        <w:bidi/>
      </w:pPr>
      <w:r>
        <w:rPr>
          <w:rStyle w:val="FootnoteReference"/>
        </w:rPr>
        <w:footnoteRef/>
      </w:r>
      <w:r>
        <w:t xml:space="preserve"> </w:t>
      </w:r>
      <w:r w:rsidRPr="00A16741">
        <w:rPr>
          <w:rtl/>
          <w:lang w:bidi="ar-EG"/>
        </w:rPr>
        <w:t>العدوان الإسرائيلي ضاعف فاتورة الإعاقة في قطاع غزة</w:t>
      </w:r>
      <w:r w:rsidRPr="00A16741">
        <w:rPr>
          <w:rFonts w:hint="cs"/>
          <w:rtl/>
          <w:lang w:bidi="ar-EG"/>
        </w:rPr>
        <w:t xml:space="preserve">، مؤسسة الدراسات الفلسطينية، أغسطس 2021، الرابط، </w:t>
      </w:r>
      <w:hyperlink r:id="rId9" w:history="1">
        <w:r w:rsidRPr="008C6F0E">
          <w:rPr>
            <w:rStyle w:val="Hyperlink"/>
            <w:lang w:bidi="ar-EG"/>
          </w:rPr>
          <w:t>https://www.palestine-studies.org/ar/node/1651533</w:t>
        </w:r>
      </w:hyperlink>
    </w:p>
  </w:footnote>
  <w:footnote w:id="10">
    <w:p w14:paraId="0D237F68" w14:textId="77777777" w:rsidR="009A0020" w:rsidRDefault="009A0020" w:rsidP="005B656D">
      <w:pPr>
        <w:bidi/>
        <w:spacing w:line="240" w:lineRule="auto"/>
        <w:rPr>
          <w:lang w:bidi="ar-EG"/>
        </w:rPr>
      </w:pPr>
      <w:r>
        <w:rPr>
          <w:rStyle w:val="FootnoteReference"/>
        </w:rPr>
        <w:footnoteRef/>
      </w:r>
      <w:r>
        <w:rPr>
          <w:rtl/>
        </w:rPr>
        <w:t xml:space="preserve"> </w:t>
      </w:r>
      <w:r>
        <w:rPr>
          <w:rtl/>
          <w:lang w:bidi="ar-EG"/>
        </w:rPr>
        <w:t xml:space="preserve">- </w:t>
      </w:r>
      <w:r>
        <w:rPr>
          <w:rStyle w:val="type"/>
          <w:rFonts w:ascii="Arial" w:hAnsi="Arial" w:cs="Arial"/>
          <w:rtl/>
        </w:rPr>
        <w:t>ماذا عن ذوي الإعاقة في سجون الاحتلال؟</w:t>
      </w:r>
      <w:r>
        <w:rPr>
          <w:rtl/>
          <w:lang w:bidi="ar-EG"/>
        </w:rPr>
        <w:t xml:space="preserve">، مركز الاسرى للدراسات، 3 ديسمبر 2022، الرابط، </w:t>
      </w:r>
      <w:hyperlink r:id="rId10" w:history="1">
        <w:r>
          <w:rPr>
            <w:rStyle w:val="Hyperlink"/>
            <w:lang w:bidi="ar-EG"/>
          </w:rPr>
          <w:t>https://alasra.ps/ar/index.php?act=post&amp;id=36855</w:t>
        </w:r>
      </w:hyperlink>
    </w:p>
  </w:footnote>
  <w:footnote w:id="11">
    <w:p w14:paraId="25DB649E" w14:textId="77777777" w:rsidR="009A0020" w:rsidRDefault="009A0020" w:rsidP="005B656D">
      <w:pPr>
        <w:pStyle w:val="FootnoteText"/>
        <w:bidi/>
        <w:rPr>
          <w:rFonts w:cs="Arial"/>
          <w:rtl/>
          <w:lang w:bidi="ar-EG"/>
        </w:rPr>
      </w:pPr>
      <w:r>
        <w:rPr>
          <w:rStyle w:val="FootnoteReference"/>
        </w:rPr>
        <w:footnoteRef/>
      </w:r>
      <w:r>
        <w:rPr>
          <w:rtl/>
        </w:rPr>
        <w:t xml:space="preserve"> </w:t>
      </w:r>
      <w:r>
        <w:rPr>
          <w:rtl/>
          <w:lang w:bidi="ar-EG"/>
        </w:rPr>
        <w:t xml:space="preserve">-  30 اسيرا معاقا في سجون الاحتلال، مركز  فلسطين لدراسات الاسرى، 3 ديسمبر 2022، الرابط، </w:t>
      </w:r>
      <w:hyperlink r:id="rId11" w:history="1">
        <w:r>
          <w:rPr>
            <w:rStyle w:val="Hyperlink"/>
            <w:lang w:bidi="ar-EG"/>
          </w:rPr>
          <w:t>https://www.facebook.com/asrapa.net</w:t>
        </w:r>
        <w:r>
          <w:rPr>
            <w:rStyle w:val="Hyperlink"/>
            <w:rFonts w:cs="Arial"/>
            <w:rtl/>
            <w:lang w:bidi="ar-EG"/>
          </w:rPr>
          <w:t>/</w:t>
        </w:r>
      </w:hyperlink>
    </w:p>
  </w:footnote>
  <w:footnote w:id="12">
    <w:p w14:paraId="6CAFBED6" w14:textId="77777777" w:rsidR="009A0020" w:rsidRDefault="009A0020" w:rsidP="005B656D">
      <w:pPr>
        <w:pStyle w:val="FootnoteText"/>
        <w:bidi/>
        <w:rPr>
          <w:rtl/>
        </w:rPr>
      </w:pPr>
      <w:r>
        <w:rPr>
          <w:rStyle w:val="FootnoteReference"/>
        </w:rPr>
        <w:footnoteRef/>
      </w:r>
      <w:r>
        <w:rPr>
          <w:rtl/>
        </w:rPr>
        <w:t xml:space="preserve"> </w:t>
      </w:r>
      <w:r>
        <w:rPr>
          <w:rFonts w:hint="cs"/>
          <w:rtl/>
        </w:rPr>
        <w:t xml:space="preserve">- الاحتلال يعتدى على شاب من ذوي الاحتياجات الخاصة، الجزيرة نت، 21 فبراير 2022، الرابط، </w:t>
      </w:r>
      <w:hyperlink r:id="rId12" w:history="1">
        <w:r>
          <w:rPr>
            <w:rStyle w:val="Hyperlink"/>
          </w:rPr>
          <w:t>https://bit.ly/3IKYHBB</w:t>
        </w:r>
      </w:hyperlink>
    </w:p>
  </w:footnote>
  <w:footnote w:id="13">
    <w:p w14:paraId="2D3915D9" w14:textId="77777777" w:rsidR="009A0020" w:rsidRDefault="009A0020" w:rsidP="005B656D">
      <w:pPr>
        <w:bidi/>
        <w:rPr>
          <w:rtl/>
          <w:lang w:bidi="ar-EG"/>
        </w:rPr>
      </w:pPr>
      <w:r>
        <w:rPr>
          <w:rStyle w:val="FootnoteReference"/>
        </w:rPr>
        <w:footnoteRef/>
      </w:r>
      <w:r>
        <w:rPr>
          <w:rtl/>
        </w:rPr>
        <w:t xml:space="preserve"> </w:t>
      </w:r>
      <w:r>
        <w:rPr>
          <w:rtl/>
          <w:lang w:bidi="ar-EG"/>
        </w:rPr>
        <w:t xml:space="preserve">- </w:t>
      </w:r>
      <w:r>
        <w:rPr>
          <w:rtl/>
        </w:rPr>
        <w:t>الاحتلال يعتقل شابا مريضا بالسرطان وآخر معاق حركيا</w:t>
      </w:r>
      <w:r>
        <w:rPr>
          <w:rtl/>
          <w:lang w:bidi="ar-EG"/>
        </w:rPr>
        <w:t xml:space="preserve">، الجزيرة نت، 24 سبتمبر 2022، الرابط، </w:t>
      </w:r>
      <w:hyperlink r:id="rId13" w:history="1">
        <w:r>
          <w:rPr>
            <w:rStyle w:val="Hyperlink"/>
            <w:lang w:bidi="ar-EG"/>
          </w:rPr>
          <w:t>https://bit.ly/3XQi3tp</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CBBE4" w14:textId="77777777" w:rsidR="00AC72CC" w:rsidRDefault="00EB74DC">
    <w:r>
      <w:rPr>
        <w:rFonts w:hint="cs"/>
        <w:noProof/>
      </w:rPr>
      <w:drawing>
        <wp:inline distT="0" distB="0" distL="0" distR="0" wp14:anchorId="16F99B99" wp14:editId="00D2F5E8">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14:paraId="21129EAB" w14:textId="77777777" w:rsidTr="00295CF7">
      <w:tc>
        <w:tcPr>
          <w:tcW w:w="2500" w:type="pct"/>
        </w:tcPr>
        <w:p w14:paraId="2C869524" w14:textId="77777777" w:rsidR="006B714E" w:rsidRDefault="006B714E" w:rsidP="006B714E">
          <w:pPr>
            <w:pStyle w:val="Header"/>
          </w:pPr>
          <w:r>
            <w:rPr>
              <w:rFonts w:hint="cs"/>
              <w:noProof/>
            </w:rPr>
            <w:drawing>
              <wp:inline distT="0" distB="0" distL="0" distR="0" wp14:anchorId="37751F2C" wp14:editId="2339BEF1">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14:paraId="42145521" w14:textId="77777777" w:rsidR="006B714E" w:rsidRDefault="006B714E" w:rsidP="006B714E">
          <w:pPr>
            <w:pStyle w:val="Header"/>
          </w:pPr>
        </w:p>
      </w:tc>
    </w:tr>
  </w:tbl>
  <w:p w14:paraId="625DCB21" w14:textId="77777777"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7F46F3F"/>
    <w:multiLevelType w:val="hybridMultilevel"/>
    <w:tmpl w:val="28A6DB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8"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934589">
    <w:abstractNumId w:val="18"/>
  </w:num>
  <w:num w:numId="2" w16cid:durableId="787353429">
    <w:abstractNumId w:val="2"/>
  </w:num>
  <w:num w:numId="3" w16cid:durableId="1903172328">
    <w:abstractNumId w:val="12"/>
  </w:num>
  <w:num w:numId="4" w16cid:durableId="1935244133">
    <w:abstractNumId w:val="9"/>
  </w:num>
  <w:num w:numId="5" w16cid:durableId="2014258515">
    <w:abstractNumId w:val="11"/>
  </w:num>
  <w:num w:numId="6" w16cid:durableId="160587453">
    <w:abstractNumId w:val="1"/>
  </w:num>
  <w:num w:numId="7" w16cid:durableId="2017147841">
    <w:abstractNumId w:val="15"/>
  </w:num>
  <w:num w:numId="8" w16cid:durableId="1845246001">
    <w:abstractNumId w:val="7"/>
  </w:num>
  <w:num w:numId="9" w16cid:durableId="1764180651">
    <w:abstractNumId w:val="6"/>
  </w:num>
  <w:num w:numId="10" w16cid:durableId="1446656259">
    <w:abstractNumId w:val="13"/>
  </w:num>
  <w:num w:numId="11" w16cid:durableId="1387214696">
    <w:abstractNumId w:val="10"/>
  </w:num>
  <w:num w:numId="12" w16cid:durableId="838808584">
    <w:abstractNumId w:val="16"/>
  </w:num>
  <w:num w:numId="13" w16cid:durableId="1368725997">
    <w:abstractNumId w:val="17"/>
  </w:num>
  <w:num w:numId="14" w16cid:durableId="745801404">
    <w:abstractNumId w:val="0"/>
  </w:num>
  <w:num w:numId="15" w16cid:durableId="1350453442">
    <w:abstractNumId w:val="8"/>
  </w:num>
  <w:num w:numId="16" w16cid:durableId="1529249524">
    <w:abstractNumId w:val="4"/>
  </w:num>
  <w:num w:numId="17" w16cid:durableId="1926455857">
    <w:abstractNumId w:val="3"/>
  </w:num>
  <w:num w:numId="18" w16cid:durableId="371152820">
    <w:abstractNumId w:val="5"/>
  </w:num>
  <w:num w:numId="19" w16cid:durableId="5747516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020"/>
    <w:rsid w:val="0000141C"/>
    <w:rsid w:val="00003699"/>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6C1D"/>
    <w:rsid w:val="002E6C2C"/>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645D4"/>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50B80"/>
    <w:rsid w:val="00751DA8"/>
    <w:rsid w:val="00753D7F"/>
    <w:rsid w:val="0075721F"/>
    <w:rsid w:val="007623A8"/>
    <w:rsid w:val="007659D7"/>
    <w:rsid w:val="00767BF5"/>
    <w:rsid w:val="007907E1"/>
    <w:rsid w:val="00790FBB"/>
    <w:rsid w:val="00791830"/>
    <w:rsid w:val="00794563"/>
    <w:rsid w:val="00794FBB"/>
    <w:rsid w:val="007958DC"/>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0020"/>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E5CDE"/>
    <w:rsid w:val="00AF277A"/>
    <w:rsid w:val="00AF4E1E"/>
    <w:rsid w:val="00AF559A"/>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585A"/>
    <w:rsid w:val="00BB2CA9"/>
    <w:rsid w:val="00BB62BD"/>
    <w:rsid w:val="00BC230B"/>
    <w:rsid w:val="00BC4344"/>
    <w:rsid w:val="00BC6824"/>
    <w:rsid w:val="00BE49DB"/>
    <w:rsid w:val="00BF3FD5"/>
    <w:rsid w:val="00BF7B35"/>
    <w:rsid w:val="00C068AC"/>
    <w:rsid w:val="00C16612"/>
    <w:rsid w:val="00C20FDD"/>
    <w:rsid w:val="00C217FB"/>
    <w:rsid w:val="00C24862"/>
    <w:rsid w:val="00C26282"/>
    <w:rsid w:val="00C27A60"/>
    <w:rsid w:val="00C304E4"/>
    <w:rsid w:val="00C41B4E"/>
    <w:rsid w:val="00C4477C"/>
    <w:rsid w:val="00C45534"/>
    <w:rsid w:val="00C55701"/>
    <w:rsid w:val="00C56603"/>
    <w:rsid w:val="00C61BEC"/>
    <w:rsid w:val="00C73853"/>
    <w:rsid w:val="00C74890"/>
    <w:rsid w:val="00C76D0E"/>
    <w:rsid w:val="00C83345"/>
    <w:rsid w:val="00C84439"/>
    <w:rsid w:val="00C90633"/>
    <w:rsid w:val="00C91E5F"/>
    <w:rsid w:val="00C95822"/>
    <w:rsid w:val="00C95B56"/>
    <w:rsid w:val="00C95F75"/>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72B"/>
    <w:rsid w:val="00FC5962"/>
    <w:rsid w:val="00FE3675"/>
    <w:rsid w:val="00FE5F5D"/>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32BC0"/>
  <w15:docId w15:val="{11CA6C00-948E-4B7B-A366-5253221D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UnresolvedMention">
    <w:name w:val="Unresolved Mention"/>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 w:type="character" w:customStyle="1" w:styleId="type">
    <w:name w:val="type"/>
    <w:basedOn w:val="DefaultParagraphFont"/>
    <w:rsid w:val="009A0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bit.ly/3xIL67F" TargetMode="External"/><Relationship Id="rId13" Type="http://schemas.openxmlformats.org/officeDocument/2006/relationships/hyperlink" Target="https://bit.ly/3XQi3tp" TargetMode="External"/><Relationship Id="rId3" Type="http://schemas.openxmlformats.org/officeDocument/2006/relationships/hyperlink" Target="https://qudspress.com/10503/" TargetMode="External"/><Relationship Id="rId7" Type="http://schemas.openxmlformats.org/officeDocument/2006/relationships/hyperlink" Target="https://www.ohchr.org/ar/instruments-mechanisms/instruments/convention-rights-persons-disabilities" TargetMode="External"/><Relationship Id="rId12" Type="http://schemas.openxmlformats.org/officeDocument/2006/relationships/hyperlink" Target="https://bit.ly/3IKYHBB" TargetMode="External"/><Relationship Id="rId2" Type="http://schemas.openxmlformats.org/officeDocument/2006/relationships/hyperlink" Target="https://bit.ly/3XI2jZl" TargetMode="External"/><Relationship Id="rId1" Type="http://schemas.openxmlformats.org/officeDocument/2006/relationships/hyperlink" Target="https://info.wafa.ps/ar_page.aspx?id=9475" TargetMode="External"/><Relationship Id="rId6" Type="http://schemas.openxmlformats.org/officeDocument/2006/relationships/hyperlink" Target="https://bit.ly/3IK87gI" TargetMode="External"/><Relationship Id="rId11" Type="http://schemas.openxmlformats.org/officeDocument/2006/relationships/hyperlink" Target="https://www.facebook.com/asrapa.net/" TargetMode="External"/><Relationship Id="rId5" Type="http://schemas.openxmlformats.org/officeDocument/2006/relationships/hyperlink" Target="https://bit.ly/3ILvXbY" TargetMode="External"/><Relationship Id="rId10" Type="http://schemas.openxmlformats.org/officeDocument/2006/relationships/hyperlink" Target="https://alasra.ps/ar/index.php?act=post&amp;id=36855" TargetMode="External"/><Relationship Id="rId4" Type="http://schemas.openxmlformats.org/officeDocument/2006/relationships/hyperlink" Target="https://bit.ly/3lYqyFH" TargetMode="External"/><Relationship Id="rId9" Type="http://schemas.openxmlformats.org/officeDocument/2006/relationships/hyperlink" Target="https://www.palestine-studies.org/ar/node/165153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793BC-1C53-479C-A92B-209721529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Maat</Template>
  <TotalTime>3</TotalTime>
  <Pages>9</Pages>
  <Words>3344</Words>
  <Characters>19061</Characters>
  <Application>Microsoft Office Word</Application>
  <DocSecurity>0</DocSecurity>
  <Lines>158</Lines>
  <Paragraphs>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22361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Maat</dc:creator>
  <cp:keywords/>
  <dc:description/>
  <cp:lastModifiedBy>m.sabri@maatpeace.org</cp:lastModifiedBy>
  <cp:revision>1</cp:revision>
  <dcterms:created xsi:type="dcterms:W3CDTF">2023-03-01T20:15:00Z</dcterms:created>
  <dcterms:modified xsi:type="dcterms:W3CDTF">2023-03-01T20:18:00Z</dcterms:modified>
  <cp:category/>
</cp:coreProperties>
</file>