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2962D" w14:textId="71DEEFE3" w:rsidR="00DC244D" w:rsidRPr="003D073B" w:rsidRDefault="008305FB" w:rsidP="00A83E67">
      <w:pPr>
        <w:jc w:val="center"/>
        <w:rPr>
          <w:rFonts w:ascii="Arial" w:hAnsi="Arial" w:cs="Arial"/>
          <w:b/>
          <w:bCs/>
          <w:sz w:val="24"/>
          <w:szCs w:val="24"/>
        </w:rPr>
      </w:pPr>
      <w:bookmarkStart w:id="0" w:name="_GoBack"/>
      <w:bookmarkEnd w:id="0"/>
      <w:r w:rsidRPr="003D073B">
        <w:rPr>
          <w:rFonts w:ascii="Arial" w:hAnsi="Arial" w:cs="Arial"/>
          <w:b/>
          <w:bCs/>
          <w:sz w:val="24"/>
          <w:szCs w:val="24"/>
        </w:rPr>
        <w:t>Submission to the United Nations Human Rights Committee</w:t>
      </w:r>
      <w:r w:rsidR="00A83E67" w:rsidRPr="003D073B">
        <w:rPr>
          <w:rFonts w:ascii="Arial" w:hAnsi="Arial" w:cs="Arial"/>
          <w:b/>
          <w:bCs/>
          <w:sz w:val="24"/>
          <w:szCs w:val="24"/>
        </w:rPr>
        <w:br/>
      </w:r>
      <w:r w:rsidR="00280C3E" w:rsidRPr="003D073B">
        <w:rPr>
          <w:rFonts w:ascii="Arial" w:hAnsi="Arial" w:cs="Arial"/>
          <w:b/>
          <w:bCs/>
          <w:sz w:val="24"/>
          <w:szCs w:val="24"/>
        </w:rPr>
        <w:t xml:space="preserve">List of Issues on the </w:t>
      </w:r>
      <w:r w:rsidR="004502A6" w:rsidRPr="003D073B">
        <w:rPr>
          <w:rFonts w:ascii="Arial" w:hAnsi="Arial" w:cs="Arial"/>
          <w:b/>
          <w:bCs/>
          <w:sz w:val="24"/>
          <w:szCs w:val="24"/>
        </w:rPr>
        <w:t xml:space="preserve">Fourth Report of the Hong Kong Special Administrative Region </w:t>
      </w:r>
      <w:r w:rsidR="00A83E67" w:rsidRPr="003D073B">
        <w:rPr>
          <w:rFonts w:ascii="Arial" w:hAnsi="Arial" w:cs="Arial"/>
          <w:b/>
          <w:bCs/>
          <w:sz w:val="24"/>
          <w:szCs w:val="24"/>
        </w:rPr>
        <w:t>under the International Covenant on Civil and Political Rights</w:t>
      </w:r>
    </w:p>
    <w:p w14:paraId="10A5BA00" w14:textId="471AD13F" w:rsidR="00A83E67" w:rsidRPr="003D073B" w:rsidRDefault="00A83E67" w:rsidP="00A83E67">
      <w:pPr>
        <w:jc w:val="center"/>
        <w:rPr>
          <w:rFonts w:ascii="Arial" w:hAnsi="Arial" w:cs="Arial"/>
          <w:b/>
          <w:bCs/>
          <w:sz w:val="24"/>
          <w:szCs w:val="24"/>
        </w:rPr>
      </w:pPr>
      <w:r w:rsidRPr="003D073B">
        <w:rPr>
          <w:rFonts w:ascii="Arial" w:hAnsi="Arial" w:cs="Arial"/>
          <w:b/>
          <w:bCs/>
          <w:sz w:val="24"/>
          <w:szCs w:val="24"/>
        </w:rPr>
        <w:t>May 2020</w:t>
      </w:r>
    </w:p>
    <w:p w14:paraId="09BAE81C" w14:textId="77777777" w:rsidR="0034557D" w:rsidRPr="003D073B" w:rsidRDefault="00384798" w:rsidP="0034557D">
      <w:pPr>
        <w:pStyle w:val="ListParagraph"/>
        <w:numPr>
          <w:ilvl w:val="0"/>
          <w:numId w:val="1"/>
        </w:numPr>
        <w:rPr>
          <w:rFonts w:ascii="Arial" w:hAnsi="Arial" w:cs="Arial"/>
          <w:b/>
          <w:bCs/>
          <w:sz w:val="24"/>
          <w:szCs w:val="24"/>
        </w:rPr>
      </w:pPr>
      <w:r w:rsidRPr="003D073B">
        <w:rPr>
          <w:rFonts w:ascii="Arial" w:hAnsi="Arial" w:cs="Arial"/>
          <w:b/>
          <w:bCs/>
          <w:sz w:val="24"/>
          <w:szCs w:val="24"/>
        </w:rPr>
        <w:t xml:space="preserve">Introduction </w:t>
      </w:r>
    </w:p>
    <w:p w14:paraId="2C0D532A" w14:textId="44DB69BA" w:rsidR="00384798" w:rsidRPr="003D073B" w:rsidRDefault="00947CD1" w:rsidP="00CA5A86">
      <w:pPr>
        <w:jc w:val="both"/>
        <w:rPr>
          <w:rFonts w:ascii="Arial" w:hAnsi="Arial" w:cs="Arial"/>
          <w:sz w:val="24"/>
          <w:szCs w:val="24"/>
        </w:rPr>
      </w:pPr>
      <w:r w:rsidRPr="003D073B">
        <w:rPr>
          <w:rFonts w:ascii="Arial" w:hAnsi="Arial" w:cs="Arial"/>
          <w:sz w:val="24"/>
          <w:szCs w:val="24"/>
        </w:rPr>
        <w:t xml:space="preserve">Justice Centre Hong Kong (“Justice Centre”) appreciates the opportunity to provide </w:t>
      </w:r>
      <w:r w:rsidR="006C2C58" w:rsidRPr="003D073B">
        <w:rPr>
          <w:rFonts w:ascii="Arial" w:hAnsi="Arial" w:cs="Arial"/>
          <w:sz w:val="24"/>
          <w:szCs w:val="24"/>
        </w:rPr>
        <w:t xml:space="preserve">a </w:t>
      </w:r>
      <w:r w:rsidR="00384798" w:rsidRPr="003D073B">
        <w:rPr>
          <w:rFonts w:ascii="Arial" w:hAnsi="Arial" w:cs="Arial"/>
          <w:sz w:val="24"/>
          <w:szCs w:val="24"/>
        </w:rPr>
        <w:t xml:space="preserve">submission </w:t>
      </w:r>
      <w:r w:rsidR="006C2C58" w:rsidRPr="003D073B">
        <w:rPr>
          <w:rFonts w:ascii="Arial" w:hAnsi="Arial" w:cs="Arial"/>
          <w:sz w:val="24"/>
          <w:szCs w:val="24"/>
        </w:rPr>
        <w:t xml:space="preserve">to the Human Rights Committee </w:t>
      </w:r>
      <w:r w:rsidR="00384798" w:rsidRPr="003D073B">
        <w:rPr>
          <w:rFonts w:ascii="Arial" w:hAnsi="Arial" w:cs="Arial"/>
          <w:sz w:val="24"/>
          <w:szCs w:val="24"/>
        </w:rPr>
        <w:t xml:space="preserve">in advance of the adoption of the list of issues for </w:t>
      </w:r>
      <w:r w:rsidR="00EA1C69" w:rsidRPr="003D073B">
        <w:rPr>
          <w:rFonts w:ascii="Arial" w:hAnsi="Arial" w:cs="Arial"/>
          <w:sz w:val="24"/>
          <w:szCs w:val="24"/>
        </w:rPr>
        <w:t xml:space="preserve">the Hong Kong Special Administrative Region (“Hong Kong”)’s </w:t>
      </w:r>
      <w:r w:rsidR="00EA1C69" w:rsidRPr="00E05320">
        <w:rPr>
          <w:rFonts w:ascii="Arial" w:hAnsi="Arial" w:cs="Arial"/>
          <w:sz w:val="24"/>
          <w:szCs w:val="24"/>
        </w:rPr>
        <w:t>fourth</w:t>
      </w:r>
      <w:r w:rsidR="00EA1C69" w:rsidRPr="003D073B">
        <w:rPr>
          <w:rFonts w:ascii="Arial" w:hAnsi="Arial" w:cs="Arial"/>
          <w:sz w:val="24"/>
          <w:szCs w:val="24"/>
        </w:rPr>
        <w:t xml:space="preserve"> report </w:t>
      </w:r>
      <w:r w:rsidR="000B596B" w:rsidRPr="003D073B">
        <w:rPr>
          <w:rFonts w:ascii="Arial" w:hAnsi="Arial" w:cs="Arial"/>
          <w:sz w:val="24"/>
          <w:szCs w:val="24"/>
        </w:rPr>
        <w:t xml:space="preserve">under the </w:t>
      </w:r>
      <w:r w:rsidR="001B0C22" w:rsidRPr="003D073B">
        <w:rPr>
          <w:rFonts w:ascii="Arial" w:hAnsi="Arial" w:cs="Arial"/>
          <w:sz w:val="24"/>
          <w:szCs w:val="24"/>
        </w:rPr>
        <w:t xml:space="preserve">International Covenant on Civil and Political Rights (“ICCPR”). </w:t>
      </w:r>
      <w:r w:rsidR="00D32F20" w:rsidRPr="003D073B">
        <w:rPr>
          <w:rFonts w:ascii="Arial" w:hAnsi="Arial" w:cs="Arial"/>
          <w:sz w:val="24"/>
          <w:szCs w:val="24"/>
        </w:rPr>
        <w:t>This submission focuses on</w:t>
      </w:r>
      <w:r w:rsidR="005D6550" w:rsidRPr="003D073B">
        <w:rPr>
          <w:rFonts w:ascii="Arial" w:hAnsi="Arial" w:cs="Arial"/>
          <w:sz w:val="24"/>
          <w:szCs w:val="24"/>
        </w:rPr>
        <w:t xml:space="preserve"> ICCPR’s application in Hong Kong in the</w:t>
      </w:r>
      <w:r w:rsidR="00D32F20" w:rsidRPr="003D073B">
        <w:rPr>
          <w:rFonts w:ascii="Arial" w:hAnsi="Arial" w:cs="Arial"/>
          <w:sz w:val="24"/>
          <w:szCs w:val="24"/>
        </w:rPr>
        <w:t xml:space="preserve"> </w:t>
      </w:r>
      <w:r w:rsidR="005D6550" w:rsidRPr="003D073B">
        <w:rPr>
          <w:rFonts w:ascii="Arial" w:hAnsi="Arial" w:cs="Arial"/>
          <w:sz w:val="24"/>
          <w:szCs w:val="24"/>
        </w:rPr>
        <w:t xml:space="preserve">mixed or forced migration context. </w:t>
      </w:r>
    </w:p>
    <w:p w14:paraId="061637B3" w14:textId="18B5EE69" w:rsidR="009677B9" w:rsidRPr="003D073B" w:rsidRDefault="00CA5A86" w:rsidP="00CA5A86">
      <w:pPr>
        <w:jc w:val="both"/>
        <w:rPr>
          <w:rFonts w:ascii="Arial" w:hAnsi="Arial" w:cs="Arial"/>
          <w:sz w:val="24"/>
          <w:szCs w:val="24"/>
        </w:rPr>
      </w:pPr>
      <w:r w:rsidRPr="003D073B">
        <w:rPr>
          <w:rFonts w:ascii="Arial" w:hAnsi="Arial" w:cs="Arial"/>
          <w:sz w:val="24"/>
          <w:szCs w:val="24"/>
        </w:rPr>
        <w:t>Justice Centre</w:t>
      </w:r>
      <w:r w:rsidR="00593415" w:rsidRPr="003D073B">
        <w:rPr>
          <w:rFonts w:ascii="Arial" w:hAnsi="Arial" w:cs="Arial"/>
          <w:sz w:val="24"/>
          <w:szCs w:val="24"/>
        </w:rPr>
        <w:t xml:space="preserve"> </w:t>
      </w:r>
      <w:r w:rsidR="007A38F9" w:rsidRPr="003D073B">
        <w:rPr>
          <w:rFonts w:ascii="Arial" w:hAnsi="Arial" w:cs="Arial"/>
          <w:sz w:val="24"/>
          <w:szCs w:val="24"/>
        </w:rPr>
        <w:t xml:space="preserve">is a non-profit human rights organisation working to protect the rights of Hong Kong’s </w:t>
      </w:r>
      <w:r w:rsidR="00DA181E" w:rsidRPr="003D073B">
        <w:rPr>
          <w:rFonts w:ascii="Arial" w:hAnsi="Arial" w:cs="Arial"/>
          <w:sz w:val="24"/>
          <w:szCs w:val="24"/>
        </w:rPr>
        <w:t xml:space="preserve">most vulnerable migrants: refugees, other people seeking protection, and survivors of torture, human trafficking and forced labour. We provide substantial legal and psychosocial support to over 100 </w:t>
      </w:r>
      <w:r w:rsidR="00CC24DF" w:rsidRPr="003D073B">
        <w:rPr>
          <w:rFonts w:ascii="Arial" w:hAnsi="Arial" w:cs="Arial"/>
          <w:sz w:val="24"/>
          <w:szCs w:val="24"/>
        </w:rPr>
        <w:t>individuals</w:t>
      </w:r>
      <w:r w:rsidR="0074624C" w:rsidRPr="003D073B">
        <w:rPr>
          <w:rFonts w:ascii="Arial" w:hAnsi="Arial" w:cs="Arial"/>
          <w:sz w:val="24"/>
          <w:szCs w:val="24"/>
        </w:rPr>
        <w:t xml:space="preserve"> seeking protection in</w:t>
      </w:r>
      <w:r w:rsidR="00DA181E" w:rsidRPr="003D073B">
        <w:rPr>
          <w:rFonts w:ascii="Arial" w:hAnsi="Arial" w:cs="Arial"/>
          <w:sz w:val="24"/>
          <w:szCs w:val="24"/>
        </w:rPr>
        <w:t xml:space="preserve"> Hong Kong per year,</w:t>
      </w:r>
      <w:r w:rsidR="005D5CA9">
        <w:rPr>
          <w:rFonts w:ascii="Arial" w:hAnsi="Arial" w:cs="Arial"/>
          <w:sz w:val="24"/>
          <w:szCs w:val="24"/>
        </w:rPr>
        <w:t xml:space="preserve"> </w:t>
      </w:r>
      <w:r w:rsidR="00DA181E" w:rsidRPr="003D073B">
        <w:rPr>
          <w:rFonts w:ascii="Arial" w:hAnsi="Arial" w:cs="Arial"/>
          <w:sz w:val="24"/>
          <w:szCs w:val="24"/>
        </w:rPr>
        <w:t xml:space="preserve">and provide general legal information and support to over </w:t>
      </w:r>
      <w:r w:rsidRPr="003D073B">
        <w:rPr>
          <w:rFonts w:ascii="Arial" w:hAnsi="Arial" w:cs="Arial"/>
          <w:sz w:val="24"/>
          <w:szCs w:val="24"/>
        </w:rPr>
        <w:t xml:space="preserve">200 individuals. </w:t>
      </w:r>
    </w:p>
    <w:p w14:paraId="48E0FEB4" w14:textId="1A148D86" w:rsidR="00715674" w:rsidRPr="003D073B" w:rsidRDefault="00EB19FC" w:rsidP="00EB19FC">
      <w:pPr>
        <w:pStyle w:val="ListParagraph"/>
        <w:numPr>
          <w:ilvl w:val="0"/>
          <w:numId w:val="1"/>
        </w:numPr>
        <w:rPr>
          <w:rFonts w:ascii="Arial" w:hAnsi="Arial" w:cs="Arial"/>
          <w:b/>
          <w:bCs/>
          <w:sz w:val="24"/>
          <w:szCs w:val="24"/>
        </w:rPr>
      </w:pPr>
      <w:r w:rsidRPr="003D073B">
        <w:rPr>
          <w:rFonts w:ascii="Arial" w:hAnsi="Arial" w:cs="Arial"/>
          <w:b/>
          <w:bCs/>
          <w:sz w:val="24"/>
          <w:szCs w:val="24"/>
        </w:rPr>
        <w:t xml:space="preserve">Developments in Hong Kong’s protection </w:t>
      </w:r>
      <w:r w:rsidR="005C60A3" w:rsidRPr="003D073B">
        <w:rPr>
          <w:rFonts w:ascii="Arial" w:hAnsi="Arial" w:cs="Arial"/>
          <w:b/>
          <w:bCs/>
          <w:sz w:val="24"/>
          <w:szCs w:val="24"/>
        </w:rPr>
        <w:t>landscape</w:t>
      </w:r>
      <w:r w:rsidRPr="003D073B">
        <w:rPr>
          <w:rFonts w:ascii="Arial" w:hAnsi="Arial" w:cs="Arial"/>
          <w:b/>
          <w:bCs/>
          <w:sz w:val="24"/>
          <w:szCs w:val="24"/>
        </w:rPr>
        <w:t xml:space="preserve"> since </w:t>
      </w:r>
      <w:r w:rsidR="000E6CF8" w:rsidRPr="003D073B">
        <w:rPr>
          <w:rFonts w:ascii="Arial" w:hAnsi="Arial" w:cs="Arial"/>
          <w:b/>
          <w:bCs/>
          <w:sz w:val="24"/>
          <w:szCs w:val="24"/>
        </w:rPr>
        <w:t xml:space="preserve">2013 </w:t>
      </w:r>
    </w:p>
    <w:p w14:paraId="1A5DAE59" w14:textId="6CFA74AC" w:rsidR="00C14CE8" w:rsidRDefault="005C60A3" w:rsidP="005C60A3">
      <w:pPr>
        <w:jc w:val="both"/>
        <w:rPr>
          <w:rFonts w:ascii="Arial" w:hAnsi="Arial" w:cs="Arial"/>
          <w:sz w:val="24"/>
          <w:szCs w:val="24"/>
        </w:rPr>
      </w:pPr>
      <w:r w:rsidRPr="003D073B">
        <w:rPr>
          <w:rFonts w:ascii="Arial" w:hAnsi="Arial" w:cs="Arial"/>
          <w:sz w:val="24"/>
          <w:szCs w:val="24"/>
        </w:rPr>
        <w:t xml:space="preserve">There </w:t>
      </w:r>
      <w:r w:rsidR="00C14CE8">
        <w:rPr>
          <w:rFonts w:ascii="Arial" w:hAnsi="Arial" w:cs="Arial"/>
          <w:sz w:val="24"/>
          <w:szCs w:val="24"/>
        </w:rPr>
        <w:t>have been</w:t>
      </w:r>
      <w:r w:rsidR="00B779FD">
        <w:rPr>
          <w:rFonts w:ascii="Arial" w:hAnsi="Arial" w:cs="Arial"/>
          <w:sz w:val="24"/>
          <w:szCs w:val="24"/>
        </w:rPr>
        <w:t xml:space="preserve"> </w:t>
      </w:r>
      <w:r w:rsidRPr="003D073B">
        <w:rPr>
          <w:rFonts w:ascii="Arial" w:hAnsi="Arial" w:cs="Arial"/>
          <w:sz w:val="24"/>
          <w:szCs w:val="24"/>
        </w:rPr>
        <w:t xml:space="preserve">significant policy and legal changes in Hong Kong’s protection landscape since the Human Rights Committee last reviewed Hong Kong in </w:t>
      </w:r>
      <w:r w:rsidRPr="00E05320">
        <w:rPr>
          <w:rFonts w:ascii="Arial" w:hAnsi="Arial" w:cs="Arial"/>
          <w:sz w:val="24"/>
          <w:szCs w:val="24"/>
        </w:rPr>
        <w:t>2013</w:t>
      </w:r>
      <w:r w:rsidRPr="003D073B">
        <w:rPr>
          <w:rFonts w:ascii="Arial" w:hAnsi="Arial" w:cs="Arial"/>
          <w:sz w:val="24"/>
          <w:szCs w:val="24"/>
        </w:rPr>
        <w:t xml:space="preserve">. </w:t>
      </w:r>
    </w:p>
    <w:p w14:paraId="2185FBFD" w14:textId="57107FDC" w:rsidR="005C60A3" w:rsidRPr="003D073B" w:rsidRDefault="00C14CE8" w:rsidP="005C60A3">
      <w:pPr>
        <w:jc w:val="both"/>
        <w:rPr>
          <w:rFonts w:ascii="Arial" w:hAnsi="Arial" w:cs="Arial"/>
          <w:sz w:val="24"/>
          <w:szCs w:val="24"/>
        </w:rPr>
      </w:pPr>
      <w:r>
        <w:rPr>
          <w:rFonts w:ascii="Arial" w:hAnsi="Arial" w:cs="Arial"/>
          <w:sz w:val="24"/>
          <w:szCs w:val="24"/>
        </w:rPr>
        <w:lastRenderedPageBreak/>
        <w:t xml:space="preserve">As a result of </w:t>
      </w:r>
      <w:r w:rsidR="005C60A3" w:rsidRPr="003D073B">
        <w:rPr>
          <w:rFonts w:ascii="Arial" w:hAnsi="Arial" w:cs="Arial"/>
          <w:sz w:val="24"/>
          <w:szCs w:val="24"/>
        </w:rPr>
        <w:t xml:space="preserve">several landmark </w:t>
      </w:r>
      <w:r>
        <w:rPr>
          <w:rFonts w:ascii="Arial" w:hAnsi="Arial" w:cs="Arial"/>
          <w:sz w:val="24"/>
          <w:szCs w:val="24"/>
        </w:rPr>
        <w:t>judicial decisions</w:t>
      </w:r>
      <w:r w:rsidR="005C60A3" w:rsidRPr="003D073B">
        <w:rPr>
          <w:rStyle w:val="FootnoteReference"/>
          <w:rFonts w:ascii="Arial" w:hAnsi="Arial" w:cs="Arial"/>
          <w:sz w:val="24"/>
          <w:szCs w:val="24"/>
        </w:rPr>
        <w:footnoteReference w:id="1"/>
      </w:r>
      <w:r w:rsidR="005C60A3" w:rsidRPr="003D073B">
        <w:rPr>
          <w:rFonts w:ascii="Arial" w:hAnsi="Arial" w:cs="Arial"/>
          <w:sz w:val="24"/>
          <w:szCs w:val="24"/>
        </w:rPr>
        <w:t xml:space="preserve">, the </w:t>
      </w:r>
      <w:r w:rsidR="00946711">
        <w:rPr>
          <w:rFonts w:ascii="Arial" w:hAnsi="Arial" w:cs="Arial"/>
          <w:sz w:val="24"/>
          <w:szCs w:val="24"/>
        </w:rPr>
        <w:t xml:space="preserve">Hong Kong </w:t>
      </w:r>
      <w:r w:rsidR="005C60A3" w:rsidRPr="003D073B">
        <w:rPr>
          <w:rFonts w:ascii="Arial" w:hAnsi="Arial" w:cs="Arial"/>
          <w:sz w:val="24"/>
          <w:szCs w:val="24"/>
        </w:rPr>
        <w:t>Government</w:t>
      </w:r>
      <w:r w:rsidR="00946711">
        <w:rPr>
          <w:rFonts w:ascii="Arial" w:hAnsi="Arial" w:cs="Arial"/>
          <w:sz w:val="24"/>
          <w:szCs w:val="24"/>
        </w:rPr>
        <w:t xml:space="preserve"> (“the Government”)</w:t>
      </w:r>
      <w:r w:rsidR="00122E46">
        <w:rPr>
          <w:rFonts w:ascii="Arial" w:hAnsi="Arial" w:cs="Arial"/>
          <w:sz w:val="24"/>
          <w:szCs w:val="24"/>
        </w:rPr>
        <w:t xml:space="preserve"> launched the </w:t>
      </w:r>
      <w:r w:rsidR="0007030B">
        <w:rPr>
          <w:rFonts w:ascii="Arial" w:hAnsi="Arial" w:cs="Arial"/>
          <w:sz w:val="24"/>
          <w:szCs w:val="24"/>
        </w:rPr>
        <w:t>“</w:t>
      </w:r>
      <w:r w:rsidR="005C60A3" w:rsidRPr="003D073B">
        <w:rPr>
          <w:rFonts w:ascii="Arial" w:hAnsi="Arial" w:cs="Arial"/>
          <w:sz w:val="24"/>
          <w:szCs w:val="24"/>
        </w:rPr>
        <w:t>Unified Screening Mechanism</w:t>
      </w:r>
      <w:r w:rsidR="0007030B">
        <w:rPr>
          <w:rFonts w:ascii="Arial" w:hAnsi="Arial" w:cs="Arial"/>
          <w:sz w:val="24"/>
          <w:szCs w:val="24"/>
        </w:rPr>
        <w:t>”</w:t>
      </w:r>
      <w:r w:rsidR="005C60A3" w:rsidRPr="003D073B">
        <w:rPr>
          <w:rFonts w:ascii="Arial" w:hAnsi="Arial" w:cs="Arial"/>
          <w:sz w:val="24"/>
          <w:szCs w:val="24"/>
        </w:rPr>
        <w:t xml:space="preserve"> (“USM”) </w:t>
      </w:r>
      <w:r w:rsidR="00161394">
        <w:rPr>
          <w:rFonts w:ascii="Arial" w:hAnsi="Arial" w:cs="Arial"/>
          <w:sz w:val="24"/>
          <w:szCs w:val="24"/>
        </w:rPr>
        <w:t xml:space="preserve">in March 2014 </w:t>
      </w:r>
      <w:r w:rsidR="00122E46">
        <w:rPr>
          <w:rFonts w:ascii="Arial" w:hAnsi="Arial" w:cs="Arial"/>
          <w:sz w:val="24"/>
          <w:szCs w:val="24"/>
        </w:rPr>
        <w:t xml:space="preserve">to screen non-refoulement claims </w:t>
      </w:r>
      <w:r w:rsidR="005C60A3" w:rsidRPr="003D073B">
        <w:rPr>
          <w:rFonts w:ascii="Arial" w:hAnsi="Arial" w:cs="Arial"/>
          <w:sz w:val="24"/>
          <w:szCs w:val="24"/>
        </w:rPr>
        <w:t xml:space="preserve">on </w:t>
      </w:r>
      <w:r w:rsidR="00161394">
        <w:rPr>
          <w:rFonts w:ascii="Arial" w:hAnsi="Arial" w:cs="Arial"/>
          <w:sz w:val="24"/>
          <w:szCs w:val="24"/>
        </w:rPr>
        <w:t>the following</w:t>
      </w:r>
      <w:r w:rsidR="005C60A3" w:rsidRPr="003D073B">
        <w:rPr>
          <w:rFonts w:ascii="Arial" w:hAnsi="Arial" w:cs="Arial"/>
          <w:sz w:val="24"/>
          <w:szCs w:val="24"/>
        </w:rPr>
        <w:t xml:space="preserve"> grounds: </w:t>
      </w:r>
    </w:p>
    <w:p w14:paraId="2C20D621" w14:textId="128F0523" w:rsidR="005C60A3" w:rsidRPr="003D073B" w:rsidRDefault="005C60A3" w:rsidP="005C60A3">
      <w:pPr>
        <w:pStyle w:val="ListParagraph"/>
        <w:numPr>
          <w:ilvl w:val="0"/>
          <w:numId w:val="3"/>
        </w:numPr>
        <w:jc w:val="both"/>
        <w:rPr>
          <w:rFonts w:ascii="Arial" w:hAnsi="Arial" w:cs="Arial"/>
          <w:sz w:val="24"/>
          <w:szCs w:val="24"/>
        </w:rPr>
      </w:pPr>
      <w:r w:rsidRPr="003D073B">
        <w:rPr>
          <w:rFonts w:ascii="Arial" w:hAnsi="Arial" w:cs="Arial"/>
          <w:sz w:val="24"/>
          <w:szCs w:val="24"/>
        </w:rPr>
        <w:t>The prohibition of torture, with reference to the 1984 Convention against Torture and Other Cruel, Inhuman, or Degrading Treatment or Punishment (“UNCAT”)</w:t>
      </w:r>
      <w:r w:rsidRPr="003D073B">
        <w:rPr>
          <w:rStyle w:val="FootnoteReference"/>
          <w:rFonts w:ascii="Arial" w:hAnsi="Arial" w:cs="Arial"/>
          <w:sz w:val="24"/>
          <w:szCs w:val="24"/>
        </w:rPr>
        <w:footnoteReference w:id="2"/>
      </w:r>
      <w:r w:rsidR="007E6AB2">
        <w:rPr>
          <w:rFonts w:ascii="Arial" w:hAnsi="Arial" w:cs="Arial"/>
          <w:sz w:val="24"/>
          <w:szCs w:val="24"/>
        </w:rPr>
        <w:t>;</w:t>
      </w:r>
      <w:r w:rsidRPr="003D073B">
        <w:rPr>
          <w:rFonts w:ascii="Arial" w:hAnsi="Arial" w:cs="Arial"/>
          <w:sz w:val="24"/>
          <w:szCs w:val="24"/>
        </w:rPr>
        <w:t xml:space="preserve"> </w:t>
      </w:r>
    </w:p>
    <w:p w14:paraId="02C372D4" w14:textId="13C4C930" w:rsidR="005C60A3" w:rsidRPr="003D073B" w:rsidRDefault="005C60A3" w:rsidP="005C60A3">
      <w:pPr>
        <w:pStyle w:val="ListParagraph"/>
        <w:numPr>
          <w:ilvl w:val="0"/>
          <w:numId w:val="3"/>
        </w:numPr>
        <w:jc w:val="both"/>
        <w:rPr>
          <w:rFonts w:ascii="Arial" w:hAnsi="Arial" w:cs="Arial"/>
          <w:sz w:val="24"/>
          <w:szCs w:val="24"/>
        </w:rPr>
      </w:pPr>
      <w:r w:rsidRPr="003D073B">
        <w:rPr>
          <w:rFonts w:ascii="Arial" w:hAnsi="Arial" w:cs="Arial"/>
          <w:sz w:val="24"/>
          <w:szCs w:val="24"/>
        </w:rPr>
        <w:t>The prohibition of cruel, inhuman or degrading treatment or punishment (“CIDTP”), with reference to Article 7 of the ICCPR</w:t>
      </w:r>
      <w:r w:rsidR="00161394">
        <w:rPr>
          <w:rStyle w:val="FootnoteReference"/>
          <w:rFonts w:ascii="Arial" w:hAnsi="Arial" w:cs="Arial"/>
          <w:sz w:val="24"/>
          <w:szCs w:val="24"/>
        </w:rPr>
        <w:footnoteReference w:id="3"/>
      </w:r>
      <w:r w:rsidR="007E6AB2">
        <w:rPr>
          <w:rFonts w:ascii="Arial" w:hAnsi="Arial" w:cs="Arial"/>
          <w:sz w:val="24"/>
          <w:szCs w:val="24"/>
        </w:rPr>
        <w:t>;</w:t>
      </w:r>
    </w:p>
    <w:p w14:paraId="1F18E365" w14:textId="7F66F61F" w:rsidR="005C60A3" w:rsidRPr="003D073B" w:rsidRDefault="005C60A3" w:rsidP="005C60A3">
      <w:pPr>
        <w:pStyle w:val="ListParagraph"/>
        <w:numPr>
          <w:ilvl w:val="0"/>
          <w:numId w:val="3"/>
        </w:numPr>
        <w:jc w:val="both"/>
        <w:rPr>
          <w:rFonts w:ascii="Arial" w:hAnsi="Arial" w:cs="Arial"/>
          <w:sz w:val="24"/>
          <w:szCs w:val="24"/>
        </w:rPr>
      </w:pPr>
      <w:r w:rsidRPr="003D073B">
        <w:rPr>
          <w:rFonts w:ascii="Arial" w:hAnsi="Arial" w:cs="Arial"/>
          <w:sz w:val="24"/>
          <w:szCs w:val="24"/>
        </w:rPr>
        <w:t>The right to life, with reference to Article 6 of the ICCPR</w:t>
      </w:r>
      <w:r w:rsidR="00161394">
        <w:rPr>
          <w:rStyle w:val="FootnoteReference"/>
          <w:rFonts w:ascii="Arial" w:hAnsi="Arial" w:cs="Arial"/>
          <w:sz w:val="24"/>
          <w:szCs w:val="24"/>
        </w:rPr>
        <w:footnoteReference w:id="4"/>
      </w:r>
      <w:r w:rsidR="007E6AB2">
        <w:rPr>
          <w:rFonts w:ascii="Arial" w:hAnsi="Arial" w:cs="Arial"/>
          <w:sz w:val="24"/>
          <w:szCs w:val="24"/>
        </w:rPr>
        <w:t>;</w:t>
      </w:r>
    </w:p>
    <w:p w14:paraId="18D84BE6" w14:textId="2BFD129A" w:rsidR="005C60A3" w:rsidRDefault="005C60A3" w:rsidP="005C60A3">
      <w:pPr>
        <w:pStyle w:val="ListParagraph"/>
        <w:numPr>
          <w:ilvl w:val="0"/>
          <w:numId w:val="3"/>
        </w:numPr>
        <w:jc w:val="both"/>
        <w:rPr>
          <w:rFonts w:ascii="Arial" w:hAnsi="Arial" w:cs="Arial"/>
          <w:sz w:val="24"/>
          <w:szCs w:val="24"/>
        </w:rPr>
      </w:pPr>
      <w:r w:rsidRPr="003D073B">
        <w:rPr>
          <w:rFonts w:ascii="Arial" w:hAnsi="Arial" w:cs="Arial"/>
          <w:sz w:val="24"/>
          <w:szCs w:val="24"/>
        </w:rPr>
        <w:t>The prohibition on return to risk of persecution, with reference to Article 33 of the 1951 Convention relating to the Status of Refugees</w:t>
      </w:r>
      <w:r w:rsidR="00835E6C">
        <w:rPr>
          <w:rFonts w:ascii="Arial" w:hAnsi="Arial" w:cs="Arial"/>
          <w:sz w:val="24"/>
          <w:szCs w:val="24"/>
        </w:rPr>
        <w:t xml:space="preserve"> (“Refugee Convention”)</w:t>
      </w:r>
      <w:r w:rsidR="006C1EDE">
        <w:rPr>
          <w:rStyle w:val="FootnoteReference"/>
          <w:rFonts w:ascii="Arial" w:hAnsi="Arial" w:cs="Arial"/>
          <w:sz w:val="24"/>
          <w:szCs w:val="24"/>
        </w:rPr>
        <w:footnoteReference w:id="5"/>
      </w:r>
      <w:r w:rsidR="007E6AB2">
        <w:rPr>
          <w:rFonts w:ascii="Arial" w:hAnsi="Arial" w:cs="Arial"/>
          <w:sz w:val="24"/>
          <w:szCs w:val="24"/>
        </w:rPr>
        <w:t>;</w:t>
      </w:r>
      <w:r w:rsidRPr="003D073B">
        <w:rPr>
          <w:rFonts w:ascii="Arial" w:hAnsi="Arial" w:cs="Arial"/>
          <w:sz w:val="24"/>
          <w:szCs w:val="24"/>
        </w:rPr>
        <w:t xml:space="preserve"> </w:t>
      </w:r>
    </w:p>
    <w:p w14:paraId="63709F7B" w14:textId="5DB2186E" w:rsidR="00C14CE8" w:rsidRPr="003D073B" w:rsidRDefault="00835E6C" w:rsidP="005C60A3">
      <w:pPr>
        <w:pStyle w:val="ListParagraph"/>
        <w:numPr>
          <w:ilvl w:val="0"/>
          <w:numId w:val="3"/>
        </w:numPr>
        <w:jc w:val="both"/>
        <w:rPr>
          <w:rFonts w:ascii="Arial" w:hAnsi="Arial" w:cs="Arial"/>
          <w:sz w:val="24"/>
          <w:szCs w:val="24"/>
        </w:rPr>
      </w:pPr>
      <w:r>
        <w:rPr>
          <w:rFonts w:ascii="Arial" w:hAnsi="Arial" w:cs="Arial"/>
          <w:sz w:val="24"/>
          <w:szCs w:val="24"/>
        </w:rPr>
        <w:t xml:space="preserve">The prohibition </w:t>
      </w:r>
      <w:r w:rsidR="007A5C8C">
        <w:rPr>
          <w:rFonts w:ascii="Arial" w:hAnsi="Arial" w:cs="Arial"/>
          <w:sz w:val="24"/>
          <w:szCs w:val="24"/>
        </w:rPr>
        <w:t>on</w:t>
      </w:r>
      <w:r>
        <w:rPr>
          <w:rFonts w:ascii="Arial" w:hAnsi="Arial" w:cs="Arial"/>
          <w:sz w:val="24"/>
          <w:szCs w:val="24"/>
        </w:rPr>
        <w:t xml:space="preserve"> breaches of fundamental, non-deroga</w:t>
      </w:r>
      <w:r w:rsidR="00A744D5">
        <w:rPr>
          <w:rFonts w:ascii="Arial" w:hAnsi="Arial" w:cs="Arial"/>
          <w:sz w:val="24"/>
          <w:szCs w:val="24"/>
        </w:rPr>
        <w:t>ble and/or absolute human rights on return or removal</w:t>
      </w:r>
      <w:r w:rsidR="00246D65">
        <w:rPr>
          <w:rStyle w:val="FootnoteReference"/>
          <w:rFonts w:ascii="Arial" w:hAnsi="Arial" w:cs="Arial"/>
          <w:sz w:val="24"/>
          <w:szCs w:val="24"/>
        </w:rPr>
        <w:footnoteReference w:id="6"/>
      </w:r>
      <w:r w:rsidR="007E6AB2">
        <w:rPr>
          <w:rFonts w:ascii="Arial" w:hAnsi="Arial" w:cs="Arial"/>
          <w:sz w:val="24"/>
          <w:szCs w:val="24"/>
        </w:rPr>
        <w:t xml:space="preserve">. This ground is sometimes referred to as “all applicable grounds” but has not been defined by the Government. </w:t>
      </w:r>
    </w:p>
    <w:p w14:paraId="3CE4757F" w14:textId="1DE6D29C" w:rsidR="005C60A3" w:rsidRPr="003D073B" w:rsidRDefault="005C60A3" w:rsidP="005C60A3">
      <w:pPr>
        <w:jc w:val="both"/>
        <w:rPr>
          <w:rFonts w:ascii="Arial" w:hAnsi="Arial" w:cs="Arial"/>
          <w:sz w:val="24"/>
          <w:szCs w:val="24"/>
        </w:rPr>
      </w:pPr>
      <w:r w:rsidRPr="003D073B">
        <w:rPr>
          <w:rFonts w:ascii="Arial" w:hAnsi="Arial" w:cs="Arial"/>
          <w:sz w:val="24"/>
          <w:szCs w:val="24"/>
        </w:rPr>
        <w:lastRenderedPageBreak/>
        <w:t>In brief, there are two stages to the USM. At first instance protection claimants are interviewed by an immigration officer</w:t>
      </w:r>
      <w:r w:rsidR="00C14CE8">
        <w:rPr>
          <w:rFonts w:ascii="Arial" w:hAnsi="Arial" w:cs="Arial"/>
          <w:sz w:val="24"/>
          <w:szCs w:val="24"/>
        </w:rPr>
        <w:t xml:space="preserve"> who will issue a written decision</w:t>
      </w:r>
      <w:r w:rsidRPr="003D073B">
        <w:rPr>
          <w:rFonts w:ascii="Arial" w:hAnsi="Arial" w:cs="Arial"/>
          <w:sz w:val="24"/>
          <w:szCs w:val="24"/>
        </w:rPr>
        <w:t>. Claimants aggrieved by the immigration officer’s decision may appeal to the Torture Claims Appeal Board (“TCAB”) or the Non-refoulement Claims Petition Office (“NRCPO”). The USM process is completed at the appeal stage, but claimants may resort to judicial review to challenge a USM decision</w:t>
      </w:r>
      <w:r w:rsidR="00C14CE8">
        <w:rPr>
          <w:rFonts w:ascii="Arial" w:hAnsi="Arial" w:cs="Arial"/>
          <w:sz w:val="24"/>
          <w:szCs w:val="24"/>
        </w:rPr>
        <w:t xml:space="preserve"> where it contains public law errors. </w:t>
      </w:r>
    </w:p>
    <w:p w14:paraId="237C52CB" w14:textId="13B45544" w:rsidR="005C60A3" w:rsidRPr="003D073B" w:rsidRDefault="005C60A3" w:rsidP="005C60A3">
      <w:pPr>
        <w:jc w:val="both"/>
        <w:rPr>
          <w:rFonts w:ascii="Arial" w:hAnsi="Arial" w:cs="Arial"/>
          <w:sz w:val="24"/>
          <w:szCs w:val="24"/>
        </w:rPr>
      </w:pPr>
      <w:r w:rsidRPr="003D073B">
        <w:rPr>
          <w:rFonts w:ascii="Arial" w:hAnsi="Arial" w:cs="Arial"/>
          <w:sz w:val="24"/>
          <w:szCs w:val="24"/>
        </w:rPr>
        <w:t xml:space="preserve">While the USM is a welcome development, Justice Centre is gravely concerned about the inadequacies of the screening mechanism and the Government’s overall policy on non-refoulement protection. We maintain that </w:t>
      </w:r>
      <w:r w:rsidR="00D317FE">
        <w:rPr>
          <w:rFonts w:ascii="Arial" w:hAnsi="Arial" w:cs="Arial"/>
          <w:sz w:val="24"/>
          <w:szCs w:val="24"/>
        </w:rPr>
        <w:t xml:space="preserve">Hong Kong’s protection regime </w:t>
      </w:r>
      <w:r w:rsidRPr="003D073B">
        <w:rPr>
          <w:rFonts w:ascii="Arial" w:hAnsi="Arial" w:cs="Arial"/>
          <w:sz w:val="24"/>
          <w:szCs w:val="24"/>
        </w:rPr>
        <w:t xml:space="preserve">falls short of international human rights standards, including rights guaranteed under the ICCPR, UNCAT, </w:t>
      </w:r>
      <w:r w:rsidR="00631DD5" w:rsidRPr="00DD4138">
        <w:rPr>
          <w:rFonts w:ascii="Arial" w:hAnsi="Arial" w:cs="Arial"/>
          <w:sz w:val="24"/>
          <w:szCs w:val="24"/>
        </w:rPr>
        <w:t xml:space="preserve">the </w:t>
      </w:r>
      <w:r w:rsidRPr="00DD4138">
        <w:rPr>
          <w:rFonts w:ascii="Arial" w:hAnsi="Arial" w:cs="Arial"/>
          <w:sz w:val="24"/>
          <w:szCs w:val="24"/>
        </w:rPr>
        <w:t>I</w:t>
      </w:r>
      <w:r w:rsidR="00631DD5" w:rsidRPr="00DD4138">
        <w:rPr>
          <w:rFonts w:ascii="Arial" w:hAnsi="Arial" w:cs="Arial"/>
          <w:sz w:val="24"/>
          <w:szCs w:val="24"/>
        </w:rPr>
        <w:t xml:space="preserve">nternational Covenant on </w:t>
      </w:r>
      <w:r w:rsidRPr="00DD4138">
        <w:rPr>
          <w:rFonts w:ascii="Arial" w:hAnsi="Arial" w:cs="Arial"/>
          <w:sz w:val="24"/>
          <w:szCs w:val="24"/>
        </w:rPr>
        <w:t>E</w:t>
      </w:r>
      <w:r w:rsidR="00631DD5" w:rsidRPr="00DD4138">
        <w:rPr>
          <w:rFonts w:ascii="Arial" w:hAnsi="Arial" w:cs="Arial"/>
          <w:sz w:val="24"/>
          <w:szCs w:val="24"/>
        </w:rPr>
        <w:t xml:space="preserve">conomic, </w:t>
      </w:r>
      <w:r w:rsidRPr="00DD4138">
        <w:rPr>
          <w:rFonts w:ascii="Arial" w:hAnsi="Arial" w:cs="Arial"/>
          <w:sz w:val="24"/>
          <w:szCs w:val="24"/>
        </w:rPr>
        <w:t>S</w:t>
      </w:r>
      <w:r w:rsidR="00631DD5" w:rsidRPr="00DD4138">
        <w:rPr>
          <w:rFonts w:ascii="Arial" w:hAnsi="Arial" w:cs="Arial"/>
          <w:sz w:val="24"/>
          <w:szCs w:val="24"/>
        </w:rPr>
        <w:t xml:space="preserve">ocial and </w:t>
      </w:r>
      <w:r w:rsidRPr="00DD4138">
        <w:rPr>
          <w:rFonts w:ascii="Arial" w:hAnsi="Arial" w:cs="Arial"/>
          <w:sz w:val="24"/>
          <w:szCs w:val="24"/>
        </w:rPr>
        <w:t>C</w:t>
      </w:r>
      <w:r w:rsidR="00631DD5" w:rsidRPr="00DD4138">
        <w:rPr>
          <w:rFonts w:ascii="Arial" w:hAnsi="Arial" w:cs="Arial"/>
          <w:sz w:val="24"/>
          <w:szCs w:val="24"/>
        </w:rPr>
        <w:t xml:space="preserve">ultural </w:t>
      </w:r>
      <w:r w:rsidRPr="00DD4138">
        <w:rPr>
          <w:rFonts w:ascii="Arial" w:hAnsi="Arial" w:cs="Arial"/>
          <w:sz w:val="24"/>
          <w:szCs w:val="24"/>
        </w:rPr>
        <w:t>R</w:t>
      </w:r>
      <w:r w:rsidR="00631DD5" w:rsidRPr="00DD4138">
        <w:rPr>
          <w:rFonts w:ascii="Arial" w:hAnsi="Arial" w:cs="Arial"/>
          <w:sz w:val="24"/>
          <w:szCs w:val="24"/>
        </w:rPr>
        <w:t>ights (“ICESCR”)</w:t>
      </w:r>
      <w:r w:rsidRPr="00DD4138">
        <w:rPr>
          <w:rFonts w:ascii="Arial" w:hAnsi="Arial" w:cs="Arial"/>
          <w:sz w:val="24"/>
          <w:szCs w:val="24"/>
        </w:rPr>
        <w:t xml:space="preserve">, </w:t>
      </w:r>
      <w:r w:rsidR="00EB60E8" w:rsidRPr="00DD4138">
        <w:rPr>
          <w:rFonts w:ascii="Arial" w:hAnsi="Arial" w:cs="Arial"/>
          <w:sz w:val="24"/>
          <w:szCs w:val="24"/>
        </w:rPr>
        <w:t>the Convention on the Elimination of all Forms of Discrimination Against Women (“</w:t>
      </w:r>
      <w:r w:rsidRPr="00DD4138">
        <w:rPr>
          <w:rFonts w:ascii="Arial" w:hAnsi="Arial" w:cs="Arial"/>
          <w:sz w:val="24"/>
          <w:szCs w:val="24"/>
        </w:rPr>
        <w:t>CEDAW</w:t>
      </w:r>
      <w:r w:rsidR="00EB60E8" w:rsidRPr="00DD4138">
        <w:rPr>
          <w:rFonts w:ascii="Arial" w:hAnsi="Arial" w:cs="Arial"/>
          <w:sz w:val="24"/>
          <w:szCs w:val="24"/>
        </w:rPr>
        <w:t>”)</w:t>
      </w:r>
      <w:r w:rsidRPr="00DD4138">
        <w:rPr>
          <w:rFonts w:ascii="Arial" w:hAnsi="Arial" w:cs="Arial"/>
          <w:sz w:val="24"/>
          <w:szCs w:val="24"/>
        </w:rPr>
        <w:t xml:space="preserve">, </w:t>
      </w:r>
      <w:r w:rsidR="00B64D9B" w:rsidRPr="00DD4138">
        <w:rPr>
          <w:rFonts w:ascii="Arial" w:hAnsi="Arial" w:cs="Arial"/>
          <w:sz w:val="24"/>
          <w:szCs w:val="24"/>
        </w:rPr>
        <w:t xml:space="preserve">the United Nations Convention on the Rights of the Child </w:t>
      </w:r>
      <w:r w:rsidR="00E5557A" w:rsidRPr="00DD4138">
        <w:rPr>
          <w:rFonts w:ascii="Arial" w:hAnsi="Arial" w:cs="Arial"/>
          <w:sz w:val="24"/>
          <w:szCs w:val="24"/>
        </w:rPr>
        <w:t>(“</w:t>
      </w:r>
      <w:r w:rsidRPr="00DD4138">
        <w:rPr>
          <w:rFonts w:ascii="Arial" w:hAnsi="Arial" w:cs="Arial"/>
          <w:sz w:val="24"/>
          <w:szCs w:val="24"/>
        </w:rPr>
        <w:t>CRC</w:t>
      </w:r>
      <w:r w:rsidR="00E5557A" w:rsidRPr="00DD4138">
        <w:rPr>
          <w:rFonts w:ascii="Arial" w:hAnsi="Arial" w:cs="Arial"/>
          <w:sz w:val="24"/>
          <w:szCs w:val="24"/>
        </w:rPr>
        <w:t>”)</w:t>
      </w:r>
      <w:r w:rsidRPr="00DD4138">
        <w:rPr>
          <w:rFonts w:ascii="Arial" w:hAnsi="Arial" w:cs="Arial"/>
          <w:sz w:val="24"/>
          <w:szCs w:val="24"/>
        </w:rPr>
        <w:t xml:space="preserve"> and</w:t>
      </w:r>
      <w:r w:rsidR="00DD4138" w:rsidRPr="00DD4138">
        <w:rPr>
          <w:rFonts w:ascii="Arial" w:hAnsi="Arial" w:cs="Arial"/>
          <w:sz w:val="24"/>
          <w:szCs w:val="24"/>
        </w:rPr>
        <w:t xml:space="preserve"> the International Convention on the Elimination of All Forms of Racial Discrimination</w:t>
      </w:r>
      <w:r w:rsidRPr="00DD4138">
        <w:rPr>
          <w:rFonts w:ascii="Arial" w:hAnsi="Arial" w:cs="Arial"/>
          <w:sz w:val="24"/>
          <w:szCs w:val="24"/>
        </w:rPr>
        <w:t xml:space="preserve"> </w:t>
      </w:r>
      <w:r w:rsidR="00DD4138" w:rsidRPr="00DD4138">
        <w:rPr>
          <w:rFonts w:ascii="Arial" w:hAnsi="Arial" w:cs="Arial"/>
          <w:sz w:val="24"/>
          <w:szCs w:val="24"/>
        </w:rPr>
        <w:t>(“</w:t>
      </w:r>
      <w:r w:rsidRPr="00DD4138">
        <w:rPr>
          <w:rFonts w:ascii="Arial" w:hAnsi="Arial" w:cs="Arial"/>
          <w:sz w:val="24"/>
          <w:szCs w:val="24"/>
        </w:rPr>
        <w:t>ICERD</w:t>
      </w:r>
      <w:r w:rsidR="00DD4138" w:rsidRPr="00DD4138">
        <w:rPr>
          <w:rFonts w:ascii="Arial" w:hAnsi="Arial" w:cs="Arial"/>
          <w:sz w:val="24"/>
          <w:szCs w:val="24"/>
        </w:rPr>
        <w:t>”)</w:t>
      </w:r>
      <w:r w:rsidRPr="00DD4138">
        <w:rPr>
          <w:rFonts w:ascii="Arial" w:hAnsi="Arial" w:cs="Arial"/>
          <w:sz w:val="24"/>
          <w:szCs w:val="24"/>
        </w:rPr>
        <w:t>,</w:t>
      </w:r>
      <w:r w:rsidRPr="003D073B">
        <w:rPr>
          <w:rFonts w:ascii="Arial" w:hAnsi="Arial" w:cs="Arial"/>
          <w:sz w:val="24"/>
          <w:szCs w:val="24"/>
        </w:rPr>
        <w:t xml:space="preserve"> all of which are applicable to Hong Kong. </w:t>
      </w:r>
    </w:p>
    <w:p w14:paraId="7F9B2124" w14:textId="0ADD88F2" w:rsidR="00317F2C" w:rsidRPr="003D073B" w:rsidRDefault="00F800D3" w:rsidP="00317F2C">
      <w:pPr>
        <w:jc w:val="both"/>
        <w:rPr>
          <w:rFonts w:ascii="Arial" w:hAnsi="Arial" w:cs="Arial"/>
          <w:sz w:val="24"/>
          <w:szCs w:val="24"/>
        </w:rPr>
      </w:pPr>
      <w:r w:rsidRPr="003D073B">
        <w:rPr>
          <w:rFonts w:ascii="Arial" w:hAnsi="Arial" w:cs="Arial"/>
          <w:sz w:val="24"/>
          <w:szCs w:val="24"/>
        </w:rPr>
        <w:t xml:space="preserve">We echo the </w:t>
      </w:r>
      <w:r w:rsidR="00317F2C" w:rsidRPr="003D073B">
        <w:rPr>
          <w:rFonts w:ascii="Arial" w:hAnsi="Arial" w:cs="Arial"/>
          <w:sz w:val="24"/>
          <w:szCs w:val="24"/>
        </w:rPr>
        <w:t>observation</w:t>
      </w:r>
      <w:r w:rsidRPr="003D073B">
        <w:rPr>
          <w:rFonts w:ascii="Arial" w:hAnsi="Arial" w:cs="Arial"/>
          <w:sz w:val="24"/>
          <w:szCs w:val="24"/>
        </w:rPr>
        <w:t>s and recommendations</w:t>
      </w:r>
      <w:r w:rsidR="00317F2C" w:rsidRPr="003D073B">
        <w:rPr>
          <w:rFonts w:ascii="Arial" w:hAnsi="Arial" w:cs="Arial"/>
          <w:sz w:val="24"/>
          <w:szCs w:val="24"/>
        </w:rPr>
        <w:t xml:space="preserve"> of the respective committees,</w:t>
      </w:r>
      <w:r w:rsidRPr="003D073B">
        <w:rPr>
          <w:rFonts w:ascii="Arial" w:hAnsi="Arial" w:cs="Arial"/>
          <w:sz w:val="24"/>
          <w:szCs w:val="24"/>
        </w:rPr>
        <w:t xml:space="preserve"> </w:t>
      </w:r>
      <w:r w:rsidR="00547A0E" w:rsidRPr="003D073B">
        <w:rPr>
          <w:rFonts w:ascii="Arial" w:hAnsi="Arial" w:cs="Arial"/>
          <w:sz w:val="24"/>
          <w:szCs w:val="24"/>
        </w:rPr>
        <w:t>namely</w:t>
      </w:r>
      <w:r w:rsidR="00FC25ED" w:rsidRPr="003D073B">
        <w:rPr>
          <w:rFonts w:ascii="Arial" w:hAnsi="Arial" w:cs="Arial"/>
          <w:sz w:val="24"/>
          <w:szCs w:val="24"/>
        </w:rPr>
        <w:t>:</w:t>
      </w:r>
    </w:p>
    <w:p w14:paraId="5534620E" w14:textId="410B9829" w:rsidR="00AF365F" w:rsidRPr="003D073B" w:rsidRDefault="008A59F0" w:rsidP="005041D4">
      <w:pPr>
        <w:pStyle w:val="ListParagraph"/>
        <w:numPr>
          <w:ilvl w:val="0"/>
          <w:numId w:val="9"/>
        </w:numPr>
        <w:jc w:val="both"/>
        <w:rPr>
          <w:rFonts w:ascii="Arial" w:hAnsi="Arial" w:cs="Arial"/>
          <w:sz w:val="24"/>
          <w:szCs w:val="24"/>
        </w:rPr>
      </w:pPr>
      <w:r w:rsidRPr="003D073B">
        <w:rPr>
          <w:rFonts w:ascii="Arial" w:hAnsi="Arial" w:cs="Arial"/>
          <w:sz w:val="24"/>
          <w:szCs w:val="24"/>
        </w:rPr>
        <w:t>Human Rights Committee</w:t>
      </w:r>
      <w:r w:rsidR="00547A0E" w:rsidRPr="003D073B">
        <w:rPr>
          <w:rFonts w:ascii="Arial" w:hAnsi="Arial" w:cs="Arial"/>
          <w:sz w:val="24"/>
          <w:szCs w:val="24"/>
        </w:rPr>
        <w:t xml:space="preserve"> (CCPR/C/CHN-HKG/CO/3) at [9]</w:t>
      </w:r>
    </w:p>
    <w:p w14:paraId="6FC376DA" w14:textId="257D5BB8" w:rsidR="005041D4" w:rsidRPr="003D073B" w:rsidRDefault="005041D4" w:rsidP="005041D4">
      <w:pPr>
        <w:pStyle w:val="ListParagraph"/>
        <w:numPr>
          <w:ilvl w:val="0"/>
          <w:numId w:val="9"/>
        </w:numPr>
        <w:jc w:val="both"/>
        <w:rPr>
          <w:rFonts w:ascii="Arial" w:hAnsi="Arial" w:cs="Arial"/>
          <w:sz w:val="24"/>
          <w:szCs w:val="24"/>
        </w:rPr>
      </w:pPr>
      <w:r w:rsidRPr="003D073B">
        <w:rPr>
          <w:rFonts w:ascii="Arial" w:hAnsi="Arial" w:cs="Arial"/>
          <w:sz w:val="24"/>
          <w:szCs w:val="24"/>
        </w:rPr>
        <w:t>Committee against Torture</w:t>
      </w:r>
      <w:r w:rsidR="001A388E" w:rsidRPr="003D073B">
        <w:rPr>
          <w:rFonts w:ascii="Arial" w:hAnsi="Arial" w:cs="Arial"/>
          <w:sz w:val="24"/>
          <w:szCs w:val="24"/>
        </w:rPr>
        <w:t xml:space="preserve"> (CAT/C/CHN-HKG/CO/5) </w:t>
      </w:r>
      <w:r w:rsidR="00AF78F0" w:rsidRPr="003D073B">
        <w:rPr>
          <w:rFonts w:ascii="Arial" w:hAnsi="Arial" w:cs="Arial"/>
          <w:sz w:val="24"/>
          <w:szCs w:val="24"/>
        </w:rPr>
        <w:t>at [6] – [7]</w:t>
      </w:r>
    </w:p>
    <w:p w14:paraId="4C6183CF" w14:textId="031E055F" w:rsidR="00317F2C" w:rsidRPr="003D073B" w:rsidRDefault="00273533" w:rsidP="00903ADF">
      <w:pPr>
        <w:pStyle w:val="ListParagraph"/>
        <w:numPr>
          <w:ilvl w:val="0"/>
          <w:numId w:val="9"/>
        </w:numPr>
        <w:jc w:val="both"/>
        <w:rPr>
          <w:rFonts w:ascii="Arial" w:hAnsi="Arial" w:cs="Arial"/>
          <w:sz w:val="24"/>
          <w:szCs w:val="24"/>
        </w:rPr>
      </w:pPr>
      <w:r w:rsidRPr="003D073B">
        <w:rPr>
          <w:rFonts w:ascii="Arial" w:hAnsi="Arial" w:cs="Arial"/>
          <w:sz w:val="24"/>
          <w:szCs w:val="24"/>
        </w:rPr>
        <w:t>Committee on the Rights of the Child</w:t>
      </w:r>
      <w:r w:rsidR="004236E5">
        <w:rPr>
          <w:rFonts w:ascii="Arial" w:hAnsi="Arial" w:cs="Arial"/>
          <w:sz w:val="24"/>
          <w:szCs w:val="24"/>
        </w:rPr>
        <w:t xml:space="preserve"> (</w:t>
      </w:r>
      <w:r w:rsidR="00922EC1" w:rsidRPr="003D073B">
        <w:rPr>
          <w:rFonts w:ascii="Arial" w:hAnsi="Arial" w:cs="Arial"/>
          <w:sz w:val="24"/>
          <w:szCs w:val="24"/>
        </w:rPr>
        <w:t>CRC/C/CHN/CO/3-4</w:t>
      </w:r>
      <w:r w:rsidR="004236E5">
        <w:rPr>
          <w:rFonts w:ascii="Arial" w:hAnsi="Arial" w:cs="Arial"/>
          <w:sz w:val="24"/>
          <w:szCs w:val="24"/>
        </w:rPr>
        <w:t>)</w:t>
      </w:r>
      <w:r w:rsidR="00922EC1" w:rsidRPr="003D073B">
        <w:rPr>
          <w:rFonts w:ascii="Arial" w:hAnsi="Arial" w:cs="Arial"/>
          <w:sz w:val="24"/>
          <w:szCs w:val="24"/>
        </w:rPr>
        <w:t xml:space="preserve"> at</w:t>
      </w:r>
      <w:r w:rsidR="007912CD" w:rsidRPr="003D073B">
        <w:rPr>
          <w:rFonts w:ascii="Arial" w:hAnsi="Arial" w:cs="Arial"/>
          <w:sz w:val="24"/>
          <w:szCs w:val="24"/>
        </w:rPr>
        <w:t xml:space="preserve"> [29], [30]</w:t>
      </w:r>
      <w:r w:rsidR="00FC25ED" w:rsidRPr="003D073B">
        <w:rPr>
          <w:rFonts w:ascii="Arial" w:hAnsi="Arial" w:cs="Arial"/>
          <w:sz w:val="24"/>
          <w:szCs w:val="24"/>
        </w:rPr>
        <w:t xml:space="preserve">, </w:t>
      </w:r>
      <w:r w:rsidR="006C2601" w:rsidRPr="003D073B">
        <w:rPr>
          <w:rFonts w:ascii="Arial" w:hAnsi="Arial" w:cs="Arial"/>
          <w:sz w:val="24"/>
          <w:szCs w:val="24"/>
        </w:rPr>
        <w:t>[82]</w:t>
      </w:r>
      <w:r w:rsidR="00FC25ED" w:rsidRPr="003D073B">
        <w:rPr>
          <w:rFonts w:ascii="Arial" w:hAnsi="Arial" w:cs="Arial"/>
          <w:sz w:val="24"/>
          <w:szCs w:val="24"/>
        </w:rPr>
        <w:t xml:space="preserve"> and</w:t>
      </w:r>
      <w:r w:rsidR="00BF7E69" w:rsidRPr="003D073B">
        <w:rPr>
          <w:rFonts w:ascii="Arial" w:hAnsi="Arial" w:cs="Arial"/>
          <w:sz w:val="24"/>
          <w:szCs w:val="24"/>
        </w:rPr>
        <w:t xml:space="preserve"> [84]</w:t>
      </w:r>
      <w:r w:rsidR="006C2601" w:rsidRPr="003D073B">
        <w:rPr>
          <w:rFonts w:ascii="Arial" w:hAnsi="Arial" w:cs="Arial"/>
          <w:sz w:val="24"/>
          <w:szCs w:val="24"/>
        </w:rPr>
        <w:t xml:space="preserve"> </w:t>
      </w:r>
    </w:p>
    <w:p w14:paraId="38717FB7" w14:textId="1AF9485C" w:rsidR="00964965" w:rsidRPr="003D073B" w:rsidRDefault="00964965" w:rsidP="00903ADF">
      <w:pPr>
        <w:pStyle w:val="ListParagraph"/>
        <w:numPr>
          <w:ilvl w:val="0"/>
          <w:numId w:val="9"/>
        </w:numPr>
        <w:jc w:val="both"/>
        <w:rPr>
          <w:rFonts w:ascii="Arial" w:hAnsi="Arial" w:cs="Arial"/>
          <w:sz w:val="24"/>
          <w:szCs w:val="24"/>
        </w:rPr>
      </w:pPr>
      <w:r w:rsidRPr="003D073B">
        <w:rPr>
          <w:rFonts w:ascii="Arial" w:hAnsi="Arial" w:cs="Arial"/>
          <w:sz w:val="24"/>
          <w:szCs w:val="24"/>
        </w:rPr>
        <w:t xml:space="preserve">Committee on Economic, Social and Cultural Rights </w:t>
      </w:r>
      <w:r w:rsidR="00D430E0" w:rsidRPr="003D073B">
        <w:rPr>
          <w:rFonts w:ascii="Arial" w:hAnsi="Arial" w:cs="Arial"/>
          <w:sz w:val="24"/>
          <w:szCs w:val="24"/>
        </w:rPr>
        <w:t>(E/C.12/CHN/CO/2) at</w:t>
      </w:r>
      <w:r w:rsidR="004D2B48" w:rsidRPr="003D073B">
        <w:rPr>
          <w:rFonts w:ascii="Arial" w:hAnsi="Arial" w:cs="Arial"/>
          <w:sz w:val="24"/>
          <w:szCs w:val="24"/>
        </w:rPr>
        <w:t xml:space="preserve"> [41], [42] and [51]</w:t>
      </w:r>
    </w:p>
    <w:p w14:paraId="6859AF29" w14:textId="77777777" w:rsidR="00547A0E" w:rsidRPr="003D073B" w:rsidRDefault="00547A0E" w:rsidP="00547A0E">
      <w:pPr>
        <w:pStyle w:val="ListParagraph"/>
        <w:jc w:val="both"/>
        <w:rPr>
          <w:rFonts w:ascii="Arial" w:hAnsi="Arial" w:cs="Arial"/>
          <w:sz w:val="24"/>
          <w:szCs w:val="24"/>
        </w:rPr>
      </w:pPr>
    </w:p>
    <w:p w14:paraId="57957790" w14:textId="53F5966D" w:rsidR="00215D4B" w:rsidRPr="003D073B" w:rsidRDefault="00215D4B" w:rsidP="00215D4B">
      <w:pPr>
        <w:pStyle w:val="ListParagraph"/>
        <w:numPr>
          <w:ilvl w:val="0"/>
          <w:numId w:val="1"/>
        </w:numPr>
        <w:jc w:val="both"/>
        <w:rPr>
          <w:rFonts w:ascii="Arial" w:hAnsi="Arial" w:cs="Arial"/>
          <w:b/>
          <w:bCs/>
          <w:sz w:val="24"/>
          <w:szCs w:val="24"/>
        </w:rPr>
      </w:pPr>
      <w:r w:rsidRPr="003D073B">
        <w:rPr>
          <w:rFonts w:ascii="Arial" w:hAnsi="Arial" w:cs="Arial"/>
          <w:b/>
          <w:bCs/>
          <w:sz w:val="24"/>
          <w:szCs w:val="24"/>
        </w:rPr>
        <w:lastRenderedPageBreak/>
        <w:t xml:space="preserve">Concerns regarding the Unified Screening Mechanism (Articles 2, </w:t>
      </w:r>
      <w:r w:rsidR="006B3D7A">
        <w:rPr>
          <w:rFonts w:ascii="Arial" w:hAnsi="Arial" w:cs="Arial"/>
          <w:b/>
          <w:bCs/>
          <w:sz w:val="24"/>
          <w:szCs w:val="24"/>
        </w:rPr>
        <w:t xml:space="preserve">3, </w:t>
      </w:r>
      <w:r w:rsidRPr="003D073B">
        <w:rPr>
          <w:rFonts w:ascii="Arial" w:hAnsi="Arial" w:cs="Arial"/>
          <w:b/>
          <w:bCs/>
          <w:sz w:val="24"/>
          <w:szCs w:val="24"/>
        </w:rPr>
        <w:t>6, 7, 13</w:t>
      </w:r>
      <w:r w:rsidR="0000270A">
        <w:rPr>
          <w:rFonts w:ascii="Arial" w:hAnsi="Arial" w:cs="Arial"/>
          <w:b/>
          <w:bCs/>
          <w:sz w:val="24"/>
          <w:szCs w:val="24"/>
        </w:rPr>
        <w:t>, 24</w:t>
      </w:r>
      <w:r w:rsidR="00647DF9">
        <w:rPr>
          <w:rFonts w:ascii="Arial" w:hAnsi="Arial" w:cs="Arial"/>
          <w:b/>
          <w:bCs/>
          <w:sz w:val="24"/>
          <w:szCs w:val="24"/>
        </w:rPr>
        <w:t>, 26</w:t>
      </w:r>
      <w:r w:rsidRPr="003D073B">
        <w:rPr>
          <w:rFonts w:ascii="Arial" w:hAnsi="Arial" w:cs="Arial"/>
          <w:b/>
          <w:bCs/>
          <w:sz w:val="24"/>
          <w:szCs w:val="24"/>
        </w:rPr>
        <w:t>)</w:t>
      </w:r>
    </w:p>
    <w:p w14:paraId="3F4F1323" w14:textId="34EA50CF" w:rsidR="00EB19FC" w:rsidRPr="00375182" w:rsidRDefault="00945E57" w:rsidP="00375182">
      <w:pPr>
        <w:ind w:left="360"/>
        <w:rPr>
          <w:rFonts w:ascii="Arial" w:hAnsi="Arial" w:cs="Arial"/>
          <w:b/>
          <w:bCs/>
          <w:sz w:val="24"/>
          <w:szCs w:val="24"/>
        </w:rPr>
      </w:pPr>
      <w:r>
        <w:rPr>
          <w:rFonts w:ascii="Arial" w:hAnsi="Arial" w:cs="Arial"/>
          <w:b/>
          <w:bCs/>
          <w:sz w:val="24"/>
          <w:szCs w:val="24"/>
        </w:rPr>
        <w:t xml:space="preserve">3.1 </w:t>
      </w:r>
      <w:r w:rsidR="00215D4B" w:rsidRPr="00375182">
        <w:rPr>
          <w:rFonts w:ascii="Arial" w:hAnsi="Arial" w:cs="Arial"/>
          <w:b/>
          <w:bCs/>
          <w:sz w:val="24"/>
          <w:szCs w:val="24"/>
        </w:rPr>
        <w:t xml:space="preserve">Low substantiation rate </w:t>
      </w:r>
    </w:p>
    <w:p w14:paraId="40D3CDA3" w14:textId="54B15567" w:rsidR="00C3250E" w:rsidRPr="003D073B" w:rsidRDefault="00C3250E" w:rsidP="00C3250E">
      <w:pPr>
        <w:jc w:val="both"/>
        <w:rPr>
          <w:rFonts w:ascii="Arial" w:hAnsi="Arial" w:cs="Arial"/>
          <w:sz w:val="24"/>
          <w:szCs w:val="24"/>
        </w:rPr>
      </w:pPr>
      <w:r w:rsidRPr="003D073B">
        <w:rPr>
          <w:rFonts w:ascii="Arial" w:hAnsi="Arial" w:cs="Arial"/>
          <w:sz w:val="24"/>
          <w:szCs w:val="24"/>
        </w:rPr>
        <w:t xml:space="preserve">Hong Kong’s substantiation rate for non-refoulement claims remains at less than 1%, which is among the lowest in the developed world. We echo the Committee </w:t>
      </w:r>
      <w:r w:rsidR="00F904FC">
        <w:rPr>
          <w:rFonts w:ascii="Arial" w:hAnsi="Arial" w:cs="Arial"/>
          <w:sz w:val="24"/>
          <w:szCs w:val="24"/>
        </w:rPr>
        <w:t>A</w:t>
      </w:r>
      <w:r w:rsidRPr="003D073B">
        <w:rPr>
          <w:rFonts w:ascii="Arial" w:hAnsi="Arial" w:cs="Arial"/>
          <w:sz w:val="24"/>
          <w:szCs w:val="24"/>
        </w:rPr>
        <w:t>gainst Torture’s observations that the threshold for granting protection is excessively high</w:t>
      </w:r>
      <w:r w:rsidR="002E4CB5" w:rsidRPr="003D073B">
        <w:rPr>
          <w:rStyle w:val="FootnoteReference"/>
          <w:rFonts w:ascii="Arial" w:hAnsi="Arial" w:cs="Arial"/>
          <w:sz w:val="24"/>
          <w:szCs w:val="24"/>
        </w:rPr>
        <w:footnoteReference w:id="7"/>
      </w:r>
      <w:r w:rsidRPr="003D073B">
        <w:rPr>
          <w:rFonts w:ascii="Arial" w:hAnsi="Arial" w:cs="Arial"/>
          <w:sz w:val="24"/>
          <w:szCs w:val="24"/>
        </w:rPr>
        <w:t xml:space="preserve">, with claimants from high risk countries, such as Somalia, Yemen and the Central African Republic </w:t>
      </w:r>
      <w:r w:rsidR="00F904FC">
        <w:rPr>
          <w:rFonts w:ascii="Arial" w:hAnsi="Arial" w:cs="Arial"/>
          <w:sz w:val="24"/>
          <w:szCs w:val="24"/>
        </w:rPr>
        <w:t xml:space="preserve">routinely </w:t>
      </w:r>
      <w:r w:rsidRPr="003D073B">
        <w:rPr>
          <w:rFonts w:ascii="Arial" w:hAnsi="Arial" w:cs="Arial"/>
          <w:sz w:val="24"/>
          <w:szCs w:val="24"/>
        </w:rPr>
        <w:t xml:space="preserve">rejected for protection. The low recognition rate is also indicative of systematic failures of the screening mechanism, including </w:t>
      </w:r>
      <w:r w:rsidRPr="003D073B">
        <w:rPr>
          <w:rFonts w:ascii="Arial" w:hAnsi="Arial" w:cs="Arial" w:hint="eastAsia"/>
          <w:sz w:val="24"/>
          <w:szCs w:val="24"/>
        </w:rPr>
        <w:t>poor</w:t>
      </w:r>
      <w:r w:rsidRPr="003D073B">
        <w:rPr>
          <w:rFonts w:ascii="Arial" w:hAnsi="Arial" w:cs="Arial"/>
          <w:sz w:val="24"/>
          <w:szCs w:val="24"/>
        </w:rPr>
        <w:t xml:space="preserve"> quality decisions, </w:t>
      </w:r>
      <w:r w:rsidR="00F904FC">
        <w:rPr>
          <w:rFonts w:ascii="Arial" w:hAnsi="Arial" w:cs="Arial"/>
          <w:sz w:val="24"/>
          <w:szCs w:val="24"/>
        </w:rPr>
        <w:t xml:space="preserve">a general </w:t>
      </w:r>
      <w:r w:rsidRPr="003D073B">
        <w:rPr>
          <w:rFonts w:ascii="Arial" w:hAnsi="Arial" w:cs="Arial"/>
          <w:sz w:val="24"/>
          <w:szCs w:val="24"/>
        </w:rPr>
        <w:t>lack of substantive and procedur</w:t>
      </w:r>
      <w:r w:rsidR="00F904FC">
        <w:rPr>
          <w:rFonts w:ascii="Arial" w:hAnsi="Arial" w:cs="Arial"/>
          <w:sz w:val="24"/>
          <w:szCs w:val="24"/>
        </w:rPr>
        <w:t>al</w:t>
      </w:r>
      <w:r w:rsidRPr="003D073B">
        <w:rPr>
          <w:rFonts w:ascii="Arial" w:hAnsi="Arial" w:cs="Arial"/>
          <w:sz w:val="24"/>
          <w:szCs w:val="24"/>
        </w:rPr>
        <w:t xml:space="preserve"> fairness, and </w:t>
      </w:r>
      <w:r w:rsidR="00F904FC">
        <w:rPr>
          <w:rFonts w:ascii="Arial" w:hAnsi="Arial" w:cs="Arial"/>
          <w:sz w:val="24"/>
          <w:szCs w:val="24"/>
        </w:rPr>
        <w:t xml:space="preserve">a </w:t>
      </w:r>
      <w:r w:rsidRPr="003D073B">
        <w:rPr>
          <w:rFonts w:ascii="Arial" w:hAnsi="Arial" w:cs="Arial"/>
          <w:sz w:val="24"/>
          <w:szCs w:val="24"/>
        </w:rPr>
        <w:t>lack of legal representation.</w:t>
      </w:r>
    </w:p>
    <w:tbl>
      <w:tblPr>
        <w:tblStyle w:val="TableGrid"/>
        <w:tblW w:w="8926" w:type="dxa"/>
        <w:tblLook w:val="04A0" w:firstRow="1" w:lastRow="0" w:firstColumn="1" w:lastColumn="0" w:noHBand="0" w:noVBand="1"/>
      </w:tblPr>
      <w:tblGrid>
        <w:gridCol w:w="3397"/>
        <w:gridCol w:w="1985"/>
        <w:gridCol w:w="1843"/>
        <w:gridCol w:w="1701"/>
      </w:tblGrid>
      <w:tr w:rsidR="00C3250E" w:rsidRPr="003D073B" w14:paraId="1730A3B4" w14:textId="77777777" w:rsidTr="00903ADF">
        <w:tc>
          <w:tcPr>
            <w:tcW w:w="3397" w:type="dxa"/>
          </w:tcPr>
          <w:p w14:paraId="1884BF28"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Year</w:t>
            </w:r>
          </w:p>
        </w:tc>
        <w:tc>
          <w:tcPr>
            <w:tcW w:w="1985" w:type="dxa"/>
          </w:tcPr>
          <w:p w14:paraId="37A62C4F" w14:textId="77777777" w:rsidR="00C3250E" w:rsidRPr="003D073B" w:rsidRDefault="00C3250E" w:rsidP="00903ADF">
            <w:pPr>
              <w:jc w:val="center"/>
              <w:rPr>
                <w:rFonts w:ascii="Arial" w:hAnsi="Arial" w:cs="Arial"/>
                <w:b/>
                <w:bCs/>
                <w:sz w:val="24"/>
                <w:szCs w:val="24"/>
              </w:rPr>
            </w:pPr>
            <w:r w:rsidRPr="003D073B">
              <w:rPr>
                <w:rFonts w:ascii="Arial" w:hAnsi="Arial" w:cs="Arial"/>
                <w:b/>
                <w:bCs/>
                <w:sz w:val="24"/>
                <w:szCs w:val="24"/>
              </w:rPr>
              <w:t>2017</w:t>
            </w:r>
          </w:p>
        </w:tc>
        <w:tc>
          <w:tcPr>
            <w:tcW w:w="1843" w:type="dxa"/>
          </w:tcPr>
          <w:p w14:paraId="7CFEB72D" w14:textId="77777777" w:rsidR="00C3250E" w:rsidRPr="003D073B" w:rsidRDefault="00C3250E" w:rsidP="00903ADF">
            <w:pPr>
              <w:jc w:val="center"/>
              <w:rPr>
                <w:rFonts w:ascii="Arial" w:hAnsi="Arial" w:cs="Arial"/>
                <w:b/>
                <w:bCs/>
                <w:sz w:val="24"/>
                <w:szCs w:val="24"/>
              </w:rPr>
            </w:pPr>
            <w:r w:rsidRPr="003D073B">
              <w:rPr>
                <w:rFonts w:ascii="Arial" w:hAnsi="Arial" w:cs="Arial"/>
                <w:b/>
                <w:bCs/>
                <w:sz w:val="24"/>
                <w:szCs w:val="24"/>
              </w:rPr>
              <w:t>2018</w:t>
            </w:r>
          </w:p>
        </w:tc>
        <w:tc>
          <w:tcPr>
            <w:tcW w:w="1701" w:type="dxa"/>
          </w:tcPr>
          <w:p w14:paraId="52C62971" w14:textId="77777777" w:rsidR="00C3250E" w:rsidRPr="003D073B" w:rsidRDefault="00C3250E" w:rsidP="00903ADF">
            <w:pPr>
              <w:jc w:val="center"/>
              <w:rPr>
                <w:rFonts w:ascii="Arial" w:hAnsi="Arial" w:cs="Arial"/>
                <w:b/>
                <w:bCs/>
                <w:sz w:val="24"/>
                <w:szCs w:val="24"/>
              </w:rPr>
            </w:pPr>
            <w:r w:rsidRPr="003D073B">
              <w:rPr>
                <w:rFonts w:ascii="Arial" w:hAnsi="Arial" w:cs="Arial"/>
                <w:b/>
                <w:bCs/>
                <w:sz w:val="24"/>
                <w:szCs w:val="24"/>
              </w:rPr>
              <w:t>2019</w:t>
            </w:r>
          </w:p>
        </w:tc>
      </w:tr>
      <w:tr w:rsidR="00C3250E" w:rsidRPr="003D073B" w14:paraId="33C4D5CF" w14:textId="77777777" w:rsidTr="00A228B5">
        <w:tc>
          <w:tcPr>
            <w:tcW w:w="3397" w:type="dxa"/>
          </w:tcPr>
          <w:p w14:paraId="4004E717"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 xml:space="preserve">No. of claims determined at first instance </w:t>
            </w:r>
          </w:p>
        </w:tc>
        <w:tc>
          <w:tcPr>
            <w:tcW w:w="1985" w:type="dxa"/>
            <w:vAlign w:val="center"/>
          </w:tcPr>
          <w:p w14:paraId="172227C3"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4182</w:t>
            </w:r>
          </w:p>
        </w:tc>
        <w:tc>
          <w:tcPr>
            <w:tcW w:w="1843" w:type="dxa"/>
            <w:vAlign w:val="center"/>
          </w:tcPr>
          <w:p w14:paraId="145C257B"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5965</w:t>
            </w:r>
          </w:p>
        </w:tc>
        <w:tc>
          <w:tcPr>
            <w:tcW w:w="1701" w:type="dxa"/>
            <w:vAlign w:val="center"/>
          </w:tcPr>
          <w:p w14:paraId="2E1697A8"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1344</w:t>
            </w:r>
          </w:p>
        </w:tc>
      </w:tr>
      <w:tr w:rsidR="00C3250E" w:rsidRPr="003D073B" w14:paraId="7CC2C083" w14:textId="77777777" w:rsidTr="00A228B5">
        <w:tc>
          <w:tcPr>
            <w:tcW w:w="3397" w:type="dxa"/>
          </w:tcPr>
          <w:p w14:paraId="214B2E82"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No. of claims substantiated at first instance</w:t>
            </w:r>
          </w:p>
        </w:tc>
        <w:tc>
          <w:tcPr>
            <w:tcW w:w="1985" w:type="dxa"/>
            <w:vAlign w:val="center"/>
          </w:tcPr>
          <w:p w14:paraId="5C43EF91"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20</w:t>
            </w:r>
          </w:p>
        </w:tc>
        <w:tc>
          <w:tcPr>
            <w:tcW w:w="1843" w:type="dxa"/>
            <w:vAlign w:val="center"/>
          </w:tcPr>
          <w:p w14:paraId="354A6C50"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15</w:t>
            </w:r>
          </w:p>
        </w:tc>
        <w:tc>
          <w:tcPr>
            <w:tcW w:w="1701" w:type="dxa"/>
            <w:vAlign w:val="center"/>
          </w:tcPr>
          <w:p w14:paraId="0329FC5A"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4</w:t>
            </w:r>
          </w:p>
        </w:tc>
      </w:tr>
      <w:tr w:rsidR="00C3250E" w:rsidRPr="003D073B" w14:paraId="50B820C4" w14:textId="77777777" w:rsidTr="00A228B5">
        <w:tc>
          <w:tcPr>
            <w:tcW w:w="3397" w:type="dxa"/>
          </w:tcPr>
          <w:p w14:paraId="56606E28"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 xml:space="preserve">Substantiation rate at first instance </w:t>
            </w:r>
          </w:p>
        </w:tc>
        <w:tc>
          <w:tcPr>
            <w:tcW w:w="1985" w:type="dxa"/>
            <w:vAlign w:val="center"/>
          </w:tcPr>
          <w:p w14:paraId="4C6EDC28"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0.47%</w:t>
            </w:r>
          </w:p>
        </w:tc>
        <w:tc>
          <w:tcPr>
            <w:tcW w:w="1843" w:type="dxa"/>
            <w:vAlign w:val="center"/>
          </w:tcPr>
          <w:p w14:paraId="5400CC63"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0.25%</w:t>
            </w:r>
          </w:p>
        </w:tc>
        <w:tc>
          <w:tcPr>
            <w:tcW w:w="1701" w:type="dxa"/>
            <w:vAlign w:val="center"/>
          </w:tcPr>
          <w:p w14:paraId="3DADD459"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0.29%</w:t>
            </w:r>
          </w:p>
        </w:tc>
      </w:tr>
      <w:tr w:rsidR="00C3250E" w:rsidRPr="003D073B" w14:paraId="40A9C0D8" w14:textId="77777777" w:rsidTr="00A228B5">
        <w:tc>
          <w:tcPr>
            <w:tcW w:w="3397" w:type="dxa"/>
          </w:tcPr>
          <w:p w14:paraId="42CDCF27"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No. of claims determined at appeal stage</w:t>
            </w:r>
          </w:p>
        </w:tc>
        <w:tc>
          <w:tcPr>
            <w:tcW w:w="1985" w:type="dxa"/>
            <w:vAlign w:val="center"/>
          </w:tcPr>
          <w:p w14:paraId="6C90DDBD"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2820</w:t>
            </w:r>
          </w:p>
        </w:tc>
        <w:tc>
          <w:tcPr>
            <w:tcW w:w="1843" w:type="dxa"/>
            <w:vAlign w:val="center"/>
          </w:tcPr>
          <w:p w14:paraId="0C977BF2"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4808</w:t>
            </w:r>
          </w:p>
        </w:tc>
        <w:tc>
          <w:tcPr>
            <w:tcW w:w="1701" w:type="dxa"/>
            <w:vAlign w:val="center"/>
          </w:tcPr>
          <w:p w14:paraId="2A7AB620"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4925</w:t>
            </w:r>
          </w:p>
        </w:tc>
      </w:tr>
      <w:tr w:rsidR="00C3250E" w:rsidRPr="003D073B" w14:paraId="11F82873" w14:textId="77777777" w:rsidTr="00A228B5">
        <w:tc>
          <w:tcPr>
            <w:tcW w:w="3397" w:type="dxa"/>
          </w:tcPr>
          <w:p w14:paraId="4B57E26E"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No. of claims substantiated at appeal stage</w:t>
            </w:r>
          </w:p>
        </w:tc>
        <w:tc>
          <w:tcPr>
            <w:tcW w:w="1985" w:type="dxa"/>
            <w:vAlign w:val="center"/>
          </w:tcPr>
          <w:p w14:paraId="05966623"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19</w:t>
            </w:r>
          </w:p>
        </w:tc>
        <w:tc>
          <w:tcPr>
            <w:tcW w:w="1843" w:type="dxa"/>
            <w:vAlign w:val="center"/>
          </w:tcPr>
          <w:p w14:paraId="75D90DD3"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26</w:t>
            </w:r>
          </w:p>
        </w:tc>
        <w:tc>
          <w:tcPr>
            <w:tcW w:w="1701" w:type="dxa"/>
            <w:vAlign w:val="center"/>
          </w:tcPr>
          <w:p w14:paraId="22F451F0"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33</w:t>
            </w:r>
          </w:p>
        </w:tc>
      </w:tr>
      <w:tr w:rsidR="00C3250E" w:rsidRPr="003D073B" w14:paraId="38B7AA52" w14:textId="77777777" w:rsidTr="00A228B5">
        <w:tc>
          <w:tcPr>
            <w:tcW w:w="3397" w:type="dxa"/>
          </w:tcPr>
          <w:p w14:paraId="78348975"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 xml:space="preserve">Substantiation rate at appeal stage </w:t>
            </w:r>
          </w:p>
        </w:tc>
        <w:tc>
          <w:tcPr>
            <w:tcW w:w="1985" w:type="dxa"/>
            <w:vAlign w:val="center"/>
          </w:tcPr>
          <w:p w14:paraId="128A4ADD"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0.67%</w:t>
            </w:r>
          </w:p>
        </w:tc>
        <w:tc>
          <w:tcPr>
            <w:tcW w:w="1843" w:type="dxa"/>
            <w:vAlign w:val="center"/>
          </w:tcPr>
          <w:p w14:paraId="5E66AF6A"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0.54%</w:t>
            </w:r>
          </w:p>
        </w:tc>
        <w:tc>
          <w:tcPr>
            <w:tcW w:w="1701" w:type="dxa"/>
            <w:vAlign w:val="center"/>
          </w:tcPr>
          <w:p w14:paraId="24645904"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0.67%</w:t>
            </w:r>
          </w:p>
        </w:tc>
      </w:tr>
      <w:tr w:rsidR="00C3250E" w:rsidRPr="003D073B" w14:paraId="530F55C0" w14:textId="77777777" w:rsidTr="00A228B5">
        <w:tc>
          <w:tcPr>
            <w:tcW w:w="3397" w:type="dxa"/>
          </w:tcPr>
          <w:p w14:paraId="790DEAA5" w14:textId="77777777" w:rsidR="00C3250E" w:rsidRPr="003D073B" w:rsidRDefault="00C3250E" w:rsidP="00903ADF">
            <w:pPr>
              <w:rPr>
                <w:rFonts w:ascii="Arial" w:hAnsi="Arial" w:cs="Arial"/>
                <w:b/>
                <w:bCs/>
                <w:sz w:val="24"/>
                <w:szCs w:val="24"/>
              </w:rPr>
            </w:pPr>
            <w:r w:rsidRPr="003D073B">
              <w:rPr>
                <w:rFonts w:ascii="Arial" w:hAnsi="Arial" w:cs="Arial"/>
                <w:b/>
                <w:bCs/>
                <w:sz w:val="24"/>
                <w:szCs w:val="24"/>
              </w:rPr>
              <w:t>Cumulative substantiation rate</w:t>
            </w:r>
          </w:p>
        </w:tc>
        <w:tc>
          <w:tcPr>
            <w:tcW w:w="1985" w:type="dxa"/>
            <w:vAlign w:val="center"/>
          </w:tcPr>
          <w:p w14:paraId="25EFBA7F"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0.55%</w:t>
            </w:r>
          </w:p>
        </w:tc>
        <w:tc>
          <w:tcPr>
            <w:tcW w:w="1843" w:type="dxa"/>
            <w:vAlign w:val="center"/>
          </w:tcPr>
          <w:p w14:paraId="78D26C08"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0.38%</w:t>
            </w:r>
          </w:p>
        </w:tc>
        <w:tc>
          <w:tcPr>
            <w:tcW w:w="1701" w:type="dxa"/>
            <w:vAlign w:val="center"/>
          </w:tcPr>
          <w:p w14:paraId="3B875D34" w14:textId="77777777" w:rsidR="00C3250E" w:rsidRPr="003D073B" w:rsidRDefault="00C3250E" w:rsidP="00903ADF">
            <w:pPr>
              <w:jc w:val="center"/>
              <w:rPr>
                <w:rFonts w:ascii="Arial" w:hAnsi="Arial" w:cs="Arial"/>
                <w:sz w:val="24"/>
                <w:szCs w:val="24"/>
              </w:rPr>
            </w:pPr>
            <w:r w:rsidRPr="003D073B">
              <w:rPr>
                <w:rFonts w:ascii="Arial" w:hAnsi="Arial" w:cs="Arial"/>
                <w:sz w:val="24"/>
                <w:szCs w:val="24"/>
              </w:rPr>
              <w:t>0.59%</w:t>
            </w:r>
          </w:p>
        </w:tc>
      </w:tr>
    </w:tbl>
    <w:p w14:paraId="0E5999FE" w14:textId="5D81A799" w:rsidR="00C3250E" w:rsidRPr="003D073B" w:rsidRDefault="00C3250E" w:rsidP="00C3250E">
      <w:pPr>
        <w:jc w:val="both"/>
        <w:rPr>
          <w:rFonts w:ascii="Arial" w:hAnsi="Arial" w:cs="Arial"/>
          <w:sz w:val="24"/>
          <w:szCs w:val="24"/>
        </w:rPr>
      </w:pPr>
      <w:r w:rsidRPr="00640568">
        <w:rPr>
          <w:rFonts w:ascii="Arial" w:hAnsi="Arial" w:cs="Arial"/>
          <w:sz w:val="24"/>
          <w:szCs w:val="24"/>
        </w:rPr>
        <w:t xml:space="preserve">Table </w:t>
      </w:r>
      <w:r w:rsidR="00640568" w:rsidRPr="00640568">
        <w:rPr>
          <w:rFonts w:ascii="Arial" w:hAnsi="Arial" w:cs="Arial"/>
          <w:sz w:val="24"/>
          <w:szCs w:val="24"/>
        </w:rPr>
        <w:t>1</w:t>
      </w:r>
      <w:r w:rsidRPr="00640568">
        <w:rPr>
          <w:rFonts w:ascii="Arial" w:hAnsi="Arial" w:cs="Arial"/>
          <w:sz w:val="24"/>
          <w:szCs w:val="24"/>
        </w:rPr>
        <w:t>: Substantiation rate in the period 2017-2019</w:t>
      </w:r>
      <w:r w:rsidRPr="00640568">
        <w:rPr>
          <w:rStyle w:val="FootnoteReference"/>
          <w:rFonts w:ascii="Arial" w:hAnsi="Arial" w:cs="Arial"/>
          <w:sz w:val="24"/>
          <w:szCs w:val="24"/>
        </w:rPr>
        <w:footnoteReference w:id="8"/>
      </w:r>
    </w:p>
    <w:p w14:paraId="7501D9BE" w14:textId="06283545" w:rsidR="00215D4B" w:rsidRPr="003D073B" w:rsidRDefault="00C3250E" w:rsidP="00C3250E">
      <w:pPr>
        <w:pStyle w:val="ListParagraph"/>
        <w:numPr>
          <w:ilvl w:val="1"/>
          <w:numId w:val="1"/>
        </w:numPr>
        <w:rPr>
          <w:rFonts w:ascii="Arial" w:hAnsi="Arial" w:cs="Arial"/>
          <w:b/>
          <w:bCs/>
          <w:sz w:val="24"/>
          <w:szCs w:val="24"/>
        </w:rPr>
      </w:pPr>
      <w:r w:rsidRPr="003D073B">
        <w:rPr>
          <w:rFonts w:ascii="Arial" w:hAnsi="Arial" w:cs="Arial"/>
          <w:b/>
          <w:bCs/>
          <w:sz w:val="24"/>
          <w:szCs w:val="24"/>
        </w:rPr>
        <w:lastRenderedPageBreak/>
        <w:t xml:space="preserve">Lack of legal assistance </w:t>
      </w:r>
    </w:p>
    <w:p w14:paraId="12E50D3D" w14:textId="77777777" w:rsidR="006B113A" w:rsidRPr="003D073B" w:rsidRDefault="006B113A" w:rsidP="006B113A">
      <w:pPr>
        <w:jc w:val="both"/>
        <w:rPr>
          <w:rFonts w:ascii="Arial" w:hAnsi="Arial" w:cs="Arial"/>
          <w:sz w:val="24"/>
          <w:szCs w:val="24"/>
        </w:rPr>
      </w:pPr>
      <w:r w:rsidRPr="003D073B">
        <w:rPr>
          <w:rFonts w:ascii="Arial" w:hAnsi="Arial" w:cs="Arial"/>
          <w:sz w:val="24"/>
          <w:szCs w:val="24"/>
        </w:rPr>
        <w:t xml:space="preserve">The Government stated at paragraph 48 of its State Report that publicly-funded legal assistance (“PFLA”) is available to all claimants during the entire screening process. Justice Centre must clarify two points. </w:t>
      </w:r>
    </w:p>
    <w:p w14:paraId="78398817" w14:textId="45C6DE6E" w:rsidR="006B113A" w:rsidRPr="003D073B" w:rsidRDefault="006B113A" w:rsidP="006B113A">
      <w:pPr>
        <w:jc w:val="both"/>
        <w:rPr>
          <w:rFonts w:ascii="Arial" w:hAnsi="Arial" w:cs="Arial"/>
          <w:sz w:val="24"/>
          <w:szCs w:val="24"/>
        </w:rPr>
      </w:pPr>
      <w:r w:rsidRPr="003D073B">
        <w:rPr>
          <w:rFonts w:ascii="Arial" w:hAnsi="Arial" w:cs="Arial"/>
          <w:sz w:val="24"/>
          <w:szCs w:val="24"/>
        </w:rPr>
        <w:t>First</w:t>
      </w:r>
      <w:r w:rsidR="00F904FC">
        <w:rPr>
          <w:rFonts w:ascii="Arial" w:hAnsi="Arial" w:cs="Arial"/>
          <w:sz w:val="24"/>
          <w:szCs w:val="24"/>
        </w:rPr>
        <w:t>ly</w:t>
      </w:r>
      <w:r w:rsidRPr="003D073B">
        <w:rPr>
          <w:rFonts w:ascii="Arial" w:hAnsi="Arial" w:cs="Arial"/>
          <w:sz w:val="24"/>
          <w:szCs w:val="24"/>
        </w:rPr>
        <w:t xml:space="preserve">, PFLA is not available to claimants at the initial </w:t>
      </w:r>
      <w:r w:rsidR="00F904FC">
        <w:rPr>
          <w:rFonts w:ascii="Arial" w:hAnsi="Arial" w:cs="Arial"/>
          <w:sz w:val="24"/>
          <w:szCs w:val="24"/>
        </w:rPr>
        <w:t>registration</w:t>
      </w:r>
      <w:r w:rsidR="009761B7">
        <w:rPr>
          <w:rFonts w:ascii="Arial" w:hAnsi="Arial" w:cs="Arial"/>
          <w:sz w:val="24"/>
          <w:szCs w:val="24"/>
        </w:rPr>
        <w:t xml:space="preserve"> </w:t>
      </w:r>
      <w:r w:rsidRPr="003D073B">
        <w:rPr>
          <w:rFonts w:ascii="Arial" w:hAnsi="Arial" w:cs="Arial"/>
          <w:sz w:val="24"/>
          <w:szCs w:val="24"/>
        </w:rPr>
        <w:t>stage</w:t>
      </w:r>
      <w:r w:rsidR="009761B7">
        <w:rPr>
          <w:rFonts w:ascii="Arial" w:hAnsi="Arial" w:cs="Arial"/>
          <w:sz w:val="24"/>
          <w:szCs w:val="24"/>
        </w:rPr>
        <w:t xml:space="preserve"> </w:t>
      </w:r>
      <w:r w:rsidRPr="003D073B">
        <w:rPr>
          <w:rFonts w:ascii="Arial" w:hAnsi="Arial" w:cs="Arial"/>
          <w:sz w:val="24"/>
          <w:szCs w:val="24"/>
        </w:rPr>
        <w:t xml:space="preserve">of the USM. Pursuant to Section 37X of the Immigration Ordinance, people wishing to instigate a USM claim must </w:t>
      </w:r>
      <w:r w:rsidR="00F904FC">
        <w:rPr>
          <w:rFonts w:ascii="Arial" w:hAnsi="Arial" w:cs="Arial"/>
          <w:sz w:val="24"/>
          <w:szCs w:val="24"/>
        </w:rPr>
        <w:t xml:space="preserve">first </w:t>
      </w:r>
      <w:r w:rsidRPr="003D073B">
        <w:rPr>
          <w:rFonts w:ascii="Arial" w:hAnsi="Arial" w:cs="Arial"/>
          <w:sz w:val="24"/>
          <w:szCs w:val="24"/>
        </w:rPr>
        <w:t>provide the Immigration Department with a written signification setting out</w:t>
      </w:r>
      <w:r w:rsidR="00F904FC">
        <w:rPr>
          <w:rFonts w:ascii="Arial" w:hAnsi="Arial" w:cs="Arial"/>
          <w:sz w:val="24"/>
          <w:szCs w:val="24"/>
        </w:rPr>
        <w:t xml:space="preserve"> a</w:t>
      </w:r>
      <w:r w:rsidRPr="003D073B">
        <w:rPr>
          <w:rFonts w:ascii="Arial" w:hAnsi="Arial" w:cs="Arial"/>
          <w:sz w:val="24"/>
          <w:szCs w:val="24"/>
        </w:rPr>
        <w:t xml:space="preserve"> “general indication of the person’s reasons for claiming non-refoulement protection in Hong Kong”. If the </w:t>
      </w:r>
      <w:r w:rsidR="00164D78">
        <w:rPr>
          <w:rFonts w:ascii="Arial" w:hAnsi="Arial" w:cs="Arial"/>
          <w:sz w:val="24"/>
          <w:szCs w:val="24"/>
        </w:rPr>
        <w:t xml:space="preserve">written </w:t>
      </w:r>
      <w:r w:rsidRPr="003D073B">
        <w:rPr>
          <w:rFonts w:ascii="Arial" w:hAnsi="Arial" w:cs="Arial"/>
          <w:sz w:val="24"/>
          <w:szCs w:val="24"/>
        </w:rPr>
        <w:t xml:space="preserve">signification </w:t>
      </w:r>
      <w:r w:rsidR="00F904FC">
        <w:rPr>
          <w:rFonts w:ascii="Arial" w:hAnsi="Arial" w:cs="Arial"/>
          <w:sz w:val="24"/>
          <w:szCs w:val="24"/>
        </w:rPr>
        <w:t>is deemed inadequate</w:t>
      </w:r>
      <w:r w:rsidRPr="003D073B">
        <w:rPr>
          <w:rFonts w:ascii="Arial" w:hAnsi="Arial" w:cs="Arial"/>
          <w:sz w:val="24"/>
          <w:szCs w:val="24"/>
        </w:rPr>
        <w:t>, the claim will be considered to not have been made</w:t>
      </w:r>
      <w:r w:rsidR="00480B30">
        <w:rPr>
          <w:rFonts w:ascii="Arial" w:hAnsi="Arial" w:cs="Arial"/>
          <w:sz w:val="24"/>
          <w:szCs w:val="24"/>
        </w:rPr>
        <w:t xml:space="preserve"> and detention or refoulement may result</w:t>
      </w:r>
      <w:r w:rsidRPr="003D073B">
        <w:rPr>
          <w:rStyle w:val="FootnoteReference"/>
          <w:rFonts w:ascii="Arial" w:hAnsi="Arial" w:cs="Arial"/>
          <w:sz w:val="24"/>
          <w:szCs w:val="24"/>
        </w:rPr>
        <w:footnoteReference w:id="9"/>
      </w:r>
      <w:r w:rsidRPr="003D073B">
        <w:rPr>
          <w:rFonts w:ascii="Arial" w:hAnsi="Arial" w:cs="Arial"/>
          <w:sz w:val="24"/>
          <w:szCs w:val="24"/>
        </w:rPr>
        <w:t xml:space="preserve">. </w:t>
      </w:r>
      <w:r w:rsidR="00480B30">
        <w:rPr>
          <w:rFonts w:ascii="Arial" w:hAnsi="Arial" w:cs="Arial"/>
          <w:sz w:val="24"/>
          <w:szCs w:val="24"/>
        </w:rPr>
        <w:t xml:space="preserve">An understanding of the relevant grounds for protection </w:t>
      </w:r>
      <w:r w:rsidRPr="003D073B">
        <w:rPr>
          <w:rFonts w:ascii="Arial" w:hAnsi="Arial" w:cs="Arial"/>
          <w:sz w:val="24"/>
          <w:szCs w:val="24"/>
        </w:rPr>
        <w:t xml:space="preserve">is </w:t>
      </w:r>
      <w:r w:rsidR="00480B30">
        <w:rPr>
          <w:rFonts w:ascii="Arial" w:hAnsi="Arial" w:cs="Arial"/>
          <w:sz w:val="24"/>
          <w:szCs w:val="24"/>
        </w:rPr>
        <w:t xml:space="preserve">clearly </w:t>
      </w:r>
      <w:r w:rsidRPr="003D073B">
        <w:rPr>
          <w:rFonts w:ascii="Arial" w:hAnsi="Arial" w:cs="Arial"/>
          <w:sz w:val="24"/>
          <w:szCs w:val="24"/>
        </w:rPr>
        <w:t xml:space="preserve">required to put together a written signification </w:t>
      </w:r>
      <w:r w:rsidR="00480B30">
        <w:rPr>
          <w:rFonts w:ascii="Arial" w:hAnsi="Arial" w:cs="Arial"/>
          <w:sz w:val="24"/>
          <w:szCs w:val="24"/>
        </w:rPr>
        <w:t>and not least to determine the relevancy of information to be provided</w:t>
      </w:r>
      <w:r w:rsidRPr="003D073B">
        <w:rPr>
          <w:rFonts w:ascii="Arial" w:hAnsi="Arial" w:cs="Arial"/>
          <w:sz w:val="24"/>
          <w:szCs w:val="24"/>
        </w:rPr>
        <w:t xml:space="preserve">. Claimants who are illiterate, speak </w:t>
      </w:r>
      <w:r w:rsidRPr="003D073B">
        <w:rPr>
          <w:rFonts w:ascii="Arial" w:hAnsi="Arial" w:cs="Arial"/>
          <w:sz w:val="24"/>
          <w:szCs w:val="24"/>
        </w:rPr>
        <w:lastRenderedPageBreak/>
        <w:t>minority languages,</w:t>
      </w:r>
      <w:r w:rsidR="00480B30">
        <w:rPr>
          <w:rFonts w:ascii="Arial" w:hAnsi="Arial" w:cs="Arial"/>
          <w:sz w:val="24"/>
          <w:szCs w:val="24"/>
        </w:rPr>
        <w:t xml:space="preserve"> suffer from mental</w:t>
      </w:r>
      <w:r w:rsidR="003C0832">
        <w:rPr>
          <w:rFonts w:ascii="Arial" w:hAnsi="Arial" w:cs="Arial"/>
          <w:sz w:val="24"/>
          <w:szCs w:val="24"/>
        </w:rPr>
        <w:t xml:space="preserve"> or </w:t>
      </w:r>
      <w:r w:rsidR="00480B30">
        <w:rPr>
          <w:rFonts w:ascii="Arial" w:hAnsi="Arial" w:cs="Arial"/>
          <w:sz w:val="24"/>
          <w:szCs w:val="24"/>
        </w:rPr>
        <w:t>physical health difficulties</w:t>
      </w:r>
      <w:r w:rsidR="006808D5">
        <w:rPr>
          <w:rFonts w:ascii="Arial" w:hAnsi="Arial" w:cs="Arial"/>
          <w:sz w:val="24"/>
          <w:szCs w:val="24"/>
        </w:rPr>
        <w:t>,</w:t>
      </w:r>
      <w:r w:rsidRPr="003D073B">
        <w:rPr>
          <w:rFonts w:ascii="Arial" w:hAnsi="Arial" w:cs="Arial"/>
          <w:sz w:val="24"/>
          <w:szCs w:val="24"/>
        </w:rPr>
        <w:t xml:space="preserve"> or are traumatised due to torture and/or persecution </w:t>
      </w:r>
      <w:r w:rsidR="00480B30">
        <w:rPr>
          <w:rFonts w:ascii="Arial" w:hAnsi="Arial" w:cs="Arial"/>
          <w:sz w:val="24"/>
          <w:szCs w:val="24"/>
        </w:rPr>
        <w:t xml:space="preserve">will </w:t>
      </w:r>
      <w:r w:rsidRPr="003D073B">
        <w:rPr>
          <w:rFonts w:ascii="Arial" w:hAnsi="Arial" w:cs="Arial"/>
          <w:sz w:val="24"/>
          <w:szCs w:val="24"/>
        </w:rPr>
        <w:t xml:space="preserve">face additional difficulties in preparing </w:t>
      </w:r>
      <w:r w:rsidR="00480B30">
        <w:rPr>
          <w:rFonts w:ascii="Arial" w:hAnsi="Arial" w:cs="Arial"/>
          <w:sz w:val="24"/>
          <w:szCs w:val="24"/>
        </w:rPr>
        <w:t xml:space="preserve">a satisfactory </w:t>
      </w:r>
      <w:r w:rsidRPr="003D073B">
        <w:rPr>
          <w:rFonts w:ascii="Arial" w:hAnsi="Arial" w:cs="Arial"/>
          <w:sz w:val="24"/>
          <w:szCs w:val="24"/>
        </w:rPr>
        <w:t>written signification.</w:t>
      </w:r>
    </w:p>
    <w:p w14:paraId="5226DDA1" w14:textId="27E3ED4A" w:rsidR="006B113A" w:rsidRPr="003D073B" w:rsidRDefault="006B113A" w:rsidP="006B113A">
      <w:pPr>
        <w:jc w:val="both"/>
        <w:rPr>
          <w:rFonts w:ascii="Arial" w:hAnsi="Arial" w:cs="Arial"/>
          <w:sz w:val="24"/>
          <w:szCs w:val="24"/>
        </w:rPr>
      </w:pPr>
      <w:r w:rsidRPr="003D073B">
        <w:rPr>
          <w:rFonts w:ascii="Arial" w:hAnsi="Arial" w:cs="Arial"/>
          <w:sz w:val="24"/>
          <w:szCs w:val="24"/>
        </w:rPr>
        <w:t xml:space="preserve">Second, while PFLA is generally available to claimants at first instance, its availability at the appeal stage depends upon the opinion of the handling duty lawyer </w:t>
      </w:r>
      <w:r w:rsidR="00480B30">
        <w:rPr>
          <w:rFonts w:ascii="Arial" w:hAnsi="Arial" w:cs="Arial"/>
          <w:sz w:val="24"/>
          <w:szCs w:val="24"/>
        </w:rPr>
        <w:t>regarding the merits of the claim</w:t>
      </w:r>
      <w:r w:rsidR="00726D4D">
        <w:rPr>
          <w:rFonts w:ascii="Arial" w:hAnsi="Arial" w:cs="Arial"/>
          <w:sz w:val="24"/>
          <w:szCs w:val="24"/>
        </w:rPr>
        <w:t xml:space="preserve"> or </w:t>
      </w:r>
      <w:r w:rsidR="00480B30">
        <w:rPr>
          <w:rFonts w:ascii="Arial" w:hAnsi="Arial" w:cs="Arial"/>
          <w:sz w:val="24"/>
          <w:szCs w:val="24"/>
        </w:rPr>
        <w:t>appeal.</w:t>
      </w:r>
      <w:r w:rsidR="00645508">
        <w:rPr>
          <w:rFonts w:ascii="Arial" w:hAnsi="Arial" w:cs="Arial"/>
          <w:sz w:val="24"/>
          <w:szCs w:val="24"/>
        </w:rPr>
        <w:t xml:space="preserve"> </w:t>
      </w:r>
      <w:r w:rsidRPr="003D073B">
        <w:rPr>
          <w:rFonts w:ascii="Arial" w:hAnsi="Arial" w:cs="Arial"/>
          <w:sz w:val="24"/>
          <w:szCs w:val="24"/>
        </w:rPr>
        <w:t xml:space="preserve">Statistics show that the </w:t>
      </w:r>
      <w:r w:rsidR="00480B30">
        <w:rPr>
          <w:rFonts w:ascii="Arial" w:hAnsi="Arial" w:cs="Arial"/>
          <w:sz w:val="24"/>
          <w:szCs w:val="24"/>
        </w:rPr>
        <w:t xml:space="preserve">proportion </w:t>
      </w:r>
      <w:r w:rsidRPr="003D073B">
        <w:rPr>
          <w:rFonts w:ascii="Arial" w:hAnsi="Arial" w:cs="Arial"/>
          <w:sz w:val="24"/>
          <w:szCs w:val="24"/>
        </w:rPr>
        <w:t xml:space="preserve">of claimants provided with PFLA at the appeal stage is low, at less than 8%. Moreover, </w:t>
      </w:r>
      <w:r w:rsidR="007A1EB8" w:rsidRPr="003D073B">
        <w:rPr>
          <w:rFonts w:ascii="Arial" w:hAnsi="Arial" w:cs="Arial"/>
          <w:sz w:val="24"/>
          <w:szCs w:val="24"/>
        </w:rPr>
        <w:t>although</w:t>
      </w:r>
      <w:r w:rsidRPr="003D073B">
        <w:rPr>
          <w:rFonts w:ascii="Arial" w:hAnsi="Arial" w:cs="Arial"/>
          <w:sz w:val="24"/>
          <w:szCs w:val="24"/>
        </w:rPr>
        <w:t xml:space="preserve"> claimants who are rejected for PFLA at the appeal stage are entitled to </w:t>
      </w:r>
      <w:r w:rsidR="00480B30">
        <w:rPr>
          <w:rFonts w:ascii="Arial" w:hAnsi="Arial" w:cs="Arial"/>
          <w:sz w:val="24"/>
          <w:szCs w:val="24"/>
        </w:rPr>
        <w:t xml:space="preserve">request </w:t>
      </w:r>
      <w:r w:rsidRPr="003D073B">
        <w:rPr>
          <w:rFonts w:ascii="Arial" w:hAnsi="Arial" w:cs="Arial"/>
          <w:sz w:val="24"/>
          <w:szCs w:val="24"/>
        </w:rPr>
        <w:t>a second opinion by a fresh duty lawyer</w:t>
      </w:r>
      <w:r w:rsidR="00DF46B0">
        <w:rPr>
          <w:rFonts w:ascii="Arial" w:hAnsi="Arial" w:cs="Arial"/>
          <w:sz w:val="24"/>
          <w:szCs w:val="24"/>
        </w:rPr>
        <w:t xml:space="preserve"> as to the merits of their case</w:t>
      </w:r>
      <w:r w:rsidRPr="003D073B">
        <w:rPr>
          <w:rFonts w:ascii="Arial" w:hAnsi="Arial" w:cs="Arial"/>
          <w:sz w:val="24"/>
          <w:szCs w:val="24"/>
        </w:rPr>
        <w:t>,</w:t>
      </w:r>
      <w:r w:rsidR="00B53F46">
        <w:rPr>
          <w:rFonts w:ascii="Arial" w:hAnsi="Arial" w:cs="Arial"/>
          <w:sz w:val="24"/>
          <w:szCs w:val="24"/>
        </w:rPr>
        <w:t xml:space="preserve"> this option is not published anywhere and there is no apparent requirement for claimants to be informed of this option. </w:t>
      </w:r>
      <w:r w:rsidR="008B695D">
        <w:rPr>
          <w:rFonts w:ascii="Arial" w:hAnsi="Arial" w:cs="Arial"/>
          <w:sz w:val="24"/>
          <w:szCs w:val="24"/>
        </w:rPr>
        <w:t>T</w:t>
      </w:r>
      <w:r w:rsidRPr="003D073B">
        <w:rPr>
          <w:rFonts w:ascii="Arial" w:hAnsi="Arial" w:cs="Arial"/>
          <w:sz w:val="24"/>
          <w:szCs w:val="24"/>
        </w:rPr>
        <w:t xml:space="preserve">he numbers of claimants seeking a second opinion remains </w:t>
      </w:r>
      <w:r w:rsidR="00DF46B0">
        <w:rPr>
          <w:rFonts w:ascii="Arial" w:hAnsi="Arial" w:cs="Arial"/>
          <w:sz w:val="24"/>
          <w:szCs w:val="24"/>
        </w:rPr>
        <w:t xml:space="preserve">very low </w:t>
      </w:r>
      <w:r w:rsidRPr="003D073B">
        <w:rPr>
          <w:rFonts w:ascii="Arial" w:hAnsi="Arial" w:cs="Arial"/>
          <w:sz w:val="24"/>
          <w:szCs w:val="24"/>
        </w:rPr>
        <w:t xml:space="preserve">at less than 4%, suggesting most claimants are not aware of their right to </w:t>
      </w:r>
      <w:r w:rsidR="00DF46B0">
        <w:rPr>
          <w:rFonts w:ascii="Arial" w:hAnsi="Arial" w:cs="Arial"/>
          <w:sz w:val="24"/>
          <w:szCs w:val="24"/>
        </w:rPr>
        <w:t xml:space="preserve">request this. </w:t>
      </w:r>
    </w:p>
    <w:tbl>
      <w:tblPr>
        <w:tblStyle w:val="TableGrid"/>
        <w:tblW w:w="9493" w:type="dxa"/>
        <w:tblLook w:val="04A0" w:firstRow="1" w:lastRow="0" w:firstColumn="1" w:lastColumn="0" w:noHBand="0" w:noVBand="1"/>
      </w:tblPr>
      <w:tblGrid>
        <w:gridCol w:w="2689"/>
        <w:gridCol w:w="1134"/>
        <w:gridCol w:w="1134"/>
        <w:gridCol w:w="1134"/>
        <w:gridCol w:w="1134"/>
        <w:gridCol w:w="1134"/>
        <w:gridCol w:w="1134"/>
      </w:tblGrid>
      <w:tr w:rsidR="006B113A" w:rsidRPr="003D073B" w14:paraId="147AAE26" w14:textId="77777777" w:rsidTr="006F2EE3">
        <w:tc>
          <w:tcPr>
            <w:tcW w:w="2689" w:type="dxa"/>
          </w:tcPr>
          <w:p w14:paraId="38114C52" w14:textId="77777777" w:rsidR="006B113A" w:rsidRPr="003D073B" w:rsidRDefault="006B113A" w:rsidP="00903ADF">
            <w:pPr>
              <w:jc w:val="both"/>
              <w:rPr>
                <w:rFonts w:ascii="Arial" w:hAnsi="Arial" w:cs="Arial"/>
                <w:sz w:val="24"/>
                <w:szCs w:val="24"/>
              </w:rPr>
            </w:pPr>
          </w:p>
        </w:tc>
        <w:tc>
          <w:tcPr>
            <w:tcW w:w="1134" w:type="dxa"/>
            <w:vAlign w:val="center"/>
          </w:tcPr>
          <w:p w14:paraId="0AA9AFAC"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Q1 2018</w:t>
            </w:r>
          </w:p>
        </w:tc>
        <w:tc>
          <w:tcPr>
            <w:tcW w:w="1134" w:type="dxa"/>
            <w:vAlign w:val="center"/>
          </w:tcPr>
          <w:p w14:paraId="2AC510B5"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Q2 2018</w:t>
            </w:r>
          </w:p>
        </w:tc>
        <w:tc>
          <w:tcPr>
            <w:tcW w:w="1134" w:type="dxa"/>
            <w:vAlign w:val="center"/>
          </w:tcPr>
          <w:p w14:paraId="651EC492"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Q3 2018</w:t>
            </w:r>
          </w:p>
        </w:tc>
        <w:tc>
          <w:tcPr>
            <w:tcW w:w="1134" w:type="dxa"/>
            <w:vAlign w:val="center"/>
          </w:tcPr>
          <w:p w14:paraId="6868068E"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Q4 2018</w:t>
            </w:r>
          </w:p>
        </w:tc>
        <w:tc>
          <w:tcPr>
            <w:tcW w:w="1134" w:type="dxa"/>
            <w:vAlign w:val="center"/>
          </w:tcPr>
          <w:p w14:paraId="79D0568A"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Q1 2019</w:t>
            </w:r>
          </w:p>
        </w:tc>
        <w:tc>
          <w:tcPr>
            <w:tcW w:w="1134" w:type="dxa"/>
            <w:vAlign w:val="center"/>
          </w:tcPr>
          <w:p w14:paraId="4894EDFC"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Q4 2019</w:t>
            </w:r>
          </w:p>
        </w:tc>
      </w:tr>
      <w:tr w:rsidR="006B113A" w:rsidRPr="003D073B" w14:paraId="791C23F7" w14:textId="77777777" w:rsidTr="006F2EE3">
        <w:tc>
          <w:tcPr>
            <w:tcW w:w="2689" w:type="dxa"/>
          </w:tcPr>
          <w:p w14:paraId="417793DD" w14:textId="77777777" w:rsidR="006B113A" w:rsidRPr="003D073B" w:rsidRDefault="006B113A" w:rsidP="00903ADF">
            <w:pPr>
              <w:jc w:val="both"/>
              <w:rPr>
                <w:rFonts w:ascii="Arial" w:hAnsi="Arial" w:cs="Arial"/>
                <w:sz w:val="24"/>
                <w:szCs w:val="24"/>
              </w:rPr>
            </w:pPr>
            <w:r w:rsidRPr="003D073B">
              <w:rPr>
                <w:rFonts w:ascii="Arial" w:hAnsi="Arial" w:cs="Arial"/>
                <w:sz w:val="24"/>
                <w:szCs w:val="24"/>
                <w:lang w:val="en-GB"/>
              </w:rPr>
              <w:t>% claimants provided PFLA at the appeal stage</w:t>
            </w:r>
          </w:p>
          <w:p w14:paraId="237057A2" w14:textId="77777777" w:rsidR="006B113A" w:rsidRPr="003D073B" w:rsidRDefault="006B113A" w:rsidP="00903ADF">
            <w:pPr>
              <w:jc w:val="both"/>
              <w:rPr>
                <w:rFonts w:ascii="Arial" w:hAnsi="Arial" w:cs="Arial"/>
                <w:sz w:val="24"/>
                <w:szCs w:val="24"/>
              </w:rPr>
            </w:pPr>
          </w:p>
        </w:tc>
        <w:tc>
          <w:tcPr>
            <w:tcW w:w="1134" w:type="dxa"/>
            <w:vAlign w:val="center"/>
          </w:tcPr>
          <w:p w14:paraId="27DEAD3B" w14:textId="77777777" w:rsidR="006B113A" w:rsidRPr="003D073B" w:rsidRDefault="006B113A" w:rsidP="00903ADF">
            <w:pPr>
              <w:jc w:val="both"/>
              <w:rPr>
                <w:rFonts w:ascii="Arial" w:hAnsi="Arial" w:cs="Arial"/>
                <w:sz w:val="24"/>
                <w:szCs w:val="24"/>
              </w:rPr>
            </w:pPr>
            <w:r w:rsidRPr="003D073B">
              <w:rPr>
                <w:rFonts w:ascii="Arial" w:hAnsi="Arial" w:cs="Arial"/>
                <w:color w:val="000000" w:themeColor="dark1"/>
                <w:kern w:val="24"/>
                <w:sz w:val="24"/>
                <w:szCs w:val="24"/>
                <w:lang w:val="en-GB"/>
              </w:rPr>
              <w:t>8%</w:t>
            </w:r>
          </w:p>
        </w:tc>
        <w:tc>
          <w:tcPr>
            <w:tcW w:w="1134" w:type="dxa"/>
            <w:vAlign w:val="center"/>
          </w:tcPr>
          <w:p w14:paraId="24A87FEF" w14:textId="77777777" w:rsidR="006B113A" w:rsidRPr="003D073B" w:rsidRDefault="006B113A" w:rsidP="00903ADF">
            <w:pPr>
              <w:jc w:val="both"/>
              <w:rPr>
                <w:rFonts w:ascii="Arial" w:hAnsi="Arial" w:cs="Arial"/>
                <w:sz w:val="24"/>
                <w:szCs w:val="24"/>
              </w:rPr>
            </w:pPr>
            <w:r w:rsidRPr="003D073B">
              <w:rPr>
                <w:rFonts w:ascii="Arial" w:hAnsi="Arial" w:cs="Arial"/>
                <w:color w:val="000000" w:themeColor="dark1"/>
                <w:kern w:val="24"/>
                <w:sz w:val="24"/>
                <w:szCs w:val="24"/>
                <w:lang w:val="en-GB"/>
              </w:rPr>
              <w:t>6%</w:t>
            </w:r>
          </w:p>
        </w:tc>
        <w:tc>
          <w:tcPr>
            <w:tcW w:w="1134" w:type="dxa"/>
            <w:vAlign w:val="center"/>
          </w:tcPr>
          <w:p w14:paraId="6F40C2F2" w14:textId="77777777" w:rsidR="006B113A" w:rsidRPr="003D073B" w:rsidRDefault="006B113A" w:rsidP="00903ADF">
            <w:pPr>
              <w:jc w:val="both"/>
              <w:rPr>
                <w:rFonts w:ascii="Arial" w:hAnsi="Arial" w:cs="Arial"/>
                <w:sz w:val="24"/>
                <w:szCs w:val="24"/>
              </w:rPr>
            </w:pPr>
            <w:r w:rsidRPr="003D073B">
              <w:rPr>
                <w:rFonts w:ascii="Arial" w:hAnsi="Arial" w:cs="Arial"/>
                <w:color w:val="000000" w:themeColor="dark1"/>
                <w:kern w:val="24"/>
                <w:sz w:val="24"/>
                <w:szCs w:val="24"/>
                <w:lang w:val="en-GB"/>
              </w:rPr>
              <w:t>6%</w:t>
            </w:r>
          </w:p>
        </w:tc>
        <w:tc>
          <w:tcPr>
            <w:tcW w:w="1134" w:type="dxa"/>
            <w:vAlign w:val="center"/>
          </w:tcPr>
          <w:p w14:paraId="2283B6ED" w14:textId="77777777" w:rsidR="006B113A" w:rsidRPr="003D073B" w:rsidRDefault="006B113A" w:rsidP="00903ADF">
            <w:pPr>
              <w:jc w:val="both"/>
              <w:rPr>
                <w:rFonts w:ascii="Arial" w:hAnsi="Arial" w:cs="Arial"/>
                <w:sz w:val="24"/>
                <w:szCs w:val="24"/>
              </w:rPr>
            </w:pPr>
            <w:r w:rsidRPr="003D073B">
              <w:rPr>
                <w:rFonts w:ascii="Arial" w:hAnsi="Arial" w:cs="Arial"/>
                <w:color w:val="000000" w:themeColor="dark1"/>
                <w:kern w:val="24"/>
                <w:sz w:val="24"/>
                <w:szCs w:val="24"/>
                <w:lang w:val="en-GB"/>
              </w:rPr>
              <w:t>5%</w:t>
            </w:r>
          </w:p>
        </w:tc>
        <w:tc>
          <w:tcPr>
            <w:tcW w:w="1134" w:type="dxa"/>
            <w:vAlign w:val="center"/>
          </w:tcPr>
          <w:p w14:paraId="320D6310" w14:textId="77777777" w:rsidR="006B113A" w:rsidRPr="003D073B" w:rsidRDefault="006B113A" w:rsidP="00903ADF">
            <w:pPr>
              <w:jc w:val="both"/>
              <w:rPr>
                <w:rFonts w:ascii="Arial" w:hAnsi="Arial" w:cs="Arial"/>
                <w:sz w:val="24"/>
                <w:szCs w:val="24"/>
              </w:rPr>
            </w:pPr>
            <w:r w:rsidRPr="003D073B">
              <w:rPr>
                <w:rFonts w:ascii="Arial" w:hAnsi="Arial" w:cs="Arial"/>
                <w:color w:val="000000" w:themeColor="dark1"/>
                <w:kern w:val="24"/>
                <w:sz w:val="24"/>
                <w:szCs w:val="24"/>
                <w:lang w:val="en-GB"/>
              </w:rPr>
              <w:t>8%</w:t>
            </w:r>
          </w:p>
        </w:tc>
        <w:tc>
          <w:tcPr>
            <w:tcW w:w="1134" w:type="dxa"/>
            <w:vAlign w:val="center"/>
          </w:tcPr>
          <w:p w14:paraId="3BA9B89D"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 xml:space="preserve">6.25% </w:t>
            </w:r>
          </w:p>
        </w:tc>
      </w:tr>
      <w:tr w:rsidR="006B113A" w:rsidRPr="003D073B" w14:paraId="3C7DD7DC" w14:textId="77777777" w:rsidTr="006F2EE3">
        <w:tc>
          <w:tcPr>
            <w:tcW w:w="2689" w:type="dxa"/>
          </w:tcPr>
          <w:p w14:paraId="479CBF21" w14:textId="77777777" w:rsidR="006B113A" w:rsidRPr="003D073B" w:rsidRDefault="006B113A" w:rsidP="00903ADF">
            <w:pPr>
              <w:jc w:val="both"/>
              <w:rPr>
                <w:rFonts w:ascii="Arial" w:hAnsi="Arial" w:cs="Arial"/>
                <w:sz w:val="24"/>
                <w:szCs w:val="24"/>
                <w:lang w:val="en-GB"/>
              </w:rPr>
            </w:pPr>
            <w:r w:rsidRPr="003D073B">
              <w:rPr>
                <w:rFonts w:ascii="Arial" w:hAnsi="Arial" w:cs="Arial"/>
                <w:sz w:val="24"/>
                <w:szCs w:val="24"/>
                <w:lang w:val="en-GB"/>
              </w:rPr>
              <w:t>% claimants requested second opinion after being denied PFLA</w:t>
            </w:r>
          </w:p>
        </w:tc>
        <w:tc>
          <w:tcPr>
            <w:tcW w:w="1134" w:type="dxa"/>
            <w:vAlign w:val="center"/>
          </w:tcPr>
          <w:p w14:paraId="635D2D54"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1%</w:t>
            </w:r>
          </w:p>
        </w:tc>
        <w:tc>
          <w:tcPr>
            <w:tcW w:w="1134" w:type="dxa"/>
            <w:vAlign w:val="center"/>
          </w:tcPr>
          <w:p w14:paraId="08A0CF47"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1%</w:t>
            </w:r>
          </w:p>
        </w:tc>
        <w:tc>
          <w:tcPr>
            <w:tcW w:w="1134" w:type="dxa"/>
            <w:vAlign w:val="center"/>
          </w:tcPr>
          <w:p w14:paraId="1C3C8F84"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1%</w:t>
            </w:r>
          </w:p>
        </w:tc>
        <w:tc>
          <w:tcPr>
            <w:tcW w:w="1134" w:type="dxa"/>
            <w:vAlign w:val="center"/>
          </w:tcPr>
          <w:p w14:paraId="5A5A81AF"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1%</w:t>
            </w:r>
          </w:p>
        </w:tc>
        <w:tc>
          <w:tcPr>
            <w:tcW w:w="1134" w:type="dxa"/>
            <w:vAlign w:val="center"/>
          </w:tcPr>
          <w:p w14:paraId="5D2E0265"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4%</w:t>
            </w:r>
          </w:p>
        </w:tc>
        <w:tc>
          <w:tcPr>
            <w:tcW w:w="1134" w:type="dxa"/>
            <w:vAlign w:val="center"/>
          </w:tcPr>
          <w:p w14:paraId="491EC524"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n/a</w:t>
            </w:r>
          </w:p>
        </w:tc>
      </w:tr>
      <w:tr w:rsidR="006B113A" w:rsidRPr="003D073B" w14:paraId="74C2F5C9" w14:textId="77777777" w:rsidTr="006F2EE3">
        <w:tc>
          <w:tcPr>
            <w:tcW w:w="2689" w:type="dxa"/>
          </w:tcPr>
          <w:p w14:paraId="42CEEE56" w14:textId="77777777" w:rsidR="006B113A" w:rsidRPr="003D073B" w:rsidRDefault="006B113A" w:rsidP="00903ADF">
            <w:pPr>
              <w:jc w:val="both"/>
              <w:rPr>
                <w:rFonts w:ascii="Arial" w:hAnsi="Arial" w:cs="Arial"/>
                <w:sz w:val="24"/>
                <w:szCs w:val="24"/>
                <w:lang w:val="en-GB"/>
              </w:rPr>
            </w:pPr>
            <w:r w:rsidRPr="003D073B">
              <w:rPr>
                <w:rFonts w:ascii="Arial" w:hAnsi="Arial" w:cs="Arial"/>
                <w:sz w:val="24"/>
                <w:szCs w:val="24"/>
                <w:lang w:val="en-GB"/>
              </w:rPr>
              <w:t xml:space="preserve">% claimants provided PFLA after requesting second opinion </w:t>
            </w:r>
          </w:p>
        </w:tc>
        <w:tc>
          <w:tcPr>
            <w:tcW w:w="1134" w:type="dxa"/>
            <w:vAlign w:val="center"/>
          </w:tcPr>
          <w:p w14:paraId="179A23CC"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40%</w:t>
            </w:r>
          </w:p>
        </w:tc>
        <w:tc>
          <w:tcPr>
            <w:tcW w:w="1134" w:type="dxa"/>
            <w:vAlign w:val="center"/>
          </w:tcPr>
          <w:p w14:paraId="0F5C18B0"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100%</w:t>
            </w:r>
          </w:p>
        </w:tc>
        <w:tc>
          <w:tcPr>
            <w:tcW w:w="1134" w:type="dxa"/>
            <w:vAlign w:val="center"/>
          </w:tcPr>
          <w:p w14:paraId="5B2BC7AA"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0%</w:t>
            </w:r>
          </w:p>
        </w:tc>
        <w:tc>
          <w:tcPr>
            <w:tcW w:w="1134" w:type="dxa"/>
            <w:vAlign w:val="center"/>
          </w:tcPr>
          <w:p w14:paraId="3997B9A6"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83%</w:t>
            </w:r>
          </w:p>
        </w:tc>
        <w:tc>
          <w:tcPr>
            <w:tcW w:w="1134" w:type="dxa"/>
            <w:vAlign w:val="center"/>
          </w:tcPr>
          <w:p w14:paraId="0CB9D692" w14:textId="77777777" w:rsidR="006B113A" w:rsidRPr="003D073B" w:rsidRDefault="006B113A" w:rsidP="00903ADF">
            <w:pPr>
              <w:jc w:val="both"/>
              <w:rPr>
                <w:rFonts w:ascii="Arial" w:hAnsi="Arial" w:cs="Arial"/>
                <w:color w:val="000000" w:themeColor="dark1"/>
                <w:kern w:val="24"/>
                <w:sz w:val="24"/>
                <w:szCs w:val="24"/>
                <w:lang w:val="en-GB"/>
              </w:rPr>
            </w:pPr>
            <w:r w:rsidRPr="003D073B">
              <w:rPr>
                <w:rFonts w:ascii="Arial" w:hAnsi="Arial" w:cs="Arial"/>
                <w:color w:val="000000" w:themeColor="dark1"/>
                <w:kern w:val="24"/>
                <w:sz w:val="24"/>
                <w:szCs w:val="24"/>
                <w:lang w:val="en-GB"/>
              </w:rPr>
              <w:t>82%</w:t>
            </w:r>
          </w:p>
        </w:tc>
        <w:tc>
          <w:tcPr>
            <w:tcW w:w="1134" w:type="dxa"/>
            <w:vAlign w:val="center"/>
          </w:tcPr>
          <w:p w14:paraId="50695A88" w14:textId="77777777" w:rsidR="006B113A" w:rsidRPr="003D073B" w:rsidRDefault="006B113A" w:rsidP="00903ADF">
            <w:pPr>
              <w:jc w:val="both"/>
              <w:rPr>
                <w:rFonts w:ascii="Arial" w:hAnsi="Arial" w:cs="Arial"/>
                <w:sz w:val="24"/>
                <w:szCs w:val="24"/>
              </w:rPr>
            </w:pPr>
            <w:r w:rsidRPr="003D073B">
              <w:rPr>
                <w:rFonts w:ascii="Arial" w:hAnsi="Arial" w:cs="Arial"/>
                <w:sz w:val="24"/>
                <w:szCs w:val="24"/>
              </w:rPr>
              <w:t>n/a</w:t>
            </w:r>
          </w:p>
        </w:tc>
      </w:tr>
    </w:tbl>
    <w:p w14:paraId="765C0CD0" w14:textId="3E825EB1" w:rsidR="006B113A" w:rsidRPr="003D073B" w:rsidRDefault="006B113A" w:rsidP="006B113A">
      <w:pPr>
        <w:jc w:val="both"/>
        <w:rPr>
          <w:rFonts w:ascii="Arial" w:hAnsi="Arial" w:cs="Arial"/>
          <w:sz w:val="24"/>
          <w:szCs w:val="24"/>
        </w:rPr>
      </w:pPr>
      <w:r w:rsidRPr="00F12378">
        <w:rPr>
          <w:rFonts w:ascii="Arial" w:hAnsi="Arial" w:cs="Arial"/>
          <w:sz w:val="24"/>
          <w:szCs w:val="24"/>
        </w:rPr>
        <w:t xml:space="preserve">Table </w:t>
      </w:r>
      <w:r w:rsidR="00F12378" w:rsidRPr="00F12378">
        <w:rPr>
          <w:rFonts w:ascii="Arial" w:hAnsi="Arial" w:cs="Arial"/>
          <w:sz w:val="24"/>
          <w:szCs w:val="24"/>
        </w:rPr>
        <w:t>2</w:t>
      </w:r>
      <w:r w:rsidRPr="00F12378">
        <w:rPr>
          <w:rFonts w:ascii="Arial" w:hAnsi="Arial" w:cs="Arial"/>
          <w:sz w:val="24"/>
          <w:szCs w:val="24"/>
        </w:rPr>
        <w:t>: Percentage of claimants provided with PFLA at the appeal stage</w:t>
      </w:r>
      <w:r w:rsidRPr="00F12378">
        <w:rPr>
          <w:rStyle w:val="FootnoteReference"/>
          <w:rFonts w:ascii="Arial" w:hAnsi="Arial" w:cs="Arial"/>
          <w:sz w:val="24"/>
          <w:szCs w:val="24"/>
        </w:rPr>
        <w:footnoteReference w:id="10"/>
      </w:r>
    </w:p>
    <w:p w14:paraId="33134AC5" w14:textId="060CD3FF" w:rsidR="00C3250E" w:rsidRPr="003D073B" w:rsidRDefault="006E698F" w:rsidP="006E698F">
      <w:pPr>
        <w:pStyle w:val="ListParagraph"/>
        <w:numPr>
          <w:ilvl w:val="1"/>
          <w:numId w:val="1"/>
        </w:numPr>
        <w:rPr>
          <w:rFonts w:ascii="Arial" w:hAnsi="Arial" w:cs="Arial"/>
          <w:b/>
          <w:bCs/>
          <w:sz w:val="24"/>
          <w:szCs w:val="24"/>
        </w:rPr>
      </w:pPr>
      <w:r w:rsidRPr="003D073B">
        <w:rPr>
          <w:rFonts w:ascii="Arial" w:hAnsi="Arial" w:cs="Arial"/>
          <w:b/>
          <w:bCs/>
          <w:sz w:val="24"/>
          <w:szCs w:val="24"/>
        </w:rPr>
        <w:t xml:space="preserve">Low quality decision-making </w:t>
      </w:r>
    </w:p>
    <w:p w14:paraId="588F55DC" w14:textId="0187898F" w:rsidR="006E698F" w:rsidRPr="003D073B" w:rsidRDefault="006E698F" w:rsidP="006E698F">
      <w:pPr>
        <w:jc w:val="both"/>
        <w:rPr>
          <w:rFonts w:ascii="Arial" w:hAnsi="Arial" w:cs="Arial"/>
          <w:sz w:val="24"/>
          <w:szCs w:val="24"/>
        </w:rPr>
      </w:pPr>
      <w:r w:rsidRPr="003D073B">
        <w:rPr>
          <w:rFonts w:ascii="Arial" w:hAnsi="Arial" w:cs="Arial"/>
          <w:sz w:val="24"/>
          <w:szCs w:val="24"/>
        </w:rPr>
        <w:lastRenderedPageBreak/>
        <w:t xml:space="preserve">Justice Centre observes that </w:t>
      </w:r>
      <w:r w:rsidR="00C51EAB">
        <w:rPr>
          <w:rFonts w:ascii="Arial" w:hAnsi="Arial" w:cs="Arial"/>
          <w:sz w:val="24"/>
          <w:szCs w:val="24"/>
        </w:rPr>
        <w:t>USM decisions are of a low standard</w:t>
      </w:r>
      <w:r w:rsidRPr="003D073B">
        <w:rPr>
          <w:rFonts w:ascii="Arial" w:hAnsi="Arial" w:cs="Arial"/>
          <w:sz w:val="24"/>
          <w:szCs w:val="24"/>
        </w:rPr>
        <w:t xml:space="preserve">. Basic mistakes are frequently noted, including mistaking claimants’ countries of origin, using </w:t>
      </w:r>
      <w:r w:rsidR="00480B30">
        <w:rPr>
          <w:rFonts w:ascii="Arial" w:hAnsi="Arial" w:cs="Arial"/>
          <w:sz w:val="24"/>
          <w:szCs w:val="24"/>
        </w:rPr>
        <w:t xml:space="preserve">unverified </w:t>
      </w:r>
      <w:r w:rsidRPr="003D073B">
        <w:rPr>
          <w:rFonts w:ascii="Arial" w:hAnsi="Arial" w:cs="Arial"/>
          <w:sz w:val="24"/>
          <w:szCs w:val="24"/>
        </w:rPr>
        <w:t>information from Wikipedia as evidence to determine claims</w:t>
      </w:r>
      <w:r w:rsidRPr="003D073B">
        <w:rPr>
          <w:rStyle w:val="FootnoteReference"/>
          <w:rFonts w:ascii="Arial" w:hAnsi="Arial" w:cs="Arial"/>
          <w:sz w:val="24"/>
          <w:szCs w:val="24"/>
        </w:rPr>
        <w:footnoteReference w:id="11"/>
      </w:r>
      <w:r w:rsidRPr="003D073B">
        <w:rPr>
          <w:rFonts w:ascii="Arial" w:hAnsi="Arial" w:cs="Arial"/>
          <w:sz w:val="24"/>
          <w:szCs w:val="24"/>
        </w:rPr>
        <w:t xml:space="preserve">, or using outdated, substandard or otherwise non-credible sources as country of origin information. Examples include using the Pakistan police force’s website to prove state protection exists for victims of persecution, and suggesting human rights are respected by the Egyptian state because they are </w:t>
      </w:r>
      <w:r w:rsidR="00480B30">
        <w:rPr>
          <w:rFonts w:ascii="Arial" w:hAnsi="Arial" w:cs="Arial"/>
          <w:sz w:val="24"/>
          <w:szCs w:val="24"/>
        </w:rPr>
        <w:t xml:space="preserve">apparently </w:t>
      </w:r>
      <w:r w:rsidRPr="003D073B">
        <w:rPr>
          <w:rFonts w:ascii="Arial" w:hAnsi="Arial" w:cs="Arial"/>
          <w:sz w:val="24"/>
          <w:szCs w:val="24"/>
        </w:rPr>
        <w:t xml:space="preserve">protected in the Egyptian constitution. </w:t>
      </w:r>
    </w:p>
    <w:p w14:paraId="0DDDD0A9" w14:textId="75B4D796" w:rsidR="006E698F" w:rsidRPr="003D073B" w:rsidRDefault="004B2B43" w:rsidP="006E698F">
      <w:pPr>
        <w:jc w:val="both"/>
        <w:rPr>
          <w:rFonts w:ascii="Arial" w:hAnsi="Arial" w:cs="Arial"/>
          <w:sz w:val="24"/>
          <w:szCs w:val="24"/>
        </w:rPr>
      </w:pPr>
      <w:r>
        <w:rPr>
          <w:rFonts w:ascii="Arial" w:hAnsi="Arial" w:cs="Arial"/>
          <w:sz w:val="24"/>
          <w:szCs w:val="24"/>
        </w:rPr>
        <w:t xml:space="preserve">We note that USM decisions </w:t>
      </w:r>
      <w:r w:rsidR="006E698F" w:rsidRPr="003D073B">
        <w:rPr>
          <w:rFonts w:ascii="Arial" w:hAnsi="Arial" w:cs="Arial"/>
          <w:sz w:val="24"/>
          <w:szCs w:val="24"/>
        </w:rPr>
        <w:t xml:space="preserve">display an overall poor grasp of non-refoulement law and </w:t>
      </w:r>
      <w:r w:rsidR="008C552C">
        <w:rPr>
          <w:rFonts w:ascii="Arial" w:hAnsi="Arial" w:cs="Arial"/>
          <w:sz w:val="24"/>
          <w:szCs w:val="24"/>
        </w:rPr>
        <w:t xml:space="preserve">key legal and factual </w:t>
      </w:r>
      <w:r w:rsidR="006E698F" w:rsidRPr="003D073B">
        <w:rPr>
          <w:rFonts w:ascii="Arial" w:hAnsi="Arial" w:cs="Arial"/>
          <w:sz w:val="24"/>
          <w:szCs w:val="24"/>
        </w:rPr>
        <w:t xml:space="preserve">concepts. For instance, </w:t>
      </w:r>
      <w:r w:rsidR="00F60F02">
        <w:rPr>
          <w:rFonts w:ascii="Arial" w:hAnsi="Arial" w:cs="Arial"/>
          <w:sz w:val="24"/>
          <w:szCs w:val="24"/>
        </w:rPr>
        <w:t xml:space="preserve">adjudicators often reduced </w:t>
      </w:r>
      <w:r w:rsidR="006E698F" w:rsidRPr="003D073B">
        <w:rPr>
          <w:rFonts w:ascii="Arial" w:hAnsi="Arial" w:cs="Arial"/>
          <w:sz w:val="24"/>
          <w:szCs w:val="24"/>
        </w:rPr>
        <w:t xml:space="preserve">sexual and gender-based violence (“SGBV”) </w:t>
      </w:r>
      <w:r w:rsidR="00F60F02">
        <w:rPr>
          <w:rFonts w:ascii="Arial" w:hAnsi="Arial" w:cs="Arial"/>
          <w:sz w:val="24"/>
          <w:szCs w:val="24"/>
        </w:rPr>
        <w:t xml:space="preserve">to </w:t>
      </w:r>
      <w:r w:rsidR="006E698F" w:rsidRPr="003D073B">
        <w:rPr>
          <w:rFonts w:ascii="Arial" w:hAnsi="Arial" w:cs="Arial"/>
          <w:sz w:val="24"/>
          <w:szCs w:val="24"/>
        </w:rPr>
        <w:t>private act</w:t>
      </w:r>
      <w:r w:rsidR="008C552C">
        <w:rPr>
          <w:rFonts w:ascii="Arial" w:hAnsi="Arial" w:cs="Arial"/>
          <w:sz w:val="24"/>
          <w:szCs w:val="24"/>
        </w:rPr>
        <w:t>s,</w:t>
      </w:r>
      <w:r w:rsidR="006E698F" w:rsidRPr="003D073B">
        <w:rPr>
          <w:rFonts w:ascii="Arial" w:hAnsi="Arial" w:cs="Arial"/>
          <w:sz w:val="24"/>
          <w:szCs w:val="24"/>
        </w:rPr>
        <w:t xml:space="preserve"> and do not recognise SGBV can constitute torture, CIDTP and/or persecution. In relation to the right to life under ICCPR Article 6, adjudicators limit their consideration to capital punishment, and fail to consider other forms of arbitrary deprivation of life, such as extrajudicial killing or </w:t>
      </w:r>
      <w:r w:rsidR="008C552C">
        <w:rPr>
          <w:rFonts w:ascii="Arial" w:hAnsi="Arial" w:cs="Arial"/>
          <w:sz w:val="24"/>
          <w:szCs w:val="24"/>
        </w:rPr>
        <w:t xml:space="preserve">indiscriminate killing within internal </w:t>
      </w:r>
      <w:r w:rsidR="006E698F" w:rsidRPr="003D073B">
        <w:rPr>
          <w:rFonts w:ascii="Arial" w:hAnsi="Arial" w:cs="Arial"/>
          <w:sz w:val="24"/>
          <w:szCs w:val="24"/>
        </w:rPr>
        <w:t>armed conflict</w:t>
      </w:r>
      <w:r w:rsidR="008C552C">
        <w:rPr>
          <w:rFonts w:ascii="Arial" w:hAnsi="Arial" w:cs="Arial"/>
          <w:sz w:val="24"/>
          <w:szCs w:val="24"/>
        </w:rPr>
        <w:t>s</w:t>
      </w:r>
      <w:r w:rsidR="006E698F" w:rsidRPr="003D073B">
        <w:rPr>
          <w:rFonts w:ascii="Arial" w:hAnsi="Arial" w:cs="Arial"/>
          <w:sz w:val="24"/>
          <w:szCs w:val="24"/>
        </w:rPr>
        <w:t xml:space="preserve">, when considering whether this ground of protection is </w:t>
      </w:r>
      <w:r w:rsidR="008C552C">
        <w:rPr>
          <w:rFonts w:ascii="Arial" w:hAnsi="Arial" w:cs="Arial"/>
          <w:sz w:val="24"/>
          <w:szCs w:val="24"/>
        </w:rPr>
        <w:t>engaged</w:t>
      </w:r>
      <w:r w:rsidR="006E698F" w:rsidRPr="003D073B">
        <w:rPr>
          <w:rFonts w:ascii="Arial" w:hAnsi="Arial" w:cs="Arial"/>
          <w:sz w:val="24"/>
          <w:szCs w:val="24"/>
        </w:rPr>
        <w:t>. In cases involving family</w:t>
      </w:r>
      <w:r w:rsidR="008C552C">
        <w:rPr>
          <w:rFonts w:ascii="Arial" w:hAnsi="Arial" w:cs="Arial"/>
          <w:sz w:val="24"/>
          <w:szCs w:val="24"/>
        </w:rPr>
        <w:t xml:space="preserve"> members</w:t>
      </w:r>
      <w:r w:rsidR="006E698F" w:rsidRPr="003D073B">
        <w:rPr>
          <w:rFonts w:ascii="Arial" w:hAnsi="Arial" w:cs="Arial"/>
          <w:sz w:val="24"/>
          <w:szCs w:val="24"/>
        </w:rPr>
        <w:t xml:space="preserve">, </w:t>
      </w:r>
      <w:r w:rsidR="007D41D9">
        <w:rPr>
          <w:rFonts w:ascii="Arial" w:hAnsi="Arial" w:cs="Arial"/>
          <w:sz w:val="24"/>
          <w:szCs w:val="24"/>
        </w:rPr>
        <w:t>a</w:t>
      </w:r>
      <w:r w:rsidR="006E698F" w:rsidRPr="003D073B">
        <w:rPr>
          <w:rFonts w:ascii="Arial" w:hAnsi="Arial" w:cs="Arial"/>
          <w:sz w:val="24"/>
          <w:szCs w:val="24"/>
        </w:rPr>
        <w:t xml:space="preserve">djudicators </w:t>
      </w:r>
      <w:r w:rsidR="008C552C">
        <w:rPr>
          <w:rFonts w:ascii="Arial" w:hAnsi="Arial" w:cs="Arial"/>
          <w:sz w:val="24"/>
          <w:szCs w:val="24"/>
        </w:rPr>
        <w:t>almost never</w:t>
      </w:r>
      <w:r w:rsidR="006E698F" w:rsidRPr="003D073B">
        <w:rPr>
          <w:rFonts w:ascii="Arial" w:hAnsi="Arial" w:cs="Arial"/>
          <w:sz w:val="24"/>
          <w:szCs w:val="24"/>
        </w:rPr>
        <w:t xml:space="preserve"> consider child-specific forms of persecution and/or human rights violations, such as child soldiers recruitment risks in Yemen, which may be </w:t>
      </w:r>
      <w:r w:rsidR="008C552C">
        <w:rPr>
          <w:rFonts w:ascii="Arial" w:hAnsi="Arial" w:cs="Arial"/>
          <w:sz w:val="24"/>
          <w:szCs w:val="24"/>
        </w:rPr>
        <w:t>distinct</w:t>
      </w:r>
      <w:r w:rsidR="008C552C" w:rsidRPr="003D073B">
        <w:rPr>
          <w:rFonts w:ascii="Arial" w:hAnsi="Arial" w:cs="Arial"/>
          <w:sz w:val="24"/>
          <w:szCs w:val="24"/>
        </w:rPr>
        <w:t xml:space="preserve"> </w:t>
      </w:r>
      <w:r w:rsidR="006E698F" w:rsidRPr="003D073B">
        <w:rPr>
          <w:rFonts w:ascii="Arial" w:hAnsi="Arial" w:cs="Arial"/>
          <w:sz w:val="24"/>
          <w:szCs w:val="24"/>
        </w:rPr>
        <w:t xml:space="preserve">from those of their family members and may give rise to independent protection claims. </w:t>
      </w:r>
    </w:p>
    <w:p w14:paraId="119AA0EA" w14:textId="352D7690" w:rsidR="006E698F" w:rsidRPr="003D073B" w:rsidRDefault="00380660" w:rsidP="006E698F">
      <w:pPr>
        <w:jc w:val="both"/>
        <w:rPr>
          <w:rFonts w:ascii="Arial" w:hAnsi="Arial" w:cs="Arial"/>
          <w:sz w:val="24"/>
          <w:szCs w:val="24"/>
        </w:rPr>
      </w:pPr>
      <w:r>
        <w:rPr>
          <w:rFonts w:ascii="Arial" w:hAnsi="Arial" w:cs="Arial"/>
          <w:sz w:val="24"/>
          <w:szCs w:val="24"/>
        </w:rPr>
        <w:t>There is also a</w:t>
      </w:r>
      <w:r w:rsidR="00096478">
        <w:rPr>
          <w:rFonts w:ascii="Arial" w:hAnsi="Arial" w:cs="Arial"/>
          <w:sz w:val="24"/>
          <w:szCs w:val="24"/>
        </w:rPr>
        <w:t xml:space="preserve"> worrisome</w:t>
      </w:r>
      <w:r>
        <w:rPr>
          <w:rFonts w:ascii="Arial" w:hAnsi="Arial" w:cs="Arial"/>
          <w:sz w:val="24"/>
          <w:szCs w:val="24"/>
        </w:rPr>
        <w:t xml:space="preserve"> trend </w:t>
      </w:r>
      <w:r w:rsidR="001E072A">
        <w:rPr>
          <w:rFonts w:ascii="Arial" w:hAnsi="Arial" w:cs="Arial"/>
          <w:sz w:val="24"/>
          <w:szCs w:val="24"/>
        </w:rPr>
        <w:t xml:space="preserve">of adjudicators displaying </w:t>
      </w:r>
      <w:r w:rsidR="001F6A10">
        <w:rPr>
          <w:rFonts w:ascii="Arial" w:hAnsi="Arial" w:cs="Arial"/>
          <w:sz w:val="24"/>
          <w:szCs w:val="24"/>
        </w:rPr>
        <w:t xml:space="preserve">cynicism or hostility toward claimants. </w:t>
      </w:r>
      <w:r w:rsidR="00096478">
        <w:rPr>
          <w:rFonts w:ascii="Arial" w:hAnsi="Arial" w:cs="Arial"/>
          <w:sz w:val="24"/>
          <w:szCs w:val="24"/>
        </w:rPr>
        <w:t xml:space="preserve"> </w:t>
      </w:r>
      <w:r w:rsidR="007A3868">
        <w:rPr>
          <w:rFonts w:ascii="Arial" w:hAnsi="Arial" w:cs="Arial"/>
          <w:sz w:val="24"/>
          <w:szCs w:val="24"/>
        </w:rPr>
        <w:t xml:space="preserve"> </w:t>
      </w:r>
      <w:r w:rsidR="006E698F" w:rsidRPr="003D073B">
        <w:rPr>
          <w:rFonts w:ascii="Arial" w:hAnsi="Arial" w:cs="Arial"/>
          <w:sz w:val="24"/>
          <w:szCs w:val="24"/>
        </w:rPr>
        <w:t xml:space="preserve">In one specific case of a client assisted by Justice Centre, the adjudicator insisted the hearing continue despite the pregnant claimant going into </w:t>
      </w:r>
      <w:r w:rsidR="006E698F" w:rsidRPr="003D073B">
        <w:rPr>
          <w:rFonts w:ascii="Arial" w:hAnsi="Arial" w:cs="Arial"/>
          <w:sz w:val="24"/>
          <w:szCs w:val="24"/>
        </w:rPr>
        <w:lastRenderedPageBreak/>
        <w:t>labour, which has been found by the High Court to be unlawful, failing to adhere to a high standard of fairness</w:t>
      </w:r>
      <w:r w:rsidR="006E698F" w:rsidRPr="003D073B">
        <w:rPr>
          <w:rStyle w:val="FootnoteReference"/>
          <w:rFonts w:ascii="Arial" w:hAnsi="Arial" w:cs="Arial"/>
          <w:sz w:val="24"/>
          <w:szCs w:val="24"/>
        </w:rPr>
        <w:footnoteReference w:id="12"/>
      </w:r>
      <w:r w:rsidR="006E698F" w:rsidRPr="003D073B">
        <w:rPr>
          <w:rFonts w:ascii="Arial" w:hAnsi="Arial" w:cs="Arial"/>
          <w:sz w:val="24"/>
          <w:szCs w:val="24"/>
        </w:rPr>
        <w:t>.</w:t>
      </w:r>
      <w:r w:rsidR="006112EC">
        <w:rPr>
          <w:rFonts w:ascii="Arial" w:hAnsi="Arial" w:cs="Arial"/>
          <w:sz w:val="24"/>
          <w:szCs w:val="24"/>
        </w:rPr>
        <w:t xml:space="preserve"> The High Court </w:t>
      </w:r>
      <w:r w:rsidR="001D54A2">
        <w:rPr>
          <w:rFonts w:ascii="Arial" w:hAnsi="Arial" w:cs="Arial"/>
          <w:sz w:val="24"/>
          <w:szCs w:val="24"/>
        </w:rPr>
        <w:t>commented</w:t>
      </w:r>
      <w:r w:rsidR="006112EC">
        <w:rPr>
          <w:rFonts w:ascii="Arial" w:hAnsi="Arial" w:cs="Arial"/>
          <w:sz w:val="24"/>
          <w:szCs w:val="24"/>
        </w:rPr>
        <w:t>:</w:t>
      </w:r>
      <w:r w:rsidR="001D54A2">
        <w:rPr>
          <w:rFonts w:ascii="Arial" w:hAnsi="Arial" w:cs="Arial"/>
          <w:sz w:val="24"/>
          <w:szCs w:val="24"/>
        </w:rPr>
        <w:t xml:space="preserve"> “What is unacceptable is [the </w:t>
      </w:r>
      <w:r w:rsidR="00C92A4B">
        <w:rPr>
          <w:rFonts w:ascii="Arial" w:hAnsi="Arial" w:cs="Arial"/>
          <w:sz w:val="24"/>
          <w:szCs w:val="24"/>
        </w:rPr>
        <w:t xml:space="preserve">adjudicator’s] clear </w:t>
      </w:r>
      <w:r w:rsidR="00AF737F">
        <w:rPr>
          <w:rFonts w:ascii="Arial" w:hAnsi="Arial" w:cs="Arial"/>
          <w:sz w:val="24"/>
          <w:szCs w:val="24"/>
        </w:rPr>
        <w:t xml:space="preserve">cynicism. </w:t>
      </w:r>
      <w:r w:rsidR="00AF737F" w:rsidRPr="00AF737F">
        <w:rPr>
          <w:rFonts w:ascii="Arial" w:hAnsi="Arial" w:cs="Arial"/>
          <w:sz w:val="24"/>
          <w:szCs w:val="24"/>
        </w:rPr>
        <w:t>Despite her obvious pregnancy, he undoubtedly assumed that a complaint of pain was an excuse to adjourn the hearing.  He did not stop to consider the complaint may have been genuine.</w:t>
      </w:r>
      <w:r w:rsidR="000178E4" w:rsidRPr="000178E4">
        <w:t xml:space="preserve"> </w:t>
      </w:r>
      <w:r w:rsidR="000178E4" w:rsidRPr="000178E4">
        <w:rPr>
          <w:rFonts w:ascii="Arial" w:hAnsi="Arial" w:cs="Arial"/>
          <w:sz w:val="24"/>
          <w:szCs w:val="24"/>
        </w:rPr>
        <w:t>She at one point can clearly be heard on the audio recording drawing in a deep long breath as if in pain yet if he had any doubts, he still made no enquiry of her situation to ascertain if it is genuine</w:t>
      </w:r>
      <w:r w:rsidR="000178E4">
        <w:rPr>
          <w:rFonts w:ascii="Arial" w:hAnsi="Arial" w:cs="Arial"/>
          <w:sz w:val="24"/>
          <w:szCs w:val="24"/>
        </w:rPr>
        <w:t>”</w:t>
      </w:r>
      <w:r w:rsidR="000178E4">
        <w:rPr>
          <w:rStyle w:val="FootnoteReference"/>
          <w:rFonts w:ascii="Arial" w:hAnsi="Arial" w:cs="Arial"/>
          <w:sz w:val="24"/>
          <w:szCs w:val="24"/>
        </w:rPr>
        <w:footnoteReference w:id="13"/>
      </w:r>
      <w:r w:rsidR="000178E4">
        <w:rPr>
          <w:rFonts w:ascii="Arial" w:hAnsi="Arial" w:cs="Arial"/>
          <w:sz w:val="24"/>
          <w:szCs w:val="24"/>
        </w:rPr>
        <w:t>.</w:t>
      </w:r>
    </w:p>
    <w:p w14:paraId="741BE95A" w14:textId="45E396DF" w:rsidR="006E698F" w:rsidRPr="003D073B" w:rsidRDefault="006E698F" w:rsidP="006E698F">
      <w:pPr>
        <w:jc w:val="both"/>
        <w:rPr>
          <w:rFonts w:ascii="Arial" w:hAnsi="Arial" w:cs="Arial"/>
          <w:sz w:val="24"/>
          <w:szCs w:val="24"/>
        </w:rPr>
      </w:pPr>
      <w:r w:rsidRPr="003D073B">
        <w:rPr>
          <w:rFonts w:ascii="Arial" w:hAnsi="Arial" w:cs="Arial"/>
          <w:sz w:val="24"/>
          <w:szCs w:val="24"/>
        </w:rPr>
        <w:t xml:space="preserve">Despite repeated calls from civil society, </w:t>
      </w:r>
      <w:r w:rsidR="0068424C" w:rsidRPr="003D073B">
        <w:rPr>
          <w:rFonts w:ascii="Arial" w:hAnsi="Arial" w:cs="Arial"/>
          <w:sz w:val="24"/>
          <w:szCs w:val="24"/>
        </w:rPr>
        <w:t xml:space="preserve">TCAB/NRCPO </w:t>
      </w:r>
      <w:r w:rsidRPr="003D073B">
        <w:rPr>
          <w:rFonts w:ascii="Arial" w:hAnsi="Arial" w:cs="Arial"/>
          <w:sz w:val="24"/>
          <w:szCs w:val="24"/>
        </w:rPr>
        <w:t>decisions are not published</w:t>
      </w:r>
      <w:r w:rsidR="00C13390">
        <w:rPr>
          <w:rFonts w:ascii="Arial" w:hAnsi="Arial" w:cs="Arial"/>
          <w:sz w:val="24"/>
          <w:szCs w:val="24"/>
        </w:rPr>
        <w:t xml:space="preserve"> </w:t>
      </w:r>
      <w:r w:rsidR="007936D3">
        <w:rPr>
          <w:rFonts w:ascii="Arial" w:hAnsi="Arial" w:cs="Arial"/>
          <w:sz w:val="24"/>
          <w:szCs w:val="24"/>
        </w:rPr>
        <w:t xml:space="preserve">in contrast to other common law jurisdictions, </w:t>
      </w:r>
      <w:r w:rsidR="00EA3394">
        <w:rPr>
          <w:rFonts w:ascii="Arial" w:hAnsi="Arial" w:cs="Arial"/>
          <w:sz w:val="24"/>
          <w:szCs w:val="24"/>
        </w:rPr>
        <w:t>such as</w:t>
      </w:r>
      <w:r w:rsidR="007936D3">
        <w:rPr>
          <w:rFonts w:ascii="Arial" w:hAnsi="Arial" w:cs="Arial"/>
          <w:sz w:val="24"/>
          <w:szCs w:val="24"/>
        </w:rPr>
        <w:t xml:space="preserve"> the UK</w:t>
      </w:r>
      <w:r w:rsidR="00CA13B5">
        <w:rPr>
          <w:rStyle w:val="FootnoteReference"/>
          <w:rFonts w:ascii="Arial" w:hAnsi="Arial" w:cs="Arial"/>
          <w:sz w:val="24"/>
          <w:szCs w:val="24"/>
        </w:rPr>
        <w:footnoteReference w:id="14"/>
      </w:r>
      <w:r w:rsidR="00EA3394">
        <w:rPr>
          <w:rFonts w:ascii="Arial" w:hAnsi="Arial" w:cs="Arial"/>
          <w:sz w:val="24"/>
          <w:szCs w:val="24"/>
        </w:rPr>
        <w:t>, Canada</w:t>
      </w:r>
      <w:r w:rsidR="00CA13B5">
        <w:rPr>
          <w:rStyle w:val="FootnoteReference"/>
          <w:rFonts w:ascii="Arial" w:hAnsi="Arial" w:cs="Arial"/>
          <w:sz w:val="24"/>
          <w:szCs w:val="24"/>
        </w:rPr>
        <w:footnoteReference w:id="15"/>
      </w:r>
      <w:r w:rsidR="00EA3394">
        <w:rPr>
          <w:rFonts w:ascii="Arial" w:hAnsi="Arial" w:cs="Arial"/>
          <w:sz w:val="24"/>
          <w:szCs w:val="24"/>
        </w:rPr>
        <w:t xml:space="preserve"> </w:t>
      </w:r>
      <w:r w:rsidR="00BB6876">
        <w:rPr>
          <w:rFonts w:ascii="Arial" w:hAnsi="Arial" w:cs="Arial"/>
          <w:sz w:val="24"/>
          <w:szCs w:val="24"/>
        </w:rPr>
        <w:t>and Australia</w:t>
      </w:r>
      <w:r w:rsidR="001C25CE">
        <w:rPr>
          <w:rStyle w:val="FootnoteReference"/>
          <w:rFonts w:ascii="Arial" w:hAnsi="Arial" w:cs="Arial"/>
          <w:sz w:val="24"/>
          <w:szCs w:val="24"/>
        </w:rPr>
        <w:footnoteReference w:id="16"/>
      </w:r>
      <w:r w:rsidR="00EA3394">
        <w:rPr>
          <w:rFonts w:ascii="Arial" w:hAnsi="Arial" w:cs="Arial"/>
          <w:sz w:val="24"/>
          <w:szCs w:val="24"/>
        </w:rPr>
        <w:t xml:space="preserve">. This makes </w:t>
      </w:r>
      <w:r w:rsidRPr="003D073B">
        <w:rPr>
          <w:rFonts w:ascii="Arial" w:hAnsi="Arial" w:cs="Arial"/>
          <w:sz w:val="24"/>
          <w:szCs w:val="24"/>
        </w:rPr>
        <w:t xml:space="preserve">it challenging to monitor the decision-making of </w:t>
      </w:r>
      <w:r w:rsidR="00206C26" w:rsidRPr="003D073B">
        <w:rPr>
          <w:rFonts w:ascii="Arial" w:hAnsi="Arial" w:cs="Arial"/>
          <w:sz w:val="24"/>
          <w:szCs w:val="24"/>
        </w:rPr>
        <w:t>adjudicators</w:t>
      </w:r>
      <w:r w:rsidRPr="003D073B">
        <w:rPr>
          <w:rFonts w:ascii="Arial" w:hAnsi="Arial" w:cs="Arial"/>
          <w:sz w:val="24"/>
          <w:szCs w:val="24"/>
        </w:rPr>
        <w:t>,</w:t>
      </w:r>
      <w:r w:rsidR="001C25CE">
        <w:rPr>
          <w:rFonts w:ascii="Arial" w:hAnsi="Arial" w:cs="Arial"/>
          <w:sz w:val="24"/>
          <w:szCs w:val="24"/>
        </w:rPr>
        <w:t xml:space="preserve"> </w:t>
      </w:r>
      <w:r w:rsidRPr="003D073B">
        <w:rPr>
          <w:rFonts w:ascii="Arial" w:hAnsi="Arial" w:cs="Arial"/>
          <w:sz w:val="24"/>
          <w:szCs w:val="24"/>
        </w:rPr>
        <w:t xml:space="preserve">and limits the system’s transparency and accountability. </w:t>
      </w:r>
    </w:p>
    <w:p w14:paraId="6DCDA8E7" w14:textId="0DE7E154" w:rsidR="00BA28D7" w:rsidRPr="003D073B" w:rsidRDefault="006E698F" w:rsidP="006E698F">
      <w:pPr>
        <w:pStyle w:val="ListParagraph"/>
        <w:numPr>
          <w:ilvl w:val="1"/>
          <w:numId w:val="1"/>
        </w:numPr>
        <w:rPr>
          <w:rFonts w:ascii="Arial" w:hAnsi="Arial" w:cs="Arial"/>
          <w:b/>
          <w:bCs/>
          <w:sz w:val="24"/>
          <w:szCs w:val="24"/>
        </w:rPr>
      </w:pPr>
      <w:r w:rsidRPr="003D073B">
        <w:rPr>
          <w:rFonts w:ascii="Arial" w:hAnsi="Arial" w:cs="Arial"/>
          <w:b/>
          <w:bCs/>
          <w:sz w:val="24"/>
          <w:szCs w:val="24"/>
        </w:rPr>
        <w:t xml:space="preserve">Lack of procedural safeguards </w:t>
      </w:r>
    </w:p>
    <w:p w14:paraId="44B81E80" w14:textId="6033F0E4" w:rsidR="00005226" w:rsidRPr="003D073B" w:rsidRDefault="00005226" w:rsidP="00005226">
      <w:pPr>
        <w:jc w:val="both"/>
        <w:rPr>
          <w:rFonts w:ascii="Arial" w:hAnsi="Arial" w:cs="Arial"/>
          <w:sz w:val="24"/>
          <w:szCs w:val="24"/>
        </w:rPr>
      </w:pPr>
      <w:r w:rsidRPr="003D073B">
        <w:rPr>
          <w:rFonts w:ascii="Arial" w:hAnsi="Arial" w:cs="Arial"/>
          <w:sz w:val="24"/>
          <w:szCs w:val="24"/>
        </w:rPr>
        <w:t xml:space="preserve">People seeking protection who have suffered torture, trafficking, and other forms of human rights violations may be too traumatised to articulate their experiences </w:t>
      </w:r>
      <w:r w:rsidRPr="003D073B">
        <w:rPr>
          <w:rFonts w:ascii="Arial" w:hAnsi="Arial" w:cs="Arial"/>
          <w:sz w:val="24"/>
          <w:szCs w:val="24"/>
        </w:rPr>
        <w:lastRenderedPageBreak/>
        <w:t>and require special measures to assist them through the asylum process</w:t>
      </w:r>
      <w:r w:rsidR="0027214F">
        <w:rPr>
          <w:rFonts w:ascii="Arial" w:hAnsi="Arial" w:cs="Arial"/>
          <w:sz w:val="24"/>
          <w:szCs w:val="24"/>
        </w:rPr>
        <w:t xml:space="preserve"> to ensure fairness</w:t>
      </w:r>
      <w:r w:rsidRPr="003D073B">
        <w:rPr>
          <w:rStyle w:val="FootnoteReference"/>
          <w:rFonts w:ascii="Arial" w:hAnsi="Arial" w:cs="Arial"/>
          <w:sz w:val="24"/>
          <w:szCs w:val="24"/>
        </w:rPr>
        <w:footnoteReference w:id="17"/>
      </w:r>
      <w:r w:rsidRPr="003D073B">
        <w:rPr>
          <w:rFonts w:ascii="Arial" w:hAnsi="Arial" w:cs="Arial"/>
          <w:sz w:val="24"/>
          <w:szCs w:val="24"/>
        </w:rPr>
        <w:t xml:space="preserve">. Regrettably, as far as Justice Centre is aware there appears to be no policy or guidance on vulnerable persons’ participation in USM process. The TCAB/ NRCPO’s </w:t>
      </w:r>
      <w:r w:rsidR="0027214F">
        <w:rPr>
          <w:rFonts w:ascii="Arial" w:hAnsi="Arial" w:cs="Arial"/>
          <w:sz w:val="24"/>
          <w:szCs w:val="24"/>
        </w:rPr>
        <w:t>limited procedural guidance</w:t>
      </w:r>
      <w:r w:rsidRPr="003D073B">
        <w:rPr>
          <w:rStyle w:val="FootnoteReference"/>
          <w:rFonts w:ascii="Arial" w:hAnsi="Arial" w:cs="Arial"/>
          <w:sz w:val="24"/>
          <w:szCs w:val="24"/>
        </w:rPr>
        <w:footnoteReference w:id="18"/>
      </w:r>
      <w:r w:rsidRPr="003D073B">
        <w:rPr>
          <w:rFonts w:ascii="Arial" w:hAnsi="Arial" w:cs="Arial"/>
          <w:sz w:val="24"/>
          <w:szCs w:val="24"/>
        </w:rPr>
        <w:t xml:space="preserve"> only provides that claimants should indicate their special needs in their Notice of Appeal or Petition, and that the appeal board “will take steps to accommodate such special needs as far as practicable”</w:t>
      </w:r>
      <w:r w:rsidRPr="003D073B">
        <w:rPr>
          <w:rStyle w:val="FootnoteReference"/>
          <w:rFonts w:ascii="Arial" w:hAnsi="Arial" w:cs="Arial"/>
          <w:sz w:val="24"/>
          <w:szCs w:val="24"/>
        </w:rPr>
        <w:footnoteReference w:id="19"/>
      </w:r>
      <w:r w:rsidRPr="003D073B">
        <w:rPr>
          <w:rFonts w:ascii="Arial" w:hAnsi="Arial" w:cs="Arial"/>
          <w:sz w:val="24"/>
          <w:szCs w:val="24"/>
        </w:rPr>
        <w:t xml:space="preserve">. There is no </w:t>
      </w:r>
      <w:r w:rsidR="0027214F">
        <w:rPr>
          <w:rFonts w:ascii="Arial" w:hAnsi="Arial" w:cs="Arial"/>
          <w:sz w:val="24"/>
          <w:szCs w:val="24"/>
        </w:rPr>
        <w:t xml:space="preserve">practical </w:t>
      </w:r>
      <w:r w:rsidRPr="003D073B">
        <w:rPr>
          <w:rFonts w:ascii="Arial" w:hAnsi="Arial" w:cs="Arial"/>
          <w:sz w:val="24"/>
          <w:szCs w:val="24"/>
        </w:rPr>
        <w:t>guidance on how people at heightened vulnerabilities</w:t>
      </w:r>
      <w:r w:rsidR="0027214F">
        <w:rPr>
          <w:rFonts w:ascii="Arial" w:hAnsi="Arial" w:cs="Arial"/>
          <w:sz w:val="24"/>
          <w:szCs w:val="24"/>
        </w:rPr>
        <w:t xml:space="preserve"> or other special needs</w:t>
      </w:r>
      <w:r w:rsidRPr="003D073B">
        <w:rPr>
          <w:rFonts w:ascii="Arial" w:hAnsi="Arial" w:cs="Arial"/>
          <w:sz w:val="24"/>
          <w:szCs w:val="24"/>
        </w:rPr>
        <w:t>, such as survivors of SGBV, survivors of torture or children, should be approached during interview or at appeal hearings, for example.</w:t>
      </w:r>
      <w:r w:rsidR="007D5F22">
        <w:rPr>
          <w:rFonts w:ascii="Arial" w:hAnsi="Arial" w:cs="Arial"/>
          <w:sz w:val="24"/>
          <w:szCs w:val="24"/>
        </w:rPr>
        <w:t xml:space="preserve"> Again, this is inconsistent with international best practice</w:t>
      </w:r>
      <w:r w:rsidR="00782F57">
        <w:rPr>
          <w:rFonts w:ascii="Arial" w:hAnsi="Arial" w:cs="Arial"/>
          <w:sz w:val="24"/>
          <w:szCs w:val="24"/>
        </w:rPr>
        <w:t xml:space="preserve"> and the practice of other common law jurisdictions. </w:t>
      </w:r>
    </w:p>
    <w:p w14:paraId="6676DF0D" w14:textId="644B56B2" w:rsidR="00005226" w:rsidRPr="003D073B" w:rsidRDefault="00005226" w:rsidP="00005226">
      <w:pPr>
        <w:jc w:val="both"/>
        <w:rPr>
          <w:rFonts w:ascii="Arial" w:hAnsi="Arial" w:cs="Arial"/>
          <w:sz w:val="24"/>
          <w:szCs w:val="24"/>
        </w:rPr>
      </w:pPr>
      <w:r w:rsidRPr="003D073B">
        <w:rPr>
          <w:rFonts w:ascii="Arial" w:hAnsi="Arial" w:cs="Arial"/>
          <w:sz w:val="24"/>
          <w:szCs w:val="24"/>
        </w:rPr>
        <w:t xml:space="preserve">The lack of policy </w:t>
      </w:r>
      <w:r w:rsidR="0027214F">
        <w:rPr>
          <w:rFonts w:ascii="Arial" w:hAnsi="Arial" w:cs="Arial"/>
          <w:sz w:val="24"/>
          <w:szCs w:val="24"/>
        </w:rPr>
        <w:t xml:space="preserve">and practical guidance </w:t>
      </w:r>
      <w:r w:rsidRPr="003D073B">
        <w:rPr>
          <w:rFonts w:ascii="Arial" w:hAnsi="Arial" w:cs="Arial"/>
          <w:sz w:val="24"/>
          <w:szCs w:val="24"/>
        </w:rPr>
        <w:t xml:space="preserve">on vulnerable claimants significantly hampers the fairness of the USM. For example, we observed that adjudicators </w:t>
      </w:r>
      <w:r w:rsidR="0027214F">
        <w:rPr>
          <w:rFonts w:ascii="Arial" w:hAnsi="Arial" w:cs="Arial"/>
          <w:sz w:val="24"/>
          <w:szCs w:val="24"/>
        </w:rPr>
        <w:t xml:space="preserve">deem </w:t>
      </w:r>
      <w:r w:rsidRPr="003D073B">
        <w:rPr>
          <w:rFonts w:ascii="Arial" w:hAnsi="Arial" w:cs="Arial"/>
          <w:sz w:val="24"/>
          <w:szCs w:val="24"/>
        </w:rPr>
        <w:t xml:space="preserve">late disclosure of SGBV or torture </w:t>
      </w:r>
      <w:r w:rsidR="0027214F">
        <w:rPr>
          <w:rFonts w:ascii="Arial" w:hAnsi="Arial" w:cs="Arial"/>
          <w:sz w:val="24"/>
          <w:szCs w:val="24"/>
        </w:rPr>
        <w:t xml:space="preserve">as an adverse factor counting </w:t>
      </w:r>
      <w:r w:rsidRPr="003D073B">
        <w:rPr>
          <w:rFonts w:ascii="Arial" w:hAnsi="Arial" w:cs="Arial"/>
          <w:sz w:val="24"/>
          <w:szCs w:val="24"/>
        </w:rPr>
        <w:t xml:space="preserve">against claimants’ credibility, without regard to the complex role trauma, cultural differences, shame, gender and other intersecting factors play in claimants’ capacity to present their cases. We have also assisted claimants who were re-traumatised by the USM process, including a woman who was aggressively questioned by the Government’s lawyers about her SGBV experiences at her TCAB hearing, and a child with a severe psychological condition who was made to testify at her family’s </w:t>
      </w:r>
      <w:r w:rsidRPr="003D073B">
        <w:rPr>
          <w:rFonts w:ascii="Arial" w:hAnsi="Arial" w:cs="Arial"/>
          <w:sz w:val="24"/>
          <w:szCs w:val="24"/>
        </w:rPr>
        <w:lastRenderedPageBreak/>
        <w:t xml:space="preserve">TCAB hearing despite the family’s requests that the experience would be harmful </w:t>
      </w:r>
      <w:r w:rsidR="00894AB1" w:rsidRPr="003D073B">
        <w:rPr>
          <w:rFonts w:ascii="Arial" w:hAnsi="Arial" w:cs="Arial"/>
          <w:sz w:val="24"/>
          <w:szCs w:val="24"/>
        </w:rPr>
        <w:t>to</w:t>
      </w:r>
      <w:r w:rsidRPr="003D073B">
        <w:rPr>
          <w:rFonts w:ascii="Arial" w:hAnsi="Arial" w:cs="Arial"/>
          <w:sz w:val="24"/>
          <w:szCs w:val="24"/>
        </w:rPr>
        <w:t xml:space="preserve"> her. Subsequent to the hearing the child’s mental health deteriorated and she attempted suicide. </w:t>
      </w:r>
    </w:p>
    <w:p w14:paraId="2433EC4A" w14:textId="7F685084" w:rsidR="003E7BF1" w:rsidRPr="003D073B" w:rsidRDefault="003E7BF1" w:rsidP="003E7BF1">
      <w:pPr>
        <w:pStyle w:val="ListParagraph"/>
        <w:numPr>
          <w:ilvl w:val="0"/>
          <w:numId w:val="1"/>
        </w:numPr>
        <w:jc w:val="both"/>
        <w:rPr>
          <w:rFonts w:ascii="Arial" w:hAnsi="Arial" w:cs="Arial"/>
          <w:b/>
          <w:bCs/>
          <w:sz w:val="24"/>
          <w:szCs w:val="24"/>
        </w:rPr>
      </w:pPr>
      <w:r w:rsidRPr="003D073B">
        <w:rPr>
          <w:rFonts w:ascii="Arial" w:hAnsi="Arial" w:cs="Arial"/>
          <w:b/>
          <w:bCs/>
          <w:sz w:val="24"/>
          <w:szCs w:val="24"/>
        </w:rPr>
        <w:t xml:space="preserve">Concerns regarding the Government’s non-refoulement policy </w:t>
      </w:r>
      <w:r w:rsidR="00D85942" w:rsidRPr="003D073B">
        <w:rPr>
          <w:rFonts w:ascii="Arial" w:hAnsi="Arial" w:cs="Arial"/>
          <w:b/>
          <w:bCs/>
          <w:sz w:val="24"/>
          <w:szCs w:val="24"/>
        </w:rPr>
        <w:t>(Articles 2, 6, 7, 13</w:t>
      </w:r>
      <w:r w:rsidR="00536383">
        <w:rPr>
          <w:rFonts w:ascii="Arial" w:hAnsi="Arial" w:cs="Arial"/>
          <w:b/>
          <w:bCs/>
          <w:sz w:val="24"/>
          <w:szCs w:val="24"/>
        </w:rPr>
        <w:t>, 24</w:t>
      </w:r>
      <w:r w:rsidR="00D85942" w:rsidRPr="003D073B">
        <w:rPr>
          <w:rFonts w:ascii="Arial" w:hAnsi="Arial" w:cs="Arial"/>
          <w:b/>
          <w:bCs/>
          <w:sz w:val="24"/>
          <w:szCs w:val="24"/>
        </w:rPr>
        <w:t>)</w:t>
      </w:r>
    </w:p>
    <w:p w14:paraId="5BECB219" w14:textId="4164EC88" w:rsidR="006E698F" w:rsidRPr="003D073B" w:rsidRDefault="000D3964" w:rsidP="000D3964">
      <w:pPr>
        <w:pStyle w:val="ListParagraph"/>
        <w:numPr>
          <w:ilvl w:val="1"/>
          <w:numId w:val="1"/>
        </w:numPr>
        <w:jc w:val="both"/>
        <w:rPr>
          <w:rFonts w:ascii="Arial" w:hAnsi="Arial" w:cs="Arial"/>
          <w:b/>
          <w:bCs/>
          <w:sz w:val="24"/>
          <w:szCs w:val="24"/>
        </w:rPr>
      </w:pPr>
      <w:r w:rsidRPr="003D073B">
        <w:rPr>
          <w:rFonts w:ascii="Arial" w:hAnsi="Arial" w:cs="Arial"/>
          <w:b/>
          <w:bCs/>
          <w:sz w:val="24"/>
          <w:szCs w:val="24"/>
        </w:rPr>
        <w:t xml:space="preserve">Policy of enforced illegality </w:t>
      </w:r>
    </w:p>
    <w:p w14:paraId="23B1710B" w14:textId="64FA634C" w:rsidR="008A2607" w:rsidRPr="003D073B" w:rsidRDefault="008A2607" w:rsidP="008A2607">
      <w:pPr>
        <w:jc w:val="both"/>
        <w:rPr>
          <w:rFonts w:ascii="Arial" w:hAnsi="Arial" w:cs="Arial"/>
          <w:sz w:val="24"/>
          <w:szCs w:val="24"/>
        </w:rPr>
      </w:pPr>
      <w:r w:rsidRPr="003D073B">
        <w:rPr>
          <w:rFonts w:ascii="Arial" w:hAnsi="Arial" w:cs="Arial"/>
          <w:sz w:val="24"/>
          <w:szCs w:val="24"/>
        </w:rPr>
        <w:t>The Government maintains that people seeking protection in Hong Kong are “illegal immigrants” and must not be treated as “asylum seekers” or “refugees” as the Refugee Convention has never been applied to Hong Kong</w:t>
      </w:r>
      <w:r w:rsidRPr="003D073B">
        <w:rPr>
          <w:rStyle w:val="FootnoteReference"/>
          <w:rFonts w:ascii="Arial" w:hAnsi="Arial" w:cs="Arial"/>
          <w:sz w:val="24"/>
          <w:szCs w:val="24"/>
        </w:rPr>
        <w:footnoteReference w:id="20"/>
      </w:r>
      <w:r w:rsidRPr="003D073B">
        <w:rPr>
          <w:rFonts w:ascii="Arial" w:hAnsi="Arial" w:cs="Arial"/>
          <w:sz w:val="24"/>
          <w:szCs w:val="24"/>
        </w:rPr>
        <w:t xml:space="preserve">. However, </w:t>
      </w:r>
      <w:r w:rsidR="0027214F">
        <w:rPr>
          <w:rFonts w:ascii="Arial" w:hAnsi="Arial" w:cs="Arial"/>
          <w:sz w:val="24"/>
          <w:szCs w:val="24"/>
        </w:rPr>
        <w:t>this illegality is</w:t>
      </w:r>
      <w:r w:rsidR="00601BD0">
        <w:rPr>
          <w:rFonts w:ascii="Arial" w:hAnsi="Arial" w:cs="Arial"/>
          <w:sz w:val="24"/>
          <w:szCs w:val="24"/>
        </w:rPr>
        <w:t xml:space="preserve"> in fact</w:t>
      </w:r>
      <w:r w:rsidR="0027214F">
        <w:rPr>
          <w:rFonts w:ascii="Arial" w:hAnsi="Arial" w:cs="Arial"/>
          <w:sz w:val="24"/>
          <w:szCs w:val="24"/>
        </w:rPr>
        <w:t xml:space="preserve"> created by Hong Kong’s </w:t>
      </w:r>
      <w:r w:rsidR="00AF49D6">
        <w:rPr>
          <w:rFonts w:ascii="Arial" w:hAnsi="Arial" w:cs="Arial"/>
          <w:sz w:val="24"/>
          <w:szCs w:val="24"/>
        </w:rPr>
        <w:t>statutory</w:t>
      </w:r>
      <w:r w:rsidR="0027214F">
        <w:rPr>
          <w:rFonts w:ascii="Arial" w:hAnsi="Arial" w:cs="Arial"/>
          <w:sz w:val="24"/>
          <w:szCs w:val="24"/>
        </w:rPr>
        <w:t xml:space="preserve"> regime</w:t>
      </w:r>
      <w:r w:rsidR="00601BD0">
        <w:rPr>
          <w:rFonts w:ascii="Arial" w:hAnsi="Arial" w:cs="Arial"/>
          <w:sz w:val="24"/>
          <w:szCs w:val="24"/>
        </w:rPr>
        <w:t xml:space="preserve">: </w:t>
      </w:r>
      <w:r w:rsidR="00B07E11">
        <w:rPr>
          <w:rFonts w:ascii="Arial" w:hAnsi="Arial" w:cs="Arial"/>
          <w:sz w:val="24"/>
          <w:szCs w:val="24"/>
        </w:rPr>
        <w:t>s</w:t>
      </w:r>
      <w:r w:rsidRPr="003D073B">
        <w:rPr>
          <w:rFonts w:ascii="Arial" w:hAnsi="Arial" w:cs="Arial"/>
          <w:sz w:val="24"/>
          <w:szCs w:val="24"/>
        </w:rPr>
        <w:t>ection 37W of the Immigration Ordinance mandates that people seeking protection must overstay their visas</w:t>
      </w:r>
      <w:r w:rsidRPr="003D073B">
        <w:rPr>
          <w:sz w:val="24"/>
          <w:szCs w:val="24"/>
        </w:rPr>
        <w:t xml:space="preserve"> </w:t>
      </w:r>
      <w:r w:rsidRPr="003D073B">
        <w:rPr>
          <w:rFonts w:ascii="Arial" w:hAnsi="Arial" w:cs="Arial"/>
          <w:sz w:val="24"/>
          <w:szCs w:val="24"/>
        </w:rPr>
        <w:t xml:space="preserve">– and henceforth become officially “illegal” – before they are eligible to lodge non-refoulement claims. </w:t>
      </w:r>
    </w:p>
    <w:p w14:paraId="694A8B09" w14:textId="77777777" w:rsidR="008A2607" w:rsidRPr="003D073B" w:rsidRDefault="008A2607" w:rsidP="008A2607">
      <w:pPr>
        <w:jc w:val="both"/>
        <w:rPr>
          <w:rFonts w:ascii="Arial" w:hAnsi="Arial" w:cs="Arial"/>
          <w:sz w:val="24"/>
          <w:szCs w:val="24"/>
        </w:rPr>
      </w:pPr>
      <w:r w:rsidRPr="003D073B">
        <w:rPr>
          <w:rFonts w:ascii="Arial" w:hAnsi="Arial" w:cs="Arial"/>
          <w:sz w:val="24"/>
          <w:szCs w:val="24"/>
        </w:rPr>
        <w:t xml:space="preserve">The impact of this policy of enforced illegality is manifold. </w:t>
      </w:r>
    </w:p>
    <w:p w14:paraId="6FE3A6FC" w14:textId="409BACC1" w:rsidR="008A2607" w:rsidRPr="003D073B" w:rsidRDefault="007B4964" w:rsidP="008A2607">
      <w:pPr>
        <w:jc w:val="both"/>
        <w:rPr>
          <w:rFonts w:ascii="Arial" w:hAnsi="Arial" w:cs="Arial"/>
          <w:sz w:val="24"/>
          <w:szCs w:val="24"/>
        </w:rPr>
      </w:pPr>
      <w:r>
        <w:rPr>
          <w:rFonts w:ascii="Arial" w:hAnsi="Arial" w:cs="Arial"/>
          <w:sz w:val="24"/>
          <w:szCs w:val="24"/>
        </w:rPr>
        <w:t>First</w:t>
      </w:r>
      <w:r w:rsidR="008A2607" w:rsidRPr="003D073B">
        <w:rPr>
          <w:rFonts w:ascii="Arial" w:hAnsi="Arial" w:cs="Arial"/>
          <w:sz w:val="24"/>
          <w:szCs w:val="24"/>
        </w:rPr>
        <w:t xml:space="preserve">, depending on the claimant’s nationality, the permission of stay can be a significant length of time during which the claimant is not eligible for humanitarian assistance, including access to food, shelter, and medical care. </w:t>
      </w:r>
      <w:r>
        <w:rPr>
          <w:rFonts w:ascii="Arial" w:hAnsi="Arial" w:cs="Arial"/>
          <w:sz w:val="24"/>
          <w:szCs w:val="24"/>
        </w:rPr>
        <w:t>Second</w:t>
      </w:r>
      <w:r w:rsidR="008A2607" w:rsidRPr="003D073B">
        <w:rPr>
          <w:rFonts w:ascii="Arial" w:hAnsi="Arial" w:cs="Arial"/>
          <w:sz w:val="24"/>
          <w:szCs w:val="24"/>
        </w:rPr>
        <w:t xml:space="preserve">, </w:t>
      </w:r>
      <w:r w:rsidR="009B1A64">
        <w:rPr>
          <w:rFonts w:ascii="Arial" w:hAnsi="Arial" w:cs="Arial"/>
          <w:sz w:val="24"/>
          <w:szCs w:val="24"/>
        </w:rPr>
        <w:t xml:space="preserve">even </w:t>
      </w:r>
      <w:r w:rsidR="008A2607" w:rsidRPr="003D073B">
        <w:rPr>
          <w:rFonts w:ascii="Arial" w:hAnsi="Arial" w:cs="Arial"/>
          <w:sz w:val="24"/>
          <w:szCs w:val="24"/>
        </w:rPr>
        <w:t>claimants with substantiated claims are not given refugee status but</w:t>
      </w:r>
      <w:r w:rsidR="00C0542D">
        <w:rPr>
          <w:rFonts w:ascii="Arial" w:hAnsi="Arial" w:cs="Arial"/>
          <w:sz w:val="24"/>
          <w:szCs w:val="24"/>
        </w:rPr>
        <w:t xml:space="preserve"> </w:t>
      </w:r>
      <w:r w:rsidR="008A2607" w:rsidRPr="003D073B">
        <w:rPr>
          <w:rFonts w:ascii="Arial" w:hAnsi="Arial" w:cs="Arial"/>
          <w:sz w:val="24"/>
          <w:szCs w:val="24"/>
        </w:rPr>
        <w:t xml:space="preserve">continued to be classified as “illegal immigrants”. Refugees are thus denied the right to work and forced to rely on the government’s assistance which </w:t>
      </w:r>
      <w:r w:rsidR="009A0B59" w:rsidRPr="003D073B">
        <w:rPr>
          <w:rFonts w:ascii="Arial" w:hAnsi="Arial" w:cs="Arial"/>
          <w:sz w:val="24"/>
          <w:szCs w:val="24"/>
        </w:rPr>
        <w:t>is</w:t>
      </w:r>
      <w:r w:rsidR="008A2607" w:rsidRPr="003D073B">
        <w:rPr>
          <w:rFonts w:ascii="Arial" w:hAnsi="Arial" w:cs="Arial"/>
          <w:sz w:val="24"/>
          <w:szCs w:val="24"/>
        </w:rPr>
        <w:t xml:space="preserve"> aimed merely at pre</w:t>
      </w:r>
      <w:r w:rsidR="008A2607" w:rsidRPr="003D073B">
        <w:rPr>
          <w:rFonts w:ascii="Arial" w:hAnsi="Arial" w:cs="Arial"/>
          <w:sz w:val="24"/>
          <w:szCs w:val="24"/>
        </w:rPr>
        <w:lastRenderedPageBreak/>
        <w:t xml:space="preserve">venting destitution. </w:t>
      </w:r>
      <w:r w:rsidR="004C37E8" w:rsidRPr="00415483">
        <w:rPr>
          <w:rFonts w:ascii="Arial" w:hAnsi="Arial" w:cs="Arial"/>
          <w:sz w:val="24"/>
          <w:szCs w:val="24"/>
        </w:rPr>
        <w:t xml:space="preserve">This illegal status is </w:t>
      </w:r>
      <w:r w:rsidR="00415483" w:rsidRPr="00415483">
        <w:rPr>
          <w:rFonts w:ascii="Arial" w:hAnsi="Arial" w:cs="Arial"/>
          <w:sz w:val="24"/>
          <w:szCs w:val="24"/>
        </w:rPr>
        <w:t xml:space="preserve">also </w:t>
      </w:r>
      <w:r w:rsidR="004C37E8" w:rsidRPr="00415483">
        <w:rPr>
          <w:rFonts w:ascii="Arial" w:hAnsi="Arial" w:cs="Arial"/>
          <w:sz w:val="24"/>
          <w:szCs w:val="24"/>
        </w:rPr>
        <w:t>inherited by children born to claimants in Hong Kong</w:t>
      </w:r>
      <w:r w:rsidR="00B07E11">
        <w:rPr>
          <w:rFonts w:ascii="Arial" w:hAnsi="Arial" w:cs="Arial"/>
          <w:sz w:val="24"/>
          <w:szCs w:val="24"/>
        </w:rPr>
        <w:t>, who may be stateless</w:t>
      </w:r>
      <w:r w:rsidR="004C37E8" w:rsidRPr="00415483">
        <w:rPr>
          <w:rStyle w:val="FootnoteReference"/>
          <w:rFonts w:ascii="Arial" w:hAnsi="Arial" w:cs="Arial"/>
          <w:sz w:val="24"/>
          <w:szCs w:val="24"/>
        </w:rPr>
        <w:footnoteReference w:id="21"/>
      </w:r>
      <w:r w:rsidR="004C37E8" w:rsidRPr="00415483">
        <w:rPr>
          <w:rFonts w:ascii="Arial" w:hAnsi="Arial" w:cs="Arial"/>
          <w:sz w:val="24"/>
          <w:szCs w:val="24"/>
        </w:rPr>
        <w:t>.</w:t>
      </w:r>
      <w:r w:rsidR="008A2607" w:rsidRPr="00415483">
        <w:rPr>
          <w:rFonts w:ascii="Arial" w:hAnsi="Arial" w:cs="Arial"/>
          <w:sz w:val="24"/>
          <w:szCs w:val="24"/>
        </w:rPr>
        <w:t>The inadequacies of the Government’s humanitarian assistance</w:t>
      </w:r>
      <w:r w:rsidR="00C82C25">
        <w:rPr>
          <w:rFonts w:ascii="Arial" w:hAnsi="Arial" w:cs="Arial"/>
          <w:sz w:val="24"/>
          <w:szCs w:val="24"/>
        </w:rPr>
        <w:t xml:space="preserve"> and </w:t>
      </w:r>
      <w:r w:rsidR="008A2607" w:rsidRPr="00415483">
        <w:rPr>
          <w:rFonts w:ascii="Arial" w:hAnsi="Arial" w:cs="Arial"/>
          <w:sz w:val="24"/>
          <w:szCs w:val="24"/>
        </w:rPr>
        <w:t xml:space="preserve">the lack of durable solutions are discussed in detail below. </w:t>
      </w:r>
    </w:p>
    <w:p w14:paraId="0B8A1281" w14:textId="42F7161E" w:rsidR="008A2607" w:rsidRPr="003D073B" w:rsidRDefault="00C0542D" w:rsidP="008A2607">
      <w:pPr>
        <w:jc w:val="both"/>
        <w:rPr>
          <w:rFonts w:ascii="Arial" w:hAnsi="Arial" w:cs="Arial"/>
          <w:sz w:val="24"/>
          <w:szCs w:val="24"/>
        </w:rPr>
      </w:pPr>
      <w:r>
        <w:rPr>
          <w:rFonts w:ascii="Arial" w:hAnsi="Arial" w:cs="Arial"/>
          <w:sz w:val="24"/>
          <w:szCs w:val="24"/>
        </w:rPr>
        <w:t>Third</w:t>
      </w:r>
      <w:r w:rsidR="008A2607" w:rsidRPr="003D073B">
        <w:rPr>
          <w:rFonts w:ascii="Arial" w:hAnsi="Arial" w:cs="Arial"/>
          <w:sz w:val="24"/>
          <w:szCs w:val="24"/>
        </w:rPr>
        <w:t xml:space="preserve">, the Government’s categorisation of people seeking protection in Hong Kong as “illegal immigrants” feeds into a </w:t>
      </w:r>
      <w:r w:rsidR="00036F9A" w:rsidRPr="003D073B">
        <w:rPr>
          <w:rFonts w:ascii="Arial" w:hAnsi="Arial" w:cs="Arial"/>
          <w:sz w:val="24"/>
          <w:szCs w:val="24"/>
        </w:rPr>
        <w:t>discriminatory</w:t>
      </w:r>
      <w:r w:rsidR="008A2607" w:rsidRPr="003D073B">
        <w:rPr>
          <w:rFonts w:ascii="Arial" w:hAnsi="Arial" w:cs="Arial"/>
          <w:sz w:val="24"/>
          <w:szCs w:val="24"/>
        </w:rPr>
        <w:t xml:space="preserve"> narrative that portrays people in need of international protection as abusers of the system or criminals. Since 2015 Justice Centre has observed the use of </w:t>
      </w:r>
      <w:r w:rsidR="00036F9A" w:rsidRPr="003D073B">
        <w:rPr>
          <w:rFonts w:ascii="Arial" w:hAnsi="Arial" w:cs="Arial"/>
          <w:sz w:val="24"/>
          <w:szCs w:val="24"/>
        </w:rPr>
        <w:t xml:space="preserve">xenophobic </w:t>
      </w:r>
      <w:r w:rsidR="008A2607" w:rsidRPr="003D073B">
        <w:rPr>
          <w:rFonts w:ascii="Arial" w:hAnsi="Arial" w:cs="Arial"/>
          <w:sz w:val="24"/>
          <w:szCs w:val="24"/>
        </w:rPr>
        <w:t xml:space="preserve">terms such as “fake refugees”, “toxic tumours” and “Southeast Asian thieves” by the media and some politicians, especially in periods leading up to major elections. </w:t>
      </w:r>
      <w:r w:rsidR="00473488" w:rsidRPr="003D073B">
        <w:rPr>
          <w:rFonts w:ascii="Arial" w:hAnsi="Arial" w:cs="Arial"/>
          <w:sz w:val="24"/>
          <w:szCs w:val="24"/>
        </w:rPr>
        <w:t>The Committee on Economic, Social and Cultural Rights</w:t>
      </w:r>
      <w:r w:rsidR="00E20178" w:rsidRPr="003D073B">
        <w:rPr>
          <w:rStyle w:val="FootnoteReference"/>
          <w:rFonts w:ascii="Arial" w:hAnsi="Arial" w:cs="Arial"/>
          <w:sz w:val="24"/>
          <w:szCs w:val="24"/>
        </w:rPr>
        <w:footnoteReference w:id="22"/>
      </w:r>
      <w:r w:rsidR="00444634" w:rsidRPr="003D073B">
        <w:rPr>
          <w:rFonts w:ascii="Arial" w:hAnsi="Arial" w:cs="Arial"/>
          <w:sz w:val="24"/>
          <w:szCs w:val="24"/>
        </w:rPr>
        <w:t>, the Committee on the Rights of the Child</w:t>
      </w:r>
      <w:r w:rsidR="00444634" w:rsidRPr="003D073B">
        <w:rPr>
          <w:rStyle w:val="FootnoteReference"/>
          <w:rFonts w:ascii="Arial" w:hAnsi="Arial" w:cs="Arial"/>
          <w:sz w:val="24"/>
          <w:szCs w:val="24"/>
        </w:rPr>
        <w:footnoteReference w:id="23"/>
      </w:r>
      <w:r w:rsidR="00760D5C" w:rsidRPr="003D073B">
        <w:rPr>
          <w:rFonts w:ascii="Arial" w:hAnsi="Arial" w:cs="Arial"/>
          <w:sz w:val="24"/>
          <w:szCs w:val="24"/>
        </w:rPr>
        <w:t xml:space="preserve"> and Special Mandate holders</w:t>
      </w:r>
      <w:r w:rsidR="00760D5C" w:rsidRPr="003D073B">
        <w:rPr>
          <w:rStyle w:val="FootnoteReference"/>
          <w:rFonts w:ascii="Arial" w:hAnsi="Arial" w:cs="Arial"/>
          <w:sz w:val="24"/>
          <w:szCs w:val="24"/>
        </w:rPr>
        <w:footnoteReference w:id="24"/>
      </w:r>
      <w:r w:rsidR="00760D5C" w:rsidRPr="003D073B">
        <w:rPr>
          <w:rFonts w:ascii="Arial" w:hAnsi="Arial" w:cs="Arial"/>
          <w:sz w:val="24"/>
          <w:szCs w:val="24"/>
        </w:rPr>
        <w:t xml:space="preserve"> </w:t>
      </w:r>
      <w:r w:rsidR="008A2607" w:rsidRPr="003D073B">
        <w:rPr>
          <w:rFonts w:ascii="Arial" w:hAnsi="Arial" w:cs="Arial"/>
          <w:sz w:val="24"/>
          <w:szCs w:val="24"/>
        </w:rPr>
        <w:t xml:space="preserve">have also expressed concern over </w:t>
      </w:r>
      <w:r w:rsidR="00E8634F" w:rsidRPr="003D073B">
        <w:rPr>
          <w:rFonts w:ascii="Arial" w:hAnsi="Arial" w:cs="Arial"/>
          <w:sz w:val="24"/>
          <w:szCs w:val="24"/>
        </w:rPr>
        <w:t xml:space="preserve">discrimination and </w:t>
      </w:r>
      <w:r w:rsidR="008A2607" w:rsidRPr="003D073B">
        <w:rPr>
          <w:rFonts w:ascii="Arial" w:hAnsi="Arial" w:cs="Arial"/>
          <w:sz w:val="24"/>
          <w:szCs w:val="24"/>
        </w:rPr>
        <w:t>the use of negative and stigmatising rhetoric towards refugees, migrants and ethnic minorities</w:t>
      </w:r>
      <w:r w:rsidR="00036F9A" w:rsidRPr="003D073B">
        <w:rPr>
          <w:rFonts w:ascii="Arial" w:hAnsi="Arial" w:cs="Arial"/>
          <w:sz w:val="24"/>
          <w:szCs w:val="24"/>
        </w:rPr>
        <w:t>.</w:t>
      </w:r>
    </w:p>
    <w:p w14:paraId="5ADB32AB" w14:textId="3E4DA49B" w:rsidR="00D1231D" w:rsidRPr="003D073B" w:rsidRDefault="00D1231D" w:rsidP="001133E3">
      <w:pPr>
        <w:pStyle w:val="ListParagraph"/>
        <w:numPr>
          <w:ilvl w:val="1"/>
          <w:numId w:val="1"/>
        </w:numPr>
        <w:jc w:val="both"/>
        <w:rPr>
          <w:rFonts w:ascii="Arial" w:hAnsi="Arial" w:cs="Arial"/>
          <w:b/>
          <w:bCs/>
          <w:sz w:val="24"/>
          <w:szCs w:val="24"/>
        </w:rPr>
      </w:pPr>
      <w:r w:rsidRPr="003D073B">
        <w:rPr>
          <w:rFonts w:ascii="Arial" w:hAnsi="Arial" w:cs="Arial"/>
          <w:b/>
          <w:bCs/>
          <w:sz w:val="24"/>
          <w:szCs w:val="24"/>
        </w:rPr>
        <w:t xml:space="preserve">Inadequate humanitarian assistance </w:t>
      </w:r>
    </w:p>
    <w:p w14:paraId="3ABABD0D" w14:textId="48B7D0F2" w:rsidR="00F11EC6" w:rsidRPr="003D073B" w:rsidRDefault="00F11EC6" w:rsidP="00F11EC6">
      <w:pPr>
        <w:jc w:val="both"/>
        <w:rPr>
          <w:rFonts w:ascii="Arial" w:hAnsi="Arial" w:cs="Arial"/>
          <w:sz w:val="24"/>
          <w:szCs w:val="24"/>
        </w:rPr>
      </w:pPr>
      <w:r w:rsidRPr="003D073B">
        <w:rPr>
          <w:rFonts w:ascii="Arial" w:hAnsi="Arial" w:cs="Arial"/>
          <w:sz w:val="24"/>
          <w:szCs w:val="24"/>
        </w:rPr>
        <w:t>Non-refoulement claimants are provided with minimal humanitarian assistance through the Government’s outsourced service provider, the International Social Service (“ISS”). The monthly assistance includes</w:t>
      </w:r>
      <w:r w:rsidRPr="003D073B">
        <w:rPr>
          <w:rStyle w:val="FootnoteReference"/>
          <w:rFonts w:ascii="Arial" w:hAnsi="Arial" w:cs="Arial"/>
          <w:sz w:val="24"/>
          <w:szCs w:val="24"/>
        </w:rPr>
        <w:footnoteReference w:id="25"/>
      </w:r>
      <w:r w:rsidRPr="003D073B">
        <w:rPr>
          <w:rFonts w:ascii="Arial" w:hAnsi="Arial" w:cs="Arial"/>
          <w:sz w:val="24"/>
          <w:szCs w:val="24"/>
        </w:rPr>
        <w:t>:</w:t>
      </w:r>
    </w:p>
    <w:p w14:paraId="28F36F92" w14:textId="77777777" w:rsidR="00F11EC6" w:rsidRPr="003D073B" w:rsidRDefault="00F11EC6" w:rsidP="00F11EC6">
      <w:pPr>
        <w:pStyle w:val="ListParagraph"/>
        <w:numPr>
          <w:ilvl w:val="0"/>
          <w:numId w:val="7"/>
        </w:numPr>
        <w:jc w:val="both"/>
        <w:rPr>
          <w:rFonts w:ascii="Arial" w:hAnsi="Arial" w:cs="Arial"/>
          <w:sz w:val="24"/>
          <w:szCs w:val="24"/>
        </w:rPr>
      </w:pPr>
      <w:r w:rsidRPr="003D073B">
        <w:rPr>
          <w:rFonts w:ascii="Arial" w:hAnsi="Arial" w:cs="Arial"/>
          <w:sz w:val="24"/>
          <w:szCs w:val="24"/>
          <w:lang w:val="en-US"/>
        </w:rPr>
        <w:lastRenderedPageBreak/>
        <w:t>food allowance of HK$1,200 in the form of pre-paid supermarket cards</w:t>
      </w:r>
    </w:p>
    <w:p w14:paraId="1E0BF155" w14:textId="77777777" w:rsidR="00F11EC6" w:rsidRPr="003D073B" w:rsidRDefault="00F11EC6" w:rsidP="00F11EC6">
      <w:pPr>
        <w:pStyle w:val="ListParagraph"/>
        <w:numPr>
          <w:ilvl w:val="0"/>
          <w:numId w:val="7"/>
        </w:numPr>
        <w:jc w:val="both"/>
        <w:rPr>
          <w:rFonts w:ascii="Arial" w:hAnsi="Arial" w:cs="Arial"/>
          <w:sz w:val="24"/>
          <w:szCs w:val="24"/>
        </w:rPr>
      </w:pPr>
      <w:r w:rsidRPr="003D073B">
        <w:rPr>
          <w:rFonts w:ascii="Arial" w:hAnsi="Arial" w:cs="Arial"/>
          <w:sz w:val="24"/>
          <w:szCs w:val="24"/>
          <w:lang w:val="en-US"/>
        </w:rPr>
        <w:t>rent allowance of HK$1,500 per adult and $ 750 per child paid directly to the landlord</w:t>
      </w:r>
    </w:p>
    <w:p w14:paraId="4B3613AF" w14:textId="77777777" w:rsidR="00F11EC6" w:rsidRPr="003D073B" w:rsidRDefault="00F11EC6" w:rsidP="00F11EC6">
      <w:pPr>
        <w:pStyle w:val="ListParagraph"/>
        <w:numPr>
          <w:ilvl w:val="0"/>
          <w:numId w:val="7"/>
        </w:numPr>
        <w:jc w:val="both"/>
        <w:rPr>
          <w:rFonts w:ascii="Arial" w:hAnsi="Arial" w:cs="Arial"/>
          <w:sz w:val="24"/>
          <w:szCs w:val="24"/>
        </w:rPr>
      </w:pPr>
      <w:r w:rsidRPr="003D073B">
        <w:rPr>
          <w:rFonts w:ascii="Arial" w:hAnsi="Arial" w:cs="Arial"/>
          <w:sz w:val="24"/>
          <w:szCs w:val="24"/>
          <w:lang w:val="en-US"/>
        </w:rPr>
        <w:t>HK$300 for utilities</w:t>
      </w:r>
    </w:p>
    <w:p w14:paraId="749DF730" w14:textId="77777777" w:rsidR="00F11EC6" w:rsidRPr="003D073B" w:rsidRDefault="00F11EC6" w:rsidP="00F11EC6">
      <w:pPr>
        <w:pStyle w:val="ListParagraph"/>
        <w:numPr>
          <w:ilvl w:val="0"/>
          <w:numId w:val="7"/>
        </w:numPr>
        <w:jc w:val="both"/>
        <w:rPr>
          <w:rFonts w:ascii="Arial" w:hAnsi="Arial" w:cs="Arial"/>
          <w:sz w:val="24"/>
          <w:szCs w:val="24"/>
        </w:rPr>
      </w:pPr>
      <w:r w:rsidRPr="003D073B">
        <w:rPr>
          <w:rFonts w:ascii="Arial" w:hAnsi="Arial" w:cs="Arial"/>
          <w:sz w:val="24"/>
          <w:szCs w:val="24"/>
          <w:lang w:val="en-US"/>
        </w:rPr>
        <w:t>petty cash for transportation</w:t>
      </w:r>
    </w:p>
    <w:p w14:paraId="6B20EBBD" w14:textId="77777777" w:rsidR="00F11EC6" w:rsidRPr="003D073B" w:rsidRDefault="00F11EC6" w:rsidP="00F11EC6">
      <w:pPr>
        <w:pStyle w:val="ListParagraph"/>
        <w:numPr>
          <w:ilvl w:val="0"/>
          <w:numId w:val="7"/>
        </w:numPr>
        <w:jc w:val="both"/>
        <w:rPr>
          <w:rFonts w:ascii="Arial" w:hAnsi="Arial" w:cs="Arial"/>
          <w:sz w:val="24"/>
          <w:szCs w:val="24"/>
        </w:rPr>
      </w:pPr>
      <w:r w:rsidRPr="003D073B">
        <w:rPr>
          <w:rFonts w:ascii="Arial" w:hAnsi="Arial" w:cs="Arial"/>
          <w:sz w:val="24"/>
          <w:szCs w:val="24"/>
          <w:lang w:val="en-US"/>
        </w:rPr>
        <w:t>other basic necessities, such as toiletry items, provided in kind</w:t>
      </w:r>
    </w:p>
    <w:p w14:paraId="6900A2E0" w14:textId="77777777" w:rsidR="00F11EC6" w:rsidRPr="003D073B" w:rsidRDefault="00F11EC6" w:rsidP="00F11EC6">
      <w:pPr>
        <w:jc w:val="both"/>
        <w:rPr>
          <w:rFonts w:ascii="Arial" w:hAnsi="Arial" w:cs="Arial"/>
          <w:sz w:val="24"/>
          <w:szCs w:val="24"/>
        </w:rPr>
      </w:pPr>
      <w:r w:rsidRPr="003D073B">
        <w:rPr>
          <w:rFonts w:ascii="Arial" w:hAnsi="Arial" w:cs="Arial"/>
          <w:sz w:val="24"/>
          <w:szCs w:val="24"/>
        </w:rPr>
        <w:t xml:space="preserve">The Government’s rationale for its humanitarian assistance policy is to ensure a deterrent effect: </w:t>
      </w:r>
    </w:p>
    <w:p w14:paraId="587556E5" w14:textId="6181A7F8" w:rsidR="00F11EC6" w:rsidRPr="003D073B" w:rsidRDefault="00C16E65" w:rsidP="00F11EC6">
      <w:pPr>
        <w:ind w:left="720"/>
        <w:jc w:val="both"/>
        <w:rPr>
          <w:rFonts w:ascii="Arial" w:hAnsi="Arial" w:cs="Arial"/>
          <w:sz w:val="24"/>
          <w:szCs w:val="24"/>
        </w:rPr>
      </w:pPr>
      <w:r>
        <w:rPr>
          <w:rFonts w:ascii="Arial" w:hAnsi="Arial" w:cs="Arial"/>
          <w:sz w:val="24"/>
          <w:szCs w:val="24"/>
        </w:rPr>
        <w:t>“</w:t>
      </w:r>
      <w:r w:rsidR="00F11EC6" w:rsidRPr="003D073B">
        <w:rPr>
          <w:rFonts w:ascii="Arial" w:hAnsi="Arial" w:cs="Arial"/>
          <w:sz w:val="24"/>
          <w:szCs w:val="24"/>
        </w:rPr>
        <w:t>[the Government] has been providing, through a non-governmental organisation, humanitarian assistance meeting basic needs to claimants during their presence in the HKSAR to prevent them from becoming destitute. At the same time, we need to ensure that such humanitarian assistance will not create a magnet effect which may have serious implications for the sustainability of our current support systems and for our immigration control</w:t>
      </w:r>
      <w:r w:rsidR="00484643">
        <w:rPr>
          <w:rFonts w:ascii="Arial" w:hAnsi="Arial" w:cs="Arial"/>
          <w:sz w:val="24"/>
          <w:szCs w:val="24"/>
        </w:rPr>
        <w:t>.”</w:t>
      </w:r>
      <w:r w:rsidR="009B31D0" w:rsidRPr="003D073B">
        <w:rPr>
          <w:rStyle w:val="FootnoteReference"/>
          <w:rFonts w:ascii="Arial" w:hAnsi="Arial" w:cs="Arial"/>
          <w:sz w:val="24"/>
          <w:szCs w:val="24"/>
        </w:rPr>
        <w:footnoteReference w:id="26"/>
      </w:r>
    </w:p>
    <w:p w14:paraId="3DF41E41" w14:textId="2BD78991" w:rsidR="00F11EC6" w:rsidRDefault="00F11EC6" w:rsidP="00F11EC6">
      <w:pPr>
        <w:jc w:val="both"/>
        <w:rPr>
          <w:rFonts w:ascii="Arial" w:hAnsi="Arial" w:cs="Arial"/>
          <w:sz w:val="24"/>
          <w:szCs w:val="24"/>
        </w:rPr>
      </w:pPr>
      <w:r w:rsidRPr="003D073B">
        <w:rPr>
          <w:rFonts w:ascii="Arial" w:hAnsi="Arial" w:cs="Arial"/>
          <w:sz w:val="24"/>
          <w:szCs w:val="24"/>
        </w:rPr>
        <w:t xml:space="preserve">We are </w:t>
      </w:r>
      <w:r w:rsidR="008F5EF9">
        <w:rPr>
          <w:rFonts w:ascii="Arial" w:hAnsi="Arial" w:cs="Arial"/>
          <w:sz w:val="24"/>
          <w:szCs w:val="24"/>
        </w:rPr>
        <w:t>gravely concerned</w:t>
      </w:r>
      <w:r w:rsidRPr="003D073B">
        <w:rPr>
          <w:rFonts w:ascii="Arial" w:hAnsi="Arial" w:cs="Arial"/>
          <w:sz w:val="24"/>
          <w:szCs w:val="24"/>
        </w:rPr>
        <w:t xml:space="preserve"> that claimants are unable to access humanitarian assistance during the period where they are waiting for their permission of stay to expire, and the period between the filing of their written signification and their registration at ISS, which could take months. During these periods claimants have no access to basic subsistence, including food, shelter, or medical care. While some assistance is available via NGOs, claimant’s inability to access critical social welfare can be dangerously detrimental. For instance, Justice Centre assisted a family who was unable to obtain medicine for their young child’s epilepsy during the period between the filing of their written signification and their registration. </w:t>
      </w:r>
    </w:p>
    <w:p w14:paraId="2B7B4B52" w14:textId="48AE64D5" w:rsidR="008F5EF9" w:rsidRPr="003D073B" w:rsidRDefault="008F5EF9" w:rsidP="008F5EF9">
      <w:pPr>
        <w:jc w:val="both"/>
        <w:rPr>
          <w:rFonts w:ascii="Arial" w:hAnsi="Arial" w:cs="Arial"/>
          <w:sz w:val="24"/>
          <w:szCs w:val="24"/>
        </w:rPr>
      </w:pPr>
      <w:r>
        <w:rPr>
          <w:rFonts w:ascii="Arial" w:hAnsi="Arial" w:cs="Arial"/>
          <w:sz w:val="24"/>
          <w:szCs w:val="24"/>
        </w:rPr>
        <w:lastRenderedPageBreak/>
        <w:t xml:space="preserve">Further, </w:t>
      </w:r>
      <w:r w:rsidRPr="003D073B">
        <w:rPr>
          <w:rFonts w:ascii="Arial" w:hAnsi="Arial" w:cs="Arial"/>
          <w:sz w:val="24"/>
          <w:szCs w:val="24"/>
        </w:rPr>
        <w:t xml:space="preserve">the minimal humanitarian assistance provided by the Government compounded by claimants’ inability to take up legal work forces claimants to live for prolonged periods in poverty and destitution, so much so that that this policy may constitute “constructive” refoulement. </w:t>
      </w:r>
    </w:p>
    <w:p w14:paraId="019C2E60" w14:textId="3A16B8AB" w:rsidR="0084615A" w:rsidRPr="003D073B" w:rsidRDefault="0084615A" w:rsidP="0084615A">
      <w:pPr>
        <w:pStyle w:val="ListParagraph"/>
        <w:numPr>
          <w:ilvl w:val="1"/>
          <w:numId w:val="1"/>
        </w:numPr>
        <w:jc w:val="both"/>
        <w:rPr>
          <w:rFonts w:ascii="Arial" w:hAnsi="Arial" w:cs="Arial"/>
          <w:b/>
          <w:bCs/>
          <w:sz w:val="24"/>
          <w:szCs w:val="24"/>
        </w:rPr>
      </w:pPr>
      <w:r w:rsidRPr="003D073B">
        <w:rPr>
          <w:rFonts w:ascii="Arial" w:hAnsi="Arial" w:cs="Arial"/>
          <w:b/>
          <w:bCs/>
          <w:sz w:val="24"/>
          <w:szCs w:val="24"/>
        </w:rPr>
        <w:t xml:space="preserve">Lack of durable solutions </w:t>
      </w:r>
    </w:p>
    <w:p w14:paraId="0DA922C0" w14:textId="2939F2F4" w:rsidR="0084615A" w:rsidRPr="003D073B" w:rsidRDefault="006A1BE0" w:rsidP="0084615A">
      <w:pPr>
        <w:jc w:val="both"/>
        <w:rPr>
          <w:rFonts w:ascii="Arial" w:hAnsi="Arial" w:cs="Arial"/>
          <w:sz w:val="24"/>
          <w:szCs w:val="24"/>
        </w:rPr>
      </w:pPr>
      <w:r w:rsidRPr="003D073B">
        <w:rPr>
          <w:rFonts w:ascii="Arial" w:hAnsi="Arial" w:cs="Arial"/>
          <w:sz w:val="24"/>
          <w:szCs w:val="24"/>
        </w:rPr>
        <w:t xml:space="preserve">The Government has </w:t>
      </w:r>
      <w:r w:rsidR="003849E5" w:rsidRPr="003D073B">
        <w:rPr>
          <w:rFonts w:ascii="Arial" w:hAnsi="Arial" w:cs="Arial"/>
          <w:sz w:val="24"/>
          <w:szCs w:val="24"/>
        </w:rPr>
        <w:t xml:space="preserve">no policy </w:t>
      </w:r>
      <w:r w:rsidRPr="003D073B">
        <w:rPr>
          <w:rFonts w:ascii="Arial" w:hAnsi="Arial" w:cs="Arial"/>
          <w:sz w:val="24"/>
          <w:szCs w:val="24"/>
        </w:rPr>
        <w:t>on durable solutions</w:t>
      </w:r>
      <w:r w:rsidR="00B619E1" w:rsidRPr="003D073B">
        <w:rPr>
          <w:rFonts w:ascii="Arial" w:hAnsi="Arial" w:cs="Arial"/>
          <w:sz w:val="24"/>
          <w:szCs w:val="24"/>
        </w:rPr>
        <w:t xml:space="preserve"> for people with substantiated </w:t>
      </w:r>
      <w:r w:rsidR="000245E8" w:rsidRPr="003D073B">
        <w:rPr>
          <w:rFonts w:ascii="Arial" w:hAnsi="Arial" w:cs="Arial"/>
          <w:sz w:val="24"/>
          <w:szCs w:val="24"/>
        </w:rPr>
        <w:t xml:space="preserve">USM </w:t>
      </w:r>
      <w:r w:rsidR="00B619E1" w:rsidRPr="003D073B">
        <w:rPr>
          <w:rFonts w:ascii="Arial" w:hAnsi="Arial" w:cs="Arial"/>
          <w:sz w:val="24"/>
          <w:szCs w:val="24"/>
        </w:rPr>
        <w:t xml:space="preserve">claims. </w:t>
      </w:r>
      <w:r w:rsidR="00813968" w:rsidRPr="003D073B">
        <w:rPr>
          <w:rFonts w:ascii="Arial" w:hAnsi="Arial" w:cs="Arial"/>
          <w:sz w:val="24"/>
          <w:szCs w:val="24"/>
        </w:rPr>
        <w:t xml:space="preserve">Recognised claimants are only granted non-refoulement protection, and </w:t>
      </w:r>
      <w:r w:rsidR="001F5E00">
        <w:rPr>
          <w:rFonts w:ascii="Arial" w:hAnsi="Arial" w:cs="Arial"/>
          <w:sz w:val="24"/>
          <w:szCs w:val="24"/>
        </w:rPr>
        <w:t xml:space="preserve">it is the Government’s position that </w:t>
      </w:r>
      <w:r w:rsidR="00813968" w:rsidRPr="003D073B">
        <w:rPr>
          <w:rFonts w:ascii="Arial" w:hAnsi="Arial" w:cs="Arial"/>
          <w:sz w:val="24"/>
          <w:szCs w:val="24"/>
        </w:rPr>
        <w:t>no additional rights are conferred</w:t>
      </w:r>
      <w:r w:rsidR="000245E8" w:rsidRPr="003D073B">
        <w:rPr>
          <w:rFonts w:ascii="Arial" w:hAnsi="Arial" w:cs="Arial"/>
          <w:sz w:val="24"/>
          <w:szCs w:val="24"/>
        </w:rPr>
        <w:t xml:space="preserve">, </w:t>
      </w:r>
      <w:r w:rsidR="00813968" w:rsidRPr="003D073B">
        <w:rPr>
          <w:rFonts w:ascii="Arial" w:hAnsi="Arial" w:cs="Arial"/>
          <w:sz w:val="24"/>
          <w:szCs w:val="24"/>
        </w:rPr>
        <w:t>such as residency rights, greater socio-economic protection</w:t>
      </w:r>
      <w:r w:rsidR="00244467">
        <w:rPr>
          <w:rFonts w:ascii="Arial" w:hAnsi="Arial" w:cs="Arial"/>
          <w:sz w:val="24"/>
          <w:szCs w:val="24"/>
        </w:rPr>
        <w:t xml:space="preserve"> </w:t>
      </w:r>
      <w:r w:rsidR="00813968" w:rsidRPr="003D073B">
        <w:rPr>
          <w:rFonts w:ascii="Arial" w:hAnsi="Arial" w:cs="Arial"/>
          <w:sz w:val="24"/>
          <w:szCs w:val="24"/>
        </w:rPr>
        <w:t>or any legal right to work</w:t>
      </w:r>
      <w:r w:rsidR="000245E8" w:rsidRPr="003D073B">
        <w:rPr>
          <w:rFonts w:ascii="Arial" w:hAnsi="Arial" w:cs="Arial"/>
          <w:sz w:val="24"/>
          <w:szCs w:val="24"/>
        </w:rPr>
        <w:t>.</w:t>
      </w:r>
      <w:r w:rsidR="001E6D20" w:rsidRPr="003D073B">
        <w:rPr>
          <w:rFonts w:ascii="Arial" w:hAnsi="Arial" w:cs="Arial"/>
          <w:sz w:val="24"/>
          <w:szCs w:val="24"/>
        </w:rPr>
        <w:t xml:space="preserve"> </w:t>
      </w:r>
      <w:r w:rsidR="00A366EF" w:rsidRPr="003D073B">
        <w:rPr>
          <w:rFonts w:ascii="Arial" w:hAnsi="Arial" w:cs="Arial"/>
          <w:sz w:val="24"/>
          <w:szCs w:val="24"/>
        </w:rPr>
        <w:t xml:space="preserve">As stated, people with substantiated claims continue to be treated by the Government as </w:t>
      </w:r>
      <w:r w:rsidR="003D17F6" w:rsidRPr="003D073B">
        <w:rPr>
          <w:rFonts w:ascii="Arial" w:hAnsi="Arial" w:cs="Arial"/>
          <w:sz w:val="24"/>
          <w:szCs w:val="24"/>
        </w:rPr>
        <w:t xml:space="preserve">illegal immigrants or overstayers. </w:t>
      </w:r>
    </w:p>
    <w:p w14:paraId="1C14F2E8" w14:textId="3F1A194C" w:rsidR="00B067DE" w:rsidRPr="003D073B" w:rsidRDefault="00B067DE" w:rsidP="00B067DE">
      <w:pPr>
        <w:jc w:val="both"/>
        <w:rPr>
          <w:rFonts w:ascii="Arial" w:hAnsi="Arial" w:cs="Arial"/>
          <w:sz w:val="24"/>
          <w:szCs w:val="24"/>
        </w:rPr>
      </w:pPr>
      <w:r w:rsidRPr="003D073B">
        <w:rPr>
          <w:rFonts w:ascii="Arial" w:hAnsi="Arial" w:cs="Arial"/>
          <w:sz w:val="24"/>
          <w:szCs w:val="24"/>
        </w:rPr>
        <w:t xml:space="preserve">Following the Court of Final Appeal’s 2014 decision in </w:t>
      </w:r>
      <w:r w:rsidRPr="003D073B">
        <w:rPr>
          <w:rFonts w:ascii="Arial" w:hAnsi="Arial" w:cs="Arial"/>
          <w:i/>
          <w:iCs/>
          <w:sz w:val="24"/>
          <w:szCs w:val="24"/>
        </w:rPr>
        <w:t xml:space="preserve">GA v Director of Immigration, </w:t>
      </w:r>
      <w:r w:rsidRPr="003D073B">
        <w:rPr>
          <w:rFonts w:ascii="Arial" w:hAnsi="Arial" w:cs="Arial"/>
          <w:sz w:val="24"/>
          <w:szCs w:val="24"/>
        </w:rPr>
        <w:t xml:space="preserve">substantiated claimants may apply for permission to take employment. However, only about 40% of claimants are able to successfully apply for a work permit, </w:t>
      </w:r>
      <w:r w:rsidR="005102DC">
        <w:rPr>
          <w:rFonts w:ascii="Arial" w:hAnsi="Arial" w:cs="Arial"/>
          <w:sz w:val="24"/>
          <w:szCs w:val="24"/>
        </w:rPr>
        <w:t xml:space="preserve">raising </w:t>
      </w:r>
      <w:r w:rsidRPr="003D073B">
        <w:rPr>
          <w:rFonts w:ascii="Arial" w:hAnsi="Arial" w:cs="Arial"/>
          <w:sz w:val="24"/>
          <w:szCs w:val="24"/>
        </w:rPr>
        <w:t>concerns that criteria applied by the Director of Immigration are too stringent, including requiring claimants to have a job offer from an employer before they are able to apply for permission</w:t>
      </w:r>
      <w:r w:rsidRPr="003D073B">
        <w:rPr>
          <w:rStyle w:val="FootnoteReference"/>
          <w:rFonts w:ascii="Arial" w:hAnsi="Arial" w:cs="Arial"/>
          <w:sz w:val="24"/>
          <w:szCs w:val="24"/>
        </w:rPr>
        <w:footnoteReference w:id="27"/>
      </w:r>
      <w:r w:rsidRPr="003D073B">
        <w:rPr>
          <w:rFonts w:ascii="Arial" w:hAnsi="Arial" w:cs="Arial"/>
          <w:sz w:val="24"/>
          <w:szCs w:val="24"/>
        </w:rPr>
        <w:t>.</w:t>
      </w:r>
      <w:r w:rsidR="00EF1F20">
        <w:rPr>
          <w:rFonts w:ascii="Arial" w:hAnsi="Arial" w:cs="Arial"/>
          <w:sz w:val="24"/>
          <w:szCs w:val="24"/>
        </w:rPr>
        <w:t xml:space="preserve"> </w:t>
      </w:r>
      <w:r w:rsidR="00C56ECF">
        <w:rPr>
          <w:rFonts w:ascii="Arial" w:hAnsi="Arial" w:cs="Arial"/>
          <w:sz w:val="24"/>
          <w:szCs w:val="24"/>
        </w:rPr>
        <w:t xml:space="preserve">Moreover, the permission </w:t>
      </w:r>
      <w:r w:rsidR="00A028AA">
        <w:rPr>
          <w:rFonts w:ascii="Arial" w:hAnsi="Arial" w:cs="Arial"/>
          <w:sz w:val="24"/>
          <w:szCs w:val="24"/>
        </w:rPr>
        <w:t xml:space="preserve">is </w:t>
      </w:r>
      <w:r w:rsidR="00C56ECF">
        <w:rPr>
          <w:rFonts w:ascii="Arial" w:hAnsi="Arial" w:cs="Arial"/>
          <w:sz w:val="24"/>
          <w:szCs w:val="24"/>
        </w:rPr>
        <w:t xml:space="preserve">only granted for </w:t>
      </w:r>
      <w:r w:rsidR="00F435A0">
        <w:rPr>
          <w:rFonts w:ascii="Arial" w:hAnsi="Arial" w:cs="Arial"/>
          <w:sz w:val="24"/>
          <w:szCs w:val="24"/>
        </w:rPr>
        <w:t xml:space="preserve">a </w:t>
      </w:r>
      <w:r w:rsidR="00FE0662">
        <w:rPr>
          <w:rFonts w:ascii="Arial" w:hAnsi="Arial" w:cs="Arial"/>
          <w:sz w:val="24"/>
          <w:szCs w:val="24"/>
        </w:rPr>
        <w:t xml:space="preserve">six-month period, meaning </w:t>
      </w:r>
      <w:r w:rsidR="00AC1DA2">
        <w:rPr>
          <w:rFonts w:ascii="Arial" w:hAnsi="Arial" w:cs="Arial"/>
          <w:sz w:val="24"/>
          <w:szCs w:val="24"/>
        </w:rPr>
        <w:t xml:space="preserve">claimants need to reapply frequently, which is </w:t>
      </w:r>
      <w:r w:rsidR="005102DC">
        <w:rPr>
          <w:rFonts w:ascii="Arial" w:hAnsi="Arial" w:cs="Arial"/>
          <w:sz w:val="24"/>
          <w:szCs w:val="24"/>
        </w:rPr>
        <w:t xml:space="preserve">onerous and unattractive to employers. </w:t>
      </w:r>
    </w:p>
    <w:p w14:paraId="44F2DC7A" w14:textId="5247105F" w:rsidR="00DD67F6" w:rsidRDefault="00DD67F6" w:rsidP="0084615A">
      <w:pPr>
        <w:jc w:val="both"/>
        <w:rPr>
          <w:rFonts w:ascii="Arial" w:hAnsi="Arial" w:cs="Arial"/>
          <w:sz w:val="24"/>
          <w:szCs w:val="24"/>
        </w:rPr>
      </w:pPr>
      <w:r w:rsidRPr="003D073B">
        <w:rPr>
          <w:rFonts w:ascii="Arial" w:hAnsi="Arial" w:cs="Arial"/>
          <w:sz w:val="24"/>
          <w:szCs w:val="24"/>
        </w:rPr>
        <w:t xml:space="preserve">The Government has stated that </w:t>
      </w:r>
      <w:r w:rsidR="008453B0" w:rsidRPr="003D073B">
        <w:rPr>
          <w:rFonts w:ascii="Arial" w:hAnsi="Arial" w:cs="Arial"/>
          <w:sz w:val="24"/>
          <w:szCs w:val="24"/>
        </w:rPr>
        <w:t>substantiated claims on persecution grounds will be referred to the UNHCR Hong Kong Sub-office for resettlement</w:t>
      </w:r>
      <w:r w:rsidR="00043F00" w:rsidRPr="003D073B">
        <w:rPr>
          <w:rFonts w:ascii="Arial" w:hAnsi="Arial" w:cs="Arial"/>
          <w:sz w:val="24"/>
          <w:szCs w:val="24"/>
        </w:rPr>
        <w:t>. The number</w:t>
      </w:r>
      <w:r w:rsidR="00B60FB1" w:rsidRPr="003D073B">
        <w:rPr>
          <w:rFonts w:ascii="Arial" w:hAnsi="Arial" w:cs="Arial"/>
          <w:sz w:val="24"/>
          <w:szCs w:val="24"/>
        </w:rPr>
        <w:t xml:space="preserve"> of </w:t>
      </w:r>
      <w:r w:rsidR="001F5E00">
        <w:rPr>
          <w:rFonts w:ascii="Arial" w:hAnsi="Arial" w:cs="Arial"/>
          <w:sz w:val="24"/>
          <w:szCs w:val="24"/>
        </w:rPr>
        <w:t xml:space="preserve">individuals </w:t>
      </w:r>
      <w:r w:rsidR="00B60FB1" w:rsidRPr="003D073B">
        <w:rPr>
          <w:rFonts w:ascii="Arial" w:hAnsi="Arial" w:cs="Arial"/>
          <w:sz w:val="24"/>
          <w:szCs w:val="24"/>
        </w:rPr>
        <w:t>successful</w:t>
      </w:r>
      <w:r w:rsidR="001F5E00">
        <w:rPr>
          <w:rFonts w:ascii="Arial" w:hAnsi="Arial" w:cs="Arial"/>
          <w:sz w:val="24"/>
          <w:szCs w:val="24"/>
        </w:rPr>
        <w:t>ly</w:t>
      </w:r>
      <w:r w:rsidR="00B60FB1" w:rsidRPr="003D073B">
        <w:rPr>
          <w:rFonts w:ascii="Arial" w:hAnsi="Arial" w:cs="Arial"/>
          <w:sz w:val="24"/>
          <w:szCs w:val="24"/>
        </w:rPr>
        <w:t xml:space="preserve"> resettle</w:t>
      </w:r>
      <w:r w:rsidR="001F5E00">
        <w:rPr>
          <w:rFonts w:ascii="Arial" w:hAnsi="Arial" w:cs="Arial"/>
          <w:sz w:val="24"/>
          <w:szCs w:val="24"/>
        </w:rPr>
        <w:t>d</w:t>
      </w:r>
      <w:r w:rsidR="00B60FB1" w:rsidRPr="003D073B">
        <w:rPr>
          <w:rFonts w:ascii="Arial" w:hAnsi="Arial" w:cs="Arial"/>
          <w:sz w:val="24"/>
          <w:szCs w:val="24"/>
        </w:rPr>
        <w:t xml:space="preserve"> remains low, however. As of November 2018, </w:t>
      </w:r>
      <w:r w:rsidR="00B60FB1" w:rsidRPr="003D073B">
        <w:rPr>
          <w:rFonts w:ascii="Arial" w:hAnsi="Arial" w:cs="Arial"/>
          <w:sz w:val="24"/>
          <w:szCs w:val="24"/>
        </w:rPr>
        <w:lastRenderedPageBreak/>
        <w:t>107 individuals were referred to UNHCR Hong Kong and only 4 had been resettled in a third country</w:t>
      </w:r>
      <w:r w:rsidR="00C17515" w:rsidRPr="003D073B">
        <w:rPr>
          <w:rStyle w:val="FootnoteReference"/>
          <w:rFonts w:ascii="Arial" w:hAnsi="Arial" w:cs="Arial"/>
          <w:sz w:val="24"/>
          <w:szCs w:val="24"/>
        </w:rPr>
        <w:footnoteReference w:id="28"/>
      </w:r>
      <w:r w:rsidR="00B60FB1" w:rsidRPr="003D073B">
        <w:rPr>
          <w:rFonts w:ascii="Arial" w:hAnsi="Arial" w:cs="Arial"/>
          <w:sz w:val="24"/>
          <w:szCs w:val="24"/>
        </w:rPr>
        <w:t xml:space="preserve">. </w:t>
      </w:r>
      <w:r w:rsidR="00014E01" w:rsidRPr="003D073B">
        <w:rPr>
          <w:rFonts w:ascii="Arial" w:hAnsi="Arial" w:cs="Arial"/>
          <w:sz w:val="24"/>
          <w:szCs w:val="24"/>
        </w:rPr>
        <w:t xml:space="preserve">Claimants substantiated on other grounds of protection are not eligible for resettlement. </w:t>
      </w:r>
    </w:p>
    <w:p w14:paraId="266648CF" w14:textId="6D2DB668" w:rsidR="00AF44A1" w:rsidRPr="003D073B" w:rsidRDefault="002C4D6D" w:rsidP="00D76043">
      <w:pPr>
        <w:pStyle w:val="ListParagraph"/>
        <w:numPr>
          <w:ilvl w:val="0"/>
          <w:numId w:val="1"/>
        </w:numPr>
        <w:rPr>
          <w:rFonts w:ascii="Arial" w:hAnsi="Arial" w:cs="Arial"/>
          <w:b/>
          <w:bCs/>
          <w:sz w:val="24"/>
          <w:szCs w:val="24"/>
        </w:rPr>
      </w:pPr>
      <w:r w:rsidRPr="003D073B">
        <w:rPr>
          <w:rFonts w:ascii="Arial" w:hAnsi="Arial" w:cs="Arial"/>
          <w:b/>
          <w:bCs/>
          <w:sz w:val="24"/>
          <w:szCs w:val="24"/>
        </w:rPr>
        <w:t>Arbitrary detention</w:t>
      </w:r>
      <w:r w:rsidR="00E916A1" w:rsidRPr="003D073B">
        <w:rPr>
          <w:rFonts w:ascii="Arial" w:hAnsi="Arial" w:cs="Arial"/>
          <w:b/>
          <w:bCs/>
          <w:sz w:val="24"/>
          <w:szCs w:val="24"/>
        </w:rPr>
        <w:t xml:space="preserve"> in the immigration context</w:t>
      </w:r>
      <w:r w:rsidR="00D97201" w:rsidRPr="003D073B">
        <w:rPr>
          <w:rFonts w:ascii="Arial" w:hAnsi="Arial" w:cs="Arial"/>
          <w:b/>
          <w:bCs/>
          <w:sz w:val="24"/>
          <w:szCs w:val="24"/>
        </w:rPr>
        <w:t xml:space="preserve"> </w:t>
      </w:r>
      <w:r w:rsidRPr="003D073B">
        <w:rPr>
          <w:rFonts w:ascii="Arial" w:hAnsi="Arial" w:cs="Arial"/>
          <w:b/>
          <w:bCs/>
          <w:sz w:val="24"/>
          <w:szCs w:val="24"/>
        </w:rPr>
        <w:t xml:space="preserve">(Article </w:t>
      </w:r>
      <w:r w:rsidR="00BD1755">
        <w:rPr>
          <w:rFonts w:ascii="Arial" w:hAnsi="Arial" w:cs="Arial"/>
          <w:b/>
          <w:bCs/>
          <w:sz w:val="24"/>
          <w:szCs w:val="24"/>
        </w:rPr>
        <w:t xml:space="preserve">7, </w:t>
      </w:r>
      <w:r w:rsidRPr="003D073B">
        <w:rPr>
          <w:rFonts w:ascii="Arial" w:hAnsi="Arial" w:cs="Arial"/>
          <w:b/>
          <w:bCs/>
          <w:sz w:val="24"/>
          <w:szCs w:val="24"/>
        </w:rPr>
        <w:t>9)</w:t>
      </w:r>
    </w:p>
    <w:p w14:paraId="70EDBC4B" w14:textId="4B3F7F42" w:rsidR="00D96668" w:rsidRPr="003D073B" w:rsidRDefault="009939FC" w:rsidP="0070562A">
      <w:pPr>
        <w:jc w:val="both"/>
        <w:rPr>
          <w:rFonts w:ascii="Arial" w:hAnsi="Arial" w:cs="Arial"/>
          <w:sz w:val="24"/>
          <w:szCs w:val="24"/>
        </w:rPr>
      </w:pPr>
      <w:r w:rsidRPr="003D073B">
        <w:rPr>
          <w:rFonts w:ascii="Arial" w:hAnsi="Arial" w:cs="Arial"/>
          <w:sz w:val="24"/>
          <w:szCs w:val="24"/>
        </w:rPr>
        <w:t xml:space="preserve">Justice Centre is concerned </w:t>
      </w:r>
      <w:r w:rsidR="00CC7AA2" w:rsidRPr="003D073B">
        <w:rPr>
          <w:rFonts w:ascii="Arial" w:hAnsi="Arial" w:cs="Arial"/>
          <w:sz w:val="24"/>
          <w:szCs w:val="24"/>
        </w:rPr>
        <w:t xml:space="preserve">about </w:t>
      </w:r>
      <w:r w:rsidR="009A0019" w:rsidRPr="003D073B">
        <w:rPr>
          <w:rFonts w:ascii="Arial" w:hAnsi="Arial" w:cs="Arial"/>
          <w:sz w:val="24"/>
          <w:szCs w:val="24"/>
        </w:rPr>
        <w:t>the detention of protection claimants at immigration detention centres and other statutory designated places of detention, including prisons</w:t>
      </w:r>
      <w:r w:rsidR="004B1ABB" w:rsidRPr="003D073B">
        <w:rPr>
          <w:rStyle w:val="FootnoteReference"/>
          <w:rFonts w:ascii="Arial" w:hAnsi="Arial" w:cs="Arial"/>
          <w:sz w:val="24"/>
          <w:szCs w:val="24"/>
        </w:rPr>
        <w:footnoteReference w:id="29"/>
      </w:r>
      <w:r w:rsidR="009A0019" w:rsidRPr="003D073B">
        <w:rPr>
          <w:rFonts w:ascii="Arial" w:hAnsi="Arial" w:cs="Arial"/>
          <w:sz w:val="24"/>
          <w:szCs w:val="24"/>
        </w:rPr>
        <w:t>.</w:t>
      </w:r>
      <w:r w:rsidRPr="003D073B">
        <w:rPr>
          <w:rFonts w:ascii="Arial" w:hAnsi="Arial" w:cs="Arial"/>
          <w:sz w:val="24"/>
          <w:szCs w:val="24"/>
        </w:rPr>
        <w:t xml:space="preserve"> </w:t>
      </w:r>
      <w:r w:rsidR="008F468C" w:rsidRPr="003D073B">
        <w:rPr>
          <w:rFonts w:ascii="Arial" w:hAnsi="Arial" w:cs="Arial"/>
          <w:sz w:val="24"/>
          <w:szCs w:val="24"/>
        </w:rPr>
        <w:t>Our concerns include</w:t>
      </w:r>
      <w:r w:rsidR="0016586E" w:rsidRPr="003D073B">
        <w:rPr>
          <w:rFonts w:ascii="Arial" w:hAnsi="Arial" w:cs="Arial"/>
          <w:sz w:val="24"/>
          <w:szCs w:val="24"/>
        </w:rPr>
        <w:t xml:space="preserve"> </w:t>
      </w:r>
      <w:r w:rsidR="001F5E00">
        <w:rPr>
          <w:rFonts w:ascii="Arial" w:hAnsi="Arial" w:cs="Arial"/>
          <w:sz w:val="24"/>
          <w:szCs w:val="24"/>
        </w:rPr>
        <w:t xml:space="preserve">an </w:t>
      </w:r>
      <w:r w:rsidR="0016586E" w:rsidRPr="003D073B">
        <w:rPr>
          <w:rFonts w:ascii="Arial" w:hAnsi="Arial" w:cs="Arial"/>
          <w:sz w:val="24"/>
          <w:szCs w:val="24"/>
        </w:rPr>
        <w:t>overall lack of transparency,</w:t>
      </w:r>
      <w:r w:rsidR="008F468C" w:rsidRPr="003D073B">
        <w:rPr>
          <w:rFonts w:ascii="Arial" w:hAnsi="Arial" w:cs="Arial"/>
          <w:sz w:val="24"/>
          <w:szCs w:val="24"/>
        </w:rPr>
        <w:t xml:space="preserve"> </w:t>
      </w:r>
      <w:r w:rsidR="00D96668" w:rsidRPr="003D073B">
        <w:rPr>
          <w:rFonts w:ascii="Arial" w:hAnsi="Arial" w:cs="Arial"/>
          <w:sz w:val="24"/>
          <w:szCs w:val="24"/>
        </w:rPr>
        <w:t xml:space="preserve">wide statutory powers to </w:t>
      </w:r>
      <w:r w:rsidR="00401E79" w:rsidRPr="003D073B">
        <w:rPr>
          <w:rFonts w:ascii="Arial" w:hAnsi="Arial" w:cs="Arial"/>
          <w:sz w:val="24"/>
          <w:szCs w:val="24"/>
        </w:rPr>
        <w:t xml:space="preserve">detain people for immigration control, </w:t>
      </w:r>
      <w:r w:rsidR="001F5E00">
        <w:rPr>
          <w:rFonts w:ascii="Arial" w:hAnsi="Arial" w:cs="Arial"/>
          <w:sz w:val="24"/>
          <w:szCs w:val="24"/>
        </w:rPr>
        <w:t xml:space="preserve">a </w:t>
      </w:r>
      <w:r w:rsidR="0016586E" w:rsidRPr="003D073B">
        <w:rPr>
          <w:rFonts w:ascii="Arial" w:hAnsi="Arial" w:cs="Arial"/>
          <w:sz w:val="24"/>
          <w:szCs w:val="24"/>
        </w:rPr>
        <w:t xml:space="preserve">lack of </w:t>
      </w:r>
      <w:r w:rsidR="001F5E00">
        <w:rPr>
          <w:rFonts w:ascii="Arial" w:hAnsi="Arial" w:cs="Arial"/>
          <w:sz w:val="24"/>
          <w:szCs w:val="24"/>
        </w:rPr>
        <w:t xml:space="preserve">adequate </w:t>
      </w:r>
      <w:r w:rsidR="0016586E" w:rsidRPr="003D073B">
        <w:rPr>
          <w:rFonts w:ascii="Arial" w:hAnsi="Arial" w:cs="Arial"/>
          <w:sz w:val="24"/>
          <w:szCs w:val="24"/>
        </w:rPr>
        <w:t>procedural safeguards</w:t>
      </w:r>
      <w:r w:rsidR="005B2CF1" w:rsidRPr="003D073B">
        <w:rPr>
          <w:rFonts w:ascii="Arial" w:hAnsi="Arial" w:cs="Arial"/>
          <w:sz w:val="24"/>
          <w:szCs w:val="24"/>
        </w:rPr>
        <w:t>, and substandard conditions of detention.</w:t>
      </w:r>
    </w:p>
    <w:p w14:paraId="6DD34D22" w14:textId="48C34A1E" w:rsidR="004E7276" w:rsidRPr="003D073B" w:rsidRDefault="004E7276" w:rsidP="00F24D0A">
      <w:pPr>
        <w:pStyle w:val="NormalWeb"/>
        <w:spacing w:before="0" w:beforeAutospacing="0" w:after="160" w:afterAutospacing="0"/>
        <w:jc w:val="both"/>
        <w:rPr>
          <w:rFonts w:ascii="Arial" w:hAnsi="Arial" w:cs="Arial"/>
          <w:color w:val="000000"/>
        </w:rPr>
      </w:pPr>
      <w:r w:rsidRPr="003D073B">
        <w:rPr>
          <w:rFonts w:ascii="Arial" w:hAnsi="Arial" w:cs="Arial"/>
          <w:color w:val="000000"/>
        </w:rPr>
        <w:t>We echo the Human Rights Committee’s observations in General Comment 35</w:t>
      </w:r>
      <w:r w:rsidR="0071379F" w:rsidRPr="003D073B">
        <w:rPr>
          <w:rFonts w:ascii="Arial" w:hAnsi="Arial" w:cs="Arial"/>
          <w:color w:val="000000"/>
        </w:rPr>
        <w:t xml:space="preserve">, that immigration detention must be justified as reasonable, necessary and proportionate in </w:t>
      </w:r>
      <w:r w:rsidR="00035160" w:rsidRPr="003D073B">
        <w:rPr>
          <w:rFonts w:ascii="Arial" w:hAnsi="Arial" w:cs="Arial"/>
          <w:color w:val="000000"/>
        </w:rPr>
        <w:t xml:space="preserve">light of the circumstances and reassessed as it extends in time. </w:t>
      </w:r>
      <w:r w:rsidR="008B7899" w:rsidRPr="003D073B">
        <w:rPr>
          <w:rFonts w:ascii="Arial" w:hAnsi="Arial" w:cs="Arial"/>
          <w:color w:val="000000"/>
        </w:rPr>
        <w:t xml:space="preserve">The </w:t>
      </w:r>
      <w:r w:rsidR="00035160" w:rsidRPr="003D073B">
        <w:rPr>
          <w:rFonts w:ascii="Arial" w:hAnsi="Arial" w:cs="Arial"/>
          <w:color w:val="000000"/>
        </w:rPr>
        <w:t xml:space="preserve">detention of asylum seekers while their claims are being resolved would be </w:t>
      </w:r>
      <w:r w:rsidR="001D44E6" w:rsidRPr="003D073B">
        <w:rPr>
          <w:rFonts w:ascii="Arial" w:hAnsi="Arial" w:cs="Arial"/>
          <w:color w:val="000000"/>
        </w:rPr>
        <w:t>arbitrary</w:t>
      </w:r>
      <w:r w:rsidR="00EB3435" w:rsidRPr="003D073B">
        <w:rPr>
          <w:rFonts w:ascii="Arial" w:hAnsi="Arial" w:cs="Arial"/>
          <w:color w:val="000000"/>
        </w:rPr>
        <w:t xml:space="preserve"> in the absence of specific grounds</w:t>
      </w:r>
      <w:r w:rsidR="008B7899" w:rsidRPr="003D073B">
        <w:rPr>
          <w:rFonts w:ascii="Arial" w:hAnsi="Arial" w:cs="Arial"/>
          <w:color w:val="000000"/>
        </w:rPr>
        <w:t>. In particular, the indefinite detention of individual</w:t>
      </w:r>
      <w:r w:rsidR="00D36D11" w:rsidRPr="003D073B">
        <w:rPr>
          <w:rFonts w:ascii="Arial" w:hAnsi="Arial" w:cs="Arial"/>
          <w:color w:val="000000"/>
        </w:rPr>
        <w:t>s</w:t>
      </w:r>
      <w:r w:rsidR="008B7899" w:rsidRPr="003D073B">
        <w:rPr>
          <w:rFonts w:ascii="Arial" w:hAnsi="Arial" w:cs="Arial"/>
          <w:color w:val="000000"/>
        </w:rPr>
        <w:t xml:space="preserve"> because of the State’s inability to </w:t>
      </w:r>
      <w:r w:rsidR="001F5E00">
        <w:rPr>
          <w:rFonts w:ascii="Arial" w:hAnsi="Arial" w:cs="Arial"/>
          <w:color w:val="000000"/>
        </w:rPr>
        <w:t xml:space="preserve">return </w:t>
      </w:r>
      <w:r w:rsidR="008B7899" w:rsidRPr="003D073B">
        <w:rPr>
          <w:rFonts w:ascii="Arial" w:hAnsi="Arial" w:cs="Arial"/>
          <w:color w:val="000000"/>
        </w:rPr>
        <w:t xml:space="preserve">them due to statelessness or other </w:t>
      </w:r>
      <w:r w:rsidR="001F5E00">
        <w:rPr>
          <w:rFonts w:ascii="Arial" w:hAnsi="Arial" w:cs="Arial"/>
          <w:color w:val="000000"/>
        </w:rPr>
        <w:t xml:space="preserve">external </w:t>
      </w:r>
      <w:r w:rsidR="00D36D11" w:rsidRPr="003D073B">
        <w:rPr>
          <w:rFonts w:ascii="Arial" w:hAnsi="Arial" w:cs="Arial"/>
          <w:color w:val="000000"/>
        </w:rPr>
        <w:t>obstacles</w:t>
      </w:r>
      <w:r w:rsidR="001F5E00">
        <w:rPr>
          <w:rFonts w:ascii="Arial" w:hAnsi="Arial" w:cs="Arial"/>
          <w:color w:val="000000"/>
        </w:rPr>
        <w:t xml:space="preserve"> outside of their control</w:t>
      </w:r>
      <w:r w:rsidR="008B7899" w:rsidRPr="003D073B">
        <w:rPr>
          <w:rFonts w:ascii="Arial" w:hAnsi="Arial" w:cs="Arial"/>
          <w:color w:val="000000"/>
        </w:rPr>
        <w:t xml:space="preserve"> </w:t>
      </w:r>
      <w:r w:rsidR="005D61DA" w:rsidRPr="003D073B">
        <w:rPr>
          <w:rFonts w:ascii="Arial" w:hAnsi="Arial" w:cs="Arial"/>
          <w:color w:val="000000"/>
        </w:rPr>
        <w:t>is unjustifiable</w:t>
      </w:r>
      <w:r w:rsidR="00AC5770" w:rsidRPr="003D073B">
        <w:rPr>
          <w:rStyle w:val="FootnoteReference"/>
          <w:rFonts w:ascii="Arial" w:hAnsi="Arial" w:cs="Arial"/>
          <w:color w:val="000000"/>
        </w:rPr>
        <w:footnoteReference w:id="30"/>
      </w:r>
      <w:r w:rsidRPr="003D073B">
        <w:rPr>
          <w:rFonts w:ascii="Arial" w:hAnsi="Arial" w:cs="Arial"/>
          <w:color w:val="000000"/>
        </w:rPr>
        <w:t>.</w:t>
      </w:r>
    </w:p>
    <w:p w14:paraId="12FB7BFB" w14:textId="19565900" w:rsidR="000278D9" w:rsidRPr="003D073B" w:rsidRDefault="000278D9" w:rsidP="00573684">
      <w:pPr>
        <w:pStyle w:val="ListParagraph"/>
        <w:numPr>
          <w:ilvl w:val="1"/>
          <w:numId w:val="1"/>
        </w:numPr>
        <w:rPr>
          <w:rFonts w:ascii="Arial" w:hAnsi="Arial" w:cs="Arial"/>
          <w:b/>
          <w:bCs/>
          <w:sz w:val="24"/>
          <w:szCs w:val="24"/>
        </w:rPr>
      </w:pPr>
      <w:r w:rsidRPr="003D073B">
        <w:rPr>
          <w:rFonts w:ascii="Arial" w:hAnsi="Arial" w:cs="Arial"/>
          <w:b/>
          <w:bCs/>
          <w:sz w:val="24"/>
          <w:szCs w:val="24"/>
        </w:rPr>
        <w:t xml:space="preserve">Lack of transparency </w:t>
      </w:r>
    </w:p>
    <w:p w14:paraId="195D0388" w14:textId="19CBEA4A" w:rsidR="0078182C" w:rsidRPr="003D073B" w:rsidRDefault="00F26571" w:rsidP="00693BAC">
      <w:pPr>
        <w:rPr>
          <w:rFonts w:ascii="Arial" w:hAnsi="Arial" w:cs="Arial"/>
          <w:sz w:val="24"/>
          <w:szCs w:val="24"/>
        </w:rPr>
      </w:pPr>
      <w:r w:rsidRPr="003D073B">
        <w:rPr>
          <w:rFonts w:ascii="Arial" w:hAnsi="Arial" w:cs="Arial"/>
          <w:sz w:val="24"/>
          <w:szCs w:val="24"/>
        </w:rPr>
        <w:lastRenderedPageBreak/>
        <w:t>The Immigration Department</w:t>
      </w:r>
      <w:r w:rsidR="000402D1" w:rsidRPr="003D073B">
        <w:rPr>
          <w:rFonts w:ascii="Arial" w:hAnsi="Arial" w:cs="Arial"/>
          <w:sz w:val="24"/>
          <w:szCs w:val="24"/>
        </w:rPr>
        <w:t xml:space="preserve"> </w:t>
      </w:r>
      <w:r w:rsidRPr="003D073B">
        <w:rPr>
          <w:rFonts w:ascii="Arial" w:hAnsi="Arial" w:cs="Arial"/>
          <w:sz w:val="24"/>
          <w:szCs w:val="24"/>
        </w:rPr>
        <w:t>detains over 10,000 people every year</w:t>
      </w:r>
      <w:r w:rsidR="00D16740" w:rsidRPr="003D073B">
        <w:rPr>
          <w:rStyle w:val="FootnoteReference"/>
          <w:rFonts w:ascii="Arial" w:hAnsi="Arial" w:cs="Arial"/>
          <w:sz w:val="24"/>
          <w:szCs w:val="24"/>
        </w:rPr>
        <w:footnoteReference w:id="31"/>
      </w:r>
      <w:r w:rsidR="000740DD" w:rsidRPr="003D073B">
        <w:rPr>
          <w:rFonts w:ascii="Arial" w:hAnsi="Arial" w:cs="Arial"/>
          <w:sz w:val="24"/>
          <w:szCs w:val="24"/>
        </w:rPr>
        <w:t xml:space="preserve">, but </w:t>
      </w:r>
      <w:r w:rsidR="0002428C" w:rsidRPr="003D073B">
        <w:rPr>
          <w:rFonts w:ascii="Arial" w:hAnsi="Arial" w:cs="Arial"/>
          <w:sz w:val="24"/>
          <w:szCs w:val="24"/>
        </w:rPr>
        <w:t xml:space="preserve">advises Justice Centre that it </w:t>
      </w:r>
      <w:r w:rsidR="000740DD" w:rsidRPr="003D073B">
        <w:rPr>
          <w:rFonts w:ascii="Arial" w:hAnsi="Arial" w:cs="Arial"/>
          <w:sz w:val="24"/>
          <w:szCs w:val="24"/>
        </w:rPr>
        <w:t xml:space="preserve">does not maintain statistics on the number of </w:t>
      </w:r>
      <w:r w:rsidR="0002428C" w:rsidRPr="003D073B">
        <w:rPr>
          <w:rFonts w:ascii="Arial" w:hAnsi="Arial" w:cs="Arial"/>
          <w:sz w:val="24"/>
          <w:szCs w:val="24"/>
        </w:rPr>
        <w:t xml:space="preserve">non-refoulement </w:t>
      </w:r>
      <w:r w:rsidR="00112C8E" w:rsidRPr="003D073B">
        <w:rPr>
          <w:rFonts w:ascii="Arial" w:hAnsi="Arial" w:cs="Arial"/>
          <w:sz w:val="24"/>
          <w:szCs w:val="24"/>
        </w:rPr>
        <w:t>claimants</w:t>
      </w:r>
      <w:r w:rsidR="000740DD" w:rsidRPr="003D073B">
        <w:rPr>
          <w:rFonts w:ascii="Arial" w:hAnsi="Arial" w:cs="Arial"/>
          <w:sz w:val="24"/>
          <w:szCs w:val="24"/>
        </w:rPr>
        <w:t xml:space="preserve"> who are under immigration detention</w:t>
      </w:r>
      <w:r w:rsidR="000740DD" w:rsidRPr="003D073B">
        <w:rPr>
          <w:rStyle w:val="FootnoteReference"/>
          <w:rFonts w:ascii="Arial" w:hAnsi="Arial" w:cs="Arial"/>
          <w:sz w:val="24"/>
          <w:szCs w:val="24"/>
        </w:rPr>
        <w:footnoteReference w:id="32"/>
      </w:r>
      <w:r w:rsidR="000740DD" w:rsidRPr="003D073B">
        <w:rPr>
          <w:rFonts w:ascii="Arial" w:hAnsi="Arial" w:cs="Arial"/>
          <w:sz w:val="24"/>
          <w:szCs w:val="24"/>
        </w:rPr>
        <w:t>.</w:t>
      </w:r>
      <w:r w:rsidR="00BD780B" w:rsidRPr="003D073B">
        <w:rPr>
          <w:rFonts w:ascii="Arial" w:hAnsi="Arial" w:cs="Arial"/>
          <w:sz w:val="24"/>
          <w:szCs w:val="24"/>
        </w:rPr>
        <w:t xml:space="preserve"> In a paper submitted to the Legislative Council, however, the Government stated that as of </w:t>
      </w:r>
      <w:r w:rsidR="005F1148" w:rsidRPr="003D073B">
        <w:rPr>
          <w:rFonts w:ascii="Arial" w:hAnsi="Arial" w:cs="Arial"/>
          <w:sz w:val="24"/>
          <w:szCs w:val="24"/>
        </w:rPr>
        <w:t>November 2018, 60 non-refoulement claimants pending final termination of their claims were detained under immigration powers</w:t>
      </w:r>
      <w:r w:rsidR="005F1148" w:rsidRPr="003D073B">
        <w:rPr>
          <w:rStyle w:val="FootnoteReference"/>
          <w:rFonts w:ascii="Arial" w:hAnsi="Arial" w:cs="Arial"/>
          <w:sz w:val="24"/>
          <w:szCs w:val="24"/>
        </w:rPr>
        <w:footnoteReference w:id="33"/>
      </w:r>
      <w:r w:rsidR="005F1148" w:rsidRPr="003D073B">
        <w:rPr>
          <w:rFonts w:ascii="Arial" w:hAnsi="Arial" w:cs="Arial"/>
          <w:sz w:val="24"/>
          <w:szCs w:val="24"/>
        </w:rPr>
        <w:t xml:space="preserve">. </w:t>
      </w:r>
    </w:p>
    <w:tbl>
      <w:tblPr>
        <w:tblStyle w:val="TableGrid"/>
        <w:tblW w:w="0" w:type="auto"/>
        <w:tblInd w:w="-5" w:type="dxa"/>
        <w:tblLook w:val="04A0" w:firstRow="1" w:lastRow="0" w:firstColumn="1" w:lastColumn="0" w:noHBand="0" w:noVBand="1"/>
      </w:tblPr>
      <w:tblGrid>
        <w:gridCol w:w="2127"/>
        <w:gridCol w:w="1881"/>
        <w:gridCol w:w="1671"/>
        <w:gridCol w:w="1671"/>
        <w:gridCol w:w="1671"/>
      </w:tblGrid>
      <w:tr w:rsidR="00E33FBB" w:rsidRPr="003D073B" w14:paraId="67F1BFC5" w14:textId="77777777" w:rsidTr="00CC2A00">
        <w:tc>
          <w:tcPr>
            <w:tcW w:w="2127" w:type="dxa"/>
          </w:tcPr>
          <w:p w14:paraId="0DC50C20" w14:textId="7D06793F" w:rsidR="00E33FBB" w:rsidRPr="003D073B" w:rsidRDefault="00E33FBB" w:rsidP="00903ADF">
            <w:pPr>
              <w:pStyle w:val="ListParagraph"/>
              <w:ind w:left="0"/>
              <w:rPr>
                <w:rFonts w:ascii="Arial" w:hAnsi="Arial" w:cs="Arial"/>
                <w:b/>
                <w:bCs/>
                <w:sz w:val="24"/>
                <w:szCs w:val="24"/>
              </w:rPr>
            </w:pPr>
            <w:r w:rsidRPr="003D073B">
              <w:rPr>
                <w:rFonts w:ascii="Arial" w:hAnsi="Arial" w:cs="Arial"/>
                <w:b/>
                <w:bCs/>
                <w:sz w:val="24"/>
                <w:szCs w:val="24"/>
              </w:rPr>
              <w:t>Year</w:t>
            </w:r>
          </w:p>
        </w:tc>
        <w:tc>
          <w:tcPr>
            <w:tcW w:w="1881" w:type="dxa"/>
          </w:tcPr>
          <w:p w14:paraId="211F4118" w14:textId="18AF07A5" w:rsidR="00E33FBB" w:rsidRPr="003D073B" w:rsidRDefault="00E33FBB" w:rsidP="00903ADF">
            <w:pPr>
              <w:pStyle w:val="ListParagraph"/>
              <w:ind w:left="0"/>
              <w:rPr>
                <w:rFonts w:ascii="Arial" w:hAnsi="Arial" w:cs="Arial"/>
                <w:b/>
                <w:bCs/>
                <w:sz w:val="24"/>
                <w:szCs w:val="24"/>
              </w:rPr>
            </w:pPr>
            <w:r w:rsidRPr="003D073B">
              <w:rPr>
                <w:rFonts w:ascii="Arial" w:hAnsi="Arial" w:cs="Arial"/>
                <w:b/>
                <w:bCs/>
                <w:sz w:val="24"/>
                <w:szCs w:val="24"/>
              </w:rPr>
              <w:t>2015</w:t>
            </w:r>
          </w:p>
        </w:tc>
        <w:tc>
          <w:tcPr>
            <w:tcW w:w="1671" w:type="dxa"/>
          </w:tcPr>
          <w:p w14:paraId="4710F748" w14:textId="77777777" w:rsidR="00E33FBB" w:rsidRPr="003D073B" w:rsidRDefault="00E33FBB" w:rsidP="00903ADF">
            <w:pPr>
              <w:pStyle w:val="ListParagraph"/>
              <w:ind w:left="0"/>
              <w:rPr>
                <w:rFonts w:ascii="Arial" w:hAnsi="Arial" w:cs="Arial"/>
                <w:b/>
                <w:bCs/>
                <w:sz w:val="24"/>
                <w:szCs w:val="24"/>
              </w:rPr>
            </w:pPr>
            <w:r w:rsidRPr="003D073B">
              <w:rPr>
                <w:rFonts w:ascii="Arial" w:hAnsi="Arial" w:cs="Arial"/>
                <w:b/>
                <w:bCs/>
                <w:sz w:val="24"/>
                <w:szCs w:val="24"/>
              </w:rPr>
              <w:t>2016</w:t>
            </w:r>
          </w:p>
        </w:tc>
        <w:tc>
          <w:tcPr>
            <w:tcW w:w="1671" w:type="dxa"/>
          </w:tcPr>
          <w:p w14:paraId="70EB5C85" w14:textId="77777777" w:rsidR="00E33FBB" w:rsidRPr="003D073B" w:rsidRDefault="00E33FBB" w:rsidP="00903ADF">
            <w:pPr>
              <w:pStyle w:val="ListParagraph"/>
              <w:ind w:left="0"/>
              <w:rPr>
                <w:rFonts w:ascii="Arial" w:hAnsi="Arial" w:cs="Arial"/>
                <w:b/>
                <w:bCs/>
                <w:sz w:val="24"/>
                <w:szCs w:val="24"/>
              </w:rPr>
            </w:pPr>
            <w:r w:rsidRPr="003D073B">
              <w:rPr>
                <w:rFonts w:ascii="Arial" w:hAnsi="Arial" w:cs="Arial"/>
                <w:b/>
                <w:bCs/>
                <w:sz w:val="24"/>
                <w:szCs w:val="24"/>
              </w:rPr>
              <w:t>2017</w:t>
            </w:r>
          </w:p>
        </w:tc>
        <w:tc>
          <w:tcPr>
            <w:tcW w:w="1671" w:type="dxa"/>
          </w:tcPr>
          <w:p w14:paraId="10495294" w14:textId="77777777" w:rsidR="00E33FBB" w:rsidRPr="003D073B" w:rsidRDefault="00E33FBB" w:rsidP="00903ADF">
            <w:pPr>
              <w:pStyle w:val="ListParagraph"/>
              <w:ind w:left="0"/>
              <w:rPr>
                <w:rFonts w:ascii="Arial" w:hAnsi="Arial" w:cs="Arial"/>
                <w:b/>
                <w:bCs/>
                <w:sz w:val="24"/>
                <w:szCs w:val="24"/>
              </w:rPr>
            </w:pPr>
            <w:r w:rsidRPr="003D073B">
              <w:rPr>
                <w:rFonts w:ascii="Arial" w:hAnsi="Arial" w:cs="Arial"/>
                <w:b/>
                <w:bCs/>
                <w:sz w:val="24"/>
                <w:szCs w:val="24"/>
              </w:rPr>
              <w:t>2018</w:t>
            </w:r>
          </w:p>
        </w:tc>
      </w:tr>
      <w:tr w:rsidR="00E33FBB" w:rsidRPr="003D073B" w14:paraId="3170A1C5" w14:textId="77777777" w:rsidTr="00861149">
        <w:tc>
          <w:tcPr>
            <w:tcW w:w="2127" w:type="dxa"/>
          </w:tcPr>
          <w:p w14:paraId="38336D1A" w14:textId="06785B70" w:rsidR="00E33FBB" w:rsidRPr="003D073B" w:rsidRDefault="00E33FBB" w:rsidP="00903ADF">
            <w:pPr>
              <w:rPr>
                <w:rFonts w:ascii="Arial" w:hAnsi="Arial" w:cs="Arial"/>
                <w:sz w:val="24"/>
                <w:szCs w:val="24"/>
              </w:rPr>
            </w:pPr>
            <w:r w:rsidRPr="003D073B">
              <w:rPr>
                <w:rFonts w:ascii="Arial" w:hAnsi="Arial" w:cs="Arial"/>
                <w:sz w:val="24"/>
                <w:szCs w:val="24"/>
              </w:rPr>
              <w:t xml:space="preserve">No. of people detained </w:t>
            </w:r>
          </w:p>
        </w:tc>
        <w:tc>
          <w:tcPr>
            <w:tcW w:w="1881" w:type="dxa"/>
            <w:vAlign w:val="center"/>
          </w:tcPr>
          <w:p w14:paraId="4056D7C3" w14:textId="6936355A" w:rsidR="00E33FBB" w:rsidRPr="003D073B" w:rsidRDefault="00E33FBB" w:rsidP="00903ADF">
            <w:pPr>
              <w:rPr>
                <w:rFonts w:ascii="Arial" w:hAnsi="Arial" w:cs="Arial"/>
                <w:sz w:val="24"/>
                <w:szCs w:val="24"/>
              </w:rPr>
            </w:pPr>
            <w:r w:rsidRPr="003D073B">
              <w:rPr>
                <w:rFonts w:ascii="Arial" w:hAnsi="Arial" w:cs="Arial"/>
                <w:sz w:val="24"/>
                <w:szCs w:val="24"/>
              </w:rPr>
              <w:t>10972</w:t>
            </w:r>
          </w:p>
        </w:tc>
        <w:tc>
          <w:tcPr>
            <w:tcW w:w="1671" w:type="dxa"/>
            <w:vAlign w:val="center"/>
          </w:tcPr>
          <w:p w14:paraId="5EA01C98" w14:textId="5FA9B14F" w:rsidR="00E33FBB" w:rsidRPr="003D073B" w:rsidRDefault="00E33FBB" w:rsidP="00903ADF">
            <w:pPr>
              <w:pStyle w:val="ListParagraph"/>
              <w:ind w:left="0"/>
              <w:rPr>
                <w:rFonts w:ascii="Arial" w:hAnsi="Arial" w:cs="Arial"/>
                <w:sz w:val="24"/>
                <w:szCs w:val="24"/>
              </w:rPr>
            </w:pPr>
            <w:r w:rsidRPr="003D073B">
              <w:rPr>
                <w:rFonts w:ascii="Arial" w:hAnsi="Arial" w:cs="Arial"/>
                <w:sz w:val="24"/>
                <w:szCs w:val="24"/>
              </w:rPr>
              <w:t>10749</w:t>
            </w:r>
          </w:p>
        </w:tc>
        <w:tc>
          <w:tcPr>
            <w:tcW w:w="1671" w:type="dxa"/>
            <w:vAlign w:val="center"/>
          </w:tcPr>
          <w:p w14:paraId="3F75DB5F" w14:textId="0C0407F5" w:rsidR="00E33FBB" w:rsidRPr="003D073B" w:rsidRDefault="00E33FBB" w:rsidP="00903ADF">
            <w:pPr>
              <w:pStyle w:val="ListParagraph"/>
              <w:ind w:left="0"/>
              <w:rPr>
                <w:rFonts w:ascii="Arial" w:hAnsi="Arial" w:cs="Arial"/>
                <w:sz w:val="24"/>
                <w:szCs w:val="24"/>
              </w:rPr>
            </w:pPr>
            <w:r w:rsidRPr="003D073B">
              <w:rPr>
                <w:rFonts w:ascii="Arial" w:hAnsi="Arial" w:cs="Arial"/>
                <w:sz w:val="24"/>
                <w:szCs w:val="24"/>
              </w:rPr>
              <w:t>10948</w:t>
            </w:r>
          </w:p>
        </w:tc>
        <w:tc>
          <w:tcPr>
            <w:tcW w:w="1671" w:type="dxa"/>
            <w:vAlign w:val="center"/>
          </w:tcPr>
          <w:p w14:paraId="276D916C" w14:textId="11B1F6D5" w:rsidR="00E33FBB" w:rsidRPr="003D073B" w:rsidRDefault="00E33FBB" w:rsidP="00903ADF">
            <w:pPr>
              <w:pStyle w:val="ListParagraph"/>
              <w:ind w:left="0"/>
              <w:rPr>
                <w:rFonts w:ascii="Arial" w:hAnsi="Arial" w:cs="Arial"/>
                <w:sz w:val="24"/>
                <w:szCs w:val="24"/>
              </w:rPr>
            </w:pPr>
            <w:r w:rsidRPr="003D073B">
              <w:rPr>
                <w:rFonts w:ascii="Arial" w:hAnsi="Arial" w:cs="Arial"/>
                <w:sz w:val="24"/>
                <w:szCs w:val="24"/>
              </w:rPr>
              <w:t>11510</w:t>
            </w:r>
          </w:p>
        </w:tc>
      </w:tr>
    </w:tbl>
    <w:p w14:paraId="318EAD18" w14:textId="1672B176" w:rsidR="0078182C" w:rsidRPr="003D073B" w:rsidRDefault="00A21454" w:rsidP="00DD38B5">
      <w:pPr>
        <w:rPr>
          <w:rFonts w:ascii="Arial" w:hAnsi="Arial" w:cs="Arial"/>
          <w:sz w:val="24"/>
          <w:szCs w:val="24"/>
        </w:rPr>
      </w:pPr>
      <w:r w:rsidRPr="003D073B">
        <w:rPr>
          <w:rFonts w:ascii="Arial" w:hAnsi="Arial" w:cs="Arial"/>
          <w:sz w:val="24"/>
          <w:szCs w:val="24"/>
        </w:rPr>
        <w:t>Table</w:t>
      </w:r>
      <w:r w:rsidR="001E38EF" w:rsidRPr="003D073B">
        <w:rPr>
          <w:rFonts w:ascii="Arial" w:hAnsi="Arial" w:cs="Arial"/>
          <w:sz w:val="24"/>
          <w:szCs w:val="24"/>
        </w:rPr>
        <w:t xml:space="preserve"> </w:t>
      </w:r>
      <w:r w:rsidR="004353FC">
        <w:rPr>
          <w:rFonts w:ascii="Arial" w:hAnsi="Arial" w:cs="Arial"/>
          <w:sz w:val="24"/>
          <w:szCs w:val="24"/>
        </w:rPr>
        <w:t>3</w:t>
      </w:r>
      <w:r w:rsidR="001E38EF" w:rsidRPr="003D073B">
        <w:rPr>
          <w:rFonts w:ascii="Arial" w:hAnsi="Arial" w:cs="Arial"/>
          <w:sz w:val="24"/>
          <w:szCs w:val="24"/>
        </w:rPr>
        <w:t>: The</w:t>
      </w:r>
      <w:r w:rsidR="000E4798" w:rsidRPr="003D073B">
        <w:rPr>
          <w:rFonts w:ascii="Arial" w:hAnsi="Arial" w:cs="Arial"/>
          <w:sz w:val="24"/>
          <w:szCs w:val="24"/>
        </w:rPr>
        <w:t xml:space="preserve"> number of </w:t>
      </w:r>
      <w:r w:rsidR="00F41B14" w:rsidRPr="003D073B">
        <w:rPr>
          <w:rFonts w:ascii="Arial" w:hAnsi="Arial" w:cs="Arial"/>
          <w:sz w:val="24"/>
          <w:szCs w:val="24"/>
        </w:rPr>
        <w:t xml:space="preserve">people detained by the Immigration Department </w:t>
      </w:r>
      <w:r w:rsidR="008D01DC" w:rsidRPr="003D073B">
        <w:rPr>
          <w:rFonts w:ascii="Arial" w:hAnsi="Arial" w:cs="Arial"/>
          <w:sz w:val="24"/>
          <w:szCs w:val="24"/>
        </w:rPr>
        <w:t>per year</w:t>
      </w:r>
    </w:p>
    <w:p w14:paraId="3E203778" w14:textId="310482AF" w:rsidR="002C4D6D" w:rsidRPr="003D073B" w:rsidRDefault="0024517B" w:rsidP="00FC6B87">
      <w:pPr>
        <w:jc w:val="both"/>
        <w:rPr>
          <w:rFonts w:ascii="Arial" w:hAnsi="Arial" w:cs="Arial"/>
          <w:sz w:val="24"/>
          <w:szCs w:val="24"/>
        </w:rPr>
      </w:pPr>
      <w:r w:rsidRPr="003D073B">
        <w:rPr>
          <w:rFonts w:ascii="Arial" w:hAnsi="Arial" w:cs="Arial"/>
          <w:sz w:val="24"/>
          <w:szCs w:val="24"/>
        </w:rPr>
        <w:t xml:space="preserve">Justice Centre estimates 30-40% of </w:t>
      </w:r>
      <w:r w:rsidR="00891C3B" w:rsidRPr="00D21D1C">
        <w:rPr>
          <w:rFonts w:ascii="Arial" w:hAnsi="Arial" w:cs="Arial"/>
          <w:sz w:val="24"/>
          <w:szCs w:val="24"/>
        </w:rPr>
        <w:t>our clients</w:t>
      </w:r>
      <w:r w:rsidRPr="00D21D1C">
        <w:rPr>
          <w:rFonts w:ascii="Arial" w:hAnsi="Arial" w:cs="Arial"/>
          <w:sz w:val="24"/>
          <w:szCs w:val="24"/>
        </w:rPr>
        <w:t>, including children, have been detained at some point during their asylum claims.</w:t>
      </w:r>
      <w:r w:rsidR="004C0C48" w:rsidRPr="00D21D1C">
        <w:rPr>
          <w:sz w:val="24"/>
          <w:szCs w:val="24"/>
        </w:rPr>
        <w:t xml:space="preserve"> </w:t>
      </w:r>
      <w:r w:rsidR="00966CFC" w:rsidRPr="00D21D1C">
        <w:rPr>
          <w:sz w:val="24"/>
          <w:szCs w:val="24"/>
        </w:rPr>
        <w:t>A</w:t>
      </w:r>
      <w:r w:rsidR="004C0C48" w:rsidRPr="00D21D1C">
        <w:rPr>
          <w:rFonts w:ascii="Arial" w:hAnsi="Arial" w:cs="Arial"/>
          <w:sz w:val="24"/>
          <w:szCs w:val="24"/>
        </w:rPr>
        <w:t xml:space="preserve">mongst those who were detained, around 26% have been identified by </w:t>
      </w:r>
      <w:r w:rsidR="00966CFC" w:rsidRPr="00D21D1C">
        <w:rPr>
          <w:rFonts w:ascii="Arial" w:hAnsi="Arial" w:cs="Arial"/>
          <w:sz w:val="24"/>
          <w:szCs w:val="24"/>
        </w:rPr>
        <w:t>Justice Centre</w:t>
      </w:r>
      <w:r w:rsidR="004C0C48" w:rsidRPr="00D21D1C">
        <w:rPr>
          <w:rFonts w:ascii="Arial" w:hAnsi="Arial" w:cs="Arial"/>
          <w:sz w:val="24"/>
          <w:szCs w:val="24"/>
        </w:rPr>
        <w:t xml:space="preserve"> as survivors of torture and/or CIDTP and as such should not have been detained</w:t>
      </w:r>
      <w:r w:rsidR="00693BAC" w:rsidRPr="00D21D1C">
        <w:rPr>
          <w:rFonts w:ascii="Arial" w:hAnsi="Arial" w:cs="Arial"/>
          <w:sz w:val="24"/>
          <w:szCs w:val="24"/>
        </w:rPr>
        <w:t xml:space="preserve"> in the</w:t>
      </w:r>
      <w:r w:rsidR="00693BAC" w:rsidRPr="003D073B">
        <w:rPr>
          <w:rFonts w:ascii="Arial" w:hAnsi="Arial" w:cs="Arial"/>
          <w:sz w:val="24"/>
          <w:szCs w:val="24"/>
        </w:rPr>
        <w:t xml:space="preserve"> first place</w:t>
      </w:r>
      <w:r w:rsidR="00BE335B" w:rsidRPr="003D073B">
        <w:rPr>
          <w:rFonts w:ascii="Arial" w:hAnsi="Arial" w:cs="Arial"/>
          <w:sz w:val="24"/>
          <w:szCs w:val="24"/>
        </w:rPr>
        <w:t>.</w:t>
      </w:r>
    </w:p>
    <w:p w14:paraId="6F8D4315" w14:textId="76336582" w:rsidR="00573684" w:rsidRPr="003D073B" w:rsidRDefault="009D302B" w:rsidP="00573684">
      <w:pPr>
        <w:pStyle w:val="ListParagraph"/>
        <w:numPr>
          <w:ilvl w:val="1"/>
          <w:numId w:val="1"/>
        </w:numPr>
        <w:jc w:val="both"/>
        <w:rPr>
          <w:rFonts w:ascii="Arial" w:hAnsi="Arial" w:cs="Arial"/>
          <w:b/>
          <w:bCs/>
          <w:sz w:val="24"/>
          <w:szCs w:val="24"/>
        </w:rPr>
      </w:pPr>
      <w:r w:rsidRPr="003D073B">
        <w:rPr>
          <w:rFonts w:ascii="Arial" w:hAnsi="Arial" w:cs="Arial"/>
          <w:b/>
          <w:bCs/>
          <w:sz w:val="24"/>
          <w:szCs w:val="24"/>
        </w:rPr>
        <w:t xml:space="preserve">Lack of procedural safeguards </w:t>
      </w:r>
    </w:p>
    <w:p w14:paraId="6BA47CEE" w14:textId="51220B85" w:rsidR="007841C6" w:rsidRPr="003D073B" w:rsidRDefault="00710542" w:rsidP="00FC6B87">
      <w:pPr>
        <w:jc w:val="both"/>
        <w:rPr>
          <w:rFonts w:ascii="Arial" w:hAnsi="Arial" w:cs="Arial"/>
          <w:sz w:val="24"/>
          <w:szCs w:val="24"/>
        </w:rPr>
      </w:pPr>
      <w:r w:rsidRPr="003D073B">
        <w:rPr>
          <w:rFonts w:ascii="Arial" w:hAnsi="Arial" w:cs="Arial"/>
          <w:sz w:val="24"/>
          <w:szCs w:val="24"/>
        </w:rPr>
        <w:t xml:space="preserve">The </w:t>
      </w:r>
      <w:r w:rsidR="00220336" w:rsidRPr="003D073B">
        <w:rPr>
          <w:rFonts w:ascii="Arial" w:hAnsi="Arial" w:cs="Arial"/>
          <w:sz w:val="24"/>
          <w:szCs w:val="24"/>
        </w:rPr>
        <w:t xml:space="preserve">power to detain protection </w:t>
      </w:r>
      <w:r w:rsidR="00607F32" w:rsidRPr="003D073B">
        <w:rPr>
          <w:rFonts w:ascii="Arial" w:hAnsi="Arial" w:cs="Arial"/>
          <w:sz w:val="24"/>
          <w:szCs w:val="24"/>
        </w:rPr>
        <w:t>claimants under the Immigration Ordinance (Cap</w:t>
      </w:r>
      <w:r w:rsidR="00A112E8" w:rsidRPr="003D073B">
        <w:rPr>
          <w:rFonts w:ascii="Arial" w:hAnsi="Arial" w:cs="Arial"/>
          <w:sz w:val="24"/>
          <w:szCs w:val="24"/>
        </w:rPr>
        <w:t xml:space="preserve"> 115)</w:t>
      </w:r>
      <w:r w:rsidR="000E089B" w:rsidRPr="003D073B">
        <w:rPr>
          <w:rStyle w:val="FootnoteReference"/>
          <w:rFonts w:ascii="Arial" w:hAnsi="Arial" w:cs="Arial"/>
          <w:sz w:val="24"/>
          <w:szCs w:val="24"/>
        </w:rPr>
        <w:t xml:space="preserve"> </w:t>
      </w:r>
      <w:r w:rsidR="00441E01" w:rsidRPr="003D073B">
        <w:rPr>
          <w:rFonts w:ascii="Arial" w:hAnsi="Arial" w:cs="Arial"/>
          <w:sz w:val="24"/>
          <w:szCs w:val="24"/>
        </w:rPr>
        <w:t>is wide</w:t>
      </w:r>
      <w:r w:rsidR="000E089B" w:rsidRPr="003D073B">
        <w:rPr>
          <w:rFonts w:ascii="Arial" w:hAnsi="Arial" w:cs="Arial"/>
          <w:sz w:val="24"/>
          <w:szCs w:val="24"/>
        </w:rPr>
        <w:t xml:space="preserve">. </w:t>
      </w:r>
      <w:r w:rsidR="00441E01" w:rsidRPr="003D073B">
        <w:rPr>
          <w:rFonts w:ascii="Arial" w:hAnsi="Arial" w:cs="Arial"/>
          <w:sz w:val="24"/>
          <w:szCs w:val="24"/>
        </w:rPr>
        <w:t xml:space="preserve">Of </w:t>
      </w:r>
      <w:r w:rsidR="00161B05" w:rsidRPr="003D073B">
        <w:rPr>
          <w:rFonts w:ascii="Arial" w:hAnsi="Arial" w:cs="Arial"/>
          <w:sz w:val="24"/>
          <w:szCs w:val="24"/>
        </w:rPr>
        <w:t>particular concern</w:t>
      </w:r>
      <w:r w:rsidR="00441E01" w:rsidRPr="003D073B">
        <w:rPr>
          <w:rFonts w:ascii="Arial" w:hAnsi="Arial" w:cs="Arial"/>
          <w:sz w:val="24"/>
          <w:szCs w:val="24"/>
        </w:rPr>
        <w:t xml:space="preserve"> is </w:t>
      </w:r>
      <w:r w:rsidR="00FB649A" w:rsidRPr="003D073B">
        <w:rPr>
          <w:rFonts w:ascii="Arial" w:hAnsi="Arial" w:cs="Arial"/>
          <w:sz w:val="24"/>
          <w:szCs w:val="24"/>
        </w:rPr>
        <w:t xml:space="preserve">Section 37ZK, which </w:t>
      </w:r>
      <w:r w:rsidR="00244C1A" w:rsidRPr="003D073B">
        <w:rPr>
          <w:rFonts w:ascii="Arial" w:hAnsi="Arial" w:cs="Arial"/>
          <w:sz w:val="24"/>
          <w:szCs w:val="24"/>
        </w:rPr>
        <w:t xml:space="preserve">allows for </w:t>
      </w:r>
      <w:r w:rsidR="00851C42" w:rsidRPr="003D073B">
        <w:rPr>
          <w:rFonts w:ascii="Arial" w:hAnsi="Arial" w:cs="Arial"/>
          <w:sz w:val="24"/>
          <w:szCs w:val="24"/>
        </w:rPr>
        <w:t xml:space="preserve">prolonged detention of </w:t>
      </w:r>
      <w:r w:rsidR="00244C1A" w:rsidRPr="003D073B">
        <w:rPr>
          <w:rFonts w:ascii="Arial" w:hAnsi="Arial" w:cs="Arial"/>
          <w:sz w:val="24"/>
          <w:szCs w:val="24"/>
        </w:rPr>
        <w:t>protection claimants</w:t>
      </w:r>
      <w:r w:rsidR="00AB4A6A" w:rsidRPr="003D073B">
        <w:rPr>
          <w:rFonts w:ascii="Arial" w:hAnsi="Arial" w:cs="Arial"/>
          <w:sz w:val="24"/>
          <w:szCs w:val="24"/>
        </w:rPr>
        <w:t xml:space="preserve"> “pending final determination of the claimant’s torture claim”</w:t>
      </w:r>
      <w:r w:rsidR="00851C42" w:rsidRPr="003D073B">
        <w:rPr>
          <w:rFonts w:ascii="Arial" w:hAnsi="Arial" w:cs="Arial"/>
          <w:sz w:val="24"/>
          <w:szCs w:val="24"/>
        </w:rPr>
        <w:t xml:space="preserve">. It </w:t>
      </w:r>
      <w:r w:rsidR="00FB649A" w:rsidRPr="003D073B">
        <w:rPr>
          <w:rFonts w:ascii="Arial" w:hAnsi="Arial" w:cs="Arial"/>
          <w:sz w:val="24"/>
          <w:szCs w:val="24"/>
        </w:rPr>
        <w:t>provides:</w:t>
      </w:r>
      <w:r w:rsidR="00441E01" w:rsidRPr="003D073B">
        <w:rPr>
          <w:rFonts w:ascii="Arial" w:hAnsi="Arial" w:cs="Arial"/>
          <w:sz w:val="24"/>
          <w:szCs w:val="24"/>
        </w:rPr>
        <w:t xml:space="preserve">  </w:t>
      </w:r>
    </w:p>
    <w:p w14:paraId="43C03B5C" w14:textId="77777777" w:rsidR="007716BA" w:rsidRPr="003D073B" w:rsidRDefault="007716BA" w:rsidP="00FC6B87">
      <w:pPr>
        <w:pStyle w:val="ListParagraph"/>
        <w:jc w:val="both"/>
        <w:rPr>
          <w:rFonts w:ascii="Arial" w:hAnsi="Arial" w:cs="Arial"/>
          <w:b/>
          <w:bCs/>
          <w:sz w:val="24"/>
          <w:szCs w:val="24"/>
        </w:rPr>
      </w:pPr>
      <w:r w:rsidRPr="003D073B">
        <w:rPr>
          <w:rFonts w:ascii="Arial" w:hAnsi="Arial" w:cs="Arial"/>
          <w:b/>
          <w:bCs/>
          <w:sz w:val="24"/>
          <w:szCs w:val="24"/>
        </w:rPr>
        <w:t xml:space="preserve">37ZK. Detention pending final determination </w:t>
      </w:r>
    </w:p>
    <w:p w14:paraId="40B21568" w14:textId="77777777" w:rsidR="007716BA" w:rsidRPr="003D073B" w:rsidRDefault="007716BA" w:rsidP="00FC6B87">
      <w:pPr>
        <w:pStyle w:val="ListParagraph"/>
        <w:jc w:val="both"/>
        <w:rPr>
          <w:rFonts w:ascii="Arial" w:hAnsi="Arial" w:cs="Arial"/>
          <w:sz w:val="24"/>
          <w:szCs w:val="24"/>
        </w:rPr>
      </w:pPr>
      <w:r w:rsidRPr="003D073B">
        <w:rPr>
          <w:rFonts w:ascii="Arial" w:hAnsi="Arial" w:cs="Arial"/>
          <w:sz w:val="24"/>
          <w:szCs w:val="24"/>
        </w:rPr>
        <w:lastRenderedPageBreak/>
        <w:t>Without limiting any other power conferred by this Ordinance, a claimant may be detained under the authority of the Director of Immigration, the Deputy Director of Immigration or any assistant director of immigration pending final determination of the claimant’s torture claim.</w:t>
      </w:r>
    </w:p>
    <w:p w14:paraId="617E423E" w14:textId="4F384D11" w:rsidR="007716BA" w:rsidRPr="003D073B" w:rsidRDefault="00251512" w:rsidP="00FC6B87">
      <w:pPr>
        <w:jc w:val="both"/>
        <w:rPr>
          <w:rFonts w:ascii="Arial" w:hAnsi="Arial" w:cs="Arial"/>
          <w:sz w:val="24"/>
          <w:szCs w:val="24"/>
        </w:rPr>
      </w:pPr>
      <w:r w:rsidRPr="003D073B">
        <w:rPr>
          <w:rFonts w:ascii="Arial" w:hAnsi="Arial" w:cs="Arial"/>
          <w:sz w:val="24"/>
          <w:szCs w:val="24"/>
        </w:rPr>
        <w:t>Moreover,</w:t>
      </w:r>
      <w:r w:rsidR="0069496A" w:rsidRPr="003D073B">
        <w:rPr>
          <w:rFonts w:ascii="Arial" w:hAnsi="Arial" w:cs="Arial"/>
          <w:sz w:val="24"/>
          <w:szCs w:val="24"/>
        </w:rPr>
        <w:t xml:space="preserve"> there are </w:t>
      </w:r>
      <w:r w:rsidR="006D54F7" w:rsidRPr="003D073B">
        <w:rPr>
          <w:rFonts w:ascii="Arial" w:hAnsi="Arial" w:cs="Arial"/>
          <w:sz w:val="24"/>
          <w:szCs w:val="24"/>
        </w:rPr>
        <w:t xml:space="preserve">no </w:t>
      </w:r>
      <w:r w:rsidR="00344C09">
        <w:rPr>
          <w:rFonts w:ascii="Arial" w:hAnsi="Arial" w:cs="Arial"/>
          <w:sz w:val="24"/>
          <w:szCs w:val="24"/>
        </w:rPr>
        <w:t>judicial oversight or</w:t>
      </w:r>
      <w:r w:rsidR="00A7009A" w:rsidRPr="003D073B">
        <w:rPr>
          <w:rFonts w:ascii="Arial" w:hAnsi="Arial" w:cs="Arial"/>
          <w:sz w:val="24"/>
          <w:szCs w:val="24"/>
        </w:rPr>
        <w:t xml:space="preserve"> </w:t>
      </w:r>
      <w:r w:rsidR="006D54F7" w:rsidRPr="003D073B">
        <w:rPr>
          <w:rFonts w:ascii="Arial" w:hAnsi="Arial" w:cs="Arial"/>
          <w:sz w:val="24"/>
          <w:szCs w:val="24"/>
        </w:rPr>
        <w:t>procedural safeguards</w:t>
      </w:r>
      <w:r w:rsidR="007D12DD" w:rsidRPr="003D073B">
        <w:rPr>
          <w:rFonts w:ascii="Arial" w:hAnsi="Arial" w:cs="Arial"/>
          <w:sz w:val="24"/>
          <w:szCs w:val="24"/>
        </w:rPr>
        <w:t>, such as a bail application process</w:t>
      </w:r>
      <w:r w:rsidR="00344C09">
        <w:rPr>
          <w:rFonts w:ascii="Arial" w:hAnsi="Arial" w:cs="Arial"/>
          <w:sz w:val="24"/>
          <w:szCs w:val="24"/>
        </w:rPr>
        <w:t xml:space="preserve"> or an independent review mechanism, </w:t>
      </w:r>
      <w:r w:rsidR="007D12DD" w:rsidRPr="003D073B">
        <w:rPr>
          <w:rFonts w:ascii="Arial" w:hAnsi="Arial" w:cs="Arial"/>
          <w:sz w:val="24"/>
          <w:szCs w:val="24"/>
        </w:rPr>
        <w:t xml:space="preserve">to review </w:t>
      </w:r>
      <w:r w:rsidR="00A7009A" w:rsidRPr="003D073B">
        <w:rPr>
          <w:rFonts w:ascii="Arial" w:hAnsi="Arial" w:cs="Arial"/>
          <w:sz w:val="24"/>
          <w:szCs w:val="24"/>
        </w:rPr>
        <w:t xml:space="preserve">the cases of </w:t>
      </w:r>
      <w:r w:rsidR="00BA00ED" w:rsidRPr="003D073B">
        <w:rPr>
          <w:rFonts w:ascii="Arial" w:hAnsi="Arial" w:cs="Arial"/>
          <w:sz w:val="24"/>
          <w:szCs w:val="24"/>
        </w:rPr>
        <w:t>immigration detainees</w:t>
      </w:r>
      <w:r w:rsidR="00A7009A" w:rsidRPr="003D073B">
        <w:rPr>
          <w:rFonts w:ascii="Arial" w:hAnsi="Arial" w:cs="Arial"/>
          <w:sz w:val="24"/>
          <w:szCs w:val="24"/>
        </w:rPr>
        <w:t xml:space="preserve">. </w:t>
      </w:r>
      <w:r w:rsidR="00A37BD7" w:rsidRPr="003D073B">
        <w:rPr>
          <w:rFonts w:ascii="Arial" w:hAnsi="Arial" w:cs="Arial"/>
          <w:sz w:val="24"/>
          <w:szCs w:val="24"/>
        </w:rPr>
        <w:t xml:space="preserve">While detainees can apply for </w:t>
      </w:r>
      <w:r w:rsidR="00A37BD7" w:rsidRPr="003D073B">
        <w:rPr>
          <w:rFonts w:ascii="Arial" w:hAnsi="Arial" w:cs="Arial"/>
          <w:i/>
          <w:iCs/>
          <w:sz w:val="24"/>
          <w:szCs w:val="24"/>
        </w:rPr>
        <w:t xml:space="preserve">habeas corpus, </w:t>
      </w:r>
      <w:r w:rsidR="00BA00ED" w:rsidRPr="003D073B">
        <w:rPr>
          <w:rFonts w:ascii="Arial" w:hAnsi="Arial" w:cs="Arial"/>
          <w:sz w:val="24"/>
          <w:szCs w:val="24"/>
        </w:rPr>
        <w:t xml:space="preserve">to our knowledge there has been no successful application in the immigration context. </w:t>
      </w:r>
      <w:r w:rsidR="00436A87" w:rsidRPr="003D073B">
        <w:rPr>
          <w:rFonts w:ascii="Arial" w:hAnsi="Arial" w:cs="Arial"/>
          <w:sz w:val="24"/>
          <w:szCs w:val="24"/>
        </w:rPr>
        <w:t>The Immigration Department’s policy for detention provides: “</w:t>
      </w:r>
      <w:r w:rsidR="008C5C37" w:rsidRPr="003D073B">
        <w:rPr>
          <w:rFonts w:ascii="Arial" w:hAnsi="Arial" w:cs="Arial"/>
          <w:sz w:val="24"/>
          <w:szCs w:val="24"/>
        </w:rPr>
        <w:t>Detention will be kept under regular review and will be reviewed when there is a material change of circumstance”</w:t>
      </w:r>
      <w:r w:rsidR="008C5C37" w:rsidRPr="003D073B">
        <w:rPr>
          <w:rStyle w:val="FootnoteReference"/>
          <w:rFonts w:ascii="Arial" w:hAnsi="Arial" w:cs="Arial"/>
          <w:sz w:val="24"/>
          <w:szCs w:val="24"/>
        </w:rPr>
        <w:footnoteReference w:id="34"/>
      </w:r>
      <w:r w:rsidR="00BA00ED" w:rsidRPr="003D073B">
        <w:rPr>
          <w:rFonts w:ascii="Arial" w:hAnsi="Arial" w:cs="Arial"/>
          <w:sz w:val="24"/>
          <w:szCs w:val="24"/>
        </w:rPr>
        <w:t xml:space="preserve">, but we believe this is insufficient to guarantee the rights </w:t>
      </w:r>
      <w:r w:rsidR="00FE4CB5" w:rsidRPr="003D073B">
        <w:rPr>
          <w:rFonts w:ascii="Arial" w:hAnsi="Arial" w:cs="Arial"/>
          <w:sz w:val="24"/>
          <w:szCs w:val="24"/>
        </w:rPr>
        <w:t>of</w:t>
      </w:r>
      <w:r w:rsidR="00BA00ED" w:rsidRPr="003D073B">
        <w:rPr>
          <w:rFonts w:ascii="Arial" w:hAnsi="Arial" w:cs="Arial"/>
          <w:sz w:val="24"/>
          <w:szCs w:val="24"/>
        </w:rPr>
        <w:t xml:space="preserve"> detainees are protected. </w:t>
      </w:r>
    </w:p>
    <w:p w14:paraId="08940A25" w14:textId="6EB97F86" w:rsidR="00FE4CB5" w:rsidRPr="003D073B" w:rsidRDefault="005729C0" w:rsidP="00FC6B87">
      <w:pPr>
        <w:jc w:val="both"/>
        <w:rPr>
          <w:rFonts w:ascii="Arial" w:hAnsi="Arial" w:cs="Arial"/>
          <w:sz w:val="24"/>
          <w:szCs w:val="24"/>
        </w:rPr>
      </w:pPr>
      <w:r w:rsidRPr="003D073B">
        <w:rPr>
          <w:rFonts w:ascii="Arial" w:hAnsi="Arial" w:cs="Arial" w:hint="eastAsia"/>
          <w:sz w:val="24"/>
          <w:szCs w:val="24"/>
        </w:rPr>
        <w:t>The</w:t>
      </w:r>
      <w:r w:rsidRPr="003D073B">
        <w:rPr>
          <w:rFonts w:ascii="Arial" w:hAnsi="Arial" w:cs="Arial"/>
          <w:sz w:val="24"/>
          <w:szCs w:val="24"/>
        </w:rPr>
        <w:t xml:space="preserve"> longest period of detention of a</w:t>
      </w:r>
      <w:r w:rsidR="00703157" w:rsidRPr="003D073B">
        <w:rPr>
          <w:rFonts w:ascii="Arial" w:hAnsi="Arial" w:cs="Arial"/>
          <w:sz w:val="24"/>
          <w:szCs w:val="24"/>
        </w:rPr>
        <w:t xml:space="preserve">n asylum seeker </w:t>
      </w:r>
      <w:r w:rsidRPr="003D073B">
        <w:rPr>
          <w:rFonts w:ascii="Arial" w:hAnsi="Arial" w:cs="Arial"/>
          <w:sz w:val="24"/>
          <w:szCs w:val="24"/>
        </w:rPr>
        <w:t>Justice Centre is aware of</w:t>
      </w:r>
      <w:r w:rsidR="00703157" w:rsidRPr="003D073B">
        <w:rPr>
          <w:rFonts w:ascii="Arial" w:hAnsi="Arial" w:cs="Arial"/>
          <w:sz w:val="24"/>
          <w:szCs w:val="24"/>
        </w:rPr>
        <w:t xml:space="preserve"> is 3 years</w:t>
      </w:r>
      <w:r w:rsidR="00C023C0" w:rsidRPr="003D073B">
        <w:rPr>
          <w:rFonts w:ascii="Arial" w:hAnsi="Arial" w:cs="Arial"/>
          <w:sz w:val="24"/>
          <w:szCs w:val="24"/>
        </w:rPr>
        <w:t xml:space="preserve"> and ongoing</w:t>
      </w:r>
      <w:r w:rsidR="00703157" w:rsidRPr="003D073B">
        <w:rPr>
          <w:rStyle w:val="FootnoteReference"/>
          <w:rFonts w:ascii="Arial" w:hAnsi="Arial" w:cs="Arial"/>
          <w:sz w:val="24"/>
          <w:szCs w:val="24"/>
        </w:rPr>
        <w:footnoteReference w:id="35"/>
      </w:r>
      <w:r w:rsidR="00703157" w:rsidRPr="003D073B">
        <w:rPr>
          <w:rFonts w:ascii="Arial" w:hAnsi="Arial" w:cs="Arial"/>
          <w:sz w:val="24"/>
          <w:szCs w:val="24"/>
        </w:rPr>
        <w:t>.</w:t>
      </w:r>
    </w:p>
    <w:p w14:paraId="384A4AD6" w14:textId="14FB4564" w:rsidR="00FE4CB5" w:rsidRPr="003D073B" w:rsidRDefault="003372D2" w:rsidP="00FC6B87">
      <w:pPr>
        <w:jc w:val="both"/>
        <w:rPr>
          <w:rFonts w:ascii="Arial" w:hAnsi="Arial" w:cs="Arial"/>
          <w:sz w:val="24"/>
          <w:szCs w:val="24"/>
        </w:rPr>
      </w:pPr>
      <w:r w:rsidRPr="003D073B">
        <w:rPr>
          <w:rFonts w:ascii="Arial" w:hAnsi="Arial" w:cs="Arial"/>
          <w:sz w:val="24"/>
          <w:szCs w:val="24"/>
        </w:rPr>
        <w:t>T</w:t>
      </w:r>
      <w:r w:rsidR="004C0C48" w:rsidRPr="003D073B">
        <w:rPr>
          <w:rFonts w:ascii="Arial" w:hAnsi="Arial" w:cs="Arial"/>
          <w:sz w:val="24"/>
          <w:szCs w:val="24"/>
        </w:rPr>
        <w:t xml:space="preserve">here </w:t>
      </w:r>
      <w:r w:rsidR="009D302B" w:rsidRPr="003D073B">
        <w:rPr>
          <w:rFonts w:ascii="Arial" w:hAnsi="Arial" w:cs="Arial"/>
          <w:sz w:val="24"/>
          <w:szCs w:val="24"/>
        </w:rPr>
        <w:t>is</w:t>
      </w:r>
      <w:r w:rsidR="004C0C48" w:rsidRPr="003D073B">
        <w:rPr>
          <w:rFonts w:ascii="Arial" w:hAnsi="Arial" w:cs="Arial"/>
          <w:sz w:val="24"/>
          <w:szCs w:val="24"/>
        </w:rPr>
        <w:t xml:space="preserve"> </w:t>
      </w:r>
      <w:r w:rsidRPr="003D073B">
        <w:rPr>
          <w:rFonts w:ascii="Arial" w:hAnsi="Arial" w:cs="Arial"/>
          <w:sz w:val="24"/>
          <w:szCs w:val="24"/>
        </w:rPr>
        <w:t xml:space="preserve">also </w:t>
      </w:r>
      <w:r w:rsidR="00825651" w:rsidRPr="003D073B">
        <w:rPr>
          <w:rFonts w:ascii="Arial" w:hAnsi="Arial" w:cs="Arial"/>
          <w:sz w:val="24"/>
          <w:szCs w:val="24"/>
        </w:rPr>
        <w:t xml:space="preserve">no </w:t>
      </w:r>
      <w:r w:rsidR="00A17C03" w:rsidRPr="003D073B">
        <w:rPr>
          <w:rFonts w:ascii="Arial" w:hAnsi="Arial" w:cs="Arial"/>
          <w:sz w:val="24"/>
          <w:szCs w:val="24"/>
        </w:rPr>
        <w:t>policy to ensure vulnerable persons are not detained unnecessarily and for prolonged periods of time. In particular, there is insufficient published guidance or policy to ensure the timely identification of survivors of torture or</w:t>
      </w:r>
      <w:r w:rsidR="00B97AF2" w:rsidRPr="003D073B">
        <w:rPr>
          <w:rFonts w:ascii="Arial" w:hAnsi="Arial" w:cs="Arial"/>
          <w:sz w:val="24"/>
          <w:szCs w:val="24"/>
        </w:rPr>
        <w:t xml:space="preserve"> CIDTP</w:t>
      </w:r>
      <w:r w:rsidR="00903ADF">
        <w:rPr>
          <w:rFonts w:ascii="Arial" w:hAnsi="Arial" w:cs="Arial"/>
          <w:sz w:val="24"/>
          <w:szCs w:val="24"/>
        </w:rPr>
        <w:t xml:space="preserve"> in order to</w:t>
      </w:r>
      <w:r w:rsidR="00A17C03" w:rsidRPr="003D073B">
        <w:rPr>
          <w:rFonts w:ascii="Arial" w:hAnsi="Arial" w:cs="Arial"/>
          <w:sz w:val="24"/>
          <w:szCs w:val="24"/>
        </w:rPr>
        <w:t xml:space="preserve"> ensure they are not detained</w:t>
      </w:r>
      <w:r w:rsidR="000278D9" w:rsidRPr="003D073B">
        <w:rPr>
          <w:rStyle w:val="FootnoteReference"/>
          <w:rFonts w:ascii="Arial" w:hAnsi="Arial" w:cs="Arial"/>
          <w:sz w:val="24"/>
          <w:szCs w:val="24"/>
        </w:rPr>
        <w:footnoteReference w:id="36"/>
      </w:r>
      <w:r w:rsidR="000278D9" w:rsidRPr="003D073B">
        <w:rPr>
          <w:rFonts w:ascii="Arial" w:hAnsi="Arial" w:cs="Arial"/>
          <w:sz w:val="24"/>
          <w:szCs w:val="24"/>
        </w:rPr>
        <w:t xml:space="preserve">. </w:t>
      </w:r>
    </w:p>
    <w:p w14:paraId="18CC0A3E" w14:textId="2613FB85" w:rsidR="00300DA7" w:rsidRPr="003D073B" w:rsidRDefault="00300DA7" w:rsidP="00573684">
      <w:pPr>
        <w:pStyle w:val="ListParagraph"/>
        <w:numPr>
          <w:ilvl w:val="1"/>
          <w:numId w:val="1"/>
        </w:numPr>
        <w:jc w:val="both"/>
        <w:rPr>
          <w:rFonts w:ascii="Arial" w:hAnsi="Arial" w:cs="Arial"/>
          <w:b/>
          <w:bCs/>
          <w:sz w:val="24"/>
          <w:szCs w:val="24"/>
        </w:rPr>
      </w:pPr>
      <w:r w:rsidRPr="003D073B">
        <w:rPr>
          <w:rFonts w:ascii="Arial" w:hAnsi="Arial" w:cs="Arial"/>
          <w:b/>
          <w:bCs/>
          <w:sz w:val="24"/>
          <w:szCs w:val="24"/>
        </w:rPr>
        <w:lastRenderedPageBreak/>
        <w:t xml:space="preserve">Substandard </w:t>
      </w:r>
      <w:r w:rsidR="002E26CE" w:rsidRPr="003D073B">
        <w:rPr>
          <w:rFonts w:ascii="Arial" w:hAnsi="Arial" w:cs="Arial"/>
          <w:b/>
          <w:bCs/>
          <w:sz w:val="24"/>
          <w:szCs w:val="24"/>
        </w:rPr>
        <w:t xml:space="preserve">conditions of detention </w:t>
      </w:r>
    </w:p>
    <w:p w14:paraId="18443D6B" w14:textId="2F83F4D5" w:rsidR="00AC4B8B" w:rsidRPr="003D073B" w:rsidRDefault="00AC4B8B" w:rsidP="00FC6B87">
      <w:pPr>
        <w:jc w:val="both"/>
        <w:rPr>
          <w:rFonts w:ascii="Arial" w:hAnsi="Arial" w:cs="Arial"/>
          <w:sz w:val="24"/>
          <w:szCs w:val="24"/>
        </w:rPr>
      </w:pPr>
      <w:r w:rsidRPr="003D073B">
        <w:rPr>
          <w:rFonts w:ascii="Arial" w:hAnsi="Arial" w:cs="Arial"/>
          <w:sz w:val="24"/>
          <w:szCs w:val="24"/>
        </w:rPr>
        <w:t xml:space="preserve">We are concerned about the substandard conditions </w:t>
      </w:r>
      <w:r w:rsidR="00407834" w:rsidRPr="003D073B">
        <w:rPr>
          <w:rFonts w:ascii="Arial" w:hAnsi="Arial" w:cs="Arial"/>
          <w:sz w:val="24"/>
          <w:szCs w:val="24"/>
        </w:rPr>
        <w:t>at detention facilities</w:t>
      </w:r>
      <w:r w:rsidR="00866EEC" w:rsidRPr="003D073B">
        <w:rPr>
          <w:rFonts w:ascii="Arial" w:hAnsi="Arial" w:cs="Arial"/>
          <w:sz w:val="24"/>
          <w:szCs w:val="24"/>
        </w:rPr>
        <w:t>, including substandard food, the lack of halal food for Muslim detainees, th</w:t>
      </w:r>
      <w:r w:rsidR="00222719" w:rsidRPr="003D073B">
        <w:rPr>
          <w:rFonts w:ascii="Arial" w:hAnsi="Arial" w:cs="Arial"/>
          <w:sz w:val="24"/>
          <w:szCs w:val="24"/>
        </w:rPr>
        <w:t>e</w:t>
      </w:r>
      <w:r w:rsidR="00866EEC" w:rsidRPr="003D073B">
        <w:rPr>
          <w:rFonts w:ascii="Arial" w:hAnsi="Arial" w:cs="Arial"/>
          <w:sz w:val="24"/>
          <w:szCs w:val="24"/>
        </w:rPr>
        <w:t xml:space="preserve"> lack of basic amenities such as beds and blankets, and poor </w:t>
      </w:r>
      <w:r w:rsidR="000348ED" w:rsidRPr="003D073B">
        <w:rPr>
          <w:rFonts w:ascii="Arial" w:hAnsi="Arial" w:cs="Arial"/>
          <w:sz w:val="24"/>
          <w:szCs w:val="24"/>
        </w:rPr>
        <w:t>hygiene</w:t>
      </w:r>
      <w:r w:rsidR="00866EEC" w:rsidRPr="003D073B">
        <w:rPr>
          <w:rFonts w:ascii="Arial" w:hAnsi="Arial" w:cs="Arial"/>
          <w:sz w:val="24"/>
          <w:szCs w:val="24"/>
        </w:rPr>
        <w:t xml:space="preserve"> in</w:t>
      </w:r>
      <w:r w:rsidR="000348ED" w:rsidRPr="003D073B">
        <w:rPr>
          <w:rFonts w:ascii="Arial" w:hAnsi="Arial" w:cs="Arial"/>
          <w:sz w:val="24"/>
          <w:szCs w:val="24"/>
        </w:rPr>
        <w:t xml:space="preserve"> cells</w:t>
      </w:r>
      <w:r w:rsidR="00E75E26">
        <w:rPr>
          <w:rStyle w:val="FootnoteReference"/>
          <w:rFonts w:ascii="Arial" w:hAnsi="Arial" w:cs="Arial"/>
          <w:sz w:val="24"/>
          <w:szCs w:val="24"/>
        </w:rPr>
        <w:footnoteReference w:id="37"/>
      </w:r>
      <w:r w:rsidR="000348ED" w:rsidRPr="003D073B">
        <w:rPr>
          <w:rFonts w:ascii="Arial" w:hAnsi="Arial" w:cs="Arial"/>
          <w:sz w:val="24"/>
          <w:szCs w:val="24"/>
        </w:rPr>
        <w:t xml:space="preserve">. </w:t>
      </w:r>
    </w:p>
    <w:p w14:paraId="42FB3B1D" w14:textId="18938C19" w:rsidR="001825A8" w:rsidRPr="003D073B" w:rsidRDefault="00711108" w:rsidP="00711108">
      <w:pPr>
        <w:jc w:val="both"/>
        <w:rPr>
          <w:rFonts w:ascii="Arial" w:hAnsi="Arial" w:cs="Arial"/>
          <w:sz w:val="24"/>
          <w:szCs w:val="24"/>
        </w:rPr>
      </w:pPr>
      <w:r w:rsidRPr="003D073B">
        <w:rPr>
          <w:rFonts w:ascii="Arial" w:hAnsi="Arial" w:cs="Arial"/>
          <w:sz w:val="24"/>
          <w:szCs w:val="24"/>
        </w:rPr>
        <w:t xml:space="preserve">We are especially concerned about the </w:t>
      </w:r>
      <w:r w:rsidR="00DF0C10" w:rsidRPr="003D073B">
        <w:rPr>
          <w:rFonts w:ascii="Arial" w:hAnsi="Arial" w:cs="Arial"/>
          <w:sz w:val="24"/>
          <w:szCs w:val="24"/>
        </w:rPr>
        <w:t xml:space="preserve">quality </w:t>
      </w:r>
      <w:r w:rsidR="00F20005">
        <w:rPr>
          <w:rFonts w:ascii="Arial" w:hAnsi="Arial" w:cs="Arial"/>
          <w:sz w:val="24"/>
          <w:szCs w:val="24"/>
        </w:rPr>
        <w:t xml:space="preserve">of or lack of access to </w:t>
      </w:r>
      <w:r w:rsidR="00DF0C10" w:rsidRPr="003D073B">
        <w:rPr>
          <w:rFonts w:ascii="Arial" w:hAnsi="Arial" w:cs="Arial"/>
          <w:sz w:val="24"/>
          <w:szCs w:val="24"/>
        </w:rPr>
        <w:t>healthcare in detention facilities</w:t>
      </w:r>
      <w:r w:rsidR="00416EE4" w:rsidRPr="003D073B">
        <w:rPr>
          <w:rFonts w:ascii="Arial" w:hAnsi="Arial" w:cs="Arial"/>
          <w:sz w:val="24"/>
          <w:szCs w:val="24"/>
        </w:rPr>
        <w:t xml:space="preserve">. </w:t>
      </w:r>
      <w:r w:rsidR="009A2B69" w:rsidRPr="003D073B">
        <w:rPr>
          <w:rFonts w:ascii="Arial" w:hAnsi="Arial" w:cs="Arial"/>
          <w:sz w:val="24"/>
          <w:szCs w:val="24"/>
        </w:rPr>
        <w:t>Yuli Riswati</w:t>
      </w:r>
      <w:r w:rsidR="00490288" w:rsidRPr="003D073B">
        <w:rPr>
          <w:rFonts w:ascii="Arial" w:hAnsi="Arial" w:cs="Arial"/>
          <w:sz w:val="24"/>
          <w:szCs w:val="24"/>
        </w:rPr>
        <w:t>, a domestic worker detained at the Castle Peak Immigration Detention Centre, alleged she was subject to a strip search by a male medical officer</w:t>
      </w:r>
      <w:r w:rsidR="00490288" w:rsidRPr="003D073B">
        <w:rPr>
          <w:rStyle w:val="FootnoteReference"/>
          <w:rFonts w:ascii="Arial" w:hAnsi="Arial" w:cs="Arial"/>
          <w:sz w:val="24"/>
          <w:szCs w:val="24"/>
        </w:rPr>
        <w:footnoteReference w:id="38"/>
      </w:r>
      <w:r w:rsidR="00490288" w:rsidRPr="003D073B">
        <w:rPr>
          <w:rFonts w:ascii="Arial" w:hAnsi="Arial" w:cs="Arial"/>
          <w:sz w:val="24"/>
          <w:szCs w:val="24"/>
        </w:rPr>
        <w:t xml:space="preserve">. </w:t>
      </w:r>
      <w:r w:rsidR="005E1FD0" w:rsidRPr="003D073B">
        <w:rPr>
          <w:rFonts w:ascii="Arial" w:hAnsi="Arial" w:cs="Arial"/>
          <w:sz w:val="24"/>
          <w:szCs w:val="24"/>
        </w:rPr>
        <w:t>There appears to be a lack of mental health support for detainees</w:t>
      </w:r>
      <w:r w:rsidR="009145E7" w:rsidRPr="003D073B">
        <w:rPr>
          <w:rFonts w:ascii="Arial" w:hAnsi="Arial" w:cs="Arial"/>
          <w:sz w:val="24"/>
          <w:szCs w:val="24"/>
        </w:rPr>
        <w:t xml:space="preserve">, which is worrying </w:t>
      </w:r>
      <w:r w:rsidR="0009048D" w:rsidRPr="003D073B">
        <w:rPr>
          <w:rFonts w:ascii="Arial" w:hAnsi="Arial" w:cs="Arial"/>
          <w:sz w:val="24"/>
          <w:szCs w:val="24"/>
        </w:rPr>
        <w:t xml:space="preserve">as detention </w:t>
      </w:r>
      <w:r w:rsidR="002A2119" w:rsidRPr="003D073B">
        <w:rPr>
          <w:rFonts w:ascii="Arial" w:hAnsi="Arial" w:cs="Arial"/>
          <w:sz w:val="24"/>
          <w:szCs w:val="24"/>
        </w:rPr>
        <w:t xml:space="preserve">may </w:t>
      </w:r>
      <w:r w:rsidR="0028391D" w:rsidRPr="003D073B">
        <w:rPr>
          <w:rFonts w:ascii="Arial" w:hAnsi="Arial" w:cs="Arial"/>
          <w:sz w:val="24"/>
          <w:szCs w:val="24"/>
        </w:rPr>
        <w:t xml:space="preserve">increase </w:t>
      </w:r>
      <w:r w:rsidR="00F52E81" w:rsidRPr="003D073B">
        <w:rPr>
          <w:rFonts w:ascii="Arial" w:hAnsi="Arial" w:cs="Arial"/>
          <w:sz w:val="24"/>
          <w:szCs w:val="24"/>
        </w:rPr>
        <w:t>detainees’</w:t>
      </w:r>
      <w:r w:rsidR="0028391D" w:rsidRPr="003D073B">
        <w:rPr>
          <w:rFonts w:ascii="Arial" w:hAnsi="Arial" w:cs="Arial"/>
          <w:sz w:val="24"/>
          <w:szCs w:val="24"/>
        </w:rPr>
        <w:t xml:space="preserve"> likelihood of developing mental health </w:t>
      </w:r>
      <w:r w:rsidR="00F52E81" w:rsidRPr="003D073B">
        <w:rPr>
          <w:rFonts w:ascii="Arial" w:hAnsi="Arial" w:cs="Arial"/>
          <w:sz w:val="24"/>
          <w:szCs w:val="24"/>
        </w:rPr>
        <w:t xml:space="preserve">issues. We are aware of </w:t>
      </w:r>
      <w:r w:rsidR="00405318" w:rsidRPr="003D073B">
        <w:rPr>
          <w:rFonts w:ascii="Arial" w:hAnsi="Arial" w:cs="Arial"/>
          <w:sz w:val="24"/>
          <w:szCs w:val="24"/>
        </w:rPr>
        <w:t xml:space="preserve">at least </w:t>
      </w:r>
      <w:r w:rsidR="00940AC9" w:rsidRPr="003D073B">
        <w:rPr>
          <w:rFonts w:ascii="Arial" w:hAnsi="Arial" w:cs="Arial"/>
          <w:sz w:val="24"/>
          <w:szCs w:val="24"/>
        </w:rPr>
        <w:t>one case of a detainee attempting suicide</w:t>
      </w:r>
      <w:r w:rsidR="00ED4D11" w:rsidRPr="003D073B">
        <w:rPr>
          <w:rFonts w:ascii="Arial" w:hAnsi="Arial" w:cs="Arial"/>
          <w:sz w:val="24"/>
          <w:szCs w:val="24"/>
        </w:rPr>
        <w:t xml:space="preserve"> due to their prolonged detention</w:t>
      </w:r>
      <w:r w:rsidR="007C2C72" w:rsidRPr="003D073B">
        <w:rPr>
          <w:rFonts w:ascii="Arial" w:hAnsi="Arial" w:cs="Arial"/>
          <w:sz w:val="24"/>
          <w:szCs w:val="24"/>
        </w:rPr>
        <w:t>.</w:t>
      </w:r>
      <w:r w:rsidR="00940AC9" w:rsidRPr="003D073B">
        <w:rPr>
          <w:rFonts w:ascii="Arial" w:hAnsi="Arial" w:cs="Arial"/>
          <w:sz w:val="24"/>
          <w:szCs w:val="24"/>
        </w:rPr>
        <w:t xml:space="preserve"> </w:t>
      </w:r>
    </w:p>
    <w:p w14:paraId="07AE3FF9" w14:textId="08974B68" w:rsidR="00321008" w:rsidRPr="003D073B" w:rsidRDefault="00E03C5E" w:rsidP="00F03D98">
      <w:pPr>
        <w:pStyle w:val="ListParagraph"/>
        <w:numPr>
          <w:ilvl w:val="0"/>
          <w:numId w:val="1"/>
        </w:numPr>
        <w:jc w:val="both"/>
        <w:rPr>
          <w:rFonts w:ascii="Arial" w:hAnsi="Arial" w:cs="Arial"/>
          <w:b/>
          <w:bCs/>
          <w:sz w:val="24"/>
          <w:szCs w:val="24"/>
        </w:rPr>
      </w:pPr>
      <w:r w:rsidRPr="003D073B">
        <w:rPr>
          <w:rFonts w:ascii="Arial" w:hAnsi="Arial" w:cs="Arial"/>
          <w:b/>
          <w:bCs/>
          <w:sz w:val="24"/>
          <w:szCs w:val="24"/>
        </w:rPr>
        <w:t>Lack of protection for victims of human trafficking in all its forms (Article 7, 8, 9)</w:t>
      </w:r>
    </w:p>
    <w:p w14:paraId="55D20F9B" w14:textId="293056A5" w:rsidR="00A410E4" w:rsidRPr="003D073B" w:rsidRDefault="005E5DCE" w:rsidP="003D3C41">
      <w:pPr>
        <w:jc w:val="both"/>
        <w:rPr>
          <w:rFonts w:ascii="Arial" w:hAnsi="Arial" w:cs="Arial"/>
          <w:sz w:val="24"/>
          <w:szCs w:val="24"/>
        </w:rPr>
      </w:pPr>
      <w:r w:rsidRPr="003D073B">
        <w:rPr>
          <w:rFonts w:ascii="Arial" w:hAnsi="Arial" w:cs="Arial"/>
          <w:sz w:val="24"/>
          <w:szCs w:val="24"/>
        </w:rPr>
        <w:lastRenderedPageBreak/>
        <w:t xml:space="preserve">Evidence compiled by civil society </w:t>
      </w:r>
      <w:r w:rsidR="005463B2" w:rsidRPr="003D073B">
        <w:rPr>
          <w:rFonts w:ascii="Arial" w:hAnsi="Arial" w:cs="Arial"/>
          <w:sz w:val="24"/>
          <w:szCs w:val="24"/>
        </w:rPr>
        <w:t>organisations</w:t>
      </w:r>
      <w:r w:rsidR="00415FF7" w:rsidRPr="003D073B">
        <w:rPr>
          <w:rStyle w:val="FootnoteReference"/>
          <w:rFonts w:ascii="Arial" w:hAnsi="Arial" w:cs="Arial"/>
          <w:sz w:val="24"/>
          <w:szCs w:val="24"/>
        </w:rPr>
        <w:footnoteReference w:id="39"/>
      </w:r>
      <w:r w:rsidR="005463B2" w:rsidRPr="003D073B">
        <w:rPr>
          <w:rFonts w:ascii="Arial" w:hAnsi="Arial" w:cs="Arial"/>
          <w:sz w:val="24"/>
          <w:szCs w:val="24"/>
        </w:rPr>
        <w:t xml:space="preserve"> and </w:t>
      </w:r>
      <w:r w:rsidR="008127E7" w:rsidRPr="003D073B">
        <w:rPr>
          <w:rFonts w:ascii="Arial" w:hAnsi="Arial" w:cs="Arial"/>
          <w:sz w:val="24"/>
          <w:szCs w:val="24"/>
        </w:rPr>
        <w:t xml:space="preserve">other stakeholders, such as </w:t>
      </w:r>
      <w:r w:rsidR="005463B2" w:rsidRPr="003D073B">
        <w:rPr>
          <w:rFonts w:ascii="Arial" w:hAnsi="Arial" w:cs="Arial"/>
          <w:sz w:val="24"/>
          <w:szCs w:val="24"/>
        </w:rPr>
        <w:t xml:space="preserve">the United States </w:t>
      </w:r>
      <w:r w:rsidR="008D6E58" w:rsidRPr="003D073B">
        <w:rPr>
          <w:rFonts w:ascii="Arial" w:hAnsi="Arial" w:cs="Arial"/>
          <w:sz w:val="24"/>
          <w:szCs w:val="24"/>
        </w:rPr>
        <w:t>Department of State</w:t>
      </w:r>
      <w:r w:rsidR="00072FA3" w:rsidRPr="003D073B">
        <w:rPr>
          <w:rStyle w:val="FootnoteReference"/>
          <w:rFonts w:ascii="Arial" w:hAnsi="Arial" w:cs="Arial"/>
          <w:sz w:val="24"/>
          <w:szCs w:val="24"/>
        </w:rPr>
        <w:footnoteReference w:id="40"/>
      </w:r>
      <w:r w:rsidR="00415FF7" w:rsidRPr="003D073B">
        <w:rPr>
          <w:rFonts w:ascii="Arial" w:hAnsi="Arial" w:cs="Arial"/>
          <w:sz w:val="24"/>
          <w:szCs w:val="24"/>
        </w:rPr>
        <w:t xml:space="preserve">, shows that </w:t>
      </w:r>
      <w:r w:rsidR="004B7502" w:rsidRPr="003D073B">
        <w:rPr>
          <w:rFonts w:ascii="Arial" w:hAnsi="Arial" w:cs="Arial"/>
          <w:sz w:val="24"/>
          <w:szCs w:val="24"/>
        </w:rPr>
        <w:t>Hong</w:t>
      </w:r>
      <w:r w:rsidR="00441AA1" w:rsidRPr="003D073B">
        <w:rPr>
          <w:rFonts w:ascii="Arial" w:hAnsi="Arial" w:cs="Arial"/>
          <w:sz w:val="24"/>
          <w:szCs w:val="24"/>
        </w:rPr>
        <w:t xml:space="preserve"> Kong remain</w:t>
      </w:r>
      <w:r w:rsidR="000A6EA1" w:rsidRPr="003D073B">
        <w:rPr>
          <w:rFonts w:ascii="Arial" w:hAnsi="Arial" w:cs="Arial"/>
          <w:sz w:val="24"/>
          <w:szCs w:val="24"/>
        </w:rPr>
        <w:t xml:space="preserve">s a </w:t>
      </w:r>
      <w:r w:rsidR="003D3C41" w:rsidRPr="003D073B">
        <w:rPr>
          <w:rFonts w:ascii="Arial" w:hAnsi="Arial" w:cs="Arial"/>
          <w:sz w:val="24"/>
          <w:szCs w:val="24"/>
        </w:rPr>
        <w:t xml:space="preserve">source, destination, and transit </w:t>
      </w:r>
      <w:r w:rsidR="004B7A6B" w:rsidRPr="003D073B">
        <w:rPr>
          <w:rFonts w:ascii="Arial" w:hAnsi="Arial" w:cs="Arial"/>
          <w:sz w:val="24"/>
          <w:szCs w:val="24"/>
        </w:rPr>
        <w:t>site</w:t>
      </w:r>
      <w:r w:rsidR="003D3C41" w:rsidRPr="003D073B">
        <w:rPr>
          <w:rFonts w:ascii="Arial" w:hAnsi="Arial" w:cs="Arial"/>
          <w:sz w:val="24"/>
          <w:szCs w:val="24"/>
        </w:rPr>
        <w:t xml:space="preserve"> for human trafficking. </w:t>
      </w:r>
    </w:p>
    <w:p w14:paraId="7937E132" w14:textId="2168B34D" w:rsidR="007C2531" w:rsidRPr="003D073B" w:rsidRDefault="00813C2C" w:rsidP="00420113">
      <w:pPr>
        <w:jc w:val="both"/>
        <w:rPr>
          <w:rFonts w:ascii="Arial" w:hAnsi="Arial" w:cs="Arial"/>
          <w:sz w:val="24"/>
          <w:szCs w:val="24"/>
        </w:rPr>
      </w:pPr>
      <w:r w:rsidRPr="003D073B">
        <w:rPr>
          <w:rFonts w:ascii="Arial" w:hAnsi="Arial" w:cs="Arial"/>
          <w:sz w:val="24"/>
          <w:szCs w:val="24"/>
        </w:rPr>
        <w:t xml:space="preserve">Regrettably, </w:t>
      </w:r>
      <w:r w:rsidR="006C23B7" w:rsidRPr="003D073B">
        <w:rPr>
          <w:rFonts w:ascii="Arial" w:hAnsi="Arial" w:cs="Arial"/>
          <w:sz w:val="24"/>
          <w:szCs w:val="24"/>
        </w:rPr>
        <w:t>t</w:t>
      </w:r>
      <w:r w:rsidR="0053010F" w:rsidRPr="003D073B">
        <w:rPr>
          <w:rFonts w:ascii="Arial" w:hAnsi="Arial" w:cs="Arial"/>
          <w:sz w:val="24"/>
          <w:szCs w:val="24"/>
        </w:rPr>
        <w:t xml:space="preserve">here </w:t>
      </w:r>
      <w:r w:rsidR="00766C91" w:rsidRPr="003D073B">
        <w:rPr>
          <w:rFonts w:ascii="Arial" w:hAnsi="Arial" w:cs="Arial"/>
          <w:sz w:val="24"/>
          <w:szCs w:val="24"/>
        </w:rPr>
        <w:t>is</w:t>
      </w:r>
      <w:r w:rsidR="0053010F" w:rsidRPr="003D073B">
        <w:rPr>
          <w:rFonts w:ascii="Arial" w:hAnsi="Arial" w:cs="Arial"/>
          <w:sz w:val="24"/>
          <w:szCs w:val="24"/>
        </w:rPr>
        <w:t xml:space="preserve"> no comprehensive anti-human trafficking legislation in Hong Kong. </w:t>
      </w:r>
      <w:r w:rsidR="00BA2901" w:rsidRPr="003D073B">
        <w:rPr>
          <w:rFonts w:ascii="Arial" w:hAnsi="Arial" w:cs="Arial"/>
          <w:sz w:val="24"/>
          <w:szCs w:val="24"/>
        </w:rPr>
        <w:t xml:space="preserve">Existing legislation </w:t>
      </w:r>
      <w:r w:rsidR="00B2625B" w:rsidRPr="003D073B">
        <w:rPr>
          <w:rFonts w:ascii="Arial" w:hAnsi="Arial" w:cs="Arial"/>
          <w:sz w:val="24"/>
          <w:szCs w:val="24"/>
        </w:rPr>
        <w:t xml:space="preserve">only criminalises </w:t>
      </w:r>
      <w:r w:rsidR="001F0CD7" w:rsidRPr="003D073B">
        <w:rPr>
          <w:rFonts w:ascii="Arial" w:hAnsi="Arial" w:cs="Arial"/>
          <w:sz w:val="24"/>
          <w:szCs w:val="24"/>
        </w:rPr>
        <w:t xml:space="preserve">human trafficking for the purpose of </w:t>
      </w:r>
      <w:r w:rsidR="00B2625B" w:rsidRPr="003D073B">
        <w:rPr>
          <w:rFonts w:ascii="Arial" w:hAnsi="Arial" w:cs="Arial"/>
          <w:sz w:val="24"/>
          <w:szCs w:val="24"/>
        </w:rPr>
        <w:t>transnational sex work</w:t>
      </w:r>
      <w:r w:rsidR="00BA2901" w:rsidRPr="003D073B">
        <w:rPr>
          <w:rStyle w:val="FootnoteReference"/>
          <w:rFonts w:ascii="Arial" w:hAnsi="Arial" w:cs="Arial"/>
          <w:sz w:val="24"/>
          <w:szCs w:val="24"/>
        </w:rPr>
        <w:footnoteReference w:id="41"/>
      </w:r>
      <w:r w:rsidR="00370296" w:rsidRPr="003D073B">
        <w:rPr>
          <w:rFonts w:ascii="Arial" w:hAnsi="Arial" w:cs="Arial"/>
          <w:sz w:val="24"/>
          <w:szCs w:val="24"/>
        </w:rPr>
        <w:t>.</w:t>
      </w:r>
      <w:r w:rsidR="00420113" w:rsidRPr="003D073B">
        <w:rPr>
          <w:rFonts w:ascii="Arial" w:hAnsi="Arial" w:cs="Arial"/>
          <w:sz w:val="24"/>
          <w:szCs w:val="24"/>
        </w:rPr>
        <w:t xml:space="preserve"> While China is a signatory to the </w:t>
      </w:r>
      <w:r w:rsidR="00CF11F4" w:rsidRPr="003D073B">
        <w:rPr>
          <w:rFonts w:ascii="Arial" w:hAnsi="Arial" w:cs="Arial"/>
          <w:sz w:val="24"/>
          <w:szCs w:val="24"/>
        </w:rPr>
        <w:t xml:space="preserve">2000 </w:t>
      </w:r>
      <w:r w:rsidR="00420113" w:rsidRPr="003D073B">
        <w:rPr>
          <w:rFonts w:ascii="Arial" w:hAnsi="Arial" w:cs="Arial"/>
          <w:sz w:val="24"/>
          <w:szCs w:val="24"/>
        </w:rPr>
        <w:t>Protocol to Prevent, Suppress and Punish Trafficking in Persons Especially Women and Children, Supplementing the United Nations Convention against</w:t>
      </w:r>
      <w:r w:rsidR="00CF11F4" w:rsidRPr="003D073B">
        <w:rPr>
          <w:rFonts w:ascii="Arial" w:hAnsi="Arial" w:cs="Arial"/>
          <w:sz w:val="24"/>
          <w:szCs w:val="24"/>
        </w:rPr>
        <w:t xml:space="preserve"> </w:t>
      </w:r>
      <w:r w:rsidR="00420113" w:rsidRPr="003D073B">
        <w:rPr>
          <w:rFonts w:ascii="Arial" w:hAnsi="Arial" w:cs="Arial"/>
          <w:sz w:val="24"/>
          <w:szCs w:val="24"/>
        </w:rPr>
        <w:t>Transnational Organized Crime</w:t>
      </w:r>
      <w:r w:rsidR="00CF11F4" w:rsidRPr="003D073B">
        <w:rPr>
          <w:rFonts w:ascii="Arial" w:hAnsi="Arial" w:cs="Arial"/>
          <w:sz w:val="24"/>
          <w:szCs w:val="24"/>
        </w:rPr>
        <w:t xml:space="preserve"> (</w:t>
      </w:r>
      <w:r w:rsidR="001063AF" w:rsidRPr="003D073B">
        <w:rPr>
          <w:rFonts w:ascii="Arial" w:hAnsi="Arial" w:cs="Arial"/>
          <w:sz w:val="24"/>
          <w:szCs w:val="24"/>
        </w:rPr>
        <w:t>“</w:t>
      </w:r>
      <w:r w:rsidR="00CF11F4" w:rsidRPr="003D073B">
        <w:rPr>
          <w:rFonts w:ascii="Arial" w:hAnsi="Arial" w:cs="Arial"/>
          <w:sz w:val="24"/>
          <w:szCs w:val="24"/>
        </w:rPr>
        <w:t>Palermo Protocol</w:t>
      </w:r>
      <w:r w:rsidR="001063AF" w:rsidRPr="003D073B">
        <w:rPr>
          <w:rFonts w:ascii="Arial" w:hAnsi="Arial" w:cs="Arial"/>
          <w:sz w:val="24"/>
          <w:szCs w:val="24"/>
        </w:rPr>
        <w:t>”</w:t>
      </w:r>
      <w:r w:rsidR="00CF11F4" w:rsidRPr="003D073B">
        <w:rPr>
          <w:rFonts w:ascii="Arial" w:hAnsi="Arial" w:cs="Arial"/>
          <w:sz w:val="24"/>
          <w:szCs w:val="24"/>
        </w:rPr>
        <w:t>)</w:t>
      </w:r>
      <w:r w:rsidR="00194A22" w:rsidRPr="003D073B">
        <w:rPr>
          <w:rFonts w:ascii="Arial" w:hAnsi="Arial" w:cs="Arial"/>
          <w:sz w:val="24"/>
          <w:szCs w:val="24"/>
        </w:rPr>
        <w:t>, i</w:t>
      </w:r>
      <w:r w:rsidR="00001399" w:rsidRPr="003D073B">
        <w:rPr>
          <w:rFonts w:ascii="Arial" w:hAnsi="Arial" w:cs="Arial"/>
          <w:sz w:val="24"/>
          <w:szCs w:val="24"/>
        </w:rPr>
        <w:t xml:space="preserve">t has not been extended to Hong Kong. </w:t>
      </w:r>
    </w:p>
    <w:p w14:paraId="02EC9FF0" w14:textId="68519388" w:rsidR="00336BFB" w:rsidRPr="003D073B" w:rsidRDefault="007C2531" w:rsidP="00420113">
      <w:pPr>
        <w:jc w:val="both"/>
        <w:rPr>
          <w:rFonts w:ascii="Arial" w:hAnsi="Arial" w:cs="Arial"/>
          <w:sz w:val="24"/>
          <w:szCs w:val="24"/>
        </w:rPr>
      </w:pPr>
      <w:r w:rsidRPr="003D073B">
        <w:rPr>
          <w:rFonts w:ascii="Arial" w:hAnsi="Arial" w:cs="Arial"/>
          <w:sz w:val="24"/>
          <w:szCs w:val="24"/>
        </w:rPr>
        <w:t>Justice Centre is concerned that t</w:t>
      </w:r>
      <w:r w:rsidR="00813C2C" w:rsidRPr="003D073B">
        <w:rPr>
          <w:rFonts w:ascii="Arial" w:hAnsi="Arial" w:cs="Arial"/>
          <w:sz w:val="24"/>
          <w:szCs w:val="24"/>
        </w:rPr>
        <w:t xml:space="preserve">he Government refused to extend the Palermo Protocol to Hong Kong on the grounds </w:t>
      </w:r>
      <w:r w:rsidR="00C629C7" w:rsidRPr="003D073B">
        <w:rPr>
          <w:rFonts w:ascii="Arial" w:hAnsi="Arial" w:cs="Arial"/>
          <w:sz w:val="24"/>
          <w:szCs w:val="24"/>
        </w:rPr>
        <w:t xml:space="preserve">that it would enable </w:t>
      </w:r>
      <w:r w:rsidR="0076200B" w:rsidRPr="003D073B">
        <w:rPr>
          <w:rFonts w:ascii="Arial" w:hAnsi="Arial" w:cs="Arial"/>
          <w:sz w:val="24"/>
          <w:szCs w:val="24"/>
        </w:rPr>
        <w:t xml:space="preserve">“abuse </w:t>
      </w:r>
      <w:r w:rsidR="00C629C7" w:rsidRPr="003D073B">
        <w:rPr>
          <w:rFonts w:ascii="Arial" w:hAnsi="Arial" w:cs="Arial"/>
          <w:sz w:val="24"/>
          <w:szCs w:val="24"/>
        </w:rPr>
        <w:t>by overstayers and illegal migrants</w:t>
      </w:r>
      <w:r w:rsidR="0076200B" w:rsidRPr="003D073B">
        <w:rPr>
          <w:rFonts w:ascii="Arial" w:hAnsi="Arial" w:cs="Arial"/>
          <w:sz w:val="24"/>
          <w:szCs w:val="24"/>
        </w:rPr>
        <w:t>”</w:t>
      </w:r>
      <w:r w:rsidR="00C629C7" w:rsidRPr="003D073B">
        <w:rPr>
          <w:rFonts w:ascii="Arial" w:hAnsi="Arial" w:cs="Arial"/>
          <w:sz w:val="24"/>
          <w:szCs w:val="24"/>
        </w:rPr>
        <w:t xml:space="preserve"> and </w:t>
      </w:r>
      <w:r w:rsidR="0076200B" w:rsidRPr="003D073B">
        <w:rPr>
          <w:rFonts w:ascii="Arial" w:hAnsi="Arial" w:cs="Arial"/>
          <w:sz w:val="24"/>
          <w:szCs w:val="24"/>
        </w:rPr>
        <w:t xml:space="preserve">enable </w:t>
      </w:r>
      <w:r w:rsidR="008175B7" w:rsidRPr="003D073B">
        <w:rPr>
          <w:rFonts w:ascii="Arial" w:hAnsi="Arial" w:cs="Arial"/>
          <w:sz w:val="24"/>
          <w:szCs w:val="24"/>
        </w:rPr>
        <w:t>victims of trafficking to remain in Hong Kong</w:t>
      </w:r>
      <w:r w:rsidRPr="003D073B">
        <w:rPr>
          <w:rStyle w:val="FootnoteReference"/>
          <w:rFonts w:ascii="Arial" w:hAnsi="Arial" w:cs="Arial"/>
          <w:sz w:val="24"/>
          <w:szCs w:val="24"/>
        </w:rPr>
        <w:footnoteReference w:id="42"/>
      </w:r>
      <w:r w:rsidR="009634E7" w:rsidRPr="003D073B">
        <w:rPr>
          <w:rFonts w:ascii="Arial" w:hAnsi="Arial" w:cs="Arial"/>
          <w:sz w:val="24"/>
          <w:szCs w:val="24"/>
        </w:rPr>
        <w:t xml:space="preserve">, which </w:t>
      </w:r>
      <w:r w:rsidR="000C1F92" w:rsidRPr="003D073B">
        <w:rPr>
          <w:rFonts w:ascii="Arial" w:hAnsi="Arial" w:cs="Arial"/>
          <w:sz w:val="24"/>
          <w:szCs w:val="24"/>
        </w:rPr>
        <w:t>disregards</w:t>
      </w:r>
      <w:r w:rsidR="009634E7" w:rsidRPr="003D073B">
        <w:rPr>
          <w:rFonts w:ascii="Arial" w:hAnsi="Arial" w:cs="Arial"/>
          <w:sz w:val="24"/>
          <w:szCs w:val="24"/>
        </w:rPr>
        <w:t xml:space="preserve"> Hong Kong’s international obligations to protect victims of trafficking and </w:t>
      </w:r>
      <w:r w:rsidR="000C1F92" w:rsidRPr="003D073B">
        <w:rPr>
          <w:rFonts w:ascii="Arial" w:hAnsi="Arial" w:cs="Arial"/>
          <w:sz w:val="24"/>
          <w:szCs w:val="24"/>
        </w:rPr>
        <w:t>prima facie assumes people in need of protection are abusers of the system.</w:t>
      </w:r>
    </w:p>
    <w:p w14:paraId="180A7267" w14:textId="0A41F241" w:rsidR="006F5280" w:rsidRPr="003D073B" w:rsidRDefault="00514A02" w:rsidP="00E03C5E">
      <w:pPr>
        <w:pStyle w:val="ListParagraph"/>
        <w:numPr>
          <w:ilvl w:val="1"/>
          <w:numId w:val="1"/>
        </w:numPr>
        <w:jc w:val="both"/>
        <w:rPr>
          <w:rFonts w:ascii="Arial" w:hAnsi="Arial" w:cs="Arial"/>
          <w:b/>
          <w:bCs/>
          <w:sz w:val="24"/>
          <w:szCs w:val="24"/>
        </w:rPr>
      </w:pPr>
      <w:r w:rsidRPr="003D073B">
        <w:rPr>
          <w:rFonts w:ascii="Arial" w:hAnsi="Arial" w:cs="Arial"/>
          <w:b/>
          <w:bCs/>
          <w:sz w:val="24"/>
          <w:szCs w:val="24"/>
        </w:rPr>
        <w:t>Issues with victim identification</w:t>
      </w:r>
    </w:p>
    <w:p w14:paraId="5E73959C" w14:textId="78B6911A" w:rsidR="00570DE6" w:rsidRPr="003D073B" w:rsidRDefault="00103923" w:rsidP="00420113">
      <w:pPr>
        <w:jc w:val="both"/>
        <w:rPr>
          <w:rFonts w:ascii="Arial" w:hAnsi="Arial" w:cs="Arial"/>
          <w:sz w:val="24"/>
          <w:szCs w:val="24"/>
        </w:rPr>
      </w:pPr>
      <w:r w:rsidRPr="003D073B">
        <w:rPr>
          <w:rFonts w:ascii="Arial" w:hAnsi="Arial" w:cs="Arial"/>
          <w:sz w:val="24"/>
          <w:szCs w:val="24"/>
        </w:rPr>
        <w:lastRenderedPageBreak/>
        <w:t>While the Government has a human trafficking victim screening mechanism in place</w:t>
      </w:r>
      <w:r w:rsidRPr="003D073B">
        <w:rPr>
          <w:rStyle w:val="FootnoteReference"/>
          <w:rFonts w:ascii="Arial" w:hAnsi="Arial" w:cs="Arial"/>
          <w:sz w:val="24"/>
          <w:szCs w:val="24"/>
        </w:rPr>
        <w:footnoteReference w:id="43"/>
      </w:r>
      <w:r w:rsidRPr="003D073B">
        <w:rPr>
          <w:rFonts w:ascii="Arial" w:hAnsi="Arial" w:cs="Arial"/>
          <w:sz w:val="24"/>
          <w:szCs w:val="24"/>
        </w:rPr>
        <w:t>,</w:t>
      </w:r>
      <w:r w:rsidR="00E5361F" w:rsidRPr="003D073B">
        <w:rPr>
          <w:rFonts w:ascii="Arial" w:hAnsi="Arial" w:cs="Arial"/>
          <w:sz w:val="24"/>
          <w:szCs w:val="24"/>
        </w:rPr>
        <w:t xml:space="preserve"> </w:t>
      </w:r>
      <w:r w:rsidR="0002481A" w:rsidRPr="003D073B">
        <w:rPr>
          <w:rFonts w:ascii="Arial" w:hAnsi="Arial" w:cs="Arial"/>
          <w:sz w:val="24"/>
          <w:szCs w:val="24"/>
        </w:rPr>
        <w:t xml:space="preserve">Justice Centre is concerned about the adequacy of the </w:t>
      </w:r>
      <w:r w:rsidR="007F5741" w:rsidRPr="003D073B">
        <w:rPr>
          <w:rFonts w:ascii="Arial" w:hAnsi="Arial" w:cs="Arial"/>
          <w:sz w:val="24"/>
          <w:szCs w:val="24"/>
        </w:rPr>
        <w:t>mechanism</w:t>
      </w:r>
      <w:r w:rsidR="00E7154A" w:rsidRPr="003D073B">
        <w:rPr>
          <w:rFonts w:ascii="Arial" w:hAnsi="Arial" w:cs="Arial"/>
          <w:sz w:val="24"/>
          <w:szCs w:val="24"/>
        </w:rPr>
        <w:t xml:space="preserve">. </w:t>
      </w:r>
      <w:r w:rsidR="00570DE6" w:rsidRPr="003D073B">
        <w:rPr>
          <w:rFonts w:ascii="Arial" w:hAnsi="Arial" w:cs="Arial"/>
          <w:sz w:val="24"/>
          <w:szCs w:val="24"/>
        </w:rPr>
        <w:t>The number of trafficking victims identified by the Government remain</w:t>
      </w:r>
      <w:r w:rsidR="00A830F2" w:rsidRPr="003D073B">
        <w:rPr>
          <w:rFonts w:ascii="Arial" w:hAnsi="Arial" w:cs="Arial"/>
          <w:sz w:val="24"/>
          <w:szCs w:val="24"/>
        </w:rPr>
        <w:t>s</w:t>
      </w:r>
      <w:r w:rsidR="00570DE6" w:rsidRPr="003D073B">
        <w:rPr>
          <w:rFonts w:ascii="Arial" w:hAnsi="Arial" w:cs="Arial"/>
          <w:sz w:val="24"/>
          <w:szCs w:val="24"/>
        </w:rPr>
        <w:t xml:space="preserve"> </w:t>
      </w:r>
      <w:r w:rsidR="00903ADF">
        <w:rPr>
          <w:rFonts w:ascii="Arial" w:hAnsi="Arial" w:cs="Arial"/>
          <w:sz w:val="24"/>
          <w:szCs w:val="24"/>
        </w:rPr>
        <w:t xml:space="preserve">very </w:t>
      </w:r>
      <w:r w:rsidR="00570DE6" w:rsidRPr="003D073B">
        <w:rPr>
          <w:rFonts w:ascii="Arial" w:hAnsi="Arial" w:cs="Arial"/>
          <w:sz w:val="24"/>
          <w:szCs w:val="24"/>
        </w:rPr>
        <w:t>low</w:t>
      </w:r>
      <w:r w:rsidR="00DE0F29" w:rsidRPr="003D073B">
        <w:rPr>
          <w:rFonts w:ascii="Arial" w:hAnsi="Arial" w:cs="Arial"/>
          <w:sz w:val="24"/>
          <w:szCs w:val="24"/>
        </w:rPr>
        <w:t>,</w:t>
      </w:r>
      <w:r w:rsidR="00FA0F63" w:rsidRPr="003D073B">
        <w:rPr>
          <w:rFonts w:ascii="Arial" w:hAnsi="Arial" w:cs="Arial"/>
          <w:sz w:val="24"/>
          <w:szCs w:val="24"/>
        </w:rPr>
        <w:t xml:space="preserve"> despite that civil society efforts to </w:t>
      </w:r>
      <w:r w:rsidR="002C2581" w:rsidRPr="003D073B">
        <w:rPr>
          <w:rFonts w:ascii="Arial" w:hAnsi="Arial" w:cs="Arial"/>
          <w:sz w:val="24"/>
          <w:szCs w:val="24"/>
        </w:rPr>
        <w:t>screen</w:t>
      </w:r>
      <w:r w:rsidR="00FA0F63" w:rsidRPr="003D073B">
        <w:rPr>
          <w:rFonts w:ascii="Arial" w:hAnsi="Arial" w:cs="Arial"/>
          <w:sz w:val="24"/>
          <w:szCs w:val="24"/>
        </w:rPr>
        <w:t xml:space="preserve"> victim</w:t>
      </w:r>
      <w:r w:rsidR="00A25BC2" w:rsidRPr="003D073B">
        <w:rPr>
          <w:rFonts w:ascii="Arial" w:hAnsi="Arial" w:cs="Arial"/>
          <w:sz w:val="24"/>
          <w:szCs w:val="24"/>
        </w:rPr>
        <w:t xml:space="preserve">s </w:t>
      </w:r>
      <w:r w:rsidR="009E097E" w:rsidRPr="003D073B">
        <w:rPr>
          <w:rFonts w:ascii="Arial" w:hAnsi="Arial" w:cs="Arial"/>
          <w:sz w:val="24"/>
          <w:szCs w:val="24"/>
        </w:rPr>
        <w:t>suggest the number of victims is significantly higher</w:t>
      </w:r>
      <w:r w:rsidR="002C2581" w:rsidRPr="003D073B">
        <w:rPr>
          <w:rStyle w:val="FootnoteReference"/>
          <w:rFonts w:ascii="Arial" w:hAnsi="Arial" w:cs="Arial"/>
          <w:sz w:val="24"/>
          <w:szCs w:val="24"/>
        </w:rPr>
        <w:footnoteReference w:id="44"/>
      </w:r>
      <w:r w:rsidR="009E097E" w:rsidRPr="003D073B">
        <w:rPr>
          <w:rFonts w:ascii="Arial" w:hAnsi="Arial" w:cs="Arial"/>
          <w:sz w:val="24"/>
          <w:szCs w:val="24"/>
        </w:rPr>
        <w:t>.</w:t>
      </w:r>
    </w:p>
    <w:p w14:paraId="6E274ABF" w14:textId="1742F3FD" w:rsidR="0016076F" w:rsidRPr="003D073B" w:rsidRDefault="0016076F" w:rsidP="00420113">
      <w:pPr>
        <w:jc w:val="both"/>
        <w:rPr>
          <w:rFonts w:ascii="Arial" w:hAnsi="Arial" w:cs="Arial"/>
          <w:sz w:val="24"/>
          <w:szCs w:val="24"/>
        </w:rPr>
      </w:pPr>
      <w:r w:rsidRPr="003D073B">
        <w:rPr>
          <w:rFonts w:ascii="Arial" w:hAnsi="Arial" w:cs="Arial"/>
          <w:sz w:val="24"/>
          <w:szCs w:val="24"/>
        </w:rPr>
        <w:t xml:space="preserve">For instance, Justice Centre estimated </w:t>
      </w:r>
      <w:r w:rsidR="002164AF" w:rsidRPr="003D073B">
        <w:rPr>
          <w:rFonts w:ascii="Arial" w:hAnsi="Arial" w:cs="Arial"/>
          <w:sz w:val="24"/>
          <w:szCs w:val="24"/>
        </w:rPr>
        <w:t>in</w:t>
      </w:r>
      <w:r w:rsidRPr="003D073B">
        <w:rPr>
          <w:rFonts w:ascii="Arial" w:hAnsi="Arial" w:cs="Arial"/>
          <w:sz w:val="24"/>
          <w:szCs w:val="24"/>
        </w:rPr>
        <w:t xml:space="preserve"> 2016 that 17% of migrant domestic workers in Hong Kong were in conditions of forced labour, and among those workers 14% had been trafficked into it</w:t>
      </w:r>
      <w:r w:rsidRPr="003D073B">
        <w:rPr>
          <w:rStyle w:val="FootnoteReference"/>
          <w:rFonts w:ascii="Arial" w:hAnsi="Arial" w:cs="Arial"/>
          <w:sz w:val="24"/>
          <w:szCs w:val="24"/>
        </w:rPr>
        <w:footnoteReference w:id="45"/>
      </w:r>
      <w:r w:rsidRPr="003D073B">
        <w:rPr>
          <w:rFonts w:ascii="Arial" w:hAnsi="Arial" w:cs="Arial"/>
          <w:sz w:val="24"/>
          <w:szCs w:val="24"/>
        </w:rPr>
        <w:t>. This means potentially over 9000 people among the approximately 390,000 migrant domestic workers in Hong Kong are victims of human trafficking for the purpose of forced labour</w:t>
      </w:r>
      <w:r w:rsidRPr="003D073B">
        <w:rPr>
          <w:rStyle w:val="FootnoteReference"/>
          <w:rFonts w:ascii="Arial" w:hAnsi="Arial" w:cs="Arial"/>
          <w:sz w:val="24"/>
          <w:szCs w:val="24"/>
        </w:rPr>
        <w:footnoteReference w:id="46"/>
      </w:r>
      <w:r w:rsidRPr="003D073B">
        <w:rPr>
          <w:rFonts w:ascii="Arial" w:hAnsi="Arial" w:cs="Arial"/>
          <w:sz w:val="24"/>
          <w:szCs w:val="24"/>
        </w:rPr>
        <w:t>.</w:t>
      </w:r>
    </w:p>
    <w:p w14:paraId="7E96FD69" w14:textId="3F0E842C" w:rsidR="003D6771" w:rsidRPr="003D073B" w:rsidRDefault="003D6771" w:rsidP="00420113">
      <w:pPr>
        <w:jc w:val="both"/>
        <w:rPr>
          <w:rFonts w:ascii="Arial" w:hAnsi="Arial" w:cs="Arial"/>
          <w:sz w:val="24"/>
          <w:szCs w:val="24"/>
        </w:rPr>
      </w:pPr>
      <w:r w:rsidRPr="003D073B">
        <w:rPr>
          <w:rFonts w:ascii="Arial" w:hAnsi="Arial" w:cs="Arial"/>
          <w:sz w:val="24"/>
          <w:szCs w:val="24"/>
        </w:rPr>
        <w:t xml:space="preserve">However, in the year 2019, the Government only identified 2 people as victims of human trafficking. </w:t>
      </w:r>
      <w:r w:rsidR="006E501E" w:rsidRPr="003D073B">
        <w:rPr>
          <w:rFonts w:ascii="Arial" w:hAnsi="Arial" w:cs="Arial"/>
          <w:sz w:val="24"/>
          <w:szCs w:val="24"/>
        </w:rPr>
        <w:t xml:space="preserve">We are concerned that the low </w:t>
      </w:r>
      <w:r w:rsidR="0030451B" w:rsidRPr="003D073B">
        <w:rPr>
          <w:rFonts w:ascii="Arial" w:hAnsi="Arial" w:cs="Arial"/>
          <w:sz w:val="24"/>
          <w:szCs w:val="24"/>
        </w:rPr>
        <w:t xml:space="preserve">number of trafficking victims identified by the Government reflects inadequacies of the victim identification mechanism, including </w:t>
      </w:r>
      <w:r w:rsidR="008E036C" w:rsidRPr="003D073B">
        <w:rPr>
          <w:rFonts w:ascii="Arial" w:hAnsi="Arial" w:cs="Arial"/>
          <w:sz w:val="24"/>
          <w:szCs w:val="24"/>
        </w:rPr>
        <w:t xml:space="preserve">vagueness of the screening form, </w:t>
      </w:r>
      <w:r w:rsidR="00ED0BD2" w:rsidRPr="003D073B">
        <w:rPr>
          <w:rFonts w:ascii="Arial" w:hAnsi="Arial" w:cs="Arial"/>
          <w:sz w:val="24"/>
          <w:szCs w:val="24"/>
        </w:rPr>
        <w:t xml:space="preserve">lack of training for police and immigration officers, </w:t>
      </w:r>
      <w:r w:rsidR="008E036C" w:rsidRPr="003D073B">
        <w:rPr>
          <w:rFonts w:ascii="Arial" w:hAnsi="Arial" w:cs="Arial"/>
          <w:sz w:val="24"/>
          <w:szCs w:val="24"/>
        </w:rPr>
        <w:t xml:space="preserve">and the lack of legal representation for victims at their screening interviews. </w:t>
      </w:r>
    </w:p>
    <w:tbl>
      <w:tblPr>
        <w:tblStyle w:val="TableGrid"/>
        <w:tblW w:w="9067" w:type="dxa"/>
        <w:tblLook w:val="04A0" w:firstRow="1" w:lastRow="0" w:firstColumn="1" w:lastColumn="0" w:noHBand="0" w:noVBand="1"/>
      </w:tblPr>
      <w:tblGrid>
        <w:gridCol w:w="3114"/>
        <w:gridCol w:w="1984"/>
        <w:gridCol w:w="2127"/>
        <w:gridCol w:w="1842"/>
      </w:tblGrid>
      <w:tr w:rsidR="00A830F2" w:rsidRPr="003D073B" w14:paraId="4BAC4C9F" w14:textId="52044552" w:rsidTr="00A830F2">
        <w:trPr>
          <w:trHeight w:val="244"/>
        </w:trPr>
        <w:tc>
          <w:tcPr>
            <w:tcW w:w="3114" w:type="dxa"/>
          </w:tcPr>
          <w:p w14:paraId="6C908FF9" w14:textId="550D27E8" w:rsidR="00A830F2" w:rsidRPr="003D073B" w:rsidRDefault="00A830F2" w:rsidP="00420113">
            <w:pPr>
              <w:jc w:val="both"/>
              <w:rPr>
                <w:rFonts w:ascii="Arial" w:hAnsi="Arial" w:cs="Arial"/>
                <w:b/>
                <w:bCs/>
                <w:sz w:val="24"/>
                <w:szCs w:val="24"/>
              </w:rPr>
            </w:pPr>
            <w:r w:rsidRPr="003D073B">
              <w:rPr>
                <w:rFonts w:ascii="Arial" w:hAnsi="Arial" w:cs="Arial"/>
                <w:b/>
                <w:bCs/>
                <w:sz w:val="24"/>
                <w:szCs w:val="24"/>
              </w:rPr>
              <w:lastRenderedPageBreak/>
              <w:t>Year</w:t>
            </w:r>
          </w:p>
        </w:tc>
        <w:tc>
          <w:tcPr>
            <w:tcW w:w="1984" w:type="dxa"/>
          </w:tcPr>
          <w:p w14:paraId="3AF967B3" w14:textId="15D05BA1" w:rsidR="00A830F2" w:rsidRPr="003D073B" w:rsidRDefault="00A830F2" w:rsidP="00420113">
            <w:pPr>
              <w:jc w:val="both"/>
              <w:rPr>
                <w:rFonts w:ascii="Arial" w:hAnsi="Arial" w:cs="Arial"/>
                <w:b/>
                <w:bCs/>
                <w:sz w:val="24"/>
                <w:szCs w:val="24"/>
              </w:rPr>
            </w:pPr>
            <w:r w:rsidRPr="003D073B">
              <w:rPr>
                <w:rFonts w:ascii="Arial" w:hAnsi="Arial" w:cs="Arial"/>
                <w:b/>
                <w:bCs/>
                <w:sz w:val="24"/>
                <w:szCs w:val="24"/>
              </w:rPr>
              <w:t>2017</w:t>
            </w:r>
          </w:p>
        </w:tc>
        <w:tc>
          <w:tcPr>
            <w:tcW w:w="2127" w:type="dxa"/>
          </w:tcPr>
          <w:p w14:paraId="00067C4A" w14:textId="271DBD71" w:rsidR="00A830F2" w:rsidRPr="003D073B" w:rsidRDefault="00A830F2" w:rsidP="00420113">
            <w:pPr>
              <w:jc w:val="both"/>
              <w:rPr>
                <w:rFonts w:ascii="Arial" w:hAnsi="Arial" w:cs="Arial"/>
                <w:b/>
                <w:bCs/>
                <w:sz w:val="24"/>
                <w:szCs w:val="24"/>
              </w:rPr>
            </w:pPr>
            <w:r w:rsidRPr="003D073B">
              <w:rPr>
                <w:rFonts w:ascii="Arial" w:hAnsi="Arial" w:cs="Arial"/>
                <w:b/>
                <w:bCs/>
                <w:sz w:val="24"/>
                <w:szCs w:val="24"/>
              </w:rPr>
              <w:t>2018</w:t>
            </w:r>
          </w:p>
        </w:tc>
        <w:tc>
          <w:tcPr>
            <w:tcW w:w="1842" w:type="dxa"/>
          </w:tcPr>
          <w:p w14:paraId="13DACB0C" w14:textId="41A51C79" w:rsidR="00A830F2" w:rsidRPr="003D073B" w:rsidRDefault="00A830F2" w:rsidP="00420113">
            <w:pPr>
              <w:jc w:val="both"/>
              <w:rPr>
                <w:rFonts w:ascii="Arial" w:hAnsi="Arial" w:cs="Arial"/>
                <w:b/>
                <w:bCs/>
                <w:sz w:val="24"/>
                <w:szCs w:val="24"/>
              </w:rPr>
            </w:pPr>
            <w:r w:rsidRPr="003D073B">
              <w:rPr>
                <w:rFonts w:ascii="Arial" w:hAnsi="Arial" w:cs="Arial"/>
                <w:b/>
                <w:bCs/>
                <w:sz w:val="24"/>
                <w:szCs w:val="24"/>
              </w:rPr>
              <w:t>2019</w:t>
            </w:r>
          </w:p>
        </w:tc>
      </w:tr>
      <w:tr w:rsidR="00F17485" w:rsidRPr="003D073B" w14:paraId="322270C9" w14:textId="77777777" w:rsidTr="00A830F2">
        <w:trPr>
          <w:trHeight w:val="244"/>
        </w:trPr>
        <w:tc>
          <w:tcPr>
            <w:tcW w:w="3114" w:type="dxa"/>
          </w:tcPr>
          <w:p w14:paraId="36F4D962" w14:textId="321D6D56" w:rsidR="00F17485" w:rsidRPr="003D073B" w:rsidRDefault="00F17485" w:rsidP="00420113">
            <w:pPr>
              <w:jc w:val="both"/>
              <w:rPr>
                <w:rFonts w:ascii="Arial" w:hAnsi="Arial" w:cs="Arial"/>
                <w:sz w:val="24"/>
                <w:szCs w:val="24"/>
              </w:rPr>
            </w:pPr>
            <w:r w:rsidRPr="003D073B">
              <w:rPr>
                <w:rFonts w:ascii="Arial" w:hAnsi="Arial" w:cs="Arial"/>
                <w:sz w:val="24"/>
                <w:szCs w:val="24"/>
              </w:rPr>
              <w:t xml:space="preserve">No. of people screened </w:t>
            </w:r>
          </w:p>
        </w:tc>
        <w:tc>
          <w:tcPr>
            <w:tcW w:w="1984" w:type="dxa"/>
          </w:tcPr>
          <w:p w14:paraId="6A4442B7" w14:textId="097689F5" w:rsidR="00F17485" w:rsidRPr="003D073B" w:rsidRDefault="00905A95" w:rsidP="00420113">
            <w:pPr>
              <w:jc w:val="both"/>
              <w:rPr>
                <w:rFonts w:ascii="Arial" w:hAnsi="Arial" w:cs="Arial"/>
                <w:sz w:val="24"/>
                <w:szCs w:val="24"/>
              </w:rPr>
            </w:pPr>
            <w:r w:rsidRPr="003D073B">
              <w:rPr>
                <w:rFonts w:ascii="Arial" w:hAnsi="Arial" w:cs="Arial"/>
                <w:sz w:val="24"/>
                <w:szCs w:val="24"/>
              </w:rPr>
              <w:t>4710</w:t>
            </w:r>
          </w:p>
        </w:tc>
        <w:tc>
          <w:tcPr>
            <w:tcW w:w="2127" w:type="dxa"/>
          </w:tcPr>
          <w:p w14:paraId="57C05692" w14:textId="23972E22" w:rsidR="00F17485" w:rsidRPr="003D073B" w:rsidRDefault="000653CC" w:rsidP="00420113">
            <w:pPr>
              <w:jc w:val="both"/>
              <w:rPr>
                <w:rFonts w:ascii="Arial" w:hAnsi="Arial" w:cs="Arial"/>
                <w:sz w:val="24"/>
                <w:szCs w:val="24"/>
              </w:rPr>
            </w:pPr>
            <w:r w:rsidRPr="003D073B">
              <w:rPr>
                <w:rFonts w:ascii="Arial" w:hAnsi="Arial" w:cs="Arial"/>
                <w:sz w:val="24"/>
                <w:szCs w:val="24"/>
              </w:rPr>
              <w:t>7</w:t>
            </w:r>
            <w:r w:rsidR="000E7F84" w:rsidRPr="003D073B">
              <w:rPr>
                <w:rFonts w:ascii="Arial" w:hAnsi="Arial" w:cs="Arial"/>
                <w:sz w:val="24"/>
                <w:szCs w:val="24"/>
              </w:rPr>
              <w:t xml:space="preserve">500 </w:t>
            </w:r>
          </w:p>
        </w:tc>
        <w:tc>
          <w:tcPr>
            <w:tcW w:w="1842" w:type="dxa"/>
          </w:tcPr>
          <w:p w14:paraId="08C6150E" w14:textId="79D195AE" w:rsidR="00F17485" w:rsidRPr="003D073B" w:rsidRDefault="00EE0C0B" w:rsidP="00420113">
            <w:pPr>
              <w:jc w:val="both"/>
              <w:rPr>
                <w:rFonts w:ascii="Arial" w:hAnsi="Arial" w:cs="Arial"/>
                <w:sz w:val="24"/>
                <w:szCs w:val="24"/>
              </w:rPr>
            </w:pPr>
            <w:r w:rsidRPr="003D073B">
              <w:rPr>
                <w:rFonts w:ascii="Arial" w:hAnsi="Arial" w:cs="Arial"/>
                <w:sz w:val="24"/>
                <w:szCs w:val="24"/>
              </w:rPr>
              <w:t>6790</w:t>
            </w:r>
          </w:p>
        </w:tc>
      </w:tr>
      <w:tr w:rsidR="00A830F2" w:rsidRPr="003D073B" w14:paraId="3FDA343B" w14:textId="4A310B93" w:rsidTr="00A830F2">
        <w:trPr>
          <w:trHeight w:val="252"/>
        </w:trPr>
        <w:tc>
          <w:tcPr>
            <w:tcW w:w="3114" w:type="dxa"/>
          </w:tcPr>
          <w:p w14:paraId="71D9307D" w14:textId="31DE7A00" w:rsidR="00A830F2" w:rsidRPr="003D073B" w:rsidRDefault="00A830F2" w:rsidP="004B2004">
            <w:pPr>
              <w:rPr>
                <w:rFonts w:ascii="Arial" w:hAnsi="Arial" w:cs="Arial"/>
                <w:sz w:val="24"/>
                <w:szCs w:val="24"/>
              </w:rPr>
            </w:pPr>
            <w:r w:rsidRPr="003D073B">
              <w:rPr>
                <w:rFonts w:ascii="Arial" w:hAnsi="Arial" w:cs="Arial"/>
                <w:sz w:val="24"/>
                <w:szCs w:val="24"/>
              </w:rPr>
              <w:t xml:space="preserve">No. of people identified as victims of human trafficking </w:t>
            </w:r>
          </w:p>
        </w:tc>
        <w:tc>
          <w:tcPr>
            <w:tcW w:w="1984" w:type="dxa"/>
          </w:tcPr>
          <w:p w14:paraId="2BDA9BA8" w14:textId="4782B136" w:rsidR="00A830F2" w:rsidRPr="003D073B" w:rsidRDefault="00A830F2" w:rsidP="00420113">
            <w:pPr>
              <w:jc w:val="both"/>
              <w:rPr>
                <w:rFonts w:ascii="Arial" w:hAnsi="Arial" w:cs="Arial"/>
                <w:sz w:val="24"/>
                <w:szCs w:val="24"/>
              </w:rPr>
            </w:pPr>
            <w:r w:rsidRPr="003D073B">
              <w:rPr>
                <w:rFonts w:ascii="Arial" w:hAnsi="Arial" w:cs="Arial"/>
                <w:sz w:val="24"/>
                <w:szCs w:val="24"/>
              </w:rPr>
              <w:t>10</w:t>
            </w:r>
          </w:p>
        </w:tc>
        <w:tc>
          <w:tcPr>
            <w:tcW w:w="2127" w:type="dxa"/>
          </w:tcPr>
          <w:p w14:paraId="38C0A15A" w14:textId="2C67F97B" w:rsidR="00A830F2" w:rsidRPr="003D073B" w:rsidRDefault="00A830F2" w:rsidP="00420113">
            <w:pPr>
              <w:jc w:val="both"/>
              <w:rPr>
                <w:rFonts w:ascii="Arial" w:hAnsi="Arial" w:cs="Arial"/>
                <w:sz w:val="24"/>
                <w:szCs w:val="24"/>
              </w:rPr>
            </w:pPr>
            <w:r w:rsidRPr="003D073B">
              <w:rPr>
                <w:rFonts w:ascii="Arial" w:hAnsi="Arial" w:cs="Arial"/>
                <w:sz w:val="24"/>
                <w:szCs w:val="24"/>
              </w:rPr>
              <w:t>18</w:t>
            </w:r>
          </w:p>
        </w:tc>
        <w:tc>
          <w:tcPr>
            <w:tcW w:w="1842" w:type="dxa"/>
          </w:tcPr>
          <w:p w14:paraId="50FAC812" w14:textId="6E069CCC" w:rsidR="00A830F2" w:rsidRPr="003D073B" w:rsidRDefault="00A830F2" w:rsidP="00420113">
            <w:pPr>
              <w:jc w:val="both"/>
              <w:rPr>
                <w:rFonts w:ascii="Arial" w:hAnsi="Arial" w:cs="Arial"/>
                <w:sz w:val="24"/>
                <w:szCs w:val="24"/>
              </w:rPr>
            </w:pPr>
            <w:r w:rsidRPr="003D073B">
              <w:rPr>
                <w:rFonts w:ascii="Arial" w:hAnsi="Arial" w:cs="Arial"/>
                <w:sz w:val="24"/>
                <w:szCs w:val="24"/>
              </w:rPr>
              <w:t>2</w:t>
            </w:r>
          </w:p>
        </w:tc>
      </w:tr>
    </w:tbl>
    <w:p w14:paraId="7E571D77" w14:textId="53E80EF3" w:rsidR="001071C7" w:rsidRPr="003D073B" w:rsidRDefault="00C16E64" w:rsidP="00420113">
      <w:pPr>
        <w:jc w:val="both"/>
        <w:rPr>
          <w:rFonts w:ascii="Arial" w:hAnsi="Arial" w:cs="Arial"/>
          <w:sz w:val="24"/>
          <w:szCs w:val="24"/>
        </w:rPr>
      </w:pPr>
      <w:r w:rsidRPr="00A04214">
        <w:rPr>
          <w:rFonts w:ascii="Arial" w:hAnsi="Arial" w:cs="Arial"/>
          <w:sz w:val="24"/>
          <w:szCs w:val="24"/>
        </w:rPr>
        <w:t xml:space="preserve">Table </w:t>
      </w:r>
      <w:r w:rsidR="004353FC" w:rsidRPr="00A04214">
        <w:rPr>
          <w:rFonts w:ascii="Arial" w:hAnsi="Arial" w:cs="Arial"/>
          <w:sz w:val="24"/>
          <w:szCs w:val="24"/>
        </w:rPr>
        <w:t>4</w:t>
      </w:r>
      <w:r w:rsidRPr="00A04214">
        <w:rPr>
          <w:rFonts w:ascii="Arial" w:hAnsi="Arial" w:cs="Arial"/>
          <w:sz w:val="24"/>
          <w:szCs w:val="24"/>
        </w:rPr>
        <w:t>: No. of people screened and identified as victim of human trafficking by the Government from 2017-2019</w:t>
      </w:r>
      <w:r w:rsidRPr="00A04214">
        <w:rPr>
          <w:rStyle w:val="FootnoteReference"/>
          <w:rFonts w:ascii="Arial" w:hAnsi="Arial" w:cs="Arial"/>
          <w:sz w:val="24"/>
          <w:szCs w:val="24"/>
        </w:rPr>
        <w:footnoteReference w:id="47"/>
      </w:r>
      <w:r w:rsidRPr="00A04214">
        <w:rPr>
          <w:rFonts w:ascii="Arial" w:hAnsi="Arial" w:cs="Arial"/>
          <w:sz w:val="24"/>
          <w:szCs w:val="24"/>
        </w:rPr>
        <w:t>.</w:t>
      </w:r>
    </w:p>
    <w:p w14:paraId="50B241A9" w14:textId="77186F0F" w:rsidR="00336BFB" w:rsidRPr="003D073B" w:rsidRDefault="008E25A3" w:rsidP="003C008C">
      <w:pPr>
        <w:pStyle w:val="ListParagraph"/>
        <w:numPr>
          <w:ilvl w:val="1"/>
          <w:numId w:val="1"/>
        </w:numPr>
        <w:jc w:val="both"/>
        <w:rPr>
          <w:rFonts w:ascii="Arial" w:hAnsi="Arial" w:cs="Arial"/>
          <w:b/>
          <w:bCs/>
          <w:sz w:val="24"/>
          <w:szCs w:val="24"/>
        </w:rPr>
      </w:pPr>
      <w:r w:rsidRPr="003D073B">
        <w:rPr>
          <w:rFonts w:ascii="Arial" w:hAnsi="Arial" w:cs="Arial"/>
          <w:b/>
          <w:bCs/>
          <w:sz w:val="24"/>
          <w:szCs w:val="24"/>
        </w:rPr>
        <w:t xml:space="preserve">Arbitrary detention of victims of trafficking </w:t>
      </w:r>
      <w:r w:rsidR="003C008C" w:rsidRPr="003D073B">
        <w:rPr>
          <w:rFonts w:ascii="Arial" w:hAnsi="Arial" w:cs="Arial"/>
          <w:b/>
          <w:bCs/>
          <w:sz w:val="24"/>
          <w:szCs w:val="24"/>
        </w:rPr>
        <w:t xml:space="preserve">(Article </w:t>
      </w:r>
      <w:r w:rsidR="003C12F5">
        <w:rPr>
          <w:rFonts w:ascii="Arial" w:hAnsi="Arial" w:cs="Arial"/>
          <w:b/>
          <w:bCs/>
          <w:sz w:val="24"/>
          <w:szCs w:val="24"/>
        </w:rPr>
        <w:t xml:space="preserve">7, </w:t>
      </w:r>
      <w:r w:rsidR="003C008C" w:rsidRPr="003D073B">
        <w:rPr>
          <w:rFonts w:ascii="Arial" w:hAnsi="Arial" w:cs="Arial"/>
          <w:b/>
          <w:bCs/>
          <w:sz w:val="24"/>
          <w:szCs w:val="24"/>
        </w:rPr>
        <w:t xml:space="preserve">9) </w:t>
      </w:r>
    </w:p>
    <w:p w14:paraId="7DE927CD" w14:textId="2C124D0F" w:rsidR="006C612D" w:rsidRPr="003D073B" w:rsidRDefault="00F62AEF" w:rsidP="00FC6B87">
      <w:pPr>
        <w:jc w:val="both"/>
        <w:rPr>
          <w:rFonts w:ascii="Arial" w:hAnsi="Arial" w:cs="Arial"/>
          <w:sz w:val="24"/>
          <w:szCs w:val="24"/>
        </w:rPr>
      </w:pPr>
      <w:r w:rsidRPr="003D073B">
        <w:rPr>
          <w:rFonts w:ascii="Arial" w:hAnsi="Arial" w:cs="Arial"/>
          <w:sz w:val="24"/>
          <w:szCs w:val="24"/>
        </w:rPr>
        <w:t>There is credible evidence that potential victims of human trafficking are exploited to commit drug-related offences in Hong Kong</w:t>
      </w:r>
      <w:r w:rsidR="00014FDF" w:rsidRPr="003D073B">
        <w:rPr>
          <w:rStyle w:val="FootnoteReference"/>
          <w:rFonts w:ascii="Arial" w:hAnsi="Arial" w:cs="Arial"/>
          <w:sz w:val="24"/>
          <w:szCs w:val="24"/>
        </w:rPr>
        <w:footnoteReference w:id="48"/>
      </w:r>
      <w:r w:rsidRPr="003D073B">
        <w:rPr>
          <w:rFonts w:ascii="Arial" w:hAnsi="Arial" w:cs="Arial"/>
          <w:sz w:val="24"/>
          <w:szCs w:val="24"/>
        </w:rPr>
        <w:t xml:space="preserve">. </w:t>
      </w:r>
      <w:r w:rsidR="00866384" w:rsidRPr="003D073B">
        <w:rPr>
          <w:rFonts w:ascii="Arial" w:hAnsi="Arial" w:cs="Arial"/>
          <w:sz w:val="24"/>
          <w:szCs w:val="24"/>
        </w:rPr>
        <w:t xml:space="preserve">Justice Centre </w:t>
      </w:r>
      <w:r w:rsidR="003F76EE" w:rsidRPr="003D073B">
        <w:rPr>
          <w:rFonts w:ascii="Arial" w:hAnsi="Arial" w:cs="Arial"/>
          <w:sz w:val="24"/>
          <w:szCs w:val="24"/>
        </w:rPr>
        <w:t xml:space="preserve">has observed that potential </w:t>
      </w:r>
      <w:r w:rsidR="006C612D" w:rsidRPr="003D073B">
        <w:rPr>
          <w:rFonts w:ascii="Arial" w:hAnsi="Arial" w:cs="Arial"/>
          <w:sz w:val="24"/>
          <w:szCs w:val="24"/>
        </w:rPr>
        <w:t xml:space="preserve">victims of trafficking are not identified as such, with victims consequently prosecuted and imprisoned for the offences they </w:t>
      </w:r>
      <w:r w:rsidR="000D07B8" w:rsidRPr="003D073B">
        <w:rPr>
          <w:rFonts w:ascii="Arial" w:hAnsi="Arial" w:cs="Arial"/>
          <w:sz w:val="24"/>
          <w:szCs w:val="24"/>
        </w:rPr>
        <w:t xml:space="preserve">were </w:t>
      </w:r>
      <w:r w:rsidR="00014FDF" w:rsidRPr="003D073B">
        <w:rPr>
          <w:rFonts w:ascii="Arial" w:hAnsi="Arial" w:cs="Arial"/>
          <w:sz w:val="24"/>
          <w:szCs w:val="24"/>
        </w:rPr>
        <w:t xml:space="preserve">exploited to </w:t>
      </w:r>
      <w:r w:rsidR="006C612D" w:rsidRPr="003D073B">
        <w:rPr>
          <w:rFonts w:ascii="Arial" w:hAnsi="Arial" w:cs="Arial"/>
          <w:sz w:val="24"/>
          <w:szCs w:val="24"/>
        </w:rPr>
        <w:t xml:space="preserve">commit. </w:t>
      </w:r>
    </w:p>
    <w:p w14:paraId="1530070F" w14:textId="406A53FC" w:rsidR="00010535" w:rsidRPr="003D073B" w:rsidRDefault="0057541C" w:rsidP="00131FFC">
      <w:pPr>
        <w:jc w:val="both"/>
        <w:rPr>
          <w:rFonts w:ascii="Arial" w:hAnsi="Arial" w:cs="Arial"/>
          <w:sz w:val="24"/>
          <w:szCs w:val="24"/>
        </w:rPr>
      </w:pPr>
      <w:r w:rsidRPr="003D073B">
        <w:rPr>
          <w:rFonts w:ascii="Arial" w:hAnsi="Arial" w:cs="Arial"/>
          <w:sz w:val="24"/>
          <w:szCs w:val="24"/>
        </w:rPr>
        <w:t>While t</w:t>
      </w:r>
      <w:r w:rsidR="008410AB" w:rsidRPr="003D073B">
        <w:rPr>
          <w:rFonts w:ascii="Arial" w:hAnsi="Arial" w:cs="Arial"/>
          <w:sz w:val="24"/>
          <w:szCs w:val="24"/>
        </w:rPr>
        <w:t xml:space="preserve">he Prosecution Code, which is a set of instructions </w:t>
      </w:r>
      <w:r w:rsidR="00F464A1" w:rsidRPr="003D073B">
        <w:rPr>
          <w:rFonts w:ascii="Arial" w:hAnsi="Arial" w:cs="Arial"/>
          <w:sz w:val="24"/>
          <w:szCs w:val="24"/>
        </w:rPr>
        <w:t>prepared</w:t>
      </w:r>
      <w:r w:rsidR="008410AB" w:rsidRPr="003D073B">
        <w:rPr>
          <w:rFonts w:ascii="Arial" w:hAnsi="Arial" w:cs="Arial"/>
          <w:sz w:val="24"/>
          <w:szCs w:val="24"/>
        </w:rPr>
        <w:t xml:space="preserve"> by the Department of Justice to guide prosecutors, provides</w:t>
      </w:r>
      <w:r w:rsidRPr="003D073B">
        <w:rPr>
          <w:rFonts w:ascii="Arial" w:hAnsi="Arial" w:cs="Arial"/>
          <w:sz w:val="24"/>
          <w:szCs w:val="24"/>
        </w:rPr>
        <w:t xml:space="preserve"> that prosecutors should “</w:t>
      </w:r>
      <w:r w:rsidR="00A46243" w:rsidRPr="003D073B">
        <w:rPr>
          <w:rFonts w:ascii="Arial" w:hAnsi="Arial" w:cs="Arial"/>
          <w:sz w:val="24"/>
          <w:szCs w:val="24"/>
        </w:rPr>
        <w:t>consider a credible claim that a defendant or intended defendant is a victim of trafficking</w:t>
      </w:r>
      <w:r w:rsidRPr="003D073B">
        <w:rPr>
          <w:rFonts w:ascii="Arial" w:hAnsi="Arial" w:cs="Arial"/>
          <w:sz w:val="24"/>
          <w:szCs w:val="24"/>
        </w:rPr>
        <w:t xml:space="preserve">” and </w:t>
      </w:r>
      <w:r w:rsidR="0052209A" w:rsidRPr="003D073B">
        <w:rPr>
          <w:rFonts w:ascii="Arial" w:hAnsi="Arial" w:cs="Arial"/>
          <w:sz w:val="24"/>
          <w:szCs w:val="24"/>
        </w:rPr>
        <w:t>“appropriately deal with the case” with reference to international standards and practices</w:t>
      </w:r>
      <w:r w:rsidR="00A46243" w:rsidRPr="003D073B">
        <w:rPr>
          <w:rStyle w:val="FootnoteReference"/>
          <w:rFonts w:ascii="Arial" w:hAnsi="Arial" w:cs="Arial"/>
          <w:sz w:val="24"/>
          <w:szCs w:val="24"/>
        </w:rPr>
        <w:footnoteReference w:id="49"/>
      </w:r>
      <w:r w:rsidR="0052209A" w:rsidRPr="003D073B">
        <w:rPr>
          <w:rFonts w:ascii="Arial" w:hAnsi="Arial" w:cs="Arial"/>
          <w:sz w:val="24"/>
          <w:szCs w:val="24"/>
        </w:rPr>
        <w:t xml:space="preserve">, </w:t>
      </w:r>
      <w:r w:rsidR="007D4288" w:rsidRPr="003D073B">
        <w:rPr>
          <w:rFonts w:ascii="Arial" w:hAnsi="Arial" w:cs="Arial"/>
          <w:sz w:val="24"/>
          <w:szCs w:val="24"/>
        </w:rPr>
        <w:t xml:space="preserve">the </w:t>
      </w:r>
      <w:r w:rsidR="007B01DA" w:rsidRPr="003D073B">
        <w:rPr>
          <w:rFonts w:ascii="Arial" w:hAnsi="Arial" w:cs="Arial"/>
          <w:sz w:val="24"/>
          <w:szCs w:val="24"/>
        </w:rPr>
        <w:t>efficacy of the</w:t>
      </w:r>
      <w:r w:rsidR="00131FFC" w:rsidRPr="003D073B">
        <w:rPr>
          <w:rFonts w:ascii="Arial" w:hAnsi="Arial" w:cs="Arial"/>
          <w:sz w:val="24"/>
          <w:szCs w:val="24"/>
        </w:rPr>
        <w:t xml:space="preserve"> </w:t>
      </w:r>
      <w:r w:rsidR="007B01DA" w:rsidRPr="003D073B">
        <w:rPr>
          <w:rFonts w:ascii="Arial" w:hAnsi="Arial" w:cs="Arial"/>
          <w:sz w:val="24"/>
          <w:szCs w:val="24"/>
        </w:rPr>
        <w:t xml:space="preserve">provision is in doubt. </w:t>
      </w:r>
      <w:r w:rsidR="00131FFC" w:rsidRPr="003D073B">
        <w:rPr>
          <w:rFonts w:ascii="Arial" w:hAnsi="Arial" w:cs="Arial"/>
          <w:sz w:val="24"/>
          <w:szCs w:val="24"/>
        </w:rPr>
        <w:t>W</w:t>
      </w:r>
      <w:r w:rsidR="00012F88" w:rsidRPr="003D073B">
        <w:rPr>
          <w:rFonts w:ascii="Arial" w:hAnsi="Arial" w:cs="Arial"/>
          <w:sz w:val="24"/>
          <w:szCs w:val="24"/>
        </w:rPr>
        <w:t xml:space="preserve">hen asked to provide statistics on the application of the said provision, such as the number </w:t>
      </w:r>
      <w:r w:rsidR="00012F88" w:rsidRPr="003D073B">
        <w:rPr>
          <w:rFonts w:ascii="Arial" w:hAnsi="Arial" w:cs="Arial"/>
          <w:sz w:val="24"/>
          <w:szCs w:val="24"/>
        </w:rPr>
        <w:lastRenderedPageBreak/>
        <w:t>of individuals who have been identified by prosecutors as having credible claims as victims of trafficking, the Department of Justice advised that they do not maintain such information</w:t>
      </w:r>
      <w:r w:rsidR="00012F88" w:rsidRPr="003D073B">
        <w:rPr>
          <w:rStyle w:val="FootnoteReference"/>
          <w:rFonts w:ascii="Arial" w:hAnsi="Arial" w:cs="Arial"/>
          <w:sz w:val="24"/>
          <w:szCs w:val="24"/>
        </w:rPr>
        <w:footnoteReference w:id="50"/>
      </w:r>
      <w:r w:rsidR="00012F88" w:rsidRPr="003D073B">
        <w:rPr>
          <w:rFonts w:ascii="Arial" w:hAnsi="Arial" w:cs="Arial"/>
          <w:sz w:val="24"/>
          <w:szCs w:val="24"/>
        </w:rPr>
        <w:t xml:space="preserve">. </w:t>
      </w:r>
      <w:r w:rsidR="00C34280" w:rsidRPr="003D073B">
        <w:rPr>
          <w:rFonts w:ascii="Arial" w:hAnsi="Arial" w:cs="Arial"/>
          <w:sz w:val="24"/>
          <w:szCs w:val="24"/>
        </w:rPr>
        <w:t>Two recent judgements</w:t>
      </w:r>
      <w:r w:rsidR="0099185D" w:rsidRPr="003D073B">
        <w:rPr>
          <w:rFonts w:ascii="Arial" w:hAnsi="Arial" w:cs="Arial"/>
          <w:sz w:val="24"/>
          <w:szCs w:val="24"/>
        </w:rPr>
        <w:t xml:space="preserve"> also</w:t>
      </w:r>
      <w:r w:rsidR="00C34280" w:rsidRPr="003D073B">
        <w:rPr>
          <w:rFonts w:ascii="Arial" w:hAnsi="Arial" w:cs="Arial"/>
          <w:sz w:val="24"/>
          <w:szCs w:val="24"/>
        </w:rPr>
        <w:t xml:space="preserve"> suggest that the </w:t>
      </w:r>
      <w:r w:rsidR="00EB37A0">
        <w:rPr>
          <w:rFonts w:ascii="Arial" w:hAnsi="Arial" w:cs="Arial"/>
          <w:sz w:val="24"/>
          <w:szCs w:val="24"/>
        </w:rPr>
        <w:t>a</w:t>
      </w:r>
      <w:r w:rsidR="00E718D4" w:rsidRPr="003D073B">
        <w:rPr>
          <w:rFonts w:ascii="Arial" w:hAnsi="Arial" w:cs="Arial"/>
          <w:sz w:val="24"/>
          <w:szCs w:val="24"/>
        </w:rPr>
        <w:t>uthorities, including the Courts, fail to recognise th</w:t>
      </w:r>
      <w:r w:rsidR="0088448D" w:rsidRPr="003D073B">
        <w:rPr>
          <w:rFonts w:ascii="Arial" w:hAnsi="Arial" w:cs="Arial"/>
          <w:sz w:val="24"/>
          <w:szCs w:val="24"/>
        </w:rPr>
        <w:t xml:space="preserve">e presence of significant human trafficking indicators. </w:t>
      </w:r>
    </w:p>
    <w:p w14:paraId="3D09F31B" w14:textId="77777777" w:rsidR="0063252E" w:rsidRPr="003D073B" w:rsidRDefault="0063252E" w:rsidP="00BA7D9A">
      <w:pPr>
        <w:ind w:left="720"/>
        <w:jc w:val="both"/>
        <w:rPr>
          <w:rFonts w:ascii="Arial" w:hAnsi="Arial" w:cs="Arial"/>
          <w:b/>
          <w:bCs/>
          <w:sz w:val="24"/>
          <w:szCs w:val="24"/>
        </w:rPr>
      </w:pPr>
      <w:r w:rsidRPr="003D073B">
        <w:rPr>
          <w:rFonts w:ascii="Arial" w:hAnsi="Arial" w:cs="Arial"/>
          <w:b/>
          <w:bCs/>
          <w:sz w:val="24"/>
          <w:szCs w:val="24"/>
        </w:rPr>
        <w:t xml:space="preserve">Case 1: </w:t>
      </w:r>
      <w:r w:rsidRPr="003D073B">
        <w:rPr>
          <w:rFonts w:ascii="Arial" w:hAnsi="Arial" w:cs="Arial"/>
          <w:b/>
          <w:bCs/>
          <w:i/>
          <w:iCs/>
          <w:sz w:val="24"/>
          <w:szCs w:val="24"/>
        </w:rPr>
        <w:t>HKSAR v Dang Hung Ngoc and Vu Dinh Nguyen</w:t>
      </w:r>
      <w:r w:rsidRPr="003D073B">
        <w:rPr>
          <w:rStyle w:val="FootnoteReference"/>
          <w:rFonts w:ascii="Arial" w:hAnsi="Arial" w:cs="Arial"/>
          <w:b/>
          <w:bCs/>
          <w:i/>
          <w:iCs/>
          <w:sz w:val="24"/>
          <w:szCs w:val="24"/>
        </w:rPr>
        <w:footnoteReference w:id="51"/>
      </w:r>
    </w:p>
    <w:p w14:paraId="41C019EA" w14:textId="77777777" w:rsidR="0063252E" w:rsidRPr="003D073B" w:rsidRDefault="0063252E" w:rsidP="00BA7D9A">
      <w:pPr>
        <w:ind w:left="720"/>
        <w:jc w:val="both"/>
        <w:rPr>
          <w:rFonts w:ascii="Arial" w:hAnsi="Arial" w:cs="Arial"/>
          <w:sz w:val="24"/>
          <w:szCs w:val="24"/>
        </w:rPr>
      </w:pPr>
      <w:r w:rsidRPr="003D073B">
        <w:rPr>
          <w:rFonts w:ascii="Arial" w:hAnsi="Arial" w:cs="Arial"/>
          <w:sz w:val="24"/>
          <w:szCs w:val="24"/>
        </w:rPr>
        <w:t>Vu and Dang, two Vietnamese men, were convicted of cultivating cannabis plants in Hong Kong</w:t>
      </w:r>
      <w:r w:rsidRPr="003D073B">
        <w:rPr>
          <w:rStyle w:val="FootnoteReference"/>
          <w:rFonts w:ascii="Arial" w:hAnsi="Arial" w:cs="Arial"/>
          <w:sz w:val="24"/>
          <w:szCs w:val="24"/>
        </w:rPr>
        <w:footnoteReference w:id="52"/>
      </w:r>
      <w:r w:rsidRPr="003D073B">
        <w:rPr>
          <w:rFonts w:ascii="Arial" w:hAnsi="Arial" w:cs="Arial"/>
          <w:sz w:val="24"/>
          <w:szCs w:val="24"/>
        </w:rPr>
        <w:t xml:space="preserve">. </w:t>
      </w:r>
    </w:p>
    <w:p w14:paraId="01AF0E50" w14:textId="2BDD4726" w:rsidR="0063252E" w:rsidRPr="003D073B" w:rsidRDefault="0063252E" w:rsidP="00BA7D9A">
      <w:pPr>
        <w:ind w:left="720"/>
        <w:jc w:val="both"/>
        <w:rPr>
          <w:rFonts w:ascii="Arial" w:hAnsi="Arial" w:cs="Arial"/>
          <w:sz w:val="24"/>
          <w:szCs w:val="24"/>
        </w:rPr>
      </w:pPr>
      <w:r w:rsidRPr="003D073B">
        <w:rPr>
          <w:rFonts w:ascii="Arial" w:hAnsi="Arial" w:cs="Arial"/>
          <w:sz w:val="24"/>
          <w:szCs w:val="24"/>
        </w:rPr>
        <w:t xml:space="preserve">Vu is a 23-year-old man who entered Hong Kong illegally via China. He was offered work by a man who took him to a villa to water cannabis plants and clean the premise. A key that could open the padlock of the main entrance to the villa was found in Dang’s room, indicating Vu may be kept in the villa by Dang. The starting point of his sentencing was </w:t>
      </w:r>
      <w:r w:rsidRPr="003D073B">
        <w:rPr>
          <w:rFonts w:ascii="Arial" w:hAnsi="Arial" w:cs="Arial"/>
          <w:i/>
          <w:iCs/>
          <w:sz w:val="24"/>
          <w:szCs w:val="24"/>
        </w:rPr>
        <w:t xml:space="preserve">enhanced by 6 months </w:t>
      </w:r>
      <w:r w:rsidRPr="003D073B">
        <w:rPr>
          <w:rFonts w:ascii="Arial" w:hAnsi="Arial" w:cs="Arial"/>
          <w:sz w:val="24"/>
          <w:szCs w:val="24"/>
        </w:rPr>
        <w:t xml:space="preserve">for his illegal immigrant status. He was sentenced to 7 years 8 months. </w:t>
      </w:r>
    </w:p>
    <w:p w14:paraId="33C4C08C" w14:textId="1D8927DD" w:rsidR="0063252E" w:rsidRPr="003D073B" w:rsidRDefault="0063252E" w:rsidP="00BA7D9A">
      <w:pPr>
        <w:ind w:left="720"/>
        <w:jc w:val="both"/>
        <w:rPr>
          <w:rFonts w:ascii="Arial" w:hAnsi="Arial" w:cs="Arial"/>
          <w:sz w:val="24"/>
          <w:szCs w:val="24"/>
        </w:rPr>
      </w:pPr>
      <w:r w:rsidRPr="003D073B">
        <w:rPr>
          <w:rFonts w:ascii="Arial" w:hAnsi="Arial" w:cs="Arial"/>
          <w:sz w:val="24"/>
          <w:szCs w:val="24"/>
        </w:rPr>
        <w:t xml:space="preserve">Dang is a 66-year-old naturalised British citizen who entered Hong Kong with a visitor’s permit. He met a woman who offered him a cleaning job with food and accommodation at the said villa. Dang claimed he did not </w:t>
      </w:r>
      <w:r w:rsidRPr="003D073B">
        <w:rPr>
          <w:rFonts w:ascii="Arial" w:hAnsi="Arial" w:cs="Arial"/>
          <w:sz w:val="24"/>
          <w:szCs w:val="24"/>
        </w:rPr>
        <w:lastRenderedPageBreak/>
        <w:t>call the police upon detecting the smell of cannabis after a week of being employed at the villa as he was afraid and could not speak Chinese. He was sentenced to 8 years and 6 months.</w:t>
      </w:r>
    </w:p>
    <w:p w14:paraId="1E1B7828" w14:textId="77777777" w:rsidR="0063252E" w:rsidRPr="003D073B" w:rsidRDefault="0063252E" w:rsidP="00BA7D9A">
      <w:pPr>
        <w:ind w:left="720"/>
        <w:jc w:val="both"/>
        <w:rPr>
          <w:rFonts w:ascii="Arial" w:hAnsi="Arial" w:cs="Arial"/>
          <w:b/>
          <w:bCs/>
          <w:i/>
          <w:iCs/>
          <w:sz w:val="24"/>
          <w:szCs w:val="24"/>
        </w:rPr>
      </w:pPr>
      <w:r w:rsidRPr="003D073B">
        <w:rPr>
          <w:rFonts w:ascii="Arial" w:hAnsi="Arial" w:cs="Arial"/>
          <w:b/>
          <w:bCs/>
          <w:sz w:val="24"/>
          <w:szCs w:val="24"/>
        </w:rPr>
        <w:t xml:space="preserve">Case 2: </w:t>
      </w:r>
      <w:r w:rsidRPr="003D073B">
        <w:rPr>
          <w:rFonts w:ascii="Arial" w:hAnsi="Arial" w:cs="Arial"/>
          <w:b/>
          <w:bCs/>
          <w:i/>
          <w:iCs/>
          <w:sz w:val="24"/>
          <w:szCs w:val="24"/>
        </w:rPr>
        <w:t>HKSAR v Gutierrez Alvarez Keishu Mercedes</w:t>
      </w:r>
      <w:r w:rsidRPr="003D073B">
        <w:rPr>
          <w:rStyle w:val="FootnoteReference"/>
          <w:rFonts w:ascii="Arial" w:hAnsi="Arial" w:cs="Arial"/>
          <w:b/>
          <w:bCs/>
          <w:i/>
          <w:iCs/>
          <w:sz w:val="24"/>
          <w:szCs w:val="24"/>
        </w:rPr>
        <w:footnoteReference w:id="53"/>
      </w:r>
    </w:p>
    <w:p w14:paraId="1EDD50FA" w14:textId="77777777" w:rsidR="0063252E" w:rsidRPr="003D073B" w:rsidRDefault="0063252E" w:rsidP="00BA7D9A">
      <w:pPr>
        <w:ind w:left="720"/>
        <w:jc w:val="both"/>
        <w:rPr>
          <w:rFonts w:ascii="Arial" w:hAnsi="Arial" w:cs="Arial"/>
          <w:sz w:val="24"/>
          <w:szCs w:val="24"/>
        </w:rPr>
      </w:pPr>
      <w:r w:rsidRPr="003D073B">
        <w:rPr>
          <w:rFonts w:ascii="Arial" w:hAnsi="Arial" w:cs="Arial"/>
          <w:sz w:val="24"/>
          <w:szCs w:val="24"/>
        </w:rPr>
        <w:t xml:space="preserve">A Venezuelan woman was convicted of trafficking cocaine into Hong Kong and sentenced to 25 years’ imprisonment. </w:t>
      </w:r>
    </w:p>
    <w:p w14:paraId="2B78545F" w14:textId="597C91E3" w:rsidR="0063252E" w:rsidRDefault="0063252E" w:rsidP="00BA7D9A">
      <w:pPr>
        <w:ind w:left="720"/>
        <w:jc w:val="both"/>
        <w:rPr>
          <w:rFonts w:ascii="Arial" w:hAnsi="Arial" w:cs="Arial"/>
          <w:sz w:val="24"/>
          <w:szCs w:val="24"/>
        </w:rPr>
      </w:pPr>
      <w:r w:rsidRPr="003D073B">
        <w:rPr>
          <w:rFonts w:ascii="Arial" w:hAnsi="Arial" w:cs="Arial"/>
          <w:sz w:val="24"/>
          <w:szCs w:val="24"/>
        </w:rPr>
        <w:t>She alleged she was tricked into leaving Venezuela for Brazil after applying online for an advertising job. When she arrived in Brazil, she was met by a man who detained her in the home of another man for a month and a half, where she was ill-treated, beaten and frequently raped. She was then coerced into taking substances, which she alleged she did not know were drugs, to Hong Kong via Abu Dhabi. The man threatened to kill her family members if she did not comply. She was also told she would be watched from her arrival at Hong Kong airport until her arrival at the hotel. The issue of human trafficking was raised in an unsuccessful application to permanently stay the proceedings.</w:t>
      </w:r>
    </w:p>
    <w:p w14:paraId="64E92305" w14:textId="5D250DCD" w:rsidR="002D2E5E" w:rsidRPr="003D073B" w:rsidRDefault="00D41528" w:rsidP="008D436F">
      <w:pPr>
        <w:autoSpaceDE w:val="0"/>
        <w:autoSpaceDN w:val="0"/>
        <w:adjustRightInd w:val="0"/>
        <w:spacing w:after="0" w:line="240" w:lineRule="auto"/>
        <w:jc w:val="both"/>
        <w:rPr>
          <w:rFonts w:ascii="Arial" w:hAnsi="Arial" w:cs="Arial"/>
          <w:sz w:val="24"/>
          <w:szCs w:val="24"/>
        </w:rPr>
      </w:pPr>
      <w:r w:rsidRPr="003D073B">
        <w:rPr>
          <w:rFonts w:ascii="Arial" w:hAnsi="Arial" w:cs="Arial"/>
          <w:sz w:val="24"/>
          <w:szCs w:val="24"/>
        </w:rPr>
        <w:t xml:space="preserve">Furthermore, Hong Kong is </w:t>
      </w:r>
      <w:r w:rsidR="00C22CC8" w:rsidRPr="003D073B">
        <w:rPr>
          <w:rFonts w:ascii="Arial" w:hAnsi="Arial" w:cs="Arial"/>
          <w:sz w:val="24"/>
          <w:szCs w:val="24"/>
        </w:rPr>
        <w:t>one of the few jurisdictions to not make any distinction with regard to the accused’s role and seniority within a drug operation in sentencing</w:t>
      </w:r>
      <w:r w:rsidR="00C22CC8" w:rsidRPr="003D073B">
        <w:rPr>
          <w:rStyle w:val="FootnoteReference"/>
          <w:rFonts w:ascii="Arial" w:hAnsi="Arial" w:cs="Arial"/>
          <w:sz w:val="24"/>
          <w:szCs w:val="24"/>
        </w:rPr>
        <w:footnoteReference w:id="54"/>
      </w:r>
      <w:r w:rsidR="00C22CC8" w:rsidRPr="003D073B">
        <w:rPr>
          <w:rFonts w:ascii="Arial" w:hAnsi="Arial" w:cs="Arial"/>
          <w:sz w:val="24"/>
          <w:szCs w:val="24"/>
        </w:rPr>
        <w:t xml:space="preserve">.  This means “drug mules” or couriers, who may be victims of trafficking, receive </w:t>
      </w:r>
      <w:r w:rsidR="007C06C1">
        <w:rPr>
          <w:rFonts w:ascii="Arial" w:hAnsi="Arial" w:cs="Arial"/>
          <w:sz w:val="24"/>
          <w:szCs w:val="24"/>
        </w:rPr>
        <w:t xml:space="preserve">draconian </w:t>
      </w:r>
      <w:r w:rsidR="007C06C1" w:rsidRPr="003D073B">
        <w:rPr>
          <w:rFonts w:ascii="Arial" w:hAnsi="Arial" w:cs="Arial"/>
          <w:sz w:val="24"/>
          <w:szCs w:val="24"/>
        </w:rPr>
        <w:t>custodial</w:t>
      </w:r>
      <w:r w:rsidR="00C22CC8" w:rsidRPr="003D073B">
        <w:rPr>
          <w:rFonts w:ascii="Arial" w:hAnsi="Arial" w:cs="Arial"/>
          <w:sz w:val="24"/>
          <w:szCs w:val="24"/>
        </w:rPr>
        <w:t xml:space="preserve"> sentences.</w:t>
      </w:r>
      <w:r w:rsidR="00856DB2" w:rsidRPr="003D073B">
        <w:rPr>
          <w:rFonts w:ascii="Arial" w:hAnsi="Arial" w:cs="Arial"/>
          <w:sz w:val="24"/>
          <w:szCs w:val="24"/>
        </w:rPr>
        <w:t xml:space="preserve"> </w:t>
      </w:r>
    </w:p>
    <w:p w14:paraId="77CDE835" w14:textId="77777777" w:rsidR="00D41528" w:rsidRPr="003D073B" w:rsidRDefault="00D41528" w:rsidP="008D436F">
      <w:pPr>
        <w:autoSpaceDE w:val="0"/>
        <w:autoSpaceDN w:val="0"/>
        <w:adjustRightInd w:val="0"/>
        <w:spacing w:after="0" w:line="240" w:lineRule="auto"/>
        <w:jc w:val="both"/>
        <w:rPr>
          <w:rFonts w:ascii="Arial" w:hAnsi="Arial" w:cs="Arial"/>
          <w:sz w:val="24"/>
          <w:szCs w:val="24"/>
        </w:rPr>
      </w:pPr>
    </w:p>
    <w:p w14:paraId="3B1D8D11" w14:textId="1EF2E7C6" w:rsidR="008D436F" w:rsidRPr="003D073B" w:rsidRDefault="008D436F" w:rsidP="00D154BB">
      <w:pPr>
        <w:autoSpaceDE w:val="0"/>
        <w:autoSpaceDN w:val="0"/>
        <w:adjustRightInd w:val="0"/>
        <w:spacing w:after="0" w:line="240" w:lineRule="auto"/>
        <w:jc w:val="both"/>
        <w:rPr>
          <w:rFonts w:ascii="Arial" w:hAnsi="Arial" w:cs="Arial"/>
          <w:sz w:val="24"/>
          <w:szCs w:val="24"/>
        </w:rPr>
      </w:pPr>
      <w:r w:rsidRPr="003D073B">
        <w:rPr>
          <w:rFonts w:ascii="Arial" w:hAnsi="Arial" w:cs="Arial"/>
          <w:sz w:val="24"/>
          <w:szCs w:val="24"/>
        </w:rPr>
        <w:t xml:space="preserve">Although the </w:t>
      </w:r>
      <w:r w:rsidR="001063AF" w:rsidRPr="003D073B">
        <w:rPr>
          <w:rFonts w:ascii="Arial" w:hAnsi="Arial" w:cs="Arial"/>
          <w:sz w:val="24"/>
          <w:szCs w:val="24"/>
        </w:rPr>
        <w:t xml:space="preserve">Palermo Protocol </w:t>
      </w:r>
      <w:r w:rsidRPr="003D073B">
        <w:rPr>
          <w:rFonts w:ascii="Arial" w:hAnsi="Arial" w:cs="Arial"/>
          <w:sz w:val="24"/>
          <w:szCs w:val="24"/>
        </w:rPr>
        <w:t xml:space="preserve">does not explicitly grant immunity from criminal prosecution to trafficked persons, the principle of non-criminalisation of victims is enshrined in other instruments and accepted as integral to protecting victim’s </w:t>
      </w:r>
      <w:r w:rsidRPr="003D073B">
        <w:rPr>
          <w:rFonts w:ascii="Arial" w:hAnsi="Arial" w:cs="Arial"/>
          <w:sz w:val="24"/>
          <w:szCs w:val="24"/>
        </w:rPr>
        <w:lastRenderedPageBreak/>
        <w:t>rights</w:t>
      </w:r>
      <w:r w:rsidRPr="003D073B">
        <w:rPr>
          <w:rStyle w:val="FootnoteReference"/>
          <w:rFonts w:ascii="Arial" w:hAnsi="Arial" w:cs="Arial"/>
          <w:sz w:val="24"/>
          <w:szCs w:val="24"/>
        </w:rPr>
        <w:footnoteReference w:id="55"/>
      </w:r>
      <w:r w:rsidRPr="003D073B">
        <w:rPr>
          <w:rFonts w:ascii="Arial" w:hAnsi="Arial" w:cs="Arial"/>
          <w:sz w:val="24"/>
          <w:szCs w:val="24"/>
        </w:rPr>
        <w:t xml:space="preserve">. As such, </w:t>
      </w:r>
      <w:r w:rsidR="00292B71">
        <w:rPr>
          <w:rFonts w:ascii="Arial" w:hAnsi="Arial" w:cs="Arial"/>
          <w:sz w:val="24"/>
          <w:szCs w:val="24"/>
        </w:rPr>
        <w:t xml:space="preserve">the </w:t>
      </w:r>
      <w:r w:rsidRPr="003D073B">
        <w:rPr>
          <w:rFonts w:ascii="Arial" w:hAnsi="Arial" w:cs="Arial"/>
          <w:sz w:val="24"/>
          <w:szCs w:val="24"/>
        </w:rPr>
        <w:t xml:space="preserve">prosecution and prolonged detention of human trafficking victims for drug-related offences, committed as a </w:t>
      </w:r>
      <w:r w:rsidR="00292B71">
        <w:rPr>
          <w:rFonts w:ascii="Arial" w:hAnsi="Arial" w:cs="Arial"/>
          <w:sz w:val="24"/>
          <w:szCs w:val="24"/>
        </w:rPr>
        <w:t>consequence</w:t>
      </w:r>
      <w:r w:rsidR="00292B71" w:rsidRPr="003D073B">
        <w:rPr>
          <w:rFonts w:ascii="Arial" w:hAnsi="Arial" w:cs="Arial"/>
          <w:sz w:val="24"/>
          <w:szCs w:val="24"/>
        </w:rPr>
        <w:t xml:space="preserve"> </w:t>
      </w:r>
      <w:r w:rsidRPr="003D073B">
        <w:rPr>
          <w:rFonts w:ascii="Arial" w:hAnsi="Arial" w:cs="Arial"/>
          <w:sz w:val="24"/>
          <w:szCs w:val="24"/>
        </w:rPr>
        <w:t>of their trafficking may be in contravention of international human rights standards, including but not limited to the prohibition on arbitrariness</w:t>
      </w:r>
      <w:r w:rsidR="00BE0F28">
        <w:rPr>
          <w:rFonts w:ascii="Arial" w:hAnsi="Arial" w:cs="Arial"/>
          <w:sz w:val="24"/>
          <w:szCs w:val="24"/>
        </w:rPr>
        <w:t xml:space="preserve"> under ICCPR Article </w:t>
      </w:r>
      <w:r w:rsidR="002574E1">
        <w:rPr>
          <w:rFonts w:ascii="Arial" w:hAnsi="Arial" w:cs="Arial"/>
          <w:sz w:val="24"/>
          <w:szCs w:val="24"/>
        </w:rPr>
        <w:t>9,</w:t>
      </w:r>
      <w:r w:rsidRPr="003D073B">
        <w:rPr>
          <w:rFonts w:ascii="Arial" w:hAnsi="Arial" w:cs="Arial"/>
          <w:sz w:val="24"/>
          <w:szCs w:val="24"/>
        </w:rPr>
        <w:t xml:space="preserve"> and the prohibition against </w:t>
      </w:r>
      <w:r w:rsidR="00BE0F28">
        <w:rPr>
          <w:rFonts w:ascii="Arial" w:hAnsi="Arial" w:cs="Arial"/>
          <w:sz w:val="24"/>
          <w:szCs w:val="24"/>
        </w:rPr>
        <w:t>CIDTP</w:t>
      </w:r>
      <w:r w:rsidR="002574E1">
        <w:rPr>
          <w:rFonts w:ascii="Arial" w:hAnsi="Arial" w:cs="Arial"/>
          <w:sz w:val="24"/>
          <w:szCs w:val="24"/>
        </w:rPr>
        <w:t xml:space="preserve"> under ICCPR Article</w:t>
      </w:r>
      <w:r w:rsidR="003C12F5">
        <w:rPr>
          <w:rFonts w:ascii="Arial" w:hAnsi="Arial" w:cs="Arial"/>
          <w:sz w:val="24"/>
          <w:szCs w:val="24"/>
        </w:rPr>
        <w:t xml:space="preserve"> 7</w:t>
      </w:r>
      <w:r w:rsidRPr="003D073B">
        <w:rPr>
          <w:rFonts w:ascii="Arial" w:hAnsi="Arial" w:cs="Arial"/>
          <w:sz w:val="24"/>
          <w:szCs w:val="24"/>
        </w:rPr>
        <w:t xml:space="preserve">.  </w:t>
      </w:r>
    </w:p>
    <w:p w14:paraId="53413472" w14:textId="6B0FD9D8" w:rsidR="00403A66" w:rsidRPr="003D073B" w:rsidRDefault="00403A66" w:rsidP="00D154BB">
      <w:pPr>
        <w:autoSpaceDE w:val="0"/>
        <w:autoSpaceDN w:val="0"/>
        <w:adjustRightInd w:val="0"/>
        <w:spacing w:after="0" w:line="240" w:lineRule="auto"/>
        <w:jc w:val="both"/>
        <w:rPr>
          <w:rFonts w:ascii="Arial" w:hAnsi="Arial" w:cs="Arial"/>
          <w:sz w:val="24"/>
          <w:szCs w:val="24"/>
        </w:rPr>
      </w:pPr>
    </w:p>
    <w:p w14:paraId="369ED4F0" w14:textId="77777777" w:rsidR="00B97CEF" w:rsidRDefault="00B97CEF" w:rsidP="00403A66">
      <w:pPr>
        <w:jc w:val="both"/>
        <w:rPr>
          <w:rFonts w:ascii="Arial" w:hAnsi="Arial" w:cs="Arial"/>
          <w:sz w:val="24"/>
          <w:szCs w:val="24"/>
        </w:rPr>
      </w:pPr>
    </w:p>
    <w:p w14:paraId="0A8CD04A" w14:textId="77777777" w:rsidR="00B97CEF" w:rsidRDefault="00B97CEF" w:rsidP="00403A66">
      <w:pPr>
        <w:jc w:val="both"/>
        <w:rPr>
          <w:rFonts w:ascii="Arial" w:hAnsi="Arial" w:cs="Arial"/>
          <w:sz w:val="24"/>
          <w:szCs w:val="24"/>
        </w:rPr>
      </w:pPr>
    </w:p>
    <w:p w14:paraId="06AB491F" w14:textId="2573FDB5" w:rsidR="00B97CEF" w:rsidRPr="00B97CEF" w:rsidRDefault="00403A66" w:rsidP="00403A66">
      <w:pPr>
        <w:jc w:val="both"/>
        <w:rPr>
          <w:rFonts w:ascii="Arial" w:hAnsi="Arial" w:cs="Arial"/>
          <w:sz w:val="24"/>
          <w:szCs w:val="24"/>
        </w:rPr>
      </w:pPr>
      <w:r w:rsidRPr="003D073B">
        <w:rPr>
          <w:rFonts w:ascii="Arial" w:hAnsi="Arial" w:cs="Arial"/>
          <w:sz w:val="24"/>
          <w:szCs w:val="24"/>
        </w:rPr>
        <w:t xml:space="preserve">Please contact Rachel Li (rachel@justicecentre.org.hk), Research and Policy Officer at Justice Centre Hong Kong, with any questions regarding this submission. </w:t>
      </w:r>
    </w:p>
    <w:p w14:paraId="2C9C8530" w14:textId="77777777" w:rsidR="00B97CEF" w:rsidRDefault="00B97CEF" w:rsidP="00403A66">
      <w:pPr>
        <w:jc w:val="both"/>
        <w:rPr>
          <w:rFonts w:ascii="Arial" w:hAnsi="Arial" w:cs="Arial"/>
          <w:b/>
          <w:bCs/>
          <w:sz w:val="24"/>
          <w:szCs w:val="24"/>
        </w:rPr>
      </w:pPr>
    </w:p>
    <w:p w14:paraId="34B9BE4B" w14:textId="7420E275" w:rsidR="00403A66" w:rsidRPr="003D073B" w:rsidRDefault="00403A66" w:rsidP="00403A66">
      <w:pPr>
        <w:jc w:val="both"/>
        <w:rPr>
          <w:rFonts w:ascii="Arial" w:hAnsi="Arial" w:cs="Arial"/>
          <w:b/>
          <w:bCs/>
          <w:sz w:val="24"/>
          <w:szCs w:val="24"/>
        </w:rPr>
      </w:pPr>
      <w:r w:rsidRPr="003D073B">
        <w:rPr>
          <w:rFonts w:ascii="Arial" w:hAnsi="Arial" w:cs="Arial"/>
          <w:b/>
          <w:bCs/>
          <w:sz w:val="24"/>
          <w:szCs w:val="24"/>
        </w:rPr>
        <w:t>About Justice Centre Hong Kong</w:t>
      </w:r>
    </w:p>
    <w:p w14:paraId="5A253146" w14:textId="7627FF0C" w:rsidR="00403A66" w:rsidRPr="003D073B" w:rsidRDefault="00403A66" w:rsidP="005D0B64">
      <w:pPr>
        <w:jc w:val="both"/>
        <w:rPr>
          <w:rFonts w:ascii="Arial" w:hAnsi="Arial" w:cs="Arial"/>
          <w:sz w:val="24"/>
          <w:szCs w:val="24"/>
        </w:rPr>
      </w:pPr>
      <w:r w:rsidRPr="003D073B">
        <w:rPr>
          <w:rFonts w:ascii="Arial" w:hAnsi="Arial" w:cs="Arial"/>
          <w:sz w:val="24"/>
          <w:szCs w:val="24"/>
        </w:rPr>
        <w:t>Justice Centre Hong Kong is a non-profit organisation focused on the promotion of human rights through our legal, psychosocial, research, policy and advocacy work. We are committed to driving change for a just and fair society. Founded in 2007 as The Hong Kong Refugee Advice Centre, over seven years we helped over 2,000 men, women and children on the road to a new life. Building on our expertise in refugee issues, in 2014 we identified a clear need for an increased response to tackling forced labour and human trafficking in Hong Kong, and expanded our remit to fill this gap and rebranded as Justice Centre Hong Kong. We now help around 300 people each year through our direct services and aim to benefit many more through our research, policy and advocacy work.</w:t>
      </w:r>
    </w:p>
    <w:sectPr w:rsidR="00403A66" w:rsidRPr="003D073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AA450" w14:textId="77777777" w:rsidR="00CE46E9" w:rsidRDefault="00CE46E9" w:rsidP="00F26571">
      <w:pPr>
        <w:spacing w:after="0" w:line="240" w:lineRule="auto"/>
      </w:pPr>
      <w:r>
        <w:separator/>
      </w:r>
    </w:p>
  </w:endnote>
  <w:endnote w:type="continuationSeparator" w:id="0">
    <w:p w14:paraId="0180E3F9" w14:textId="77777777" w:rsidR="00CE46E9" w:rsidRDefault="00CE46E9" w:rsidP="00F2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568532038"/>
      <w:docPartObj>
        <w:docPartGallery w:val="Page Numbers (Bottom of Page)"/>
        <w:docPartUnique/>
      </w:docPartObj>
    </w:sdtPr>
    <w:sdtEndPr>
      <w:rPr>
        <w:noProof/>
      </w:rPr>
    </w:sdtEndPr>
    <w:sdtContent>
      <w:p w14:paraId="74684ADA" w14:textId="600E5450" w:rsidR="007F398A" w:rsidRPr="007F398A" w:rsidRDefault="007F398A">
        <w:pPr>
          <w:pStyle w:val="Footer"/>
          <w:jc w:val="center"/>
          <w:rPr>
            <w:rFonts w:ascii="Arial" w:hAnsi="Arial" w:cs="Arial"/>
          </w:rPr>
        </w:pPr>
        <w:r w:rsidRPr="007F398A">
          <w:rPr>
            <w:rFonts w:ascii="Arial" w:hAnsi="Arial" w:cs="Arial"/>
          </w:rPr>
          <w:fldChar w:fldCharType="begin"/>
        </w:r>
        <w:r w:rsidRPr="007F398A">
          <w:rPr>
            <w:rFonts w:ascii="Arial" w:hAnsi="Arial" w:cs="Arial"/>
          </w:rPr>
          <w:instrText xml:space="preserve"> PAGE   \* MERGEFORMAT </w:instrText>
        </w:r>
        <w:r w:rsidRPr="007F398A">
          <w:rPr>
            <w:rFonts w:ascii="Arial" w:hAnsi="Arial" w:cs="Arial"/>
          </w:rPr>
          <w:fldChar w:fldCharType="separate"/>
        </w:r>
        <w:r w:rsidR="00C20772">
          <w:rPr>
            <w:rFonts w:ascii="Arial" w:hAnsi="Arial" w:cs="Arial"/>
            <w:noProof/>
          </w:rPr>
          <w:t>1</w:t>
        </w:r>
        <w:r w:rsidRPr="007F398A">
          <w:rPr>
            <w:rFonts w:ascii="Arial" w:hAnsi="Arial" w:cs="Arial"/>
            <w:noProof/>
          </w:rPr>
          <w:fldChar w:fldCharType="end"/>
        </w:r>
      </w:p>
    </w:sdtContent>
  </w:sdt>
  <w:p w14:paraId="32FB2F2B" w14:textId="77777777" w:rsidR="007F398A" w:rsidRPr="007F398A" w:rsidRDefault="007F398A">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F2260" w14:textId="77777777" w:rsidR="00CE46E9" w:rsidRDefault="00CE46E9" w:rsidP="00F26571">
      <w:pPr>
        <w:spacing w:after="0" w:line="240" w:lineRule="auto"/>
      </w:pPr>
      <w:r>
        <w:separator/>
      </w:r>
    </w:p>
  </w:footnote>
  <w:footnote w:type="continuationSeparator" w:id="0">
    <w:p w14:paraId="695BFB51" w14:textId="77777777" w:rsidR="00CE46E9" w:rsidRDefault="00CE46E9" w:rsidP="00F26571">
      <w:pPr>
        <w:spacing w:after="0" w:line="240" w:lineRule="auto"/>
      </w:pPr>
      <w:r>
        <w:continuationSeparator/>
      </w:r>
    </w:p>
  </w:footnote>
  <w:footnote w:id="1">
    <w:p w14:paraId="7380FE6C" w14:textId="7BC07A88"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Ubamaka </w:t>
      </w:r>
      <w:r w:rsidR="00A7562D" w:rsidRPr="00EE2D6D">
        <w:rPr>
          <w:rFonts w:ascii="Arial" w:hAnsi="Arial" w:cs="Arial"/>
        </w:rPr>
        <w:t xml:space="preserve">v Secretary for </w:t>
      </w:r>
      <w:r w:rsidR="00CE6183" w:rsidRPr="00EE2D6D">
        <w:rPr>
          <w:rFonts w:ascii="Arial" w:hAnsi="Arial" w:cs="Arial"/>
        </w:rPr>
        <w:t>Security</w:t>
      </w:r>
      <w:r w:rsidR="00A7562D" w:rsidRPr="00EE2D6D">
        <w:rPr>
          <w:rFonts w:ascii="Arial" w:hAnsi="Arial" w:cs="Arial"/>
        </w:rPr>
        <w:t xml:space="preserve"> and Another </w:t>
      </w:r>
      <w:r w:rsidR="00CE6183" w:rsidRPr="00EE2D6D">
        <w:rPr>
          <w:rFonts w:ascii="Arial" w:hAnsi="Arial" w:cs="Arial"/>
        </w:rPr>
        <w:t xml:space="preserve">[2012] HKCFA 87; (2012) 15 HKCFAR 743; [2013] 2 HKC 75; FACV 15/2011 (21 December 2012) </w:t>
      </w:r>
      <w:r w:rsidRPr="00EE2D6D">
        <w:rPr>
          <w:rFonts w:ascii="Arial" w:hAnsi="Arial" w:cs="Arial"/>
        </w:rPr>
        <w:t>and C</w:t>
      </w:r>
      <w:r w:rsidR="00C043C4" w:rsidRPr="00EE2D6D">
        <w:rPr>
          <w:rFonts w:ascii="Arial" w:hAnsi="Arial" w:cs="Arial"/>
        </w:rPr>
        <w:t xml:space="preserve"> and Others v Director of Immigration and Another </w:t>
      </w:r>
      <w:r w:rsidR="000B333D" w:rsidRPr="00EE2D6D">
        <w:rPr>
          <w:rFonts w:ascii="Arial" w:hAnsi="Arial" w:cs="Arial"/>
        </w:rPr>
        <w:t>[2013] HKCFA 21; (2013) 16 HKCFAR 280; [2013] 4 HKC 563; FACV 19/2011 (25 March 2013)</w:t>
      </w:r>
    </w:p>
  </w:footnote>
  <w:footnote w:id="2">
    <w:p w14:paraId="36AD7CC8" w14:textId="391CED33"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0B333D" w:rsidRPr="00EE2D6D">
        <w:rPr>
          <w:rFonts w:ascii="Arial" w:hAnsi="Arial" w:cs="Arial"/>
        </w:rPr>
        <w:t xml:space="preserve">Incorporated domestically via Immigration Ordnance (Cap 115) Part VIIC </w:t>
      </w:r>
      <w:r w:rsidR="00A4583F" w:rsidRPr="00EE2D6D">
        <w:rPr>
          <w:rFonts w:ascii="Arial" w:hAnsi="Arial" w:cs="Arial"/>
        </w:rPr>
        <w:t xml:space="preserve">and Secretary for Security v Sakthevel Prabakar </w:t>
      </w:r>
      <w:r w:rsidR="00DE1E72" w:rsidRPr="00EE2D6D">
        <w:rPr>
          <w:rFonts w:ascii="Arial" w:hAnsi="Arial" w:cs="Arial"/>
        </w:rPr>
        <w:t>FACV No. 16 of 2003 (8 June 2004)</w:t>
      </w:r>
    </w:p>
  </w:footnote>
  <w:footnote w:id="3">
    <w:p w14:paraId="5B779FA9" w14:textId="5ED3405B" w:rsidR="00161394" w:rsidRPr="00EE2D6D" w:rsidRDefault="00161394"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D66656" w:rsidRPr="00EE2D6D">
        <w:rPr>
          <w:rFonts w:ascii="Arial" w:hAnsi="Arial" w:cs="Arial"/>
        </w:rPr>
        <w:t>Incorporated domestically via the Hong Kong Bill of Rights Ordinance (Cap 383)</w:t>
      </w:r>
      <w:r w:rsidR="00C17CA3" w:rsidRPr="00EE2D6D">
        <w:rPr>
          <w:rFonts w:ascii="Arial" w:hAnsi="Arial" w:cs="Arial"/>
        </w:rPr>
        <w:t>,</w:t>
      </w:r>
      <w:r w:rsidR="00D66656" w:rsidRPr="00EE2D6D">
        <w:rPr>
          <w:rFonts w:ascii="Arial" w:hAnsi="Arial" w:cs="Arial"/>
        </w:rPr>
        <w:t xml:space="preserve"> Article 3</w:t>
      </w:r>
    </w:p>
  </w:footnote>
  <w:footnote w:id="4">
    <w:p w14:paraId="300A5821" w14:textId="70F63D17" w:rsidR="00161394" w:rsidRPr="00EE2D6D" w:rsidRDefault="00161394"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C17CA3" w:rsidRPr="00EE2D6D">
        <w:rPr>
          <w:rFonts w:ascii="Arial" w:hAnsi="Arial" w:cs="Arial"/>
        </w:rPr>
        <w:t>Incorporated domestically via the Hong Kong Bill of Rights Ordinance (Cap 383), Article 2</w:t>
      </w:r>
    </w:p>
  </w:footnote>
  <w:footnote w:id="5">
    <w:p w14:paraId="3A926D93" w14:textId="77777777" w:rsidR="00C17CA3" w:rsidRPr="00EE2D6D" w:rsidRDefault="006C1EDE"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C17CA3" w:rsidRPr="00EE2D6D">
        <w:rPr>
          <w:rFonts w:ascii="Arial" w:hAnsi="Arial" w:cs="Arial"/>
        </w:rPr>
        <w:t>C and Others v Director of Immigration and Another [2013] HKCFA 21; (2013) 16 HKCFAR 280; [2013] 4 HKC 563; FACV 19/2011 (25 March 2013)</w:t>
      </w:r>
    </w:p>
    <w:p w14:paraId="206AFDD2" w14:textId="3E0521FE" w:rsidR="006C1EDE" w:rsidRPr="00EE2D6D" w:rsidRDefault="006C1EDE" w:rsidP="00EE2D6D">
      <w:pPr>
        <w:pStyle w:val="FootnoteText"/>
        <w:jc w:val="both"/>
        <w:rPr>
          <w:rFonts w:ascii="Arial" w:hAnsi="Arial" w:cs="Arial"/>
        </w:rPr>
      </w:pPr>
    </w:p>
  </w:footnote>
  <w:footnote w:id="6">
    <w:p w14:paraId="2CD2C5D6" w14:textId="6766106A" w:rsidR="00246D65" w:rsidRPr="00EE2D6D" w:rsidRDefault="00246D65" w:rsidP="00EE2D6D">
      <w:pPr>
        <w:pStyle w:val="FootnoteText"/>
        <w:jc w:val="both"/>
        <w:rPr>
          <w:rFonts w:ascii="Arial" w:hAnsi="Arial" w:cs="Arial"/>
          <w:b/>
          <w:bCs/>
        </w:rPr>
      </w:pPr>
      <w:r w:rsidRPr="00EE2D6D">
        <w:rPr>
          <w:rStyle w:val="FootnoteReference"/>
          <w:rFonts w:ascii="Arial" w:hAnsi="Arial" w:cs="Arial"/>
        </w:rPr>
        <w:footnoteRef/>
      </w:r>
      <w:r w:rsidRPr="00EE2D6D">
        <w:rPr>
          <w:rFonts w:ascii="Arial" w:hAnsi="Arial" w:cs="Arial"/>
        </w:rPr>
        <w:t xml:space="preserve"> </w:t>
      </w:r>
      <w:r w:rsidR="00A74F67" w:rsidRPr="00EE2D6D">
        <w:rPr>
          <w:rFonts w:ascii="Arial" w:hAnsi="Arial" w:cs="Arial"/>
        </w:rPr>
        <w:t xml:space="preserve">See for example, </w:t>
      </w:r>
      <w:r w:rsidR="00D65420" w:rsidRPr="00EE2D6D">
        <w:rPr>
          <w:rFonts w:ascii="Arial" w:hAnsi="Arial" w:cs="Arial"/>
          <w:i/>
          <w:iCs/>
          <w:u w:val="single"/>
        </w:rPr>
        <w:t>Re Mohammad Palash</w:t>
      </w:r>
      <w:r w:rsidR="00D65420" w:rsidRPr="00EE2D6D">
        <w:rPr>
          <w:rFonts w:ascii="Arial" w:hAnsi="Arial" w:cs="Arial"/>
        </w:rPr>
        <w:t xml:space="preserve"> [2018] HKCA 417; CACV 297/2017 (23 July 2018)</w:t>
      </w:r>
      <w:r w:rsidR="00926616" w:rsidRPr="00EE2D6D">
        <w:rPr>
          <w:rFonts w:ascii="Arial" w:hAnsi="Arial" w:cs="Arial"/>
        </w:rPr>
        <w:t xml:space="preserve"> </w:t>
      </w:r>
      <w:r w:rsidR="003A7648" w:rsidRPr="00EE2D6D">
        <w:rPr>
          <w:rFonts w:ascii="Arial" w:hAnsi="Arial" w:cs="Arial"/>
        </w:rPr>
        <w:t xml:space="preserve">and </w:t>
      </w:r>
      <w:r w:rsidR="003A7648" w:rsidRPr="00EE2D6D">
        <w:rPr>
          <w:rFonts w:ascii="Arial" w:hAnsi="Arial" w:cs="Arial"/>
          <w:i/>
          <w:iCs/>
          <w:u w:val="single"/>
        </w:rPr>
        <w:t xml:space="preserve">Re MD Zahidur Rahman Manik </w:t>
      </w:r>
      <w:r w:rsidR="003A7648" w:rsidRPr="00EE2D6D">
        <w:rPr>
          <w:rFonts w:ascii="Arial" w:hAnsi="Arial" w:cs="Arial"/>
        </w:rPr>
        <w:t xml:space="preserve">[2018] HKCA 766; CACV 314/2018 (29 October 2018), </w:t>
      </w:r>
      <w:r w:rsidR="00926616" w:rsidRPr="00EE2D6D">
        <w:rPr>
          <w:rFonts w:ascii="Arial" w:hAnsi="Arial" w:cs="Arial"/>
        </w:rPr>
        <w:t>which concern the right to fair trial</w:t>
      </w:r>
    </w:p>
  </w:footnote>
  <w:footnote w:id="7">
    <w:p w14:paraId="32262131" w14:textId="77777777" w:rsidR="002E4CB5" w:rsidRPr="00EE2D6D" w:rsidRDefault="002E4CB5" w:rsidP="002E4CB5">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CAT/C/CHN-HKG/CO/5 at [6]</w:t>
      </w:r>
    </w:p>
  </w:footnote>
  <w:footnote w:id="8">
    <w:p w14:paraId="18F1375F" w14:textId="761EE92B"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68368B" w:rsidRPr="00EE2D6D">
        <w:rPr>
          <w:rFonts w:ascii="Arial" w:hAnsi="Arial" w:cs="Arial"/>
        </w:rPr>
        <w:t>Immigration Department, “Statistics on Non-refoulement Claim</w:t>
      </w:r>
      <w:r w:rsidR="001749A8" w:rsidRPr="00EE2D6D">
        <w:rPr>
          <w:rFonts w:ascii="Arial" w:hAnsi="Arial" w:cs="Arial"/>
        </w:rPr>
        <w:t xml:space="preserve">”. Available at: </w:t>
      </w:r>
      <w:hyperlink r:id="rId1" w:history="1">
        <w:r w:rsidR="001749A8" w:rsidRPr="00EE2D6D">
          <w:rPr>
            <w:rStyle w:val="Hyperlink"/>
            <w:rFonts w:ascii="Arial" w:hAnsi="Arial" w:cs="Arial"/>
          </w:rPr>
          <w:t>https://www.immd.gov.hk/eng/facts/enforcement.html</w:t>
        </w:r>
      </w:hyperlink>
      <w:r w:rsidR="00111C3E" w:rsidRPr="00EE2D6D">
        <w:rPr>
          <w:rFonts w:ascii="Arial" w:hAnsi="Arial" w:cs="Arial"/>
        </w:rPr>
        <w:t xml:space="preserve">. </w:t>
      </w:r>
      <w:r w:rsidR="00FC5E85" w:rsidRPr="00EE2D6D">
        <w:rPr>
          <w:rFonts w:ascii="Arial" w:hAnsi="Arial" w:cs="Arial"/>
        </w:rPr>
        <w:t xml:space="preserve">Security Bureau, “TCAB Statistics” (October 2017). Available at: </w:t>
      </w:r>
      <w:hyperlink r:id="rId2" w:anchor="incoming-652" w:history="1">
        <w:r w:rsidR="00FC5E85" w:rsidRPr="00EE2D6D">
          <w:rPr>
            <w:rStyle w:val="Hyperlink"/>
            <w:rFonts w:ascii="Arial" w:hAnsi="Arial" w:cs="Arial"/>
          </w:rPr>
          <w:t>https://accessinfo.hk/zh_HK/request/tcab_statistics#incoming-652</w:t>
        </w:r>
      </w:hyperlink>
      <w:r w:rsidR="00FC5E85" w:rsidRPr="00EE2D6D">
        <w:rPr>
          <w:rFonts w:ascii="Arial" w:hAnsi="Arial" w:cs="Arial"/>
        </w:rPr>
        <w:t xml:space="preserve">; Security Bureau, “Torture Claims Appeal Board- Q4, 2017” (March 2018). Available at: </w:t>
      </w:r>
      <w:hyperlink r:id="rId3" w:history="1">
        <w:r w:rsidR="00FC5E85" w:rsidRPr="00EE2D6D">
          <w:rPr>
            <w:rStyle w:val="Hyperlink"/>
            <w:rFonts w:ascii="Arial" w:hAnsi="Arial" w:cs="Arial"/>
          </w:rPr>
          <w:t>https://accessinfo.hk/zh_HK/request/torture_claims_appeal_board_q4_2</w:t>
        </w:r>
      </w:hyperlink>
      <w:r w:rsidR="00FC5E85" w:rsidRPr="00EE2D6D">
        <w:rPr>
          <w:rFonts w:ascii="Arial" w:hAnsi="Arial" w:cs="Arial"/>
        </w:rPr>
        <w:t xml:space="preserve">; Security Bureau, “Torture Claims Appeal Board- Q1, 2018” (April 2018). Available at: </w:t>
      </w:r>
      <w:hyperlink r:id="rId4" w:history="1">
        <w:r w:rsidR="00FC5E85" w:rsidRPr="00EE2D6D">
          <w:rPr>
            <w:rStyle w:val="Hyperlink"/>
            <w:rFonts w:ascii="Arial" w:hAnsi="Arial" w:cs="Arial"/>
          </w:rPr>
          <w:t>https://accessinfo.hk/zh_HK/request/torture_claims_appeal_board_q1_2</w:t>
        </w:r>
      </w:hyperlink>
      <w:r w:rsidR="00FC5E85" w:rsidRPr="00EE2D6D">
        <w:rPr>
          <w:rFonts w:ascii="Arial" w:hAnsi="Arial" w:cs="Arial"/>
        </w:rPr>
        <w:t xml:space="preserve">; Security Bureau, “Torture Claims Appeal Board- Q2, 2018” (July 2018). Available at: </w:t>
      </w:r>
      <w:hyperlink r:id="rId5" w:history="1">
        <w:r w:rsidR="00FC5E85" w:rsidRPr="00EE2D6D">
          <w:rPr>
            <w:rStyle w:val="Hyperlink"/>
            <w:rFonts w:ascii="Arial" w:hAnsi="Arial" w:cs="Arial"/>
          </w:rPr>
          <w:t>https://accessinfo.hk/zh_HK/request/torture_claims_appeal_board_q2_2</w:t>
        </w:r>
      </w:hyperlink>
      <w:r w:rsidR="00FC5E85" w:rsidRPr="00EE2D6D">
        <w:rPr>
          <w:rFonts w:ascii="Arial" w:hAnsi="Arial" w:cs="Arial"/>
        </w:rPr>
        <w:t xml:space="preserve">; Security Bureau, “Torture Claims Appeal Board- Q3, 2018” (October 2018). Available at: </w:t>
      </w:r>
      <w:hyperlink r:id="rId6" w:history="1">
        <w:r w:rsidR="00FC5E85" w:rsidRPr="00EE2D6D">
          <w:rPr>
            <w:rStyle w:val="Hyperlink"/>
            <w:rFonts w:ascii="Arial" w:hAnsi="Arial" w:cs="Arial"/>
          </w:rPr>
          <w:t>https://accessinfo.hk/zh_HK/request/torture_claims_appeal_board_q3_2</w:t>
        </w:r>
      </w:hyperlink>
      <w:r w:rsidR="00FC5E85" w:rsidRPr="00EE2D6D">
        <w:rPr>
          <w:rFonts w:ascii="Arial" w:hAnsi="Arial" w:cs="Arial"/>
        </w:rPr>
        <w:t xml:space="preserve">; Security Bureau, “Torture Claims Appeal Board- Q4, 2018” (January 2019). Available at: </w:t>
      </w:r>
      <w:hyperlink r:id="rId7" w:history="1">
        <w:r w:rsidR="00FC5E85" w:rsidRPr="00EE2D6D">
          <w:rPr>
            <w:rStyle w:val="Hyperlink"/>
            <w:rFonts w:ascii="Arial" w:hAnsi="Arial" w:cs="Arial"/>
          </w:rPr>
          <w:t>https://accessinfo.hk/zh_HK/request/torture_claims_appeal_board_q4_2_2</w:t>
        </w:r>
      </w:hyperlink>
      <w:r w:rsidR="00FC5E85" w:rsidRPr="00EE2D6D">
        <w:rPr>
          <w:rFonts w:ascii="Arial" w:hAnsi="Arial" w:cs="Arial"/>
        </w:rPr>
        <w:t xml:space="preserve">; </w:t>
      </w:r>
      <w:r w:rsidR="00111C3E" w:rsidRPr="00EE2D6D">
        <w:rPr>
          <w:rFonts w:ascii="Arial" w:hAnsi="Arial" w:cs="Arial"/>
        </w:rPr>
        <w:t xml:space="preserve">Security Bureau, </w:t>
      </w:r>
      <w:r w:rsidR="007B7672" w:rsidRPr="00EE2D6D">
        <w:rPr>
          <w:rFonts w:ascii="Arial" w:hAnsi="Arial" w:cs="Arial"/>
        </w:rPr>
        <w:t>“Torture Claims Appeal Board - Q1 2019”</w:t>
      </w:r>
      <w:r w:rsidR="005611AD" w:rsidRPr="00EE2D6D">
        <w:rPr>
          <w:rFonts w:ascii="Arial" w:hAnsi="Arial" w:cs="Arial"/>
        </w:rPr>
        <w:t xml:space="preserve"> (</w:t>
      </w:r>
      <w:r w:rsidR="002672E6" w:rsidRPr="00EE2D6D">
        <w:rPr>
          <w:rFonts w:ascii="Arial" w:hAnsi="Arial" w:cs="Arial"/>
        </w:rPr>
        <w:t xml:space="preserve">April 2019). Available at: </w:t>
      </w:r>
      <w:hyperlink r:id="rId8" w:history="1">
        <w:r w:rsidR="002672E6" w:rsidRPr="00EE2D6D">
          <w:rPr>
            <w:rStyle w:val="Hyperlink"/>
            <w:rFonts w:ascii="Arial" w:hAnsi="Arial" w:cs="Arial"/>
          </w:rPr>
          <w:t>https://accessinfo.hk/zh_HK/request/torture_claims_appeal_board_q1_2_2</w:t>
        </w:r>
      </w:hyperlink>
      <w:r w:rsidR="000C52C1" w:rsidRPr="00EE2D6D">
        <w:rPr>
          <w:rFonts w:ascii="Arial" w:hAnsi="Arial" w:cs="Arial"/>
        </w:rPr>
        <w:t xml:space="preserve">; Security Bureau, “Torture Claims Appeal Board – Q2 2019” (July 2019). Available at: </w:t>
      </w:r>
      <w:hyperlink r:id="rId9" w:history="1">
        <w:r w:rsidR="000C52C1" w:rsidRPr="00EE2D6D">
          <w:rPr>
            <w:rStyle w:val="Hyperlink"/>
            <w:rFonts w:ascii="Arial" w:hAnsi="Arial" w:cs="Arial"/>
          </w:rPr>
          <w:t>https://accessinfo.hk/zh_HK/request/torture_claims_appeal_board_q2_2_2</w:t>
        </w:r>
      </w:hyperlink>
      <w:r w:rsidR="0016510A" w:rsidRPr="00EE2D6D">
        <w:rPr>
          <w:rFonts w:ascii="Arial" w:hAnsi="Arial" w:cs="Arial"/>
        </w:rPr>
        <w:t xml:space="preserve">; Security Bureau, “Torture Claims Appeal Board – Q3 2019” (December 2019). Available at: </w:t>
      </w:r>
      <w:hyperlink r:id="rId10" w:history="1">
        <w:r w:rsidR="0016510A" w:rsidRPr="00EE2D6D">
          <w:rPr>
            <w:rStyle w:val="Hyperlink"/>
            <w:rFonts w:ascii="Arial" w:hAnsi="Arial" w:cs="Arial"/>
          </w:rPr>
          <w:t>https://accessinfo.hk/zh_HK/request/torture_claims_appeal_board_q3_2_2</w:t>
        </w:r>
      </w:hyperlink>
      <w:r w:rsidR="0016510A" w:rsidRPr="00EE2D6D">
        <w:rPr>
          <w:rFonts w:ascii="Arial" w:hAnsi="Arial" w:cs="Arial"/>
        </w:rPr>
        <w:t xml:space="preserve">; Security Bureau, “Torture Claims Appeal Board – Q4 2019” (January 2020). Available at: </w:t>
      </w:r>
      <w:hyperlink r:id="rId11" w:history="1">
        <w:r w:rsidR="0016510A" w:rsidRPr="00EE2D6D">
          <w:rPr>
            <w:rStyle w:val="Hyperlink"/>
            <w:rFonts w:ascii="Arial" w:hAnsi="Arial" w:cs="Arial"/>
          </w:rPr>
          <w:t>https://accessinfo.hk/zh_HK/request/torture_claims_appeal_board_q4_2_3</w:t>
        </w:r>
      </w:hyperlink>
      <w:r w:rsidR="00785AA3" w:rsidRPr="00EE2D6D">
        <w:rPr>
          <w:rFonts w:ascii="Arial" w:hAnsi="Arial" w:cs="Arial"/>
        </w:rPr>
        <w:t xml:space="preserve"> </w:t>
      </w:r>
    </w:p>
  </w:footnote>
  <w:footnote w:id="9">
    <w:p w14:paraId="44647DE0" w14:textId="35127810"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00265756" w:rsidRPr="00EE2D6D">
        <w:rPr>
          <w:rFonts w:ascii="Arial" w:hAnsi="Arial" w:cs="Arial"/>
        </w:rPr>
        <w:t xml:space="preserve"> Immigration Department,</w:t>
      </w:r>
      <w:r w:rsidRPr="00EE2D6D">
        <w:rPr>
          <w:rFonts w:ascii="Arial" w:hAnsi="Arial" w:cs="Arial"/>
        </w:rPr>
        <w:t xml:space="preserve"> </w:t>
      </w:r>
      <w:r w:rsidR="00265756" w:rsidRPr="00EE2D6D">
        <w:rPr>
          <w:rFonts w:ascii="Arial" w:hAnsi="Arial" w:cs="Arial"/>
        </w:rPr>
        <w:t>“</w:t>
      </w:r>
      <w:r w:rsidRPr="00EE2D6D">
        <w:rPr>
          <w:rFonts w:ascii="Arial" w:hAnsi="Arial" w:cs="Arial"/>
        </w:rPr>
        <w:t>Notice to Persons Making a Non-refoulement Claim</w:t>
      </w:r>
      <w:r w:rsidR="00265756" w:rsidRPr="00EE2D6D">
        <w:rPr>
          <w:rFonts w:ascii="Arial" w:hAnsi="Arial" w:cs="Arial"/>
        </w:rPr>
        <w:t xml:space="preserve">” at [23]. Available at: </w:t>
      </w:r>
      <w:hyperlink r:id="rId12" w:history="1">
        <w:r w:rsidR="00265756" w:rsidRPr="00EE2D6D">
          <w:rPr>
            <w:rStyle w:val="Hyperlink"/>
            <w:rFonts w:ascii="Arial" w:hAnsi="Arial" w:cs="Arial"/>
          </w:rPr>
          <w:t>https://www.immd.gov.hk/pdf/notice_non-refoulement_claim_en.pdf</w:t>
        </w:r>
      </w:hyperlink>
      <w:r w:rsidR="00265756" w:rsidRPr="00EE2D6D">
        <w:rPr>
          <w:rFonts w:ascii="Arial" w:hAnsi="Arial" w:cs="Arial"/>
        </w:rPr>
        <w:t xml:space="preserve"> </w:t>
      </w:r>
      <w:r w:rsidRPr="00EE2D6D">
        <w:rPr>
          <w:rFonts w:ascii="Arial" w:hAnsi="Arial" w:cs="Arial"/>
        </w:rPr>
        <w:t xml:space="preserve"> </w:t>
      </w:r>
    </w:p>
  </w:footnote>
  <w:footnote w:id="10">
    <w:p w14:paraId="5E3DCD05" w14:textId="12CC75EB"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Figures for Q2 </w:t>
      </w:r>
      <w:r w:rsidR="00265756" w:rsidRPr="00EE2D6D">
        <w:rPr>
          <w:rFonts w:ascii="Arial" w:hAnsi="Arial" w:cs="Arial"/>
        </w:rPr>
        <w:t xml:space="preserve">2019 </w:t>
      </w:r>
      <w:r w:rsidRPr="00EE2D6D">
        <w:rPr>
          <w:rFonts w:ascii="Arial" w:hAnsi="Arial" w:cs="Arial"/>
        </w:rPr>
        <w:t xml:space="preserve">and Q3 2019 is not available yet. </w:t>
      </w:r>
      <w:r w:rsidR="00E61805" w:rsidRPr="00EE2D6D">
        <w:rPr>
          <w:rFonts w:ascii="Arial" w:hAnsi="Arial" w:cs="Arial"/>
        </w:rPr>
        <w:t>Security Bureau, “</w:t>
      </w:r>
      <w:r w:rsidR="00BB1B3A" w:rsidRPr="00EE2D6D">
        <w:rPr>
          <w:rFonts w:ascii="Arial" w:hAnsi="Arial" w:cs="Arial"/>
        </w:rPr>
        <w:t>Free legal representation before the Torture Claims Appeal Board</w:t>
      </w:r>
      <w:r w:rsidR="00E61805" w:rsidRPr="00EE2D6D">
        <w:rPr>
          <w:rFonts w:ascii="Arial" w:hAnsi="Arial" w:cs="Arial"/>
        </w:rPr>
        <w:t>”</w:t>
      </w:r>
      <w:r w:rsidR="00BB1B3A" w:rsidRPr="00EE2D6D">
        <w:rPr>
          <w:rFonts w:ascii="Arial" w:hAnsi="Arial" w:cs="Arial"/>
        </w:rPr>
        <w:t xml:space="preserve"> (July 2019). Available at: </w:t>
      </w:r>
      <w:hyperlink r:id="rId13" w:anchor="incoming-1122" w:history="1">
        <w:r w:rsidR="00E61805" w:rsidRPr="00EE2D6D">
          <w:rPr>
            <w:rStyle w:val="Hyperlink"/>
            <w:rFonts w:ascii="Arial" w:hAnsi="Arial" w:cs="Arial"/>
          </w:rPr>
          <w:t>https://accessinfo.hk/en/request/free_legal_representation_before#incoming-1122</w:t>
        </w:r>
      </w:hyperlink>
      <w:r w:rsidRPr="00EE2D6D">
        <w:rPr>
          <w:rFonts w:ascii="Arial" w:hAnsi="Arial" w:cs="Arial"/>
        </w:rPr>
        <w:t xml:space="preserve"> and </w:t>
      </w:r>
      <w:r w:rsidR="002532DA" w:rsidRPr="00EE2D6D">
        <w:rPr>
          <w:rFonts w:ascii="Arial" w:hAnsi="Arial" w:cs="Arial"/>
        </w:rPr>
        <w:t xml:space="preserve">Security Bureau, “Free legal representation at TCAB, Q4 2019” (January 2020). Available at: </w:t>
      </w:r>
      <w:hyperlink r:id="rId14" w:anchor="incoming-1291" w:history="1">
        <w:r w:rsidR="002532DA" w:rsidRPr="00EE2D6D">
          <w:rPr>
            <w:rStyle w:val="Hyperlink"/>
            <w:rFonts w:ascii="Arial" w:hAnsi="Arial" w:cs="Arial"/>
          </w:rPr>
          <w:t>https://accessinfo.hk/en/request/free_legal_representation_at_tca#incoming-1291</w:t>
        </w:r>
      </w:hyperlink>
    </w:p>
  </w:footnote>
  <w:footnote w:id="11">
    <w:p w14:paraId="6DD4124F"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See for example Md Nazir Ahmed Sarkbar v Torture Claims Appeal Board [2018] HKCFI 801, available at:</w:t>
      </w:r>
    </w:p>
    <w:p w14:paraId="7BCF6133" w14:textId="77777777" w:rsidR="00903ADF" w:rsidRPr="00EE2D6D" w:rsidRDefault="00C20772" w:rsidP="00EE2D6D">
      <w:pPr>
        <w:pStyle w:val="FootnoteText"/>
        <w:jc w:val="both"/>
        <w:rPr>
          <w:rFonts w:ascii="Arial" w:hAnsi="Arial" w:cs="Arial"/>
        </w:rPr>
      </w:pPr>
      <w:hyperlink r:id="rId15" w:history="1">
        <w:r w:rsidR="00903ADF" w:rsidRPr="00EE2D6D">
          <w:rPr>
            <w:rStyle w:val="Hyperlink"/>
            <w:rFonts w:ascii="Arial" w:hAnsi="Arial" w:cs="Arial"/>
          </w:rPr>
          <w:t>http://legalref.judiciary.hk/lrs/common/search/search_result_detail_frame.jsp?DIS=114733&amp;QS=%2B&amp;TP=JU</w:t>
        </w:r>
      </w:hyperlink>
    </w:p>
    <w:p w14:paraId="5DD0CF25" w14:textId="77777777" w:rsidR="00903ADF" w:rsidRPr="00EE2D6D" w:rsidRDefault="00903ADF" w:rsidP="00EE2D6D">
      <w:pPr>
        <w:pStyle w:val="FootnoteText"/>
        <w:jc w:val="both"/>
        <w:rPr>
          <w:rFonts w:ascii="Arial" w:hAnsi="Arial" w:cs="Arial"/>
        </w:rPr>
      </w:pPr>
    </w:p>
  </w:footnote>
  <w:footnote w:id="12">
    <w:p w14:paraId="2EA7B4C1" w14:textId="3FF39CE8"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Villarico Loutherliz Talag v. Torture Claims Appeal Board [2018] HKCFI 468; HCAL 179/2017</w:t>
      </w:r>
      <w:r w:rsidR="00F828D9" w:rsidRPr="00EE2D6D">
        <w:rPr>
          <w:rFonts w:ascii="Arial" w:hAnsi="Arial" w:cs="Arial"/>
        </w:rPr>
        <w:t>. A</w:t>
      </w:r>
      <w:r w:rsidRPr="00EE2D6D">
        <w:rPr>
          <w:rFonts w:ascii="Arial" w:hAnsi="Arial" w:cs="Arial"/>
        </w:rPr>
        <w:t xml:space="preserve">vailable at: </w:t>
      </w:r>
      <w:hyperlink r:id="rId16" w:history="1">
        <w:r w:rsidR="00F828D9" w:rsidRPr="00EE2D6D">
          <w:rPr>
            <w:rStyle w:val="Hyperlink"/>
            <w:rFonts w:ascii="Arial" w:hAnsi="Arial" w:cs="Arial"/>
          </w:rPr>
          <w:t>http://hklii.hk/eng/hk/cases/hkcfi/2018/468.html</w:t>
        </w:r>
      </w:hyperlink>
      <w:r w:rsidR="00F828D9" w:rsidRPr="00EE2D6D">
        <w:rPr>
          <w:rFonts w:ascii="Arial" w:hAnsi="Arial" w:cs="Arial"/>
        </w:rPr>
        <w:t xml:space="preserve"> </w:t>
      </w:r>
    </w:p>
  </w:footnote>
  <w:footnote w:id="13">
    <w:p w14:paraId="2C2A4EC7" w14:textId="7BD3E4C5" w:rsidR="000178E4" w:rsidRPr="00EE2D6D" w:rsidRDefault="000178E4"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282EFE" w:rsidRPr="00EE2D6D">
        <w:rPr>
          <w:rFonts w:ascii="Arial" w:hAnsi="Arial" w:cs="Arial"/>
        </w:rPr>
        <w:t xml:space="preserve">Ibid at </w:t>
      </w:r>
      <w:r w:rsidRPr="00EE2D6D">
        <w:rPr>
          <w:rFonts w:ascii="Arial" w:hAnsi="Arial" w:cs="Arial"/>
        </w:rPr>
        <w:t xml:space="preserve">[7] </w:t>
      </w:r>
    </w:p>
  </w:footnote>
  <w:footnote w:id="14">
    <w:p w14:paraId="70C9963B" w14:textId="29BE7322" w:rsidR="00CA13B5" w:rsidRPr="00EE2D6D" w:rsidRDefault="00CA13B5"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0849BA" w:rsidRPr="00EE2D6D">
        <w:rPr>
          <w:rFonts w:ascii="Arial" w:hAnsi="Arial" w:cs="Arial"/>
        </w:rPr>
        <w:t>See</w:t>
      </w:r>
      <w:r w:rsidR="00FA4AB3" w:rsidRPr="00EE2D6D">
        <w:rPr>
          <w:rFonts w:ascii="Arial" w:hAnsi="Arial" w:cs="Arial"/>
        </w:rPr>
        <w:t xml:space="preserve"> the UK Government,</w:t>
      </w:r>
      <w:r w:rsidR="005C718A" w:rsidRPr="00EE2D6D">
        <w:rPr>
          <w:rFonts w:ascii="Arial" w:hAnsi="Arial" w:cs="Arial"/>
        </w:rPr>
        <w:t xml:space="preserve"> </w:t>
      </w:r>
      <w:r w:rsidR="00FA4AB3" w:rsidRPr="00EE2D6D">
        <w:rPr>
          <w:rFonts w:ascii="Arial" w:hAnsi="Arial" w:cs="Arial"/>
        </w:rPr>
        <w:t>“</w:t>
      </w:r>
      <w:r w:rsidR="005C718A" w:rsidRPr="00EE2D6D">
        <w:rPr>
          <w:rFonts w:ascii="Arial" w:hAnsi="Arial" w:cs="Arial"/>
        </w:rPr>
        <w:t xml:space="preserve">Immigration and asylum tribunal appeal decisions”. Available at: </w:t>
      </w:r>
      <w:hyperlink r:id="rId17" w:history="1">
        <w:r w:rsidR="005C718A" w:rsidRPr="00EE2D6D">
          <w:rPr>
            <w:rStyle w:val="Hyperlink"/>
            <w:rFonts w:ascii="Arial" w:hAnsi="Arial" w:cs="Arial"/>
          </w:rPr>
          <w:t>https://www.gov.uk/immigration-asylum-appeal-decisions</w:t>
        </w:r>
      </w:hyperlink>
    </w:p>
  </w:footnote>
  <w:footnote w:id="15">
    <w:p w14:paraId="2E884082" w14:textId="409B38B6" w:rsidR="00CA13B5" w:rsidRPr="00EE2D6D" w:rsidRDefault="00CA13B5"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See </w:t>
      </w:r>
      <w:r w:rsidR="00032F4B" w:rsidRPr="00EE2D6D">
        <w:rPr>
          <w:rFonts w:ascii="Arial" w:hAnsi="Arial" w:cs="Arial"/>
        </w:rPr>
        <w:t xml:space="preserve">Immigration and Refugee Board of Canada, “Decisions”. Available at: </w:t>
      </w:r>
      <w:hyperlink r:id="rId18" w:history="1">
        <w:r w:rsidR="00032F4B" w:rsidRPr="00EE2D6D">
          <w:rPr>
            <w:rStyle w:val="Hyperlink"/>
            <w:rFonts w:ascii="Arial" w:hAnsi="Arial" w:cs="Arial"/>
          </w:rPr>
          <w:t>https://irb-cisr.gc.ca/en/decisions/Pages/index.aspx</w:t>
        </w:r>
      </w:hyperlink>
    </w:p>
  </w:footnote>
  <w:footnote w:id="16">
    <w:p w14:paraId="1863C06D" w14:textId="1D76270E" w:rsidR="001C25CE" w:rsidRPr="00EE2D6D" w:rsidRDefault="001C25CE"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See </w:t>
      </w:r>
      <w:r w:rsidR="007F0AD0" w:rsidRPr="00EE2D6D">
        <w:rPr>
          <w:rFonts w:ascii="Arial" w:hAnsi="Arial" w:cs="Arial"/>
        </w:rPr>
        <w:t xml:space="preserve">Australasian Legal Information Institute, </w:t>
      </w:r>
      <w:r w:rsidR="00520C48" w:rsidRPr="00EE2D6D">
        <w:rPr>
          <w:rFonts w:ascii="Arial" w:hAnsi="Arial" w:cs="Arial"/>
        </w:rPr>
        <w:t xml:space="preserve">“Refugee Review Tribunal of Australia”. Available at: </w:t>
      </w:r>
      <w:hyperlink r:id="rId19" w:history="1">
        <w:r w:rsidR="00520C48" w:rsidRPr="00EE2D6D">
          <w:rPr>
            <w:rStyle w:val="Hyperlink"/>
            <w:rFonts w:ascii="Arial" w:hAnsi="Arial" w:cs="Arial"/>
          </w:rPr>
          <w:t>http://www6.austlii.edu.au/cgi-bin/viewdb/au/cases/cth/RRTA/</w:t>
        </w:r>
      </w:hyperlink>
    </w:p>
  </w:footnote>
  <w:footnote w:id="17">
    <w:p w14:paraId="2598F203" w14:textId="5F76E345"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See for example, </w:t>
      </w:r>
      <w:r w:rsidR="007F0AD0" w:rsidRPr="00EE2D6D">
        <w:rPr>
          <w:rFonts w:ascii="Arial" w:hAnsi="Arial" w:cs="Arial"/>
        </w:rPr>
        <w:t xml:space="preserve">UNHCR, Guidelines on International Protection No.1: </w:t>
      </w:r>
      <w:r w:rsidRPr="00EE2D6D">
        <w:rPr>
          <w:rFonts w:ascii="Arial" w:hAnsi="Arial" w:cs="Arial"/>
        </w:rPr>
        <w:t>Gender</w:t>
      </w:r>
      <w:r w:rsidRPr="00EE2D6D">
        <w:rPr>
          <w:rFonts w:ascii="Cambria Math" w:hAnsi="Cambria Math" w:cs="Cambria Math"/>
        </w:rPr>
        <w:t>‑</w:t>
      </w:r>
      <w:r w:rsidRPr="00EE2D6D">
        <w:rPr>
          <w:rFonts w:ascii="Arial" w:hAnsi="Arial" w:cs="Arial"/>
        </w:rPr>
        <w:t>Related Persecution within the context of Article 1A(2) of the 1951</w:t>
      </w:r>
      <w:r w:rsidR="007F0AD0" w:rsidRPr="00EE2D6D">
        <w:rPr>
          <w:rFonts w:ascii="Arial" w:hAnsi="Arial" w:cs="Arial"/>
        </w:rPr>
        <w:t xml:space="preserve"> </w:t>
      </w:r>
      <w:r w:rsidRPr="00EE2D6D">
        <w:rPr>
          <w:rFonts w:ascii="Arial" w:hAnsi="Arial" w:cs="Arial"/>
        </w:rPr>
        <w:t>Convention and/or its 1967 Protocol relating to the Status of Refugees</w:t>
      </w:r>
      <w:r w:rsidR="0017596F" w:rsidRPr="00EE2D6D">
        <w:rPr>
          <w:rFonts w:ascii="Arial" w:hAnsi="Arial" w:cs="Arial"/>
        </w:rPr>
        <w:t xml:space="preserve"> (7 May 2002).</w:t>
      </w:r>
    </w:p>
  </w:footnote>
  <w:footnote w:id="18">
    <w:p w14:paraId="77892551" w14:textId="49FE6756" w:rsidR="00903ADF" w:rsidRPr="00EE2D6D" w:rsidRDefault="00903ADF" w:rsidP="00EE2D6D">
      <w:pPr>
        <w:jc w:val="both"/>
        <w:rPr>
          <w:rFonts w:ascii="Arial" w:hAnsi="Arial" w:cs="Arial"/>
          <w:sz w:val="20"/>
          <w:szCs w:val="20"/>
        </w:rPr>
      </w:pPr>
      <w:r w:rsidRPr="00EE2D6D">
        <w:rPr>
          <w:rStyle w:val="FootnoteReference"/>
          <w:rFonts w:ascii="Arial" w:hAnsi="Arial" w:cs="Arial"/>
          <w:sz w:val="20"/>
          <w:szCs w:val="20"/>
        </w:rPr>
        <w:footnoteRef/>
      </w:r>
      <w:r w:rsidRPr="00EE2D6D">
        <w:rPr>
          <w:rFonts w:ascii="Arial" w:hAnsi="Arial" w:cs="Arial"/>
          <w:sz w:val="20"/>
          <w:szCs w:val="20"/>
        </w:rPr>
        <w:t xml:space="preserve"> </w:t>
      </w:r>
      <w:r w:rsidR="0017596F" w:rsidRPr="00EE2D6D">
        <w:rPr>
          <w:rFonts w:ascii="Arial" w:hAnsi="Arial" w:cs="Arial"/>
          <w:sz w:val="20"/>
          <w:szCs w:val="20"/>
        </w:rPr>
        <w:t xml:space="preserve">Security Bureau, </w:t>
      </w:r>
      <w:r w:rsidRPr="00EE2D6D">
        <w:rPr>
          <w:rFonts w:ascii="Arial" w:hAnsi="Arial" w:cs="Arial"/>
          <w:sz w:val="20"/>
          <w:szCs w:val="20"/>
        </w:rPr>
        <w:t>“The Principles, Procedures and Practice Directions of the Torture Claims Appeal Board</w:t>
      </w:r>
      <w:r w:rsidR="0017596F" w:rsidRPr="00EE2D6D">
        <w:rPr>
          <w:rFonts w:ascii="Arial" w:hAnsi="Arial" w:cs="Arial"/>
          <w:sz w:val="20"/>
          <w:szCs w:val="20"/>
        </w:rPr>
        <w:t>”</w:t>
      </w:r>
      <w:r w:rsidRPr="00EE2D6D">
        <w:rPr>
          <w:rFonts w:ascii="Arial" w:hAnsi="Arial" w:cs="Arial"/>
          <w:sz w:val="20"/>
          <w:szCs w:val="20"/>
        </w:rPr>
        <w:t xml:space="preserve"> </w:t>
      </w:r>
      <w:r w:rsidR="008E63C9" w:rsidRPr="00EE2D6D">
        <w:rPr>
          <w:rFonts w:ascii="Arial" w:hAnsi="Arial" w:cs="Arial"/>
          <w:sz w:val="20"/>
          <w:szCs w:val="20"/>
        </w:rPr>
        <w:t xml:space="preserve">(Sixth Edition, 28 August 2019) </w:t>
      </w:r>
      <w:r w:rsidRPr="00EE2D6D">
        <w:rPr>
          <w:rFonts w:ascii="Arial" w:hAnsi="Arial" w:cs="Arial"/>
          <w:sz w:val="20"/>
          <w:szCs w:val="20"/>
        </w:rPr>
        <w:t xml:space="preserve">and </w:t>
      </w:r>
      <w:r w:rsidR="0017596F" w:rsidRPr="00EE2D6D">
        <w:rPr>
          <w:rFonts w:ascii="Arial" w:hAnsi="Arial" w:cs="Arial"/>
          <w:sz w:val="20"/>
          <w:szCs w:val="20"/>
        </w:rPr>
        <w:t>“T</w:t>
      </w:r>
      <w:r w:rsidRPr="00EE2D6D">
        <w:rPr>
          <w:rFonts w:ascii="Arial" w:hAnsi="Arial" w:cs="Arial"/>
          <w:sz w:val="20"/>
          <w:szCs w:val="20"/>
        </w:rPr>
        <w:t>he Practice and Procedure Guide of the Administrative Non-refoulement Claims Petition Scheme</w:t>
      </w:r>
      <w:r w:rsidR="0017596F" w:rsidRPr="00EE2D6D">
        <w:rPr>
          <w:rFonts w:ascii="Arial" w:hAnsi="Arial" w:cs="Arial"/>
          <w:sz w:val="20"/>
          <w:szCs w:val="20"/>
        </w:rPr>
        <w:t>”</w:t>
      </w:r>
      <w:r w:rsidR="00286D3B" w:rsidRPr="00EE2D6D">
        <w:rPr>
          <w:rFonts w:ascii="Arial" w:hAnsi="Arial" w:cs="Arial"/>
          <w:sz w:val="20"/>
          <w:szCs w:val="20"/>
        </w:rPr>
        <w:t xml:space="preserve"> (Fifth Edition, 28 August 2019)</w:t>
      </w:r>
      <w:r w:rsidR="008E63C9" w:rsidRPr="00EE2D6D">
        <w:rPr>
          <w:rFonts w:ascii="Arial" w:hAnsi="Arial" w:cs="Arial"/>
          <w:sz w:val="20"/>
          <w:szCs w:val="20"/>
        </w:rPr>
        <w:t xml:space="preserve">. </w:t>
      </w:r>
      <w:r w:rsidR="0017596F" w:rsidRPr="00EE2D6D">
        <w:rPr>
          <w:rFonts w:ascii="Arial" w:hAnsi="Arial" w:cs="Arial"/>
          <w:sz w:val="20"/>
          <w:szCs w:val="20"/>
        </w:rPr>
        <w:t>A</w:t>
      </w:r>
      <w:r w:rsidRPr="00EE2D6D">
        <w:rPr>
          <w:rFonts w:ascii="Arial" w:hAnsi="Arial" w:cs="Arial"/>
          <w:sz w:val="20"/>
          <w:szCs w:val="20"/>
        </w:rPr>
        <w:t xml:space="preserve">vailable at </w:t>
      </w:r>
      <w:hyperlink r:id="rId20" w:history="1">
        <w:r w:rsidRPr="00EE2D6D">
          <w:rPr>
            <w:rFonts w:ascii="Arial" w:hAnsi="Arial" w:cs="Arial"/>
            <w:sz w:val="20"/>
            <w:szCs w:val="20"/>
          </w:rPr>
          <w:t>https://www.sb.gov.hk/eng/links/tcab/index.htm</w:t>
        </w:r>
      </w:hyperlink>
      <w:r w:rsidRPr="00EE2D6D">
        <w:rPr>
          <w:rFonts w:ascii="Arial" w:hAnsi="Arial" w:cs="Arial"/>
          <w:sz w:val="20"/>
          <w:szCs w:val="20"/>
        </w:rPr>
        <w:t xml:space="preserve"> </w:t>
      </w:r>
    </w:p>
  </w:footnote>
  <w:footnote w:id="19">
    <w:p w14:paraId="63699886" w14:textId="5D3A9CBD"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BD51B5" w:rsidRPr="00EE2D6D">
        <w:rPr>
          <w:rFonts w:ascii="Arial" w:hAnsi="Arial" w:cs="Arial"/>
        </w:rPr>
        <w:t>Ibid, at [</w:t>
      </w:r>
      <w:r w:rsidRPr="00EE2D6D">
        <w:rPr>
          <w:rFonts w:ascii="Arial" w:hAnsi="Arial" w:cs="Arial"/>
        </w:rPr>
        <w:t>24.1</w:t>
      </w:r>
      <w:r w:rsidR="00BD51B5" w:rsidRPr="00EE2D6D">
        <w:rPr>
          <w:rFonts w:ascii="Arial" w:hAnsi="Arial" w:cs="Arial"/>
        </w:rPr>
        <w:t>] and [</w:t>
      </w:r>
      <w:r w:rsidRPr="00EE2D6D">
        <w:rPr>
          <w:rFonts w:ascii="Arial" w:hAnsi="Arial" w:cs="Arial"/>
        </w:rPr>
        <w:t>30.1</w:t>
      </w:r>
      <w:r w:rsidR="00BD51B5" w:rsidRPr="00EE2D6D">
        <w:rPr>
          <w:rFonts w:ascii="Arial" w:hAnsi="Arial" w:cs="Arial"/>
        </w:rPr>
        <w:t xml:space="preserve">] respectively. </w:t>
      </w:r>
      <w:r w:rsidRPr="00EE2D6D">
        <w:rPr>
          <w:rFonts w:ascii="Arial" w:hAnsi="Arial" w:cs="Arial"/>
        </w:rPr>
        <w:t xml:space="preserve"> </w:t>
      </w:r>
    </w:p>
  </w:footnote>
  <w:footnote w:id="20">
    <w:p w14:paraId="215A3F67" w14:textId="0285FC0C"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6D684C" w:rsidRPr="00EE2D6D">
        <w:rPr>
          <w:rFonts w:ascii="Arial" w:hAnsi="Arial" w:cs="Arial"/>
        </w:rPr>
        <w:t xml:space="preserve">Human Rights Committee, “Fourth periodic report submitted by Hong Kong, China under article 40 of the Covenant, due in 2018” (14 February 2020) </w:t>
      </w:r>
      <w:r w:rsidR="00812BEF" w:rsidRPr="00EE2D6D">
        <w:rPr>
          <w:rFonts w:ascii="Arial" w:hAnsi="Arial" w:cs="Arial"/>
        </w:rPr>
        <w:t xml:space="preserve">(“HKSAR State Report”) </w:t>
      </w:r>
      <w:r w:rsidR="006D684C" w:rsidRPr="00EE2D6D">
        <w:rPr>
          <w:rFonts w:ascii="Arial" w:hAnsi="Arial" w:cs="Arial"/>
        </w:rPr>
        <w:t>at [</w:t>
      </w:r>
      <w:r w:rsidRPr="00EE2D6D">
        <w:rPr>
          <w:rFonts w:ascii="Arial" w:hAnsi="Arial" w:cs="Arial"/>
        </w:rPr>
        <w:t>39</w:t>
      </w:r>
      <w:r w:rsidR="006D684C" w:rsidRPr="00EE2D6D">
        <w:rPr>
          <w:rFonts w:ascii="Arial" w:hAnsi="Arial" w:cs="Arial"/>
        </w:rPr>
        <w:t>]</w:t>
      </w:r>
      <w:r w:rsidRPr="00EE2D6D">
        <w:rPr>
          <w:rFonts w:ascii="Arial" w:hAnsi="Arial" w:cs="Arial"/>
        </w:rPr>
        <w:t xml:space="preserve"> </w:t>
      </w:r>
    </w:p>
  </w:footnote>
  <w:footnote w:id="21">
    <w:p w14:paraId="2F9C10B6" w14:textId="7E4C6B22" w:rsidR="004C37E8" w:rsidRPr="00EE2D6D" w:rsidRDefault="004C37E8"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Annie </w:t>
      </w:r>
      <w:r w:rsidR="00EF4A49" w:rsidRPr="00EE2D6D">
        <w:rPr>
          <w:rFonts w:ascii="Arial" w:hAnsi="Arial" w:cs="Arial"/>
        </w:rPr>
        <w:t>Li</w:t>
      </w:r>
      <w:r w:rsidR="00CD2FBF" w:rsidRPr="00EE2D6D">
        <w:rPr>
          <w:rFonts w:ascii="Arial" w:hAnsi="Arial" w:cs="Arial"/>
        </w:rPr>
        <w:t xml:space="preserve">, “When ‘qualifying’ as a refugee gets you permanent ‘illegal’ status in Hong Kong”, </w:t>
      </w:r>
      <w:r w:rsidR="00CD2FBF" w:rsidRPr="00EE2D6D">
        <w:rPr>
          <w:rFonts w:ascii="Arial" w:hAnsi="Arial" w:cs="Arial"/>
          <w:i/>
          <w:iCs/>
        </w:rPr>
        <w:t xml:space="preserve">Oxford Monitor of Forced Migration </w:t>
      </w:r>
      <w:r w:rsidR="00F44DD9" w:rsidRPr="00EE2D6D">
        <w:rPr>
          <w:rFonts w:ascii="Arial" w:hAnsi="Arial" w:cs="Arial"/>
        </w:rPr>
        <w:t>Volume 8, No.2 (January 2020)</w:t>
      </w:r>
      <w:r w:rsidR="000527C9" w:rsidRPr="00EE2D6D">
        <w:rPr>
          <w:rFonts w:ascii="Arial" w:hAnsi="Arial" w:cs="Arial"/>
        </w:rPr>
        <w:t xml:space="preserve">, p.30. Available at: </w:t>
      </w:r>
      <w:hyperlink r:id="rId21" w:history="1">
        <w:r w:rsidR="000527C9" w:rsidRPr="00EE2D6D">
          <w:rPr>
            <w:rStyle w:val="Hyperlink"/>
            <w:rFonts w:ascii="Arial" w:hAnsi="Arial" w:cs="Arial"/>
          </w:rPr>
          <w:t>https://www.oxforcedmigration.com/post/when-qualifying-as-a-refugee-gets-you-permanent-illegal-status-in-hong-kong</w:t>
        </w:r>
      </w:hyperlink>
    </w:p>
  </w:footnote>
  <w:footnote w:id="22">
    <w:p w14:paraId="7C1C8099" w14:textId="2B45955E" w:rsidR="00903ADF" w:rsidRPr="00EE2D6D" w:rsidRDefault="00903ADF" w:rsidP="00EE2D6D">
      <w:pPr>
        <w:pStyle w:val="FootnoteText"/>
        <w:ind w:left="720" w:hanging="720"/>
        <w:jc w:val="both"/>
        <w:rPr>
          <w:rFonts w:ascii="Arial" w:hAnsi="Arial" w:cs="Arial"/>
        </w:rPr>
      </w:pPr>
      <w:r w:rsidRPr="00EE2D6D">
        <w:rPr>
          <w:rStyle w:val="FootnoteReference"/>
          <w:rFonts w:ascii="Arial" w:hAnsi="Arial" w:cs="Arial"/>
        </w:rPr>
        <w:footnoteRef/>
      </w:r>
      <w:r w:rsidRPr="00EE2D6D">
        <w:rPr>
          <w:rFonts w:ascii="Arial" w:hAnsi="Arial" w:cs="Arial"/>
        </w:rPr>
        <w:t xml:space="preserve">  E/C.12/CHN/CO/2 at [41]</w:t>
      </w:r>
    </w:p>
  </w:footnote>
  <w:footnote w:id="23">
    <w:p w14:paraId="210C6CA1" w14:textId="65AFE2B5"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CRC/C/CHN/CO/3-4</w:t>
      </w:r>
      <w:r w:rsidR="00BD15AE" w:rsidRPr="00EE2D6D">
        <w:rPr>
          <w:rFonts w:ascii="Arial" w:hAnsi="Arial" w:cs="Arial"/>
        </w:rPr>
        <w:t xml:space="preserve"> at [</w:t>
      </w:r>
      <w:r w:rsidR="00C0459F" w:rsidRPr="00EE2D6D">
        <w:rPr>
          <w:rFonts w:ascii="Arial" w:hAnsi="Arial" w:cs="Arial"/>
        </w:rPr>
        <w:t>29</w:t>
      </w:r>
      <w:r w:rsidR="00BD15AE" w:rsidRPr="00EE2D6D">
        <w:rPr>
          <w:rFonts w:ascii="Arial" w:hAnsi="Arial" w:cs="Arial"/>
        </w:rPr>
        <w:t>]</w:t>
      </w:r>
      <w:r w:rsidR="00C0459F" w:rsidRPr="00EE2D6D">
        <w:rPr>
          <w:rFonts w:ascii="Arial" w:hAnsi="Arial" w:cs="Arial"/>
        </w:rPr>
        <w:t xml:space="preserve"> – [30]</w:t>
      </w:r>
    </w:p>
  </w:footnote>
  <w:footnote w:id="24">
    <w:p w14:paraId="1E261138" w14:textId="0FF28CEA"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Communication No. CHN 14/2016.</w:t>
      </w:r>
      <w:r w:rsidR="001C2A42" w:rsidRPr="00EE2D6D">
        <w:rPr>
          <w:rFonts w:ascii="Arial" w:hAnsi="Arial" w:cs="Arial"/>
        </w:rPr>
        <w:t xml:space="preserve"> Available at: </w:t>
      </w:r>
      <w:hyperlink r:id="rId22" w:history="1">
        <w:r w:rsidR="001C2A42" w:rsidRPr="00EE2D6D">
          <w:rPr>
            <w:rStyle w:val="Hyperlink"/>
            <w:rFonts w:ascii="Arial" w:hAnsi="Arial" w:cs="Arial"/>
          </w:rPr>
          <w:t>https://spcommreports.ohchr.org/TMResultsBase/DownLoadPublicCommunicationFile?gId=22905</w:t>
        </w:r>
      </w:hyperlink>
    </w:p>
  </w:footnote>
  <w:footnote w:id="25">
    <w:p w14:paraId="0D917CB0" w14:textId="54CFB1A2"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812BEF" w:rsidRPr="00EE2D6D">
        <w:rPr>
          <w:rFonts w:ascii="Arial" w:hAnsi="Arial" w:cs="Arial"/>
        </w:rPr>
        <w:t xml:space="preserve">Secretary for Security, “Humanitarian assistance for non-refoulement claimants” (15 February 2017). Available at: </w:t>
      </w:r>
      <w:hyperlink r:id="rId23" w:history="1">
        <w:r w:rsidR="00812BEF" w:rsidRPr="00EE2D6D">
          <w:rPr>
            <w:rStyle w:val="Hyperlink"/>
            <w:rFonts w:ascii="Arial" w:hAnsi="Arial" w:cs="Arial"/>
          </w:rPr>
          <w:t>https://www.info.gov.hk/gia/general/201702/15/P2017021500554.htm</w:t>
        </w:r>
      </w:hyperlink>
    </w:p>
  </w:footnote>
  <w:footnote w:id="26">
    <w:p w14:paraId="420C63FA" w14:textId="38B66786"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812BEF" w:rsidRPr="00EE2D6D">
        <w:rPr>
          <w:rFonts w:ascii="Arial" w:hAnsi="Arial" w:cs="Arial"/>
        </w:rPr>
        <w:t xml:space="preserve">HKSAR State Report, </w:t>
      </w:r>
      <w:r w:rsidRPr="00EE2D6D">
        <w:rPr>
          <w:rFonts w:ascii="Arial" w:hAnsi="Arial" w:cs="Arial"/>
        </w:rPr>
        <w:t>Annex 7B</w:t>
      </w:r>
      <w:r w:rsidR="00812BEF" w:rsidRPr="00EE2D6D">
        <w:rPr>
          <w:rFonts w:ascii="Arial" w:hAnsi="Arial" w:cs="Arial"/>
        </w:rPr>
        <w:t>.</w:t>
      </w:r>
    </w:p>
  </w:footnote>
  <w:footnote w:id="27">
    <w:p w14:paraId="6AB75FCE" w14:textId="5B50108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A028AA" w:rsidRPr="00EE2D6D">
        <w:rPr>
          <w:rFonts w:ascii="Arial" w:hAnsi="Arial" w:cs="Arial"/>
        </w:rPr>
        <w:t xml:space="preserve">Secretary for Security, “Torture Claims” (21 January 2015). Available at: </w:t>
      </w:r>
      <w:hyperlink r:id="rId24" w:history="1">
        <w:r w:rsidR="00A028AA" w:rsidRPr="00EE2D6D">
          <w:rPr>
            <w:rStyle w:val="Hyperlink"/>
            <w:rFonts w:ascii="Arial" w:hAnsi="Arial" w:cs="Arial"/>
          </w:rPr>
          <w:t>https://www.info.gov.hk/gia/general/201501/21/P201501210634.htm</w:t>
        </w:r>
      </w:hyperlink>
      <w:r w:rsidR="00574E94" w:rsidRPr="00EE2D6D">
        <w:rPr>
          <w:rFonts w:ascii="Arial" w:hAnsi="Arial" w:cs="Arial"/>
        </w:rPr>
        <w:t xml:space="preserve"> and Immigration Department, “</w:t>
      </w:r>
      <w:r w:rsidR="00F24F10" w:rsidRPr="00EE2D6D">
        <w:rPr>
          <w:rFonts w:ascii="Arial" w:hAnsi="Arial" w:cs="Arial"/>
        </w:rPr>
        <w:t xml:space="preserve">Permission to work for non-refoulement claimants and refugees” (9 March 2018). Available at: </w:t>
      </w:r>
      <w:hyperlink r:id="rId25" w:history="1">
        <w:r w:rsidR="00F24F10" w:rsidRPr="00EE2D6D">
          <w:rPr>
            <w:rStyle w:val="Hyperlink"/>
            <w:rFonts w:ascii="Arial" w:hAnsi="Arial" w:cs="Arial"/>
          </w:rPr>
          <w:t>https://accessinfo.hk/en/request/permission_to_work_for_non_refou</w:t>
        </w:r>
      </w:hyperlink>
    </w:p>
  </w:footnote>
  <w:footnote w:id="28">
    <w:p w14:paraId="4DC2A894" w14:textId="4CA158BE"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B61669" w:rsidRPr="00EE2D6D">
        <w:rPr>
          <w:rFonts w:ascii="Arial" w:hAnsi="Arial" w:cs="Arial"/>
        </w:rPr>
        <w:t xml:space="preserve">Security Bureau, “Legislative Council Subcommittee to Follow Up Issues Relating to the Unified Screening Mechanism for Non-refoulement Claims Follow-up matters to the meeting of 27 November 2018” </w:t>
      </w:r>
      <w:r w:rsidR="00AB5F72" w:rsidRPr="00EE2D6D">
        <w:rPr>
          <w:rFonts w:ascii="Arial" w:hAnsi="Arial" w:cs="Arial"/>
        </w:rPr>
        <w:t>(January 2019) LC Paper No. CB(2)592/18-19(01). Available at:</w:t>
      </w:r>
      <w:r w:rsidRPr="00EE2D6D">
        <w:rPr>
          <w:rFonts w:ascii="Arial" w:hAnsi="Arial" w:cs="Arial"/>
        </w:rPr>
        <w:t xml:space="preserve"> </w:t>
      </w:r>
      <w:hyperlink r:id="rId26" w:history="1">
        <w:r w:rsidRPr="00EE2D6D">
          <w:rPr>
            <w:rStyle w:val="Hyperlink"/>
            <w:rFonts w:ascii="Arial" w:hAnsi="Arial" w:cs="Arial"/>
          </w:rPr>
          <w:t>https://www.legco.gov.hk/yr16-17/english/hc/sub_com/hs54/papers/hs5420181127cb2-592-1-e.pdf</w:t>
        </w:r>
      </w:hyperlink>
    </w:p>
  </w:footnote>
  <w:footnote w:id="29">
    <w:p w14:paraId="07C3C7D9" w14:textId="7FEF6E81"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The Immigration (Places of Detention) Order (Cap 115B) provides that statutory designated places of detention includes prisons and police stations. See </w:t>
      </w:r>
      <w:hyperlink r:id="rId27" w:history="1">
        <w:r w:rsidRPr="00EE2D6D">
          <w:rPr>
            <w:rStyle w:val="Hyperlink"/>
            <w:rFonts w:ascii="Arial" w:hAnsi="Arial" w:cs="Arial"/>
          </w:rPr>
          <w:t>https://www.hklii.hk/eng/hk/legis/reg/115B/sch1.html</w:t>
        </w:r>
      </w:hyperlink>
    </w:p>
  </w:footnote>
  <w:footnote w:id="30">
    <w:p w14:paraId="55976468" w14:textId="56DE3274"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CCPR/C/GC/35  [18]</w:t>
      </w:r>
    </w:p>
  </w:footnote>
  <w:footnote w:id="31">
    <w:p w14:paraId="2DA150C3" w14:textId="5CF4128E"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7D7AC8" w:rsidRPr="00EE2D6D">
        <w:rPr>
          <w:rFonts w:ascii="Arial" w:hAnsi="Arial" w:cs="Arial"/>
        </w:rPr>
        <w:t xml:space="preserve">Immigration Department, </w:t>
      </w:r>
      <w:r w:rsidRPr="00EE2D6D">
        <w:rPr>
          <w:rFonts w:ascii="Arial" w:hAnsi="Arial" w:cs="Arial"/>
        </w:rPr>
        <w:t>“Appendix 13 – Enforcement Branch Statistics”, Annual Report 2018</w:t>
      </w:r>
      <w:r w:rsidR="007D7AC8" w:rsidRPr="00EE2D6D">
        <w:rPr>
          <w:rFonts w:ascii="Arial" w:hAnsi="Arial" w:cs="Arial"/>
        </w:rPr>
        <w:t xml:space="preserve">. </w:t>
      </w:r>
      <w:r w:rsidRPr="00EE2D6D">
        <w:rPr>
          <w:rFonts w:ascii="Arial" w:hAnsi="Arial" w:cs="Arial"/>
        </w:rPr>
        <w:t xml:space="preserve">Available at: </w:t>
      </w:r>
      <w:hyperlink r:id="rId28" w:history="1">
        <w:r w:rsidRPr="00EE2D6D">
          <w:rPr>
            <w:rStyle w:val="Hyperlink"/>
            <w:rFonts w:ascii="Arial" w:hAnsi="Arial" w:cs="Arial"/>
          </w:rPr>
          <w:t>https://www.immd.gov.hk/publications/a_report_2018/en/appendices-13.html</w:t>
        </w:r>
      </w:hyperlink>
    </w:p>
  </w:footnote>
  <w:footnote w:id="32">
    <w:p w14:paraId="7285164F" w14:textId="76208834"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9406CB" w:rsidRPr="00EE2D6D">
        <w:rPr>
          <w:rFonts w:ascii="Arial" w:hAnsi="Arial" w:cs="Arial"/>
        </w:rPr>
        <w:t xml:space="preserve">Immigration Department, “Immigration Detention” (March 2020). Available at: </w:t>
      </w:r>
      <w:hyperlink r:id="rId29" w:anchor="incoming-1315" w:history="1">
        <w:r w:rsidR="009406CB" w:rsidRPr="00EE2D6D">
          <w:rPr>
            <w:rStyle w:val="Hyperlink"/>
            <w:rFonts w:ascii="Arial" w:hAnsi="Arial" w:cs="Arial"/>
          </w:rPr>
          <w:t>https://accessinfo.hk/en/request/immigration_detention_2#incoming-1315</w:t>
        </w:r>
      </w:hyperlink>
    </w:p>
  </w:footnote>
  <w:footnote w:id="33">
    <w:p w14:paraId="3EE7C684" w14:textId="406A2B2D"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9406CB" w:rsidRPr="00EE2D6D">
        <w:rPr>
          <w:rFonts w:ascii="Arial" w:hAnsi="Arial" w:cs="Arial"/>
        </w:rPr>
        <w:t>See note 28</w:t>
      </w:r>
    </w:p>
  </w:footnote>
  <w:footnote w:id="34">
    <w:p w14:paraId="7F421FCA" w14:textId="312C7A59"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008E1784" w:rsidRPr="00EE2D6D">
        <w:rPr>
          <w:rFonts w:ascii="Arial" w:hAnsi="Arial" w:cs="Arial"/>
        </w:rPr>
        <w:t xml:space="preserve"> Immigration Department, “Policy for detention pending final determination of the claimant’s torture claim”. Available at:</w:t>
      </w:r>
      <w:r w:rsidRPr="00EE2D6D">
        <w:rPr>
          <w:rFonts w:ascii="Arial" w:hAnsi="Arial" w:cs="Arial"/>
        </w:rPr>
        <w:t xml:space="preserve"> https://www.immd.gov.hk/pdf/Detention_policy_en.pdf</w:t>
      </w:r>
    </w:p>
  </w:footnote>
  <w:footnote w:id="35">
    <w:p w14:paraId="64B2767E" w14:textId="7D39DF22"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00091373" w:rsidRPr="00EE2D6D">
        <w:rPr>
          <w:rFonts w:ascii="Arial" w:hAnsi="Arial" w:cs="Arial"/>
        </w:rPr>
        <w:t xml:space="preserve"> This case of prolonged detention has also been reported in the media. See: Cheng Tze Yu, “</w:t>
      </w:r>
      <w:r w:rsidR="00EB0964" w:rsidRPr="00EE2D6D">
        <w:rPr>
          <w:rFonts w:ascii="Arial" w:hAnsi="Arial" w:cs="Arial"/>
        </w:rPr>
        <w:t>Vietnamese refugee ‘Golden Eagle’ ‘s second life sentence”, Ming Pao Weekly (28 July 2018)</w:t>
      </w:r>
      <w:r w:rsidR="008D2C4E" w:rsidRPr="00EE2D6D">
        <w:rPr>
          <w:rFonts w:ascii="Arial" w:hAnsi="Arial" w:cs="Arial"/>
        </w:rPr>
        <w:t xml:space="preserve"> (in Chinese). </w:t>
      </w:r>
      <w:r w:rsidR="00EB0964" w:rsidRPr="00EE2D6D">
        <w:rPr>
          <w:rFonts w:ascii="Arial" w:hAnsi="Arial" w:cs="Arial"/>
        </w:rPr>
        <w:t xml:space="preserve">Available at: </w:t>
      </w:r>
      <w:hyperlink r:id="rId30" w:history="1">
        <w:r w:rsidRPr="00EE2D6D">
          <w:rPr>
            <w:rStyle w:val="Hyperlink"/>
            <w:rFonts w:ascii="Arial" w:hAnsi="Arial" w:cs="Arial"/>
          </w:rPr>
          <w:t>https://www.mpweekly.com/culture/%e8%b6%8a%e5%8d%97-%e8%b6%8a%e5%8d%97%e6%88%b0%e7%88%ad-%e8%b6%8a%e5%8d%97%e8%88%b9%e6%b0%91-79490</w:t>
        </w:r>
      </w:hyperlink>
    </w:p>
  </w:footnote>
  <w:footnote w:id="36">
    <w:p w14:paraId="36521F1D" w14:textId="77777777" w:rsidR="00903ADF" w:rsidRPr="00EE2D6D" w:rsidRDefault="00903ADF" w:rsidP="00EE2D6D">
      <w:pPr>
        <w:autoSpaceDE w:val="0"/>
        <w:autoSpaceDN w:val="0"/>
        <w:adjustRightInd w:val="0"/>
        <w:spacing w:after="0" w:line="240" w:lineRule="auto"/>
        <w:jc w:val="both"/>
        <w:rPr>
          <w:rFonts w:ascii="Arial" w:hAnsi="Arial" w:cs="Arial"/>
          <w:color w:val="000000"/>
          <w:sz w:val="20"/>
          <w:szCs w:val="20"/>
        </w:rPr>
      </w:pPr>
      <w:r w:rsidRPr="00EE2D6D">
        <w:rPr>
          <w:rStyle w:val="FootnoteReference"/>
          <w:rFonts w:ascii="Arial" w:hAnsi="Arial" w:cs="Arial"/>
          <w:sz w:val="20"/>
          <w:szCs w:val="20"/>
        </w:rPr>
        <w:footnoteRef/>
      </w:r>
      <w:r w:rsidRPr="00EE2D6D">
        <w:rPr>
          <w:rFonts w:ascii="Arial" w:hAnsi="Arial" w:cs="Arial"/>
          <w:sz w:val="20"/>
          <w:szCs w:val="20"/>
        </w:rPr>
        <w:t xml:space="preserve"> </w:t>
      </w:r>
      <w:r w:rsidRPr="00EE2D6D">
        <w:rPr>
          <w:rFonts w:ascii="Arial" w:hAnsi="Arial" w:cs="Arial"/>
          <w:color w:val="000000"/>
          <w:sz w:val="20"/>
          <w:szCs w:val="20"/>
        </w:rPr>
        <w:t>Survivors of torture or CIDTP often experienced detention in their home countries; prolonged</w:t>
      </w:r>
    </w:p>
    <w:p w14:paraId="07807EBE" w14:textId="77777777" w:rsidR="00903ADF" w:rsidRPr="00EE2D6D" w:rsidRDefault="00903ADF" w:rsidP="00EE2D6D">
      <w:pPr>
        <w:autoSpaceDE w:val="0"/>
        <w:autoSpaceDN w:val="0"/>
        <w:adjustRightInd w:val="0"/>
        <w:spacing w:after="0" w:line="240" w:lineRule="auto"/>
        <w:jc w:val="both"/>
        <w:rPr>
          <w:rFonts w:ascii="Arial" w:hAnsi="Arial" w:cs="Arial"/>
          <w:color w:val="000000"/>
          <w:sz w:val="20"/>
          <w:szCs w:val="20"/>
        </w:rPr>
      </w:pPr>
      <w:r w:rsidRPr="00EE2D6D">
        <w:rPr>
          <w:rFonts w:ascii="Arial" w:hAnsi="Arial" w:cs="Arial"/>
          <w:color w:val="000000"/>
          <w:sz w:val="20"/>
          <w:szCs w:val="20"/>
        </w:rPr>
        <w:t>detention therefore have profound psychological impact upon them. For more information, see</w:t>
      </w:r>
    </w:p>
    <w:p w14:paraId="678B0561" w14:textId="77777777" w:rsidR="00903ADF" w:rsidRPr="00EE2D6D" w:rsidRDefault="00903ADF" w:rsidP="00EE2D6D">
      <w:pPr>
        <w:autoSpaceDE w:val="0"/>
        <w:autoSpaceDN w:val="0"/>
        <w:adjustRightInd w:val="0"/>
        <w:spacing w:after="0" w:line="240" w:lineRule="auto"/>
        <w:jc w:val="both"/>
        <w:rPr>
          <w:rFonts w:ascii="Arial" w:hAnsi="Arial" w:cs="Arial"/>
          <w:color w:val="000000"/>
          <w:sz w:val="20"/>
          <w:szCs w:val="20"/>
        </w:rPr>
      </w:pPr>
      <w:r w:rsidRPr="00EE2D6D">
        <w:rPr>
          <w:rFonts w:ascii="Arial" w:hAnsi="Arial" w:cs="Arial"/>
          <w:color w:val="000000"/>
          <w:sz w:val="20"/>
          <w:szCs w:val="20"/>
        </w:rPr>
        <w:t>Guideline 7: Detention of Vulnerable Persons at UNHCR, “UNHCR’s Guidelines on Applicable Criteria</w:t>
      </w:r>
    </w:p>
    <w:p w14:paraId="04EFA70E" w14:textId="6BA1BB47" w:rsidR="00903ADF" w:rsidRPr="00EE2D6D" w:rsidRDefault="00903ADF" w:rsidP="00EE2D6D">
      <w:pPr>
        <w:autoSpaceDE w:val="0"/>
        <w:autoSpaceDN w:val="0"/>
        <w:adjustRightInd w:val="0"/>
        <w:spacing w:after="0" w:line="240" w:lineRule="auto"/>
        <w:jc w:val="both"/>
        <w:rPr>
          <w:rFonts w:ascii="Arial" w:hAnsi="Arial" w:cs="Arial"/>
          <w:sz w:val="20"/>
          <w:szCs w:val="20"/>
        </w:rPr>
      </w:pPr>
      <w:r w:rsidRPr="00EE2D6D">
        <w:rPr>
          <w:rFonts w:ascii="Arial" w:hAnsi="Arial" w:cs="Arial"/>
          <w:color w:val="000000"/>
          <w:sz w:val="20"/>
          <w:szCs w:val="20"/>
        </w:rPr>
        <w:t xml:space="preserve">and Standards relating to the Detention of Asylum-Seekers” (February 1999). </w:t>
      </w:r>
    </w:p>
  </w:footnote>
  <w:footnote w:id="37">
    <w:p w14:paraId="745454FC" w14:textId="41C0ED9E" w:rsidR="00E75E26" w:rsidRPr="00EE2D6D" w:rsidRDefault="00E75E26"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00035C" w:rsidRPr="00EE2D6D">
        <w:rPr>
          <w:rFonts w:ascii="Arial" w:hAnsi="Arial" w:cs="Arial"/>
        </w:rPr>
        <w:t>Laura Westbrook, “Coronavirus: Hong Kong lawyers, lawmakers flag hygiene issues at detention centre, but Immigration says health measures in place” (26 April 2020). Available at:</w:t>
      </w:r>
      <w:r w:rsidRPr="00EE2D6D">
        <w:rPr>
          <w:rFonts w:ascii="Arial" w:hAnsi="Arial" w:cs="Arial"/>
        </w:rPr>
        <w:t xml:space="preserve"> </w:t>
      </w:r>
      <w:hyperlink r:id="rId31" w:history="1">
        <w:r w:rsidRPr="00EE2D6D">
          <w:rPr>
            <w:rStyle w:val="Hyperlink"/>
            <w:rFonts w:ascii="Arial" w:hAnsi="Arial" w:cs="Arial"/>
          </w:rPr>
          <w:t>https://www.scmp.com/news/hong-kong/health-environment/article/3081544/coronavirus-hong-kong-lawyers-lawmakers-flag</w:t>
        </w:r>
      </w:hyperlink>
    </w:p>
  </w:footnote>
  <w:footnote w:id="38">
    <w:p w14:paraId="04306510" w14:textId="5B07088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C55F05" w:rsidRPr="00EE2D6D">
        <w:rPr>
          <w:rFonts w:ascii="Arial" w:hAnsi="Arial" w:cs="Arial"/>
        </w:rPr>
        <w:t>“Male doctor strip searched me: expelled Indonesian”</w:t>
      </w:r>
      <w:r w:rsidR="00264FB5" w:rsidRPr="00EE2D6D">
        <w:rPr>
          <w:rFonts w:ascii="Arial" w:hAnsi="Arial" w:cs="Arial"/>
        </w:rPr>
        <w:t xml:space="preserve">, RTHK (7 December 2019). Available at: </w:t>
      </w:r>
      <w:hyperlink r:id="rId32" w:history="1">
        <w:r w:rsidR="00F90D43" w:rsidRPr="00EE2D6D">
          <w:rPr>
            <w:rStyle w:val="Hyperlink"/>
            <w:rFonts w:ascii="Arial" w:hAnsi="Arial" w:cs="Arial"/>
          </w:rPr>
          <w:t>https://news.rthk.hk/rthk/en/component/k2/1496483-20191207.htm</w:t>
        </w:r>
      </w:hyperlink>
    </w:p>
  </w:footnote>
  <w:footnote w:id="39">
    <w:p w14:paraId="697CF6D5" w14:textId="3097C0AB"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00F90D43" w:rsidRPr="00EE2D6D">
        <w:rPr>
          <w:rFonts w:ascii="Arial" w:hAnsi="Arial" w:cs="Arial"/>
        </w:rPr>
        <w:t xml:space="preserve"> See for example, </w:t>
      </w:r>
      <w:r w:rsidR="00311211" w:rsidRPr="00EE2D6D">
        <w:rPr>
          <w:rFonts w:ascii="Arial" w:hAnsi="Arial" w:cs="Arial"/>
        </w:rPr>
        <w:t>Amnesty International, “Exploited for Profit, Failed by Governments: Indonesian Migrant Domestic Workers Trafficked to Hong Kong</w:t>
      </w:r>
      <w:r w:rsidR="001C22D4" w:rsidRPr="00EE2D6D">
        <w:rPr>
          <w:rFonts w:ascii="Arial" w:hAnsi="Arial" w:cs="Arial"/>
        </w:rPr>
        <w:t>” (November 2013).</w:t>
      </w:r>
      <w:r w:rsidR="00CA4372" w:rsidRPr="00EE2D6D">
        <w:rPr>
          <w:rFonts w:ascii="Arial" w:hAnsi="Arial" w:cs="Arial"/>
        </w:rPr>
        <w:t xml:space="preserve"> Farsight, “Modern Slavery in East Asia: Protecting the rights and promoting the autonomy of domestic workers from Indonesia and the Philippines” </w:t>
      </w:r>
      <w:r w:rsidR="007F4DD7" w:rsidRPr="00EE2D6D">
        <w:rPr>
          <w:rFonts w:ascii="Arial" w:hAnsi="Arial" w:cs="Arial"/>
        </w:rPr>
        <w:t xml:space="preserve">(February 2016). </w:t>
      </w:r>
      <w:r w:rsidR="00F90D43" w:rsidRPr="00EE2D6D">
        <w:rPr>
          <w:rFonts w:ascii="Arial" w:hAnsi="Arial" w:cs="Arial"/>
        </w:rPr>
        <w:t>Justice Centre Hong Kong, “Not Stopping Here: Hong Kong as a Transit Site for Human Trafficking” (January 2019)</w:t>
      </w:r>
      <w:r w:rsidR="001E7DD5" w:rsidRPr="00EE2D6D">
        <w:rPr>
          <w:rFonts w:ascii="Arial" w:hAnsi="Arial" w:cs="Arial"/>
        </w:rPr>
        <w:t>; Justice Centre Hong Kong, “</w:t>
      </w:r>
      <w:r w:rsidR="000A66D0" w:rsidRPr="00EE2D6D">
        <w:rPr>
          <w:rFonts w:ascii="Arial" w:hAnsi="Arial" w:cs="Arial"/>
        </w:rPr>
        <w:t>Coming Clean: The prevalence of forced labour and human trafficking for the purpose of forced labour amongst migrant domestic workers in Hong Kong</w:t>
      </w:r>
      <w:r w:rsidR="00C14361" w:rsidRPr="00EE2D6D">
        <w:rPr>
          <w:rFonts w:ascii="Arial" w:hAnsi="Arial" w:cs="Arial"/>
        </w:rPr>
        <w:t xml:space="preserve">” (February 2016). Available at: </w:t>
      </w:r>
      <w:hyperlink r:id="rId33" w:anchor="publications" w:history="1">
        <w:r w:rsidR="00C14361" w:rsidRPr="00EE2D6D">
          <w:rPr>
            <w:rStyle w:val="Hyperlink"/>
            <w:rFonts w:ascii="Arial" w:hAnsi="Arial" w:cs="Arial"/>
          </w:rPr>
          <w:t>https://www.justicecentre.org.hk/research/#publications</w:t>
        </w:r>
      </w:hyperlink>
    </w:p>
  </w:footnote>
  <w:footnote w:id="40">
    <w:p w14:paraId="098D2036" w14:textId="5AE1B96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“Hong Kong: Trafficking Profile” in United States Department of State, “Trafficking in Persons Report” (June 2019). P. 229.</w:t>
      </w:r>
    </w:p>
  </w:footnote>
  <w:footnote w:id="41">
    <w:p w14:paraId="48839D60" w14:textId="2D896C34"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Crimes Ordinance (Cap 200.), Section 129.</w:t>
      </w:r>
    </w:p>
  </w:footnote>
  <w:footnote w:id="42">
    <w:p w14:paraId="743BA516" w14:textId="2D5B3082"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C37E42" w:rsidRPr="00EE2D6D">
        <w:rPr>
          <w:rFonts w:ascii="Arial" w:hAnsi="Arial" w:cs="Arial"/>
        </w:rPr>
        <w:t xml:space="preserve">HKSAR </w:t>
      </w:r>
      <w:r w:rsidRPr="00EE2D6D">
        <w:rPr>
          <w:rFonts w:ascii="Arial" w:hAnsi="Arial" w:cs="Arial"/>
        </w:rPr>
        <w:t xml:space="preserve">State report </w:t>
      </w:r>
      <w:r w:rsidR="0086561E" w:rsidRPr="00EE2D6D">
        <w:rPr>
          <w:rFonts w:ascii="Arial" w:hAnsi="Arial" w:cs="Arial"/>
        </w:rPr>
        <w:t xml:space="preserve">at </w:t>
      </w:r>
      <w:r w:rsidRPr="00EE2D6D">
        <w:rPr>
          <w:rFonts w:ascii="Arial" w:hAnsi="Arial" w:cs="Arial"/>
        </w:rPr>
        <w:t>[68]</w:t>
      </w:r>
    </w:p>
  </w:footnote>
  <w:footnote w:id="43">
    <w:p w14:paraId="0035EF3D" w14:textId="4B982640"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86561E" w:rsidRPr="00EE2D6D">
        <w:rPr>
          <w:rFonts w:ascii="Arial" w:hAnsi="Arial" w:cs="Arial"/>
        </w:rPr>
        <w:t xml:space="preserve">Security Bureau, </w:t>
      </w:r>
      <w:r w:rsidRPr="00EE2D6D">
        <w:rPr>
          <w:rFonts w:ascii="Arial" w:hAnsi="Arial" w:cs="Arial"/>
        </w:rPr>
        <w:t>“Victim Identification”</w:t>
      </w:r>
      <w:r w:rsidR="0086561E" w:rsidRPr="00EE2D6D">
        <w:rPr>
          <w:rFonts w:ascii="Arial" w:hAnsi="Arial" w:cs="Arial"/>
        </w:rPr>
        <w:t xml:space="preserve">. Available at: </w:t>
      </w:r>
      <w:hyperlink r:id="rId34" w:history="1">
        <w:r w:rsidRPr="00EE2D6D">
          <w:rPr>
            <w:rStyle w:val="Hyperlink"/>
            <w:rFonts w:ascii="Arial" w:hAnsi="Arial" w:cs="Arial"/>
          </w:rPr>
          <w:t>https://www.sb.gov.hk/eng/special/bound/iimm.htm</w:t>
        </w:r>
      </w:hyperlink>
    </w:p>
  </w:footnote>
  <w:footnote w:id="44">
    <w:p w14:paraId="6BBFC369" w14:textId="7D23782C"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See for example</w:t>
      </w:r>
      <w:r w:rsidR="00664FFA" w:rsidRPr="00EE2D6D">
        <w:rPr>
          <w:rFonts w:ascii="Arial" w:hAnsi="Arial" w:cs="Arial"/>
        </w:rPr>
        <w:t>, Holmes Chan, “NGO</w:t>
      </w:r>
      <w:r w:rsidRPr="00EE2D6D">
        <w:rPr>
          <w:rFonts w:ascii="Arial" w:hAnsi="Arial" w:cs="Arial"/>
        </w:rPr>
        <w:t xml:space="preserve"> </w:t>
      </w:r>
      <w:r w:rsidR="00664FFA" w:rsidRPr="00EE2D6D">
        <w:rPr>
          <w:rFonts w:ascii="Arial" w:hAnsi="Arial" w:cs="Arial"/>
        </w:rPr>
        <w:t>task force identifies 63 victims of human trafficking in Hong Kong using new toolkit”</w:t>
      </w:r>
      <w:r w:rsidR="00A75388" w:rsidRPr="00EE2D6D">
        <w:rPr>
          <w:rFonts w:ascii="Arial" w:hAnsi="Arial" w:cs="Arial"/>
        </w:rPr>
        <w:t xml:space="preserve"> (31 July 2018). Available at: </w:t>
      </w:r>
      <w:hyperlink r:id="rId35" w:history="1">
        <w:r w:rsidR="00A75388" w:rsidRPr="00EE2D6D">
          <w:rPr>
            <w:rStyle w:val="Hyperlink"/>
            <w:rFonts w:ascii="Arial" w:hAnsi="Arial" w:cs="Arial"/>
          </w:rPr>
          <w:t>https://hongkongfp.com/2018/07/31/ngo-task-force-identifies-63-victims-human-trafficking-hong-kong-using-new-toolkit/</w:t>
        </w:r>
      </w:hyperlink>
    </w:p>
  </w:footnote>
  <w:footnote w:id="45">
    <w:p w14:paraId="4F1BC3E4" w14:textId="0257B974"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8452EF" w:rsidRPr="00EE2D6D">
        <w:rPr>
          <w:rFonts w:ascii="Arial" w:hAnsi="Arial" w:cs="Arial"/>
        </w:rPr>
        <w:t xml:space="preserve">Justice Centre Hong Kong, “Coming Clean: The prevalence of forced labour and human trafficking for the purpose of forced labour amongst migrant domestic workers in Hong Kong” (February 2016). Available at: </w:t>
      </w:r>
      <w:hyperlink r:id="rId36" w:anchor="publications" w:history="1">
        <w:r w:rsidR="008452EF" w:rsidRPr="00EE2D6D">
          <w:rPr>
            <w:rStyle w:val="Hyperlink"/>
            <w:rFonts w:ascii="Arial" w:hAnsi="Arial" w:cs="Arial"/>
          </w:rPr>
          <w:t>https://www.justicecentre.org.hk/research/#publications</w:t>
        </w:r>
      </w:hyperlink>
    </w:p>
  </w:footnote>
  <w:footnote w:id="46">
    <w:p w14:paraId="703ED735" w14:textId="53BB2CD8"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The number of migrant domestic workers in Hong Kong as of June 2019 is stated in a press release of the Hong Kong Government: Hong Kong Government</w:t>
      </w:r>
      <w:r w:rsidR="004353FC" w:rsidRPr="00EE2D6D">
        <w:rPr>
          <w:rFonts w:ascii="Arial" w:hAnsi="Arial" w:cs="Arial"/>
        </w:rPr>
        <w:t xml:space="preserve">, </w:t>
      </w:r>
      <w:r w:rsidRPr="00EE2D6D">
        <w:rPr>
          <w:rFonts w:ascii="Arial" w:hAnsi="Arial" w:cs="Arial"/>
        </w:rPr>
        <w:t>“Government response to US Trafficking in Persons Report 2019</w:t>
      </w:r>
      <w:r w:rsidR="004353FC" w:rsidRPr="00EE2D6D">
        <w:rPr>
          <w:rFonts w:ascii="Arial" w:hAnsi="Arial" w:cs="Arial"/>
        </w:rPr>
        <w:t>” (June 2019)</w:t>
      </w:r>
      <w:r w:rsidRPr="00EE2D6D">
        <w:rPr>
          <w:rFonts w:ascii="Arial" w:hAnsi="Arial" w:cs="Arial"/>
        </w:rPr>
        <w:t>.</w:t>
      </w:r>
      <w:r w:rsidR="00C8113D" w:rsidRPr="00EE2D6D">
        <w:rPr>
          <w:rFonts w:ascii="Arial" w:hAnsi="Arial" w:cs="Arial"/>
        </w:rPr>
        <w:t xml:space="preserve"> Available at: </w:t>
      </w:r>
      <w:hyperlink w:history="1">
        <w:r w:rsidR="008452EF" w:rsidRPr="00EE2D6D">
          <w:rPr>
            <w:rStyle w:val="Hyperlink"/>
            <w:rFonts w:ascii="Arial" w:hAnsi="Arial" w:cs="Arial"/>
          </w:rPr>
          <w:t>www.info.gov.hk%2Fgia%2Fgeneral%2F201906%2F20%2FP2019062000915.htm</w:t>
        </w:r>
      </w:hyperlink>
      <w:r w:rsidRPr="00EE2D6D">
        <w:rPr>
          <w:rFonts w:ascii="Arial" w:hAnsi="Arial" w:cs="Arial"/>
        </w:rPr>
        <w:t>.</w:t>
      </w:r>
      <w:r w:rsidR="008452EF" w:rsidRPr="00EE2D6D">
        <w:rPr>
          <w:rFonts w:ascii="Arial" w:hAnsi="Arial" w:cs="Arial"/>
        </w:rPr>
        <w:t xml:space="preserve"> </w:t>
      </w:r>
    </w:p>
  </w:footnote>
  <w:footnote w:id="47">
    <w:p w14:paraId="24A68B9A" w14:textId="50163C9A"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051722" w:rsidRPr="00EE2D6D">
        <w:rPr>
          <w:rFonts w:ascii="Arial" w:hAnsi="Arial" w:cs="Arial"/>
        </w:rPr>
        <w:t xml:space="preserve">Statistics available in Hong Kong Government, “Government response to US Trafficking in Persons Report 2019” (June 2019). Available at: </w:t>
      </w:r>
      <w:hyperlink w:history="1">
        <w:r w:rsidR="00051722" w:rsidRPr="00EE2D6D">
          <w:rPr>
            <w:rStyle w:val="Hyperlink"/>
            <w:rFonts w:ascii="Arial" w:hAnsi="Arial" w:cs="Arial"/>
          </w:rPr>
          <w:t>www.info.gov.hk%2Fgia%2Fgeneral%2F201906%2F20%2FP2019062000915.htm</w:t>
        </w:r>
      </w:hyperlink>
      <w:r w:rsidR="00ED63F7" w:rsidRPr="00EE2D6D">
        <w:rPr>
          <w:rFonts w:ascii="Arial" w:hAnsi="Arial" w:cs="Arial"/>
        </w:rPr>
        <w:t xml:space="preserve"> and Kelly Ho, “Hungry and indebted: Kenyan domestic worker falls victim to forced labour in Hong Kong”, Hong Kong Free Press (6 April 2020). Available at: </w:t>
      </w:r>
      <w:hyperlink r:id="rId37" w:history="1">
        <w:r w:rsidR="00ED63F7" w:rsidRPr="00EE2D6D">
          <w:rPr>
            <w:rStyle w:val="Hyperlink"/>
            <w:rFonts w:ascii="Arial" w:hAnsi="Arial" w:cs="Arial"/>
          </w:rPr>
          <w:t>https://hongkongfp.com/2020/04/06/hungry-and-indebted-kenyan-domestic-worker-falls-victim-to-forced-labour-in-hong-kong/</w:t>
        </w:r>
      </w:hyperlink>
      <w:r w:rsidRPr="00EE2D6D">
        <w:rPr>
          <w:rFonts w:ascii="Arial" w:hAnsi="Arial" w:cs="Arial"/>
        </w:rPr>
        <w:t xml:space="preserve"> </w:t>
      </w:r>
      <w:r w:rsidR="00ED63F7" w:rsidRPr="00EE2D6D">
        <w:rPr>
          <w:rFonts w:ascii="Arial" w:hAnsi="Arial" w:cs="Arial"/>
        </w:rPr>
        <w:t xml:space="preserve"> </w:t>
      </w:r>
    </w:p>
  </w:footnote>
  <w:footnote w:id="48">
    <w:p w14:paraId="21C99D68" w14:textId="77777777" w:rsidR="00D05770"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00D05770" w:rsidRPr="00EE2D6D">
        <w:rPr>
          <w:rFonts w:ascii="Arial" w:hAnsi="Arial" w:cs="Arial"/>
        </w:rPr>
        <w:t>Justice Centre Hong Kong, “Submissions for the Working Group on Arbitrary Detention’s study on</w:t>
      </w:r>
    </w:p>
    <w:p w14:paraId="552309D2" w14:textId="0728FDD5" w:rsidR="00903ADF" w:rsidRPr="00EE2D6D" w:rsidRDefault="00D05770" w:rsidP="00EE2D6D">
      <w:pPr>
        <w:pStyle w:val="FootnoteText"/>
        <w:jc w:val="both"/>
        <w:rPr>
          <w:rFonts w:ascii="Arial" w:hAnsi="Arial" w:cs="Arial"/>
        </w:rPr>
      </w:pPr>
      <w:r w:rsidRPr="00EE2D6D">
        <w:rPr>
          <w:rFonts w:ascii="Arial" w:hAnsi="Arial" w:cs="Arial"/>
        </w:rPr>
        <w:t xml:space="preserve">arbitrary detention relating to drug policies” (March 2020). Available at: </w:t>
      </w:r>
      <w:r w:rsidR="00903ADF" w:rsidRPr="00EE2D6D">
        <w:rPr>
          <w:rFonts w:ascii="Arial" w:hAnsi="Arial" w:cs="Arial"/>
        </w:rPr>
        <w:t>https://www.justicecentre.org.hk/framework/uploads/2020/04/Justice-Centre-Hong-Kong-Submission-to-WGAD-Study-on-Drug-Polices.pdf</w:t>
      </w:r>
    </w:p>
  </w:footnote>
  <w:footnote w:id="49">
    <w:p w14:paraId="14919592"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Department of Justice, “Prosecution Code” (2013) at [18.2]. Available at: </w:t>
      </w:r>
      <w:hyperlink r:id="rId38" w:history="1">
        <w:r w:rsidRPr="00EE2D6D">
          <w:rPr>
            <w:rStyle w:val="Hyperlink"/>
            <w:rFonts w:ascii="Arial" w:hAnsi="Arial" w:cs="Arial"/>
          </w:rPr>
          <w:t>https://www.doj.gov.hk/eng/public/pubsoppapcon.html</w:t>
        </w:r>
      </w:hyperlink>
    </w:p>
  </w:footnote>
  <w:footnote w:id="50">
    <w:p w14:paraId="764B8F76"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Department of Justice, “Human Trafficking: Prosecutions” </w:t>
      </w:r>
      <w:r w:rsidRPr="00EE2D6D">
        <w:rPr>
          <w:rFonts w:ascii="Arial" w:hAnsi="Arial" w:cs="Arial"/>
          <w:i/>
          <w:iCs/>
        </w:rPr>
        <w:t xml:space="preserve">Access to Information Request </w:t>
      </w:r>
      <w:r w:rsidRPr="00EE2D6D">
        <w:rPr>
          <w:rFonts w:ascii="Arial" w:hAnsi="Arial" w:cs="Arial"/>
        </w:rPr>
        <w:t>(November 2019)</w:t>
      </w:r>
      <w:r w:rsidRPr="00EE2D6D">
        <w:rPr>
          <w:rFonts w:ascii="Arial" w:hAnsi="Arial" w:cs="Arial"/>
          <w:i/>
          <w:iCs/>
        </w:rPr>
        <w:t xml:space="preserve">. </w:t>
      </w:r>
      <w:r w:rsidRPr="00EE2D6D">
        <w:rPr>
          <w:rFonts w:ascii="Arial" w:hAnsi="Arial" w:cs="Arial"/>
        </w:rPr>
        <w:t>Available at:</w:t>
      </w:r>
      <w:r w:rsidRPr="00EE2D6D">
        <w:rPr>
          <w:rFonts w:ascii="Arial" w:hAnsi="Arial" w:cs="Arial"/>
          <w:i/>
          <w:iCs/>
        </w:rPr>
        <w:t xml:space="preserve"> t</w:t>
      </w:r>
      <w:hyperlink r:id="rId39" w:anchor="incoming-1209" w:history="1">
        <w:r w:rsidRPr="00EE2D6D">
          <w:rPr>
            <w:rStyle w:val="Hyperlink"/>
            <w:rFonts w:ascii="Arial" w:hAnsi="Arial" w:cs="Arial"/>
          </w:rPr>
          <w:t>https://accessinfo.hk/en/request/human_trafficking_prosecutions#incoming-1209</w:t>
        </w:r>
      </w:hyperlink>
    </w:p>
  </w:footnote>
  <w:footnote w:id="51">
    <w:p w14:paraId="42499A47"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Pr="00EE2D6D">
        <w:rPr>
          <w:rFonts w:ascii="Arial" w:hAnsi="Arial" w:cs="Arial"/>
          <w:i/>
          <w:iCs/>
          <w:color w:val="000000"/>
          <w:u w:val="single"/>
        </w:rPr>
        <w:t>HKSAR v Dang Hung Ngoc and Vu Dinh Nguyen</w:t>
      </w:r>
      <w:r w:rsidRPr="00EE2D6D">
        <w:rPr>
          <w:rFonts w:ascii="Arial" w:hAnsi="Arial" w:cs="Arial"/>
          <w:color w:val="000000"/>
        </w:rPr>
        <w:t xml:space="preserve"> [2019] HKCFI 1954 (Court of First Instance).</w:t>
      </w:r>
    </w:p>
  </w:footnote>
  <w:footnote w:id="52">
    <w:p w14:paraId="1CB06080" w14:textId="77777777" w:rsidR="00903ADF" w:rsidRPr="00EE2D6D" w:rsidRDefault="00903ADF" w:rsidP="00EE2D6D">
      <w:pPr>
        <w:pStyle w:val="FootnoteText"/>
        <w:jc w:val="both"/>
        <w:rPr>
          <w:rFonts w:ascii="Arial" w:hAnsi="Arial" w:cs="Arial"/>
          <w:lang w:val="en-US"/>
        </w:rPr>
      </w:pPr>
      <w:r w:rsidRPr="00EE2D6D">
        <w:rPr>
          <w:rStyle w:val="FootnoteReference"/>
          <w:rFonts w:ascii="Arial" w:hAnsi="Arial" w:cs="Arial"/>
        </w:rPr>
        <w:footnoteRef/>
      </w:r>
      <w:r w:rsidRPr="00EE2D6D">
        <w:rPr>
          <w:rFonts w:ascii="Arial" w:hAnsi="Arial" w:cs="Arial"/>
        </w:rPr>
        <w:t xml:space="preserve"> There is a well-established link between cannabis production and human trafficking; for example </w:t>
      </w:r>
      <w:r w:rsidRPr="00EE2D6D">
        <w:rPr>
          <w:rFonts w:ascii="Arial" w:hAnsi="Arial" w:cs="Arial"/>
          <w:lang w:val="en-US"/>
        </w:rPr>
        <w:t xml:space="preserve">see note 13 above and Amelia Gentleman, “Trafficked and enslaved: the teenagers tending UK cannabis farms”, </w:t>
      </w:r>
      <w:r w:rsidRPr="00EE2D6D">
        <w:rPr>
          <w:rFonts w:ascii="Arial" w:hAnsi="Arial" w:cs="Arial"/>
          <w:i/>
          <w:iCs/>
          <w:lang w:val="en-US"/>
        </w:rPr>
        <w:t xml:space="preserve">The Guardian </w:t>
      </w:r>
      <w:r w:rsidRPr="00EE2D6D">
        <w:rPr>
          <w:rFonts w:ascii="Arial" w:hAnsi="Arial" w:cs="Arial"/>
          <w:lang w:val="en-US"/>
        </w:rPr>
        <w:t xml:space="preserve">(25 March 2017). Available at: </w:t>
      </w:r>
      <w:hyperlink r:id="rId40" w:history="1">
        <w:r w:rsidRPr="00EE2D6D">
          <w:rPr>
            <w:rStyle w:val="Hyperlink"/>
            <w:rFonts w:ascii="Arial" w:hAnsi="Arial" w:cs="Arial"/>
          </w:rPr>
          <w:t>https://www.theguardian.com/society/2017/mar/25/trafficked-enslaved-teenagers-tending-uk-cannabis-farms-vietnamese</w:t>
        </w:r>
      </w:hyperlink>
      <w:r w:rsidRPr="00EE2D6D">
        <w:rPr>
          <w:rFonts w:ascii="Arial" w:hAnsi="Arial" w:cs="Arial"/>
        </w:rPr>
        <w:t xml:space="preserve">; “ How a boy from Vietnam became a slave on a UK cannabis farm”, </w:t>
      </w:r>
      <w:r w:rsidRPr="00EE2D6D">
        <w:rPr>
          <w:rFonts w:ascii="Arial" w:hAnsi="Arial" w:cs="Arial"/>
          <w:i/>
          <w:iCs/>
        </w:rPr>
        <w:t xml:space="preserve">BBC </w:t>
      </w:r>
      <w:r w:rsidRPr="00EE2D6D">
        <w:rPr>
          <w:rFonts w:ascii="Arial" w:hAnsi="Arial" w:cs="Arial"/>
        </w:rPr>
        <w:t>(21 January 2020). Available at:</w:t>
      </w:r>
      <w:r w:rsidRPr="00EE2D6D">
        <w:rPr>
          <w:rFonts w:ascii="Arial" w:hAnsi="Arial" w:cs="Arial"/>
          <w:i/>
          <w:iCs/>
        </w:rPr>
        <w:t xml:space="preserve"> </w:t>
      </w:r>
      <w:hyperlink r:id="rId41" w:history="1">
        <w:r w:rsidRPr="00EE2D6D">
          <w:rPr>
            <w:rStyle w:val="Hyperlink"/>
            <w:rFonts w:ascii="Arial" w:hAnsi="Arial" w:cs="Arial"/>
          </w:rPr>
          <w:t>https://www.bbc.com/news/stories-51176958</w:t>
        </w:r>
      </w:hyperlink>
      <w:r w:rsidRPr="00EE2D6D">
        <w:rPr>
          <w:rFonts w:ascii="Arial" w:hAnsi="Arial" w:cs="Arial"/>
        </w:rPr>
        <w:t xml:space="preserve"> </w:t>
      </w:r>
    </w:p>
  </w:footnote>
  <w:footnote w:id="53">
    <w:p w14:paraId="3D24B0CE"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Pr="00EE2D6D">
        <w:rPr>
          <w:rFonts w:ascii="Arial" w:hAnsi="Arial" w:cs="Arial"/>
          <w:i/>
          <w:iCs/>
          <w:u w:val="single"/>
        </w:rPr>
        <w:t>HKSAR v Gutierrez Alvarez Keishu Mercedes</w:t>
      </w:r>
      <w:r w:rsidRPr="00EE2D6D">
        <w:rPr>
          <w:rFonts w:ascii="Arial" w:hAnsi="Arial" w:cs="Arial"/>
        </w:rPr>
        <w:t xml:space="preserve"> CACC 320/2016; [2020] HKCA 184 (Court of Appeal).</w:t>
      </w:r>
    </w:p>
  </w:footnote>
  <w:footnote w:id="54">
    <w:p w14:paraId="60DFBD55" w14:textId="77777777" w:rsidR="00903ADF" w:rsidRPr="00EE2D6D" w:rsidRDefault="00903ADF" w:rsidP="00EE2D6D">
      <w:pPr>
        <w:pStyle w:val="FootnoteText"/>
        <w:jc w:val="both"/>
        <w:rPr>
          <w:rFonts w:ascii="Arial" w:hAnsi="Arial" w:cs="Arial"/>
        </w:rPr>
      </w:pPr>
      <w:r w:rsidRPr="00EE2D6D">
        <w:rPr>
          <w:rStyle w:val="FootnoteReference"/>
          <w:rFonts w:ascii="Arial" w:hAnsi="Arial" w:cs="Arial"/>
        </w:rPr>
        <w:footnoteRef/>
      </w:r>
      <w:r w:rsidRPr="00EE2D6D">
        <w:rPr>
          <w:rFonts w:ascii="Arial" w:hAnsi="Arial" w:cs="Arial"/>
        </w:rPr>
        <w:t xml:space="preserve"> </w:t>
      </w:r>
      <w:r w:rsidRPr="00EE2D6D">
        <w:rPr>
          <w:rFonts w:ascii="Arial" w:hAnsi="Arial" w:cs="Arial"/>
          <w:i/>
          <w:iCs/>
          <w:u w:val="single"/>
        </w:rPr>
        <w:t xml:space="preserve">HKSAR v Kilima Abubakar Abbas </w:t>
      </w:r>
      <w:r w:rsidRPr="00EE2D6D">
        <w:rPr>
          <w:rFonts w:ascii="Arial" w:hAnsi="Arial" w:cs="Arial"/>
        </w:rPr>
        <w:t xml:space="preserve">CACC 143/2016; [2018] HKCA 602 (Court of Appeal). </w:t>
      </w:r>
    </w:p>
  </w:footnote>
  <w:footnote w:id="55">
    <w:p w14:paraId="77B9951F" w14:textId="77777777" w:rsidR="00903ADF" w:rsidRPr="00EE2D6D" w:rsidRDefault="00903ADF" w:rsidP="00EE2D6D">
      <w:pPr>
        <w:pStyle w:val="FootnoteText"/>
        <w:jc w:val="both"/>
        <w:rPr>
          <w:rFonts w:ascii="Arial" w:hAnsi="Arial" w:cs="Arial"/>
          <w:lang w:val="en-US"/>
        </w:rPr>
      </w:pPr>
      <w:r w:rsidRPr="00EE2D6D">
        <w:rPr>
          <w:rStyle w:val="FootnoteReference"/>
          <w:rFonts w:ascii="Arial" w:hAnsi="Arial" w:cs="Arial"/>
        </w:rPr>
        <w:footnoteRef/>
      </w:r>
      <w:r w:rsidRPr="00EE2D6D">
        <w:rPr>
          <w:rFonts w:ascii="Arial" w:hAnsi="Arial" w:cs="Arial"/>
        </w:rPr>
        <w:t xml:space="preserve"> See for example UNODC, “A Human Rights-Based Approach to Trafficking in Persons: the principle of non-criminalisation of victims” (May 2019). Available at: </w:t>
      </w:r>
      <w:hyperlink r:id="rId42" w:history="1">
        <w:r w:rsidRPr="00EE2D6D">
          <w:rPr>
            <w:rStyle w:val="Hyperlink"/>
            <w:rFonts w:ascii="Arial" w:hAnsi="Arial" w:cs="Arial"/>
          </w:rPr>
          <w:t>https://www.unodc.org/e4j/en/tip-and-som/module-8/key-issues/principle-of-non-criminalization-of-victims.html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E9EF0" w14:textId="651580A4" w:rsidR="00903ADF" w:rsidRDefault="00903ADF">
    <w:pPr>
      <w:pStyle w:val="Header"/>
    </w:pPr>
    <w:r>
      <w:rPr>
        <w:noProof/>
        <w:lang w:val="en-GB" w:eastAsia="en-GB"/>
      </w:rPr>
      <w:drawing>
        <wp:anchor distT="0" distB="0" distL="114300" distR="114300" simplePos="0" relativeHeight="251659264" behindDoc="0" locked="0" layoutInCell="1" allowOverlap="1" wp14:anchorId="04F50A91" wp14:editId="094DC8DA">
          <wp:simplePos x="0" y="0"/>
          <wp:positionH relativeFrom="margin">
            <wp:posOffset>-174172</wp:posOffset>
          </wp:positionH>
          <wp:positionV relativeFrom="paragraph">
            <wp:posOffset>-223611</wp:posOffset>
          </wp:positionV>
          <wp:extent cx="6553200" cy="788670"/>
          <wp:effectExtent l="0" t="0" r="0" b="0"/>
          <wp:wrapSquare wrapText="bothSides"/>
          <wp:docPr id="4" name="Picture 4" descr="C:\Users\Preston Cheung\Documents\Comms Work\3. Development &amp; Collaboration\Logos\JCHK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ton Cheung\Documents\Comms Work\3. Development &amp; Collaboration\Logos\JCHK_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0" cy="7886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8150B"/>
    <w:multiLevelType w:val="hybridMultilevel"/>
    <w:tmpl w:val="FC98D550"/>
    <w:lvl w:ilvl="0" w:tplc="15BC333C">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825EC"/>
    <w:multiLevelType w:val="hybridMultilevel"/>
    <w:tmpl w:val="2A92ADC0"/>
    <w:lvl w:ilvl="0" w:tplc="7374B430">
      <w:numFmt w:val="bullet"/>
      <w:lvlText w:val="-"/>
      <w:lvlJc w:val="left"/>
      <w:pPr>
        <w:ind w:left="720" w:hanging="360"/>
      </w:pPr>
      <w:rPr>
        <w:rFonts w:ascii="Arial" w:eastAsiaTheme="minorEastAsia"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1FCD3F78"/>
    <w:multiLevelType w:val="hybridMultilevel"/>
    <w:tmpl w:val="9202F73E"/>
    <w:lvl w:ilvl="0" w:tplc="525C04EE">
      <w:start w:val="1"/>
      <w:numFmt w:val="bullet"/>
      <w:lvlText w:val="-"/>
      <w:lvlJc w:val="left"/>
      <w:pPr>
        <w:ind w:left="720" w:hanging="360"/>
      </w:pPr>
      <w:rPr>
        <w:rFonts w:ascii="Calibri" w:eastAsia="DengXian" w:hAnsi="Calibri" w:cs="Calibri"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start w:val="1"/>
      <w:numFmt w:val="bullet"/>
      <w:lvlText w:val=""/>
      <w:lvlJc w:val="left"/>
      <w:pPr>
        <w:ind w:left="2880" w:hanging="360"/>
      </w:pPr>
      <w:rPr>
        <w:rFonts w:ascii="Symbol" w:hAnsi="Symbol" w:hint="default"/>
      </w:rPr>
    </w:lvl>
    <w:lvl w:ilvl="4" w:tplc="3C090003">
      <w:start w:val="1"/>
      <w:numFmt w:val="bullet"/>
      <w:lvlText w:val="o"/>
      <w:lvlJc w:val="left"/>
      <w:pPr>
        <w:ind w:left="3600" w:hanging="360"/>
      </w:pPr>
      <w:rPr>
        <w:rFonts w:ascii="Courier New" w:hAnsi="Courier New" w:cs="Courier New" w:hint="default"/>
      </w:rPr>
    </w:lvl>
    <w:lvl w:ilvl="5" w:tplc="3C090005">
      <w:start w:val="1"/>
      <w:numFmt w:val="bullet"/>
      <w:lvlText w:val=""/>
      <w:lvlJc w:val="left"/>
      <w:pPr>
        <w:ind w:left="4320" w:hanging="360"/>
      </w:pPr>
      <w:rPr>
        <w:rFonts w:ascii="Wingdings" w:hAnsi="Wingdings" w:hint="default"/>
      </w:rPr>
    </w:lvl>
    <w:lvl w:ilvl="6" w:tplc="3C090001">
      <w:start w:val="1"/>
      <w:numFmt w:val="bullet"/>
      <w:lvlText w:val=""/>
      <w:lvlJc w:val="left"/>
      <w:pPr>
        <w:ind w:left="5040" w:hanging="360"/>
      </w:pPr>
      <w:rPr>
        <w:rFonts w:ascii="Symbol" w:hAnsi="Symbol" w:hint="default"/>
      </w:rPr>
    </w:lvl>
    <w:lvl w:ilvl="7" w:tplc="3C090003">
      <w:start w:val="1"/>
      <w:numFmt w:val="bullet"/>
      <w:lvlText w:val="o"/>
      <w:lvlJc w:val="left"/>
      <w:pPr>
        <w:ind w:left="5760" w:hanging="360"/>
      </w:pPr>
      <w:rPr>
        <w:rFonts w:ascii="Courier New" w:hAnsi="Courier New" w:cs="Courier New" w:hint="default"/>
      </w:rPr>
    </w:lvl>
    <w:lvl w:ilvl="8" w:tplc="3C090005">
      <w:start w:val="1"/>
      <w:numFmt w:val="bullet"/>
      <w:lvlText w:val=""/>
      <w:lvlJc w:val="left"/>
      <w:pPr>
        <w:ind w:left="6480" w:hanging="360"/>
      </w:pPr>
      <w:rPr>
        <w:rFonts w:ascii="Wingdings" w:hAnsi="Wingdings" w:hint="default"/>
      </w:rPr>
    </w:lvl>
  </w:abstractNum>
  <w:abstractNum w:abstractNumId="3" w15:restartNumberingAfterBreak="0">
    <w:nsid w:val="246E4598"/>
    <w:multiLevelType w:val="hybridMultilevel"/>
    <w:tmpl w:val="3AB0D3E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29B22A2"/>
    <w:multiLevelType w:val="hybridMultilevel"/>
    <w:tmpl w:val="BA4EBBE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3C1C4253"/>
    <w:multiLevelType w:val="hybridMultilevel"/>
    <w:tmpl w:val="9A4A84F8"/>
    <w:lvl w:ilvl="0" w:tplc="A1281BAA">
      <w:numFmt w:val="bullet"/>
      <w:lvlText w:val="-"/>
      <w:lvlJc w:val="left"/>
      <w:pPr>
        <w:ind w:left="720" w:hanging="360"/>
      </w:pPr>
      <w:rPr>
        <w:rFonts w:ascii="Arial" w:eastAsiaTheme="minorEastAsia"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54092E42"/>
    <w:multiLevelType w:val="hybridMultilevel"/>
    <w:tmpl w:val="A5E0F99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5D3618E6"/>
    <w:multiLevelType w:val="hybridMultilevel"/>
    <w:tmpl w:val="DBF2745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5FD664BC"/>
    <w:multiLevelType w:val="hybridMultilevel"/>
    <w:tmpl w:val="6074C04C"/>
    <w:lvl w:ilvl="0" w:tplc="E090A3A4">
      <w:numFmt w:val="bullet"/>
      <w:lvlText w:val="-"/>
      <w:lvlJc w:val="left"/>
      <w:pPr>
        <w:ind w:left="720" w:hanging="360"/>
      </w:pPr>
      <w:rPr>
        <w:rFonts w:ascii="Arial" w:eastAsiaTheme="minorEastAsia"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6143156E"/>
    <w:multiLevelType w:val="multilevel"/>
    <w:tmpl w:val="83C22712"/>
    <w:lvl w:ilvl="0">
      <w:start w:val="1"/>
      <w:numFmt w:val="decimal"/>
      <w:lvlText w:val="%1."/>
      <w:lvlJc w:val="left"/>
      <w:pPr>
        <w:ind w:left="720" w:hanging="360"/>
      </w:pPr>
      <w:rPr>
        <w:rFonts w:hint="default"/>
      </w:rPr>
    </w:lvl>
    <w:lvl w:ilvl="1">
      <w:start w:val="1"/>
      <w:numFmt w:val="decimal"/>
      <w:isLgl/>
      <w:lvlText w:val="%1.%2"/>
      <w:lvlJc w:val="left"/>
      <w:pPr>
        <w:ind w:left="763" w:hanging="4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2"/>
  </w:num>
  <w:num w:numId="3">
    <w:abstractNumId w:val="7"/>
  </w:num>
  <w:num w:numId="4">
    <w:abstractNumId w:val="8"/>
  </w:num>
  <w:num w:numId="5">
    <w:abstractNumId w:val="1"/>
  </w:num>
  <w:num w:numId="6">
    <w:abstractNumId w:val="5"/>
  </w:num>
  <w:num w:numId="7">
    <w:abstractNumId w:val="4"/>
  </w:num>
  <w:num w:numId="8">
    <w:abstractNumId w:val="3"/>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5F"/>
    <w:rsid w:val="0000035C"/>
    <w:rsid w:val="00001399"/>
    <w:rsid w:val="0000270A"/>
    <w:rsid w:val="000050C3"/>
    <w:rsid w:val="00005226"/>
    <w:rsid w:val="00007FD9"/>
    <w:rsid w:val="00010535"/>
    <w:rsid w:val="00010766"/>
    <w:rsid w:val="00012F88"/>
    <w:rsid w:val="00014335"/>
    <w:rsid w:val="00014E01"/>
    <w:rsid w:val="00014FDF"/>
    <w:rsid w:val="00016DA6"/>
    <w:rsid w:val="000178E4"/>
    <w:rsid w:val="000210FF"/>
    <w:rsid w:val="0002338E"/>
    <w:rsid w:val="0002428C"/>
    <w:rsid w:val="000245E8"/>
    <w:rsid w:val="0002481A"/>
    <w:rsid w:val="000278D9"/>
    <w:rsid w:val="000328DF"/>
    <w:rsid w:val="00032F4B"/>
    <w:rsid w:val="000348ED"/>
    <w:rsid w:val="00035160"/>
    <w:rsid w:val="00036F9A"/>
    <w:rsid w:val="000402D1"/>
    <w:rsid w:val="00041A79"/>
    <w:rsid w:val="000431BC"/>
    <w:rsid w:val="00043F00"/>
    <w:rsid w:val="00045FFE"/>
    <w:rsid w:val="00051722"/>
    <w:rsid w:val="000527C9"/>
    <w:rsid w:val="000565FA"/>
    <w:rsid w:val="00057513"/>
    <w:rsid w:val="000653CC"/>
    <w:rsid w:val="000668E1"/>
    <w:rsid w:val="0007030B"/>
    <w:rsid w:val="00072FA3"/>
    <w:rsid w:val="000740DD"/>
    <w:rsid w:val="000741AB"/>
    <w:rsid w:val="00081C33"/>
    <w:rsid w:val="000824B4"/>
    <w:rsid w:val="000849BA"/>
    <w:rsid w:val="0009048D"/>
    <w:rsid w:val="00091373"/>
    <w:rsid w:val="00091B27"/>
    <w:rsid w:val="00095F3D"/>
    <w:rsid w:val="00096478"/>
    <w:rsid w:val="000A4133"/>
    <w:rsid w:val="000A6572"/>
    <w:rsid w:val="000A66D0"/>
    <w:rsid w:val="000A6EA1"/>
    <w:rsid w:val="000B1DFC"/>
    <w:rsid w:val="000B333D"/>
    <w:rsid w:val="000B596B"/>
    <w:rsid w:val="000B7196"/>
    <w:rsid w:val="000C07B2"/>
    <w:rsid w:val="000C18BF"/>
    <w:rsid w:val="000C1F92"/>
    <w:rsid w:val="000C32A7"/>
    <w:rsid w:val="000C46F7"/>
    <w:rsid w:val="000C52C1"/>
    <w:rsid w:val="000D07B8"/>
    <w:rsid w:val="000D0CBF"/>
    <w:rsid w:val="000D3964"/>
    <w:rsid w:val="000D6475"/>
    <w:rsid w:val="000D7AE3"/>
    <w:rsid w:val="000D7D36"/>
    <w:rsid w:val="000E089B"/>
    <w:rsid w:val="000E3DAF"/>
    <w:rsid w:val="000E4798"/>
    <w:rsid w:val="000E5BCC"/>
    <w:rsid w:val="000E6CF8"/>
    <w:rsid w:val="000E7F84"/>
    <w:rsid w:val="000F7519"/>
    <w:rsid w:val="00103923"/>
    <w:rsid w:val="001063AF"/>
    <w:rsid w:val="001071C7"/>
    <w:rsid w:val="00111409"/>
    <w:rsid w:val="00111C3E"/>
    <w:rsid w:val="00112C8E"/>
    <w:rsid w:val="001133E3"/>
    <w:rsid w:val="00115947"/>
    <w:rsid w:val="001205B5"/>
    <w:rsid w:val="00122E46"/>
    <w:rsid w:val="00127E55"/>
    <w:rsid w:val="00131FFC"/>
    <w:rsid w:val="0013480F"/>
    <w:rsid w:val="0014138E"/>
    <w:rsid w:val="00142935"/>
    <w:rsid w:val="001463E3"/>
    <w:rsid w:val="00152F91"/>
    <w:rsid w:val="001541E9"/>
    <w:rsid w:val="00155264"/>
    <w:rsid w:val="001577A1"/>
    <w:rsid w:val="0016076F"/>
    <w:rsid w:val="00161394"/>
    <w:rsid w:val="00161763"/>
    <w:rsid w:val="00161B05"/>
    <w:rsid w:val="00164D78"/>
    <w:rsid w:val="0016510A"/>
    <w:rsid w:val="0016586E"/>
    <w:rsid w:val="00165F04"/>
    <w:rsid w:val="001749A8"/>
    <w:rsid w:val="0017596F"/>
    <w:rsid w:val="001768BF"/>
    <w:rsid w:val="001818DE"/>
    <w:rsid w:val="001825A8"/>
    <w:rsid w:val="00186D3B"/>
    <w:rsid w:val="00186E8F"/>
    <w:rsid w:val="0019396E"/>
    <w:rsid w:val="00194A22"/>
    <w:rsid w:val="001A0D6B"/>
    <w:rsid w:val="001A22AA"/>
    <w:rsid w:val="001A388E"/>
    <w:rsid w:val="001A45BC"/>
    <w:rsid w:val="001B0C22"/>
    <w:rsid w:val="001B12F3"/>
    <w:rsid w:val="001B336A"/>
    <w:rsid w:val="001B452C"/>
    <w:rsid w:val="001C22D4"/>
    <w:rsid w:val="001C25CE"/>
    <w:rsid w:val="001C2A42"/>
    <w:rsid w:val="001C4770"/>
    <w:rsid w:val="001D1006"/>
    <w:rsid w:val="001D44E6"/>
    <w:rsid w:val="001D54A2"/>
    <w:rsid w:val="001E072A"/>
    <w:rsid w:val="001E11C2"/>
    <w:rsid w:val="001E13EA"/>
    <w:rsid w:val="001E30A7"/>
    <w:rsid w:val="001E37DE"/>
    <w:rsid w:val="001E38EF"/>
    <w:rsid w:val="001E5005"/>
    <w:rsid w:val="001E5FAA"/>
    <w:rsid w:val="001E6D20"/>
    <w:rsid w:val="001E7DD5"/>
    <w:rsid w:val="001F0CD7"/>
    <w:rsid w:val="001F1F15"/>
    <w:rsid w:val="001F4B2C"/>
    <w:rsid w:val="001F5E00"/>
    <w:rsid w:val="001F5F8F"/>
    <w:rsid w:val="001F68A6"/>
    <w:rsid w:val="001F6A10"/>
    <w:rsid w:val="00200C9B"/>
    <w:rsid w:val="0020242D"/>
    <w:rsid w:val="00206C26"/>
    <w:rsid w:val="00207306"/>
    <w:rsid w:val="00215801"/>
    <w:rsid w:val="00215B1F"/>
    <w:rsid w:val="00215D4B"/>
    <w:rsid w:val="002164AF"/>
    <w:rsid w:val="00216C55"/>
    <w:rsid w:val="00220336"/>
    <w:rsid w:val="00222719"/>
    <w:rsid w:val="00224358"/>
    <w:rsid w:val="0023336B"/>
    <w:rsid w:val="0023386C"/>
    <w:rsid w:val="002357A6"/>
    <w:rsid w:val="002418DD"/>
    <w:rsid w:val="00241FE7"/>
    <w:rsid w:val="0024321D"/>
    <w:rsid w:val="00244467"/>
    <w:rsid w:val="00244C1A"/>
    <w:rsid w:val="0024517B"/>
    <w:rsid w:val="00245279"/>
    <w:rsid w:val="00246D65"/>
    <w:rsid w:val="00251512"/>
    <w:rsid w:val="002532DA"/>
    <w:rsid w:val="002561F9"/>
    <w:rsid w:val="002574E1"/>
    <w:rsid w:val="002643AC"/>
    <w:rsid w:val="00264FB5"/>
    <w:rsid w:val="00265756"/>
    <w:rsid w:val="002672E6"/>
    <w:rsid w:val="00267345"/>
    <w:rsid w:val="0027214F"/>
    <w:rsid w:val="002724A2"/>
    <w:rsid w:val="00273533"/>
    <w:rsid w:val="002743D2"/>
    <w:rsid w:val="002746C0"/>
    <w:rsid w:val="00276CC4"/>
    <w:rsid w:val="002802A8"/>
    <w:rsid w:val="00280360"/>
    <w:rsid w:val="00280C3E"/>
    <w:rsid w:val="00282214"/>
    <w:rsid w:val="00282EFE"/>
    <w:rsid w:val="0028391D"/>
    <w:rsid w:val="00286D3B"/>
    <w:rsid w:val="00287800"/>
    <w:rsid w:val="00291FFB"/>
    <w:rsid w:val="00292B71"/>
    <w:rsid w:val="00294F0A"/>
    <w:rsid w:val="002979E9"/>
    <w:rsid w:val="002A1A5B"/>
    <w:rsid w:val="002A1AA8"/>
    <w:rsid w:val="002A2119"/>
    <w:rsid w:val="002A3623"/>
    <w:rsid w:val="002A777A"/>
    <w:rsid w:val="002C1388"/>
    <w:rsid w:val="002C2581"/>
    <w:rsid w:val="002C2FFF"/>
    <w:rsid w:val="002C4D6D"/>
    <w:rsid w:val="002C50AF"/>
    <w:rsid w:val="002D1894"/>
    <w:rsid w:val="002D2883"/>
    <w:rsid w:val="002D2E5E"/>
    <w:rsid w:val="002D2FC8"/>
    <w:rsid w:val="002E003C"/>
    <w:rsid w:val="002E26CE"/>
    <w:rsid w:val="002E4CB5"/>
    <w:rsid w:val="002E5234"/>
    <w:rsid w:val="002E583A"/>
    <w:rsid w:val="002F002A"/>
    <w:rsid w:val="002F1838"/>
    <w:rsid w:val="002F4EE0"/>
    <w:rsid w:val="00300DA7"/>
    <w:rsid w:val="003015E4"/>
    <w:rsid w:val="0030394E"/>
    <w:rsid w:val="0030451B"/>
    <w:rsid w:val="00311211"/>
    <w:rsid w:val="00317F2C"/>
    <w:rsid w:val="00320B8F"/>
    <w:rsid w:val="00321008"/>
    <w:rsid w:val="00324174"/>
    <w:rsid w:val="003326D0"/>
    <w:rsid w:val="00335A00"/>
    <w:rsid w:val="0033615E"/>
    <w:rsid w:val="00336857"/>
    <w:rsid w:val="00336BFB"/>
    <w:rsid w:val="003372D2"/>
    <w:rsid w:val="00344C09"/>
    <w:rsid w:val="0034557D"/>
    <w:rsid w:val="00352D64"/>
    <w:rsid w:val="00353C57"/>
    <w:rsid w:val="0035457A"/>
    <w:rsid w:val="00355B76"/>
    <w:rsid w:val="00356443"/>
    <w:rsid w:val="003566EA"/>
    <w:rsid w:val="003579AA"/>
    <w:rsid w:val="00357C24"/>
    <w:rsid w:val="003606D7"/>
    <w:rsid w:val="00361EB6"/>
    <w:rsid w:val="00365E4A"/>
    <w:rsid w:val="00370296"/>
    <w:rsid w:val="0037036F"/>
    <w:rsid w:val="00371057"/>
    <w:rsid w:val="00375182"/>
    <w:rsid w:val="00380660"/>
    <w:rsid w:val="00384513"/>
    <w:rsid w:val="00384798"/>
    <w:rsid w:val="003849E5"/>
    <w:rsid w:val="00384E72"/>
    <w:rsid w:val="003961C4"/>
    <w:rsid w:val="003A0C5E"/>
    <w:rsid w:val="003A0CD7"/>
    <w:rsid w:val="003A3A17"/>
    <w:rsid w:val="003A413F"/>
    <w:rsid w:val="003A7648"/>
    <w:rsid w:val="003B0A62"/>
    <w:rsid w:val="003B5E29"/>
    <w:rsid w:val="003C008C"/>
    <w:rsid w:val="003C0832"/>
    <w:rsid w:val="003C0C85"/>
    <w:rsid w:val="003C12F5"/>
    <w:rsid w:val="003C6D27"/>
    <w:rsid w:val="003D073B"/>
    <w:rsid w:val="003D0B84"/>
    <w:rsid w:val="003D16CC"/>
    <w:rsid w:val="003D17F6"/>
    <w:rsid w:val="003D3C41"/>
    <w:rsid w:val="003D3DF9"/>
    <w:rsid w:val="003D6771"/>
    <w:rsid w:val="003E5226"/>
    <w:rsid w:val="003E702C"/>
    <w:rsid w:val="003E7BF1"/>
    <w:rsid w:val="003F2940"/>
    <w:rsid w:val="003F76EE"/>
    <w:rsid w:val="004002F0"/>
    <w:rsid w:val="00401E79"/>
    <w:rsid w:val="00402827"/>
    <w:rsid w:val="00403035"/>
    <w:rsid w:val="00403A66"/>
    <w:rsid w:val="00405112"/>
    <w:rsid w:val="00405318"/>
    <w:rsid w:val="004065B3"/>
    <w:rsid w:val="00407834"/>
    <w:rsid w:val="00412B34"/>
    <w:rsid w:val="00415483"/>
    <w:rsid w:val="00415FF7"/>
    <w:rsid w:val="0041647B"/>
    <w:rsid w:val="004168D2"/>
    <w:rsid w:val="00416EE4"/>
    <w:rsid w:val="00416F74"/>
    <w:rsid w:val="00420113"/>
    <w:rsid w:val="00421EE6"/>
    <w:rsid w:val="00422FAE"/>
    <w:rsid w:val="004236E5"/>
    <w:rsid w:val="00423FA4"/>
    <w:rsid w:val="00426D75"/>
    <w:rsid w:val="00431F64"/>
    <w:rsid w:val="004353FC"/>
    <w:rsid w:val="004357C1"/>
    <w:rsid w:val="00436A87"/>
    <w:rsid w:val="0043780E"/>
    <w:rsid w:val="00441AA1"/>
    <w:rsid w:val="00441E01"/>
    <w:rsid w:val="00443D5D"/>
    <w:rsid w:val="00444634"/>
    <w:rsid w:val="00444B21"/>
    <w:rsid w:val="004502A6"/>
    <w:rsid w:val="00454337"/>
    <w:rsid w:val="00461ACF"/>
    <w:rsid w:val="00473488"/>
    <w:rsid w:val="00477665"/>
    <w:rsid w:val="00477F57"/>
    <w:rsid w:val="004802C6"/>
    <w:rsid w:val="00480B30"/>
    <w:rsid w:val="00484643"/>
    <w:rsid w:val="00490288"/>
    <w:rsid w:val="0049274B"/>
    <w:rsid w:val="00493C68"/>
    <w:rsid w:val="004A1CA3"/>
    <w:rsid w:val="004A4D82"/>
    <w:rsid w:val="004A6A31"/>
    <w:rsid w:val="004B1ABB"/>
    <w:rsid w:val="004B2004"/>
    <w:rsid w:val="004B2B43"/>
    <w:rsid w:val="004B7502"/>
    <w:rsid w:val="004B7A6B"/>
    <w:rsid w:val="004C0C48"/>
    <w:rsid w:val="004C37E8"/>
    <w:rsid w:val="004C73B9"/>
    <w:rsid w:val="004D2B48"/>
    <w:rsid w:val="004D337C"/>
    <w:rsid w:val="004E0A47"/>
    <w:rsid w:val="004E3090"/>
    <w:rsid w:val="004E7276"/>
    <w:rsid w:val="004F03FD"/>
    <w:rsid w:val="004F16D3"/>
    <w:rsid w:val="00503670"/>
    <w:rsid w:val="005041D4"/>
    <w:rsid w:val="005102DC"/>
    <w:rsid w:val="00513CAD"/>
    <w:rsid w:val="005149E6"/>
    <w:rsid w:val="00514A02"/>
    <w:rsid w:val="00516CC1"/>
    <w:rsid w:val="00520C48"/>
    <w:rsid w:val="00521C00"/>
    <w:rsid w:val="0052209A"/>
    <w:rsid w:val="0052246D"/>
    <w:rsid w:val="00523F2C"/>
    <w:rsid w:val="00523F49"/>
    <w:rsid w:val="005248DD"/>
    <w:rsid w:val="005253E0"/>
    <w:rsid w:val="00525EC0"/>
    <w:rsid w:val="0053010F"/>
    <w:rsid w:val="00531B76"/>
    <w:rsid w:val="00536383"/>
    <w:rsid w:val="00537BC3"/>
    <w:rsid w:val="00544D7F"/>
    <w:rsid w:val="005463B2"/>
    <w:rsid w:val="00546DA2"/>
    <w:rsid w:val="00547389"/>
    <w:rsid w:val="00547A0E"/>
    <w:rsid w:val="0055039F"/>
    <w:rsid w:val="005518D3"/>
    <w:rsid w:val="00555367"/>
    <w:rsid w:val="0055560E"/>
    <w:rsid w:val="005602F0"/>
    <w:rsid w:val="005611AD"/>
    <w:rsid w:val="0056454A"/>
    <w:rsid w:val="00565854"/>
    <w:rsid w:val="00570967"/>
    <w:rsid w:val="00570A8F"/>
    <w:rsid w:val="00570DE6"/>
    <w:rsid w:val="00571B77"/>
    <w:rsid w:val="005729C0"/>
    <w:rsid w:val="00573684"/>
    <w:rsid w:val="00574E94"/>
    <w:rsid w:val="0057541C"/>
    <w:rsid w:val="00582F15"/>
    <w:rsid w:val="00583F4D"/>
    <w:rsid w:val="005846EA"/>
    <w:rsid w:val="00590018"/>
    <w:rsid w:val="00590335"/>
    <w:rsid w:val="0059106F"/>
    <w:rsid w:val="0059201F"/>
    <w:rsid w:val="00593415"/>
    <w:rsid w:val="00593DF7"/>
    <w:rsid w:val="005966B2"/>
    <w:rsid w:val="005A3614"/>
    <w:rsid w:val="005A4C4C"/>
    <w:rsid w:val="005B0839"/>
    <w:rsid w:val="005B1199"/>
    <w:rsid w:val="005B2CF1"/>
    <w:rsid w:val="005C60A3"/>
    <w:rsid w:val="005C718A"/>
    <w:rsid w:val="005D0A63"/>
    <w:rsid w:val="005D0B64"/>
    <w:rsid w:val="005D5CA9"/>
    <w:rsid w:val="005D61DA"/>
    <w:rsid w:val="005D6550"/>
    <w:rsid w:val="005D6D16"/>
    <w:rsid w:val="005D700B"/>
    <w:rsid w:val="005D71BC"/>
    <w:rsid w:val="005E084E"/>
    <w:rsid w:val="005E1A10"/>
    <w:rsid w:val="005E1FD0"/>
    <w:rsid w:val="005E2BF4"/>
    <w:rsid w:val="005E4865"/>
    <w:rsid w:val="005E5DCE"/>
    <w:rsid w:val="005F1148"/>
    <w:rsid w:val="00601BD0"/>
    <w:rsid w:val="00604E7C"/>
    <w:rsid w:val="00607041"/>
    <w:rsid w:val="0060786B"/>
    <w:rsid w:val="00607EEA"/>
    <w:rsid w:val="00607F32"/>
    <w:rsid w:val="006112EC"/>
    <w:rsid w:val="0061274D"/>
    <w:rsid w:val="00612F7F"/>
    <w:rsid w:val="006223B1"/>
    <w:rsid w:val="0062276C"/>
    <w:rsid w:val="006235E2"/>
    <w:rsid w:val="0062414B"/>
    <w:rsid w:val="00626F59"/>
    <w:rsid w:val="00627A17"/>
    <w:rsid w:val="00631DD5"/>
    <w:rsid w:val="0063252E"/>
    <w:rsid w:val="00633E7D"/>
    <w:rsid w:val="0063641F"/>
    <w:rsid w:val="00640568"/>
    <w:rsid w:val="00644470"/>
    <w:rsid w:val="00645508"/>
    <w:rsid w:val="00647DF9"/>
    <w:rsid w:val="00657597"/>
    <w:rsid w:val="00664FFA"/>
    <w:rsid w:val="006744AE"/>
    <w:rsid w:val="006808D5"/>
    <w:rsid w:val="00680D14"/>
    <w:rsid w:val="00682760"/>
    <w:rsid w:val="0068368B"/>
    <w:rsid w:val="00683A23"/>
    <w:rsid w:val="00683A2A"/>
    <w:rsid w:val="0068424C"/>
    <w:rsid w:val="00692250"/>
    <w:rsid w:val="0069284D"/>
    <w:rsid w:val="00693BAC"/>
    <w:rsid w:val="0069496A"/>
    <w:rsid w:val="006967FE"/>
    <w:rsid w:val="00696F17"/>
    <w:rsid w:val="006A01E2"/>
    <w:rsid w:val="006A089F"/>
    <w:rsid w:val="006A0FD3"/>
    <w:rsid w:val="006A1BE0"/>
    <w:rsid w:val="006A3FDA"/>
    <w:rsid w:val="006A6C4B"/>
    <w:rsid w:val="006B113A"/>
    <w:rsid w:val="006B3D7A"/>
    <w:rsid w:val="006C1EDE"/>
    <w:rsid w:val="006C23B7"/>
    <w:rsid w:val="006C2601"/>
    <w:rsid w:val="006C298E"/>
    <w:rsid w:val="006C2C58"/>
    <w:rsid w:val="006C4006"/>
    <w:rsid w:val="006C612D"/>
    <w:rsid w:val="006D0AEB"/>
    <w:rsid w:val="006D18EE"/>
    <w:rsid w:val="006D54F7"/>
    <w:rsid w:val="006D60F0"/>
    <w:rsid w:val="006D684C"/>
    <w:rsid w:val="006E0B38"/>
    <w:rsid w:val="006E501E"/>
    <w:rsid w:val="006E698F"/>
    <w:rsid w:val="006F2207"/>
    <w:rsid w:val="006F2EE3"/>
    <w:rsid w:val="006F345D"/>
    <w:rsid w:val="006F434A"/>
    <w:rsid w:val="006F4F54"/>
    <w:rsid w:val="006F5280"/>
    <w:rsid w:val="00703157"/>
    <w:rsid w:val="00703591"/>
    <w:rsid w:val="0070562A"/>
    <w:rsid w:val="00705738"/>
    <w:rsid w:val="00710542"/>
    <w:rsid w:val="00710B75"/>
    <w:rsid w:val="00711108"/>
    <w:rsid w:val="007134EB"/>
    <w:rsid w:val="0071379F"/>
    <w:rsid w:val="00715674"/>
    <w:rsid w:val="00726D4D"/>
    <w:rsid w:val="00727BFF"/>
    <w:rsid w:val="00735CA9"/>
    <w:rsid w:val="00740819"/>
    <w:rsid w:val="00744C6E"/>
    <w:rsid w:val="0074624C"/>
    <w:rsid w:val="0074747B"/>
    <w:rsid w:val="00760D5C"/>
    <w:rsid w:val="00761086"/>
    <w:rsid w:val="0076200B"/>
    <w:rsid w:val="00765018"/>
    <w:rsid w:val="0076547F"/>
    <w:rsid w:val="0076687C"/>
    <w:rsid w:val="00766994"/>
    <w:rsid w:val="00766C91"/>
    <w:rsid w:val="007716BA"/>
    <w:rsid w:val="00771FAC"/>
    <w:rsid w:val="00776A36"/>
    <w:rsid w:val="0078182C"/>
    <w:rsid w:val="00782F57"/>
    <w:rsid w:val="00783B53"/>
    <w:rsid w:val="007841C6"/>
    <w:rsid w:val="00785AA3"/>
    <w:rsid w:val="00786234"/>
    <w:rsid w:val="007912CD"/>
    <w:rsid w:val="007936D3"/>
    <w:rsid w:val="0079564B"/>
    <w:rsid w:val="007A1EB8"/>
    <w:rsid w:val="007A3868"/>
    <w:rsid w:val="007A38F9"/>
    <w:rsid w:val="007A5C8C"/>
    <w:rsid w:val="007A7AB0"/>
    <w:rsid w:val="007B01DA"/>
    <w:rsid w:val="007B1823"/>
    <w:rsid w:val="007B1940"/>
    <w:rsid w:val="007B4692"/>
    <w:rsid w:val="007B4964"/>
    <w:rsid w:val="007B5A46"/>
    <w:rsid w:val="007B7672"/>
    <w:rsid w:val="007C06C1"/>
    <w:rsid w:val="007C0F8F"/>
    <w:rsid w:val="007C2531"/>
    <w:rsid w:val="007C2C72"/>
    <w:rsid w:val="007D12DD"/>
    <w:rsid w:val="007D375C"/>
    <w:rsid w:val="007D41D9"/>
    <w:rsid w:val="007D4288"/>
    <w:rsid w:val="007D53B6"/>
    <w:rsid w:val="007D5F22"/>
    <w:rsid w:val="007D7AC8"/>
    <w:rsid w:val="007E6AB2"/>
    <w:rsid w:val="007E6DE7"/>
    <w:rsid w:val="007F0AD0"/>
    <w:rsid w:val="007F0BEC"/>
    <w:rsid w:val="007F398A"/>
    <w:rsid w:val="007F4DD7"/>
    <w:rsid w:val="007F5741"/>
    <w:rsid w:val="007F5A61"/>
    <w:rsid w:val="00801206"/>
    <w:rsid w:val="0080520C"/>
    <w:rsid w:val="008060CB"/>
    <w:rsid w:val="008127E7"/>
    <w:rsid w:val="00812BEF"/>
    <w:rsid w:val="00813968"/>
    <w:rsid w:val="00813C2C"/>
    <w:rsid w:val="008175B7"/>
    <w:rsid w:val="008235F7"/>
    <w:rsid w:val="00825651"/>
    <w:rsid w:val="00827A20"/>
    <w:rsid w:val="008305FB"/>
    <w:rsid w:val="00830CA5"/>
    <w:rsid w:val="00832426"/>
    <w:rsid w:val="00834942"/>
    <w:rsid w:val="0083554F"/>
    <w:rsid w:val="00835E6C"/>
    <w:rsid w:val="0084010B"/>
    <w:rsid w:val="00840DAC"/>
    <w:rsid w:val="008410AB"/>
    <w:rsid w:val="00844DE3"/>
    <w:rsid w:val="008452EF"/>
    <w:rsid w:val="008453B0"/>
    <w:rsid w:val="0084615A"/>
    <w:rsid w:val="008467F3"/>
    <w:rsid w:val="00846A7F"/>
    <w:rsid w:val="00851C42"/>
    <w:rsid w:val="00852563"/>
    <w:rsid w:val="00853539"/>
    <w:rsid w:val="00856DB2"/>
    <w:rsid w:val="00861149"/>
    <w:rsid w:val="008636ED"/>
    <w:rsid w:val="00864B2F"/>
    <w:rsid w:val="0086561E"/>
    <w:rsid w:val="00866384"/>
    <w:rsid w:val="00866EEC"/>
    <w:rsid w:val="008708FC"/>
    <w:rsid w:val="00871BD7"/>
    <w:rsid w:val="008735DC"/>
    <w:rsid w:val="0088265E"/>
    <w:rsid w:val="0088448D"/>
    <w:rsid w:val="008853B0"/>
    <w:rsid w:val="00891C3B"/>
    <w:rsid w:val="00894AB1"/>
    <w:rsid w:val="00894D05"/>
    <w:rsid w:val="008957C6"/>
    <w:rsid w:val="008A2607"/>
    <w:rsid w:val="008A41F7"/>
    <w:rsid w:val="008A59F0"/>
    <w:rsid w:val="008A7DFF"/>
    <w:rsid w:val="008B695D"/>
    <w:rsid w:val="008B7899"/>
    <w:rsid w:val="008C552C"/>
    <w:rsid w:val="008C5C37"/>
    <w:rsid w:val="008D01DC"/>
    <w:rsid w:val="008D1E43"/>
    <w:rsid w:val="008D2C4E"/>
    <w:rsid w:val="008D436F"/>
    <w:rsid w:val="008D697E"/>
    <w:rsid w:val="008D6E58"/>
    <w:rsid w:val="008D73E9"/>
    <w:rsid w:val="008E036C"/>
    <w:rsid w:val="008E1784"/>
    <w:rsid w:val="008E25A3"/>
    <w:rsid w:val="008E3E33"/>
    <w:rsid w:val="008E4071"/>
    <w:rsid w:val="008E63C9"/>
    <w:rsid w:val="008F236A"/>
    <w:rsid w:val="008F468C"/>
    <w:rsid w:val="008F5EF9"/>
    <w:rsid w:val="008F6460"/>
    <w:rsid w:val="00903ADF"/>
    <w:rsid w:val="00904F61"/>
    <w:rsid w:val="00905A95"/>
    <w:rsid w:val="00905DD5"/>
    <w:rsid w:val="00911B83"/>
    <w:rsid w:val="00913E48"/>
    <w:rsid w:val="009145E7"/>
    <w:rsid w:val="00914B84"/>
    <w:rsid w:val="00922EC1"/>
    <w:rsid w:val="00926616"/>
    <w:rsid w:val="00936445"/>
    <w:rsid w:val="009406CB"/>
    <w:rsid w:val="00940AC9"/>
    <w:rsid w:val="009422AA"/>
    <w:rsid w:val="0094417D"/>
    <w:rsid w:val="00945E57"/>
    <w:rsid w:val="00946711"/>
    <w:rsid w:val="00946ADE"/>
    <w:rsid w:val="00947CD1"/>
    <w:rsid w:val="009559D4"/>
    <w:rsid w:val="0095740F"/>
    <w:rsid w:val="00957806"/>
    <w:rsid w:val="00957EE9"/>
    <w:rsid w:val="00961265"/>
    <w:rsid w:val="009614AB"/>
    <w:rsid w:val="0096269D"/>
    <w:rsid w:val="009634E7"/>
    <w:rsid w:val="00963940"/>
    <w:rsid w:val="00963968"/>
    <w:rsid w:val="00964965"/>
    <w:rsid w:val="009652A7"/>
    <w:rsid w:val="00966433"/>
    <w:rsid w:val="00966CFC"/>
    <w:rsid w:val="009677B9"/>
    <w:rsid w:val="009720FF"/>
    <w:rsid w:val="0097267D"/>
    <w:rsid w:val="009761B7"/>
    <w:rsid w:val="0097795F"/>
    <w:rsid w:val="00985153"/>
    <w:rsid w:val="0099185D"/>
    <w:rsid w:val="00993926"/>
    <w:rsid w:val="009939FC"/>
    <w:rsid w:val="00994BBA"/>
    <w:rsid w:val="0099577C"/>
    <w:rsid w:val="009977D1"/>
    <w:rsid w:val="009A0019"/>
    <w:rsid w:val="009A0B59"/>
    <w:rsid w:val="009A2B69"/>
    <w:rsid w:val="009A519A"/>
    <w:rsid w:val="009A541F"/>
    <w:rsid w:val="009A5D5F"/>
    <w:rsid w:val="009B0CC0"/>
    <w:rsid w:val="009B1A64"/>
    <w:rsid w:val="009B31D0"/>
    <w:rsid w:val="009B3FEF"/>
    <w:rsid w:val="009B549A"/>
    <w:rsid w:val="009D302B"/>
    <w:rsid w:val="009D64B9"/>
    <w:rsid w:val="009D78E3"/>
    <w:rsid w:val="009E03FF"/>
    <w:rsid w:val="009E097E"/>
    <w:rsid w:val="009E4F30"/>
    <w:rsid w:val="009E6B1F"/>
    <w:rsid w:val="009F129A"/>
    <w:rsid w:val="009F2D55"/>
    <w:rsid w:val="00A028AA"/>
    <w:rsid w:val="00A030CD"/>
    <w:rsid w:val="00A04214"/>
    <w:rsid w:val="00A06F7C"/>
    <w:rsid w:val="00A079F3"/>
    <w:rsid w:val="00A112E8"/>
    <w:rsid w:val="00A17C03"/>
    <w:rsid w:val="00A21454"/>
    <w:rsid w:val="00A228B5"/>
    <w:rsid w:val="00A22EEF"/>
    <w:rsid w:val="00A23DDA"/>
    <w:rsid w:val="00A24460"/>
    <w:rsid w:val="00A24599"/>
    <w:rsid w:val="00A25BC2"/>
    <w:rsid w:val="00A309BD"/>
    <w:rsid w:val="00A366EF"/>
    <w:rsid w:val="00A37BD7"/>
    <w:rsid w:val="00A402BA"/>
    <w:rsid w:val="00A410E4"/>
    <w:rsid w:val="00A41B10"/>
    <w:rsid w:val="00A4583F"/>
    <w:rsid w:val="00A46243"/>
    <w:rsid w:val="00A533A9"/>
    <w:rsid w:val="00A560D3"/>
    <w:rsid w:val="00A675B7"/>
    <w:rsid w:val="00A7009A"/>
    <w:rsid w:val="00A72ED8"/>
    <w:rsid w:val="00A72F72"/>
    <w:rsid w:val="00A744D5"/>
    <w:rsid w:val="00A74C4B"/>
    <w:rsid w:val="00A74F67"/>
    <w:rsid w:val="00A75388"/>
    <w:rsid w:val="00A7562D"/>
    <w:rsid w:val="00A76C3C"/>
    <w:rsid w:val="00A77483"/>
    <w:rsid w:val="00A82CA7"/>
    <w:rsid w:val="00A830F2"/>
    <w:rsid w:val="00A8317F"/>
    <w:rsid w:val="00A83E67"/>
    <w:rsid w:val="00A8488B"/>
    <w:rsid w:val="00A85943"/>
    <w:rsid w:val="00A93338"/>
    <w:rsid w:val="00A93B3C"/>
    <w:rsid w:val="00A97AF5"/>
    <w:rsid w:val="00AA2A6A"/>
    <w:rsid w:val="00AA3529"/>
    <w:rsid w:val="00AA6426"/>
    <w:rsid w:val="00AA71F8"/>
    <w:rsid w:val="00AB17EE"/>
    <w:rsid w:val="00AB2D5F"/>
    <w:rsid w:val="00AB4A6A"/>
    <w:rsid w:val="00AB543F"/>
    <w:rsid w:val="00AB5F72"/>
    <w:rsid w:val="00AB67C7"/>
    <w:rsid w:val="00AC0965"/>
    <w:rsid w:val="00AC1DA2"/>
    <w:rsid w:val="00AC245C"/>
    <w:rsid w:val="00AC4B8B"/>
    <w:rsid w:val="00AC5770"/>
    <w:rsid w:val="00AC67F0"/>
    <w:rsid w:val="00AD3928"/>
    <w:rsid w:val="00AE17C8"/>
    <w:rsid w:val="00AE2F21"/>
    <w:rsid w:val="00AE3282"/>
    <w:rsid w:val="00AE3653"/>
    <w:rsid w:val="00AE470D"/>
    <w:rsid w:val="00AF365F"/>
    <w:rsid w:val="00AF44A1"/>
    <w:rsid w:val="00AF454A"/>
    <w:rsid w:val="00AF49D6"/>
    <w:rsid w:val="00AF6E35"/>
    <w:rsid w:val="00AF737F"/>
    <w:rsid w:val="00AF78F0"/>
    <w:rsid w:val="00B000F7"/>
    <w:rsid w:val="00B03C11"/>
    <w:rsid w:val="00B067DE"/>
    <w:rsid w:val="00B07E11"/>
    <w:rsid w:val="00B127AD"/>
    <w:rsid w:val="00B2625B"/>
    <w:rsid w:val="00B35100"/>
    <w:rsid w:val="00B41F69"/>
    <w:rsid w:val="00B42DA0"/>
    <w:rsid w:val="00B5096A"/>
    <w:rsid w:val="00B5178D"/>
    <w:rsid w:val="00B53F46"/>
    <w:rsid w:val="00B55A68"/>
    <w:rsid w:val="00B55D8E"/>
    <w:rsid w:val="00B6087C"/>
    <w:rsid w:val="00B60DAC"/>
    <w:rsid w:val="00B60FB1"/>
    <w:rsid w:val="00B61669"/>
    <w:rsid w:val="00B619E1"/>
    <w:rsid w:val="00B64663"/>
    <w:rsid w:val="00B64D9B"/>
    <w:rsid w:val="00B67109"/>
    <w:rsid w:val="00B703EE"/>
    <w:rsid w:val="00B74CB4"/>
    <w:rsid w:val="00B74FEF"/>
    <w:rsid w:val="00B76DE3"/>
    <w:rsid w:val="00B779FD"/>
    <w:rsid w:val="00B82165"/>
    <w:rsid w:val="00B95784"/>
    <w:rsid w:val="00B97AF2"/>
    <w:rsid w:val="00B97CEF"/>
    <w:rsid w:val="00B97EF2"/>
    <w:rsid w:val="00BA00ED"/>
    <w:rsid w:val="00BA28D7"/>
    <w:rsid w:val="00BA2901"/>
    <w:rsid w:val="00BA346E"/>
    <w:rsid w:val="00BA3DA6"/>
    <w:rsid w:val="00BA5F33"/>
    <w:rsid w:val="00BA7D9A"/>
    <w:rsid w:val="00BB02C5"/>
    <w:rsid w:val="00BB1B3A"/>
    <w:rsid w:val="00BB1BF5"/>
    <w:rsid w:val="00BB2448"/>
    <w:rsid w:val="00BB5716"/>
    <w:rsid w:val="00BB6876"/>
    <w:rsid w:val="00BB7535"/>
    <w:rsid w:val="00BC02A9"/>
    <w:rsid w:val="00BC67C5"/>
    <w:rsid w:val="00BD15AE"/>
    <w:rsid w:val="00BD1755"/>
    <w:rsid w:val="00BD1E14"/>
    <w:rsid w:val="00BD51B5"/>
    <w:rsid w:val="00BD780B"/>
    <w:rsid w:val="00BE0085"/>
    <w:rsid w:val="00BE03B2"/>
    <w:rsid w:val="00BE0A87"/>
    <w:rsid w:val="00BE0F28"/>
    <w:rsid w:val="00BE211F"/>
    <w:rsid w:val="00BE335B"/>
    <w:rsid w:val="00BE3D01"/>
    <w:rsid w:val="00BF0F3A"/>
    <w:rsid w:val="00BF6D17"/>
    <w:rsid w:val="00BF7E69"/>
    <w:rsid w:val="00C01530"/>
    <w:rsid w:val="00C023C0"/>
    <w:rsid w:val="00C043C4"/>
    <w:rsid w:val="00C0459F"/>
    <w:rsid w:val="00C04F5A"/>
    <w:rsid w:val="00C0542D"/>
    <w:rsid w:val="00C114D1"/>
    <w:rsid w:val="00C125C4"/>
    <w:rsid w:val="00C13390"/>
    <w:rsid w:val="00C137A3"/>
    <w:rsid w:val="00C14361"/>
    <w:rsid w:val="00C145C2"/>
    <w:rsid w:val="00C14CE8"/>
    <w:rsid w:val="00C16C94"/>
    <w:rsid w:val="00C16E64"/>
    <w:rsid w:val="00C16E65"/>
    <w:rsid w:val="00C17515"/>
    <w:rsid w:val="00C17CA3"/>
    <w:rsid w:val="00C20772"/>
    <w:rsid w:val="00C218C3"/>
    <w:rsid w:val="00C22CC8"/>
    <w:rsid w:val="00C24287"/>
    <w:rsid w:val="00C3250E"/>
    <w:rsid w:val="00C34280"/>
    <w:rsid w:val="00C343A9"/>
    <w:rsid w:val="00C3693D"/>
    <w:rsid w:val="00C36FBA"/>
    <w:rsid w:val="00C37E42"/>
    <w:rsid w:val="00C50D2A"/>
    <w:rsid w:val="00C51EAB"/>
    <w:rsid w:val="00C537E2"/>
    <w:rsid w:val="00C55F05"/>
    <w:rsid w:val="00C566C2"/>
    <w:rsid w:val="00C56ECF"/>
    <w:rsid w:val="00C5787B"/>
    <w:rsid w:val="00C61AEE"/>
    <w:rsid w:val="00C629C7"/>
    <w:rsid w:val="00C70E20"/>
    <w:rsid w:val="00C72AEC"/>
    <w:rsid w:val="00C8113D"/>
    <w:rsid w:val="00C818D6"/>
    <w:rsid w:val="00C82C25"/>
    <w:rsid w:val="00C864E0"/>
    <w:rsid w:val="00C90068"/>
    <w:rsid w:val="00C915AB"/>
    <w:rsid w:val="00C92A4B"/>
    <w:rsid w:val="00CA13B5"/>
    <w:rsid w:val="00CA4372"/>
    <w:rsid w:val="00CA5A86"/>
    <w:rsid w:val="00CB130F"/>
    <w:rsid w:val="00CB3303"/>
    <w:rsid w:val="00CB547B"/>
    <w:rsid w:val="00CC24DF"/>
    <w:rsid w:val="00CC2A00"/>
    <w:rsid w:val="00CC31A4"/>
    <w:rsid w:val="00CC3CA9"/>
    <w:rsid w:val="00CC7AA2"/>
    <w:rsid w:val="00CD060D"/>
    <w:rsid w:val="00CD0F92"/>
    <w:rsid w:val="00CD2FBF"/>
    <w:rsid w:val="00CD6944"/>
    <w:rsid w:val="00CE3B3A"/>
    <w:rsid w:val="00CE46E9"/>
    <w:rsid w:val="00CE5F31"/>
    <w:rsid w:val="00CE6183"/>
    <w:rsid w:val="00CE7D6F"/>
    <w:rsid w:val="00CF11F4"/>
    <w:rsid w:val="00CF25A8"/>
    <w:rsid w:val="00CF4CA1"/>
    <w:rsid w:val="00CF6B03"/>
    <w:rsid w:val="00D01F7F"/>
    <w:rsid w:val="00D05770"/>
    <w:rsid w:val="00D07245"/>
    <w:rsid w:val="00D1231D"/>
    <w:rsid w:val="00D154BB"/>
    <w:rsid w:val="00D16740"/>
    <w:rsid w:val="00D1764A"/>
    <w:rsid w:val="00D21D1C"/>
    <w:rsid w:val="00D2643E"/>
    <w:rsid w:val="00D26A18"/>
    <w:rsid w:val="00D317FE"/>
    <w:rsid w:val="00D32666"/>
    <w:rsid w:val="00D32F20"/>
    <w:rsid w:val="00D34C65"/>
    <w:rsid w:val="00D36283"/>
    <w:rsid w:val="00D36D11"/>
    <w:rsid w:val="00D41528"/>
    <w:rsid w:val="00D430E0"/>
    <w:rsid w:val="00D56657"/>
    <w:rsid w:val="00D6352A"/>
    <w:rsid w:val="00D63604"/>
    <w:rsid w:val="00D65420"/>
    <w:rsid w:val="00D66656"/>
    <w:rsid w:val="00D720D4"/>
    <w:rsid w:val="00D72EB3"/>
    <w:rsid w:val="00D73C62"/>
    <w:rsid w:val="00D76043"/>
    <w:rsid w:val="00D84EA8"/>
    <w:rsid w:val="00D85942"/>
    <w:rsid w:val="00D866E1"/>
    <w:rsid w:val="00D9009F"/>
    <w:rsid w:val="00D902B5"/>
    <w:rsid w:val="00D94A8A"/>
    <w:rsid w:val="00D96668"/>
    <w:rsid w:val="00D97201"/>
    <w:rsid w:val="00DA0EB6"/>
    <w:rsid w:val="00DA181E"/>
    <w:rsid w:val="00DA44A2"/>
    <w:rsid w:val="00DB2940"/>
    <w:rsid w:val="00DB32B2"/>
    <w:rsid w:val="00DB6D88"/>
    <w:rsid w:val="00DB6FA2"/>
    <w:rsid w:val="00DC244D"/>
    <w:rsid w:val="00DC3A8B"/>
    <w:rsid w:val="00DD0C81"/>
    <w:rsid w:val="00DD38B5"/>
    <w:rsid w:val="00DD4138"/>
    <w:rsid w:val="00DD54AC"/>
    <w:rsid w:val="00DD67F6"/>
    <w:rsid w:val="00DD75A5"/>
    <w:rsid w:val="00DD7BB9"/>
    <w:rsid w:val="00DE0176"/>
    <w:rsid w:val="00DE0F29"/>
    <w:rsid w:val="00DE1E72"/>
    <w:rsid w:val="00DE2B66"/>
    <w:rsid w:val="00DE3BA3"/>
    <w:rsid w:val="00DE4370"/>
    <w:rsid w:val="00DE571D"/>
    <w:rsid w:val="00DF0060"/>
    <w:rsid w:val="00DF0C10"/>
    <w:rsid w:val="00DF29AC"/>
    <w:rsid w:val="00DF46B0"/>
    <w:rsid w:val="00DF5A3A"/>
    <w:rsid w:val="00E0227F"/>
    <w:rsid w:val="00E03C5E"/>
    <w:rsid w:val="00E0441C"/>
    <w:rsid w:val="00E05320"/>
    <w:rsid w:val="00E06AE9"/>
    <w:rsid w:val="00E129EF"/>
    <w:rsid w:val="00E20178"/>
    <w:rsid w:val="00E21F4F"/>
    <w:rsid w:val="00E31261"/>
    <w:rsid w:val="00E33FBB"/>
    <w:rsid w:val="00E44305"/>
    <w:rsid w:val="00E455EF"/>
    <w:rsid w:val="00E45C7C"/>
    <w:rsid w:val="00E46B4B"/>
    <w:rsid w:val="00E5021A"/>
    <w:rsid w:val="00E5361F"/>
    <w:rsid w:val="00E54512"/>
    <w:rsid w:val="00E5557A"/>
    <w:rsid w:val="00E57BCE"/>
    <w:rsid w:val="00E61805"/>
    <w:rsid w:val="00E67657"/>
    <w:rsid w:val="00E7154A"/>
    <w:rsid w:val="00E718D4"/>
    <w:rsid w:val="00E7221F"/>
    <w:rsid w:val="00E75E26"/>
    <w:rsid w:val="00E818D2"/>
    <w:rsid w:val="00E8634F"/>
    <w:rsid w:val="00E86462"/>
    <w:rsid w:val="00E8763E"/>
    <w:rsid w:val="00E916A1"/>
    <w:rsid w:val="00E9489D"/>
    <w:rsid w:val="00EA02BD"/>
    <w:rsid w:val="00EA0638"/>
    <w:rsid w:val="00EA1C69"/>
    <w:rsid w:val="00EA3394"/>
    <w:rsid w:val="00EA4AC1"/>
    <w:rsid w:val="00EA633A"/>
    <w:rsid w:val="00EB0964"/>
    <w:rsid w:val="00EB19FC"/>
    <w:rsid w:val="00EB3435"/>
    <w:rsid w:val="00EB37A0"/>
    <w:rsid w:val="00EB482C"/>
    <w:rsid w:val="00EB5647"/>
    <w:rsid w:val="00EB57B4"/>
    <w:rsid w:val="00EB60E8"/>
    <w:rsid w:val="00EB7387"/>
    <w:rsid w:val="00EC37DF"/>
    <w:rsid w:val="00ED0BD2"/>
    <w:rsid w:val="00ED2E6E"/>
    <w:rsid w:val="00ED38B0"/>
    <w:rsid w:val="00ED4D11"/>
    <w:rsid w:val="00ED63F7"/>
    <w:rsid w:val="00ED7CD4"/>
    <w:rsid w:val="00EE0C0B"/>
    <w:rsid w:val="00EE2D6D"/>
    <w:rsid w:val="00EE3FFD"/>
    <w:rsid w:val="00EE60FC"/>
    <w:rsid w:val="00EF06DE"/>
    <w:rsid w:val="00EF1F20"/>
    <w:rsid w:val="00EF231C"/>
    <w:rsid w:val="00EF3104"/>
    <w:rsid w:val="00EF4A49"/>
    <w:rsid w:val="00EF5CEB"/>
    <w:rsid w:val="00EF7964"/>
    <w:rsid w:val="00F01326"/>
    <w:rsid w:val="00F03D98"/>
    <w:rsid w:val="00F11EC6"/>
    <w:rsid w:val="00F12378"/>
    <w:rsid w:val="00F17485"/>
    <w:rsid w:val="00F20005"/>
    <w:rsid w:val="00F20095"/>
    <w:rsid w:val="00F20A7F"/>
    <w:rsid w:val="00F23E87"/>
    <w:rsid w:val="00F24D0A"/>
    <w:rsid w:val="00F24F10"/>
    <w:rsid w:val="00F26571"/>
    <w:rsid w:val="00F32CC2"/>
    <w:rsid w:val="00F3313E"/>
    <w:rsid w:val="00F35B65"/>
    <w:rsid w:val="00F3619E"/>
    <w:rsid w:val="00F36DD5"/>
    <w:rsid w:val="00F37688"/>
    <w:rsid w:val="00F41B14"/>
    <w:rsid w:val="00F426C5"/>
    <w:rsid w:val="00F435A0"/>
    <w:rsid w:val="00F43675"/>
    <w:rsid w:val="00F44DD9"/>
    <w:rsid w:val="00F464A1"/>
    <w:rsid w:val="00F46F79"/>
    <w:rsid w:val="00F52E81"/>
    <w:rsid w:val="00F5416E"/>
    <w:rsid w:val="00F55E8D"/>
    <w:rsid w:val="00F5758F"/>
    <w:rsid w:val="00F60F02"/>
    <w:rsid w:val="00F62AEF"/>
    <w:rsid w:val="00F63A9A"/>
    <w:rsid w:val="00F714A2"/>
    <w:rsid w:val="00F768B0"/>
    <w:rsid w:val="00F77006"/>
    <w:rsid w:val="00F771BB"/>
    <w:rsid w:val="00F77F6A"/>
    <w:rsid w:val="00F800D3"/>
    <w:rsid w:val="00F813AF"/>
    <w:rsid w:val="00F828D9"/>
    <w:rsid w:val="00F844A4"/>
    <w:rsid w:val="00F84FBA"/>
    <w:rsid w:val="00F86DA4"/>
    <w:rsid w:val="00F904FC"/>
    <w:rsid w:val="00F90D43"/>
    <w:rsid w:val="00FA013E"/>
    <w:rsid w:val="00FA0F63"/>
    <w:rsid w:val="00FA175B"/>
    <w:rsid w:val="00FA27DB"/>
    <w:rsid w:val="00FA393C"/>
    <w:rsid w:val="00FA4AB3"/>
    <w:rsid w:val="00FA7AF1"/>
    <w:rsid w:val="00FB5A42"/>
    <w:rsid w:val="00FB649A"/>
    <w:rsid w:val="00FC0898"/>
    <w:rsid w:val="00FC09D3"/>
    <w:rsid w:val="00FC25ED"/>
    <w:rsid w:val="00FC2EF5"/>
    <w:rsid w:val="00FC5E85"/>
    <w:rsid w:val="00FC6381"/>
    <w:rsid w:val="00FC650A"/>
    <w:rsid w:val="00FC6B87"/>
    <w:rsid w:val="00FD1869"/>
    <w:rsid w:val="00FD259E"/>
    <w:rsid w:val="00FD30A8"/>
    <w:rsid w:val="00FE0662"/>
    <w:rsid w:val="00FE092F"/>
    <w:rsid w:val="00FE33C5"/>
    <w:rsid w:val="00FE4CB5"/>
    <w:rsid w:val="00FF7B9A"/>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F181"/>
  <w15:chartTrackingRefBased/>
  <w15:docId w15:val="{7A9BC44A-EF3A-4994-9BE1-50128FFE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384798"/>
  </w:style>
  <w:style w:type="character" w:customStyle="1" w:styleId="DateChar">
    <w:name w:val="Date Char"/>
    <w:basedOn w:val="DefaultParagraphFont"/>
    <w:link w:val="Date"/>
    <w:uiPriority w:val="99"/>
    <w:semiHidden/>
    <w:rsid w:val="00384798"/>
  </w:style>
  <w:style w:type="paragraph" w:styleId="ListParagraph">
    <w:name w:val="List Paragraph"/>
    <w:basedOn w:val="Normal"/>
    <w:uiPriority w:val="34"/>
    <w:qFormat/>
    <w:rsid w:val="00384798"/>
    <w:pPr>
      <w:ind w:left="720"/>
      <w:contextualSpacing/>
    </w:pPr>
  </w:style>
  <w:style w:type="paragraph" w:styleId="FootnoteText">
    <w:name w:val="footnote text"/>
    <w:basedOn w:val="Normal"/>
    <w:link w:val="FootnoteTextChar"/>
    <w:unhideWhenUsed/>
    <w:rsid w:val="00F26571"/>
    <w:pPr>
      <w:spacing w:after="0" w:line="240" w:lineRule="auto"/>
    </w:pPr>
    <w:rPr>
      <w:sz w:val="20"/>
      <w:szCs w:val="20"/>
    </w:rPr>
  </w:style>
  <w:style w:type="character" w:customStyle="1" w:styleId="FootnoteTextChar">
    <w:name w:val="Footnote Text Char"/>
    <w:basedOn w:val="DefaultParagraphFont"/>
    <w:link w:val="FootnoteText"/>
    <w:rsid w:val="00F26571"/>
    <w:rPr>
      <w:sz w:val="20"/>
      <w:szCs w:val="20"/>
    </w:rPr>
  </w:style>
  <w:style w:type="character" w:styleId="FootnoteReference">
    <w:name w:val="footnote reference"/>
    <w:basedOn w:val="DefaultParagraphFont"/>
    <w:uiPriority w:val="99"/>
    <w:semiHidden/>
    <w:unhideWhenUsed/>
    <w:rsid w:val="00F26571"/>
    <w:rPr>
      <w:vertAlign w:val="superscript"/>
    </w:rPr>
  </w:style>
  <w:style w:type="character" w:styleId="Hyperlink">
    <w:name w:val="Hyperlink"/>
    <w:basedOn w:val="DefaultParagraphFont"/>
    <w:uiPriority w:val="99"/>
    <w:unhideWhenUsed/>
    <w:rsid w:val="000431BC"/>
    <w:rPr>
      <w:color w:val="0000FF"/>
      <w:u w:val="single"/>
    </w:rPr>
  </w:style>
  <w:style w:type="table" w:styleId="TableGrid">
    <w:name w:val="Table Grid"/>
    <w:basedOn w:val="TableNormal"/>
    <w:uiPriority w:val="39"/>
    <w:rsid w:val="00040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75A5"/>
    <w:rPr>
      <w:sz w:val="16"/>
      <w:szCs w:val="16"/>
    </w:rPr>
  </w:style>
  <w:style w:type="paragraph" w:styleId="CommentText">
    <w:name w:val="annotation text"/>
    <w:basedOn w:val="Normal"/>
    <w:link w:val="CommentTextChar"/>
    <w:uiPriority w:val="99"/>
    <w:semiHidden/>
    <w:unhideWhenUsed/>
    <w:rsid w:val="00DD75A5"/>
    <w:pPr>
      <w:spacing w:line="240" w:lineRule="auto"/>
    </w:pPr>
    <w:rPr>
      <w:sz w:val="20"/>
      <w:szCs w:val="20"/>
    </w:rPr>
  </w:style>
  <w:style w:type="character" w:customStyle="1" w:styleId="CommentTextChar">
    <w:name w:val="Comment Text Char"/>
    <w:basedOn w:val="DefaultParagraphFont"/>
    <w:link w:val="CommentText"/>
    <w:uiPriority w:val="99"/>
    <w:semiHidden/>
    <w:rsid w:val="00DD75A5"/>
    <w:rPr>
      <w:sz w:val="20"/>
      <w:szCs w:val="20"/>
    </w:rPr>
  </w:style>
  <w:style w:type="paragraph" w:styleId="CommentSubject">
    <w:name w:val="annotation subject"/>
    <w:basedOn w:val="CommentText"/>
    <w:next w:val="CommentText"/>
    <w:link w:val="CommentSubjectChar"/>
    <w:uiPriority w:val="99"/>
    <w:semiHidden/>
    <w:unhideWhenUsed/>
    <w:rsid w:val="00DD75A5"/>
    <w:rPr>
      <w:b/>
      <w:bCs/>
    </w:rPr>
  </w:style>
  <w:style w:type="character" w:customStyle="1" w:styleId="CommentSubjectChar">
    <w:name w:val="Comment Subject Char"/>
    <w:basedOn w:val="CommentTextChar"/>
    <w:link w:val="CommentSubject"/>
    <w:uiPriority w:val="99"/>
    <w:semiHidden/>
    <w:rsid w:val="00DD75A5"/>
    <w:rPr>
      <w:b/>
      <w:bCs/>
      <w:sz w:val="20"/>
      <w:szCs w:val="20"/>
    </w:rPr>
  </w:style>
  <w:style w:type="paragraph" w:styleId="BalloonText">
    <w:name w:val="Balloon Text"/>
    <w:basedOn w:val="Normal"/>
    <w:link w:val="BalloonTextChar"/>
    <w:uiPriority w:val="99"/>
    <w:semiHidden/>
    <w:unhideWhenUsed/>
    <w:rsid w:val="00DD7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5A5"/>
    <w:rPr>
      <w:rFonts w:ascii="Segoe UI" w:hAnsi="Segoe UI" w:cs="Segoe UI"/>
      <w:sz w:val="18"/>
      <w:szCs w:val="18"/>
    </w:rPr>
  </w:style>
  <w:style w:type="paragraph" w:styleId="NormalWeb">
    <w:name w:val="Normal (Web)"/>
    <w:basedOn w:val="Normal"/>
    <w:uiPriority w:val="99"/>
    <w:unhideWhenUsed/>
    <w:rsid w:val="00A8594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B547B"/>
    <w:rPr>
      <w:color w:val="954F72" w:themeColor="followedHyperlink"/>
      <w:u w:val="single"/>
    </w:rPr>
  </w:style>
  <w:style w:type="character" w:customStyle="1" w:styleId="UnresolvedMention">
    <w:name w:val="Unresolved Mention"/>
    <w:basedOn w:val="DefaultParagraphFont"/>
    <w:uiPriority w:val="99"/>
    <w:semiHidden/>
    <w:unhideWhenUsed/>
    <w:rsid w:val="00EB57B4"/>
    <w:rPr>
      <w:color w:val="605E5C"/>
      <w:shd w:val="clear" w:color="auto" w:fill="E1DFDD"/>
    </w:rPr>
  </w:style>
  <w:style w:type="paragraph" w:styleId="Header">
    <w:name w:val="header"/>
    <w:basedOn w:val="Normal"/>
    <w:link w:val="HeaderChar"/>
    <w:uiPriority w:val="99"/>
    <w:unhideWhenUsed/>
    <w:rsid w:val="00531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76"/>
  </w:style>
  <w:style w:type="paragraph" w:styleId="Footer">
    <w:name w:val="footer"/>
    <w:basedOn w:val="Normal"/>
    <w:link w:val="FooterChar"/>
    <w:uiPriority w:val="99"/>
    <w:unhideWhenUsed/>
    <w:rsid w:val="00531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663798">
      <w:bodyDiv w:val="1"/>
      <w:marLeft w:val="0"/>
      <w:marRight w:val="0"/>
      <w:marTop w:val="0"/>
      <w:marBottom w:val="0"/>
      <w:divBdr>
        <w:top w:val="none" w:sz="0" w:space="0" w:color="auto"/>
        <w:left w:val="none" w:sz="0" w:space="0" w:color="auto"/>
        <w:bottom w:val="none" w:sz="0" w:space="0" w:color="auto"/>
        <w:right w:val="none" w:sz="0" w:space="0" w:color="auto"/>
      </w:divBdr>
    </w:div>
    <w:div w:id="1255746625">
      <w:bodyDiv w:val="1"/>
      <w:marLeft w:val="0"/>
      <w:marRight w:val="0"/>
      <w:marTop w:val="0"/>
      <w:marBottom w:val="0"/>
      <w:divBdr>
        <w:top w:val="none" w:sz="0" w:space="0" w:color="auto"/>
        <w:left w:val="none" w:sz="0" w:space="0" w:color="auto"/>
        <w:bottom w:val="none" w:sz="0" w:space="0" w:color="auto"/>
        <w:right w:val="none" w:sz="0" w:space="0" w:color="auto"/>
      </w:divBdr>
    </w:div>
    <w:div w:id="1639384392">
      <w:bodyDiv w:val="1"/>
      <w:marLeft w:val="0"/>
      <w:marRight w:val="0"/>
      <w:marTop w:val="0"/>
      <w:marBottom w:val="0"/>
      <w:divBdr>
        <w:top w:val="none" w:sz="0" w:space="0" w:color="auto"/>
        <w:left w:val="none" w:sz="0" w:space="0" w:color="auto"/>
        <w:bottom w:val="none" w:sz="0" w:space="0" w:color="auto"/>
        <w:right w:val="none" w:sz="0" w:space="0" w:color="auto"/>
      </w:divBdr>
    </w:div>
    <w:div w:id="1791512431">
      <w:bodyDiv w:val="1"/>
      <w:marLeft w:val="0"/>
      <w:marRight w:val="0"/>
      <w:marTop w:val="0"/>
      <w:marBottom w:val="0"/>
      <w:divBdr>
        <w:top w:val="none" w:sz="0" w:space="0" w:color="auto"/>
        <w:left w:val="none" w:sz="0" w:space="0" w:color="auto"/>
        <w:bottom w:val="none" w:sz="0" w:space="0" w:color="auto"/>
        <w:right w:val="none" w:sz="0" w:space="0" w:color="auto"/>
      </w:divBdr>
    </w:div>
    <w:div w:id="186417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ccessinfo.hk/zh_HK/request/torture_claims_appeal_board_q1_2_2" TargetMode="External"/><Relationship Id="rId13" Type="http://schemas.openxmlformats.org/officeDocument/2006/relationships/hyperlink" Target="https://accessinfo.hk/en/request/free_legal_representation_before" TargetMode="External"/><Relationship Id="rId18" Type="http://schemas.openxmlformats.org/officeDocument/2006/relationships/hyperlink" Target="https://irb-cisr.gc.ca/en/decisions/Pages/index.aspx" TargetMode="External"/><Relationship Id="rId26" Type="http://schemas.openxmlformats.org/officeDocument/2006/relationships/hyperlink" Target="https://www.legco.gov.hk/yr16-17/english/hc/sub_com/hs54/papers/hs5420181127cb2-592-1-e.pdf" TargetMode="External"/><Relationship Id="rId39" Type="http://schemas.openxmlformats.org/officeDocument/2006/relationships/hyperlink" Target="https://accessinfo.hk/en/request/human_trafficking_prosecutions" TargetMode="External"/><Relationship Id="rId3" Type="http://schemas.openxmlformats.org/officeDocument/2006/relationships/hyperlink" Target="https://accessinfo.hk/zh_HK/request/torture_claims_appeal_board_q4_2" TargetMode="External"/><Relationship Id="rId21" Type="http://schemas.openxmlformats.org/officeDocument/2006/relationships/hyperlink" Target="https://www.oxforcedmigration.com/post/when-qualifying-as-a-refugee-gets-you-permanent-illegal-status-in-hong-kong" TargetMode="External"/><Relationship Id="rId34" Type="http://schemas.openxmlformats.org/officeDocument/2006/relationships/hyperlink" Target="https://www.sb.gov.hk/eng/special/bound/iimm.htm" TargetMode="External"/><Relationship Id="rId42" Type="http://schemas.openxmlformats.org/officeDocument/2006/relationships/hyperlink" Target="https://www.unodc.org/e4j/en/tip-and-som/module-8/key-issues/principle-of-non-criminalization-of-victims.html" TargetMode="External"/><Relationship Id="rId7" Type="http://schemas.openxmlformats.org/officeDocument/2006/relationships/hyperlink" Target="https://accessinfo.hk/zh_HK/request/torture_claims_appeal_board_q4_2_2" TargetMode="External"/><Relationship Id="rId12" Type="http://schemas.openxmlformats.org/officeDocument/2006/relationships/hyperlink" Target="https://www.immd.gov.hk/pdf/notice_non-refoulement_claim_en.pdf" TargetMode="External"/><Relationship Id="rId17" Type="http://schemas.openxmlformats.org/officeDocument/2006/relationships/hyperlink" Target="https://www.gov.uk/immigration-asylum-appeal-decisions" TargetMode="External"/><Relationship Id="rId25" Type="http://schemas.openxmlformats.org/officeDocument/2006/relationships/hyperlink" Target="https://accessinfo.hk/en/request/permission_to_work_for_non_refou" TargetMode="External"/><Relationship Id="rId33" Type="http://schemas.openxmlformats.org/officeDocument/2006/relationships/hyperlink" Target="https://www.justicecentre.org.hk/research/" TargetMode="External"/><Relationship Id="rId38" Type="http://schemas.openxmlformats.org/officeDocument/2006/relationships/hyperlink" Target="https://www.doj.gov.hk/eng/public/pubsoppapcon.html" TargetMode="External"/><Relationship Id="rId2" Type="http://schemas.openxmlformats.org/officeDocument/2006/relationships/hyperlink" Target="https://accessinfo.hk/zh_HK/request/tcab_statistics" TargetMode="External"/><Relationship Id="rId16" Type="http://schemas.openxmlformats.org/officeDocument/2006/relationships/hyperlink" Target="http://hklii.hk/eng/hk/cases/hkcfi/2018/468.html" TargetMode="External"/><Relationship Id="rId20" Type="http://schemas.openxmlformats.org/officeDocument/2006/relationships/hyperlink" Target="https://www.sb.gov.hk/eng/links/tcab/index.htm" TargetMode="External"/><Relationship Id="rId29" Type="http://schemas.openxmlformats.org/officeDocument/2006/relationships/hyperlink" Target="https://accessinfo.hk/en/request/immigration_detention_2" TargetMode="External"/><Relationship Id="rId41" Type="http://schemas.openxmlformats.org/officeDocument/2006/relationships/hyperlink" Target="https://www.bbc.com/news/stories-51176958" TargetMode="External"/><Relationship Id="rId1" Type="http://schemas.openxmlformats.org/officeDocument/2006/relationships/hyperlink" Target="https://www.immd.gov.hk/eng/facts/enforcement.html" TargetMode="External"/><Relationship Id="rId6" Type="http://schemas.openxmlformats.org/officeDocument/2006/relationships/hyperlink" Target="https://accessinfo.hk/zh_HK/request/torture_claims_appeal_board_q3_2" TargetMode="External"/><Relationship Id="rId11" Type="http://schemas.openxmlformats.org/officeDocument/2006/relationships/hyperlink" Target="https://accessinfo.hk/zh_HK/request/torture_claims_appeal_board_q4_2_3" TargetMode="External"/><Relationship Id="rId24" Type="http://schemas.openxmlformats.org/officeDocument/2006/relationships/hyperlink" Target="https://www.info.gov.hk/gia/general/201501/21/P201501210634.htm" TargetMode="External"/><Relationship Id="rId32" Type="http://schemas.openxmlformats.org/officeDocument/2006/relationships/hyperlink" Target="https://news.rthk.hk/rthk/en/component/k2/1496483-20191207.htm" TargetMode="External"/><Relationship Id="rId37" Type="http://schemas.openxmlformats.org/officeDocument/2006/relationships/hyperlink" Target="https://hongkongfp.com/2020/04/06/hungry-and-indebted-kenyan-domestic-worker-falls-victim-to-forced-labour-in-hong-kong/" TargetMode="External"/><Relationship Id="rId40" Type="http://schemas.openxmlformats.org/officeDocument/2006/relationships/hyperlink" Target="https://www.theguardian.com/society/2017/mar/25/trafficked-enslaved-teenagers-tending-uk-cannabis-farms-vietnamese" TargetMode="External"/><Relationship Id="rId5" Type="http://schemas.openxmlformats.org/officeDocument/2006/relationships/hyperlink" Target="https://accessinfo.hk/zh_HK/request/torture_claims_appeal_board_q2_2" TargetMode="External"/><Relationship Id="rId15" Type="http://schemas.openxmlformats.org/officeDocument/2006/relationships/hyperlink" Target="http://legalref.judiciary.hk/lrs/common/search/search_result_detail_frame.jsp?DIS=114733&amp;QS=%2B&amp;TP=JU" TargetMode="External"/><Relationship Id="rId23" Type="http://schemas.openxmlformats.org/officeDocument/2006/relationships/hyperlink" Target="https://www.info.gov.hk/gia/general/201702/15/P2017021500554.htm" TargetMode="External"/><Relationship Id="rId28" Type="http://schemas.openxmlformats.org/officeDocument/2006/relationships/hyperlink" Target="https://www.immd.gov.hk/publications/a_report_2018/en/appendices-13.html" TargetMode="External"/><Relationship Id="rId36" Type="http://schemas.openxmlformats.org/officeDocument/2006/relationships/hyperlink" Target="https://www.justicecentre.org.hk/research/" TargetMode="External"/><Relationship Id="rId10" Type="http://schemas.openxmlformats.org/officeDocument/2006/relationships/hyperlink" Target="https://accessinfo.hk/zh_HK/request/torture_claims_appeal_board_q3_2_2" TargetMode="External"/><Relationship Id="rId19" Type="http://schemas.openxmlformats.org/officeDocument/2006/relationships/hyperlink" Target="http://www6.austlii.edu.au/cgi-bin/viewdb/au/cases/cth/RRTA/" TargetMode="External"/><Relationship Id="rId31" Type="http://schemas.openxmlformats.org/officeDocument/2006/relationships/hyperlink" Target="https://www.scmp.com/news/hong-kong/health-environment/article/3081544/coronavirus-hong-kong-lawyers-lawmakers-flag" TargetMode="External"/><Relationship Id="rId4" Type="http://schemas.openxmlformats.org/officeDocument/2006/relationships/hyperlink" Target="https://accessinfo.hk/zh_HK/request/torture_claims_appeal_board_q1_2" TargetMode="External"/><Relationship Id="rId9" Type="http://schemas.openxmlformats.org/officeDocument/2006/relationships/hyperlink" Target="https://accessinfo.hk/zh_HK/request/torture_claims_appeal_board_q2_2_2" TargetMode="External"/><Relationship Id="rId14" Type="http://schemas.openxmlformats.org/officeDocument/2006/relationships/hyperlink" Target="https://accessinfo.hk/en/request/free_legal_representation_at_tca" TargetMode="External"/><Relationship Id="rId22" Type="http://schemas.openxmlformats.org/officeDocument/2006/relationships/hyperlink" Target="https://spcommreports.ohchr.org/TMResultsBase/DownLoadPublicCommunicationFile?gId=22905" TargetMode="External"/><Relationship Id="rId27" Type="http://schemas.openxmlformats.org/officeDocument/2006/relationships/hyperlink" Target="https://www.hklii.hk/eng/hk/legis/reg/115B/sch1.html" TargetMode="External"/><Relationship Id="rId30" Type="http://schemas.openxmlformats.org/officeDocument/2006/relationships/hyperlink" Target="https://www.mpweekly.com/culture/%e8%b6%8a%e5%8d%97-%e8%b6%8a%e5%8d%97%e6%88%b0%e7%88%ad-%e8%b6%8a%e5%8d%97%e8%88%b9%e6%b0%91-79490" TargetMode="External"/><Relationship Id="rId35" Type="http://schemas.openxmlformats.org/officeDocument/2006/relationships/hyperlink" Target="https://hongkongfp.com/2018/07/31/ngo-task-force-identifies-63-victims-human-trafficking-hong-kong-using-new-toolk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FE5FC-AC6A-4275-AD75-6355C51993FA}">
  <ds:schemaRefs>
    <ds:schemaRef ds:uri="http://schemas.microsoft.com/sharepoint/v3/contenttype/forms"/>
  </ds:schemaRefs>
</ds:datastoreItem>
</file>

<file path=customXml/itemProps2.xml><?xml version="1.0" encoding="utf-8"?>
<ds:datastoreItem xmlns:ds="http://schemas.openxmlformats.org/officeDocument/2006/customXml" ds:itemID="{1AB8C65C-0359-48F4-BA7F-4881BDA4F8DA}"/>
</file>

<file path=customXml/itemProps3.xml><?xml version="1.0" encoding="utf-8"?>
<ds:datastoreItem xmlns:ds="http://schemas.openxmlformats.org/officeDocument/2006/customXml" ds:itemID="{A87C78F4-CB63-4611-83D7-B2824D5F0612}">
  <ds:schemaRefs>
    <ds:schemaRef ds:uri="http://purl.org/dc/dcmitype/"/>
    <ds:schemaRef ds:uri="http://purl.org/dc/elements/1.1/"/>
    <ds:schemaRef ds:uri="http://schemas.microsoft.com/office/2006/metadata/properties"/>
    <ds:schemaRef ds:uri="http://schemas.openxmlformats.org/package/2006/metadata/core-properties"/>
    <ds:schemaRef ds:uri="f294e68c-2cc4-44e6-88f7-793ec5412679"/>
    <ds:schemaRef ds:uri="http://schemas.microsoft.com/office/2006/documentManagement/types"/>
    <ds:schemaRef ds:uri="http://purl.org/dc/terms/"/>
    <ds:schemaRef ds:uri="http://schemas.microsoft.com/office/infopath/2007/PartnerControls"/>
    <ds:schemaRef ds:uri="90bf09ff-35e0-4e90-ad66-930fafe7f395"/>
    <ds:schemaRef ds:uri="http://www.w3.org/XML/1998/namespace"/>
  </ds:schemaRefs>
</ds:datastoreItem>
</file>

<file path=customXml/itemProps4.xml><?xml version="1.0" encoding="utf-8"?>
<ds:datastoreItem xmlns:ds="http://schemas.openxmlformats.org/officeDocument/2006/customXml" ds:itemID="{3094161F-C35B-4379-8538-DD5C1180C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4404</Words>
  <Characters>25109</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Li</dc:creator>
  <cp:keywords/>
  <dc:description/>
  <cp:lastModifiedBy>ROSNIANSKY Cherry Lou</cp:lastModifiedBy>
  <cp:revision>2</cp:revision>
  <cp:lastPrinted>2020-05-04T08:26:00Z</cp:lastPrinted>
  <dcterms:created xsi:type="dcterms:W3CDTF">2020-05-04T10:03:00Z</dcterms:created>
  <dcterms:modified xsi:type="dcterms:W3CDTF">2020-05-04T10:03:00Z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