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9630B" w14:textId="77777777" w:rsidR="00CD2307" w:rsidRPr="00185CBA" w:rsidRDefault="00CD2307" w:rsidP="00CD2307">
      <w:pPr>
        <w:jc w:val="center"/>
        <w:rPr>
          <w:rFonts w:ascii="Arial" w:hAnsi="Arial" w:cs="Arial"/>
          <w:b/>
        </w:rPr>
      </w:pPr>
      <w:r w:rsidRPr="00185CBA">
        <w:rPr>
          <w:rFonts w:ascii="Arial" w:eastAsia="Arial" w:hAnsi="Arial" w:cs="Arial"/>
          <w:b/>
          <w:noProof/>
        </w:rPr>
        <w:drawing>
          <wp:inline distT="0" distB="0" distL="0" distR="0" wp14:anchorId="295935BA" wp14:editId="5E6EEA00">
            <wp:extent cx="944880" cy="88392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4880" cy="883920"/>
                    </a:xfrm>
                    <a:prstGeom prst="rect">
                      <a:avLst/>
                    </a:prstGeom>
                    <a:noFill/>
                  </pic:spPr>
                </pic:pic>
              </a:graphicData>
            </a:graphic>
          </wp:inline>
        </w:drawing>
      </w:r>
    </w:p>
    <w:p w14:paraId="11C96F92" w14:textId="77777777" w:rsidR="00CD2307" w:rsidRPr="00CD2307" w:rsidRDefault="00CD2307" w:rsidP="00CD2307">
      <w:pPr>
        <w:spacing w:line="240" w:lineRule="auto"/>
        <w:jc w:val="both"/>
        <w:rPr>
          <w:rFonts w:ascii="Arial" w:hAnsi="Arial" w:cs="Arial"/>
          <w:b/>
          <w:noProof/>
        </w:rPr>
      </w:pPr>
    </w:p>
    <w:p w14:paraId="77C9EDF5" w14:textId="77777777" w:rsidR="00C21F39" w:rsidRDefault="00DD397E">
      <w:pPr>
        <w:spacing w:line="240" w:lineRule="auto"/>
        <w:jc w:val="center"/>
        <w:rPr>
          <w:rFonts w:ascii="Arial" w:hAnsi="Arial" w:cs="Arial"/>
          <w:b/>
          <w:noProof/>
        </w:rPr>
      </w:pPr>
      <w:r w:rsidRPr="00CD2307">
        <w:rPr>
          <w:rFonts w:ascii="Arial" w:hAnsi="Arial" w:cs="Arial"/>
          <w:b/>
          <w:noProof/>
        </w:rPr>
        <w:t>BUREAU DU MÉDIATEUR DE LA NATION</w:t>
      </w:r>
    </w:p>
    <w:p w14:paraId="18BAB981" w14:textId="77777777" w:rsidR="00C21F39" w:rsidRDefault="00DD397E">
      <w:pPr>
        <w:spacing w:line="240" w:lineRule="auto"/>
        <w:jc w:val="center"/>
        <w:rPr>
          <w:rFonts w:ascii="Arial" w:hAnsi="Arial" w:cs="Arial"/>
          <w:b/>
          <w:noProof/>
        </w:rPr>
      </w:pPr>
      <w:r w:rsidRPr="00CD2307">
        <w:rPr>
          <w:rFonts w:ascii="Arial" w:hAnsi="Arial" w:cs="Arial"/>
          <w:b/>
          <w:noProof/>
        </w:rPr>
        <w:t>RÉPUBLIQUE ARGENTINE</w:t>
      </w:r>
    </w:p>
    <w:p w14:paraId="4E6B5A1C" w14:textId="77777777" w:rsidR="00C21F39" w:rsidRDefault="00DD397E">
      <w:pPr>
        <w:spacing w:line="240" w:lineRule="auto"/>
        <w:jc w:val="center"/>
        <w:rPr>
          <w:rFonts w:ascii="Arial" w:hAnsi="Arial" w:cs="Arial"/>
          <w:b/>
          <w:noProof/>
        </w:rPr>
      </w:pPr>
      <w:r w:rsidRPr="00CD2307">
        <w:rPr>
          <w:rFonts w:ascii="Arial" w:hAnsi="Arial" w:cs="Arial"/>
          <w:b/>
          <w:noProof/>
        </w:rPr>
        <w:t>INSTITUTION NATIONALE DES DROITS DE L'HOMME</w:t>
      </w:r>
    </w:p>
    <w:p w14:paraId="076CD29F" w14:textId="77777777" w:rsidR="00C21F39" w:rsidRDefault="00DD397E">
      <w:pPr>
        <w:jc w:val="center"/>
        <w:rPr>
          <w:rFonts w:ascii="Arial" w:hAnsi="Arial" w:cs="Arial"/>
          <w:b/>
        </w:rPr>
      </w:pPr>
      <w:r w:rsidRPr="00185CBA">
        <w:rPr>
          <w:rFonts w:ascii="Arial" w:hAnsi="Arial" w:cs="Arial"/>
          <w:b/>
        </w:rPr>
        <w:t>Rapport au titre de l'</w:t>
      </w:r>
      <w:r w:rsidRPr="00185CBA">
        <w:rPr>
          <w:rFonts w:ascii="Arial" w:hAnsi="Arial" w:cs="Arial"/>
          <w:b/>
        </w:rPr>
        <w:t>article 9 de la Convention internationale sur l'élimination de toutes les formes de discrimination raciale.</w:t>
      </w:r>
    </w:p>
    <w:p w14:paraId="74D8C732" w14:textId="77777777" w:rsidR="00C21F39" w:rsidRDefault="00DD397E">
      <w:pPr>
        <w:jc w:val="center"/>
        <w:rPr>
          <w:rFonts w:ascii="Arial" w:hAnsi="Arial" w:cs="Arial"/>
          <w:b/>
        </w:rPr>
      </w:pPr>
      <w:r w:rsidRPr="00185CBA">
        <w:rPr>
          <w:rFonts w:ascii="Arial" w:hAnsi="Arial" w:cs="Arial"/>
          <w:b/>
        </w:rPr>
        <w:t>Informations générales sur la mise en œuvre des articles 1 à 7 de la Convention.</w:t>
      </w:r>
    </w:p>
    <w:p w14:paraId="3B5EB42A" w14:textId="77777777" w:rsidR="00CD2307" w:rsidRPr="00185CBA" w:rsidRDefault="00CD2307" w:rsidP="00CD2307">
      <w:pPr>
        <w:jc w:val="both"/>
        <w:rPr>
          <w:rFonts w:ascii="Arial" w:hAnsi="Arial" w:cs="Arial"/>
          <w:b/>
        </w:rPr>
      </w:pPr>
    </w:p>
    <w:p w14:paraId="3B32716C" w14:textId="77777777" w:rsidR="00C21F39" w:rsidRDefault="00DD397E">
      <w:pPr>
        <w:jc w:val="both"/>
        <w:rPr>
          <w:rFonts w:ascii="Arial" w:hAnsi="Arial" w:cs="Arial"/>
          <w:b/>
        </w:rPr>
      </w:pPr>
      <w:r w:rsidRPr="00CD2307">
        <w:rPr>
          <w:rFonts w:ascii="Arial" w:hAnsi="Arial" w:cs="Arial"/>
          <w:b/>
        </w:rPr>
        <w:t>Composition démographique de la population</w:t>
      </w:r>
    </w:p>
    <w:p w14:paraId="1935FEA0" w14:textId="77777777" w:rsidR="00C21F39" w:rsidRDefault="00DD397E">
      <w:pPr>
        <w:jc w:val="both"/>
        <w:rPr>
          <w:rFonts w:ascii="Arial" w:hAnsi="Arial" w:cs="Arial"/>
          <w:b/>
        </w:rPr>
      </w:pPr>
      <w:r w:rsidRPr="00CD2307">
        <w:rPr>
          <w:rFonts w:ascii="Arial" w:hAnsi="Arial" w:cs="Arial"/>
          <w:b/>
        </w:rPr>
        <w:t xml:space="preserve">2 - </w:t>
      </w:r>
      <w:r w:rsidRPr="00CD2307">
        <w:rPr>
          <w:rFonts w:ascii="Arial" w:hAnsi="Arial" w:cs="Arial"/>
        </w:rPr>
        <w:t>L'Institut national</w:t>
      </w:r>
      <w:r w:rsidRPr="00CD2307">
        <w:rPr>
          <w:rFonts w:ascii="Arial" w:hAnsi="Arial" w:cs="Arial"/>
        </w:rPr>
        <w:t xml:space="preserve"> de la statistique et du recensement (INDEC</w:t>
      </w:r>
      <w:r w:rsidRPr="00185CBA">
        <w:rPr>
          <w:rFonts w:ascii="Arial" w:hAnsi="Arial" w:cs="Arial"/>
          <w:vertAlign w:val="superscript"/>
        </w:rPr>
        <w:footnoteReference w:id="1"/>
      </w:r>
      <w:r w:rsidRPr="00CD2307">
        <w:rPr>
          <w:rFonts w:ascii="Arial" w:hAnsi="Arial" w:cs="Arial"/>
        </w:rPr>
        <w:t xml:space="preserve"> ) a présenté les résultats provisoires du recensement national de la population, des foyers et des logements qui sera réalisé en 2022 en Argentine. Pour l'enquête, les questions qui permettent la comparabilité </w:t>
      </w:r>
      <w:r w:rsidRPr="00CD2307">
        <w:rPr>
          <w:rFonts w:ascii="Arial" w:hAnsi="Arial" w:cs="Arial"/>
        </w:rPr>
        <w:t>historique ont été maintenues et d'autres ont été ajoutées pour permettre à la population de répondre à des questions sur l'autoperception de l'identité de genre et l'autoreconnaissance ethnique, ainsi que sur l'existence d'une ou plusieurs personnes handi</w:t>
      </w:r>
      <w:r w:rsidRPr="00CD2307">
        <w:rPr>
          <w:rFonts w:ascii="Arial" w:hAnsi="Arial" w:cs="Arial"/>
        </w:rPr>
        <w:t>capées dans le ménage, afin de refléter les caractéristiques de la société et les changements qui s'y produisent.</w:t>
      </w:r>
    </w:p>
    <w:p w14:paraId="4775F10E" w14:textId="77777777" w:rsidR="00C21F39" w:rsidRDefault="00DD397E">
      <w:pPr>
        <w:jc w:val="both"/>
        <w:rPr>
          <w:rFonts w:ascii="Arial" w:hAnsi="Arial" w:cs="Arial"/>
        </w:rPr>
      </w:pPr>
      <w:r w:rsidRPr="00CD2307">
        <w:rPr>
          <w:rFonts w:ascii="Arial" w:hAnsi="Arial" w:cs="Arial"/>
        </w:rPr>
        <w:t>À la date du présent rapport, les informations sur les logements privés, les logements collectifs et la population sans-abri ont été provisoir</w:t>
      </w:r>
      <w:r w:rsidRPr="00CD2307">
        <w:rPr>
          <w:rFonts w:ascii="Arial" w:hAnsi="Arial" w:cs="Arial"/>
        </w:rPr>
        <w:t xml:space="preserve">ement publiées. Les résultats définitifs seront obtenus lorsque toutes les données sur les variables de recensement, telles que les caractéristiques du logement, la santé, les migrations, l'éducation, la composition du ménage, la fécondité et la mortalité </w:t>
      </w:r>
      <w:r w:rsidRPr="00CD2307">
        <w:rPr>
          <w:rFonts w:ascii="Arial" w:hAnsi="Arial" w:cs="Arial"/>
        </w:rPr>
        <w:t>pour les trois unités d'enquête - logement, ménage et population - seront disponibles et validées, ce qui pourrait différer des résultats publiés dans ce rapport</w:t>
      </w:r>
      <w:r w:rsidRPr="00185CBA">
        <w:rPr>
          <w:rFonts w:ascii="Arial" w:hAnsi="Arial" w:cs="Arial"/>
          <w:vertAlign w:val="superscript"/>
        </w:rPr>
        <w:footnoteReference w:id="2"/>
      </w:r>
      <w:r w:rsidRPr="00CD2307">
        <w:rPr>
          <w:rFonts w:ascii="Arial" w:hAnsi="Arial" w:cs="Arial"/>
        </w:rPr>
        <w:t xml:space="preserve"> .</w:t>
      </w:r>
    </w:p>
    <w:p w14:paraId="12AD7104" w14:textId="77777777" w:rsidR="00C21F39" w:rsidRDefault="00DD397E">
      <w:pPr>
        <w:jc w:val="both"/>
        <w:rPr>
          <w:rFonts w:ascii="Arial" w:hAnsi="Arial" w:cs="Arial"/>
        </w:rPr>
      </w:pPr>
      <w:r w:rsidRPr="00CD2307">
        <w:rPr>
          <w:rFonts w:ascii="Arial" w:hAnsi="Arial" w:cs="Arial"/>
        </w:rPr>
        <w:t>Compte tenu du fait que, grâce à la méthodologie bimodale utilisée à cette occasion, un po</w:t>
      </w:r>
      <w:r w:rsidRPr="00CD2307">
        <w:rPr>
          <w:rFonts w:ascii="Arial" w:hAnsi="Arial" w:cs="Arial"/>
        </w:rPr>
        <w:t>urcentage important de la population a effectué le recensement numérique jusqu'à deux mois avant l'enquête en face à face, on s'attendait à ce que les premiers résultats provisoires et les données finales étendues soient disponibles dans un délai plus cour</w:t>
      </w:r>
      <w:r w:rsidRPr="00CD2307">
        <w:rPr>
          <w:rFonts w:ascii="Arial" w:hAnsi="Arial" w:cs="Arial"/>
        </w:rPr>
        <w:t xml:space="preserve">t. Plus de dix mois après le recensement, les résultats définitifs n'ont pas encore été publiés, de sorte que les dernières données disponibles à la date du présent rapport sur </w:t>
      </w:r>
      <w:r w:rsidRPr="00CD2307">
        <w:rPr>
          <w:rFonts w:ascii="Arial" w:hAnsi="Arial" w:cs="Arial"/>
        </w:rPr>
        <w:lastRenderedPageBreak/>
        <w:t>la situation de la population des peuples autochtones</w:t>
      </w:r>
      <w:r w:rsidRPr="00185CBA">
        <w:rPr>
          <w:rFonts w:ascii="Arial" w:hAnsi="Arial" w:cs="Arial"/>
          <w:vertAlign w:val="superscript"/>
        </w:rPr>
        <w:footnoteReference w:id="3"/>
      </w:r>
      <w:r w:rsidRPr="00CD2307">
        <w:rPr>
          <w:rFonts w:ascii="Arial" w:hAnsi="Arial" w:cs="Arial"/>
        </w:rPr>
        <w:t xml:space="preserve"> , des afro-descendants</w:t>
      </w:r>
      <w:r w:rsidRPr="00185CBA">
        <w:rPr>
          <w:rFonts w:ascii="Arial" w:hAnsi="Arial" w:cs="Arial"/>
          <w:vertAlign w:val="superscript"/>
        </w:rPr>
        <w:footnoteReference w:id="4"/>
      </w:r>
      <w:r w:rsidRPr="00CD2307">
        <w:rPr>
          <w:rFonts w:ascii="Arial" w:hAnsi="Arial" w:cs="Arial"/>
        </w:rPr>
        <w:t xml:space="preserve"> et des migrants</w:t>
      </w:r>
      <w:r w:rsidRPr="00185CBA">
        <w:rPr>
          <w:rFonts w:ascii="Arial" w:hAnsi="Arial" w:cs="Arial"/>
          <w:vertAlign w:val="superscript"/>
        </w:rPr>
        <w:footnoteReference w:id="5"/>
      </w:r>
      <w:r w:rsidRPr="00CD2307">
        <w:rPr>
          <w:rFonts w:ascii="Arial" w:hAnsi="Arial" w:cs="Arial"/>
        </w:rPr>
        <w:t xml:space="preserve"> datent de 2010.</w:t>
      </w:r>
    </w:p>
    <w:p w14:paraId="22D57282" w14:textId="77777777" w:rsidR="00CD2307" w:rsidRPr="00CD2307" w:rsidRDefault="00CD2307" w:rsidP="00CD2307">
      <w:pPr>
        <w:jc w:val="both"/>
        <w:rPr>
          <w:rFonts w:ascii="Arial" w:hAnsi="Arial" w:cs="Arial"/>
        </w:rPr>
      </w:pPr>
    </w:p>
    <w:p w14:paraId="7196A6B6" w14:textId="77777777" w:rsidR="00C21F39" w:rsidRDefault="00DD397E">
      <w:pPr>
        <w:jc w:val="both"/>
        <w:rPr>
          <w:rFonts w:ascii="Arial" w:hAnsi="Arial" w:cs="Arial"/>
          <w:b/>
        </w:rPr>
      </w:pPr>
      <w:r w:rsidRPr="00CD2307">
        <w:rPr>
          <w:rFonts w:ascii="Arial" w:hAnsi="Arial" w:cs="Arial"/>
          <w:b/>
        </w:rPr>
        <w:t>La Convention dans le droit interne et le cadre institutionnel et politique de sa mise en œuvre (art. 1, 2, 4 et 5)</w:t>
      </w:r>
    </w:p>
    <w:p w14:paraId="3B868AE1" w14:textId="77777777" w:rsidR="00C21F39" w:rsidRDefault="00DD397E">
      <w:pPr>
        <w:jc w:val="both"/>
        <w:rPr>
          <w:rFonts w:ascii="Arial" w:hAnsi="Arial" w:cs="Arial"/>
        </w:rPr>
      </w:pPr>
      <w:r w:rsidRPr="00CD2307">
        <w:rPr>
          <w:rFonts w:ascii="Arial" w:hAnsi="Arial" w:cs="Arial"/>
          <w:b/>
        </w:rPr>
        <w:t xml:space="preserve">3 - La </w:t>
      </w:r>
      <w:r w:rsidRPr="00CD2307">
        <w:rPr>
          <w:rFonts w:ascii="Arial" w:hAnsi="Arial" w:cs="Arial"/>
        </w:rPr>
        <w:t>jurisprudence argentine a fait de grands progrès depuis 1994 dans l'incorporation des dispositions des instruments du système interna</w:t>
      </w:r>
      <w:r w:rsidRPr="00CD2307">
        <w:rPr>
          <w:rFonts w:ascii="Arial" w:hAnsi="Arial" w:cs="Arial"/>
        </w:rPr>
        <w:t>tional des droits de l'homme</w:t>
      </w:r>
      <w:r w:rsidRPr="00185CBA">
        <w:rPr>
          <w:rFonts w:ascii="Arial" w:hAnsi="Arial" w:cs="Arial"/>
          <w:vertAlign w:val="superscript"/>
        </w:rPr>
        <w:footnoteReference w:id="6"/>
      </w:r>
      <w:r w:rsidRPr="00CD2307">
        <w:rPr>
          <w:rFonts w:ascii="Arial" w:hAnsi="Arial" w:cs="Arial"/>
        </w:rPr>
        <w:t xml:space="preserve"> , y compris la Convention internationale sur toutes les formes de discrimination raciale.</w:t>
      </w:r>
    </w:p>
    <w:p w14:paraId="338AAFD5" w14:textId="77777777" w:rsidR="00C21F39" w:rsidRDefault="00DD397E">
      <w:pPr>
        <w:jc w:val="both"/>
        <w:rPr>
          <w:rFonts w:ascii="Arial" w:hAnsi="Arial" w:cs="Arial"/>
        </w:rPr>
      </w:pPr>
      <w:r w:rsidRPr="00CD2307">
        <w:rPr>
          <w:rFonts w:ascii="Arial" w:hAnsi="Arial" w:cs="Arial"/>
        </w:rPr>
        <w:t>En ce qui concerne la formation dispensée par l'État sur la Convention, comme indiqué par l'État au point B, (paragraphe 7b) numéros 53</w:t>
      </w:r>
      <w:r w:rsidRPr="00CD2307">
        <w:rPr>
          <w:rFonts w:ascii="Arial" w:hAnsi="Arial" w:cs="Arial"/>
        </w:rPr>
        <w:t>, 54, 55, dans son rapport périodique combiné 24 à 26 en vertu de l'article 9 de la Convention, bien que l'INADI ait dispensé divers cours de formation aux membres des forces de sécurité, au personnel pénitentiaire et à d'autres personnes, ces cours sont i</w:t>
      </w:r>
      <w:r w:rsidRPr="00CD2307">
        <w:rPr>
          <w:rFonts w:ascii="Arial" w:hAnsi="Arial" w:cs="Arial"/>
        </w:rPr>
        <w:t>nsuffisants, car il y a encore des incidents de violence policière basés sur la discrimination raciale.</w:t>
      </w:r>
    </w:p>
    <w:p w14:paraId="6A884CE7" w14:textId="77777777" w:rsidR="00C21F39" w:rsidRDefault="00DD397E">
      <w:pPr>
        <w:jc w:val="both"/>
        <w:rPr>
          <w:rFonts w:ascii="Arial" w:hAnsi="Arial" w:cs="Arial"/>
        </w:rPr>
      </w:pPr>
      <w:r w:rsidRPr="00CD2307">
        <w:rPr>
          <w:rFonts w:ascii="Arial" w:hAnsi="Arial" w:cs="Arial"/>
        </w:rPr>
        <w:t xml:space="preserve">Cette situation a déjà été relevée par le Comité pour la protection des droits de tous les travailleurs migrants et des membres de leur famille en 2020 </w:t>
      </w:r>
      <w:r w:rsidRPr="00CD2307">
        <w:rPr>
          <w:rFonts w:ascii="Arial" w:hAnsi="Arial" w:cs="Arial"/>
        </w:rPr>
        <w:t>dans ses observations finales sur le deuxième rapport périodique de l'Argentine</w:t>
      </w:r>
      <w:r w:rsidRPr="00185CBA">
        <w:rPr>
          <w:rFonts w:ascii="Arial" w:hAnsi="Arial" w:cs="Arial"/>
          <w:vertAlign w:val="superscript"/>
        </w:rPr>
        <w:footnoteReference w:id="7"/>
      </w:r>
      <w:r w:rsidRPr="00CD2307">
        <w:rPr>
          <w:rFonts w:ascii="Arial" w:hAnsi="Arial" w:cs="Arial"/>
        </w:rPr>
        <w:t xml:space="preserve"> dans la mesure où il " est préoccupé par les informations selon lesquelles des groupes de travailleurs migrants, notamment les vendeurs de rue ("manteros"), en particulier ce</w:t>
      </w:r>
      <w:r w:rsidRPr="00CD2307">
        <w:rPr>
          <w:rFonts w:ascii="Arial" w:hAnsi="Arial" w:cs="Arial"/>
        </w:rPr>
        <w:t>ux d'origine sénégalaise ou haïtienne, les travailleurs de la confection, les femmes qui se prostituent et les travailleurs migrants lesbiennes, gays, bisexuels et transsexuels sont victimes de violences et de harcèlement de la part de la police. Le Comité</w:t>
      </w:r>
      <w:r w:rsidRPr="00CD2307">
        <w:rPr>
          <w:rFonts w:ascii="Arial" w:hAnsi="Arial" w:cs="Arial"/>
        </w:rPr>
        <w:t xml:space="preserve"> est également préoccupé par l'application de mesures punitives aux migrants qui sont des vendeurs informels et par l'absence d'options pour leur régularisation migratoire, ainsi que par les mauvais traitements que leur infligent les autorités parce qu'ils</w:t>
      </w:r>
      <w:r w:rsidRPr="00CD2307">
        <w:rPr>
          <w:rFonts w:ascii="Arial" w:hAnsi="Arial" w:cs="Arial"/>
        </w:rPr>
        <w:t xml:space="preserve"> n'ont pas de documents migratoires".</w:t>
      </w:r>
    </w:p>
    <w:p w14:paraId="09FB218C" w14:textId="77777777" w:rsidR="00C21F39" w:rsidRDefault="00DD397E">
      <w:pPr>
        <w:jc w:val="both"/>
        <w:rPr>
          <w:rFonts w:ascii="Arial" w:hAnsi="Arial" w:cs="Arial"/>
        </w:rPr>
      </w:pPr>
      <w:r w:rsidRPr="00CD2307">
        <w:rPr>
          <w:rFonts w:ascii="Arial" w:hAnsi="Arial" w:cs="Arial"/>
        </w:rPr>
        <w:t xml:space="preserve">Le Groupe de travail d'experts sur les personnes d'ascendance africaine, dans son rapport sur sa visite dans notre pays en 2019, a exprimé le même point de vue, déclarant que "Les expériences des personnes d'ascendance africaine avec les forces de l'ordre </w:t>
      </w:r>
      <w:r w:rsidRPr="00CD2307">
        <w:rPr>
          <w:rFonts w:ascii="Arial" w:hAnsi="Arial" w:cs="Arial"/>
        </w:rPr>
        <w:t>montrent la prévalence de la discrimination structurelle (A/HRC/42/59/Add.2)</w:t>
      </w:r>
      <w:r w:rsidRPr="00185CBA">
        <w:rPr>
          <w:rFonts w:ascii="Arial" w:hAnsi="Arial" w:cs="Arial"/>
          <w:vertAlign w:val="superscript"/>
        </w:rPr>
        <w:footnoteReference w:id="8"/>
      </w:r>
      <w:r w:rsidRPr="00CD2307">
        <w:rPr>
          <w:rFonts w:ascii="Arial" w:hAnsi="Arial" w:cs="Arial"/>
        </w:rPr>
        <w:t xml:space="preserve"> .</w:t>
      </w:r>
    </w:p>
    <w:p w14:paraId="0242B35B" w14:textId="77777777" w:rsidR="00C21F39" w:rsidRDefault="00DD397E">
      <w:pPr>
        <w:jc w:val="both"/>
        <w:rPr>
          <w:rFonts w:ascii="Arial" w:hAnsi="Arial" w:cs="Arial"/>
        </w:rPr>
      </w:pPr>
      <w:r w:rsidRPr="00CD2307">
        <w:rPr>
          <w:rFonts w:ascii="Arial" w:hAnsi="Arial" w:cs="Arial"/>
        </w:rPr>
        <w:t>Actuellement, dans la ville de Buenos Aires, se déroule le procès oral du crime de Lucas González. Quatorze policiers sont accusés, dont trois d'homicide aggravé avec prémédit</w:t>
      </w:r>
      <w:r w:rsidRPr="00CD2307">
        <w:rPr>
          <w:rFonts w:ascii="Arial" w:hAnsi="Arial" w:cs="Arial"/>
        </w:rPr>
        <w:t xml:space="preserve">ation, de meurtre avec préméditation, de meurtre avec préméditation pour le </w:t>
      </w:r>
      <w:r w:rsidRPr="00CD2307">
        <w:rPr>
          <w:rFonts w:ascii="Arial" w:hAnsi="Arial" w:cs="Arial"/>
        </w:rPr>
        <w:lastRenderedPageBreak/>
        <w:t>plaisir et la haine raciale, et d'avoir été commis par des membres des forces de sécurité</w:t>
      </w:r>
      <w:r w:rsidRPr="00185CBA">
        <w:rPr>
          <w:rFonts w:ascii="Arial" w:hAnsi="Arial" w:cs="Arial"/>
          <w:vertAlign w:val="superscript"/>
        </w:rPr>
        <w:footnoteReference w:id="9"/>
      </w:r>
      <w:r w:rsidRPr="00CD2307">
        <w:rPr>
          <w:rFonts w:ascii="Arial" w:hAnsi="Arial" w:cs="Arial"/>
        </w:rPr>
        <w:t xml:space="preserve"> . </w:t>
      </w:r>
    </w:p>
    <w:p w14:paraId="53E76613" w14:textId="77777777" w:rsidR="00C21F39" w:rsidRDefault="00DD397E">
      <w:pPr>
        <w:jc w:val="both"/>
        <w:rPr>
          <w:rFonts w:ascii="Arial" w:hAnsi="Arial" w:cs="Arial"/>
        </w:rPr>
      </w:pPr>
      <w:r w:rsidRPr="00CD2307">
        <w:rPr>
          <w:rFonts w:ascii="Arial" w:hAnsi="Arial" w:cs="Arial"/>
        </w:rPr>
        <w:t>Le bureau du médiateur est préoccupé par le fait que, malgré un cadre juridique, poli</w:t>
      </w:r>
      <w:r w:rsidRPr="00CD2307">
        <w:rPr>
          <w:rFonts w:ascii="Arial" w:hAnsi="Arial" w:cs="Arial"/>
        </w:rPr>
        <w:t>tique et institutionnel solide pour lutter contre la discrimination, il existe des lacunes dans la mise en œuvre des mesures de protection contre la discrimination raciale et ethnique, et que l'État devra intensifier ses actions pour l'éradiquer, en partic</w:t>
      </w:r>
      <w:r w:rsidRPr="00CD2307">
        <w:rPr>
          <w:rFonts w:ascii="Arial" w:hAnsi="Arial" w:cs="Arial"/>
        </w:rPr>
        <w:t>ulier en ce qui concerne les travailleurs migrants informels, les femmes qui se prostituent, les personnes d'ascendance africaine et les personnes LGBT+.</w:t>
      </w:r>
    </w:p>
    <w:p w14:paraId="6F43D3B3" w14:textId="77777777" w:rsidR="00C21F39" w:rsidRDefault="00DD397E">
      <w:pPr>
        <w:jc w:val="both"/>
        <w:rPr>
          <w:rFonts w:ascii="Arial" w:hAnsi="Arial" w:cs="Arial"/>
        </w:rPr>
      </w:pPr>
      <w:r w:rsidRPr="00CD2307">
        <w:rPr>
          <w:rFonts w:ascii="Arial" w:hAnsi="Arial" w:cs="Arial"/>
          <w:b/>
        </w:rPr>
        <w:t>4- L'</w:t>
      </w:r>
      <w:r w:rsidRPr="00CD2307">
        <w:rPr>
          <w:rFonts w:ascii="Arial" w:hAnsi="Arial" w:cs="Arial"/>
        </w:rPr>
        <w:t>Argentine a signé et ratifié, par le biais de ses lois, des traités et des instruments internatio</w:t>
      </w:r>
      <w:r w:rsidRPr="00CD2307">
        <w:rPr>
          <w:rFonts w:ascii="Arial" w:hAnsi="Arial" w:cs="Arial"/>
        </w:rPr>
        <w:t>naux qui promeuvent le respect universel et effectif des droits de l'homme et des libertés. Dans le cadre du solide système de protection des droits, elle a approuvé, par la loi n° 17.722, la "Convention internationale sur l'élimination de toutes les forme</w:t>
      </w:r>
      <w:r w:rsidRPr="00CD2307">
        <w:rPr>
          <w:rFonts w:ascii="Arial" w:hAnsi="Arial" w:cs="Arial"/>
        </w:rPr>
        <w:t>s de discrimination raciale", signée à New York le 13 juillet 1967.</w:t>
      </w:r>
    </w:p>
    <w:p w14:paraId="181D60FB" w14:textId="77777777" w:rsidR="00C21F39" w:rsidRDefault="00DD397E">
      <w:pPr>
        <w:jc w:val="both"/>
        <w:rPr>
          <w:rFonts w:ascii="Arial" w:hAnsi="Arial" w:cs="Arial"/>
          <w:bCs/>
        </w:rPr>
      </w:pPr>
      <w:r w:rsidRPr="00CD2307">
        <w:rPr>
          <w:rFonts w:ascii="Arial" w:hAnsi="Arial" w:cs="Arial"/>
        </w:rPr>
        <w:t>Au niveau national, la loi n° 23.592 contre les actes discriminatoires a été adoptée et, en 1995, l'</w:t>
      </w:r>
      <w:r w:rsidRPr="00CD2307">
        <w:rPr>
          <w:rFonts w:ascii="Arial" w:hAnsi="Arial" w:cs="Arial"/>
          <w:bCs/>
        </w:rPr>
        <w:t xml:space="preserve">Institut national contre la discrimination, la xénophobie et le racisme (INADI) </w:t>
      </w:r>
      <w:r w:rsidRPr="00CD2307">
        <w:rPr>
          <w:rFonts w:ascii="Arial" w:hAnsi="Arial" w:cs="Arial"/>
        </w:rPr>
        <w:t>a été cr</w:t>
      </w:r>
      <w:r w:rsidRPr="00CD2307">
        <w:rPr>
          <w:rFonts w:ascii="Arial" w:hAnsi="Arial" w:cs="Arial"/>
        </w:rPr>
        <w:t xml:space="preserve">éé </w:t>
      </w:r>
      <w:r w:rsidRPr="00CD2307">
        <w:rPr>
          <w:rFonts w:ascii="Arial" w:hAnsi="Arial" w:cs="Arial"/>
          <w:bCs/>
        </w:rPr>
        <w:t xml:space="preserve">par la loi n° 24.515. </w:t>
      </w:r>
    </w:p>
    <w:p w14:paraId="3A1E46D7" w14:textId="77777777" w:rsidR="00C21F39" w:rsidRDefault="00DD397E">
      <w:pPr>
        <w:jc w:val="both"/>
        <w:rPr>
          <w:rFonts w:ascii="Arial" w:hAnsi="Arial" w:cs="Arial"/>
          <w:bCs/>
        </w:rPr>
      </w:pPr>
      <w:r w:rsidRPr="00CD2307">
        <w:rPr>
          <w:rFonts w:ascii="Arial" w:hAnsi="Arial" w:cs="Arial"/>
          <w:bCs/>
        </w:rPr>
        <w:t>Trente ans après la promulgation de la loi, de nombreux débats ont eu lieu pour la mettre à jour à la lumière des avancées dans le domaine de l'égalité et de la non-discrimination. Certains projets de loi proposent d'étendre la li</w:t>
      </w:r>
      <w:r w:rsidRPr="00CD2307">
        <w:rPr>
          <w:rFonts w:ascii="Arial" w:hAnsi="Arial" w:cs="Arial"/>
          <w:bCs/>
        </w:rPr>
        <w:t>ste des groupes socialement vulnérables et systématiquement discriminés qui ne figurent pas actuellement dans la loi sur les actes discriminatoires, et d'autres proposent de modifier le code pénal en aggravant l'infraction pénale dans les cas fondés sur la</w:t>
      </w:r>
      <w:r w:rsidRPr="00CD2307">
        <w:rPr>
          <w:rFonts w:ascii="Arial" w:hAnsi="Arial" w:cs="Arial"/>
          <w:bCs/>
        </w:rPr>
        <w:t xml:space="preserve"> supériorité idéologique, politique, syndicale, de genre ou d'identité, la position économique, le statut social ou les caractéristiques physiques</w:t>
      </w:r>
      <w:r w:rsidRPr="00185CBA">
        <w:rPr>
          <w:rFonts w:ascii="Arial" w:hAnsi="Arial" w:cs="Arial"/>
          <w:bCs/>
          <w:vertAlign w:val="superscript"/>
        </w:rPr>
        <w:footnoteReference w:id="10"/>
      </w:r>
      <w:r w:rsidRPr="00CD2307">
        <w:rPr>
          <w:rFonts w:ascii="Arial" w:hAnsi="Arial" w:cs="Arial"/>
          <w:bCs/>
        </w:rPr>
        <w:t xml:space="preserve"> .</w:t>
      </w:r>
    </w:p>
    <w:p w14:paraId="36906EC9" w14:textId="77777777" w:rsidR="00C21F39" w:rsidRDefault="00DD397E">
      <w:pPr>
        <w:jc w:val="both"/>
        <w:rPr>
          <w:rFonts w:ascii="Arial" w:hAnsi="Arial" w:cs="Arial"/>
          <w:bCs/>
        </w:rPr>
      </w:pPr>
      <w:r w:rsidRPr="00CD2307">
        <w:rPr>
          <w:rFonts w:ascii="Arial" w:hAnsi="Arial" w:cs="Arial"/>
          <w:bCs/>
        </w:rPr>
        <w:t>Dans ce sens, le groupe de travail d'experts sur les personnes d'ascendance africaine s'est également exp</w:t>
      </w:r>
      <w:r w:rsidRPr="00CD2307">
        <w:rPr>
          <w:rFonts w:ascii="Arial" w:hAnsi="Arial" w:cs="Arial"/>
          <w:bCs/>
        </w:rPr>
        <w:t>rimé dans son rapport sur la visite de notre pays, déclarant que "la législation nationale anti-discrimination est dépassée et a besoin d'être réformée. Le groupe de travail recommande qu'elle inclue la criminalisation des actes discriminatoires fondés sur</w:t>
      </w:r>
      <w:r w:rsidRPr="00CD2307">
        <w:rPr>
          <w:rFonts w:ascii="Arial" w:hAnsi="Arial" w:cs="Arial"/>
          <w:bCs/>
        </w:rPr>
        <w:t xml:space="preserve"> l'orientation sexuelle et l'identité de genre et qu'elle renverse la charge de la preuve en faveur des victimes. La définition de la discrimination raciale devrait être alignée sur les normes internationales. Il est recommandé d'accorder une attention par</w:t>
      </w:r>
      <w:r w:rsidRPr="00CD2307">
        <w:rPr>
          <w:rFonts w:ascii="Arial" w:hAnsi="Arial" w:cs="Arial"/>
          <w:bCs/>
        </w:rPr>
        <w:t>ticulière aux besoins et aux intérêts des groupes souffrant de formes multiples de discrimination et de mettre en œuvre des politiques spécifiques, telles que la production et la diffusion de données et de statistiques sur la situation de ces groupes, la p</w:t>
      </w:r>
      <w:r w:rsidRPr="00CD2307">
        <w:rPr>
          <w:rFonts w:ascii="Arial" w:hAnsi="Arial" w:cs="Arial"/>
          <w:bCs/>
        </w:rPr>
        <w:t>romotion de leur participation aux espaces décisionnels et le plein accès à leurs droits"</w:t>
      </w:r>
      <w:r w:rsidRPr="00185CBA">
        <w:rPr>
          <w:rFonts w:ascii="Arial" w:hAnsi="Arial" w:cs="Arial"/>
          <w:bCs/>
          <w:vertAlign w:val="superscript"/>
        </w:rPr>
        <w:footnoteReference w:id="11"/>
      </w:r>
      <w:r w:rsidRPr="00CD2307">
        <w:rPr>
          <w:rFonts w:ascii="Arial" w:hAnsi="Arial" w:cs="Arial"/>
          <w:bCs/>
        </w:rPr>
        <w:t xml:space="preserve"> .</w:t>
      </w:r>
    </w:p>
    <w:p w14:paraId="5DF6F633" w14:textId="77777777" w:rsidR="00CD2307" w:rsidRPr="00CD2307" w:rsidRDefault="00CD2307" w:rsidP="00CD2307">
      <w:pPr>
        <w:jc w:val="both"/>
        <w:rPr>
          <w:rFonts w:ascii="Arial" w:hAnsi="Arial" w:cs="Arial"/>
          <w:b/>
        </w:rPr>
      </w:pPr>
    </w:p>
    <w:p w14:paraId="664FF2EB" w14:textId="77777777" w:rsidR="00C21F39" w:rsidRDefault="00DD397E">
      <w:pPr>
        <w:jc w:val="both"/>
        <w:rPr>
          <w:rFonts w:ascii="Arial" w:hAnsi="Arial" w:cs="Arial"/>
        </w:rPr>
      </w:pPr>
      <w:r w:rsidRPr="00CD2307">
        <w:rPr>
          <w:rFonts w:ascii="Arial" w:hAnsi="Arial" w:cs="Arial"/>
          <w:b/>
        </w:rPr>
        <w:lastRenderedPageBreak/>
        <w:t xml:space="preserve">Le </w:t>
      </w:r>
      <w:r w:rsidRPr="00CD2307">
        <w:rPr>
          <w:rFonts w:ascii="Arial" w:hAnsi="Arial" w:cs="Arial"/>
        </w:rPr>
        <w:t xml:space="preserve">bureau du médiateur a été créé par la loi n° 26.522 dans le but de réglementer les services de communication audiovisuelle sur l'ensemble du territoire de la </w:t>
      </w:r>
      <w:r w:rsidRPr="00CD2307">
        <w:rPr>
          <w:rFonts w:ascii="Arial" w:hAnsi="Arial" w:cs="Arial"/>
        </w:rPr>
        <w:t xml:space="preserve">République argentine et de contribuer, de par sa nature spécifique, à l'approfondissement d'une nouvelle carte de la communication à partir du paradigme des droits de l'homme et des valeurs démocratiques. Parmi ses fonctions, il développe des propositions </w:t>
      </w:r>
      <w:r w:rsidRPr="00CD2307">
        <w:rPr>
          <w:rFonts w:ascii="Arial" w:hAnsi="Arial" w:cs="Arial"/>
        </w:rPr>
        <w:t>de formation et d'éducation pour la promotion et la défense des droits des migrants, des Afro-descendants et des communautés indigènes en relation avec la radio et la télévision et pour un traitement responsable et respectueux de la part des médias audiovi</w:t>
      </w:r>
      <w:r w:rsidRPr="00CD2307">
        <w:rPr>
          <w:rFonts w:ascii="Arial" w:hAnsi="Arial" w:cs="Arial"/>
        </w:rPr>
        <w:t xml:space="preserve">suels. </w:t>
      </w:r>
    </w:p>
    <w:p w14:paraId="24270CE5" w14:textId="77777777" w:rsidR="00C21F39" w:rsidRDefault="00DD397E">
      <w:pPr>
        <w:jc w:val="both"/>
        <w:rPr>
          <w:rFonts w:ascii="Arial" w:hAnsi="Arial" w:cs="Arial"/>
        </w:rPr>
      </w:pPr>
      <w:r w:rsidRPr="00CD2307">
        <w:rPr>
          <w:rFonts w:ascii="Arial" w:hAnsi="Arial" w:cs="Arial"/>
        </w:rPr>
        <w:t>Sur la base de plaintes déposées par le public ou de sa propre initiative, le bureau du médiateur peut agir de manière judiciaire, extrajudiciaire et/ou administrative pour exiger l'application de la loi sur les services de communication audiovisue</w:t>
      </w:r>
      <w:r w:rsidRPr="00CD2307">
        <w:rPr>
          <w:rFonts w:ascii="Arial" w:hAnsi="Arial" w:cs="Arial"/>
        </w:rPr>
        <w:t>lle, mais il ne peut pas appliquer de sanctions. Il a le pouvoir de faire des recommandations publiques aux propriétaires de médias, aux autorités ou aux professionnels, ainsi que des soumissions administratives ou judiciaires leur ordonnant de mettre leur</w:t>
      </w:r>
      <w:r w:rsidRPr="00CD2307">
        <w:rPr>
          <w:rFonts w:ascii="Arial" w:hAnsi="Arial" w:cs="Arial"/>
        </w:rPr>
        <w:t xml:space="preserve"> comportement en conformité avec le système juridique, qui sont obligatoires.</w:t>
      </w:r>
    </w:p>
    <w:p w14:paraId="092679C6" w14:textId="77777777" w:rsidR="00C21F39" w:rsidRDefault="00DD397E">
      <w:pPr>
        <w:jc w:val="both"/>
        <w:rPr>
          <w:rFonts w:ascii="Arial" w:hAnsi="Arial" w:cs="Arial"/>
        </w:rPr>
      </w:pPr>
      <w:r w:rsidRPr="00CD2307">
        <w:rPr>
          <w:rFonts w:ascii="Arial" w:hAnsi="Arial" w:cs="Arial"/>
        </w:rPr>
        <w:t>Pour sa part, l'INADI, par l'intermédiaire des observatoires de la radio et de la télévision et de l'Internet, réalise des enquêtes thématiques spécifiques et émet des avis consu</w:t>
      </w:r>
      <w:r w:rsidRPr="00CD2307">
        <w:rPr>
          <w:rFonts w:ascii="Arial" w:hAnsi="Arial" w:cs="Arial"/>
        </w:rPr>
        <w:t xml:space="preserve">ltatifs dans des cas particuliers, mais ne reçoit pas de plaintes. Les plaintes sont transmises à la Direction de l'assistance aux victimes afin d'évaluer les interventions possibles. </w:t>
      </w:r>
    </w:p>
    <w:p w14:paraId="241A4679" w14:textId="77777777" w:rsidR="00C21F39" w:rsidRDefault="00DD397E">
      <w:pPr>
        <w:jc w:val="both"/>
        <w:rPr>
          <w:rFonts w:ascii="Arial" w:hAnsi="Arial" w:cs="Arial"/>
        </w:rPr>
      </w:pPr>
      <w:r w:rsidRPr="00CD2307">
        <w:rPr>
          <w:rFonts w:ascii="Arial" w:hAnsi="Arial" w:cs="Arial"/>
        </w:rPr>
        <w:t>Au-delà des campagnes de sensibilisation déployées par diverses organisations, il n'existe aucune régulation des contenus sur internet et les plateformes sociales, ce qui en fait un environnement propice aux manifestations de discours de haine et d'incitat</w:t>
      </w:r>
      <w:r w:rsidRPr="00CD2307">
        <w:rPr>
          <w:rFonts w:ascii="Arial" w:hAnsi="Arial" w:cs="Arial"/>
        </w:rPr>
        <w:t>ion à la discrimination et à la violence raciale, dans de nombreux cas déguisés en faux profils, ce qui empêche d'enquêter et de punir les auteurs de ces actes.</w:t>
      </w:r>
    </w:p>
    <w:p w14:paraId="1F0E4383" w14:textId="77777777" w:rsidR="00CD2307" w:rsidRPr="00CD2307" w:rsidRDefault="00CD2307" w:rsidP="00CD2307">
      <w:pPr>
        <w:jc w:val="both"/>
        <w:rPr>
          <w:rFonts w:ascii="Arial" w:hAnsi="Arial" w:cs="Arial"/>
          <w:b/>
        </w:rPr>
      </w:pPr>
    </w:p>
    <w:p w14:paraId="0140AADF" w14:textId="77777777" w:rsidR="00C21F39" w:rsidRDefault="00DD397E">
      <w:pPr>
        <w:jc w:val="both"/>
        <w:rPr>
          <w:rFonts w:ascii="Arial" w:hAnsi="Arial" w:cs="Arial"/>
        </w:rPr>
      </w:pPr>
      <w:r w:rsidRPr="00CD2307">
        <w:rPr>
          <w:rFonts w:ascii="Arial" w:hAnsi="Arial" w:cs="Arial"/>
          <w:b/>
        </w:rPr>
        <w:t xml:space="preserve">6- </w:t>
      </w:r>
      <w:r w:rsidRPr="00CD2307">
        <w:rPr>
          <w:rFonts w:ascii="Arial" w:hAnsi="Arial" w:cs="Arial"/>
        </w:rPr>
        <w:t>Au cours de la période de référence, il n'y a pas eu de progrès dans la nomination du Média</w:t>
      </w:r>
      <w:r w:rsidRPr="00CD2307">
        <w:rPr>
          <w:rFonts w:ascii="Arial" w:hAnsi="Arial" w:cs="Arial"/>
        </w:rPr>
        <w:t xml:space="preserve">teur de la Nation dont le poste reste vacant. </w:t>
      </w:r>
    </w:p>
    <w:p w14:paraId="28E7DBEB" w14:textId="77777777" w:rsidR="00C21F39" w:rsidRDefault="00DD397E">
      <w:pPr>
        <w:jc w:val="both"/>
        <w:rPr>
          <w:rFonts w:ascii="Arial" w:hAnsi="Arial" w:cs="Arial"/>
        </w:rPr>
      </w:pPr>
      <w:r w:rsidRPr="00CD2307">
        <w:rPr>
          <w:rFonts w:ascii="Arial" w:hAnsi="Arial" w:cs="Arial"/>
        </w:rPr>
        <w:t xml:space="preserve">Nonobstant ce qui précède, le Dr Juan José Bockel est provisoirement en charge de l'Agence jusqu'à la nomination du Défenseur du peuple, conformément à l'autorisation accordée par les blocs majoritaires du H. </w:t>
      </w:r>
      <w:r w:rsidRPr="00CD2307">
        <w:rPr>
          <w:rFonts w:ascii="Arial" w:hAnsi="Arial" w:cs="Arial"/>
        </w:rPr>
        <w:t>Congrès de la Nation, ainsi que par la Commission bicamérale permanente du Bureau du Défenseur du peuple, ratifiée par sa résolution n° 0001/2014 du 23 avril 2014 et sa notification du 25 août 2015.</w:t>
      </w:r>
    </w:p>
    <w:p w14:paraId="61EC94F8" w14:textId="77777777" w:rsidR="00C21F39" w:rsidRDefault="00DD397E">
      <w:pPr>
        <w:jc w:val="both"/>
        <w:rPr>
          <w:rFonts w:ascii="Arial" w:hAnsi="Arial" w:cs="Arial"/>
        </w:rPr>
      </w:pPr>
      <w:r w:rsidRPr="00CD2307">
        <w:rPr>
          <w:rFonts w:ascii="Arial" w:hAnsi="Arial" w:cs="Arial"/>
        </w:rPr>
        <w:t xml:space="preserve">Dans ce cadre, l'Agence continue à travailler activement </w:t>
      </w:r>
      <w:r w:rsidRPr="00CD2307">
        <w:rPr>
          <w:rFonts w:ascii="Arial" w:hAnsi="Arial" w:cs="Arial"/>
        </w:rPr>
        <w:t>sur les missions qui lui sont conférées par la Constitution nationale et la loi n° 24.284. À travers ses différents domaines thématiques, elle promeut la défense et la protection des droits de l'homme et des autres droits, garanties et intérêts protégés pa</w:t>
      </w:r>
      <w:r w:rsidRPr="00CD2307">
        <w:rPr>
          <w:rFonts w:ascii="Arial" w:hAnsi="Arial" w:cs="Arial"/>
        </w:rPr>
        <w:t xml:space="preserve">r la Constitution et les lois, face aux faits, actes ou omissions de l'administration, ainsi que le contrôle de l'exercice des fonctions administratives publiques. </w:t>
      </w:r>
    </w:p>
    <w:p w14:paraId="4C1BE830" w14:textId="77777777" w:rsidR="00C21F39" w:rsidRDefault="00DD397E">
      <w:pPr>
        <w:jc w:val="both"/>
        <w:rPr>
          <w:rFonts w:ascii="Arial" w:hAnsi="Arial" w:cs="Arial"/>
        </w:rPr>
      </w:pPr>
      <w:r w:rsidRPr="00CD2307">
        <w:rPr>
          <w:rFonts w:ascii="Arial" w:hAnsi="Arial" w:cs="Arial"/>
        </w:rPr>
        <w:t>Depuis des années, l'institution soumet des rapports aux différents mécanismes de protectio</w:t>
      </w:r>
      <w:r w:rsidRPr="00CD2307">
        <w:rPr>
          <w:rFonts w:ascii="Arial" w:hAnsi="Arial" w:cs="Arial"/>
        </w:rPr>
        <w:t>n des droits de l'homme du système international</w:t>
      </w:r>
      <w:r w:rsidRPr="00185CBA">
        <w:rPr>
          <w:rFonts w:ascii="Arial" w:hAnsi="Arial" w:cs="Arial"/>
          <w:vertAlign w:val="superscript"/>
        </w:rPr>
        <w:footnoteReference w:id="12"/>
      </w:r>
      <w:r w:rsidRPr="00CD2307">
        <w:rPr>
          <w:rFonts w:ascii="Arial" w:hAnsi="Arial" w:cs="Arial"/>
        </w:rPr>
        <w:t xml:space="preserve"> , ayant conservé, à ce jour, son statut de classe A auprès des Nations unies bien qu'elle n'ait pas de chef d'État désigné.</w:t>
      </w:r>
    </w:p>
    <w:p w14:paraId="65A765C8" w14:textId="77777777" w:rsidR="00C21F39" w:rsidRDefault="00DD397E">
      <w:pPr>
        <w:jc w:val="both"/>
        <w:rPr>
          <w:rFonts w:ascii="Arial" w:hAnsi="Arial" w:cs="Arial"/>
        </w:rPr>
      </w:pPr>
      <w:r w:rsidRPr="00CD2307">
        <w:rPr>
          <w:rFonts w:ascii="Arial" w:hAnsi="Arial" w:cs="Arial"/>
        </w:rPr>
        <w:lastRenderedPageBreak/>
        <w:t>Au niveau national, le bureau du médiateur a formulé des recommandations à l'État</w:t>
      </w:r>
      <w:r w:rsidRPr="00185CBA">
        <w:rPr>
          <w:rFonts w:ascii="Arial" w:hAnsi="Arial" w:cs="Arial"/>
          <w:vertAlign w:val="superscript"/>
        </w:rPr>
        <w:footnoteReference w:id="13"/>
      </w:r>
      <w:r w:rsidRPr="00CD2307">
        <w:rPr>
          <w:rFonts w:ascii="Arial" w:hAnsi="Arial" w:cs="Arial"/>
        </w:rPr>
        <w:t xml:space="preserve"> face à différentes violations des droits, dont certaines seront mentionnées dans le présent rapport.  </w:t>
      </w:r>
    </w:p>
    <w:p w14:paraId="61F89C85" w14:textId="77777777" w:rsidR="00C21F39" w:rsidRDefault="00DD397E">
      <w:pPr>
        <w:jc w:val="both"/>
        <w:rPr>
          <w:rFonts w:ascii="Arial" w:hAnsi="Arial" w:cs="Arial"/>
        </w:rPr>
      </w:pPr>
      <w:r w:rsidRPr="00CD2307">
        <w:rPr>
          <w:rFonts w:ascii="Arial" w:hAnsi="Arial" w:cs="Arial"/>
        </w:rPr>
        <w:t>Le personnel de l'ensemble du pays à partir de 2023 s'élève à 265 personnes</w:t>
      </w:r>
      <w:r w:rsidRPr="00185CBA">
        <w:rPr>
          <w:rFonts w:ascii="Arial" w:hAnsi="Arial" w:cs="Arial"/>
          <w:vertAlign w:val="superscript"/>
        </w:rPr>
        <w:footnoteReference w:id="14"/>
      </w:r>
      <w:r w:rsidRPr="00CD2307">
        <w:rPr>
          <w:rFonts w:ascii="Arial" w:hAnsi="Arial" w:cs="Arial"/>
        </w:rPr>
        <w:t xml:space="preserve"> . Pour soutenir financièrement le fonctionnement de cette institution au</w:t>
      </w:r>
      <w:r w:rsidRPr="00CD2307">
        <w:rPr>
          <w:rFonts w:ascii="Arial" w:hAnsi="Arial" w:cs="Arial"/>
        </w:rPr>
        <w:t xml:space="preserve"> cours de l'année fiscale 2020, un crédit de 921 411 050 $ a été alloué, ce qui représente 0,013% du budget total de l'Administration publique nationale et 2,82% du budget total alloué au Pouvoir législatif national</w:t>
      </w:r>
      <w:r w:rsidRPr="00185CBA">
        <w:rPr>
          <w:rFonts w:ascii="Arial" w:hAnsi="Arial" w:cs="Arial"/>
          <w:vertAlign w:val="superscript"/>
        </w:rPr>
        <w:footnoteReference w:id="15"/>
      </w:r>
      <w:r w:rsidRPr="00CD2307">
        <w:rPr>
          <w:rFonts w:ascii="Arial" w:hAnsi="Arial" w:cs="Arial"/>
        </w:rPr>
        <w:t xml:space="preserve"> . Au cours de l'exercice 2021, un créd</w:t>
      </w:r>
      <w:r w:rsidRPr="00CD2307">
        <w:rPr>
          <w:rFonts w:ascii="Arial" w:hAnsi="Arial" w:cs="Arial"/>
        </w:rPr>
        <w:t>it de 1 391 585 000 000 $ a été alloué, ce qui représente 0,017 % du budget total de l'administration publique nationale et 3,46 % du budget total alloué au pouvoir législatif national</w:t>
      </w:r>
      <w:r w:rsidRPr="00185CBA">
        <w:rPr>
          <w:rFonts w:ascii="Arial" w:hAnsi="Arial" w:cs="Arial"/>
          <w:vertAlign w:val="superscript"/>
        </w:rPr>
        <w:footnoteReference w:id="16"/>
      </w:r>
      <w:r w:rsidRPr="00CD2307">
        <w:rPr>
          <w:rFonts w:ascii="Arial" w:hAnsi="Arial" w:cs="Arial"/>
        </w:rPr>
        <w:t xml:space="preserve"> . Le montant total alloué au cours de l'année fiscale 2022 était de 2</w:t>
      </w:r>
      <w:r w:rsidRPr="00CD2307">
        <w:rPr>
          <w:rFonts w:ascii="Arial" w:hAnsi="Arial" w:cs="Arial"/>
        </w:rPr>
        <w:t xml:space="preserve"> 138 516 187 $, ce qui représente 0,007 % du budget total de l'administration publique nationale et 2,07 % du budget total alloué au pouvoir législatif national.</w:t>
      </w:r>
    </w:p>
    <w:p w14:paraId="1999859E" w14:textId="77777777" w:rsidR="00C21F39" w:rsidRDefault="00DD397E">
      <w:pPr>
        <w:jc w:val="both"/>
        <w:rPr>
          <w:rFonts w:ascii="Arial" w:hAnsi="Arial" w:cs="Arial"/>
        </w:rPr>
      </w:pPr>
      <w:r w:rsidRPr="00CD2307">
        <w:rPr>
          <w:rFonts w:ascii="Arial" w:hAnsi="Arial" w:cs="Arial"/>
        </w:rPr>
        <w:t>Quant au Bureau du Médiateur, en 2020, par le décret 562/2020</w:t>
      </w:r>
      <w:r w:rsidRPr="00185CBA">
        <w:rPr>
          <w:rFonts w:ascii="Arial" w:hAnsi="Arial" w:cs="Arial"/>
          <w:vertAlign w:val="superscript"/>
        </w:rPr>
        <w:footnoteReference w:id="17"/>
      </w:r>
      <w:r w:rsidRPr="00CD2307">
        <w:rPr>
          <w:rFonts w:ascii="Arial" w:hAnsi="Arial" w:cs="Arial"/>
        </w:rPr>
        <w:t xml:space="preserve"> , Mme Miriam Lewin a été nommée à la tête de l'agence. Le personnel compte environ 160 personnes</w:t>
      </w:r>
      <w:r w:rsidRPr="00185CBA">
        <w:rPr>
          <w:rFonts w:ascii="Arial" w:hAnsi="Arial" w:cs="Arial"/>
          <w:vertAlign w:val="superscript"/>
        </w:rPr>
        <w:footnoteReference w:id="18"/>
      </w:r>
      <w:r w:rsidRPr="00CD2307">
        <w:rPr>
          <w:rFonts w:ascii="Arial" w:hAnsi="Arial" w:cs="Arial"/>
        </w:rPr>
        <w:t xml:space="preserve"> et le budget alloué est publié sur le site web de l'agence</w:t>
      </w:r>
      <w:r w:rsidRPr="00185CBA">
        <w:rPr>
          <w:rFonts w:ascii="Arial" w:hAnsi="Arial" w:cs="Arial"/>
          <w:vertAlign w:val="superscript"/>
        </w:rPr>
        <w:footnoteReference w:id="19"/>
      </w:r>
      <w:r w:rsidRPr="00CD2307">
        <w:rPr>
          <w:rFonts w:ascii="Arial" w:hAnsi="Arial" w:cs="Arial"/>
        </w:rPr>
        <w:t xml:space="preserve"> .</w:t>
      </w:r>
    </w:p>
    <w:p w14:paraId="31A7B612" w14:textId="77777777" w:rsidR="00CD2307" w:rsidRPr="00CD2307" w:rsidRDefault="00CD2307" w:rsidP="00CD2307">
      <w:pPr>
        <w:jc w:val="both"/>
        <w:rPr>
          <w:rFonts w:ascii="Arial" w:hAnsi="Arial" w:cs="Arial"/>
        </w:rPr>
      </w:pPr>
    </w:p>
    <w:p w14:paraId="0A00A8CF" w14:textId="77777777" w:rsidR="00C21F39" w:rsidRDefault="00DD397E">
      <w:pPr>
        <w:jc w:val="both"/>
        <w:rPr>
          <w:rFonts w:ascii="Arial" w:hAnsi="Arial" w:cs="Arial"/>
        </w:rPr>
      </w:pPr>
      <w:r w:rsidRPr="00CD2307">
        <w:rPr>
          <w:rFonts w:ascii="Arial" w:hAnsi="Arial" w:cs="Arial"/>
          <w:b/>
        </w:rPr>
        <w:t xml:space="preserve">Afin de </w:t>
      </w:r>
      <w:r w:rsidRPr="00CD2307">
        <w:rPr>
          <w:rFonts w:ascii="Arial" w:hAnsi="Arial" w:cs="Arial"/>
        </w:rPr>
        <w:t>renforcer les actions</w:t>
      </w:r>
      <w:r w:rsidRPr="00CD2307">
        <w:rPr>
          <w:rFonts w:ascii="Arial" w:hAnsi="Arial" w:cs="Arial"/>
        </w:rPr>
        <w:t xml:space="preserve"> de l'</w:t>
      </w:r>
      <w:r w:rsidRPr="00CD2307">
        <w:rPr>
          <w:rFonts w:ascii="Arial" w:hAnsi="Arial" w:cs="Arial"/>
          <w:bCs/>
        </w:rPr>
        <w:t>INADI relatives aux droits des populations les plus exposées à la discrimination raciale et/ou à des formes multiples de discrimination</w:t>
      </w:r>
      <w:r w:rsidRPr="00CD2307">
        <w:rPr>
          <w:rFonts w:ascii="Arial" w:hAnsi="Arial" w:cs="Arial"/>
        </w:rPr>
        <w:t xml:space="preserve">, la </w:t>
      </w:r>
      <w:r w:rsidRPr="00185CBA">
        <w:rPr>
          <w:rFonts w:ascii="Arial" w:hAnsi="Arial" w:cs="Arial"/>
        </w:rPr>
        <w:t>résolution 230/2020</w:t>
      </w:r>
      <w:r w:rsidRPr="00185CBA">
        <w:rPr>
          <w:rFonts w:ascii="Arial" w:hAnsi="Arial" w:cs="Arial"/>
          <w:vertAlign w:val="superscript"/>
        </w:rPr>
        <w:footnoteReference w:id="20"/>
      </w:r>
      <w:r w:rsidRPr="00185CBA">
        <w:rPr>
          <w:rFonts w:ascii="Arial" w:hAnsi="Arial" w:cs="Arial"/>
        </w:rPr>
        <w:t xml:space="preserve"> souligne la création de la </w:t>
      </w:r>
      <w:r w:rsidRPr="00CD2307">
        <w:rPr>
          <w:rFonts w:ascii="Arial" w:hAnsi="Arial" w:cs="Arial"/>
        </w:rPr>
        <w:t>Commission pour la reconnaissance historique de la communauté</w:t>
      </w:r>
      <w:r w:rsidRPr="00CD2307">
        <w:rPr>
          <w:rFonts w:ascii="Arial" w:hAnsi="Arial" w:cs="Arial"/>
        </w:rPr>
        <w:t xml:space="preserve"> afro-argentine afin d'étendre le travail réalisé, sur des aspects non encore abordés, en fournissant un point focal au sein de l'administration publique nationale pour répondre à la spécificité des demandes et des propositions de la communauté afro-argent</w:t>
      </w:r>
      <w:r w:rsidRPr="00CD2307">
        <w:rPr>
          <w:rFonts w:ascii="Arial" w:hAnsi="Arial" w:cs="Arial"/>
        </w:rPr>
        <w:t>ine. Il est présidé par un Afro-Argentin ayant une longue histoire au sein de la communauté, ce qui représente sans aucun doute un pas en avant en termes de politique de reconnaissance.</w:t>
      </w:r>
    </w:p>
    <w:p w14:paraId="5658BFA0" w14:textId="77777777" w:rsidR="00C21F39" w:rsidRDefault="00DD397E">
      <w:pPr>
        <w:jc w:val="both"/>
        <w:rPr>
          <w:rFonts w:ascii="Arial" w:hAnsi="Arial" w:cs="Arial"/>
          <w:bCs/>
          <w:color w:val="000000" w:themeColor="text1"/>
        </w:rPr>
      </w:pPr>
      <w:r w:rsidRPr="00CD2307">
        <w:rPr>
          <w:rFonts w:ascii="Arial" w:hAnsi="Arial" w:cs="Arial"/>
          <w:color w:val="000000" w:themeColor="text1"/>
        </w:rPr>
        <w:t>Toutefois, comme le Bureau du médiateur l'a affirmé dans d'autres rapp</w:t>
      </w:r>
      <w:r w:rsidRPr="00CD2307">
        <w:rPr>
          <w:rFonts w:ascii="Arial" w:hAnsi="Arial" w:cs="Arial"/>
          <w:color w:val="000000" w:themeColor="text1"/>
        </w:rPr>
        <w:t>orts au système international des droits de l'homme</w:t>
      </w:r>
      <w:r w:rsidRPr="00185CBA">
        <w:rPr>
          <w:rFonts w:ascii="Arial" w:hAnsi="Arial" w:cs="Arial"/>
          <w:color w:val="000000" w:themeColor="text1"/>
          <w:vertAlign w:val="superscript"/>
        </w:rPr>
        <w:footnoteReference w:id="21"/>
      </w:r>
      <w:r w:rsidRPr="00CD2307">
        <w:rPr>
          <w:rFonts w:ascii="Arial" w:hAnsi="Arial" w:cs="Arial"/>
          <w:color w:val="000000" w:themeColor="text1"/>
        </w:rPr>
        <w:t xml:space="preserve"> , il serait souhaitable de doter la Commission nationale pour la reconnaissance historique de la communauté afro-argentine de ressources et d'un budget suffisants pour que, dans le cadre de la seconde moitié de la mise en œuvre de la Décennie internationa</w:t>
      </w:r>
      <w:r w:rsidRPr="00CD2307">
        <w:rPr>
          <w:rFonts w:ascii="Arial" w:hAnsi="Arial" w:cs="Arial"/>
          <w:color w:val="000000" w:themeColor="text1"/>
        </w:rPr>
        <w:t>le des personnes d'ascendance africaine, des mécanismes nationaux de planification, de suivi et d'évaluation des politiques publiques spécifiques en faveur des personnes d'ascendance africaine puissent être mis en place, y compris l'incorporation de la var</w:t>
      </w:r>
      <w:r w:rsidRPr="00CD2307">
        <w:rPr>
          <w:rFonts w:ascii="Arial" w:hAnsi="Arial" w:cs="Arial"/>
          <w:color w:val="000000" w:themeColor="text1"/>
        </w:rPr>
        <w:t xml:space="preserve">iable raciale dans les statistiques. </w:t>
      </w:r>
    </w:p>
    <w:p w14:paraId="25BC4055" w14:textId="77777777" w:rsidR="00C21F39" w:rsidRDefault="00DD397E">
      <w:pPr>
        <w:jc w:val="both"/>
        <w:rPr>
          <w:rFonts w:ascii="Arial" w:hAnsi="Arial" w:cs="Arial"/>
          <w:color w:val="FF0000"/>
        </w:rPr>
      </w:pPr>
      <w:r w:rsidRPr="00CD2307">
        <w:rPr>
          <w:rFonts w:ascii="Arial" w:hAnsi="Arial" w:cs="Arial"/>
        </w:rPr>
        <w:t>L'INADI dispose de la Carte nationale des discriminations</w:t>
      </w:r>
      <w:r w:rsidRPr="00185CBA">
        <w:rPr>
          <w:rFonts w:ascii="Arial" w:hAnsi="Arial" w:cs="Arial"/>
          <w:vertAlign w:val="superscript"/>
        </w:rPr>
        <w:footnoteReference w:id="22"/>
      </w:r>
      <w:r w:rsidRPr="00CD2307">
        <w:rPr>
          <w:rFonts w:ascii="Arial" w:hAnsi="Arial" w:cs="Arial"/>
        </w:rPr>
        <w:t xml:space="preserve"> , élaborée pour recenser et systématiser les informations sur les processus et les formes que prennent les pratiques </w:t>
      </w:r>
      <w:r w:rsidRPr="00CD2307">
        <w:rPr>
          <w:rFonts w:ascii="Arial" w:hAnsi="Arial" w:cs="Arial"/>
        </w:rPr>
        <w:lastRenderedPageBreak/>
        <w:t>discriminatoires dans notre pays, dans le</w:t>
      </w:r>
      <w:r w:rsidRPr="00CD2307">
        <w:rPr>
          <w:rFonts w:ascii="Arial" w:hAnsi="Arial" w:cs="Arial"/>
        </w:rPr>
        <w:t xml:space="preserve"> but de projeter les politiques publiques nécessaires à leur éradication. Bien qu'elle ait été très utile, la dernière mise à jour de la carte remonte à 2019, de sorte qu'à la date du présent rapport, il n'y a pas de données </w:t>
      </w:r>
      <w:r w:rsidRPr="00CD2307">
        <w:rPr>
          <w:rFonts w:ascii="Arial" w:hAnsi="Arial" w:cs="Arial"/>
          <w:color w:val="333333"/>
        </w:rPr>
        <w:t>désagrégées actualisées, ce qui</w:t>
      </w:r>
      <w:r w:rsidRPr="00CD2307">
        <w:rPr>
          <w:rFonts w:ascii="Arial" w:hAnsi="Arial" w:cs="Arial"/>
          <w:color w:val="333333"/>
        </w:rPr>
        <w:t xml:space="preserve"> constitue un revers majeur. </w:t>
      </w:r>
      <w:r w:rsidRPr="00CD2307">
        <w:rPr>
          <w:rFonts w:ascii="Arial" w:hAnsi="Arial" w:cs="Arial"/>
          <w:color w:val="FF0000"/>
        </w:rPr>
        <w:t xml:space="preserve"> </w:t>
      </w:r>
    </w:p>
    <w:p w14:paraId="41FCC33D" w14:textId="77777777" w:rsidR="00CD2307" w:rsidRPr="00CD2307" w:rsidRDefault="00CD2307" w:rsidP="00CD2307">
      <w:pPr>
        <w:jc w:val="both"/>
        <w:rPr>
          <w:rFonts w:ascii="Arial" w:hAnsi="Arial" w:cs="Arial"/>
          <w:b/>
        </w:rPr>
      </w:pPr>
    </w:p>
    <w:p w14:paraId="18DAC425" w14:textId="77777777" w:rsidR="00C21F39" w:rsidRDefault="00DD397E">
      <w:pPr>
        <w:jc w:val="both"/>
        <w:rPr>
          <w:rFonts w:ascii="Arial" w:hAnsi="Arial" w:cs="Arial"/>
        </w:rPr>
      </w:pPr>
      <w:r w:rsidRPr="00CD2307">
        <w:rPr>
          <w:rFonts w:ascii="Arial" w:hAnsi="Arial" w:cs="Arial"/>
        </w:rPr>
        <w:t>L'Institut national des affaires indigènes (INAI), créé par la loi n° 23.302</w:t>
      </w:r>
      <w:r w:rsidRPr="00185CBA">
        <w:rPr>
          <w:rFonts w:ascii="Arial" w:hAnsi="Arial" w:cs="Arial"/>
          <w:vertAlign w:val="superscript"/>
        </w:rPr>
        <w:footnoteReference w:id="23"/>
      </w:r>
      <w:r w:rsidRPr="00CD2307">
        <w:rPr>
          <w:rFonts w:ascii="Arial" w:hAnsi="Arial" w:cs="Arial"/>
        </w:rPr>
        <w:t xml:space="preserve"> , est chargé de coordonner les politiques publiques visant à garantir le développement communautaire, le droit à la santé et à l'éducation, l'acc</w:t>
      </w:r>
      <w:r w:rsidRPr="00CD2307">
        <w:rPr>
          <w:rFonts w:ascii="Arial" w:hAnsi="Arial" w:cs="Arial"/>
        </w:rPr>
        <w:t>ès à la terre et la préservation des identités culturelles indigènes, et de promouvoir la participation des communautés à la conception et à la gestion des politiques publiques qui les concernent, dans le respect de leurs formes traditionnelles d'organisat</w:t>
      </w:r>
      <w:r w:rsidRPr="00CD2307">
        <w:rPr>
          <w:rFonts w:ascii="Arial" w:hAnsi="Arial" w:cs="Arial"/>
        </w:rPr>
        <w:t xml:space="preserve">ion et de leurs valeurs. </w:t>
      </w:r>
    </w:p>
    <w:p w14:paraId="1BA36FC6" w14:textId="77777777" w:rsidR="00C21F39" w:rsidRDefault="00DD397E">
      <w:pPr>
        <w:jc w:val="both"/>
        <w:rPr>
          <w:rFonts w:ascii="Arial" w:hAnsi="Arial" w:cs="Arial"/>
          <w:b/>
          <w:color w:val="FF0000"/>
        </w:rPr>
      </w:pPr>
      <w:r w:rsidRPr="00CD2307">
        <w:rPr>
          <w:rFonts w:ascii="Arial" w:hAnsi="Arial" w:cs="Arial"/>
        </w:rPr>
        <w:t>Au cours de la période examinée, M. Alejandro Fabián MARMONI a été nommé responsable de l'INAI par le décret 838/22</w:t>
      </w:r>
      <w:r w:rsidRPr="00185CBA">
        <w:rPr>
          <w:rFonts w:ascii="Arial" w:hAnsi="Arial" w:cs="Arial"/>
          <w:vertAlign w:val="superscript"/>
        </w:rPr>
        <w:footnoteReference w:id="24"/>
      </w:r>
      <w:r w:rsidRPr="00CD2307">
        <w:rPr>
          <w:rFonts w:ascii="Arial" w:hAnsi="Arial" w:cs="Arial"/>
          <w:b/>
        </w:rPr>
        <w:t xml:space="preserve"> . </w:t>
      </w:r>
      <w:r w:rsidRPr="00CD2307">
        <w:rPr>
          <w:rFonts w:ascii="Arial" w:hAnsi="Arial" w:cs="Arial"/>
        </w:rPr>
        <w:t>L'Agence ne fournit pas d'informations publiques concernant son budget et les ressources humaines allouées, en</w:t>
      </w:r>
      <w:r w:rsidRPr="00CD2307">
        <w:rPr>
          <w:rFonts w:ascii="Arial" w:hAnsi="Arial" w:cs="Arial"/>
        </w:rPr>
        <w:t xml:space="preserve"> violation des dispositions de la loi 27.275</w:t>
      </w:r>
      <w:r w:rsidRPr="00185CBA">
        <w:rPr>
          <w:rFonts w:ascii="Arial" w:hAnsi="Arial" w:cs="Arial"/>
          <w:vertAlign w:val="superscript"/>
        </w:rPr>
        <w:footnoteReference w:id="25"/>
      </w:r>
      <w:r w:rsidRPr="00CD2307">
        <w:rPr>
          <w:rFonts w:ascii="Arial" w:hAnsi="Arial" w:cs="Arial"/>
        </w:rPr>
        <w:t xml:space="preserve"> sur l'accès à l'information publique "transparence active".</w:t>
      </w:r>
    </w:p>
    <w:p w14:paraId="6803B879" w14:textId="77777777" w:rsidR="00C21F39" w:rsidRDefault="00DD397E">
      <w:pPr>
        <w:jc w:val="both"/>
        <w:rPr>
          <w:rFonts w:ascii="Arial" w:hAnsi="Arial" w:cs="Arial"/>
        </w:rPr>
      </w:pPr>
      <w:r w:rsidRPr="00CD2307">
        <w:rPr>
          <w:rFonts w:ascii="Arial" w:hAnsi="Arial" w:cs="Arial"/>
        </w:rPr>
        <w:t>Au cours de l'année 2022, l'INAI a indiqué que l'aire de participation autochtone de la Direction de l'affirmation des droits autochtones a mené à bi</w:t>
      </w:r>
      <w:r w:rsidRPr="00CD2307">
        <w:rPr>
          <w:rFonts w:ascii="Arial" w:hAnsi="Arial" w:cs="Arial"/>
        </w:rPr>
        <w:t xml:space="preserve">en le processus d'élection des nouveaux représentants du Conseil de participation autochtone (CPI) appartenant aux peuples Guaicurú, Vilela et Sanavirón de la province de Santiago del Estero ; Guaranis et Qom de la province de Buenos Aires ; Charrúa de la </w:t>
      </w:r>
      <w:r w:rsidRPr="00CD2307">
        <w:rPr>
          <w:rFonts w:ascii="Arial" w:hAnsi="Arial" w:cs="Arial"/>
        </w:rPr>
        <w:t>province d'Entre Ríos ; et Mapuche de la province de Neuquén (Zonales Lafkence, Xawvnko (confluencia) et (Pikunche).</w:t>
      </w:r>
    </w:p>
    <w:p w14:paraId="71C8E6FA" w14:textId="77777777" w:rsidR="00C21F39" w:rsidRDefault="00DD397E">
      <w:pPr>
        <w:jc w:val="both"/>
        <w:rPr>
          <w:rFonts w:ascii="Arial" w:hAnsi="Arial" w:cs="Arial"/>
        </w:rPr>
      </w:pPr>
      <w:r w:rsidRPr="00CD2307">
        <w:rPr>
          <w:rFonts w:ascii="Arial" w:hAnsi="Arial" w:cs="Arial"/>
        </w:rPr>
        <w:t xml:space="preserve">Des réunions ont également été organisées avec les représentants du Conseil de la participation indigène des régions NEA, NOA, CENTRO/CUYO </w:t>
      </w:r>
      <w:r w:rsidRPr="00CD2307">
        <w:rPr>
          <w:rFonts w:ascii="Arial" w:hAnsi="Arial" w:cs="Arial"/>
        </w:rPr>
        <w:t>et SUD afin de maintenir une communication fluide avec les représentants et de fournir des conseils techniques sur les demandes et les besoins identifiés dans les communautés.</w:t>
      </w:r>
    </w:p>
    <w:p w14:paraId="4351E9AD" w14:textId="77777777" w:rsidR="00C21F39" w:rsidRDefault="00DD397E">
      <w:pPr>
        <w:jc w:val="both"/>
        <w:rPr>
          <w:rFonts w:ascii="Arial" w:hAnsi="Arial" w:cs="Arial"/>
        </w:rPr>
      </w:pPr>
      <w:r w:rsidRPr="00CD2307">
        <w:rPr>
          <w:rFonts w:ascii="Arial" w:hAnsi="Arial" w:cs="Arial"/>
        </w:rPr>
        <w:t>L'INAI a également indiqué qu'il avait commencé à promouvoir et à coordonner les</w:t>
      </w:r>
      <w:r w:rsidRPr="00CD2307">
        <w:rPr>
          <w:rFonts w:ascii="Arial" w:hAnsi="Arial" w:cs="Arial"/>
        </w:rPr>
        <w:t xml:space="preserve"> processus d'élection des délégués au Conseil de coordination dans le cadre de sa création par le biais de la résolution 2021-106-APN-INAI#MJ, conformément aux dispositions de l'article 5, paragraphe 1, de la loi 23.302</w:t>
      </w:r>
      <w:r w:rsidRPr="00185CBA">
        <w:rPr>
          <w:rFonts w:ascii="Arial" w:hAnsi="Arial" w:cs="Arial"/>
          <w:vertAlign w:val="superscript"/>
        </w:rPr>
        <w:footnoteReference w:id="26"/>
      </w:r>
      <w:r w:rsidRPr="00CD2307">
        <w:rPr>
          <w:rFonts w:ascii="Arial" w:hAnsi="Arial" w:cs="Arial"/>
        </w:rPr>
        <w:t xml:space="preserve"> . Bien que le bureau du Médiateur </w:t>
      </w:r>
      <w:r w:rsidRPr="00CD2307">
        <w:rPr>
          <w:rFonts w:ascii="Arial" w:hAnsi="Arial" w:cs="Arial"/>
        </w:rPr>
        <w:t>ait été invité à participer à la réunion de création du Conseil consultatif et de coordination autochtone qui s'est tenue à l'Hôtel du gouvernement</w:t>
      </w:r>
      <w:r w:rsidRPr="00185CBA">
        <w:rPr>
          <w:rFonts w:ascii="Arial" w:hAnsi="Arial" w:cs="Arial"/>
          <w:vertAlign w:val="superscript"/>
        </w:rPr>
        <w:footnoteReference w:id="27"/>
      </w:r>
      <w:r w:rsidRPr="00CD2307">
        <w:rPr>
          <w:rFonts w:ascii="Arial" w:hAnsi="Arial" w:cs="Arial"/>
        </w:rPr>
        <w:t xml:space="preserve"> , aucune nouvelle demande n'a été formulée en vue de la tenue d'une telle réunion. </w:t>
      </w:r>
    </w:p>
    <w:p w14:paraId="387E5835" w14:textId="77777777" w:rsidR="00CD2307" w:rsidRPr="00CD2307" w:rsidRDefault="00CD2307" w:rsidP="00CD2307">
      <w:pPr>
        <w:jc w:val="both"/>
        <w:rPr>
          <w:rFonts w:ascii="Arial" w:hAnsi="Arial" w:cs="Arial"/>
          <w:color w:val="FF0000"/>
        </w:rPr>
      </w:pPr>
    </w:p>
    <w:p w14:paraId="620AB23B" w14:textId="77777777" w:rsidR="00C21F39" w:rsidRDefault="00DD397E">
      <w:pPr>
        <w:jc w:val="both"/>
        <w:rPr>
          <w:rFonts w:ascii="Arial" w:hAnsi="Arial" w:cs="Arial"/>
          <w:color w:val="FF0000"/>
        </w:rPr>
      </w:pPr>
      <w:r w:rsidRPr="00CD2307">
        <w:rPr>
          <w:rFonts w:ascii="Arial" w:hAnsi="Arial" w:cs="Arial"/>
        </w:rPr>
        <w:lastRenderedPageBreak/>
        <w:t>Jusqu'à la mi-2018, les données relatives au suivi du Plan d'action national pour les droits de l'homme (2017-2020) étaient disponibles via la plateforme Trello</w:t>
      </w:r>
      <w:r w:rsidRPr="00185CBA">
        <w:rPr>
          <w:rFonts w:ascii="Arial" w:hAnsi="Arial" w:cs="Arial"/>
          <w:vertAlign w:val="superscript"/>
        </w:rPr>
        <w:footnoteReference w:id="28"/>
      </w:r>
      <w:r w:rsidRPr="00CD2307">
        <w:rPr>
          <w:rFonts w:ascii="Arial" w:hAnsi="Arial" w:cs="Arial"/>
        </w:rPr>
        <w:t xml:space="preserve"> . À l'heure actuelle, il n'existe pas d'informations publiques sur les résultats finaux de sa</w:t>
      </w:r>
      <w:r w:rsidRPr="00CD2307">
        <w:rPr>
          <w:rFonts w:ascii="Arial" w:hAnsi="Arial" w:cs="Arial"/>
        </w:rPr>
        <w:t xml:space="preserve"> mise en œuvre, de sorte qu'il n'est pas possible d'établir les résultats spécifiques </w:t>
      </w:r>
      <w:r w:rsidRPr="00CD2307">
        <w:rPr>
          <w:rFonts w:ascii="Arial" w:hAnsi="Arial" w:cs="Arial"/>
          <w:color w:val="000000" w:themeColor="text1"/>
        </w:rPr>
        <w:t xml:space="preserve">en termes de lutte contre la discrimination raciale. </w:t>
      </w:r>
    </w:p>
    <w:p w14:paraId="4F647E7D" w14:textId="77777777" w:rsidR="00C21F39" w:rsidRDefault="00DD397E">
      <w:pPr>
        <w:jc w:val="both"/>
        <w:rPr>
          <w:rFonts w:ascii="Arial" w:hAnsi="Arial" w:cs="Arial"/>
          <w:color w:val="000000" w:themeColor="text1"/>
        </w:rPr>
      </w:pPr>
      <w:r w:rsidRPr="00CD2307">
        <w:rPr>
          <w:rFonts w:ascii="Arial" w:hAnsi="Arial" w:cs="Arial"/>
          <w:color w:val="000000" w:themeColor="text1"/>
        </w:rPr>
        <w:t>Après avoir achevé le premier plan national des droits de l'homme 2017/2020, le médiateur national a lancé une enquê</w:t>
      </w:r>
      <w:r w:rsidRPr="00CD2307">
        <w:rPr>
          <w:rFonts w:ascii="Arial" w:hAnsi="Arial" w:cs="Arial"/>
          <w:color w:val="000000" w:themeColor="text1"/>
        </w:rPr>
        <w:t>te d'office pour déterminer si l'État travaillait à l'élaboration du deuxième plan national. Dans ce cadre, notre agence, par la résolution n° 101/21</w:t>
      </w:r>
      <w:r w:rsidRPr="00185CBA">
        <w:rPr>
          <w:rFonts w:ascii="Arial" w:hAnsi="Arial" w:cs="Arial"/>
          <w:color w:val="000000" w:themeColor="text1"/>
          <w:vertAlign w:val="superscript"/>
        </w:rPr>
        <w:footnoteReference w:id="29"/>
      </w:r>
      <w:r w:rsidRPr="00CD2307">
        <w:rPr>
          <w:rFonts w:ascii="Arial" w:hAnsi="Arial" w:cs="Arial"/>
          <w:color w:val="000000" w:themeColor="text1"/>
        </w:rPr>
        <w:t xml:space="preserve"> , a recommandé au secrétaire aux droits de l'homme de la nation qu'après avoir achevé le premier plan na</w:t>
      </w:r>
      <w:r w:rsidRPr="00CD2307">
        <w:rPr>
          <w:rFonts w:ascii="Arial" w:hAnsi="Arial" w:cs="Arial"/>
          <w:color w:val="000000" w:themeColor="text1"/>
        </w:rPr>
        <w:t>tional d'action sur les droits de l'homme et afin de respecter les engagements internationaux pris en faveur du développement durable et de mettre en œuvre la recommandation 107.17</w:t>
      </w:r>
      <w:r w:rsidRPr="00185CBA">
        <w:rPr>
          <w:rFonts w:ascii="Arial" w:hAnsi="Arial" w:cs="Arial"/>
          <w:color w:val="000000" w:themeColor="text1"/>
          <w:vertAlign w:val="superscript"/>
        </w:rPr>
        <w:footnoteReference w:id="30"/>
      </w:r>
      <w:r w:rsidRPr="00CD2307">
        <w:rPr>
          <w:rFonts w:ascii="Arial" w:hAnsi="Arial" w:cs="Arial"/>
          <w:color w:val="000000" w:themeColor="text1"/>
        </w:rPr>
        <w:t xml:space="preserve"> adressée à l'État argentin dans le cadre de l'examen périodique universel</w:t>
      </w:r>
      <w:r w:rsidRPr="00CD2307">
        <w:rPr>
          <w:rFonts w:ascii="Arial" w:hAnsi="Arial" w:cs="Arial"/>
          <w:color w:val="000000" w:themeColor="text1"/>
        </w:rPr>
        <w:t xml:space="preserve"> des Nations unies, d'intensifier les efforts pour donner la priorité à l'élaboration, dans un délai raisonnable, d'un nouveau plan d'action national pour les droits de l'homme, en étroite consultation avec la société civile.</w:t>
      </w:r>
    </w:p>
    <w:p w14:paraId="5D556151" w14:textId="77777777" w:rsidR="00C21F39" w:rsidRDefault="00DD397E">
      <w:pPr>
        <w:jc w:val="both"/>
        <w:rPr>
          <w:rFonts w:ascii="Arial" w:hAnsi="Arial" w:cs="Arial"/>
          <w:color w:val="FF0000"/>
        </w:rPr>
      </w:pPr>
      <w:r w:rsidRPr="00CD2307">
        <w:rPr>
          <w:rFonts w:ascii="Arial" w:hAnsi="Arial" w:cs="Arial"/>
          <w:color w:val="000000" w:themeColor="text1"/>
        </w:rPr>
        <w:t>D'autre part, bien que l'État ait annoncé le lancement du Plan national de lutte contre la discrimination 2022-2024</w:t>
      </w:r>
      <w:r w:rsidRPr="00185CBA">
        <w:rPr>
          <w:rFonts w:ascii="Arial" w:hAnsi="Arial" w:cs="Arial"/>
          <w:color w:val="000000" w:themeColor="text1"/>
          <w:vertAlign w:val="superscript"/>
        </w:rPr>
        <w:footnoteReference w:id="31"/>
      </w:r>
      <w:r w:rsidRPr="00CD2307">
        <w:rPr>
          <w:rFonts w:ascii="Arial" w:hAnsi="Arial" w:cs="Arial"/>
          <w:color w:val="000000" w:themeColor="text1"/>
        </w:rPr>
        <w:t xml:space="preserve"> , celui-ci se trouve actuellement au stade de projet, ce qui a donné lieu à une recommandation du bureau du médiateur, formalisée par la r</w:t>
      </w:r>
      <w:r w:rsidRPr="00CD2307">
        <w:rPr>
          <w:rFonts w:ascii="Arial" w:hAnsi="Arial" w:cs="Arial"/>
          <w:color w:val="000000" w:themeColor="text1"/>
        </w:rPr>
        <w:t>ésolution n° 15/23, dans laquelle il a été recommandé à l'Institut national de lutte contre la discrimination, la xénophobie et le racisme (INADI) de publier l'acte administratif pertinent afin d'approuver le Plan national de lutte contre la discrimination</w:t>
      </w:r>
      <w:r w:rsidRPr="00CD2307">
        <w:rPr>
          <w:rFonts w:ascii="Arial" w:hAnsi="Arial" w:cs="Arial"/>
          <w:color w:val="000000" w:themeColor="text1"/>
        </w:rPr>
        <w:t xml:space="preserve"> 2022-2024, dans un délai plus que raisonnable, Xénophobie et le Racisme (INADI) d'émettre l'acte administratif pertinent afin d'approuver le Plan national de lutte contre la discrimination 2022-2024, dans le cadre du dossier EX-2020-54987779-APN-INADI#MJ</w:t>
      </w:r>
      <w:r w:rsidRPr="00185CBA">
        <w:rPr>
          <w:rFonts w:ascii="Arial" w:hAnsi="Arial" w:cs="Arial"/>
          <w:color w:val="000000" w:themeColor="text1"/>
          <w:vertAlign w:val="superscript"/>
        </w:rPr>
        <w:footnoteReference w:id="32"/>
      </w:r>
      <w:r w:rsidRPr="00CD2307">
        <w:rPr>
          <w:rFonts w:ascii="Arial" w:hAnsi="Arial" w:cs="Arial"/>
          <w:color w:val="000000" w:themeColor="text1"/>
        </w:rPr>
        <w:t xml:space="preserve"> .</w:t>
      </w:r>
      <w:r w:rsidRPr="00CD2307">
        <w:rPr>
          <w:rFonts w:ascii="Arial" w:hAnsi="Arial" w:cs="Arial"/>
          <w:color w:val="FF0000"/>
        </w:rPr>
        <w:t xml:space="preserve"> </w:t>
      </w:r>
    </w:p>
    <w:p w14:paraId="2F834D73" w14:textId="77777777" w:rsidR="00C21F39" w:rsidRDefault="00DD397E">
      <w:pPr>
        <w:jc w:val="both"/>
        <w:rPr>
          <w:rFonts w:ascii="Arial" w:hAnsi="Arial" w:cs="Arial"/>
        </w:rPr>
      </w:pPr>
      <w:r w:rsidRPr="00CD2307">
        <w:rPr>
          <w:rFonts w:ascii="Arial" w:hAnsi="Arial" w:cs="Arial"/>
        </w:rPr>
        <w:t xml:space="preserve"> L'Argentine a adhéré à la "Décennie internationale des personnes d'ascendance africaine" par le décret 658/2017</w:t>
      </w:r>
      <w:r w:rsidRPr="00185CBA">
        <w:rPr>
          <w:rFonts w:ascii="Arial" w:hAnsi="Arial" w:cs="Arial"/>
          <w:vertAlign w:val="superscript"/>
        </w:rPr>
        <w:footnoteReference w:id="33"/>
      </w:r>
      <w:r w:rsidRPr="00CD2307">
        <w:rPr>
          <w:rFonts w:ascii="Arial" w:hAnsi="Arial" w:cs="Arial"/>
        </w:rPr>
        <w:t xml:space="preserve"> et a désigné le secrétariat aux droits de l'homme et au pluralisme culturel du ministère national de la justice et des droits de l'homme</w:t>
      </w:r>
      <w:r w:rsidRPr="00CD2307">
        <w:rPr>
          <w:rFonts w:ascii="Arial" w:hAnsi="Arial" w:cs="Arial"/>
        </w:rPr>
        <w:t xml:space="preserve"> comme unité de coordination des actions à mettre en œuvre sur le territoire. Par la résolution 682/2022</w:t>
      </w:r>
      <w:r w:rsidRPr="00185CBA">
        <w:rPr>
          <w:rFonts w:ascii="Arial" w:hAnsi="Arial" w:cs="Arial"/>
          <w:vertAlign w:val="superscript"/>
        </w:rPr>
        <w:footnoteReference w:id="34"/>
      </w:r>
      <w:r w:rsidRPr="00CD2307">
        <w:rPr>
          <w:rFonts w:ascii="Arial" w:hAnsi="Arial" w:cs="Arial"/>
        </w:rPr>
        <w:t xml:space="preserve"> , le ministre de la justice et des droits de l'homme a créé le Programme national pour les Afro-descendants et les droits de l'homme pour la mise en </w:t>
      </w:r>
      <w:r w:rsidRPr="00CD2307">
        <w:rPr>
          <w:rFonts w:ascii="Arial" w:hAnsi="Arial" w:cs="Arial"/>
        </w:rPr>
        <w:t xml:space="preserve">œuvre, la promotion et l'accès aux droits de l'homme et aux politiques publiques en faveur de la population afro-argentine, afro-descendante et africaine du pays, dans une perspective d'équité ethnique et raciale, dans le cadre de la Direction de l'équité </w:t>
      </w:r>
      <w:r w:rsidRPr="00CD2307">
        <w:rPr>
          <w:rFonts w:ascii="Arial" w:hAnsi="Arial" w:cs="Arial"/>
        </w:rPr>
        <w:t>raciale, des migrants et des réfugiés.</w:t>
      </w:r>
    </w:p>
    <w:p w14:paraId="5B3EF344" w14:textId="77777777" w:rsidR="00C21F39" w:rsidRDefault="00DD397E">
      <w:pPr>
        <w:jc w:val="both"/>
        <w:rPr>
          <w:rFonts w:ascii="Arial" w:hAnsi="Arial" w:cs="Arial"/>
        </w:rPr>
      </w:pPr>
      <w:r w:rsidRPr="00CD2307">
        <w:rPr>
          <w:rFonts w:ascii="Arial" w:hAnsi="Arial" w:cs="Arial"/>
        </w:rPr>
        <w:t>Afin de faire progresser la mise en œuvre du plan national afro, l'État indique publiquement qu'il a travaillé sur trois axes : la reconnaissance, qui implique l'adoption de mesures pour la jouissance des droits et la</w:t>
      </w:r>
      <w:r w:rsidRPr="00CD2307">
        <w:rPr>
          <w:rFonts w:ascii="Arial" w:hAnsi="Arial" w:cs="Arial"/>
        </w:rPr>
        <w:t xml:space="preserve"> participation dans tous les domaines de la société ; le développement, pour promouvoir le respect de la diversité du patrimoine et de la culture afro et sa contribution au développement des sociétés ; et la justice, pour </w:t>
      </w:r>
      <w:r w:rsidRPr="00CD2307">
        <w:rPr>
          <w:rFonts w:ascii="Arial" w:hAnsi="Arial" w:cs="Arial"/>
        </w:rPr>
        <w:lastRenderedPageBreak/>
        <w:t xml:space="preserve">assurer la mise en œuvre complète </w:t>
      </w:r>
      <w:r w:rsidRPr="00CD2307">
        <w:rPr>
          <w:rFonts w:ascii="Arial" w:hAnsi="Arial" w:cs="Arial"/>
        </w:rPr>
        <w:t>et effective de la Convention internationale sur l'élimination de toutes les formes de discrimination raciale</w:t>
      </w:r>
      <w:r w:rsidRPr="00185CBA">
        <w:rPr>
          <w:rFonts w:ascii="Arial" w:hAnsi="Arial" w:cs="Arial"/>
          <w:vertAlign w:val="superscript"/>
        </w:rPr>
        <w:footnoteReference w:id="35"/>
      </w:r>
      <w:r w:rsidRPr="00CD2307">
        <w:rPr>
          <w:rFonts w:ascii="Arial" w:hAnsi="Arial" w:cs="Arial"/>
        </w:rPr>
        <w:t xml:space="preserve"> .</w:t>
      </w:r>
    </w:p>
    <w:p w14:paraId="19076447" w14:textId="77777777" w:rsidR="00C21F39" w:rsidRDefault="00DD397E">
      <w:pPr>
        <w:jc w:val="both"/>
        <w:rPr>
          <w:rFonts w:ascii="Arial" w:hAnsi="Arial" w:cs="Arial"/>
        </w:rPr>
      </w:pPr>
      <w:r w:rsidRPr="00CD2307">
        <w:rPr>
          <w:rFonts w:ascii="Arial" w:hAnsi="Arial" w:cs="Arial"/>
        </w:rPr>
        <w:t>Selon eux, ils ont travaillé dans le cadre de conversations, de liaisons et d'articulations avec différentes équipes d'organismes nationaux, d</w:t>
      </w:r>
      <w:r w:rsidRPr="00CD2307">
        <w:rPr>
          <w:rFonts w:ascii="Arial" w:hAnsi="Arial" w:cs="Arial"/>
        </w:rPr>
        <w:t>'où ont émergé des propositions et des engagements qui n'ont pas encore été traduits en objectifs concrets et mesurables pour la population afro-argentine, afro-descendante et africaine, car le plan national afro n'a pas encore été formalisé dans un instru</w:t>
      </w:r>
      <w:r w:rsidRPr="00CD2307">
        <w:rPr>
          <w:rFonts w:ascii="Arial" w:hAnsi="Arial" w:cs="Arial"/>
        </w:rPr>
        <w:t>ment qui fixe des objectifs, des buts, des indicateurs et des délais pour sa mise en œuvre.</w:t>
      </w:r>
    </w:p>
    <w:p w14:paraId="4B9EB2D6" w14:textId="77777777" w:rsidR="00CD2307" w:rsidRPr="00CD2307" w:rsidRDefault="00CD2307" w:rsidP="00CD2307">
      <w:pPr>
        <w:jc w:val="both"/>
        <w:rPr>
          <w:rFonts w:ascii="Arial" w:hAnsi="Arial" w:cs="Arial"/>
        </w:rPr>
      </w:pPr>
    </w:p>
    <w:p w14:paraId="223F9AAE" w14:textId="77777777" w:rsidR="00C21F39" w:rsidRDefault="00DD397E">
      <w:pPr>
        <w:jc w:val="both"/>
        <w:rPr>
          <w:rFonts w:ascii="Arial" w:hAnsi="Arial" w:cs="Arial"/>
          <w:b/>
          <w:lang w:val="es-ES"/>
        </w:rPr>
      </w:pPr>
      <w:r w:rsidRPr="00CD2307">
        <w:rPr>
          <w:rFonts w:ascii="Arial" w:hAnsi="Arial" w:cs="Arial"/>
          <w:b/>
          <w:lang w:val="es-ES"/>
        </w:rPr>
        <w:t>Situation des populations autochtones, des descendants d'Africains et des autres minorités (art. 2 et 5)</w:t>
      </w:r>
    </w:p>
    <w:p w14:paraId="7D1DBE01" w14:textId="77777777" w:rsidR="00C21F39" w:rsidRDefault="00DD397E">
      <w:pPr>
        <w:jc w:val="both"/>
        <w:rPr>
          <w:rFonts w:ascii="Arial" w:hAnsi="Arial" w:cs="Arial"/>
          <w:lang w:val="es-ES"/>
        </w:rPr>
      </w:pPr>
      <w:r w:rsidRPr="00CD2307">
        <w:rPr>
          <w:rFonts w:ascii="Arial" w:hAnsi="Arial" w:cs="Arial"/>
          <w:b/>
          <w:lang w:val="es-ES"/>
        </w:rPr>
        <w:t>10</w:t>
      </w:r>
      <w:r w:rsidRPr="00CD2307">
        <w:rPr>
          <w:rFonts w:ascii="Arial" w:hAnsi="Arial" w:cs="Arial"/>
          <w:lang w:val="es-ES"/>
        </w:rPr>
        <w:t>.- Comme l'État national l'a indiqué en détail dans ses 24e à 26e rapports périodiques, divers organismes ont été créés au sein de l'administration publique nationale avec pour mission de promouvoir les droits de l'homme, en particulier ceux qui se consacr</w:t>
      </w:r>
      <w:r w:rsidRPr="00CD2307">
        <w:rPr>
          <w:rFonts w:ascii="Arial" w:hAnsi="Arial" w:cs="Arial"/>
          <w:lang w:val="es-ES"/>
        </w:rPr>
        <w:t>ent à la représentation de la population autochtone, des Afro-descendants, des migrants, des demandeurs d'asile, des réfugiés et d'autres minorités. Sans préjudice de leur valeur dans la sensibilisation de la société, de l'inclusion progressive dans la par</w:t>
      </w:r>
      <w:r w:rsidRPr="00CD2307">
        <w:rPr>
          <w:rFonts w:ascii="Arial" w:hAnsi="Arial" w:cs="Arial"/>
          <w:lang w:val="es-ES"/>
        </w:rPr>
        <w:t>ticipation de ces minorités et du travail qu'ils ont réalisé sur le terrain, leurs résultats n'ont pas été systématisés ou traduits en politiques publiques efficaces pour la protection et la défense contre la discrimination structurelle et les multiples fo</w:t>
      </w:r>
      <w:r w:rsidRPr="00CD2307">
        <w:rPr>
          <w:rFonts w:ascii="Arial" w:hAnsi="Arial" w:cs="Arial"/>
          <w:lang w:val="es-ES"/>
        </w:rPr>
        <w:t>rmes de discrimination qui affectent ces minorités.</w:t>
      </w:r>
    </w:p>
    <w:p w14:paraId="790F206D" w14:textId="77777777" w:rsidR="00CD2307" w:rsidRPr="00CD2307" w:rsidRDefault="00CD2307" w:rsidP="00CD2307">
      <w:pPr>
        <w:jc w:val="both"/>
        <w:rPr>
          <w:rFonts w:ascii="Arial" w:hAnsi="Arial" w:cs="Arial"/>
          <w:lang w:val="es-ES"/>
        </w:rPr>
      </w:pPr>
    </w:p>
    <w:p w14:paraId="545BDD5F" w14:textId="77777777" w:rsidR="00C21F39" w:rsidRDefault="00DD397E">
      <w:pPr>
        <w:jc w:val="both"/>
        <w:rPr>
          <w:rFonts w:ascii="Arial" w:hAnsi="Arial" w:cs="Arial"/>
          <w:lang w:val="es-ES"/>
        </w:rPr>
      </w:pPr>
      <w:r w:rsidRPr="00CD2307">
        <w:rPr>
          <w:rFonts w:ascii="Arial" w:hAnsi="Arial" w:cs="Arial"/>
          <w:b/>
          <w:lang w:val="es-ES"/>
        </w:rPr>
        <w:t>11</w:t>
      </w:r>
      <w:r w:rsidRPr="00CD2307">
        <w:rPr>
          <w:rFonts w:ascii="Arial" w:hAnsi="Arial" w:cs="Arial"/>
          <w:lang w:val="es-ES"/>
        </w:rPr>
        <w:t>.- Afin de prévenir, de punir et de réparer les violations des droits de l'homme commises par les institutions de l'État, des bureaux ont été créés au sein de différents organes pour s'occuper et trait</w:t>
      </w:r>
      <w:r w:rsidRPr="00CD2307">
        <w:rPr>
          <w:rFonts w:ascii="Arial" w:hAnsi="Arial" w:cs="Arial"/>
          <w:lang w:val="es-ES"/>
        </w:rPr>
        <w:t>er le problème de la violence institutionnelle.</w:t>
      </w:r>
    </w:p>
    <w:p w14:paraId="63487561" w14:textId="77777777" w:rsidR="00C21F39" w:rsidRDefault="00DD397E">
      <w:pPr>
        <w:jc w:val="both"/>
        <w:rPr>
          <w:rFonts w:ascii="Arial" w:hAnsi="Arial" w:cs="Arial"/>
          <w:lang w:val="es-ES"/>
        </w:rPr>
      </w:pPr>
      <w:r w:rsidRPr="00CD2307">
        <w:rPr>
          <w:rFonts w:ascii="Arial" w:hAnsi="Arial" w:cs="Arial"/>
          <w:lang w:val="es-ES"/>
        </w:rPr>
        <w:t xml:space="preserve">Le Secrétariat aux droits de l'homme, par l'intermédiaire de la Direction nationale des politiques contre la violence institutionnelle, s'occupe spécifiquement de cette question. Presque toutes les provinces </w:t>
      </w:r>
      <w:r w:rsidRPr="00CD2307">
        <w:rPr>
          <w:rFonts w:ascii="Arial" w:hAnsi="Arial" w:cs="Arial"/>
          <w:lang w:val="es-ES"/>
        </w:rPr>
        <w:t>disposent d'un secteur spécifique sur la violence institutionnelle dans leurs bureaux des droits de l'homme, et il existe même des bureaux de procureurs spécialisés sur le sujet. Les politiques élaborées par la Direction nationale comprennent des publicati</w:t>
      </w:r>
      <w:r w:rsidRPr="00CD2307">
        <w:rPr>
          <w:rFonts w:ascii="Arial" w:hAnsi="Arial" w:cs="Arial"/>
          <w:lang w:val="es-ES"/>
        </w:rPr>
        <w:t>ons et des informations générales mises à la disposition de la communauté</w:t>
      </w:r>
      <w:r w:rsidRPr="00185CBA">
        <w:rPr>
          <w:rFonts w:ascii="Arial" w:hAnsi="Arial" w:cs="Arial"/>
          <w:vertAlign w:val="superscript"/>
          <w:lang w:val="es-ES"/>
        </w:rPr>
        <w:footnoteReference w:id="36"/>
      </w:r>
      <w:r w:rsidRPr="00CD2307">
        <w:rPr>
          <w:rFonts w:ascii="Arial" w:hAnsi="Arial" w:cs="Arial"/>
          <w:lang w:val="es-ES"/>
        </w:rPr>
        <w:t xml:space="preserve"> . </w:t>
      </w:r>
    </w:p>
    <w:p w14:paraId="6DCBEB58" w14:textId="77777777" w:rsidR="00C21F39" w:rsidRDefault="00DD397E">
      <w:pPr>
        <w:jc w:val="both"/>
        <w:rPr>
          <w:rFonts w:ascii="Arial" w:hAnsi="Arial" w:cs="Arial"/>
          <w:lang w:val="es-ES"/>
        </w:rPr>
      </w:pPr>
      <w:r w:rsidRPr="00CD2307">
        <w:rPr>
          <w:rFonts w:ascii="Arial" w:hAnsi="Arial" w:cs="Arial"/>
          <w:lang w:val="es-ES"/>
        </w:rPr>
        <w:t>Bien que cette direction produise des rapports annuels dans lesquels elle fournit des informations sur les plaintes reçues dans tout le pays concernant la violence institutionne</w:t>
      </w:r>
      <w:r w:rsidRPr="00CD2307">
        <w:rPr>
          <w:rFonts w:ascii="Arial" w:hAnsi="Arial" w:cs="Arial"/>
          <w:lang w:val="es-ES"/>
        </w:rPr>
        <w:t>lle, y compris la violence policière, elle ne fournit pas de données ventilées par groupe ethnique, sexe et nationalité des victimes de violence de la part d'agents des forces de l'ordre.</w:t>
      </w:r>
    </w:p>
    <w:p w14:paraId="43107865" w14:textId="77777777" w:rsidR="00C21F39" w:rsidRDefault="00DD397E">
      <w:pPr>
        <w:jc w:val="both"/>
        <w:rPr>
          <w:rFonts w:ascii="Arial" w:hAnsi="Arial" w:cs="Arial"/>
          <w:lang w:val="es-ES"/>
        </w:rPr>
      </w:pPr>
      <w:r w:rsidRPr="00CD2307">
        <w:rPr>
          <w:rFonts w:ascii="Arial" w:hAnsi="Arial" w:cs="Arial"/>
          <w:lang w:val="es-ES"/>
        </w:rPr>
        <w:t xml:space="preserve">Au sein du ministère public se trouve le bureau du procureur chargé </w:t>
      </w:r>
      <w:r w:rsidRPr="00CD2307">
        <w:rPr>
          <w:rFonts w:ascii="Arial" w:hAnsi="Arial" w:cs="Arial"/>
          <w:lang w:val="es-ES"/>
        </w:rPr>
        <w:t>de la violence institutionnelle (PROCUVIN</w:t>
      </w:r>
      <w:r w:rsidRPr="00185CBA">
        <w:rPr>
          <w:rFonts w:ascii="Arial" w:hAnsi="Arial" w:cs="Arial"/>
          <w:vertAlign w:val="superscript"/>
          <w:lang w:val="es-ES"/>
        </w:rPr>
        <w:footnoteReference w:id="37"/>
      </w:r>
      <w:r w:rsidRPr="00CD2307">
        <w:rPr>
          <w:rFonts w:ascii="Arial" w:hAnsi="Arial" w:cs="Arial"/>
          <w:lang w:val="es-ES"/>
        </w:rPr>
        <w:t xml:space="preserve"> ), conformément à la résolution PGN n° 455/13, créé pour adapter et promouvoir les actions pénales et l'orientation des enquêtes et des poursuites </w:t>
      </w:r>
      <w:r w:rsidRPr="00CD2307">
        <w:rPr>
          <w:rFonts w:ascii="Arial" w:hAnsi="Arial" w:cs="Arial"/>
          <w:lang w:val="es-ES"/>
        </w:rPr>
        <w:lastRenderedPageBreak/>
        <w:t>concernant les pratiques illégales perpétrées par des agents de l</w:t>
      </w:r>
      <w:r w:rsidRPr="00CD2307">
        <w:rPr>
          <w:rFonts w:ascii="Arial" w:hAnsi="Arial" w:cs="Arial"/>
          <w:lang w:val="es-ES"/>
        </w:rPr>
        <w:t xml:space="preserve">'État, qui portent atteinte à la liberté, à l'intégrité, à la dignité et à la vie des personnes en état de vulnérabilité. </w:t>
      </w:r>
    </w:p>
    <w:p w14:paraId="69E7840B" w14:textId="77777777" w:rsidR="00C21F39" w:rsidRDefault="00DD397E">
      <w:pPr>
        <w:jc w:val="both"/>
        <w:rPr>
          <w:rFonts w:ascii="Arial" w:hAnsi="Arial" w:cs="Arial"/>
          <w:lang w:val="es-ES"/>
        </w:rPr>
      </w:pPr>
      <w:r w:rsidRPr="00CD2307">
        <w:rPr>
          <w:rFonts w:ascii="Arial" w:hAnsi="Arial" w:cs="Arial"/>
          <w:lang w:val="es-ES"/>
        </w:rPr>
        <w:t>La Direction générale pour le soutien, l'orientation et la protection des victimes (DOVIC) a également été créée par la résolution PG</w:t>
      </w:r>
      <w:r w:rsidRPr="00CD2307">
        <w:rPr>
          <w:rFonts w:ascii="Arial" w:hAnsi="Arial" w:cs="Arial"/>
          <w:lang w:val="es-ES"/>
        </w:rPr>
        <w:t>N N°1105/2014, afin de garantir une approche interdisciplinaire et spécialisée aux victimes de certains phénomènes criminels complexes, qui, en raison de différents facteurs, sont placées dans des conditions de vulnérabilité et d'impuissance maximales et d</w:t>
      </w:r>
      <w:r w:rsidRPr="00CD2307">
        <w:rPr>
          <w:rFonts w:ascii="Arial" w:hAnsi="Arial" w:cs="Arial"/>
          <w:lang w:val="es-ES"/>
        </w:rPr>
        <w:t>ont le soutien tout au long du processus pénal est essentiel. Il a notamment pour mission de promouvoir un plan d'éducation et de formation pour les membres du ministère public chargés d'interagir avec les victimes et les témoins, et de guider les activité</w:t>
      </w:r>
      <w:r w:rsidRPr="00CD2307">
        <w:rPr>
          <w:rFonts w:ascii="Arial" w:hAnsi="Arial" w:cs="Arial"/>
          <w:lang w:val="es-ES"/>
        </w:rPr>
        <w:t>s de toutes les unités par la formulation de protocoles d'action conformément aux caractéristiques communes des différents groupes de victimes.</w:t>
      </w:r>
      <w:r w:rsidRPr="00185CBA">
        <w:rPr>
          <w:rFonts w:ascii="Arial" w:hAnsi="Arial" w:cs="Arial"/>
          <w:vertAlign w:val="superscript"/>
          <w:lang w:val="es-ES"/>
        </w:rPr>
        <w:footnoteReference w:id="38"/>
      </w:r>
    </w:p>
    <w:p w14:paraId="71C19387" w14:textId="77777777" w:rsidR="00C21F39" w:rsidRDefault="00DD397E">
      <w:pPr>
        <w:jc w:val="both"/>
        <w:rPr>
          <w:rFonts w:ascii="Arial" w:hAnsi="Arial" w:cs="Arial"/>
          <w:lang w:val="es-ES"/>
        </w:rPr>
      </w:pPr>
      <w:r w:rsidRPr="00CD2307">
        <w:rPr>
          <w:rFonts w:ascii="Arial" w:hAnsi="Arial" w:cs="Arial"/>
          <w:lang w:val="es-ES"/>
        </w:rPr>
        <w:t>Tous deux produisent et systématisent des informations</w:t>
      </w:r>
      <w:r w:rsidRPr="00185CBA">
        <w:rPr>
          <w:rFonts w:ascii="Arial" w:hAnsi="Arial" w:cs="Arial"/>
          <w:vertAlign w:val="superscript"/>
          <w:lang w:val="es-ES"/>
        </w:rPr>
        <w:footnoteReference w:id="39"/>
      </w:r>
      <w:r w:rsidRPr="00CD2307">
        <w:rPr>
          <w:rFonts w:ascii="Arial" w:hAnsi="Arial" w:cs="Arial"/>
          <w:lang w:val="es-ES"/>
        </w:rPr>
        <w:t xml:space="preserve"> qui sont précieuses pour l'analyse et la ventilation </w:t>
      </w:r>
      <w:r w:rsidRPr="00CD2307">
        <w:rPr>
          <w:rFonts w:ascii="Arial" w:hAnsi="Arial" w:cs="Arial"/>
          <w:lang w:val="es-ES"/>
        </w:rPr>
        <w:t>des données sur les minorités, mais ces informations sont partielles car les deux organismes ne sont compétents que pour les affaires fédérales dans l'ensemble du pays et dans la capitale fédérale.</w:t>
      </w:r>
    </w:p>
    <w:p w14:paraId="2A4593B6" w14:textId="77777777" w:rsidR="00CD2307" w:rsidRPr="00CD2307" w:rsidRDefault="00CD2307" w:rsidP="00CD2307">
      <w:pPr>
        <w:jc w:val="both"/>
        <w:rPr>
          <w:rFonts w:ascii="Arial" w:hAnsi="Arial" w:cs="Arial"/>
          <w:b/>
          <w:lang w:val="es-ES"/>
        </w:rPr>
      </w:pPr>
    </w:p>
    <w:p w14:paraId="4A4075B9" w14:textId="77777777" w:rsidR="00C21F39" w:rsidRDefault="00DD397E">
      <w:pPr>
        <w:jc w:val="both"/>
        <w:rPr>
          <w:rFonts w:ascii="Arial" w:hAnsi="Arial" w:cs="Arial"/>
          <w:lang w:val="es-ES"/>
        </w:rPr>
      </w:pPr>
      <w:r w:rsidRPr="00CD2307">
        <w:rPr>
          <w:rFonts w:ascii="Arial" w:hAnsi="Arial" w:cs="Arial"/>
          <w:b/>
          <w:lang w:val="es-ES"/>
        </w:rPr>
        <w:t>12</w:t>
      </w:r>
      <w:r w:rsidRPr="00CD2307">
        <w:rPr>
          <w:rFonts w:ascii="Arial" w:hAnsi="Arial" w:cs="Arial"/>
          <w:lang w:val="es-ES"/>
        </w:rPr>
        <w:t>.- L'État argentin reconnaît expressément la liberté de</w:t>
      </w:r>
      <w:r w:rsidRPr="00CD2307">
        <w:rPr>
          <w:rFonts w:ascii="Arial" w:hAnsi="Arial" w:cs="Arial"/>
          <w:lang w:val="es-ES"/>
        </w:rPr>
        <w:t xml:space="preserve"> réunion depuis l'inclusion des traités internationaux relatifs aux droits de l'homme dans notre Constitution nationale (art. 75 inc. 22)</w:t>
      </w:r>
      <w:r w:rsidRPr="00185CBA">
        <w:rPr>
          <w:rFonts w:ascii="Arial" w:hAnsi="Arial" w:cs="Arial"/>
          <w:vertAlign w:val="superscript"/>
          <w:lang w:val="es-ES"/>
        </w:rPr>
        <w:footnoteReference w:id="40"/>
      </w:r>
      <w:r w:rsidRPr="00CD2307">
        <w:rPr>
          <w:rFonts w:ascii="Arial" w:hAnsi="Arial" w:cs="Arial"/>
          <w:lang w:val="es-ES"/>
        </w:rPr>
        <w:t xml:space="preserve"> . </w:t>
      </w:r>
    </w:p>
    <w:p w14:paraId="25F1146C" w14:textId="77777777" w:rsidR="00C21F39" w:rsidRDefault="00DD397E">
      <w:pPr>
        <w:jc w:val="both"/>
        <w:rPr>
          <w:rFonts w:ascii="Arial" w:hAnsi="Arial" w:cs="Arial"/>
          <w:lang w:val="es-ES"/>
        </w:rPr>
      </w:pPr>
      <w:r w:rsidRPr="00CD2307">
        <w:rPr>
          <w:rFonts w:ascii="Arial" w:hAnsi="Arial" w:cs="Arial"/>
          <w:lang w:val="es-ES"/>
        </w:rPr>
        <w:t>Les matériaux les plus fréquemment utilisés pour repousser les agressions qui peuvent se produire lors des manife</w:t>
      </w:r>
      <w:r w:rsidRPr="00CD2307">
        <w:rPr>
          <w:rFonts w:ascii="Arial" w:hAnsi="Arial" w:cs="Arial"/>
          <w:lang w:val="es-ES"/>
        </w:rPr>
        <w:t>stations en Argentine sont l'utilisation de balles en caoutchouc, dont l'utilisation est réglementée par la résolution N°956/2018 du ministère de la Sécurité de la Nation qui approuve le "Règlement général pour l'utilisation des armes à feu par les membres</w:t>
      </w:r>
      <w:r w:rsidRPr="00CD2307">
        <w:rPr>
          <w:rFonts w:ascii="Arial" w:hAnsi="Arial" w:cs="Arial"/>
          <w:lang w:val="es-ES"/>
        </w:rPr>
        <w:t xml:space="preserve"> des forces de sécurité fédérales", le gaz lacrymogène, les marqueurs de peinture et les matraques en bois. L'utilisation abusive de ces matériels a causé des blessures, des dommages à des manifestants qui ne participaient pas aux agressions et d'autres do</w:t>
      </w:r>
      <w:r w:rsidRPr="00CD2307">
        <w:rPr>
          <w:rFonts w:ascii="Arial" w:hAnsi="Arial" w:cs="Arial"/>
          <w:lang w:val="es-ES"/>
        </w:rPr>
        <w:t xml:space="preserve">mmages qui auraient pu être évités si les forces de sécurité avaient été formées à leur utilisation conformément aux normes internationales. </w:t>
      </w:r>
    </w:p>
    <w:p w14:paraId="2CA94163" w14:textId="77777777" w:rsidR="00C21F39" w:rsidRDefault="00DD397E">
      <w:pPr>
        <w:jc w:val="both"/>
        <w:rPr>
          <w:rFonts w:ascii="Arial" w:hAnsi="Arial" w:cs="Arial"/>
          <w:lang w:val="es-ES"/>
        </w:rPr>
      </w:pPr>
      <w:r w:rsidRPr="00CD2307">
        <w:rPr>
          <w:rFonts w:ascii="Arial" w:hAnsi="Arial" w:cs="Arial"/>
          <w:lang w:val="es-ES"/>
        </w:rPr>
        <w:t>Il convient de préciser que le ministère de la sécurité nationale a approuvé, par la résolution n°210/2011, le doc</w:t>
      </w:r>
      <w:r w:rsidRPr="00CD2307">
        <w:rPr>
          <w:rFonts w:ascii="Arial" w:hAnsi="Arial" w:cs="Arial"/>
          <w:lang w:val="es-ES"/>
        </w:rPr>
        <w:t>ument intitulé "Critères minimaux pour l'élaboration de protocoles d'action de la police et des forces de sécurité fédérales lors de manifestations publiques", qui fixe les limites de l'action policière, en soulignant la non-utilisation d'armes à feu, bien</w:t>
      </w:r>
      <w:r w:rsidRPr="00CD2307">
        <w:rPr>
          <w:rFonts w:ascii="Arial" w:hAnsi="Arial" w:cs="Arial"/>
          <w:lang w:val="es-ES"/>
        </w:rPr>
        <w:t xml:space="preserve"> qu'il n'ait pas encore été rendu public. </w:t>
      </w:r>
    </w:p>
    <w:p w14:paraId="743E37BF" w14:textId="77777777" w:rsidR="00C21F39" w:rsidRDefault="00DD397E">
      <w:pPr>
        <w:jc w:val="both"/>
        <w:rPr>
          <w:rFonts w:ascii="Arial" w:hAnsi="Arial" w:cs="Arial"/>
          <w:lang w:val="es-ES"/>
        </w:rPr>
      </w:pPr>
      <w:r w:rsidRPr="00CD2307">
        <w:rPr>
          <w:rFonts w:ascii="Arial" w:hAnsi="Arial" w:cs="Arial"/>
          <w:lang w:val="es-ES"/>
        </w:rPr>
        <w:t>Par la suite, en 2016, le ministère a publié le document "Protocole d'action dans les manifestations publiques", qui réglemente les actions des forces de sécurité dans les manifestations publiques. Ce document n'a été approuvé que par le Conseil de sécurit</w:t>
      </w:r>
      <w:r w:rsidRPr="00CD2307">
        <w:rPr>
          <w:rFonts w:ascii="Arial" w:hAnsi="Arial" w:cs="Arial"/>
          <w:lang w:val="es-ES"/>
        </w:rPr>
        <w:t xml:space="preserve">é </w:t>
      </w:r>
      <w:r w:rsidRPr="00CD2307">
        <w:rPr>
          <w:rFonts w:ascii="Arial" w:hAnsi="Arial" w:cs="Arial"/>
          <w:lang w:val="es-ES"/>
        </w:rPr>
        <w:lastRenderedPageBreak/>
        <w:t>intérieure, mais n'a jamais été formalisé ou rendu officiel par un décret, une résolution ou une disposition du ministère.</w:t>
      </w:r>
    </w:p>
    <w:p w14:paraId="11ED90DA" w14:textId="77777777" w:rsidR="00C21F39" w:rsidRDefault="00DD397E">
      <w:pPr>
        <w:jc w:val="both"/>
        <w:rPr>
          <w:rFonts w:ascii="Arial" w:hAnsi="Arial" w:cs="Arial"/>
          <w:lang w:val="es-ES"/>
        </w:rPr>
      </w:pPr>
      <w:r w:rsidRPr="00CD2307">
        <w:rPr>
          <w:rFonts w:ascii="Arial" w:hAnsi="Arial" w:cs="Arial"/>
          <w:lang w:val="es-ES"/>
        </w:rPr>
        <w:t>Le Bureau du Médiateur est préoccupé par l'absence de réglementation nationale sur la manière dont les forces de sécurité doivent a</w:t>
      </w:r>
      <w:r w:rsidRPr="00CD2307">
        <w:rPr>
          <w:rFonts w:ascii="Arial" w:hAnsi="Arial" w:cs="Arial"/>
          <w:lang w:val="es-ES"/>
        </w:rPr>
        <w:t>gir lors des manifestations publiques, qui soit conforme aux normes internationales en la matière, afin d'éviter un recours excessif, arbitraire et inutile à la force par les officiers de police qui ont l'obligation de protéger les manifestants et de veill</w:t>
      </w:r>
      <w:r w:rsidRPr="00CD2307">
        <w:rPr>
          <w:rFonts w:ascii="Arial" w:hAnsi="Arial" w:cs="Arial"/>
          <w:lang w:val="es-ES"/>
        </w:rPr>
        <w:t>er à ce que les manifestations se déroulent dans le respect des droits de l'homme.</w:t>
      </w:r>
    </w:p>
    <w:p w14:paraId="61DAB56A" w14:textId="77777777" w:rsidR="00C21F39" w:rsidRDefault="00DD397E">
      <w:pPr>
        <w:jc w:val="both"/>
        <w:rPr>
          <w:rFonts w:ascii="Arial" w:hAnsi="Arial" w:cs="Arial"/>
          <w:lang w:val="es-ES"/>
        </w:rPr>
      </w:pPr>
      <w:r w:rsidRPr="00CD2307">
        <w:rPr>
          <w:rFonts w:ascii="Arial" w:hAnsi="Arial" w:cs="Arial"/>
          <w:lang w:val="es-ES"/>
        </w:rPr>
        <w:t>Les mesures provinciales qui affectent directement le droit des minorités à manifester, comme le cas récent de Salta, où se concentrent un grand nombre de communautés indigè</w:t>
      </w:r>
      <w:r w:rsidRPr="00CD2307">
        <w:rPr>
          <w:rFonts w:ascii="Arial" w:hAnsi="Arial" w:cs="Arial"/>
          <w:lang w:val="es-ES"/>
        </w:rPr>
        <w:t>nes, sont également préoccupantes. Le décret 91/23</w:t>
      </w:r>
      <w:r w:rsidRPr="00185CBA">
        <w:rPr>
          <w:rFonts w:ascii="Arial" w:hAnsi="Arial" w:cs="Arial"/>
          <w:vertAlign w:val="superscript"/>
          <w:lang w:val="es-ES"/>
        </w:rPr>
        <w:footnoteReference w:id="41"/>
      </w:r>
      <w:r w:rsidRPr="00CD2307">
        <w:rPr>
          <w:rFonts w:ascii="Arial" w:hAnsi="Arial" w:cs="Arial"/>
          <w:lang w:val="es-ES"/>
        </w:rPr>
        <w:t xml:space="preserve"> a approuvé le "protocole d'action des forces de sécurité de l'État provincial dans les manifestations publiques", qui a été fortement remis en question par les organisations de la société civile et par l</w:t>
      </w:r>
      <w:r w:rsidRPr="00CD2307">
        <w:rPr>
          <w:rFonts w:ascii="Arial" w:hAnsi="Arial" w:cs="Arial"/>
          <w:lang w:val="es-ES"/>
        </w:rPr>
        <w:t>e comité provincial pour la prévention de la torture et autres peines ou traitements cruels, inhumains ou dégradants de cette province, qui a recommandé son abrogation au motif que sa raison d'être est générique et qu'elle ne reconnaît pas le droit de mani</w:t>
      </w:r>
      <w:r w:rsidRPr="00CD2307">
        <w:rPr>
          <w:rFonts w:ascii="Arial" w:hAnsi="Arial" w:cs="Arial"/>
          <w:lang w:val="es-ES"/>
        </w:rPr>
        <w:t>fester</w:t>
      </w:r>
      <w:r w:rsidRPr="00185CBA">
        <w:rPr>
          <w:rFonts w:ascii="Arial" w:hAnsi="Arial" w:cs="Arial"/>
          <w:vertAlign w:val="superscript"/>
          <w:lang w:val="es-ES"/>
        </w:rPr>
        <w:footnoteReference w:id="42"/>
      </w:r>
      <w:r w:rsidRPr="00CD2307">
        <w:rPr>
          <w:rFonts w:ascii="Arial" w:hAnsi="Arial" w:cs="Arial"/>
          <w:lang w:val="es-ES"/>
        </w:rPr>
        <w:t xml:space="preserve"> .</w:t>
      </w:r>
    </w:p>
    <w:p w14:paraId="1E6E8285" w14:textId="77777777" w:rsidR="00C21F39" w:rsidRDefault="00DD397E">
      <w:pPr>
        <w:jc w:val="both"/>
        <w:rPr>
          <w:rFonts w:ascii="Arial" w:hAnsi="Arial" w:cs="Arial"/>
          <w:lang w:val="es-ES"/>
        </w:rPr>
      </w:pPr>
      <w:r w:rsidRPr="00CD2307">
        <w:rPr>
          <w:rFonts w:ascii="Arial" w:hAnsi="Arial" w:cs="Arial"/>
          <w:lang w:val="es-ES"/>
        </w:rPr>
        <w:t>Afin de collaborer à l'exercice du devoir de l'État de garantir le respect des droits de l'homme des manifestants, le bureau du médiateur a dûment envoyé au ministère de la Sécurité le document que nous avons créé, avec d'autres bureaux du média</w:t>
      </w:r>
      <w:r w:rsidRPr="00CD2307">
        <w:rPr>
          <w:rFonts w:ascii="Arial" w:hAnsi="Arial" w:cs="Arial"/>
          <w:lang w:val="es-ES"/>
        </w:rPr>
        <w:t>teur de la région, intitulé "Directives pour l'observation des manifestations et des protestations sociales"</w:t>
      </w:r>
      <w:r w:rsidRPr="00185CBA">
        <w:rPr>
          <w:rFonts w:ascii="Arial" w:hAnsi="Arial" w:cs="Arial"/>
          <w:vertAlign w:val="superscript"/>
          <w:lang w:val="es-ES"/>
        </w:rPr>
        <w:footnoteReference w:id="43"/>
      </w:r>
      <w:r w:rsidRPr="00CD2307">
        <w:rPr>
          <w:rFonts w:ascii="Arial" w:hAnsi="Arial" w:cs="Arial"/>
          <w:lang w:val="es-ES"/>
        </w:rPr>
        <w:t xml:space="preserve"> avec le soutien du bureau régional pour l'Amérique du Sud du Haut-Commissariat des Nations unies aux droits de l'homme, qui a été téléchargé sur </w:t>
      </w:r>
      <w:r w:rsidRPr="00CD2307">
        <w:rPr>
          <w:rFonts w:ascii="Arial" w:hAnsi="Arial" w:cs="Arial"/>
          <w:lang w:val="es-ES"/>
        </w:rPr>
        <w:t xml:space="preserve">le portail officiel de l'État.  </w:t>
      </w:r>
    </w:p>
    <w:p w14:paraId="1091E815" w14:textId="77777777" w:rsidR="00C21F39" w:rsidRDefault="00DD397E">
      <w:pPr>
        <w:jc w:val="both"/>
        <w:rPr>
          <w:rFonts w:ascii="Arial" w:hAnsi="Arial" w:cs="Arial"/>
          <w:lang w:val="es-ES"/>
        </w:rPr>
      </w:pPr>
      <w:r w:rsidRPr="00CD2307">
        <w:rPr>
          <w:rFonts w:ascii="Arial" w:hAnsi="Arial" w:cs="Arial"/>
          <w:lang w:val="es-ES"/>
        </w:rPr>
        <w:t>Enfin, il convient de noter que, dans le cadre du Conseil de sécurité intérieure de 2020, un accord a été signé entre le ministère de la sécurité, le ministère de la justice, le ministère de l'environnement et du développem</w:t>
      </w:r>
      <w:r w:rsidRPr="00CD2307">
        <w:rPr>
          <w:rFonts w:ascii="Arial" w:hAnsi="Arial" w:cs="Arial"/>
          <w:lang w:val="es-ES"/>
        </w:rPr>
        <w:t>ent durable, l'INAI et l'administration des parcs nationaux, dans lequel ils ont convenu de mettre en place un mécanisme de résolution alternative des conflits territoriaux avec les peuples autochtones pour intervenir dans toutes les revendications qui les</w:t>
      </w:r>
      <w:r w:rsidRPr="00CD2307">
        <w:rPr>
          <w:rFonts w:ascii="Arial" w:hAnsi="Arial" w:cs="Arial"/>
          <w:lang w:val="es-ES"/>
        </w:rPr>
        <w:t xml:space="preserve"> incluent afin de trouver des solutions consensuelles et pacifiques.</w:t>
      </w:r>
    </w:p>
    <w:p w14:paraId="48813735" w14:textId="77777777" w:rsidR="00CD2307" w:rsidRPr="00CD2307" w:rsidRDefault="00CD2307" w:rsidP="00CD2307">
      <w:pPr>
        <w:jc w:val="both"/>
        <w:rPr>
          <w:rFonts w:ascii="Arial" w:hAnsi="Arial" w:cs="Arial"/>
          <w:b/>
          <w:lang w:val="es-ES"/>
        </w:rPr>
      </w:pPr>
    </w:p>
    <w:p w14:paraId="202FD455" w14:textId="77777777" w:rsidR="00C21F39" w:rsidRDefault="00DD397E">
      <w:pPr>
        <w:jc w:val="both"/>
        <w:rPr>
          <w:rFonts w:ascii="Arial" w:hAnsi="Arial" w:cs="Arial"/>
          <w:lang w:val="es-ES"/>
        </w:rPr>
      </w:pPr>
      <w:r w:rsidRPr="00CD2307">
        <w:rPr>
          <w:rFonts w:ascii="Arial" w:hAnsi="Arial" w:cs="Arial"/>
          <w:b/>
          <w:lang w:val="es-ES"/>
        </w:rPr>
        <w:t>13</w:t>
      </w:r>
      <w:r w:rsidRPr="00CD2307">
        <w:rPr>
          <w:rFonts w:ascii="Arial" w:hAnsi="Arial" w:cs="Arial"/>
          <w:lang w:val="es-ES"/>
        </w:rPr>
        <w:t>.- En ce qui concerne les mesures prises pour accroître la participation des minorités à la vie politique et aux affaires publiques à tous les niveaux du gouvernement, ainsi qu'aux postes de décision, il convient de souligner les actions menées par les org</w:t>
      </w:r>
      <w:r w:rsidRPr="00CD2307">
        <w:rPr>
          <w:rFonts w:ascii="Arial" w:hAnsi="Arial" w:cs="Arial"/>
          <w:lang w:val="es-ES"/>
        </w:rPr>
        <w:t>anes compétents pour l'inclusion et la participation des groupes de peuples autochtones, Il convient également de souligner la participation des minorités ethniques et d'autres minorités à des activités de sensibilisation contre la discrimination, de diffu</w:t>
      </w:r>
      <w:r w:rsidRPr="00CD2307">
        <w:rPr>
          <w:rFonts w:ascii="Arial" w:hAnsi="Arial" w:cs="Arial"/>
          <w:lang w:val="es-ES"/>
        </w:rPr>
        <w:t xml:space="preserve">sion de leur culture et de promotion de leurs droits, telles que la nomination de certains de leurs représentants dans la sphère publique, bien que l'on constate que leur représentation à </w:t>
      </w:r>
      <w:r w:rsidRPr="00CD2307">
        <w:rPr>
          <w:rFonts w:ascii="Arial" w:hAnsi="Arial" w:cs="Arial"/>
          <w:lang w:val="es-ES"/>
        </w:rPr>
        <w:lastRenderedPageBreak/>
        <w:t>tous les niveaux du gouvernement et dans la sphère privée est encore</w:t>
      </w:r>
      <w:r w:rsidRPr="00CD2307">
        <w:rPr>
          <w:rFonts w:ascii="Arial" w:hAnsi="Arial" w:cs="Arial"/>
          <w:lang w:val="es-ES"/>
        </w:rPr>
        <w:t xml:space="preserve"> reléguée en raison d'années d'exclusion de la société. </w:t>
      </w:r>
    </w:p>
    <w:p w14:paraId="65F17FD1" w14:textId="77777777" w:rsidR="00C21F39" w:rsidRDefault="00DD397E">
      <w:pPr>
        <w:jc w:val="both"/>
        <w:rPr>
          <w:rFonts w:ascii="Arial" w:hAnsi="Arial" w:cs="Arial"/>
          <w:lang w:val="es-ES"/>
        </w:rPr>
      </w:pPr>
      <w:r w:rsidRPr="00CD2307">
        <w:rPr>
          <w:rFonts w:ascii="Arial" w:hAnsi="Arial" w:cs="Arial"/>
          <w:lang w:val="es-ES"/>
        </w:rPr>
        <w:t>Il n'existe pas de données statistiques officielles publiques et ventilées sur la participation et l'incidence de ces groupes dans les secteurs public et privé.</w:t>
      </w:r>
    </w:p>
    <w:p w14:paraId="7CC164F1" w14:textId="77777777" w:rsidR="00C21F39" w:rsidRDefault="00DD397E">
      <w:pPr>
        <w:jc w:val="both"/>
        <w:rPr>
          <w:rFonts w:ascii="Arial" w:hAnsi="Arial" w:cs="Arial"/>
          <w:lang w:val="es-ES"/>
        </w:rPr>
      </w:pPr>
      <w:r w:rsidRPr="00CD2307">
        <w:rPr>
          <w:rFonts w:ascii="Arial" w:hAnsi="Arial" w:cs="Arial"/>
          <w:lang w:val="es-ES"/>
        </w:rPr>
        <w:t xml:space="preserve">Il serait important de promouvoir des </w:t>
      </w:r>
      <w:r w:rsidRPr="00CD2307">
        <w:rPr>
          <w:rFonts w:ascii="Arial" w:hAnsi="Arial" w:cs="Arial"/>
          <w:lang w:val="es-ES"/>
        </w:rPr>
        <w:t xml:space="preserve">actions visant à une plus grande intégration et représentation de ces groupes historiquement exclus dans les différentes sphères de l'État (judiciaire, exécutif, législatif et administration publique à tous les niveaux), par exemple par le biais de quotas </w:t>
      </w:r>
      <w:r w:rsidRPr="00CD2307">
        <w:rPr>
          <w:rFonts w:ascii="Arial" w:hAnsi="Arial" w:cs="Arial"/>
          <w:lang w:val="es-ES"/>
        </w:rPr>
        <w:t>établis dans des espaces qui garantissent la participation de ces minorités.</w:t>
      </w:r>
    </w:p>
    <w:p w14:paraId="224A6099" w14:textId="77777777" w:rsidR="00CD2307" w:rsidRPr="00CD2307" w:rsidRDefault="00CD2307" w:rsidP="00CD2307">
      <w:pPr>
        <w:jc w:val="both"/>
        <w:rPr>
          <w:rFonts w:ascii="Arial" w:hAnsi="Arial" w:cs="Arial"/>
          <w:color w:val="FF0000"/>
          <w:lang w:val="es-ES"/>
        </w:rPr>
      </w:pPr>
    </w:p>
    <w:p w14:paraId="1A68888E" w14:textId="77777777" w:rsidR="00C21F39" w:rsidRDefault="00DD397E">
      <w:pPr>
        <w:jc w:val="both"/>
        <w:rPr>
          <w:rFonts w:ascii="Arial" w:hAnsi="Arial" w:cs="Arial"/>
          <w:lang w:val="es-ES"/>
        </w:rPr>
      </w:pPr>
      <w:r w:rsidRPr="00CD2307">
        <w:rPr>
          <w:rFonts w:ascii="Arial" w:hAnsi="Arial" w:cs="Arial"/>
          <w:b/>
          <w:lang w:val="es-ES"/>
        </w:rPr>
        <w:t>14</w:t>
      </w:r>
      <w:r w:rsidRPr="00CD2307">
        <w:rPr>
          <w:rFonts w:ascii="Arial" w:hAnsi="Arial" w:cs="Arial"/>
          <w:lang w:val="es-ES"/>
        </w:rPr>
        <w:t>.- Les crises économiques successives en Argentine ont accru les inégalités, provoquant des niveaux élevés de pauvreté face aux politiques publiques peu énergiques mises en œuv</w:t>
      </w:r>
      <w:r w:rsidRPr="00CD2307">
        <w:rPr>
          <w:rFonts w:ascii="Arial" w:hAnsi="Arial" w:cs="Arial"/>
          <w:lang w:val="es-ES"/>
        </w:rPr>
        <w:t>re pour la réduire. Actuellement, selon les données officielles, 36,5 % de la population est pauvre, dont 8,8 % est indigente</w:t>
      </w:r>
      <w:r w:rsidRPr="00185CBA">
        <w:rPr>
          <w:rFonts w:ascii="Arial" w:hAnsi="Arial" w:cs="Arial"/>
          <w:vertAlign w:val="superscript"/>
          <w:lang w:val="es-ES"/>
        </w:rPr>
        <w:footnoteReference w:id="44"/>
      </w:r>
      <w:r w:rsidRPr="00CD2307">
        <w:rPr>
          <w:rFonts w:ascii="Arial" w:hAnsi="Arial" w:cs="Arial"/>
          <w:lang w:val="es-ES"/>
        </w:rPr>
        <w:t xml:space="preserve"> .</w:t>
      </w:r>
    </w:p>
    <w:p w14:paraId="374B6130" w14:textId="77777777" w:rsidR="00C21F39" w:rsidRDefault="00DD397E">
      <w:pPr>
        <w:jc w:val="both"/>
        <w:rPr>
          <w:rFonts w:ascii="Arial" w:hAnsi="Arial" w:cs="Arial"/>
          <w:lang w:val="es-ES"/>
        </w:rPr>
      </w:pPr>
      <w:r w:rsidRPr="00CD2307">
        <w:rPr>
          <w:rFonts w:ascii="Arial" w:hAnsi="Arial" w:cs="Arial"/>
          <w:lang w:val="es-ES"/>
        </w:rPr>
        <w:t>La pandémie provoquée par le Covid 19 a exacerbé les conditions de pauvreté et d'exclusion qui existaient déjà en raison du ra</w:t>
      </w:r>
      <w:r w:rsidRPr="00CD2307">
        <w:rPr>
          <w:rFonts w:ascii="Arial" w:hAnsi="Arial" w:cs="Arial"/>
          <w:lang w:val="es-ES"/>
        </w:rPr>
        <w:t>cisme structurel touchant les communautés indigènes et afro-descendantes, les migrants et d'autres minorités.</w:t>
      </w:r>
    </w:p>
    <w:p w14:paraId="61DC51B7" w14:textId="77777777" w:rsidR="00C21F39" w:rsidRDefault="00DD397E">
      <w:pPr>
        <w:jc w:val="both"/>
        <w:rPr>
          <w:rFonts w:ascii="Arial" w:hAnsi="Arial" w:cs="Arial"/>
          <w:lang w:val="es-ES"/>
        </w:rPr>
      </w:pPr>
      <w:r w:rsidRPr="00CD2307">
        <w:rPr>
          <w:rFonts w:ascii="Arial" w:hAnsi="Arial" w:cs="Arial"/>
          <w:lang w:val="es-ES"/>
        </w:rPr>
        <w:t>Le pouvoir exécutif national a étendu certaines prestations de protection sociale, par le biais du décret n° 840/2020, qui modifie de 3 à 2 ans la</w:t>
      </w:r>
      <w:r w:rsidRPr="00CD2307">
        <w:rPr>
          <w:rFonts w:ascii="Arial" w:hAnsi="Arial" w:cs="Arial"/>
          <w:lang w:val="es-ES"/>
        </w:rPr>
        <w:t xml:space="preserve"> limite de résidence minimale pour la couverture de l'allocation universelle pour enfant et de l'allocation de grossesse. Parallèlement, le décret n° 7/2023 a réduit de 20 à 3 ans la durée de résidence dans le pays requise pour bénéficier des pensions d'in</w:t>
      </w:r>
      <w:r w:rsidRPr="00CD2307">
        <w:rPr>
          <w:rFonts w:ascii="Arial" w:hAnsi="Arial" w:cs="Arial"/>
          <w:lang w:val="es-ES"/>
        </w:rPr>
        <w:t>validité pour les enfants et les adolescents.</w:t>
      </w:r>
    </w:p>
    <w:p w14:paraId="5C37CD2B" w14:textId="77777777" w:rsidR="00C21F39" w:rsidRDefault="00DD397E">
      <w:pPr>
        <w:jc w:val="both"/>
        <w:rPr>
          <w:rFonts w:ascii="Arial" w:hAnsi="Arial" w:cs="Arial"/>
          <w:lang w:val="es-ES"/>
        </w:rPr>
      </w:pPr>
      <w:r w:rsidRPr="00CD2307">
        <w:rPr>
          <w:rFonts w:ascii="Arial" w:hAnsi="Arial" w:cs="Arial"/>
          <w:lang w:val="es-ES"/>
        </w:rPr>
        <w:t>Afin d'accéder aux prestations sociales nationales telles que l'allocation universelle pour enfant (AUH)</w:t>
      </w:r>
      <w:r w:rsidRPr="00185CBA">
        <w:rPr>
          <w:rFonts w:ascii="Arial" w:hAnsi="Arial" w:cs="Arial"/>
          <w:vertAlign w:val="superscript"/>
          <w:lang w:val="es-ES"/>
        </w:rPr>
        <w:footnoteReference w:id="45"/>
      </w:r>
      <w:r w:rsidRPr="00CD2307">
        <w:rPr>
          <w:rFonts w:ascii="Arial" w:hAnsi="Arial" w:cs="Arial"/>
          <w:lang w:val="es-ES"/>
        </w:rPr>
        <w:t xml:space="preserve"> , la carte alimentaire</w:t>
      </w:r>
      <w:r w:rsidRPr="00185CBA">
        <w:rPr>
          <w:rFonts w:ascii="Arial" w:hAnsi="Arial" w:cs="Arial"/>
          <w:vertAlign w:val="superscript"/>
          <w:lang w:val="es-ES"/>
        </w:rPr>
        <w:footnoteReference w:id="46"/>
      </w:r>
      <w:r w:rsidRPr="00CD2307">
        <w:rPr>
          <w:rFonts w:ascii="Arial" w:hAnsi="Arial" w:cs="Arial"/>
          <w:lang w:val="es-ES"/>
        </w:rPr>
        <w:t xml:space="preserve"> , la pension non contributive pour les mères célibataires ayant 7 enfants</w:t>
      </w:r>
      <w:r w:rsidRPr="00185CBA">
        <w:rPr>
          <w:rFonts w:ascii="Arial" w:hAnsi="Arial" w:cs="Arial"/>
          <w:vertAlign w:val="superscript"/>
          <w:lang w:val="es-ES"/>
        </w:rPr>
        <w:footnoteReference w:id="47"/>
      </w:r>
      <w:r w:rsidRPr="00CD2307">
        <w:rPr>
          <w:rFonts w:ascii="Arial" w:hAnsi="Arial" w:cs="Arial"/>
          <w:lang w:val="es-ES"/>
        </w:rPr>
        <w:t xml:space="preserve"> , </w:t>
      </w:r>
      <w:r w:rsidRPr="00CD2307">
        <w:rPr>
          <w:rFonts w:ascii="Arial" w:hAnsi="Arial" w:cs="Arial"/>
          <w:lang w:val="es-ES"/>
        </w:rPr>
        <w:t>la pension d'invalidité non contributive</w:t>
      </w:r>
      <w:r w:rsidRPr="00185CBA">
        <w:rPr>
          <w:rFonts w:ascii="Arial" w:hAnsi="Arial" w:cs="Arial"/>
          <w:vertAlign w:val="superscript"/>
          <w:lang w:val="es-ES"/>
        </w:rPr>
        <w:footnoteReference w:id="48"/>
      </w:r>
      <w:r w:rsidRPr="00CD2307">
        <w:rPr>
          <w:rFonts w:ascii="Arial" w:hAnsi="Arial" w:cs="Arial"/>
          <w:lang w:val="es-ES"/>
        </w:rPr>
        <w:t xml:space="preserve"> , la retraite et les pensions, etc., il est essentiel que l'État garantisse le droit à l'identité pour toutes les minorités.</w:t>
      </w:r>
    </w:p>
    <w:p w14:paraId="63C6D5D7" w14:textId="77777777" w:rsidR="00CD2307" w:rsidRPr="00CD2307" w:rsidRDefault="00CD2307" w:rsidP="00CD2307">
      <w:pPr>
        <w:jc w:val="both"/>
        <w:rPr>
          <w:rFonts w:ascii="Arial" w:hAnsi="Arial" w:cs="Arial"/>
          <w:b/>
          <w:lang w:val="es-ES"/>
        </w:rPr>
      </w:pPr>
    </w:p>
    <w:p w14:paraId="5E069689" w14:textId="77777777" w:rsidR="00C21F39" w:rsidRDefault="00DD397E">
      <w:pPr>
        <w:jc w:val="both"/>
        <w:rPr>
          <w:rFonts w:ascii="Arial" w:hAnsi="Arial" w:cs="Arial"/>
          <w:lang w:val="es-ES"/>
        </w:rPr>
      </w:pPr>
      <w:r w:rsidRPr="00CD2307">
        <w:rPr>
          <w:rFonts w:ascii="Arial" w:hAnsi="Arial" w:cs="Arial"/>
          <w:b/>
          <w:lang w:val="es-ES"/>
        </w:rPr>
        <w:lastRenderedPageBreak/>
        <w:t xml:space="preserve">15 </w:t>
      </w:r>
      <w:r w:rsidRPr="00CD2307">
        <w:rPr>
          <w:rFonts w:ascii="Arial" w:hAnsi="Arial" w:cs="Arial"/>
          <w:lang w:val="es-ES"/>
        </w:rPr>
        <w:t xml:space="preserve">- L'Argentine n'a pas encore adopté de loi nationale réglementant les procédures de </w:t>
      </w:r>
      <w:r w:rsidRPr="00CD2307">
        <w:rPr>
          <w:rFonts w:ascii="Arial" w:hAnsi="Arial" w:cs="Arial"/>
          <w:lang w:val="es-ES"/>
        </w:rPr>
        <w:t xml:space="preserve">consultation préalable en vue d'obtenir le consentement libre, préalable et éclairé des peuples autochtones. </w:t>
      </w:r>
    </w:p>
    <w:p w14:paraId="3DC9E228" w14:textId="77777777" w:rsidR="00C21F39" w:rsidRDefault="00DD397E">
      <w:pPr>
        <w:jc w:val="both"/>
        <w:rPr>
          <w:rFonts w:ascii="Arial" w:hAnsi="Arial" w:cs="Arial"/>
          <w:lang w:val="es-ES"/>
        </w:rPr>
      </w:pPr>
      <w:r w:rsidRPr="00CD2307">
        <w:rPr>
          <w:rFonts w:ascii="Arial" w:hAnsi="Arial" w:cs="Arial"/>
          <w:lang w:val="es-ES"/>
        </w:rPr>
        <w:t>Le bureau du médiateur, comme il l'a indiqué à d'autres occasions</w:t>
      </w:r>
      <w:r w:rsidRPr="00185CBA">
        <w:rPr>
          <w:rFonts w:ascii="Arial" w:hAnsi="Arial" w:cs="Arial"/>
          <w:vertAlign w:val="superscript"/>
          <w:lang w:val="es-ES"/>
        </w:rPr>
        <w:footnoteReference w:id="49"/>
      </w:r>
      <w:r w:rsidRPr="00CD2307">
        <w:rPr>
          <w:rFonts w:ascii="Arial" w:hAnsi="Arial" w:cs="Arial"/>
          <w:lang w:val="es-ES"/>
        </w:rPr>
        <w:t xml:space="preserve"> , observe que les provinces adoptent souvent leurs propres résolutions pour ap</w:t>
      </w:r>
      <w:r w:rsidRPr="00CD2307">
        <w:rPr>
          <w:rFonts w:ascii="Arial" w:hAnsi="Arial" w:cs="Arial"/>
          <w:lang w:val="es-ES"/>
        </w:rPr>
        <w:t>pliquer les procédures de consultation préalable, qui ne sont pas conformes ou en désaccord avec les normes internationales, en raison de l'absence de lignes directrices générales et nationales sur ces procédures.</w:t>
      </w:r>
    </w:p>
    <w:p w14:paraId="04F5F0F3" w14:textId="77777777" w:rsidR="00C21F39" w:rsidRDefault="00DD397E">
      <w:pPr>
        <w:jc w:val="both"/>
        <w:rPr>
          <w:rFonts w:ascii="Arial" w:hAnsi="Arial" w:cs="Arial"/>
          <w:lang w:val="es-ES"/>
        </w:rPr>
      </w:pPr>
      <w:r w:rsidRPr="00CD2307">
        <w:rPr>
          <w:rFonts w:ascii="Arial" w:hAnsi="Arial" w:cs="Arial"/>
          <w:lang w:val="es-ES"/>
        </w:rPr>
        <w:t>L'un des progrès réalisés au cours de cett</w:t>
      </w:r>
      <w:r w:rsidRPr="00CD2307">
        <w:rPr>
          <w:rFonts w:ascii="Arial" w:hAnsi="Arial" w:cs="Arial"/>
          <w:lang w:val="es-ES"/>
        </w:rPr>
        <w:t>e période a été la décision de l'INAI de créer, par le décret 30/2021, au sein de la Direction de l'affirmation des droits indigènes, le DOMAINE DU RENFORCEMENT DES COMMUNAUTÉS ET DE LA CONSULTATION PRÉALABLE LIBRE ET INFORMÉE, dans le but de sauvegarder l</w:t>
      </w:r>
      <w:r w:rsidRPr="00CD2307">
        <w:rPr>
          <w:rFonts w:ascii="Arial" w:hAnsi="Arial" w:cs="Arial"/>
          <w:lang w:val="es-ES"/>
        </w:rPr>
        <w:t>es droits collectifs et individuels des peuples indigènes et de renforcer leurs communautés par le biais de la participation et de la consultation préalable, libre et informée, CONSULTATION LIBRE ET INFORMÉE, dans le but de sauvegarder les droits collectif</w:t>
      </w:r>
      <w:r w:rsidRPr="00CD2307">
        <w:rPr>
          <w:rFonts w:ascii="Arial" w:hAnsi="Arial" w:cs="Arial"/>
          <w:lang w:val="es-ES"/>
        </w:rPr>
        <w:t>s et individuels des peuples autochtones et de renforcer leurs communautés, par la participation et la consultation préalable, libre et informée, essentielle pour consolider le dialogue interculturel et permettre la conception de politiques publiques appro</w:t>
      </w:r>
      <w:r w:rsidRPr="00CD2307">
        <w:rPr>
          <w:rFonts w:ascii="Arial" w:hAnsi="Arial" w:cs="Arial"/>
          <w:lang w:val="es-ES"/>
        </w:rPr>
        <w:t>priées entre les peuples autochtones et l'État.</w:t>
      </w:r>
    </w:p>
    <w:p w14:paraId="6A295AA3" w14:textId="77777777" w:rsidR="00CD2307" w:rsidRPr="00CD2307" w:rsidRDefault="00CD2307" w:rsidP="00CD2307">
      <w:pPr>
        <w:jc w:val="both"/>
        <w:rPr>
          <w:rFonts w:ascii="Arial" w:hAnsi="Arial" w:cs="Arial"/>
          <w:b/>
        </w:rPr>
      </w:pPr>
    </w:p>
    <w:p w14:paraId="4F87208A" w14:textId="77777777" w:rsidR="00C21F39" w:rsidRDefault="00DD397E">
      <w:pPr>
        <w:jc w:val="both"/>
        <w:rPr>
          <w:rFonts w:ascii="Arial" w:hAnsi="Arial" w:cs="Arial"/>
        </w:rPr>
      </w:pPr>
      <w:r w:rsidRPr="00CD2307">
        <w:rPr>
          <w:rFonts w:ascii="Arial" w:hAnsi="Arial" w:cs="Arial"/>
          <w:b/>
        </w:rPr>
        <w:t xml:space="preserve">16 et 17 </w:t>
      </w:r>
      <w:r w:rsidRPr="00CD2307">
        <w:rPr>
          <w:rFonts w:ascii="Arial" w:hAnsi="Arial" w:cs="Arial"/>
        </w:rPr>
        <w:t>- Au cours de la période considérée, par le décret Nº 805/2021</w:t>
      </w:r>
      <w:r w:rsidRPr="00185CBA">
        <w:rPr>
          <w:rFonts w:ascii="Arial" w:hAnsi="Arial" w:cs="Arial"/>
          <w:vertAlign w:val="superscript"/>
        </w:rPr>
        <w:footnoteReference w:id="50"/>
      </w:r>
      <w:r w:rsidRPr="00CD2307">
        <w:rPr>
          <w:rFonts w:ascii="Arial" w:hAnsi="Arial" w:cs="Arial"/>
        </w:rPr>
        <w:t xml:space="preserve"> , la loi 26.160 a été une nouvelle fois prorogée, prolongeant sa durée de validité jusqu'au 23 novembre 2025 et suspendant, pendant la durée de l'état d'urgence déclaré, l'exécution des sentences, des actes de procédure ou des actes administratifs ayant p</w:t>
      </w:r>
      <w:r w:rsidRPr="00CD2307">
        <w:rPr>
          <w:rFonts w:ascii="Arial" w:hAnsi="Arial" w:cs="Arial"/>
        </w:rPr>
        <w:t>our objet d'expulser ou de libérer les terres, afin que l'État puisse continuer à réaliser l'enquête technico-juridique-cadastrale sur la situation de propriété des terres occupées par les communautés indigènes.</w:t>
      </w:r>
    </w:p>
    <w:p w14:paraId="0DF83B9B" w14:textId="77777777" w:rsidR="00C21F39" w:rsidRDefault="00DD397E">
      <w:pPr>
        <w:jc w:val="both"/>
        <w:rPr>
          <w:rFonts w:ascii="Arial" w:hAnsi="Arial" w:cs="Arial"/>
        </w:rPr>
      </w:pPr>
      <w:r w:rsidRPr="00CD2307">
        <w:rPr>
          <w:rFonts w:ascii="Arial" w:hAnsi="Arial" w:cs="Arial"/>
        </w:rPr>
        <w:t>Bien que la loi ait été prolongée une nouvel</w:t>
      </w:r>
      <w:r w:rsidRPr="00CD2307">
        <w:rPr>
          <w:rFonts w:ascii="Arial" w:hAnsi="Arial" w:cs="Arial"/>
        </w:rPr>
        <w:t>le fois, le bureau du médiateur est préoccupé par l'absence de progrès en termes d'enquêtes territoriales. Il convient de rappeler que la loi avait une durée de 4 ans, qu'elle a été prolongée quatre fois et que 17 ans se sont écoulés depuis sa promulgation</w:t>
      </w:r>
      <w:r w:rsidRPr="00CD2307">
        <w:rPr>
          <w:rFonts w:ascii="Arial" w:hAnsi="Arial" w:cs="Arial"/>
        </w:rPr>
        <w:t xml:space="preserve"> sans qu'une réponse complète et définitive à la situation d'urgence territoriale des communautés indigènes du pays n'ait été apportée.</w:t>
      </w:r>
    </w:p>
    <w:p w14:paraId="07136B40" w14:textId="77777777" w:rsidR="00C21F39" w:rsidRDefault="00DD397E">
      <w:pPr>
        <w:jc w:val="both"/>
        <w:rPr>
          <w:rFonts w:ascii="Arial" w:hAnsi="Arial" w:cs="Arial"/>
        </w:rPr>
      </w:pPr>
      <w:r w:rsidRPr="00185CBA">
        <w:rPr>
          <w:rFonts w:ascii="Arial" w:hAnsi="Arial" w:cs="Arial"/>
        </w:rPr>
        <w:t xml:space="preserve">En ce qui concerne les mesures prises pour se conformer à l'arrêt de la Cour interaméricaine des droits de l'homme dans </w:t>
      </w:r>
      <w:r w:rsidRPr="00185CBA">
        <w:rPr>
          <w:rFonts w:ascii="Arial" w:hAnsi="Arial" w:cs="Arial"/>
        </w:rPr>
        <w:t xml:space="preserve">l'affaire "Comunidades Indígenas Miembros de la Asociación Lhaka Honhat (nuevas tierras) Vs. Argentina, </w:t>
      </w:r>
      <w:r w:rsidRPr="00CD2307">
        <w:rPr>
          <w:rFonts w:ascii="Arial" w:hAnsi="Arial" w:cs="Arial"/>
        </w:rPr>
        <w:t>par le décret n° 538/20</w:t>
      </w:r>
      <w:r w:rsidRPr="00185CBA">
        <w:rPr>
          <w:rFonts w:ascii="Arial" w:hAnsi="Arial" w:cs="Arial"/>
          <w:vertAlign w:val="superscript"/>
        </w:rPr>
        <w:footnoteReference w:id="51"/>
      </w:r>
      <w:r w:rsidRPr="00CD2307">
        <w:rPr>
          <w:rFonts w:ascii="Arial" w:hAnsi="Arial" w:cs="Arial"/>
        </w:rPr>
        <w:t xml:space="preserve"> (21/8/21) de la province de Salta, l'unité exécutive provinciale a été créée pour se conformer aux dispositions établies par l</w:t>
      </w:r>
      <w:r w:rsidRPr="00CD2307">
        <w:rPr>
          <w:rFonts w:ascii="Arial" w:hAnsi="Arial" w:cs="Arial"/>
        </w:rPr>
        <w:t xml:space="preserve">a CIDH dans l'affaire. </w:t>
      </w:r>
      <w:r w:rsidRPr="00185CBA">
        <w:rPr>
          <w:rFonts w:ascii="Arial" w:hAnsi="Arial" w:cs="Arial"/>
        </w:rPr>
        <w:t xml:space="preserve">Parmi les mesures prises pour se conformer à la décision de l'unité d'exécution dirigée par le Secrétariat aux droits de l'homme, une réunion de travail a été organisée dans la province de Salta dans le but de poursuivre les actions </w:t>
      </w:r>
      <w:r w:rsidRPr="00185CBA">
        <w:rPr>
          <w:rFonts w:ascii="Arial" w:hAnsi="Arial" w:cs="Arial"/>
        </w:rPr>
        <w:t>d'urgence concernant l'accès à l'eau potable, en parvenant à un accord pour la distribution de réservoirs d'eau parmi les communautés victimes reconnues dans la décision. En outre, le projet de distribution d'eau potable par camions-</w:t>
      </w:r>
      <w:r w:rsidRPr="00185CBA">
        <w:rPr>
          <w:rFonts w:ascii="Arial" w:hAnsi="Arial" w:cs="Arial"/>
        </w:rPr>
        <w:lastRenderedPageBreak/>
        <w:t>citernes a été analysé,</w:t>
      </w:r>
      <w:r w:rsidRPr="00185CBA">
        <w:rPr>
          <w:rFonts w:ascii="Arial" w:hAnsi="Arial" w:cs="Arial"/>
        </w:rPr>
        <w:t xml:space="preserve"> dans le but de renforcer les capacités provinciales et municipales de distribution à domicile et d'égaliser l'accès à l'eau en quantité et en qualité suffisantes pour toutes les familles.</w:t>
      </w:r>
    </w:p>
    <w:p w14:paraId="0F0623BC" w14:textId="77777777" w:rsidR="00C21F39" w:rsidRDefault="00DD397E">
      <w:pPr>
        <w:jc w:val="both"/>
        <w:rPr>
          <w:rFonts w:ascii="Arial" w:hAnsi="Arial" w:cs="Arial"/>
        </w:rPr>
      </w:pPr>
      <w:r w:rsidRPr="00185CBA">
        <w:rPr>
          <w:rFonts w:ascii="Arial" w:hAnsi="Arial" w:cs="Arial"/>
        </w:rPr>
        <w:t>Le 10/6/22, la consultation préalable des communautés autochtones s</w:t>
      </w:r>
      <w:r w:rsidRPr="00185CBA">
        <w:rPr>
          <w:rFonts w:ascii="Arial" w:hAnsi="Arial" w:cs="Arial"/>
        </w:rPr>
        <w:t>ur le plan d'accès à l'eau et de démarcation territoriale</w:t>
      </w:r>
      <w:r w:rsidRPr="00185CBA">
        <w:rPr>
          <w:rFonts w:ascii="Arial" w:hAnsi="Arial" w:cs="Arial"/>
          <w:vertAlign w:val="superscript"/>
        </w:rPr>
        <w:footnoteReference w:id="52"/>
      </w:r>
      <w:r w:rsidRPr="00185CBA">
        <w:rPr>
          <w:rFonts w:ascii="Arial" w:hAnsi="Arial" w:cs="Arial"/>
        </w:rPr>
        <w:t xml:space="preserve"> a été achevée. Au cours de six ateliers participatifs, l'unité d'exécution de l'arrêt Lhaka Honhat a présenté son plan d'action, où les communautés ont apporté leurs contributions et suggestions e</w:t>
      </w:r>
      <w:r w:rsidRPr="00185CBA">
        <w:rPr>
          <w:rFonts w:ascii="Arial" w:hAnsi="Arial" w:cs="Arial"/>
        </w:rPr>
        <w:t xml:space="preserve">t ont donné leur accord, tel que rapporté par l'État, au plan de travaux et d'actions pour l'accès à l'eau et la délimitation et la démarcation du territoire. </w:t>
      </w:r>
    </w:p>
    <w:p w14:paraId="7995A096" w14:textId="77777777" w:rsidR="00CD2307" w:rsidRPr="00185CBA" w:rsidRDefault="00CD2307" w:rsidP="00CD2307">
      <w:pPr>
        <w:jc w:val="both"/>
        <w:rPr>
          <w:rFonts w:ascii="Arial" w:hAnsi="Arial" w:cs="Arial"/>
          <w:b/>
        </w:rPr>
      </w:pPr>
    </w:p>
    <w:p w14:paraId="7C3E8AA8" w14:textId="77777777" w:rsidR="00C21F39" w:rsidRDefault="00DD397E">
      <w:pPr>
        <w:jc w:val="both"/>
        <w:rPr>
          <w:rFonts w:ascii="Arial" w:hAnsi="Arial" w:cs="Arial"/>
        </w:rPr>
      </w:pPr>
      <w:r w:rsidRPr="00185CBA">
        <w:rPr>
          <w:rFonts w:ascii="Arial" w:hAnsi="Arial" w:cs="Arial"/>
        </w:rPr>
        <w:t>Au-delà des actions menées au cours de la période analysée par l'État national et les provinces</w:t>
      </w:r>
      <w:r w:rsidRPr="00185CBA">
        <w:rPr>
          <w:rFonts w:ascii="Arial" w:hAnsi="Arial" w:cs="Arial"/>
        </w:rPr>
        <w:t xml:space="preserve"> pour faire face à l'insécurité alimentaire et aux difficultés d'accès à l'eau et à l'assainissement des communautés indigènes, l'efficacité de ces actions est discutable compte tenu des violations historiques des droits de l'homme à l'eau potable et à l'a</w:t>
      </w:r>
      <w:r w:rsidRPr="00185CBA">
        <w:rPr>
          <w:rFonts w:ascii="Arial" w:hAnsi="Arial" w:cs="Arial"/>
        </w:rPr>
        <w:t xml:space="preserve">ssainissement et à un niveau de vie adéquat subies par les communautés de notre pays, en particulier celles situées dans le nord. </w:t>
      </w:r>
    </w:p>
    <w:p w14:paraId="065A4C17" w14:textId="77777777" w:rsidR="00C21F39" w:rsidRDefault="00DD397E">
      <w:pPr>
        <w:jc w:val="both"/>
        <w:rPr>
          <w:rFonts w:ascii="Arial" w:hAnsi="Arial" w:cs="Arial"/>
        </w:rPr>
      </w:pPr>
      <w:r w:rsidRPr="00185CBA">
        <w:rPr>
          <w:rFonts w:ascii="Arial" w:hAnsi="Arial" w:cs="Arial"/>
        </w:rPr>
        <w:t>Nous comprenons que l'État doit planifier de nouvelles interventions et développer de meilleures articulations pour fournir d</w:t>
      </w:r>
      <w:r w:rsidRPr="00185CBA">
        <w:rPr>
          <w:rFonts w:ascii="Arial" w:hAnsi="Arial" w:cs="Arial"/>
        </w:rPr>
        <w:t>es réponses efficaces et engagées afin de garantir l'accès à ces droits.</w:t>
      </w:r>
    </w:p>
    <w:p w14:paraId="5125C7F9" w14:textId="77777777" w:rsidR="00C21F39" w:rsidRDefault="00DD397E">
      <w:pPr>
        <w:jc w:val="both"/>
        <w:rPr>
          <w:rFonts w:ascii="Arial" w:hAnsi="Arial" w:cs="Arial"/>
        </w:rPr>
      </w:pPr>
      <w:r w:rsidRPr="00185CBA">
        <w:rPr>
          <w:rFonts w:ascii="Arial" w:hAnsi="Arial" w:cs="Arial"/>
        </w:rPr>
        <w:t>Il convient de noter que le nouveau plan "Argentine contre la faim", créé par la résolution 655/2021</w:t>
      </w:r>
      <w:r w:rsidRPr="00185CBA">
        <w:rPr>
          <w:rFonts w:ascii="Arial" w:hAnsi="Arial" w:cs="Arial"/>
          <w:vertAlign w:val="superscript"/>
        </w:rPr>
        <w:footnoteReference w:id="53"/>
      </w:r>
      <w:r w:rsidRPr="00185CBA">
        <w:rPr>
          <w:rFonts w:ascii="Arial" w:hAnsi="Arial" w:cs="Arial"/>
        </w:rPr>
        <w:t xml:space="preserve"> du ministère du développement social pour renforcer les actions et garantir la s</w:t>
      </w:r>
      <w:r w:rsidRPr="00185CBA">
        <w:rPr>
          <w:rFonts w:ascii="Arial" w:hAnsi="Arial" w:cs="Arial"/>
        </w:rPr>
        <w:t>écurité et la souveraineté alimentaires de l'ensemble de la population argentine, en accordant une attention particulière aux secteurs les plus vulnérables sur le plan économique et social, n'a pas établi de bénéficiaires ni développé de ligne d'action spé</w:t>
      </w:r>
      <w:r w:rsidRPr="00185CBA">
        <w:rPr>
          <w:rFonts w:ascii="Arial" w:hAnsi="Arial" w:cs="Arial"/>
        </w:rPr>
        <w:t xml:space="preserve">cifique pour lutter contre l'insécurité alimentaire des peuples autochtones, des descendants d'Africains et des migrants en situation irrégulière. </w:t>
      </w:r>
    </w:p>
    <w:p w14:paraId="31758F72" w14:textId="77777777" w:rsidR="00CD2307" w:rsidRPr="00185CBA" w:rsidRDefault="00CD2307" w:rsidP="00CD2307">
      <w:pPr>
        <w:jc w:val="both"/>
        <w:rPr>
          <w:rFonts w:ascii="Arial" w:hAnsi="Arial" w:cs="Arial"/>
        </w:rPr>
      </w:pPr>
    </w:p>
    <w:p w14:paraId="060CE926" w14:textId="77777777" w:rsidR="00C21F39" w:rsidRDefault="00DD397E">
      <w:pPr>
        <w:jc w:val="both"/>
        <w:rPr>
          <w:rFonts w:ascii="Arial" w:hAnsi="Arial" w:cs="Arial"/>
        </w:rPr>
      </w:pPr>
      <w:r w:rsidRPr="00185CBA">
        <w:rPr>
          <w:rFonts w:ascii="Arial" w:hAnsi="Arial" w:cs="Arial"/>
          <w:b/>
        </w:rPr>
        <w:t xml:space="preserve">En ce qui concerne les </w:t>
      </w:r>
      <w:r w:rsidRPr="00185CBA">
        <w:rPr>
          <w:rFonts w:ascii="Arial" w:hAnsi="Arial" w:cs="Arial"/>
        </w:rPr>
        <w:t>mesures adoptées pour lutter contre la discrimination dans le domaine de l'éducation</w:t>
      </w:r>
      <w:r w:rsidRPr="00185CBA">
        <w:rPr>
          <w:rFonts w:ascii="Arial" w:hAnsi="Arial" w:cs="Arial"/>
        </w:rPr>
        <w:t>, il convient de saluer le lancement du "Programme fédéral École sans discrimination"</w:t>
      </w:r>
      <w:r w:rsidRPr="00185CBA">
        <w:rPr>
          <w:rFonts w:ascii="Arial" w:hAnsi="Arial" w:cs="Arial"/>
          <w:vertAlign w:val="superscript"/>
        </w:rPr>
        <w:footnoteReference w:id="54"/>
      </w:r>
      <w:r w:rsidRPr="00185CBA">
        <w:rPr>
          <w:rFonts w:ascii="Arial" w:hAnsi="Arial" w:cs="Arial"/>
        </w:rPr>
        <w:t xml:space="preserve"> mis en œuvre par l'INADI. Ce programme vise à atteindre toutes les écoles du pays, dans le but de renforcer l'institution éducative en tant qu'espace prioritaire pour g</w:t>
      </w:r>
      <w:r w:rsidRPr="00185CBA">
        <w:rPr>
          <w:rFonts w:ascii="Arial" w:hAnsi="Arial" w:cs="Arial"/>
        </w:rPr>
        <w:t>arantir l'égalité d'accès à l'éducation pour tous les enfants et les jeunes.</w:t>
      </w:r>
    </w:p>
    <w:p w14:paraId="38591D63" w14:textId="77777777" w:rsidR="00C21F39" w:rsidRDefault="00DD397E">
      <w:pPr>
        <w:jc w:val="both"/>
        <w:rPr>
          <w:rFonts w:ascii="Arial" w:hAnsi="Arial" w:cs="Arial"/>
        </w:rPr>
      </w:pPr>
      <w:r w:rsidRPr="00185CBA">
        <w:rPr>
          <w:rFonts w:ascii="Arial" w:hAnsi="Arial" w:cs="Arial"/>
        </w:rPr>
        <w:t>Cette campagne comprend une session de formation des enseignants composée de deux réunions et la livraison de matériel scolaire à ramener en classe (interviews d'enseignants, glos</w:t>
      </w:r>
      <w:r w:rsidRPr="00185CBA">
        <w:rPr>
          <w:rFonts w:ascii="Arial" w:hAnsi="Arial" w:cs="Arial"/>
        </w:rPr>
        <w:t>saire audiovisuel, séquences didactiques, etc.)</w:t>
      </w:r>
    </w:p>
    <w:p w14:paraId="4DC93CD9" w14:textId="77777777" w:rsidR="00C21F39" w:rsidRDefault="00DD397E">
      <w:pPr>
        <w:jc w:val="both"/>
        <w:rPr>
          <w:rFonts w:ascii="Arial" w:hAnsi="Arial" w:cs="Arial"/>
        </w:rPr>
      </w:pPr>
      <w:r w:rsidRPr="00185CBA">
        <w:rPr>
          <w:rFonts w:ascii="Arial" w:hAnsi="Arial" w:cs="Arial"/>
        </w:rPr>
        <w:t xml:space="preserve">Selon les informations statistiques fournies par l'État à travers la carte des discriminations en 2019, il apparaît que les domaines de l'éducation (79 %) et de l'emploi (74 %) sont ceux où la discrimination </w:t>
      </w:r>
      <w:r w:rsidRPr="00185CBA">
        <w:rPr>
          <w:rFonts w:ascii="Arial" w:hAnsi="Arial" w:cs="Arial"/>
        </w:rPr>
        <w:t xml:space="preserve">est la plus perçue. Malheureusement, étant donné l'absence de mise à jour de la carte susmentionnée, il n'est pas possible d'évaluer si la </w:t>
      </w:r>
      <w:r w:rsidRPr="00185CBA">
        <w:rPr>
          <w:rFonts w:ascii="Arial" w:hAnsi="Arial" w:cs="Arial"/>
        </w:rPr>
        <w:lastRenderedPageBreak/>
        <w:t xml:space="preserve">mesure adoptée pour lutter contre la discrimination dans le domaine de l'éducation a été efficace. </w:t>
      </w:r>
    </w:p>
    <w:p w14:paraId="3C304186" w14:textId="77777777" w:rsidR="00CD2307" w:rsidRPr="00185CBA" w:rsidRDefault="00CD2307" w:rsidP="00CD2307">
      <w:pPr>
        <w:jc w:val="both"/>
        <w:rPr>
          <w:rFonts w:ascii="Arial" w:hAnsi="Arial" w:cs="Arial"/>
          <w:b/>
        </w:rPr>
      </w:pPr>
    </w:p>
    <w:p w14:paraId="224E92B7" w14:textId="77777777" w:rsidR="00C21F39" w:rsidRDefault="00DD397E">
      <w:pPr>
        <w:jc w:val="both"/>
        <w:rPr>
          <w:rFonts w:ascii="Arial" w:hAnsi="Arial" w:cs="Arial"/>
        </w:rPr>
      </w:pPr>
      <w:r w:rsidRPr="00185CBA">
        <w:rPr>
          <w:rFonts w:ascii="Arial" w:hAnsi="Arial" w:cs="Arial"/>
          <w:b/>
        </w:rPr>
        <w:t>20</w:t>
      </w:r>
      <w:r w:rsidRPr="00185CBA">
        <w:rPr>
          <w:rFonts w:ascii="Arial" w:hAnsi="Arial" w:cs="Arial"/>
        </w:rPr>
        <w:t>.- Comme indiq</w:t>
      </w:r>
      <w:r w:rsidRPr="00185CBA">
        <w:rPr>
          <w:rFonts w:ascii="Arial" w:hAnsi="Arial" w:cs="Arial"/>
        </w:rPr>
        <w:t xml:space="preserve">ué ci-dessus, le lieu de travail est l'un des espaces les plus récurrents où la discrimination est perçue. </w:t>
      </w:r>
    </w:p>
    <w:p w14:paraId="3B5F3293" w14:textId="77777777" w:rsidR="00C21F39" w:rsidRDefault="00DD397E">
      <w:pPr>
        <w:jc w:val="both"/>
        <w:rPr>
          <w:rFonts w:ascii="Arial" w:hAnsi="Arial" w:cs="Arial"/>
        </w:rPr>
      </w:pPr>
      <w:r w:rsidRPr="00185CBA">
        <w:rPr>
          <w:rFonts w:ascii="Arial" w:hAnsi="Arial" w:cs="Arial"/>
        </w:rPr>
        <w:t>Selon l'annuaire de l'INADI 2022</w:t>
      </w:r>
      <w:r w:rsidRPr="00185CBA">
        <w:rPr>
          <w:rFonts w:ascii="Arial" w:hAnsi="Arial" w:cs="Arial"/>
          <w:vertAlign w:val="superscript"/>
        </w:rPr>
        <w:footnoteReference w:id="55"/>
      </w:r>
      <w:r w:rsidRPr="00185CBA">
        <w:rPr>
          <w:rFonts w:ascii="Arial" w:hAnsi="Arial" w:cs="Arial"/>
        </w:rPr>
        <w:t xml:space="preserve"> , certaines actions ont été menées, principalement pour la prévention et la sensibilisation afin de réduire la di</w:t>
      </w:r>
      <w:r w:rsidRPr="00185CBA">
        <w:rPr>
          <w:rFonts w:ascii="Arial" w:hAnsi="Arial" w:cs="Arial"/>
        </w:rPr>
        <w:t>scrimination sur le lieu de travail, bien que les résultats soient inconnus puisque l'annuaire ne fournit pas de données ventilées qui nous permettraient de connaître l'évolution ou l'involution en termes de cas traités par l'INADI au cours des années 2020</w:t>
      </w:r>
      <w:r w:rsidRPr="00185CBA">
        <w:rPr>
          <w:rFonts w:ascii="Arial" w:hAnsi="Arial" w:cs="Arial"/>
        </w:rPr>
        <w:t>, 2021 et 2022 pour des plaintes de discrimination sur le lieu de travail.</w:t>
      </w:r>
    </w:p>
    <w:p w14:paraId="4E23FECD" w14:textId="77777777" w:rsidR="00CD2307" w:rsidRPr="00CD2307" w:rsidRDefault="00CD2307" w:rsidP="00CD2307">
      <w:pPr>
        <w:jc w:val="both"/>
        <w:rPr>
          <w:rFonts w:ascii="Arial" w:hAnsi="Arial" w:cs="Arial"/>
          <w:b/>
          <w:lang w:val="es-ES"/>
        </w:rPr>
      </w:pPr>
    </w:p>
    <w:p w14:paraId="55F2F0AA" w14:textId="77777777" w:rsidR="00C21F39" w:rsidRDefault="00DD397E">
      <w:pPr>
        <w:jc w:val="both"/>
        <w:rPr>
          <w:rFonts w:ascii="Arial" w:hAnsi="Arial" w:cs="Arial"/>
          <w:b/>
          <w:lang w:val="es-ES"/>
        </w:rPr>
      </w:pPr>
      <w:r w:rsidRPr="00CD2307">
        <w:rPr>
          <w:rFonts w:ascii="Arial" w:hAnsi="Arial" w:cs="Arial"/>
          <w:b/>
          <w:lang w:val="es-ES"/>
        </w:rPr>
        <w:t xml:space="preserve">21 et 22 - </w:t>
      </w:r>
      <w:r w:rsidRPr="00CD2307">
        <w:rPr>
          <w:rFonts w:ascii="Arial" w:hAnsi="Arial" w:cs="Arial"/>
          <w:lang w:val="es-ES"/>
        </w:rPr>
        <w:t>En ce qui concerne les mesures de prévention pendant la pandémie, il convient de souligner les recommandations qui ont été diffusées par le biais d'annonces dans les médias et les réseaux virtuels, à la radio et à la télévision publique, pour répondre à Co</w:t>
      </w:r>
      <w:r w:rsidRPr="00CD2307">
        <w:rPr>
          <w:rFonts w:ascii="Arial" w:hAnsi="Arial" w:cs="Arial"/>
          <w:lang w:val="es-ES"/>
        </w:rPr>
        <w:t>vid-19 dans les populations et les territoires autochtones, élaborées par l'INAI et la CUI dans différentes langues autochtones</w:t>
      </w:r>
      <w:r w:rsidRPr="00185CBA">
        <w:rPr>
          <w:rFonts w:ascii="Arial" w:hAnsi="Arial" w:cs="Arial"/>
          <w:vertAlign w:val="superscript"/>
          <w:lang w:val="es-ES"/>
        </w:rPr>
        <w:footnoteReference w:id="56"/>
      </w:r>
      <w:r w:rsidRPr="00CD2307">
        <w:rPr>
          <w:rFonts w:ascii="Arial" w:hAnsi="Arial" w:cs="Arial"/>
          <w:lang w:val="es-ES"/>
        </w:rPr>
        <w:t xml:space="preserve"> , mais il est regrettable que cette mesure ait été mise en œuvre 4 mois après le début de la pandémie.</w:t>
      </w:r>
      <w:r w:rsidRPr="00CD2307">
        <w:rPr>
          <w:rFonts w:ascii="Arial" w:hAnsi="Arial" w:cs="Arial"/>
          <w:b/>
          <w:lang w:val="es-ES"/>
        </w:rPr>
        <w:t xml:space="preserve">  </w:t>
      </w:r>
    </w:p>
    <w:p w14:paraId="64077CB4" w14:textId="77777777" w:rsidR="00C21F39" w:rsidRDefault="00DD397E">
      <w:pPr>
        <w:jc w:val="both"/>
        <w:rPr>
          <w:rFonts w:ascii="Arial" w:hAnsi="Arial" w:cs="Arial"/>
          <w:lang w:val="es-ES"/>
        </w:rPr>
      </w:pPr>
      <w:r w:rsidRPr="00CD2307">
        <w:rPr>
          <w:rFonts w:ascii="Arial" w:hAnsi="Arial" w:cs="Arial"/>
          <w:lang w:val="es-ES"/>
        </w:rPr>
        <w:t>Des opérations de vac</w:t>
      </w:r>
      <w:r w:rsidRPr="00CD2307">
        <w:rPr>
          <w:rFonts w:ascii="Arial" w:hAnsi="Arial" w:cs="Arial"/>
          <w:lang w:val="es-ES"/>
        </w:rPr>
        <w:t>cination ont également été menées dans les communautés indigènes, mais leur efficacité n'est pas connue en raison de l'absence de données officielles. L'INADI a lancé une campagne en février 2022 pour renforcer la campagne de vaccination Covid-19 auprès de</w:t>
      </w:r>
      <w:r w:rsidRPr="00CD2307">
        <w:rPr>
          <w:rFonts w:ascii="Arial" w:hAnsi="Arial" w:cs="Arial"/>
          <w:lang w:val="es-ES"/>
        </w:rPr>
        <w:t>s communautés indigènes</w:t>
      </w:r>
      <w:r w:rsidRPr="00185CBA">
        <w:rPr>
          <w:rFonts w:ascii="Arial" w:hAnsi="Arial" w:cs="Arial"/>
          <w:vertAlign w:val="superscript"/>
          <w:lang w:val="es-ES"/>
        </w:rPr>
        <w:footnoteReference w:id="57"/>
      </w:r>
      <w:r w:rsidRPr="00CD2307">
        <w:rPr>
          <w:rFonts w:ascii="Arial" w:hAnsi="Arial" w:cs="Arial"/>
          <w:lang w:val="es-ES"/>
        </w:rPr>
        <w:t xml:space="preserve"> .</w:t>
      </w:r>
    </w:p>
    <w:p w14:paraId="0E47E228" w14:textId="77777777" w:rsidR="00C21F39" w:rsidRDefault="00DD397E">
      <w:pPr>
        <w:jc w:val="both"/>
        <w:rPr>
          <w:rFonts w:ascii="Arial" w:hAnsi="Arial" w:cs="Arial"/>
          <w:lang w:val="es-ES"/>
        </w:rPr>
      </w:pPr>
      <w:r w:rsidRPr="00CD2307">
        <w:rPr>
          <w:rFonts w:ascii="Arial" w:hAnsi="Arial" w:cs="Arial"/>
          <w:lang w:val="es-ES"/>
        </w:rPr>
        <w:t>Malgré les efforts de l'État pour faire connaître les mesures de prévention contre Covid-19, la situation de surpeuplement, le manque d'accès à l'eau potable, aux éléments d'hygiène et aux médicaments n'ont pas permis de respect</w:t>
      </w:r>
      <w:r w:rsidRPr="00CD2307">
        <w:rPr>
          <w:rFonts w:ascii="Arial" w:hAnsi="Arial" w:cs="Arial"/>
          <w:lang w:val="es-ES"/>
        </w:rPr>
        <w:t>er les protocoles de prévention établis dans les communautés</w:t>
      </w:r>
      <w:r w:rsidRPr="00185CBA">
        <w:rPr>
          <w:rFonts w:ascii="Arial" w:hAnsi="Arial" w:cs="Arial"/>
          <w:vertAlign w:val="superscript"/>
          <w:lang w:val="es-ES"/>
        </w:rPr>
        <w:footnoteReference w:id="58"/>
      </w:r>
      <w:r w:rsidRPr="00CD2307">
        <w:rPr>
          <w:rFonts w:ascii="Arial" w:hAnsi="Arial" w:cs="Arial"/>
          <w:lang w:val="es-ES"/>
        </w:rPr>
        <w:t xml:space="preserve"> . </w:t>
      </w:r>
    </w:p>
    <w:p w14:paraId="76BBC70F" w14:textId="77777777" w:rsidR="00C21F39" w:rsidRDefault="00DD397E">
      <w:pPr>
        <w:jc w:val="both"/>
        <w:rPr>
          <w:rFonts w:ascii="Arial" w:hAnsi="Arial" w:cs="Arial"/>
          <w:lang w:val="es-ES"/>
        </w:rPr>
      </w:pPr>
      <w:r w:rsidRPr="00CD2307">
        <w:rPr>
          <w:rFonts w:ascii="Arial" w:hAnsi="Arial" w:cs="Arial"/>
          <w:lang w:val="es-ES"/>
        </w:rPr>
        <w:t xml:space="preserve">En outre, le </w:t>
      </w:r>
      <w:r w:rsidRPr="00CD2307">
        <w:rPr>
          <w:rFonts w:ascii="Arial" w:hAnsi="Arial" w:cs="Arial"/>
          <w:lang w:val="es-ES"/>
        </w:rPr>
        <w:t>manque de moyens de transport et l'éloignement des communautés, dans de nombreux cas, par rapport aux centres de santé ont encore aggravé les restrictions historiques d'accès aux soins de santé dont souffrent les communautés autochtones.</w:t>
      </w:r>
    </w:p>
    <w:p w14:paraId="1CD082F0" w14:textId="77777777" w:rsidR="00C21F39" w:rsidRDefault="00DD397E">
      <w:pPr>
        <w:jc w:val="both"/>
        <w:rPr>
          <w:rFonts w:ascii="Arial" w:hAnsi="Arial" w:cs="Arial"/>
          <w:lang w:val="es-ES"/>
        </w:rPr>
      </w:pPr>
      <w:r w:rsidRPr="00CD2307">
        <w:rPr>
          <w:rFonts w:ascii="Arial" w:hAnsi="Arial" w:cs="Arial"/>
          <w:lang w:val="es-ES"/>
        </w:rPr>
        <w:t>En l'absence de st</w:t>
      </w:r>
      <w:r w:rsidRPr="00CD2307">
        <w:rPr>
          <w:rFonts w:ascii="Arial" w:hAnsi="Arial" w:cs="Arial"/>
          <w:lang w:val="es-ES"/>
        </w:rPr>
        <w:t>atistiques publiques officielles sur l'impact de la pandémie sur la santé des membres des communautés autochtones, il n'est pas possible d'établir une analyse de l'efficacité des mesures prises pour assurer l'égalité d'accès à des services de santé de qual</w:t>
      </w:r>
      <w:r w:rsidRPr="00CD2307">
        <w:rPr>
          <w:rFonts w:ascii="Arial" w:hAnsi="Arial" w:cs="Arial"/>
          <w:lang w:val="es-ES"/>
        </w:rPr>
        <w:t xml:space="preserve">ité et culturellement appropriés pendant la pandémie. </w:t>
      </w:r>
    </w:p>
    <w:p w14:paraId="063BE7AA" w14:textId="77777777" w:rsidR="00C21F39" w:rsidRDefault="00DD397E">
      <w:pPr>
        <w:jc w:val="both"/>
        <w:rPr>
          <w:rFonts w:ascii="Arial" w:hAnsi="Arial" w:cs="Arial"/>
          <w:lang w:val="es-ES"/>
        </w:rPr>
      </w:pPr>
      <w:r w:rsidRPr="00CD2307">
        <w:rPr>
          <w:rFonts w:ascii="Arial" w:hAnsi="Arial" w:cs="Arial"/>
          <w:lang w:val="es-ES"/>
        </w:rPr>
        <w:t>Au lendemain de la pandémie, peu de progrès ont été réalisés en termes de mesures prises pour garantir l'égalité d'accès à des services de santé de qualité et culturellement appropriés pour les personn</w:t>
      </w:r>
      <w:r w:rsidRPr="00CD2307">
        <w:rPr>
          <w:rFonts w:ascii="Arial" w:hAnsi="Arial" w:cs="Arial"/>
          <w:lang w:val="es-ES"/>
        </w:rPr>
        <w:t>es appartenant aux peuples autochtones, les descendants d'Africains, les migrants, les demandeurs d'asile et les réfugiés</w:t>
      </w:r>
      <w:r w:rsidRPr="00CD2307">
        <w:rPr>
          <w:rFonts w:ascii="Arial" w:hAnsi="Arial" w:cs="Arial"/>
          <w:b/>
          <w:lang w:val="es-ES"/>
        </w:rPr>
        <w:t xml:space="preserve">. </w:t>
      </w:r>
    </w:p>
    <w:p w14:paraId="43331A42" w14:textId="77777777" w:rsidR="00C21F39" w:rsidRDefault="00DD397E">
      <w:pPr>
        <w:jc w:val="both"/>
        <w:rPr>
          <w:rFonts w:ascii="Arial" w:hAnsi="Arial" w:cs="Arial"/>
          <w:lang w:val="es-ES"/>
        </w:rPr>
      </w:pPr>
      <w:r w:rsidRPr="00CD2307">
        <w:rPr>
          <w:rFonts w:ascii="Arial" w:hAnsi="Arial" w:cs="Arial"/>
          <w:lang w:val="es-ES"/>
        </w:rPr>
        <w:lastRenderedPageBreak/>
        <w:t>En ce qui concerne la discrimination raciale et le droit à la santé, le bureau du médiateur a présenté un rapport (</w:t>
      </w:r>
      <w:r w:rsidRPr="00185CBA">
        <w:rPr>
          <w:rFonts w:ascii="Arial" w:hAnsi="Arial" w:cs="Arial"/>
          <w:vertAlign w:val="superscript"/>
          <w:lang w:val="es-ES"/>
        </w:rPr>
        <w:footnoteReference w:id="59"/>
      </w:r>
      <w:r w:rsidRPr="00CD2307">
        <w:rPr>
          <w:rFonts w:ascii="Arial" w:hAnsi="Arial" w:cs="Arial"/>
          <w:lang w:val="es-ES"/>
        </w:rPr>
        <w:t xml:space="preserve"> ) sur les "Que</w:t>
      </w:r>
      <w:r w:rsidRPr="00CD2307">
        <w:rPr>
          <w:rFonts w:ascii="Arial" w:hAnsi="Arial" w:cs="Arial"/>
          <w:lang w:val="es-ES"/>
        </w:rPr>
        <w:t>stions à examiner au cours du débat thématique dans le cadre de la préparation d'une recommandation générale sur l'article 5 (e) (iv) de la Convention internationale sur l'élimination de toutes les formes de discrimination raciale" aux Nations unies, qui a</w:t>
      </w:r>
      <w:r w:rsidRPr="00CD2307">
        <w:rPr>
          <w:rFonts w:ascii="Arial" w:hAnsi="Arial" w:cs="Arial"/>
          <w:lang w:val="es-ES"/>
        </w:rPr>
        <w:t>nalyse la situation actuelle de la discrimination raciale et du droit à la santé dans notre pays et les propositions institutionnelles, auxquelles, par souci de concision, nous nous référerons.</w:t>
      </w:r>
    </w:p>
    <w:p w14:paraId="1A8323FB" w14:textId="77777777" w:rsidR="00CD2307" w:rsidRPr="00CD2307" w:rsidRDefault="00CD2307" w:rsidP="00CD2307">
      <w:pPr>
        <w:jc w:val="both"/>
        <w:rPr>
          <w:rFonts w:ascii="Arial" w:hAnsi="Arial" w:cs="Arial"/>
          <w:b/>
          <w:lang w:val="es-ES"/>
        </w:rPr>
      </w:pPr>
    </w:p>
    <w:p w14:paraId="34080B08" w14:textId="77777777" w:rsidR="00C21F39" w:rsidRDefault="00DD397E">
      <w:pPr>
        <w:jc w:val="both"/>
        <w:rPr>
          <w:rFonts w:ascii="Arial" w:hAnsi="Arial" w:cs="Arial"/>
          <w:b/>
          <w:lang w:val="es-ES"/>
        </w:rPr>
      </w:pPr>
      <w:r w:rsidRPr="00CD2307">
        <w:rPr>
          <w:rFonts w:ascii="Arial" w:hAnsi="Arial" w:cs="Arial"/>
          <w:b/>
          <w:lang w:val="es-ES"/>
        </w:rPr>
        <w:t>Situation des migrants, des demandeurs d'asile et des réfugié</w:t>
      </w:r>
      <w:r w:rsidRPr="00CD2307">
        <w:rPr>
          <w:rFonts w:ascii="Arial" w:hAnsi="Arial" w:cs="Arial"/>
          <w:b/>
          <w:lang w:val="es-ES"/>
        </w:rPr>
        <w:t>s (art. 2 et 5)</w:t>
      </w:r>
    </w:p>
    <w:p w14:paraId="339C0A3F" w14:textId="77777777" w:rsidR="00CD2307" w:rsidRPr="00CD2307" w:rsidRDefault="00CD2307" w:rsidP="00CD2307">
      <w:pPr>
        <w:jc w:val="both"/>
        <w:rPr>
          <w:rFonts w:ascii="Arial" w:hAnsi="Arial" w:cs="Arial"/>
          <w:b/>
          <w:lang w:val="es-ES"/>
        </w:rPr>
      </w:pPr>
    </w:p>
    <w:p w14:paraId="0441F2A6" w14:textId="77777777" w:rsidR="00C21F39" w:rsidRDefault="00DD397E">
      <w:pPr>
        <w:jc w:val="both"/>
        <w:rPr>
          <w:rFonts w:ascii="Arial" w:hAnsi="Arial" w:cs="Arial"/>
          <w:lang w:val="es-ES"/>
        </w:rPr>
      </w:pPr>
      <w:r w:rsidRPr="00185CBA">
        <w:rPr>
          <w:rFonts w:ascii="Arial" w:hAnsi="Arial" w:cs="Arial"/>
          <w:b/>
          <w:lang w:val="es-ES"/>
        </w:rPr>
        <w:t xml:space="preserve">23- Le </w:t>
      </w:r>
      <w:r w:rsidRPr="00185CBA">
        <w:rPr>
          <w:rFonts w:ascii="Arial" w:hAnsi="Arial" w:cs="Arial"/>
          <w:lang w:val="es-ES"/>
        </w:rPr>
        <w:t>04/03/2021, l'État national a abrogé le décret n° 70/2017 par le biais du décret n° 138/2021</w:t>
      </w:r>
      <w:r w:rsidRPr="00185CBA">
        <w:rPr>
          <w:rFonts w:ascii="Arial" w:hAnsi="Arial" w:cs="Arial"/>
          <w:vertAlign w:val="superscript"/>
          <w:lang w:val="es-ES"/>
        </w:rPr>
        <w:footnoteReference w:id="60"/>
      </w:r>
      <w:r w:rsidRPr="00185CBA">
        <w:rPr>
          <w:rFonts w:ascii="Arial" w:hAnsi="Arial" w:cs="Arial"/>
          <w:lang w:val="es-ES"/>
        </w:rPr>
        <w:t xml:space="preserve"> , établissant dans son article 2 : "...Restituer la validité des règles modifiées, remplacées ou abrogées par le décret n° 70/2017, dans </w:t>
      </w:r>
      <w:r w:rsidRPr="00185CBA">
        <w:rPr>
          <w:rFonts w:ascii="Arial" w:hAnsi="Arial" w:cs="Arial"/>
          <w:lang w:val="es-ES"/>
        </w:rPr>
        <w:t>leur rédaction antérieure au moment de la promulgation de la règle qui est abrogée par la présente...".</w:t>
      </w:r>
    </w:p>
    <w:p w14:paraId="71068306" w14:textId="77777777" w:rsidR="00C21F39" w:rsidRDefault="00DD397E">
      <w:pPr>
        <w:jc w:val="both"/>
        <w:rPr>
          <w:rFonts w:ascii="Arial" w:hAnsi="Arial" w:cs="Arial"/>
          <w:lang w:val="es-ES"/>
        </w:rPr>
      </w:pPr>
      <w:r w:rsidRPr="00185CBA">
        <w:rPr>
          <w:rFonts w:ascii="Arial" w:hAnsi="Arial" w:cs="Arial"/>
          <w:lang w:val="es-ES"/>
        </w:rPr>
        <w:t>Cette mesure rétablit la validité des normes modifiées, substituées ou abrogées par cette norme, dans leur formulation antérieure à sa promulgation, met</w:t>
      </w:r>
      <w:r w:rsidRPr="00185CBA">
        <w:rPr>
          <w:rFonts w:ascii="Arial" w:hAnsi="Arial" w:cs="Arial"/>
          <w:lang w:val="es-ES"/>
        </w:rPr>
        <w:t>tant ainsi immédiatement le droit interne sur les migrants en conformité avec les normes internationales en la matière.</w:t>
      </w:r>
    </w:p>
    <w:p w14:paraId="21DD6A47" w14:textId="77777777" w:rsidR="00C21F39" w:rsidRDefault="00DD397E">
      <w:pPr>
        <w:jc w:val="both"/>
        <w:rPr>
          <w:rFonts w:ascii="Arial" w:hAnsi="Arial" w:cs="Arial"/>
          <w:lang w:val="es-ES"/>
        </w:rPr>
      </w:pPr>
      <w:r w:rsidRPr="00185CBA">
        <w:rPr>
          <w:rFonts w:ascii="Arial" w:hAnsi="Arial" w:cs="Arial"/>
          <w:lang w:val="es-ES"/>
        </w:rPr>
        <w:t>Compte tenu de l'abrogation du décret n° 70/2017, du rapport parallèle présenté par des organisations de la société civile et des univer</w:t>
      </w:r>
      <w:r w:rsidRPr="00185CBA">
        <w:rPr>
          <w:rFonts w:ascii="Arial" w:hAnsi="Arial" w:cs="Arial"/>
          <w:lang w:val="es-ES"/>
        </w:rPr>
        <w:t>sitaires dans le cadre du 4e cycle de l'examen périodique universel</w:t>
      </w:r>
      <w:r w:rsidRPr="00185CBA">
        <w:rPr>
          <w:rFonts w:ascii="Arial" w:hAnsi="Arial" w:cs="Arial"/>
          <w:vertAlign w:val="superscript"/>
          <w:lang w:val="es-ES"/>
        </w:rPr>
        <w:footnoteReference w:id="61"/>
      </w:r>
      <w:r w:rsidRPr="00185CBA">
        <w:rPr>
          <w:rFonts w:ascii="Arial" w:hAnsi="Arial" w:cs="Arial"/>
          <w:lang w:val="es-ES"/>
        </w:rPr>
        <w:t xml:space="preserve"> et des dispositions de l'article 90 de la loi n° 25.871</w:t>
      </w:r>
      <w:r w:rsidRPr="00185CBA">
        <w:rPr>
          <w:rFonts w:ascii="Arial" w:hAnsi="Arial" w:cs="Arial"/>
          <w:vertAlign w:val="superscript"/>
          <w:lang w:val="es-ES"/>
        </w:rPr>
        <w:footnoteReference w:id="62"/>
      </w:r>
      <w:r w:rsidRPr="00185CBA">
        <w:rPr>
          <w:rFonts w:ascii="Arial" w:hAnsi="Arial" w:cs="Arial"/>
          <w:lang w:val="es-ES"/>
        </w:rPr>
        <w:t xml:space="preserve"> , le bureau du médiateur est préoccupé par le fait que la direction nationale des migrations n'a pas examiné et/ou adapté "d'off</w:t>
      </w:r>
      <w:r w:rsidRPr="00185CBA">
        <w:rPr>
          <w:rFonts w:ascii="Arial" w:hAnsi="Arial" w:cs="Arial"/>
          <w:lang w:val="es-ES"/>
        </w:rPr>
        <w:t>ice" les cas d'expulsion initiés et ordonnés pendant la durée de validité du décret susmentionné.</w:t>
      </w:r>
    </w:p>
    <w:p w14:paraId="4642EB40" w14:textId="77777777" w:rsidR="00C21F39" w:rsidRDefault="00DD397E">
      <w:pPr>
        <w:jc w:val="both"/>
        <w:rPr>
          <w:rFonts w:ascii="Arial" w:hAnsi="Arial" w:cs="Arial"/>
          <w:lang w:val="es-ES"/>
        </w:rPr>
      </w:pPr>
      <w:r w:rsidRPr="00185CBA">
        <w:rPr>
          <w:rFonts w:ascii="Arial" w:hAnsi="Arial" w:cs="Arial"/>
          <w:lang w:val="es-ES"/>
        </w:rPr>
        <w:t>L'État lui-même, dans son deuxième rapport périodique sur le suivi des observations finales du CMW (point III, A, 15 et 16), soutient que le réexamen est effe</w:t>
      </w:r>
      <w:r w:rsidRPr="00185CBA">
        <w:rPr>
          <w:rFonts w:ascii="Arial" w:hAnsi="Arial" w:cs="Arial"/>
          <w:lang w:val="es-ES"/>
        </w:rPr>
        <w:t>ctué dans le cadre des procédures administratives au cours desquelles l'expulsion des migrants a été ordonnée, sans que la notification de l'acte administratif ne soit parvenue à la connaissance effective de la personne concernée en application de l'articl</w:t>
      </w:r>
      <w:r w:rsidRPr="00185CBA">
        <w:rPr>
          <w:rFonts w:ascii="Arial" w:hAnsi="Arial" w:cs="Arial"/>
          <w:lang w:val="es-ES"/>
        </w:rPr>
        <w:t>e 54 de la loi 25.871.</w:t>
      </w:r>
    </w:p>
    <w:p w14:paraId="1047DEB4" w14:textId="77777777" w:rsidR="00C21F39" w:rsidRDefault="00DD397E">
      <w:pPr>
        <w:jc w:val="both"/>
        <w:rPr>
          <w:rFonts w:ascii="Arial" w:hAnsi="Arial" w:cs="Arial"/>
        </w:rPr>
      </w:pPr>
      <w:r w:rsidRPr="00185CBA">
        <w:rPr>
          <w:rFonts w:ascii="Arial" w:hAnsi="Arial" w:cs="Arial"/>
        </w:rPr>
        <w:t>Afin de faciliter la régularisation des migrants, la décision de la Direction nationale des migrations par la disposition 520/2019</w:t>
      </w:r>
      <w:r w:rsidRPr="00185CBA">
        <w:rPr>
          <w:rFonts w:ascii="Arial" w:hAnsi="Arial" w:cs="Arial"/>
          <w:vertAlign w:val="superscript"/>
        </w:rPr>
        <w:footnoteReference w:id="63"/>
      </w:r>
      <w:r w:rsidRPr="00185CBA">
        <w:rPr>
          <w:rFonts w:ascii="Arial" w:hAnsi="Arial" w:cs="Arial"/>
        </w:rPr>
        <w:t xml:space="preserve"> de créer le "Programme spécial pour les migrants vénézuéliens", établissant des exceptions, notamment documentaires, pour l'accès au territoire national, est remarquable.</w:t>
      </w:r>
    </w:p>
    <w:p w14:paraId="30375ACF" w14:textId="77777777" w:rsidR="00C21F39" w:rsidRDefault="00DD397E">
      <w:pPr>
        <w:jc w:val="both"/>
        <w:rPr>
          <w:rFonts w:ascii="Arial" w:hAnsi="Arial" w:cs="Arial"/>
        </w:rPr>
      </w:pPr>
      <w:r w:rsidRPr="00185CBA">
        <w:rPr>
          <w:rFonts w:ascii="Arial" w:hAnsi="Arial" w:cs="Arial"/>
        </w:rPr>
        <w:t>Parmi les mesures prévues, elle autorise l'entrée des Vénézuéliens porteurs de carte</w:t>
      </w:r>
      <w:r w:rsidRPr="00185CBA">
        <w:rPr>
          <w:rFonts w:ascii="Arial" w:hAnsi="Arial" w:cs="Arial"/>
        </w:rPr>
        <w:t>s d'identité ou de passeports périmés délivrés par leur pays et dont la date d'expiration n'excède pas deux ans, à condition qu'ils soient en règle avec la législation en vigueur en matière d'immigration. Dans le cas des mineurs de moins de 9 ans entrant p</w:t>
      </w:r>
      <w:r w:rsidRPr="00185CBA">
        <w:rPr>
          <w:rFonts w:ascii="Arial" w:hAnsi="Arial" w:cs="Arial"/>
        </w:rPr>
        <w:t xml:space="preserve">ar voie </w:t>
      </w:r>
      <w:r w:rsidRPr="00185CBA">
        <w:rPr>
          <w:rFonts w:ascii="Arial" w:hAnsi="Arial" w:cs="Arial"/>
        </w:rPr>
        <w:lastRenderedPageBreak/>
        <w:t>terrestre avec l'un ou les deux parents, l'acte de naissance était accepté, à titre exceptionnel, tant qu'ils n'étaient pas munis de l'un des documents requis. Avec cette disposition, ils pouvaient demander la résidence temporaire.</w:t>
      </w:r>
    </w:p>
    <w:p w14:paraId="56A3929C" w14:textId="77777777" w:rsidR="00C21F39" w:rsidRDefault="00DD397E">
      <w:pPr>
        <w:jc w:val="both"/>
        <w:rPr>
          <w:rFonts w:ascii="Arial" w:hAnsi="Arial" w:cs="Arial"/>
        </w:rPr>
      </w:pPr>
      <w:r w:rsidRPr="00185CBA">
        <w:rPr>
          <w:rFonts w:ascii="Arial" w:hAnsi="Arial" w:cs="Arial"/>
        </w:rPr>
        <w:t>Par la suite, pa</w:t>
      </w:r>
      <w:r w:rsidRPr="00185CBA">
        <w:rPr>
          <w:rFonts w:ascii="Arial" w:hAnsi="Arial" w:cs="Arial"/>
        </w:rPr>
        <w:t>r la disposition 1891/2021</w:t>
      </w:r>
      <w:r w:rsidRPr="00185CBA">
        <w:rPr>
          <w:rFonts w:ascii="Arial" w:hAnsi="Arial" w:cs="Arial"/>
          <w:vertAlign w:val="superscript"/>
        </w:rPr>
        <w:footnoteReference w:id="64"/>
      </w:r>
      <w:r w:rsidRPr="00185CBA">
        <w:rPr>
          <w:rFonts w:ascii="Arial" w:hAnsi="Arial" w:cs="Arial"/>
        </w:rPr>
        <w:t xml:space="preserve"> , un "régime spécial de régularisation pour les enfants et adolescents migrants vénézuéliens" a été établi, étant donné que les difficultés pratiques et opérationnelles liées au respect des exigences légales de mise à jour des </w:t>
      </w:r>
      <w:r w:rsidRPr="00185CBA">
        <w:rPr>
          <w:rFonts w:ascii="Arial" w:hAnsi="Arial" w:cs="Arial"/>
        </w:rPr>
        <w:t>actes de naissance des mineurs vénézuéliens sur le territoire argentin, qu'ils devaient présenter au moment de l'obtention de la résidence dans notre pays, n'ont pas été prises en compte, Cette disposition, en vertu du principe de l'intérêt supérieur de l'</w:t>
      </w:r>
      <w:r w:rsidRPr="00185CBA">
        <w:rPr>
          <w:rFonts w:ascii="Arial" w:hAnsi="Arial" w:cs="Arial"/>
        </w:rPr>
        <w:t xml:space="preserve">enfant, les exempte, tant au moment de la formalisation que pour la résolution de la demande de régularisation migratoire (transitoire), de la légalisation des actes de naissance ainsi que du port d'un document d'identité en cours de validité. </w:t>
      </w:r>
    </w:p>
    <w:p w14:paraId="5C3C5B96" w14:textId="77777777" w:rsidR="00C21F39" w:rsidRDefault="00DD397E">
      <w:pPr>
        <w:jc w:val="both"/>
        <w:rPr>
          <w:rFonts w:ascii="Arial" w:hAnsi="Arial" w:cs="Arial"/>
        </w:rPr>
      </w:pPr>
      <w:r w:rsidRPr="00185CBA">
        <w:rPr>
          <w:rFonts w:ascii="Arial" w:hAnsi="Arial" w:cs="Arial"/>
        </w:rPr>
        <w:t>Les deux pr</w:t>
      </w:r>
      <w:r w:rsidRPr="00185CBA">
        <w:rPr>
          <w:rFonts w:ascii="Arial" w:hAnsi="Arial" w:cs="Arial"/>
        </w:rPr>
        <w:t xml:space="preserve">ogrammes ont pris fin à la date prévue et n'ont pas été renouvelés. </w:t>
      </w:r>
    </w:p>
    <w:p w14:paraId="12927F6F" w14:textId="77777777" w:rsidR="00C21F39" w:rsidRDefault="00DD397E">
      <w:pPr>
        <w:jc w:val="both"/>
        <w:rPr>
          <w:rFonts w:ascii="Arial" w:hAnsi="Arial" w:cs="Arial"/>
        </w:rPr>
      </w:pPr>
      <w:r w:rsidRPr="00185CBA">
        <w:rPr>
          <w:rFonts w:ascii="Arial" w:hAnsi="Arial" w:cs="Arial"/>
        </w:rPr>
        <w:t>Dans ce cadre, la Direction nationale des migrations a adopté la disposition Nº 940/2022</w:t>
      </w:r>
      <w:r w:rsidRPr="00185CBA">
        <w:rPr>
          <w:rFonts w:ascii="Arial" w:hAnsi="Arial" w:cs="Arial"/>
          <w:vertAlign w:val="superscript"/>
        </w:rPr>
        <w:footnoteReference w:id="65"/>
      </w:r>
      <w:r w:rsidRPr="00185CBA">
        <w:rPr>
          <w:rFonts w:ascii="Arial" w:hAnsi="Arial" w:cs="Arial"/>
        </w:rPr>
        <w:t xml:space="preserve"> qui prévoit un régime spécial de régularisation migratoire pour les ressortissants étrangers de </w:t>
      </w:r>
      <w:r w:rsidRPr="00185CBA">
        <w:rPr>
          <w:rFonts w:ascii="Arial" w:hAnsi="Arial" w:cs="Arial"/>
        </w:rPr>
        <w:t>la République du Sénégal et la disposition Nº 941/2022</w:t>
      </w:r>
      <w:r w:rsidRPr="00185CBA">
        <w:rPr>
          <w:rFonts w:ascii="Arial" w:hAnsi="Arial" w:cs="Arial"/>
          <w:vertAlign w:val="superscript"/>
        </w:rPr>
        <w:footnoteReference w:id="66"/>
      </w:r>
      <w:r w:rsidRPr="00185CBA">
        <w:rPr>
          <w:rFonts w:ascii="Arial" w:hAnsi="Arial" w:cs="Arial"/>
        </w:rPr>
        <w:t xml:space="preserve"> pour les ressortissants étrangers des pays membres de la Communauté des Caraïbes (CARICOM) ainsi que de la République dominicaine et de la République de Cuba. </w:t>
      </w:r>
    </w:p>
    <w:p w14:paraId="192F750E" w14:textId="77777777" w:rsidR="00C21F39" w:rsidRDefault="00DD397E">
      <w:pPr>
        <w:jc w:val="both"/>
        <w:rPr>
          <w:rFonts w:ascii="Arial" w:hAnsi="Arial" w:cs="Arial"/>
        </w:rPr>
      </w:pPr>
      <w:r w:rsidRPr="00185CBA">
        <w:rPr>
          <w:rFonts w:ascii="Arial" w:hAnsi="Arial" w:cs="Arial"/>
        </w:rPr>
        <w:t>Bien que ces mesures aient constitué un</w:t>
      </w:r>
      <w:r w:rsidRPr="00185CBA">
        <w:rPr>
          <w:rFonts w:ascii="Arial" w:hAnsi="Arial" w:cs="Arial"/>
        </w:rPr>
        <w:t xml:space="preserve"> grand pas en avant pour faciliter la régularisation du statut migratoire de ces communautés, la période prévue pour ces régimes n'a été prolongée que de 90 jours à compter de leur entrée en vigueur (24/05/2022), une période limitée pour l'obtention de la </w:t>
      </w:r>
      <w:r w:rsidRPr="00185CBA">
        <w:rPr>
          <w:rFonts w:ascii="Arial" w:hAnsi="Arial" w:cs="Arial"/>
        </w:rPr>
        <w:t xml:space="preserve">documentation requise, en particulier celle qui doit être délivrée dans leur pays d'origine, comme le certificat de casier judiciaire. </w:t>
      </w:r>
    </w:p>
    <w:p w14:paraId="4CAA689C" w14:textId="77777777" w:rsidR="00C21F39" w:rsidRDefault="00DD397E">
      <w:pPr>
        <w:jc w:val="both"/>
        <w:rPr>
          <w:rFonts w:ascii="Arial" w:hAnsi="Arial" w:cs="Arial"/>
        </w:rPr>
      </w:pPr>
      <w:r w:rsidRPr="00185CBA">
        <w:rPr>
          <w:rFonts w:ascii="Arial" w:hAnsi="Arial" w:cs="Arial"/>
        </w:rPr>
        <w:t>Le 16/05/2022, la disposition Nº 891/2022</w:t>
      </w:r>
      <w:r w:rsidRPr="00185CBA">
        <w:rPr>
          <w:rFonts w:ascii="Arial" w:hAnsi="Arial" w:cs="Arial"/>
          <w:vertAlign w:val="superscript"/>
        </w:rPr>
        <w:footnoteReference w:id="67"/>
      </w:r>
      <w:r w:rsidRPr="00185CBA">
        <w:rPr>
          <w:rFonts w:ascii="Arial" w:hAnsi="Arial" w:cs="Arial"/>
        </w:rPr>
        <w:t xml:space="preserve"> a été approuvée, créant un programme spécial de visas humanitaires pour les </w:t>
      </w:r>
      <w:r w:rsidRPr="00185CBA">
        <w:rPr>
          <w:rFonts w:ascii="Arial" w:hAnsi="Arial" w:cs="Arial"/>
        </w:rPr>
        <w:t>ressortissants et les résidents des États-Unis du Mexique, d'Amérique centrale et des Caraïbes déplacés en raison de catastrophes socio-naturelles.  Dans ce cas, le pouvoir d'établir un quota annuel pour la réception des cas est considéré comme une limitat</w:t>
      </w:r>
      <w:r w:rsidRPr="00185CBA">
        <w:rPr>
          <w:rFonts w:ascii="Arial" w:hAnsi="Arial" w:cs="Arial"/>
        </w:rPr>
        <w:t>ion, ainsi que la nécessité d'avoir un "requirente" pour l'absorption de leur logement et de leur entretien pendant un an.</w:t>
      </w:r>
    </w:p>
    <w:p w14:paraId="407C104C" w14:textId="77777777" w:rsidR="00C21F39" w:rsidRDefault="00DD397E">
      <w:pPr>
        <w:jc w:val="both"/>
        <w:rPr>
          <w:rFonts w:ascii="Arial" w:hAnsi="Arial" w:cs="Arial"/>
        </w:rPr>
      </w:pPr>
      <w:r w:rsidRPr="00185CBA">
        <w:rPr>
          <w:rFonts w:ascii="Arial" w:hAnsi="Arial" w:cs="Arial"/>
        </w:rPr>
        <w:t>Enfin, la direction nationale des migrations prévoit un système différencié pour le traitement de la résidence des personnes originai</w:t>
      </w:r>
      <w:r w:rsidRPr="00185CBA">
        <w:rPr>
          <w:rFonts w:ascii="Arial" w:hAnsi="Arial" w:cs="Arial"/>
        </w:rPr>
        <w:t>res des pays membres et non membres du Mercosur en termes d'exigences et d'application de taux différents, et il est donc jugé nécessaire d'adapter cette pratique aux normes prévues par la convention, en évitant ces distinctions.</w:t>
      </w:r>
    </w:p>
    <w:p w14:paraId="728A1577" w14:textId="77777777" w:rsidR="00CD2307" w:rsidRPr="00185CBA" w:rsidRDefault="00CD2307" w:rsidP="00CD2307">
      <w:pPr>
        <w:jc w:val="both"/>
        <w:rPr>
          <w:rFonts w:ascii="Arial" w:hAnsi="Arial" w:cs="Arial"/>
          <w:b/>
        </w:rPr>
      </w:pPr>
    </w:p>
    <w:p w14:paraId="3666589D" w14:textId="77777777" w:rsidR="00C21F39" w:rsidRDefault="00DD397E">
      <w:pPr>
        <w:jc w:val="both"/>
        <w:rPr>
          <w:rFonts w:ascii="Arial" w:hAnsi="Arial" w:cs="Arial"/>
          <w:b/>
        </w:rPr>
      </w:pPr>
      <w:r w:rsidRPr="00185CBA">
        <w:rPr>
          <w:rFonts w:ascii="Arial" w:hAnsi="Arial" w:cs="Arial"/>
          <w:b/>
        </w:rPr>
        <w:t xml:space="preserve">24.- Le </w:t>
      </w:r>
      <w:r w:rsidRPr="00185CBA">
        <w:rPr>
          <w:rFonts w:ascii="Arial" w:hAnsi="Arial" w:cs="Arial"/>
        </w:rPr>
        <w:t>bureau du médiateur est conscient des progrès législatifs réalisés ces dernières années pour reconnaître et protéger les réfugiés et les apatrides</w:t>
      </w:r>
      <w:r w:rsidRPr="00185CBA">
        <w:rPr>
          <w:rFonts w:ascii="Arial" w:hAnsi="Arial" w:cs="Arial"/>
          <w:vertAlign w:val="superscript"/>
        </w:rPr>
        <w:footnoteReference w:id="68"/>
      </w:r>
      <w:r w:rsidRPr="00185CBA">
        <w:rPr>
          <w:rFonts w:ascii="Arial" w:hAnsi="Arial" w:cs="Arial"/>
        </w:rPr>
        <w:t xml:space="preserve"> , en garantissant la </w:t>
      </w:r>
      <w:r w:rsidRPr="00185CBA">
        <w:rPr>
          <w:rFonts w:ascii="Arial" w:hAnsi="Arial" w:cs="Arial"/>
        </w:rPr>
        <w:lastRenderedPageBreak/>
        <w:t>possibilité de demander une protection internationale aux points d'entrée dans notre p</w:t>
      </w:r>
      <w:r w:rsidRPr="00185CBA">
        <w:rPr>
          <w:rFonts w:ascii="Arial" w:hAnsi="Arial" w:cs="Arial"/>
        </w:rPr>
        <w:t>ays, en donnant la priorité aux principes de non-refoulement et de confidentialité, conformément aux normes internationales.</w:t>
      </w:r>
    </w:p>
    <w:p w14:paraId="0F62458C" w14:textId="77777777" w:rsidR="00C21F39" w:rsidRDefault="00DD397E">
      <w:pPr>
        <w:jc w:val="both"/>
        <w:rPr>
          <w:rFonts w:ascii="Arial" w:hAnsi="Arial" w:cs="Arial"/>
        </w:rPr>
      </w:pPr>
      <w:r w:rsidRPr="00185CBA">
        <w:rPr>
          <w:rFonts w:ascii="Arial" w:hAnsi="Arial" w:cs="Arial"/>
        </w:rPr>
        <w:t xml:space="preserve">Malgré cela, dans la pratique et en réponse aux plaintes reçues par notre Agence, des retards ont été constatés dans la résolution </w:t>
      </w:r>
      <w:r w:rsidRPr="00185CBA">
        <w:rPr>
          <w:rFonts w:ascii="Arial" w:hAnsi="Arial" w:cs="Arial"/>
        </w:rPr>
        <w:t>des demandes de statut de réfugié devant le CONARE, qui, dans le cadre d'une enquête d'office, a reconnu que sur un total de 8508 demandes reçues entre 2018 et juin 2021, 2177 avaient été résolues et que 6331 étaient toujours en attente de résolution des d</w:t>
      </w:r>
      <w:r w:rsidRPr="00185CBA">
        <w:rPr>
          <w:rFonts w:ascii="Arial" w:hAnsi="Arial" w:cs="Arial"/>
        </w:rPr>
        <w:t>emandes de statut de réfugié, et qu'ils travaillaient sur le règlement de la loi 26.Suite à cette action, le Bureau du Médiateur national a recommandé au CONARE de finaliser dès que possible l'évaluation et l'analyse du projet de règlement de la loi n° 26.</w:t>
      </w:r>
      <w:r w:rsidRPr="00185CBA">
        <w:rPr>
          <w:rFonts w:ascii="Arial" w:hAnsi="Arial" w:cs="Arial"/>
        </w:rPr>
        <w:t>165, afin de permettre à l'Exécutif national de poursuivre la procédure de son règlement</w:t>
      </w:r>
      <w:r w:rsidRPr="00185CBA">
        <w:rPr>
          <w:rFonts w:ascii="Arial" w:hAnsi="Arial" w:cs="Arial"/>
          <w:vertAlign w:val="superscript"/>
        </w:rPr>
        <w:footnoteReference w:id="69"/>
      </w:r>
      <w:r w:rsidRPr="00185CBA">
        <w:rPr>
          <w:rFonts w:ascii="Arial" w:hAnsi="Arial" w:cs="Arial"/>
        </w:rPr>
        <w:t xml:space="preserve"> .</w:t>
      </w:r>
    </w:p>
    <w:p w14:paraId="4812BC6A" w14:textId="77777777" w:rsidR="00C21F39" w:rsidRDefault="00DD397E">
      <w:pPr>
        <w:jc w:val="both"/>
        <w:rPr>
          <w:rFonts w:ascii="Arial" w:hAnsi="Arial" w:cs="Arial"/>
        </w:rPr>
      </w:pPr>
      <w:r w:rsidRPr="00185CBA">
        <w:rPr>
          <w:rFonts w:ascii="Arial" w:hAnsi="Arial" w:cs="Arial"/>
        </w:rPr>
        <w:t>D'autre part, on peut affirmer que la loi sur la reconnaissance et la protection des apatrides n'a pas encore eu d'impact significatif en termes de bénéficiaires p</w:t>
      </w:r>
      <w:r w:rsidRPr="00185CBA">
        <w:rPr>
          <w:rFonts w:ascii="Arial" w:hAnsi="Arial" w:cs="Arial"/>
        </w:rPr>
        <w:t>ossibles de la protection internationale par cette voie, puisque depuis sa promulgation (2019), 14 demandes ont été soumises à la CONARE et 2 à la juridiction judiciaire</w:t>
      </w:r>
      <w:r w:rsidRPr="00185CBA">
        <w:rPr>
          <w:rFonts w:ascii="Arial" w:hAnsi="Arial" w:cs="Arial"/>
          <w:vertAlign w:val="superscript"/>
        </w:rPr>
        <w:footnoteReference w:id="70"/>
      </w:r>
      <w:r w:rsidRPr="00185CBA">
        <w:rPr>
          <w:rFonts w:ascii="Arial" w:hAnsi="Arial" w:cs="Arial"/>
        </w:rPr>
        <w:t xml:space="preserve"> . </w:t>
      </w:r>
    </w:p>
    <w:p w14:paraId="11D2FCF6" w14:textId="77777777" w:rsidR="00CD2307" w:rsidRPr="00CD2307" w:rsidRDefault="00CD2307" w:rsidP="00CD2307">
      <w:pPr>
        <w:jc w:val="both"/>
        <w:rPr>
          <w:rFonts w:ascii="Arial" w:hAnsi="Arial" w:cs="Arial"/>
        </w:rPr>
      </w:pPr>
    </w:p>
    <w:p w14:paraId="663F23A9" w14:textId="77777777" w:rsidR="00C21F39" w:rsidRDefault="00DD397E">
      <w:pPr>
        <w:jc w:val="both"/>
        <w:rPr>
          <w:rFonts w:ascii="Arial" w:hAnsi="Arial" w:cs="Arial"/>
          <w:b/>
        </w:rPr>
      </w:pPr>
      <w:r w:rsidRPr="00CD2307">
        <w:rPr>
          <w:rFonts w:ascii="Arial" w:hAnsi="Arial" w:cs="Arial"/>
          <w:b/>
        </w:rPr>
        <w:t>Accès à la justice (art. 5 et 6)</w:t>
      </w:r>
    </w:p>
    <w:p w14:paraId="1F47F060" w14:textId="77777777" w:rsidR="00CD2307" w:rsidRPr="00CD2307" w:rsidRDefault="00CD2307" w:rsidP="00CD2307">
      <w:pPr>
        <w:jc w:val="both"/>
        <w:rPr>
          <w:rFonts w:ascii="Arial" w:hAnsi="Arial" w:cs="Arial"/>
          <w:b/>
        </w:rPr>
      </w:pPr>
    </w:p>
    <w:p w14:paraId="25DD4E85" w14:textId="77777777" w:rsidR="00C21F39" w:rsidRDefault="00DD397E">
      <w:pPr>
        <w:jc w:val="both"/>
        <w:rPr>
          <w:rFonts w:ascii="Arial" w:hAnsi="Arial" w:cs="Arial"/>
        </w:rPr>
      </w:pPr>
      <w:r w:rsidRPr="00CD2307">
        <w:rPr>
          <w:rFonts w:ascii="Arial" w:hAnsi="Arial" w:cs="Arial"/>
          <w:b/>
        </w:rPr>
        <w:t xml:space="preserve">25- </w:t>
      </w:r>
      <w:r w:rsidRPr="00CD2307">
        <w:rPr>
          <w:rFonts w:ascii="Arial" w:hAnsi="Arial" w:cs="Arial"/>
        </w:rPr>
        <w:t>Le nombre de plaintes pour actes de discri</w:t>
      </w:r>
      <w:r w:rsidRPr="00CD2307">
        <w:rPr>
          <w:rFonts w:ascii="Arial" w:hAnsi="Arial" w:cs="Arial"/>
        </w:rPr>
        <w:t>mination raciale formalisées devant l'INADI est inconnu car, comme indiqué dans le présent rapport, l'INADI ne fournit pas de statistiques publiques constantes, actualisées et désagrégées sur les plaintes reçues par son organe.</w:t>
      </w:r>
    </w:p>
    <w:p w14:paraId="361A0E46" w14:textId="77777777" w:rsidR="00CD2307" w:rsidRPr="00CD2307" w:rsidRDefault="00CD2307" w:rsidP="00CD2307">
      <w:pPr>
        <w:jc w:val="both"/>
        <w:rPr>
          <w:rFonts w:ascii="Arial" w:hAnsi="Arial" w:cs="Arial"/>
          <w:b/>
        </w:rPr>
      </w:pPr>
    </w:p>
    <w:p w14:paraId="20A2519F" w14:textId="77777777" w:rsidR="00C21F39" w:rsidRDefault="00DD397E">
      <w:pPr>
        <w:jc w:val="both"/>
        <w:rPr>
          <w:rFonts w:ascii="Arial" w:hAnsi="Arial" w:cs="Arial"/>
        </w:rPr>
      </w:pPr>
      <w:r w:rsidRPr="00CD2307">
        <w:rPr>
          <w:rFonts w:ascii="Arial" w:hAnsi="Arial" w:cs="Arial"/>
          <w:b/>
        </w:rPr>
        <w:t xml:space="preserve">26 - </w:t>
      </w:r>
      <w:r w:rsidRPr="00CD2307">
        <w:rPr>
          <w:rFonts w:ascii="Arial" w:hAnsi="Arial" w:cs="Arial"/>
        </w:rPr>
        <w:t>Au niveau national, le ministère de la justice et des droits de l'homme de la nation, par l'intermédiaire des centres d'accès à la justice et des opérations d'assistance en personne, offre une assistance juridique primaire gratuite, fournissant des conseil</w:t>
      </w:r>
      <w:r w:rsidRPr="00CD2307">
        <w:rPr>
          <w:rFonts w:ascii="Arial" w:hAnsi="Arial" w:cs="Arial"/>
        </w:rPr>
        <w:t xml:space="preserve">s juridiques à la population la plus vulnérable. Par le biais du Réseau fédéral d'assistance juridique gratuite, les affaires nécessitant l'intervention d'un avocat sont déléguées aux différents pouvoirs judiciaires du pays. </w:t>
      </w:r>
    </w:p>
    <w:p w14:paraId="0E221176" w14:textId="77777777" w:rsidR="00C21F39" w:rsidRDefault="00DD397E">
      <w:pPr>
        <w:jc w:val="both"/>
        <w:rPr>
          <w:rFonts w:ascii="Arial" w:hAnsi="Arial" w:cs="Arial"/>
        </w:rPr>
      </w:pPr>
      <w:r w:rsidRPr="00CD2307">
        <w:rPr>
          <w:rFonts w:ascii="Arial" w:hAnsi="Arial" w:cs="Arial"/>
        </w:rPr>
        <w:t>D'autres organismes fournissen</w:t>
      </w:r>
      <w:r w:rsidRPr="00CD2307">
        <w:rPr>
          <w:rFonts w:ascii="Arial" w:hAnsi="Arial" w:cs="Arial"/>
        </w:rPr>
        <w:t>t également une assistance juridique gratuite, tels que les bureaux ATAJO du ministère public (justice fédérale et CABA) ; le bureau du défenseur public (uniquement dans la CABA) ; les bureaux de conseil aux habitants (uniquement dans la CABA) ; les barrea</w:t>
      </w:r>
      <w:r w:rsidRPr="00CD2307">
        <w:rPr>
          <w:rFonts w:ascii="Arial" w:hAnsi="Arial" w:cs="Arial"/>
        </w:rPr>
        <w:t>ux (cliniques gratuites) ; les cliniques universitaires (étudiants en droit), etc.</w:t>
      </w:r>
    </w:p>
    <w:p w14:paraId="4C04A765" w14:textId="77777777" w:rsidR="00C21F39" w:rsidRDefault="00DD397E">
      <w:pPr>
        <w:jc w:val="both"/>
        <w:rPr>
          <w:rFonts w:ascii="Arial" w:hAnsi="Arial" w:cs="Arial"/>
        </w:rPr>
      </w:pPr>
      <w:r w:rsidRPr="00CD2307">
        <w:rPr>
          <w:rFonts w:ascii="Arial" w:hAnsi="Arial" w:cs="Arial"/>
        </w:rPr>
        <w:t>Chaque institution définit les conditions d'accès, les bénéficiaires potentiels en fonction de différents paramètres permettant d'évaluer leur situation de vulnérabilité, le</w:t>
      </w:r>
      <w:r w:rsidRPr="00CD2307">
        <w:rPr>
          <w:rFonts w:ascii="Arial" w:hAnsi="Arial" w:cs="Arial"/>
        </w:rPr>
        <w:t xml:space="preserve">s sujets et les cas pour lesquels une assistance sera fournie. Certaines institutions se contentent de fournir des conseils, tandis que d'autres proposent des services de conseil et de représentation juridiques gratuits. </w:t>
      </w:r>
    </w:p>
    <w:p w14:paraId="6996AB20" w14:textId="77777777" w:rsidR="00C21F39" w:rsidRDefault="00DD397E">
      <w:pPr>
        <w:jc w:val="both"/>
        <w:rPr>
          <w:rFonts w:ascii="Arial" w:hAnsi="Arial" w:cs="Arial"/>
        </w:rPr>
      </w:pPr>
      <w:r w:rsidRPr="00CD2307">
        <w:rPr>
          <w:rFonts w:ascii="Arial" w:hAnsi="Arial" w:cs="Arial"/>
        </w:rPr>
        <w:lastRenderedPageBreak/>
        <w:t>D'après les cas traités par le bur</w:t>
      </w:r>
      <w:r w:rsidRPr="00CD2307">
        <w:rPr>
          <w:rFonts w:ascii="Arial" w:hAnsi="Arial" w:cs="Arial"/>
        </w:rPr>
        <w:t>eau du médiateur concernant la nécessité d'une représentation juridique gratuite, on constate que l'information sur l'accès aux organismes qui fournissent une assistance juridique gratuite (conseil-parrainage) dans tout le pays n'est pas toujours organisée</w:t>
      </w:r>
      <w:r w:rsidRPr="00CD2307">
        <w:rPr>
          <w:rFonts w:ascii="Arial" w:hAnsi="Arial" w:cs="Arial"/>
        </w:rPr>
        <w:t xml:space="preserve"> et accessible à la population, ce qui signifie que, pour y accéder, les gens doivent se rendre dans plusieurs lieux de consultation, sans connaître, comprendre et utiliser de manière appropriée les ressources existantes.</w:t>
      </w:r>
    </w:p>
    <w:p w14:paraId="542FD7DF" w14:textId="77777777" w:rsidR="00C21F39" w:rsidRDefault="00DD397E">
      <w:pPr>
        <w:jc w:val="both"/>
        <w:rPr>
          <w:rFonts w:ascii="Arial" w:hAnsi="Arial" w:cs="Arial"/>
        </w:rPr>
      </w:pPr>
      <w:r w:rsidRPr="00CD2307">
        <w:rPr>
          <w:rFonts w:ascii="Arial" w:hAnsi="Arial" w:cs="Arial"/>
        </w:rPr>
        <w:t>Une planification adéquate des pol</w:t>
      </w:r>
      <w:r w:rsidRPr="00CD2307">
        <w:rPr>
          <w:rFonts w:ascii="Arial" w:hAnsi="Arial" w:cs="Arial"/>
        </w:rPr>
        <w:t xml:space="preserve">itiques publiques liées à l'efficacité de l'accès à la justice, en particulier pour les secteurs les plus vulnérables et qui tiennent compte des besoins des communautés autochtones, des migrants, entre autres, nécessite la systématisation des informations </w:t>
      </w:r>
      <w:r w:rsidRPr="00CD2307">
        <w:rPr>
          <w:rFonts w:ascii="Arial" w:hAnsi="Arial" w:cs="Arial"/>
        </w:rPr>
        <w:t xml:space="preserve">et des ressources existantes et leur publication par le biais de campagnes conviviales, ainsi que la réalisation d'études au niveau national sur l'accès à la justice et les besoins juridiques de la population par l'État. Il serait souhaitable de le mettre </w:t>
      </w:r>
      <w:r w:rsidRPr="00CD2307">
        <w:rPr>
          <w:rFonts w:ascii="Arial" w:hAnsi="Arial" w:cs="Arial"/>
        </w:rPr>
        <w:t xml:space="preserve">à jour avec une périodicité préétablie qui permette la production d'informations empiriques sur ce problème dans notre pays. </w:t>
      </w:r>
    </w:p>
    <w:p w14:paraId="4A795968" w14:textId="77777777" w:rsidR="00C21F39" w:rsidRDefault="00DD397E">
      <w:pPr>
        <w:jc w:val="both"/>
        <w:rPr>
          <w:rFonts w:ascii="Arial" w:hAnsi="Arial" w:cs="Arial"/>
        </w:rPr>
      </w:pPr>
      <w:r w:rsidRPr="00CD2307">
        <w:rPr>
          <w:rFonts w:ascii="Arial" w:hAnsi="Arial" w:cs="Arial"/>
        </w:rPr>
        <w:t>En ce qui concerne l'accès à la justice pour les communautés indigènes, au-delà des actions signalées par l'État dans ses rapports</w:t>
      </w:r>
      <w:r w:rsidRPr="00CD2307">
        <w:rPr>
          <w:rFonts w:ascii="Arial" w:hAnsi="Arial" w:cs="Arial"/>
        </w:rPr>
        <w:t xml:space="preserve"> périodiques combinés 24-26</w:t>
      </w:r>
      <w:r w:rsidRPr="00185CBA">
        <w:rPr>
          <w:rFonts w:ascii="Arial" w:hAnsi="Arial" w:cs="Arial"/>
          <w:vertAlign w:val="superscript"/>
        </w:rPr>
        <w:footnoteReference w:id="71"/>
      </w:r>
      <w:r w:rsidRPr="00CD2307">
        <w:rPr>
          <w:rFonts w:ascii="Arial" w:hAnsi="Arial" w:cs="Arial"/>
        </w:rPr>
        <w:t xml:space="preserve"> , il y a peu d'exécutions et de services juridiques fournis par l'INADI, compte tenu du nombre de violations des droits subies par les membres des communautés, du nombre total de communautés indigènes dans tout le pays et de l</w:t>
      </w:r>
      <w:r w:rsidRPr="00CD2307">
        <w:rPr>
          <w:rFonts w:ascii="Arial" w:hAnsi="Arial" w:cs="Arial"/>
        </w:rPr>
        <w:t>eur répartition territoriale.</w:t>
      </w:r>
    </w:p>
    <w:p w14:paraId="2C67CAFE" w14:textId="77777777" w:rsidR="00C21F39" w:rsidRDefault="00DD397E">
      <w:pPr>
        <w:jc w:val="both"/>
        <w:rPr>
          <w:rFonts w:ascii="Arial" w:hAnsi="Arial" w:cs="Arial"/>
        </w:rPr>
      </w:pPr>
      <w:r w:rsidRPr="00CD2307">
        <w:rPr>
          <w:rFonts w:ascii="Arial" w:hAnsi="Arial" w:cs="Arial"/>
        </w:rPr>
        <w:t>C'est pourquoi l'État doit renforcer davantage les politiques publiques visant à garantir l'accès à la justice pour ce groupe, y compris l'accès à une représentation juridique spécialisée gratuite, l'accès à des traducteurs et</w:t>
      </w:r>
      <w:r w:rsidRPr="00CD2307">
        <w:rPr>
          <w:rFonts w:ascii="Arial" w:hAnsi="Arial" w:cs="Arial"/>
        </w:rPr>
        <w:t xml:space="preserve"> interprètes spécialisés, des notaires, des géomètres et tout autre professionnel de confiance qui pourrait être nécessaire pour garantir l'accès à la justice pour les peuples autochtones.</w:t>
      </w:r>
    </w:p>
    <w:p w14:paraId="24E32E71" w14:textId="77777777" w:rsidR="00CD2307" w:rsidRPr="00CD2307" w:rsidRDefault="00CD2307" w:rsidP="00CD2307">
      <w:pPr>
        <w:jc w:val="both"/>
        <w:rPr>
          <w:rFonts w:ascii="Arial" w:hAnsi="Arial" w:cs="Arial"/>
          <w:b/>
        </w:rPr>
      </w:pPr>
    </w:p>
    <w:p w14:paraId="3A79796C" w14:textId="77777777" w:rsidR="00C21F39" w:rsidRDefault="00DD397E">
      <w:pPr>
        <w:jc w:val="both"/>
        <w:rPr>
          <w:rFonts w:ascii="Arial" w:hAnsi="Arial" w:cs="Arial"/>
        </w:rPr>
      </w:pPr>
      <w:r w:rsidRPr="00CD2307">
        <w:rPr>
          <w:rFonts w:ascii="Arial" w:hAnsi="Arial" w:cs="Arial"/>
          <w:b/>
        </w:rPr>
        <w:t xml:space="preserve">27.- </w:t>
      </w:r>
      <w:r w:rsidRPr="00CD2307">
        <w:rPr>
          <w:rFonts w:ascii="Arial" w:hAnsi="Arial" w:cs="Arial"/>
        </w:rPr>
        <w:t>Les mesures envisagées pour prévenir l'utilisation du profila</w:t>
      </w:r>
      <w:r w:rsidRPr="00CD2307">
        <w:rPr>
          <w:rFonts w:ascii="Arial" w:hAnsi="Arial" w:cs="Arial"/>
        </w:rPr>
        <w:t xml:space="preserve">ge racial comprennent des activités de sensibilisation et de formation contre la discrimination menées par les organismes compétents en la matière, en particulier l'INADI et d'autres organismes tels que l'INAI, la Direction nationale des migrations, entre </w:t>
      </w:r>
      <w:r w:rsidRPr="00CD2307">
        <w:rPr>
          <w:rFonts w:ascii="Arial" w:hAnsi="Arial" w:cs="Arial"/>
        </w:rPr>
        <w:t>autres, et, dans certains cas, des prises de position et des recommandations à cet égard</w:t>
      </w:r>
      <w:r w:rsidRPr="00185CBA">
        <w:rPr>
          <w:rFonts w:ascii="Arial" w:hAnsi="Arial" w:cs="Arial"/>
          <w:vertAlign w:val="superscript"/>
        </w:rPr>
        <w:footnoteReference w:id="72"/>
      </w:r>
      <w:r w:rsidRPr="00CD2307">
        <w:rPr>
          <w:rFonts w:ascii="Arial" w:hAnsi="Arial" w:cs="Arial"/>
        </w:rPr>
        <w:t xml:space="preserve"> .</w:t>
      </w:r>
    </w:p>
    <w:p w14:paraId="6133EBF0" w14:textId="77777777" w:rsidR="007A53FD" w:rsidRDefault="007A53FD" w:rsidP="00CD2307">
      <w:pPr>
        <w:jc w:val="both"/>
        <w:rPr>
          <w:rFonts w:ascii="Arial" w:hAnsi="Arial" w:cs="Arial"/>
          <w:b/>
        </w:rPr>
      </w:pPr>
    </w:p>
    <w:p w14:paraId="1FEF4FE0" w14:textId="77777777" w:rsidR="00C21F39" w:rsidRDefault="00DD397E">
      <w:pPr>
        <w:jc w:val="both"/>
        <w:rPr>
          <w:rFonts w:ascii="Arial" w:hAnsi="Arial" w:cs="Arial"/>
          <w:b/>
        </w:rPr>
      </w:pPr>
      <w:r w:rsidRPr="00CD2307">
        <w:rPr>
          <w:rFonts w:ascii="Arial" w:hAnsi="Arial" w:cs="Arial"/>
          <w:b/>
        </w:rPr>
        <w:t>Formation, éducation et autres mesures de lutte contre les préjugés et l'intolérance (art. 5 et 7)</w:t>
      </w:r>
    </w:p>
    <w:p w14:paraId="3AD7F741" w14:textId="77777777" w:rsidR="00C21F39" w:rsidRDefault="00DD397E">
      <w:pPr>
        <w:jc w:val="both"/>
        <w:rPr>
          <w:rFonts w:ascii="Arial" w:hAnsi="Arial" w:cs="Arial"/>
          <w:b/>
        </w:rPr>
      </w:pPr>
      <w:r w:rsidRPr="00CD2307">
        <w:rPr>
          <w:rFonts w:ascii="Arial" w:hAnsi="Arial" w:cs="Arial"/>
          <w:b/>
        </w:rPr>
        <w:t xml:space="preserve">28 y 29.  </w:t>
      </w:r>
      <w:r w:rsidRPr="00CD2307">
        <w:rPr>
          <w:rFonts w:ascii="Arial" w:hAnsi="Arial" w:cs="Arial"/>
        </w:rPr>
        <w:t xml:space="preserve">L'État, par l'intermédiaire de la Direction de </w:t>
      </w:r>
      <w:r w:rsidRPr="00CD2307">
        <w:rPr>
          <w:rFonts w:ascii="Arial" w:hAnsi="Arial" w:cs="Arial"/>
          <w:bCs/>
        </w:rPr>
        <w:t>l'éduc</w:t>
      </w:r>
      <w:r w:rsidRPr="00CD2307">
        <w:rPr>
          <w:rFonts w:ascii="Arial" w:hAnsi="Arial" w:cs="Arial"/>
          <w:bCs/>
        </w:rPr>
        <w:t xml:space="preserve">ation aux droits de l'homme, au genre et à l'éducation sexuelle intégrale du ministère de l'éducation, promeut des </w:t>
      </w:r>
      <w:r w:rsidRPr="00CD2307">
        <w:rPr>
          <w:rFonts w:ascii="Arial" w:hAnsi="Arial" w:cs="Arial"/>
        </w:rPr>
        <w:t>politiques éducatives qui garantissent l'éducation sexuelle intégrale et l'éducation aux droits de l'homme et au genre aux différents niveaux</w:t>
      </w:r>
      <w:r w:rsidRPr="00CD2307">
        <w:rPr>
          <w:rFonts w:ascii="Arial" w:hAnsi="Arial" w:cs="Arial"/>
        </w:rPr>
        <w:t xml:space="preserve"> et modalités du système national d'éducation.</w:t>
      </w:r>
    </w:p>
    <w:p w14:paraId="0A3538E8" w14:textId="77777777" w:rsidR="00C21F39" w:rsidRDefault="00DD397E">
      <w:pPr>
        <w:jc w:val="both"/>
        <w:rPr>
          <w:rFonts w:ascii="Arial" w:hAnsi="Arial" w:cs="Arial"/>
        </w:rPr>
      </w:pPr>
      <w:r w:rsidRPr="00CD2307">
        <w:rPr>
          <w:rFonts w:ascii="Arial" w:hAnsi="Arial" w:cs="Arial"/>
        </w:rPr>
        <w:t xml:space="preserve">Dans le cadre de la loi sur l'éducation nationale 26.206 (articles 3, 8, 92), la promotion et la protection des droits de l'homme sont conçues comme une politique publique qui </w:t>
      </w:r>
      <w:r w:rsidRPr="00CD2307">
        <w:rPr>
          <w:rFonts w:ascii="Arial" w:hAnsi="Arial" w:cs="Arial"/>
        </w:rPr>
        <w:lastRenderedPageBreak/>
        <w:t>traverse le développement de tout</w:t>
      </w:r>
      <w:r w:rsidRPr="00CD2307">
        <w:rPr>
          <w:rFonts w:ascii="Arial" w:hAnsi="Arial" w:cs="Arial"/>
        </w:rPr>
        <w:t>es les politiques éducatives, par le biais d'une approche curriculaire et transversale.</w:t>
      </w:r>
    </w:p>
    <w:p w14:paraId="36D4C9EA" w14:textId="77777777" w:rsidR="00C21F39" w:rsidRDefault="00DD397E">
      <w:pPr>
        <w:jc w:val="both"/>
        <w:rPr>
          <w:rFonts w:ascii="Arial" w:hAnsi="Arial" w:cs="Arial"/>
        </w:rPr>
      </w:pPr>
      <w:r w:rsidRPr="00CD2307">
        <w:rPr>
          <w:rFonts w:ascii="Arial" w:hAnsi="Arial" w:cs="Arial"/>
        </w:rPr>
        <w:t>En particulier, l'article 92 établit qu'ils font partie du contenu des programmes scolaires communs à toutes les juridictions :</w:t>
      </w:r>
    </w:p>
    <w:p w14:paraId="1C52E13D" w14:textId="77777777" w:rsidR="00C21F39" w:rsidRDefault="00DD397E">
      <w:pPr>
        <w:numPr>
          <w:ilvl w:val="0"/>
          <w:numId w:val="1"/>
        </w:numPr>
        <w:contextualSpacing/>
        <w:jc w:val="both"/>
        <w:rPr>
          <w:rFonts w:ascii="Arial" w:hAnsi="Arial" w:cs="Arial"/>
        </w:rPr>
      </w:pPr>
      <w:r w:rsidRPr="00CD2307">
        <w:rPr>
          <w:rFonts w:ascii="Arial" w:hAnsi="Arial" w:cs="Arial"/>
        </w:rPr>
        <w:t>Le renforcement de la perspective régionale latino-américaine, en particulier celle du MERCOSUR, dans le cadre de la construction d'une identité nationale ouverte et respectueuse de la diversité.</w:t>
      </w:r>
    </w:p>
    <w:p w14:paraId="3297A2B9" w14:textId="77777777" w:rsidR="00C21F39" w:rsidRDefault="00DD397E">
      <w:pPr>
        <w:numPr>
          <w:ilvl w:val="0"/>
          <w:numId w:val="1"/>
        </w:numPr>
        <w:contextualSpacing/>
        <w:jc w:val="both"/>
        <w:rPr>
          <w:rFonts w:ascii="Arial" w:hAnsi="Arial" w:cs="Arial"/>
        </w:rPr>
      </w:pPr>
      <w:r w:rsidRPr="00CD2307">
        <w:rPr>
          <w:rFonts w:ascii="Arial" w:hAnsi="Arial" w:cs="Arial"/>
        </w:rPr>
        <w:t>L'exercice et la construction de la mémoire collective des p</w:t>
      </w:r>
      <w:r w:rsidRPr="00CD2307">
        <w:rPr>
          <w:rFonts w:ascii="Arial" w:hAnsi="Arial" w:cs="Arial"/>
        </w:rPr>
        <w:t>rocessus historiques et politiques qui ont rompu l'ordre constitutionnel et ont abouti à l'instauration du terrorisme d'État, dans le but de susciter chez les élèves des réflexions et des sentiments démocratiques et de défense de l'État de droit et de la p</w:t>
      </w:r>
      <w:r w:rsidRPr="00CD2307">
        <w:rPr>
          <w:rFonts w:ascii="Arial" w:hAnsi="Arial" w:cs="Arial"/>
        </w:rPr>
        <w:t>leine validité des droits de l'homme, conformément aux dispositions de la loi nº 25.633.</w:t>
      </w:r>
    </w:p>
    <w:p w14:paraId="7E4A6A92" w14:textId="77777777" w:rsidR="00C21F39" w:rsidRDefault="00DD397E">
      <w:pPr>
        <w:numPr>
          <w:ilvl w:val="0"/>
          <w:numId w:val="1"/>
        </w:numPr>
        <w:contextualSpacing/>
        <w:jc w:val="both"/>
        <w:rPr>
          <w:rFonts w:ascii="Arial" w:hAnsi="Arial" w:cs="Arial"/>
        </w:rPr>
      </w:pPr>
      <w:r w:rsidRPr="00CD2307">
        <w:rPr>
          <w:rFonts w:ascii="Arial" w:hAnsi="Arial" w:cs="Arial"/>
        </w:rPr>
        <w:t>Connaissance des droits des enfants et des adolescents établis dans la Convention relative aux droits de l'enfant et dans la loi Nº 26.061.</w:t>
      </w:r>
    </w:p>
    <w:p w14:paraId="07E75B4D" w14:textId="77777777" w:rsidR="00C21F39" w:rsidRDefault="00DD397E">
      <w:pPr>
        <w:numPr>
          <w:ilvl w:val="0"/>
          <w:numId w:val="1"/>
        </w:numPr>
        <w:contextualSpacing/>
        <w:jc w:val="both"/>
        <w:rPr>
          <w:rFonts w:ascii="Arial" w:hAnsi="Arial" w:cs="Arial"/>
        </w:rPr>
      </w:pPr>
      <w:r w:rsidRPr="00CD2307">
        <w:rPr>
          <w:rFonts w:ascii="Arial" w:hAnsi="Arial" w:cs="Arial"/>
        </w:rPr>
        <w:t>Connaissance de la diversit</w:t>
      </w:r>
      <w:r w:rsidRPr="00CD2307">
        <w:rPr>
          <w:rFonts w:ascii="Arial" w:hAnsi="Arial" w:cs="Arial"/>
        </w:rPr>
        <w:t>é culturelle des peuples autochtones et de leurs droits, conformément à l'article 54 de la présente loi.</w:t>
      </w:r>
    </w:p>
    <w:p w14:paraId="51A660FA" w14:textId="77777777" w:rsidR="00C21F39" w:rsidRDefault="00DD397E">
      <w:pPr>
        <w:numPr>
          <w:ilvl w:val="0"/>
          <w:numId w:val="1"/>
        </w:numPr>
        <w:contextualSpacing/>
        <w:jc w:val="both"/>
        <w:rPr>
          <w:rFonts w:ascii="Arial" w:hAnsi="Arial" w:cs="Arial"/>
        </w:rPr>
      </w:pPr>
      <w:r w:rsidRPr="00CD2307">
        <w:rPr>
          <w:rFonts w:ascii="Arial" w:hAnsi="Arial" w:cs="Arial"/>
        </w:rPr>
        <w:t xml:space="preserve">Les contenus et les approches qui contribuent à générer des relations fondées sur l'égalité, la solidarité et le respect entre les sexes, conformément </w:t>
      </w:r>
      <w:r w:rsidRPr="00CD2307">
        <w:rPr>
          <w:rFonts w:ascii="Arial" w:hAnsi="Arial" w:cs="Arial"/>
        </w:rPr>
        <w:t>à la Convention sur l'élimination de toutes les formes de discrimination à l'égard des femmes, de rang constitutionnel, et aux lois Nº 24.632 et Nº 26.171.</w:t>
      </w:r>
    </w:p>
    <w:p w14:paraId="76E34603" w14:textId="77777777" w:rsidR="00C21F39" w:rsidRDefault="00DD397E">
      <w:pPr>
        <w:jc w:val="both"/>
        <w:rPr>
          <w:rFonts w:ascii="Arial" w:hAnsi="Arial" w:cs="Arial"/>
        </w:rPr>
      </w:pPr>
      <w:r w:rsidRPr="00CD2307">
        <w:rPr>
          <w:rFonts w:ascii="Arial" w:hAnsi="Arial" w:cs="Arial"/>
        </w:rPr>
        <w:t>Malgré ces progrès, une occasion a été manquée dans le domaine de l'éducation, car la loi sur l'éduc</w:t>
      </w:r>
      <w:r w:rsidRPr="00CD2307">
        <w:rPr>
          <w:rFonts w:ascii="Arial" w:hAnsi="Arial" w:cs="Arial"/>
        </w:rPr>
        <w:t>ation nationale (loi n° 26.206), adoptée après l'approbation du plan national de lutte contre la discrimination (décret 1086/2005), omet l'existence de la population et de la culture afro-descendantes dans le programme scolaire.</w:t>
      </w:r>
    </w:p>
    <w:p w14:paraId="0801D036" w14:textId="77777777" w:rsidR="00C21F39" w:rsidRDefault="00DD397E">
      <w:pPr>
        <w:jc w:val="both"/>
        <w:rPr>
          <w:rFonts w:ascii="Arial" w:hAnsi="Arial" w:cs="Arial"/>
        </w:rPr>
      </w:pPr>
      <w:r w:rsidRPr="00CD2307">
        <w:rPr>
          <w:rFonts w:ascii="Arial" w:hAnsi="Arial" w:cs="Arial"/>
        </w:rPr>
        <w:t>L'Argentine ne dispose touj</w:t>
      </w:r>
      <w:r w:rsidRPr="00CD2307">
        <w:rPr>
          <w:rFonts w:ascii="Arial" w:hAnsi="Arial" w:cs="Arial"/>
        </w:rPr>
        <w:t>ours pas d'un Institut national pour les affaires afro-argentines, afro-descendantes et africaines, comme l'a recommandé le groupe de travail d'experts sur les afro-descendantes après avoir visité notre pays (A/HRC/42/59/Add.2, paragraphe 64).</w:t>
      </w:r>
    </w:p>
    <w:p w14:paraId="489D697B" w14:textId="77777777" w:rsidR="00CD2307" w:rsidRPr="00CD2307" w:rsidRDefault="00CD2307" w:rsidP="00CD2307">
      <w:pPr>
        <w:jc w:val="both"/>
        <w:rPr>
          <w:rFonts w:ascii="Arial" w:hAnsi="Arial" w:cs="Arial"/>
        </w:rPr>
      </w:pPr>
    </w:p>
    <w:p w14:paraId="59E4608F" w14:textId="77777777" w:rsidR="00824368" w:rsidRPr="00185CBA" w:rsidRDefault="00CD2307" w:rsidP="00CD2307">
      <w:r w:rsidRPr="00185CBA">
        <w:t xml:space="preserve"> </w:t>
      </w:r>
    </w:p>
    <w:sectPr w:rsidR="00824368" w:rsidRPr="00185CB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48793" w14:textId="77777777" w:rsidR="003D61E1" w:rsidRDefault="003D61E1" w:rsidP="00CD2307">
      <w:pPr>
        <w:spacing w:after="0" w:line="240" w:lineRule="auto"/>
      </w:pPr>
      <w:r>
        <w:separator/>
      </w:r>
    </w:p>
  </w:endnote>
  <w:endnote w:type="continuationSeparator" w:id="0">
    <w:p w14:paraId="2AB48110" w14:textId="77777777" w:rsidR="003D61E1" w:rsidRDefault="003D61E1" w:rsidP="00CD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3DC23" w14:textId="77777777" w:rsidR="003D61E1" w:rsidRDefault="003D61E1" w:rsidP="00CD2307">
      <w:pPr>
        <w:spacing w:after="0" w:line="240" w:lineRule="auto"/>
      </w:pPr>
      <w:r>
        <w:separator/>
      </w:r>
    </w:p>
  </w:footnote>
  <w:footnote w:type="continuationSeparator" w:id="0">
    <w:p w14:paraId="603C8B3E" w14:textId="77777777" w:rsidR="003D61E1" w:rsidRDefault="003D61E1" w:rsidP="00CD2307">
      <w:pPr>
        <w:spacing w:after="0" w:line="240" w:lineRule="auto"/>
      </w:pPr>
      <w:r>
        <w:continuationSeparator/>
      </w:r>
    </w:p>
  </w:footnote>
  <w:footnote w:id="1">
    <w:p w14:paraId="7BE61A7E" w14:textId="77777777" w:rsidR="00C21F39" w:rsidRDefault="00DD397E">
      <w:pPr>
        <w:pStyle w:val="FootnoteText"/>
      </w:pPr>
      <w:r>
        <w:rPr>
          <w:rStyle w:val="FootnoteReference"/>
        </w:rPr>
        <w:footnoteRef/>
      </w:r>
      <w:hyperlink r:id="rId1" w:history="1">
        <w:r w:rsidRPr="00460C55">
          <w:rPr>
            <w:rStyle w:val="Hyperlink"/>
          </w:rPr>
          <w:t xml:space="preserve"> https://www.indec.gob.ar/</w:t>
        </w:r>
      </w:hyperlink>
    </w:p>
  </w:footnote>
  <w:footnote w:id="2">
    <w:p w14:paraId="45933C60" w14:textId="77777777" w:rsidR="00C21F39" w:rsidRDefault="00DD397E">
      <w:pPr>
        <w:pStyle w:val="FootnoteText"/>
      </w:pPr>
      <w:r>
        <w:rPr>
          <w:rStyle w:val="FootnoteReference"/>
        </w:rPr>
        <w:footnoteRef/>
      </w:r>
      <w:hyperlink r:id="rId2" w:history="1">
        <w:r w:rsidRPr="002A5201">
          <w:rPr>
            <w:rStyle w:val="Hyperlink"/>
          </w:rPr>
          <w:t xml:space="preserve"> https://www.censo.gob.ar/index.php/datos_provisionales/</w:t>
        </w:r>
      </w:hyperlink>
    </w:p>
    <w:p w14:paraId="3C7FF83B" w14:textId="77777777" w:rsidR="00CD2307" w:rsidRDefault="00CD2307" w:rsidP="00CD2307">
      <w:pPr>
        <w:pStyle w:val="FootnoteText"/>
      </w:pPr>
    </w:p>
    <w:p w14:paraId="1462C29B" w14:textId="77777777" w:rsidR="00CD2307" w:rsidRPr="003816C5" w:rsidRDefault="00CD2307" w:rsidP="00CD2307">
      <w:pPr>
        <w:pStyle w:val="FootnoteText"/>
        <w:rPr>
          <w:lang w:val="es-ES"/>
        </w:rPr>
      </w:pPr>
    </w:p>
  </w:footnote>
  <w:footnote w:id="3">
    <w:p w14:paraId="2BD07F9D" w14:textId="77777777" w:rsidR="00C21F39" w:rsidRDefault="00DD397E">
      <w:pPr>
        <w:pStyle w:val="FootnoteText"/>
      </w:pPr>
      <w:r>
        <w:rPr>
          <w:rStyle w:val="FootnoteReference"/>
        </w:rPr>
        <w:footnoteRef/>
      </w:r>
      <w:hyperlink r:id="rId3" w:history="1">
        <w:r w:rsidRPr="00FC6D67">
          <w:rPr>
            <w:rStyle w:val="Hyperlink"/>
          </w:rPr>
          <w:t xml:space="preserve"> https://www.argentina.gob.ar/sites/default/files/pueblos_originarios_noa.pdf</w:t>
        </w:r>
      </w:hyperlink>
    </w:p>
  </w:footnote>
  <w:footnote w:id="4">
    <w:p w14:paraId="78BC7290" w14:textId="77777777" w:rsidR="00C21F39" w:rsidRDefault="00DD397E">
      <w:pPr>
        <w:pStyle w:val="FootnoteText"/>
      </w:pPr>
      <w:r>
        <w:rPr>
          <w:rStyle w:val="FootnoteReference"/>
        </w:rPr>
        <w:footnoteRef/>
      </w:r>
      <w:hyperlink r:id="rId4" w:history="1">
        <w:r w:rsidRPr="00FC6D67">
          <w:rPr>
            <w:rStyle w:val="Hyperlink"/>
          </w:rPr>
          <w:t>https://www.argentina.gob.ar/sites/default/files/2021/11/perfil_demografico_y_distribucion_espacial_afrodescendientes_argentina.pdf</w:t>
        </w:r>
      </w:hyperlink>
    </w:p>
  </w:footnote>
  <w:footnote w:id="5">
    <w:p w14:paraId="7083F7EB" w14:textId="77777777" w:rsidR="00C21F39" w:rsidRDefault="00DD397E">
      <w:pPr>
        <w:pStyle w:val="FootnoteText"/>
      </w:pPr>
      <w:r>
        <w:rPr>
          <w:rStyle w:val="FootnoteReference"/>
        </w:rPr>
        <w:footnoteRef/>
      </w:r>
      <w:hyperlink r:id="rId5" w:history="1">
        <w:r w:rsidRPr="00FC6D67">
          <w:rPr>
            <w:rStyle w:val="Hyperlink"/>
          </w:rPr>
          <w:t xml:space="preserve"> https://www.argentina.gob.ar/sites/default/files/migracion_en_argentina_dnp.pptx_.pdf</w:t>
        </w:r>
      </w:hyperlink>
    </w:p>
  </w:footnote>
  <w:footnote w:id="6">
    <w:p w14:paraId="11CAEB15" w14:textId="77777777" w:rsidR="00C21F39" w:rsidRDefault="00DD397E">
      <w:pPr>
        <w:pStyle w:val="FootnoteText"/>
      </w:pPr>
      <w:r>
        <w:rPr>
          <w:rStyle w:val="FootnoteReference"/>
        </w:rPr>
        <w:footnoteRef/>
      </w:r>
      <w:hyperlink r:id="rId6" w:history="1">
        <w:r w:rsidRPr="00FF0EDC">
          <w:rPr>
            <w:rStyle w:val="Hyperlink"/>
          </w:rPr>
          <w:t xml:space="preserve"> https://www.mpf.gob.ar/dgdh/files/2017/04/cuadernillo-2-1.pdf</w:t>
        </w:r>
      </w:hyperlink>
    </w:p>
  </w:footnote>
  <w:footnote w:id="7">
    <w:p w14:paraId="30A95015" w14:textId="77777777" w:rsidR="00C21F39" w:rsidRDefault="00DD397E">
      <w:pPr>
        <w:pStyle w:val="FootnoteText"/>
      </w:pPr>
      <w:r>
        <w:rPr>
          <w:rStyle w:val="FootnoteReference"/>
        </w:rPr>
        <w:footnoteRef/>
      </w:r>
      <w:hyperlink r:id="rId7" w:history="1">
        <w:r w:rsidRPr="00FF0EDC">
          <w:rPr>
            <w:rStyle w:val="Hyperlink"/>
          </w:rPr>
          <w:t xml:space="preserve"> https://documents-dds-ny.un.org/doc/UNDOC/GEN/G20/026/63/PDF/G2002663.pdf?Op</w:t>
        </w:r>
        <w:r w:rsidRPr="00FF0EDC">
          <w:rPr>
            <w:rStyle w:val="Hyperlink"/>
          </w:rPr>
          <w:t>enElement</w:t>
        </w:r>
      </w:hyperlink>
    </w:p>
    <w:p w14:paraId="6A720C18" w14:textId="77777777" w:rsidR="00C21F39" w:rsidRDefault="00DD397E">
      <w:pPr>
        <w:pStyle w:val="FootnoteText"/>
      </w:pPr>
      <w:r w:rsidRPr="009F0103">
        <w:t>(</w:t>
      </w:r>
      <w:r>
        <w:t xml:space="preserve">p. 8). </w:t>
      </w:r>
    </w:p>
  </w:footnote>
  <w:footnote w:id="8">
    <w:p w14:paraId="3446E616" w14:textId="77777777" w:rsidR="00C21F39" w:rsidRDefault="00DD397E">
      <w:pPr>
        <w:pStyle w:val="FootnoteText"/>
      </w:pPr>
      <w:r>
        <w:rPr>
          <w:rStyle w:val="FootnoteReference"/>
        </w:rPr>
        <w:footnoteRef/>
      </w:r>
      <w:hyperlink r:id="rId8" w:history="1">
        <w:r w:rsidRPr="00460C55">
          <w:rPr>
            <w:rStyle w:val="Hyperlink"/>
          </w:rPr>
          <w:t xml:space="preserve"> https://www.ohchr.org/es/documents/country-reports/visit-argentina-report-working-group-experts-peop</w:t>
        </w:r>
        <w:r w:rsidRPr="00460C55">
          <w:rPr>
            <w:rStyle w:val="Hyperlink"/>
          </w:rPr>
          <w:t>le-african-descent</w:t>
        </w:r>
      </w:hyperlink>
    </w:p>
    <w:p w14:paraId="1EF5AD04" w14:textId="77777777" w:rsidR="00C21F39" w:rsidRDefault="00DD397E">
      <w:pPr>
        <w:pStyle w:val="FootnoteText"/>
      </w:pPr>
      <w:r>
        <w:t>(voir point 35 et suivants).</w:t>
      </w:r>
    </w:p>
  </w:footnote>
  <w:footnote w:id="9">
    <w:p w14:paraId="51FB2FD2" w14:textId="77777777" w:rsidR="00C21F39" w:rsidRDefault="00DD397E">
      <w:pPr>
        <w:pStyle w:val="FootnoteText"/>
      </w:pPr>
      <w:r>
        <w:rPr>
          <w:rStyle w:val="FootnoteReference"/>
        </w:rPr>
        <w:footnoteRef/>
      </w:r>
      <w:hyperlink r:id="rId9" w:history="1">
        <w:r w:rsidRPr="00FF0EDC">
          <w:rPr>
            <w:rStyle w:val="Hyperlink"/>
          </w:rPr>
          <w:t xml:space="preserve"> https://www.fiscales.gob.ar/violencia-institucional/homicidio-de-lucas-gonzalez-la-fiscalia-pidio-la-elevacion-a-juicio-de-la-investigacion-con-catorce-policias-acusados/</w:t>
        </w:r>
      </w:hyperlink>
    </w:p>
    <w:p w14:paraId="2C665C10" w14:textId="77777777" w:rsidR="00C21F39" w:rsidRDefault="00DD397E">
      <w:pPr>
        <w:pStyle w:val="FootnoteText"/>
      </w:pPr>
      <w:hyperlink r:id="rId10" w:history="1">
        <w:r w:rsidRPr="00FF0EDC">
          <w:rPr>
            <w:rStyle w:val="Hyperlink"/>
          </w:rPr>
          <w:t>https://www.argentina.gob.ar/noticias/el-caso-lucas-gonzalez-el-inadi-solicita-que-se-investigue-si-los-policias-actuaron-con</w:t>
        </w:r>
      </w:hyperlink>
    </w:p>
    <w:p w14:paraId="6DE6A44E" w14:textId="77777777" w:rsidR="00CD2307" w:rsidRDefault="00CD2307" w:rsidP="00CD2307">
      <w:pPr>
        <w:pStyle w:val="FootnoteText"/>
      </w:pPr>
    </w:p>
  </w:footnote>
  <w:footnote w:id="10">
    <w:p w14:paraId="443A4404" w14:textId="77777777" w:rsidR="00C21F39" w:rsidRDefault="00DD397E">
      <w:pPr>
        <w:pStyle w:val="FootnoteText"/>
      </w:pPr>
      <w:r>
        <w:rPr>
          <w:rStyle w:val="FootnoteReference"/>
        </w:rPr>
        <w:footnoteRef/>
      </w:r>
      <w:hyperlink r:id="rId11" w:history="1">
        <w:r w:rsidRPr="00FF0EDC">
          <w:rPr>
            <w:rStyle w:val="Hyperlink"/>
          </w:rPr>
          <w:t xml:space="preserve"> https://www4.hcdn.gob.ar/dependencias/dsecretaria/Periodo2022/PDF2022/TP2022/0540-D-2022.pdf</w:t>
        </w:r>
      </w:hyperlink>
    </w:p>
    <w:p w14:paraId="0A5014B7" w14:textId="77777777" w:rsidR="00C21F39" w:rsidRDefault="00DD397E">
      <w:pPr>
        <w:pStyle w:val="FootnoteText"/>
      </w:pPr>
      <w:hyperlink r:id="rId12" w:history="1">
        <w:r w:rsidRPr="00FF0EDC">
          <w:rPr>
            <w:rStyle w:val="Hyperlink"/>
          </w:rPr>
          <w:t>https://www.diputados.gov.ar/proyectos/</w:t>
        </w:r>
        <w:r w:rsidRPr="00FF0EDC">
          <w:rPr>
            <w:rStyle w:val="Hyperlink"/>
          </w:rPr>
          <w:t>proyecto.jsp?exp=7580-D-2018</w:t>
        </w:r>
      </w:hyperlink>
    </w:p>
  </w:footnote>
  <w:footnote w:id="11">
    <w:p w14:paraId="3D3759FE" w14:textId="77777777" w:rsidR="00C21F39" w:rsidRDefault="00DD397E">
      <w:pPr>
        <w:pStyle w:val="FootnoteText"/>
      </w:pPr>
      <w:r>
        <w:rPr>
          <w:rStyle w:val="FootnoteReference"/>
        </w:rPr>
        <w:footnoteRef/>
      </w:r>
      <w:hyperlink r:id="rId13" w:history="1">
        <w:r w:rsidRPr="00460C55">
          <w:rPr>
            <w:rStyle w:val="Hyperlink"/>
          </w:rPr>
          <w:t xml:space="preserve"> https://documents-dds-ny.un.org/doc/UNDOC/GEN/G19/242/60/PDF/G1924260.pdf?OpenElement</w:t>
        </w:r>
      </w:hyperlink>
      <w:r>
        <w:t xml:space="preserve"> (voir point 48).</w:t>
      </w:r>
    </w:p>
  </w:footnote>
  <w:footnote w:id="12">
    <w:p w14:paraId="0F8430E1" w14:textId="77777777" w:rsidR="00C21F39" w:rsidRDefault="00DD397E">
      <w:pPr>
        <w:pStyle w:val="FootnoteText"/>
      </w:pPr>
      <w:r>
        <w:rPr>
          <w:rStyle w:val="FootnoteReference"/>
        </w:rPr>
        <w:footnoteRef/>
      </w:r>
      <w:hyperlink r:id="rId14" w:history="1">
        <w:r w:rsidRPr="00AB38C5">
          <w:rPr>
            <w:rStyle w:val="Hyperlink"/>
          </w:rPr>
          <w:t xml:space="preserve"> http://www.dpn.gob.ar/informesIIyPP.php</w:t>
        </w:r>
      </w:hyperlink>
    </w:p>
  </w:footnote>
  <w:footnote w:id="13">
    <w:p w14:paraId="5D53E5C7" w14:textId="77777777" w:rsidR="00C21F39" w:rsidRDefault="00DD397E">
      <w:pPr>
        <w:pStyle w:val="FootnoteText"/>
      </w:pPr>
      <w:r>
        <w:rPr>
          <w:rStyle w:val="FootnoteReference"/>
        </w:rPr>
        <w:footnoteRef/>
      </w:r>
      <w:hyperlink r:id="rId15" w:history="1">
        <w:r w:rsidRPr="00AB38C5">
          <w:rPr>
            <w:rStyle w:val="Hyperlink"/>
          </w:rPr>
          <w:t xml:space="preserve"> http://www.dpn.gob.ar/</w:t>
        </w:r>
      </w:hyperlink>
      <w:r>
        <w:t xml:space="preserve"> (les recommandations se trouvent dans un lien "résolutions" à l'intérieur de chaque domaine thématique).</w:t>
      </w:r>
    </w:p>
  </w:footnote>
  <w:footnote w:id="14">
    <w:p w14:paraId="76A2EC6A" w14:textId="77777777" w:rsidR="00C21F39" w:rsidRDefault="00DD397E">
      <w:pPr>
        <w:pStyle w:val="FootnoteText"/>
      </w:pPr>
      <w:r>
        <w:rPr>
          <w:rStyle w:val="FootnoteReference"/>
        </w:rPr>
        <w:footnoteRef/>
      </w:r>
      <w:hyperlink r:id="rId16" w:history="1">
        <w:r w:rsidRPr="00AB38C5">
          <w:rPr>
            <w:rStyle w:val="Hyperlink"/>
          </w:rPr>
          <w:t xml:space="preserve"> http://www.dpn.gob.ar/</w:t>
        </w:r>
      </w:hyperlink>
    </w:p>
  </w:footnote>
  <w:footnote w:id="15">
    <w:p w14:paraId="635498A4" w14:textId="77777777" w:rsidR="00C21F39" w:rsidRDefault="00DD397E">
      <w:pPr>
        <w:pStyle w:val="FootnoteText"/>
      </w:pPr>
      <w:r>
        <w:rPr>
          <w:rStyle w:val="FootnoteReference"/>
        </w:rPr>
        <w:footnoteRef/>
      </w:r>
      <w:hyperlink r:id="rId17" w:history="1">
        <w:r w:rsidRPr="00D40C27">
          <w:rPr>
            <w:rStyle w:val="Hyperlink"/>
          </w:rPr>
          <w:t xml:space="preserve"> https://www.dpn.gob.ar/documentos/transparencia/RendicionCuentas2020.pdf</w:t>
        </w:r>
      </w:hyperlink>
    </w:p>
  </w:footnote>
  <w:footnote w:id="16">
    <w:p w14:paraId="3F70A86A" w14:textId="77777777" w:rsidR="00C21F39" w:rsidRDefault="00DD397E">
      <w:pPr>
        <w:pStyle w:val="FootnoteText"/>
      </w:pPr>
      <w:r>
        <w:rPr>
          <w:rStyle w:val="FootnoteReference"/>
        </w:rPr>
        <w:footnoteRef/>
      </w:r>
      <w:hyperlink r:id="rId18" w:history="1">
        <w:r w:rsidRPr="00AB38C5">
          <w:rPr>
            <w:rStyle w:val="Hyperlink"/>
          </w:rPr>
          <w:t xml:space="preserve"> http://www.dpn.gob.ar/documentos/transparencia/RendicionCuentas2021.pdf</w:t>
        </w:r>
      </w:hyperlink>
    </w:p>
  </w:footnote>
  <w:footnote w:id="17">
    <w:p w14:paraId="5FF9C65E" w14:textId="77777777" w:rsidR="00C21F39" w:rsidRDefault="00DD397E">
      <w:pPr>
        <w:pStyle w:val="FootnoteText"/>
      </w:pPr>
      <w:r>
        <w:rPr>
          <w:rStyle w:val="FootnoteReference"/>
        </w:rPr>
        <w:footnoteRef/>
      </w:r>
      <w:hyperlink r:id="rId19" w:history="1">
        <w:r w:rsidRPr="00AB38C5">
          <w:rPr>
            <w:rStyle w:val="Hyperlink"/>
          </w:rPr>
          <w:t xml:space="preserve"> https://www.boletinoficial.gob.ar/detalleA</w:t>
        </w:r>
        <w:r w:rsidRPr="00AB38C5">
          <w:rPr>
            <w:rStyle w:val="Hyperlink"/>
          </w:rPr>
          <w:t>viso/primera/231144/20200625</w:t>
        </w:r>
      </w:hyperlink>
    </w:p>
  </w:footnote>
  <w:footnote w:id="18">
    <w:p w14:paraId="0C3BF884" w14:textId="77777777" w:rsidR="00C21F39" w:rsidRDefault="00DD397E">
      <w:pPr>
        <w:pStyle w:val="FootnoteText"/>
      </w:pPr>
      <w:r>
        <w:rPr>
          <w:rStyle w:val="FootnoteReference"/>
        </w:rPr>
        <w:footnoteRef/>
      </w:r>
      <w:hyperlink r:id="rId20" w:history="1">
        <w:r w:rsidRPr="00460C55">
          <w:rPr>
            <w:rStyle w:val="Hyperlink"/>
          </w:rPr>
          <w:t xml:space="preserve"> https://defensadelpublico.gob.ar/wp-content/uploads/2023/01/nomina-ene-2023.pdf</w:t>
        </w:r>
      </w:hyperlink>
    </w:p>
  </w:footnote>
  <w:footnote w:id="19">
    <w:p w14:paraId="73B996CC" w14:textId="77777777" w:rsidR="00C21F39" w:rsidRDefault="00DD397E">
      <w:pPr>
        <w:pStyle w:val="FootnoteText"/>
      </w:pPr>
      <w:r>
        <w:rPr>
          <w:rStyle w:val="FootnoteReference"/>
        </w:rPr>
        <w:footnoteRef/>
      </w:r>
      <w:hyperlink r:id="rId21" w:history="1">
        <w:r w:rsidRPr="00460C55">
          <w:rPr>
            <w:rStyle w:val="Hyperlink"/>
          </w:rPr>
          <w:t xml:space="preserve"> https://defensadelpublico.gob.ar/presupuesto/</w:t>
        </w:r>
      </w:hyperlink>
    </w:p>
  </w:footnote>
  <w:footnote w:id="20">
    <w:p w14:paraId="31DB0ED0" w14:textId="77777777" w:rsidR="00C21F39" w:rsidRDefault="00DD397E">
      <w:pPr>
        <w:pStyle w:val="FootnoteText"/>
      </w:pPr>
      <w:r>
        <w:rPr>
          <w:rStyle w:val="FootnoteReference"/>
        </w:rPr>
        <w:footnoteRef/>
      </w:r>
      <w:hyperlink r:id="rId22" w:history="1">
        <w:r w:rsidRPr="00AB38C5">
          <w:rPr>
            <w:rStyle w:val="Hyperlink"/>
          </w:rPr>
          <w:t xml:space="preserve"> https://www.boletinoficial.gob.ar/detalleAviso/primera/239001/20201222</w:t>
        </w:r>
      </w:hyperlink>
    </w:p>
  </w:footnote>
  <w:footnote w:id="21">
    <w:p w14:paraId="3BD42165" w14:textId="77777777" w:rsidR="00C21F39" w:rsidRDefault="00DD397E">
      <w:pPr>
        <w:pStyle w:val="FootnoteText"/>
      </w:pPr>
      <w:r>
        <w:rPr>
          <w:rStyle w:val="FootnoteReference"/>
        </w:rPr>
        <w:footnoteRef/>
      </w:r>
      <w:hyperlink r:id="rId23" w:history="1">
        <w:r w:rsidRPr="00FF0EDC">
          <w:rPr>
            <w:rStyle w:val="Hyperlink"/>
          </w:rPr>
          <w:t xml:space="preserve"> https://www.dpn.gob.ar/documentos/INDH_202012005.pdf</w:t>
        </w:r>
      </w:hyperlink>
    </w:p>
  </w:footnote>
  <w:footnote w:id="22">
    <w:p w14:paraId="541205BE" w14:textId="77777777" w:rsidR="00C21F39" w:rsidRDefault="00DD397E">
      <w:pPr>
        <w:pStyle w:val="FootnoteText"/>
      </w:pPr>
      <w:r>
        <w:rPr>
          <w:rStyle w:val="FootnoteReference"/>
        </w:rPr>
        <w:footnoteRef/>
      </w:r>
      <w:hyperlink r:id="rId24" w:history="1">
        <w:r w:rsidRPr="00582EF1">
          <w:rPr>
            <w:rStyle w:val="Hyperlink"/>
          </w:rPr>
          <w:t xml:space="preserve"> https://www.argentina.gob.ar/inadi/mapa-naciona</w:t>
        </w:r>
        <w:r w:rsidRPr="00582EF1">
          <w:rPr>
            <w:rStyle w:val="Hyperlink"/>
          </w:rPr>
          <w:t>l-de-la-discriminacion</w:t>
        </w:r>
      </w:hyperlink>
    </w:p>
  </w:footnote>
  <w:footnote w:id="23">
    <w:p w14:paraId="527332FF" w14:textId="77777777" w:rsidR="00C21F39" w:rsidRDefault="00DD397E">
      <w:pPr>
        <w:pStyle w:val="FootnoteText"/>
      </w:pPr>
      <w:r>
        <w:rPr>
          <w:rStyle w:val="FootnoteReference"/>
        </w:rPr>
        <w:footnoteRef/>
      </w:r>
      <w:hyperlink r:id="rId25" w:history="1">
        <w:r w:rsidRPr="00460C55">
          <w:rPr>
            <w:rStyle w:val="Hyperlink"/>
          </w:rPr>
          <w:t xml:space="preserve"> https://www.argentina.gob.ar/normativa/nacional/ley-23302-23790</w:t>
        </w:r>
      </w:hyperlink>
    </w:p>
  </w:footnote>
  <w:footnote w:id="24">
    <w:p w14:paraId="28784CD6" w14:textId="77777777" w:rsidR="00C21F39" w:rsidRDefault="00DD397E">
      <w:pPr>
        <w:pStyle w:val="FootnoteText"/>
      </w:pPr>
      <w:r>
        <w:rPr>
          <w:rStyle w:val="FootnoteReference"/>
        </w:rPr>
        <w:footnoteRef/>
      </w:r>
      <w:hyperlink r:id="rId26" w:anchor=":~:text=DECRETA%3A%20ART%C3%8DCULO%201%C2%BA.-%20Dase%20por%20designado%2C%20a%20partir,Alejandro%20Fabi%C3%A1n%20MARMONI%20%28D.N.I.%20N%C2%BA%2017.432.126%29.%20ART%C3%8DCULO%202%C2%B0.-" w:history="1">
        <w:r w:rsidRPr="00AB38C5">
          <w:rPr>
            <w:rStyle w:val="Hyperlink"/>
          </w:rPr>
          <w:t>https://www.boletinoficial.gob.ar/detalleAviso/primera/277879/20221216#:~:text=DECRETA%3A%20ART%C3%8DCULO%201%C2%BA.-%20Dase%20por%20designado%2C%20a%20partir,Alejandro%20Fabi%C3%A1n%20MARMONI%20%28D.N.I.%20N%C2%BA%2017.432.126%29.%2</w:t>
        </w:r>
        <w:r w:rsidRPr="00AB38C5">
          <w:rPr>
            <w:rStyle w:val="Hyperlink"/>
          </w:rPr>
          <w:t>0ART%C3%8DCULO%202%C2%B0.-</w:t>
        </w:r>
      </w:hyperlink>
    </w:p>
  </w:footnote>
  <w:footnote w:id="25">
    <w:p w14:paraId="2A286C4F" w14:textId="77777777" w:rsidR="00C21F39" w:rsidRDefault="00DD397E">
      <w:pPr>
        <w:pStyle w:val="FootnoteText"/>
      </w:pPr>
      <w:r>
        <w:rPr>
          <w:rStyle w:val="FootnoteReference"/>
        </w:rPr>
        <w:footnoteRef/>
      </w:r>
      <w:hyperlink r:id="rId27" w:history="1">
        <w:r w:rsidRPr="00460C55">
          <w:rPr>
            <w:rStyle w:val="Hyperlink"/>
          </w:rPr>
          <w:t xml:space="preserve"> http://servicios.infoleg.gob.ar/infolegInternet/verNorma.do?id=265949</w:t>
        </w:r>
      </w:hyperlink>
    </w:p>
  </w:footnote>
  <w:footnote w:id="26">
    <w:p w14:paraId="6BCFDFDF" w14:textId="77777777" w:rsidR="00C21F39" w:rsidRDefault="00DD397E">
      <w:pPr>
        <w:pStyle w:val="FootnoteText"/>
      </w:pPr>
      <w:r>
        <w:rPr>
          <w:rStyle w:val="FootnoteReference"/>
        </w:rPr>
        <w:footnoteRef/>
      </w:r>
      <w:hyperlink r:id="rId28" w:history="1">
        <w:r w:rsidRPr="00D40C27">
          <w:rPr>
            <w:rStyle w:val="Hyperlink"/>
          </w:rPr>
          <w:t>https://www.argentina.gob.ar/sites/default/files/2022/06/informe_de_gestion_cuatrimestral_septiembre-diciembre_2021.pdf</w:t>
        </w:r>
      </w:hyperlink>
    </w:p>
  </w:footnote>
  <w:footnote w:id="27">
    <w:p w14:paraId="20CC71AA" w14:textId="77777777" w:rsidR="00C21F39" w:rsidRDefault="00DD397E">
      <w:pPr>
        <w:pStyle w:val="FootnoteText"/>
      </w:pPr>
      <w:r>
        <w:rPr>
          <w:rStyle w:val="FootnoteReference"/>
        </w:rPr>
        <w:footnoteRef/>
      </w:r>
      <w:hyperlink r:id="rId29" w:history="1">
        <w:r w:rsidRPr="00D40C27">
          <w:rPr>
            <w:rStyle w:val="Hyperlink"/>
          </w:rPr>
          <w:t xml:space="preserve"> https://www.argentina.gob.ar/noticias/el-inai-organizo-historico-encuentro-de-conformacion-del-consejo-asesor-y-de-coordinacion</w:t>
        </w:r>
      </w:hyperlink>
    </w:p>
  </w:footnote>
  <w:footnote w:id="28">
    <w:p w14:paraId="5E313FC7" w14:textId="77777777" w:rsidR="00C21F39" w:rsidRDefault="00DD397E">
      <w:pPr>
        <w:pStyle w:val="FootnoteText"/>
      </w:pPr>
      <w:r>
        <w:rPr>
          <w:rStyle w:val="FootnoteReference"/>
        </w:rPr>
        <w:footnoteRef/>
      </w:r>
      <w:hyperlink r:id="rId30" w:history="1">
        <w:r w:rsidRPr="00FF0EDC">
          <w:rPr>
            <w:rStyle w:val="Hyperlink"/>
          </w:rPr>
          <w:t xml:space="preserve"> https://www.argentina.gob.ar/derechoshumanos/plan-nacional-accion</w:t>
        </w:r>
      </w:hyperlink>
    </w:p>
  </w:footnote>
  <w:footnote w:id="29">
    <w:p w14:paraId="226897E7" w14:textId="77777777" w:rsidR="00C21F39" w:rsidRDefault="00DD397E">
      <w:pPr>
        <w:pStyle w:val="FootnoteText"/>
      </w:pPr>
      <w:r>
        <w:rPr>
          <w:rStyle w:val="FootnoteReference"/>
        </w:rPr>
        <w:footnoteRef/>
      </w:r>
      <w:hyperlink r:id="rId31" w:history="1">
        <w:r w:rsidRPr="00FF0EDC">
          <w:rPr>
            <w:rStyle w:val="Hyperlink"/>
          </w:rPr>
          <w:t xml:space="preserve">  https://www.dpn.gob.ar/documentos/20220221_32476_558233.pdf</w:t>
        </w:r>
      </w:hyperlink>
    </w:p>
  </w:footnote>
  <w:footnote w:id="30">
    <w:p w14:paraId="21982DE5" w14:textId="77777777" w:rsidR="00C21F39" w:rsidRDefault="00DD397E">
      <w:pPr>
        <w:pStyle w:val="FootnoteText"/>
      </w:pPr>
      <w:r>
        <w:rPr>
          <w:rStyle w:val="FootnoteReference"/>
        </w:rPr>
        <w:footnoteRef/>
      </w:r>
      <w:r>
        <w:t xml:space="preserve"> Recommandation 10</w:t>
      </w:r>
      <w:r>
        <w:t>7.17 (EPU) "Élaborer et mettre en œuvre, en étroite consultation avec la société civile, un plan national des droits de l'homme assorti d'objectifs clairs, concrets et mesurables".</w:t>
      </w:r>
    </w:p>
  </w:footnote>
  <w:footnote w:id="31">
    <w:p w14:paraId="66256DC6" w14:textId="77777777" w:rsidR="00C21F39" w:rsidRDefault="00DD397E">
      <w:pPr>
        <w:pStyle w:val="FootnoteText"/>
      </w:pPr>
      <w:r>
        <w:rPr>
          <w:rStyle w:val="FootnoteReference"/>
        </w:rPr>
        <w:footnoteRef/>
      </w:r>
      <w:hyperlink r:id="rId32" w:history="1">
        <w:r w:rsidRPr="00FF0EDC">
          <w:rPr>
            <w:rStyle w:val="Hyperlink"/>
          </w:rPr>
          <w:t xml:space="preserve"> https://www.ohchr.org/sites/default/files/2022-02/Dra.-Victoria-Donda.pdf</w:t>
        </w:r>
      </w:hyperlink>
    </w:p>
  </w:footnote>
  <w:footnote w:id="32">
    <w:p w14:paraId="44F13EFD" w14:textId="77777777" w:rsidR="00C21F39" w:rsidRDefault="00DD397E">
      <w:pPr>
        <w:pStyle w:val="FootnoteText"/>
      </w:pPr>
      <w:r>
        <w:rPr>
          <w:rStyle w:val="FootnoteReference"/>
        </w:rPr>
        <w:footnoteRef/>
      </w:r>
      <w:hyperlink r:id="rId33" w:history="1">
        <w:r w:rsidRPr="00D40C27">
          <w:rPr>
            <w:rStyle w:val="Hyperlink"/>
          </w:rPr>
          <w:t xml:space="preserve"> https://www.dpn.gob.ar/documentos/20230320_32933_558592.pdf</w:t>
        </w:r>
      </w:hyperlink>
    </w:p>
  </w:footnote>
  <w:footnote w:id="33">
    <w:p w14:paraId="760A45A0" w14:textId="77777777" w:rsidR="00C21F39" w:rsidRDefault="00DD397E">
      <w:pPr>
        <w:pStyle w:val="FootnoteText"/>
      </w:pPr>
      <w:r>
        <w:rPr>
          <w:rStyle w:val="FootnoteReference"/>
        </w:rPr>
        <w:footnoteRef/>
      </w:r>
      <w:hyperlink r:id="rId34" w:history="1">
        <w:r w:rsidRPr="00D12AE4">
          <w:rPr>
            <w:rStyle w:val="Hyperlink"/>
          </w:rPr>
          <w:t xml:space="preserve"> https://www.argentina.gob.ar/normativa/nacional/decreto-658-2017-278290/texto</w:t>
        </w:r>
      </w:hyperlink>
    </w:p>
  </w:footnote>
  <w:footnote w:id="34">
    <w:p w14:paraId="031E038A" w14:textId="77777777" w:rsidR="00C21F39" w:rsidRDefault="00DD397E">
      <w:pPr>
        <w:pStyle w:val="FootnoteText"/>
      </w:pPr>
      <w:r>
        <w:rPr>
          <w:rStyle w:val="FootnoteReference"/>
        </w:rPr>
        <w:footnoteRef/>
      </w:r>
      <w:hyperlink r:id="rId35" w:history="1">
        <w:r w:rsidRPr="00D12AE4">
          <w:rPr>
            <w:rStyle w:val="Hyperlink"/>
          </w:rPr>
          <w:t xml:space="preserve"> https</w:t>
        </w:r>
        <w:r w:rsidRPr="00D12AE4">
          <w:rPr>
            <w:rStyle w:val="Hyperlink"/>
          </w:rPr>
          <w:t>://www.argentina.gob.ar/normativa/nacional/resoluci%C3%B3n-682-2022-366697/texto</w:t>
        </w:r>
      </w:hyperlink>
    </w:p>
  </w:footnote>
  <w:footnote w:id="35">
    <w:p w14:paraId="317A74B7" w14:textId="77777777" w:rsidR="00C21F39" w:rsidRDefault="00DD397E">
      <w:pPr>
        <w:pStyle w:val="FootnoteText"/>
      </w:pPr>
      <w:r>
        <w:rPr>
          <w:rStyle w:val="FootnoteReference"/>
        </w:rPr>
        <w:footnoteRef/>
      </w:r>
      <w:hyperlink r:id="rId36" w:history="1">
        <w:r w:rsidRPr="00FF0EDC">
          <w:rPr>
            <w:rStyle w:val="Hyperlink"/>
          </w:rPr>
          <w:t xml:space="preserve"> https://www.argentina.gob.ar/noticias/avanza-la-puesta-en-marcha-del-plan-nacional-afro</w:t>
        </w:r>
      </w:hyperlink>
    </w:p>
    <w:p w14:paraId="41DC5112" w14:textId="77777777" w:rsidR="00CD2307" w:rsidRDefault="00CD2307" w:rsidP="00CD2307">
      <w:pPr>
        <w:pStyle w:val="FootnoteText"/>
      </w:pPr>
    </w:p>
  </w:footnote>
  <w:footnote w:id="36">
    <w:p w14:paraId="3C1F000C" w14:textId="77777777" w:rsidR="00C21F39" w:rsidRDefault="00DD397E">
      <w:pPr>
        <w:pStyle w:val="FootnoteText"/>
      </w:pPr>
      <w:r>
        <w:rPr>
          <w:rStyle w:val="FootnoteReference"/>
        </w:rPr>
        <w:footnoteRef/>
      </w:r>
      <w:hyperlink r:id="rId37" w:history="1">
        <w:r w:rsidRPr="00AB38C5">
          <w:rPr>
            <w:rStyle w:val="Hyperlink"/>
          </w:rPr>
          <w:t xml:space="preserve"> https://www.argentina.gob.ar/sites/default/files/2022/12/violencia_i</w:t>
        </w:r>
        <w:r w:rsidRPr="00AB38C5">
          <w:rPr>
            <w:rStyle w:val="Hyperlink"/>
          </w:rPr>
          <w:t>nst_web.pdf</w:t>
        </w:r>
      </w:hyperlink>
    </w:p>
    <w:p w14:paraId="0C51A467" w14:textId="77777777" w:rsidR="00C21F39" w:rsidRDefault="00DD397E">
      <w:pPr>
        <w:pStyle w:val="FootnoteText"/>
      </w:pPr>
      <w:hyperlink r:id="rId38" w:history="1">
        <w:r w:rsidRPr="00AB38C5">
          <w:rPr>
            <w:rStyle w:val="Hyperlink"/>
          </w:rPr>
          <w:t>https://www.argentina.gob.ar/sites/default/files/desplegable_violencia_institucional2.2.pdf</w:t>
        </w:r>
      </w:hyperlink>
    </w:p>
  </w:footnote>
  <w:footnote w:id="37">
    <w:p w14:paraId="331CC74E" w14:textId="77777777" w:rsidR="00C21F39" w:rsidRDefault="00DD397E">
      <w:pPr>
        <w:pStyle w:val="FootnoteText"/>
      </w:pPr>
      <w:r>
        <w:rPr>
          <w:rStyle w:val="FootnoteReference"/>
        </w:rPr>
        <w:footnoteRef/>
      </w:r>
      <w:hyperlink r:id="rId39" w:history="1">
        <w:r w:rsidRPr="00E568A2">
          <w:rPr>
            <w:rStyle w:val="Hyperlink"/>
          </w:rPr>
          <w:t xml:space="preserve"> https://www.mpf.gob.ar/procuvin/</w:t>
        </w:r>
      </w:hyperlink>
    </w:p>
  </w:footnote>
  <w:footnote w:id="38">
    <w:p w14:paraId="7216C48A" w14:textId="77777777" w:rsidR="00C21F39" w:rsidRDefault="00DD397E">
      <w:pPr>
        <w:pStyle w:val="FootnoteText"/>
      </w:pPr>
      <w:r>
        <w:rPr>
          <w:rStyle w:val="FootnoteReference"/>
        </w:rPr>
        <w:footnoteRef/>
      </w:r>
      <w:hyperlink r:id="rId40" w:history="1">
        <w:r w:rsidRPr="00383C81">
          <w:rPr>
            <w:rStyle w:val="Hyperlink"/>
          </w:rPr>
          <w:t xml:space="preserve"> https://www.mpf.gob.ar/dovic/files/2022/05/Protocolo-de-actuacion-DOVIC-2022.pdf</w:t>
        </w:r>
      </w:hyperlink>
    </w:p>
  </w:footnote>
  <w:footnote w:id="39">
    <w:p w14:paraId="6E7ECDBA" w14:textId="77777777" w:rsidR="00C21F39" w:rsidRDefault="00DD397E">
      <w:pPr>
        <w:pStyle w:val="FootnoteText"/>
      </w:pPr>
      <w:r>
        <w:rPr>
          <w:rStyle w:val="FootnoteReference"/>
        </w:rPr>
        <w:footnoteRef/>
      </w:r>
      <w:hyperlink r:id="rId41" w:history="1">
        <w:r w:rsidRPr="00E568A2">
          <w:rPr>
            <w:rStyle w:val="Hyperlink"/>
          </w:rPr>
          <w:t xml:space="preserve"> https://www.mpf.gob.ar/procuvin/recurso/</w:t>
        </w:r>
      </w:hyperlink>
    </w:p>
    <w:p w14:paraId="11A7527B" w14:textId="77777777" w:rsidR="00C21F39" w:rsidRDefault="00DD397E">
      <w:pPr>
        <w:pStyle w:val="FootnoteText"/>
      </w:pPr>
      <w:hyperlink r:id="rId42" w:history="1">
        <w:r w:rsidRPr="00E568A2">
          <w:rPr>
            <w:rStyle w:val="Hyperlink"/>
          </w:rPr>
          <w:t>https://www.mpf.gob.ar/dovic/files/2022/07/DOVIC-Informe-estad%C3%ADstico2022.pdf</w:t>
        </w:r>
      </w:hyperlink>
    </w:p>
    <w:p w14:paraId="5B14008A" w14:textId="77777777" w:rsidR="00CD2307" w:rsidRDefault="00CD2307" w:rsidP="00CD2307">
      <w:pPr>
        <w:pStyle w:val="FootnoteText"/>
      </w:pPr>
    </w:p>
    <w:p w14:paraId="29658F64" w14:textId="77777777" w:rsidR="00CD2307" w:rsidRDefault="00CD2307" w:rsidP="00CD2307">
      <w:pPr>
        <w:pStyle w:val="FootnoteText"/>
      </w:pPr>
    </w:p>
  </w:footnote>
  <w:footnote w:id="40">
    <w:p w14:paraId="383AC054" w14:textId="77777777" w:rsidR="00C21F39" w:rsidRDefault="00DD397E">
      <w:pPr>
        <w:pStyle w:val="FootnoteText"/>
        <w:jc w:val="both"/>
        <w:rPr>
          <w:lang w:val="es-ES"/>
        </w:rPr>
      </w:pPr>
      <w:r>
        <w:rPr>
          <w:rStyle w:val="FootnoteReference"/>
        </w:rPr>
        <w:footnoteRef/>
      </w:r>
      <w:r w:rsidRPr="001E54E9">
        <w:t xml:space="preserve"> L'articl</w:t>
      </w:r>
      <w:r w:rsidRPr="001E54E9">
        <w:t>e 15 de la Convention américaine relative aux droits de l'homme reconnaît le droit de se réunir pacifiquement et sans armes et fixe des limites à l'exercice de ce droit, tout comme l'article 21 du Pacte international relatif aux droits civils et politiques</w:t>
      </w:r>
      <w:r w:rsidRPr="001E54E9">
        <w:t xml:space="preserve"> et l'article 20 de la Déclaration universelle des droits de l'homme.</w:t>
      </w:r>
    </w:p>
  </w:footnote>
  <w:footnote w:id="41">
    <w:p w14:paraId="40F1178E" w14:textId="77777777" w:rsidR="00C21F39" w:rsidRDefault="00DD397E">
      <w:pPr>
        <w:pStyle w:val="FootnoteText"/>
      </w:pPr>
      <w:r>
        <w:rPr>
          <w:rStyle w:val="FootnoteReference"/>
        </w:rPr>
        <w:footnoteRef/>
      </w:r>
      <w:hyperlink r:id="rId43" w:history="1">
        <w:r w:rsidRPr="00066007">
          <w:rPr>
            <w:rStyle w:val="Hyperlink"/>
          </w:rPr>
          <w:t xml:space="preserve"> https://boletinoficialsalta.gob.ar/instrumento.php?cXdlcnR5dGFibGE9RHw5MS8yM3F3ZXJ</w:t>
        </w:r>
        <w:r w:rsidRPr="00066007">
          <w:rPr>
            <w:rStyle w:val="Hyperlink"/>
          </w:rPr>
          <w:t>0eQ==</w:t>
        </w:r>
      </w:hyperlink>
    </w:p>
  </w:footnote>
  <w:footnote w:id="42">
    <w:p w14:paraId="7C216F89" w14:textId="77777777" w:rsidR="00C21F39" w:rsidRDefault="00DD397E">
      <w:pPr>
        <w:pStyle w:val="FootnoteText"/>
      </w:pPr>
      <w:r>
        <w:rPr>
          <w:rStyle w:val="FootnoteReference"/>
        </w:rPr>
        <w:footnoteRef/>
      </w:r>
      <w:r>
        <w:t xml:space="preserve"> https://www.pagina12.com.ar/522847-mas-rechazos-al-protocolo-antiprotestas ,</w:t>
      </w:r>
    </w:p>
    <w:p w14:paraId="29C0C984" w14:textId="77777777" w:rsidR="00C21F39" w:rsidRDefault="00DD397E">
      <w:pPr>
        <w:pStyle w:val="FootnoteText"/>
      </w:pPr>
      <w:hyperlink r:id="rId44" w:history="1">
        <w:r w:rsidRPr="00066007">
          <w:rPr>
            <w:rStyle w:val="Hyperlink"/>
          </w:rPr>
          <w:t>https://www.anred.org/2023/03/01/salta-movilizan-por-la-derogacion-de-</w:t>
        </w:r>
        <w:r w:rsidRPr="00066007">
          <w:rPr>
            <w:rStyle w:val="Hyperlink"/>
          </w:rPr>
          <w:t>gustavo-saenz/</w:t>
        </w:r>
      </w:hyperlink>
    </w:p>
  </w:footnote>
  <w:footnote w:id="43">
    <w:p w14:paraId="63FF9269" w14:textId="77777777" w:rsidR="00C21F39" w:rsidRDefault="00DD397E">
      <w:pPr>
        <w:pStyle w:val="FootnoteText"/>
      </w:pPr>
      <w:r>
        <w:rPr>
          <w:rStyle w:val="FootnoteReference"/>
        </w:rPr>
        <w:footnoteRef/>
      </w:r>
      <w:hyperlink r:id="rId45" w:history="1">
        <w:r w:rsidRPr="00FF0EDC">
          <w:rPr>
            <w:rStyle w:val="Hyperlink"/>
          </w:rPr>
          <w:t xml:space="preserve"> https://www.argentina.gob.ar/sites/default/files/325_-_directrices_para_la_observacion_de_ma</w:t>
        </w:r>
        <w:r w:rsidRPr="00FF0EDC">
          <w:rPr>
            <w:rStyle w:val="Hyperlink"/>
          </w:rPr>
          <w:t>nifestaciones_y_protestas_sociales.pdf</w:t>
        </w:r>
      </w:hyperlink>
    </w:p>
    <w:p w14:paraId="5EA0AE98" w14:textId="77777777" w:rsidR="00CD2307" w:rsidRDefault="00CD2307" w:rsidP="00CD2307">
      <w:pPr>
        <w:pStyle w:val="FootnoteText"/>
      </w:pPr>
    </w:p>
  </w:footnote>
  <w:footnote w:id="44">
    <w:p w14:paraId="5556DF00" w14:textId="77777777" w:rsidR="00C21F39" w:rsidRDefault="00DD397E">
      <w:pPr>
        <w:pStyle w:val="FootnoteText"/>
        <w:jc w:val="both"/>
      </w:pPr>
      <w:r>
        <w:rPr>
          <w:rStyle w:val="FootnoteReference"/>
        </w:rPr>
        <w:footnoteRef/>
      </w:r>
      <w:hyperlink r:id="rId46" w:history="1">
        <w:r w:rsidRPr="00205CBB">
          <w:rPr>
            <w:rStyle w:val="Hyperlink"/>
          </w:rPr>
          <w:t xml:space="preserve"> https://www.indec.gob.ar/indec/web/Nivel3-Tema-4-46</w:t>
        </w:r>
      </w:hyperlink>
    </w:p>
    <w:p w14:paraId="00B5DE6B" w14:textId="77777777" w:rsidR="00C21F39" w:rsidRDefault="00DD397E">
      <w:pPr>
        <w:pStyle w:val="FootnoteText"/>
        <w:jc w:val="both"/>
      </w:pPr>
      <w:r>
        <w:t>Enquête permanente auprès des ménages. Incidence de la pauvreté et de l'indigence. Résultats pour le premier semestre 2022. Les résultats du premier semestre 2022 correspondant à l'ensemble des agglomérations urbaines montrent que le pourcentage de ménages</w:t>
      </w:r>
      <w:r>
        <w:t xml:space="preserve"> en dessous du seuil de pauvreté (LP) a atteint 27,7 % ; 36,5 % des personnes vivent dans ces ménages. Dans ce groupe, il y a 6,8 % de ménages sous le seuil d'indigence (LI), qui comprennent 8,8 % de personnes. Ceci implique que, pour l'univers des 31 aggl</w:t>
      </w:r>
      <w:r>
        <w:t>omérations urbaines de l'EPH, il y a 2 684 779 ménages en dessous du LP, ce qui inclut 10 643 749 personnes ; et, dans ce groupe, 660 494 ménages sont en dessous du LI, ce qui représente 2 568 671 personnes indigentes.</w:t>
      </w:r>
    </w:p>
  </w:footnote>
  <w:footnote w:id="45">
    <w:p w14:paraId="5C22530F" w14:textId="77777777" w:rsidR="00C21F39" w:rsidRDefault="00DD397E">
      <w:pPr>
        <w:pStyle w:val="FootnoteText"/>
      </w:pPr>
      <w:r>
        <w:rPr>
          <w:rStyle w:val="FootnoteReference"/>
        </w:rPr>
        <w:footnoteRef/>
      </w:r>
      <w:hyperlink r:id="rId47" w:anchor="titulo-2" w:history="1">
        <w:r w:rsidRPr="00205CBB">
          <w:rPr>
            <w:rStyle w:val="Hyperlink"/>
          </w:rPr>
          <w:t xml:space="preserve"> https://www.argentina.gob.ar/justicia/derechofacil/leysimple/seguridad-social/asignacion-universal-por-hijo#titulo-2</w:t>
        </w:r>
      </w:hyperlink>
    </w:p>
  </w:footnote>
  <w:footnote w:id="46">
    <w:p w14:paraId="2BD95C64" w14:textId="77777777" w:rsidR="00C21F39" w:rsidRDefault="00DD397E">
      <w:pPr>
        <w:pStyle w:val="FootnoteText"/>
      </w:pPr>
      <w:r>
        <w:rPr>
          <w:rStyle w:val="FootnoteReference"/>
        </w:rPr>
        <w:footnoteRef/>
      </w:r>
      <w:hyperlink r:id="rId48" w:history="1">
        <w:r w:rsidRPr="00205CBB">
          <w:rPr>
            <w:rStyle w:val="Hyperlink"/>
          </w:rPr>
          <w:t xml:space="preserve"> https://www.anses.gob.ar/hijas-e-hijos/programa-alimentar</w:t>
        </w:r>
      </w:hyperlink>
    </w:p>
  </w:footnote>
  <w:footnote w:id="47">
    <w:p w14:paraId="4CBA2385" w14:textId="77777777" w:rsidR="00C21F39" w:rsidRDefault="00DD397E">
      <w:pPr>
        <w:pStyle w:val="FootnoteText"/>
      </w:pPr>
      <w:r>
        <w:rPr>
          <w:rStyle w:val="FootnoteReference"/>
        </w:rPr>
        <w:footnoteRef/>
      </w:r>
      <w:hyperlink r:id="rId49" w:history="1">
        <w:r w:rsidRPr="00205CBB">
          <w:rPr>
            <w:rStyle w:val="Hyperlink"/>
          </w:rPr>
          <w:t xml:space="preserve"> https://www.argentina.gob.ar/pension-no-contributiva-para-madre-de-7-o-mas-hijos</w:t>
        </w:r>
      </w:hyperlink>
    </w:p>
  </w:footnote>
  <w:footnote w:id="48">
    <w:p w14:paraId="1BF19231" w14:textId="77777777" w:rsidR="00C21F39" w:rsidRDefault="00DD397E">
      <w:pPr>
        <w:pStyle w:val="FootnoteText"/>
      </w:pPr>
      <w:r>
        <w:rPr>
          <w:rStyle w:val="FootnoteReference"/>
        </w:rPr>
        <w:footnoteRef/>
      </w:r>
      <w:hyperlink r:id="rId50" w:history="1">
        <w:r w:rsidRPr="00205CBB">
          <w:rPr>
            <w:rStyle w:val="Hyperlink"/>
          </w:rPr>
          <w:t xml:space="preserve"> https://www.anses.gob.ar/jubilaciones-y-pensiones/como-obtener-mi-pension/como-obtener-una-pension-no-contributiva-pnc/pension-no-contributiva-por-invalidez</w:t>
        </w:r>
      </w:hyperlink>
    </w:p>
  </w:footnote>
  <w:footnote w:id="49">
    <w:p w14:paraId="1D82125B" w14:textId="77777777" w:rsidR="00C21F39" w:rsidRDefault="00DD397E">
      <w:pPr>
        <w:pStyle w:val="FootnoteText"/>
      </w:pPr>
      <w:r>
        <w:rPr>
          <w:rStyle w:val="FootnoteReference"/>
        </w:rPr>
        <w:footnoteRef/>
      </w:r>
      <w:hyperlink r:id="rId51" w:history="1">
        <w:r w:rsidRPr="00E568A2">
          <w:rPr>
            <w:rStyle w:val="Hyperlink"/>
          </w:rPr>
          <w:t xml:space="preserve"> https://www.dpn.gob.ar/documentos/INDH_2023016.pdf</w:t>
        </w:r>
      </w:hyperlink>
    </w:p>
    <w:p w14:paraId="2206FB83" w14:textId="77777777" w:rsidR="00CD2307" w:rsidRDefault="00CD2307" w:rsidP="00CD2307">
      <w:pPr>
        <w:pStyle w:val="FootnoteText"/>
      </w:pPr>
    </w:p>
  </w:footnote>
  <w:footnote w:id="50">
    <w:p w14:paraId="00EB8AE3" w14:textId="77777777" w:rsidR="00C21F39" w:rsidRDefault="00DD397E">
      <w:pPr>
        <w:pStyle w:val="FootnoteText"/>
      </w:pPr>
      <w:r>
        <w:rPr>
          <w:rStyle w:val="FootnoteReference"/>
        </w:rPr>
        <w:footnoteRef/>
      </w:r>
      <w:hyperlink r:id="rId52" w:history="1">
        <w:r w:rsidRPr="00E568A2">
          <w:rPr>
            <w:rStyle w:val="Hyperlink"/>
          </w:rPr>
          <w:t xml:space="preserve"> https://www.boletinoficial.gob.ar/detalleAviso/pri</w:t>
        </w:r>
        <w:r w:rsidRPr="00E568A2">
          <w:rPr>
            <w:rStyle w:val="Hyperlink"/>
          </w:rPr>
          <w:t>mera/253065/20211118</w:t>
        </w:r>
      </w:hyperlink>
    </w:p>
  </w:footnote>
  <w:footnote w:id="51">
    <w:p w14:paraId="673BE614" w14:textId="77777777" w:rsidR="00C21F39" w:rsidRDefault="00DD397E">
      <w:pPr>
        <w:pStyle w:val="FootnoteText"/>
      </w:pPr>
      <w:r>
        <w:rPr>
          <w:rStyle w:val="FootnoteReference"/>
        </w:rPr>
        <w:footnoteRef/>
      </w:r>
      <w:hyperlink r:id="rId53" w:history="1">
        <w:r w:rsidRPr="00E568A2">
          <w:rPr>
            <w:rStyle w:val="Hyperlink"/>
          </w:rPr>
          <w:t xml:space="preserve"> https://boletinoficialsalta.gob.ar/instrumento.php?cXdlcnR5dGFibGE9RHw1MzgvMjBxd2VydHk=</w:t>
        </w:r>
      </w:hyperlink>
    </w:p>
    <w:p w14:paraId="7FF66F45" w14:textId="77777777" w:rsidR="00CD2307" w:rsidRDefault="00CD2307" w:rsidP="00CD2307">
      <w:pPr>
        <w:pStyle w:val="FootnoteText"/>
      </w:pPr>
    </w:p>
  </w:footnote>
  <w:footnote w:id="52">
    <w:p w14:paraId="2C17A5D9" w14:textId="77777777" w:rsidR="00C21F39" w:rsidRDefault="00DD397E">
      <w:pPr>
        <w:pStyle w:val="FootnoteText"/>
      </w:pPr>
      <w:r>
        <w:rPr>
          <w:rStyle w:val="FootnoteReference"/>
        </w:rPr>
        <w:footnoteRef/>
      </w:r>
      <w:hyperlink r:id="rId54" w:history="1">
        <w:r w:rsidRPr="00E568A2">
          <w:rPr>
            <w:rStyle w:val="Hyperlink"/>
          </w:rPr>
          <w:t xml:space="preserve"> https://www.argentina.gob.ar/noticias/caso-lhaka-honhat-finalizo-la-consulta-previa-comunidades-indigenas-sobre-el-plan-de-acceso</w:t>
        </w:r>
      </w:hyperlink>
    </w:p>
  </w:footnote>
  <w:footnote w:id="53">
    <w:p w14:paraId="2242525F" w14:textId="77777777" w:rsidR="00C21F39" w:rsidRDefault="00DD397E">
      <w:pPr>
        <w:pStyle w:val="FootnoteText"/>
      </w:pPr>
      <w:r>
        <w:rPr>
          <w:rStyle w:val="FootnoteReference"/>
        </w:rPr>
        <w:footnoteRef/>
      </w:r>
      <w:hyperlink r:id="rId55" w:history="1">
        <w:r w:rsidRPr="00E568A2">
          <w:rPr>
            <w:rStyle w:val="Hyperlink"/>
          </w:rPr>
          <w:t xml:space="preserve"> https://www.boletinoficial.gob.ar/detalleAviso/primera/244619/20210520</w:t>
        </w:r>
      </w:hyperlink>
    </w:p>
    <w:p w14:paraId="655EC680" w14:textId="77777777" w:rsidR="00CD2307" w:rsidRDefault="00CD2307" w:rsidP="00CD2307">
      <w:pPr>
        <w:pStyle w:val="FootnoteText"/>
      </w:pPr>
    </w:p>
  </w:footnote>
  <w:footnote w:id="54">
    <w:p w14:paraId="7FF1FAFB" w14:textId="77777777" w:rsidR="00C21F39" w:rsidRDefault="00DD397E">
      <w:pPr>
        <w:pStyle w:val="FootnoteText"/>
      </w:pPr>
      <w:r>
        <w:rPr>
          <w:rStyle w:val="FootnoteReference"/>
        </w:rPr>
        <w:footnoteRef/>
      </w:r>
      <w:hyperlink r:id="rId56" w:history="1">
        <w:r w:rsidRPr="00E16821">
          <w:rPr>
            <w:rStyle w:val="Hyperlink"/>
          </w:rPr>
          <w:t xml:space="preserve"> https://www.argentina.gob.ar/inad</w:t>
        </w:r>
        <w:r w:rsidRPr="00E16821">
          <w:rPr>
            <w:rStyle w:val="Hyperlink"/>
          </w:rPr>
          <w:t>i/escuelas-sin-discriminacion</w:t>
        </w:r>
      </w:hyperlink>
    </w:p>
  </w:footnote>
  <w:footnote w:id="55">
    <w:p w14:paraId="01367143" w14:textId="77777777" w:rsidR="00C21F39" w:rsidRDefault="00DD397E">
      <w:pPr>
        <w:pStyle w:val="FootnoteText"/>
      </w:pPr>
      <w:r>
        <w:rPr>
          <w:rStyle w:val="FootnoteReference"/>
        </w:rPr>
        <w:footnoteRef/>
      </w:r>
      <w:hyperlink r:id="rId57" w:history="1">
        <w:r w:rsidRPr="00E16821">
          <w:rPr>
            <w:rStyle w:val="Hyperlink"/>
          </w:rPr>
          <w:t xml:space="preserve"> https://www.argentina.gob.ar/noticias/memoria-anual-de-gestion-2022</w:t>
        </w:r>
      </w:hyperlink>
    </w:p>
  </w:footnote>
  <w:footnote w:id="56">
    <w:p w14:paraId="20A3D768" w14:textId="77777777" w:rsidR="00C21F39" w:rsidRDefault="00DD397E">
      <w:pPr>
        <w:pStyle w:val="FootnoteText"/>
      </w:pPr>
      <w:r>
        <w:rPr>
          <w:rStyle w:val="FootnoteReference"/>
        </w:rPr>
        <w:footnoteRef/>
      </w:r>
      <w:hyperlink r:id="rId58" w:history="1">
        <w:r w:rsidRPr="00E16821">
          <w:rPr>
            <w:rStyle w:val="Hyperlink"/>
          </w:rPr>
          <w:t xml:space="preserve"> https://www.argentina.gob.ar/noticias/medidas-de-prevencion-en-el-marco-de-la-pandemia-del-covid-19</w:t>
        </w:r>
      </w:hyperlink>
    </w:p>
    <w:p w14:paraId="488B6FDF" w14:textId="77777777" w:rsidR="00CD2307" w:rsidRDefault="00CD2307" w:rsidP="00CD2307">
      <w:pPr>
        <w:pStyle w:val="FootnoteText"/>
      </w:pPr>
    </w:p>
  </w:footnote>
  <w:footnote w:id="57">
    <w:p w14:paraId="284FA11B" w14:textId="77777777" w:rsidR="00C21F39" w:rsidRDefault="00DD397E">
      <w:pPr>
        <w:pStyle w:val="FootnoteText"/>
      </w:pPr>
      <w:r>
        <w:rPr>
          <w:rStyle w:val="FootnoteReference"/>
        </w:rPr>
        <w:footnoteRef/>
      </w:r>
      <w:hyperlink r:id="rId59" w:history="1">
        <w:r w:rsidRPr="00E16821">
          <w:rPr>
            <w:rStyle w:val="Hyperlink"/>
          </w:rPr>
          <w:t xml:space="preserve"> https://www.argentina.gob.ar/noticias/el-inai-fortalece-la-campana-de-vacunacion-contra-el-covid-19-invitando-integrantes-de-las</w:t>
        </w:r>
      </w:hyperlink>
    </w:p>
  </w:footnote>
  <w:footnote w:id="58">
    <w:p w14:paraId="11E457F0" w14:textId="77777777" w:rsidR="00C21F39" w:rsidRDefault="00DD397E">
      <w:pPr>
        <w:pStyle w:val="FootnoteText"/>
      </w:pPr>
      <w:r>
        <w:rPr>
          <w:rStyle w:val="FootnoteReference"/>
        </w:rPr>
        <w:footnoteRef/>
      </w:r>
      <w:r w:rsidRPr="00E80A24">
        <w:t xml:space="preserve"> https://drive.google.com/file/d/16QgXpoBn2EHtg8KcqaSCR3WBzjuyAxkf/view?u%20sp=sharing.</w:t>
      </w:r>
    </w:p>
  </w:footnote>
  <w:footnote w:id="59">
    <w:p w14:paraId="000E3E79" w14:textId="77777777" w:rsidR="00C21F39" w:rsidRDefault="00DD397E">
      <w:pPr>
        <w:pStyle w:val="FootnoteText"/>
      </w:pPr>
      <w:r>
        <w:rPr>
          <w:rStyle w:val="FootnoteReference"/>
        </w:rPr>
        <w:footnoteRef/>
      </w:r>
      <w:hyperlink r:id="rId60" w:history="1">
        <w:r w:rsidRPr="00E16821">
          <w:rPr>
            <w:rStyle w:val="Hyperlink"/>
          </w:rPr>
          <w:t xml:space="preserve"> https://www.dpn.gob.ar/documentos/INDH_202212005.pdf</w:t>
        </w:r>
      </w:hyperlink>
    </w:p>
    <w:p w14:paraId="3D7F68D8" w14:textId="77777777" w:rsidR="00CD2307" w:rsidRDefault="00CD2307" w:rsidP="00CD2307">
      <w:pPr>
        <w:pStyle w:val="FootnoteText"/>
      </w:pPr>
    </w:p>
  </w:footnote>
  <w:footnote w:id="60">
    <w:p w14:paraId="5BE60BD9" w14:textId="77777777" w:rsidR="00C21F39" w:rsidRDefault="00DD397E">
      <w:pPr>
        <w:pStyle w:val="FootnoteText"/>
      </w:pPr>
      <w:r>
        <w:rPr>
          <w:rStyle w:val="FootnoteReference"/>
        </w:rPr>
        <w:footnoteRef/>
      </w:r>
      <w:hyperlink r:id="rId61" w:history="1">
        <w:r w:rsidRPr="00E568A2">
          <w:rPr>
            <w:rStyle w:val="Hyperlink"/>
          </w:rPr>
          <w:t xml:space="preserve"> http://servicios.infoleg.gob.ar/infolegInternet/anexos/345000-349999/347595/norma.htm</w:t>
        </w:r>
      </w:hyperlink>
    </w:p>
  </w:footnote>
  <w:footnote w:id="61">
    <w:p w14:paraId="23616218" w14:textId="77777777" w:rsidR="00C21F39" w:rsidRDefault="00DD397E">
      <w:pPr>
        <w:pStyle w:val="FootnoteText"/>
      </w:pPr>
      <w:r>
        <w:rPr>
          <w:rStyle w:val="FootnoteReference"/>
        </w:rPr>
        <w:footnoteRef/>
      </w:r>
      <w:hyperlink r:id="rId62" w:history="1">
        <w:r w:rsidRPr="00E568A2">
          <w:rPr>
            <w:rStyle w:val="Hyperlink"/>
          </w:rPr>
          <w:t xml:space="preserve">  https://www.cels.org.ar/especiales/examenonu/wp-content/uploads/sites/13/2022/11/Migrantes-EPU-2023.pdf</w:t>
        </w:r>
      </w:hyperlink>
    </w:p>
  </w:footnote>
  <w:footnote w:id="62">
    <w:p w14:paraId="69FCF986" w14:textId="77777777" w:rsidR="00C21F39" w:rsidRDefault="00DD397E">
      <w:pPr>
        <w:pStyle w:val="FootnoteText"/>
      </w:pPr>
      <w:r>
        <w:rPr>
          <w:rStyle w:val="FootnoteReference"/>
        </w:rPr>
        <w:footnoteRef/>
      </w:r>
      <w:hyperlink r:id="rId63" w:history="1">
        <w:r w:rsidRPr="00E568A2">
          <w:rPr>
            <w:rStyle w:val="Hyperlink"/>
          </w:rPr>
          <w:t xml:space="preserve"> http://servicios.infoleg.gob.ar/infolegInternet/anexos/90000-94999/92016/texact.htm</w:t>
        </w:r>
      </w:hyperlink>
    </w:p>
  </w:footnote>
  <w:footnote w:id="63">
    <w:p w14:paraId="28FD7C79" w14:textId="77777777" w:rsidR="00C21F39" w:rsidRDefault="00DD397E">
      <w:pPr>
        <w:pStyle w:val="FootnoteText"/>
      </w:pPr>
      <w:r>
        <w:rPr>
          <w:rStyle w:val="FootnoteReference"/>
        </w:rPr>
        <w:footnoteRef/>
      </w:r>
      <w:hyperlink r:id="rId64" w:history="1">
        <w:r w:rsidRPr="00E568A2">
          <w:rPr>
            <w:rStyle w:val="Hyperlink"/>
          </w:rPr>
          <w:t xml:space="preserve"> https://www.argentina.gob.ar/normativa/nacional/disposici%C3%B3n-520-</w:t>
        </w:r>
        <w:r w:rsidRPr="00E568A2">
          <w:rPr>
            <w:rStyle w:val="Hyperlink"/>
          </w:rPr>
          <w:t>2019-319449</w:t>
        </w:r>
      </w:hyperlink>
    </w:p>
  </w:footnote>
  <w:footnote w:id="64">
    <w:p w14:paraId="1F9CEBED" w14:textId="77777777" w:rsidR="00C21F39" w:rsidRDefault="00DD397E">
      <w:pPr>
        <w:pStyle w:val="FootnoteText"/>
      </w:pPr>
      <w:r>
        <w:rPr>
          <w:rStyle w:val="FootnoteReference"/>
        </w:rPr>
        <w:footnoteRef/>
      </w:r>
      <w:hyperlink r:id="rId65" w:history="1">
        <w:r w:rsidRPr="00E568A2">
          <w:rPr>
            <w:rStyle w:val="Hyperlink"/>
          </w:rPr>
          <w:t xml:space="preserve"> https://www.argentina.gob.ar/normativa/nacional/disposici%C3%B3n-1891-2021-351916</w:t>
        </w:r>
      </w:hyperlink>
    </w:p>
  </w:footnote>
  <w:footnote w:id="65">
    <w:p w14:paraId="62139EE4" w14:textId="77777777" w:rsidR="00C21F39" w:rsidRDefault="00DD397E">
      <w:pPr>
        <w:pStyle w:val="FootnoteText"/>
      </w:pPr>
      <w:r>
        <w:rPr>
          <w:rStyle w:val="FootnoteReference"/>
        </w:rPr>
        <w:footnoteRef/>
      </w:r>
      <w:hyperlink r:id="rId66" w:history="1">
        <w:r w:rsidRPr="00E568A2">
          <w:rPr>
            <w:rStyle w:val="Hyperlink"/>
          </w:rPr>
          <w:t xml:space="preserve"> https://www.argentina.gob.ar/normativa/nacional/disposici%C3%B3n-940-2022-365265/texto</w:t>
        </w:r>
      </w:hyperlink>
    </w:p>
    <w:p w14:paraId="25C368B9" w14:textId="77777777" w:rsidR="00CD2307" w:rsidRDefault="00CD2307" w:rsidP="00CD2307">
      <w:pPr>
        <w:pStyle w:val="FootnoteText"/>
      </w:pPr>
    </w:p>
  </w:footnote>
  <w:footnote w:id="66">
    <w:p w14:paraId="54953728" w14:textId="77777777" w:rsidR="00C21F39" w:rsidRDefault="00DD397E">
      <w:pPr>
        <w:pStyle w:val="FootnoteText"/>
      </w:pPr>
      <w:r>
        <w:rPr>
          <w:rStyle w:val="FootnoteReference"/>
        </w:rPr>
        <w:footnoteRef/>
      </w:r>
      <w:hyperlink r:id="rId67" w:history="1">
        <w:r w:rsidRPr="00E568A2">
          <w:rPr>
            <w:rStyle w:val="Hyperlink"/>
          </w:rPr>
          <w:t xml:space="preserve"> https://www.argentina.gob.ar/normativa/nacional/disposici%C3%B3n-941-2022-365266</w:t>
        </w:r>
      </w:hyperlink>
    </w:p>
  </w:footnote>
  <w:footnote w:id="67">
    <w:p w14:paraId="7B71CAFA" w14:textId="77777777" w:rsidR="00C21F39" w:rsidRDefault="00DD397E">
      <w:pPr>
        <w:pStyle w:val="FootnoteText"/>
      </w:pPr>
      <w:r>
        <w:rPr>
          <w:rStyle w:val="FootnoteReference"/>
        </w:rPr>
        <w:footnoteRef/>
      </w:r>
      <w:hyperlink r:id="rId68" w:history="1">
        <w:r w:rsidRPr="00E568A2">
          <w:rPr>
            <w:rStyle w:val="Hyperlink"/>
          </w:rPr>
          <w:t xml:space="preserve"> https://www.argentina.gob.ar/normativa/nacional/disposici%C3%B3n-891-2022-364999</w:t>
        </w:r>
      </w:hyperlink>
    </w:p>
    <w:p w14:paraId="5784C3AB" w14:textId="77777777" w:rsidR="00CD2307" w:rsidRDefault="00CD2307" w:rsidP="00CD2307">
      <w:pPr>
        <w:pStyle w:val="FootnoteText"/>
      </w:pPr>
    </w:p>
  </w:footnote>
  <w:footnote w:id="68">
    <w:p w14:paraId="1B5351DD" w14:textId="77777777" w:rsidR="00C21F39" w:rsidRDefault="00DD397E">
      <w:pPr>
        <w:pStyle w:val="FootnoteText"/>
      </w:pPr>
      <w:r>
        <w:rPr>
          <w:rStyle w:val="FootnoteReference"/>
        </w:rPr>
        <w:footnoteRef/>
      </w:r>
      <w:hyperlink r:id="rId69" w:history="1">
        <w:r w:rsidRPr="00E568A2">
          <w:rPr>
            <w:rStyle w:val="Hyperlink"/>
          </w:rPr>
          <w:t xml:space="preserve"> http://servicios.infoleg.gob.ar/infolegInternet/an</w:t>
        </w:r>
        <w:r w:rsidRPr="00E568A2">
          <w:rPr>
            <w:rStyle w:val="Hyperlink"/>
          </w:rPr>
          <w:t>exos/120000-124999/122609/norma.htm</w:t>
        </w:r>
      </w:hyperlink>
    </w:p>
    <w:p w14:paraId="66783D7C" w14:textId="77777777" w:rsidR="00C21F39" w:rsidRDefault="00DD397E">
      <w:pPr>
        <w:pStyle w:val="FootnoteText"/>
      </w:pPr>
      <w:hyperlink r:id="rId70" w:history="1">
        <w:r w:rsidRPr="00E568A2">
          <w:rPr>
            <w:rStyle w:val="Hyperlink"/>
          </w:rPr>
          <w:t>https://www.argentina.gob.ar/normativa/nacional/ley-27512-327259/texto</w:t>
        </w:r>
      </w:hyperlink>
    </w:p>
    <w:p w14:paraId="2DDBB2B6" w14:textId="77777777" w:rsidR="00CD2307" w:rsidRDefault="00CD2307" w:rsidP="00CD2307">
      <w:pPr>
        <w:pStyle w:val="FootnoteText"/>
      </w:pPr>
    </w:p>
  </w:footnote>
  <w:footnote w:id="69">
    <w:p w14:paraId="6063C2D6" w14:textId="77777777" w:rsidR="00C21F39" w:rsidRDefault="00DD397E">
      <w:pPr>
        <w:pStyle w:val="FootnoteText"/>
      </w:pPr>
      <w:r>
        <w:rPr>
          <w:rStyle w:val="FootnoteReference"/>
        </w:rPr>
        <w:footnoteRef/>
      </w:r>
      <w:hyperlink r:id="rId71" w:history="1">
        <w:r w:rsidRPr="00E568A2">
          <w:rPr>
            <w:rStyle w:val="Hyperlink"/>
          </w:rPr>
          <w:t xml:space="preserve"> https://www.dpn.gob.ar/documentos/20220221_32472_558227.pdf</w:t>
        </w:r>
      </w:hyperlink>
    </w:p>
  </w:footnote>
  <w:footnote w:id="70">
    <w:p w14:paraId="6E3679F6" w14:textId="77777777" w:rsidR="00C21F39" w:rsidRDefault="00DD397E">
      <w:pPr>
        <w:pStyle w:val="FootnoteText"/>
      </w:pPr>
      <w:r>
        <w:rPr>
          <w:rStyle w:val="FootnoteReference"/>
        </w:rPr>
        <w:footnoteRef/>
      </w:r>
      <w:r>
        <w:t xml:space="preserve"> Ces données ont été fournies par CONARE et les tribunaux fédéraux du pays dans le cadre d'une enquête menée par le bureau du médiateur pour contrôler la mise en œuvre de la loi </w:t>
      </w:r>
      <w:r>
        <w:t>27.512.</w:t>
      </w:r>
    </w:p>
  </w:footnote>
  <w:footnote w:id="71">
    <w:p w14:paraId="3AF1B3A0" w14:textId="77777777" w:rsidR="00C21F39" w:rsidRDefault="00DD397E">
      <w:pPr>
        <w:pStyle w:val="FootnoteText"/>
      </w:pPr>
      <w:r>
        <w:rPr>
          <w:rStyle w:val="FootnoteReference"/>
        </w:rPr>
        <w:footnoteRef/>
      </w:r>
      <w:r>
        <w:t xml:space="preserve"> Voir point 158. </w:t>
      </w:r>
    </w:p>
  </w:footnote>
  <w:footnote w:id="72">
    <w:p w14:paraId="6584D245" w14:textId="77777777" w:rsidR="00C21F39" w:rsidRDefault="00DD397E">
      <w:pPr>
        <w:pStyle w:val="FootnoteText"/>
      </w:pPr>
      <w:r>
        <w:rPr>
          <w:rStyle w:val="FootnoteReference"/>
        </w:rPr>
        <w:footnoteRef/>
      </w:r>
      <w:r w:rsidRPr="003E1462">
        <w:t xml:space="preserve"> https://www.argentina.gob.ar/noticias/el-caso-lucas-gonzalez-el-inadi-solicita-que-se-investigue-si-los-policias-actuaron-con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A74760"/>
    <w:multiLevelType w:val="hybridMultilevel"/>
    <w:tmpl w:val="E6420600"/>
    <w:lvl w:ilvl="0" w:tplc="10EA48EA">
      <w:start w:val="28"/>
      <w:numFmt w:val="bullet"/>
      <w:lvlText w:val="-"/>
      <w:lvlJc w:val="left"/>
      <w:pPr>
        <w:ind w:left="720" w:hanging="360"/>
      </w:pPr>
      <w:rPr>
        <w:rFonts w:ascii="Arial" w:eastAsiaTheme="minorHAns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49837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07"/>
    <w:rsid w:val="00185CBA"/>
    <w:rsid w:val="003D61E1"/>
    <w:rsid w:val="0049549D"/>
    <w:rsid w:val="007A53FD"/>
    <w:rsid w:val="00824368"/>
    <w:rsid w:val="00C21F39"/>
    <w:rsid w:val="00CD2307"/>
    <w:rsid w:val="00DD397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722E8"/>
  <w15:chartTrackingRefBased/>
  <w15:docId w15:val="{8311B6D0-6447-4C53-BD3F-912C6CA41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307"/>
    <w:rPr>
      <w:color w:val="0000FF"/>
      <w:u w:val="single"/>
    </w:rPr>
  </w:style>
  <w:style w:type="paragraph" w:styleId="FootnoteText">
    <w:name w:val="footnote text"/>
    <w:basedOn w:val="Normal"/>
    <w:link w:val="FootnoteTextChar"/>
    <w:uiPriority w:val="99"/>
    <w:unhideWhenUsed/>
    <w:rsid w:val="00CD2307"/>
    <w:pPr>
      <w:spacing w:after="0" w:line="240" w:lineRule="auto"/>
    </w:pPr>
    <w:rPr>
      <w:rFonts w:ascii="Calibri" w:hAnsi="Calibri" w:cs="Calibri"/>
      <w:sz w:val="20"/>
      <w:szCs w:val="20"/>
    </w:rPr>
  </w:style>
  <w:style w:type="character" w:customStyle="1" w:styleId="FootnoteTextChar">
    <w:name w:val="Footnote Text Char"/>
    <w:basedOn w:val="DefaultParagraphFont"/>
    <w:link w:val="FootnoteText"/>
    <w:uiPriority w:val="99"/>
    <w:rsid w:val="00CD2307"/>
    <w:rPr>
      <w:rFonts w:ascii="Calibri" w:hAnsi="Calibri" w:cs="Calibri"/>
      <w:sz w:val="20"/>
      <w:szCs w:val="20"/>
    </w:rPr>
  </w:style>
  <w:style w:type="character" w:styleId="FootnoteReference">
    <w:name w:val="footnote reference"/>
    <w:basedOn w:val="DefaultParagraphFont"/>
    <w:uiPriority w:val="99"/>
    <w:semiHidden/>
    <w:unhideWhenUsed/>
    <w:rsid w:val="00CD23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boletinoficial.gob.ar/detalleAviso/primera/277879/20221216" TargetMode="External"/><Relationship Id="rId21" Type="http://schemas.openxmlformats.org/officeDocument/2006/relationships/hyperlink" Target="https://defensadelpublico.gob.ar/presupuesto/" TargetMode="External"/><Relationship Id="rId42" Type="http://schemas.openxmlformats.org/officeDocument/2006/relationships/hyperlink" Target="https://www.mpf.gob.ar/dovic/files/2022/07/DOVIC-Informe-estad%C3%ADstico2022.pdf" TargetMode="External"/><Relationship Id="rId47" Type="http://schemas.openxmlformats.org/officeDocument/2006/relationships/hyperlink" Target="https://www.argentina.gob.ar/justicia/derechofacil/leysimple/seguridad-social/asignacion-universal-por-hijo" TargetMode="External"/><Relationship Id="rId63" Type="http://schemas.openxmlformats.org/officeDocument/2006/relationships/hyperlink" Target="http://servicios.infoleg.gob.ar/infolegInternet/anexos/90000-94999/92016/texact.htm" TargetMode="External"/><Relationship Id="rId68" Type="http://schemas.openxmlformats.org/officeDocument/2006/relationships/hyperlink" Target="https://www.argentina.gob.ar/normativa/nacional/disposici%C3%B3n-891-2022-364999" TargetMode="External"/><Relationship Id="rId7" Type="http://schemas.openxmlformats.org/officeDocument/2006/relationships/hyperlink" Target="https://documents-dds-ny.un.org/doc/UNDOC/GEN/G20/026/63/PDF/G2002663.pdf?OpenElement" TargetMode="External"/><Relationship Id="rId71" Type="http://schemas.openxmlformats.org/officeDocument/2006/relationships/hyperlink" Target="https://www.dpn.gob.ar/documentos/20220221_32472_558227.pdf" TargetMode="External"/><Relationship Id="rId2" Type="http://schemas.openxmlformats.org/officeDocument/2006/relationships/hyperlink" Target="https://www.censo.gob.ar/index.php/datos_provisionales/" TargetMode="External"/><Relationship Id="rId16" Type="http://schemas.openxmlformats.org/officeDocument/2006/relationships/hyperlink" Target="http://www.dpn.gob.ar/" TargetMode="External"/><Relationship Id="rId29" Type="http://schemas.openxmlformats.org/officeDocument/2006/relationships/hyperlink" Target="https://www.argentina.gob.ar/noticias/el-inai-organizo-historico-encuentro-de-conformacion-del-consejo-asesor-y-de-coordinacion" TargetMode="External"/><Relationship Id="rId11" Type="http://schemas.openxmlformats.org/officeDocument/2006/relationships/hyperlink" Target="https://www4.hcdn.gob.ar/dependencias/dsecretaria/Periodo2022/PDF2022/TP2022/0540-D-2022.pdf" TargetMode="External"/><Relationship Id="rId24" Type="http://schemas.openxmlformats.org/officeDocument/2006/relationships/hyperlink" Target="https://www.argentina.gob.ar/inadi/mapa-nacional-de-la-discriminacion" TargetMode="External"/><Relationship Id="rId32" Type="http://schemas.openxmlformats.org/officeDocument/2006/relationships/hyperlink" Target="https://www.ohchr.org/sites/default/files/2022-02/Dra.-Victoria-Donda.pdf" TargetMode="External"/><Relationship Id="rId37" Type="http://schemas.openxmlformats.org/officeDocument/2006/relationships/hyperlink" Target="https://www.argentina.gob.ar/sites/default/files/2022/12/violencia_inst_web.pdf" TargetMode="External"/><Relationship Id="rId40" Type="http://schemas.openxmlformats.org/officeDocument/2006/relationships/hyperlink" Target="https://www.mpf.gob.ar/dovic/files/2022/05/Protocolo-de-actuacion-DOVIC-2022.pdf" TargetMode="External"/><Relationship Id="rId45" Type="http://schemas.openxmlformats.org/officeDocument/2006/relationships/hyperlink" Target="https://www.argentina.gob.ar/sites/default/files/325_-_directrices_para_la_observacion_de_manifestaciones_y_protestas_sociales.pdf" TargetMode="External"/><Relationship Id="rId53" Type="http://schemas.openxmlformats.org/officeDocument/2006/relationships/hyperlink" Target="https://boletinoficialsalta.gob.ar/instrumento.php?cXdlcnR5dGFibGE9RHw1MzgvMjBxd2VydHk" TargetMode="External"/><Relationship Id="rId58" Type="http://schemas.openxmlformats.org/officeDocument/2006/relationships/hyperlink" Target="https://www.argentina.gob.ar/noticias/medidas-de-prevencion-en-el-marco-de-la-pandemia-del-covid-19" TargetMode="External"/><Relationship Id="rId66" Type="http://schemas.openxmlformats.org/officeDocument/2006/relationships/hyperlink" Target="https://www.argentina.gob.ar/normativa/nacional/disposici%C3%B3n-940-2022-365265/texto" TargetMode="External"/><Relationship Id="rId5" Type="http://schemas.openxmlformats.org/officeDocument/2006/relationships/hyperlink" Target="https://www.argentina.gob.ar/sites/default/files/migracion_en_argentina_dnp.pptx_.pdf" TargetMode="External"/><Relationship Id="rId61" Type="http://schemas.openxmlformats.org/officeDocument/2006/relationships/hyperlink" Target="http://servicios.infoleg.gob.ar/infolegInternet/anexos/345000-349999/347595/norma.htm" TargetMode="External"/><Relationship Id="rId19" Type="http://schemas.openxmlformats.org/officeDocument/2006/relationships/hyperlink" Target="https://www.boletinoficial.gob.ar/detalleAviso/primera/231144/20200625" TargetMode="External"/><Relationship Id="rId14" Type="http://schemas.openxmlformats.org/officeDocument/2006/relationships/hyperlink" Target="http://www.dpn.gob.ar/informesIIyPP.php" TargetMode="External"/><Relationship Id="rId22" Type="http://schemas.openxmlformats.org/officeDocument/2006/relationships/hyperlink" Target="https://www.boletinoficial.gob.ar/detalleAviso/primera/239001/20201222" TargetMode="External"/><Relationship Id="rId27" Type="http://schemas.openxmlformats.org/officeDocument/2006/relationships/hyperlink" Target="http://servicios.infoleg.gob.ar/infolegInternet/verNorma.do?id=265949" TargetMode="External"/><Relationship Id="rId30" Type="http://schemas.openxmlformats.org/officeDocument/2006/relationships/hyperlink" Target="https://www.argentina.gob.ar/derechoshumanos/plan-nacional-accion" TargetMode="External"/><Relationship Id="rId35" Type="http://schemas.openxmlformats.org/officeDocument/2006/relationships/hyperlink" Target="https://www.argentina.gob.ar/normativa/nacional/resoluci%C3%B3n-682-2022-366697/texto" TargetMode="External"/><Relationship Id="rId43" Type="http://schemas.openxmlformats.org/officeDocument/2006/relationships/hyperlink" Target="https://boletinoficialsalta.gob.ar/instrumento.php?cXdlcnR5dGFibGE9RHw5MS8yM3F3ZXJ0eQ" TargetMode="External"/><Relationship Id="rId48" Type="http://schemas.openxmlformats.org/officeDocument/2006/relationships/hyperlink" Target="https://www.anses.gob.ar/hijas-e-hijos/programa-alimentar" TargetMode="External"/><Relationship Id="rId56" Type="http://schemas.openxmlformats.org/officeDocument/2006/relationships/hyperlink" Target="https://www.argentina.gob.ar/inadi/escuelas-sin-discriminacion" TargetMode="External"/><Relationship Id="rId64" Type="http://schemas.openxmlformats.org/officeDocument/2006/relationships/hyperlink" Target="https://www.argentina.gob.ar/normativa/nacional/disposici%C3%B3n-520-2019-319449" TargetMode="External"/><Relationship Id="rId69" Type="http://schemas.openxmlformats.org/officeDocument/2006/relationships/hyperlink" Target="http://servicios.infoleg.gob.ar/infolegInternet/anexos/120000-124999/122609/norma.htm" TargetMode="External"/><Relationship Id="rId8" Type="http://schemas.openxmlformats.org/officeDocument/2006/relationships/hyperlink" Target="https://www.ohchr.org/es/documents/country-reports/visit-argentina-report-working-group-experts-people-african-descent" TargetMode="External"/><Relationship Id="rId51" Type="http://schemas.openxmlformats.org/officeDocument/2006/relationships/hyperlink" Target="https://www.dpn.gob.ar/documentos/INDH_2023016.pdf" TargetMode="External"/><Relationship Id="rId3" Type="http://schemas.openxmlformats.org/officeDocument/2006/relationships/hyperlink" Target="https://www.argentina.gob.ar/sites/default/files/pueblos_originarios_noa.pdf" TargetMode="External"/><Relationship Id="rId12" Type="http://schemas.openxmlformats.org/officeDocument/2006/relationships/hyperlink" Target="https://www.diputados.gov.ar/proyectos/proyecto.jsp?exp=7580-D-2018" TargetMode="External"/><Relationship Id="rId17" Type="http://schemas.openxmlformats.org/officeDocument/2006/relationships/hyperlink" Target="https://www.dpn.gob.ar/documentos/transparencia/RendicionCuentas2020.pdf" TargetMode="External"/><Relationship Id="rId25" Type="http://schemas.openxmlformats.org/officeDocument/2006/relationships/hyperlink" Target="https://www.argentina.gob.ar/normativa/nacional/ley-23302-23790" TargetMode="External"/><Relationship Id="rId33" Type="http://schemas.openxmlformats.org/officeDocument/2006/relationships/hyperlink" Target="https://www.dpn.gob.ar/documentos/20230320_32933_558592.pdf" TargetMode="External"/><Relationship Id="rId38" Type="http://schemas.openxmlformats.org/officeDocument/2006/relationships/hyperlink" Target="https://www.argentina.gob.ar/sites/default/files/desplegable_violencia_institucional2.2.pdf" TargetMode="External"/><Relationship Id="rId46" Type="http://schemas.openxmlformats.org/officeDocument/2006/relationships/hyperlink" Target="https://www.indec.gob.ar/indec/web/Nivel3-Tema-4-46" TargetMode="External"/><Relationship Id="rId59" Type="http://schemas.openxmlformats.org/officeDocument/2006/relationships/hyperlink" Target="https://www.argentina.gob.ar/noticias/el-inai-fortalece-la-campana-de-vacunacion-contra-el-covid-19-invitando-integrantes-de-las" TargetMode="External"/><Relationship Id="rId67" Type="http://schemas.openxmlformats.org/officeDocument/2006/relationships/hyperlink" Target="https://www.argentina.gob.ar/normativa/nacional/disposici%C3%B3n-941-2022-365266" TargetMode="External"/><Relationship Id="rId20" Type="http://schemas.openxmlformats.org/officeDocument/2006/relationships/hyperlink" Target="https://defensadelpublico.gob.ar/wp-content/uploads/2023/01/nomina-ene-2023.pdf" TargetMode="External"/><Relationship Id="rId41" Type="http://schemas.openxmlformats.org/officeDocument/2006/relationships/hyperlink" Target="https://www.mpf.gob.ar/procuvin/recurso/" TargetMode="External"/><Relationship Id="rId54" Type="http://schemas.openxmlformats.org/officeDocument/2006/relationships/hyperlink" Target="https://www.argentina.gob.ar/noticias/caso-lhaka-honhat-finalizo-la-consulta-previa-comunidades-indigenas-sobre-el-plan-de-acceso" TargetMode="External"/><Relationship Id="rId62" Type="http://schemas.openxmlformats.org/officeDocument/2006/relationships/hyperlink" Target="https://www.cels.org.ar/especiales/examenonu/wp-content/uploads/sites/13/2022/11/Migrantes-EPU-2023.pdf" TargetMode="External"/><Relationship Id="rId70" Type="http://schemas.openxmlformats.org/officeDocument/2006/relationships/hyperlink" Target="https://www.argentina.gob.ar/normativa/nacional/ley-27512-327259/texto" TargetMode="External"/><Relationship Id="rId1" Type="http://schemas.openxmlformats.org/officeDocument/2006/relationships/hyperlink" Target="https://www.indec.gob.ar/" TargetMode="External"/><Relationship Id="rId6" Type="http://schemas.openxmlformats.org/officeDocument/2006/relationships/hyperlink" Target="https://www.mpf.gob.ar/dgdh/files/2017/04/cuadernillo-2-1.pdf" TargetMode="External"/><Relationship Id="rId15" Type="http://schemas.openxmlformats.org/officeDocument/2006/relationships/hyperlink" Target="http://www.dpn.gob.ar/" TargetMode="External"/><Relationship Id="rId23" Type="http://schemas.openxmlformats.org/officeDocument/2006/relationships/hyperlink" Target="https://www.dpn.gob.ar/documentos/INDH_202012005.pdf" TargetMode="External"/><Relationship Id="rId28" Type="http://schemas.openxmlformats.org/officeDocument/2006/relationships/hyperlink" Target="https://www.argentina.gob.ar/sites/default/files/2022/06/informe_de_gestion_cuatrimestral_septiembre-diciembre_2021.pdf" TargetMode="External"/><Relationship Id="rId36" Type="http://schemas.openxmlformats.org/officeDocument/2006/relationships/hyperlink" Target="https://www.argentina.gob.ar/noticias/avanza-la-puesta-en-marcha-del-plan-nacional-afro" TargetMode="External"/><Relationship Id="rId49" Type="http://schemas.openxmlformats.org/officeDocument/2006/relationships/hyperlink" Target="https://www.argentina.gob.ar/pension-no-contributiva-para-madre-de-7-o-mas-hijos" TargetMode="External"/><Relationship Id="rId57" Type="http://schemas.openxmlformats.org/officeDocument/2006/relationships/hyperlink" Target="https://www.argentina.gob.ar/noticias/memoria-anual-de-gestion-2022" TargetMode="External"/><Relationship Id="rId10" Type="http://schemas.openxmlformats.org/officeDocument/2006/relationships/hyperlink" Target="https://www.argentina.gob.ar/noticias/el-caso-lucas-gonzalez-el-inadi-solicita-que-se-investigue-si-los-policias-actuaron-con" TargetMode="External"/><Relationship Id="rId31" Type="http://schemas.openxmlformats.org/officeDocument/2006/relationships/hyperlink" Target="https://www.dpn.gob.ar/documentos/20220221_32476_558233.pdf" TargetMode="External"/><Relationship Id="rId44" Type="http://schemas.openxmlformats.org/officeDocument/2006/relationships/hyperlink" Target="https://www.anred.org/2023/03/01/salta-movilizan-por-la-derogacion-de-gustavo-saenz/" TargetMode="External"/><Relationship Id="rId52" Type="http://schemas.openxmlformats.org/officeDocument/2006/relationships/hyperlink" Target="https://www.boletinoficial.gob.ar/detalleAviso/primera/253065/20211118" TargetMode="External"/><Relationship Id="rId60" Type="http://schemas.openxmlformats.org/officeDocument/2006/relationships/hyperlink" Target="https://www.dpn.gob.ar/documentos/INDH_202212005.pdf" TargetMode="External"/><Relationship Id="rId65" Type="http://schemas.openxmlformats.org/officeDocument/2006/relationships/hyperlink" Target="https://www.argentina.gob.ar/normativa/nacional/disposici%C3%B3n-1891-2021-351916" TargetMode="External"/><Relationship Id="rId4" Type="http://schemas.openxmlformats.org/officeDocument/2006/relationships/hyperlink" Target="https://www.argentina.gob.ar/sites/default/files/2021/11/perfil_demografico_y_distribucion_espacial_afrodescendientes_argentina.pdf" TargetMode="External"/><Relationship Id="rId9" Type="http://schemas.openxmlformats.org/officeDocument/2006/relationships/hyperlink" Target="https://www.fiscales.gob.ar/violencia-institucional/homicidio-de-lucas-gonzalez-la-fiscalia-pidio-la-elevacion-a-juicio-de-la-investigacion-con-catorce-policias-acusados/" TargetMode="External"/><Relationship Id="rId13" Type="http://schemas.openxmlformats.org/officeDocument/2006/relationships/hyperlink" Target="https://documents-dds-ny.un.org/doc/UNDOC/GEN/G19/242/60/PDF/G1924260.pdf?OpenElement" TargetMode="External"/><Relationship Id="rId18" Type="http://schemas.openxmlformats.org/officeDocument/2006/relationships/hyperlink" Target="http://www.dpn.gob.ar/documentos/transparencia/RendicionCuentas2021.pdf" TargetMode="External"/><Relationship Id="rId39" Type="http://schemas.openxmlformats.org/officeDocument/2006/relationships/hyperlink" Target="https://www.mpf.gob.ar/procuvin/" TargetMode="External"/><Relationship Id="rId34" Type="http://schemas.openxmlformats.org/officeDocument/2006/relationships/hyperlink" Target="https://www.argentina.gob.ar/normativa/nacional/decreto-658-2017-278290/texto" TargetMode="External"/><Relationship Id="rId50" Type="http://schemas.openxmlformats.org/officeDocument/2006/relationships/hyperlink" Target="https://www.anses.gob.ar/jubilaciones-y-pensiones/como-obtener-mi-pension/como-obtener-una-pension-no-contributiva-pnc/pension-no-contributiva-por-invalidez" TargetMode="External"/><Relationship Id="rId55" Type="http://schemas.openxmlformats.org/officeDocument/2006/relationships/hyperlink" Target="https://www.boletinoficial.gob.ar/detalleAviso/primera/244619/202105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7927</Words>
  <Characters>45186</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Defensor del Pueblo de la Nación</Company>
  <LinksUpToDate>false</LinksUpToDate>
  <CharactersWithSpaces>53007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dpnuser</dc:creator>
  <cp:keywords>, docId:4BFA7462A140AC5AF751D2309F4957C4</cp:keywords>
  <dc:description/>
  <cp:lastModifiedBy>Kalpana</cp:lastModifiedBy>
  <cp:revision>2</cp:revision>
  <dcterms:created xsi:type="dcterms:W3CDTF">2023-03-21T11:25:00Z</dcterms:created>
  <dcterms:modified xsi:type="dcterms:W3CDTF">2023-03-21T11:25:00Z</dcterms:modified>
</cp:coreProperties>
</file>