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387DB" w14:textId="756E244A" w:rsidR="006C5B29" w:rsidRPr="005A646D" w:rsidRDefault="006C5B29" w:rsidP="00F35FBB">
      <w:pPr>
        <w:jc w:val="both"/>
        <w:rPr>
          <w:b/>
          <w:bCs/>
        </w:rPr>
      </w:pPr>
      <w:r w:rsidRPr="005A646D">
        <w:rPr>
          <w:b/>
          <w:bCs/>
        </w:rPr>
        <w:t>Background</w:t>
      </w:r>
    </w:p>
    <w:p w14:paraId="5EB0489A" w14:textId="77777777" w:rsidR="009F50CD" w:rsidRDefault="006C5B29" w:rsidP="00F35FBB">
      <w:pPr>
        <w:jc w:val="both"/>
      </w:pPr>
      <w:r w:rsidRPr="005A646D">
        <w:t>Australia’s 9</w:t>
      </w:r>
      <w:r w:rsidRPr="005A646D">
        <w:rPr>
          <w:vertAlign w:val="superscript"/>
        </w:rPr>
        <w:t>th</w:t>
      </w:r>
      <w:r w:rsidRPr="005A646D">
        <w:t xml:space="preserve"> </w:t>
      </w:r>
      <w:r w:rsidR="00E41277" w:rsidRPr="005A646D">
        <w:t xml:space="preserve">periodic </w:t>
      </w:r>
      <w:r w:rsidRPr="005A646D">
        <w:t>report to CEDAW was due on 20 July 2022.  The 8</w:t>
      </w:r>
      <w:r w:rsidRPr="005A646D">
        <w:rPr>
          <w:vertAlign w:val="superscript"/>
        </w:rPr>
        <w:t>th</w:t>
      </w:r>
      <w:r w:rsidRPr="005A646D">
        <w:t xml:space="preserve"> report was submitted on </w:t>
      </w:r>
      <w:r w:rsidR="00E41277" w:rsidRPr="005A646D">
        <w:t xml:space="preserve">8 December 2016 and Concluding Observations were provided on 25 July 2018. </w:t>
      </w:r>
      <w:r w:rsidRPr="005A646D">
        <w:t xml:space="preserve"> </w:t>
      </w:r>
      <w:r w:rsidR="00E41277" w:rsidRPr="005A646D">
        <w:t>The CEDAW Committee identified several areas of concern and made some key recommendations.</w:t>
      </w:r>
      <w:r w:rsidR="00F061B7" w:rsidRPr="005A646D">
        <w:t xml:space="preserve"> </w:t>
      </w:r>
    </w:p>
    <w:p w14:paraId="02248FA0" w14:textId="2A54F4BC" w:rsidR="009F50CD" w:rsidRDefault="009F50CD" w:rsidP="00F35FBB">
      <w:pPr>
        <w:jc w:val="both"/>
      </w:pPr>
      <w:r>
        <w:t>On behalf of the Thomas More Law School at Australian Catholic University, the authors make this contribution to the Committee’s assessment of Australia’s performance under CEDAW.</w:t>
      </w:r>
    </w:p>
    <w:p w14:paraId="1D732FA8" w14:textId="2BDE16FC" w:rsidR="006C5B29" w:rsidRPr="005A646D" w:rsidRDefault="00F061B7" w:rsidP="00F35FBB">
      <w:pPr>
        <w:jc w:val="both"/>
      </w:pPr>
      <w:r w:rsidRPr="005A646D">
        <w:t xml:space="preserve">The questions listed below </w:t>
      </w:r>
      <w:r w:rsidR="00F35FBB" w:rsidRPr="005A646D">
        <w:t>outline key recommendations that remain outstanding.</w:t>
      </w:r>
    </w:p>
    <w:p w14:paraId="221D7465" w14:textId="5199924B" w:rsidR="00F35FBB" w:rsidRPr="005A646D" w:rsidRDefault="00F35FBB" w:rsidP="00F35FBB">
      <w:pPr>
        <w:jc w:val="both"/>
        <w:rPr>
          <w:b/>
          <w:bCs/>
        </w:rPr>
      </w:pPr>
      <w:r w:rsidRPr="005A646D">
        <w:rPr>
          <w:b/>
          <w:bCs/>
        </w:rPr>
        <w:t>Questions</w:t>
      </w:r>
    </w:p>
    <w:p w14:paraId="2FA65D06" w14:textId="77777777" w:rsidR="00F35FBB" w:rsidRPr="005A646D" w:rsidRDefault="006C5B29" w:rsidP="00F35FBB">
      <w:pPr>
        <w:numPr>
          <w:ilvl w:val="0"/>
          <w:numId w:val="1"/>
        </w:numPr>
        <w:spacing w:before="100" w:beforeAutospacing="1" w:after="100" w:afterAutospacing="1" w:line="240" w:lineRule="auto"/>
        <w:jc w:val="both"/>
        <w:rPr>
          <w:rFonts w:eastAsia="Times New Roman"/>
          <w:color w:val="000000"/>
        </w:rPr>
      </w:pPr>
      <w:r w:rsidRPr="005A646D">
        <w:rPr>
          <w:rFonts w:eastAsia="Times New Roman"/>
          <w:color w:val="000000"/>
          <w:shd w:val="clear" w:color="auto" w:fill="FFFFFF"/>
        </w:rPr>
        <w:t>What actions will Australia take to</w:t>
      </w:r>
      <w:r w:rsidR="00F35FBB" w:rsidRPr="005A646D">
        <w:rPr>
          <w:rFonts w:eastAsia="Times New Roman"/>
          <w:color w:val="000000"/>
          <w:shd w:val="clear" w:color="auto" w:fill="FFFFFF"/>
        </w:rPr>
        <w:t>:</w:t>
      </w:r>
      <w:r w:rsidRPr="005A646D">
        <w:rPr>
          <w:rFonts w:eastAsia="Times New Roman"/>
          <w:color w:val="000000"/>
          <w:shd w:val="clear" w:color="auto" w:fill="FFFFFF"/>
        </w:rPr>
        <w:t xml:space="preserve"> </w:t>
      </w:r>
    </w:p>
    <w:p w14:paraId="7A45BB87" w14:textId="77777777" w:rsidR="00F35FBB" w:rsidRPr="005A646D" w:rsidRDefault="00F35FBB" w:rsidP="00F35FBB">
      <w:pPr>
        <w:numPr>
          <w:ilvl w:val="1"/>
          <w:numId w:val="5"/>
        </w:numPr>
        <w:spacing w:before="100" w:beforeAutospacing="1" w:after="100" w:afterAutospacing="1" w:line="240" w:lineRule="auto"/>
        <w:jc w:val="both"/>
        <w:rPr>
          <w:rFonts w:eastAsia="Times New Roman"/>
          <w:color w:val="000000"/>
        </w:rPr>
      </w:pPr>
      <w:r w:rsidRPr="005A646D">
        <w:rPr>
          <w:rFonts w:eastAsia="Times New Roman"/>
          <w:color w:val="000000"/>
          <w:shd w:val="clear" w:color="auto" w:fill="FFFFFF"/>
        </w:rPr>
        <w:t>Incorporate CEDAW into national law by adopting a charter of human rights?</w:t>
      </w:r>
    </w:p>
    <w:p w14:paraId="2B9B05DE" w14:textId="5340DC06" w:rsidR="006C5B29" w:rsidRPr="005A646D" w:rsidRDefault="006C5B29" w:rsidP="00F35FBB">
      <w:pPr>
        <w:numPr>
          <w:ilvl w:val="1"/>
          <w:numId w:val="5"/>
        </w:numPr>
        <w:spacing w:before="100" w:beforeAutospacing="1" w:after="100" w:afterAutospacing="1" w:line="240" w:lineRule="auto"/>
        <w:jc w:val="both"/>
        <w:rPr>
          <w:rFonts w:eastAsia="Times New Roman"/>
          <w:color w:val="000000"/>
        </w:rPr>
      </w:pPr>
      <w:r w:rsidRPr="005A646D">
        <w:rPr>
          <w:rStyle w:val="contentpasted0"/>
          <w:color w:val="000000"/>
          <w:shd w:val="clear" w:color="auto" w:fill="FFFFFF"/>
        </w:rPr>
        <w:t>recognize First Nations in the Constitution to enable indigenous women to claim their rights?</w:t>
      </w:r>
    </w:p>
    <w:p w14:paraId="0C484558" w14:textId="77777777" w:rsidR="009F50CD" w:rsidRPr="009F50CD" w:rsidRDefault="00F35FBB" w:rsidP="009F50CD">
      <w:pPr>
        <w:pStyle w:val="elementtoproof"/>
        <w:shd w:val="clear" w:color="auto" w:fill="FFFFFF"/>
        <w:jc w:val="both"/>
        <w:rPr>
          <w:rStyle w:val="Hyperlink"/>
          <w:rFonts w:eastAsia="Times New Roman"/>
          <w:color w:val="000000"/>
          <w:u w:val="none"/>
        </w:rPr>
      </w:pPr>
      <w:r w:rsidRPr="005A646D">
        <w:rPr>
          <w:rFonts w:eastAsia="Times New Roman"/>
          <w:color w:val="000000"/>
        </w:rPr>
        <w:t>These actions</w:t>
      </w:r>
      <w:r w:rsidR="006C5B29" w:rsidRPr="005A646D">
        <w:rPr>
          <w:rFonts w:eastAsia="Times New Roman"/>
          <w:color w:val="000000"/>
        </w:rPr>
        <w:t xml:space="preserve"> </w:t>
      </w:r>
      <w:r w:rsidRPr="005A646D">
        <w:rPr>
          <w:rFonts w:eastAsia="Times New Roman"/>
          <w:color w:val="000000"/>
        </w:rPr>
        <w:t>were</w:t>
      </w:r>
      <w:r w:rsidR="006C5B29" w:rsidRPr="005A646D">
        <w:rPr>
          <w:rFonts w:eastAsia="Times New Roman"/>
          <w:color w:val="000000"/>
        </w:rPr>
        <w:t xml:space="preserve"> recommended by the CEDAW committee in its </w:t>
      </w:r>
      <w:r w:rsidRPr="005A646D">
        <w:rPr>
          <w:rFonts w:eastAsia="Times New Roman"/>
          <w:color w:val="000000"/>
        </w:rPr>
        <w:t>C</w:t>
      </w:r>
      <w:r w:rsidR="006C5B29" w:rsidRPr="005A646D">
        <w:rPr>
          <w:rFonts w:eastAsia="Times New Roman"/>
          <w:color w:val="000000"/>
        </w:rPr>
        <w:t xml:space="preserve">oncluding </w:t>
      </w:r>
      <w:r w:rsidRPr="005A646D">
        <w:rPr>
          <w:rFonts w:eastAsia="Times New Roman"/>
          <w:color w:val="000000"/>
        </w:rPr>
        <w:t>O</w:t>
      </w:r>
      <w:r w:rsidR="006C5B29" w:rsidRPr="005A646D">
        <w:rPr>
          <w:rFonts w:eastAsia="Times New Roman"/>
          <w:color w:val="000000"/>
        </w:rPr>
        <w:t>bservations in 2018</w:t>
      </w:r>
      <w:r w:rsidRPr="005A646D">
        <w:rPr>
          <w:rFonts w:eastAsia="Times New Roman"/>
          <w:color w:val="000000"/>
        </w:rPr>
        <w:t>. They have</w:t>
      </w:r>
      <w:r w:rsidR="006C5B29" w:rsidRPr="005A646D">
        <w:rPr>
          <w:rFonts w:eastAsia="Times New Roman"/>
          <w:color w:val="000000"/>
        </w:rPr>
        <w:t xml:space="preserve"> not been implemented by Australia. A First Nations National Constitutional Convention at Uluru in May 2017 recommended a constitutional amendment including an Indigenous Voice to Parliament: </w:t>
      </w:r>
      <w:hyperlink r:id="rId5" w:history="1">
        <w:r w:rsidR="006C5B29" w:rsidRPr="005A646D">
          <w:rPr>
            <w:rStyle w:val="Hyperlink"/>
            <w:rFonts w:eastAsia="Times New Roman"/>
          </w:rPr>
          <w:t>https://fromtheheart.com.au/what-is-a-voice-to-parliament/</w:t>
        </w:r>
      </w:hyperlink>
    </w:p>
    <w:p w14:paraId="475CA593" w14:textId="4B99006F" w:rsidR="006C5B29" w:rsidRPr="005A646D" w:rsidRDefault="006C5B29" w:rsidP="00F35FBB">
      <w:pPr>
        <w:pStyle w:val="elementtoproof"/>
        <w:numPr>
          <w:ilvl w:val="0"/>
          <w:numId w:val="2"/>
        </w:numPr>
        <w:shd w:val="clear" w:color="auto" w:fill="FFFFFF"/>
        <w:jc w:val="both"/>
        <w:rPr>
          <w:rFonts w:eastAsia="Times New Roman"/>
          <w:color w:val="000000"/>
        </w:rPr>
      </w:pPr>
      <w:r w:rsidRPr="005A646D">
        <w:rPr>
          <w:rStyle w:val="contentpasted3"/>
          <w:rFonts w:asciiTheme="minorHAnsi" w:hAnsiTheme="minorHAnsi" w:cstheme="minorBidi"/>
          <w:color w:val="000000"/>
          <w:lang w:eastAsia="en-US"/>
        </w:rPr>
        <w:t>When will Australia reinstate funding to services that focus on women’s rights and to women’s organizations, including to those which focus on the rights of indigenous women</w:t>
      </w:r>
      <w:r w:rsidR="007E7FBD">
        <w:rPr>
          <w:rStyle w:val="contentpasted3"/>
          <w:rFonts w:asciiTheme="minorHAnsi" w:hAnsiTheme="minorHAnsi" w:cstheme="minorBidi"/>
          <w:color w:val="000000"/>
          <w:lang w:eastAsia="en-US"/>
        </w:rPr>
        <w:t xml:space="preserve"> and women with disability</w:t>
      </w:r>
      <w:r w:rsidR="00F35FBB" w:rsidRPr="005A646D">
        <w:rPr>
          <w:rStyle w:val="contentpasted3"/>
          <w:rFonts w:asciiTheme="minorHAnsi" w:hAnsiTheme="minorHAnsi" w:cstheme="minorBidi"/>
          <w:color w:val="000000"/>
          <w:lang w:eastAsia="en-US"/>
        </w:rPr>
        <w:t>?</w:t>
      </w:r>
    </w:p>
    <w:p w14:paraId="4848E220" w14:textId="5381E87B" w:rsidR="006C5B29" w:rsidRDefault="006C5B29" w:rsidP="00F35FBB">
      <w:pPr>
        <w:shd w:val="clear" w:color="auto" w:fill="FFFFFF"/>
        <w:jc w:val="both"/>
        <w:rPr>
          <w:rFonts w:eastAsia="Times New Roman"/>
          <w:color w:val="000000"/>
        </w:rPr>
      </w:pPr>
      <w:r w:rsidRPr="005A646D">
        <w:rPr>
          <w:rFonts w:eastAsia="Times New Roman"/>
          <w:color w:val="000000"/>
        </w:rPr>
        <w:t xml:space="preserve">This action was also recommended by the CEDAW committee in 2018 and has not been implemented. Adequate funding is necessary to ensure protection and awareness of women's rights in Australia, particularly for Indigenous women (who experience high rates of incarceration and who frequently die in </w:t>
      </w:r>
      <w:r w:rsidR="005A646D">
        <w:rPr>
          <w:rFonts w:eastAsia="Times New Roman"/>
          <w:color w:val="000000"/>
        </w:rPr>
        <w:t xml:space="preserve">state </w:t>
      </w:r>
      <w:r w:rsidRPr="005A646D">
        <w:rPr>
          <w:rFonts w:eastAsia="Times New Roman"/>
          <w:color w:val="000000"/>
        </w:rPr>
        <w:t>custody).</w:t>
      </w:r>
      <w:r w:rsidR="00854DEA">
        <w:rPr>
          <w:rFonts w:eastAsia="Times New Roman"/>
          <w:color w:val="000000"/>
        </w:rPr>
        <w:t xml:space="preserve"> See: </w:t>
      </w:r>
      <w:hyperlink r:id="rId6" w:history="1">
        <w:r w:rsidR="00854DEA" w:rsidRPr="00420782">
          <w:rPr>
            <w:rStyle w:val="Hyperlink"/>
            <w:rFonts w:eastAsia="Times New Roman"/>
          </w:rPr>
          <w:t>https://www.theguardian.com/australia-news/2022/dec/20/indigenous-deaths-in-custody-rises-to-516-since-the-1991-royal-commission-report-says</w:t>
        </w:r>
      </w:hyperlink>
      <w:r w:rsidR="00854DEA">
        <w:rPr>
          <w:rFonts w:eastAsia="Times New Roman"/>
          <w:color w:val="000000"/>
        </w:rPr>
        <w:t xml:space="preserve"> </w:t>
      </w:r>
    </w:p>
    <w:p w14:paraId="39C0A50E" w14:textId="335B4968" w:rsidR="007E7FBD" w:rsidRPr="005A646D" w:rsidRDefault="007E7FBD" w:rsidP="00F35FBB">
      <w:pPr>
        <w:shd w:val="clear" w:color="auto" w:fill="FFFFFF"/>
        <w:jc w:val="both"/>
        <w:rPr>
          <w:rFonts w:eastAsia="Times New Roman"/>
          <w:color w:val="000000"/>
        </w:rPr>
      </w:pPr>
      <w:r>
        <w:rPr>
          <w:rFonts w:eastAsia="Times New Roman"/>
          <w:color w:val="000000"/>
        </w:rPr>
        <w:t>The CRPD Committee recommended in 2019 that Australia ‘</w:t>
      </w:r>
      <w:r w:rsidRPr="007E7FBD">
        <w:rPr>
          <w:rFonts w:eastAsia="Times New Roman"/>
          <w:color w:val="000000"/>
        </w:rPr>
        <w:t>Adequately support organizations and networks of women and girls with disabilities, particularly those representing Aboriginal and Torres Strait Islander women and girls with disabilities, to engage in all initiatives to promote gender equality and ensure their effective participation in the development of policies for gender equality and the advancement of women and girls</w:t>
      </w:r>
      <w:r>
        <w:rPr>
          <w:rFonts w:eastAsia="Times New Roman"/>
          <w:color w:val="000000"/>
        </w:rPr>
        <w:t xml:space="preserve">’. </w:t>
      </w:r>
    </w:p>
    <w:p w14:paraId="2F17CAC8" w14:textId="13ABF1BE" w:rsidR="006C5B29" w:rsidRPr="005A646D" w:rsidRDefault="006C5B29" w:rsidP="00F35FBB">
      <w:pPr>
        <w:pStyle w:val="elementtoproof"/>
        <w:numPr>
          <w:ilvl w:val="0"/>
          <w:numId w:val="3"/>
        </w:numPr>
        <w:shd w:val="clear" w:color="auto" w:fill="FFFFFF"/>
        <w:jc w:val="both"/>
        <w:rPr>
          <w:rFonts w:eastAsia="Times New Roman"/>
          <w:color w:val="000000"/>
        </w:rPr>
      </w:pPr>
      <w:r w:rsidRPr="005A646D">
        <w:rPr>
          <w:rFonts w:eastAsia="Times New Roman"/>
          <w:color w:val="000000"/>
        </w:rPr>
        <w:t xml:space="preserve">When and what action will Australia </w:t>
      </w:r>
      <w:r w:rsidRPr="005A646D">
        <w:rPr>
          <w:rStyle w:val="contentpasted4"/>
          <w:rFonts w:asciiTheme="minorHAnsi" w:hAnsiTheme="minorHAnsi" w:cstheme="minorBidi"/>
          <w:color w:val="000000"/>
          <w:lang w:eastAsia="en-US"/>
        </w:rPr>
        <w:t>take to guarantee access to legal and prescribed abortion services and to raise awareness of sexual and reproductive health rights among women and girls, parents, teachers, medical professionals and the general public and create safe zones around abortion clinic</w:t>
      </w:r>
      <w:r w:rsidR="005A646D">
        <w:rPr>
          <w:rStyle w:val="contentpasted4"/>
          <w:rFonts w:asciiTheme="minorHAnsi" w:hAnsiTheme="minorHAnsi" w:cstheme="minorBidi"/>
          <w:color w:val="000000"/>
          <w:lang w:eastAsia="en-US"/>
        </w:rPr>
        <w:t>?</w:t>
      </w:r>
    </w:p>
    <w:p w14:paraId="3ECB1660" w14:textId="5DDEC6B0" w:rsidR="006C5B29" w:rsidRPr="005A646D" w:rsidRDefault="006C5B29" w:rsidP="00F35FBB">
      <w:pPr>
        <w:shd w:val="clear" w:color="auto" w:fill="FFFFFF"/>
        <w:jc w:val="both"/>
        <w:rPr>
          <w:rFonts w:eastAsia="Times New Roman"/>
          <w:color w:val="000000"/>
        </w:rPr>
      </w:pPr>
      <w:r w:rsidRPr="005A646D">
        <w:rPr>
          <w:rFonts w:eastAsia="Times New Roman"/>
          <w:color w:val="000000"/>
        </w:rPr>
        <w:t>Another action recommended by the CEDAW committee in 2018 and as yet not implemented. This requires a review of all state and territory laws, policies and practices regarding abortion, which are currently piecemeal and inconsistent. Education programs are needed to raise awareness of sexual and reproductive health as human rights.</w:t>
      </w:r>
      <w:r w:rsidR="00464A38">
        <w:rPr>
          <w:rFonts w:eastAsia="Times New Roman"/>
          <w:color w:val="000000"/>
        </w:rPr>
        <w:t xml:space="preserve"> See: </w:t>
      </w:r>
      <w:hyperlink r:id="rId7" w:history="1">
        <w:r w:rsidR="00464A38" w:rsidRPr="00420782">
          <w:rPr>
            <w:rStyle w:val="Hyperlink"/>
            <w:rFonts w:eastAsia="Times New Roman"/>
          </w:rPr>
          <w:t>https://www.healthdirect.gov.au/blog/can-i-have-an-abortion-in-australia</w:t>
        </w:r>
      </w:hyperlink>
      <w:r w:rsidR="00464A38">
        <w:rPr>
          <w:rFonts w:eastAsia="Times New Roman"/>
          <w:color w:val="000000"/>
        </w:rPr>
        <w:t xml:space="preserve"> </w:t>
      </w:r>
    </w:p>
    <w:p w14:paraId="102631CD" w14:textId="77777777" w:rsidR="006C5B29" w:rsidRPr="005A646D" w:rsidRDefault="006C5B29" w:rsidP="00F35FBB">
      <w:pPr>
        <w:pStyle w:val="elementtoproof"/>
        <w:numPr>
          <w:ilvl w:val="0"/>
          <w:numId w:val="4"/>
        </w:numPr>
        <w:shd w:val="clear" w:color="auto" w:fill="FFFFFF"/>
        <w:jc w:val="both"/>
        <w:rPr>
          <w:rFonts w:eastAsia="Times New Roman"/>
          <w:color w:val="000000"/>
        </w:rPr>
      </w:pPr>
      <w:r w:rsidRPr="005A646D">
        <w:rPr>
          <w:rStyle w:val="contentpasted5"/>
          <w:rFonts w:asciiTheme="minorHAnsi" w:hAnsiTheme="minorHAnsi" w:cstheme="minorBidi"/>
          <w:color w:val="000000"/>
          <w:lang w:eastAsia="en-US"/>
        </w:rPr>
        <w:lastRenderedPageBreak/>
        <w:t>When will Australia stop offshore processing in Nauru and the processing of asylum claims at sea, and ensure that all women and girls seeking asylum have access to gender-sensitive and fair refugee status determination processes within the territory of the State party and to legal representation and legal remedies?</w:t>
      </w:r>
    </w:p>
    <w:p w14:paraId="16EADAA0" w14:textId="04DFCB94" w:rsidR="00602A19" w:rsidRDefault="006C5B29" w:rsidP="00464A38">
      <w:pPr>
        <w:shd w:val="clear" w:color="auto" w:fill="FFFFFF"/>
        <w:jc w:val="both"/>
        <w:rPr>
          <w:rFonts w:eastAsia="Times New Roman"/>
          <w:color w:val="000000"/>
        </w:rPr>
      </w:pPr>
      <w:r w:rsidRPr="005A646D">
        <w:rPr>
          <w:rFonts w:eastAsia="Times New Roman"/>
          <w:color w:val="000000"/>
        </w:rPr>
        <w:t xml:space="preserve">Another recommendation by the CEDAW committee in 2018, which has not been implemented. Offshore processing continues </w:t>
      </w:r>
      <w:r w:rsidR="009F50CD">
        <w:rPr>
          <w:rFonts w:eastAsia="Times New Roman"/>
          <w:color w:val="000000"/>
        </w:rPr>
        <w:t>in</w:t>
      </w:r>
      <w:r w:rsidRPr="005A646D">
        <w:rPr>
          <w:rFonts w:eastAsia="Times New Roman"/>
          <w:color w:val="000000"/>
        </w:rPr>
        <w:t xml:space="preserve"> Nauru, with serious safety concerns for asylum seekers and particularly girls and women. Access to gender-sensitive health services is limited, placing women and girl's lives at risk.</w:t>
      </w:r>
      <w:r w:rsidR="00464A38">
        <w:rPr>
          <w:rFonts w:eastAsia="Times New Roman"/>
          <w:color w:val="000000"/>
        </w:rPr>
        <w:t xml:space="preserve"> </w:t>
      </w:r>
      <w:r w:rsidR="00777874">
        <w:rPr>
          <w:rFonts w:eastAsia="Times New Roman"/>
          <w:color w:val="000000"/>
        </w:rPr>
        <w:t xml:space="preserve">There are significant concerns about the safety of women and girls in offshore detention, including their exposure to sexual assault and physical harm.  All Australian immigration detention facilities need to be carefully scrutinised, reviewed, monitored and have safeguards put in place to eliminate sexual and gender-based violence. </w:t>
      </w:r>
      <w:r w:rsidR="00464A38">
        <w:rPr>
          <w:rFonts w:eastAsia="Times New Roman"/>
          <w:color w:val="000000"/>
        </w:rPr>
        <w:t xml:space="preserve">See: </w:t>
      </w:r>
      <w:r w:rsidR="00602A19">
        <w:rPr>
          <w:rFonts w:eastAsia="Times New Roman"/>
        </w:rPr>
        <w:fldChar w:fldCharType="begin"/>
      </w:r>
      <w:r w:rsidR="00602A19">
        <w:rPr>
          <w:rFonts w:eastAsia="Times New Roman"/>
        </w:rPr>
        <w:instrText xml:space="preserve"> HYPERLINK "</w:instrText>
      </w:r>
      <w:r w:rsidR="00602A19" w:rsidRPr="007E7FBD">
        <w:rPr>
          <w:rFonts w:eastAsia="Times New Roman"/>
        </w:rPr>
        <w:instrText>https://www.theguardian.com/australia-news/2022/dec/18/hardly-anyone-is-getting-off-despite-labors-promises-refugees-needing-urgent-medical-care-remain-on-nauru</w:instrText>
      </w:r>
      <w:r w:rsidR="00602A19">
        <w:rPr>
          <w:rFonts w:eastAsia="Times New Roman"/>
          <w:color w:val="000000"/>
        </w:rPr>
        <w:instrText xml:space="preserve"> </w:instrText>
      </w:r>
    </w:p>
    <w:p w14:paraId="6CDDBF97" w14:textId="08A908A1" w:rsidR="004D07BA" w:rsidRDefault="00602A19" w:rsidP="004D07BA">
      <w:pPr>
        <w:shd w:val="clear" w:color="auto" w:fill="FFFFFF"/>
        <w:jc w:val="both"/>
        <w:rPr>
          <w:rFonts w:eastAsia="Times New Roman"/>
        </w:rPr>
      </w:pPr>
      <w:r>
        <w:rPr>
          <w:rFonts w:eastAsia="Times New Roman"/>
        </w:rPr>
        <w:instrText xml:space="preserve">" </w:instrText>
      </w:r>
      <w:r>
        <w:rPr>
          <w:rFonts w:eastAsia="Times New Roman"/>
        </w:rPr>
        <w:fldChar w:fldCharType="separate"/>
      </w:r>
      <w:r w:rsidRPr="007E7FBD">
        <w:rPr>
          <w:rStyle w:val="Hyperlink"/>
          <w:rFonts w:eastAsia="Times New Roman"/>
        </w:rPr>
        <w:t>https://www.theguardian.com/australia-news/2022/dec/18/hardly-anyone-is-getting-off-despite-labors-promises-refugees-needing-urgent-medical-care-remain-on-nauru</w:t>
      </w:r>
      <w:r w:rsidRPr="000B16DB">
        <w:rPr>
          <w:rStyle w:val="Hyperlink"/>
          <w:rFonts w:eastAsia="Times New Roman"/>
        </w:rPr>
        <w:t xml:space="preserve"> </w:t>
      </w:r>
      <w:r w:rsidRPr="004D07BA">
        <w:rPr>
          <w:rFonts w:eastAsia="Times New Roman"/>
        </w:rPr>
        <w:fldChar w:fldCharType="end"/>
      </w:r>
    </w:p>
    <w:p w14:paraId="358F915C" w14:textId="2FF0CF38" w:rsidR="007E7FBD" w:rsidRPr="007E7FBD" w:rsidRDefault="007E7FBD" w:rsidP="007E7FBD">
      <w:pPr>
        <w:pStyle w:val="elementtoproof"/>
        <w:numPr>
          <w:ilvl w:val="0"/>
          <w:numId w:val="3"/>
        </w:numPr>
        <w:shd w:val="clear" w:color="auto" w:fill="FFFFFF"/>
        <w:jc w:val="both"/>
        <w:rPr>
          <w:rFonts w:eastAsia="Times New Roman"/>
          <w:color w:val="000000"/>
        </w:rPr>
      </w:pPr>
      <w:r>
        <w:rPr>
          <w:rFonts w:eastAsia="Times New Roman"/>
        </w:rPr>
        <w:t xml:space="preserve">With regard to women who experience multidimensional intersectional disadvantage, what has Australia done to </w:t>
      </w:r>
      <w:r w:rsidRPr="007E7FBD">
        <w:rPr>
          <w:rFonts w:eastAsia="Times New Roman"/>
        </w:rPr>
        <w:t>protect discrimination against intersectional discrimination</w:t>
      </w:r>
      <w:r w:rsidR="00004377">
        <w:rPr>
          <w:rFonts w:eastAsia="Times New Roman"/>
        </w:rPr>
        <w:t>?</w:t>
      </w:r>
    </w:p>
    <w:p w14:paraId="061196D6" w14:textId="4ED06BE2" w:rsidR="00004377" w:rsidRDefault="007E7FBD" w:rsidP="007E7FBD">
      <w:pPr>
        <w:pStyle w:val="elementtoproof"/>
        <w:shd w:val="clear" w:color="auto" w:fill="FFFFFF"/>
        <w:jc w:val="both"/>
        <w:rPr>
          <w:rFonts w:eastAsia="Times New Roman"/>
          <w:color w:val="000000"/>
        </w:rPr>
      </w:pPr>
      <w:r>
        <w:rPr>
          <w:rFonts w:eastAsia="Times New Roman"/>
          <w:color w:val="000000"/>
        </w:rPr>
        <w:t>T</w:t>
      </w:r>
      <w:r w:rsidR="00004377">
        <w:rPr>
          <w:rFonts w:eastAsia="Times New Roman"/>
          <w:color w:val="000000"/>
        </w:rPr>
        <w:t xml:space="preserve">he CRPD Committee in 2019 that Ausrtralia </w:t>
      </w:r>
      <w:r w:rsidR="00005FAD">
        <w:rPr>
          <w:rFonts w:eastAsia="Times New Roman"/>
          <w:color w:val="000000"/>
        </w:rPr>
        <w:t>‘</w:t>
      </w:r>
      <w:r w:rsidR="00005FAD" w:rsidRPr="00005FAD">
        <w:rPr>
          <w:rFonts w:eastAsia="Times New Roman"/>
          <w:color w:val="000000"/>
        </w:rPr>
        <w:t>Address and prohibit systemic, intersectional and multiple forms of discrimination, recognizing discrimination on a single or on multiple and/or intersectional characteristics and allowing for systematic complaints, representative and group actions and sanctions for addressing lack of access and discriminatory behaviour</w:t>
      </w:r>
      <w:r w:rsidR="00005FAD">
        <w:rPr>
          <w:rFonts w:eastAsia="Times New Roman"/>
          <w:color w:val="000000"/>
        </w:rPr>
        <w:t xml:space="preserve">’. As yet this has not been implemented. </w:t>
      </w:r>
    </w:p>
    <w:p w14:paraId="7EA3BB92" w14:textId="4743DE5C" w:rsidR="007E7FBD" w:rsidRDefault="00245876" w:rsidP="007E7FBD">
      <w:pPr>
        <w:pStyle w:val="elementtoproof"/>
        <w:shd w:val="clear" w:color="auto" w:fill="FFFFFF"/>
        <w:jc w:val="both"/>
        <w:rPr>
          <w:rFonts w:eastAsia="Times New Roman"/>
          <w:color w:val="000000"/>
        </w:rPr>
      </w:pPr>
      <w:r>
        <w:rPr>
          <w:rFonts w:eastAsia="Times New Roman"/>
          <w:color w:val="000000"/>
        </w:rPr>
        <w:t xml:space="preserve">Australia should implement </w:t>
      </w:r>
      <w:r w:rsidR="007E7FBD">
        <w:rPr>
          <w:rFonts w:eastAsia="Times New Roman"/>
          <w:color w:val="000000"/>
        </w:rPr>
        <w:t xml:space="preserve">the reform proposals made by the Australian Human Rights Commission in </w:t>
      </w:r>
      <w:r w:rsidR="007E7FBD" w:rsidRPr="007E7FBD">
        <w:rPr>
          <w:rFonts w:eastAsia="Times New Roman"/>
          <w:i/>
          <w:iCs/>
          <w:color w:val="000000"/>
        </w:rPr>
        <w:t>Free and Equal: A reform agenda for federal discrimination laws</w:t>
      </w:r>
      <w:r w:rsidR="007E7FBD">
        <w:rPr>
          <w:rFonts w:eastAsia="Times New Roman"/>
          <w:color w:val="000000"/>
        </w:rPr>
        <w:t xml:space="preserve"> (2021) that discrimination laws should be intersectional, remedial and preventative. In particular, </w:t>
      </w:r>
      <w:r w:rsidR="002F4110">
        <w:rPr>
          <w:rFonts w:eastAsia="Times New Roman"/>
          <w:color w:val="000000"/>
        </w:rPr>
        <w:t xml:space="preserve">in amending federal discrimination laws, </w:t>
      </w:r>
      <w:r w:rsidR="00E82B78">
        <w:rPr>
          <w:rFonts w:eastAsia="Times New Roman"/>
          <w:color w:val="000000"/>
        </w:rPr>
        <w:t>that ‘</w:t>
      </w:r>
      <w:r w:rsidR="007E7FBD" w:rsidRPr="007E7FBD">
        <w:rPr>
          <w:rFonts w:eastAsia="Times New Roman"/>
          <w:color w:val="000000"/>
        </w:rPr>
        <w:t>any revised definition of discrimination should ensure that multiple and overlapping grounds of discrimination</w:t>
      </w:r>
      <w:r w:rsidR="003225C8">
        <w:rPr>
          <w:rFonts w:eastAsia="Times New Roman"/>
          <w:color w:val="000000"/>
        </w:rPr>
        <w:t xml:space="preserve"> </w:t>
      </w:r>
      <w:r w:rsidR="007E7FBD" w:rsidRPr="007E7FBD">
        <w:rPr>
          <w:rFonts w:eastAsia="Times New Roman"/>
          <w:color w:val="000000"/>
        </w:rPr>
        <w:t>are recognised</w:t>
      </w:r>
      <w:r w:rsidR="007B1997">
        <w:rPr>
          <w:rFonts w:eastAsia="Times New Roman"/>
          <w:color w:val="000000"/>
        </w:rPr>
        <w:t>’</w:t>
      </w:r>
      <w:r w:rsidR="003225C8">
        <w:rPr>
          <w:rFonts w:eastAsia="Times New Roman"/>
          <w:color w:val="000000"/>
        </w:rPr>
        <w:t xml:space="preserve"> (p 303).</w:t>
      </w:r>
      <w:r w:rsidR="00DB5A01">
        <w:rPr>
          <w:rFonts w:eastAsia="Times New Roman"/>
          <w:color w:val="000000"/>
        </w:rPr>
        <w:t xml:space="preserve"> </w:t>
      </w:r>
    </w:p>
    <w:p w14:paraId="3379E53D" w14:textId="48CB063A" w:rsidR="00DB5A01" w:rsidRPr="005A646D" w:rsidRDefault="00DB5A01" w:rsidP="00DB5A01">
      <w:pPr>
        <w:shd w:val="clear" w:color="auto" w:fill="FFFFFF"/>
        <w:jc w:val="both"/>
        <w:rPr>
          <w:rFonts w:eastAsia="Times New Roman"/>
          <w:color w:val="000000"/>
        </w:rPr>
      </w:pPr>
      <w:r>
        <w:rPr>
          <w:rFonts w:eastAsia="Times New Roman"/>
          <w:color w:val="000000"/>
        </w:rPr>
        <w:t>Related</w:t>
      </w:r>
      <w:r w:rsidR="0022467F">
        <w:rPr>
          <w:rFonts w:eastAsia="Times New Roman"/>
          <w:color w:val="000000"/>
        </w:rPr>
        <w:t xml:space="preserve"> to question (1) above</w:t>
      </w:r>
      <w:r>
        <w:rPr>
          <w:rFonts w:eastAsia="Times New Roman"/>
          <w:color w:val="000000"/>
        </w:rPr>
        <w:t>,</w:t>
      </w:r>
      <w:r w:rsidR="0022467F">
        <w:rPr>
          <w:rFonts w:eastAsia="Times New Roman"/>
          <w:color w:val="000000"/>
        </w:rPr>
        <w:t xml:space="preserve"> </w:t>
      </w:r>
      <w:r>
        <w:rPr>
          <w:rStyle w:val="Hyperlink"/>
          <w:rFonts w:eastAsia="Times New Roman"/>
        </w:rPr>
        <w:t>Australia should adopt a federal charter of rights that</w:t>
      </w:r>
      <w:r w:rsidR="004B0534">
        <w:rPr>
          <w:rStyle w:val="Hyperlink"/>
          <w:rFonts w:eastAsia="Times New Roman"/>
        </w:rPr>
        <w:t xml:space="preserve"> is intersectional:</w:t>
      </w:r>
      <w:r>
        <w:rPr>
          <w:rStyle w:val="Hyperlink"/>
          <w:rFonts w:eastAsia="Times New Roman"/>
        </w:rPr>
        <w:t xml:space="preserve"> </w:t>
      </w:r>
      <w:r w:rsidR="002F4110">
        <w:rPr>
          <w:rStyle w:val="Hyperlink"/>
          <w:rFonts w:eastAsia="Times New Roman"/>
        </w:rPr>
        <w:t xml:space="preserve">namely, that it </w:t>
      </w:r>
      <w:r>
        <w:rPr>
          <w:rStyle w:val="Hyperlink"/>
          <w:rFonts w:eastAsia="Times New Roman"/>
        </w:rPr>
        <w:t>pro</w:t>
      </w:r>
      <w:r w:rsidR="00F836ED">
        <w:rPr>
          <w:rStyle w:val="Hyperlink"/>
          <w:rFonts w:eastAsia="Times New Roman"/>
        </w:rPr>
        <w:t>actively protects the full suite of human rights of women across the core international human rights instruments</w:t>
      </w:r>
      <w:r w:rsidR="004B0534">
        <w:rPr>
          <w:rStyle w:val="Hyperlink"/>
          <w:rFonts w:eastAsia="Times New Roman"/>
        </w:rPr>
        <w:t xml:space="preserve">. </w:t>
      </w:r>
      <w:r w:rsidR="002F4110">
        <w:rPr>
          <w:rStyle w:val="Hyperlink"/>
          <w:rFonts w:eastAsia="Times New Roman"/>
        </w:rPr>
        <w:t>Further, th</w:t>
      </w:r>
      <w:r w:rsidR="004B0534">
        <w:rPr>
          <w:rStyle w:val="Hyperlink"/>
          <w:rFonts w:eastAsia="Times New Roman"/>
        </w:rPr>
        <w:t>e charter should be</w:t>
      </w:r>
      <w:r w:rsidR="00F836ED">
        <w:rPr>
          <w:rStyle w:val="Hyperlink"/>
          <w:rFonts w:eastAsia="Times New Roman"/>
        </w:rPr>
        <w:t xml:space="preserve"> remedial and preventative</w:t>
      </w:r>
      <w:r w:rsidR="004B0534">
        <w:rPr>
          <w:rStyle w:val="Hyperlink"/>
          <w:rFonts w:eastAsia="Times New Roman"/>
        </w:rPr>
        <w:t>.</w:t>
      </w:r>
    </w:p>
    <w:p w14:paraId="59E2D496" w14:textId="2A970E1A" w:rsidR="00DB5A01" w:rsidRDefault="00777874" w:rsidP="00777874">
      <w:pPr>
        <w:pStyle w:val="elementtoproof"/>
        <w:numPr>
          <w:ilvl w:val="0"/>
          <w:numId w:val="3"/>
        </w:numPr>
        <w:shd w:val="clear" w:color="auto" w:fill="FFFFFF"/>
        <w:jc w:val="both"/>
        <w:rPr>
          <w:rFonts w:eastAsia="Times New Roman"/>
          <w:color w:val="000000"/>
        </w:rPr>
      </w:pPr>
      <w:r>
        <w:rPr>
          <w:rFonts w:eastAsia="Times New Roman"/>
          <w:color w:val="000000"/>
        </w:rPr>
        <w:t xml:space="preserve">Women and girls, as mothers, aunts, nieces, daughters, grandmothers and cousins are often adversely affected by the deportation of </w:t>
      </w:r>
      <w:r w:rsidR="009F50CD">
        <w:rPr>
          <w:rFonts w:eastAsia="Times New Roman"/>
          <w:color w:val="000000"/>
        </w:rPr>
        <w:t xml:space="preserve">people </w:t>
      </w:r>
      <w:r>
        <w:rPr>
          <w:rFonts w:eastAsia="Times New Roman"/>
          <w:color w:val="000000"/>
        </w:rPr>
        <w:t xml:space="preserve">from Australia on character grounds.  What is the Australian Government doing to assist the families of </w:t>
      </w:r>
      <w:r w:rsidR="009F50CD">
        <w:rPr>
          <w:rFonts w:eastAsia="Times New Roman"/>
          <w:color w:val="000000"/>
        </w:rPr>
        <w:t>people</w:t>
      </w:r>
      <w:r>
        <w:rPr>
          <w:rFonts w:eastAsia="Times New Roman"/>
          <w:color w:val="000000"/>
        </w:rPr>
        <w:t xml:space="preserve"> deported from Australia on character grounds under ss 116 or 501 of the </w:t>
      </w:r>
      <w:r w:rsidRPr="009F50CD">
        <w:rPr>
          <w:rFonts w:eastAsia="Times New Roman"/>
          <w:i/>
          <w:iCs/>
          <w:color w:val="000000"/>
        </w:rPr>
        <w:t xml:space="preserve">Migration Act 1958 </w:t>
      </w:r>
      <w:r>
        <w:rPr>
          <w:rFonts w:eastAsia="Times New Roman"/>
          <w:color w:val="000000"/>
        </w:rPr>
        <w:t>(Cth)?</w:t>
      </w:r>
    </w:p>
    <w:p w14:paraId="77489373" w14:textId="7DC4296B" w:rsidR="009F50CD" w:rsidRDefault="009F50CD" w:rsidP="009F50CD">
      <w:pPr>
        <w:suppressAutoHyphens/>
        <w:spacing w:after="0" w:line="276" w:lineRule="auto"/>
        <w:jc w:val="both"/>
        <w:rPr>
          <w:rFonts w:cstheme="minorHAnsi"/>
        </w:rPr>
      </w:pPr>
      <w:r w:rsidRPr="009F50CD">
        <w:rPr>
          <w:rFonts w:cstheme="minorHAnsi"/>
        </w:rPr>
        <w:t xml:space="preserve">Article 23 of the International Covenant on Civil and Political Rights recognizes that the family is the natural and fundamental group unit of society and is entitled to protection by society and the State. Protection of the family and its members is also guaranteed, directly or indirectly, by other provisions of the Covenant. Thus, article 17 establishes a prohibition on arbitrary or unlawful interference with the family (CCPR General Comment No. 19: </w:t>
      </w:r>
      <w:r w:rsidRPr="009F50CD">
        <w:rPr>
          <w:rFonts w:cstheme="minorHAnsi"/>
          <w:i/>
          <w:iCs/>
        </w:rPr>
        <w:t>Article 23 (The Family) Protection of the Family</w:t>
      </w:r>
      <w:r w:rsidRPr="009F50CD">
        <w:rPr>
          <w:rFonts w:cstheme="minorHAnsi"/>
        </w:rPr>
        <w:t xml:space="preserve">). </w:t>
      </w:r>
      <w:r>
        <w:rPr>
          <w:rFonts w:cstheme="minorHAnsi"/>
        </w:rPr>
        <w:t xml:space="preserve"> </w:t>
      </w:r>
      <w:r w:rsidRPr="009F50CD">
        <w:rPr>
          <w:rFonts w:cstheme="minorHAnsi"/>
        </w:rPr>
        <w:t xml:space="preserve">The expression “arbitrary interference” is also relevant to the protection of the right provided for in article 17. In the Committee’s view the expression “arbitrary interference” can also extend to interference provided for under the law. The introduction of the concept of arbitrariness is intended to guarantee that even interference provided for by law should be in accordance with the provisions, aims and objectives of the Covenant and should be, in any event, reasonable in the particular circumstances </w:t>
      </w:r>
      <w:r w:rsidRPr="009F50CD">
        <w:rPr>
          <w:rFonts w:cstheme="minorHAnsi"/>
        </w:rPr>
        <w:lastRenderedPageBreak/>
        <w:t>(CCPR General Comment No. 16: Article 17 (</w:t>
      </w:r>
      <w:r w:rsidRPr="009F50CD">
        <w:rPr>
          <w:rFonts w:cstheme="minorHAnsi"/>
          <w:i/>
          <w:iCs/>
        </w:rPr>
        <w:t>Right to Privacy) The Right to Respect of Privacy, Family, Home and Correspondence</w:t>
      </w:r>
      <w:r w:rsidRPr="009F50CD">
        <w:rPr>
          <w:rFonts w:cstheme="minorHAnsi"/>
        </w:rPr>
        <w:t>, and Protection of Honour and Reputation, paragraph 4).</w:t>
      </w:r>
    </w:p>
    <w:p w14:paraId="6975FA82" w14:textId="77777777" w:rsidR="009F50CD" w:rsidRPr="009F50CD" w:rsidRDefault="009F50CD" w:rsidP="009F50CD">
      <w:pPr>
        <w:suppressAutoHyphens/>
        <w:spacing w:after="0" w:line="276" w:lineRule="auto"/>
        <w:rPr>
          <w:rFonts w:cstheme="minorHAnsi"/>
          <w:sz w:val="24"/>
          <w:szCs w:val="24"/>
        </w:rPr>
      </w:pPr>
    </w:p>
    <w:p w14:paraId="7E7399EA" w14:textId="114D7937" w:rsidR="009F50CD" w:rsidRPr="009F50CD" w:rsidRDefault="009F50CD" w:rsidP="009F50CD">
      <w:pPr>
        <w:autoSpaceDE w:val="0"/>
        <w:autoSpaceDN w:val="0"/>
        <w:adjustRightInd w:val="0"/>
        <w:spacing w:line="276" w:lineRule="auto"/>
        <w:contextualSpacing/>
        <w:jc w:val="both"/>
        <w:rPr>
          <w:rFonts w:cstheme="minorHAnsi"/>
          <w:szCs w:val="20"/>
          <w:lang w:val="en-GB"/>
        </w:rPr>
      </w:pPr>
      <w:r>
        <w:rPr>
          <w:rFonts w:cstheme="minorHAnsi"/>
        </w:rPr>
        <w:t xml:space="preserve">When people are deported from Australia on character grounds under sections 116 or 501 of the Migration Act 1958 (Cth), the Australian Government does nothing to support the families left behind.  This is a </w:t>
      </w:r>
      <w:r w:rsidRPr="009F50CD">
        <w:rPr>
          <w:rFonts w:cstheme="minorHAnsi"/>
          <w:szCs w:val="20"/>
          <w:lang w:val="en-GB"/>
        </w:rPr>
        <w:t xml:space="preserve">clear violation of Article 23 of the Covenant and an attack on family life. </w:t>
      </w:r>
      <w:r>
        <w:rPr>
          <w:rFonts w:cstheme="minorHAnsi"/>
          <w:szCs w:val="20"/>
          <w:lang w:val="en-GB"/>
        </w:rPr>
        <w:t xml:space="preserve"> </w:t>
      </w:r>
      <w:r>
        <w:rPr>
          <w:rFonts w:eastAsia="Times New Roman"/>
          <w:color w:val="000000"/>
        </w:rPr>
        <w:t xml:space="preserve">What is the Australian Government doing to assist the families of </w:t>
      </w:r>
      <w:r>
        <w:rPr>
          <w:rFonts w:eastAsia="Times New Roman"/>
          <w:color w:val="000000"/>
        </w:rPr>
        <w:t>people</w:t>
      </w:r>
      <w:r>
        <w:rPr>
          <w:rFonts w:eastAsia="Times New Roman"/>
          <w:color w:val="000000"/>
        </w:rPr>
        <w:t xml:space="preserve"> deported from Australia on character grounds under ss 116 or 501 of the </w:t>
      </w:r>
      <w:r w:rsidRPr="009F50CD">
        <w:rPr>
          <w:rFonts w:eastAsia="Times New Roman"/>
          <w:i/>
          <w:iCs/>
          <w:color w:val="000000"/>
        </w:rPr>
        <w:t xml:space="preserve">Migration Act 1958 </w:t>
      </w:r>
      <w:r>
        <w:rPr>
          <w:rFonts w:eastAsia="Times New Roman"/>
          <w:color w:val="000000"/>
        </w:rPr>
        <w:t>(Cth)?</w:t>
      </w:r>
    </w:p>
    <w:p w14:paraId="4FF4DDD7" w14:textId="33E4968D" w:rsidR="009F50CD" w:rsidRDefault="009F50CD" w:rsidP="009F50CD">
      <w:pPr>
        <w:suppressAutoHyphens/>
        <w:spacing w:after="0" w:line="276" w:lineRule="auto"/>
        <w:rPr>
          <w:rFonts w:cstheme="minorHAnsi"/>
        </w:rPr>
      </w:pPr>
    </w:p>
    <w:p w14:paraId="154C76B3" w14:textId="1891A03E" w:rsidR="00777874" w:rsidRDefault="00777874" w:rsidP="00777874">
      <w:pPr>
        <w:pStyle w:val="elementtoproof"/>
        <w:shd w:val="clear" w:color="auto" w:fill="FFFFFF"/>
        <w:jc w:val="both"/>
        <w:rPr>
          <w:rFonts w:eastAsia="Times New Roman"/>
          <w:color w:val="000000"/>
        </w:rPr>
      </w:pPr>
    </w:p>
    <w:p w14:paraId="25BD3C32" w14:textId="77777777" w:rsidR="009F50CD" w:rsidRDefault="009F50CD" w:rsidP="009F50CD">
      <w:pPr>
        <w:pStyle w:val="elementtoproof"/>
        <w:shd w:val="clear" w:color="auto" w:fill="FFFFFF"/>
        <w:spacing w:before="0" w:beforeAutospacing="0" w:after="0" w:afterAutospacing="0"/>
        <w:jc w:val="both"/>
        <w:rPr>
          <w:rFonts w:eastAsia="Times New Roman"/>
          <w:color w:val="000000"/>
        </w:rPr>
      </w:pPr>
    </w:p>
    <w:p w14:paraId="08C651BB" w14:textId="15064B9E" w:rsidR="009F50CD" w:rsidRDefault="009F50CD" w:rsidP="009F50CD">
      <w:pPr>
        <w:pStyle w:val="elementtoproof"/>
        <w:shd w:val="clear" w:color="auto" w:fill="FFFFFF"/>
        <w:spacing w:before="0" w:beforeAutospacing="0" w:after="0" w:afterAutospacing="0"/>
        <w:jc w:val="both"/>
        <w:rPr>
          <w:rFonts w:eastAsia="Times New Roman"/>
          <w:color w:val="000000"/>
        </w:rPr>
      </w:pPr>
      <w:r>
        <w:rPr>
          <w:rFonts w:eastAsia="Times New Roman"/>
          <w:color w:val="000000"/>
        </w:rPr>
        <w:t>Dr Bill Swannie</w:t>
      </w:r>
    </w:p>
    <w:p w14:paraId="2D8FB109" w14:textId="76D2CDE4" w:rsidR="009F50CD" w:rsidRDefault="009F50CD" w:rsidP="009F50CD">
      <w:pPr>
        <w:pStyle w:val="elementtoproof"/>
        <w:shd w:val="clear" w:color="auto" w:fill="FFFFFF"/>
        <w:spacing w:before="0" w:beforeAutospacing="0" w:after="0" w:afterAutospacing="0"/>
        <w:jc w:val="both"/>
        <w:rPr>
          <w:rFonts w:eastAsia="Times New Roman"/>
          <w:color w:val="000000"/>
        </w:rPr>
      </w:pPr>
      <w:r>
        <w:rPr>
          <w:rFonts w:eastAsia="Times New Roman"/>
          <w:color w:val="000000"/>
        </w:rPr>
        <w:t>Dr Sevda Clark</w:t>
      </w:r>
    </w:p>
    <w:p w14:paraId="10319533" w14:textId="7ABA6886" w:rsidR="009F50CD" w:rsidRDefault="009F50CD" w:rsidP="009F50CD">
      <w:pPr>
        <w:pStyle w:val="elementtoproof"/>
        <w:shd w:val="clear" w:color="auto" w:fill="FFFFFF"/>
        <w:spacing w:before="0" w:beforeAutospacing="0" w:after="0" w:afterAutospacing="0"/>
        <w:jc w:val="both"/>
        <w:rPr>
          <w:rFonts w:eastAsia="Times New Roman"/>
          <w:color w:val="000000"/>
        </w:rPr>
      </w:pPr>
      <w:r>
        <w:rPr>
          <w:rFonts w:eastAsia="Times New Roman"/>
          <w:color w:val="000000"/>
        </w:rPr>
        <w:t>Professor Patrick Keyzer</w:t>
      </w:r>
    </w:p>
    <w:p w14:paraId="28104D9F" w14:textId="2C7314AB" w:rsidR="009F50CD" w:rsidRDefault="009F50CD" w:rsidP="009F50CD">
      <w:pPr>
        <w:pStyle w:val="elementtoproof"/>
        <w:shd w:val="clear" w:color="auto" w:fill="FFFFFF"/>
        <w:spacing w:before="0" w:beforeAutospacing="0" w:after="0" w:afterAutospacing="0"/>
        <w:jc w:val="both"/>
        <w:rPr>
          <w:rFonts w:eastAsia="Times New Roman"/>
          <w:color w:val="000000"/>
        </w:rPr>
      </w:pPr>
      <w:r>
        <w:rPr>
          <w:rFonts w:eastAsia="Times New Roman"/>
          <w:color w:val="000000"/>
        </w:rPr>
        <w:t>Dr Perla Guarneros-Sanchez</w:t>
      </w:r>
    </w:p>
    <w:p w14:paraId="55ECAA7A" w14:textId="77777777" w:rsidR="009F50CD" w:rsidRDefault="009F50CD" w:rsidP="009F50CD">
      <w:pPr>
        <w:pStyle w:val="elementtoproof"/>
        <w:shd w:val="clear" w:color="auto" w:fill="FFFFFF"/>
        <w:spacing w:before="0" w:beforeAutospacing="0" w:after="0" w:afterAutospacing="0"/>
        <w:jc w:val="both"/>
        <w:rPr>
          <w:rFonts w:eastAsia="Times New Roman"/>
          <w:color w:val="000000"/>
        </w:rPr>
      </w:pPr>
    </w:p>
    <w:p w14:paraId="5C48D1F1" w14:textId="4DA79D69" w:rsidR="009F50CD" w:rsidRPr="007E7FBD" w:rsidRDefault="009F50CD" w:rsidP="009F50CD">
      <w:pPr>
        <w:pStyle w:val="elementtoproof"/>
        <w:shd w:val="clear" w:color="auto" w:fill="FFFFFF"/>
        <w:spacing w:before="0" w:beforeAutospacing="0" w:after="0" w:afterAutospacing="0"/>
        <w:jc w:val="both"/>
        <w:rPr>
          <w:rFonts w:eastAsia="Times New Roman"/>
          <w:color w:val="000000"/>
        </w:rPr>
      </w:pPr>
      <w:r>
        <w:rPr>
          <w:rFonts w:eastAsia="Times New Roman"/>
          <w:color w:val="000000"/>
        </w:rPr>
        <w:t xml:space="preserve">THOMAS MORE LAW SCHOOL, AUSTRALIAN CATHOLIC UNIVERSITY </w:t>
      </w:r>
    </w:p>
    <w:sectPr w:rsidR="009F50CD" w:rsidRPr="007E7F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Noto Serif CJK SC">
    <w:altName w:val="Times New Roman"/>
    <w:charset w:val="01"/>
    <w:family w:val="auto"/>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C5725"/>
    <w:multiLevelType w:val="multilevel"/>
    <w:tmpl w:val="C174FF42"/>
    <w:lvl w:ilvl="0">
      <w:start w:val="4"/>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15:restartNumberingAfterBreak="0">
    <w:nsid w:val="13431DBA"/>
    <w:multiLevelType w:val="multilevel"/>
    <w:tmpl w:val="582285D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 w15:restartNumberingAfterBreak="0">
    <w:nsid w:val="2A9B2B23"/>
    <w:multiLevelType w:val="multilevel"/>
    <w:tmpl w:val="2384FA0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 w15:restartNumberingAfterBreak="0">
    <w:nsid w:val="3B0869C5"/>
    <w:multiLevelType w:val="multilevel"/>
    <w:tmpl w:val="E3722CC8"/>
    <w:lvl w:ilvl="0">
      <w:start w:val="2"/>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 w15:restartNumberingAfterBreak="0">
    <w:nsid w:val="503B2C7A"/>
    <w:multiLevelType w:val="multilevel"/>
    <w:tmpl w:val="20608CBC"/>
    <w:lvl w:ilvl="0">
      <w:start w:val="3"/>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5" w15:restartNumberingAfterBreak="0">
    <w:nsid w:val="5C2666F2"/>
    <w:multiLevelType w:val="multilevel"/>
    <w:tmpl w:val="2384FA0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6" w15:restartNumberingAfterBreak="0">
    <w:nsid w:val="67FC7807"/>
    <w:multiLevelType w:val="hybridMultilevel"/>
    <w:tmpl w:val="EACA09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B29"/>
    <w:rsid w:val="00004377"/>
    <w:rsid w:val="00005FAD"/>
    <w:rsid w:val="0022467F"/>
    <w:rsid w:val="00245876"/>
    <w:rsid w:val="002835AA"/>
    <w:rsid w:val="002C5439"/>
    <w:rsid w:val="002F4110"/>
    <w:rsid w:val="003225C8"/>
    <w:rsid w:val="00464A38"/>
    <w:rsid w:val="004B0534"/>
    <w:rsid w:val="004C0FA5"/>
    <w:rsid w:val="004D07BA"/>
    <w:rsid w:val="004F0EA6"/>
    <w:rsid w:val="005A646D"/>
    <w:rsid w:val="005D0F58"/>
    <w:rsid w:val="00602A19"/>
    <w:rsid w:val="00605AE4"/>
    <w:rsid w:val="006C1226"/>
    <w:rsid w:val="006C5B29"/>
    <w:rsid w:val="007316FB"/>
    <w:rsid w:val="00777874"/>
    <w:rsid w:val="007B1997"/>
    <w:rsid w:val="007E7FBD"/>
    <w:rsid w:val="00854DEA"/>
    <w:rsid w:val="0095475D"/>
    <w:rsid w:val="009F50CD"/>
    <w:rsid w:val="00DB5A01"/>
    <w:rsid w:val="00E40E5E"/>
    <w:rsid w:val="00E41277"/>
    <w:rsid w:val="00E82B78"/>
    <w:rsid w:val="00F02501"/>
    <w:rsid w:val="00F061B7"/>
    <w:rsid w:val="00F35FBB"/>
    <w:rsid w:val="00F836E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8218D"/>
  <w15:chartTrackingRefBased/>
  <w15:docId w15:val="{E6ADD51B-8F68-4CFB-A205-A0E076E0C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5B29"/>
    <w:rPr>
      <w:color w:val="0000FF"/>
      <w:u w:val="single"/>
    </w:rPr>
  </w:style>
  <w:style w:type="paragraph" w:customStyle="1" w:styleId="elementtoproof">
    <w:name w:val="elementtoproof"/>
    <w:basedOn w:val="Normal"/>
    <w:rsid w:val="006C5B29"/>
    <w:pPr>
      <w:spacing w:before="100" w:beforeAutospacing="1" w:after="100" w:afterAutospacing="1" w:line="240" w:lineRule="auto"/>
    </w:pPr>
    <w:rPr>
      <w:rFonts w:ascii="Calibri" w:hAnsi="Calibri" w:cs="Calibri"/>
      <w:lang w:eastAsia="en-AU"/>
    </w:rPr>
  </w:style>
  <w:style w:type="character" w:customStyle="1" w:styleId="contentpasted0">
    <w:name w:val="contentpasted0"/>
    <w:basedOn w:val="DefaultParagraphFont"/>
    <w:rsid w:val="006C5B29"/>
  </w:style>
  <w:style w:type="character" w:customStyle="1" w:styleId="contentpasted3">
    <w:name w:val="contentpasted3"/>
    <w:basedOn w:val="DefaultParagraphFont"/>
    <w:rsid w:val="006C5B29"/>
  </w:style>
  <w:style w:type="character" w:customStyle="1" w:styleId="contentpasted4">
    <w:name w:val="contentpasted4"/>
    <w:basedOn w:val="DefaultParagraphFont"/>
    <w:rsid w:val="006C5B29"/>
  </w:style>
  <w:style w:type="character" w:customStyle="1" w:styleId="contentpasted5">
    <w:name w:val="contentpasted5"/>
    <w:basedOn w:val="DefaultParagraphFont"/>
    <w:rsid w:val="006C5B29"/>
  </w:style>
  <w:style w:type="character" w:styleId="UnresolvedMention">
    <w:name w:val="Unresolved Mention"/>
    <w:basedOn w:val="DefaultParagraphFont"/>
    <w:uiPriority w:val="99"/>
    <w:semiHidden/>
    <w:unhideWhenUsed/>
    <w:rsid w:val="00464A38"/>
    <w:rPr>
      <w:color w:val="605E5C"/>
      <w:shd w:val="clear" w:color="auto" w:fill="E1DFDD"/>
    </w:rPr>
  </w:style>
  <w:style w:type="character" w:styleId="CommentReference">
    <w:name w:val="annotation reference"/>
    <w:basedOn w:val="DefaultParagraphFont"/>
    <w:uiPriority w:val="99"/>
    <w:semiHidden/>
    <w:unhideWhenUsed/>
    <w:rsid w:val="00E40E5E"/>
    <w:rPr>
      <w:sz w:val="16"/>
      <w:szCs w:val="16"/>
    </w:rPr>
  </w:style>
  <w:style w:type="paragraph" w:styleId="CommentText">
    <w:name w:val="annotation text"/>
    <w:basedOn w:val="Normal"/>
    <w:link w:val="CommentTextChar"/>
    <w:uiPriority w:val="99"/>
    <w:semiHidden/>
    <w:unhideWhenUsed/>
    <w:rsid w:val="00E40E5E"/>
    <w:pPr>
      <w:spacing w:line="240" w:lineRule="auto"/>
    </w:pPr>
    <w:rPr>
      <w:sz w:val="20"/>
      <w:szCs w:val="20"/>
    </w:rPr>
  </w:style>
  <w:style w:type="character" w:customStyle="1" w:styleId="CommentTextChar">
    <w:name w:val="Comment Text Char"/>
    <w:basedOn w:val="DefaultParagraphFont"/>
    <w:link w:val="CommentText"/>
    <w:uiPriority w:val="99"/>
    <w:semiHidden/>
    <w:rsid w:val="00E40E5E"/>
    <w:rPr>
      <w:sz w:val="20"/>
      <w:szCs w:val="20"/>
    </w:rPr>
  </w:style>
  <w:style w:type="paragraph" w:styleId="CommentSubject">
    <w:name w:val="annotation subject"/>
    <w:basedOn w:val="CommentText"/>
    <w:next w:val="CommentText"/>
    <w:link w:val="CommentSubjectChar"/>
    <w:uiPriority w:val="99"/>
    <w:semiHidden/>
    <w:unhideWhenUsed/>
    <w:rsid w:val="00E40E5E"/>
    <w:rPr>
      <w:b/>
      <w:bCs/>
    </w:rPr>
  </w:style>
  <w:style w:type="character" w:customStyle="1" w:styleId="CommentSubjectChar">
    <w:name w:val="Comment Subject Char"/>
    <w:basedOn w:val="CommentTextChar"/>
    <w:link w:val="CommentSubject"/>
    <w:uiPriority w:val="99"/>
    <w:semiHidden/>
    <w:rsid w:val="00E40E5E"/>
    <w:rPr>
      <w:b/>
      <w:bCs/>
      <w:sz w:val="20"/>
      <w:szCs w:val="20"/>
    </w:rPr>
  </w:style>
  <w:style w:type="character" w:styleId="FollowedHyperlink">
    <w:name w:val="FollowedHyperlink"/>
    <w:basedOn w:val="DefaultParagraphFont"/>
    <w:uiPriority w:val="99"/>
    <w:semiHidden/>
    <w:unhideWhenUsed/>
    <w:rsid w:val="004D07BA"/>
    <w:rPr>
      <w:color w:val="954F72" w:themeColor="followedHyperlink"/>
      <w:u w:val="single"/>
    </w:rPr>
  </w:style>
  <w:style w:type="character" w:customStyle="1" w:styleId="contentpasted1">
    <w:name w:val="contentpasted1"/>
    <w:basedOn w:val="DefaultParagraphFont"/>
    <w:rsid w:val="004D07BA"/>
  </w:style>
  <w:style w:type="paragraph" w:styleId="ListParagraph">
    <w:name w:val="List Paragraph"/>
    <w:basedOn w:val="Normal"/>
    <w:uiPriority w:val="34"/>
    <w:qFormat/>
    <w:rsid w:val="009F50CD"/>
    <w:pPr>
      <w:suppressAutoHyphens/>
      <w:spacing w:after="0" w:line="240" w:lineRule="auto"/>
      <w:ind w:left="720"/>
    </w:pPr>
    <w:rPr>
      <w:rFonts w:ascii="Liberation Serif" w:eastAsia="Noto Serif CJK SC" w:hAnsi="Liberation Serif" w:cs="Mangal"/>
      <w:kern w:val="2"/>
      <w:sz w:val="24"/>
      <w:szCs w:val="21"/>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7895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ealthdirect.gov.au/blog/can-i-have-an-abortion-in-austral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australia-news/2022/dec/20/indigenous-deaths-in-custody-rises-to-516-since-the-1991-royal-commission-report-says" TargetMode="External"/><Relationship Id="rId5" Type="http://schemas.openxmlformats.org/officeDocument/2006/relationships/hyperlink" Target="https://fromtheheart.com.au/what-is-a-voice-to-parliamen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1194</Words>
  <Characters>6809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Swannie</dc:creator>
  <cp:keywords/>
  <dc:description/>
  <cp:lastModifiedBy>Patrick Keyzer</cp:lastModifiedBy>
  <cp:revision>4</cp:revision>
  <dcterms:created xsi:type="dcterms:W3CDTF">2023-01-30T07:56:00Z</dcterms:created>
  <dcterms:modified xsi:type="dcterms:W3CDTF">2023-01-30T09:11:00Z</dcterms:modified>
</cp:coreProperties>
</file>