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55116" w14:textId="77777777" w:rsidR="00F17C29" w:rsidRDefault="00F17C29">
      <w:pPr>
        <w:spacing w:before="1200"/>
      </w:pPr>
    </w:p>
    <w:p w14:paraId="21C4BA3F" w14:textId="77777777" w:rsidR="00F17C29" w:rsidRDefault="00B434B2">
      <w:pPr>
        <w:spacing w:after="300"/>
        <w:jc w:val="center"/>
      </w:pPr>
      <w:r>
        <w:rPr>
          <w:rFonts w:ascii="Calibri" w:eastAsia="Calibri" w:hAnsi="Calibri" w:cs="Calibri"/>
          <w:b/>
          <w:bCs/>
          <w:color w:val="1F3864"/>
          <w:sz w:val="40"/>
          <w:szCs w:val="40"/>
        </w:rPr>
        <w:t>ALTERNATIVE REPORT (SHADOW REPORT)</w:t>
      </w:r>
    </w:p>
    <w:p w14:paraId="1329C31A" w14:textId="77777777" w:rsidR="00F17C29" w:rsidRDefault="00B434B2">
      <w:pPr>
        <w:spacing w:after="200"/>
        <w:jc w:val="center"/>
      </w:pPr>
      <w:r>
        <w:rPr>
          <w:rFonts w:ascii="Calibri" w:eastAsia="Calibri" w:hAnsi="Calibri" w:cs="Calibri"/>
          <w:b/>
          <w:bCs/>
          <w:sz w:val="28"/>
          <w:szCs w:val="28"/>
        </w:rPr>
        <w:t>Committee on the Rights of Persons with Disabilities</w:t>
      </w:r>
    </w:p>
    <w:p w14:paraId="442E8979" w14:textId="77777777" w:rsidR="00F17C29" w:rsidRDefault="00B434B2">
      <w:pPr>
        <w:spacing w:after="200"/>
        <w:jc w:val="center"/>
      </w:pPr>
      <w:r>
        <w:rPr>
          <w:rFonts w:ascii="Calibri" w:eastAsia="Calibri" w:hAnsi="Calibri" w:cs="Calibri"/>
          <w:sz w:val="24"/>
          <w:szCs w:val="24"/>
        </w:rPr>
        <w:t>Review of the State of Chile — 35th session (12–27 August 2026)</w:t>
      </w:r>
    </w:p>
    <w:p w14:paraId="485CB64E" w14:textId="77777777" w:rsidR="00F17C29" w:rsidRDefault="00B434B2">
      <w:pPr>
        <w:spacing w:after="500"/>
        <w:jc w:val="center"/>
      </w:pPr>
      <w:r>
        <w:rPr>
          <w:rFonts w:ascii="Calibri" w:eastAsia="Calibri" w:hAnsi="Calibri" w:cs="Calibri"/>
          <w:i/>
          <w:iCs/>
          <w:sz w:val="24"/>
          <w:szCs w:val="24"/>
        </w:rPr>
        <w:t>Articles 12, 17, 23 and 24 of the Convention and cognitive accessibility (Articles 9 and 21)</w:t>
      </w:r>
    </w:p>
    <w:p w14:paraId="27CAB5E3" w14:textId="77777777" w:rsidR="00F17C29" w:rsidRDefault="00B434B2">
      <w:pPr>
        <w:spacing w:after="120"/>
        <w:jc w:val="center"/>
      </w:pPr>
      <w:r>
        <w:rPr>
          <w:rFonts w:ascii="Calibri" w:eastAsia="Calibri" w:hAnsi="Calibri" w:cs="Calibri"/>
          <w:sz w:val="22"/>
          <w:szCs w:val="22"/>
        </w:rPr>
        <w:t>Submitted by</w:t>
      </w:r>
    </w:p>
    <w:p w14:paraId="26B0A05B" w14:textId="77777777" w:rsidR="00F17C29" w:rsidRDefault="00B434B2">
      <w:pPr>
        <w:spacing w:after="120"/>
        <w:jc w:val="center"/>
      </w:pPr>
      <w:r>
        <w:rPr>
          <w:rFonts w:ascii="Calibri" w:eastAsia="Calibri" w:hAnsi="Calibri" w:cs="Calibri"/>
          <w:b/>
          <w:bCs/>
          <w:color w:val="1F3864"/>
          <w:sz w:val="30"/>
          <w:szCs w:val="30"/>
        </w:rPr>
        <w:t>FUNDACIÓN DOWN 21 CHILE</w:t>
      </w:r>
    </w:p>
    <w:p w14:paraId="61048332" w14:textId="77777777" w:rsidR="00F17C29" w:rsidRDefault="00B434B2">
      <w:pPr>
        <w:spacing w:after="400"/>
        <w:jc w:val="center"/>
      </w:pPr>
      <w:r>
        <w:rPr>
          <w:rFonts w:ascii="Calibri" w:eastAsia="Calibri" w:hAnsi="Calibri" w:cs="Calibri"/>
          <w:i/>
          <w:iCs/>
          <w:sz w:val="22"/>
          <w:szCs w:val="22"/>
        </w:rPr>
        <w:t>Civil society organization of and for persons with Down syndrome and their families</w:t>
      </w:r>
    </w:p>
    <w:p w14:paraId="052A0197" w14:textId="77777777" w:rsidR="00F17C29" w:rsidRDefault="00B434B2">
      <w:pPr>
        <w:spacing w:after="80"/>
        <w:jc w:val="center"/>
      </w:pPr>
      <w:r>
        <w:rPr>
          <w:rFonts w:ascii="Calibri" w:eastAsia="Calibri" w:hAnsi="Calibri" w:cs="Calibri"/>
          <w:b/>
          <w:bCs/>
          <w:sz w:val="22"/>
          <w:szCs w:val="22"/>
        </w:rPr>
        <w:t>Prepared by: Irma Helena Iglesias Zuazola</w:t>
      </w:r>
    </w:p>
    <w:p w14:paraId="378BAAF7" w14:textId="77777777" w:rsidR="00F17C29" w:rsidRDefault="00B434B2">
      <w:pPr>
        <w:spacing w:after="80"/>
        <w:jc w:val="center"/>
      </w:pPr>
      <w:proofErr w:type="spellStart"/>
      <w:r>
        <w:rPr>
          <w:rFonts w:ascii="Calibri" w:eastAsia="Calibri" w:hAnsi="Calibri" w:cs="Calibri"/>
        </w:rPr>
        <w:t>Psychopedagogue</w:t>
      </w:r>
      <w:proofErr w:type="spellEnd"/>
      <w:r>
        <w:rPr>
          <w:rFonts w:ascii="Calibri" w:eastAsia="Calibri" w:hAnsi="Calibri" w:cs="Calibri"/>
        </w:rPr>
        <w:t xml:space="preserve"> · Postgraduate Diploma in Human Rights · Postgraduate Diploma in UDL · Postgraduate Diploma in Inclusive Education · President, Fundación Down 21 Chile · Vice-President, FIADOWN</w:t>
      </w:r>
    </w:p>
    <w:p w14:paraId="042A868C" w14:textId="77777777" w:rsidR="00F17C29" w:rsidRDefault="00B434B2">
      <w:pPr>
        <w:spacing w:after="80"/>
        <w:jc w:val="center"/>
      </w:pPr>
      <w:r>
        <w:rPr>
          <w:rFonts w:ascii="Calibri" w:eastAsia="Calibri" w:hAnsi="Calibri" w:cs="Calibri"/>
        </w:rPr>
        <w:t>irmahelenaiglesias@down21-chile.cl · contacto@down21-chile.cl · +56 9 7725 5086</w:t>
      </w:r>
    </w:p>
    <w:p w14:paraId="6E7860E7" w14:textId="77777777" w:rsidR="00F17C29" w:rsidRDefault="00B434B2">
      <w:pPr>
        <w:spacing w:after="400"/>
        <w:jc w:val="center"/>
      </w:pPr>
      <w:r>
        <w:rPr>
          <w:rFonts w:ascii="Calibri" w:eastAsia="Calibri" w:hAnsi="Calibri" w:cs="Calibri"/>
        </w:rPr>
        <w:t xml:space="preserve">Calle Inés 345, </w:t>
      </w:r>
      <w:proofErr w:type="spellStart"/>
      <w:r>
        <w:rPr>
          <w:rFonts w:ascii="Calibri" w:eastAsia="Calibri" w:hAnsi="Calibri" w:cs="Calibri"/>
        </w:rPr>
        <w:t>Recreo</w:t>
      </w:r>
      <w:proofErr w:type="spellEnd"/>
      <w:r>
        <w:rPr>
          <w:rFonts w:ascii="Calibri" w:eastAsia="Calibri" w:hAnsi="Calibri" w:cs="Calibri"/>
        </w:rPr>
        <w:t>, Viña del Mar, Chile</w:t>
      </w:r>
    </w:p>
    <w:p w14:paraId="1B2A7907" w14:textId="77777777" w:rsidR="00F17C29" w:rsidRDefault="00B434B2">
      <w:pPr>
        <w:jc w:val="center"/>
      </w:pPr>
      <w:r>
        <w:rPr>
          <w:rFonts w:ascii="Calibri" w:eastAsia="Calibri" w:hAnsi="Calibri" w:cs="Calibri"/>
          <w:b/>
          <w:bCs/>
          <w:sz w:val="22"/>
          <w:szCs w:val="22"/>
        </w:rPr>
        <w:t>July 2026</w:t>
      </w:r>
    </w:p>
    <w:p w14:paraId="4771C5CD" w14:textId="77777777" w:rsidR="00F17C29" w:rsidRDefault="00F17C29">
      <w:pPr>
        <w:pageBreakBefore/>
      </w:pPr>
    </w:p>
    <w:p w14:paraId="72BE3584" w14:textId="77777777" w:rsidR="00F17C29" w:rsidRDefault="00B434B2">
      <w:pPr>
        <w:pStyle w:val="Heading1"/>
        <w:spacing w:before="360" w:after="200"/>
      </w:pPr>
      <w:r>
        <w:rPr>
          <w:rFonts w:ascii="Calibri" w:eastAsia="Calibri" w:hAnsi="Calibri" w:cs="Calibri"/>
          <w:b/>
          <w:bCs/>
          <w:color w:val="1F3864"/>
          <w:sz w:val="28"/>
          <w:szCs w:val="28"/>
        </w:rPr>
        <w:t>I. About the organization and methodology</w:t>
      </w:r>
    </w:p>
    <w:p w14:paraId="06180650" w14:textId="77777777" w:rsidR="00F17C29" w:rsidRDefault="00B434B2">
      <w:pPr>
        <w:spacing w:after="160" w:line="276" w:lineRule="auto"/>
        <w:jc w:val="both"/>
      </w:pPr>
      <w:r>
        <w:rPr>
          <w:rFonts w:ascii="Calibri" w:eastAsia="Calibri" w:hAnsi="Calibri" w:cs="Calibri"/>
          <w:sz w:val="22"/>
          <w:szCs w:val="22"/>
        </w:rPr>
        <w:t>Fundación Down 21 Chile is a civil society organization based in Viña del Mar, Chile, devoted for more than a decade to the promotion and defence of the rights of persons with Down syndrome and intellectual disabilities, through legislative advocacy, inclusive education, literacy through the Miranda Project, the training of professionals and families through the Campus Miranda e-learning platform —with students across Chile and Ibero-America— and support for independent living. The Foundation is a member of</w:t>
      </w:r>
      <w:r>
        <w:rPr>
          <w:rFonts w:ascii="Calibri" w:eastAsia="Calibri" w:hAnsi="Calibri" w:cs="Calibri"/>
          <w:sz w:val="22"/>
          <w:szCs w:val="22"/>
        </w:rPr>
        <w:t xml:space="preserve"> the Ibero-American Federation of Associations of Persons with Down Syndrome (FIADOWN).</w:t>
      </w:r>
    </w:p>
    <w:p w14:paraId="62B6DA31" w14:textId="77777777" w:rsidR="00F17C29" w:rsidRDefault="00B434B2">
      <w:pPr>
        <w:spacing w:after="160" w:line="276" w:lineRule="auto"/>
        <w:jc w:val="both"/>
      </w:pPr>
      <w:r>
        <w:rPr>
          <w:rFonts w:ascii="Calibri" w:eastAsia="Calibri" w:hAnsi="Calibri" w:cs="Calibri"/>
          <w:sz w:val="22"/>
          <w:szCs w:val="22"/>
        </w:rPr>
        <w:t xml:space="preserve">This alternative report is submitted </w:t>
      </w:r>
      <w:proofErr w:type="gramStart"/>
      <w:r>
        <w:rPr>
          <w:rFonts w:ascii="Calibri" w:eastAsia="Calibri" w:hAnsi="Calibri" w:cs="Calibri"/>
          <w:sz w:val="22"/>
          <w:szCs w:val="22"/>
        </w:rPr>
        <w:t>on the occasion of</w:t>
      </w:r>
      <w:proofErr w:type="gramEnd"/>
      <w:r>
        <w:rPr>
          <w:rFonts w:ascii="Calibri" w:eastAsia="Calibri" w:hAnsi="Calibri" w:cs="Calibri"/>
          <w:sz w:val="22"/>
          <w:szCs w:val="22"/>
        </w:rPr>
        <w:t xml:space="preserve"> the review of the State of Chile during the Committee's 35th session. It focuses on four areas in which the organization has direct and documented experience: equal recognition before the law (Article 12), protection of personal integrity against forced sterilization (Article 17), respect for home and the family (Article 23) and inclusive education (Article 24), together with a cross-cutting section on cognitive accessibility (Articles 9 and 21). The information derives from the Foundatio</w:t>
      </w:r>
      <w:r>
        <w:rPr>
          <w:rFonts w:ascii="Calibri" w:eastAsia="Calibri" w:hAnsi="Calibri" w:cs="Calibri"/>
          <w:sz w:val="22"/>
          <w:szCs w:val="22"/>
        </w:rPr>
        <w:t>n's systematic legislative monitoring, its participation in parliamentary commissions and working groups with the Ministry of Education, its territorial work with families across all regions of the country, and its analysis of the legal framework in force.</w:t>
      </w:r>
    </w:p>
    <w:p w14:paraId="1BDD6D4F" w14:textId="77777777" w:rsidR="00F17C29" w:rsidRDefault="00B434B2">
      <w:pPr>
        <w:spacing w:after="160" w:line="276" w:lineRule="auto"/>
        <w:jc w:val="both"/>
      </w:pPr>
      <w:r>
        <w:rPr>
          <w:rFonts w:ascii="Calibri" w:eastAsia="Calibri" w:hAnsi="Calibri" w:cs="Calibri"/>
          <w:sz w:val="22"/>
          <w:szCs w:val="22"/>
        </w:rPr>
        <w:t>The report follows the order of the provisions of the Convention. Each section identifies the applicable legislation and its degree of compatibility with the Convention, implementation gaps and particularly excluded groups, and puts forward concrete recommendations for the Committee's consideration.</w:t>
      </w:r>
    </w:p>
    <w:p w14:paraId="18B72B92" w14:textId="77777777" w:rsidR="00F17C29" w:rsidRDefault="00B434B2">
      <w:pPr>
        <w:pStyle w:val="Heading1"/>
        <w:spacing w:before="360" w:after="200"/>
      </w:pPr>
      <w:r>
        <w:rPr>
          <w:rFonts w:ascii="Calibri" w:eastAsia="Calibri" w:hAnsi="Calibri" w:cs="Calibri"/>
          <w:b/>
          <w:bCs/>
          <w:color w:val="1F3864"/>
          <w:sz w:val="28"/>
          <w:szCs w:val="28"/>
        </w:rPr>
        <w:t>II. Executive summary</w:t>
      </w:r>
    </w:p>
    <w:p w14:paraId="460F3889" w14:textId="77777777" w:rsidR="00F17C29" w:rsidRDefault="00B434B2">
      <w:pPr>
        <w:spacing w:after="160" w:line="276" w:lineRule="auto"/>
        <w:jc w:val="both"/>
      </w:pPr>
      <w:r>
        <w:rPr>
          <w:rFonts w:ascii="Calibri" w:eastAsia="Calibri" w:hAnsi="Calibri" w:cs="Calibri"/>
          <w:sz w:val="22"/>
          <w:szCs w:val="22"/>
        </w:rPr>
        <w:t xml:space="preserve">Ten years after the Committee's first concluding observations on Chile (CRPD/C/CHL/CO/1, 2016), the structural recommendations on legal capacity, forced sterilization and inclusive education remain unimplemented. The interdiction and guardianship regime of the Civil Code and Law 18.600 remains fully in force; there is no legal system of supported decision-making; the administrative regulations allowing the sterilization of persons with intellectual disabilities at the request of third parties have not been </w:t>
      </w:r>
      <w:r>
        <w:rPr>
          <w:rFonts w:ascii="Calibri" w:eastAsia="Calibri" w:hAnsi="Calibri" w:cs="Calibri"/>
          <w:sz w:val="22"/>
          <w:szCs w:val="22"/>
        </w:rPr>
        <w:t>repealed; and education funding retains a diagnosis-driven logic that makes support conditional upon the clinical certification of deficit.</w:t>
      </w:r>
    </w:p>
    <w:p w14:paraId="50F8B7F6" w14:textId="77777777" w:rsidR="00F17C29" w:rsidRDefault="00B434B2">
      <w:pPr>
        <w:spacing w:after="160" w:line="276" w:lineRule="auto"/>
        <w:jc w:val="both"/>
      </w:pPr>
      <w:r>
        <w:rPr>
          <w:rFonts w:ascii="Calibri" w:eastAsia="Calibri" w:hAnsi="Calibri" w:cs="Calibri"/>
          <w:sz w:val="22"/>
          <w:szCs w:val="22"/>
        </w:rPr>
        <w:t>In addition, in 2026 a development of the utmost gravity has arisen: the legislative processing of the school admissions bill known as the "Mutual Choice" bill (</w:t>
      </w:r>
      <w:proofErr w:type="spellStart"/>
      <w:r>
        <w:rPr>
          <w:rFonts w:ascii="Calibri" w:eastAsia="Calibri" w:hAnsi="Calibri" w:cs="Calibri"/>
          <w:sz w:val="22"/>
          <w:szCs w:val="22"/>
        </w:rPr>
        <w:t>Boletín</w:t>
      </w:r>
      <w:proofErr w:type="spellEnd"/>
      <w:r>
        <w:rPr>
          <w:rFonts w:ascii="Calibri" w:eastAsia="Calibri" w:hAnsi="Calibri" w:cs="Calibri"/>
          <w:sz w:val="22"/>
          <w:szCs w:val="22"/>
        </w:rPr>
        <w:t xml:space="preserve"> 18389-04, Presidential Message No. 082-374/2026), which reintroduces school selection mechanisms and establishes for students with disabilities a 10 % quota that operates as a conditional ceiling rather than a guaranteed floor, calculated moreover on total enrolment rather than on available vacancies, and which entirely omits students with transitory special educational needs. If adopted in its current terms, it would constitute a structural regression incompatible with Article 24 of the Convention </w:t>
      </w:r>
      <w:r>
        <w:rPr>
          <w:rFonts w:ascii="Calibri" w:eastAsia="Calibri" w:hAnsi="Calibri" w:cs="Calibri"/>
          <w:sz w:val="22"/>
          <w:szCs w:val="22"/>
        </w:rPr>
        <w:t>and with the prohibition of retrogression in human rights law.</w:t>
      </w:r>
    </w:p>
    <w:p w14:paraId="70B62A30" w14:textId="77777777" w:rsidR="00F17C29" w:rsidRDefault="00B434B2">
      <w:pPr>
        <w:spacing w:after="160" w:line="276" w:lineRule="auto"/>
        <w:jc w:val="both"/>
      </w:pPr>
      <w:r>
        <w:rPr>
          <w:rFonts w:ascii="Calibri" w:eastAsia="Calibri" w:hAnsi="Calibri" w:cs="Calibri"/>
          <w:sz w:val="22"/>
          <w:szCs w:val="22"/>
        </w:rPr>
        <w:t>This report requests that the Committee examine these matters with particular attention and address to the State of Chile recommendations with verifiable deadlines, indicators and associated budgets.</w:t>
      </w:r>
    </w:p>
    <w:p w14:paraId="177D5AC4" w14:textId="77777777" w:rsidR="00F17C29" w:rsidRDefault="00B434B2">
      <w:pPr>
        <w:pStyle w:val="Heading1"/>
        <w:spacing w:before="360" w:after="200"/>
      </w:pPr>
      <w:r>
        <w:rPr>
          <w:rFonts w:ascii="Calibri" w:eastAsia="Calibri" w:hAnsi="Calibri" w:cs="Calibri"/>
          <w:b/>
          <w:bCs/>
          <w:color w:val="1F3864"/>
          <w:sz w:val="28"/>
          <w:szCs w:val="28"/>
        </w:rPr>
        <w:t>III. Article 12 — Equal recognition before the law</w:t>
      </w:r>
    </w:p>
    <w:p w14:paraId="3F0FD743" w14:textId="77777777" w:rsidR="00F17C29" w:rsidRDefault="00B434B2">
      <w:pPr>
        <w:pStyle w:val="Heading2"/>
        <w:spacing w:before="280" w:after="160"/>
      </w:pPr>
      <w:r>
        <w:rPr>
          <w:rFonts w:ascii="Calibri" w:eastAsia="Calibri" w:hAnsi="Calibri" w:cs="Calibri"/>
          <w:b/>
          <w:bCs/>
          <w:color w:val="2E5395"/>
          <w:sz w:val="24"/>
          <w:szCs w:val="24"/>
        </w:rPr>
        <w:lastRenderedPageBreak/>
        <w:t>3.1. Legislation in force: interdiction and guardianship</w:t>
      </w:r>
    </w:p>
    <w:p w14:paraId="5DC1F8CF" w14:textId="77777777" w:rsidR="00F17C29" w:rsidRDefault="00B434B2">
      <w:pPr>
        <w:spacing w:after="160" w:line="276" w:lineRule="auto"/>
        <w:jc w:val="both"/>
      </w:pPr>
      <w:r>
        <w:rPr>
          <w:rFonts w:ascii="Calibri" w:eastAsia="Calibri" w:hAnsi="Calibri" w:cs="Calibri"/>
          <w:sz w:val="22"/>
          <w:szCs w:val="22"/>
        </w:rPr>
        <w:t>The Chilean Civil Code maintains the regime of interdiction on grounds of "dementia" and the appointment of guardians who entirely substitute the will of the person. Law 18.600 further establishes a simplified interdiction procedure for persons with intellectual disabilities, allowing deprivation of legal capacity through summary proceedings, with minimal evidentiary standards and without adequate procedural safeguards. This regime amounts to a substituted decision-making model frontally incompatible with A</w:t>
      </w:r>
      <w:r>
        <w:rPr>
          <w:rFonts w:ascii="Calibri" w:eastAsia="Calibri" w:hAnsi="Calibri" w:cs="Calibri"/>
          <w:sz w:val="22"/>
          <w:szCs w:val="22"/>
        </w:rPr>
        <w:t>rticle 12 of the Convention and with the Committee's General Comment No. 1 (2014).</w:t>
      </w:r>
    </w:p>
    <w:p w14:paraId="7573045F" w14:textId="77777777" w:rsidR="00F17C29" w:rsidRDefault="00B434B2">
      <w:pPr>
        <w:pBdr>
          <w:top w:val="single" w:sz="4" w:space="0" w:color="E6B8B7"/>
          <w:left w:val="single" w:sz="24" w:space="0" w:color="C00000"/>
          <w:bottom w:val="single" w:sz="4" w:space="0" w:color="E6B8B7"/>
          <w:right w:val="single" w:sz="4" w:space="0" w:color="E6B8B7"/>
        </w:pBdr>
        <w:shd w:val="clear" w:color="auto" w:fill="FDEBEC"/>
        <w:spacing w:after="200" w:line="276" w:lineRule="auto"/>
        <w:ind w:left="200" w:right="200"/>
        <w:jc w:val="both"/>
      </w:pPr>
      <w:r>
        <w:rPr>
          <w:rFonts w:ascii="Calibri" w:eastAsia="Calibri" w:hAnsi="Calibri" w:cs="Calibri"/>
          <w:b/>
          <w:bCs/>
          <w:color w:val="C00000"/>
          <w:sz w:val="22"/>
          <w:szCs w:val="22"/>
        </w:rPr>
        <w:t xml:space="preserve">NON-COMPLIANCE: </w:t>
      </w:r>
      <w:r>
        <w:rPr>
          <w:rFonts w:ascii="Calibri" w:eastAsia="Calibri" w:hAnsi="Calibri" w:cs="Calibri"/>
          <w:sz w:val="22"/>
          <w:szCs w:val="22"/>
        </w:rPr>
        <w:t>In 2016 the Committee recommended that Chile repeal all provisions allowing substituted decision-making and establish a supported decision-making system. Ten years on, there is no legal capacity law, the interdiction procedure continues to be applied, and persons declared interdicted remain deprived of the exercise of property, labour, health and family rights.</w:t>
      </w:r>
    </w:p>
    <w:p w14:paraId="587BB549" w14:textId="77777777" w:rsidR="00F17C29" w:rsidRDefault="00B434B2">
      <w:pPr>
        <w:pStyle w:val="Heading2"/>
        <w:spacing w:before="280" w:after="160"/>
      </w:pPr>
      <w:r>
        <w:rPr>
          <w:rFonts w:ascii="Calibri" w:eastAsia="Calibri" w:hAnsi="Calibri" w:cs="Calibri"/>
          <w:b/>
          <w:bCs/>
          <w:color w:val="2E5395"/>
          <w:sz w:val="24"/>
          <w:szCs w:val="24"/>
        </w:rPr>
        <w:t>3.2. Absence of a support system</w:t>
      </w:r>
    </w:p>
    <w:p w14:paraId="1CE68644" w14:textId="77777777" w:rsidR="00F17C29" w:rsidRDefault="00B434B2">
      <w:pPr>
        <w:spacing w:after="160" w:line="276" w:lineRule="auto"/>
        <w:jc w:val="both"/>
      </w:pPr>
      <w:r>
        <w:rPr>
          <w:rFonts w:ascii="Calibri" w:eastAsia="Calibri" w:hAnsi="Calibri" w:cs="Calibri"/>
          <w:sz w:val="22"/>
          <w:szCs w:val="22"/>
        </w:rPr>
        <w:t>Chile lacks a legal framework of supports and safeguards for the exercise of legal capacity. Persons with Down syndrome who reach the age of majority face a dilemma imposed by the system: either their families initiate interdiction proceedings —frequently required by banks, pension institutions and health services as a condition for operating— or they remain in a legal limbo without formally recognized supports. The practical consequence is that interdiction is used as an administrative formality for access</w:t>
      </w:r>
      <w:r>
        <w:rPr>
          <w:rFonts w:ascii="Calibri" w:eastAsia="Calibri" w:hAnsi="Calibri" w:cs="Calibri"/>
          <w:sz w:val="22"/>
          <w:szCs w:val="22"/>
        </w:rPr>
        <w:t xml:space="preserve"> to services, normalizing the civil death of adults who are fully capable of making decisions with support.</w:t>
      </w:r>
    </w:p>
    <w:p w14:paraId="52B9A2E3" w14:textId="77777777" w:rsidR="00F17C29" w:rsidRDefault="00B434B2">
      <w:pPr>
        <w:spacing w:after="160" w:line="276" w:lineRule="auto"/>
        <w:jc w:val="both"/>
      </w:pPr>
      <w:r>
        <w:rPr>
          <w:rFonts w:ascii="Calibri" w:eastAsia="Calibri" w:hAnsi="Calibri" w:cs="Calibri"/>
          <w:sz w:val="22"/>
          <w:szCs w:val="22"/>
        </w:rPr>
        <w:t>The impact extends to the workplace: persons with intellectual disabilities hired under Law 21.015 on labour inclusion see their capacity to sign employment contracts, join trade unions or manage their own wages called into question wherever a declaration of interdiction exists, emptying of content the right to work recognized in Article 27 of the Convention.</w:t>
      </w:r>
    </w:p>
    <w:p w14:paraId="36AAC38B" w14:textId="77777777" w:rsidR="00F17C29" w:rsidRDefault="00B434B2">
      <w:pPr>
        <w:pStyle w:val="Heading2"/>
        <w:spacing w:before="280" w:after="160"/>
      </w:pPr>
      <w:r>
        <w:rPr>
          <w:rFonts w:ascii="Calibri" w:eastAsia="Calibri" w:hAnsi="Calibri" w:cs="Calibri"/>
          <w:b/>
          <w:bCs/>
          <w:color w:val="2E5395"/>
          <w:sz w:val="24"/>
          <w:szCs w:val="24"/>
        </w:rPr>
        <w:t>3.3. The caregiver credential as institutionalization of substitution</w:t>
      </w:r>
    </w:p>
    <w:p w14:paraId="501C869C" w14:textId="77777777" w:rsidR="00F17C29" w:rsidRDefault="00B434B2">
      <w:pPr>
        <w:spacing w:after="160" w:line="276" w:lineRule="auto"/>
        <w:jc w:val="both"/>
      </w:pPr>
      <w:r>
        <w:rPr>
          <w:rFonts w:ascii="Calibri" w:eastAsia="Calibri" w:hAnsi="Calibri" w:cs="Calibri"/>
          <w:sz w:val="22"/>
          <w:szCs w:val="22"/>
        </w:rPr>
        <w:t>The State has implemented a caregiver credential, registered in the Social Household Registry, which identifies the caregiver as the State's interlocutor in respect of the person with a disability. Without prejudice to the legitimate need to recognize and support those who provide care, the design of this instrument consolidates at State level a model of permanent intermediation: public services address the caregiver rather than the person with a disability — precisely the pattern of de facto substitution t</w:t>
      </w:r>
      <w:r>
        <w:rPr>
          <w:rFonts w:ascii="Calibri" w:eastAsia="Calibri" w:hAnsi="Calibri" w:cs="Calibri"/>
          <w:sz w:val="22"/>
          <w:szCs w:val="22"/>
        </w:rPr>
        <w:t>hat paragraph 17 of General Comment No. 1 identifies as contrary to Article 12. Care policy must be built upon recognition of the legal capacity of the person receiving support, not in its replacement.</w:t>
      </w:r>
    </w:p>
    <w:p w14:paraId="7164E3B6" w14:textId="77777777" w:rsidR="00F17C29" w:rsidRDefault="00B434B2">
      <w:pPr>
        <w:pStyle w:val="Heading2"/>
        <w:spacing w:before="280" w:after="160"/>
      </w:pPr>
      <w:r>
        <w:rPr>
          <w:rFonts w:ascii="Calibri" w:eastAsia="Calibri" w:hAnsi="Calibri" w:cs="Calibri"/>
          <w:b/>
          <w:bCs/>
          <w:color w:val="2E5395"/>
          <w:sz w:val="24"/>
          <w:szCs w:val="24"/>
        </w:rPr>
        <w:t>3.4. The risk of diagnosis-specific legislation</w:t>
      </w:r>
    </w:p>
    <w:p w14:paraId="4680C38A" w14:textId="77777777" w:rsidR="00F17C29" w:rsidRDefault="00B434B2">
      <w:pPr>
        <w:spacing w:after="160" w:line="276" w:lineRule="auto"/>
        <w:jc w:val="both"/>
      </w:pPr>
      <w:r>
        <w:rPr>
          <w:rFonts w:ascii="Calibri" w:eastAsia="Calibri" w:hAnsi="Calibri" w:cs="Calibri"/>
          <w:sz w:val="22"/>
          <w:szCs w:val="22"/>
        </w:rPr>
        <w:t>In 2025 a motion was tabled in the Senate to legislate specifically on Down syndrome. This Foundation has voiced its opposition to the diagnostic fragmentation of rights: legislating by diagnosis reinstates the medical model, ranks disabilities hierarchically and weakens the universal rights framework that the Convention requires. Progress must be achieved through universal reforms —legal capacity, inclusive education, accessibility— applicable to all persons with disabilities.</w:t>
      </w:r>
    </w:p>
    <w:p w14:paraId="54DA59E0" w14:textId="77777777" w:rsidR="00F17C29" w:rsidRDefault="00B434B2">
      <w:pPr>
        <w:pStyle w:val="Heading2"/>
        <w:spacing w:before="280" w:after="160"/>
      </w:pPr>
      <w:r>
        <w:rPr>
          <w:rFonts w:ascii="Calibri" w:eastAsia="Calibri" w:hAnsi="Calibri" w:cs="Calibri"/>
          <w:b/>
          <w:bCs/>
          <w:color w:val="2E5395"/>
          <w:sz w:val="24"/>
          <w:szCs w:val="24"/>
        </w:rPr>
        <w:t>3.5. An isolated positive precedent</w:t>
      </w:r>
    </w:p>
    <w:p w14:paraId="57B6D0EC" w14:textId="77777777" w:rsidR="00F17C29" w:rsidRDefault="00B434B2">
      <w:pPr>
        <w:spacing w:after="160" w:line="276" w:lineRule="auto"/>
        <w:jc w:val="both"/>
      </w:pPr>
      <w:r>
        <w:rPr>
          <w:rFonts w:ascii="Calibri" w:eastAsia="Calibri" w:hAnsi="Calibri" w:cs="Calibri"/>
          <w:sz w:val="22"/>
          <w:szCs w:val="22"/>
        </w:rPr>
        <w:lastRenderedPageBreak/>
        <w:t>The Foundation highlights as progress the ruling of the Electoral Qualifying Tribunal (Rol 83-2025), which recognized the right to vote of persons with Down syndrome subject to interdiction. It is, however, an isolated judicial precedent that confirms the urgency of comprehensive legal reform: rights cannot depend on case-by-case litigation.</w:t>
      </w:r>
    </w:p>
    <w:p w14:paraId="1B79D2D1" w14:textId="77777777" w:rsidR="00F17C29" w:rsidRDefault="00B434B2">
      <w:pPr>
        <w:pStyle w:val="Heading2"/>
        <w:spacing w:before="280" w:after="160"/>
      </w:pPr>
      <w:r>
        <w:rPr>
          <w:rFonts w:ascii="Calibri" w:eastAsia="Calibri" w:hAnsi="Calibri" w:cs="Calibri"/>
          <w:b/>
          <w:bCs/>
          <w:color w:val="2E5395"/>
          <w:sz w:val="24"/>
          <w:szCs w:val="24"/>
        </w:rPr>
        <w:t>3.6. Recommendations to the Committee (Article 12)</w:t>
      </w:r>
    </w:p>
    <w:p w14:paraId="2B9950AD"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 xml:space="preserve">Urge the State to table, within a defined time frame, a legal capacity bill repealing interdiction under the Civil Code and the procedure of Law </w:t>
      </w:r>
      <w:proofErr w:type="gramStart"/>
      <w:r>
        <w:rPr>
          <w:rFonts w:ascii="Calibri" w:eastAsia="Calibri" w:hAnsi="Calibri" w:cs="Calibri"/>
          <w:sz w:val="22"/>
          <w:szCs w:val="22"/>
        </w:rPr>
        <w:t>18.600, and</w:t>
      </w:r>
      <w:proofErr w:type="gramEnd"/>
      <w:r>
        <w:rPr>
          <w:rFonts w:ascii="Calibri" w:eastAsia="Calibri" w:hAnsi="Calibri" w:cs="Calibri"/>
          <w:sz w:val="22"/>
          <w:szCs w:val="22"/>
        </w:rPr>
        <w:t xml:space="preserve"> establishing a system of supports and safeguards in line with General Comment No. 1.</w:t>
      </w:r>
    </w:p>
    <w:p w14:paraId="33B8D1E4"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the ex officio review of existing interdictions, with restoration of legal capacity and individual support plans.</w:t>
      </w:r>
    </w:p>
    <w:p w14:paraId="5458F7E3"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that no public or private institution may require interdiction as a condition for access to financial, pension or health services.</w:t>
      </w:r>
    </w:p>
    <w:p w14:paraId="742A940E"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 xml:space="preserve">Recommend the redesign of the caregiver credential and of care policy </w:t>
      </w:r>
      <w:proofErr w:type="gramStart"/>
      <w:r>
        <w:rPr>
          <w:rFonts w:ascii="Calibri" w:eastAsia="Calibri" w:hAnsi="Calibri" w:cs="Calibri"/>
          <w:sz w:val="22"/>
          <w:szCs w:val="22"/>
        </w:rPr>
        <w:t>on the basis of</w:t>
      </w:r>
      <w:proofErr w:type="gramEnd"/>
      <w:r>
        <w:rPr>
          <w:rFonts w:ascii="Calibri" w:eastAsia="Calibri" w:hAnsi="Calibri" w:cs="Calibri"/>
          <w:sz w:val="22"/>
          <w:szCs w:val="22"/>
        </w:rPr>
        <w:t xml:space="preserve"> Article 12, ensuring that the person with a disability is the rights-holder and interlocutor of services, with whatever supports they require.</w:t>
      </w:r>
    </w:p>
    <w:p w14:paraId="207EE010"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that the State refrain from legislating by diagnosis and channel progress through universal rights reforms.</w:t>
      </w:r>
    </w:p>
    <w:p w14:paraId="3E668CC5" w14:textId="77777777" w:rsidR="00F17C29" w:rsidRDefault="00B434B2">
      <w:pPr>
        <w:pStyle w:val="Heading1"/>
        <w:spacing w:before="360" w:after="200"/>
      </w:pPr>
      <w:r>
        <w:rPr>
          <w:rFonts w:ascii="Calibri" w:eastAsia="Calibri" w:hAnsi="Calibri" w:cs="Calibri"/>
          <w:b/>
          <w:bCs/>
          <w:color w:val="1F3864"/>
          <w:sz w:val="28"/>
          <w:szCs w:val="28"/>
        </w:rPr>
        <w:t>IV. Article 17 — Protecting the integrity of the person: forced sterilization</w:t>
      </w:r>
    </w:p>
    <w:p w14:paraId="7F333BED" w14:textId="77777777" w:rsidR="00F17C29" w:rsidRDefault="00B434B2">
      <w:pPr>
        <w:pStyle w:val="Heading2"/>
        <w:spacing w:before="280" w:after="160"/>
      </w:pPr>
      <w:r>
        <w:rPr>
          <w:rFonts w:ascii="Calibri" w:eastAsia="Calibri" w:hAnsi="Calibri" w:cs="Calibri"/>
          <w:b/>
          <w:bCs/>
          <w:color w:val="2E5395"/>
          <w:sz w:val="24"/>
          <w:szCs w:val="24"/>
        </w:rPr>
        <w:t>4.1. Legal framework in force</w:t>
      </w:r>
    </w:p>
    <w:p w14:paraId="6B8EF58C" w14:textId="77777777" w:rsidR="00F17C29" w:rsidRDefault="00B434B2">
      <w:pPr>
        <w:spacing w:after="160" w:line="276" w:lineRule="auto"/>
        <w:jc w:val="both"/>
      </w:pPr>
      <w:r>
        <w:rPr>
          <w:rFonts w:ascii="Calibri" w:eastAsia="Calibri" w:hAnsi="Calibri" w:cs="Calibri"/>
          <w:sz w:val="22"/>
          <w:szCs w:val="22"/>
        </w:rPr>
        <w:t xml:space="preserve">Chilean administrative health regulations still allow, to this day, the sterilization of persons with intellectual disabilities —mostly women and girls— at the request of third parties, without the free and informed consent of the person concerned, through a procedure before the health authority based on Exempt Resolution No. 2326 of 2000 of the Ministry of Health and within the framework of Law 20.584 on the rights and duties of patients, which contemplates decisions taken by representatives in respect of </w:t>
      </w:r>
      <w:r>
        <w:rPr>
          <w:rFonts w:ascii="Calibri" w:eastAsia="Calibri" w:hAnsi="Calibri" w:cs="Calibri"/>
          <w:sz w:val="22"/>
          <w:szCs w:val="22"/>
        </w:rPr>
        <w:t>persons deemed incapable of expressing their will. The combination of this framework with the interdiction regime described in the previous section produces a complete circuit of substitution: the same judicial declaration that deprives a person of legal capacity enables third parties to consent to an irreversible intervention on that person's body.</w:t>
      </w:r>
    </w:p>
    <w:p w14:paraId="666EDED6" w14:textId="77777777" w:rsidR="00F17C29" w:rsidRDefault="00B434B2">
      <w:pPr>
        <w:pBdr>
          <w:top w:val="single" w:sz="4" w:space="0" w:color="E6B8B7"/>
          <w:left w:val="single" w:sz="24" w:space="0" w:color="C00000"/>
          <w:bottom w:val="single" w:sz="4" w:space="0" w:color="E6B8B7"/>
          <w:right w:val="single" w:sz="4" w:space="0" w:color="E6B8B7"/>
        </w:pBdr>
        <w:shd w:val="clear" w:color="auto" w:fill="FDEBEC"/>
        <w:spacing w:after="200" w:line="276" w:lineRule="auto"/>
        <w:ind w:left="200" w:right="200"/>
        <w:jc w:val="both"/>
      </w:pPr>
      <w:r>
        <w:rPr>
          <w:rFonts w:ascii="Calibri" w:eastAsia="Calibri" w:hAnsi="Calibri" w:cs="Calibri"/>
          <w:b/>
          <w:bCs/>
          <w:color w:val="C00000"/>
          <w:sz w:val="22"/>
          <w:szCs w:val="22"/>
        </w:rPr>
        <w:t xml:space="preserve">NON-COMPLIANCE: </w:t>
      </w:r>
      <w:r>
        <w:rPr>
          <w:rFonts w:ascii="Calibri" w:eastAsia="Calibri" w:hAnsi="Calibri" w:cs="Calibri"/>
          <w:sz w:val="22"/>
          <w:szCs w:val="22"/>
        </w:rPr>
        <w:t>In its 2016 concluding observations, the Committee urged Chile to repeal the rules allowing sterilization without consent and to expressly prohibit it in respect of girls and adolescents with disabilities. Ten years later, the administrative regulations remain in force, there is no express legal prohibition, and the State does not publish official, disaggregated and periodic data on sterilizations performed on persons with disabilities.</w:t>
      </w:r>
    </w:p>
    <w:p w14:paraId="4667B5FF" w14:textId="77777777" w:rsidR="00F17C29" w:rsidRDefault="00B434B2">
      <w:pPr>
        <w:pStyle w:val="Heading2"/>
        <w:spacing w:before="280" w:after="160"/>
      </w:pPr>
      <w:r>
        <w:rPr>
          <w:rFonts w:ascii="Calibri" w:eastAsia="Calibri" w:hAnsi="Calibri" w:cs="Calibri"/>
          <w:b/>
          <w:bCs/>
          <w:color w:val="2E5395"/>
          <w:sz w:val="24"/>
          <w:szCs w:val="24"/>
        </w:rPr>
        <w:t>4.2. Gender dimension and absence of data</w:t>
      </w:r>
    </w:p>
    <w:p w14:paraId="13BDD3F4" w14:textId="77777777" w:rsidR="00F17C29" w:rsidRDefault="00B434B2">
      <w:pPr>
        <w:spacing w:after="160" w:line="276" w:lineRule="auto"/>
        <w:jc w:val="both"/>
      </w:pPr>
      <w:r>
        <w:rPr>
          <w:rFonts w:ascii="Calibri" w:eastAsia="Calibri" w:hAnsi="Calibri" w:cs="Calibri"/>
          <w:sz w:val="22"/>
          <w:szCs w:val="22"/>
        </w:rPr>
        <w:t xml:space="preserve">Forced sterilization disproportionately affects women and girls with intellectual disabilities and constitutes a form of institutional gender-based violence. The absence of official disaggregated data —in breach of Article 31 of the Convention— makes it impossible to measure, oversee and redress the practice. Requests are typically grounded in pregnancy prevention or menstrual hygiene </w:t>
      </w:r>
      <w:r>
        <w:rPr>
          <w:rFonts w:ascii="Calibri" w:eastAsia="Calibri" w:hAnsi="Calibri" w:cs="Calibri"/>
          <w:sz w:val="22"/>
          <w:szCs w:val="22"/>
        </w:rPr>
        <w:lastRenderedPageBreak/>
        <w:t>management, purposes for which non-invasive alternatives exist and which reveal the persistence of stereotypes about the sexuality of women with disabilities.</w:t>
      </w:r>
    </w:p>
    <w:p w14:paraId="7478E2B9" w14:textId="77777777" w:rsidR="00F17C29" w:rsidRDefault="00B434B2">
      <w:pPr>
        <w:pStyle w:val="Heading2"/>
        <w:spacing w:before="280" w:after="160"/>
      </w:pPr>
      <w:r>
        <w:rPr>
          <w:rFonts w:ascii="Calibri" w:eastAsia="Calibri" w:hAnsi="Calibri" w:cs="Calibri"/>
          <w:b/>
          <w:bCs/>
          <w:color w:val="2E5395"/>
          <w:sz w:val="24"/>
          <w:szCs w:val="24"/>
        </w:rPr>
        <w:t>4.3. Recommendations to the Committee (Article 17)</w:t>
      </w:r>
    </w:p>
    <w:p w14:paraId="5C9EBE0E"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Urge the State to expressly repeal the administrative regulations allowing the sterilization of persons with disabilities at the request of third parties, and to prohibit by law sterilization without the free and informed consent of the person concerned, with no exceptions in respect of children and adolescents.</w:t>
      </w:r>
    </w:p>
    <w:p w14:paraId="50EDF9D3"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the creation of a public register of sterilizations with data disaggregated by sex, age and disability, and a mechanism of investigation and reparation for victims.</w:t>
      </w:r>
    </w:p>
    <w:p w14:paraId="5495EC37"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cognitively accessible sexual and reproductive health protocols, with decision-making supports, in accordance with Articles 12, 17, 23 and 25 of the Convention.</w:t>
      </w:r>
    </w:p>
    <w:p w14:paraId="1693EEA6" w14:textId="77777777" w:rsidR="00F17C29" w:rsidRDefault="00B434B2">
      <w:pPr>
        <w:pStyle w:val="Heading1"/>
        <w:spacing w:before="360" w:after="200"/>
      </w:pPr>
      <w:r>
        <w:rPr>
          <w:rFonts w:ascii="Calibri" w:eastAsia="Calibri" w:hAnsi="Calibri" w:cs="Calibri"/>
          <w:b/>
          <w:bCs/>
          <w:color w:val="1F3864"/>
          <w:sz w:val="28"/>
          <w:szCs w:val="28"/>
        </w:rPr>
        <w:t>V. Article 23 — Respect for home and the family</w:t>
      </w:r>
    </w:p>
    <w:p w14:paraId="443702AA" w14:textId="77777777" w:rsidR="00F17C29" w:rsidRDefault="00B434B2">
      <w:pPr>
        <w:spacing w:after="160" w:line="276" w:lineRule="auto"/>
        <w:jc w:val="both"/>
      </w:pPr>
      <w:r>
        <w:rPr>
          <w:rFonts w:ascii="Calibri" w:eastAsia="Calibri" w:hAnsi="Calibri" w:cs="Calibri"/>
          <w:sz w:val="22"/>
          <w:szCs w:val="22"/>
        </w:rPr>
        <w:t>Persons with intellectual disabilities in Chile face legal and de facto barriers to exercising the right to marry, to found a family and to exercise motherhood and fatherhood. Interdiction deprives them of the exercise of family rights; forced sterilization denies at the root the possibility of deciding about one's own reproduction; and there are no State programmes supporting the parenthood of persons with disabilities, so that in situations of vulnerability the child protection system's response tends tow</w:t>
      </w:r>
      <w:r>
        <w:rPr>
          <w:rFonts w:ascii="Calibri" w:eastAsia="Calibri" w:hAnsi="Calibri" w:cs="Calibri"/>
          <w:sz w:val="22"/>
          <w:szCs w:val="22"/>
        </w:rPr>
        <w:t>ards separating the child from their family instead of providing supports, in direct breach of Article 23, paragraph 4, of the Convention.</w:t>
      </w:r>
    </w:p>
    <w:p w14:paraId="0D6DFB9E" w14:textId="77777777" w:rsidR="00F17C29" w:rsidRDefault="00B434B2">
      <w:pPr>
        <w:spacing w:after="160" w:line="276" w:lineRule="auto"/>
        <w:jc w:val="both"/>
      </w:pPr>
      <w:r>
        <w:rPr>
          <w:rFonts w:ascii="Calibri" w:eastAsia="Calibri" w:hAnsi="Calibri" w:cs="Calibri"/>
          <w:sz w:val="22"/>
          <w:szCs w:val="22"/>
        </w:rPr>
        <w:t>The Foundation has documented that mothers and fathers with intellectual disabilities are subjected to parental fitness assessments built upon standards not required of the rest of the population, in which the diagnosis operates as a presumption of incompetence. This discriminatory pattern is reinforced by the absence of in-home and community-based parenting support services.</w:t>
      </w:r>
    </w:p>
    <w:p w14:paraId="4F5A974B" w14:textId="77777777" w:rsidR="00F17C29" w:rsidRDefault="00B434B2">
      <w:pPr>
        <w:pStyle w:val="Heading2"/>
        <w:spacing w:before="280" w:after="160"/>
      </w:pPr>
      <w:r>
        <w:rPr>
          <w:rFonts w:ascii="Calibri" w:eastAsia="Calibri" w:hAnsi="Calibri" w:cs="Calibri"/>
          <w:b/>
          <w:bCs/>
          <w:color w:val="2E5395"/>
          <w:sz w:val="24"/>
          <w:szCs w:val="24"/>
        </w:rPr>
        <w:t>5.1. Recommendations to the Committee (Article 23)</w:t>
      </w:r>
    </w:p>
    <w:p w14:paraId="616AE93E"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the express legal recognition of the right of persons with disabilities to marry, found a family and exercise motherhood and fatherhood, with supports.</w:t>
      </w:r>
    </w:p>
    <w:p w14:paraId="5D82D6EC"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 xml:space="preserve">Recommend the creation of parenting support programmes for persons with disabilities, and the prohibition of separating a child from their parents </w:t>
      </w:r>
      <w:proofErr w:type="gramStart"/>
      <w:r>
        <w:rPr>
          <w:rFonts w:ascii="Calibri" w:eastAsia="Calibri" w:hAnsi="Calibri" w:cs="Calibri"/>
          <w:sz w:val="22"/>
          <w:szCs w:val="22"/>
        </w:rPr>
        <w:t>on the basis of</w:t>
      </w:r>
      <w:proofErr w:type="gramEnd"/>
      <w:r>
        <w:rPr>
          <w:rFonts w:ascii="Calibri" w:eastAsia="Calibri" w:hAnsi="Calibri" w:cs="Calibri"/>
          <w:sz w:val="22"/>
          <w:szCs w:val="22"/>
        </w:rPr>
        <w:t xml:space="preserve"> the parents' disability.</w:t>
      </w:r>
    </w:p>
    <w:p w14:paraId="7F7C0F0C"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the revision of parental assessment protocols to eliminate presumptions of incompetence based on diagnosis.</w:t>
      </w:r>
    </w:p>
    <w:p w14:paraId="555A2E1A" w14:textId="77777777" w:rsidR="00F17C29" w:rsidRDefault="00B434B2">
      <w:pPr>
        <w:pStyle w:val="Heading1"/>
        <w:spacing w:before="360" w:after="200"/>
      </w:pPr>
      <w:r>
        <w:rPr>
          <w:rFonts w:ascii="Calibri" w:eastAsia="Calibri" w:hAnsi="Calibri" w:cs="Calibri"/>
          <w:b/>
          <w:bCs/>
          <w:color w:val="1F3864"/>
          <w:sz w:val="28"/>
          <w:szCs w:val="28"/>
        </w:rPr>
        <w:t>VI. Article 24 — Inclusive education</w:t>
      </w:r>
    </w:p>
    <w:p w14:paraId="7FA78743" w14:textId="77777777" w:rsidR="00F17C29" w:rsidRDefault="00B434B2">
      <w:pPr>
        <w:pStyle w:val="Heading2"/>
        <w:spacing w:before="280" w:after="160"/>
      </w:pPr>
      <w:r>
        <w:rPr>
          <w:rFonts w:ascii="Calibri" w:eastAsia="Calibri" w:hAnsi="Calibri" w:cs="Calibri"/>
          <w:b/>
          <w:bCs/>
          <w:color w:val="2E5395"/>
          <w:sz w:val="24"/>
          <w:szCs w:val="24"/>
        </w:rPr>
        <w:t>6.1. General framework: formal progress, exclusionary architecture</w:t>
      </w:r>
    </w:p>
    <w:p w14:paraId="58FD2427" w14:textId="77777777" w:rsidR="00F17C29" w:rsidRDefault="00B434B2">
      <w:pPr>
        <w:spacing w:after="160" w:line="276" w:lineRule="auto"/>
        <w:jc w:val="both"/>
      </w:pPr>
      <w:r>
        <w:rPr>
          <w:rFonts w:ascii="Calibri" w:eastAsia="Calibri" w:hAnsi="Calibri" w:cs="Calibri"/>
          <w:sz w:val="22"/>
          <w:szCs w:val="22"/>
        </w:rPr>
        <w:t xml:space="preserve">Chile possesses valuable instruments: the School Inclusion Law 20.845 eliminated academic and socioeconomic selection in publicly funded schools through the School Admission System (SAE); Decree 83/2015 established curricular adaptation criteria with a universal design approach; and Law 20.422 enshrines the principle of inclusive education. However, the funding and support-provision architecture remains anchored to Decree 170/2009, which makes the special educational needs </w:t>
      </w:r>
      <w:r>
        <w:rPr>
          <w:rFonts w:ascii="Calibri" w:eastAsia="Calibri" w:hAnsi="Calibri" w:cs="Calibri"/>
          <w:sz w:val="22"/>
          <w:szCs w:val="22"/>
        </w:rPr>
        <w:lastRenderedPageBreak/>
        <w:t>subsidy conditional upon individual diagnostic certification: resources follow the certified deficit, not the transformation of the educational environment.</w:t>
      </w:r>
    </w:p>
    <w:p w14:paraId="0260CE1A"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Decree 170: diagnosis-dependence generates clinical over-assessment, waiting lists, the exclusion of students without a formal diagnosis, and a per-school quota logic in the School Integration Programmes (PIE) that caps the number of supported students per classroom.</w:t>
      </w:r>
    </w:p>
    <w:p w14:paraId="56CF7E6E"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Decree 83: formal progress whose implementation lacks specific funding, technical support and monitoring, so that the diversification of teaching depends on the goodwill of each school community.</w:t>
      </w:r>
    </w:p>
    <w:p w14:paraId="71322AA3"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Law 21.545 (2023): despite its declared objectives, it replicates the logic of diagnosis-based legislation, fragmenting the right to inclusive education into parallel statutes by condition.</w:t>
      </w:r>
    </w:p>
    <w:p w14:paraId="2C9A968B"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Teacher training: there is no mandatory national plan for initial and in-service training in inclusive education, universal design for learning and supports — a gap acknowledged across school communities themselves.</w:t>
      </w:r>
    </w:p>
    <w:p w14:paraId="418E188E"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Data: the State does not publish periodic disaggregated data on the educational trajectories of students with disabilities (access, retention, completion, post-secondary transition), in breach of Article 31.</w:t>
      </w:r>
    </w:p>
    <w:p w14:paraId="0350D30F" w14:textId="77777777" w:rsidR="00F17C29" w:rsidRDefault="00B434B2">
      <w:pPr>
        <w:pStyle w:val="Heading2"/>
        <w:spacing w:before="280" w:after="160"/>
      </w:pPr>
      <w:r>
        <w:rPr>
          <w:rFonts w:ascii="Calibri" w:eastAsia="Calibri" w:hAnsi="Calibri" w:cs="Calibri"/>
          <w:b/>
          <w:bCs/>
          <w:color w:val="2E5395"/>
          <w:sz w:val="24"/>
          <w:szCs w:val="24"/>
        </w:rPr>
        <w:t>6.2. The 2026 regression: the "Mutual Choice" bill (</w:t>
      </w:r>
      <w:proofErr w:type="spellStart"/>
      <w:r>
        <w:rPr>
          <w:rFonts w:ascii="Calibri" w:eastAsia="Calibri" w:hAnsi="Calibri" w:cs="Calibri"/>
          <w:b/>
          <w:bCs/>
          <w:color w:val="2E5395"/>
          <w:sz w:val="24"/>
          <w:szCs w:val="24"/>
        </w:rPr>
        <w:t>Boletín</w:t>
      </w:r>
      <w:proofErr w:type="spellEnd"/>
      <w:r>
        <w:rPr>
          <w:rFonts w:ascii="Calibri" w:eastAsia="Calibri" w:hAnsi="Calibri" w:cs="Calibri"/>
          <w:b/>
          <w:bCs/>
          <w:color w:val="2E5395"/>
          <w:sz w:val="24"/>
          <w:szCs w:val="24"/>
        </w:rPr>
        <w:t xml:space="preserve"> 18389-04)</w:t>
      </w:r>
    </w:p>
    <w:p w14:paraId="4EBDA743" w14:textId="77777777" w:rsidR="00F17C29" w:rsidRDefault="00B434B2">
      <w:pPr>
        <w:spacing w:after="160" w:line="276" w:lineRule="auto"/>
        <w:jc w:val="both"/>
      </w:pPr>
      <w:r>
        <w:rPr>
          <w:rFonts w:ascii="Calibri" w:eastAsia="Calibri" w:hAnsi="Calibri" w:cs="Calibri"/>
          <w:sz w:val="22"/>
          <w:szCs w:val="22"/>
        </w:rPr>
        <w:t xml:space="preserve">In 2026 the Executive introduced the school admissions bill known as the "Mutual Choice" bill (Presidential Message No. 082-374/2026, </w:t>
      </w:r>
      <w:proofErr w:type="spellStart"/>
      <w:r>
        <w:rPr>
          <w:rFonts w:ascii="Calibri" w:eastAsia="Calibri" w:hAnsi="Calibri" w:cs="Calibri"/>
          <w:sz w:val="22"/>
          <w:szCs w:val="22"/>
        </w:rPr>
        <w:t>Boletín</w:t>
      </w:r>
      <w:proofErr w:type="spellEnd"/>
      <w:r>
        <w:rPr>
          <w:rFonts w:ascii="Calibri" w:eastAsia="Calibri" w:hAnsi="Calibri" w:cs="Calibri"/>
          <w:sz w:val="22"/>
          <w:szCs w:val="22"/>
        </w:rPr>
        <w:t xml:space="preserve"> 18389-04), currently under discussion in the Education Commission of the Chamber of Deputies. The bill reintroduces selection mechanisms into the publicly funded school system. For students with </w:t>
      </w:r>
      <w:proofErr w:type="gramStart"/>
      <w:r>
        <w:rPr>
          <w:rFonts w:ascii="Calibri" w:eastAsia="Calibri" w:hAnsi="Calibri" w:cs="Calibri"/>
          <w:sz w:val="22"/>
          <w:szCs w:val="22"/>
        </w:rPr>
        <w:t>disabilities</w:t>
      </w:r>
      <w:proofErr w:type="gramEnd"/>
      <w:r>
        <w:rPr>
          <w:rFonts w:ascii="Calibri" w:eastAsia="Calibri" w:hAnsi="Calibri" w:cs="Calibri"/>
          <w:sz w:val="22"/>
          <w:szCs w:val="22"/>
        </w:rPr>
        <w:t xml:space="preserve"> it provides a 10 % quota whose design presents structural flaws incompatible with Article 24:</w:t>
      </w:r>
    </w:p>
    <w:p w14:paraId="5CC693C0"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The quota operates as a conditional ceiling, not a guaranteed floor: it is made contingent upon the existence of "sufficient applications", so that a school may fail to fill it, with no obligation of priority admission.</w:t>
      </w:r>
    </w:p>
    <w:p w14:paraId="491F187F"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It is calculated on the school's total enrolment rather than on the vacancies available in each admissions process, which in practice drastically reduces the effective annual places and may nullify them entirely in schools with stable enrolment.</w:t>
      </w:r>
    </w:p>
    <w:p w14:paraId="48FBA19E"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 xml:space="preserve">Students with transitory special educational needs are entirely absent from the bill: none of its provisions considers them, even though they constitute </w:t>
      </w:r>
      <w:proofErr w:type="gramStart"/>
      <w:r>
        <w:rPr>
          <w:rFonts w:ascii="Calibri" w:eastAsia="Calibri" w:hAnsi="Calibri" w:cs="Calibri"/>
          <w:sz w:val="22"/>
          <w:szCs w:val="22"/>
        </w:rPr>
        <w:t>the majority of</w:t>
      </w:r>
      <w:proofErr w:type="gramEnd"/>
      <w:r>
        <w:rPr>
          <w:rFonts w:ascii="Calibri" w:eastAsia="Calibri" w:hAnsi="Calibri" w:cs="Calibri"/>
          <w:sz w:val="22"/>
          <w:szCs w:val="22"/>
        </w:rPr>
        <w:t xml:space="preserve"> students currently receiving support under the PIE. Their omission leaves them fully exposed to selection mechanisms.</w:t>
      </w:r>
    </w:p>
    <w:p w14:paraId="7874104C"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The reintroduction of selection with performance-based filters reinstates the logic of competition among students that Law 20.845 had overcome, and which systematically operates against students with disabilities.</w:t>
      </w:r>
    </w:p>
    <w:p w14:paraId="17A23503" w14:textId="77777777" w:rsidR="00F17C29" w:rsidRDefault="00B434B2">
      <w:pPr>
        <w:pBdr>
          <w:top w:val="single" w:sz="4" w:space="0" w:color="E6B8B7"/>
          <w:left w:val="single" w:sz="24" w:space="0" w:color="C00000"/>
          <w:bottom w:val="single" w:sz="4" w:space="0" w:color="E6B8B7"/>
          <w:right w:val="single" w:sz="4" w:space="0" w:color="E6B8B7"/>
        </w:pBdr>
        <w:shd w:val="clear" w:color="auto" w:fill="FDEBEC"/>
        <w:spacing w:after="200" w:line="276" w:lineRule="auto"/>
        <w:ind w:left="200" w:right="200"/>
        <w:jc w:val="both"/>
      </w:pPr>
      <w:r>
        <w:rPr>
          <w:rFonts w:ascii="Calibri" w:eastAsia="Calibri" w:hAnsi="Calibri" w:cs="Calibri"/>
          <w:b/>
          <w:bCs/>
          <w:color w:val="C00000"/>
          <w:sz w:val="22"/>
          <w:szCs w:val="22"/>
        </w:rPr>
        <w:t xml:space="preserve">NON-COMPLIANCE: </w:t>
      </w:r>
      <w:r>
        <w:rPr>
          <w:rFonts w:ascii="Calibri" w:eastAsia="Calibri" w:hAnsi="Calibri" w:cs="Calibri"/>
          <w:sz w:val="22"/>
          <w:szCs w:val="22"/>
        </w:rPr>
        <w:t>The "Mutual Choice" bill, in its current design, constitutes a deliberately retrogressive measure in relation to the level of protection achieved by Law 20.845, contrary to Article 24 of the Convention, to General Comment No. 4 (2016) and to the principle of non-retrogression. The Foundation has presented these flaws before the Education Commission of the Chamber of Deputies and before the Ministry of Education.</w:t>
      </w:r>
    </w:p>
    <w:p w14:paraId="44D8823D" w14:textId="77777777" w:rsidR="00F17C29" w:rsidRDefault="00B434B2">
      <w:pPr>
        <w:spacing w:after="160" w:line="276" w:lineRule="auto"/>
        <w:jc w:val="both"/>
      </w:pPr>
      <w:r>
        <w:rPr>
          <w:rFonts w:ascii="Calibri" w:eastAsia="Calibri" w:hAnsi="Calibri" w:cs="Calibri"/>
          <w:sz w:val="22"/>
          <w:szCs w:val="22"/>
        </w:rPr>
        <w:lastRenderedPageBreak/>
        <w:t>As an alternative, the Foundation has proposed a first-priority admissions model for students with disabilities and with special educational needs, inspired by Portugal's Decree-Law 54/2018: unconditional priority in admission, not subject to minimum application thresholds or academic performance filters, calculated on the vacancies of each admissions process, and coupled with the school's obligation to provide the corresponding supports and reasonable accommodations.</w:t>
      </w:r>
    </w:p>
    <w:p w14:paraId="4109494F" w14:textId="77777777" w:rsidR="00F17C29" w:rsidRDefault="00B434B2">
      <w:pPr>
        <w:pStyle w:val="Heading2"/>
        <w:spacing w:before="280" w:after="160"/>
      </w:pPr>
      <w:r>
        <w:rPr>
          <w:rFonts w:ascii="Calibri" w:eastAsia="Calibri" w:hAnsi="Calibri" w:cs="Calibri"/>
          <w:b/>
          <w:bCs/>
          <w:color w:val="2E5395"/>
          <w:sz w:val="24"/>
          <w:szCs w:val="24"/>
        </w:rPr>
        <w:t>6.3. Recommendations to the Committee (Article 24)</w:t>
      </w:r>
    </w:p>
    <w:p w14:paraId="1C4E2BCD"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 xml:space="preserve">Urge the State to refrain from adopting bill </w:t>
      </w:r>
      <w:proofErr w:type="spellStart"/>
      <w:r>
        <w:rPr>
          <w:rFonts w:ascii="Calibri" w:eastAsia="Calibri" w:hAnsi="Calibri" w:cs="Calibri"/>
          <w:sz w:val="22"/>
          <w:szCs w:val="22"/>
        </w:rPr>
        <w:t>Boletín</w:t>
      </w:r>
      <w:proofErr w:type="spellEnd"/>
      <w:r>
        <w:rPr>
          <w:rFonts w:ascii="Calibri" w:eastAsia="Calibri" w:hAnsi="Calibri" w:cs="Calibri"/>
          <w:sz w:val="22"/>
          <w:szCs w:val="22"/>
        </w:rPr>
        <w:t xml:space="preserve"> 18389-04 in terms that reintroduce school selection or establish conditional quotas for students with disabilities, as this would constitute a regression incompatible with Article 24.</w:t>
      </w:r>
    </w:p>
    <w:p w14:paraId="7DF3119D"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that any reform of the admissions system guarantee unconditional priority admission for students with disabilities and with special educational needs —including transitory needs—, calculated on available vacancies and without performance filters.</w:t>
      </w:r>
    </w:p>
    <w:p w14:paraId="70F7B270"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Urge the structural reform of Decree 170, moving from an individual-diagnosis subsidy model to baseline funding of institutional supports for inclusion.</w:t>
      </w:r>
    </w:p>
    <w:p w14:paraId="69855D02"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the funding, technical support and monitoring of the implementation of Decree 83 at all educational levels.</w:t>
      </w:r>
    </w:p>
    <w:p w14:paraId="3C4E0C57"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a mandatory national plan for initial and in-service teacher training in inclusive education, universal design for learning and the provision of supports.</w:t>
      </w:r>
    </w:p>
    <w:p w14:paraId="193C2DB0"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the periodic production and publication of disaggregated data on the educational trajectories of students with disabilities, in accordance with Article 31.</w:t>
      </w:r>
    </w:p>
    <w:p w14:paraId="34B188BD"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that the State abandon diagnosis-based educational legislation and consolidate a single inclusive-education framework for all students.</w:t>
      </w:r>
    </w:p>
    <w:p w14:paraId="19D77F4C" w14:textId="77777777" w:rsidR="00F17C29" w:rsidRDefault="00B434B2">
      <w:pPr>
        <w:pStyle w:val="Heading1"/>
        <w:spacing w:before="360" w:after="200"/>
      </w:pPr>
      <w:r>
        <w:rPr>
          <w:rFonts w:ascii="Calibri" w:eastAsia="Calibri" w:hAnsi="Calibri" w:cs="Calibri"/>
          <w:b/>
          <w:bCs/>
          <w:color w:val="1F3864"/>
          <w:sz w:val="28"/>
          <w:szCs w:val="28"/>
        </w:rPr>
        <w:t>VII. Cross-cutting section — Cognitive accessibility (Articles 9 and 21, with impact on Article 24)</w:t>
      </w:r>
    </w:p>
    <w:p w14:paraId="7B3B48C5" w14:textId="77777777" w:rsidR="00F17C29" w:rsidRDefault="00B434B2">
      <w:pPr>
        <w:spacing w:after="160" w:line="276" w:lineRule="auto"/>
        <w:jc w:val="both"/>
      </w:pPr>
      <w:r>
        <w:rPr>
          <w:rFonts w:ascii="Calibri" w:eastAsia="Calibri" w:hAnsi="Calibri" w:cs="Calibri"/>
          <w:sz w:val="22"/>
          <w:szCs w:val="22"/>
        </w:rPr>
        <w:t>Cognitive accessibility is the dimension systematically omitted from Chilean accessibility policy. Law 20.422 and its regulations develop physical accessibility in detail and, to a lesser extent, sensory accessibility, but do not recognize cognitive accessibility as an enforceable legal category: there is no legal obligation for public information, administrative and judicial proceedings, health services, electoral processes or educational materials to be available in easy-to-understand formats.</w:t>
      </w:r>
    </w:p>
    <w:p w14:paraId="2C639651"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Easy Read lacks legal recognition in Chile, despite consolidated international technical standards (UNE 153101 EX standard and international guidelines) and accumulated national experience, including that developed by this Foundation through reading clubs, educational materials and institutional documents.</w:t>
      </w:r>
    </w:p>
    <w:p w14:paraId="038A78DF"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Persons with intellectual disabilities cannot autonomously understand judicial or administrative decisions that directly affect them —including their own interdiction rulings—, informed consent in health care, contracts, electoral information or communications from public services.</w:t>
      </w:r>
    </w:p>
    <w:p w14:paraId="724BB583"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In the education system, the absence of cognitive accessibility requirements for textbooks, assessments and information to families constitutes a direct barrier to Article 24.</w:t>
      </w:r>
    </w:p>
    <w:p w14:paraId="5D7F4CC3" w14:textId="77777777" w:rsidR="00F17C29" w:rsidRDefault="00B434B2">
      <w:pPr>
        <w:pBdr>
          <w:top w:val="single" w:sz="4" w:space="0" w:color="E6B8B7"/>
          <w:left w:val="single" w:sz="24" w:space="0" w:color="C00000"/>
          <w:bottom w:val="single" w:sz="4" w:space="0" w:color="E6B8B7"/>
          <w:right w:val="single" w:sz="4" w:space="0" w:color="E6B8B7"/>
        </w:pBdr>
        <w:shd w:val="clear" w:color="auto" w:fill="FDEBEC"/>
        <w:spacing w:after="200" w:line="276" w:lineRule="auto"/>
        <w:ind w:left="200" w:right="200"/>
        <w:jc w:val="both"/>
      </w:pPr>
      <w:r>
        <w:rPr>
          <w:rFonts w:ascii="Calibri" w:eastAsia="Calibri" w:hAnsi="Calibri" w:cs="Calibri"/>
          <w:b/>
          <w:bCs/>
          <w:color w:val="C00000"/>
          <w:sz w:val="22"/>
          <w:szCs w:val="22"/>
        </w:rPr>
        <w:lastRenderedPageBreak/>
        <w:t xml:space="preserve">NON-COMPLIANCE: </w:t>
      </w:r>
      <w:r>
        <w:rPr>
          <w:rFonts w:ascii="Calibri" w:eastAsia="Calibri" w:hAnsi="Calibri" w:cs="Calibri"/>
          <w:sz w:val="22"/>
          <w:szCs w:val="22"/>
        </w:rPr>
        <w:t>The omission of cognitive accessibility from the Chilean legal framework constitutes non-compliance with Articles 9 and 21 of the Convention: without understanding of information there is no possible exercise of legal capacity, of the right to education or of participation.</w:t>
      </w:r>
    </w:p>
    <w:p w14:paraId="77B0BD83" w14:textId="77777777" w:rsidR="00F17C29" w:rsidRDefault="00B434B2">
      <w:pPr>
        <w:pStyle w:val="Heading2"/>
        <w:spacing w:before="280" w:after="160"/>
      </w:pPr>
      <w:r>
        <w:rPr>
          <w:rFonts w:ascii="Calibri" w:eastAsia="Calibri" w:hAnsi="Calibri" w:cs="Calibri"/>
          <w:b/>
          <w:bCs/>
          <w:color w:val="2E5395"/>
          <w:sz w:val="24"/>
          <w:szCs w:val="24"/>
        </w:rPr>
        <w:t>7.1. Recommendations to the Committee (cognitive accessibility)</w:t>
      </w:r>
    </w:p>
    <w:p w14:paraId="52634147"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the reform of Law 20.422 to incorporate cognitive accessibility as a mandatory dimension of universal accessibility, with technical standards, deadlines and oversight.</w:t>
      </w:r>
    </w:p>
    <w:p w14:paraId="44CC0FD8"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the legal recognition of Easy Read and of validation by persons with intellectual disabilities as a requirement for essential public documents (justice, health, education, electoral processes and social benefits).</w:t>
      </w:r>
    </w:p>
    <w:p w14:paraId="63889D25" w14:textId="77777777" w:rsidR="00F17C29" w:rsidRDefault="00B434B2">
      <w:pPr>
        <w:pStyle w:val="ListParagraph"/>
        <w:numPr>
          <w:ilvl w:val="0"/>
          <w:numId w:val="2"/>
        </w:numPr>
        <w:pBdr>
          <w:left w:val="single" w:sz="24" w:space="0" w:color="375623"/>
        </w:pBdr>
        <w:shd w:val="clear" w:color="auto" w:fill="EAF3EA"/>
        <w:spacing w:after="120" w:line="276" w:lineRule="auto"/>
        <w:ind w:left="200" w:right="200"/>
        <w:jc w:val="both"/>
      </w:pPr>
      <w:r>
        <w:rPr>
          <w:rFonts w:ascii="Calibri" w:eastAsia="Calibri" w:hAnsi="Calibri" w:cs="Calibri"/>
          <w:sz w:val="22"/>
          <w:szCs w:val="22"/>
        </w:rPr>
        <w:t>Recommend the incorporation of cognitive accessibility requirements into textbooks, assessments and official communications of the education system.</w:t>
      </w:r>
    </w:p>
    <w:p w14:paraId="0B017FD1" w14:textId="77777777" w:rsidR="00F17C29" w:rsidRDefault="00B434B2">
      <w:pPr>
        <w:pStyle w:val="Heading1"/>
        <w:spacing w:before="360" w:after="200"/>
      </w:pPr>
      <w:r>
        <w:rPr>
          <w:rFonts w:ascii="Calibri" w:eastAsia="Calibri" w:hAnsi="Calibri" w:cs="Calibri"/>
          <w:b/>
          <w:bCs/>
          <w:color w:val="1F3864"/>
          <w:sz w:val="28"/>
          <w:szCs w:val="28"/>
        </w:rPr>
        <w:t>VIII. Conclusions</w:t>
      </w:r>
    </w:p>
    <w:p w14:paraId="53913391" w14:textId="77777777" w:rsidR="00F17C29" w:rsidRDefault="00B434B2">
      <w:pPr>
        <w:spacing w:after="160" w:line="276" w:lineRule="auto"/>
        <w:jc w:val="both"/>
      </w:pPr>
      <w:r>
        <w:rPr>
          <w:rFonts w:ascii="Calibri" w:eastAsia="Calibri" w:hAnsi="Calibri" w:cs="Calibri"/>
          <w:sz w:val="22"/>
          <w:szCs w:val="22"/>
        </w:rPr>
        <w:t>The review of Chile in 2026 comes at a decisive moment. The structural debts identified by the Committee in 2016 —legal capacity, forced sterilization, inclusive education— remain outstanding, and to these is now added the real risk of a legislative regression in school admissions. The State has accumulated declaratory instruments without transforming the legal and funding architecture that produces exclusion.</w:t>
      </w:r>
    </w:p>
    <w:p w14:paraId="047415D3" w14:textId="77777777" w:rsidR="00F17C29" w:rsidRDefault="00B434B2">
      <w:pPr>
        <w:spacing w:after="160" w:line="276" w:lineRule="auto"/>
        <w:jc w:val="both"/>
      </w:pPr>
      <w:r>
        <w:rPr>
          <w:rFonts w:ascii="Calibri" w:eastAsia="Calibri" w:hAnsi="Calibri" w:cs="Calibri"/>
          <w:sz w:val="22"/>
          <w:szCs w:val="22"/>
        </w:rPr>
        <w:t>Persons with Down syndrome and intellectual disabilities do not need special statutes or protections fragmented by diagnosis: they need full recognition of their legal capacity, effective protection of their integrity, the right to found a family, a school that neither selects nor expels them, and information they can understand. As this Foundation maintains throughout its advocacy work: shame must change places — it is not persons with disabilities and their families who should be ashamed of demanding righ</w:t>
      </w:r>
      <w:r>
        <w:rPr>
          <w:rFonts w:ascii="Calibri" w:eastAsia="Calibri" w:hAnsi="Calibri" w:cs="Calibri"/>
          <w:sz w:val="22"/>
          <w:szCs w:val="22"/>
        </w:rPr>
        <w:t>ts, but the systems that persist in denying them.</w:t>
      </w:r>
    </w:p>
    <w:p w14:paraId="7475F273" w14:textId="77777777" w:rsidR="00F17C29" w:rsidRDefault="00B434B2">
      <w:pPr>
        <w:spacing w:after="160" w:line="276" w:lineRule="auto"/>
        <w:jc w:val="both"/>
      </w:pPr>
      <w:r>
        <w:rPr>
          <w:rFonts w:ascii="Calibri" w:eastAsia="Calibri" w:hAnsi="Calibri" w:cs="Calibri"/>
          <w:sz w:val="22"/>
          <w:szCs w:val="22"/>
        </w:rPr>
        <w:t>Fundación Down 21 Chile remains at the Committee's disposal to provide additional information throughout the review process.</w:t>
      </w:r>
    </w:p>
    <w:p w14:paraId="6BE32BD2" w14:textId="77777777" w:rsidR="00F17C29" w:rsidRDefault="00B434B2">
      <w:pPr>
        <w:pStyle w:val="Heading1"/>
        <w:spacing w:before="360" w:after="200"/>
      </w:pPr>
      <w:r>
        <w:rPr>
          <w:rFonts w:ascii="Calibri" w:eastAsia="Calibri" w:hAnsi="Calibri" w:cs="Calibri"/>
          <w:b/>
          <w:bCs/>
          <w:color w:val="1F3864"/>
          <w:sz w:val="28"/>
          <w:szCs w:val="28"/>
        </w:rPr>
        <w:t>IX. Legal and documentary references</w:t>
      </w:r>
    </w:p>
    <w:p w14:paraId="051515D9"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Convention on the Rights of Persons with Disabilities (ratified by Chile in 2008) and its Optional Protocol.</w:t>
      </w:r>
    </w:p>
    <w:p w14:paraId="14F3D15E"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CRPD Committee, Concluding observations on the initial report of Chile, CRPD/C/CHL/CO/1 (2016).</w:t>
      </w:r>
    </w:p>
    <w:p w14:paraId="68B3CB14"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CRPD Committee, General Comment No. 1 (2014) on Article 12; General Comment No. 4 (2016) on Article 24.</w:t>
      </w:r>
    </w:p>
    <w:p w14:paraId="5482A67D"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Civil Code of Chile (interdiction and guardianship regime); Law 18.600 on persons with intellectual disabilities.</w:t>
      </w:r>
    </w:p>
    <w:p w14:paraId="3339FCA7"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Law 20.422, establishing rules on equal opportunities and social inclusion of persons with disabilities.</w:t>
      </w:r>
    </w:p>
    <w:p w14:paraId="529E5414"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lastRenderedPageBreak/>
        <w:t>Law 20.584, on the rights and duties of persons in health care; Exempt Resolution No. 2326/2000 of the Ministry of Health.</w:t>
      </w:r>
    </w:p>
    <w:p w14:paraId="1F0C7310"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Law 20.845, on School Inclusion; Decree 170/2009 and Decree 83/2015 of the Ministry of Education; Law 21.545.</w:t>
      </w:r>
    </w:p>
    <w:p w14:paraId="3BA6E097"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Law 21.015, on the labour inclusion of persons with disabilities.</w:t>
      </w:r>
    </w:p>
    <w:p w14:paraId="0C02C80A"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 xml:space="preserve">School admissions bill ("Mutual Choice"), Presidential Message No. 082-374/2026, </w:t>
      </w:r>
      <w:proofErr w:type="spellStart"/>
      <w:r>
        <w:rPr>
          <w:rFonts w:ascii="Calibri" w:eastAsia="Calibri" w:hAnsi="Calibri" w:cs="Calibri"/>
          <w:sz w:val="22"/>
          <w:szCs w:val="22"/>
        </w:rPr>
        <w:t>Boletín</w:t>
      </w:r>
      <w:proofErr w:type="spellEnd"/>
      <w:r>
        <w:rPr>
          <w:rFonts w:ascii="Calibri" w:eastAsia="Calibri" w:hAnsi="Calibri" w:cs="Calibri"/>
          <w:sz w:val="22"/>
          <w:szCs w:val="22"/>
        </w:rPr>
        <w:t xml:space="preserve"> 18389-04.</w:t>
      </w:r>
    </w:p>
    <w:p w14:paraId="61C0F089"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Decree-Law 54/2018 (Portugal), legal regime of inclusive education.</w:t>
      </w:r>
    </w:p>
    <w:p w14:paraId="41D8ADDB"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Electoral Qualifying Tribunal of Chile, Rol 83-2025.</w:t>
      </w:r>
    </w:p>
    <w:p w14:paraId="30928E97"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UNE 153101 EX standard, Easy Read: guidelines and recommendations for the drafting of documents.</w:t>
      </w:r>
    </w:p>
    <w:p w14:paraId="0174FD24" w14:textId="77777777" w:rsidR="00F17C29" w:rsidRDefault="00B434B2">
      <w:pPr>
        <w:pStyle w:val="ListParagraph"/>
        <w:numPr>
          <w:ilvl w:val="0"/>
          <w:numId w:val="3"/>
        </w:numPr>
        <w:spacing w:after="100" w:line="276" w:lineRule="auto"/>
        <w:jc w:val="both"/>
      </w:pPr>
      <w:r>
        <w:rPr>
          <w:rFonts w:ascii="Calibri" w:eastAsia="Calibri" w:hAnsi="Calibri" w:cs="Calibri"/>
          <w:sz w:val="22"/>
          <w:szCs w:val="22"/>
        </w:rPr>
        <w:t>Third National Disability Study, ENDISC 2022 (SENADIS).</w:t>
      </w:r>
    </w:p>
    <w:p w14:paraId="00201018" w14:textId="77777777" w:rsidR="00F17C29" w:rsidRDefault="00F17C29">
      <w:pPr>
        <w:spacing w:before="400"/>
      </w:pPr>
    </w:p>
    <w:p w14:paraId="69161D2B" w14:textId="77777777" w:rsidR="00F17C29" w:rsidRDefault="00B434B2">
      <w:pPr>
        <w:spacing w:after="60"/>
      </w:pPr>
      <w:r>
        <w:rPr>
          <w:rFonts w:ascii="Calibri" w:eastAsia="Calibri" w:hAnsi="Calibri" w:cs="Calibri"/>
          <w:b/>
          <w:bCs/>
          <w:sz w:val="22"/>
          <w:szCs w:val="22"/>
        </w:rPr>
        <w:t>Irma Helena Iglesias Zuazola</w:t>
      </w:r>
    </w:p>
    <w:p w14:paraId="1069E5A8" w14:textId="77777777" w:rsidR="00F17C29" w:rsidRDefault="00B434B2">
      <w:pPr>
        <w:spacing w:after="60"/>
      </w:pPr>
      <w:proofErr w:type="spellStart"/>
      <w:r>
        <w:rPr>
          <w:rFonts w:ascii="Calibri" w:eastAsia="Calibri" w:hAnsi="Calibri" w:cs="Calibri"/>
        </w:rPr>
        <w:t>Psychopedagogue</w:t>
      </w:r>
      <w:proofErr w:type="spellEnd"/>
      <w:r>
        <w:rPr>
          <w:rFonts w:ascii="Calibri" w:eastAsia="Calibri" w:hAnsi="Calibri" w:cs="Calibri"/>
        </w:rPr>
        <w:t xml:space="preserve"> · Postgraduate Diploma in Human Rights · Postgraduate Diploma in UDL · Postgraduate Diploma in Inclusive Education · President, Fundación Down 21 Chile · Vice-President, FIADOWN</w:t>
      </w:r>
    </w:p>
    <w:p w14:paraId="499C22BE" w14:textId="77777777" w:rsidR="00F17C29" w:rsidRDefault="00B434B2">
      <w:r>
        <w:rPr>
          <w:rFonts w:ascii="Calibri" w:eastAsia="Calibri" w:hAnsi="Calibri" w:cs="Calibri"/>
          <w:i/>
          <w:iCs/>
        </w:rPr>
        <w:t>Viña del Mar, Chile — July 2026</w:t>
      </w:r>
    </w:p>
    <w:sectPr w:rsidR="00F17C29">
      <w:headerReference w:type="default" r:id="rId7"/>
      <w:footerReference w:type="default" r:id="rId8"/>
      <w:pgSz w:w="11906" w:h="16838"/>
      <w:pgMar w:top="1200" w:right="1440" w:bottom="120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397BF" w14:textId="77777777" w:rsidR="00B434B2" w:rsidRDefault="00B434B2">
      <w:r>
        <w:separator/>
      </w:r>
    </w:p>
  </w:endnote>
  <w:endnote w:type="continuationSeparator" w:id="0">
    <w:p w14:paraId="513DD3E0" w14:textId="77777777" w:rsidR="00B434B2" w:rsidRDefault="00B43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F48" w14:textId="77777777" w:rsidR="00F17C29" w:rsidRDefault="00B434B2">
    <w:pPr>
      <w:jc w:val="center"/>
    </w:pPr>
    <w:r>
      <w:rPr>
        <w:rFonts w:ascii="Calibri" w:eastAsia="Calibri" w:hAnsi="Calibri" w:cs="Calibri"/>
        <w:color w:val="666666"/>
        <w:sz w:val="16"/>
        <w:szCs w:val="16"/>
      </w:rPr>
      <w:t xml:space="preserve">irmahelenaiglesias@down21-chile.cl · contacto@down21-chile.cl · Page </w:t>
    </w:r>
    <w:r>
      <w:rPr>
        <w:rFonts w:ascii="Calibri" w:eastAsia="Calibri" w:hAnsi="Calibri" w:cs="Calibri"/>
        <w:color w:val="666666"/>
        <w:sz w:val="16"/>
        <w:szCs w:val="16"/>
      </w:rPr>
      <w:fldChar w:fldCharType="begin"/>
    </w:r>
    <w:r>
      <w:rPr>
        <w:rFonts w:ascii="Calibri" w:eastAsia="Calibri" w:hAnsi="Calibri" w:cs="Calibri"/>
        <w:color w:val="666666"/>
        <w:sz w:val="16"/>
        <w:szCs w:val="16"/>
      </w:rPr>
      <w:instrText>PAGE</w:instrText>
    </w:r>
    <w:r>
      <w:rPr>
        <w:rFonts w:ascii="Calibri" w:eastAsia="Calibri" w:hAnsi="Calibri" w:cs="Calibri"/>
        <w:color w:val="666666"/>
        <w:sz w:val="16"/>
        <w:szCs w:val="16"/>
      </w:rPr>
      <w:fldChar w:fldCharType="separate"/>
    </w:r>
    <w:r w:rsidR="00FD59E2">
      <w:rPr>
        <w:rFonts w:ascii="Calibri" w:eastAsia="Calibri" w:hAnsi="Calibri" w:cs="Calibri"/>
        <w:noProof/>
        <w:color w:val="666666"/>
        <w:sz w:val="16"/>
        <w:szCs w:val="16"/>
      </w:rPr>
      <w:t>1</w:t>
    </w:r>
    <w:r>
      <w:rPr>
        <w:rFonts w:ascii="Calibri" w:eastAsia="Calibri" w:hAnsi="Calibri" w:cs="Calibri"/>
        <w:color w:val="666666"/>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AB74A" w14:textId="77777777" w:rsidR="00B434B2" w:rsidRDefault="00B434B2">
      <w:r>
        <w:separator/>
      </w:r>
    </w:p>
  </w:footnote>
  <w:footnote w:type="continuationSeparator" w:id="0">
    <w:p w14:paraId="3C3683CD" w14:textId="77777777" w:rsidR="00B434B2" w:rsidRDefault="00B434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3AA5A" w14:textId="77777777" w:rsidR="00F17C29" w:rsidRDefault="00B434B2">
    <w:pPr>
      <w:pBdr>
        <w:bottom w:val="single" w:sz="4" w:space="0" w:color="1F3864"/>
      </w:pBdr>
      <w:jc w:val="right"/>
    </w:pPr>
    <w:r>
      <w:rPr>
        <w:rFonts w:ascii="Calibri" w:eastAsia="Calibri" w:hAnsi="Calibri" w:cs="Calibri"/>
        <w:color w:val="1F3864"/>
        <w:sz w:val="16"/>
        <w:szCs w:val="16"/>
      </w:rPr>
      <w:t>Fundación Down 21 Chile — Alternative report to the CRPD Committee · Chile, 35th session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2C1F38"/>
    <w:multiLevelType w:val="hybridMultilevel"/>
    <w:tmpl w:val="DBD63206"/>
    <w:lvl w:ilvl="0" w:tplc="9E42E33E">
      <w:start w:val="1"/>
      <w:numFmt w:val="bullet"/>
      <w:lvlText w:val="–"/>
      <w:lvlJc w:val="left"/>
      <w:pPr>
        <w:ind w:left="480" w:hanging="240"/>
      </w:pPr>
    </w:lvl>
    <w:lvl w:ilvl="1" w:tplc="53983FF8">
      <w:numFmt w:val="decimal"/>
      <w:lvlText w:val=""/>
      <w:lvlJc w:val="left"/>
    </w:lvl>
    <w:lvl w:ilvl="2" w:tplc="6F405F98">
      <w:numFmt w:val="decimal"/>
      <w:lvlText w:val=""/>
      <w:lvlJc w:val="left"/>
    </w:lvl>
    <w:lvl w:ilvl="3" w:tplc="A11E8D84">
      <w:numFmt w:val="decimal"/>
      <w:lvlText w:val=""/>
      <w:lvlJc w:val="left"/>
    </w:lvl>
    <w:lvl w:ilvl="4" w:tplc="6CD0F19C">
      <w:numFmt w:val="decimal"/>
      <w:lvlText w:val=""/>
      <w:lvlJc w:val="left"/>
    </w:lvl>
    <w:lvl w:ilvl="5" w:tplc="ABFC8A1C">
      <w:numFmt w:val="decimal"/>
      <w:lvlText w:val=""/>
      <w:lvlJc w:val="left"/>
    </w:lvl>
    <w:lvl w:ilvl="6" w:tplc="C0841EEA">
      <w:numFmt w:val="decimal"/>
      <w:lvlText w:val=""/>
      <w:lvlJc w:val="left"/>
    </w:lvl>
    <w:lvl w:ilvl="7" w:tplc="77C8CCF4">
      <w:numFmt w:val="decimal"/>
      <w:lvlText w:val=""/>
      <w:lvlJc w:val="left"/>
    </w:lvl>
    <w:lvl w:ilvl="8" w:tplc="3E4666E4">
      <w:numFmt w:val="decimal"/>
      <w:lvlText w:val=""/>
      <w:lvlJc w:val="left"/>
    </w:lvl>
  </w:abstractNum>
  <w:abstractNum w:abstractNumId="1" w15:restartNumberingAfterBreak="0">
    <w:nsid w:val="57A35A06"/>
    <w:multiLevelType w:val="hybridMultilevel"/>
    <w:tmpl w:val="5518D784"/>
    <w:lvl w:ilvl="0" w:tplc="663EB29E">
      <w:start w:val="1"/>
      <w:numFmt w:val="bullet"/>
      <w:lvlText w:val="●"/>
      <w:lvlJc w:val="left"/>
      <w:pPr>
        <w:ind w:left="720" w:hanging="360"/>
      </w:pPr>
    </w:lvl>
    <w:lvl w:ilvl="1" w:tplc="FE3E3344">
      <w:start w:val="1"/>
      <w:numFmt w:val="bullet"/>
      <w:lvlText w:val="○"/>
      <w:lvlJc w:val="left"/>
      <w:pPr>
        <w:ind w:left="1440" w:hanging="360"/>
      </w:pPr>
    </w:lvl>
    <w:lvl w:ilvl="2" w:tplc="371A650E">
      <w:start w:val="1"/>
      <w:numFmt w:val="bullet"/>
      <w:lvlText w:val="■"/>
      <w:lvlJc w:val="left"/>
      <w:pPr>
        <w:ind w:left="2160" w:hanging="360"/>
      </w:pPr>
    </w:lvl>
    <w:lvl w:ilvl="3" w:tplc="3E3A9888">
      <w:start w:val="1"/>
      <w:numFmt w:val="bullet"/>
      <w:lvlText w:val="●"/>
      <w:lvlJc w:val="left"/>
      <w:pPr>
        <w:ind w:left="2880" w:hanging="360"/>
      </w:pPr>
    </w:lvl>
    <w:lvl w:ilvl="4" w:tplc="433EF342">
      <w:start w:val="1"/>
      <w:numFmt w:val="bullet"/>
      <w:lvlText w:val="○"/>
      <w:lvlJc w:val="left"/>
      <w:pPr>
        <w:ind w:left="3600" w:hanging="360"/>
      </w:pPr>
    </w:lvl>
    <w:lvl w:ilvl="5" w:tplc="EEBC21B8">
      <w:start w:val="1"/>
      <w:numFmt w:val="bullet"/>
      <w:lvlText w:val="■"/>
      <w:lvlJc w:val="left"/>
      <w:pPr>
        <w:ind w:left="4320" w:hanging="360"/>
      </w:pPr>
    </w:lvl>
    <w:lvl w:ilvl="6" w:tplc="FCEA65AC">
      <w:start w:val="1"/>
      <w:numFmt w:val="bullet"/>
      <w:lvlText w:val="●"/>
      <w:lvlJc w:val="left"/>
      <w:pPr>
        <w:ind w:left="5040" w:hanging="360"/>
      </w:pPr>
    </w:lvl>
    <w:lvl w:ilvl="7" w:tplc="E4427AF4">
      <w:start w:val="1"/>
      <w:numFmt w:val="bullet"/>
      <w:lvlText w:val="●"/>
      <w:lvlJc w:val="left"/>
      <w:pPr>
        <w:ind w:left="5760" w:hanging="360"/>
      </w:pPr>
    </w:lvl>
    <w:lvl w:ilvl="8" w:tplc="5FFA5564">
      <w:start w:val="1"/>
      <w:numFmt w:val="bullet"/>
      <w:lvlText w:val="●"/>
      <w:lvlJc w:val="left"/>
      <w:pPr>
        <w:ind w:left="6480" w:hanging="360"/>
      </w:pPr>
    </w:lvl>
  </w:abstractNum>
  <w:abstractNum w:abstractNumId="2" w15:restartNumberingAfterBreak="0">
    <w:nsid w:val="5FB62050"/>
    <w:multiLevelType w:val="hybridMultilevel"/>
    <w:tmpl w:val="8A9CFB78"/>
    <w:lvl w:ilvl="0" w:tplc="B158EACE">
      <w:start w:val="1"/>
      <w:numFmt w:val="decimal"/>
      <w:lvlText w:val="%1."/>
      <w:lvlJc w:val="left"/>
      <w:pPr>
        <w:ind w:left="560" w:hanging="280"/>
      </w:pPr>
    </w:lvl>
    <w:lvl w:ilvl="1" w:tplc="7978583C">
      <w:numFmt w:val="decimal"/>
      <w:lvlText w:val=""/>
      <w:lvlJc w:val="left"/>
    </w:lvl>
    <w:lvl w:ilvl="2" w:tplc="485E95B4">
      <w:numFmt w:val="decimal"/>
      <w:lvlText w:val=""/>
      <w:lvlJc w:val="left"/>
    </w:lvl>
    <w:lvl w:ilvl="3" w:tplc="9A02C150">
      <w:numFmt w:val="decimal"/>
      <w:lvlText w:val=""/>
      <w:lvlJc w:val="left"/>
    </w:lvl>
    <w:lvl w:ilvl="4" w:tplc="CED6A58E">
      <w:numFmt w:val="decimal"/>
      <w:lvlText w:val=""/>
      <w:lvlJc w:val="left"/>
    </w:lvl>
    <w:lvl w:ilvl="5" w:tplc="D9D8C4AC">
      <w:numFmt w:val="decimal"/>
      <w:lvlText w:val=""/>
      <w:lvlJc w:val="left"/>
    </w:lvl>
    <w:lvl w:ilvl="6" w:tplc="B1FA3CBE">
      <w:numFmt w:val="decimal"/>
      <w:lvlText w:val=""/>
      <w:lvlJc w:val="left"/>
    </w:lvl>
    <w:lvl w:ilvl="7" w:tplc="AEEC20E2">
      <w:numFmt w:val="decimal"/>
      <w:lvlText w:val=""/>
      <w:lvlJc w:val="left"/>
    </w:lvl>
    <w:lvl w:ilvl="8" w:tplc="DED4135A">
      <w:numFmt w:val="decimal"/>
      <w:lvlText w:val=""/>
      <w:lvlJc w:val="left"/>
    </w:lvl>
  </w:abstractNum>
  <w:num w:numId="1" w16cid:durableId="1739129202">
    <w:abstractNumId w:val="1"/>
    <w:lvlOverride w:ilvl="0">
      <w:startOverride w:val="1"/>
    </w:lvlOverride>
  </w:num>
  <w:num w:numId="2" w16cid:durableId="229001626">
    <w:abstractNumId w:val="2"/>
    <w:lvlOverride w:ilvl="0">
      <w:startOverride w:val="1"/>
    </w:lvlOverride>
  </w:num>
  <w:num w:numId="3" w16cid:durableId="181024137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C29"/>
    <w:rsid w:val="00B434B2"/>
    <w:rsid w:val="00DD753B"/>
    <w:rsid w:val="00F17C29"/>
    <w:rsid w:val="00FD59E2"/>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650D8"/>
  <w15:docId w15:val="{60D97623-2E30-4C42-869C-C0F333CF5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H"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2026-07-09T07:45:22+00:00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4CDD9C7-CBA0-463F-8246-4710BDA4B93C}"/>
</file>

<file path=customXml/itemProps2.xml><?xml version="1.0" encoding="utf-8"?>
<ds:datastoreItem xmlns:ds="http://schemas.openxmlformats.org/officeDocument/2006/customXml" ds:itemID="{C819914A-7920-4A27-9D8F-DA6E524D6228}"/>
</file>

<file path=customXml/itemProps3.xml><?xml version="1.0" encoding="utf-8"?>
<ds:datastoreItem xmlns:ds="http://schemas.openxmlformats.org/officeDocument/2006/customXml" ds:itemID="{F08EE1BA-CD30-4A09-A4BD-CF372FAB8F76}"/>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3507</Words>
  <Characters>19996</Characters>
  <Application>Microsoft Office Word</Application>
  <DocSecurity>4</DocSecurity>
  <Lines>166</Lines>
  <Paragraphs>46</Paragraphs>
  <ScaleCrop>false</ScaleCrop>
  <Company/>
  <LinksUpToDate>false</LinksUpToDate>
  <CharactersWithSpaces>23457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Jorge Araya</cp:lastModifiedBy>
  <cp:revision>2</cp:revision>
  <dcterms:created xsi:type="dcterms:W3CDTF">2026-07-09T07:45:00Z</dcterms:created>
  <dcterms:modified xsi:type="dcterms:W3CDTF">2026-07-09T07:45:00Z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