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2376F" w14:paraId="36A0BD97" w14:textId="77777777" w:rsidTr="00E56EE3">
        <w:trPr>
          <w:trHeight w:hRule="exact" w:val="851"/>
        </w:trPr>
        <w:tc>
          <w:tcPr>
            <w:tcW w:w="1280" w:type="dxa"/>
            <w:tcBorders>
              <w:bottom w:val="single" w:sz="4" w:space="0" w:color="auto"/>
            </w:tcBorders>
            <w:shd w:val="clear" w:color="auto" w:fill="auto"/>
          </w:tcPr>
          <w:p w14:paraId="70A3F7C1" w14:textId="77777777" w:rsidR="002D5AAC" w:rsidRDefault="002D5AAC" w:rsidP="00E56EE3"/>
        </w:tc>
        <w:tc>
          <w:tcPr>
            <w:tcW w:w="2273" w:type="dxa"/>
            <w:tcBorders>
              <w:bottom w:val="single" w:sz="4" w:space="0" w:color="auto"/>
            </w:tcBorders>
            <w:shd w:val="clear" w:color="auto" w:fill="auto"/>
            <w:vAlign w:val="bottom"/>
          </w:tcPr>
          <w:p w14:paraId="5D64A3B8" w14:textId="77777777" w:rsidR="002D5AAC" w:rsidRPr="00D4778E" w:rsidRDefault="00A8230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8E9A661" w14:textId="610D8BB7" w:rsidR="002D5AAC" w:rsidRPr="008F18A7" w:rsidRDefault="008F18A7" w:rsidP="008F18A7">
            <w:pPr>
              <w:jc w:val="right"/>
            </w:pPr>
            <w:r w:rsidRPr="008F18A7">
              <w:rPr>
                <w:sz w:val="40"/>
              </w:rPr>
              <w:t>CMW</w:t>
            </w:r>
            <w:r>
              <w:t>/C/HND/Q/2</w:t>
            </w:r>
          </w:p>
        </w:tc>
      </w:tr>
      <w:tr w:rsidR="0002376F" w14:paraId="55304416" w14:textId="77777777" w:rsidTr="00E56EE3">
        <w:trPr>
          <w:trHeight w:hRule="exact" w:val="2835"/>
        </w:trPr>
        <w:tc>
          <w:tcPr>
            <w:tcW w:w="1280" w:type="dxa"/>
            <w:tcBorders>
              <w:top w:val="single" w:sz="4" w:space="0" w:color="auto"/>
              <w:bottom w:val="single" w:sz="12" w:space="0" w:color="auto"/>
            </w:tcBorders>
            <w:shd w:val="clear" w:color="auto" w:fill="auto"/>
          </w:tcPr>
          <w:p w14:paraId="4F96287D" w14:textId="77777777" w:rsidR="002D5AAC" w:rsidRDefault="00A8230F" w:rsidP="00E56EE3">
            <w:pPr>
              <w:spacing w:before="120"/>
              <w:jc w:val="center"/>
            </w:pPr>
            <w:r>
              <w:rPr>
                <w:noProof/>
                <w:lang w:eastAsia="zh-CN"/>
              </w:rPr>
              <w:drawing>
                <wp:inline distT="0" distB="0" distL="0" distR="0" wp14:anchorId="28948D7C" wp14:editId="66049A6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E9C2D0F" w14:textId="77777777" w:rsidR="002D5AAC" w:rsidRPr="00D4778E" w:rsidRDefault="00A8230F"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AE6966">
              <w:rPr>
                <w:b/>
                <w:sz w:val="34"/>
                <w:szCs w:val="34"/>
              </w:rPr>
              <w:t xml:space="preserve">Sus </w:t>
            </w:r>
            <w:r>
              <w:rPr>
                <w:b/>
                <w:sz w:val="34"/>
                <w:szCs w:val="34"/>
              </w:rPr>
              <w:t>Familiares</w:t>
            </w:r>
          </w:p>
        </w:tc>
        <w:tc>
          <w:tcPr>
            <w:tcW w:w="2819" w:type="dxa"/>
            <w:tcBorders>
              <w:top w:val="single" w:sz="4" w:space="0" w:color="auto"/>
              <w:bottom w:val="single" w:sz="12" w:space="0" w:color="auto"/>
            </w:tcBorders>
            <w:shd w:val="clear" w:color="auto" w:fill="auto"/>
          </w:tcPr>
          <w:p w14:paraId="587976A2" w14:textId="0098BB15" w:rsidR="00935A0B" w:rsidRPr="00F43810" w:rsidRDefault="00A8230F" w:rsidP="00935A0B">
            <w:pPr>
              <w:spacing w:before="240" w:line="240" w:lineRule="exact"/>
            </w:pPr>
            <w:r w:rsidRPr="00F43810">
              <w:t xml:space="preserve">Distr. </w:t>
            </w:r>
            <w:r w:rsidR="00AF3A0F">
              <w:t>general</w:t>
            </w:r>
          </w:p>
          <w:p w14:paraId="46C90B0E" w14:textId="3BB23463" w:rsidR="00935A0B" w:rsidRPr="00F43810" w:rsidRDefault="007F1256" w:rsidP="00935A0B">
            <w:r>
              <w:t>2</w:t>
            </w:r>
            <w:r w:rsidR="00A8230F" w:rsidRPr="00F43810">
              <w:t xml:space="preserve"> de </w:t>
            </w:r>
            <w:r w:rsidR="00C71928">
              <w:t>ju</w:t>
            </w:r>
            <w:r>
              <w:t>l</w:t>
            </w:r>
            <w:r w:rsidR="00C71928">
              <w:t>io</w:t>
            </w:r>
            <w:r w:rsidR="00A8230F" w:rsidRPr="00F43810">
              <w:t xml:space="preserve"> de 2024</w:t>
            </w:r>
          </w:p>
          <w:p w14:paraId="29B9E8A3" w14:textId="77777777" w:rsidR="00935A0B" w:rsidRPr="00F43810" w:rsidRDefault="00935A0B" w:rsidP="00935A0B"/>
          <w:p w14:paraId="5C1E72CE" w14:textId="77777777" w:rsidR="00935A0B" w:rsidRPr="00F43810" w:rsidRDefault="00A8230F" w:rsidP="00935A0B">
            <w:r w:rsidRPr="00F43810">
              <w:t>Original: español</w:t>
            </w:r>
          </w:p>
          <w:p w14:paraId="17272E84" w14:textId="77777777" w:rsidR="002D5AAC" w:rsidRDefault="00935A0B" w:rsidP="00935A0B">
            <w:pPr>
              <w:spacing w:line="240" w:lineRule="exact"/>
            </w:pPr>
            <w:r w:rsidRPr="00F43810">
              <w:t>Español, francés e inglés únicamente</w:t>
            </w:r>
          </w:p>
        </w:tc>
      </w:tr>
    </w:tbl>
    <w:p w14:paraId="37B0DA6E" w14:textId="38A0AE80" w:rsidR="001A4396" w:rsidRDefault="00A8230F" w:rsidP="001A4396">
      <w:pPr>
        <w:spacing w:before="120"/>
        <w:rPr>
          <w:b/>
          <w:sz w:val="24"/>
          <w:szCs w:val="24"/>
        </w:rPr>
      </w:pPr>
      <w:r w:rsidRPr="00897E35">
        <w:rPr>
          <w:b/>
          <w:sz w:val="24"/>
          <w:szCs w:val="24"/>
        </w:rPr>
        <w:t>Comité de Protección de los Derechos de Todos</w:t>
      </w:r>
      <w:r w:rsidR="007F1256">
        <w:rPr>
          <w:b/>
          <w:sz w:val="24"/>
          <w:szCs w:val="24"/>
        </w:rPr>
        <w:br/>
      </w:r>
      <w:r w:rsidRPr="00897E35">
        <w:rPr>
          <w:b/>
          <w:sz w:val="24"/>
          <w:szCs w:val="24"/>
        </w:rPr>
        <w:t xml:space="preserve">los Trabajadores Migratorios y de </w:t>
      </w:r>
      <w:r w:rsidR="004C2B82" w:rsidRPr="00897E35">
        <w:rPr>
          <w:b/>
          <w:sz w:val="24"/>
          <w:szCs w:val="24"/>
        </w:rPr>
        <w:t xml:space="preserve">Sus </w:t>
      </w:r>
      <w:r w:rsidRPr="00897E35">
        <w:rPr>
          <w:b/>
          <w:sz w:val="24"/>
          <w:szCs w:val="24"/>
        </w:rPr>
        <w:t>Familiares</w:t>
      </w:r>
    </w:p>
    <w:p w14:paraId="33062273" w14:textId="4B2D09F4" w:rsidR="0017147B" w:rsidRPr="001207D3" w:rsidRDefault="00A8230F" w:rsidP="007F1256">
      <w:pPr>
        <w:pStyle w:val="HChG"/>
      </w:pPr>
      <w:r>
        <w:tab/>
      </w:r>
      <w:r>
        <w:tab/>
        <w:t>Lista de cuestiones relativa al segundo informe periódico de</w:t>
      </w:r>
      <w:r w:rsidR="00257AE4">
        <w:t> </w:t>
      </w:r>
      <w:r>
        <w:t>Honduras</w:t>
      </w:r>
      <w:r w:rsidR="00AF3A0F" w:rsidRPr="008D3DDF">
        <w:rPr>
          <w:rStyle w:val="Refdenotaalpie"/>
          <w:b w:val="0"/>
          <w:bCs/>
          <w:sz w:val="20"/>
          <w:vertAlign w:val="baseline"/>
        </w:rPr>
        <w:footnoteReference w:customMarkFollows="1" w:id="2"/>
        <w:t>*</w:t>
      </w:r>
    </w:p>
    <w:p w14:paraId="048A8DE1" w14:textId="288F096C" w:rsidR="002328EA" w:rsidRPr="004D472F" w:rsidRDefault="002328EA" w:rsidP="007F1256">
      <w:pPr>
        <w:pStyle w:val="HChG"/>
      </w:pPr>
      <w:r w:rsidRPr="004D472F">
        <w:tab/>
        <w:t>I.</w:t>
      </w:r>
      <w:r w:rsidRPr="004D472F">
        <w:tab/>
        <w:t>Información general</w:t>
      </w:r>
    </w:p>
    <w:p w14:paraId="12FC1512" w14:textId="77777777" w:rsidR="00717F04" w:rsidRDefault="0072465D" w:rsidP="00717F04">
      <w:pPr>
        <w:pStyle w:val="SingleTxtG"/>
      </w:pPr>
      <w:r w:rsidRPr="00AF3A0F">
        <w:t>1.</w:t>
      </w:r>
      <w:r w:rsidRPr="00AF3A0F">
        <w:tab/>
      </w:r>
      <w:r w:rsidR="004D5599" w:rsidRPr="00AF3A0F">
        <w:t>Sírva</w:t>
      </w:r>
      <w:r w:rsidR="00FD1F15">
        <w:t>n</w:t>
      </w:r>
      <w:r w:rsidR="004D5599" w:rsidRPr="00AF3A0F">
        <w:t xml:space="preserve">se brindar información sobre las medidas adoptadas para reformar la </w:t>
      </w:r>
      <w:r w:rsidR="00FD1F15">
        <w:t>L</w:t>
      </w:r>
      <w:r w:rsidR="004D5599" w:rsidRPr="00AF3A0F">
        <w:t xml:space="preserve">ey de </w:t>
      </w:r>
      <w:r w:rsidR="00FD1F15">
        <w:t>M</w:t>
      </w:r>
      <w:r w:rsidR="004D5599" w:rsidRPr="00AF3A0F">
        <w:t xml:space="preserve">igración y </w:t>
      </w:r>
      <w:r w:rsidR="00FD1F15">
        <w:t>E</w:t>
      </w:r>
      <w:r w:rsidR="004D5599" w:rsidRPr="00AF3A0F">
        <w:t xml:space="preserve">xtranjería a fin de adecuarla a las obligaciones emanadas de la Convención y otros tratados de derechos humanos ratificados por el Estado parte. En el caso </w:t>
      </w:r>
      <w:r w:rsidR="00FD1F15">
        <w:t xml:space="preserve">de </w:t>
      </w:r>
      <w:r w:rsidR="004D5599" w:rsidRPr="00AF3A0F">
        <w:t>que esta normativa</w:t>
      </w:r>
      <w:r w:rsidR="00221ED8" w:rsidRPr="00AF3A0F">
        <w:t xml:space="preserve"> no</w:t>
      </w:r>
      <w:r w:rsidR="004D5599" w:rsidRPr="00AF3A0F">
        <w:t xml:space="preserve"> haya sido reformada aún, proporcione</w:t>
      </w:r>
      <w:r w:rsidR="00FD1F15">
        <w:t>n</w:t>
      </w:r>
      <w:r w:rsidR="004D5599" w:rsidRPr="00AF3A0F">
        <w:t xml:space="preserve"> información sobre los motivos de ello, así como sobre las medidas que estarían siendo diseñadas para implementar la</w:t>
      </w:r>
      <w:r w:rsidR="00221ED8" w:rsidRPr="00AF3A0F">
        <w:t xml:space="preserve"> anterior</w:t>
      </w:r>
      <w:r w:rsidR="004D5599" w:rsidRPr="00AF3A0F">
        <w:t xml:space="preserve"> recomendación del Comité al respecto</w:t>
      </w:r>
      <w:r w:rsidR="00FD1F15">
        <w:rPr>
          <w:rStyle w:val="Refdenotaalpie"/>
        </w:rPr>
        <w:footnoteReference w:id="3"/>
      </w:r>
      <w:r w:rsidR="004D5599" w:rsidRPr="00AF3A0F">
        <w:t xml:space="preserve">. </w:t>
      </w:r>
      <w:r w:rsidRPr="00AF3A0F">
        <w:t xml:space="preserve">Sírvanse proporcionar información sobre las medidas adoptadas por el Estado parte para armonizar la </w:t>
      </w:r>
      <w:r w:rsidR="00620D16" w:rsidRPr="00AF3A0F">
        <w:t>Ley de Protección de los Hondureños Migrantes y sus Familiares</w:t>
      </w:r>
      <w:r w:rsidR="00FD1F15">
        <w:t xml:space="preserve">, de </w:t>
      </w:r>
      <w:r w:rsidR="00620D16" w:rsidRPr="00AF3A0F">
        <w:t>2013, así como su Reglamento</w:t>
      </w:r>
      <w:r w:rsidR="00FD1F15">
        <w:t xml:space="preserve">, de </w:t>
      </w:r>
      <w:r w:rsidR="00620D16" w:rsidRPr="00AF3A0F">
        <w:t>2015</w:t>
      </w:r>
      <w:r w:rsidR="00FD1F15">
        <w:t>,</w:t>
      </w:r>
      <w:r w:rsidR="00620D16" w:rsidRPr="00AF3A0F">
        <w:t xml:space="preserve"> </w:t>
      </w:r>
      <w:r w:rsidRPr="00AF3A0F">
        <w:t>con las disposiciones de la Convención y</w:t>
      </w:r>
      <w:r w:rsidR="00495176">
        <w:t>,</w:t>
      </w:r>
      <w:r w:rsidRPr="00AF3A0F">
        <w:t xml:space="preserve"> en particular</w:t>
      </w:r>
      <w:r w:rsidR="00495176">
        <w:t>,</w:t>
      </w:r>
      <w:r w:rsidRPr="00AF3A0F">
        <w:t xml:space="preserve"> para </w:t>
      </w:r>
      <w:r w:rsidR="00495176">
        <w:t xml:space="preserve">que </w:t>
      </w:r>
      <w:r w:rsidRPr="00AF3A0F">
        <w:t>inclu</w:t>
      </w:r>
      <w:r w:rsidR="00495176">
        <w:t>yan</w:t>
      </w:r>
      <w:r w:rsidRPr="00AF3A0F">
        <w:t xml:space="preserve"> todas las categorías de trabajadores migratorios enumeradas en el artículo 2</w:t>
      </w:r>
      <w:r w:rsidR="00495176">
        <w:t>, párrafo</w:t>
      </w:r>
      <w:r w:rsidR="007F1256">
        <w:t xml:space="preserve"> </w:t>
      </w:r>
      <w:r w:rsidR="00495176">
        <w:t>2,</w:t>
      </w:r>
      <w:r w:rsidRPr="00AF3A0F">
        <w:t xml:space="preserve"> de la Convención.</w:t>
      </w:r>
    </w:p>
    <w:p w14:paraId="154E5DB7" w14:textId="6B95F37A" w:rsidR="00717F04" w:rsidRPr="00717F04" w:rsidRDefault="00250E2C" w:rsidP="00C01D6E">
      <w:pPr>
        <w:pStyle w:val="SingleTxtG"/>
        <w:rPr>
          <w:rFonts w:ascii="Arial" w:hAnsi="Arial" w:cs="Arial"/>
          <w:color w:val="E36C0A" w:themeColor="accent6" w:themeShade="BF"/>
          <w:sz w:val="16"/>
          <w:szCs w:val="16"/>
        </w:rPr>
      </w:pPr>
      <w:r w:rsidRPr="00717F04">
        <w:rPr>
          <w:rFonts w:ascii="Arial" w:hAnsi="Arial" w:cs="Arial"/>
          <w:color w:val="E36C0A" w:themeColor="accent6" w:themeShade="BF"/>
          <w:sz w:val="16"/>
          <w:szCs w:val="16"/>
        </w:rPr>
        <w:t xml:space="preserve">- </w:t>
      </w:r>
      <w:r w:rsidR="00717F04" w:rsidRPr="00717F04">
        <w:rPr>
          <w:rFonts w:ascii="Arial" w:hAnsi="Arial" w:cs="Arial"/>
          <w:color w:val="E36C0A" w:themeColor="accent6" w:themeShade="BF"/>
          <w:sz w:val="16"/>
          <w:szCs w:val="16"/>
          <w:lang w:val="es-MX"/>
        </w:rPr>
        <w:t>Reformas y cambios recientes</w:t>
      </w:r>
      <w:r w:rsidR="00C01D6E">
        <w:rPr>
          <w:rFonts w:ascii="Arial" w:hAnsi="Arial" w:cs="Arial"/>
          <w:color w:val="E36C0A" w:themeColor="accent6" w:themeShade="BF"/>
          <w:sz w:val="16"/>
          <w:szCs w:val="16"/>
          <w:lang w:val="es-MX"/>
        </w:rPr>
        <w:t>:</w:t>
      </w:r>
      <w:r w:rsidR="00C01D6E">
        <w:rPr>
          <w:rFonts w:ascii="Arial" w:hAnsi="Arial" w:cs="Arial"/>
          <w:color w:val="E36C0A" w:themeColor="accent6" w:themeShade="BF"/>
          <w:sz w:val="16"/>
          <w:szCs w:val="16"/>
        </w:rPr>
        <w:t xml:space="preserve"> </w:t>
      </w:r>
      <w:r w:rsidR="00717F04" w:rsidRPr="00717F04">
        <w:rPr>
          <w:rFonts w:ascii="Arial" w:hAnsi="Arial" w:cs="Arial"/>
          <w:color w:val="E36C0A" w:themeColor="accent6" w:themeShade="BF"/>
          <w:sz w:val="16"/>
          <w:szCs w:val="16"/>
          <w:lang w:val="es-MX"/>
        </w:rPr>
        <w:t>Acuerdo Ministerial No. 374-2025 (vigente desde julio 2025)</w:t>
      </w:r>
    </w:p>
    <w:p w14:paraId="7A6DF0E5" w14:textId="77777777" w:rsidR="00717F04" w:rsidRPr="00717F04" w:rsidRDefault="00717F04" w:rsidP="00C01D6E">
      <w:pPr>
        <w:pStyle w:val="SingleTxtG"/>
        <w:spacing w:line="240" w:lineRule="auto"/>
        <w:rPr>
          <w:rFonts w:ascii="Arial" w:hAnsi="Arial" w:cs="Arial"/>
          <w:color w:val="E36C0A" w:themeColor="accent6" w:themeShade="BF"/>
          <w:sz w:val="16"/>
          <w:szCs w:val="16"/>
          <w:lang w:val="es-MX"/>
        </w:rPr>
      </w:pPr>
      <w:r w:rsidRPr="00717F04">
        <w:rPr>
          <w:rFonts w:ascii="Arial" w:hAnsi="Arial" w:cs="Arial"/>
          <w:color w:val="E36C0A" w:themeColor="accent6" w:themeShade="BF"/>
          <w:sz w:val="16"/>
          <w:szCs w:val="16"/>
          <w:lang w:val="es-MX"/>
        </w:rPr>
        <w:t>Flexibiliza requisitos para residencia en casos excepcionales que no encajan en categorías tradicionales (rentista, pensionado, inversionista, trabajador formal).</w:t>
      </w:r>
    </w:p>
    <w:p w14:paraId="66BF82F7" w14:textId="77777777" w:rsidR="00717F04" w:rsidRPr="00717F04" w:rsidRDefault="00717F04" w:rsidP="00C01D6E">
      <w:pPr>
        <w:pStyle w:val="SingleTxtG"/>
        <w:spacing w:line="240" w:lineRule="auto"/>
        <w:rPr>
          <w:rFonts w:ascii="Arial" w:hAnsi="Arial" w:cs="Arial"/>
          <w:color w:val="E36C0A" w:themeColor="accent6" w:themeShade="BF"/>
          <w:sz w:val="16"/>
          <w:szCs w:val="16"/>
          <w:lang w:val="es-MX"/>
        </w:rPr>
      </w:pPr>
      <w:r w:rsidRPr="00717F04">
        <w:rPr>
          <w:rFonts w:ascii="Arial" w:hAnsi="Arial" w:cs="Arial"/>
          <w:color w:val="E36C0A" w:themeColor="accent6" w:themeShade="BF"/>
          <w:sz w:val="16"/>
          <w:szCs w:val="16"/>
          <w:lang w:val="es-MX"/>
        </w:rPr>
        <w:t>Nueva categoría migratoria especial: permite aplicar si se cumple al menos el 50% de los requisitos económicos de las categorías convencionales.</w:t>
      </w:r>
    </w:p>
    <w:p w14:paraId="5C102EA5" w14:textId="77777777" w:rsidR="00717F04" w:rsidRPr="00717F04" w:rsidRDefault="00717F04" w:rsidP="00C01D6E">
      <w:pPr>
        <w:pStyle w:val="SingleTxtG"/>
        <w:spacing w:line="240" w:lineRule="auto"/>
        <w:rPr>
          <w:rFonts w:ascii="Arial" w:hAnsi="Arial" w:cs="Arial"/>
          <w:color w:val="E36C0A" w:themeColor="accent6" w:themeShade="BF"/>
          <w:sz w:val="16"/>
          <w:szCs w:val="16"/>
          <w:lang w:val="es-MX"/>
        </w:rPr>
      </w:pPr>
      <w:r w:rsidRPr="00717F04">
        <w:rPr>
          <w:rFonts w:ascii="Arial" w:hAnsi="Arial" w:cs="Arial"/>
          <w:color w:val="E36C0A" w:themeColor="accent6" w:themeShade="BF"/>
          <w:sz w:val="16"/>
          <w:szCs w:val="16"/>
          <w:lang w:val="es-MX"/>
        </w:rPr>
        <w:t>Regularización de permisos vencidos: personas con hasta 5 años de estadía y permisos agotados pueden solicitar residencia.</w:t>
      </w:r>
    </w:p>
    <w:p w14:paraId="1F2F65EA" w14:textId="77777777" w:rsidR="00717F04" w:rsidRPr="00717F04" w:rsidRDefault="00717F04" w:rsidP="00C01D6E">
      <w:pPr>
        <w:pStyle w:val="SingleTxtG"/>
        <w:spacing w:line="240" w:lineRule="auto"/>
        <w:rPr>
          <w:rFonts w:ascii="Arial" w:hAnsi="Arial" w:cs="Arial"/>
          <w:color w:val="E36C0A" w:themeColor="accent6" w:themeShade="BF"/>
          <w:sz w:val="16"/>
          <w:szCs w:val="16"/>
          <w:lang w:val="es-MX"/>
        </w:rPr>
      </w:pPr>
      <w:r w:rsidRPr="00717F04">
        <w:rPr>
          <w:rFonts w:ascii="Arial" w:hAnsi="Arial" w:cs="Arial"/>
          <w:color w:val="E36C0A" w:themeColor="accent6" w:themeShade="BF"/>
          <w:sz w:val="16"/>
          <w:szCs w:val="16"/>
          <w:lang w:val="es-MX"/>
        </w:rPr>
        <w:t>Trabajadores extranjeros: deben acreditar 2 años de residencia legal, autorización laboral y cumplir con el Código del Trabajo (90% de empleados hondureños).</w:t>
      </w:r>
    </w:p>
    <w:p w14:paraId="1C833ED5" w14:textId="3F3995AA" w:rsidR="00717F04" w:rsidRPr="00717F04" w:rsidRDefault="00717F04" w:rsidP="00C01D6E">
      <w:pPr>
        <w:pStyle w:val="SingleTxtG"/>
        <w:spacing w:line="240" w:lineRule="auto"/>
        <w:rPr>
          <w:rFonts w:ascii="Arial" w:hAnsi="Arial" w:cs="Arial"/>
          <w:color w:val="E36C0A" w:themeColor="accent6" w:themeShade="BF"/>
          <w:sz w:val="16"/>
          <w:szCs w:val="16"/>
          <w:lang w:val="es-MX"/>
        </w:rPr>
      </w:pPr>
      <w:r w:rsidRPr="00717F04">
        <w:rPr>
          <w:rFonts w:ascii="Arial" w:hAnsi="Arial" w:cs="Arial"/>
          <w:color w:val="E36C0A" w:themeColor="accent6" w:themeShade="BF"/>
          <w:sz w:val="16"/>
          <w:szCs w:val="16"/>
          <w:lang w:val="es-MX"/>
        </w:rPr>
        <w:t xml:space="preserve">Razones humanitarias o familiares: residencia posible con 120 días de estadía legal y justificación por interés público, dependencia económica o parentesco. </w:t>
      </w:r>
      <w:hyperlink r:id="rId12" w:history="1">
        <w:r w:rsidRPr="00717F04">
          <w:rPr>
            <w:rStyle w:val="Hipervnculo"/>
            <w:rFonts w:ascii="Arial" w:hAnsi="Arial" w:cs="Arial"/>
            <w:color w:val="E36C0A" w:themeColor="accent6" w:themeShade="BF"/>
            <w:sz w:val="16"/>
            <w:szCs w:val="16"/>
            <w:lang w:val="es-MX"/>
          </w:rPr>
          <w:t>[garciabodan.com]</w:t>
        </w:r>
      </w:hyperlink>
      <w:r w:rsidRPr="00717F04">
        <w:rPr>
          <w:rFonts w:ascii="Arial" w:hAnsi="Arial" w:cs="Arial"/>
          <w:color w:val="E36C0A" w:themeColor="accent6" w:themeShade="BF"/>
          <w:sz w:val="16"/>
          <w:szCs w:val="16"/>
          <w:lang w:val="es-MX"/>
        </w:rPr>
        <w:t xml:space="preserve">, </w:t>
      </w:r>
      <w:hyperlink r:id="rId13" w:history="1">
        <w:r w:rsidRPr="00717F04">
          <w:rPr>
            <w:rStyle w:val="Hipervnculo"/>
            <w:rFonts w:ascii="Arial" w:hAnsi="Arial" w:cs="Arial"/>
            <w:color w:val="E36C0A" w:themeColor="accent6" w:themeShade="BF"/>
            <w:sz w:val="16"/>
            <w:szCs w:val="16"/>
            <w:lang w:val="es-MX"/>
          </w:rPr>
          <w:t>[laprensa.hn]</w:t>
        </w:r>
      </w:hyperlink>
      <w:r w:rsidRPr="00717F04">
        <w:rPr>
          <w:rFonts w:ascii="Arial" w:hAnsi="Arial" w:cs="Arial"/>
          <w:color w:val="E36C0A" w:themeColor="accent6" w:themeShade="BF"/>
          <w:sz w:val="16"/>
          <w:szCs w:val="16"/>
          <w:lang w:val="es-MX"/>
        </w:rPr>
        <w:t xml:space="preserve">, </w:t>
      </w:r>
      <w:hyperlink r:id="rId14" w:history="1">
        <w:r w:rsidRPr="00717F04">
          <w:rPr>
            <w:rStyle w:val="Hipervnculo"/>
            <w:rFonts w:ascii="Arial" w:hAnsi="Arial" w:cs="Arial"/>
            <w:color w:val="E36C0A" w:themeColor="accent6" w:themeShade="BF"/>
            <w:sz w:val="16"/>
            <w:szCs w:val="16"/>
            <w:lang w:val="es-MX"/>
          </w:rPr>
          <w:t>[elheraldo.hn]</w:t>
        </w:r>
      </w:hyperlink>
    </w:p>
    <w:p w14:paraId="0EC37C5B" w14:textId="360CF2CA" w:rsidR="00717F04" w:rsidRPr="00717F04" w:rsidRDefault="00717F04" w:rsidP="00C01D6E">
      <w:pPr>
        <w:pStyle w:val="SingleTxtG"/>
        <w:spacing w:line="240" w:lineRule="auto"/>
        <w:rPr>
          <w:rFonts w:ascii="Arial" w:hAnsi="Arial" w:cs="Arial"/>
          <w:color w:val="E36C0A" w:themeColor="accent6" w:themeShade="BF"/>
          <w:sz w:val="16"/>
          <w:szCs w:val="16"/>
          <w:lang w:val="es-MX"/>
        </w:rPr>
      </w:pPr>
      <w:r w:rsidRPr="00717F04">
        <w:rPr>
          <w:rFonts w:ascii="Arial" w:hAnsi="Arial" w:cs="Arial"/>
          <w:color w:val="E36C0A" w:themeColor="accent6" w:themeShade="BF"/>
          <w:sz w:val="16"/>
          <w:szCs w:val="16"/>
          <w:lang w:val="es-MX"/>
        </w:rPr>
        <w:t>Próxima reforma integral</w:t>
      </w:r>
      <w:r w:rsidR="00C01D6E">
        <w:rPr>
          <w:rFonts w:ascii="Arial" w:hAnsi="Arial" w:cs="Arial"/>
          <w:color w:val="E36C0A" w:themeColor="accent6" w:themeShade="BF"/>
          <w:sz w:val="16"/>
          <w:szCs w:val="16"/>
          <w:lang w:val="es-MX"/>
        </w:rPr>
        <w:t xml:space="preserve">: </w:t>
      </w:r>
      <w:r w:rsidRPr="00717F04">
        <w:rPr>
          <w:rFonts w:ascii="Arial" w:hAnsi="Arial" w:cs="Arial"/>
          <w:color w:val="E36C0A" w:themeColor="accent6" w:themeShade="BF"/>
          <w:sz w:val="16"/>
          <w:szCs w:val="16"/>
          <w:lang w:val="es-MX"/>
        </w:rPr>
        <w:t>El Instituto Nacional de Migración anunció que en 2025 se presentará ante el Congreso una nueva Ley de Migración y Extranjería, para actualizar la normativa vigente desde 2003.</w:t>
      </w:r>
      <w:r w:rsidR="00C01D6E">
        <w:rPr>
          <w:rFonts w:ascii="Arial" w:hAnsi="Arial" w:cs="Arial"/>
          <w:color w:val="E36C0A" w:themeColor="accent6" w:themeShade="BF"/>
          <w:sz w:val="16"/>
          <w:szCs w:val="16"/>
          <w:lang w:val="es-MX"/>
        </w:rPr>
        <w:t xml:space="preserve"> Con el o</w:t>
      </w:r>
      <w:r w:rsidRPr="00717F04">
        <w:rPr>
          <w:rFonts w:ascii="Arial" w:hAnsi="Arial" w:cs="Arial"/>
          <w:color w:val="E36C0A" w:themeColor="accent6" w:themeShade="BF"/>
          <w:sz w:val="16"/>
          <w:szCs w:val="16"/>
          <w:lang w:val="es-MX"/>
        </w:rPr>
        <w:t xml:space="preserve">bjetivo: garantizar derechos humanos, regular flujos migratorios y adaptarse a la realidad económica y social del país. </w:t>
      </w:r>
      <w:hyperlink r:id="rId15" w:history="1">
        <w:r w:rsidRPr="00717F04">
          <w:rPr>
            <w:rStyle w:val="Hipervnculo"/>
            <w:rFonts w:ascii="Arial" w:hAnsi="Arial" w:cs="Arial"/>
            <w:color w:val="E36C0A" w:themeColor="accent6" w:themeShade="BF"/>
            <w:sz w:val="16"/>
            <w:szCs w:val="16"/>
            <w:lang w:val="es-MX"/>
          </w:rPr>
          <w:t>[latitudhn.com]</w:t>
        </w:r>
      </w:hyperlink>
    </w:p>
    <w:p w14:paraId="74EE58DD" w14:textId="25206803" w:rsidR="00717F04" w:rsidRDefault="00717F04" w:rsidP="00C01D6E">
      <w:pPr>
        <w:pStyle w:val="SingleTxtG"/>
        <w:spacing w:line="240" w:lineRule="auto"/>
        <w:rPr>
          <w:rFonts w:ascii="Arial" w:hAnsi="Arial" w:cs="Arial"/>
          <w:color w:val="E36C0A" w:themeColor="accent6" w:themeShade="BF"/>
          <w:sz w:val="16"/>
          <w:szCs w:val="16"/>
          <w:lang w:val="es-MX"/>
        </w:rPr>
      </w:pPr>
      <w:r w:rsidRPr="00717F04">
        <w:rPr>
          <w:rFonts w:ascii="Arial" w:hAnsi="Arial" w:cs="Arial"/>
          <w:color w:val="E36C0A" w:themeColor="accent6" w:themeShade="BF"/>
          <w:sz w:val="16"/>
          <w:szCs w:val="16"/>
          <w:lang w:val="es-MX"/>
        </w:rPr>
        <w:t>Amnistía migratoria y tránsito seguro</w:t>
      </w:r>
      <w:r w:rsidR="00C01D6E">
        <w:rPr>
          <w:rFonts w:ascii="Arial" w:hAnsi="Arial" w:cs="Arial"/>
          <w:color w:val="E36C0A" w:themeColor="accent6" w:themeShade="BF"/>
          <w:sz w:val="16"/>
          <w:szCs w:val="16"/>
          <w:lang w:val="es-MX"/>
        </w:rPr>
        <w:t xml:space="preserve">: </w:t>
      </w:r>
      <w:r w:rsidRPr="00717F04">
        <w:rPr>
          <w:rFonts w:ascii="Arial" w:hAnsi="Arial" w:cs="Arial"/>
          <w:color w:val="E36C0A" w:themeColor="accent6" w:themeShade="BF"/>
          <w:sz w:val="16"/>
          <w:szCs w:val="16"/>
          <w:lang w:val="es-MX"/>
        </w:rPr>
        <w:t xml:space="preserve">Se discute eliminar multas para migrantes en tránsito (actualmente $240) y establecer un marco legal más sólido para garantizar un tránsito digno. </w:t>
      </w:r>
    </w:p>
    <w:p w14:paraId="3C18FAF8" w14:textId="77777777" w:rsidR="000A5E43" w:rsidRPr="000A5E43" w:rsidRDefault="000A5E43" w:rsidP="000A5E43">
      <w:pPr>
        <w:pStyle w:val="SingleTxtG"/>
        <w:spacing w:line="240" w:lineRule="auto"/>
        <w:ind w:left="1854"/>
        <w:rPr>
          <w:rFonts w:ascii="Arial" w:hAnsi="Arial" w:cs="Arial"/>
          <w:color w:val="E36C0A" w:themeColor="accent6" w:themeShade="BF"/>
          <w:sz w:val="16"/>
          <w:szCs w:val="16"/>
          <w:lang w:val="es-MX"/>
        </w:rPr>
      </w:pPr>
    </w:p>
    <w:p w14:paraId="6B531535" w14:textId="67052319" w:rsidR="0072465D" w:rsidRDefault="002328EA" w:rsidP="00F964B3">
      <w:pPr>
        <w:pStyle w:val="SingleTxtG"/>
      </w:pPr>
      <w:r w:rsidRPr="00F964B3">
        <w:t>2.</w:t>
      </w:r>
      <w:r w:rsidRPr="00F964B3">
        <w:tab/>
      </w:r>
      <w:r w:rsidR="00187EAD" w:rsidRPr="00F964B3">
        <w:t>S</w:t>
      </w:r>
      <w:r w:rsidRPr="00F964B3">
        <w:t xml:space="preserve">írvanse explicar las disposiciones adoptadas por el Estado parte para institucionalizar </w:t>
      </w:r>
      <w:r w:rsidR="00AB0A43" w:rsidRPr="00F964B3">
        <w:t xml:space="preserve">y aumentar </w:t>
      </w:r>
      <w:r w:rsidRPr="00F964B3">
        <w:t>la</w:t>
      </w:r>
      <w:r w:rsidR="00187EAD" w:rsidRPr="00F964B3">
        <w:t xml:space="preserve"> coordinación entre </w:t>
      </w:r>
      <w:r w:rsidRPr="00F964B3">
        <w:t>el</w:t>
      </w:r>
      <w:r w:rsidR="00AA4865" w:rsidRPr="00F964B3">
        <w:t xml:space="preserve"> </w:t>
      </w:r>
      <w:r w:rsidR="00A27130" w:rsidRPr="00F964B3">
        <w:t>Consejo Nacional para la Protección al Hondureño Migrante</w:t>
      </w:r>
      <w:r w:rsidR="00AA4865" w:rsidRPr="00F964B3">
        <w:t>, la Fuerza de Tarea de Atención al Migrante</w:t>
      </w:r>
      <w:r w:rsidRPr="00F964B3">
        <w:t xml:space="preserve"> y</w:t>
      </w:r>
      <w:r w:rsidR="00AB0A43" w:rsidRPr="00F964B3">
        <w:t xml:space="preserve"> otros organismos de todos los niveles </w:t>
      </w:r>
      <w:r w:rsidR="00AB0A43" w:rsidRPr="00F964B3">
        <w:lastRenderedPageBreak/>
        <w:t xml:space="preserve">de la </w:t>
      </w:r>
      <w:r w:rsidR="00495176">
        <w:t>A</w:t>
      </w:r>
      <w:r w:rsidR="00AB0A43" w:rsidRPr="00F964B3">
        <w:t xml:space="preserve">dministración </w:t>
      </w:r>
      <w:r w:rsidR="00495176">
        <w:t>P</w:t>
      </w:r>
      <w:r w:rsidR="00AB0A43" w:rsidRPr="00F964B3">
        <w:t xml:space="preserve">ública a fin de lograr la aplicación efectiva de los derechos protegidos por la Convención. </w:t>
      </w:r>
      <w:r w:rsidR="001D4360" w:rsidRPr="00F964B3">
        <w:t>Sírvanse</w:t>
      </w:r>
      <w:r w:rsidR="00AB0A43" w:rsidRPr="00F964B3">
        <w:t xml:space="preserve"> también proporcionar </w:t>
      </w:r>
      <w:r w:rsidR="001D4360" w:rsidRPr="00F964B3">
        <w:t>información</w:t>
      </w:r>
      <w:r w:rsidR="00AB0A43" w:rsidRPr="00F964B3">
        <w:t xml:space="preserve"> sobre medi</w:t>
      </w:r>
      <w:r w:rsidR="001D4360" w:rsidRPr="00F964B3">
        <w:t xml:space="preserve">das adoptadas para </w:t>
      </w:r>
      <w:r w:rsidR="00AB0A43" w:rsidRPr="00F964B3">
        <w:t>asegura</w:t>
      </w:r>
      <w:r w:rsidR="001D4360" w:rsidRPr="00F964B3">
        <w:t>r</w:t>
      </w:r>
      <w:r w:rsidR="00AB0A43" w:rsidRPr="00F964B3">
        <w:t xml:space="preserve"> recursos humanos y financieros </w:t>
      </w:r>
      <w:r w:rsidR="001D4360" w:rsidRPr="00F964B3">
        <w:t xml:space="preserve">suficientes para </w:t>
      </w:r>
      <w:r w:rsidR="00AB0A43" w:rsidRPr="00F964B3">
        <w:t xml:space="preserve">el Consejo Nacional para la Protección al Hondureño Migrante y otras instituciones esenciales que se ocupan de cuestiones relacionadas con la migración, el trabajo, la protección de la niñez, la igualdad de género y otras materias relativas a los derechos previstos en la </w:t>
      </w:r>
      <w:r w:rsidR="00AE093E" w:rsidRPr="00F964B3">
        <w:t>Convención,</w:t>
      </w:r>
      <w:r w:rsidR="00126B92" w:rsidRPr="00F964B3">
        <w:t xml:space="preserve"> así como los resultados obtenidos mediante estos esfuerzos</w:t>
      </w:r>
      <w:r w:rsidR="00AF3A0F">
        <w:rPr>
          <w:rStyle w:val="Refdenotaalpie"/>
        </w:rPr>
        <w:footnoteReference w:id="4"/>
      </w:r>
      <w:r w:rsidR="00495176">
        <w:t>.</w:t>
      </w:r>
    </w:p>
    <w:p w14:paraId="566908FD" w14:textId="067F9D43" w:rsidR="002627F0" w:rsidRPr="000A5E43" w:rsidRDefault="00552EF3" w:rsidP="00F964B3">
      <w:pPr>
        <w:pStyle w:val="SingleTxtG"/>
        <w:rPr>
          <w:rFonts w:ascii="Arial" w:hAnsi="Arial" w:cs="Arial"/>
          <w:color w:val="E36C0A" w:themeColor="accent6" w:themeShade="BF"/>
          <w:sz w:val="16"/>
          <w:szCs w:val="16"/>
        </w:rPr>
      </w:pPr>
      <w:r w:rsidRPr="000A5E43">
        <w:rPr>
          <w:rFonts w:ascii="Arial" w:hAnsi="Arial" w:cs="Arial"/>
          <w:color w:val="E36C0A" w:themeColor="accent6" w:themeShade="BF"/>
          <w:sz w:val="16"/>
          <w:szCs w:val="16"/>
        </w:rPr>
        <w:t>Se mantienen las coordinaciones</w:t>
      </w:r>
      <w:r w:rsidR="00452121" w:rsidRPr="000A5E43">
        <w:rPr>
          <w:rFonts w:ascii="Arial" w:hAnsi="Arial" w:cs="Arial"/>
          <w:color w:val="E36C0A" w:themeColor="accent6" w:themeShade="BF"/>
          <w:sz w:val="16"/>
          <w:szCs w:val="16"/>
        </w:rPr>
        <w:t xml:space="preserve"> interinstitucionales</w:t>
      </w:r>
      <w:r w:rsidR="002B5853" w:rsidRPr="000A5E43">
        <w:rPr>
          <w:rFonts w:ascii="Arial" w:hAnsi="Arial" w:cs="Arial"/>
          <w:color w:val="E36C0A" w:themeColor="accent6" w:themeShade="BF"/>
          <w:sz w:val="16"/>
          <w:szCs w:val="16"/>
        </w:rPr>
        <w:t xml:space="preserve">. </w:t>
      </w:r>
    </w:p>
    <w:p w14:paraId="1B1E7C49" w14:textId="77777777" w:rsidR="000A5E43" w:rsidRPr="000A5E43" w:rsidRDefault="00452121" w:rsidP="000A5E43">
      <w:pPr>
        <w:pStyle w:val="SingleTxtG"/>
        <w:rPr>
          <w:rFonts w:ascii="Arial" w:hAnsi="Arial" w:cs="Arial"/>
          <w:color w:val="E36C0A" w:themeColor="accent6" w:themeShade="BF"/>
          <w:sz w:val="16"/>
          <w:szCs w:val="16"/>
        </w:rPr>
      </w:pPr>
      <w:r w:rsidRPr="000A5E43">
        <w:rPr>
          <w:rFonts w:ascii="Arial" w:hAnsi="Arial" w:cs="Arial"/>
          <w:color w:val="E36C0A" w:themeColor="accent6" w:themeShade="BF"/>
          <w:sz w:val="16"/>
          <w:szCs w:val="16"/>
        </w:rPr>
        <w:t xml:space="preserve">Apertura de nuevas oficinas </w:t>
      </w:r>
      <w:r w:rsidR="000A5E43" w:rsidRPr="000A5E43">
        <w:rPr>
          <w:rFonts w:ascii="Arial" w:hAnsi="Arial" w:cs="Arial"/>
          <w:color w:val="E36C0A" w:themeColor="accent6" w:themeShade="BF"/>
          <w:sz w:val="16"/>
          <w:szCs w:val="16"/>
        </w:rPr>
        <w:t xml:space="preserve">representadas en </w:t>
      </w:r>
      <w:r w:rsidR="008542B1" w:rsidRPr="000A5E43">
        <w:rPr>
          <w:rFonts w:ascii="Arial" w:hAnsi="Arial" w:cs="Arial"/>
          <w:color w:val="E36C0A" w:themeColor="accent6" w:themeShade="BF"/>
          <w:sz w:val="16"/>
          <w:szCs w:val="16"/>
        </w:rPr>
        <w:t xml:space="preserve">59 consulados hondureños en el extranjero, además de 32 embajadas y 3 representaciones especiales. </w:t>
      </w:r>
      <w:hyperlink r:id="rId16" w:history="1">
        <w:r w:rsidR="008542B1" w:rsidRPr="000A5E43">
          <w:rPr>
            <w:rStyle w:val="Hipervnculo"/>
            <w:rFonts w:ascii="Arial" w:hAnsi="Arial" w:cs="Arial"/>
            <w:color w:val="E36C0A" w:themeColor="accent6" w:themeShade="BF"/>
            <w:sz w:val="16"/>
            <w:szCs w:val="16"/>
          </w:rPr>
          <w:t>[embassypages.com]</w:t>
        </w:r>
      </w:hyperlink>
    </w:p>
    <w:p w14:paraId="65578053" w14:textId="41DC97B4" w:rsidR="00552EF3" w:rsidRPr="000A5E43" w:rsidRDefault="00452121" w:rsidP="000A5E43">
      <w:pPr>
        <w:pStyle w:val="SingleTxtG"/>
        <w:rPr>
          <w:rFonts w:ascii="Arial" w:hAnsi="Arial" w:cs="Arial"/>
          <w:color w:val="E36C0A" w:themeColor="accent6" w:themeShade="BF"/>
          <w:sz w:val="16"/>
          <w:szCs w:val="16"/>
        </w:rPr>
      </w:pPr>
      <w:r w:rsidRPr="00452121">
        <w:rPr>
          <w:rFonts w:ascii="Arial" w:hAnsi="Arial" w:cs="Arial"/>
          <w:color w:val="E36C0A" w:themeColor="accent6" w:themeShade="BF"/>
          <w:sz w:val="16"/>
          <w:szCs w:val="16"/>
          <w:lang w:val="es-MX"/>
        </w:rPr>
        <w:t>Distribución por regiones</w:t>
      </w:r>
      <w:r w:rsidR="000A5E43" w:rsidRPr="000A5E43">
        <w:rPr>
          <w:rFonts w:ascii="Arial" w:hAnsi="Arial" w:cs="Arial"/>
          <w:color w:val="E36C0A" w:themeColor="accent6" w:themeShade="BF"/>
          <w:sz w:val="16"/>
          <w:szCs w:val="16"/>
        </w:rPr>
        <w:t xml:space="preserve">: </w:t>
      </w:r>
      <w:r w:rsidRPr="00452121">
        <w:rPr>
          <w:rFonts w:ascii="Arial" w:hAnsi="Arial" w:cs="Arial"/>
          <w:color w:val="E36C0A" w:themeColor="accent6" w:themeShade="BF"/>
          <w:sz w:val="16"/>
          <w:szCs w:val="16"/>
          <w:lang w:val="es-MX"/>
        </w:rPr>
        <w:t xml:space="preserve">Estados Unidos: Es el país con mayor presencia consular hondureña, con 14 consulados generales y la embajada en Washington D.C. (ciudades como Miami, Los Ángeles, Nueva York, Houston, Dallas, Atlanta, Chicago, Seattle, entre otras). </w:t>
      </w:r>
      <w:hyperlink r:id="rId17" w:history="1">
        <w:r w:rsidRPr="00452121">
          <w:rPr>
            <w:rStyle w:val="Hipervnculo"/>
            <w:rFonts w:ascii="Arial" w:hAnsi="Arial" w:cs="Arial"/>
            <w:color w:val="E36C0A" w:themeColor="accent6" w:themeShade="BF"/>
            <w:sz w:val="16"/>
            <w:szCs w:val="16"/>
            <w:lang w:val="es-MX"/>
          </w:rPr>
          <w:t>[consuladod</w:t>
        </w:r>
        <w:r w:rsidR="00491EC1">
          <w:rPr>
            <w:rStyle w:val="Hipervnculo"/>
            <w:rFonts w:ascii="Arial" w:hAnsi="Arial" w:cs="Arial"/>
            <w:color w:val="E36C0A" w:themeColor="accent6" w:themeShade="BF"/>
            <w:sz w:val="16"/>
            <w:szCs w:val="16"/>
            <w:lang w:val="es-MX"/>
          </w:rPr>
          <w:t>ehondurase</w:t>
        </w:r>
        <w:r w:rsidRPr="00452121">
          <w:rPr>
            <w:rStyle w:val="Hipervnculo"/>
            <w:rFonts w:ascii="Arial" w:hAnsi="Arial" w:cs="Arial"/>
            <w:color w:val="E36C0A" w:themeColor="accent6" w:themeShade="BF"/>
            <w:sz w:val="16"/>
            <w:szCs w:val="16"/>
            <w:lang w:val="es-MX"/>
          </w:rPr>
          <w:t>nusa.com]</w:t>
        </w:r>
      </w:hyperlink>
      <w:r w:rsidR="000A5E43" w:rsidRPr="000A5E43">
        <w:rPr>
          <w:rFonts w:ascii="Arial" w:hAnsi="Arial" w:cs="Arial"/>
          <w:color w:val="E36C0A" w:themeColor="accent6" w:themeShade="BF"/>
          <w:sz w:val="16"/>
          <w:szCs w:val="16"/>
        </w:rPr>
        <w:t xml:space="preserve">. </w:t>
      </w:r>
      <w:r w:rsidRPr="00452121">
        <w:rPr>
          <w:rFonts w:ascii="Arial" w:hAnsi="Arial" w:cs="Arial"/>
          <w:color w:val="E36C0A" w:themeColor="accent6" w:themeShade="BF"/>
          <w:sz w:val="16"/>
          <w:szCs w:val="16"/>
          <w:lang w:val="es-MX"/>
        </w:rPr>
        <w:t>América Latina y el Caribe: Consulados en países como México, Guatemala, El Salvador, Nicaragua, Costa Rica, Panamá, Belice, y algunos en Sudamérica (Chile, Ecuador, Colombia).</w:t>
      </w:r>
      <w:r w:rsidR="000A5E43" w:rsidRPr="000A5E43">
        <w:rPr>
          <w:rFonts w:ascii="Arial" w:hAnsi="Arial" w:cs="Arial"/>
          <w:color w:val="E36C0A" w:themeColor="accent6" w:themeShade="BF"/>
          <w:sz w:val="16"/>
          <w:szCs w:val="16"/>
        </w:rPr>
        <w:t xml:space="preserve"> </w:t>
      </w:r>
      <w:r w:rsidRPr="00452121">
        <w:rPr>
          <w:rFonts w:ascii="Arial" w:hAnsi="Arial" w:cs="Arial"/>
          <w:color w:val="E36C0A" w:themeColor="accent6" w:themeShade="BF"/>
          <w:sz w:val="16"/>
          <w:szCs w:val="16"/>
          <w:lang w:val="es-MX"/>
        </w:rPr>
        <w:t>Europa: Presencia en España, Italia, Francia, Alemania, Bélgica, Reino Unido.</w:t>
      </w:r>
      <w:r w:rsidR="000A5E43" w:rsidRPr="000A5E43">
        <w:rPr>
          <w:rFonts w:ascii="Arial" w:hAnsi="Arial" w:cs="Arial"/>
          <w:color w:val="E36C0A" w:themeColor="accent6" w:themeShade="BF"/>
          <w:sz w:val="16"/>
          <w:szCs w:val="16"/>
        </w:rPr>
        <w:t xml:space="preserve"> </w:t>
      </w:r>
      <w:r w:rsidRPr="00452121">
        <w:rPr>
          <w:rFonts w:ascii="Arial" w:hAnsi="Arial" w:cs="Arial"/>
          <w:color w:val="E36C0A" w:themeColor="accent6" w:themeShade="BF"/>
          <w:sz w:val="16"/>
          <w:szCs w:val="16"/>
          <w:lang w:val="es-MX"/>
        </w:rPr>
        <w:t>Asia: Representaciones en Japón, Corea del Sur y Taiwán.</w:t>
      </w:r>
      <w:r w:rsidR="00CF0A2E">
        <w:rPr>
          <w:rFonts w:ascii="Arial" w:hAnsi="Arial" w:cs="Arial"/>
          <w:color w:val="E36C0A" w:themeColor="accent6" w:themeShade="BF"/>
          <w:sz w:val="16"/>
          <w:szCs w:val="16"/>
          <w:lang w:val="es-MX"/>
        </w:rPr>
        <w:t xml:space="preserve"> </w:t>
      </w:r>
    </w:p>
    <w:p w14:paraId="2AED78CF" w14:textId="1C788574" w:rsidR="002328EA" w:rsidRDefault="002328EA" w:rsidP="00F964B3">
      <w:pPr>
        <w:pStyle w:val="SingleTxtG"/>
      </w:pPr>
      <w:r w:rsidRPr="00F964B3">
        <w:rPr>
          <w:noProof/>
        </w:rPr>
        <w:drawing>
          <wp:anchor distT="0" distB="0" distL="114300" distR="114300" simplePos="0" relativeHeight="251657728" behindDoc="0" locked="1" layoutInCell="1" allowOverlap="1" wp14:anchorId="66DE986D" wp14:editId="3D6ADAE7">
            <wp:simplePos x="0" y="0"/>
            <wp:positionH relativeFrom="column">
              <wp:posOffset>5868670</wp:posOffset>
            </wp:positionH>
            <wp:positionV relativeFrom="paragraph">
              <wp:posOffset>9387840</wp:posOffset>
            </wp:positionV>
            <wp:extent cx="930275" cy="230505"/>
            <wp:effectExtent l="0" t="0" r="3175" b="0"/>
            <wp:wrapNone/>
            <wp:docPr id="1" name="Picture 1"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recycle_English"/>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Pr="00F964B3">
        <w:t>3.</w:t>
      </w:r>
      <w:r w:rsidRPr="00F964B3">
        <w:tab/>
        <w:t>En el informe se indica que se han intensificado la comunicación y la coordinación con las organizaciones de la sociedad civil vinculadas a la temática de la migración</w:t>
      </w:r>
      <w:r w:rsidR="00495176">
        <w:rPr>
          <w:rStyle w:val="Refdenotaalpie"/>
        </w:rPr>
        <w:footnoteReference w:id="5"/>
      </w:r>
      <w:r w:rsidRPr="00F964B3">
        <w:t xml:space="preserve">. </w:t>
      </w:r>
      <w:r w:rsidR="00E21334">
        <w:t>Sírva</w:t>
      </w:r>
      <w:r w:rsidR="00495176">
        <w:t>n</w:t>
      </w:r>
      <w:r w:rsidR="00E21334">
        <w:t>se</w:t>
      </w:r>
      <w:r w:rsidR="005140B4">
        <w:t xml:space="preserve"> informar sobre medidas tomadas para implementar la anterior recomendación del Comité con respecto a la cooperación con </w:t>
      </w:r>
      <w:r w:rsidR="00495176">
        <w:t xml:space="preserve">la </w:t>
      </w:r>
      <w:r w:rsidR="005140B4">
        <w:t>sociedad civil y las age</w:t>
      </w:r>
      <w:r w:rsidR="00E21334">
        <w:t>ncias internacionales especializadas</w:t>
      </w:r>
      <w:r w:rsidR="00495176">
        <w:rPr>
          <w:rStyle w:val="Refdenotaalpie"/>
        </w:rPr>
        <w:footnoteReference w:id="6"/>
      </w:r>
      <w:r w:rsidR="005140B4">
        <w:t xml:space="preserve">. </w:t>
      </w:r>
      <w:r w:rsidRPr="00F964B3">
        <w:t>Sírvanse proporcionar al Comité información más detallada sobre las medidas adoptadas por el Estado parte para alentar a dichas organizaciones, incluidas las asociaciones de trabajadores migratorios</w:t>
      </w:r>
      <w:r w:rsidR="00F40B2C">
        <w:t xml:space="preserve">, </w:t>
      </w:r>
      <w:r w:rsidRPr="00F964B3">
        <w:t>las organizaciones que defienden los derechos de estos</w:t>
      </w:r>
      <w:r w:rsidR="00F40B2C">
        <w:t xml:space="preserve"> así como otros actores interesados</w:t>
      </w:r>
      <w:r w:rsidRPr="00F964B3">
        <w:t xml:space="preserve">, a participar </w:t>
      </w:r>
      <w:r w:rsidR="009313A2" w:rsidRPr="00F964B3">
        <w:t xml:space="preserve">sistemáticamente en la aplicación de la Convención y de las políticas de migración, laborales y otras políticas relativas a la Convención, así como </w:t>
      </w:r>
      <w:r w:rsidRPr="00F964B3">
        <w:t>en la preparación de su segundo informe periódico</w:t>
      </w:r>
      <w:r w:rsidR="00CB2D80" w:rsidRPr="00F964B3">
        <w:t xml:space="preserve"> </w:t>
      </w:r>
      <w:r w:rsidRPr="00F964B3">
        <w:t>y expliquen qué tipo de apoyo reciben para ello de los ministerios gubernamentales competentes.</w:t>
      </w:r>
    </w:p>
    <w:p w14:paraId="7DA5933E" w14:textId="77777777" w:rsidR="00A079F6" w:rsidRPr="00A079F6" w:rsidRDefault="007C37FF" w:rsidP="00A079F6">
      <w:pPr>
        <w:pStyle w:val="SingleTxtG"/>
        <w:rPr>
          <w:rFonts w:ascii="Arial" w:hAnsi="Arial" w:cs="Arial"/>
          <w:color w:val="E36C0A" w:themeColor="accent6" w:themeShade="BF"/>
          <w:sz w:val="16"/>
          <w:szCs w:val="16"/>
          <w:lang w:val="es-MX"/>
        </w:rPr>
      </w:pPr>
      <w:r w:rsidRPr="007C37FF">
        <w:rPr>
          <w:rFonts w:ascii="Arial" w:hAnsi="Arial" w:cs="Arial"/>
          <w:color w:val="E36C0A" w:themeColor="accent6" w:themeShade="BF"/>
          <w:sz w:val="16"/>
          <w:szCs w:val="16"/>
          <w:lang w:val="es-MX"/>
        </w:rPr>
        <w:t xml:space="preserve">Las </w:t>
      </w:r>
      <w:r w:rsidR="00421EE8" w:rsidRPr="00A079F6">
        <w:rPr>
          <w:rFonts w:ascii="Arial" w:hAnsi="Arial" w:cs="Arial"/>
          <w:color w:val="E36C0A" w:themeColor="accent6" w:themeShade="BF"/>
          <w:sz w:val="16"/>
          <w:szCs w:val="16"/>
          <w:lang w:val="es-MX"/>
        </w:rPr>
        <w:t xml:space="preserve">OSC mantienen la coordinación enfocándose en </w:t>
      </w:r>
      <w:r w:rsidRPr="007C37FF">
        <w:rPr>
          <w:rFonts w:ascii="Arial" w:hAnsi="Arial" w:cs="Arial"/>
          <w:color w:val="E36C0A" w:themeColor="accent6" w:themeShade="BF"/>
          <w:sz w:val="16"/>
          <w:szCs w:val="16"/>
          <w:lang w:val="es-MX"/>
        </w:rPr>
        <w:t xml:space="preserve">incidencia política, atención humanitaria y reintegración de migrantes retornados. </w:t>
      </w:r>
    </w:p>
    <w:p w14:paraId="03750847" w14:textId="540EBE8A" w:rsidR="007C37FF" w:rsidRPr="007C37FF" w:rsidRDefault="007C37FF" w:rsidP="00A079F6">
      <w:pPr>
        <w:pStyle w:val="SingleTxtG"/>
        <w:rPr>
          <w:lang w:val="es-MX"/>
        </w:rPr>
      </w:pPr>
      <w:r w:rsidRPr="007C37FF">
        <w:rPr>
          <w:rFonts w:ascii="Arial" w:hAnsi="Arial" w:cs="Arial"/>
          <w:color w:val="E36C0A" w:themeColor="accent6" w:themeShade="BF"/>
          <w:sz w:val="16"/>
          <w:szCs w:val="16"/>
          <w:lang w:val="es-MX"/>
        </w:rPr>
        <w:t xml:space="preserve">Diversas organizaciones han creado espacios conjuntos para abordar las causas estructurales de la migración, promover soluciones integrales y fortalecer la incidencia en políticas públicas nacionales y regionales. </w:t>
      </w:r>
    </w:p>
    <w:p w14:paraId="3BCB3DEC" w14:textId="77777777" w:rsidR="007C37FF" w:rsidRPr="007C37FF" w:rsidRDefault="007C37FF" w:rsidP="00A079F6">
      <w:pPr>
        <w:pStyle w:val="SingleTxtG"/>
        <w:rPr>
          <w:rFonts w:ascii="Arial" w:hAnsi="Arial" w:cs="Arial"/>
          <w:color w:val="E36C0A" w:themeColor="accent6" w:themeShade="BF"/>
          <w:sz w:val="16"/>
          <w:szCs w:val="16"/>
          <w:lang w:val="es-MX"/>
        </w:rPr>
      </w:pPr>
      <w:r w:rsidRPr="007C37FF">
        <w:rPr>
          <w:rFonts w:ascii="Arial" w:hAnsi="Arial" w:cs="Arial"/>
          <w:color w:val="E36C0A" w:themeColor="accent6" w:themeShade="BF"/>
          <w:sz w:val="16"/>
          <w:szCs w:val="16"/>
          <w:lang w:val="es-MX"/>
        </w:rPr>
        <w:t xml:space="preserve">Red Regional de Organizaciones Civiles para las Migraciones (RROCM): Honduras participa en esta red que agrupa organizaciones de 12 países de Centroamérica, Norteamérica y el Caribe. Su objetivo es incidir en el diálogo multinivel e intersectorial para garantizar derechos humanos y promover una migración segura y ordenada. </w:t>
      </w:r>
      <w:hyperlink r:id="rId19" w:history="1">
        <w:r w:rsidRPr="007C37FF">
          <w:rPr>
            <w:rStyle w:val="Hipervnculo"/>
            <w:rFonts w:ascii="Arial" w:hAnsi="Arial" w:cs="Arial"/>
            <w:color w:val="E36C0A" w:themeColor="accent6" w:themeShade="BF"/>
            <w:sz w:val="16"/>
            <w:szCs w:val="16"/>
            <w:lang w:val="es-MX"/>
          </w:rPr>
          <w:t>[rrocm.net]</w:t>
        </w:r>
      </w:hyperlink>
    </w:p>
    <w:p w14:paraId="16345353" w14:textId="77777777" w:rsidR="00F17D8F" w:rsidRDefault="007C37FF" w:rsidP="00F17D8F">
      <w:pPr>
        <w:pStyle w:val="SingleTxtG"/>
        <w:rPr>
          <w:rFonts w:ascii="Arial" w:hAnsi="Arial" w:cs="Arial"/>
          <w:color w:val="E36C0A" w:themeColor="accent6" w:themeShade="BF"/>
          <w:sz w:val="16"/>
          <w:szCs w:val="16"/>
          <w:lang w:val="es-MX"/>
        </w:rPr>
      </w:pPr>
      <w:r w:rsidRPr="007C37FF">
        <w:rPr>
          <w:rFonts w:ascii="Arial" w:hAnsi="Arial" w:cs="Arial"/>
          <w:color w:val="E36C0A" w:themeColor="accent6" w:themeShade="BF"/>
          <w:sz w:val="16"/>
          <w:szCs w:val="16"/>
          <w:lang w:val="es-MX"/>
        </w:rPr>
        <w:t xml:space="preserve">Red Humanitaria de Honduras: Conformada </w:t>
      </w:r>
      <w:r w:rsidR="00760930">
        <w:rPr>
          <w:rFonts w:ascii="Arial" w:hAnsi="Arial" w:cs="Arial"/>
          <w:color w:val="E36C0A" w:themeColor="accent6" w:themeShade="BF"/>
          <w:sz w:val="16"/>
          <w:szCs w:val="16"/>
          <w:lang w:val="es-MX"/>
        </w:rPr>
        <w:t xml:space="preserve">en un inicio </w:t>
      </w:r>
      <w:r w:rsidRPr="007C37FF">
        <w:rPr>
          <w:rFonts w:ascii="Arial" w:hAnsi="Arial" w:cs="Arial"/>
          <w:color w:val="E36C0A" w:themeColor="accent6" w:themeShade="BF"/>
          <w:sz w:val="16"/>
          <w:szCs w:val="16"/>
          <w:lang w:val="es-MX"/>
        </w:rPr>
        <w:t>por más de 60 organizaciones nacionales e internacionales, coordina acciones para atender personas migrantes y refugiadas en tránsito, especialmente en zonas fronterizas, ante el incremento de flujos migratorios mixtos.</w:t>
      </w:r>
      <w:r w:rsidR="00760930">
        <w:rPr>
          <w:rFonts w:ascii="Arial" w:hAnsi="Arial" w:cs="Arial"/>
          <w:color w:val="E36C0A" w:themeColor="accent6" w:themeShade="BF"/>
          <w:sz w:val="16"/>
          <w:szCs w:val="16"/>
          <w:lang w:val="es-MX"/>
        </w:rPr>
        <w:t xml:space="preserve"> Actualmente por los recortes presupuestarios por parte de la cooperación de EEUU muchas de estas organizaciones se han retirado del espacio humanitario. </w:t>
      </w:r>
    </w:p>
    <w:p w14:paraId="57F7E99B" w14:textId="0FB46285" w:rsidR="007C37FF" w:rsidRPr="007C37FF" w:rsidRDefault="00F17D8F" w:rsidP="00F17D8F">
      <w:pPr>
        <w:pStyle w:val="SingleTxtG"/>
        <w:rPr>
          <w:rFonts w:ascii="Arial" w:hAnsi="Arial" w:cs="Arial"/>
          <w:color w:val="E36C0A" w:themeColor="accent6" w:themeShade="BF"/>
          <w:sz w:val="16"/>
          <w:szCs w:val="16"/>
          <w:lang w:val="es-MX"/>
        </w:rPr>
      </w:pPr>
      <w:r>
        <w:rPr>
          <w:rFonts w:ascii="Arial" w:hAnsi="Arial" w:cs="Arial"/>
          <w:color w:val="E36C0A" w:themeColor="accent6" w:themeShade="BF"/>
          <w:sz w:val="16"/>
          <w:szCs w:val="16"/>
          <w:lang w:val="es-MX"/>
        </w:rPr>
        <w:t>Honduras también p</w:t>
      </w:r>
      <w:r w:rsidR="007C37FF" w:rsidRPr="007C37FF">
        <w:rPr>
          <w:rFonts w:ascii="Arial" w:hAnsi="Arial" w:cs="Arial"/>
          <w:color w:val="E36C0A" w:themeColor="accent6" w:themeShade="BF"/>
          <w:sz w:val="16"/>
          <w:szCs w:val="16"/>
          <w:lang w:val="es-MX"/>
        </w:rPr>
        <w:t xml:space="preserve">articipa en la Red de Naciones Unidas sobre Migración y en procesos de consulta para planes como el Plan Nacional de Reintegración 2024-2025, que busca reintegrar a migrantes retornados con enfoque de derechos humanos, género y niñez. </w:t>
      </w:r>
      <w:hyperlink r:id="rId20" w:history="1">
        <w:r w:rsidR="007C37FF" w:rsidRPr="007C37FF">
          <w:rPr>
            <w:rStyle w:val="Hipervnculo"/>
            <w:rFonts w:ascii="Arial" w:hAnsi="Arial" w:cs="Arial"/>
            <w:color w:val="E36C0A" w:themeColor="accent6" w:themeShade="BF"/>
            <w:sz w:val="16"/>
            <w:szCs w:val="16"/>
            <w:lang w:val="es-MX"/>
          </w:rPr>
          <w:t>[sreci.gob.hn]</w:t>
        </w:r>
      </w:hyperlink>
    </w:p>
    <w:p w14:paraId="78B381C4" w14:textId="007DF383" w:rsidR="007C37FF" w:rsidRPr="007C37FF" w:rsidRDefault="007C37FF" w:rsidP="001C2435">
      <w:pPr>
        <w:pStyle w:val="SingleTxtG"/>
        <w:rPr>
          <w:rFonts w:ascii="Arial" w:hAnsi="Arial" w:cs="Arial"/>
          <w:color w:val="E36C0A" w:themeColor="accent6" w:themeShade="BF"/>
          <w:sz w:val="16"/>
          <w:szCs w:val="16"/>
          <w:lang w:val="es-MX"/>
        </w:rPr>
      </w:pPr>
      <w:r w:rsidRPr="007C37FF">
        <w:rPr>
          <w:rFonts w:ascii="Arial" w:hAnsi="Arial" w:cs="Arial"/>
          <w:color w:val="E36C0A" w:themeColor="accent6" w:themeShade="BF"/>
          <w:sz w:val="16"/>
          <w:szCs w:val="16"/>
          <w:lang w:val="es-MX"/>
        </w:rPr>
        <w:t xml:space="preserve">Incidencia y veeduría social: Talleres y capacitaciones para fortalecer capacidades de OSC en derechos humanos, género y resiliencia comunitaria (ej. Mesa de Mujeres Migrantes y Desplazadas). </w:t>
      </w:r>
      <w:hyperlink r:id="rId21" w:history="1">
        <w:r w:rsidRPr="007C37FF">
          <w:rPr>
            <w:rStyle w:val="Hipervnculo"/>
            <w:rFonts w:ascii="Arial" w:hAnsi="Arial" w:cs="Arial"/>
            <w:color w:val="E36C0A" w:themeColor="accent6" w:themeShade="BF"/>
            <w:sz w:val="16"/>
            <w:szCs w:val="16"/>
            <w:lang w:val="es-MX"/>
          </w:rPr>
          <w:t>[gruposocie</w:t>
        </w:r>
        <w:r w:rsidR="001C2435">
          <w:rPr>
            <w:rStyle w:val="Hipervnculo"/>
            <w:rFonts w:ascii="Arial" w:hAnsi="Arial" w:cs="Arial"/>
            <w:color w:val="E36C0A" w:themeColor="accent6" w:themeShade="BF"/>
            <w:sz w:val="16"/>
            <w:szCs w:val="16"/>
            <w:lang w:val="es-MX"/>
          </w:rPr>
          <w:t>dadcivil</w:t>
        </w:r>
        <w:r w:rsidRPr="007C37FF">
          <w:rPr>
            <w:rStyle w:val="Hipervnculo"/>
            <w:rFonts w:ascii="Arial" w:hAnsi="Arial" w:cs="Arial"/>
            <w:color w:val="E36C0A" w:themeColor="accent6" w:themeShade="BF"/>
            <w:sz w:val="16"/>
            <w:szCs w:val="16"/>
            <w:lang w:val="es-MX"/>
          </w:rPr>
          <w:t>hn.org]</w:t>
        </w:r>
      </w:hyperlink>
    </w:p>
    <w:p w14:paraId="19863FB4" w14:textId="77777777" w:rsidR="007C37FF" w:rsidRPr="007C37FF" w:rsidRDefault="007C37FF" w:rsidP="001C2435">
      <w:pPr>
        <w:pStyle w:val="SingleTxtG"/>
        <w:rPr>
          <w:rFonts w:ascii="Arial" w:hAnsi="Arial" w:cs="Arial"/>
          <w:color w:val="E36C0A" w:themeColor="accent6" w:themeShade="BF"/>
          <w:sz w:val="16"/>
          <w:szCs w:val="16"/>
          <w:lang w:val="es-MX"/>
        </w:rPr>
      </w:pPr>
      <w:r w:rsidRPr="007C37FF">
        <w:rPr>
          <w:rFonts w:ascii="Arial" w:hAnsi="Arial" w:cs="Arial"/>
          <w:color w:val="E36C0A" w:themeColor="accent6" w:themeShade="BF"/>
          <w:sz w:val="16"/>
          <w:szCs w:val="16"/>
          <w:lang w:val="es-MX"/>
        </w:rPr>
        <w:lastRenderedPageBreak/>
        <w:t xml:space="preserve">Reintegración de migrantes retornados: Proyectos como Perspectivas, financiado por cooperación internacional, que articula sociedad civil, sector privado y gobierno para mejorar oportunidades y reducir vulnerabilidad de retornados. </w:t>
      </w:r>
      <w:hyperlink r:id="rId22" w:history="1">
        <w:r w:rsidRPr="007C37FF">
          <w:rPr>
            <w:rStyle w:val="Hipervnculo"/>
            <w:rFonts w:ascii="Arial" w:hAnsi="Arial" w:cs="Arial"/>
            <w:color w:val="E36C0A" w:themeColor="accent6" w:themeShade="BF"/>
            <w:sz w:val="16"/>
            <w:szCs w:val="16"/>
            <w:lang w:val="es-MX"/>
          </w:rPr>
          <w:t>[laprensa.hn]</w:t>
        </w:r>
      </w:hyperlink>
    </w:p>
    <w:p w14:paraId="4E46ADD6" w14:textId="52A24C1B" w:rsidR="007C37FF" w:rsidRPr="007C37FF" w:rsidRDefault="007C37FF" w:rsidP="001C2435">
      <w:pPr>
        <w:pStyle w:val="SingleTxtG"/>
        <w:rPr>
          <w:rFonts w:ascii="Arial" w:hAnsi="Arial" w:cs="Arial"/>
          <w:color w:val="E36C0A" w:themeColor="accent6" w:themeShade="BF"/>
          <w:sz w:val="16"/>
          <w:szCs w:val="16"/>
          <w:lang w:val="es-MX"/>
        </w:rPr>
      </w:pPr>
      <w:r w:rsidRPr="007C37FF">
        <w:rPr>
          <w:rFonts w:ascii="Arial" w:hAnsi="Arial" w:cs="Arial"/>
          <w:color w:val="E36C0A" w:themeColor="accent6" w:themeShade="BF"/>
          <w:sz w:val="16"/>
          <w:szCs w:val="16"/>
          <w:lang w:val="es-MX"/>
        </w:rPr>
        <w:t>Protección de personas desplazadas: Participación en la reglamentación de la Ley de Prevención y Atención a Personas Desplazadas Internamente, con consultas a comunidades afectadas y apoyo de ACNUR</w:t>
      </w:r>
      <w:r w:rsidR="001C2435" w:rsidRPr="001C2435">
        <w:rPr>
          <w:rFonts w:ascii="Arial" w:hAnsi="Arial" w:cs="Arial"/>
          <w:color w:val="E36C0A" w:themeColor="accent6" w:themeShade="BF"/>
          <w:sz w:val="16"/>
          <w:szCs w:val="16"/>
          <w:lang w:val="es-MX"/>
        </w:rPr>
        <w:t xml:space="preserve"> y varias organizaciones de sociedad civil. </w:t>
      </w:r>
      <w:r w:rsidRPr="007C37FF">
        <w:rPr>
          <w:rFonts w:ascii="Arial" w:hAnsi="Arial" w:cs="Arial"/>
          <w:color w:val="E36C0A" w:themeColor="accent6" w:themeShade="BF"/>
          <w:sz w:val="16"/>
          <w:szCs w:val="16"/>
          <w:lang w:val="es-MX"/>
        </w:rPr>
        <w:t xml:space="preserve"> </w:t>
      </w:r>
      <w:hyperlink r:id="rId23" w:history="1">
        <w:r w:rsidRPr="007C37FF">
          <w:rPr>
            <w:rStyle w:val="Hipervnculo"/>
            <w:rFonts w:ascii="Arial" w:hAnsi="Arial" w:cs="Arial"/>
            <w:color w:val="E36C0A" w:themeColor="accent6" w:themeShade="BF"/>
            <w:sz w:val="16"/>
            <w:szCs w:val="16"/>
            <w:lang w:val="es-MX"/>
          </w:rPr>
          <w:t>[acnur.org]</w:t>
        </w:r>
      </w:hyperlink>
    </w:p>
    <w:p w14:paraId="3AF147F8" w14:textId="77777777" w:rsidR="009F08B7" w:rsidRPr="00F964B3" w:rsidRDefault="009F08B7" w:rsidP="00F964B3">
      <w:pPr>
        <w:pStyle w:val="SingleTxtG"/>
      </w:pPr>
    </w:p>
    <w:p w14:paraId="3EAA9BDA" w14:textId="3DF7D07B" w:rsidR="001E7811" w:rsidRDefault="0072465D" w:rsidP="001E7811">
      <w:pPr>
        <w:pStyle w:val="SingleTxtG"/>
      </w:pPr>
      <w:r w:rsidRPr="00F964B3">
        <w:t>4.</w:t>
      </w:r>
      <w:r w:rsidRPr="00F964B3">
        <w:tab/>
        <w:t xml:space="preserve">Sírvanse informar si </w:t>
      </w:r>
      <w:r w:rsidR="00CF38F4" w:rsidRPr="00F964B3">
        <w:t xml:space="preserve">ha habido avances en la revisión y evaluación de los instrumentos internacionales con el fin de </w:t>
      </w:r>
      <w:r w:rsidRPr="00F964B3">
        <w:t>realizar las declaraciones dispuestas en los artículos</w:t>
      </w:r>
      <w:r w:rsidR="00B056C4">
        <w:t xml:space="preserve"> </w:t>
      </w:r>
      <w:r w:rsidRPr="00F964B3">
        <w:t>76 y 77 de la Convención, respecto de la competencia del Comité para recibir comunicaciones de los Estados parte y de particulares</w:t>
      </w:r>
      <w:r w:rsidR="00D52793">
        <w:rPr>
          <w:rStyle w:val="Refdenotaalpie"/>
        </w:rPr>
        <w:footnoteReference w:id="7"/>
      </w:r>
      <w:r w:rsidRPr="00F964B3">
        <w:t xml:space="preserve">. </w:t>
      </w:r>
      <w:r w:rsidR="00D52793">
        <w:t>Se ruega</w:t>
      </w:r>
      <w:r w:rsidRPr="00F964B3">
        <w:t xml:space="preserve"> indiquen también si el Estado parte prevé ratificar el Convenio sobre los Trabajadores Migrantes (revisado), 1949 (núm. 97), el Convenio sobre los Trabajadores Migrantes (disposiciones complementarias), 1975 (núm</w:t>
      </w:r>
      <w:r w:rsidR="00B056C4" w:rsidRPr="00F964B3">
        <w:t>.</w:t>
      </w:r>
      <w:r w:rsidR="00B056C4">
        <w:t xml:space="preserve"> </w:t>
      </w:r>
      <w:r w:rsidRPr="00F964B3">
        <w:t>143)</w:t>
      </w:r>
      <w:r w:rsidR="00A92E1C" w:rsidRPr="00F964B3">
        <w:t xml:space="preserve">, </w:t>
      </w:r>
      <w:r w:rsidRPr="00F964B3">
        <w:t>el Convenio sobre las Agencias de Empleo Privadas, 1997 (núm. 181)</w:t>
      </w:r>
      <w:r w:rsidR="00A92E1C" w:rsidRPr="00F964B3">
        <w:t xml:space="preserve">, el Convenio sobre la Inspección del Trabajo (Agricultura), 1969 (núm. 129), el Convenio sobre Seguridad y Salud de los Trabajadores, 1981 (núm. 155), el Convenio sobre el Marco Promocional para la Seguridad y Salud en el Trabajo, 2006 (núm. 187), </w:t>
      </w:r>
      <w:r w:rsidR="00A92E1C" w:rsidRPr="005E14DA">
        <w:t xml:space="preserve">el Protocolo de 2014 relativo al Convenio sobre </w:t>
      </w:r>
      <w:r w:rsidR="005E14DA" w:rsidRPr="008D3DDF">
        <w:t xml:space="preserve">el </w:t>
      </w:r>
      <w:r w:rsidR="00A92E1C" w:rsidRPr="005E14DA">
        <w:t>Trabajo Forz</w:t>
      </w:r>
      <w:r w:rsidR="005E14DA" w:rsidRPr="008D3DDF">
        <w:t>oso,</w:t>
      </w:r>
      <w:r w:rsidR="00A92E1C" w:rsidRPr="005E14DA">
        <w:t xml:space="preserve"> 1930 (</w:t>
      </w:r>
      <w:r w:rsidR="00D52793" w:rsidRPr="005E14DA">
        <w:t>núm</w:t>
      </w:r>
      <w:r w:rsidR="00A92E1C" w:rsidRPr="005E14DA">
        <w:t>.</w:t>
      </w:r>
      <w:r w:rsidR="00B056C4">
        <w:t xml:space="preserve"> </w:t>
      </w:r>
      <w:r w:rsidR="00A92E1C" w:rsidRPr="005E14DA">
        <w:t>29),</w:t>
      </w:r>
      <w:r w:rsidR="00DD0024" w:rsidRPr="005E14DA">
        <w:t xml:space="preserve"> el Convenio sobre la Protección de los Créditos Laborales en caso de Insolvencia del Empleador, 1992</w:t>
      </w:r>
      <w:r w:rsidR="00DD0024" w:rsidRPr="00F964B3">
        <w:t xml:space="preserve"> (núm. 173), el Convenio sobre el Trabajo a Domicilio, 1996 (núm. 177), el Convenio sobre las Trabajadoras y los Trabajadores Domésticos, 2011 (núm. 189), </w:t>
      </w:r>
      <w:r w:rsidR="003538A1" w:rsidRPr="00F964B3">
        <w:t>e</w:t>
      </w:r>
      <w:r w:rsidR="00DD0024" w:rsidRPr="00F964B3">
        <w:t>l Convenio sobre la Violencia y el Acoso, 2019 (núm.</w:t>
      </w:r>
      <w:r w:rsidR="00B056C4">
        <w:t xml:space="preserve"> </w:t>
      </w:r>
      <w:r w:rsidR="00DD0024" w:rsidRPr="00F964B3">
        <w:t xml:space="preserve">190), </w:t>
      </w:r>
      <w:r w:rsidR="003538A1" w:rsidRPr="00F964B3">
        <w:t>e</w:t>
      </w:r>
      <w:r w:rsidR="00DD0024" w:rsidRPr="00F964B3">
        <w:t xml:space="preserve">l Protocolo de 1990 relativo al Convenio </w:t>
      </w:r>
      <w:r w:rsidR="00D52793">
        <w:t>(Revisado) sobre</w:t>
      </w:r>
      <w:r w:rsidR="00D52793" w:rsidRPr="00F964B3">
        <w:t xml:space="preserve"> </w:t>
      </w:r>
      <w:r w:rsidR="00D52793">
        <w:t>e</w:t>
      </w:r>
      <w:r w:rsidR="00DD0024" w:rsidRPr="00F964B3">
        <w:t>l Trabajo Nocturno de las Mujeres Empleadas en la Industria (Revisado en 1948)</w:t>
      </w:r>
      <w:r w:rsidR="003538A1" w:rsidRPr="00F964B3">
        <w:t xml:space="preserve"> y e</w:t>
      </w:r>
      <w:r w:rsidR="00DD0024" w:rsidRPr="00F964B3">
        <w:t>l Protocolo de 1995 relativo al Convenio sobre la Inspección del Trabajo</w:t>
      </w:r>
      <w:r w:rsidR="00B056C4" w:rsidRPr="00F964B3">
        <w:t>,</w:t>
      </w:r>
      <w:r w:rsidR="00B056C4">
        <w:t xml:space="preserve"> </w:t>
      </w:r>
      <w:r w:rsidR="00DD0024" w:rsidRPr="00F964B3">
        <w:t>1947</w:t>
      </w:r>
      <w:r w:rsidR="005E14DA">
        <w:t>,</w:t>
      </w:r>
      <w:r w:rsidRPr="00F964B3">
        <w:t xml:space="preserve"> de la Organización Internacional del Trabajo (OIT).</w:t>
      </w:r>
    </w:p>
    <w:p w14:paraId="08342067" w14:textId="3AD3002B" w:rsidR="001E7811" w:rsidRPr="001E7811" w:rsidRDefault="001E7811" w:rsidP="00F964B3">
      <w:pPr>
        <w:pStyle w:val="SingleTxtG"/>
        <w:rPr>
          <w:rFonts w:ascii="Arial" w:hAnsi="Arial" w:cs="Arial"/>
          <w:color w:val="E36C0A" w:themeColor="accent6" w:themeShade="BF"/>
          <w:sz w:val="16"/>
          <w:szCs w:val="16"/>
        </w:rPr>
      </w:pPr>
      <w:r w:rsidRPr="001E7811">
        <w:rPr>
          <w:rFonts w:ascii="Arial" w:hAnsi="Arial" w:cs="Arial"/>
          <w:color w:val="E36C0A" w:themeColor="accent6" w:themeShade="BF"/>
          <w:sz w:val="16"/>
          <w:szCs w:val="16"/>
        </w:rPr>
        <w:t xml:space="preserve">Honduras no ha ratificado aún los convenios que mencionas, pero sí existen avances y compromisos para iniciar procesos de ratificación, especialmente en el marco del Programa de Trabajo Decente 2024-2027 y las mesas interinstitucionales con la OIT. </w:t>
      </w:r>
    </w:p>
    <w:p w14:paraId="414A6971" w14:textId="77777777" w:rsidR="001E7811" w:rsidRPr="001E7811" w:rsidRDefault="001E7811" w:rsidP="00F964B3">
      <w:pPr>
        <w:pStyle w:val="SingleTxtG"/>
        <w:rPr>
          <w:rFonts w:ascii="Arial" w:hAnsi="Arial" w:cs="Arial"/>
          <w:color w:val="E36C0A" w:themeColor="accent6" w:themeShade="BF"/>
          <w:sz w:val="16"/>
          <w:szCs w:val="16"/>
        </w:rPr>
      </w:pPr>
    </w:p>
    <w:p w14:paraId="1CF685B8" w14:textId="206D7A2F" w:rsidR="009621F4" w:rsidRDefault="009621F4" w:rsidP="00F964B3">
      <w:pPr>
        <w:pStyle w:val="SingleTxtG"/>
      </w:pPr>
      <w:r w:rsidRPr="00F964B3">
        <w:t>5.</w:t>
      </w:r>
      <w:r w:rsidRPr="00F964B3">
        <w:tab/>
        <w:t>A la luz de la recomendación anterior del Comité</w:t>
      </w:r>
      <w:r w:rsidR="0013723A">
        <w:rPr>
          <w:rStyle w:val="Refdenotaalpie"/>
        </w:rPr>
        <w:footnoteReference w:id="8"/>
      </w:r>
      <w:r w:rsidRPr="00F964B3">
        <w:t xml:space="preserve"> </w:t>
      </w:r>
      <w:r w:rsidR="0013723A">
        <w:t>relativa a</w:t>
      </w:r>
      <w:r w:rsidR="0013723A" w:rsidRPr="00F964B3">
        <w:t xml:space="preserve"> </w:t>
      </w:r>
      <w:r w:rsidR="00CF24AE" w:rsidRPr="00F964B3">
        <w:t>dot</w:t>
      </w:r>
      <w:r w:rsidR="0013723A">
        <w:t>ar</w:t>
      </w:r>
      <w:r w:rsidR="00DE352E" w:rsidRPr="00F964B3">
        <w:t xml:space="preserve"> al Comisionado Nacional de los Derechos Humanos </w:t>
      </w:r>
      <w:r w:rsidR="00CF24AE" w:rsidRPr="00F964B3">
        <w:t xml:space="preserve">de plena </w:t>
      </w:r>
      <w:r w:rsidR="00333FA5">
        <w:t xml:space="preserve">autonomía e </w:t>
      </w:r>
      <w:r w:rsidR="00CF24AE" w:rsidRPr="00F964B3">
        <w:t xml:space="preserve">independencia respecto del Gobierno, tanto funcional como financieramente, de conformidad con los </w:t>
      </w:r>
      <w:r w:rsidR="0013723A" w:rsidRPr="0013723A">
        <w:t xml:space="preserve">principios relativos al estatuto de las instituciones nacionales de promoción y protección de los derechos humanos </w:t>
      </w:r>
      <w:r w:rsidR="0013723A">
        <w:t>(</w:t>
      </w:r>
      <w:r w:rsidR="008F6241" w:rsidRPr="008F6241">
        <w:t>Principios de París</w:t>
      </w:r>
      <w:r w:rsidR="0013723A">
        <w:t>)</w:t>
      </w:r>
      <w:r w:rsidR="00DE352E" w:rsidRPr="00F964B3">
        <w:t xml:space="preserve">, </w:t>
      </w:r>
      <w:r w:rsidR="00DA5192" w:rsidRPr="00F964B3">
        <w:t xml:space="preserve">y de </w:t>
      </w:r>
      <w:r w:rsidR="00DE352E" w:rsidRPr="00F964B3">
        <w:t xml:space="preserve">que se le </w:t>
      </w:r>
      <w:r w:rsidRPr="00F964B3">
        <w:t>asignen recursos suficientes</w:t>
      </w:r>
      <w:r w:rsidR="00DA5192" w:rsidRPr="00F964B3">
        <w:t xml:space="preserve"> y un amplio mandato</w:t>
      </w:r>
      <w:r w:rsidRPr="00F964B3">
        <w:t xml:space="preserve">, sírvanse proporcionar información sobre las medidas adoptadas para </w:t>
      </w:r>
      <w:r w:rsidR="00333FA5">
        <w:t>implementar</w:t>
      </w:r>
      <w:r w:rsidR="00A521D2" w:rsidRPr="00F964B3">
        <w:t xml:space="preserve"> dichas recomendaciones y </w:t>
      </w:r>
      <w:r w:rsidRPr="00F964B3">
        <w:t xml:space="preserve">garantizar que </w:t>
      </w:r>
      <w:r w:rsidR="00A521D2" w:rsidRPr="00F964B3">
        <w:t xml:space="preserve">el </w:t>
      </w:r>
      <w:r w:rsidR="0013723A" w:rsidRPr="0013723A">
        <w:t>Comisionado Nacional de los Derechos Humanos</w:t>
      </w:r>
      <w:r w:rsidR="0013723A" w:rsidRPr="0013723A" w:rsidDel="0013723A">
        <w:t xml:space="preserve"> </w:t>
      </w:r>
      <w:r w:rsidRPr="00F964B3">
        <w:t>cuente con suficientes recursos humanos, técnicos y financieros para cumplir eficazmente su mandato, en particular en lo que concierne a la promoción y la protección de los derechos de los trabajadores migratorios y de sus familiares</w:t>
      </w:r>
      <w:r w:rsidR="0013723A">
        <w:rPr>
          <w:rStyle w:val="Refdenotaalpie"/>
        </w:rPr>
        <w:footnoteReference w:id="9"/>
      </w:r>
      <w:r w:rsidRPr="00F964B3">
        <w:t>.</w:t>
      </w:r>
    </w:p>
    <w:p w14:paraId="39D45313" w14:textId="3F442691" w:rsidR="00F67AF4" w:rsidRPr="001A69FB" w:rsidRDefault="00F67AF4" w:rsidP="001631FB">
      <w:pPr>
        <w:pStyle w:val="SingleTxtG"/>
        <w:rPr>
          <w:rFonts w:ascii="Arial" w:hAnsi="Arial" w:cs="Arial"/>
          <w:color w:val="E36C0A" w:themeColor="accent6" w:themeShade="BF"/>
          <w:sz w:val="16"/>
          <w:szCs w:val="16"/>
          <w:lang w:val="es-MX"/>
        </w:rPr>
      </w:pPr>
      <w:r w:rsidRPr="00F67AF4">
        <w:rPr>
          <w:rFonts w:ascii="Arial" w:hAnsi="Arial" w:cs="Arial"/>
          <w:color w:val="E36C0A" w:themeColor="accent6" w:themeShade="BF"/>
          <w:sz w:val="16"/>
          <w:szCs w:val="16"/>
          <w:lang w:val="es-MX"/>
        </w:rPr>
        <w:t>El presupuesto es considerado insuficiente por</w:t>
      </w:r>
      <w:r w:rsidR="001631FB" w:rsidRPr="001A69FB">
        <w:rPr>
          <w:rFonts w:ascii="Arial" w:hAnsi="Arial" w:cs="Arial"/>
          <w:color w:val="E36C0A" w:themeColor="accent6" w:themeShade="BF"/>
          <w:sz w:val="16"/>
          <w:szCs w:val="16"/>
          <w:lang w:val="es-MX"/>
        </w:rPr>
        <w:t xml:space="preserve"> el CONADEH</w:t>
      </w:r>
      <w:r w:rsidRPr="00F67AF4">
        <w:rPr>
          <w:rFonts w:ascii="Arial" w:hAnsi="Arial" w:cs="Arial"/>
          <w:color w:val="E36C0A" w:themeColor="accent6" w:themeShade="BF"/>
          <w:sz w:val="16"/>
          <w:szCs w:val="16"/>
          <w:lang w:val="es-MX"/>
        </w:rPr>
        <w:t xml:space="preserve">, ya que equivale a menos de 12 lempiras por ciudadano al año para garantizar la defensa de derechos humanos. </w:t>
      </w:r>
      <w:r w:rsidRPr="001A69FB">
        <w:rPr>
          <w:rFonts w:ascii="Arial" w:hAnsi="Arial" w:cs="Arial"/>
          <w:color w:val="E36C0A" w:themeColor="accent6" w:themeShade="BF"/>
          <w:sz w:val="16"/>
          <w:szCs w:val="16"/>
          <w:lang w:val="es-MX"/>
        </w:rPr>
        <w:t xml:space="preserve">Para 2026 se proyecta un recorte de L 29 millones, lo que podría afectar el pago de salarios y la operatividad del CONADEH a partir de agosto del próximo año. </w:t>
      </w:r>
      <w:hyperlink r:id="rId24" w:history="1">
        <w:r w:rsidRPr="001A69FB">
          <w:rPr>
            <w:rStyle w:val="Hipervnculo"/>
            <w:rFonts w:ascii="Arial" w:hAnsi="Arial" w:cs="Arial"/>
            <w:color w:val="E36C0A" w:themeColor="accent6" w:themeShade="BF"/>
            <w:sz w:val="16"/>
            <w:szCs w:val="16"/>
            <w:lang w:val="es-MX"/>
          </w:rPr>
          <w:t>[tiempo.hn]</w:t>
        </w:r>
      </w:hyperlink>
      <w:r w:rsidRPr="001A69FB">
        <w:rPr>
          <w:rFonts w:ascii="Arial" w:hAnsi="Arial" w:cs="Arial"/>
          <w:color w:val="E36C0A" w:themeColor="accent6" w:themeShade="BF"/>
          <w:sz w:val="16"/>
          <w:szCs w:val="16"/>
          <w:lang w:val="es-MX"/>
        </w:rPr>
        <w:t xml:space="preserve">, </w:t>
      </w:r>
      <w:hyperlink r:id="rId25" w:history="1">
        <w:r w:rsidRPr="001A69FB">
          <w:rPr>
            <w:rStyle w:val="Hipervnculo"/>
            <w:rFonts w:ascii="Arial" w:hAnsi="Arial" w:cs="Arial"/>
            <w:color w:val="E36C0A" w:themeColor="accent6" w:themeShade="BF"/>
            <w:sz w:val="16"/>
            <w:szCs w:val="16"/>
            <w:lang w:val="es-MX"/>
          </w:rPr>
          <w:t>[icndigital.com]</w:t>
        </w:r>
      </w:hyperlink>
    </w:p>
    <w:p w14:paraId="134B7D51" w14:textId="77777777" w:rsidR="002328EA" w:rsidRPr="00F964B3" w:rsidRDefault="002328EA" w:rsidP="00F964B3">
      <w:pPr>
        <w:pStyle w:val="HChG"/>
      </w:pPr>
      <w:r w:rsidRPr="00F964B3">
        <w:tab/>
        <w:t>II.</w:t>
      </w:r>
      <w:r w:rsidRPr="00F964B3">
        <w:tab/>
        <w:t>Información relativa a los artículos de la Convención</w:t>
      </w:r>
    </w:p>
    <w:p w14:paraId="52134080" w14:textId="77777777" w:rsidR="002328EA" w:rsidRPr="00F964B3" w:rsidRDefault="002328EA" w:rsidP="00F964B3">
      <w:pPr>
        <w:pStyle w:val="H1G"/>
      </w:pPr>
      <w:r w:rsidRPr="00F964B3">
        <w:tab/>
        <w:t>A.</w:t>
      </w:r>
      <w:r w:rsidRPr="00F964B3">
        <w:tab/>
        <w:t>Principios generales</w:t>
      </w:r>
    </w:p>
    <w:p w14:paraId="4EB96144" w14:textId="336B1C07" w:rsidR="00073157" w:rsidRDefault="00C3758B" w:rsidP="00073157">
      <w:pPr>
        <w:pStyle w:val="SingleTxtG"/>
      </w:pPr>
      <w:r w:rsidRPr="00F964B3">
        <w:t>6</w:t>
      </w:r>
      <w:r w:rsidR="002328EA" w:rsidRPr="00F964B3">
        <w:t>.</w:t>
      </w:r>
      <w:r w:rsidR="002328EA" w:rsidRPr="00F964B3">
        <w:tab/>
        <w:t xml:space="preserve">Sírvanse indicar qué medidas ha adoptado el Estado parte para informar a los trabajadores migratorios </w:t>
      </w:r>
      <w:r w:rsidR="001C6FDF">
        <w:t xml:space="preserve">y </w:t>
      </w:r>
      <w:r w:rsidR="00051502">
        <w:t xml:space="preserve">los </w:t>
      </w:r>
      <w:r w:rsidR="001C6FDF">
        <w:t xml:space="preserve">miembros de sus familias </w:t>
      </w:r>
      <w:r w:rsidR="002328EA" w:rsidRPr="00F964B3">
        <w:t xml:space="preserve">acerca de los recursos judiciales y </w:t>
      </w:r>
      <w:r w:rsidR="002328EA" w:rsidRPr="00F964B3">
        <w:lastRenderedPageBreak/>
        <w:t xml:space="preserve">administrativos de que disponen en caso de vulneración de sus derechos. </w:t>
      </w:r>
      <w:r w:rsidR="00051502">
        <w:t>Se ruega e</w:t>
      </w:r>
      <w:r w:rsidR="002328EA" w:rsidRPr="00F964B3">
        <w:t xml:space="preserve">xpliquen también qué se ha hecho para </w:t>
      </w:r>
      <w:r w:rsidR="007666B0">
        <w:t>que los</w:t>
      </w:r>
      <w:r w:rsidR="002328EA" w:rsidRPr="00F964B3">
        <w:t xml:space="preserve"> trabajadores migratorios cuyos derechos han sido vulnerados presenten denuncias </w:t>
      </w:r>
      <w:r w:rsidR="002328EA" w:rsidRPr="00C50328">
        <w:t xml:space="preserve">de modo que esas vulneraciones </w:t>
      </w:r>
      <w:r w:rsidR="002328EA" w:rsidRPr="00A97C2B">
        <w:t>sean investigadas y los responsables sean castigados. Aporten además información adicio</w:t>
      </w:r>
      <w:r w:rsidR="002328EA" w:rsidRPr="00F964B3">
        <w:t>nal sobre las diferentes posibilidades que tienen los trabajadores migratorios que buscan asistencia jurídica y judicial</w:t>
      </w:r>
      <w:bookmarkStart w:id="0" w:name="_Hlk100140738"/>
      <w:bookmarkEnd w:id="0"/>
      <w:r w:rsidR="00991B1D" w:rsidRPr="00F964B3">
        <w:t>.</w:t>
      </w:r>
    </w:p>
    <w:p w14:paraId="45181CC5" w14:textId="3CF32C9B" w:rsidR="00073157" w:rsidRPr="00073157" w:rsidRDefault="00073157" w:rsidP="00073157">
      <w:pPr>
        <w:pStyle w:val="SingleTxtG"/>
        <w:rPr>
          <w:rFonts w:ascii="Arial" w:hAnsi="Arial" w:cs="Arial"/>
          <w:color w:val="E36C0A" w:themeColor="accent6" w:themeShade="BF"/>
          <w:sz w:val="16"/>
          <w:szCs w:val="16"/>
          <w:lang w:val="es-MX"/>
        </w:rPr>
      </w:pPr>
      <w:r w:rsidRPr="00073157">
        <w:rPr>
          <w:rFonts w:ascii="Arial" w:hAnsi="Arial" w:cs="Arial"/>
          <w:color w:val="E36C0A" w:themeColor="accent6" w:themeShade="BF"/>
          <w:sz w:val="16"/>
          <w:szCs w:val="16"/>
          <w:lang w:val="es-MX"/>
        </w:rPr>
        <w:t xml:space="preserve">Estas </w:t>
      </w:r>
      <w:r w:rsidR="00D44BD1">
        <w:rPr>
          <w:rFonts w:ascii="Arial" w:hAnsi="Arial" w:cs="Arial"/>
          <w:color w:val="E36C0A" w:themeColor="accent6" w:themeShade="BF"/>
          <w:sz w:val="16"/>
          <w:szCs w:val="16"/>
          <w:lang w:val="es-MX"/>
        </w:rPr>
        <w:t>medidas</w:t>
      </w:r>
      <w:r w:rsidRPr="00073157">
        <w:rPr>
          <w:rFonts w:ascii="Arial" w:hAnsi="Arial" w:cs="Arial"/>
          <w:color w:val="E36C0A" w:themeColor="accent6" w:themeShade="BF"/>
          <w:sz w:val="16"/>
          <w:szCs w:val="16"/>
          <w:lang w:val="es-MX"/>
        </w:rPr>
        <w:t xml:space="preserve"> se han implementado tanto a nivel nacional como en coordinación con organismos internacionales. </w:t>
      </w:r>
    </w:p>
    <w:p w14:paraId="7380DB13" w14:textId="77777777" w:rsidR="00A5420C" w:rsidRPr="00D44BD1" w:rsidRDefault="00073157" w:rsidP="00A5420C">
      <w:pPr>
        <w:pStyle w:val="SingleTxtG"/>
        <w:rPr>
          <w:rFonts w:ascii="Arial" w:hAnsi="Arial" w:cs="Arial"/>
          <w:color w:val="E36C0A" w:themeColor="accent6" w:themeShade="BF"/>
          <w:sz w:val="16"/>
          <w:szCs w:val="16"/>
          <w:lang w:val="es-MX"/>
        </w:rPr>
      </w:pPr>
      <w:r w:rsidRPr="00073157">
        <w:rPr>
          <w:rFonts w:ascii="Arial" w:hAnsi="Arial" w:cs="Arial"/>
          <w:color w:val="E36C0A" w:themeColor="accent6" w:themeShade="BF"/>
          <w:sz w:val="16"/>
          <w:szCs w:val="16"/>
          <w:lang w:val="es-MX"/>
        </w:rPr>
        <w:t>Creación de mecanismos institucionales y puntos de información</w:t>
      </w:r>
      <w:r w:rsidR="00A5420C" w:rsidRPr="00D44BD1">
        <w:rPr>
          <w:rFonts w:ascii="Arial" w:hAnsi="Arial" w:cs="Arial"/>
          <w:color w:val="E36C0A" w:themeColor="accent6" w:themeShade="BF"/>
          <w:sz w:val="16"/>
          <w:szCs w:val="16"/>
          <w:lang w:val="es-MX"/>
        </w:rPr>
        <w:t xml:space="preserve">: </w:t>
      </w:r>
    </w:p>
    <w:p w14:paraId="2AFB0619" w14:textId="7B25C844" w:rsidR="00A5420C" w:rsidRPr="00D44BD1" w:rsidRDefault="00073157" w:rsidP="00A5420C">
      <w:pPr>
        <w:pStyle w:val="SingleTxtG"/>
        <w:rPr>
          <w:rFonts w:ascii="Arial" w:hAnsi="Arial" w:cs="Arial"/>
          <w:color w:val="E36C0A" w:themeColor="accent6" w:themeShade="BF"/>
          <w:sz w:val="16"/>
          <w:szCs w:val="16"/>
          <w:lang w:val="es-MX"/>
        </w:rPr>
      </w:pPr>
      <w:r w:rsidRPr="00073157">
        <w:rPr>
          <w:rFonts w:ascii="Arial" w:hAnsi="Arial" w:cs="Arial"/>
          <w:color w:val="E36C0A" w:themeColor="accent6" w:themeShade="BF"/>
          <w:sz w:val="16"/>
          <w:szCs w:val="16"/>
          <w:lang w:val="es-MX"/>
        </w:rPr>
        <w:t xml:space="preserve">Ventanillas de Información sobre Migración (OIM): Establecidas en municipios estratégicos como Nacaome y El Progreso, brindan información sobre derechos fundamentales, acceso a instituciones públicas y mecanismos de denuncia. Forman parte del programa regional para fortalecer la protección y asistencia a migrantes en Mesoamérica. </w:t>
      </w:r>
      <w:hyperlink r:id="rId26" w:history="1">
        <w:r w:rsidRPr="00073157">
          <w:rPr>
            <w:rStyle w:val="Hipervnculo"/>
            <w:rFonts w:ascii="Arial" w:hAnsi="Arial" w:cs="Arial"/>
            <w:color w:val="E36C0A" w:themeColor="accent6" w:themeShade="BF"/>
            <w:sz w:val="16"/>
            <w:szCs w:val="16"/>
            <w:lang w:val="es-MX"/>
          </w:rPr>
          <w:t>[es.news.un.org]</w:t>
        </w:r>
      </w:hyperlink>
      <w:r w:rsidR="00A5420C" w:rsidRPr="00D44BD1">
        <w:rPr>
          <w:rFonts w:ascii="Arial" w:hAnsi="Arial" w:cs="Arial"/>
          <w:color w:val="E36C0A" w:themeColor="accent6" w:themeShade="BF"/>
          <w:sz w:val="16"/>
          <w:szCs w:val="16"/>
          <w:lang w:val="es-MX"/>
        </w:rPr>
        <w:t xml:space="preserve">. </w:t>
      </w:r>
    </w:p>
    <w:p w14:paraId="778113BD" w14:textId="77777777" w:rsidR="00A5420C" w:rsidRPr="00D44BD1" w:rsidRDefault="00073157" w:rsidP="00A5420C">
      <w:pPr>
        <w:pStyle w:val="SingleTxtG"/>
        <w:rPr>
          <w:rFonts w:ascii="Arial" w:hAnsi="Arial" w:cs="Arial"/>
          <w:color w:val="E36C0A" w:themeColor="accent6" w:themeShade="BF"/>
          <w:sz w:val="16"/>
          <w:szCs w:val="16"/>
          <w:lang w:val="es-MX"/>
        </w:rPr>
      </w:pPr>
      <w:r w:rsidRPr="00073157">
        <w:rPr>
          <w:rFonts w:ascii="Arial" w:hAnsi="Arial" w:cs="Arial"/>
          <w:color w:val="E36C0A" w:themeColor="accent6" w:themeShade="BF"/>
          <w:sz w:val="16"/>
          <w:szCs w:val="16"/>
          <w:lang w:val="es-MX"/>
        </w:rPr>
        <w:t xml:space="preserve">Centros de Atención al Migrante Irregular (CAMI): Operados por el Instituto Nacional de Migración (INM), son puntos de contacto donde se ofrece orientación legal, asistencia humanitaria y referencias a servicios especializados para migrantes en tránsito o vulnerables. </w:t>
      </w:r>
      <w:hyperlink r:id="rId27" w:history="1">
        <w:r w:rsidRPr="00073157">
          <w:rPr>
            <w:rStyle w:val="Hipervnculo"/>
            <w:rFonts w:ascii="Arial" w:hAnsi="Arial" w:cs="Arial"/>
            <w:color w:val="E36C0A" w:themeColor="accent6" w:themeShade="BF"/>
            <w:sz w:val="16"/>
            <w:szCs w:val="16"/>
            <w:lang w:val="es-MX"/>
          </w:rPr>
          <w:t>[nortedecen...ca.iom.int]</w:t>
        </w:r>
      </w:hyperlink>
    </w:p>
    <w:p w14:paraId="1112CD3C" w14:textId="662BEB56" w:rsidR="00073157" w:rsidRPr="00073157" w:rsidRDefault="00073157" w:rsidP="00732070">
      <w:pPr>
        <w:pStyle w:val="SingleTxtG"/>
        <w:rPr>
          <w:rFonts w:ascii="Arial" w:hAnsi="Arial" w:cs="Arial"/>
          <w:color w:val="E36C0A" w:themeColor="accent6" w:themeShade="BF"/>
          <w:sz w:val="16"/>
          <w:szCs w:val="16"/>
          <w:lang w:val="es-MX"/>
        </w:rPr>
      </w:pPr>
      <w:r w:rsidRPr="00073157">
        <w:rPr>
          <w:rFonts w:ascii="Arial" w:hAnsi="Arial" w:cs="Arial"/>
          <w:color w:val="E36C0A" w:themeColor="accent6" w:themeShade="BF"/>
          <w:sz w:val="16"/>
          <w:szCs w:val="16"/>
          <w:lang w:val="es-MX"/>
        </w:rPr>
        <w:t xml:space="preserve">Oficina de Protección al Hondureño Migrante (OPROHM): Depende de la Cancillería y coordina programas de protección consular, asesoría legal (laboral, penal, civil, migratoria) y orientación sobre derechos humanos para migrantes en el exterior y retornados. </w:t>
      </w:r>
      <w:hyperlink r:id="rId28" w:history="1">
        <w:r w:rsidRPr="00073157">
          <w:rPr>
            <w:rStyle w:val="Hipervnculo"/>
            <w:rFonts w:ascii="Arial" w:hAnsi="Arial" w:cs="Arial"/>
            <w:color w:val="E36C0A" w:themeColor="accent6" w:themeShade="BF"/>
            <w:sz w:val="16"/>
            <w:szCs w:val="16"/>
            <w:lang w:val="es-MX"/>
          </w:rPr>
          <w:t>[</w:t>
        </w:r>
        <w:proofErr w:type="gramStart"/>
        <w:r w:rsidRPr="00073157">
          <w:rPr>
            <w:rStyle w:val="Hipervnculo"/>
            <w:rFonts w:ascii="Arial" w:hAnsi="Arial" w:cs="Arial"/>
            <w:color w:val="E36C0A" w:themeColor="accent6" w:themeShade="BF"/>
            <w:sz w:val="16"/>
            <w:szCs w:val="16"/>
            <w:lang w:val="es-MX"/>
          </w:rPr>
          <w:t>conmigho.s...</w:t>
        </w:r>
        <w:proofErr w:type="gramEnd"/>
        <w:r w:rsidRPr="00073157">
          <w:rPr>
            <w:rStyle w:val="Hipervnculo"/>
            <w:rFonts w:ascii="Arial" w:hAnsi="Arial" w:cs="Arial"/>
            <w:color w:val="E36C0A" w:themeColor="accent6" w:themeShade="BF"/>
            <w:sz w:val="16"/>
            <w:szCs w:val="16"/>
            <w:lang w:val="es-MX"/>
          </w:rPr>
          <w:t>eci.gob.hn]</w:t>
        </w:r>
      </w:hyperlink>
    </w:p>
    <w:p w14:paraId="7E6DF456" w14:textId="77777777" w:rsidR="00732070" w:rsidRPr="00D44BD1" w:rsidRDefault="00073157" w:rsidP="00732070">
      <w:pPr>
        <w:pStyle w:val="SingleTxtG"/>
        <w:rPr>
          <w:rFonts w:ascii="Arial" w:hAnsi="Arial" w:cs="Arial"/>
          <w:color w:val="E36C0A" w:themeColor="accent6" w:themeShade="BF"/>
          <w:sz w:val="16"/>
          <w:szCs w:val="16"/>
          <w:lang w:val="es-MX"/>
        </w:rPr>
      </w:pPr>
      <w:r w:rsidRPr="00073157">
        <w:rPr>
          <w:rFonts w:ascii="Arial" w:hAnsi="Arial" w:cs="Arial"/>
          <w:color w:val="E36C0A" w:themeColor="accent6" w:themeShade="BF"/>
          <w:sz w:val="16"/>
          <w:szCs w:val="16"/>
          <w:lang w:val="es-MX"/>
        </w:rPr>
        <w:t>Campañas de información y sensibilización</w:t>
      </w:r>
      <w:r w:rsidR="00732070" w:rsidRPr="00D44BD1">
        <w:rPr>
          <w:rFonts w:ascii="Arial" w:hAnsi="Arial" w:cs="Arial"/>
          <w:color w:val="E36C0A" w:themeColor="accent6" w:themeShade="BF"/>
          <w:sz w:val="16"/>
          <w:szCs w:val="16"/>
          <w:lang w:val="es-MX"/>
        </w:rPr>
        <w:t xml:space="preserve">: </w:t>
      </w:r>
      <w:r w:rsidRPr="00073157">
        <w:rPr>
          <w:rFonts w:ascii="Arial" w:hAnsi="Arial" w:cs="Arial"/>
          <w:color w:val="E36C0A" w:themeColor="accent6" w:themeShade="BF"/>
          <w:sz w:val="16"/>
          <w:szCs w:val="16"/>
          <w:lang w:val="es-MX"/>
        </w:rPr>
        <w:t>Difusión en medios y redes sociales por la Subsecretaría de Asuntos Consulares y Migratorios y el Observatorio Consular y Migratorio (CONMIGHO), sobre derechos, trámites y mecanismos de denuncia.</w:t>
      </w:r>
    </w:p>
    <w:p w14:paraId="5D9C4815" w14:textId="77777777" w:rsidR="00732070" w:rsidRPr="00D44BD1" w:rsidRDefault="00073157" w:rsidP="00732070">
      <w:pPr>
        <w:pStyle w:val="SingleTxtG"/>
        <w:rPr>
          <w:rFonts w:ascii="Arial" w:hAnsi="Arial" w:cs="Arial"/>
          <w:color w:val="E36C0A" w:themeColor="accent6" w:themeShade="BF"/>
          <w:sz w:val="16"/>
          <w:szCs w:val="16"/>
          <w:lang w:val="es-MX"/>
        </w:rPr>
      </w:pPr>
      <w:r w:rsidRPr="00073157">
        <w:rPr>
          <w:rFonts w:ascii="Arial" w:hAnsi="Arial" w:cs="Arial"/>
          <w:color w:val="E36C0A" w:themeColor="accent6" w:themeShade="BF"/>
          <w:sz w:val="16"/>
          <w:szCs w:val="16"/>
          <w:lang w:val="es-MX"/>
        </w:rPr>
        <w:t>Material informativo en puntos fronterizos y aeropuertos sobre derechos y recursos disponibles, incluyendo líneas telefónicas y plataformas digitales para denuncias.</w:t>
      </w:r>
    </w:p>
    <w:p w14:paraId="69BA8D79" w14:textId="77777777" w:rsidR="00732070" w:rsidRPr="00D44BD1" w:rsidRDefault="00073157" w:rsidP="00732070">
      <w:pPr>
        <w:pStyle w:val="SingleTxtG"/>
        <w:rPr>
          <w:rFonts w:ascii="Arial" w:hAnsi="Arial" w:cs="Arial"/>
          <w:color w:val="E36C0A" w:themeColor="accent6" w:themeShade="BF"/>
          <w:sz w:val="16"/>
          <w:szCs w:val="16"/>
          <w:lang w:val="es-MX"/>
        </w:rPr>
      </w:pPr>
      <w:r w:rsidRPr="00073157">
        <w:rPr>
          <w:rFonts w:ascii="Arial" w:hAnsi="Arial" w:cs="Arial"/>
          <w:color w:val="E36C0A" w:themeColor="accent6" w:themeShade="BF"/>
          <w:sz w:val="16"/>
          <w:szCs w:val="16"/>
          <w:lang w:val="es-MX"/>
        </w:rPr>
        <w:t>Coordinación interinstitucional y con sociedad civil</w:t>
      </w:r>
      <w:r w:rsidR="00732070" w:rsidRPr="00D44BD1">
        <w:rPr>
          <w:rFonts w:ascii="Arial" w:hAnsi="Arial" w:cs="Arial"/>
          <w:color w:val="E36C0A" w:themeColor="accent6" w:themeShade="BF"/>
          <w:sz w:val="16"/>
          <w:szCs w:val="16"/>
          <w:lang w:val="es-MX"/>
        </w:rPr>
        <w:t xml:space="preserve">: </w:t>
      </w:r>
      <w:r w:rsidRPr="00073157">
        <w:rPr>
          <w:rFonts w:ascii="Arial" w:hAnsi="Arial" w:cs="Arial"/>
          <w:color w:val="E36C0A" w:themeColor="accent6" w:themeShade="BF"/>
          <w:sz w:val="16"/>
          <w:szCs w:val="16"/>
          <w:lang w:val="es-MX"/>
        </w:rPr>
        <w:t xml:space="preserve">Fuerza de Tarea para el Hondureño Migrante: Coordina acciones entre instituciones estatales (Derechos Humanos, Trabajo, Educación, Salud, Cancillería) y organismos autónomos como CONADEH para garantizar protección y acceso a justicia. </w:t>
      </w:r>
      <w:hyperlink r:id="rId29" w:history="1">
        <w:r w:rsidRPr="00073157">
          <w:rPr>
            <w:rStyle w:val="Hipervnculo"/>
            <w:rFonts w:ascii="Arial" w:hAnsi="Arial" w:cs="Arial"/>
            <w:color w:val="E36C0A" w:themeColor="accent6" w:themeShade="BF"/>
            <w:sz w:val="16"/>
            <w:szCs w:val="16"/>
            <w:lang w:val="es-MX"/>
          </w:rPr>
          <w:t>[ohchr.org]</w:t>
        </w:r>
      </w:hyperlink>
    </w:p>
    <w:p w14:paraId="5BD315DE" w14:textId="0E9E910C" w:rsidR="00073157" w:rsidRPr="00073157" w:rsidRDefault="00073157" w:rsidP="00732070">
      <w:pPr>
        <w:pStyle w:val="SingleTxtG"/>
        <w:rPr>
          <w:rFonts w:ascii="Arial" w:hAnsi="Arial" w:cs="Arial"/>
          <w:color w:val="E36C0A" w:themeColor="accent6" w:themeShade="BF"/>
          <w:sz w:val="16"/>
          <w:szCs w:val="16"/>
          <w:lang w:val="es-MX"/>
        </w:rPr>
      </w:pPr>
      <w:r w:rsidRPr="00073157">
        <w:rPr>
          <w:rFonts w:ascii="Arial" w:hAnsi="Arial" w:cs="Arial"/>
          <w:color w:val="E36C0A" w:themeColor="accent6" w:themeShade="BF"/>
          <w:sz w:val="16"/>
          <w:szCs w:val="16"/>
          <w:lang w:val="es-MX"/>
        </w:rPr>
        <w:t xml:space="preserve">Defensoría de Movilidad Humana del CONADEH: Atiende denuncias de vulneración de derechos, orienta sobre recursos judiciales y administrativos, y coordina con organizaciones internacionales para asistencia legal y humanitaria. </w:t>
      </w:r>
      <w:hyperlink r:id="rId30" w:history="1">
        <w:r w:rsidRPr="00073157">
          <w:rPr>
            <w:rStyle w:val="Hipervnculo"/>
            <w:rFonts w:ascii="Arial" w:hAnsi="Arial" w:cs="Arial"/>
            <w:color w:val="E36C0A" w:themeColor="accent6" w:themeShade="BF"/>
            <w:sz w:val="16"/>
            <w:szCs w:val="16"/>
            <w:lang w:val="es-MX"/>
          </w:rPr>
          <w:t>[proceso.hn]</w:t>
        </w:r>
      </w:hyperlink>
    </w:p>
    <w:p w14:paraId="1FAAB422" w14:textId="77777777" w:rsidR="00732070" w:rsidRPr="00D44BD1" w:rsidRDefault="00073157" w:rsidP="00732070">
      <w:pPr>
        <w:pStyle w:val="SingleTxtG"/>
        <w:rPr>
          <w:rFonts w:ascii="Arial" w:hAnsi="Arial" w:cs="Arial"/>
          <w:color w:val="E36C0A" w:themeColor="accent6" w:themeShade="BF"/>
          <w:sz w:val="16"/>
          <w:szCs w:val="16"/>
          <w:lang w:val="es-MX"/>
        </w:rPr>
      </w:pPr>
      <w:r w:rsidRPr="00073157">
        <w:rPr>
          <w:rFonts w:ascii="Arial" w:hAnsi="Arial" w:cs="Arial"/>
          <w:color w:val="E36C0A" w:themeColor="accent6" w:themeShade="BF"/>
          <w:sz w:val="16"/>
          <w:szCs w:val="16"/>
          <w:lang w:val="es-MX"/>
        </w:rPr>
        <w:t>Protocolos y normativa</w:t>
      </w:r>
      <w:r w:rsidR="00732070" w:rsidRPr="00D44BD1">
        <w:rPr>
          <w:rFonts w:ascii="Arial" w:hAnsi="Arial" w:cs="Arial"/>
          <w:color w:val="E36C0A" w:themeColor="accent6" w:themeShade="BF"/>
          <w:sz w:val="16"/>
          <w:szCs w:val="16"/>
          <w:lang w:val="es-MX"/>
        </w:rPr>
        <w:t xml:space="preserve">: </w:t>
      </w:r>
      <w:r w:rsidRPr="00073157">
        <w:rPr>
          <w:rFonts w:ascii="Arial" w:hAnsi="Arial" w:cs="Arial"/>
          <w:color w:val="E36C0A" w:themeColor="accent6" w:themeShade="BF"/>
          <w:sz w:val="16"/>
          <w:szCs w:val="16"/>
          <w:lang w:val="es-MX"/>
        </w:rPr>
        <w:t xml:space="preserve">Reforma del artículo 29 de la Ley de Protección de los Hondureños Migrantes y sus Familiares (Decreto 54-2024): Fortalece el Fondo de Solidaridad con el Migrante Hondureño (FOSMIH) para asistencia legal y humanitaria en el exterior y a retornados. </w:t>
      </w:r>
      <w:hyperlink r:id="rId31" w:history="1">
        <w:r w:rsidRPr="00073157">
          <w:rPr>
            <w:rStyle w:val="Hipervnculo"/>
            <w:rFonts w:ascii="Arial" w:hAnsi="Arial" w:cs="Arial"/>
            <w:color w:val="E36C0A" w:themeColor="accent6" w:themeShade="BF"/>
            <w:sz w:val="16"/>
            <w:szCs w:val="16"/>
            <w:lang w:val="es-MX"/>
          </w:rPr>
          <w:t>[documents.un.org]</w:t>
        </w:r>
      </w:hyperlink>
    </w:p>
    <w:p w14:paraId="5A020760" w14:textId="7B164039" w:rsidR="00073157" w:rsidRPr="00073157" w:rsidRDefault="00073157" w:rsidP="00732070">
      <w:pPr>
        <w:pStyle w:val="SingleTxtG"/>
        <w:rPr>
          <w:rFonts w:ascii="Arial" w:hAnsi="Arial" w:cs="Arial"/>
          <w:color w:val="E36C0A" w:themeColor="accent6" w:themeShade="BF"/>
          <w:sz w:val="16"/>
          <w:szCs w:val="16"/>
          <w:lang w:val="es-MX"/>
        </w:rPr>
      </w:pPr>
      <w:r w:rsidRPr="00073157">
        <w:rPr>
          <w:rFonts w:ascii="Arial" w:hAnsi="Arial" w:cs="Arial"/>
          <w:color w:val="E36C0A" w:themeColor="accent6" w:themeShade="BF"/>
          <w:sz w:val="16"/>
          <w:szCs w:val="16"/>
          <w:lang w:val="es-MX"/>
        </w:rPr>
        <w:t xml:space="preserve">Amnistía migratoria: Eliminación de multas para migrantes en tránsito, facilitando acceso a permisos temporales y evitando cargas económicas que limitan el acceso a recursos legales. </w:t>
      </w:r>
      <w:hyperlink r:id="rId32" w:history="1">
        <w:r w:rsidRPr="00073157">
          <w:rPr>
            <w:rStyle w:val="Hipervnculo"/>
            <w:rFonts w:ascii="Arial" w:hAnsi="Arial" w:cs="Arial"/>
            <w:color w:val="E36C0A" w:themeColor="accent6" w:themeShade="BF"/>
            <w:sz w:val="16"/>
            <w:szCs w:val="16"/>
            <w:lang w:val="es-MX"/>
          </w:rPr>
          <w:t>[nortedecen...ca.iom.int]</w:t>
        </w:r>
      </w:hyperlink>
    </w:p>
    <w:p w14:paraId="68EA13E2" w14:textId="77777777" w:rsidR="00073157" w:rsidRPr="00F964B3" w:rsidRDefault="00073157" w:rsidP="00F964B3">
      <w:pPr>
        <w:pStyle w:val="SingleTxtG"/>
      </w:pPr>
    </w:p>
    <w:p w14:paraId="1FAB935F" w14:textId="082BCF9A" w:rsidR="002328EA" w:rsidRPr="00F964B3" w:rsidRDefault="00991B1D" w:rsidP="00F964B3">
      <w:pPr>
        <w:pStyle w:val="SingleTxtG"/>
      </w:pPr>
      <w:r w:rsidRPr="00F964B3">
        <w:t>7</w:t>
      </w:r>
      <w:r w:rsidR="002328EA" w:rsidRPr="00F964B3">
        <w:t>.</w:t>
      </w:r>
      <w:r w:rsidR="002328EA" w:rsidRPr="00F964B3">
        <w:tab/>
        <w:t xml:space="preserve">Sírvanse indicar si los funcionarios de la </w:t>
      </w:r>
      <w:r w:rsidR="00051502">
        <w:t>A</w:t>
      </w:r>
      <w:r w:rsidR="002328EA" w:rsidRPr="00F964B3">
        <w:t xml:space="preserve">dministración </w:t>
      </w:r>
      <w:r w:rsidR="00051502">
        <w:t>P</w:t>
      </w:r>
      <w:r w:rsidR="002328EA" w:rsidRPr="00F964B3">
        <w:t xml:space="preserve">ública han aplicado directamente las disposiciones de la Convención. Proporcionen información y ejemplos de causas judiciales y sentencias en las que se haya invocado directamente la Convención ante los tribunales. </w:t>
      </w:r>
      <w:r w:rsidR="00051502">
        <w:t>Se ruega i</w:t>
      </w:r>
      <w:r w:rsidR="002328EA" w:rsidRPr="00F964B3">
        <w:t>nformen asimismo sobre lo siguiente:</w:t>
      </w:r>
    </w:p>
    <w:p w14:paraId="50C07695" w14:textId="0B610712" w:rsidR="00271851" w:rsidRDefault="009621F4" w:rsidP="00233CE8">
      <w:pPr>
        <w:pStyle w:val="SingleTxtG"/>
      </w:pPr>
      <w:r w:rsidRPr="00F964B3">
        <w:tab/>
        <w:t>a)</w:t>
      </w:r>
      <w:r w:rsidRPr="00F964B3">
        <w:tab/>
        <w:t>Los órganos judiciales y/o las estructuras administrativas autorizadas para examinar las denuncias de los trabajadores migratorios o sus familiares, incluidos los indocumentados o en situación irregular, que consider</w:t>
      </w:r>
      <w:r w:rsidR="00EA5483">
        <w:t>a</w:t>
      </w:r>
      <w:r w:rsidRPr="00F964B3">
        <w:t>n que se han violado sus derechos, y el número y tipo de denuncias examinadas por esos órganos desde 201</w:t>
      </w:r>
      <w:r w:rsidR="006B4557" w:rsidRPr="00F964B3">
        <w:t>6</w:t>
      </w:r>
      <w:r w:rsidR="00EA5483">
        <w:t>, así como</w:t>
      </w:r>
      <w:r w:rsidRPr="00F964B3">
        <w:t xml:space="preserve"> las decisiones adoptadas</w:t>
      </w:r>
      <w:r w:rsidR="00CA3E9B">
        <w:t>, desglosadas por sexo y nacionalidad</w:t>
      </w:r>
      <w:r w:rsidRPr="00F964B3">
        <w:t>;</w:t>
      </w:r>
    </w:p>
    <w:p w14:paraId="0493BBF5" w14:textId="1697EB48" w:rsidR="00271851" w:rsidRPr="00A42CF7" w:rsidRDefault="00271851" w:rsidP="00271851">
      <w:pPr>
        <w:pStyle w:val="SingleTxtG"/>
        <w:rPr>
          <w:rFonts w:ascii="Arial" w:hAnsi="Arial" w:cs="Arial"/>
          <w:color w:val="E36C0A" w:themeColor="accent6" w:themeShade="BF"/>
          <w:sz w:val="16"/>
          <w:szCs w:val="16"/>
        </w:rPr>
      </w:pPr>
      <w:r w:rsidRPr="00271851">
        <w:rPr>
          <w:rFonts w:ascii="Arial" w:hAnsi="Arial" w:cs="Arial"/>
          <w:color w:val="E36C0A" w:themeColor="accent6" w:themeShade="BF"/>
          <w:sz w:val="16"/>
          <w:szCs w:val="16"/>
          <w:lang w:val="es-MX"/>
        </w:rPr>
        <w:t>En 2022</w:t>
      </w:r>
      <w:r w:rsidR="003807BB" w:rsidRPr="00761A4C">
        <w:rPr>
          <w:rFonts w:ascii="Arial" w:hAnsi="Arial" w:cs="Arial"/>
          <w:color w:val="E36C0A" w:themeColor="accent6" w:themeShade="BF"/>
          <w:sz w:val="16"/>
          <w:szCs w:val="16"/>
          <w:lang w:val="es-MX"/>
        </w:rPr>
        <w:t xml:space="preserve"> CONADEH</w:t>
      </w:r>
      <w:r w:rsidRPr="00271851">
        <w:rPr>
          <w:rFonts w:ascii="Arial" w:hAnsi="Arial" w:cs="Arial"/>
          <w:color w:val="E36C0A" w:themeColor="accent6" w:themeShade="BF"/>
          <w:sz w:val="16"/>
          <w:szCs w:val="16"/>
          <w:lang w:val="es-MX"/>
        </w:rPr>
        <w:t xml:space="preserve"> registró 10,354 denuncias de violaciones de derechos humanos, incluyendo casos de migrantes y desplazados. Las principales quejas: amenazas, falta de acceso a justicia, abusos de autoridad, violación de derechos laborales, desplazamiento forzado. </w:t>
      </w:r>
      <w:hyperlink r:id="rId33" w:history="1">
        <w:r w:rsidRPr="00271851">
          <w:rPr>
            <w:rStyle w:val="Hipervnculo"/>
            <w:rFonts w:ascii="Arial" w:hAnsi="Arial" w:cs="Arial"/>
            <w:color w:val="E36C0A" w:themeColor="accent6" w:themeShade="BF"/>
            <w:sz w:val="16"/>
            <w:szCs w:val="16"/>
            <w:lang w:val="es-MX"/>
          </w:rPr>
          <w:t>[tunota.com]</w:t>
        </w:r>
      </w:hyperlink>
      <w:r w:rsidRPr="00271851">
        <w:rPr>
          <w:rFonts w:ascii="Arial" w:hAnsi="Arial" w:cs="Arial"/>
          <w:color w:val="E36C0A" w:themeColor="accent6" w:themeShade="BF"/>
          <w:sz w:val="16"/>
          <w:szCs w:val="16"/>
          <w:lang w:val="es-MX"/>
        </w:rPr>
        <w:t xml:space="preserve">, </w:t>
      </w:r>
      <w:hyperlink r:id="rId34" w:history="1">
        <w:r w:rsidRPr="00271851">
          <w:rPr>
            <w:rStyle w:val="Hipervnculo"/>
            <w:rFonts w:ascii="Arial" w:hAnsi="Arial" w:cs="Arial"/>
            <w:color w:val="E36C0A" w:themeColor="accent6" w:themeShade="BF"/>
            <w:sz w:val="16"/>
            <w:szCs w:val="16"/>
            <w:lang w:val="es-MX"/>
          </w:rPr>
          <w:t>[laprensa.hn]</w:t>
        </w:r>
      </w:hyperlink>
    </w:p>
    <w:p w14:paraId="5F16F35E" w14:textId="77777777" w:rsidR="00233CE8" w:rsidRPr="00A42CF7" w:rsidRDefault="00271851" w:rsidP="00233CE8">
      <w:pPr>
        <w:pStyle w:val="SingleTxtG"/>
        <w:rPr>
          <w:rFonts w:ascii="Arial" w:hAnsi="Arial" w:cs="Arial"/>
          <w:color w:val="E36C0A" w:themeColor="accent6" w:themeShade="BF"/>
          <w:sz w:val="16"/>
          <w:szCs w:val="16"/>
        </w:rPr>
      </w:pPr>
      <w:r w:rsidRPr="00271851">
        <w:rPr>
          <w:rFonts w:ascii="Arial" w:hAnsi="Arial" w:cs="Arial"/>
          <w:color w:val="E36C0A" w:themeColor="accent6" w:themeShade="BF"/>
          <w:sz w:val="16"/>
          <w:szCs w:val="16"/>
          <w:lang w:val="es-MX"/>
        </w:rPr>
        <w:t xml:space="preserve">Migrantes en tránsito: Entre 2022 y 2023, más de 734,000 migrantes irregulares pasaron por Honduras, lo que generó denuncias por abusos policiales, extorsión y falta de protección. No hay cifras oficiales </w:t>
      </w:r>
      <w:r w:rsidRPr="00271851">
        <w:rPr>
          <w:rFonts w:ascii="Arial" w:hAnsi="Arial" w:cs="Arial"/>
          <w:color w:val="E36C0A" w:themeColor="accent6" w:themeShade="BF"/>
          <w:sz w:val="16"/>
          <w:szCs w:val="16"/>
          <w:lang w:val="es-MX"/>
        </w:rPr>
        <w:lastRenderedPageBreak/>
        <w:t xml:space="preserve">desglosadas por sexo/nacionalidad, pero se reportan casos de personas de Haití, Cuba, Venezuela, África y Asia. </w:t>
      </w:r>
      <w:hyperlink r:id="rId35" w:history="1">
        <w:r w:rsidRPr="00271851">
          <w:rPr>
            <w:rStyle w:val="Hipervnculo"/>
            <w:rFonts w:ascii="Arial" w:hAnsi="Arial" w:cs="Arial"/>
            <w:color w:val="E36C0A" w:themeColor="accent6" w:themeShade="BF"/>
            <w:sz w:val="16"/>
            <w:szCs w:val="16"/>
            <w:lang w:val="es-MX"/>
          </w:rPr>
          <w:t>[proceso.hn]</w:t>
        </w:r>
      </w:hyperlink>
    </w:p>
    <w:p w14:paraId="23E2F224" w14:textId="769D20C4" w:rsidR="00271851" w:rsidRPr="00271851" w:rsidRDefault="00271851" w:rsidP="00233CE8">
      <w:pPr>
        <w:pStyle w:val="SingleTxtG"/>
        <w:rPr>
          <w:rFonts w:ascii="Arial" w:hAnsi="Arial" w:cs="Arial"/>
          <w:color w:val="E36C0A" w:themeColor="accent6" w:themeShade="BF"/>
          <w:sz w:val="16"/>
          <w:szCs w:val="16"/>
        </w:rPr>
      </w:pPr>
      <w:r w:rsidRPr="00271851">
        <w:rPr>
          <w:rFonts w:ascii="Arial" w:hAnsi="Arial" w:cs="Arial"/>
          <w:color w:val="E36C0A" w:themeColor="accent6" w:themeShade="BF"/>
          <w:sz w:val="16"/>
          <w:szCs w:val="16"/>
          <w:lang w:val="es-MX"/>
        </w:rPr>
        <w:t xml:space="preserve">Violaciones laborales: De enero 2022 a marzo 2023, CONADEH atendió 400 quejas laborales, 57% presentadas por mujeres (acoso sexual, hostigamiento, despidos injustificados). La mayoría contra instituciones públicas, pero también hubo casos en el sector privado. </w:t>
      </w:r>
      <w:hyperlink r:id="rId36" w:history="1">
        <w:r w:rsidRPr="00271851">
          <w:rPr>
            <w:rStyle w:val="Hipervnculo"/>
            <w:rFonts w:ascii="Arial" w:hAnsi="Arial" w:cs="Arial"/>
            <w:color w:val="E36C0A" w:themeColor="accent6" w:themeShade="BF"/>
            <w:sz w:val="16"/>
            <w:szCs w:val="16"/>
            <w:lang w:val="es-MX"/>
          </w:rPr>
          <w:t>[radioamerica.hn]</w:t>
        </w:r>
      </w:hyperlink>
    </w:p>
    <w:p w14:paraId="6891CE15" w14:textId="0BB92E4E" w:rsidR="00271851" w:rsidRPr="00271851" w:rsidRDefault="00271851" w:rsidP="00233CE8">
      <w:pPr>
        <w:pStyle w:val="SingleTxtG"/>
        <w:rPr>
          <w:rFonts w:ascii="Arial" w:hAnsi="Arial" w:cs="Arial"/>
          <w:color w:val="E36C0A" w:themeColor="accent6" w:themeShade="BF"/>
          <w:sz w:val="16"/>
          <w:szCs w:val="16"/>
          <w:lang w:val="es-MX"/>
        </w:rPr>
      </w:pPr>
      <w:r w:rsidRPr="00271851">
        <w:rPr>
          <w:rFonts w:ascii="Arial" w:hAnsi="Arial" w:cs="Arial"/>
          <w:color w:val="E36C0A" w:themeColor="accent6" w:themeShade="BF"/>
          <w:sz w:val="16"/>
          <w:szCs w:val="16"/>
          <w:lang w:val="es-MX"/>
        </w:rPr>
        <w:t>Discriminación laboral: El Ministerio Público recibió 51 denuncias por discriminación laboral entre 2020 y junio 2023, 72% en Francisco Morazán. No hay desglose específico para migrantes, pero se incluyen casos de trato desigual por origen nacional.</w:t>
      </w:r>
    </w:p>
    <w:p w14:paraId="76BA83CD" w14:textId="77777777" w:rsidR="00271851" w:rsidRPr="00271851" w:rsidRDefault="00271851" w:rsidP="00F964B3">
      <w:pPr>
        <w:pStyle w:val="SingleTxtG"/>
        <w:rPr>
          <w:lang w:val="es-MX"/>
        </w:rPr>
      </w:pPr>
    </w:p>
    <w:p w14:paraId="094C0F87" w14:textId="2C9C724C" w:rsidR="009621F4" w:rsidRDefault="007724F5" w:rsidP="00EA5483">
      <w:pPr>
        <w:pStyle w:val="SingleTxtG"/>
      </w:pPr>
      <w:r w:rsidRPr="00F964B3">
        <w:tab/>
      </w:r>
      <w:r w:rsidR="00B9365B">
        <w:t>b</w:t>
      </w:r>
      <w:r w:rsidR="009621F4" w:rsidRPr="00F964B3">
        <w:t>)</w:t>
      </w:r>
      <w:r w:rsidR="009621F4" w:rsidRPr="00F964B3">
        <w:tab/>
        <w:t xml:space="preserve">La asistencia jurídica, </w:t>
      </w:r>
      <w:r w:rsidR="00EA5483">
        <w:t xml:space="preserve">especificando el </w:t>
      </w:r>
      <w:r w:rsidR="009621F4" w:rsidRPr="00F964B3">
        <w:t xml:space="preserve">número de casos recibidos y atendidos, de trabajadores migratorios en situación regular o irregular, incluidos los nacionales </w:t>
      </w:r>
      <w:r w:rsidRPr="00F964B3">
        <w:t xml:space="preserve">hondureños </w:t>
      </w:r>
      <w:r w:rsidR="009621F4" w:rsidRPr="00F964B3">
        <w:t>en el extranjero, y las medidas adoptadas para informarles a ellos y a sus familiares de los recursos de que disponen en caso de violación de sus derechos;</w:t>
      </w:r>
    </w:p>
    <w:p w14:paraId="12A4CF5D" w14:textId="77777777" w:rsidR="00153980" w:rsidRPr="00153980"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Medidas implementadas</w:t>
      </w:r>
    </w:p>
    <w:p w14:paraId="57B3DA88" w14:textId="77777777" w:rsidR="00153980" w:rsidRPr="00153980"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Centros de Atención al Migrante Retornado (CAMR</w:t>
      </w:r>
      <w:r w:rsidRPr="00153980">
        <w:rPr>
          <w:rFonts w:ascii="Arial" w:hAnsi="Arial" w:cs="Arial"/>
          <w:color w:val="E36C0A" w:themeColor="accent6" w:themeShade="BF"/>
          <w:sz w:val="16"/>
          <w:szCs w:val="16"/>
          <w:lang w:val="es-MX"/>
        </w:rPr>
        <w:t>)</w:t>
      </w:r>
    </w:p>
    <w:p w14:paraId="29D372A4" w14:textId="77777777" w:rsidR="00153980" w:rsidRPr="0048226E"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Brindan información sobre derechos, asistencia legal y mecanismos de denuncia al llegar al país.</w:t>
      </w:r>
    </w:p>
    <w:p w14:paraId="2FE1D240" w14:textId="77777777" w:rsidR="00153980" w:rsidRPr="00153980"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Coordinan con la Secretaría de Trabajo y Seguridad Social (STSS) y el CONADEH.</w:t>
      </w:r>
    </w:p>
    <w:p w14:paraId="636657A4" w14:textId="77777777" w:rsidR="00153980" w:rsidRPr="00153980" w:rsidRDefault="00153980" w:rsidP="00153980">
      <w:pPr>
        <w:pStyle w:val="SingleTxtG"/>
        <w:spacing w:after="0"/>
        <w:rPr>
          <w:rFonts w:ascii="Arial" w:hAnsi="Arial" w:cs="Arial"/>
          <w:color w:val="E36C0A" w:themeColor="accent6" w:themeShade="BF"/>
          <w:sz w:val="16"/>
          <w:szCs w:val="16"/>
          <w:lang w:val="es-MX"/>
        </w:rPr>
      </w:pPr>
    </w:p>
    <w:p w14:paraId="054B9E78" w14:textId="47996938" w:rsidR="00153980" w:rsidRPr="0048226E"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Plataformas digitales y líneas telefónicas</w:t>
      </w:r>
    </w:p>
    <w:p w14:paraId="410B246E" w14:textId="77777777" w:rsidR="00153980" w:rsidRPr="0048226E"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STSS: Portal de denuncias laborales y línea gratuita 130.</w:t>
      </w:r>
    </w:p>
    <w:p w14:paraId="63816AB2" w14:textId="77777777" w:rsidR="00153980" w:rsidRPr="0048226E"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CONADEH: Línea 131 y oficinas regionales para quejas de derechos humanos.</w:t>
      </w:r>
    </w:p>
    <w:p w14:paraId="224647B8" w14:textId="77777777" w:rsidR="00153980" w:rsidRPr="00153980"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Ministerio Público: Línea 911 para emergencias y denuncias.</w:t>
      </w:r>
    </w:p>
    <w:p w14:paraId="3C37F49A" w14:textId="77777777" w:rsidR="00153980" w:rsidRPr="00153980" w:rsidRDefault="00153980" w:rsidP="00153980">
      <w:pPr>
        <w:pStyle w:val="SingleTxtG"/>
        <w:spacing w:after="0"/>
        <w:rPr>
          <w:rFonts w:ascii="Arial" w:hAnsi="Arial" w:cs="Arial"/>
          <w:color w:val="E36C0A" w:themeColor="accent6" w:themeShade="BF"/>
          <w:sz w:val="16"/>
          <w:szCs w:val="16"/>
          <w:lang w:val="es-MX"/>
        </w:rPr>
      </w:pPr>
    </w:p>
    <w:p w14:paraId="1DCCEE85" w14:textId="7D3A2F5D" w:rsidR="00153980" w:rsidRPr="0048226E"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Campañas informativas</w:t>
      </w:r>
    </w:p>
    <w:p w14:paraId="59E7371C" w14:textId="77777777" w:rsidR="00153980" w:rsidRPr="0048226E"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Difusión en redes sociales, radios comunitarias y puntos fronterizos sobre derechos laborales y mecanismos de protección.</w:t>
      </w:r>
    </w:p>
    <w:p w14:paraId="6171A23E" w14:textId="1418770F" w:rsidR="00153980" w:rsidRPr="00153980"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Materiales en varios idiomas (español, inglés, creole, francés) para migrantes en tránsito.</w:t>
      </w:r>
    </w:p>
    <w:p w14:paraId="4A9A2C3D" w14:textId="77777777" w:rsidR="00153980" w:rsidRPr="00153980" w:rsidRDefault="00153980" w:rsidP="00153980">
      <w:pPr>
        <w:pStyle w:val="SingleTxtG"/>
        <w:spacing w:after="0"/>
        <w:rPr>
          <w:rFonts w:ascii="Arial" w:hAnsi="Arial" w:cs="Arial"/>
          <w:color w:val="E36C0A" w:themeColor="accent6" w:themeShade="BF"/>
          <w:sz w:val="16"/>
          <w:szCs w:val="16"/>
          <w:lang w:val="es-MX"/>
        </w:rPr>
      </w:pPr>
    </w:p>
    <w:p w14:paraId="4F45008F" w14:textId="3C7EA44B" w:rsidR="00153980" w:rsidRPr="0048226E"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Convenios con sociedad civil y organismos internacionales</w:t>
      </w:r>
    </w:p>
    <w:p w14:paraId="25333F53" w14:textId="77777777" w:rsidR="00153980" w:rsidRPr="0048226E"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OIM y ACNUR apoyan jornadas informativas en fronteras y estaciones migratorias.</w:t>
      </w:r>
    </w:p>
    <w:p w14:paraId="6EFA2361" w14:textId="3E500E6E" w:rsidR="00153980" w:rsidRPr="00153980"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Talleres en comunidades receptoras y albergues para explicar cómo denunciar abusos.</w:t>
      </w:r>
    </w:p>
    <w:p w14:paraId="4993DE48" w14:textId="77777777" w:rsidR="00153980" w:rsidRPr="00153980" w:rsidRDefault="00153980" w:rsidP="00153980">
      <w:pPr>
        <w:pStyle w:val="SingleTxtG"/>
        <w:spacing w:after="0"/>
        <w:rPr>
          <w:rFonts w:ascii="Arial" w:hAnsi="Arial" w:cs="Arial"/>
          <w:color w:val="E36C0A" w:themeColor="accent6" w:themeShade="BF"/>
          <w:sz w:val="16"/>
          <w:szCs w:val="16"/>
          <w:lang w:val="es-MX"/>
        </w:rPr>
      </w:pPr>
    </w:p>
    <w:p w14:paraId="3BB94ED5" w14:textId="49AF8E7D" w:rsidR="00153980" w:rsidRPr="0048226E"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Oficinas móviles y brigadas</w:t>
      </w:r>
    </w:p>
    <w:p w14:paraId="4F120BA2" w14:textId="77777777" w:rsidR="00153980" w:rsidRPr="0048226E" w:rsidRDefault="00153980" w:rsidP="00153980">
      <w:pPr>
        <w:pStyle w:val="SingleTxtG"/>
        <w:spacing w:after="0"/>
        <w:rPr>
          <w:rFonts w:ascii="Arial" w:hAnsi="Arial" w:cs="Arial"/>
          <w:color w:val="E36C0A" w:themeColor="accent6" w:themeShade="BF"/>
          <w:sz w:val="16"/>
          <w:szCs w:val="16"/>
          <w:lang w:val="es-MX"/>
        </w:rPr>
      </w:pPr>
      <w:r w:rsidRPr="0048226E">
        <w:rPr>
          <w:rFonts w:ascii="Arial" w:hAnsi="Arial" w:cs="Arial"/>
          <w:color w:val="E36C0A" w:themeColor="accent6" w:themeShade="BF"/>
          <w:sz w:val="16"/>
          <w:szCs w:val="16"/>
          <w:lang w:val="es-MX"/>
        </w:rPr>
        <w:t>Brigadas interinstitucionales en zonas fronterizas (Trojes, Danlí, Choluteca) para informar sobre recursos legales y asistencia humanitaria.</w:t>
      </w:r>
    </w:p>
    <w:p w14:paraId="7C872154" w14:textId="77777777" w:rsidR="00153980" w:rsidRPr="00F964B3" w:rsidRDefault="00153980" w:rsidP="00321114">
      <w:pPr>
        <w:pStyle w:val="SingleTxtG"/>
        <w:ind w:left="0"/>
      </w:pPr>
    </w:p>
    <w:p w14:paraId="45FC5515" w14:textId="2F3DF1DA" w:rsidR="009621F4" w:rsidRDefault="009621F4" w:rsidP="00F964B3">
      <w:pPr>
        <w:pStyle w:val="SingleTxtG"/>
      </w:pPr>
      <w:r w:rsidRPr="00F964B3">
        <w:tab/>
      </w:r>
      <w:r w:rsidR="00B9365B">
        <w:t>c</w:t>
      </w:r>
      <w:r w:rsidRPr="00F964B3">
        <w:t>)</w:t>
      </w:r>
      <w:r w:rsidRPr="00F964B3">
        <w:tab/>
        <w:t>La reparación integral otorgada a las víctimas de esas violaciones, inclus</w:t>
      </w:r>
      <w:r w:rsidR="00AA62A6">
        <w:t>ive</w:t>
      </w:r>
      <w:r w:rsidRPr="00F964B3">
        <w:t xml:space="preserve"> en forma de indemnización, y en el caso de los migrantes</w:t>
      </w:r>
      <w:r w:rsidR="007724F5" w:rsidRPr="00F964B3">
        <w:t xml:space="preserve"> hondureños</w:t>
      </w:r>
      <w:r w:rsidRPr="00F964B3">
        <w:t xml:space="preserve">, los esfuerzos realizados para obtener reparaciones de otros Estados, </w:t>
      </w:r>
      <w:r w:rsidR="00AA62A6">
        <w:t xml:space="preserve">especificando el </w:t>
      </w:r>
      <w:r w:rsidRPr="00F964B3">
        <w:t>número de casos por año y</w:t>
      </w:r>
      <w:r w:rsidR="00AA62A6">
        <w:t>,</w:t>
      </w:r>
      <w:r w:rsidRPr="00F964B3">
        <w:t xml:space="preserve"> si fuera posible</w:t>
      </w:r>
      <w:r w:rsidR="00AA62A6">
        <w:t>,</w:t>
      </w:r>
      <w:r w:rsidRPr="00F964B3">
        <w:t xml:space="preserve"> diferenciados por sexo.</w:t>
      </w:r>
    </w:p>
    <w:p w14:paraId="09039E05" w14:textId="09AC8C2B" w:rsidR="002A6796" w:rsidRPr="00321114" w:rsidRDefault="00C70CBD" w:rsidP="00F964B3">
      <w:pPr>
        <w:pStyle w:val="SingleTxtG"/>
        <w:rPr>
          <w:color w:val="E36C0A" w:themeColor="accent6" w:themeShade="BF"/>
          <w:lang w:val="es-MX"/>
        </w:rPr>
      </w:pPr>
      <w:r w:rsidRPr="00321114">
        <w:rPr>
          <w:color w:val="E36C0A" w:themeColor="accent6" w:themeShade="BF"/>
          <w:lang w:val="es-MX"/>
        </w:rPr>
        <w:t>-</w:t>
      </w:r>
      <w:r w:rsidR="00321114">
        <w:rPr>
          <w:color w:val="E36C0A" w:themeColor="accent6" w:themeShade="BF"/>
          <w:lang w:val="es-MX"/>
        </w:rPr>
        <w:t xml:space="preserve"> </w:t>
      </w:r>
    </w:p>
    <w:p w14:paraId="3ABA38AA" w14:textId="77777777" w:rsidR="00C70CBD" w:rsidRPr="0048226E" w:rsidRDefault="00C70CBD" w:rsidP="00F964B3">
      <w:pPr>
        <w:pStyle w:val="SingleTxtG"/>
        <w:rPr>
          <w:lang w:val="es-MX"/>
        </w:rPr>
      </w:pPr>
    </w:p>
    <w:p w14:paraId="7CDB271E" w14:textId="77777777" w:rsidR="002328EA" w:rsidRPr="00F964B3" w:rsidRDefault="002328EA" w:rsidP="00F964B3">
      <w:pPr>
        <w:pStyle w:val="H1G"/>
      </w:pPr>
      <w:r w:rsidRPr="00F964B3">
        <w:tab/>
        <w:t>B.</w:t>
      </w:r>
      <w:r w:rsidRPr="00F964B3">
        <w:tab/>
        <w:t>Parte II de la Convención</w:t>
      </w:r>
    </w:p>
    <w:p w14:paraId="7E7897BD" w14:textId="77777777" w:rsidR="002328EA" w:rsidRPr="002343A2" w:rsidRDefault="002328EA" w:rsidP="002328EA">
      <w:pPr>
        <w:pStyle w:val="H23G"/>
      </w:pPr>
      <w:r w:rsidRPr="00F964B3">
        <w:tab/>
      </w:r>
      <w:r w:rsidRPr="00F964B3">
        <w:tab/>
        <w:t>Artículo</w:t>
      </w:r>
      <w:r w:rsidRPr="002343A2">
        <w:t xml:space="preserve"> 7</w:t>
      </w:r>
    </w:p>
    <w:p w14:paraId="736238F3" w14:textId="365798F5" w:rsidR="002328EA" w:rsidRDefault="007E6399" w:rsidP="00F964B3">
      <w:pPr>
        <w:pStyle w:val="SingleTxtG"/>
      </w:pPr>
      <w:r w:rsidRPr="00F964B3">
        <w:t>8</w:t>
      </w:r>
      <w:r w:rsidR="002328EA" w:rsidRPr="00F964B3">
        <w:t>.</w:t>
      </w:r>
      <w:r w:rsidR="002328EA" w:rsidRPr="00F964B3">
        <w:tab/>
        <w:t xml:space="preserve">Sírvanse indicar </w:t>
      </w:r>
      <w:r w:rsidRPr="00F964B3">
        <w:t>c</w:t>
      </w:r>
      <w:r w:rsidR="00AA62A6">
        <w:t>ó</w:t>
      </w:r>
      <w:r w:rsidRPr="00F964B3">
        <w:t>mo se ha implementado la recomendación anterior del Comité</w:t>
      </w:r>
      <w:r w:rsidR="00AA62A6">
        <w:rPr>
          <w:rStyle w:val="Refdenotaalpie"/>
        </w:rPr>
        <w:footnoteReference w:id="10"/>
      </w:r>
      <w:r w:rsidRPr="00F964B3">
        <w:t xml:space="preserve"> </w:t>
      </w:r>
      <w:r w:rsidR="00AA62A6">
        <w:t>de que el Estado parte</w:t>
      </w:r>
      <w:r w:rsidR="00AA62A6" w:rsidRPr="00F964B3">
        <w:t xml:space="preserve"> </w:t>
      </w:r>
      <w:r w:rsidR="005873C9" w:rsidRPr="00F964B3">
        <w:t>ajust</w:t>
      </w:r>
      <w:r w:rsidR="00AA62A6">
        <w:t>e</w:t>
      </w:r>
      <w:r w:rsidR="005873C9" w:rsidRPr="00F964B3">
        <w:t xml:space="preserve"> la legislación nacional relativa a la migración para que esta </w:t>
      </w:r>
      <w:r w:rsidR="00566030">
        <w:t xml:space="preserve">prevea </w:t>
      </w:r>
      <w:r w:rsidR="005873C9" w:rsidRPr="00F964B3">
        <w:t>un enfoque de género en las normativas migratoria, laboral y otras conexas</w:t>
      </w:r>
      <w:r w:rsidR="00AA62A6">
        <w:t>,</w:t>
      </w:r>
      <w:r w:rsidR="005873C9" w:rsidRPr="00F964B3">
        <w:t xml:space="preserve"> y </w:t>
      </w:r>
      <w:r w:rsidR="00AA62A6">
        <w:t>elimine</w:t>
      </w:r>
      <w:r w:rsidR="00AA62A6" w:rsidRPr="00F964B3">
        <w:t xml:space="preserve"> </w:t>
      </w:r>
      <w:r w:rsidR="005873C9" w:rsidRPr="00F964B3">
        <w:t>cualquier cláusula discriminatoria en la legislación migratoria,</w:t>
      </w:r>
      <w:r w:rsidR="00950964" w:rsidRPr="00F964B3">
        <w:t xml:space="preserve"> así como </w:t>
      </w:r>
      <w:r w:rsidR="005873C9" w:rsidRPr="00F964B3">
        <w:t>incorpor</w:t>
      </w:r>
      <w:r w:rsidR="00AA62A6">
        <w:t>e</w:t>
      </w:r>
      <w:r w:rsidR="005873C9" w:rsidRPr="00F964B3">
        <w:t xml:space="preserve"> una prohibición explícita de la discriminación por motivos de género en relación con las mujeres migrantes y personas lesbianas, gais, bisexuales, transgénero e intersexuales, así como con </w:t>
      </w:r>
      <w:r w:rsidR="005873C9" w:rsidRPr="00F964B3">
        <w:lastRenderedPageBreak/>
        <w:t>base en el origen étnico, la discapacidad, la nacionalidad, la condición migratoria, la situación socioeconómica, entre otros motivos.</w:t>
      </w:r>
      <w:r w:rsidR="00950964" w:rsidRPr="00F964B3">
        <w:t xml:space="preserve"> </w:t>
      </w:r>
      <w:r w:rsidR="002328EA" w:rsidRPr="00F964B3">
        <w:t>Sírvanse incluir información cuantitativa y cualitativa, desglosada por sexo, edad, nacionalidad, origen étnico, situación migratoria y discapacidad, sobre los tipos de discriminación y los casos de xenofobia</w:t>
      </w:r>
      <w:r w:rsidR="00DD4CEC" w:rsidRPr="00F964B3">
        <w:t xml:space="preserve"> documentados</w:t>
      </w:r>
      <w:r w:rsidR="00C83B87">
        <w:t xml:space="preserve">, </w:t>
      </w:r>
      <w:proofErr w:type="gramStart"/>
      <w:r w:rsidR="00C83B87">
        <w:t>las respuestas del Estado parte</w:t>
      </w:r>
      <w:proofErr w:type="gramEnd"/>
      <w:r w:rsidR="00C83B87">
        <w:t xml:space="preserve"> </w:t>
      </w:r>
      <w:r w:rsidR="00AA62A6">
        <w:t>ante tales casos</w:t>
      </w:r>
      <w:r w:rsidR="002328EA" w:rsidRPr="00F964B3">
        <w:t>.</w:t>
      </w:r>
    </w:p>
    <w:p w14:paraId="4C2E2C68" w14:textId="6A2AC7DA" w:rsidR="00DE4D74" w:rsidRPr="00321114" w:rsidRDefault="00DE4D74" w:rsidP="00F964B3">
      <w:pPr>
        <w:pStyle w:val="SingleTxtG"/>
        <w:rPr>
          <w:color w:val="E36C0A" w:themeColor="accent6" w:themeShade="BF"/>
        </w:rPr>
      </w:pPr>
      <w:r w:rsidRPr="00321114">
        <w:rPr>
          <w:color w:val="E36C0A" w:themeColor="accent6" w:themeShade="BF"/>
        </w:rPr>
        <w:t xml:space="preserve">- </w:t>
      </w:r>
    </w:p>
    <w:p w14:paraId="1A2FB5E5" w14:textId="77777777" w:rsidR="002328EA" w:rsidRPr="00F964B3" w:rsidRDefault="002328EA" w:rsidP="007F1256">
      <w:pPr>
        <w:pStyle w:val="H1G"/>
      </w:pPr>
      <w:r w:rsidRPr="00F964B3">
        <w:tab/>
        <w:t>C.</w:t>
      </w:r>
      <w:r w:rsidRPr="00F964B3">
        <w:tab/>
        <w:t>Parte III de la Convención</w:t>
      </w:r>
    </w:p>
    <w:p w14:paraId="3361D028" w14:textId="77777777" w:rsidR="002328EA" w:rsidRPr="00F964B3" w:rsidRDefault="002328EA" w:rsidP="007F1256">
      <w:pPr>
        <w:pStyle w:val="H23G"/>
      </w:pPr>
      <w:r w:rsidRPr="00F964B3">
        <w:tab/>
      </w:r>
      <w:r w:rsidRPr="00F964B3">
        <w:tab/>
        <w:t>Artículos 8 a 15</w:t>
      </w:r>
    </w:p>
    <w:p w14:paraId="4A7B70B0" w14:textId="2F88E51D" w:rsidR="002328EA" w:rsidRDefault="00653FA9" w:rsidP="00F964B3">
      <w:pPr>
        <w:pStyle w:val="SingleTxtG"/>
      </w:pPr>
      <w:r w:rsidRPr="00F964B3">
        <w:t>9</w:t>
      </w:r>
      <w:r w:rsidR="002328EA" w:rsidRPr="00F964B3">
        <w:t>.</w:t>
      </w:r>
      <w:r w:rsidR="002328EA" w:rsidRPr="00F964B3">
        <w:tab/>
        <w:t>Sírvanse proporcionar información sobre los casos detectados en el Estado parte de trabajadores migratorios y sus familiares sometidos a condiciones de empleo abusivas, en situación tanto regular como irregular, en particular en la agricultura, la construcción, el trabajo y otros servicios domésticos, la industria pesquera</w:t>
      </w:r>
      <w:r w:rsidR="003043C7" w:rsidRPr="00F964B3">
        <w:t>, la industria del café</w:t>
      </w:r>
      <w:r w:rsidR="0033319F" w:rsidRPr="00F964B3">
        <w:t xml:space="preserve"> y</w:t>
      </w:r>
      <w:r w:rsidR="002328EA" w:rsidRPr="00F964B3">
        <w:t xml:space="preserve"> los servicios de limpieza. Expliquen de qué manera </w:t>
      </w:r>
      <w:r w:rsidR="0065791F" w:rsidRPr="00F964B3">
        <w:t xml:space="preserve">la Ley de Inspección del Trabajo y su Reglamento </w:t>
      </w:r>
      <w:r w:rsidR="002328EA" w:rsidRPr="00F964B3">
        <w:t xml:space="preserve">ha reforzado las inspecciones laborales </w:t>
      </w:r>
      <w:r w:rsidR="0065791F" w:rsidRPr="00F964B3">
        <w:t>de la</w:t>
      </w:r>
      <w:r w:rsidR="001E37D9" w:rsidRPr="00F964B3">
        <w:t xml:space="preserve"> Dirección General de Inspección de Trabajo</w:t>
      </w:r>
      <w:r w:rsidR="002328EA" w:rsidRPr="00F964B3">
        <w:t xml:space="preserve"> a fin de proteger a los trabajadores migratorios en los últimos </w:t>
      </w:r>
      <w:r w:rsidR="004525AD" w:rsidRPr="00F964B3">
        <w:t>cinco</w:t>
      </w:r>
      <w:r w:rsidR="002328EA" w:rsidRPr="00F964B3">
        <w:t xml:space="preserve"> años, indicando</w:t>
      </w:r>
      <w:r w:rsidR="00916B78">
        <w:t>,</w:t>
      </w:r>
      <w:r w:rsidR="002328EA" w:rsidRPr="00F964B3">
        <w:t xml:space="preserve"> entre otras cosas</w:t>
      </w:r>
      <w:r w:rsidR="00916B78">
        <w:t>,</w:t>
      </w:r>
      <w:r w:rsidR="002328EA" w:rsidRPr="00F964B3">
        <w:t xml:space="preserve"> si se han destinado suficientes recursos para prestar una protección adecuada a los trabajadores migratorios</w:t>
      </w:r>
      <w:r w:rsidR="00A517DD">
        <w:rPr>
          <w:rStyle w:val="Refdenotaalpie"/>
        </w:rPr>
        <w:footnoteReference w:id="11"/>
      </w:r>
      <w:r w:rsidR="002328EA" w:rsidRPr="00F964B3">
        <w:t xml:space="preserve">. </w:t>
      </w:r>
      <w:r w:rsidR="0065791F" w:rsidRPr="00F964B3">
        <w:t>Sírvanse</w:t>
      </w:r>
      <w:r w:rsidR="002328EA" w:rsidRPr="00F964B3">
        <w:t xml:space="preserve"> proporcionar información sobre las medidas que se hayan adoptado para garantizar que los trabajadores migratorios tengan acceso efectivo a medios para presentar denuncias contra sus empleadores, en particular en el sector del trabajo doméstico, y que todas las violaciones sean investigadas y, cuando proceda, que los autores sean sancionados</w:t>
      </w:r>
      <w:r w:rsidR="006678C4">
        <w:t xml:space="preserve">, </w:t>
      </w:r>
      <w:r w:rsidR="00A517DD">
        <w:t>brindando</w:t>
      </w:r>
      <w:r w:rsidR="006678C4">
        <w:t xml:space="preserve"> </w:t>
      </w:r>
      <w:r w:rsidR="00DB337B">
        <w:t>información</w:t>
      </w:r>
      <w:r w:rsidR="00C42ECD">
        <w:t xml:space="preserve"> </w:t>
      </w:r>
      <w:r w:rsidR="008A70C9">
        <w:t>específica</w:t>
      </w:r>
      <w:r w:rsidR="00C42ECD">
        <w:t xml:space="preserve"> sobre </w:t>
      </w:r>
      <w:r w:rsidR="00A517DD">
        <w:t xml:space="preserve">los </w:t>
      </w:r>
      <w:r w:rsidR="00C42ECD">
        <w:t xml:space="preserve">casos </w:t>
      </w:r>
      <w:r w:rsidR="006678C4">
        <w:t xml:space="preserve">presentados </w:t>
      </w:r>
      <w:r w:rsidR="008A70C9">
        <w:t>y los resultados obtenidos.</w:t>
      </w:r>
    </w:p>
    <w:p w14:paraId="1A695E45" w14:textId="07D7EDC4" w:rsidR="00321114" w:rsidRPr="00321114" w:rsidRDefault="00321114" w:rsidP="00F964B3">
      <w:pPr>
        <w:pStyle w:val="SingleTxtG"/>
        <w:rPr>
          <w:color w:val="E36C0A" w:themeColor="accent6" w:themeShade="BF"/>
        </w:rPr>
      </w:pPr>
      <w:r w:rsidRPr="00321114">
        <w:rPr>
          <w:color w:val="E36C0A" w:themeColor="accent6" w:themeShade="BF"/>
        </w:rPr>
        <w:t xml:space="preserve">- </w:t>
      </w:r>
    </w:p>
    <w:p w14:paraId="7C9EE7D3" w14:textId="778C1D92" w:rsidR="002328EA" w:rsidRDefault="00D05B9C" w:rsidP="00F964B3">
      <w:pPr>
        <w:pStyle w:val="SingleTxtG"/>
      </w:pPr>
      <w:r w:rsidRPr="00F964B3">
        <w:t>10</w:t>
      </w:r>
      <w:r w:rsidR="002328EA" w:rsidRPr="00F964B3">
        <w:t>.</w:t>
      </w:r>
      <w:r w:rsidR="002328EA" w:rsidRPr="00F964B3">
        <w:tab/>
        <w:t xml:space="preserve">Sírvanse proporcionar información sobre las medidas adoptadas por el Estado parte para garantizar que se respetan los derechos de los niños migrantes, en particular los </w:t>
      </w:r>
      <w:r w:rsidR="00D3233A">
        <w:t xml:space="preserve">niños no acompañados o separados de sus padres, </w:t>
      </w:r>
      <w:r w:rsidR="00141447">
        <w:t>los que</w:t>
      </w:r>
      <w:r w:rsidR="002328EA" w:rsidRPr="00F964B3">
        <w:t xml:space="preserve"> se encuentran en situación irregular o en tránsito por el Estado parte</w:t>
      </w:r>
      <w:r w:rsidR="00163771">
        <w:t xml:space="preserve"> y los hondureños en otros Estados</w:t>
      </w:r>
      <w:r w:rsidR="00B42DAA">
        <w:t>. Sírva</w:t>
      </w:r>
      <w:r w:rsidR="00A517DD">
        <w:t>n</w:t>
      </w:r>
      <w:r w:rsidR="00B42DAA">
        <w:t>se brindar información sobre todas las medidas implementadas desde 201</w:t>
      </w:r>
      <w:r w:rsidR="00A34D5E">
        <w:t>6</w:t>
      </w:r>
      <w:r w:rsidR="00B42DAA">
        <w:t xml:space="preserve"> en adelante, en cumplimiento de cada una de las recomendaciones del Comité para la plena protección de los derechos de todas las categorías de niños en contexto de migración</w:t>
      </w:r>
      <w:r w:rsidR="00A517DD">
        <w:rPr>
          <w:rStyle w:val="Refdenotaalpie"/>
        </w:rPr>
        <w:footnoteReference w:id="12"/>
      </w:r>
      <w:r w:rsidR="0074476C">
        <w:t>.</w:t>
      </w:r>
      <w:r w:rsidR="00CB5667">
        <w:t xml:space="preserve"> </w:t>
      </w:r>
      <w:r w:rsidR="002328EA" w:rsidRPr="00F964B3">
        <w:t xml:space="preserve">Indiquen las medidas, incluidas las de carácter legislativo, adoptadas o previstas por el Estado parte para la aplicación del Convenio sobre las </w:t>
      </w:r>
      <w:r w:rsidR="00F13D43">
        <w:t>P</w:t>
      </w:r>
      <w:r w:rsidR="002328EA" w:rsidRPr="00F964B3">
        <w:t xml:space="preserve">eores </w:t>
      </w:r>
      <w:r w:rsidR="00F13D43">
        <w:t>F</w:t>
      </w:r>
      <w:r w:rsidR="002328EA" w:rsidRPr="00F964B3">
        <w:t xml:space="preserve">ormas de </w:t>
      </w:r>
      <w:r w:rsidR="00F13D43">
        <w:t>T</w:t>
      </w:r>
      <w:r w:rsidR="002328EA" w:rsidRPr="00F964B3">
        <w:t xml:space="preserve">rabajo </w:t>
      </w:r>
      <w:r w:rsidR="00F13D43">
        <w:t>I</w:t>
      </w:r>
      <w:r w:rsidR="002328EA" w:rsidRPr="00F964B3">
        <w:t>nfantil, 1999 (núm</w:t>
      </w:r>
      <w:r w:rsidR="00B056C4" w:rsidRPr="00F964B3">
        <w:t>.</w:t>
      </w:r>
      <w:r w:rsidR="00B056C4">
        <w:t xml:space="preserve"> </w:t>
      </w:r>
      <w:r w:rsidR="002328EA" w:rsidRPr="00F964B3">
        <w:t>182)</w:t>
      </w:r>
      <w:r w:rsidR="00F13D43">
        <w:t>,</w:t>
      </w:r>
      <w:r w:rsidR="002328EA" w:rsidRPr="00F964B3">
        <w:t xml:space="preserve"> de la OIT</w:t>
      </w:r>
      <w:r w:rsidR="00F13D43">
        <w:t>,</w:t>
      </w:r>
      <w:r w:rsidR="002328EA" w:rsidRPr="00F964B3">
        <w:t xml:space="preserve"> y en relación con el sistema de inspección del trabajo, a fin de proteger a los niños contra las peores formas de trabajo.</w:t>
      </w:r>
    </w:p>
    <w:p w14:paraId="47D296F8" w14:textId="666395B8" w:rsidR="006A0A82" w:rsidRPr="00885D78" w:rsidRDefault="00A30715" w:rsidP="00885D78">
      <w:pPr>
        <w:pStyle w:val="SingleTxtG"/>
        <w:rPr>
          <w:rFonts w:ascii="Arial" w:hAnsi="Arial" w:cs="Arial"/>
          <w:color w:val="E36C0A" w:themeColor="accent6" w:themeShade="BF"/>
          <w:sz w:val="16"/>
          <w:szCs w:val="16"/>
        </w:rPr>
      </w:pPr>
      <w:r w:rsidRPr="00885D78">
        <w:rPr>
          <w:rFonts w:ascii="Arial" w:hAnsi="Arial" w:cs="Arial"/>
          <w:color w:val="E36C0A" w:themeColor="accent6" w:themeShade="BF"/>
          <w:sz w:val="16"/>
          <w:szCs w:val="16"/>
        </w:rPr>
        <w:t>Las medidas adoptadas por Honduras para garantizar los derechos de los niños migrantes, incluyendo niños no acompañados, separados, en situación irregular o en tránsito, así como niños hondureños en otros Estados:</w:t>
      </w:r>
    </w:p>
    <w:p w14:paraId="70D5E758" w14:textId="77777777" w:rsidR="006A0A82"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Marco institucional y coordinación</w:t>
      </w:r>
      <w:r w:rsidRPr="00885D78">
        <w:rPr>
          <w:rFonts w:ascii="Arial" w:hAnsi="Arial" w:cs="Arial"/>
          <w:color w:val="E36C0A" w:themeColor="accent6" w:themeShade="BF"/>
          <w:sz w:val="16"/>
          <w:szCs w:val="16"/>
          <w:lang w:val="es-MX"/>
        </w:rPr>
        <w:t>:</w:t>
      </w:r>
    </w:p>
    <w:p w14:paraId="735A490F" w14:textId="77777777" w:rsidR="006A0A82"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 xml:space="preserve">Fuerza de Tarea para el Hondureño Migrante (creada en 2014): Coordina acciones interinstitucionales para la protección de migrantes, liderada por la </w:t>
      </w:r>
      <w:proofErr w:type="gramStart"/>
      <w:r w:rsidRPr="006A0A82">
        <w:rPr>
          <w:rFonts w:ascii="Arial" w:hAnsi="Arial" w:cs="Arial"/>
          <w:color w:val="E36C0A" w:themeColor="accent6" w:themeShade="BF"/>
          <w:sz w:val="16"/>
          <w:szCs w:val="16"/>
          <w:lang w:val="es-MX"/>
        </w:rPr>
        <w:t>Primera Dama</w:t>
      </w:r>
      <w:proofErr w:type="gramEnd"/>
      <w:r w:rsidRPr="006A0A82">
        <w:rPr>
          <w:rFonts w:ascii="Arial" w:hAnsi="Arial" w:cs="Arial"/>
          <w:color w:val="E36C0A" w:themeColor="accent6" w:themeShade="BF"/>
          <w:sz w:val="16"/>
          <w:szCs w:val="16"/>
          <w:lang w:val="es-MX"/>
        </w:rPr>
        <w:t xml:space="preserve"> e integrada por DINAF, Secretaría de Derechos Humanos, STSS, Salud, Educación, Ministerio Público (Fiscalía de la Niñez), CONADEH y otros actores. </w:t>
      </w:r>
      <w:hyperlink r:id="rId37" w:history="1">
        <w:r w:rsidRPr="006A0A82">
          <w:rPr>
            <w:rStyle w:val="Hipervnculo"/>
            <w:rFonts w:ascii="Arial" w:hAnsi="Arial" w:cs="Arial"/>
            <w:color w:val="E36C0A" w:themeColor="accent6" w:themeShade="BF"/>
            <w:sz w:val="16"/>
            <w:szCs w:val="16"/>
            <w:lang w:val="es-MX"/>
          </w:rPr>
          <w:t>[ohchr.org]</w:t>
        </w:r>
      </w:hyperlink>
    </w:p>
    <w:p w14:paraId="6C85C0B7" w14:textId="77777777" w:rsidR="00207A9B" w:rsidRPr="00885D78" w:rsidRDefault="006A0A82" w:rsidP="00885D78">
      <w:pPr>
        <w:pStyle w:val="SingleTxtG"/>
        <w:spacing w:after="0"/>
        <w:rPr>
          <w:rFonts w:ascii="Arial" w:hAnsi="Arial" w:cs="Arial"/>
          <w:color w:val="E36C0A" w:themeColor="accent6" w:themeShade="BF"/>
          <w:sz w:val="16"/>
          <w:szCs w:val="16"/>
        </w:rPr>
      </w:pPr>
      <w:r w:rsidRPr="006A0A82">
        <w:rPr>
          <w:rFonts w:ascii="Arial" w:hAnsi="Arial" w:cs="Arial"/>
          <w:color w:val="E36C0A" w:themeColor="accent6" w:themeShade="BF"/>
          <w:sz w:val="16"/>
          <w:szCs w:val="16"/>
          <w:lang w:val="es-MX"/>
        </w:rPr>
        <w:t xml:space="preserve">Subsecretaría de Asuntos Consulares y Migratorios (2015): Encargada de coordinar políticas consulares y migratorias, incluyendo protección de niñez migrante en el exterior. </w:t>
      </w:r>
      <w:hyperlink r:id="rId38" w:history="1">
        <w:r w:rsidRPr="006A0A82">
          <w:rPr>
            <w:rStyle w:val="Hipervnculo"/>
            <w:rFonts w:ascii="Arial" w:hAnsi="Arial" w:cs="Arial"/>
            <w:color w:val="E36C0A" w:themeColor="accent6" w:themeShade="BF"/>
            <w:sz w:val="16"/>
            <w:szCs w:val="16"/>
            <w:lang w:val="es-MX"/>
          </w:rPr>
          <w:t>[ohchr.org]</w:t>
        </w:r>
      </w:hyperlink>
    </w:p>
    <w:p w14:paraId="76F934B7" w14:textId="77777777" w:rsidR="00207A9B" w:rsidRPr="00885D78" w:rsidRDefault="00207A9B" w:rsidP="00885D78">
      <w:pPr>
        <w:pStyle w:val="SingleTxtG"/>
        <w:spacing w:after="0"/>
        <w:rPr>
          <w:rFonts w:ascii="Arial" w:hAnsi="Arial" w:cs="Arial"/>
          <w:color w:val="E36C0A" w:themeColor="accent6" w:themeShade="BF"/>
          <w:sz w:val="16"/>
          <w:szCs w:val="16"/>
          <w:lang w:val="es-MX"/>
        </w:rPr>
      </w:pPr>
    </w:p>
    <w:p w14:paraId="250D03E8" w14:textId="77777777"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Protocolos y acuerdos</w:t>
      </w:r>
    </w:p>
    <w:p w14:paraId="773F6FF4" w14:textId="77777777"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 xml:space="preserve">Protocolo Binacional Honduras–Guatemala (2023): Establece procedimientos para la protección y atención de niñas, niños y adolescentes migrantes no acompañados, con enfoque de derechos humanos y el principio del interés superior del niño. Participan DINAF, INM, Fiscalía de la Niñez, Cancillería y sociedad civil (COIPRODEN). </w:t>
      </w:r>
      <w:hyperlink r:id="rId39" w:history="1">
        <w:r w:rsidRPr="006A0A82">
          <w:rPr>
            <w:rStyle w:val="Hipervnculo"/>
            <w:rFonts w:ascii="Arial" w:hAnsi="Arial" w:cs="Arial"/>
            <w:color w:val="E36C0A" w:themeColor="accent6" w:themeShade="BF"/>
            <w:sz w:val="16"/>
            <w:szCs w:val="16"/>
            <w:lang w:val="es-MX"/>
          </w:rPr>
          <w:t>[sreci.gob.hn]</w:t>
        </w:r>
      </w:hyperlink>
      <w:r w:rsidRPr="006A0A82">
        <w:rPr>
          <w:rFonts w:ascii="Arial" w:hAnsi="Arial" w:cs="Arial"/>
          <w:color w:val="E36C0A" w:themeColor="accent6" w:themeShade="BF"/>
          <w:sz w:val="16"/>
          <w:szCs w:val="16"/>
          <w:lang w:val="es-MX"/>
        </w:rPr>
        <w:t xml:space="preserve">, </w:t>
      </w:r>
      <w:hyperlink r:id="rId40" w:history="1">
        <w:r w:rsidRPr="006A0A82">
          <w:rPr>
            <w:rStyle w:val="Hipervnculo"/>
            <w:rFonts w:ascii="Arial" w:hAnsi="Arial" w:cs="Arial"/>
            <w:color w:val="E36C0A" w:themeColor="accent6" w:themeShade="BF"/>
            <w:sz w:val="16"/>
            <w:szCs w:val="16"/>
            <w:lang w:val="es-MX"/>
          </w:rPr>
          <w:t>[pami-guatemala.org]</w:t>
        </w:r>
      </w:hyperlink>
      <w:r w:rsidRPr="006A0A82">
        <w:rPr>
          <w:rFonts w:ascii="Arial" w:hAnsi="Arial" w:cs="Arial"/>
          <w:color w:val="E36C0A" w:themeColor="accent6" w:themeShade="BF"/>
          <w:sz w:val="16"/>
          <w:szCs w:val="16"/>
          <w:lang w:val="es-MX"/>
        </w:rPr>
        <w:t xml:space="preserve">, </w:t>
      </w:r>
      <w:hyperlink r:id="rId41" w:history="1">
        <w:r w:rsidRPr="006A0A82">
          <w:rPr>
            <w:rStyle w:val="Hipervnculo"/>
            <w:rFonts w:ascii="Arial" w:hAnsi="Arial" w:cs="Arial"/>
            <w:color w:val="E36C0A" w:themeColor="accent6" w:themeShade="BF"/>
            <w:sz w:val="16"/>
            <w:szCs w:val="16"/>
            <w:lang w:val="es-MX"/>
          </w:rPr>
          <w:t>[mp.hn]</w:t>
        </w:r>
      </w:hyperlink>
    </w:p>
    <w:p w14:paraId="64630C99" w14:textId="77777777"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lastRenderedPageBreak/>
        <w:t xml:space="preserve">Protocolo Consular para NNA migrantes no acompañados: Guía para funcionarios consulares en la atención de menores en el extranjero, asegurando estándares internacionales de protección. </w:t>
      </w:r>
      <w:hyperlink r:id="rId42" w:history="1">
        <w:r w:rsidRPr="006A0A82">
          <w:rPr>
            <w:rStyle w:val="Hipervnculo"/>
            <w:rFonts w:ascii="Arial" w:hAnsi="Arial" w:cs="Arial"/>
            <w:color w:val="E36C0A" w:themeColor="accent6" w:themeShade="BF"/>
            <w:sz w:val="16"/>
            <w:szCs w:val="16"/>
            <w:lang w:val="es-MX"/>
          </w:rPr>
          <w:t>[imumi.org]</w:t>
        </w:r>
      </w:hyperlink>
    </w:p>
    <w:p w14:paraId="0E45B648" w14:textId="77777777" w:rsidR="00885D78" w:rsidRDefault="00885D78" w:rsidP="00885D78">
      <w:pPr>
        <w:pStyle w:val="SingleTxtG"/>
        <w:rPr>
          <w:rFonts w:ascii="Arial" w:hAnsi="Arial" w:cs="Arial"/>
          <w:color w:val="E36C0A" w:themeColor="accent6" w:themeShade="BF"/>
          <w:sz w:val="16"/>
          <w:szCs w:val="16"/>
          <w:lang w:val="es-MX"/>
        </w:rPr>
      </w:pPr>
    </w:p>
    <w:p w14:paraId="1F7CA843" w14:textId="157395C7"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Atención y reintegración</w:t>
      </w:r>
    </w:p>
    <w:p w14:paraId="13E27D0B" w14:textId="7B73AB39" w:rsidR="006A0A82" w:rsidRPr="006A0A82"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 xml:space="preserve">Centros de Atención al Migrante Retornado (CAMR): </w:t>
      </w:r>
    </w:p>
    <w:p w14:paraId="72E3BF8C" w14:textId="77777777" w:rsidR="006A0A82" w:rsidRPr="006A0A82"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En 2023, atendieron 12,758 niños y adolescentes retornados; en 2024, 7,297.</w:t>
      </w:r>
    </w:p>
    <w:p w14:paraId="263852AD" w14:textId="77777777" w:rsidR="006A0A82" w:rsidRPr="006A0A82"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Sin embargo, solo el 2% recibió servicios de reintegración social por falta de recursos.</w:t>
      </w:r>
    </w:p>
    <w:p w14:paraId="619BE1B8" w14:textId="77777777"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 xml:space="preserve">UNICEF y socios implementaron un Modelo Integral de Reintegración, aumentando la cobertura del 4% al 43% en municipios priorizados. </w:t>
      </w:r>
      <w:hyperlink r:id="rId43" w:history="1">
        <w:r w:rsidRPr="006A0A82">
          <w:rPr>
            <w:rStyle w:val="Hipervnculo"/>
            <w:rFonts w:ascii="Arial" w:hAnsi="Arial" w:cs="Arial"/>
            <w:color w:val="E36C0A" w:themeColor="accent6" w:themeShade="BF"/>
            <w:sz w:val="16"/>
            <w:szCs w:val="16"/>
            <w:lang w:val="es-MX"/>
          </w:rPr>
          <w:t>[laprensa.hn]</w:t>
        </w:r>
      </w:hyperlink>
    </w:p>
    <w:p w14:paraId="678E8DEA" w14:textId="77777777" w:rsidR="00885D78" w:rsidRDefault="00885D78" w:rsidP="00885D78">
      <w:pPr>
        <w:pStyle w:val="SingleTxtG"/>
        <w:rPr>
          <w:rFonts w:ascii="Arial" w:hAnsi="Arial" w:cs="Arial"/>
          <w:color w:val="E36C0A" w:themeColor="accent6" w:themeShade="BF"/>
          <w:sz w:val="16"/>
          <w:szCs w:val="16"/>
          <w:lang w:val="es-MX"/>
        </w:rPr>
      </w:pPr>
    </w:p>
    <w:p w14:paraId="7EF7422D" w14:textId="236EAA78"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Protección en tránsito</w:t>
      </w:r>
    </w:p>
    <w:p w14:paraId="5E9BD7EE" w14:textId="77777777"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Plan de Respuesta Humanitaria 2024: Incluye proyectos para protección de niñez migrante en tránsito, aunque solo 1 de 10 proyectos está financiado.</w:t>
      </w:r>
    </w:p>
    <w:p w14:paraId="23C00F83" w14:textId="6572D16C"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Organizaciones como UNICEF, ACNUR, Save the Children y World Vision brinda</w:t>
      </w:r>
      <w:r w:rsidR="0054418F" w:rsidRPr="00885D78">
        <w:rPr>
          <w:rFonts w:ascii="Arial" w:hAnsi="Arial" w:cs="Arial"/>
          <w:color w:val="E36C0A" w:themeColor="accent6" w:themeShade="BF"/>
          <w:sz w:val="16"/>
          <w:szCs w:val="16"/>
          <w:lang w:val="es-MX"/>
        </w:rPr>
        <w:t>ron</w:t>
      </w:r>
      <w:r w:rsidRPr="006A0A82">
        <w:rPr>
          <w:rFonts w:ascii="Arial" w:hAnsi="Arial" w:cs="Arial"/>
          <w:color w:val="E36C0A" w:themeColor="accent6" w:themeShade="BF"/>
          <w:sz w:val="16"/>
          <w:szCs w:val="16"/>
          <w:lang w:val="es-MX"/>
        </w:rPr>
        <w:t xml:space="preserve"> atención en puntos críticos (Trojes, Choluteca, El Paraíso</w:t>
      </w:r>
      <w:r w:rsidR="0054418F" w:rsidRPr="00885D78">
        <w:rPr>
          <w:rFonts w:ascii="Arial" w:hAnsi="Arial" w:cs="Arial"/>
          <w:color w:val="E36C0A" w:themeColor="accent6" w:themeShade="BF"/>
          <w:sz w:val="16"/>
          <w:szCs w:val="16"/>
          <w:lang w:val="es-MX"/>
        </w:rPr>
        <w:t>, Ocotepeque</w:t>
      </w:r>
      <w:r w:rsidRPr="006A0A82">
        <w:rPr>
          <w:rFonts w:ascii="Arial" w:hAnsi="Arial" w:cs="Arial"/>
          <w:color w:val="E36C0A" w:themeColor="accent6" w:themeShade="BF"/>
          <w:sz w:val="16"/>
          <w:szCs w:val="16"/>
          <w:lang w:val="es-MX"/>
        </w:rPr>
        <w:t xml:space="preserve">) </w:t>
      </w:r>
      <w:r w:rsidR="0089303F">
        <w:rPr>
          <w:rFonts w:ascii="Arial" w:hAnsi="Arial" w:cs="Arial"/>
          <w:color w:val="E36C0A" w:themeColor="accent6" w:themeShade="BF"/>
          <w:sz w:val="16"/>
          <w:szCs w:val="16"/>
          <w:lang w:val="es-MX"/>
        </w:rPr>
        <w:t xml:space="preserve">a traves del sistema de información móvil brindaron información sobre servicios de asilo y protección </w:t>
      </w:r>
      <w:r w:rsidRPr="006A0A82">
        <w:rPr>
          <w:rFonts w:ascii="Arial" w:hAnsi="Arial" w:cs="Arial"/>
          <w:color w:val="E36C0A" w:themeColor="accent6" w:themeShade="BF"/>
          <w:sz w:val="16"/>
          <w:szCs w:val="16"/>
          <w:lang w:val="es-MX"/>
        </w:rPr>
        <w:t xml:space="preserve">ante riesgos de violencia, abuso sexual, secuestro y falta de acceso a alimentos y agua. </w:t>
      </w:r>
      <w:hyperlink r:id="rId44" w:history="1">
        <w:r w:rsidRPr="006A0A82">
          <w:rPr>
            <w:rStyle w:val="Hipervnculo"/>
            <w:rFonts w:ascii="Arial" w:hAnsi="Arial" w:cs="Arial"/>
            <w:color w:val="E36C0A" w:themeColor="accent6" w:themeShade="BF"/>
            <w:sz w:val="16"/>
            <w:szCs w:val="16"/>
            <w:lang w:val="es-MX"/>
          </w:rPr>
          <w:t>[reliefweb.int]</w:t>
        </w:r>
      </w:hyperlink>
      <w:r w:rsidRPr="006A0A82">
        <w:rPr>
          <w:rFonts w:ascii="Arial" w:hAnsi="Arial" w:cs="Arial"/>
          <w:color w:val="E36C0A" w:themeColor="accent6" w:themeShade="BF"/>
          <w:sz w:val="16"/>
          <w:szCs w:val="16"/>
          <w:lang w:val="es-MX"/>
        </w:rPr>
        <w:t xml:space="preserve">, </w:t>
      </w:r>
      <w:hyperlink r:id="rId45" w:history="1">
        <w:r w:rsidRPr="006A0A82">
          <w:rPr>
            <w:rStyle w:val="Hipervnculo"/>
            <w:rFonts w:ascii="Arial" w:hAnsi="Arial" w:cs="Arial"/>
            <w:color w:val="E36C0A" w:themeColor="accent6" w:themeShade="BF"/>
            <w:sz w:val="16"/>
            <w:szCs w:val="16"/>
            <w:lang w:val="es-MX"/>
          </w:rPr>
          <w:t>[bing.com]</w:t>
        </w:r>
      </w:hyperlink>
      <w:r w:rsidRPr="006A0A82">
        <w:rPr>
          <w:rFonts w:ascii="Arial" w:hAnsi="Arial" w:cs="Arial"/>
          <w:color w:val="E36C0A" w:themeColor="accent6" w:themeShade="BF"/>
          <w:sz w:val="16"/>
          <w:szCs w:val="16"/>
          <w:lang w:val="es-MX"/>
        </w:rPr>
        <w:t xml:space="preserve">, </w:t>
      </w:r>
      <w:hyperlink r:id="rId46" w:history="1">
        <w:r w:rsidRPr="006A0A82">
          <w:rPr>
            <w:rStyle w:val="Hipervnculo"/>
            <w:rFonts w:ascii="Arial" w:hAnsi="Arial" w:cs="Arial"/>
            <w:color w:val="E36C0A" w:themeColor="accent6" w:themeShade="BF"/>
            <w:sz w:val="16"/>
            <w:szCs w:val="16"/>
            <w:lang w:val="es-MX"/>
          </w:rPr>
          <w:t>[mixedmigration.org]</w:t>
        </w:r>
      </w:hyperlink>
    </w:p>
    <w:p w14:paraId="241DED68" w14:textId="77777777"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 xml:space="preserve">En 2024, 86,000 menores migrantes transitaron por Honduras, principalmente de Venezuela, Colombia y Haití, lo que evidencia la necesidad de reforzar mecanismos de protección. </w:t>
      </w:r>
      <w:hyperlink r:id="rId47" w:history="1">
        <w:r w:rsidRPr="006A0A82">
          <w:rPr>
            <w:rStyle w:val="Hipervnculo"/>
            <w:rFonts w:ascii="Arial" w:hAnsi="Arial" w:cs="Arial"/>
            <w:color w:val="E36C0A" w:themeColor="accent6" w:themeShade="BF"/>
            <w:sz w:val="16"/>
            <w:szCs w:val="16"/>
            <w:lang w:val="es-MX"/>
          </w:rPr>
          <w:t>[elmundo.hn]</w:t>
        </w:r>
      </w:hyperlink>
      <w:r w:rsidRPr="006A0A82">
        <w:rPr>
          <w:rFonts w:ascii="Arial" w:hAnsi="Arial" w:cs="Arial"/>
          <w:color w:val="E36C0A" w:themeColor="accent6" w:themeShade="BF"/>
          <w:sz w:val="16"/>
          <w:szCs w:val="16"/>
          <w:lang w:val="es-MX"/>
        </w:rPr>
        <w:t xml:space="preserve">, </w:t>
      </w:r>
      <w:hyperlink r:id="rId48" w:history="1">
        <w:r w:rsidRPr="006A0A82">
          <w:rPr>
            <w:rStyle w:val="Hipervnculo"/>
            <w:rFonts w:ascii="Arial" w:hAnsi="Arial" w:cs="Arial"/>
            <w:color w:val="E36C0A" w:themeColor="accent6" w:themeShade="BF"/>
            <w:sz w:val="16"/>
            <w:szCs w:val="16"/>
            <w:lang w:val="es-MX"/>
          </w:rPr>
          <w:t>[mntv.hn]</w:t>
        </w:r>
      </w:hyperlink>
    </w:p>
    <w:p w14:paraId="2E553E82" w14:textId="77777777" w:rsidR="00DC1A78" w:rsidRDefault="00DC1A78" w:rsidP="00885D78">
      <w:pPr>
        <w:pStyle w:val="SingleTxtG"/>
        <w:spacing w:after="0"/>
        <w:rPr>
          <w:rFonts w:ascii="Arial" w:hAnsi="Arial" w:cs="Arial"/>
          <w:color w:val="E36C0A" w:themeColor="accent6" w:themeShade="BF"/>
          <w:sz w:val="16"/>
          <w:szCs w:val="16"/>
          <w:lang w:val="es-MX"/>
        </w:rPr>
      </w:pPr>
    </w:p>
    <w:p w14:paraId="248F57A5" w14:textId="0049E7FB"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Niños hondureños en el extranjero</w:t>
      </w:r>
    </w:p>
    <w:p w14:paraId="0C7542AD" w14:textId="14232D58" w:rsidR="006A0A82" w:rsidRPr="006A0A82"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 xml:space="preserve">Acciones consulares y diplomáticas: </w:t>
      </w:r>
    </w:p>
    <w:p w14:paraId="098B96E1" w14:textId="77777777" w:rsidR="006A0A82" w:rsidRPr="006A0A82"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Atención prioritaria a NNA en riesgo en EE. UU., México y Guatemala.</w:t>
      </w:r>
    </w:p>
    <w:p w14:paraId="4E40C175" w14:textId="035FEBC2" w:rsidR="00885D78" w:rsidRDefault="006A0A82" w:rsidP="00DC1A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Coordinación con autoridades extranjeras para evitar detenciones prolongadas y garantizar repatriación segura.</w:t>
      </w:r>
    </w:p>
    <w:p w14:paraId="7A5E9FCE" w14:textId="77777777" w:rsidR="00DC1A78" w:rsidRDefault="00DC1A78" w:rsidP="00DC1A78">
      <w:pPr>
        <w:pStyle w:val="SingleTxtG"/>
        <w:spacing w:after="0"/>
        <w:rPr>
          <w:rFonts w:ascii="Arial" w:hAnsi="Arial" w:cs="Arial"/>
          <w:color w:val="E36C0A" w:themeColor="accent6" w:themeShade="BF"/>
          <w:sz w:val="16"/>
          <w:szCs w:val="16"/>
          <w:lang w:val="es-MX"/>
        </w:rPr>
      </w:pPr>
    </w:p>
    <w:p w14:paraId="6B1B80F9" w14:textId="23E61F05"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Principales desafíos</w:t>
      </w:r>
    </w:p>
    <w:p w14:paraId="47BFB691" w14:textId="77777777"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Falta de financiamiento para programas de reintegración.</w:t>
      </w:r>
    </w:p>
    <w:p w14:paraId="54467812" w14:textId="77777777" w:rsidR="00207A9B" w:rsidRPr="00885D78"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Brechas en atención psicosocial y acceso a servicios básicos.</w:t>
      </w:r>
    </w:p>
    <w:p w14:paraId="2EB260C1" w14:textId="0CE8A674" w:rsidR="006A0A82" w:rsidRPr="006A0A82" w:rsidRDefault="006A0A82" w:rsidP="00885D78">
      <w:pPr>
        <w:pStyle w:val="SingleTxtG"/>
        <w:spacing w:after="0"/>
        <w:rPr>
          <w:rFonts w:ascii="Arial" w:hAnsi="Arial" w:cs="Arial"/>
          <w:color w:val="E36C0A" w:themeColor="accent6" w:themeShade="BF"/>
          <w:sz w:val="16"/>
          <w:szCs w:val="16"/>
          <w:lang w:val="es-MX"/>
        </w:rPr>
      </w:pPr>
      <w:r w:rsidRPr="006A0A82">
        <w:rPr>
          <w:rFonts w:ascii="Arial" w:hAnsi="Arial" w:cs="Arial"/>
          <w:color w:val="E36C0A" w:themeColor="accent6" w:themeShade="BF"/>
          <w:sz w:val="16"/>
          <w:szCs w:val="16"/>
          <w:lang w:val="es-MX"/>
        </w:rPr>
        <w:t>Necesidad de fortalecer protocolos para migrantes en tránsito y retornados, incluyendo espacios seguros y personal capacitado.</w:t>
      </w:r>
    </w:p>
    <w:p w14:paraId="2B914C6B" w14:textId="77777777" w:rsidR="00A30715" w:rsidRPr="006A0A82" w:rsidRDefault="00A30715" w:rsidP="00F964B3">
      <w:pPr>
        <w:pStyle w:val="SingleTxtG"/>
        <w:rPr>
          <w:lang w:val="es-MX"/>
        </w:rPr>
      </w:pPr>
    </w:p>
    <w:p w14:paraId="7D1173F5" w14:textId="32F87483" w:rsidR="000A7682" w:rsidRDefault="0074476C" w:rsidP="000A7682">
      <w:pPr>
        <w:pStyle w:val="SingleTxtG"/>
      </w:pPr>
      <w:r w:rsidRPr="00AF3A0F">
        <w:t>11.</w:t>
      </w:r>
      <w:r w:rsidR="00C03EFB" w:rsidRPr="00AF3A0F">
        <w:tab/>
      </w:r>
      <w:r w:rsidRPr="00AF3A0F">
        <w:t>A la luz de la tendencia creciente del Estado parte como país de tránsito de un significativo número de personas que migran en condiciones de vulnerabilidad,</w:t>
      </w:r>
      <w:r w:rsidR="00F13D43">
        <w:t xml:space="preserve"> entre las que se </w:t>
      </w:r>
      <w:r w:rsidRPr="00AF3A0F">
        <w:t>incluyen niños y familias, sírva</w:t>
      </w:r>
      <w:r w:rsidR="00F13D43">
        <w:t>n</w:t>
      </w:r>
      <w:r w:rsidRPr="00AF3A0F">
        <w:t>se brindar información sobre todas las medidas que implementa el Estado parte para la protección de sus derechos y</w:t>
      </w:r>
      <w:r w:rsidR="009427A2" w:rsidRPr="00AF3A0F">
        <w:t xml:space="preserve"> </w:t>
      </w:r>
      <w:r w:rsidR="00F13D43">
        <w:t xml:space="preserve">en </w:t>
      </w:r>
      <w:r w:rsidR="009427A2" w:rsidRPr="00AF3A0F">
        <w:t>contra</w:t>
      </w:r>
      <w:r w:rsidRPr="00AF3A0F">
        <w:t xml:space="preserve"> </w:t>
      </w:r>
      <w:r w:rsidR="00F13D43">
        <w:t xml:space="preserve">de </w:t>
      </w:r>
      <w:r w:rsidRPr="00AF3A0F">
        <w:t>toda forma de violencia, inclu</w:t>
      </w:r>
      <w:r w:rsidR="00F13D43">
        <w:t>ida la</w:t>
      </w:r>
      <w:r w:rsidRPr="00AF3A0F">
        <w:t xml:space="preserve"> trata de personas, </w:t>
      </w:r>
      <w:r w:rsidR="00F13D43">
        <w:t xml:space="preserve">la </w:t>
      </w:r>
      <w:r w:rsidRPr="00AF3A0F">
        <w:t xml:space="preserve">explotación y </w:t>
      </w:r>
      <w:r w:rsidR="00F13D43">
        <w:t xml:space="preserve">la </w:t>
      </w:r>
      <w:r w:rsidRPr="00AF3A0F">
        <w:t xml:space="preserve">violencia </w:t>
      </w:r>
      <w:r w:rsidR="00F13D43">
        <w:t>de</w:t>
      </w:r>
      <w:r w:rsidRPr="00AF3A0F">
        <w:t xml:space="preserve"> género.</w:t>
      </w:r>
    </w:p>
    <w:p w14:paraId="53DBCC7E"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Marco normativo e institucional</w:t>
      </w:r>
    </w:p>
    <w:p w14:paraId="2888D7A3"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 xml:space="preserve">Ley contra la Trata de Personas (Decreto 59-2012): Crea la Comisión Interinstitucional contra la Explotación Sexual Comercial y Trata de Personas (CICESCT), encargada de coordinar políticas públicas para prevenir y sancionar la trata en todas sus formas. </w:t>
      </w:r>
      <w:hyperlink r:id="rId49" w:history="1">
        <w:r w:rsidRPr="000A7682">
          <w:rPr>
            <w:rStyle w:val="Hipervnculo"/>
            <w:rFonts w:ascii="Arial" w:hAnsi="Arial" w:cs="Arial"/>
            <w:color w:val="E36C0A" w:themeColor="accent6" w:themeShade="BF"/>
            <w:sz w:val="16"/>
            <w:szCs w:val="16"/>
            <w:lang w:val="es-MX"/>
          </w:rPr>
          <w:t>[sipeg.conadeh.hn]</w:t>
        </w:r>
      </w:hyperlink>
    </w:p>
    <w:p w14:paraId="24B6CAD5"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 xml:space="preserve">Plan Estratégico Nacional contra la Trata (2016–2022) y actualización 2023–2026: Incluye prevención, atención integral a víctimas y persecución penal. </w:t>
      </w:r>
      <w:hyperlink r:id="rId50" w:history="1">
        <w:r w:rsidRPr="000A7682">
          <w:rPr>
            <w:rStyle w:val="Hipervnculo"/>
            <w:rFonts w:ascii="Arial" w:hAnsi="Arial" w:cs="Arial"/>
            <w:color w:val="E36C0A" w:themeColor="accent6" w:themeShade="BF"/>
            <w:sz w:val="16"/>
            <w:szCs w:val="16"/>
            <w:lang w:val="es-MX"/>
          </w:rPr>
          <w:t>[cicesct.gob.hn]</w:t>
        </w:r>
      </w:hyperlink>
    </w:p>
    <w:p w14:paraId="038EFCF8" w14:textId="77777777" w:rsid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 xml:space="preserve">Ley para la Prevención, Atención y Protección de Personas Desplazadas Internamente: Busca garantizar seguridad y asistencia a víctimas de violencia y desplazamiento forzado. </w:t>
      </w:r>
      <w:hyperlink r:id="rId51" w:history="1">
        <w:r w:rsidRPr="000A7682">
          <w:rPr>
            <w:rStyle w:val="Hipervnculo"/>
            <w:rFonts w:ascii="Arial" w:hAnsi="Arial" w:cs="Arial"/>
            <w:color w:val="E36C0A" w:themeColor="accent6" w:themeShade="BF"/>
            <w:sz w:val="16"/>
            <w:szCs w:val="16"/>
            <w:lang w:val="es-MX"/>
          </w:rPr>
          <w:t>[conadeh.hn]</w:t>
        </w:r>
      </w:hyperlink>
    </w:p>
    <w:p w14:paraId="42F630DB" w14:textId="77777777" w:rsidR="000A7682" w:rsidRDefault="000A7682" w:rsidP="000A7682">
      <w:pPr>
        <w:pStyle w:val="SingleTxtG"/>
        <w:spacing w:after="0"/>
        <w:rPr>
          <w:rFonts w:ascii="Arial" w:hAnsi="Arial" w:cs="Arial"/>
          <w:color w:val="E36C0A" w:themeColor="accent6" w:themeShade="BF"/>
          <w:sz w:val="16"/>
          <w:szCs w:val="16"/>
          <w:lang w:val="es-MX"/>
        </w:rPr>
      </w:pPr>
    </w:p>
    <w:p w14:paraId="5B0E6C70" w14:textId="1F8B6D8B"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Medidas contra la violencia y la explotación</w:t>
      </w:r>
    </w:p>
    <w:p w14:paraId="59894C28"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 xml:space="preserve">Protocolos de acción local: Implementados en municipios para identificar y asistir víctimas de trata y explotación sexual, con participación de sobrevivientes en la elaboración de recomendaciones. </w:t>
      </w:r>
      <w:hyperlink r:id="rId52" w:history="1">
        <w:r w:rsidRPr="000A7682">
          <w:rPr>
            <w:rStyle w:val="Hipervnculo"/>
            <w:rFonts w:ascii="Arial" w:hAnsi="Arial" w:cs="Arial"/>
            <w:color w:val="E36C0A" w:themeColor="accent6" w:themeShade="BF"/>
            <w:sz w:val="16"/>
            <w:szCs w:val="16"/>
            <w:lang w:val="es-MX"/>
          </w:rPr>
          <w:t>[proceso.hn]</w:t>
        </w:r>
      </w:hyperlink>
    </w:p>
    <w:p w14:paraId="741BEED7"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 xml:space="preserve">Campañas de sensibilización: Coordinadas por CICESCT y sociedad civil para prevenir violencia de género y explotación sexual, especialmente en zonas fronterizas y comunidades vulnerables. </w:t>
      </w:r>
      <w:hyperlink r:id="rId53" w:history="1">
        <w:r w:rsidRPr="000A7682">
          <w:rPr>
            <w:rStyle w:val="Hipervnculo"/>
            <w:rFonts w:ascii="Arial" w:hAnsi="Arial" w:cs="Arial"/>
            <w:color w:val="E36C0A" w:themeColor="accent6" w:themeShade="BF"/>
            <w:sz w:val="16"/>
            <w:szCs w:val="16"/>
            <w:lang w:val="es-MX"/>
          </w:rPr>
          <w:t>[coalicioncorett.com]</w:t>
        </w:r>
      </w:hyperlink>
    </w:p>
    <w:p w14:paraId="6A6DB883"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 xml:space="preserve">Observatorio de la Violencia: Genera datos y análisis para diseñar políticas basadas en evidencia sobre homicidios, violencia de género y delitos conexos. </w:t>
      </w:r>
      <w:hyperlink r:id="rId54" w:history="1">
        <w:r w:rsidRPr="000A7682">
          <w:rPr>
            <w:rStyle w:val="Hipervnculo"/>
            <w:rFonts w:ascii="Arial" w:hAnsi="Arial" w:cs="Arial"/>
            <w:color w:val="E36C0A" w:themeColor="accent6" w:themeShade="BF"/>
            <w:sz w:val="16"/>
            <w:szCs w:val="16"/>
            <w:lang w:val="es-MX"/>
          </w:rPr>
          <w:t>[un.hn]</w:t>
        </w:r>
      </w:hyperlink>
    </w:p>
    <w:p w14:paraId="053CE811"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Protección de mujeres y grupos vulnerables</w:t>
      </w:r>
    </w:p>
    <w:p w14:paraId="70C47062"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lastRenderedPageBreak/>
        <w:t>Centros de Atención y Refugios: Se han habilitado espacios seguros para víctimas de violencia doméstica, trata y explotación sexual, con apoyo psicosocial y legal.</w:t>
      </w:r>
    </w:p>
    <w:p w14:paraId="53C58888"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 xml:space="preserve">Programas de empoderamiento económico: Capital semilla y formación para mujeres migrantes retornadas y sobrevivientes de violencia, en coordinación con PNUD y sociedad civil. </w:t>
      </w:r>
      <w:hyperlink r:id="rId55" w:history="1">
        <w:r w:rsidRPr="000A7682">
          <w:rPr>
            <w:rStyle w:val="Hipervnculo"/>
            <w:rFonts w:ascii="Arial" w:hAnsi="Arial" w:cs="Arial"/>
            <w:color w:val="E36C0A" w:themeColor="accent6" w:themeShade="BF"/>
            <w:sz w:val="16"/>
            <w:szCs w:val="16"/>
            <w:lang w:val="es-MX"/>
          </w:rPr>
          <w:t>[undp.org]</w:t>
        </w:r>
      </w:hyperlink>
    </w:p>
    <w:p w14:paraId="71D53621" w14:textId="79BD26B5" w:rsidR="000A7682" w:rsidRDefault="000A7682" w:rsidP="000A7682">
      <w:pPr>
        <w:pStyle w:val="SingleTxtG"/>
        <w:spacing w:after="0"/>
        <w:rPr>
          <w:rFonts w:ascii="Arial" w:hAnsi="Arial" w:cs="Arial"/>
          <w:color w:val="E36C0A" w:themeColor="accent6" w:themeShade="BF"/>
          <w:sz w:val="16"/>
          <w:szCs w:val="16"/>
        </w:rPr>
      </w:pPr>
      <w:r w:rsidRPr="000A7682">
        <w:rPr>
          <w:rFonts w:ascii="Arial" w:hAnsi="Arial" w:cs="Arial"/>
          <w:color w:val="E36C0A" w:themeColor="accent6" w:themeShade="BF"/>
          <w:sz w:val="16"/>
          <w:szCs w:val="16"/>
          <w:lang w:val="es-MX"/>
        </w:rPr>
        <w:t xml:space="preserve">Atención diferenciada en fronteras: Brigadas interinstitucionales brindan asistencia humanitaria, salud y protección a mujeres, niñas y personas LGBTIQ+ en tránsito. </w:t>
      </w:r>
      <w:hyperlink r:id="rId56" w:history="1">
        <w:r w:rsidRPr="000A7682">
          <w:rPr>
            <w:rStyle w:val="Hipervnculo"/>
            <w:rFonts w:ascii="Arial" w:hAnsi="Arial" w:cs="Arial"/>
            <w:color w:val="E36C0A" w:themeColor="accent6" w:themeShade="BF"/>
            <w:sz w:val="16"/>
            <w:szCs w:val="16"/>
            <w:lang w:val="es-MX"/>
          </w:rPr>
          <w:t>[elheraldo.hn]</w:t>
        </w:r>
      </w:hyperlink>
      <w:r>
        <w:rPr>
          <w:rFonts w:ascii="Arial" w:hAnsi="Arial" w:cs="Arial"/>
          <w:color w:val="E36C0A" w:themeColor="accent6" w:themeShade="BF"/>
          <w:sz w:val="16"/>
          <w:szCs w:val="16"/>
        </w:rPr>
        <w:t>.</w:t>
      </w:r>
    </w:p>
    <w:p w14:paraId="032BD387"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p>
    <w:p w14:paraId="567E920A"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Cooperación internacional</w:t>
      </w:r>
    </w:p>
    <w:p w14:paraId="05B4F7E6"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 xml:space="preserve">Implementación del Protocolo de Palermo: Honduras busca consolidarse como referente regional en la lucha contra la trata, fortaleciendo alianzas con OEA, ONU y países vecinos. </w:t>
      </w:r>
      <w:hyperlink r:id="rId57" w:history="1">
        <w:r w:rsidRPr="000A7682">
          <w:rPr>
            <w:rStyle w:val="Hipervnculo"/>
            <w:rFonts w:ascii="Arial" w:hAnsi="Arial" w:cs="Arial"/>
            <w:color w:val="E36C0A" w:themeColor="accent6" w:themeShade="BF"/>
            <w:sz w:val="16"/>
            <w:szCs w:val="16"/>
            <w:lang w:val="es-MX"/>
          </w:rPr>
          <w:t>[proceso.hn]</w:t>
        </w:r>
      </w:hyperlink>
    </w:p>
    <w:p w14:paraId="1F3E4F56" w14:textId="2E7F1884" w:rsid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 xml:space="preserve">Proyecto MENTHOR (OEA–UNODC): Capacitación a más de 120 profesionales en prevención, protección y judicialización de la trata de personas. </w:t>
      </w:r>
      <w:hyperlink r:id="rId58" w:history="1">
        <w:r w:rsidRPr="000A7682">
          <w:rPr>
            <w:rStyle w:val="Hipervnculo"/>
            <w:rFonts w:ascii="Arial" w:hAnsi="Arial" w:cs="Arial"/>
            <w:color w:val="E36C0A" w:themeColor="accent6" w:themeShade="BF"/>
            <w:sz w:val="16"/>
            <w:szCs w:val="16"/>
            <w:lang w:val="es-MX"/>
          </w:rPr>
          <w:t>[oas.org]</w:t>
        </w:r>
      </w:hyperlink>
    </w:p>
    <w:p w14:paraId="07FE2581"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p>
    <w:p w14:paraId="3BEA81AE"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Avances recientes</w:t>
      </w:r>
    </w:p>
    <w:p w14:paraId="4AC66E9A" w14:textId="77777777"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 xml:space="preserve">Honduras fue ubicado en Nivel 2 en el Informe sobre Trata de Personas del Departamento de Estado de EE. UU. (2025), reconociendo mejoras en prevención y atención a víctimas, aunque persisten desafíos en persecución penal y cobertura de servicios. </w:t>
      </w:r>
      <w:hyperlink r:id="rId59" w:history="1">
        <w:r w:rsidRPr="000A7682">
          <w:rPr>
            <w:rStyle w:val="Hipervnculo"/>
            <w:rFonts w:ascii="Arial" w:hAnsi="Arial" w:cs="Arial"/>
            <w:color w:val="E36C0A" w:themeColor="accent6" w:themeShade="BF"/>
            <w:sz w:val="16"/>
            <w:szCs w:val="16"/>
            <w:lang w:val="es-MX"/>
          </w:rPr>
          <w:t>[proceso.hn]</w:t>
        </w:r>
      </w:hyperlink>
    </w:p>
    <w:p w14:paraId="245AB5A0" w14:textId="73A2E209" w:rsidR="000A7682" w:rsidRPr="000A7682" w:rsidRDefault="000A7682" w:rsidP="000A7682">
      <w:pPr>
        <w:pStyle w:val="SingleTxtG"/>
        <w:spacing w:after="0"/>
        <w:rPr>
          <w:rFonts w:ascii="Arial" w:hAnsi="Arial" w:cs="Arial"/>
          <w:color w:val="E36C0A" w:themeColor="accent6" w:themeShade="BF"/>
          <w:sz w:val="16"/>
          <w:szCs w:val="16"/>
          <w:lang w:val="es-MX"/>
        </w:rPr>
      </w:pPr>
      <w:r w:rsidRPr="000A7682">
        <w:rPr>
          <w:rFonts w:ascii="Arial" w:hAnsi="Arial" w:cs="Arial"/>
          <w:color w:val="E36C0A" w:themeColor="accent6" w:themeShade="BF"/>
          <w:sz w:val="16"/>
          <w:szCs w:val="16"/>
          <w:lang w:val="es-MX"/>
        </w:rPr>
        <w:t xml:space="preserve">Amnistía migratoria: Eliminación de multas para migrantes en tránsito, reduciendo riesgos de explotación y extorsión. </w:t>
      </w:r>
      <w:hyperlink r:id="rId60" w:history="1">
        <w:r w:rsidRPr="000A7682">
          <w:rPr>
            <w:rStyle w:val="Hipervnculo"/>
            <w:rFonts w:ascii="Arial" w:hAnsi="Arial" w:cs="Arial"/>
            <w:color w:val="E36C0A" w:themeColor="accent6" w:themeShade="BF"/>
            <w:sz w:val="16"/>
            <w:szCs w:val="16"/>
            <w:lang w:val="es-MX"/>
          </w:rPr>
          <w:t>[nortedecen...ca.iom.int]</w:t>
        </w:r>
      </w:hyperlink>
    </w:p>
    <w:p w14:paraId="3DB216F8" w14:textId="77777777" w:rsidR="000A7682" w:rsidRPr="00AF3A0F" w:rsidRDefault="000A7682" w:rsidP="000A7682">
      <w:pPr>
        <w:pStyle w:val="SingleTxtG"/>
        <w:spacing w:after="0"/>
      </w:pPr>
    </w:p>
    <w:p w14:paraId="1C8443F7" w14:textId="29F58349" w:rsidR="002328EA" w:rsidRPr="00F964B3" w:rsidRDefault="002328EA" w:rsidP="00F964B3">
      <w:pPr>
        <w:pStyle w:val="H23G"/>
      </w:pPr>
      <w:r w:rsidRPr="00F964B3">
        <w:tab/>
      </w:r>
      <w:r w:rsidRPr="00F964B3">
        <w:tab/>
        <w:t>Artículos 16 a 2</w:t>
      </w:r>
      <w:r w:rsidR="00E2447E" w:rsidRPr="00F964B3">
        <w:t>2</w:t>
      </w:r>
    </w:p>
    <w:p w14:paraId="662D3B70" w14:textId="11B8B6B3" w:rsidR="002328EA" w:rsidRDefault="002328EA" w:rsidP="00F13D43">
      <w:pPr>
        <w:pStyle w:val="SingleTxtG"/>
      </w:pPr>
      <w:r w:rsidRPr="00F964B3">
        <w:t>1</w:t>
      </w:r>
      <w:r w:rsidR="00C03EFB">
        <w:t>2</w:t>
      </w:r>
      <w:r w:rsidRPr="00F964B3">
        <w:t>.</w:t>
      </w:r>
      <w:r w:rsidRPr="00F964B3">
        <w:tab/>
      </w:r>
      <w:r w:rsidR="00B97D46" w:rsidRPr="00F964B3">
        <w:t xml:space="preserve">Sírvanse proporcionar </w:t>
      </w:r>
      <w:r w:rsidR="00A72869" w:rsidRPr="00F964B3">
        <w:t xml:space="preserve">información sobre los trabajadores migratorios que se encuentran privados de libertad en el Estado parte, mencionando en particular su nacionalidad, y sobre los trabajadores migratorios nacionales del Estado parte que se encuentran privados de libertad en el extranjero en países de empleo o de tránsito, especificando si su privación de libertad estaba relacionada con su situación migratoria. Faciliten también información sobre los casos de trabajadores migratorios </w:t>
      </w:r>
      <w:r w:rsidR="00CB5667" w:rsidRPr="00F964B3">
        <w:t>detenidos</w:t>
      </w:r>
      <w:r w:rsidR="00CB5667">
        <w:t xml:space="preserve"> por</w:t>
      </w:r>
      <w:r w:rsidR="00A278D4">
        <w:t xml:space="preserve"> motivos migratorios,</w:t>
      </w:r>
      <w:r w:rsidR="00A72869" w:rsidRPr="00F964B3">
        <w:t xml:space="preserve"> indicando si los interesados pudieron interponer un recurso</w:t>
      </w:r>
      <w:r w:rsidR="00A278D4">
        <w:t xml:space="preserve"> efectivo</w:t>
      </w:r>
      <w:r w:rsidR="00A72869" w:rsidRPr="00F964B3">
        <w:t xml:space="preserve"> contra la decisión de </w:t>
      </w:r>
      <w:r w:rsidR="00AB3D9C">
        <w:t xml:space="preserve">privación de libertad, si se aplicaron medidas alternativas de manera prioritaria </w:t>
      </w:r>
      <w:r w:rsidR="00A72869" w:rsidRPr="00F964B3">
        <w:t>y si recibieron asistencia consular de su país de origen</w:t>
      </w:r>
      <w:r w:rsidR="00C03EFB">
        <w:t xml:space="preserve"> para ello</w:t>
      </w:r>
      <w:r w:rsidR="004B3705">
        <w:t xml:space="preserve">, de conformidad con </w:t>
      </w:r>
      <w:r w:rsidR="00F13D43">
        <w:t>la</w:t>
      </w:r>
      <w:r w:rsidR="000105CC">
        <w:t xml:space="preserve"> </w:t>
      </w:r>
      <w:r w:rsidR="00F13D43">
        <w:t>o</w:t>
      </w:r>
      <w:r w:rsidR="001F066F">
        <w:t xml:space="preserve">bservación </w:t>
      </w:r>
      <w:r w:rsidR="001878A0">
        <w:t>g</w:t>
      </w:r>
      <w:r w:rsidR="000105CC">
        <w:t xml:space="preserve">eneral </w:t>
      </w:r>
      <w:r w:rsidR="00F13D43">
        <w:t>núm</w:t>
      </w:r>
      <w:r w:rsidR="000105CC">
        <w:t xml:space="preserve">. 5 </w:t>
      </w:r>
      <w:r w:rsidR="006432CA">
        <w:t xml:space="preserve">(2021) </w:t>
      </w:r>
      <w:r w:rsidR="000105CC">
        <w:t>sobre</w:t>
      </w:r>
      <w:r w:rsidR="001878A0">
        <w:t xml:space="preserve"> </w:t>
      </w:r>
      <w:r w:rsidR="001878A0" w:rsidRPr="001878A0">
        <w:t xml:space="preserve">el derecho de los migrantes a la libertad </w:t>
      </w:r>
      <w:r w:rsidR="00F13D43">
        <w:t>y a no ser sometidos a detención arbitraria y sobre la relación de esos derechos con otros derechos humanos</w:t>
      </w:r>
      <w:r w:rsidR="001878A0">
        <w:t>.</w:t>
      </w:r>
    </w:p>
    <w:p w14:paraId="031E41D8" w14:textId="718C9A54" w:rsidR="001A24B1" w:rsidRPr="001A24B1" w:rsidRDefault="001A24B1" w:rsidP="00F13D43">
      <w:pPr>
        <w:pStyle w:val="SingleTxtG"/>
        <w:rPr>
          <w:color w:val="E36C0A" w:themeColor="accent6" w:themeShade="BF"/>
        </w:rPr>
      </w:pPr>
      <w:r w:rsidRPr="001A24B1">
        <w:rPr>
          <w:color w:val="E36C0A" w:themeColor="accent6" w:themeShade="BF"/>
        </w:rPr>
        <w:t xml:space="preserve">- </w:t>
      </w:r>
    </w:p>
    <w:p w14:paraId="6FC42C75" w14:textId="73286215" w:rsidR="00C03EFB" w:rsidRDefault="00C03EFB" w:rsidP="00C03EFB">
      <w:pPr>
        <w:pStyle w:val="SingleTxtG"/>
      </w:pPr>
      <w:r>
        <w:t>13.</w:t>
      </w:r>
      <w:r>
        <w:tab/>
      </w:r>
      <w:r w:rsidRPr="00A06468">
        <w:t>En vista de la</w:t>
      </w:r>
      <w:r w:rsidR="00453D56" w:rsidRPr="008D3DDF">
        <w:t>s</w:t>
      </w:r>
      <w:r w:rsidRPr="00A06468">
        <w:t xml:space="preserve"> recomendaci</w:t>
      </w:r>
      <w:r w:rsidR="00453D56" w:rsidRPr="008D3DDF">
        <w:t>ones</w:t>
      </w:r>
      <w:r w:rsidRPr="00A06468">
        <w:t xml:space="preserve"> anterior</w:t>
      </w:r>
      <w:r w:rsidR="00453D56" w:rsidRPr="008D3DDF">
        <w:t>es</w:t>
      </w:r>
      <w:r w:rsidRPr="00A06468">
        <w:t xml:space="preserve"> del Comité</w:t>
      </w:r>
      <w:r w:rsidR="002249B4" w:rsidRPr="008D3DDF">
        <w:rPr>
          <w:rStyle w:val="Refdenotaalpie"/>
          <w:szCs w:val="18"/>
        </w:rPr>
        <w:footnoteReference w:id="13"/>
      </w:r>
      <w:r w:rsidRPr="00A06468">
        <w:t>,</w:t>
      </w:r>
      <w:r w:rsidRPr="00F964B3">
        <w:t xml:space="preserve"> sírvanse proporcionar información sobre las medidas adoptadas, tanto a nivel de acuerdos o diálogos bilaterales, como de la protección consular, para que los trabajadores migrantes hondureños y sus familiares, sin perjuicio de su situación migratoria, no sean deportados o repatriados de manera arbitraria y para alentar a que los Estados de tránsito y destino respeten plenamente sus garantías procesales, como la asistencia jurídica gratuita y el derecho a un recurso efectivo, y las garantías sustantivas, como el derecho a la vida familiar</w:t>
      </w:r>
      <w:r w:rsidR="00864482">
        <w:t xml:space="preserve"> </w:t>
      </w:r>
      <w:r w:rsidR="00784612">
        <w:t>y el principio de</w:t>
      </w:r>
      <w:r w:rsidRPr="00F964B3">
        <w:t xml:space="preserve"> no devolución</w:t>
      </w:r>
      <w:r w:rsidR="00827675">
        <w:rPr>
          <w:rStyle w:val="Refdenotaalpie"/>
        </w:rPr>
        <w:footnoteReference w:id="14"/>
      </w:r>
      <w:r w:rsidRPr="00F964B3">
        <w:t>.</w:t>
      </w:r>
    </w:p>
    <w:p w14:paraId="19DA77A9" w14:textId="7F0AD9BD" w:rsidR="001A24B1" w:rsidRPr="001A24B1" w:rsidRDefault="001A24B1" w:rsidP="00C03EFB">
      <w:pPr>
        <w:pStyle w:val="SingleTxtG"/>
        <w:rPr>
          <w:color w:val="E36C0A" w:themeColor="accent6" w:themeShade="BF"/>
          <w:highlight w:val="green"/>
        </w:rPr>
      </w:pPr>
      <w:r w:rsidRPr="001A24B1">
        <w:rPr>
          <w:color w:val="E36C0A" w:themeColor="accent6" w:themeShade="BF"/>
        </w:rPr>
        <w:t xml:space="preserve">- </w:t>
      </w:r>
    </w:p>
    <w:p w14:paraId="54A8E47B" w14:textId="08F1740C" w:rsidR="00D95C14" w:rsidRDefault="002328EA">
      <w:pPr>
        <w:pStyle w:val="SingleTxtG"/>
      </w:pPr>
      <w:r w:rsidRPr="00F964B3">
        <w:t>1</w:t>
      </w:r>
      <w:r w:rsidR="00D95C14">
        <w:t>4</w:t>
      </w:r>
      <w:r w:rsidRPr="00F964B3">
        <w:t>.</w:t>
      </w:r>
      <w:r w:rsidRPr="00F964B3">
        <w:tab/>
        <w:t xml:space="preserve">Sírvanse describir los tipos de sanciones penales o administrativas impuestas a los trabajadores migratorios por vulnerar las leyes o reglamentos en materia de migración. </w:t>
      </w:r>
      <w:r w:rsidR="00A72869" w:rsidRPr="00F964B3">
        <w:t>I</w:t>
      </w:r>
      <w:r w:rsidRPr="00F964B3">
        <w:t xml:space="preserve">ndiquen si se ha adoptado alguna decisión durante los últimos cinco años en relación con las restricciones de la libertad o la detención sobre la base de la situación migratoria. En caso afirmativo, sírvanse facilitar información </w:t>
      </w:r>
      <w:r w:rsidR="00A54BF9">
        <w:t>cualitativa y cuantitativa</w:t>
      </w:r>
      <w:r w:rsidRPr="00F964B3">
        <w:t xml:space="preserve">, que incluya la duración, </w:t>
      </w:r>
      <w:r w:rsidR="00F711E7">
        <w:t>los</w:t>
      </w:r>
      <w:r w:rsidRPr="00F964B3">
        <w:t xml:space="preserve"> lugar</w:t>
      </w:r>
      <w:r w:rsidR="00F711E7">
        <w:t>es habilitados para tal fin</w:t>
      </w:r>
      <w:r w:rsidRPr="00F964B3">
        <w:t xml:space="preserve"> y otras condiciones de la privación de libertad, </w:t>
      </w:r>
      <w:r w:rsidR="00F711E7">
        <w:t xml:space="preserve">las medidas alternativas a la detención que prevé la ley, </w:t>
      </w:r>
      <w:r w:rsidRPr="00F964B3">
        <w:t>y</w:t>
      </w:r>
      <w:r w:rsidR="00AC7666">
        <w:t xml:space="preserve"> las razones por las cuales </w:t>
      </w:r>
      <w:r w:rsidRPr="00F964B3">
        <w:t>no se aplicaron en esos casos medidas alternativas.</w:t>
      </w:r>
      <w:r w:rsidR="00AC7666">
        <w:t xml:space="preserve"> </w:t>
      </w:r>
      <w:r w:rsidR="00AC7666" w:rsidRPr="00F964B3">
        <w:t xml:space="preserve">Sírvanse proporcionar información detallada sobre las iniciativas emprendidas para mejorar las condiciones de </w:t>
      </w:r>
      <w:r w:rsidR="00960417">
        <w:t xml:space="preserve">detención </w:t>
      </w:r>
      <w:r w:rsidR="00AC7666" w:rsidRPr="00F964B3">
        <w:t xml:space="preserve">de los trabajadores </w:t>
      </w:r>
      <w:r w:rsidR="00AC7666" w:rsidRPr="00F964B3">
        <w:lastRenderedPageBreak/>
        <w:t xml:space="preserve">migratorios, en particular para eliminar las condiciones de hacinamiento y facilitar el acceso a la información y a </w:t>
      </w:r>
      <w:r w:rsidR="00A54BF9">
        <w:t xml:space="preserve">la </w:t>
      </w:r>
      <w:r w:rsidR="00AC7666" w:rsidRPr="00F964B3">
        <w:t>asistencia jurídica.</w:t>
      </w:r>
    </w:p>
    <w:p w14:paraId="40F6FEFC" w14:textId="5D70FC70" w:rsidR="001A24B1" w:rsidRPr="001A24B1" w:rsidRDefault="001A24B1">
      <w:pPr>
        <w:pStyle w:val="SingleTxtG"/>
        <w:rPr>
          <w:color w:val="E36C0A" w:themeColor="accent6" w:themeShade="BF"/>
        </w:rPr>
      </w:pPr>
      <w:r w:rsidRPr="001A24B1">
        <w:rPr>
          <w:color w:val="E36C0A" w:themeColor="accent6" w:themeShade="BF"/>
        </w:rPr>
        <w:t xml:space="preserve">- </w:t>
      </w:r>
    </w:p>
    <w:p w14:paraId="46A70B19" w14:textId="77777777" w:rsidR="002328EA" w:rsidRPr="00F964B3" w:rsidRDefault="002328EA" w:rsidP="00F964B3">
      <w:pPr>
        <w:pStyle w:val="H23G"/>
      </w:pPr>
      <w:r w:rsidRPr="00F964B3">
        <w:tab/>
      </w:r>
      <w:r w:rsidRPr="00F964B3">
        <w:tab/>
        <w:t>Artículo 23</w:t>
      </w:r>
    </w:p>
    <w:p w14:paraId="11619EBE" w14:textId="2C49C19C" w:rsidR="002328EA" w:rsidRDefault="00B66D4A" w:rsidP="00F964B3">
      <w:pPr>
        <w:pStyle w:val="SingleTxtG"/>
      </w:pPr>
      <w:r w:rsidRPr="00F964B3">
        <w:t>15</w:t>
      </w:r>
      <w:r w:rsidR="002328EA" w:rsidRPr="00F964B3">
        <w:t>.</w:t>
      </w:r>
      <w:r w:rsidR="002328EA" w:rsidRPr="00F964B3">
        <w:tab/>
        <w:t>Sírvanse proporcionar información detallada sobre</w:t>
      </w:r>
      <w:r w:rsidR="0085146E">
        <w:t xml:space="preserve"> las medidas adoptadas para fortalecer el sistema de protección consular a trabajadores hondureños y sus familiares en el exterior, especialmente en </w:t>
      </w:r>
      <w:r w:rsidR="00344B12" w:rsidRPr="00344B12">
        <w:t xml:space="preserve">los Estados Unidos de América </w:t>
      </w:r>
      <w:r w:rsidR="00344B12">
        <w:t xml:space="preserve">y </w:t>
      </w:r>
      <w:r w:rsidR="0085146E">
        <w:t>M</w:t>
      </w:r>
      <w:r w:rsidR="00864482">
        <w:t>é</w:t>
      </w:r>
      <w:r w:rsidR="0085146E">
        <w:t>xico</w:t>
      </w:r>
      <w:r w:rsidR="00D2273B">
        <w:t>. Proporcione</w:t>
      </w:r>
      <w:r w:rsidR="00344B12">
        <w:t>n</w:t>
      </w:r>
      <w:r w:rsidR="00D2273B">
        <w:t xml:space="preserve"> de igual manera información sobre</w:t>
      </w:r>
      <w:r w:rsidR="00D2273B" w:rsidRPr="00F964B3">
        <w:t xml:space="preserve"> la</w:t>
      </w:r>
      <w:r w:rsidR="002328EA" w:rsidRPr="00F964B3">
        <w:t xml:space="preserve"> </w:t>
      </w:r>
      <w:r w:rsidR="00D2273B">
        <w:t xml:space="preserve">implementación y el impacto de </w:t>
      </w:r>
      <w:r w:rsidR="002328EA" w:rsidRPr="00F964B3">
        <w:t xml:space="preserve">la </w:t>
      </w:r>
      <w:r w:rsidR="00837B2A" w:rsidRPr="00F964B3">
        <w:t xml:space="preserve">Ley de Protección de los Hondureños Migrantes y sus Familiares </w:t>
      </w:r>
      <w:r w:rsidR="002328EA" w:rsidRPr="00F964B3">
        <w:t>en la prestación de asistencia y protección a los trabajadores migratorios nacionales del Estado parte que trabajan en el extranjero, incluidos los que se encuentran en situación irregular, particularmente en caso de malos tratos, detención, privación de libertad y expulsión</w:t>
      </w:r>
      <w:r w:rsidR="00121BB4">
        <w:rPr>
          <w:rStyle w:val="Refdenotaalpie"/>
        </w:rPr>
        <w:footnoteReference w:id="15"/>
      </w:r>
      <w:r w:rsidR="002328EA" w:rsidRPr="00F964B3">
        <w:t xml:space="preserve">. Sírvanse indicar si los trabajadores migratorios y sus familiares tienen acceso efectivo en el Estado parte a la protección y la asistencia </w:t>
      </w:r>
      <w:r w:rsidR="006D3E8C">
        <w:t xml:space="preserve">adecuada </w:t>
      </w:r>
      <w:r w:rsidR="002328EA" w:rsidRPr="00F964B3">
        <w:t>de las autoridades consulares o diplomáticas de su Estado de origen, en particular en caso de detención, privación de libertad o expulsión</w:t>
      </w:r>
      <w:r w:rsidR="009E3F06">
        <w:t xml:space="preserve">, </w:t>
      </w:r>
      <w:r w:rsidR="00B24451">
        <w:t>así como a la</w:t>
      </w:r>
      <w:r w:rsidR="009E3F06">
        <w:t xml:space="preserve"> protección de niños</w:t>
      </w:r>
      <w:r w:rsidR="002328EA" w:rsidRPr="00F964B3">
        <w:t>.</w:t>
      </w:r>
    </w:p>
    <w:p w14:paraId="27A157FC" w14:textId="1E5F9D12" w:rsidR="001A24B1" w:rsidRPr="001A24B1" w:rsidRDefault="001A24B1" w:rsidP="00F964B3">
      <w:pPr>
        <w:pStyle w:val="SingleTxtG"/>
        <w:rPr>
          <w:color w:val="E36C0A" w:themeColor="accent6" w:themeShade="BF"/>
        </w:rPr>
      </w:pPr>
      <w:r w:rsidRPr="001A24B1">
        <w:rPr>
          <w:color w:val="E36C0A" w:themeColor="accent6" w:themeShade="BF"/>
        </w:rPr>
        <w:t xml:space="preserve">- </w:t>
      </w:r>
    </w:p>
    <w:p w14:paraId="6913AA19" w14:textId="77777777" w:rsidR="002328EA" w:rsidRPr="00F964B3" w:rsidRDefault="002328EA" w:rsidP="00F964B3">
      <w:pPr>
        <w:pStyle w:val="H23G"/>
      </w:pPr>
      <w:r w:rsidRPr="00F964B3">
        <w:tab/>
      </w:r>
      <w:r w:rsidRPr="00F964B3">
        <w:tab/>
        <w:t>Artículos 25 a 30</w:t>
      </w:r>
    </w:p>
    <w:p w14:paraId="3271816F" w14:textId="28E7BB17" w:rsidR="002328EA" w:rsidRDefault="00B66D4A" w:rsidP="00F964B3">
      <w:pPr>
        <w:pStyle w:val="SingleTxtG"/>
      </w:pPr>
      <w:r w:rsidRPr="00F964B3">
        <w:t>16</w:t>
      </w:r>
      <w:r w:rsidR="002328EA" w:rsidRPr="00F964B3">
        <w:t>.</w:t>
      </w:r>
      <w:r w:rsidR="002328EA" w:rsidRPr="00F964B3">
        <w:tab/>
        <w:t>Sírvanse proporcionar información sobre las medidas adoptadas para garantizar el disfrute, en la práctica, del derecho a la igualdad de trato de los trabajadores migratorios y sus familiares, en particular las mujeres trabajadoras migratorias,</w:t>
      </w:r>
      <w:r w:rsidR="00ED21CB" w:rsidRPr="00F964B3">
        <w:t xml:space="preserve"> a saber, el derecho a disfrutar del salario mínimo nacional y a tener acceso a la protección social y los servicios de seguridad social, incluida la pensión, así como los mecanismos </w:t>
      </w:r>
      <w:r w:rsidR="002328EA" w:rsidRPr="00F964B3">
        <w:t>para vigilar eficazmente sus condiciones de trabajo. Indiquen también qué mecanismos de protección legal y laboral permiten asegurar que los trabajadores migratorios gocen de un trato no menos favorable que el que reciben los nacionales en lo que concierne a la remuneración y las condiciones de trabajo. Describan las condiciones de trabajo de los migrantes en las zonas fronterizas y la legislación, los mecanismos de supervisión y los programas existentes en relación con esta cuestión concreta.</w:t>
      </w:r>
    </w:p>
    <w:p w14:paraId="0956820D" w14:textId="4A72B2E9" w:rsidR="005F4677" w:rsidRPr="005F4677" w:rsidRDefault="005F4677" w:rsidP="00F964B3">
      <w:pPr>
        <w:pStyle w:val="SingleTxtG"/>
        <w:rPr>
          <w:color w:val="E36C0A" w:themeColor="accent6" w:themeShade="BF"/>
        </w:rPr>
      </w:pPr>
      <w:r w:rsidRPr="005F4677">
        <w:rPr>
          <w:color w:val="E36C0A" w:themeColor="accent6" w:themeShade="BF"/>
        </w:rPr>
        <w:t xml:space="preserve">- </w:t>
      </w:r>
    </w:p>
    <w:p w14:paraId="21F94E6E" w14:textId="074D598D" w:rsidR="00CB5DF2" w:rsidRDefault="00B66D4A" w:rsidP="00F964B3">
      <w:pPr>
        <w:pStyle w:val="SingleTxtG"/>
      </w:pPr>
      <w:r w:rsidRPr="00F964B3">
        <w:t>17</w:t>
      </w:r>
      <w:r w:rsidR="00CB5DF2" w:rsidRPr="00F964B3">
        <w:t>.</w:t>
      </w:r>
      <w:r w:rsidR="00CB5DF2" w:rsidRPr="00F964B3">
        <w:tab/>
        <w:t>Sírvanse proporcionar información sobre las medidas adoptadas para promover el acceso a la seguridad social y la asistencia social y sobre la inscripción de los trabajadores migratorios, en particular las mujeres, en el sistema de protección social, de conformidad con el Convenio sobre la Seguridad Social (Norma Mínima), 1952 (núm. 102), de la OIT, que el Estado parte ha ratificado.</w:t>
      </w:r>
    </w:p>
    <w:p w14:paraId="0117E796" w14:textId="3FC7B973" w:rsidR="005F4677" w:rsidRPr="00DD7A40" w:rsidRDefault="00DD7A40" w:rsidP="00F964B3">
      <w:pPr>
        <w:pStyle w:val="SingleTxtG"/>
        <w:rPr>
          <w:color w:val="E36C0A" w:themeColor="accent6" w:themeShade="BF"/>
        </w:rPr>
      </w:pPr>
      <w:r w:rsidRPr="00DD7A40">
        <w:rPr>
          <w:color w:val="E36C0A" w:themeColor="accent6" w:themeShade="BF"/>
        </w:rPr>
        <w:t xml:space="preserve">- </w:t>
      </w:r>
    </w:p>
    <w:p w14:paraId="779BB02D" w14:textId="5C5EEFFA" w:rsidR="00D62988" w:rsidRDefault="00B66D4A" w:rsidP="00F964B3">
      <w:pPr>
        <w:pStyle w:val="SingleTxtG"/>
      </w:pPr>
      <w:r w:rsidRPr="00F964B3">
        <w:t>18</w:t>
      </w:r>
      <w:r w:rsidR="002328EA" w:rsidRPr="00F964B3">
        <w:t>.</w:t>
      </w:r>
      <w:r w:rsidR="002328EA" w:rsidRPr="00F964B3">
        <w:tab/>
        <w:t>Sírvanse proporcionar información sobre las medidas que haya adoptado el Estado parte para garantizar que los trabajadores migratorios gocen de igualdad de trato respecto de los nacionales en relación con la protección contra los despidos, las prestaciones de desempleo, el acceso a los programas públicos destinados a combatir el desempleo y el acceso a otro empleo en caso de quedar sin trabajo</w:t>
      </w:r>
      <w:r w:rsidR="00ED7154">
        <w:t>.</w:t>
      </w:r>
    </w:p>
    <w:p w14:paraId="7750E6B3" w14:textId="75AF6AD1" w:rsidR="00DD7A40" w:rsidRPr="00DD7A40" w:rsidRDefault="00DD7A40" w:rsidP="00F964B3">
      <w:pPr>
        <w:pStyle w:val="SingleTxtG"/>
        <w:rPr>
          <w:color w:val="E36C0A" w:themeColor="accent6" w:themeShade="BF"/>
        </w:rPr>
      </w:pPr>
      <w:r w:rsidRPr="00DD7A40">
        <w:rPr>
          <w:color w:val="E36C0A" w:themeColor="accent6" w:themeShade="BF"/>
        </w:rPr>
        <w:t>-</w:t>
      </w:r>
    </w:p>
    <w:p w14:paraId="3B1EB9FD" w14:textId="650332D2" w:rsidR="00D62988" w:rsidRDefault="00D62988" w:rsidP="00F964B3">
      <w:pPr>
        <w:pStyle w:val="SingleTxtG"/>
      </w:pPr>
      <w:r w:rsidRPr="00F964B3">
        <w:t>1</w:t>
      </w:r>
      <w:r w:rsidR="00B66D4A" w:rsidRPr="00F964B3">
        <w:t>9</w:t>
      </w:r>
      <w:r w:rsidRPr="00F964B3">
        <w:t>.</w:t>
      </w:r>
      <w:r w:rsidRPr="00F964B3">
        <w:tab/>
        <w:t xml:space="preserve">Sírvanse proporcionar información </w:t>
      </w:r>
      <w:r w:rsidR="0020634A">
        <w:t>detallada</w:t>
      </w:r>
      <w:r w:rsidR="00E917E0">
        <w:t>, cuantitativa y cualitativa,</w:t>
      </w:r>
      <w:r w:rsidR="0020634A">
        <w:t xml:space="preserve"> </w:t>
      </w:r>
      <w:r w:rsidRPr="00F964B3">
        <w:t xml:space="preserve">sobre </w:t>
      </w:r>
      <w:r w:rsidR="00DA06CB">
        <w:t xml:space="preserve">los </w:t>
      </w:r>
      <w:r w:rsidRPr="00F964B3">
        <w:t xml:space="preserve">hijos de trabajadores migrantes en los sistemas de educación básica, bachillerato y educación superior </w:t>
      </w:r>
      <w:r w:rsidR="001B49FA">
        <w:t xml:space="preserve">y </w:t>
      </w:r>
      <w:r w:rsidR="00821D74">
        <w:t xml:space="preserve">las </w:t>
      </w:r>
      <w:r w:rsidR="001B49FA">
        <w:t xml:space="preserve">medidas tomadas </w:t>
      </w:r>
      <w:r w:rsidRPr="00F964B3">
        <w:t xml:space="preserve">para garantizar </w:t>
      </w:r>
      <w:r w:rsidR="007A03BA">
        <w:t xml:space="preserve">su </w:t>
      </w:r>
      <w:r w:rsidRPr="00F964B3">
        <w:t>acceso a la educación, independientemente de su situación migratoria o la de sus padres.</w:t>
      </w:r>
    </w:p>
    <w:p w14:paraId="0C8D4527" w14:textId="537FD631" w:rsidR="00DD7A40" w:rsidRPr="00DD7A40" w:rsidRDefault="00DD7A40" w:rsidP="00F964B3">
      <w:pPr>
        <w:pStyle w:val="SingleTxtG"/>
        <w:rPr>
          <w:color w:val="E36C0A" w:themeColor="accent6" w:themeShade="BF"/>
        </w:rPr>
      </w:pPr>
      <w:r w:rsidRPr="00DD7A40">
        <w:rPr>
          <w:color w:val="E36C0A" w:themeColor="accent6" w:themeShade="BF"/>
        </w:rPr>
        <w:t xml:space="preserve">- </w:t>
      </w:r>
    </w:p>
    <w:p w14:paraId="01296A70" w14:textId="3EC3B06F" w:rsidR="002328EA" w:rsidRPr="00F964B3" w:rsidRDefault="002328EA" w:rsidP="008D3DDF">
      <w:pPr>
        <w:pStyle w:val="H1G"/>
        <w:tabs>
          <w:tab w:val="left" w:pos="1134"/>
          <w:tab w:val="left" w:pos="1701"/>
          <w:tab w:val="left" w:pos="2268"/>
          <w:tab w:val="left" w:pos="2835"/>
          <w:tab w:val="left" w:pos="3402"/>
          <w:tab w:val="left" w:pos="3969"/>
          <w:tab w:val="left" w:pos="6789"/>
        </w:tabs>
      </w:pPr>
      <w:r w:rsidRPr="00F964B3">
        <w:lastRenderedPageBreak/>
        <w:tab/>
        <w:t>D.</w:t>
      </w:r>
      <w:r w:rsidRPr="00F964B3">
        <w:tab/>
        <w:t>Parte IV de la Convención</w:t>
      </w:r>
    </w:p>
    <w:p w14:paraId="2CE4E92F" w14:textId="592F2F27" w:rsidR="002328EA" w:rsidRPr="00F964B3" w:rsidRDefault="002328EA" w:rsidP="00F964B3">
      <w:pPr>
        <w:pStyle w:val="H23G"/>
      </w:pPr>
      <w:r w:rsidRPr="00F964B3">
        <w:tab/>
      </w:r>
      <w:r w:rsidRPr="00F964B3">
        <w:tab/>
      </w:r>
      <w:r w:rsidR="00CF6ABE" w:rsidRPr="00F964B3">
        <w:tab/>
        <w:t>Artículos 36 a 56</w:t>
      </w:r>
    </w:p>
    <w:p w14:paraId="7B9757F7" w14:textId="366158B5" w:rsidR="002328EA" w:rsidRDefault="00B66D4A" w:rsidP="00F964B3">
      <w:pPr>
        <w:pStyle w:val="SingleTxtG"/>
      </w:pPr>
      <w:r w:rsidRPr="00F964B3">
        <w:t>20</w:t>
      </w:r>
      <w:r w:rsidR="002328EA" w:rsidRPr="00F964B3">
        <w:t>.</w:t>
      </w:r>
      <w:r w:rsidR="002328EA" w:rsidRPr="00F964B3">
        <w:tab/>
        <w:t>Sírvanse proporcionar información sobre las medidas adoptadas para garantizar a los trabajadores migratorios y sus familiares, especialmente los que están en situación regular, el derecho de establecer asociaciones y sindicatos, de conformidad con el artículo</w:t>
      </w:r>
      <w:r w:rsidR="00B056C4">
        <w:t xml:space="preserve"> </w:t>
      </w:r>
      <w:r w:rsidR="002328EA" w:rsidRPr="00F964B3">
        <w:t>40 de la Convención, así como con las partes I y II del Convenio sobre la Libertad Sindical y la Protección del Derecho de Sindicación, 1948 (núm. 87)</w:t>
      </w:r>
      <w:r w:rsidR="00A67B60">
        <w:t>,</w:t>
      </w:r>
      <w:r w:rsidR="002328EA" w:rsidRPr="00F964B3">
        <w:t xml:space="preserve"> de la OIT.</w:t>
      </w:r>
    </w:p>
    <w:p w14:paraId="31A52EC1" w14:textId="679D06DA" w:rsidR="00E565F9" w:rsidRPr="00E565F9" w:rsidRDefault="00E565F9" w:rsidP="00F964B3">
      <w:pPr>
        <w:pStyle w:val="SingleTxtG"/>
        <w:rPr>
          <w:color w:val="E36C0A" w:themeColor="accent6" w:themeShade="BF"/>
        </w:rPr>
      </w:pPr>
      <w:r w:rsidRPr="00E565F9">
        <w:rPr>
          <w:color w:val="E36C0A" w:themeColor="accent6" w:themeShade="BF"/>
        </w:rPr>
        <w:t xml:space="preserve">- </w:t>
      </w:r>
    </w:p>
    <w:p w14:paraId="00B3936D" w14:textId="6253040B" w:rsidR="00E565F9" w:rsidRDefault="002328EA" w:rsidP="00DA3436">
      <w:pPr>
        <w:pStyle w:val="SingleTxtG"/>
      </w:pPr>
      <w:r w:rsidRPr="00F964B3">
        <w:t>2</w:t>
      </w:r>
      <w:r w:rsidR="00B66D4A" w:rsidRPr="00F964B3">
        <w:t>1</w:t>
      </w:r>
      <w:r w:rsidRPr="00F964B3">
        <w:t>.</w:t>
      </w:r>
      <w:r w:rsidRPr="00F964B3">
        <w:tab/>
        <w:t xml:space="preserve">Sírvanse proporcionar información actualizada sobre las medidas que haya adoptado el Estado parte para revisar su marco jurídico, así como sobre otras medidas destinadas a facilitar el ejercicio del derecho al voto </w:t>
      </w:r>
      <w:r w:rsidR="004312C5" w:rsidRPr="00F964B3">
        <w:t xml:space="preserve">y </w:t>
      </w:r>
      <w:r w:rsidR="00397245" w:rsidRPr="00F964B3">
        <w:t xml:space="preserve">el </w:t>
      </w:r>
      <w:r w:rsidR="004312C5" w:rsidRPr="00F964B3">
        <w:t xml:space="preserve">derecho a participar en los asuntos públicos y a ser elegidos para cargos públicos </w:t>
      </w:r>
      <w:r w:rsidRPr="00F964B3">
        <w:t>por parte de los trabajadores migratorios del Estado parte que residan en el extranjero y sus familiares.</w:t>
      </w:r>
    </w:p>
    <w:p w14:paraId="5645CC71" w14:textId="77777777" w:rsidR="00DA3436" w:rsidRPr="00DA3436" w:rsidRDefault="00DA3436" w:rsidP="00DA3436">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Marco jurídico vigente</w:t>
      </w:r>
    </w:p>
    <w:p w14:paraId="73994310" w14:textId="77777777" w:rsidR="00DA3436" w:rsidRPr="00DA3436" w:rsidRDefault="00DA3436" w:rsidP="00DA3436">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 xml:space="preserve">Constitución de la República (Art. 44): El sufragio es universal, obligatorio, igualitario, directo, libre y secreto. Sin embargo, no hay sanciones por no votar, lo que genera altos índices de abstencionismo. </w:t>
      </w:r>
      <w:hyperlink r:id="rId61" w:history="1">
        <w:r w:rsidRPr="00DA3436">
          <w:rPr>
            <w:rStyle w:val="Hipervnculo"/>
            <w:rFonts w:ascii="Arial" w:hAnsi="Arial" w:cs="Arial"/>
            <w:color w:val="E36C0A" w:themeColor="accent6" w:themeShade="BF"/>
            <w:sz w:val="16"/>
            <w:szCs w:val="16"/>
            <w:lang w:val="es-MX"/>
          </w:rPr>
          <w:t>[laprensa.hn]</w:t>
        </w:r>
      </w:hyperlink>
    </w:p>
    <w:p w14:paraId="7566438C" w14:textId="77777777" w:rsidR="00DA3436" w:rsidRPr="00DA3436" w:rsidRDefault="00DA3436" w:rsidP="00DA3436">
      <w:pPr>
        <w:pStyle w:val="SingleTxtG"/>
        <w:spacing w:after="0"/>
        <w:rPr>
          <w:rFonts w:ascii="Arial" w:hAnsi="Arial" w:cs="Arial"/>
          <w:color w:val="E36C0A" w:themeColor="accent6" w:themeShade="BF"/>
          <w:sz w:val="16"/>
          <w:szCs w:val="16"/>
          <w:lang w:val="es-MX"/>
        </w:rPr>
      </w:pPr>
    </w:p>
    <w:p w14:paraId="1CD85051" w14:textId="1E45C369" w:rsidR="00DA3436" w:rsidRPr="00DA3436" w:rsidRDefault="00DA3436" w:rsidP="00DA3436">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 xml:space="preserve">Ley Especial para el Ejercicio del Sufragio de los </w:t>
      </w:r>
      <w:proofErr w:type="gramStart"/>
      <w:r w:rsidRPr="00DA3436">
        <w:rPr>
          <w:rFonts w:ascii="Arial" w:hAnsi="Arial" w:cs="Arial"/>
          <w:color w:val="E36C0A" w:themeColor="accent6" w:themeShade="BF"/>
          <w:sz w:val="16"/>
          <w:szCs w:val="16"/>
          <w:lang w:val="es-MX"/>
        </w:rPr>
        <w:t>Hondureños</w:t>
      </w:r>
      <w:proofErr w:type="gramEnd"/>
      <w:r w:rsidRPr="00DA3436">
        <w:rPr>
          <w:rFonts w:ascii="Arial" w:hAnsi="Arial" w:cs="Arial"/>
          <w:color w:val="E36C0A" w:themeColor="accent6" w:themeShade="BF"/>
          <w:sz w:val="16"/>
          <w:szCs w:val="16"/>
          <w:lang w:val="es-MX"/>
        </w:rPr>
        <w:t xml:space="preserve"> en el Exterior: </w:t>
      </w:r>
    </w:p>
    <w:p w14:paraId="318DE854" w14:textId="77777777" w:rsidR="00DA3436" w:rsidRPr="00DA3436" w:rsidRDefault="00DA3436" w:rsidP="00DA3436">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Regula el voto de hondureños residentes fuera del país en elecciones generales.</w:t>
      </w:r>
    </w:p>
    <w:p w14:paraId="2C169B22" w14:textId="77777777" w:rsidR="00DA3436" w:rsidRPr="00DA3436" w:rsidRDefault="00DA3436" w:rsidP="00DA3436">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 xml:space="preserve">Solo permite votar por </w:t>
      </w:r>
      <w:proofErr w:type="gramStart"/>
      <w:r w:rsidRPr="00DA3436">
        <w:rPr>
          <w:rFonts w:ascii="Arial" w:hAnsi="Arial" w:cs="Arial"/>
          <w:color w:val="E36C0A" w:themeColor="accent6" w:themeShade="BF"/>
          <w:sz w:val="16"/>
          <w:szCs w:val="16"/>
          <w:lang w:val="es-MX"/>
        </w:rPr>
        <w:t>Presidente</w:t>
      </w:r>
      <w:proofErr w:type="gramEnd"/>
      <w:r w:rsidRPr="00DA3436">
        <w:rPr>
          <w:rFonts w:ascii="Arial" w:hAnsi="Arial" w:cs="Arial"/>
          <w:color w:val="E36C0A" w:themeColor="accent6" w:themeShade="BF"/>
          <w:sz w:val="16"/>
          <w:szCs w:val="16"/>
          <w:lang w:val="es-MX"/>
        </w:rPr>
        <w:t xml:space="preserve"> y Designados a la Presidencia, no en elecciones primarias ni para cargos legislativos o municipales.</w:t>
      </w:r>
    </w:p>
    <w:p w14:paraId="7A4A3F2A" w14:textId="77777777" w:rsidR="00DA3436" w:rsidRPr="00DA3436" w:rsidRDefault="00DA3436" w:rsidP="00DA3436">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 xml:space="preserve">Los consulados actúan como organismos electorales auxiliares y deben habilitar centros de votación en ciudades seleccionadas por el Consejo Nacional Electoral (CNE). </w:t>
      </w:r>
      <w:hyperlink r:id="rId62" w:history="1">
        <w:r w:rsidRPr="00DA3436">
          <w:rPr>
            <w:rStyle w:val="Hipervnculo"/>
            <w:rFonts w:ascii="Arial" w:hAnsi="Arial" w:cs="Arial"/>
            <w:color w:val="E36C0A" w:themeColor="accent6" w:themeShade="BF"/>
            <w:sz w:val="16"/>
            <w:szCs w:val="16"/>
            <w:lang w:val="es-MX"/>
          </w:rPr>
          <w:t>[todolegal.app]</w:t>
        </w:r>
      </w:hyperlink>
    </w:p>
    <w:p w14:paraId="0D6629F8" w14:textId="59AEB43F" w:rsidR="00DA3436" w:rsidRPr="00DA3436" w:rsidRDefault="00DA3436" w:rsidP="00DA3436">
      <w:pPr>
        <w:pStyle w:val="SingleTxtG"/>
        <w:spacing w:after="0"/>
        <w:rPr>
          <w:lang w:val="es-MX"/>
        </w:rPr>
      </w:pPr>
    </w:p>
    <w:p w14:paraId="544866A9" w14:textId="77777777" w:rsidR="00DA3436" w:rsidRPr="003840FE" w:rsidRDefault="00DA3436" w:rsidP="003840FE">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 xml:space="preserve">Ley Electoral y de las Organizaciones Políticas (2021): Consolidó el voto en el exterior como mecanismo permanente, facultando al CNE para reglamentarlo y habilitar centros de votación fuera del país. </w:t>
      </w:r>
      <w:hyperlink r:id="rId63" w:history="1">
        <w:r w:rsidRPr="00DA3436">
          <w:rPr>
            <w:rStyle w:val="Hipervnculo"/>
            <w:rFonts w:ascii="Arial" w:hAnsi="Arial" w:cs="Arial"/>
            <w:color w:val="E36C0A" w:themeColor="accent6" w:themeShade="BF"/>
            <w:sz w:val="16"/>
            <w:szCs w:val="16"/>
            <w:lang w:val="es-MX"/>
          </w:rPr>
          <w:t>[proceso.hn]</w:t>
        </w:r>
      </w:hyperlink>
    </w:p>
    <w:p w14:paraId="4698E561" w14:textId="77777777" w:rsidR="003840FE" w:rsidRPr="003840FE" w:rsidRDefault="003840FE" w:rsidP="003840FE">
      <w:pPr>
        <w:pStyle w:val="SingleTxtG"/>
        <w:spacing w:after="0"/>
        <w:rPr>
          <w:rFonts w:ascii="Arial" w:hAnsi="Arial" w:cs="Arial"/>
          <w:color w:val="E36C0A" w:themeColor="accent6" w:themeShade="BF"/>
          <w:sz w:val="16"/>
          <w:szCs w:val="16"/>
          <w:lang w:val="es-MX"/>
        </w:rPr>
      </w:pPr>
    </w:p>
    <w:p w14:paraId="4EC2E3D1" w14:textId="6CB06829" w:rsidR="00DA3436" w:rsidRDefault="00DA3436" w:rsidP="003840FE">
      <w:pPr>
        <w:pStyle w:val="SingleTxtG"/>
        <w:spacing w:after="0"/>
        <w:rPr>
          <w:rStyle w:val="Hipervnculo"/>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 xml:space="preserve">Registro Nacional de Personas (RNP): Ha enrolado más de 400,000 hondureños en el extranjero, aunque persisten problemas en la entrega de Documentos Nacionales de Identificación (DNI). </w:t>
      </w:r>
      <w:hyperlink r:id="rId64" w:history="1">
        <w:r w:rsidRPr="00DA3436">
          <w:rPr>
            <w:rStyle w:val="Hipervnculo"/>
            <w:rFonts w:ascii="Arial" w:hAnsi="Arial" w:cs="Arial"/>
            <w:color w:val="E36C0A" w:themeColor="accent6" w:themeShade="BF"/>
            <w:sz w:val="16"/>
            <w:szCs w:val="16"/>
            <w:lang w:val="es-MX"/>
          </w:rPr>
          <w:t>[laprensa.hn]</w:t>
        </w:r>
      </w:hyperlink>
    </w:p>
    <w:p w14:paraId="668BBF98" w14:textId="77777777" w:rsidR="00C16EAC" w:rsidRDefault="00C16EAC" w:rsidP="003840FE">
      <w:pPr>
        <w:pStyle w:val="SingleTxtG"/>
        <w:spacing w:after="0"/>
        <w:rPr>
          <w:rStyle w:val="Hipervnculo"/>
          <w:rFonts w:ascii="Arial" w:hAnsi="Arial" w:cs="Arial"/>
          <w:color w:val="E36C0A" w:themeColor="accent6" w:themeShade="BF"/>
          <w:sz w:val="16"/>
          <w:szCs w:val="16"/>
          <w:lang w:val="es-MX"/>
        </w:rPr>
      </w:pPr>
    </w:p>
    <w:p w14:paraId="745745F3" w14:textId="30B8D25C" w:rsidR="00C16EAC" w:rsidRPr="003840FE" w:rsidRDefault="00C16EAC" w:rsidP="003840FE">
      <w:pPr>
        <w:pStyle w:val="SingleTxtG"/>
        <w:spacing w:after="0"/>
        <w:rPr>
          <w:rFonts w:ascii="Arial" w:hAnsi="Arial" w:cs="Arial"/>
          <w:color w:val="E36C0A" w:themeColor="accent6" w:themeShade="BF"/>
          <w:sz w:val="16"/>
          <w:szCs w:val="16"/>
          <w:lang w:val="es-MX"/>
        </w:rPr>
      </w:pPr>
      <w:r w:rsidRPr="00C16EAC">
        <w:rPr>
          <w:rFonts w:ascii="Arial" w:hAnsi="Arial" w:cs="Arial"/>
          <w:color w:val="E36C0A" w:themeColor="accent6" w:themeShade="BF"/>
          <w:sz w:val="16"/>
          <w:szCs w:val="16"/>
        </w:rPr>
        <w:t>Honduras reconoce constitucionalmente el derecho de voto de sus residentes en el extranjero y la Ley Electoral regula su ejercicio para cargos como la Presidencia. En la práctica, las medidas recientes se han centrado en coordinación institucional (CNE y Cancillería), fortalecimiento de servicios consulares (incluyendo Consulados Móviles y entrega de documentos de identidad) y preparativos logísticos para posibilitar la votación en el exter</w:t>
      </w:r>
      <w:r>
        <w:rPr>
          <w:rFonts w:ascii="Arial" w:hAnsi="Arial" w:cs="Arial"/>
          <w:color w:val="E36C0A" w:themeColor="accent6" w:themeShade="BF"/>
          <w:sz w:val="16"/>
          <w:szCs w:val="16"/>
        </w:rPr>
        <w:t xml:space="preserve">ior. </w:t>
      </w:r>
    </w:p>
    <w:p w14:paraId="2F448FC4" w14:textId="77777777" w:rsidR="003840FE" w:rsidRPr="003840FE" w:rsidRDefault="003840FE" w:rsidP="003840FE">
      <w:pPr>
        <w:pStyle w:val="SingleTxtG"/>
        <w:spacing w:after="0"/>
        <w:rPr>
          <w:rFonts w:ascii="Arial" w:hAnsi="Arial" w:cs="Arial"/>
          <w:color w:val="E36C0A" w:themeColor="accent6" w:themeShade="BF"/>
          <w:sz w:val="16"/>
          <w:szCs w:val="16"/>
          <w:lang w:val="es-MX"/>
        </w:rPr>
      </w:pPr>
    </w:p>
    <w:p w14:paraId="1E415002" w14:textId="72A49712" w:rsidR="003840FE" w:rsidRPr="003840FE" w:rsidRDefault="00DA3436" w:rsidP="003840FE">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Centros de votación en EE. UU.: Para las elecciones generales de 2025, el CNE aprobó la instalación de 15 Juntas Receptoras de Votos (JRV) en ciudades estadounidenses.</w:t>
      </w:r>
    </w:p>
    <w:p w14:paraId="2DDD3D75" w14:textId="77777777" w:rsidR="003840FE" w:rsidRPr="003840FE" w:rsidRDefault="00DA3436" w:rsidP="003840FE">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 xml:space="preserve">No se habilitaron centros en España ni otros países, lo que limita la participación de la diáspora. </w:t>
      </w:r>
      <w:hyperlink r:id="rId65" w:history="1">
        <w:r w:rsidRPr="00DA3436">
          <w:rPr>
            <w:rStyle w:val="Hipervnculo"/>
            <w:rFonts w:ascii="Arial" w:hAnsi="Arial" w:cs="Arial"/>
            <w:color w:val="E36C0A" w:themeColor="accent6" w:themeShade="BF"/>
            <w:sz w:val="16"/>
            <w:szCs w:val="16"/>
            <w:lang w:val="es-MX"/>
          </w:rPr>
          <w:t>[radiohrn.hn]</w:t>
        </w:r>
      </w:hyperlink>
    </w:p>
    <w:p w14:paraId="278207D8" w14:textId="77777777" w:rsidR="003840FE" w:rsidRPr="003840FE" w:rsidRDefault="003840FE" w:rsidP="003840FE">
      <w:pPr>
        <w:pStyle w:val="SingleTxtG"/>
        <w:spacing w:after="0"/>
        <w:rPr>
          <w:rFonts w:ascii="Arial" w:hAnsi="Arial" w:cs="Arial"/>
          <w:color w:val="E36C0A" w:themeColor="accent6" w:themeShade="BF"/>
          <w:sz w:val="16"/>
          <w:szCs w:val="16"/>
          <w:lang w:val="es-MX"/>
        </w:rPr>
      </w:pPr>
    </w:p>
    <w:p w14:paraId="1F72350F" w14:textId="744C205A" w:rsidR="00DA3436" w:rsidRPr="003840FE" w:rsidRDefault="00DA3436" w:rsidP="003840FE">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 xml:space="preserve">Reglamento pendiente: A pesar de los avances, no se ha aprobado un reglamento técnico para el voto en el exterior, lo que genera riesgos de falta de trazabilidad, control biométrico y transparencia en el proceso electoral. </w:t>
      </w:r>
      <w:hyperlink r:id="rId66" w:history="1">
        <w:r w:rsidRPr="00DA3436">
          <w:rPr>
            <w:rStyle w:val="Hipervnculo"/>
            <w:rFonts w:ascii="Arial" w:hAnsi="Arial" w:cs="Arial"/>
            <w:color w:val="E36C0A" w:themeColor="accent6" w:themeShade="BF"/>
            <w:sz w:val="16"/>
            <w:szCs w:val="16"/>
            <w:lang w:val="es-MX"/>
          </w:rPr>
          <w:t>[stampa.hn]</w:t>
        </w:r>
      </w:hyperlink>
    </w:p>
    <w:p w14:paraId="4E88174E" w14:textId="77777777" w:rsidR="003840FE" w:rsidRPr="00DA3436" w:rsidRDefault="003840FE" w:rsidP="003840FE">
      <w:pPr>
        <w:pStyle w:val="SingleTxtG"/>
        <w:spacing w:after="0"/>
        <w:rPr>
          <w:rFonts w:ascii="Arial" w:hAnsi="Arial" w:cs="Arial"/>
          <w:color w:val="E36C0A" w:themeColor="accent6" w:themeShade="BF"/>
          <w:sz w:val="16"/>
          <w:szCs w:val="16"/>
          <w:lang w:val="es-MX"/>
        </w:rPr>
      </w:pPr>
    </w:p>
    <w:p w14:paraId="5E0BBF13" w14:textId="1D62BBD6" w:rsidR="003840FE" w:rsidRPr="003840FE" w:rsidRDefault="00DA3436" w:rsidP="003840FE">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Acciones para facilitar la participación</w:t>
      </w:r>
      <w:r w:rsidR="003840FE" w:rsidRPr="003840FE">
        <w:rPr>
          <w:rFonts w:ascii="Arial" w:hAnsi="Arial" w:cs="Arial"/>
          <w:color w:val="E36C0A" w:themeColor="accent6" w:themeShade="BF"/>
          <w:sz w:val="16"/>
          <w:szCs w:val="16"/>
          <w:lang w:val="es-MX"/>
        </w:rPr>
        <w:t xml:space="preserve">: </w:t>
      </w:r>
      <w:r w:rsidRPr="00DA3436">
        <w:rPr>
          <w:rFonts w:ascii="Arial" w:hAnsi="Arial" w:cs="Arial"/>
          <w:color w:val="E36C0A" w:themeColor="accent6" w:themeShade="BF"/>
          <w:sz w:val="16"/>
          <w:szCs w:val="16"/>
          <w:lang w:val="es-MX"/>
        </w:rPr>
        <w:t>Campañas informativas:</w:t>
      </w:r>
      <w:r w:rsidR="003840FE" w:rsidRPr="003840FE">
        <w:rPr>
          <w:rFonts w:ascii="Arial" w:hAnsi="Arial" w:cs="Arial"/>
          <w:color w:val="E36C0A" w:themeColor="accent6" w:themeShade="BF"/>
          <w:sz w:val="16"/>
          <w:szCs w:val="16"/>
          <w:lang w:val="es-MX"/>
        </w:rPr>
        <w:t xml:space="preserve"> </w:t>
      </w:r>
      <w:r w:rsidRPr="00DA3436">
        <w:rPr>
          <w:rFonts w:ascii="Arial" w:hAnsi="Arial" w:cs="Arial"/>
          <w:color w:val="E36C0A" w:themeColor="accent6" w:themeShade="BF"/>
          <w:sz w:val="16"/>
          <w:szCs w:val="16"/>
          <w:lang w:val="es-MX"/>
        </w:rPr>
        <w:t>El CNE y Cancillería han realizado campañas para promover el voto en el exterior, aunque con alcance limitado.</w:t>
      </w:r>
    </w:p>
    <w:p w14:paraId="48B1C627" w14:textId="77777777" w:rsidR="003840FE" w:rsidRPr="003840FE" w:rsidRDefault="00DA3436" w:rsidP="003840FE">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Consulados como puntos de apoyo:</w:t>
      </w:r>
      <w:r w:rsidR="003840FE" w:rsidRPr="003840FE">
        <w:rPr>
          <w:rFonts w:ascii="Arial" w:hAnsi="Arial" w:cs="Arial"/>
          <w:color w:val="E36C0A" w:themeColor="accent6" w:themeShade="BF"/>
          <w:sz w:val="16"/>
          <w:szCs w:val="16"/>
          <w:lang w:val="es-MX"/>
        </w:rPr>
        <w:t xml:space="preserve"> </w:t>
      </w:r>
      <w:r w:rsidRPr="00DA3436">
        <w:rPr>
          <w:rFonts w:ascii="Arial" w:hAnsi="Arial" w:cs="Arial"/>
          <w:color w:val="E36C0A" w:themeColor="accent6" w:themeShade="BF"/>
          <w:sz w:val="16"/>
          <w:szCs w:val="16"/>
          <w:lang w:val="es-MX"/>
        </w:rPr>
        <w:t>Se han designado consulados para entregar DNI y brindar información sobre el proceso electoral.</w:t>
      </w:r>
    </w:p>
    <w:p w14:paraId="0E067C9C" w14:textId="7C264756" w:rsidR="00DA3436" w:rsidRPr="00DA3436" w:rsidRDefault="00DA3436" w:rsidP="003840FE">
      <w:pPr>
        <w:pStyle w:val="SingleTxtG"/>
        <w:spacing w:after="0"/>
        <w:rPr>
          <w:rFonts w:ascii="Arial" w:hAnsi="Arial" w:cs="Arial"/>
          <w:color w:val="E36C0A" w:themeColor="accent6" w:themeShade="BF"/>
          <w:sz w:val="16"/>
          <w:szCs w:val="16"/>
          <w:lang w:val="es-MX"/>
        </w:rPr>
      </w:pPr>
      <w:r w:rsidRPr="00DA3436">
        <w:rPr>
          <w:rFonts w:ascii="Arial" w:hAnsi="Arial" w:cs="Arial"/>
          <w:color w:val="E36C0A" w:themeColor="accent6" w:themeShade="BF"/>
          <w:sz w:val="16"/>
          <w:szCs w:val="16"/>
          <w:lang w:val="es-MX"/>
        </w:rPr>
        <w:t>Plataformas digitales: El CNE habilitó consultas en línea para verificar inscripción en el padrón electoral desde el extranjero.</w:t>
      </w:r>
    </w:p>
    <w:p w14:paraId="40E5BAE8" w14:textId="77777777" w:rsidR="00DA3436" w:rsidRPr="003840FE" w:rsidRDefault="00DA3436" w:rsidP="00F964B3">
      <w:pPr>
        <w:pStyle w:val="SingleTxtG"/>
        <w:rPr>
          <w:rFonts w:ascii="Arial" w:hAnsi="Arial" w:cs="Arial"/>
          <w:color w:val="E36C0A" w:themeColor="accent6" w:themeShade="BF"/>
          <w:sz w:val="16"/>
          <w:szCs w:val="16"/>
          <w:lang w:val="es-MX"/>
        </w:rPr>
      </w:pPr>
    </w:p>
    <w:p w14:paraId="43EACE19" w14:textId="13BF4791" w:rsidR="002328EA" w:rsidRDefault="002328EA" w:rsidP="00F964B3">
      <w:pPr>
        <w:pStyle w:val="SingleTxtG"/>
      </w:pPr>
      <w:r w:rsidRPr="00F964B3">
        <w:lastRenderedPageBreak/>
        <w:t>2</w:t>
      </w:r>
      <w:r w:rsidR="00B66D4A" w:rsidRPr="00F964B3">
        <w:t>2</w:t>
      </w:r>
      <w:r w:rsidRPr="00F964B3">
        <w:t>.</w:t>
      </w:r>
      <w:r w:rsidRPr="00F964B3">
        <w:tab/>
        <w:t xml:space="preserve">Sírvanse proporcionar información </w:t>
      </w:r>
      <w:r w:rsidR="00045D63">
        <w:t xml:space="preserve">sobre </w:t>
      </w:r>
      <w:r w:rsidRPr="00F964B3">
        <w:t>la situación de los trabajadores migratorios que viven en la calle y sobre las medidas de prevención adoptadas frente a este fenómeno.</w:t>
      </w:r>
    </w:p>
    <w:p w14:paraId="0EB78268" w14:textId="2C5F6260" w:rsidR="00BA107F" w:rsidRPr="00BA107F" w:rsidRDefault="00BA107F" w:rsidP="00F964B3">
      <w:pPr>
        <w:pStyle w:val="SingleTxtG"/>
        <w:rPr>
          <w:color w:val="E36C0A" w:themeColor="accent6" w:themeShade="BF"/>
        </w:rPr>
      </w:pPr>
      <w:r w:rsidRPr="00BA107F">
        <w:rPr>
          <w:color w:val="E36C0A" w:themeColor="accent6" w:themeShade="BF"/>
        </w:rPr>
        <w:t xml:space="preserve">- </w:t>
      </w:r>
    </w:p>
    <w:p w14:paraId="525AE08C" w14:textId="63453C29" w:rsidR="009E3F06" w:rsidRDefault="00B66D4A" w:rsidP="00AF3A0F">
      <w:pPr>
        <w:pStyle w:val="SingleTxtG"/>
      </w:pPr>
      <w:r w:rsidRPr="00AF3A0F">
        <w:t>23</w:t>
      </w:r>
      <w:r w:rsidR="001350F9" w:rsidRPr="00AF3A0F">
        <w:t>.</w:t>
      </w:r>
      <w:r w:rsidR="001350F9" w:rsidRPr="00AF3A0F">
        <w:tab/>
        <w:t>Sírvanse proporcionar información sobre las medidas adoptadas para proteger la unidad de las familias de los trabajadores migratorios y facilitar la reunificación de los trabajadores migratorios con sus cónyuges o con personas que tengan una relación con el trabajador migratorio que, de conformidad con la legislación aplicable, produzca efectos equivalentes al matrimonio, así como con sus hijos solteros menores a cargo</w:t>
      </w:r>
      <w:r w:rsidR="00E43F2B">
        <w:rPr>
          <w:rStyle w:val="Refdenotaalpie"/>
        </w:rPr>
        <w:footnoteReference w:id="16"/>
      </w:r>
      <w:r w:rsidR="002674D7" w:rsidRPr="00AF3A0F">
        <w:t xml:space="preserve">. </w:t>
      </w:r>
      <w:r w:rsidR="001350F9" w:rsidRPr="00AF3A0F">
        <w:t>Sírvanse indicar también el número de trabajadores migratorios que solicitaron al Estado parte la reunificación con sus cónyuges, hijos menores de edad u otros familiares durante el período que abarca el informe y el número de solicitudes de esa índole que se aceptaron</w:t>
      </w:r>
      <w:r w:rsidR="006D621F" w:rsidRPr="00AF3A0F">
        <w:t>.</w:t>
      </w:r>
      <w:r w:rsidR="009E3F06" w:rsidRPr="00AF3A0F">
        <w:t xml:space="preserve"> Sírva</w:t>
      </w:r>
      <w:r w:rsidR="004452F2">
        <w:t>n</w:t>
      </w:r>
      <w:r w:rsidR="009E3F06" w:rsidRPr="00AF3A0F">
        <w:t>se brindar información sobre medidas adoptadas, inclu</w:t>
      </w:r>
      <w:r w:rsidR="004452F2">
        <w:t>ida la</w:t>
      </w:r>
      <w:r w:rsidR="009E3F06" w:rsidRPr="00AF3A0F">
        <w:t xml:space="preserve"> asistencia consultar y </w:t>
      </w:r>
      <w:r w:rsidR="005B655B" w:rsidRPr="00AF3A0F">
        <w:t>jurídica,</w:t>
      </w:r>
      <w:r w:rsidR="009E3F06" w:rsidRPr="00AF3A0F">
        <w:t xml:space="preserve"> así como </w:t>
      </w:r>
      <w:r w:rsidR="0099300F">
        <w:t xml:space="preserve">el </w:t>
      </w:r>
      <w:r w:rsidR="009E3F06" w:rsidRPr="00AF3A0F">
        <w:t xml:space="preserve">acceso a mecanismos de justicia transnacional, para proteger el derecho a la vida familiar de </w:t>
      </w:r>
      <w:r w:rsidR="0099300F">
        <w:t xml:space="preserve">las </w:t>
      </w:r>
      <w:r w:rsidR="009E3F06" w:rsidRPr="00AF3A0F">
        <w:t>personas hondureñas que fueron separadas de sus cónyuges o hijos a través de una medida de expulsión aplicada por el Estado en el cual residían.</w:t>
      </w:r>
    </w:p>
    <w:p w14:paraId="5F66B9D3" w14:textId="07ACEBBF" w:rsidR="00BA107F" w:rsidRPr="00BA107F" w:rsidRDefault="00BA107F" w:rsidP="00AF3A0F">
      <w:pPr>
        <w:pStyle w:val="SingleTxtG"/>
        <w:rPr>
          <w:color w:val="E36C0A" w:themeColor="accent6" w:themeShade="BF"/>
        </w:rPr>
      </w:pPr>
      <w:r w:rsidRPr="00BA107F">
        <w:rPr>
          <w:color w:val="E36C0A" w:themeColor="accent6" w:themeShade="BF"/>
        </w:rPr>
        <w:t xml:space="preserve">- </w:t>
      </w:r>
    </w:p>
    <w:p w14:paraId="43CF2136" w14:textId="77777777" w:rsidR="002328EA" w:rsidRPr="00F964B3" w:rsidRDefault="002328EA" w:rsidP="00F964B3">
      <w:pPr>
        <w:pStyle w:val="H1G"/>
      </w:pPr>
      <w:r w:rsidRPr="00F964B3">
        <w:tab/>
        <w:t>E.</w:t>
      </w:r>
      <w:r w:rsidRPr="00F964B3">
        <w:tab/>
        <w:t>Parte VI de la Convención</w:t>
      </w:r>
    </w:p>
    <w:p w14:paraId="5FBEC833" w14:textId="7221EC26" w:rsidR="001350F9" w:rsidRPr="00F964B3" w:rsidRDefault="001350F9" w:rsidP="00F964B3">
      <w:pPr>
        <w:pStyle w:val="H23G"/>
      </w:pPr>
      <w:r w:rsidRPr="00F964B3">
        <w:tab/>
      </w:r>
      <w:r w:rsidRPr="00F964B3">
        <w:tab/>
        <w:t>Artículo</w:t>
      </w:r>
      <w:r w:rsidR="00C41DEB" w:rsidRPr="00F964B3">
        <w:t>s</w:t>
      </w:r>
      <w:r w:rsidRPr="00F964B3">
        <w:t xml:space="preserve"> 64</w:t>
      </w:r>
      <w:r w:rsidR="00C41DEB" w:rsidRPr="00F964B3">
        <w:t xml:space="preserve"> a 71</w:t>
      </w:r>
    </w:p>
    <w:p w14:paraId="55F96A9D" w14:textId="6D06D17C" w:rsidR="002328EA" w:rsidRDefault="00B66D4A" w:rsidP="00F964B3">
      <w:pPr>
        <w:pStyle w:val="SingleTxtG"/>
      </w:pPr>
      <w:r w:rsidRPr="00F964B3">
        <w:t>24</w:t>
      </w:r>
      <w:r w:rsidR="002328EA" w:rsidRPr="00F964B3">
        <w:t>.</w:t>
      </w:r>
      <w:r w:rsidR="002328EA" w:rsidRPr="00F964B3">
        <w:tab/>
        <w:t>Teniendo en cuenta las recomendaciones anteriores del Comité</w:t>
      </w:r>
      <w:r w:rsidR="0081188C">
        <w:rPr>
          <w:rStyle w:val="Refdenotaalpie"/>
        </w:rPr>
        <w:footnoteReference w:id="17"/>
      </w:r>
      <w:r w:rsidR="002328EA" w:rsidRPr="00F964B3">
        <w:t xml:space="preserve">, sírvanse indicar si el Estado parte ha </w:t>
      </w:r>
      <w:r w:rsidR="00F15D8F">
        <w:t>promovido la</w:t>
      </w:r>
      <w:r w:rsidR="00F15D8F" w:rsidRPr="00F964B3">
        <w:t xml:space="preserve"> </w:t>
      </w:r>
      <w:r w:rsidR="002328EA" w:rsidRPr="00F964B3">
        <w:t>participa</w:t>
      </w:r>
      <w:r w:rsidR="00F15D8F">
        <w:t>ción</w:t>
      </w:r>
      <w:r w:rsidR="002328EA" w:rsidRPr="00F964B3">
        <w:t xml:space="preserve"> </w:t>
      </w:r>
      <w:r w:rsidR="00F15D8F">
        <w:t>de</w:t>
      </w:r>
      <w:r w:rsidR="002328EA" w:rsidRPr="00F964B3">
        <w:t xml:space="preserve"> los trabajadores migratorios y </w:t>
      </w:r>
      <w:r w:rsidR="00F15D8F">
        <w:t>de</w:t>
      </w:r>
      <w:r w:rsidR="002328EA" w:rsidRPr="00F964B3">
        <w:t xml:space="preserve"> sus familiares en la elaboración de programas destinados a ayudar a los migrantes que regresan a reintegrarse a largo plazo en el tejido económico, social y cultural del Estado parte. Aporten datos estadísticos sobre el número de personas que se han beneficiado de las medidas de apoyo y asistencia destinadas a facilitar la reintegración en la sociedad </w:t>
      </w:r>
      <w:r w:rsidR="003B4978" w:rsidRPr="00F964B3">
        <w:t xml:space="preserve">hondureña </w:t>
      </w:r>
      <w:r w:rsidR="002328EA" w:rsidRPr="00F964B3">
        <w:t>de los trabajadores migratorios que retornan al país</w:t>
      </w:r>
      <w:r w:rsidR="00CB1BA3" w:rsidRPr="00F964B3">
        <w:t xml:space="preserve">, incluyendo </w:t>
      </w:r>
      <w:r w:rsidR="002674D7" w:rsidRPr="00F964B3">
        <w:t>más</w:t>
      </w:r>
      <w:r w:rsidR="00AD12E5" w:rsidRPr="00F964B3">
        <w:t xml:space="preserve"> detalles sobre el </w:t>
      </w:r>
      <w:r w:rsidR="00CB1BA3" w:rsidRPr="00F964B3">
        <w:t>Proyecto Piloto para la Implementación del Sistema Nacional de Reintegración de la Población Migrante Retornada</w:t>
      </w:r>
      <w:r w:rsidR="00E54667">
        <w:rPr>
          <w:rStyle w:val="Refdenotaalpie"/>
        </w:rPr>
        <w:footnoteReference w:id="18"/>
      </w:r>
      <w:r w:rsidR="002328EA" w:rsidRPr="00F964B3">
        <w:t>.</w:t>
      </w:r>
    </w:p>
    <w:p w14:paraId="093A6680" w14:textId="26B422BC" w:rsidR="00505167" w:rsidRPr="00505167" w:rsidRDefault="00505167" w:rsidP="00F964B3">
      <w:pPr>
        <w:pStyle w:val="SingleTxtG"/>
        <w:rPr>
          <w:color w:val="E36C0A" w:themeColor="accent6" w:themeShade="BF"/>
        </w:rPr>
      </w:pPr>
      <w:r w:rsidRPr="00505167">
        <w:rPr>
          <w:color w:val="E36C0A" w:themeColor="accent6" w:themeShade="BF"/>
        </w:rPr>
        <w:t xml:space="preserve">- </w:t>
      </w:r>
    </w:p>
    <w:p w14:paraId="19DDA47A" w14:textId="03BF6101" w:rsidR="002328EA" w:rsidRPr="00F964B3" w:rsidRDefault="00B66D4A" w:rsidP="00F964B3">
      <w:pPr>
        <w:pStyle w:val="SingleTxtG"/>
      </w:pPr>
      <w:r w:rsidRPr="00F964B3">
        <w:t>25</w:t>
      </w:r>
      <w:r w:rsidR="002328EA" w:rsidRPr="00F964B3">
        <w:t>.</w:t>
      </w:r>
      <w:r w:rsidR="002328EA" w:rsidRPr="00F964B3">
        <w:tab/>
        <w:t>Indiquen qué medidas se han adoptado para asegurar la promulgación de una ley integral sobre la trata de personas y el contrabando, de conformidad con los protocolos de la Convención de las Naciones Unidas contra la Delincuencia Organizada Transnacional, establecer una política de lucha contra esas prácticas y poner en marcha una estrategia destinada a poner fin a la trata de personas con fines de explotación sexual. Sírvanse incluir también información sobre los recursos humanos y financieros asignados por el Estado parte a las actividades de prevención y lucha contra la trata de personas, en particular mujeres y niños. Especifiquen también qué institución se encarga de centralizar los esfuerzos de lucha contra la trata de personas. En particular, faciliten información más detallada sobre:</w:t>
      </w:r>
    </w:p>
    <w:p w14:paraId="66FBA5F9" w14:textId="3566393E" w:rsidR="002328EA" w:rsidRPr="00F964B3" w:rsidRDefault="002328EA" w:rsidP="00F964B3">
      <w:pPr>
        <w:pStyle w:val="SingleTxtG"/>
      </w:pPr>
      <w:r w:rsidRPr="00F964B3">
        <w:tab/>
        <w:t>a)</w:t>
      </w:r>
      <w:r w:rsidRPr="00F964B3">
        <w:tab/>
        <w:t>Los casos de servidumbre doméstica, trabajo forzoso y explotación sexual de trabajadores migratorios que se hayan detectado en el Estado parte, y sobre las medidas adoptadas para prevenir y combatir esos fenómenos;</w:t>
      </w:r>
    </w:p>
    <w:p w14:paraId="5F1B3080" w14:textId="77777777" w:rsidR="002328EA" w:rsidRDefault="002328EA" w:rsidP="00F964B3">
      <w:pPr>
        <w:pStyle w:val="SingleTxtG"/>
      </w:pPr>
      <w:r w:rsidRPr="00F964B3">
        <w:tab/>
        <w:t>b)</w:t>
      </w:r>
      <w:r w:rsidRPr="00F964B3">
        <w:tab/>
        <w:t>Los programas destinados a prevenir la trata de personas, proteger eficazmente a las víctimas de la trata y garantizar su acceso a la justicia y a vías de recurso;</w:t>
      </w:r>
    </w:p>
    <w:p w14:paraId="4E6BB021" w14:textId="590A4AAD" w:rsidR="00505167" w:rsidRDefault="000C2861" w:rsidP="000C2861">
      <w:pPr>
        <w:pStyle w:val="SingleTxtG"/>
        <w:rPr>
          <w:rStyle w:val="Hipervnculo"/>
          <w:rFonts w:ascii="Arial" w:hAnsi="Arial" w:cs="Arial"/>
          <w:color w:val="E36C0A" w:themeColor="accent6" w:themeShade="BF"/>
          <w:sz w:val="16"/>
          <w:szCs w:val="16"/>
        </w:rPr>
      </w:pPr>
      <w:r w:rsidRPr="000C2861">
        <w:rPr>
          <w:rFonts w:ascii="Arial" w:hAnsi="Arial" w:cs="Arial"/>
          <w:color w:val="E36C0A" w:themeColor="accent6" w:themeShade="BF"/>
          <w:sz w:val="16"/>
          <w:szCs w:val="16"/>
        </w:rPr>
        <w:t xml:space="preserve">Plan Estratégico Nacional contra la Trata 2023–2026: Incluye protocolos para identificación, asistencia y protección de víctimas, con enfoque de derechos humanos, género y niñez. </w:t>
      </w:r>
      <w:hyperlink r:id="rId67" w:history="1">
        <w:r w:rsidRPr="000C2861">
          <w:rPr>
            <w:rStyle w:val="Hipervnculo"/>
            <w:rFonts w:ascii="Arial" w:hAnsi="Arial" w:cs="Arial"/>
            <w:color w:val="E36C0A" w:themeColor="accent6" w:themeShade="BF"/>
            <w:sz w:val="16"/>
            <w:szCs w:val="16"/>
          </w:rPr>
          <w:t>[proceso.hn]</w:t>
        </w:r>
      </w:hyperlink>
    </w:p>
    <w:p w14:paraId="1D03BA8E" w14:textId="2BF3509D" w:rsidR="00972854" w:rsidRPr="00972854" w:rsidRDefault="00972854" w:rsidP="00972854">
      <w:pPr>
        <w:pStyle w:val="SingleTxtG"/>
        <w:rPr>
          <w:rFonts w:ascii="Arial" w:hAnsi="Arial" w:cs="Arial"/>
          <w:color w:val="E36C0A" w:themeColor="accent6" w:themeShade="BF"/>
          <w:sz w:val="16"/>
          <w:szCs w:val="16"/>
          <w:lang w:val="es-MX"/>
        </w:rPr>
      </w:pPr>
      <w:r w:rsidRPr="00972854">
        <w:rPr>
          <w:rFonts w:ascii="Arial" w:hAnsi="Arial" w:cs="Arial"/>
          <w:color w:val="E36C0A" w:themeColor="accent6" w:themeShade="BF"/>
          <w:sz w:val="16"/>
          <w:szCs w:val="16"/>
          <w:lang w:val="es-MX"/>
        </w:rPr>
        <w:t xml:space="preserve">Honduras cuenta con una Comisión Interinstitucional que articula políticas y con unidades especializadas en el Ministerio Público para la investigación y enjuiciamiento de casos de trata. </w:t>
      </w:r>
      <w:r w:rsidRPr="00972854">
        <w:rPr>
          <w:rFonts w:ascii="Arial" w:hAnsi="Arial" w:cs="Arial"/>
          <w:color w:val="E36C0A" w:themeColor="accent6" w:themeShade="BF"/>
          <w:sz w:val="16"/>
          <w:szCs w:val="16"/>
          <w:lang w:val="es-MX"/>
        </w:rPr>
        <w:t>Además,</w:t>
      </w:r>
      <w:r w:rsidRPr="00972854">
        <w:rPr>
          <w:rFonts w:ascii="Arial" w:hAnsi="Arial" w:cs="Arial"/>
          <w:color w:val="E36C0A" w:themeColor="accent6" w:themeShade="BF"/>
          <w:sz w:val="16"/>
          <w:szCs w:val="16"/>
          <w:lang w:val="es-MX"/>
        </w:rPr>
        <w:t xml:space="preserve"> existen planes, rutas de acción, un fondo para atención a víctimas y algunas</w:t>
      </w:r>
    </w:p>
    <w:p w14:paraId="33188F03" w14:textId="77777777" w:rsidR="00972854" w:rsidRPr="00972854" w:rsidRDefault="00972854" w:rsidP="00972854">
      <w:pPr>
        <w:pStyle w:val="SingleTxtG"/>
        <w:rPr>
          <w:rFonts w:ascii="Arial" w:hAnsi="Arial" w:cs="Arial"/>
          <w:color w:val="E36C0A" w:themeColor="accent6" w:themeShade="BF"/>
          <w:sz w:val="16"/>
          <w:szCs w:val="16"/>
          <w:lang w:val="es-MX"/>
        </w:rPr>
      </w:pPr>
      <w:r w:rsidRPr="00972854">
        <w:rPr>
          <w:rFonts w:ascii="Arial" w:hAnsi="Arial" w:cs="Arial"/>
          <w:color w:val="E36C0A" w:themeColor="accent6" w:themeShade="BF"/>
          <w:sz w:val="16"/>
          <w:szCs w:val="16"/>
          <w:lang w:val="es-MX"/>
        </w:rPr>
        <w:lastRenderedPageBreak/>
        <w:t>asignaciones presupuestarias específicas para estas acciones; aunque hay vacíos en implementación, limitaciones de recursos y se carece de una ley integral que reúna y actualice todas las medidas conforme a los estándares del Protocolo de la ONU contra la Delincuencia Organizada Transnacional.</w:t>
      </w:r>
    </w:p>
    <w:p w14:paraId="70177F6E" w14:textId="77777777" w:rsidR="00972854" w:rsidRPr="00972854" w:rsidRDefault="00972854" w:rsidP="000C2861">
      <w:pPr>
        <w:pStyle w:val="SingleTxtG"/>
        <w:rPr>
          <w:rFonts w:ascii="Arial" w:hAnsi="Arial" w:cs="Arial"/>
          <w:color w:val="E36C0A" w:themeColor="accent6" w:themeShade="BF"/>
          <w:sz w:val="16"/>
          <w:szCs w:val="16"/>
          <w:lang w:val="es-MX"/>
        </w:rPr>
      </w:pPr>
    </w:p>
    <w:p w14:paraId="31207FAF" w14:textId="77777777" w:rsidR="002328EA" w:rsidRPr="00F964B3" w:rsidRDefault="002328EA" w:rsidP="00F964B3">
      <w:pPr>
        <w:pStyle w:val="SingleTxtG"/>
      </w:pPr>
      <w:r w:rsidRPr="00F964B3">
        <w:tab/>
        <w:t>c)</w:t>
      </w:r>
      <w:r w:rsidRPr="00F964B3">
        <w:tab/>
        <w:t>Mecanismos eficaces para detectar a los tratantes y a las víctimas de la trata;</w:t>
      </w:r>
    </w:p>
    <w:p w14:paraId="46CF269A" w14:textId="2DAECBCD" w:rsidR="002328EA" w:rsidRDefault="002328EA" w:rsidP="00F964B3">
      <w:pPr>
        <w:pStyle w:val="SingleTxtG"/>
      </w:pPr>
      <w:r w:rsidRPr="00F964B3">
        <w:tab/>
        <w:t>d)</w:t>
      </w:r>
      <w:r w:rsidRPr="00F964B3">
        <w:tab/>
        <w:t xml:space="preserve">Los esfuerzos realizados para investigar, perseguir y castigar de manera eficaz e imparcial todos los actos de trata de personas, </w:t>
      </w:r>
      <w:r w:rsidR="008174D6">
        <w:t>así como</w:t>
      </w:r>
      <w:r w:rsidRPr="00F964B3">
        <w:t xml:space="preserve"> el número de sentencias dictadas en relación con este delito, incluyendo información sobre el número de condenas, el tipo de sentencias y las reparaciones concedidas a las víctimas;</w:t>
      </w:r>
    </w:p>
    <w:p w14:paraId="71D57A30" w14:textId="77777777" w:rsidR="00EB75BF" w:rsidRPr="00EB75BF" w:rsidRDefault="00EB75BF" w:rsidP="00EB75BF">
      <w:pPr>
        <w:pStyle w:val="SingleTxtG"/>
        <w:spacing w:after="0"/>
        <w:rPr>
          <w:rFonts w:ascii="Arial" w:hAnsi="Arial" w:cs="Arial"/>
          <w:color w:val="E36C0A" w:themeColor="accent6" w:themeShade="BF"/>
          <w:sz w:val="16"/>
          <w:szCs w:val="16"/>
          <w:lang w:val="es-MX"/>
        </w:rPr>
      </w:pPr>
      <w:r w:rsidRPr="00EB75BF">
        <w:rPr>
          <w:rFonts w:ascii="Arial" w:hAnsi="Arial" w:cs="Arial"/>
          <w:color w:val="E36C0A" w:themeColor="accent6" w:themeShade="BF"/>
          <w:sz w:val="16"/>
          <w:szCs w:val="16"/>
          <w:lang w:val="es-MX"/>
        </w:rPr>
        <w:t>Esfuerzos institucionales</w:t>
      </w:r>
    </w:p>
    <w:p w14:paraId="67884DAC" w14:textId="77777777" w:rsidR="00EB75BF" w:rsidRPr="00EB75BF" w:rsidRDefault="00EB75BF" w:rsidP="00EB75BF">
      <w:pPr>
        <w:pStyle w:val="SingleTxtG"/>
        <w:spacing w:after="0"/>
        <w:rPr>
          <w:rFonts w:ascii="Arial" w:hAnsi="Arial" w:cs="Arial"/>
          <w:color w:val="E36C0A" w:themeColor="accent6" w:themeShade="BF"/>
          <w:sz w:val="16"/>
          <w:szCs w:val="16"/>
          <w:lang w:val="es-MX"/>
        </w:rPr>
      </w:pPr>
      <w:r w:rsidRPr="00EB75BF">
        <w:rPr>
          <w:rFonts w:ascii="Arial" w:hAnsi="Arial" w:cs="Arial"/>
          <w:color w:val="E36C0A" w:themeColor="accent6" w:themeShade="BF"/>
          <w:sz w:val="16"/>
          <w:szCs w:val="16"/>
          <w:lang w:val="es-MX"/>
        </w:rPr>
        <w:t>Unidad Contra la Trata, Explotación Sexual Comercial y Tráfico de Personas (UTESCTP) del Ministerio Público lidera investigaciones y judicializaciones, apoyada por la ATIC y la Policía Nacional.</w:t>
      </w:r>
    </w:p>
    <w:p w14:paraId="7EE74E62" w14:textId="77777777" w:rsidR="00EB75BF" w:rsidRPr="00EB75BF" w:rsidRDefault="00EB75BF" w:rsidP="00EB75BF">
      <w:pPr>
        <w:pStyle w:val="SingleTxtG"/>
        <w:rPr>
          <w:rFonts w:ascii="Arial" w:hAnsi="Arial" w:cs="Arial"/>
          <w:color w:val="E36C0A" w:themeColor="accent6" w:themeShade="BF"/>
          <w:sz w:val="16"/>
          <w:szCs w:val="16"/>
          <w:lang w:val="es-MX"/>
        </w:rPr>
      </w:pPr>
      <w:r w:rsidRPr="00EB75BF">
        <w:rPr>
          <w:rFonts w:ascii="Arial" w:hAnsi="Arial" w:cs="Arial"/>
          <w:color w:val="E36C0A" w:themeColor="accent6" w:themeShade="BF"/>
          <w:sz w:val="16"/>
          <w:szCs w:val="16"/>
          <w:lang w:val="es-MX"/>
        </w:rPr>
        <w:t xml:space="preserve">Sistema Nacional de Información y Observatorio sobre Trata de Personas (lanzado en abril 2025 con apoyo de UNODC): permite recopilar datos, analizar patrones y dar seguimiento a casos, garantizando confidencialidad y protección de víctimas. </w:t>
      </w:r>
      <w:hyperlink r:id="rId68" w:history="1">
        <w:r w:rsidRPr="00EB75BF">
          <w:rPr>
            <w:rStyle w:val="Hipervnculo"/>
            <w:rFonts w:ascii="Arial" w:hAnsi="Arial" w:cs="Arial"/>
            <w:color w:val="E36C0A" w:themeColor="accent6" w:themeShade="BF"/>
            <w:sz w:val="16"/>
            <w:szCs w:val="16"/>
            <w:lang w:val="es-MX"/>
          </w:rPr>
          <w:t>[unodc.org]</w:t>
        </w:r>
      </w:hyperlink>
    </w:p>
    <w:p w14:paraId="448D4988" w14:textId="37869089" w:rsidR="00EB75BF" w:rsidRPr="00EB75BF" w:rsidRDefault="00EB75BF" w:rsidP="00EB75BF">
      <w:pPr>
        <w:pStyle w:val="SingleTxtG"/>
        <w:rPr>
          <w:rFonts w:ascii="Arial" w:hAnsi="Arial" w:cs="Arial"/>
          <w:color w:val="E36C0A" w:themeColor="accent6" w:themeShade="BF"/>
          <w:sz w:val="16"/>
          <w:szCs w:val="16"/>
          <w:lang w:val="es-MX"/>
        </w:rPr>
      </w:pPr>
      <w:r w:rsidRPr="00EB75BF">
        <w:rPr>
          <w:rFonts w:ascii="Arial" w:hAnsi="Arial" w:cs="Arial"/>
          <w:color w:val="E36C0A" w:themeColor="accent6" w:themeShade="BF"/>
          <w:sz w:val="16"/>
          <w:szCs w:val="16"/>
          <w:lang w:val="es-MX"/>
        </w:rPr>
        <w:t xml:space="preserve">Reconocimiento internacional: EE. UU. ubicó a Honduras en Nivel 2 en su informe sobre trata, destacando avances en persecución penal y cooperación interinstitucional, aunque persisten desafíos en judicialización. </w:t>
      </w:r>
      <w:hyperlink r:id="rId69" w:history="1">
        <w:r w:rsidRPr="00EB75BF">
          <w:rPr>
            <w:rStyle w:val="Hipervnculo"/>
            <w:rFonts w:ascii="Arial" w:hAnsi="Arial" w:cs="Arial"/>
            <w:color w:val="E36C0A" w:themeColor="accent6" w:themeShade="BF"/>
            <w:sz w:val="16"/>
            <w:szCs w:val="16"/>
            <w:lang w:val="es-MX"/>
          </w:rPr>
          <w:t>[mp.hn]</w:t>
        </w:r>
      </w:hyperlink>
    </w:p>
    <w:p w14:paraId="1408CD78" w14:textId="77777777" w:rsidR="002328EA" w:rsidRDefault="002328EA" w:rsidP="00F964B3">
      <w:pPr>
        <w:pStyle w:val="SingleTxtG"/>
      </w:pPr>
      <w:r w:rsidRPr="00F964B3">
        <w:tab/>
        <w:t>e)</w:t>
      </w:r>
      <w:r w:rsidRPr="00F964B3">
        <w:tab/>
        <w:t>El establecimiento de centros de acogida y programas de protección para ayudar a las víctimas a reconstruir sus vidas, incluida la asistencia para su recuperación física, psicosocial y social;</w:t>
      </w:r>
    </w:p>
    <w:p w14:paraId="416AB9DA" w14:textId="3668B2C4" w:rsidR="00CC3963" w:rsidRPr="00CC3963" w:rsidRDefault="00CC3963" w:rsidP="00F964B3">
      <w:pPr>
        <w:pStyle w:val="SingleTxtG"/>
        <w:rPr>
          <w:color w:val="E36C0A" w:themeColor="accent6" w:themeShade="BF"/>
        </w:rPr>
      </w:pPr>
      <w:r w:rsidRPr="00CC3963">
        <w:rPr>
          <w:color w:val="E36C0A" w:themeColor="accent6" w:themeShade="BF"/>
        </w:rPr>
        <w:t>-</w:t>
      </w:r>
    </w:p>
    <w:p w14:paraId="30BF412C" w14:textId="27EFE8D6" w:rsidR="002328EA" w:rsidRDefault="002328EA" w:rsidP="00F964B3">
      <w:pPr>
        <w:pStyle w:val="SingleTxtG"/>
      </w:pPr>
      <w:r w:rsidRPr="00F964B3">
        <w:tab/>
        <w:t>f)</w:t>
      </w:r>
      <w:r w:rsidRPr="00F964B3">
        <w:tab/>
        <w:t xml:space="preserve">Las medidas adoptadas para impartir </w:t>
      </w:r>
      <w:r w:rsidR="00190523">
        <w:t xml:space="preserve">la </w:t>
      </w:r>
      <w:r w:rsidRPr="00F964B3">
        <w:t>formación apropiad</w:t>
      </w:r>
      <w:r w:rsidR="00533B79">
        <w:t>a</w:t>
      </w:r>
      <w:r w:rsidRPr="00F964B3">
        <w:t xml:space="preserve"> a los agentes de la autoridad, los jueces, los fiscales, los inspectores del trabajo, los proveedores de servicios, los docentes, el personal de las embajadas y los consulados, </w:t>
      </w:r>
      <w:r w:rsidR="00190523">
        <w:t>así como</w:t>
      </w:r>
      <w:r w:rsidRPr="00F964B3">
        <w:t xml:space="preserve"> </w:t>
      </w:r>
      <w:r w:rsidR="00533B79">
        <w:t xml:space="preserve">a </w:t>
      </w:r>
      <w:r w:rsidRPr="00F964B3">
        <w:t>otros profesionales pertinentes en el Estado parte</w:t>
      </w:r>
      <w:r w:rsidR="00C03DD3" w:rsidRPr="00F964B3">
        <w:t xml:space="preserve"> y para reforzar sus capacidades</w:t>
      </w:r>
      <w:r w:rsidRPr="00F964B3">
        <w:t>;</w:t>
      </w:r>
    </w:p>
    <w:p w14:paraId="1070238D" w14:textId="3910821C" w:rsidR="00CC3963" w:rsidRPr="00CC3963" w:rsidRDefault="00CC3963" w:rsidP="00F964B3">
      <w:pPr>
        <w:pStyle w:val="SingleTxtG"/>
        <w:rPr>
          <w:color w:val="E36C0A" w:themeColor="accent6" w:themeShade="BF"/>
        </w:rPr>
      </w:pPr>
      <w:r w:rsidRPr="00CC3963">
        <w:rPr>
          <w:color w:val="E36C0A" w:themeColor="accent6" w:themeShade="BF"/>
        </w:rPr>
        <w:t>-</w:t>
      </w:r>
    </w:p>
    <w:p w14:paraId="343400E3" w14:textId="77777777" w:rsidR="002328EA" w:rsidRDefault="002328EA" w:rsidP="00F964B3">
      <w:pPr>
        <w:pStyle w:val="SingleTxtG"/>
      </w:pPr>
      <w:r w:rsidRPr="00F964B3">
        <w:tab/>
        <w:t>g)</w:t>
      </w:r>
      <w:r w:rsidRPr="00F964B3">
        <w:tab/>
        <w:t>El presupuesto anual dedicado a la detección y la eliminación de la trata de personas y a la protección de las víctimas;</w:t>
      </w:r>
    </w:p>
    <w:p w14:paraId="714D7169" w14:textId="4304B424" w:rsidR="00CC3963" w:rsidRPr="00CC3963" w:rsidRDefault="00CC3963" w:rsidP="00F964B3">
      <w:pPr>
        <w:pStyle w:val="SingleTxtG"/>
        <w:rPr>
          <w:color w:val="E36C0A" w:themeColor="accent6" w:themeShade="BF"/>
        </w:rPr>
      </w:pPr>
      <w:r w:rsidRPr="00CC3963">
        <w:rPr>
          <w:color w:val="E36C0A" w:themeColor="accent6" w:themeShade="BF"/>
        </w:rPr>
        <w:t>-</w:t>
      </w:r>
    </w:p>
    <w:p w14:paraId="07A15BDA" w14:textId="023140BF" w:rsidR="00C03DD3" w:rsidRDefault="00C03DD3" w:rsidP="00F964B3">
      <w:pPr>
        <w:pStyle w:val="SingleTxtG"/>
      </w:pPr>
      <w:r w:rsidRPr="00F964B3">
        <w:tab/>
        <w:t>h)</w:t>
      </w:r>
      <w:r w:rsidRPr="00F964B3">
        <w:tab/>
        <w:t>Las medidas adoptadas para reforzar la recopilación de datos acerca de las víctimas, desglosados por sexo, edad y origen, con objeto de prevenir el tráfico y la trata de personas;</w:t>
      </w:r>
    </w:p>
    <w:p w14:paraId="0BCD49B3" w14:textId="5D9108F4" w:rsidR="00CC3963" w:rsidRPr="00CC3963" w:rsidRDefault="00CC3963" w:rsidP="00F964B3">
      <w:pPr>
        <w:pStyle w:val="SingleTxtG"/>
        <w:rPr>
          <w:color w:val="E36C0A" w:themeColor="accent6" w:themeShade="BF"/>
        </w:rPr>
      </w:pPr>
      <w:r w:rsidRPr="00CC3963">
        <w:rPr>
          <w:color w:val="E36C0A" w:themeColor="accent6" w:themeShade="BF"/>
        </w:rPr>
        <w:t>-</w:t>
      </w:r>
    </w:p>
    <w:p w14:paraId="7F93D7B9" w14:textId="77777777" w:rsidR="00EC48DC" w:rsidRDefault="002328EA" w:rsidP="00F964B3">
      <w:pPr>
        <w:pStyle w:val="SingleTxtG"/>
      </w:pPr>
      <w:r w:rsidRPr="00F964B3">
        <w:tab/>
      </w:r>
      <w:r w:rsidR="004A71D3" w:rsidRPr="00F964B3">
        <w:t>i</w:t>
      </w:r>
      <w:r w:rsidRPr="00F964B3">
        <w:t>)</w:t>
      </w:r>
      <w:r w:rsidRPr="00F964B3">
        <w:tab/>
      </w:r>
      <w:r w:rsidR="00EC48DC" w:rsidRPr="00F964B3">
        <w:t>Si existe la posibilidad de otorgar un permiso de residencia temporal o permanente a las víctimas del tráfico y la trata de personas;</w:t>
      </w:r>
    </w:p>
    <w:p w14:paraId="5719C1E0" w14:textId="46A2FF78" w:rsidR="00CC3963" w:rsidRPr="00CC3963" w:rsidRDefault="00CC3963" w:rsidP="00F964B3">
      <w:pPr>
        <w:pStyle w:val="SingleTxtG"/>
        <w:rPr>
          <w:color w:val="E36C0A" w:themeColor="accent6" w:themeShade="BF"/>
        </w:rPr>
      </w:pPr>
      <w:r w:rsidRPr="00CC3963">
        <w:rPr>
          <w:color w:val="E36C0A" w:themeColor="accent6" w:themeShade="BF"/>
        </w:rPr>
        <w:t xml:space="preserve">- </w:t>
      </w:r>
    </w:p>
    <w:p w14:paraId="15594FB1" w14:textId="39C42E0A" w:rsidR="00F73E86" w:rsidRDefault="00F73E86" w:rsidP="00F964B3">
      <w:pPr>
        <w:pStyle w:val="SingleTxtG"/>
      </w:pPr>
      <w:r w:rsidRPr="00F964B3">
        <w:tab/>
        <w:t>j)</w:t>
      </w:r>
      <w:r w:rsidRPr="00F964B3">
        <w:tab/>
        <w:t xml:space="preserve">Las medidas adoptadas para difundir ampliamente información respecto al tráfico y la trata de personas, los riesgos asociados a la migración irregular y la asistencia a las víctimas, en particular mediante campañas de prevención, </w:t>
      </w:r>
      <w:r w:rsidR="00CE70ED">
        <w:t>así como</w:t>
      </w:r>
      <w:r w:rsidRPr="00F964B3">
        <w:t xml:space="preserve"> las medidas adoptadas contra la difusión de información engañosa acerca de la emigración y la inmigración;</w:t>
      </w:r>
    </w:p>
    <w:p w14:paraId="0284A4F3" w14:textId="35B8BC18" w:rsidR="003C4F30" w:rsidRPr="003C4F30" w:rsidRDefault="003C4F30" w:rsidP="00F964B3">
      <w:pPr>
        <w:pStyle w:val="SingleTxtG"/>
        <w:rPr>
          <w:color w:val="E36C0A" w:themeColor="accent6" w:themeShade="BF"/>
        </w:rPr>
      </w:pPr>
      <w:r w:rsidRPr="003C4F30">
        <w:rPr>
          <w:color w:val="E36C0A" w:themeColor="accent6" w:themeShade="BF"/>
        </w:rPr>
        <w:t>-</w:t>
      </w:r>
    </w:p>
    <w:p w14:paraId="5DA72987" w14:textId="79694B48" w:rsidR="00816F66" w:rsidRDefault="00F73E86" w:rsidP="00864482">
      <w:pPr>
        <w:pStyle w:val="SingleTxtG"/>
      </w:pPr>
      <w:r w:rsidRPr="00F964B3">
        <w:tab/>
        <w:t>k)</w:t>
      </w:r>
      <w:r w:rsidRPr="00F964B3">
        <w:tab/>
        <w:t>Las medidas adoptadas para reforzar la cooperación internacional, regional y bilateral a fin de prevenir y combatir el tráfico y la trata de personas;</w:t>
      </w:r>
    </w:p>
    <w:p w14:paraId="3507C653" w14:textId="4D67299E" w:rsidR="003C4F30" w:rsidRPr="003C4F30" w:rsidRDefault="003C4F30" w:rsidP="00864482">
      <w:pPr>
        <w:pStyle w:val="SingleTxtG"/>
        <w:rPr>
          <w:color w:val="E36C0A" w:themeColor="accent6" w:themeShade="BF"/>
        </w:rPr>
      </w:pPr>
      <w:r w:rsidRPr="003C4F30">
        <w:rPr>
          <w:color w:val="E36C0A" w:themeColor="accent6" w:themeShade="BF"/>
        </w:rPr>
        <w:t xml:space="preserve">- </w:t>
      </w:r>
    </w:p>
    <w:p w14:paraId="62DAA817" w14:textId="10092D73" w:rsidR="0001581D" w:rsidRPr="00AF3A0F" w:rsidRDefault="00DE77DD" w:rsidP="00AF3A0F">
      <w:pPr>
        <w:pStyle w:val="SingleTxtG"/>
      </w:pPr>
      <w:r w:rsidRPr="00AF3A0F">
        <w:tab/>
        <w:t>l)</w:t>
      </w:r>
      <w:r w:rsidRPr="00AF3A0F">
        <w:tab/>
        <w:t xml:space="preserve">Las medidas adoptadas para garantizar la búsqueda y el salvamento de migrantes desaparecidos, e indiquen si el Estado parte ha procurado incorporar en su legislación nacional medidas preventivas, la realización de investigaciones serias y diligentes, el uso de información medicolegal, </w:t>
      </w:r>
      <w:r w:rsidR="0001581D" w:rsidRPr="00AF3A0F">
        <w:t xml:space="preserve">programas de apoyo a iniciativas de búsqueda </w:t>
      </w:r>
      <w:r w:rsidR="0001581D" w:rsidRPr="00AF3A0F">
        <w:lastRenderedPageBreak/>
        <w:t xml:space="preserve">y rescate, la exhumación e identificación de restos mortales, y las demás medidas recomendadas por </w:t>
      </w:r>
      <w:r w:rsidR="005436C4">
        <w:t>el</w:t>
      </w:r>
      <w:r w:rsidR="0001581D" w:rsidRPr="00AF3A0F">
        <w:t xml:space="preserve"> Comité </w:t>
      </w:r>
      <w:r w:rsidR="007147E8" w:rsidRPr="00AF3A0F">
        <w:t>anteriormente</w:t>
      </w:r>
      <w:r w:rsidR="005436C4">
        <w:rPr>
          <w:rStyle w:val="Refdenotaalpie"/>
        </w:rPr>
        <w:footnoteReference w:id="19"/>
      </w:r>
      <w:r w:rsidR="0001581D" w:rsidRPr="00AF3A0F">
        <w:t>. En particular, sírva</w:t>
      </w:r>
      <w:r w:rsidR="00FD5275">
        <w:t>n</w:t>
      </w:r>
      <w:r w:rsidR="0001581D" w:rsidRPr="00AF3A0F">
        <w:t xml:space="preserve">se brindar información en materia </w:t>
      </w:r>
      <w:r w:rsidR="007147E8" w:rsidRPr="00AF3A0F">
        <w:t xml:space="preserve">de </w:t>
      </w:r>
      <w:r w:rsidR="0001581D" w:rsidRPr="00AF3A0F">
        <w:t>cooperación internacional para la prevención de la desaparición de migrantes y la</w:t>
      </w:r>
      <w:r w:rsidR="00270948">
        <w:t>s medidas de</w:t>
      </w:r>
      <w:r w:rsidR="0001581D" w:rsidRPr="00AF3A0F">
        <w:t xml:space="preserve"> protección y reparación </w:t>
      </w:r>
      <w:r w:rsidR="00E90745">
        <w:t>para las</w:t>
      </w:r>
      <w:r w:rsidR="0001581D" w:rsidRPr="00AF3A0F">
        <w:t xml:space="preserve"> víctimas, incluyendo las medidas adoptadas a fin de apoyar la plena implementación, por parte de las autoridades mexicanas competentes, del Mecanismo de Apoyo Exterior de Búsqueda e Investigación a cargo de la Unidad de Investigación de Delitos para Personas Migrantes, teniendo en cuenta</w:t>
      </w:r>
      <w:r w:rsidR="00803D1D">
        <w:t xml:space="preserve"> los</w:t>
      </w:r>
      <w:r w:rsidR="0001581D" w:rsidRPr="00AF3A0F">
        <w:t xml:space="preserve"> </w:t>
      </w:r>
      <w:r w:rsidR="003471D4" w:rsidRPr="003471D4">
        <w:t>Principios Rectores para la Búsqueda de Personas Desaparecidas</w:t>
      </w:r>
      <w:r w:rsidR="003471D4">
        <w:t xml:space="preserve"> y</w:t>
      </w:r>
      <w:r w:rsidR="0001581D" w:rsidRPr="00AF3A0F">
        <w:t xml:space="preserve"> </w:t>
      </w:r>
      <w:r w:rsidR="003471D4">
        <w:t>la</w:t>
      </w:r>
      <w:r w:rsidR="0001581D" w:rsidRPr="00AF3A0F">
        <w:t xml:space="preserve"> </w:t>
      </w:r>
      <w:r w:rsidR="00AF5805">
        <w:t>o</w:t>
      </w:r>
      <w:r w:rsidR="0001581D" w:rsidRPr="00AF3A0F">
        <w:t xml:space="preserve">bservación general </w:t>
      </w:r>
      <w:r w:rsidR="00AF5805">
        <w:t>núm</w:t>
      </w:r>
      <w:r w:rsidR="0001581D" w:rsidRPr="00AF3A0F">
        <w:t>.</w:t>
      </w:r>
      <w:r w:rsidR="001F42EE">
        <w:t xml:space="preserve"> </w:t>
      </w:r>
      <w:r w:rsidR="0001581D" w:rsidRPr="00AF3A0F">
        <w:t xml:space="preserve">1 </w:t>
      </w:r>
      <w:r w:rsidR="00AF5805">
        <w:t>(2023)</w:t>
      </w:r>
      <w:r w:rsidR="008F3AD7">
        <w:t xml:space="preserve"> relativa a la</w:t>
      </w:r>
      <w:r w:rsidR="00AF5805">
        <w:t xml:space="preserve"> </w:t>
      </w:r>
      <w:r w:rsidR="0001581D" w:rsidRPr="00AF3A0F">
        <w:t>desaparici</w:t>
      </w:r>
      <w:r w:rsidR="008F3AD7">
        <w:t>ón</w:t>
      </w:r>
      <w:r w:rsidR="0001581D" w:rsidRPr="00AF3A0F">
        <w:t xml:space="preserve"> forzada en el contexto de la migración</w:t>
      </w:r>
      <w:r w:rsidR="003471D4">
        <w:t xml:space="preserve">, </w:t>
      </w:r>
      <w:r w:rsidR="003471D4" w:rsidRPr="003471D4">
        <w:t>del Comité contra la Desaparición Forzada</w:t>
      </w:r>
      <w:r w:rsidR="0001581D" w:rsidRPr="00AF3A0F">
        <w:t>.</w:t>
      </w:r>
    </w:p>
    <w:p w14:paraId="2F3EB23A" w14:textId="58C0A18F" w:rsidR="00DE77DD" w:rsidRDefault="00DE77DD" w:rsidP="00AF3A0F">
      <w:pPr>
        <w:pStyle w:val="SingleTxtG"/>
      </w:pPr>
      <w:r w:rsidRPr="00AF3A0F">
        <w:t>26.</w:t>
      </w:r>
      <w:r w:rsidRPr="00AF3A0F">
        <w:tab/>
        <w:t>Sírvanse facilitar más información detallada sobre el Plan de Desarrollo Integral para El Salvador, Guatemala, Honduras y México, mencionado en el informe</w:t>
      </w:r>
      <w:r w:rsidR="00C56017">
        <w:rPr>
          <w:rStyle w:val="Refdenotaalpie"/>
        </w:rPr>
        <w:footnoteReference w:id="20"/>
      </w:r>
      <w:r w:rsidRPr="00AF3A0F">
        <w:t xml:space="preserve"> e informar al Comité sobre el porcentaje de trabajadores migratorios en situación irregular cuya situación se ha regularizado desde que se puso en marcha el </w:t>
      </w:r>
      <w:r w:rsidR="00FB3B19">
        <w:t>p</w:t>
      </w:r>
      <w:r w:rsidRPr="00AF3A0F">
        <w:t>lan, desglosado por sexo, edad, nacionalidad</w:t>
      </w:r>
      <w:r w:rsidR="0001581D" w:rsidRPr="00AF3A0F">
        <w:t>, discapacidad</w:t>
      </w:r>
      <w:r w:rsidRPr="00AF3A0F">
        <w:t xml:space="preserve"> y ocupación. Incluyan también información sobre las personas cuya situación se encuentra en proceso de regularización.</w:t>
      </w:r>
    </w:p>
    <w:p w14:paraId="6976F62D" w14:textId="0B5EE0B5" w:rsidR="003C4F30" w:rsidRPr="003C4F30" w:rsidRDefault="003C4F30" w:rsidP="00AF3A0F">
      <w:pPr>
        <w:pStyle w:val="SingleTxtG"/>
        <w:rPr>
          <w:color w:val="E36C0A" w:themeColor="accent6" w:themeShade="BF"/>
        </w:rPr>
      </w:pPr>
      <w:r w:rsidRPr="003C4F30">
        <w:rPr>
          <w:color w:val="E36C0A" w:themeColor="accent6" w:themeShade="BF"/>
        </w:rPr>
        <w:t xml:space="preserve">- </w:t>
      </w:r>
    </w:p>
    <w:p w14:paraId="60CAFF04" w14:textId="66A624E7" w:rsidR="00F964B3" w:rsidRPr="00F964B3" w:rsidRDefault="00F964B3" w:rsidP="00F964B3">
      <w:pPr>
        <w:pStyle w:val="SingleTxtG"/>
        <w:suppressAutoHyphens/>
        <w:spacing w:before="240" w:after="0"/>
        <w:jc w:val="center"/>
        <w:rPr>
          <w:u w:val="single"/>
        </w:rPr>
      </w:pPr>
      <w:r>
        <w:rPr>
          <w:u w:val="single"/>
        </w:rPr>
        <w:tab/>
      </w:r>
      <w:r>
        <w:rPr>
          <w:u w:val="single"/>
        </w:rPr>
        <w:tab/>
      </w:r>
      <w:r>
        <w:rPr>
          <w:u w:val="single"/>
        </w:rPr>
        <w:tab/>
      </w:r>
    </w:p>
    <w:sectPr w:rsidR="00F964B3" w:rsidRPr="00F964B3" w:rsidSect="00E56EE3">
      <w:headerReference w:type="even" r:id="rId70"/>
      <w:headerReference w:type="default" r:id="rId71"/>
      <w:footerReference w:type="even" r:id="rId72"/>
      <w:footerReference w:type="default" r:id="rId73"/>
      <w:headerReference w:type="first" r:id="rId74"/>
      <w:footerReference w:type="first" r:id="rId7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3BBE6" w14:textId="77777777" w:rsidR="00CF5B40" w:rsidRDefault="00CF5B40">
      <w:r>
        <w:separator/>
      </w:r>
    </w:p>
  </w:endnote>
  <w:endnote w:type="continuationSeparator" w:id="0">
    <w:p w14:paraId="3B663FA2" w14:textId="77777777" w:rsidR="00CF5B40" w:rsidRDefault="00CF5B40">
      <w:r>
        <w:continuationSeparator/>
      </w:r>
    </w:p>
  </w:endnote>
  <w:endnote w:type="continuationNotice" w:id="1">
    <w:p w14:paraId="185A0F91" w14:textId="77777777" w:rsidR="00CF5B40" w:rsidRDefault="00CF5B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3E9E1" w14:textId="77777777" w:rsidR="001A4396" w:rsidRPr="001A4396" w:rsidRDefault="00A8230F"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6425B" w14:textId="77777777" w:rsidR="001A4396" w:rsidRPr="001A4396" w:rsidRDefault="00A8230F"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A5C85" w14:textId="161E8F64" w:rsidR="00A86F80" w:rsidRPr="008F18A7" w:rsidRDefault="008F18A7" w:rsidP="008F18A7">
    <w:pPr>
      <w:pStyle w:val="Piedepgina"/>
      <w:tabs>
        <w:tab w:val="left" w:pos="6520"/>
        <w:tab w:val="right" w:pos="9638"/>
      </w:tabs>
      <w:spacing w:before="120" w:line="240" w:lineRule="auto"/>
      <w:rPr>
        <w:sz w:val="20"/>
      </w:rPr>
    </w:pPr>
    <w:r>
      <w:rPr>
        <w:sz w:val="20"/>
      </w:rPr>
      <w:t>GE.24-11470  (S)</w:t>
    </w:r>
    <w:r w:rsidR="00005942">
      <w:rPr>
        <w:sz w:val="20"/>
      </w:rPr>
      <w:t xml:space="preserve">    280624    020724</w:t>
    </w:r>
    <w:r>
      <w:rPr>
        <w:sz w:val="20"/>
      </w:rPr>
      <w:tab/>
    </w:r>
    <w:r w:rsidRPr="008F18A7">
      <w:rPr>
        <w:noProof/>
        <w:sz w:val="20"/>
        <w:lang w:val="fr-CH" w:eastAsia="zh-CN"/>
      </w:rPr>
      <w:drawing>
        <wp:inline distT="0" distB="0" distL="0" distR="0" wp14:anchorId="606296F5" wp14:editId="41460C5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755EF21" wp14:editId="2A3EC2AA">
          <wp:extent cx="628650" cy="6286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99CA6" w14:textId="77777777" w:rsidR="00CF5B40" w:rsidRPr="001075E9" w:rsidRDefault="00CF5B40" w:rsidP="001075E9">
      <w:pPr>
        <w:tabs>
          <w:tab w:val="right" w:pos="2155"/>
        </w:tabs>
        <w:spacing w:after="80" w:line="240" w:lineRule="auto"/>
        <w:ind w:left="680"/>
        <w:rPr>
          <w:u w:val="single"/>
        </w:rPr>
      </w:pPr>
      <w:r>
        <w:rPr>
          <w:u w:val="single"/>
        </w:rPr>
        <w:tab/>
      </w:r>
    </w:p>
  </w:footnote>
  <w:footnote w:type="continuationSeparator" w:id="0">
    <w:p w14:paraId="459075A6" w14:textId="77777777" w:rsidR="00CF5B40" w:rsidRDefault="00CF5B40" w:rsidP="00407B78">
      <w:pPr>
        <w:tabs>
          <w:tab w:val="right" w:pos="2155"/>
        </w:tabs>
        <w:spacing w:after="80"/>
        <w:ind w:left="680"/>
        <w:rPr>
          <w:u w:val="single"/>
        </w:rPr>
      </w:pPr>
      <w:r>
        <w:rPr>
          <w:u w:val="single"/>
        </w:rPr>
        <w:tab/>
      </w:r>
    </w:p>
  </w:footnote>
  <w:footnote w:type="continuationNotice" w:id="1">
    <w:p w14:paraId="1F724029" w14:textId="77777777" w:rsidR="00CF5B40" w:rsidRDefault="00CF5B40">
      <w:pPr>
        <w:spacing w:line="240" w:lineRule="auto"/>
      </w:pPr>
    </w:p>
  </w:footnote>
  <w:footnote w:id="2">
    <w:p w14:paraId="19E3C416" w14:textId="282B00B2" w:rsidR="00AF3A0F" w:rsidRPr="00AF3A0F" w:rsidRDefault="00AF3A0F">
      <w:pPr>
        <w:pStyle w:val="Textonotapie"/>
      </w:pPr>
      <w:r>
        <w:rPr>
          <w:rStyle w:val="Refdenotaalpie"/>
        </w:rPr>
        <w:tab/>
      </w:r>
      <w:r w:rsidRPr="008D3DDF">
        <w:rPr>
          <w:rStyle w:val="Refdenotaalpie"/>
          <w:sz w:val="20"/>
          <w:vertAlign w:val="baseline"/>
        </w:rPr>
        <w:t>*</w:t>
      </w:r>
      <w:r>
        <w:rPr>
          <w:rStyle w:val="Refdenotaalpie"/>
          <w:sz w:val="20"/>
          <w:vertAlign w:val="baseline"/>
        </w:rPr>
        <w:tab/>
      </w:r>
      <w:r>
        <w:t>Aprobada por el Comité en su 38</w:t>
      </w:r>
      <w:r w:rsidR="007F1256">
        <w:t>º</w:t>
      </w:r>
      <w:r>
        <w:t xml:space="preserve"> </w:t>
      </w:r>
      <w:r>
        <w:rPr>
          <w:szCs w:val="18"/>
        </w:rPr>
        <w:t xml:space="preserve">período </w:t>
      </w:r>
      <w:r>
        <w:t>de sesiones (3 a 14 de junio de 2024).</w:t>
      </w:r>
    </w:p>
  </w:footnote>
  <w:footnote w:id="3">
    <w:p w14:paraId="2EA5E5CE" w14:textId="1A0F8EFE" w:rsidR="00FD1F15" w:rsidRPr="00D17569" w:rsidRDefault="007F1256" w:rsidP="008D3DDF">
      <w:pPr>
        <w:pStyle w:val="Textonotapie"/>
        <w:widowControl w:val="0"/>
        <w:suppressAutoHyphens/>
        <w:rPr>
          <w:lang w:val="en-US"/>
        </w:rPr>
      </w:pPr>
      <w:r>
        <w:tab/>
      </w:r>
      <w:r w:rsidR="00FD1F15" w:rsidRPr="00A9106B">
        <w:rPr>
          <w:vertAlign w:val="superscript"/>
        </w:rPr>
        <w:footnoteRef/>
      </w:r>
      <w:r w:rsidR="00FD1F15" w:rsidRPr="00D17569">
        <w:rPr>
          <w:lang w:val="en-US"/>
        </w:rPr>
        <w:tab/>
      </w:r>
      <w:r w:rsidR="00000000">
        <w:fldChar w:fldCharType="begin"/>
      </w:r>
      <w:r w:rsidR="00000000" w:rsidRPr="00C16EAC">
        <w:rPr>
          <w:lang w:val="en-US"/>
        </w:rPr>
        <w:instrText>HYPERLINK "http://undocs.org/sp/CMW/C/HND/CO/1"</w:instrText>
      </w:r>
      <w:r w:rsidR="00000000">
        <w:fldChar w:fldCharType="separate"/>
      </w:r>
      <w:r w:rsidR="00FD1F15" w:rsidRPr="00D17569">
        <w:rPr>
          <w:rStyle w:val="Hipervnculo"/>
          <w:lang w:val="en-US"/>
        </w:rPr>
        <w:t>CMW/C/HND/CO/1</w:t>
      </w:r>
      <w:r w:rsidR="00000000">
        <w:rPr>
          <w:rStyle w:val="Hipervnculo"/>
          <w:lang w:val="en-US"/>
        </w:rPr>
        <w:fldChar w:fldCharType="end"/>
      </w:r>
      <w:r w:rsidR="00FD1F15" w:rsidRPr="00D17569">
        <w:rPr>
          <w:lang w:val="en-US"/>
        </w:rPr>
        <w:t>, párr. 11.</w:t>
      </w:r>
    </w:p>
  </w:footnote>
  <w:footnote w:id="4">
    <w:p w14:paraId="168785C0" w14:textId="6CB80878" w:rsidR="00AF3A0F" w:rsidRPr="00D17569" w:rsidRDefault="00AF3A0F" w:rsidP="008D3DDF">
      <w:pPr>
        <w:pStyle w:val="Textonotapie"/>
        <w:widowControl w:val="0"/>
        <w:suppressAutoHyphens/>
        <w:rPr>
          <w:lang w:val="en-US"/>
        </w:rPr>
      </w:pPr>
      <w:r w:rsidRPr="00D17569">
        <w:rPr>
          <w:lang w:val="en-US"/>
        </w:rPr>
        <w:tab/>
      </w:r>
      <w:r>
        <w:rPr>
          <w:rStyle w:val="Refdenotaalpie"/>
        </w:rPr>
        <w:footnoteRef/>
      </w:r>
      <w:r w:rsidRPr="00D17569">
        <w:rPr>
          <w:lang w:val="en-US"/>
        </w:rPr>
        <w:tab/>
      </w:r>
      <w:r w:rsidR="00000000">
        <w:fldChar w:fldCharType="begin"/>
      </w:r>
      <w:r w:rsidR="00000000" w:rsidRPr="00C16EAC">
        <w:rPr>
          <w:lang w:val="en-US"/>
        </w:rPr>
        <w:instrText>HYPERLINK "http://undocs.org/sp/CMW/C/HND/2"</w:instrText>
      </w:r>
      <w:r w:rsidR="00000000">
        <w:fldChar w:fldCharType="separate"/>
      </w:r>
      <w:r w:rsidRPr="00D17569">
        <w:rPr>
          <w:rStyle w:val="Hipervnculo"/>
          <w:lang w:val="en-US"/>
        </w:rPr>
        <w:t>CMW/C/HND/2</w:t>
      </w:r>
      <w:r w:rsidR="00000000">
        <w:rPr>
          <w:rStyle w:val="Hipervnculo"/>
          <w:lang w:val="en-US"/>
        </w:rPr>
        <w:fldChar w:fldCharType="end"/>
      </w:r>
      <w:r w:rsidR="00495176" w:rsidRPr="00D17569">
        <w:rPr>
          <w:lang w:val="en-US"/>
        </w:rPr>
        <w:t>, párrs. 11 y 12</w:t>
      </w:r>
      <w:r w:rsidRPr="00D17569">
        <w:rPr>
          <w:lang w:val="en-US"/>
        </w:rPr>
        <w:t>.</w:t>
      </w:r>
    </w:p>
  </w:footnote>
  <w:footnote w:id="5">
    <w:p w14:paraId="32C0C022" w14:textId="6B29C23A" w:rsidR="00495176" w:rsidRPr="008D3DDF" w:rsidRDefault="00495176" w:rsidP="008D3DDF">
      <w:pPr>
        <w:pStyle w:val="Textonotapie"/>
        <w:widowControl w:val="0"/>
        <w:suppressAutoHyphens/>
        <w:rPr>
          <w:lang w:val="en-GB"/>
        </w:rPr>
      </w:pPr>
      <w:r w:rsidRPr="00D17569">
        <w:rPr>
          <w:lang w:val="en-US"/>
        </w:rPr>
        <w:tab/>
      </w:r>
      <w:r>
        <w:rPr>
          <w:rStyle w:val="Refdenotaalpie"/>
        </w:rPr>
        <w:footnoteRef/>
      </w:r>
      <w:r w:rsidRPr="008D3DDF">
        <w:rPr>
          <w:lang w:val="en-GB"/>
        </w:rPr>
        <w:tab/>
      </w:r>
      <w:r w:rsidRPr="008D3DDF">
        <w:rPr>
          <w:i/>
          <w:iCs/>
          <w:lang w:val="en-GB"/>
        </w:rPr>
        <w:t>Ibid</w:t>
      </w:r>
      <w:r w:rsidRPr="008D3DDF">
        <w:rPr>
          <w:lang w:val="en-GB"/>
        </w:rPr>
        <w:t>., párr. 41.</w:t>
      </w:r>
    </w:p>
  </w:footnote>
  <w:footnote w:id="6">
    <w:p w14:paraId="4F46503D" w14:textId="3C0D14CB" w:rsidR="00495176" w:rsidRPr="008D3DDF" w:rsidRDefault="00495176" w:rsidP="008D3DDF">
      <w:pPr>
        <w:pStyle w:val="Textonotapie"/>
        <w:widowControl w:val="0"/>
        <w:suppressAutoHyphens/>
        <w:rPr>
          <w:lang w:val="en-US"/>
        </w:rPr>
      </w:pPr>
      <w:r w:rsidRPr="008D3DDF">
        <w:rPr>
          <w:lang w:val="en-GB"/>
        </w:rPr>
        <w:tab/>
      </w:r>
      <w:r>
        <w:rPr>
          <w:rStyle w:val="Refdenotaalpie"/>
        </w:rPr>
        <w:footnoteRef/>
      </w:r>
      <w:r w:rsidRPr="008D3DDF">
        <w:rPr>
          <w:lang w:val="en-US"/>
        </w:rPr>
        <w:tab/>
      </w:r>
      <w:r w:rsidR="00000000">
        <w:fldChar w:fldCharType="begin"/>
      </w:r>
      <w:r w:rsidR="00000000" w:rsidRPr="00C16EAC">
        <w:rPr>
          <w:lang w:val="en-US"/>
        </w:rPr>
        <w:instrText>HYPERLINK "http://undocs.org/sp/CMW/C/HND/CO/1"</w:instrText>
      </w:r>
      <w:r w:rsidR="00000000">
        <w:fldChar w:fldCharType="separate"/>
      </w:r>
      <w:r w:rsidRPr="008D3DDF">
        <w:rPr>
          <w:rStyle w:val="Hipervnculo"/>
          <w:lang w:val="en-US"/>
        </w:rPr>
        <w:t>CMW/C/HND/CO/1</w:t>
      </w:r>
      <w:r w:rsidR="00000000">
        <w:rPr>
          <w:rStyle w:val="Hipervnculo"/>
          <w:lang w:val="en-US"/>
        </w:rPr>
        <w:fldChar w:fldCharType="end"/>
      </w:r>
      <w:r>
        <w:rPr>
          <w:lang w:val="en-US"/>
        </w:rPr>
        <w:t>,</w:t>
      </w:r>
      <w:r w:rsidRPr="008D3DDF">
        <w:rPr>
          <w:lang w:val="en-US"/>
        </w:rPr>
        <w:t xml:space="preserve"> párr. 11</w:t>
      </w:r>
      <w:r>
        <w:rPr>
          <w:lang w:val="en-US"/>
        </w:rPr>
        <w:t>.</w:t>
      </w:r>
    </w:p>
  </w:footnote>
  <w:footnote w:id="7">
    <w:p w14:paraId="7AFEF362" w14:textId="5CE394F9" w:rsidR="00D52793" w:rsidRPr="008D3DDF" w:rsidRDefault="00D52793" w:rsidP="008D3DDF">
      <w:pPr>
        <w:pStyle w:val="Textonotapie"/>
        <w:widowControl w:val="0"/>
        <w:suppressAutoHyphens/>
        <w:rPr>
          <w:lang w:val="en-GB"/>
        </w:rPr>
      </w:pPr>
      <w:r w:rsidRPr="008D3DDF">
        <w:rPr>
          <w:lang w:val="en-GB"/>
        </w:rPr>
        <w:tab/>
      </w:r>
      <w:r>
        <w:rPr>
          <w:rStyle w:val="Refdenotaalpie"/>
        </w:rPr>
        <w:footnoteRef/>
      </w:r>
      <w:r w:rsidRPr="008D3DDF">
        <w:rPr>
          <w:lang w:val="en-GB"/>
        </w:rPr>
        <w:tab/>
      </w:r>
      <w:r w:rsidR="00000000">
        <w:fldChar w:fldCharType="begin"/>
      </w:r>
      <w:r w:rsidR="00000000" w:rsidRPr="00C16EAC">
        <w:rPr>
          <w:lang w:val="en-US"/>
        </w:rPr>
        <w:instrText>HYPERLINK "http://undocs.org/sp/CMW/C/HND/2"</w:instrText>
      </w:r>
      <w:r w:rsidR="00000000">
        <w:fldChar w:fldCharType="separate"/>
      </w:r>
      <w:r w:rsidRPr="008D3DDF">
        <w:rPr>
          <w:rStyle w:val="Hipervnculo"/>
          <w:lang w:val="en-GB"/>
        </w:rPr>
        <w:t>CMW/C/HND/2</w:t>
      </w:r>
      <w:r w:rsidR="00000000">
        <w:rPr>
          <w:rStyle w:val="Hipervnculo"/>
          <w:lang w:val="en-GB"/>
        </w:rPr>
        <w:fldChar w:fldCharType="end"/>
      </w:r>
      <w:r w:rsidRPr="008D3DDF">
        <w:rPr>
          <w:lang w:val="en-GB"/>
        </w:rPr>
        <w:t>, párr. 35.</w:t>
      </w:r>
    </w:p>
  </w:footnote>
  <w:footnote w:id="8">
    <w:p w14:paraId="1B1A8EB8" w14:textId="21D6FD82" w:rsidR="0013723A" w:rsidRPr="008D3DDF" w:rsidRDefault="0013723A" w:rsidP="008D3DDF">
      <w:pPr>
        <w:pStyle w:val="Textonotapie"/>
        <w:widowControl w:val="0"/>
        <w:suppressAutoHyphens/>
        <w:rPr>
          <w:lang w:val="en-GB"/>
        </w:rPr>
      </w:pPr>
      <w:r w:rsidRPr="008D3DDF">
        <w:rPr>
          <w:lang w:val="en-GB"/>
        </w:rPr>
        <w:tab/>
      </w:r>
      <w:r>
        <w:rPr>
          <w:rStyle w:val="Refdenotaalpie"/>
        </w:rPr>
        <w:footnoteRef/>
      </w:r>
      <w:r w:rsidRPr="008D3DDF">
        <w:rPr>
          <w:lang w:val="en-US"/>
        </w:rPr>
        <w:tab/>
      </w:r>
      <w:r w:rsidR="00000000">
        <w:fldChar w:fldCharType="begin"/>
      </w:r>
      <w:r w:rsidR="00000000" w:rsidRPr="00C16EAC">
        <w:rPr>
          <w:lang w:val="en-US"/>
        </w:rPr>
        <w:instrText>HYPERLINK "http://undocs.org/sp/CMW/C/HND/CO/1"</w:instrText>
      </w:r>
      <w:r w:rsidR="00000000">
        <w:fldChar w:fldCharType="separate"/>
      </w:r>
      <w:r w:rsidR="004F5EC1" w:rsidRPr="008D3DDF">
        <w:rPr>
          <w:rStyle w:val="Hipervnculo"/>
          <w:lang w:val="en-US"/>
        </w:rPr>
        <w:t>CMW/C/HN</w:t>
      </w:r>
      <w:r w:rsidR="004F5EC1" w:rsidRPr="004F5EC1">
        <w:rPr>
          <w:rStyle w:val="Hipervnculo"/>
          <w:lang w:val="en-US"/>
        </w:rPr>
        <w:t>D</w:t>
      </w:r>
      <w:r w:rsidR="004F5EC1" w:rsidRPr="008D3DDF">
        <w:rPr>
          <w:rStyle w:val="Hipervnculo"/>
          <w:lang w:val="en-US"/>
        </w:rPr>
        <w:t>/CO/1</w:t>
      </w:r>
      <w:r w:rsidR="00000000">
        <w:rPr>
          <w:rStyle w:val="Hipervnculo"/>
          <w:lang w:val="en-US"/>
        </w:rPr>
        <w:fldChar w:fldCharType="end"/>
      </w:r>
      <w:r w:rsidRPr="008D3DDF">
        <w:rPr>
          <w:lang w:val="en-US"/>
        </w:rPr>
        <w:t xml:space="preserve">, párr. </w:t>
      </w:r>
      <w:r w:rsidRPr="008D3DDF">
        <w:rPr>
          <w:lang w:val="en-GB"/>
        </w:rPr>
        <w:t>21.</w:t>
      </w:r>
    </w:p>
  </w:footnote>
  <w:footnote w:id="9">
    <w:p w14:paraId="3289B778" w14:textId="4FC83107" w:rsidR="0013723A" w:rsidRPr="008D3DDF" w:rsidRDefault="0013723A" w:rsidP="008D3DDF">
      <w:pPr>
        <w:pStyle w:val="Textonotapie"/>
        <w:widowControl w:val="0"/>
        <w:suppressAutoHyphens/>
        <w:rPr>
          <w:lang w:val="en-GB"/>
        </w:rPr>
      </w:pPr>
      <w:r w:rsidRPr="008D3DDF">
        <w:rPr>
          <w:lang w:val="en-GB"/>
        </w:rPr>
        <w:tab/>
      </w:r>
      <w:r>
        <w:rPr>
          <w:rStyle w:val="Refdenotaalpie"/>
        </w:rPr>
        <w:footnoteRef/>
      </w:r>
      <w:r w:rsidRPr="008D3DDF">
        <w:rPr>
          <w:lang w:val="en-GB"/>
        </w:rPr>
        <w:tab/>
      </w:r>
      <w:r w:rsidR="00000000">
        <w:fldChar w:fldCharType="begin"/>
      </w:r>
      <w:r w:rsidR="00000000" w:rsidRPr="00C16EAC">
        <w:rPr>
          <w:lang w:val="en-US"/>
        </w:rPr>
        <w:instrText>HYPERLINK "http://undocs.org/sp/CMW/C/HND/2"</w:instrText>
      </w:r>
      <w:r w:rsidR="00000000">
        <w:fldChar w:fldCharType="separate"/>
      </w:r>
      <w:r w:rsidRPr="008D3DDF">
        <w:rPr>
          <w:rStyle w:val="Hipervnculo"/>
          <w:lang w:val="en-GB"/>
        </w:rPr>
        <w:t>CMW/C/HND/2</w:t>
      </w:r>
      <w:r w:rsidR="00000000">
        <w:rPr>
          <w:rStyle w:val="Hipervnculo"/>
          <w:lang w:val="en-GB"/>
        </w:rPr>
        <w:fldChar w:fldCharType="end"/>
      </w:r>
      <w:r w:rsidRPr="008D3DDF">
        <w:rPr>
          <w:lang w:val="en-GB"/>
        </w:rPr>
        <w:t>, párr. 36.</w:t>
      </w:r>
    </w:p>
  </w:footnote>
  <w:footnote w:id="10">
    <w:p w14:paraId="695082E1" w14:textId="4E0DBA5A" w:rsidR="00AA62A6" w:rsidRPr="00D17569" w:rsidRDefault="00AA62A6" w:rsidP="008D3DDF">
      <w:pPr>
        <w:pStyle w:val="Textonotapie"/>
        <w:widowControl w:val="0"/>
        <w:suppressAutoHyphens/>
        <w:rPr>
          <w:lang w:val="en-US"/>
        </w:rPr>
      </w:pPr>
      <w:r w:rsidRPr="008D3DDF">
        <w:rPr>
          <w:lang w:val="en-GB"/>
        </w:rPr>
        <w:tab/>
      </w:r>
      <w:r>
        <w:rPr>
          <w:rStyle w:val="Refdenotaalpie"/>
        </w:rPr>
        <w:footnoteRef/>
      </w:r>
      <w:r w:rsidRPr="008D3DDF">
        <w:rPr>
          <w:lang w:val="en-US"/>
        </w:rPr>
        <w:tab/>
      </w:r>
      <w:r w:rsidR="00000000">
        <w:fldChar w:fldCharType="begin"/>
      </w:r>
      <w:r w:rsidR="00000000" w:rsidRPr="00C16EAC">
        <w:rPr>
          <w:lang w:val="en-US"/>
        </w:rPr>
        <w:instrText>HYPERLINK "http://undocs.org/sp/CMW/C/HND/CO/1"</w:instrText>
      </w:r>
      <w:r w:rsidR="00000000">
        <w:fldChar w:fldCharType="separate"/>
      </w:r>
      <w:r w:rsidR="004F5EC1" w:rsidRPr="008D3DDF">
        <w:rPr>
          <w:rStyle w:val="Hipervnculo"/>
          <w:lang w:val="en-US"/>
        </w:rPr>
        <w:t>CMW/C/HN</w:t>
      </w:r>
      <w:r w:rsidR="004F5EC1" w:rsidRPr="004F5EC1">
        <w:rPr>
          <w:rStyle w:val="Hipervnculo"/>
          <w:lang w:val="en-US"/>
        </w:rPr>
        <w:t>D</w:t>
      </w:r>
      <w:r w:rsidR="004F5EC1" w:rsidRPr="008D3DDF">
        <w:rPr>
          <w:rStyle w:val="Hipervnculo"/>
          <w:lang w:val="en-US"/>
        </w:rPr>
        <w:t>/CO/1</w:t>
      </w:r>
      <w:r w:rsidR="00000000">
        <w:rPr>
          <w:rStyle w:val="Hipervnculo"/>
          <w:lang w:val="en-US"/>
        </w:rPr>
        <w:fldChar w:fldCharType="end"/>
      </w:r>
      <w:r w:rsidRPr="008D3DDF">
        <w:rPr>
          <w:lang w:val="en-US"/>
        </w:rPr>
        <w:t xml:space="preserve">, párr. </w:t>
      </w:r>
      <w:r w:rsidRPr="00D17569">
        <w:rPr>
          <w:lang w:val="en-US"/>
        </w:rPr>
        <w:t>27.</w:t>
      </w:r>
    </w:p>
  </w:footnote>
  <w:footnote w:id="11">
    <w:p w14:paraId="2AF23679" w14:textId="7FB2DC3E" w:rsidR="00A517DD" w:rsidRPr="00D17569" w:rsidRDefault="00A517DD" w:rsidP="008D3DDF">
      <w:pPr>
        <w:pStyle w:val="Textonotapie"/>
        <w:widowControl w:val="0"/>
        <w:suppressAutoHyphens/>
        <w:rPr>
          <w:lang w:val="en-US"/>
        </w:rPr>
      </w:pPr>
      <w:r w:rsidRPr="00D17569">
        <w:rPr>
          <w:lang w:val="en-US"/>
        </w:rPr>
        <w:tab/>
      </w:r>
      <w:r>
        <w:rPr>
          <w:rStyle w:val="Refdenotaalpie"/>
        </w:rPr>
        <w:footnoteRef/>
      </w:r>
      <w:r w:rsidRPr="00D17569">
        <w:rPr>
          <w:lang w:val="en-US"/>
        </w:rPr>
        <w:tab/>
      </w:r>
      <w:r w:rsidR="00000000">
        <w:fldChar w:fldCharType="begin"/>
      </w:r>
      <w:r w:rsidR="00000000" w:rsidRPr="00C16EAC">
        <w:rPr>
          <w:lang w:val="en-US"/>
        </w:rPr>
        <w:instrText>HYPERLINK "http://undocs.org/sp/CMW/C/HND/2"</w:instrText>
      </w:r>
      <w:r w:rsidR="00000000">
        <w:fldChar w:fldCharType="separate"/>
      </w:r>
      <w:r w:rsidRPr="00D17569">
        <w:rPr>
          <w:rStyle w:val="Hipervnculo"/>
          <w:lang w:val="en-US"/>
        </w:rPr>
        <w:t>CMW/C/HND/2</w:t>
      </w:r>
      <w:r w:rsidR="00000000">
        <w:rPr>
          <w:rStyle w:val="Hipervnculo"/>
          <w:lang w:val="en-US"/>
        </w:rPr>
        <w:fldChar w:fldCharType="end"/>
      </w:r>
      <w:r w:rsidRPr="00D17569">
        <w:rPr>
          <w:lang w:val="en-US"/>
        </w:rPr>
        <w:t>, párrs. 63 y 64.</w:t>
      </w:r>
    </w:p>
  </w:footnote>
  <w:footnote w:id="12">
    <w:p w14:paraId="23CD1A6E" w14:textId="0BB836A8" w:rsidR="00A517DD" w:rsidRPr="008D3DDF" w:rsidRDefault="00A517DD" w:rsidP="008D3DDF">
      <w:pPr>
        <w:pStyle w:val="Textonotapie"/>
        <w:widowControl w:val="0"/>
        <w:suppressAutoHyphens/>
        <w:rPr>
          <w:lang w:val="es-MX"/>
        </w:rPr>
      </w:pPr>
      <w:r w:rsidRPr="00D17569">
        <w:rPr>
          <w:lang w:val="en-US"/>
        </w:rPr>
        <w:tab/>
      </w:r>
      <w:r>
        <w:rPr>
          <w:rStyle w:val="Refdenotaalpie"/>
        </w:rPr>
        <w:footnoteRef/>
      </w:r>
      <w:r w:rsidRPr="008D3DDF">
        <w:rPr>
          <w:lang w:val="en-US"/>
        </w:rPr>
        <w:tab/>
      </w:r>
      <w:r w:rsidR="00000000">
        <w:fldChar w:fldCharType="begin"/>
      </w:r>
      <w:r w:rsidR="00000000" w:rsidRPr="00C16EAC">
        <w:rPr>
          <w:lang w:val="en-US"/>
        </w:rPr>
        <w:instrText>HYPERLINK "http://undocs.org/sp/CMW/C/HND/CO/1"</w:instrText>
      </w:r>
      <w:r w:rsidR="00000000">
        <w:fldChar w:fldCharType="separate"/>
      </w:r>
      <w:r w:rsidRPr="008D3DDF">
        <w:rPr>
          <w:rStyle w:val="Hipervnculo"/>
          <w:lang w:val="en-US"/>
        </w:rPr>
        <w:t>CMW/C/HND/CO/1</w:t>
      </w:r>
      <w:r w:rsidR="00000000">
        <w:rPr>
          <w:rStyle w:val="Hipervnculo"/>
          <w:lang w:val="en-US"/>
        </w:rPr>
        <w:fldChar w:fldCharType="end"/>
      </w:r>
      <w:r>
        <w:rPr>
          <w:lang w:val="en-US"/>
        </w:rPr>
        <w:t>,</w:t>
      </w:r>
      <w:r w:rsidRPr="008D3DDF">
        <w:rPr>
          <w:lang w:val="en-US"/>
        </w:rPr>
        <w:t xml:space="preserve"> párr. </w:t>
      </w:r>
      <w:r w:rsidRPr="008D3DDF">
        <w:rPr>
          <w:lang w:val="es-MX"/>
        </w:rPr>
        <w:t>55.</w:t>
      </w:r>
    </w:p>
  </w:footnote>
  <w:footnote w:id="13">
    <w:p w14:paraId="15C62514" w14:textId="35156F86" w:rsidR="002249B4" w:rsidRDefault="002249B4" w:rsidP="008D3DDF">
      <w:pPr>
        <w:pStyle w:val="Textonotapie"/>
        <w:widowControl w:val="0"/>
        <w:suppressAutoHyphens/>
      </w:pPr>
      <w:r>
        <w:tab/>
      </w:r>
      <w:r>
        <w:rPr>
          <w:rStyle w:val="Refdenotaalpie"/>
        </w:rPr>
        <w:footnoteRef/>
      </w:r>
      <w:r w:rsidRPr="008D3DDF">
        <w:rPr>
          <w:lang w:val="es-MX"/>
        </w:rPr>
        <w:tab/>
      </w:r>
      <w:r w:rsidR="00827675" w:rsidRPr="008D3DDF">
        <w:rPr>
          <w:i/>
          <w:iCs/>
          <w:lang w:val="es-MX"/>
        </w:rPr>
        <w:t>Ibid</w:t>
      </w:r>
      <w:r w:rsidR="00827675" w:rsidRPr="008D3DDF">
        <w:rPr>
          <w:lang w:val="es-MX"/>
        </w:rPr>
        <w:t>.</w:t>
      </w:r>
      <w:r w:rsidRPr="008D3DDF">
        <w:rPr>
          <w:lang w:val="es-MX"/>
        </w:rPr>
        <w:t xml:space="preserve">, párrs. </w:t>
      </w:r>
      <w:r w:rsidRPr="002249B4">
        <w:t>39 y 41</w:t>
      </w:r>
      <w:r>
        <w:t>.</w:t>
      </w:r>
    </w:p>
  </w:footnote>
  <w:footnote w:id="14">
    <w:p w14:paraId="62AAA23C" w14:textId="12642CC4" w:rsidR="00827675" w:rsidRDefault="00827675" w:rsidP="008D3DDF">
      <w:pPr>
        <w:pStyle w:val="Textonotapie"/>
        <w:widowControl w:val="0"/>
        <w:suppressAutoHyphens/>
      </w:pPr>
      <w:r>
        <w:tab/>
      </w:r>
      <w:r>
        <w:rPr>
          <w:rStyle w:val="Refdenotaalpie"/>
        </w:rPr>
        <w:footnoteRef/>
      </w:r>
      <w:r>
        <w:tab/>
      </w:r>
      <w:hyperlink r:id="rId1" w:history="1">
        <w:r w:rsidRPr="004F5EC1">
          <w:rPr>
            <w:rStyle w:val="Hipervnculo"/>
          </w:rPr>
          <w:t>CMW/C/HND/2</w:t>
        </w:r>
      </w:hyperlink>
      <w:r w:rsidRPr="00827675">
        <w:t>, párrs. 94 y 95</w:t>
      </w:r>
      <w:r>
        <w:t>.</w:t>
      </w:r>
    </w:p>
  </w:footnote>
  <w:footnote w:id="15">
    <w:p w14:paraId="29D89F73" w14:textId="281620D0" w:rsidR="00121BB4" w:rsidRPr="00D17569" w:rsidRDefault="00121BB4" w:rsidP="008D3DDF">
      <w:pPr>
        <w:pStyle w:val="Textonotapie"/>
        <w:widowControl w:val="0"/>
        <w:suppressAutoHyphens/>
        <w:rPr>
          <w:lang w:val="en-US"/>
        </w:rPr>
      </w:pPr>
      <w:r>
        <w:tab/>
      </w:r>
      <w:r>
        <w:rPr>
          <w:rStyle w:val="Refdenotaalpie"/>
        </w:rPr>
        <w:footnoteRef/>
      </w:r>
      <w:r>
        <w:tab/>
      </w:r>
      <w:r w:rsidRPr="008D3DDF">
        <w:rPr>
          <w:i/>
          <w:iCs/>
        </w:rPr>
        <w:t>Ibid</w:t>
      </w:r>
      <w:r>
        <w:t xml:space="preserve">., </w:t>
      </w:r>
      <w:r w:rsidRPr="00121BB4">
        <w:t xml:space="preserve">párrs. </w:t>
      </w:r>
      <w:r w:rsidRPr="00D17569">
        <w:rPr>
          <w:lang w:val="en-US"/>
        </w:rPr>
        <w:t>94 a 97.</w:t>
      </w:r>
    </w:p>
  </w:footnote>
  <w:footnote w:id="16">
    <w:p w14:paraId="4A697AEB" w14:textId="7FCC5597" w:rsidR="00E43F2B" w:rsidRPr="008D3DDF" w:rsidRDefault="00E43F2B" w:rsidP="008D3DDF">
      <w:pPr>
        <w:pStyle w:val="Textonotapie"/>
        <w:widowControl w:val="0"/>
        <w:suppressAutoHyphens/>
        <w:rPr>
          <w:lang w:val="en-GB"/>
        </w:rPr>
      </w:pPr>
      <w:r w:rsidRPr="00D17569">
        <w:rPr>
          <w:lang w:val="en-US"/>
        </w:rPr>
        <w:tab/>
      </w:r>
      <w:r>
        <w:rPr>
          <w:rStyle w:val="Refdenotaalpie"/>
        </w:rPr>
        <w:footnoteRef/>
      </w:r>
      <w:r w:rsidRPr="00D17569">
        <w:rPr>
          <w:lang w:val="en-US"/>
        </w:rPr>
        <w:tab/>
      </w:r>
      <w:r w:rsidR="004452F2" w:rsidRPr="00D17569">
        <w:rPr>
          <w:i/>
          <w:iCs/>
          <w:lang w:val="en-US"/>
        </w:rPr>
        <w:t>Ibid</w:t>
      </w:r>
      <w:r w:rsidR="004452F2" w:rsidRPr="00D17569">
        <w:rPr>
          <w:lang w:val="en-US"/>
        </w:rPr>
        <w:t xml:space="preserve">., </w:t>
      </w:r>
      <w:r w:rsidRPr="00D17569">
        <w:rPr>
          <w:lang w:val="en-US"/>
        </w:rPr>
        <w:t xml:space="preserve">párrs. </w:t>
      </w:r>
      <w:r w:rsidRPr="008D3DDF">
        <w:rPr>
          <w:lang w:val="en-GB"/>
        </w:rPr>
        <w:t>100 a 103</w:t>
      </w:r>
      <w:r w:rsidR="004452F2" w:rsidRPr="008D3DDF">
        <w:rPr>
          <w:lang w:val="en-GB"/>
        </w:rPr>
        <w:t>.</w:t>
      </w:r>
    </w:p>
  </w:footnote>
  <w:footnote w:id="17">
    <w:p w14:paraId="4025B9B2" w14:textId="73F59B95" w:rsidR="0081188C" w:rsidRPr="008D3DDF" w:rsidRDefault="0081188C" w:rsidP="008D3DDF">
      <w:pPr>
        <w:pStyle w:val="Textonotapie"/>
        <w:widowControl w:val="0"/>
        <w:suppressAutoHyphens/>
        <w:rPr>
          <w:lang w:val="en-GB"/>
        </w:rPr>
      </w:pPr>
      <w:r w:rsidRPr="008D3DDF">
        <w:rPr>
          <w:lang w:val="en-GB"/>
        </w:rPr>
        <w:tab/>
      </w:r>
      <w:r>
        <w:rPr>
          <w:rStyle w:val="Refdenotaalpie"/>
        </w:rPr>
        <w:footnoteRef/>
      </w:r>
      <w:r w:rsidRPr="008D3DDF">
        <w:rPr>
          <w:lang w:val="en-US"/>
        </w:rPr>
        <w:tab/>
      </w:r>
      <w:r w:rsidR="00000000">
        <w:fldChar w:fldCharType="begin"/>
      </w:r>
      <w:r w:rsidR="00000000" w:rsidRPr="00C16EAC">
        <w:rPr>
          <w:lang w:val="en-US"/>
        </w:rPr>
        <w:instrText>HYPERLINK "http://undocs.org/sp/CMW/C/HND/CO/1"</w:instrText>
      </w:r>
      <w:r w:rsidR="00000000">
        <w:fldChar w:fldCharType="separate"/>
      </w:r>
      <w:r w:rsidRPr="008D3DDF">
        <w:rPr>
          <w:rStyle w:val="Hipervnculo"/>
          <w:lang w:val="en-US"/>
        </w:rPr>
        <w:t>CMW/C/HND/CO/1</w:t>
      </w:r>
      <w:r w:rsidR="00000000">
        <w:rPr>
          <w:rStyle w:val="Hipervnculo"/>
          <w:lang w:val="en-US"/>
        </w:rPr>
        <w:fldChar w:fldCharType="end"/>
      </w:r>
      <w:r w:rsidRPr="008D3DDF">
        <w:rPr>
          <w:lang w:val="en-US"/>
        </w:rPr>
        <w:t xml:space="preserve">, párr. </w:t>
      </w:r>
      <w:r w:rsidRPr="008D3DDF">
        <w:rPr>
          <w:lang w:val="en-GB"/>
        </w:rPr>
        <w:t>51.</w:t>
      </w:r>
    </w:p>
  </w:footnote>
  <w:footnote w:id="18">
    <w:p w14:paraId="783BBC23" w14:textId="39A14625" w:rsidR="00E54667" w:rsidRPr="008D3DDF" w:rsidRDefault="00E54667" w:rsidP="008D3DDF">
      <w:pPr>
        <w:pStyle w:val="Textonotapie"/>
        <w:widowControl w:val="0"/>
        <w:suppressAutoHyphens/>
        <w:rPr>
          <w:lang w:val="en-GB"/>
        </w:rPr>
      </w:pPr>
      <w:r w:rsidRPr="008D3DDF">
        <w:rPr>
          <w:lang w:val="en-GB"/>
        </w:rPr>
        <w:tab/>
      </w:r>
      <w:r>
        <w:rPr>
          <w:rStyle w:val="Refdenotaalpie"/>
        </w:rPr>
        <w:footnoteRef/>
      </w:r>
      <w:r w:rsidRPr="008D3DDF">
        <w:rPr>
          <w:lang w:val="en-GB"/>
        </w:rPr>
        <w:tab/>
      </w:r>
      <w:r w:rsidR="00000000">
        <w:fldChar w:fldCharType="begin"/>
      </w:r>
      <w:r w:rsidR="00000000" w:rsidRPr="00C16EAC">
        <w:rPr>
          <w:lang w:val="en-US"/>
        </w:rPr>
        <w:instrText>HYPERLINK "http://undocs.org/sp/CMW/C/HND/2"</w:instrText>
      </w:r>
      <w:r w:rsidR="00000000">
        <w:fldChar w:fldCharType="separate"/>
      </w:r>
      <w:r w:rsidRPr="008D3DDF">
        <w:rPr>
          <w:rStyle w:val="Hipervnculo"/>
          <w:lang w:val="en-GB"/>
        </w:rPr>
        <w:t>CMW/C/HND/2</w:t>
      </w:r>
      <w:r w:rsidR="00000000">
        <w:rPr>
          <w:rStyle w:val="Hipervnculo"/>
          <w:lang w:val="en-GB"/>
        </w:rPr>
        <w:fldChar w:fldCharType="end"/>
      </w:r>
      <w:r w:rsidRPr="008D3DDF">
        <w:rPr>
          <w:lang w:val="en-GB"/>
        </w:rPr>
        <w:t>, párr.</w:t>
      </w:r>
      <w:r w:rsidR="007F1256">
        <w:rPr>
          <w:lang w:val="en-GB"/>
        </w:rPr>
        <w:t xml:space="preserve"> </w:t>
      </w:r>
      <w:r w:rsidRPr="008D3DDF">
        <w:rPr>
          <w:lang w:val="en-GB"/>
        </w:rPr>
        <w:t>120.</w:t>
      </w:r>
    </w:p>
  </w:footnote>
  <w:footnote w:id="19">
    <w:p w14:paraId="0F6F1D19" w14:textId="7B0CC3EB" w:rsidR="005436C4" w:rsidRPr="008D3DDF" w:rsidRDefault="005436C4" w:rsidP="008D3DDF">
      <w:pPr>
        <w:pStyle w:val="Textonotapie"/>
        <w:widowControl w:val="0"/>
        <w:suppressAutoHyphens/>
        <w:rPr>
          <w:lang w:val="en-US"/>
        </w:rPr>
      </w:pPr>
      <w:r w:rsidRPr="008D3DDF">
        <w:rPr>
          <w:lang w:val="en-GB"/>
        </w:rPr>
        <w:tab/>
      </w:r>
      <w:r>
        <w:rPr>
          <w:rStyle w:val="Refdenotaalpie"/>
        </w:rPr>
        <w:footnoteRef/>
      </w:r>
      <w:r w:rsidRPr="008D3DDF">
        <w:rPr>
          <w:lang w:val="en-US"/>
        </w:rPr>
        <w:tab/>
      </w:r>
      <w:r w:rsidR="00000000">
        <w:fldChar w:fldCharType="begin"/>
      </w:r>
      <w:r w:rsidR="00000000" w:rsidRPr="00C16EAC">
        <w:rPr>
          <w:lang w:val="en-US"/>
        </w:rPr>
        <w:instrText>HYPERLINK "http://undocs.org/sp/CMW/C/HND/CO/1"</w:instrText>
      </w:r>
      <w:r w:rsidR="00000000">
        <w:fldChar w:fldCharType="separate"/>
      </w:r>
      <w:r w:rsidRPr="008D3DDF">
        <w:rPr>
          <w:rStyle w:val="Hipervnculo"/>
          <w:lang w:val="en-US"/>
        </w:rPr>
        <w:t>CMW/C/HND/CO/1</w:t>
      </w:r>
      <w:r w:rsidR="00000000">
        <w:rPr>
          <w:rStyle w:val="Hipervnculo"/>
          <w:lang w:val="en-US"/>
        </w:rPr>
        <w:fldChar w:fldCharType="end"/>
      </w:r>
      <w:r>
        <w:rPr>
          <w:lang w:val="en-US"/>
        </w:rPr>
        <w:t>,</w:t>
      </w:r>
      <w:r w:rsidRPr="008D3DDF">
        <w:rPr>
          <w:lang w:val="en-US"/>
        </w:rPr>
        <w:t xml:space="preserve"> párr. 33.</w:t>
      </w:r>
    </w:p>
  </w:footnote>
  <w:footnote w:id="20">
    <w:p w14:paraId="0E0A8B67" w14:textId="33C4FD57" w:rsidR="00C56017" w:rsidRDefault="00C56017" w:rsidP="008D3DDF">
      <w:pPr>
        <w:pStyle w:val="Textonotapie"/>
        <w:widowControl w:val="0"/>
        <w:suppressAutoHyphens/>
      </w:pPr>
      <w:r w:rsidRPr="00D17569">
        <w:rPr>
          <w:lang w:val="en-US"/>
        </w:rPr>
        <w:tab/>
      </w:r>
      <w:r>
        <w:rPr>
          <w:rStyle w:val="Refdenotaalpie"/>
        </w:rPr>
        <w:footnoteRef/>
      </w:r>
      <w:r w:rsidRPr="00D17569">
        <w:rPr>
          <w:lang w:val="en-US"/>
        </w:rPr>
        <w:tab/>
      </w:r>
      <w:r w:rsidR="00000000">
        <w:fldChar w:fldCharType="begin"/>
      </w:r>
      <w:r w:rsidR="00000000" w:rsidRPr="00C16EAC">
        <w:rPr>
          <w:lang w:val="en-US"/>
        </w:rPr>
        <w:instrText>HYPERLINK "http://undocs.org/sp/CMW/C/HND/2"</w:instrText>
      </w:r>
      <w:r w:rsidR="00000000">
        <w:fldChar w:fldCharType="separate"/>
      </w:r>
      <w:r w:rsidRPr="00D17569">
        <w:rPr>
          <w:rStyle w:val="Hipervnculo"/>
          <w:lang w:val="en-US"/>
        </w:rPr>
        <w:t>CMW/C/HND/2</w:t>
      </w:r>
      <w:r w:rsidR="00000000">
        <w:rPr>
          <w:rStyle w:val="Hipervnculo"/>
          <w:lang w:val="en-US"/>
        </w:rPr>
        <w:fldChar w:fldCharType="end"/>
      </w:r>
      <w:r w:rsidRPr="00D17569">
        <w:rPr>
          <w:lang w:val="en-US"/>
        </w:rPr>
        <w:t xml:space="preserve">, párr. </w:t>
      </w:r>
      <w:r w:rsidRPr="00C56017">
        <w:t>144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850F1" w14:textId="7102C28A" w:rsidR="001A4396" w:rsidRPr="001A4396" w:rsidRDefault="00053EA6">
    <w:pPr>
      <w:pStyle w:val="Encabezado"/>
    </w:pPr>
    <w:r>
      <w:t>CMW/C/HND/Q/2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A930D" w14:textId="11EE0EF0" w:rsidR="001A4396" w:rsidRPr="00935A0B" w:rsidRDefault="00053EA6" w:rsidP="00935A0B">
    <w:pPr>
      <w:pStyle w:val="Encabezado"/>
      <w:jc w:val="right"/>
      <w:rPr>
        <w:u w:val="double"/>
      </w:rPr>
    </w:pPr>
    <w:r>
      <w:t>CMW/C/HND/Q/2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E20F7"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4A4E23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C1816C8" w:tentative="1">
      <w:start w:val="1"/>
      <w:numFmt w:val="lowerLetter"/>
      <w:lvlText w:val="%2."/>
      <w:lvlJc w:val="left"/>
      <w:pPr>
        <w:tabs>
          <w:tab w:val="num" w:pos="1440"/>
        </w:tabs>
        <w:ind w:left="1440" w:hanging="360"/>
      </w:pPr>
    </w:lvl>
    <w:lvl w:ilvl="2" w:tplc="622A5F08" w:tentative="1">
      <w:start w:val="1"/>
      <w:numFmt w:val="lowerRoman"/>
      <w:lvlText w:val="%3."/>
      <w:lvlJc w:val="right"/>
      <w:pPr>
        <w:tabs>
          <w:tab w:val="num" w:pos="2160"/>
        </w:tabs>
        <w:ind w:left="2160" w:hanging="180"/>
      </w:pPr>
    </w:lvl>
    <w:lvl w:ilvl="3" w:tplc="2A44C6CA" w:tentative="1">
      <w:start w:val="1"/>
      <w:numFmt w:val="decimal"/>
      <w:lvlText w:val="%4."/>
      <w:lvlJc w:val="left"/>
      <w:pPr>
        <w:tabs>
          <w:tab w:val="num" w:pos="2880"/>
        </w:tabs>
        <w:ind w:left="2880" w:hanging="360"/>
      </w:pPr>
    </w:lvl>
    <w:lvl w:ilvl="4" w:tplc="AB323448" w:tentative="1">
      <w:start w:val="1"/>
      <w:numFmt w:val="lowerLetter"/>
      <w:lvlText w:val="%5."/>
      <w:lvlJc w:val="left"/>
      <w:pPr>
        <w:tabs>
          <w:tab w:val="num" w:pos="3600"/>
        </w:tabs>
        <w:ind w:left="3600" w:hanging="360"/>
      </w:pPr>
    </w:lvl>
    <w:lvl w:ilvl="5" w:tplc="F446AB5A" w:tentative="1">
      <w:start w:val="1"/>
      <w:numFmt w:val="lowerRoman"/>
      <w:lvlText w:val="%6."/>
      <w:lvlJc w:val="right"/>
      <w:pPr>
        <w:tabs>
          <w:tab w:val="num" w:pos="4320"/>
        </w:tabs>
        <w:ind w:left="4320" w:hanging="180"/>
      </w:pPr>
    </w:lvl>
    <w:lvl w:ilvl="6" w:tplc="366EA7F0" w:tentative="1">
      <w:start w:val="1"/>
      <w:numFmt w:val="decimal"/>
      <w:lvlText w:val="%7."/>
      <w:lvlJc w:val="left"/>
      <w:pPr>
        <w:tabs>
          <w:tab w:val="num" w:pos="5040"/>
        </w:tabs>
        <w:ind w:left="5040" w:hanging="360"/>
      </w:pPr>
    </w:lvl>
    <w:lvl w:ilvl="7" w:tplc="524A638C" w:tentative="1">
      <w:start w:val="1"/>
      <w:numFmt w:val="lowerLetter"/>
      <w:lvlText w:val="%8."/>
      <w:lvlJc w:val="left"/>
      <w:pPr>
        <w:tabs>
          <w:tab w:val="num" w:pos="5760"/>
        </w:tabs>
        <w:ind w:left="5760" w:hanging="360"/>
      </w:pPr>
    </w:lvl>
    <w:lvl w:ilvl="8" w:tplc="747E8984"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28D2696A">
      <w:start w:val="1"/>
      <w:numFmt w:val="bullet"/>
      <w:pStyle w:val="Bullet2G"/>
      <w:lvlText w:val="•"/>
      <w:lvlJc w:val="left"/>
      <w:pPr>
        <w:tabs>
          <w:tab w:val="num" w:pos="2268"/>
        </w:tabs>
        <w:ind w:left="2268" w:hanging="170"/>
      </w:pPr>
      <w:rPr>
        <w:rFonts w:ascii="Times New Roman" w:hAnsi="Times New Roman" w:cs="Times New Roman" w:hint="default"/>
      </w:rPr>
    </w:lvl>
    <w:lvl w:ilvl="1" w:tplc="7C58A9C6" w:tentative="1">
      <w:start w:val="1"/>
      <w:numFmt w:val="bullet"/>
      <w:lvlText w:val="o"/>
      <w:lvlJc w:val="left"/>
      <w:pPr>
        <w:tabs>
          <w:tab w:val="num" w:pos="1440"/>
        </w:tabs>
        <w:ind w:left="1440" w:hanging="360"/>
      </w:pPr>
      <w:rPr>
        <w:rFonts w:ascii="Courier New" w:hAnsi="Courier New" w:hint="default"/>
      </w:rPr>
    </w:lvl>
    <w:lvl w:ilvl="2" w:tplc="A656AA42" w:tentative="1">
      <w:start w:val="1"/>
      <w:numFmt w:val="bullet"/>
      <w:lvlText w:val=""/>
      <w:lvlJc w:val="left"/>
      <w:pPr>
        <w:tabs>
          <w:tab w:val="num" w:pos="2160"/>
        </w:tabs>
        <w:ind w:left="2160" w:hanging="360"/>
      </w:pPr>
      <w:rPr>
        <w:rFonts w:ascii="Wingdings" w:hAnsi="Wingdings" w:hint="default"/>
      </w:rPr>
    </w:lvl>
    <w:lvl w:ilvl="3" w:tplc="2DD4AA56" w:tentative="1">
      <w:start w:val="1"/>
      <w:numFmt w:val="bullet"/>
      <w:lvlText w:val=""/>
      <w:lvlJc w:val="left"/>
      <w:pPr>
        <w:tabs>
          <w:tab w:val="num" w:pos="2880"/>
        </w:tabs>
        <w:ind w:left="2880" w:hanging="360"/>
      </w:pPr>
      <w:rPr>
        <w:rFonts w:ascii="Symbol" w:hAnsi="Symbol" w:hint="default"/>
      </w:rPr>
    </w:lvl>
    <w:lvl w:ilvl="4" w:tplc="26C60304" w:tentative="1">
      <w:start w:val="1"/>
      <w:numFmt w:val="bullet"/>
      <w:lvlText w:val="o"/>
      <w:lvlJc w:val="left"/>
      <w:pPr>
        <w:tabs>
          <w:tab w:val="num" w:pos="3600"/>
        </w:tabs>
        <w:ind w:left="3600" w:hanging="360"/>
      </w:pPr>
      <w:rPr>
        <w:rFonts w:ascii="Courier New" w:hAnsi="Courier New" w:hint="default"/>
      </w:rPr>
    </w:lvl>
    <w:lvl w:ilvl="5" w:tplc="F1005174" w:tentative="1">
      <w:start w:val="1"/>
      <w:numFmt w:val="bullet"/>
      <w:lvlText w:val=""/>
      <w:lvlJc w:val="left"/>
      <w:pPr>
        <w:tabs>
          <w:tab w:val="num" w:pos="4320"/>
        </w:tabs>
        <w:ind w:left="4320" w:hanging="360"/>
      </w:pPr>
      <w:rPr>
        <w:rFonts w:ascii="Wingdings" w:hAnsi="Wingdings" w:hint="default"/>
      </w:rPr>
    </w:lvl>
    <w:lvl w:ilvl="6" w:tplc="22625DC6" w:tentative="1">
      <w:start w:val="1"/>
      <w:numFmt w:val="bullet"/>
      <w:lvlText w:val=""/>
      <w:lvlJc w:val="left"/>
      <w:pPr>
        <w:tabs>
          <w:tab w:val="num" w:pos="5040"/>
        </w:tabs>
        <w:ind w:left="5040" w:hanging="360"/>
      </w:pPr>
      <w:rPr>
        <w:rFonts w:ascii="Symbol" w:hAnsi="Symbol" w:hint="default"/>
      </w:rPr>
    </w:lvl>
    <w:lvl w:ilvl="7" w:tplc="F5BCBF8E" w:tentative="1">
      <w:start w:val="1"/>
      <w:numFmt w:val="bullet"/>
      <w:lvlText w:val="o"/>
      <w:lvlJc w:val="left"/>
      <w:pPr>
        <w:tabs>
          <w:tab w:val="num" w:pos="5760"/>
        </w:tabs>
        <w:ind w:left="5760" w:hanging="360"/>
      </w:pPr>
      <w:rPr>
        <w:rFonts w:ascii="Courier New" w:hAnsi="Courier New" w:hint="default"/>
      </w:rPr>
    </w:lvl>
    <w:lvl w:ilvl="8" w:tplc="46244B8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671AA614">
      <w:start w:val="1"/>
      <w:numFmt w:val="bullet"/>
      <w:pStyle w:val="Bullet1G"/>
      <w:lvlText w:val="•"/>
      <w:lvlJc w:val="left"/>
      <w:pPr>
        <w:tabs>
          <w:tab w:val="num" w:pos="1701"/>
        </w:tabs>
        <w:ind w:left="1701" w:hanging="170"/>
      </w:pPr>
      <w:rPr>
        <w:rFonts w:ascii="Times New Roman" w:hAnsi="Times New Roman" w:cs="Times New Roman" w:hint="default"/>
      </w:rPr>
    </w:lvl>
    <w:lvl w:ilvl="1" w:tplc="B88C8968" w:tentative="1">
      <w:start w:val="1"/>
      <w:numFmt w:val="bullet"/>
      <w:lvlText w:val="o"/>
      <w:lvlJc w:val="left"/>
      <w:pPr>
        <w:tabs>
          <w:tab w:val="num" w:pos="1440"/>
        </w:tabs>
        <w:ind w:left="1440" w:hanging="360"/>
      </w:pPr>
      <w:rPr>
        <w:rFonts w:ascii="Courier New" w:hAnsi="Courier New" w:hint="default"/>
      </w:rPr>
    </w:lvl>
    <w:lvl w:ilvl="2" w:tplc="FA3A1B4C" w:tentative="1">
      <w:start w:val="1"/>
      <w:numFmt w:val="bullet"/>
      <w:lvlText w:val=""/>
      <w:lvlJc w:val="left"/>
      <w:pPr>
        <w:tabs>
          <w:tab w:val="num" w:pos="2160"/>
        </w:tabs>
        <w:ind w:left="2160" w:hanging="360"/>
      </w:pPr>
      <w:rPr>
        <w:rFonts w:ascii="Wingdings" w:hAnsi="Wingdings" w:hint="default"/>
      </w:rPr>
    </w:lvl>
    <w:lvl w:ilvl="3" w:tplc="82603F18" w:tentative="1">
      <w:start w:val="1"/>
      <w:numFmt w:val="bullet"/>
      <w:lvlText w:val=""/>
      <w:lvlJc w:val="left"/>
      <w:pPr>
        <w:tabs>
          <w:tab w:val="num" w:pos="2880"/>
        </w:tabs>
        <w:ind w:left="2880" w:hanging="360"/>
      </w:pPr>
      <w:rPr>
        <w:rFonts w:ascii="Symbol" w:hAnsi="Symbol" w:hint="default"/>
      </w:rPr>
    </w:lvl>
    <w:lvl w:ilvl="4" w:tplc="C7C2159E" w:tentative="1">
      <w:start w:val="1"/>
      <w:numFmt w:val="bullet"/>
      <w:lvlText w:val="o"/>
      <w:lvlJc w:val="left"/>
      <w:pPr>
        <w:tabs>
          <w:tab w:val="num" w:pos="3600"/>
        </w:tabs>
        <w:ind w:left="3600" w:hanging="360"/>
      </w:pPr>
      <w:rPr>
        <w:rFonts w:ascii="Courier New" w:hAnsi="Courier New" w:hint="default"/>
      </w:rPr>
    </w:lvl>
    <w:lvl w:ilvl="5" w:tplc="C524931A" w:tentative="1">
      <w:start w:val="1"/>
      <w:numFmt w:val="bullet"/>
      <w:lvlText w:val=""/>
      <w:lvlJc w:val="left"/>
      <w:pPr>
        <w:tabs>
          <w:tab w:val="num" w:pos="4320"/>
        </w:tabs>
        <w:ind w:left="4320" w:hanging="360"/>
      </w:pPr>
      <w:rPr>
        <w:rFonts w:ascii="Wingdings" w:hAnsi="Wingdings" w:hint="default"/>
      </w:rPr>
    </w:lvl>
    <w:lvl w:ilvl="6" w:tplc="C88884A4" w:tentative="1">
      <w:start w:val="1"/>
      <w:numFmt w:val="bullet"/>
      <w:lvlText w:val=""/>
      <w:lvlJc w:val="left"/>
      <w:pPr>
        <w:tabs>
          <w:tab w:val="num" w:pos="5040"/>
        </w:tabs>
        <w:ind w:left="5040" w:hanging="360"/>
      </w:pPr>
      <w:rPr>
        <w:rFonts w:ascii="Symbol" w:hAnsi="Symbol" w:hint="default"/>
      </w:rPr>
    </w:lvl>
    <w:lvl w:ilvl="7" w:tplc="FE3CFC8A" w:tentative="1">
      <w:start w:val="1"/>
      <w:numFmt w:val="bullet"/>
      <w:lvlText w:val="o"/>
      <w:lvlJc w:val="left"/>
      <w:pPr>
        <w:tabs>
          <w:tab w:val="num" w:pos="5760"/>
        </w:tabs>
        <w:ind w:left="5760" w:hanging="360"/>
      </w:pPr>
      <w:rPr>
        <w:rFonts w:ascii="Courier New" w:hAnsi="Courier New" w:hint="default"/>
      </w:rPr>
    </w:lvl>
    <w:lvl w:ilvl="8" w:tplc="F860040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8454443">
    <w:abstractNumId w:val="15"/>
  </w:num>
  <w:num w:numId="2" w16cid:durableId="1567762641">
    <w:abstractNumId w:val="14"/>
  </w:num>
  <w:num w:numId="3" w16cid:durableId="326979781">
    <w:abstractNumId w:val="12"/>
  </w:num>
  <w:num w:numId="4" w16cid:durableId="1726250133">
    <w:abstractNumId w:val="13"/>
  </w:num>
  <w:num w:numId="5" w16cid:durableId="1422609021">
    <w:abstractNumId w:val="11"/>
  </w:num>
  <w:num w:numId="6" w16cid:durableId="105195914">
    <w:abstractNumId w:val="9"/>
  </w:num>
  <w:num w:numId="7" w16cid:durableId="269362343">
    <w:abstractNumId w:val="7"/>
  </w:num>
  <w:num w:numId="8" w16cid:durableId="938758308">
    <w:abstractNumId w:val="6"/>
  </w:num>
  <w:num w:numId="9" w16cid:durableId="1189442711">
    <w:abstractNumId w:val="5"/>
  </w:num>
  <w:num w:numId="10" w16cid:durableId="1789466312">
    <w:abstractNumId w:val="4"/>
  </w:num>
  <w:num w:numId="11" w16cid:durableId="471679251">
    <w:abstractNumId w:val="8"/>
  </w:num>
  <w:num w:numId="12" w16cid:durableId="853804025">
    <w:abstractNumId w:val="3"/>
  </w:num>
  <w:num w:numId="13" w16cid:durableId="867715217">
    <w:abstractNumId w:val="2"/>
  </w:num>
  <w:num w:numId="14" w16cid:durableId="1539931755">
    <w:abstractNumId w:val="1"/>
  </w:num>
  <w:num w:numId="15" w16cid:durableId="1874267652">
    <w:abstractNumId w:val="0"/>
  </w:num>
  <w:num w:numId="16" w16cid:durableId="790246774">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F7B"/>
    <w:rsid w:val="00005942"/>
    <w:rsid w:val="000105CC"/>
    <w:rsid w:val="000107AA"/>
    <w:rsid w:val="0001581D"/>
    <w:rsid w:val="00017570"/>
    <w:rsid w:val="0002376F"/>
    <w:rsid w:val="00023FC2"/>
    <w:rsid w:val="00024AA2"/>
    <w:rsid w:val="000272B5"/>
    <w:rsid w:val="000274BE"/>
    <w:rsid w:val="00033EE1"/>
    <w:rsid w:val="00042B72"/>
    <w:rsid w:val="00045D63"/>
    <w:rsid w:val="000473C4"/>
    <w:rsid w:val="00051502"/>
    <w:rsid w:val="00053EA6"/>
    <w:rsid w:val="000558BD"/>
    <w:rsid w:val="00073157"/>
    <w:rsid w:val="00080557"/>
    <w:rsid w:val="000805C4"/>
    <w:rsid w:val="00094E5C"/>
    <w:rsid w:val="000A33DB"/>
    <w:rsid w:val="000A5E43"/>
    <w:rsid w:val="000A7682"/>
    <w:rsid w:val="000B3038"/>
    <w:rsid w:val="000B57E7"/>
    <w:rsid w:val="000B6373"/>
    <w:rsid w:val="000C2861"/>
    <w:rsid w:val="000D033C"/>
    <w:rsid w:val="000D0687"/>
    <w:rsid w:val="000D3664"/>
    <w:rsid w:val="000E2D60"/>
    <w:rsid w:val="000F09DF"/>
    <w:rsid w:val="000F61B2"/>
    <w:rsid w:val="001018BF"/>
    <w:rsid w:val="001075E9"/>
    <w:rsid w:val="00117018"/>
    <w:rsid w:val="001207D3"/>
    <w:rsid w:val="00121BB4"/>
    <w:rsid w:val="00126B92"/>
    <w:rsid w:val="0013067F"/>
    <w:rsid w:val="001350F9"/>
    <w:rsid w:val="0013645D"/>
    <w:rsid w:val="0013723A"/>
    <w:rsid w:val="00141447"/>
    <w:rsid w:val="001432BA"/>
    <w:rsid w:val="001445EA"/>
    <w:rsid w:val="00153980"/>
    <w:rsid w:val="001558DB"/>
    <w:rsid w:val="00162A4C"/>
    <w:rsid w:val="001631FB"/>
    <w:rsid w:val="00163771"/>
    <w:rsid w:val="0017147B"/>
    <w:rsid w:val="00180183"/>
    <w:rsid w:val="0018024D"/>
    <w:rsid w:val="0018649F"/>
    <w:rsid w:val="001878A0"/>
    <w:rsid w:val="00187EAD"/>
    <w:rsid w:val="00190523"/>
    <w:rsid w:val="00196389"/>
    <w:rsid w:val="001A24B1"/>
    <w:rsid w:val="001A4396"/>
    <w:rsid w:val="001A69FB"/>
    <w:rsid w:val="001B3EF6"/>
    <w:rsid w:val="001B49FA"/>
    <w:rsid w:val="001C2435"/>
    <w:rsid w:val="001C6FDF"/>
    <w:rsid w:val="001C7A89"/>
    <w:rsid w:val="001D4360"/>
    <w:rsid w:val="001E37D9"/>
    <w:rsid w:val="001E3DF8"/>
    <w:rsid w:val="001E66DF"/>
    <w:rsid w:val="001E7811"/>
    <w:rsid w:val="001F066F"/>
    <w:rsid w:val="001F35D0"/>
    <w:rsid w:val="001F42EE"/>
    <w:rsid w:val="0020337B"/>
    <w:rsid w:val="0020634A"/>
    <w:rsid w:val="00207A9B"/>
    <w:rsid w:val="00221ED8"/>
    <w:rsid w:val="002249B4"/>
    <w:rsid w:val="00231C56"/>
    <w:rsid w:val="002328EA"/>
    <w:rsid w:val="00233CE8"/>
    <w:rsid w:val="002343A2"/>
    <w:rsid w:val="00250E2C"/>
    <w:rsid w:val="00257AE4"/>
    <w:rsid w:val="00261897"/>
    <w:rsid w:val="002627F0"/>
    <w:rsid w:val="002674D7"/>
    <w:rsid w:val="00270948"/>
    <w:rsid w:val="00271851"/>
    <w:rsid w:val="00277604"/>
    <w:rsid w:val="00281C6F"/>
    <w:rsid w:val="00285206"/>
    <w:rsid w:val="002900BD"/>
    <w:rsid w:val="002903F2"/>
    <w:rsid w:val="00292910"/>
    <w:rsid w:val="002A02C6"/>
    <w:rsid w:val="002A2EFC"/>
    <w:rsid w:val="002A6796"/>
    <w:rsid w:val="002B01E2"/>
    <w:rsid w:val="002B5853"/>
    <w:rsid w:val="002C0E18"/>
    <w:rsid w:val="002C21DB"/>
    <w:rsid w:val="002C3864"/>
    <w:rsid w:val="002D4172"/>
    <w:rsid w:val="002D5AAC"/>
    <w:rsid w:val="002E10D3"/>
    <w:rsid w:val="002F155A"/>
    <w:rsid w:val="002F405F"/>
    <w:rsid w:val="002F50CB"/>
    <w:rsid w:val="00301299"/>
    <w:rsid w:val="003043C7"/>
    <w:rsid w:val="00304F43"/>
    <w:rsid w:val="003056DE"/>
    <w:rsid w:val="003066B6"/>
    <w:rsid w:val="00307FB6"/>
    <w:rsid w:val="00317339"/>
    <w:rsid w:val="00321114"/>
    <w:rsid w:val="00322004"/>
    <w:rsid w:val="003249C7"/>
    <w:rsid w:val="00327A9E"/>
    <w:rsid w:val="0033319F"/>
    <w:rsid w:val="00333FA5"/>
    <w:rsid w:val="0033518D"/>
    <w:rsid w:val="003402C2"/>
    <w:rsid w:val="00344B12"/>
    <w:rsid w:val="003471D4"/>
    <w:rsid w:val="0034751F"/>
    <w:rsid w:val="0035388C"/>
    <w:rsid w:val="003538A1"/>
    <w:rsid w:val="00356BE0"/>
    <w:rsid w:val="00363C61"/>
    <w:rsid w:val="003703F0"/>
    <w:rsid w:val="00376E4E"/>
    <w:rsid w:val="003807BB"/>
    <w:rsid w:val="00381C24"/>
    <w:rsid w:val="003840FE"/>
    <w:rsid w:val="00390A15"/>
    <w:rsid w:val="00395196"/>
    <w:rsid w:val="003958D0"/>
    <w:rsid w:val="00397245"/>
    <w:rsid w:val="003A3CE4"/>
    <w:rsid w:val="003B00E5"/>
    <w:rsid w:val="003B4978"/>
    <w:rsid w:val="003B6273"/>
    <w:rsid w:val="003C4F30"/>
    <w:rsid w:val="003D3526"/>
    <w:rsid w:val="003D3BC1"/>
    <w:rsid w:val="003E0332"/>
    <w:rsid w:val="003E0F04"/>
    <w:rsid w:val="003F3BD7"/>
    <w:rsid w:val="003F43D1"/>
    <w:rsid w:val="003F6FF0"/>
    <w:rsid w:val="00404298"/>
    <w:rsid w:val="00405A04"/>
    <w:rsid w:val="00407B78"/>
    <w:rsid w:val="00410401"/>
    <w:rsid w:val="00414AD1"/>
    <w:rsid w:val="00421EE8"/>
    <w:rsid w:val="0042362D"/>
    <w:rsid w:val="00424203"/>
    <w:rsid w:val="00426BF1"/>
    <w:rsid w:val="004312C5"/>
    <w:rsid w:val="00431729"/>
    <w:rsid w:val="004452DE"/>
    <w:rsid w:val="004452F2"/>
    <w:rsid w:val="00452121"/>
    <w:rsid w:val="004525AD"/>
    <w:rsid w:val="00453D56"/>
    <w:rsid w:val="00454E07"/>
    <w:rsid w:val="00467515"/>
    <w:rsid w:val="00474405"/>
    <w:rsid w:val="0048226E"/>
    <w:rsid w:val="004912B7"/>
    <w:rsid w:val="0049162D"/>
    <w:rsid w:val="00491EC1"/>
    <w:rsid w:val="00493698"/>
    <w:rsid w:val="00495176"/>
    <w:rsid w:val="004A4129"/>
    <w:rsid w:val="004A71D3"/>
    <w:rsid w:val="004B2BE6"/>
    <w:rsid w:val="004B35A0"/>
    <w:rsid w:val="004B3705"/>
    <w:rsid w:val="004B6CC2"/>
    <w:rsid w:val="004C2B82"/>
    <w:rsid w:val="004C4614"/>
    <w:rsid w:val="004D1828"/>
    <w:rsid w:val="004D2203"/>
    <w:rsid w:val="004D472F"/>
    <w:rsid w:val="004D5599"/>
    <w:rsid w:val="004D602F"/>
    <w:rsid w:val="004D60BE"/>
    <w:rsid w:val="004F1307"/>
    <w:rsid w:val="004F5EC1"/>
    <w:rsid w:val="004F79C1"/>
    <w:rsid w:val="0050108D"/>
    <w:rsid w:val="00505167"/>
    <w:rsid w:val="00511F22"/>
    <w:rsid w:val="00513081"/>
    <w:rsid w:val="005140B4"/>
    <w:rsid w:val="005172CB"/>
    <w:rsid w:val="00517901"/>
    <w:rsid w:val="00521DC1"/>
    <w:rsid w:val="005230E4"/>
    <w:rsid w:val="00526683"/>
    <w:rsid w:val="00533B79"/>
    <w:rsid w:val="005436C4"/>
    <w:rsid w:val="0054418F"/>
    <w:rsid w:val="00552EF3"/>
    <w:rsid w:val="00555997"/>
    <w:rsid w:val="00560774"/>
    <w:rsid w:val="00566030"/>
    <w:rsid w:val="005709E0"/>
    <w:rsid w:val="00571C06"/>
    <w:rsid w:val="00572E19"/>
    <w:rsid w:val="00574DE8"/>
    <w:rsid w:val="005873C9"/>
    <w:rsid w:val="005961C8"/>
    <w:rsid w:val="00597ECF"/>
    <w:rsid w:val="005A5B2A"/>
    <w:rsid w:val="005B655B"/>
    <w:rsid w:val="005C44D5"/>
    <w:rsid w:val="005D7914"/>
    <w:rsid w:val="005E14DA"/>
    <w:rsid w:val="005E3813"/>
    <w:rsid w:val="005F0B42"/>
    <w:rsid w:val="005F4677"/>
    <w:rsid w:val="006052CD"/>
    <w:rsid w:val="00612230"/>
    <w:rsid w:val="00615628"/>
    <w:rsid w:val="00620D16"/>
    <w:rsid w:val="00621949"/>
    <w:rsid w:val="006432CA"/>
    <w:rsid w:val="00653FA9"/>
    <w:rsid w:val="006551F6"/>
    <w:rsid w:val="0065791F"/>
    <w:rsid w:val="006678C4"/>
    <w:rsid w:val="00670BC4"/>
    <w:rsid w:val="00681A10"/>
    <w:rsid w:val="006A0A82"/>
    <w:rsid w:val="006A0D7B"/>
    <w:rsid w:val="006B4557"/>
    <w:rsid w:val="006B6F39"/>
    <w:rsid w:val="006C2031"/>
    <w:rsid w:val="006D317E"/>
    <w:rsid w:val="006D3E8C"/>
    <w:rsid w:val="006D461A"/>
    <w:rsid w:val="006D621F"/>
    <w:rsid w:val="006E65FF"/>
    <w:rsid w:val="006F35EE"/>
    <w:rsid w:val="006F474C"/>
    <w:rsid w:val="007021FF"/>
    <w:rsid w:val="00707D34"/>
    <w:rsid w:val="00712895"/>
    <w:rsid w:val="007147E8"/>
    <w:rsid w:val="00717F04"/>
    <w:rsid w:val="0072465D"/>
    <w:rsid w:val="00732070"/>
    <w:rsid w:val="00734551"/>
    <w:rsid w:val="007360BA"/>
    <w:rsid w:val="0074476C"/>
    <w:rsid w:val="0075399E"/>
    <w:rsid w:val="00753F14"/>
    <w:rsid w:val="00754B77"/>
    <w:rsid w:val="00757357"/>
    <w:rsid w:val="00760930"/>
    <w:rsid w:val="00761A4C"/>
    <w:rsid w:val="007666B0"/>
    <w:rsid w:val="00770D65"/>
    <w:rsid w:val="007724F5"/>
    <w:rsid w:val="00772845"/>
    <w:rsid w:val="0077446F"/>
    <w:rsid w:val="00784612"/>
    <w:rsid w:val="00794179"/>
    <w:rsid w:val="007A03BA"/>
    <w:rsid w:val="007A755D"/>
    <w:rsid w:val="007B6DEF"/>
    <w:rsid w:val="007C333F"/>
    <w:rsid w:val="007C37FF"/>
    <w:rsid w:val="007C4717"/>
    <w:rsid w:val="007D2E92"/>
    <w:rsid w:val="007D5131"/>
    <w:rsid w:val="007E072F"/>
    <w:rsid w:val="007E2C6D"/>
    <w:rsid w:val="007E6399"/>
    <w:rsid w:val="007F1256"/>
    <w:rsid w:val="007F45B8"/>
    <w:rsid w:val="007F5FDF"/>
    <w:rsid w:val="007F7844"/>
    <w:rsid w:val="00802F0F"/>
    <w:rsid w:val="00803D1D"/>
    <w:rsid w:val="00805D1C"/>
    <w:rsid w:val="0081188C"/>
    <w:rsid w:val="00815546"/>
    <w:rsid w:val="00816F66"/>
    <w:rsid w:val="008174D6"/>
    <w:rsid w:val="00821D74"/>
    <w:rsid w:val="00825F8D"/>
    <w:rsid w:val="00827675"/>
    <w:rsid w:val="00834B71"/>
    <w:rsid w:val="00837B2A"/>
    <w:rsid w:val="00841CBA"/>
    <w:rsid w:val="0085146E"/>
    <w:rsid w:val="008542B1"/>
    <w:rsid w:val="00863613"/>
    <w:rsid w:val="0086445C"/>
    <w:rsid w:val="00864482"/>
    <w:rsid w:val="00872311"/>
    <w:rsid w:val="00885D78"/>
    <w:rsid w:val="00891763"/>
    <w:rsid w:val="0089303F"/>
    <w:rsid w:val="00894693"/>
    <w:rsid w:val="00897E35"/>
    <w:rsid w:val="008A08D7"/>
    <w:rsid w:val="008A70C9"/>
    <w:rsid w:val="008B3DA7"/>
    <w:rsid w:val="008B6909"/>
    <w:rsid w:val="008C1304"/>
    <w:rsid w:val="008C1CFB"/>
    <w:rsid w:val="008D3DDF"/>
    <w:rsid w:val="008D59EE"/>
    <w:rsid w:val="008F18A7"/>
    <w:rsid w:val="008F3AD7"/>
    <w:rsid w:val="008F6241"/>
    <w:rsid w:val="00903BBA"/>
    <w:rsid w:val="00906890"/>
    <w:rsid w:val="00911BE4"/>
    <w:rsid w:val="009149EE"/>
    <w:rsid w:val="00916B78"/>
    <w:rsid w:val="0093068C"/>
    <w:rsid w:val="009313A2"/>
    <w:rsid w:val="00935A0B"/>
    <w:rsid w:val="009373AD"/>
    <w:rsid w:val="009427A2"/>
    <w:rsid w:val="00950964"/>
    <w:rsid w:val="00951972"/>
    <w:rsid w:val="00953B31"/>
    <w:rsid w:val="00960417"/>
    <w:rsid w:val="009608F3"/>
    <w:rsid w:val="009621F4"/>
    <w:rsid w:val="00963705"/>
    <w:rsid w:val="00966E6C"/>
    <w:rsid w:val="00972854"/>
    <w:rsid w:val="00977821"/>
    <w:rsid w:val="009874BF"/>
    <w:rsid w:val="00991B1D"/>
    <w:rsid w:val="0099300F"/>
    <w:rsid w:val="009E3F06"/>
    <w:rsid w:val="009F08B7"/>
    <w:rsid w:val="009F4527"/>
    <w:rsid w:val="00A00E09"/>
    <w:rsid w:val="00A06468"/>
    <w:rsid w:val="00A079F6"/>
    <w:rsid w:val="00A14FA4"/>
    <w:rsid w:val="00A15EAA"/>
    <w:rsid w:val="00A27130"/>
    <w:rsid w:val="00A278D4"/>
    <w:rsid w:val="00A30715"/>
    <w:rsid w:val="00A32382"/>
    <w:rsid w:val="00A34D5E"/>
    <w:rsid w:val="00A37C17"/>
    <w:rsid w:val="00A42CF7"/>
    <w:rsid w:val="00A44B2D"/>
    <w:rsid w:val="00A517DD"/>
    <w:rsid w:val="00A5211D"/>
    <w:rsid w:val="00A521D2"/>
    <w:rsid w:val="00A53E35"/>
    <w:rsid w:val="00A5420C"/>
    <w:rsid w:val="00A54BF9"/>
    <w:rsid w:val="00A67B60"/>
    <w:rsid w:val="00A711FB"/>
    <w:rsid w:val="00A727E0"/>
    <w:rsid w:val="00A72869"/>
    <w:rsid w:val="00A8230F"/>
    <w:rsid w:val="00A84021"/>
    <w:rsid w:val="00A86F80"/>
    <w:rsid w:val="00A90C2B"/>
    <w:rsid w:val="00A9106B"/>
    <w:rsid w:val="00A917B3"/>
    <w:rsid w:val="00A91D84"/>
    <w:rsid w:val="00A92E1C"/>
    <w:rsid w:val="00A93212"/>
    <w:rsid w:val="00A96043"/>
    <w:rsid w:val="00A97C2B"/>
    <w:rsid w:val="00AA4865"/>
    <w:rsid w:val="00AA62A6"/>
    <w:rsid w:val="00AB0A43"/>
    <w:rsid w:val="00AB3444"/>
    <w:rsid w:val="00AB3D9C"/>
    <w:rsid w:val="00AB4B51"/>
    <w:rsid w:val="00AC1F0D"/>
    <w:rsid w:val="00AC68A3"/>
    <w:rsid w:val="00AC7666"/>
    <w:rsid w:val="00AD0D1B"/>
    <w:rsid w:val="00AD12E5"/>
    <w:rsid w:val="00AD72AB"/>
    <w:rsid w:val="00AE093E"/>
    <w:rsid w:val="00AE1FBB"/>
    <w:rsid w:val="00AE5F3B"/>
    <w:rsid w:val="00AE6966"/>
    <w:rsid w:val="00AF1C6F"/>
    <w:rsid w:val="00AF29A3"/>
    <w:rsid w:val="00AF3A0F"/>
    <w:rsid w:val="00AF5805"/>
    <w:rsid w:val="00B056C4"/>
    <w:rsid w:val="00B10CC7"/>
    <w:rsid w:val="00B24451"/>
    <w:rsid w:val="00B27756"/>
    <w:rsid w:val="00B42DAA"/>
    <w:rsid w:val="00B503EB"/>
    <w:rsid w:val="00B539E7"/>
    <w:rsid w:val="00B563EB"/>
    <w:rsid w:val="00B62458"/>
    <w:rsid w:val="00B6603E"/>
    <w:rsid w:val="00B66D4A"/>
    <w:rsid w:val="00B71761"/>
    <w:rsid w:val="00B80A93"/>
    <w:rsid w:val="00B83324"/>
    <w:rsid w:val="00B85DD5"/>
    <w:rsid w:val="00B9365B"/>
    <w:rsid w:val="00B962DD"/>
    <w:rsid w:val="00B97D46"/>
    <w:rsid w:val="00BA107F"/>
    <w:rsid w:val="00BC3F46"/>
    <w:rsid w:val="00BD33EE"/>
    <w:rsid w:val="00BF2E5C"/>
    <w:rsid w:val="00C01D6E"/>
    <w:rsid w:val="00C03DD3"/>
    <w:rsid w:val="00C03EFB"/>
    <w:rsid w:val="00C106D6"/>
    <w:rsid w:val="00C1583B"/>
    <w:rsid w:val="00C16EAC"/>
    <w:rsid w:val="00C26233"/>
    <w:rsid w:val="00C3758B"/>
    <w:rsid w:val="00C41DEB"/>
    <w:rsid w:val="00C42ECD"/>
    <w:rsid w:val="00C50328"/>
    <w:rsid w:val="00C5204D"/>
    <w:rsid w:val="00C56017"/>
    <w:rsid w:val="00C56C3B"/>
    <w:rsid w:val="00C60F0C"/>
    <w:rsid w:val="00C648C5"/>
    <w:rsid w:val="00C70CBD"/>
    <w:rsid w:val="00C71928"/>
    <w:rsid w:val="00C73DD4"/>
    <w:rsid w:val="00C77478"/>
    <w:rsid w:val="00C805C9"/>
    <w:rsid w:val="00C83B87"/>
    <w:rsid w:val="00C90B47"/>
    <w:rsid w:val="00C92939"/>
    <w:rsid w:val="00C95D27"/>
    <w:rsid w:val="00CA1679"/>
    <w:rsid w:val="00CA3E9B"/>
    <w:rsid w:val="00CB151C"/>
    <w:rsid w:val="00CB1BA3"/>
    <w:rsid w:val="00CB242B"/>
    <w:rsid w:val="00CB2D80"/>
    <w:rsid w:val="00CB5667"/>
    <w:rsid w:val="00CB5DF2"/>
    <w:rsid w:val="00CC3963"/>
    <w:rsid w:val="00CD783A"/>
    <w:rsid w:val="00CE5A1A"/>
    <w:rsid w:val="00CE70ED"/>
    <w:rsid w:val="00CF0A2E"/>
    <w:rsid w:val="00CF24AE"/>
    <w:rsid w:val="00CF38F4"/>
    <w:rsid w:val="00CF55F6"/>
    <w:rsid w:val="00CF5B40"/>
    <w:rsid w:val="00CF65E5"/>
    <w:rsid w:val="00CF6ABE"/>
    <w:rsid w:val="00D04407"/>
    <w:rsid w:val="00D05B9C"/>
    <w:rsid w:val="00D070BD"/>
    <w:rsid w:val="00D17569"/>
    <w:rsid w:val="00D20B0F"/>
    <w:rsid w:val="00D2273B"/>
    <w:rsid w:val="00D3233A"/>
    <w:rsid w:val="00D325B2"/>
    <w:rsid w:val="00D33D63"/>
    <w:rsid w:val="00D44BD1"/>
    <w:rsid w:val="00D46FF5"/>
    <w:rsid w:val="00D4778E"/>
    <w:rsid w:val="00D52793"/>
    <w:rsid w:val="00D62988"/>
    <w:rsid w:val="00D658B3"/>
    <w:rsid w:val="00D708FD"/>
    <w:rsid w:val="00D7481B"/>
    <w:rsid w:val="00D82740"/>
    <w:rsid w:val="00D90138"/>
    <w:rsid w:val="00D95C14"/>
    <w:rsid w:val="00DA06CB"/>
    <w:rsid w:val="00DA1595"/>
    <w:rsid w:val="00DA2BAF"/>
    <w:rsid w:val="00DA2C0B"/>
    <w:rsid w:val="00DA3436"/>
    <w:rsid w:val="00DA49FC"/>
    <w:rsid w:val="00DA5192"/>
    <w:rsid w:val="00DB337B"/>
    <w:rsid w:val="00DC0B64"/>
    <w:rsid w:val="00DC1A78"/>
    <w:rsid w:val="00DC263A"/>
    <w:rsid w:val="00DC5695"/>
    <w:rsid w:val="00DD0024"/>
    <w:rsid w:val="00DD4CEC"/>
    <w:rsid w:val="00DD7A40"/>
    <w:rsid w:val="00DE352E"/>
    <w:rsid w:val="00DE4D74"/>
    <w:rsid w:val="00DE77DD"/>
    <w:rsid w:val="00E21334"/>
    <w:rsid w:val="00E2447E"/>
    <w:rsid w:val="00E31CF9"/>
    <w:rsid w:val="00E31DB5"/>
    <w:rsid w:val="00E43F2B"/>
    <w:rsid w:val="00E50A89"/>
    <w:rsid w:val="00E54667"/>
    <w:rsid w:val="00E565F9"/>
    <w:rsid w:val="00E56EE3"/>
    <w:rsid w:val="00E73F76"/>
    <w:rsid w:val="00E86371"/>
    <w:rsid w:val="00E87A38"/>
    <w:rsid w:val="00E90745"/>
    <w:rsid w:val="00E917E0"/>
    <w:rsid w:val="00EA2C9F"/>
    <w:rsid w:val="00EA5483"/>
    <w:rsid w:val="00EB52B9"/>
    <w:rsid w:val="00EB75BF"/>
    <w:rsid w:val="00EC20AD"/>
    <w:rsid w:val="00EC48DC"/>
    <w:rsid w:val="00ED0BDA"/>
    <w:rsid w:val="00ED21CB"/>
    <w:rsid w:val="00ED3749"/>
    <w:rsid w:val="00ED3E14"/>
    <w:rsid w:val="00ED7154"/>
    <w:rsid w:val="00EE4CE2"/>
    <w:rsid w:val="00EE7654"/>
    <w:rsid w:val="00EF1360"/>
    <w:rsid w:val="00EF3220"/>
    <w:rsid w:val="00F01D6E"/>
    <w:rsid w:val="00F0434F"/>
    <w:rsid w:val="00F0480A"/>
    <w:rsid w:val="00F126A6"/>
    <w:rsid w:val="00F13D43"/>
    <w:rsid w:val="00F15D8F"/>
    <w:rsid w:val="00F17D8F"/>
    <w:rsid w:val="00F2228E"/>
    <w:rsid w:val="00F37BF0"/>
    <w:rsid w:val="00F40B2C"/>
    <w:rsid w:val="00F43810"/>
    <w:rsid w:val="00F445ED"/>
    <w:rsid w:val="00F56289"/>
    <w:rsid w:val="00F60FAE"/>
    <w:rsid w:val="00F63772"/>
    <w:rsid w:val="00F65680"/>
    <w:rsid w:val="00F67AF4"/>
    <w:rsid w:val="00F711E7"/>
    <w:rsid w:val="00F73E86"/>
    <w:rsid w:val="00F76A49"/>
    <w:rsid w:val="00F85EA8"/>
    <w:rsid w:val="00F9377E"/>
    <w:rsid w:val="00F94155"/>
    <w:rsid w:val="00F964B3"/>
    <w:rsid w:val="00FA7E0F"/>
    <w:rsid w:val="00FB3B19"/>
    <w:rsid w:val="00FB420F"/>
    <w:rsid w:val="00FD1F15"/>
    <w:rsid w:val="00FD234F"/>
    <w:rsid w:val="00FD2EF7"/>
    <w:rsid w:val="00FD5275"/>
    <w:rsid w:val="00FE447E"/>
    <w:rsid w:val="00FE5A84"/>
    <w:rsid w:val="00FF772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3A06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A37C1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37C17"/>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A37C1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37C1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37C1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37C1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
    <w:name w:val="E-mail Signature"/>
    <w:basedOn w:val="Normal"/>
    <w:semiHidden/>
    <w:rsid w:val="00D7481B"/>
  </w:style>
  <w:style w:type="character" w:styleId="Hipervnculo">
    <w:name w:val="Hyperlink"/>
    <w:uiPriority w:val="4"/>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3249C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9149EE"/>
    <w:rPr>
      <w:rFonts w:eastAsiaTheme="minorEastAsia"/>
      <w:sz w:val="18"/>
      <w:lang w:val="es-ES" w:eastAsia="es-ES"/>
    </w:rPr>
  </w:style>
  <w:style w:type="character" w:customStyle="1" w:styleId="SingleTxtGChar">
    <w:name w:val="_ Single Txt_G Char"/>
    <w:link w:val="SingleTxtG"/>
    <w:uiPriority w:val="1"/>
    <w:rsid w:val="0017147B"/>
    <w:rPr>
      <w:rFonts w:eastAsiaTheme="minorEastAsia"/>
      <w:lang w:val="es-ES" w:eastAsia="es-ES"/>
    </w:rPr>
  </w:style>
  <w:style w:type="paragraph" w:styleId="Revisin">
    <w:name w:val="Revision"/>
    <w:hidden/>
    <w:uiPriority w:val="99"/>
    <w:semiHidden/>
    <w:rsid w:val="00426BF1"/>
    <w:rPr>
      <w:rFonts w:eastAsiaTheme="minorEastAsia"/>
      <w:lang w:val="es-ES" w:eastAsia="es-ES"/>
    </w:rPr>
  </w:style>
  <w:style w:type="character" w:styleId="Refdecomentario">
    <w:name w:val="annotation reference"/>
    <w:basedOn w:val="Fuentedeprrafopredeter"/>
    <w:semiHidden/>
    <w:unhideWhenUsed/>
    <w:rsid w:val="00D52793"/>
    <w:rPr>
      <w:sz w:val="16"/>
      <w:szCs w:val="16"/>
    </w:rPr>
  </w:style>
  <w:style w:type="paragraph" w:styleId="Textocomentario">
    <w:name w:val="annotation text"/>
    <w:basedOn w:val="Normal"/>
    <w:link w:val="TextocomentarioCar"/>
    <w:unhideWhenUsed/>
    <w:rsid w:val="00D52793"/>
    <w:pPr>
      <w:spacing w:line="240" w:lineRule="auto"/>
    </w:pPr>
  </w:style>
  <w:style w:type="character" w:customStyle="1" w:styleId="TextocomentarioCar">
    <w:name w:val="Texto comentario Car"/>
    <w:basedOn w:val="Fuentedeprrafopredeter"/>
    <w:link w:val="Textocomentario"/>
    <w:rsid w:val="00D52793"/>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D52793"/>
    <w:rPr>
      <w:b/>
      <w:bCs/>
    </w:rPr>
  </w:style>
  <w:style w:type="character" w:customStyle="1" w:styleId="AsuntodelcomentarioCar">
    <w:name w:val="Asunto del comentario Car"/>
    <w:basedOn w:val="TextocomentarioCar"/>
    <w:link w:val="Asuntodelcomentario"/>
    <w:semiHidden/>
    <w:rsid w:val="00D52793"/>
    <w:rPr>
      <w:rFonts w:eastAsiaTheme="minorEastAsia"/>
      <w:b/>
      <w:bCs/>
      <w:lang w:val="es-ES" w:eastAsia="es-ES"/>
    </w:rPr>
  </w:style>
  <w:style w:type="character" w:styleId="Mencinsinresolver">
    <w:name w:val="Unresolved Mention"/>
    <w:basedOn w:val="Fuentedeprrafopredeter"/>
    <w:uiPriority w:val="99"/>
    <w:semiHidden/>
    <w:unhideWhenUsed/>
    <w:rsid w:val="007C4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7779">
      <w:bodyDiv w:val="1"/>
      <w:marLeft w:val="0"/>
      <w:marRight w:val="0"/>
      <w:marTop w:val="0"/>
      <w:marBottom w:val="0"/>
      <w:divBdr>
        <w:top w:val="none" w:sz="0" w:space="0" w:color="auto"/>
        <w:left w:val="none" w:sz="0" w:space="0" w:color="auto"/>
        <w:bottom w:val="none" w:sz="0" w:space="0" w:color="auto"/>
        <w:right w:val="none" w:sz="0" w:space="0" w:color="auto"/>
      </w:divBdr>
    </w:div>
    <w:div w:id="21173646">
      <w:bodyDiv w:val="1"/>
      <w:marLeft w:val="0"/>
      <w:marRight w:val="0"/>
      <w:marTop w:val="0"/>
      <w:marBottom w:val="0"/>
      <w:divBdr>
        <w:top w:val="none" w:sz="0" w:space="0" w:color="auto"/>
        <w:left w:val="none" w:sz="0" w:space="0" w:color="auto"/>
        <w:bottom w:val="none" w:sz="0" w:space="0" w:color="auto"/>
        <w:right w:val="none" w:sz="0" w:space="0" w:color="auto"/>
      </w:divBdr>
    </w:div>
    <w:div w:id="72238126">
      <w:bodyDiv w:val="1"/>
      <w:marLeft w:val="0"/>
      <w:marRight w:val="0"/>
      <w:marTop w:val="0"/>
      <w:marBottom w:val="0"/>
      <w:divBdr>
        <w:top w:val="none" w:sz="0" w:space="0" w:color="auto"/>
        <w:left w:val="none" w:sz="0" w:space="0" w:color="auto"/>
        <w:bottom w:val="none" w:sz="0" w:space="0" w:color="auto"/>
        <w:right w:val="none" w:sz="0" w:space="0" w:color="auto"/>
      </w:divBdr>
    </w:div>
    <w:div w:id="138308986">
      <w:bodyDiv w:val="1"/>
      <w:marLeft w:val="0"/>
      <w:marRight w:val="0"/>
      <w:marTop w:val="0"/>
      <w:marBottom w:val="0"/>
      <w:divBdr>
        <w:top w:val="none" w:sz="0" w:space="0" w:color="auto"/>
        <w:left w:val="none" w:sz="0" w:space="0" w:color="auto"/>
        <w:bottom w:val="none" w:sz="0" w:space="0" w:color="auto"/>
        <w:right w:val="none" w:sz="0" w:space="0" w:color="auto"/>
      </w:divBdr>
    </w:div>
    <w:div w:id="167673233">
      <w:bodyDiv w:val="1"/>
      <w:marLeft w:val="0"/>
      <w:marRight w:val="0"/>
      <w:marTop w:val="0"/>
      <w:marBottom w:val="0"/>
      <w:divBdr>
        <w:top w:val="none" w:sz="0" w:space="0" w:color="auto"/>
        <w:left w:val="none" w:sz="0" w:space="0" w:color="auto"/>
        <w:bottom w:val="none" w:sz="0" w:space="0" w:color="auto"/>
        <w:right w:val="none" w:sz="0" w:space="0" w:color="auto"/>
      </w:divBdr>
    </w:div>
    <w:div w:id="426727955">
      <w:bodyDiv w:val="1"/>
      <w:marLeft w:val="0"/>
      <w:marRight w:val="0"/>
      <w:marTop w:val="0"/>
      <w:marBottom w:val="0"/>
      <w:divBdr>
        <w:top w:val="none" w:sz="0" w:space="0" w:color="auto"/>
        <w:left w:val="none" w:sz="0" w:space="0" w:color="auto"/>
        <w:bottom w:val="none" w:sz="0" w:space="0" w:color="auto"/>
        <w:right w:val="none" w:sz="0" w:space="0" w:color="auto"/>
      </w:divBdr>
    </w:div>
    <w:div w:id="494959221">
      <w:bodyDiv w:val="1"/>
      <w:marLeft w:val="0"/>
      <w:marRight w:val="0"/>
      <w:marTop w:val="0"/>
      <w:marBottom w:val="0"/>
      <w:divBdr>
        <w:top w:val="none" w:sz="0" w:space="0" w:color="auto"/>
        <w:left w:val="none" w:sz="0" w:space="0" w:color="auto"/>
        <w:bottom w:val="none" w:sz="0" w:space="0" w:color="auto"/>
        <w:right w:val="none" w:sz="0" w:space="0" w:color="auto"/>
      </w:divBdr>
    </w:div>
    <w:div w:id="529996974">
      <w:bodyDiv w:val="1"/>
      <w:marLeft w:val="0"/>
      <w:marRight w:val="0"/>
      <w:marTop w:val="0"/>
      <w:marBottom w:val="0"/>
      <w:divBdr>
        <w:top w:val="none" w:sz="0" w:space="0" w:color="auto"/>
        <w:left w:val="none" w:sz="0" w:space="0" w:color="auto"/>
        <w:bottom w:val="none" w:sz="0" w:space="0" w:color="auto"/>
        <w:right w:val="none" w:sz="0" w:space="0" w:color="auto"/>
      </w:divBdr>
    </w:div>
    <w:div w:id="571820671">
      <w:bodyDiv w:val="1"/>
      <w:marLeft w:val="0"/>
      <w:marRight w:val="0"/>
      <w:marTop w:val="0"/>
      <w:marBottom w:val="0"/>
      <w:divBdr>
        <w:top w:val="none" w:sz="0" w:space="0" w:color="auto"/>
        <w:left w:val="none" w:sz="0" w:space="0" w:color="auto"/>
        <w:bottom w:val="none" w:sz="0" w:space="0" w:color="auto"/>
        <w:right w:val="none" w:sz="0" w:space="0" w:color="auto"/>
      </w:divBdr>
    </w:div>
    <w:div w:id="581138907">
      <w:bodyDiv w:val="1"/>
      <w:marLeft w:val="0"/>
      <w:marRight w:val="0"/>
      <w:marTop w:val="0"/>
      <w:marBottom w:val="0"/>
      <w:divBdr>
        <w:top w:val="none" w:sz="0" w:space="0" w:color="auto"/>
        <w:left w:val="none" w:sz="0" w:space="0" w:color="auto"/>
        <w:bottom w:val="none" w:sz="0" w:space="0" w:color="auto"/>
        <w:right w:val="none" w:sz="0" w:space="0" w:color="auto"/>
      </w:divBdr>
    </w:div>
    <w:div w:id="648360908">
      <w:bodyDiv w:val="1"/>
      <w:marLeft w:val="0"/>
      <w:marRight w:val="0"/>
      <w:marTop w:val="0"/>
      <w:marBottom w:val="0"/>
      <w:divBdr>
        <w:top w:val="none" w:sz="0" w:space="0" w:color="auto"/>
        <w:left w:val="none" w:sz="0" w:space="0" w:color="auto"/>
        <w:bottom w:val="none" w:sz="0" w:space="0" w:color="auto"/>
        <w:right w:val="none" w:sz="0" w:space="0" w:color="auto"/>
      </w:divBdr>
    </w:div>
    <w:div w:id="669675431">
      <w:bodyDiv w:val="1"/>
      <w:marLeft w:val="0"/>
      <w:marRight w:val="0"/>
      <w:marTop w:val="0"/>
      <w:marBottom w:val="0"/>
      <w:divBdr>
        <w:top w:val="none" w:sz="0" w:space="0" w:color="auto"/>
        <w:left w:val="none" w:sz="0" w:space="0" w:color="auto"/>
        <w:bottom w:val="none" w:sz="0" w:space="0" w:color="auto"/>
        <w:right w:val="none" w:sz="0" w:space="0" w:color="auto"/>
      </w:divBdr>
    </w:div>
    <w:div w:id="676537456">
      <w:bodyDiv w:val="1"/>
      <w:marLeft w:val="0"/>
      <w:marRight w:val="0"/>
      <w:marTop w:val="0"/>
      <w:marBottom w:val="0"/>
      <w:divBdr>
        <w:top w:val="none" w:sz="0" w:space="0" w:color="auto"/>
        <w:left w:val="none" w:sz="0" w:space="0" w:color="auto"/>
        <w:bottom w:val="none" w:sz="0" w:space="0" w:color="auto"/>
        <w:right w:val="none" w:sz="0" w:space="0" w:color="auto"/>
      </w:divBdr>
    </w:div>
    <w:div w:id="762384714">
      <w:bodyDiv w:val="1"/>
      <w:marLeft w:val="0"/>
      <w:marRight w:val="0"/>
      <w:marTop w:val="0"/>
      <w:marBottom w:val="0"/>
      <w:divBdr>
        <w:top w:val="none" w:sz="0" w:space="0" w:color="auto"/>
        <w:left w:val="none" w:sz="0" w:space="0" w:color="auto"/>
        <w:bottom w:val="none" w:sz="0" w:space="0" w:color="auto"/>
        <w:right w:val="none" w:sz="0" w:space="0" w:color="auto"/>
      </w:divBdr>
    </w:div>
    <w:div w:id="804202521">
      <w:bodyDiv w:val="1"/>
      <w:marLeft w:val="0"/>
      <w:marRight w:val="0"/>
      <w:marTop w:val="0"/>
      <w:marBottom w:val="0"/>
      <w:divBdr>
        <w:top w:val="none" w:sz="0" w:space="0" w:color="auto"/>
        <w:left w:val="none" w:sz="0" w:space="0" w:color="auto"/>
        <w:bottom w:val="none" w:sz="0" w:space="0" w:color="auto"/>
        <w:right w:val="none" w:sz="0" w:space="0" w:color="auto"/>
      </w:divBdr>
    </w:div>
    <w:div w:id="823356208">
      <w:bodyDiv w:val="1"/>
      <w:marLeft w:val="0"/>
      <w:marRight w:val="0"/>
      <w:marTop w:val="0"/>
      <w:marBottom w:val="0"/>
      <w:divBdr>
        <w:top w:val="none" w:sz="0" w:space="0" w:color="auto"/>
        <w:left w:val="none" w:sz="0" w:space="0" w:color="auto"/>
        <w:bottom w:val="none" w:sz="0" w:space="0" w:color="auto"/>
        <w:right w:val="none" w:sz="0" w:space="0" w:color="auto"/>
      </w:divBdr>
    </w:div>
    <w:div w:id="846024125">
      <w:bodyDiv w:val="1"/>
      <w:marLeft w:val="0"/>
      <w:marRight w:val="0"/>
      <w:marTop w:val="0"/>
      <w:marBottom w:val="0"/>
      <w:divBdr>
        <w:top w:val="none" w:sz="0" w:space="0" w:color="auto"/>
        <w:left w:val="none" w:sz="0" w:space="0" w:color="auto"/>
        <w:bottom w:val="none" w:sz="0" w:space="0" w:color="auto"/>
        <w:right w:val="none" w:sz="0" w:space="0" w:color="auto"/>
      </w:divBdr>
    </w:div>
    <w:div w:id="868026712">
      <w:bodyDiv w:val="1"/>
      <w:marLeft w:val="0"/>
      <w:marRight w:val="0"/>
      <w:marTop w:val="0"/>
      <w:marBottom w:val="0"/>
      <w:divBdr>
        <w:top w:val="none" w:sz="0" w:space="0" w:color="auto"/>
        <w:left w:val="none" w:sz="0" w:space="0" w:color="auto"/>
        <w:bottom w:val="none" w:sz="0" w:space="0" w:color="auto"/>
        <w:right w:val="none" w:sz="0" w:space="0" w:color="auto"/>
      </w:divBdr>
    </w:div>
    <w:div w:id="986930814">
      <w:bodyDiv w:val="1"/>
      <w:marLeft w:val="0"/>
      <w:marRight w:val="0"/>
      <w:marTop w:val="0"/>
      <w:marBottom w:val="0"/>
      <w:divBdr>
        <w:top w:val="none" w:sz="0" w:space="0" w:color="auto"/>
        <w:left w:val="none" w:sz="0" w:space="0" w:color="auto"/>
        <w:bottom w:val="none" w:sz="0" w:space="0" w:color="auto"/>
        <w:right w:val="none" w:sz="0" w:space="0" w:color="auto"/>
      </w:divBdr>
    </w:div>
    <w:div w:id="987049834">
      <w:bodyDiv w:val="1"/>
      <w:marLeft w:val="0"/>
      <w:marRight w:val="0"/>
      <w:marTop w:val="0"/>
      <w:marBottom w:val="0"/>
      <w:divBdr>
        <w:top w:val="none" w:sz="0" w:space="0" w:color="auto"/>
        <w:left w:val="none" w:sz="0" w:space="0" w:color="auto"/>
        <w:bottom w:val="none" w:sz="0" w:space="0" w:color="auto"/>
        <w:right w:val="none" w:sz="0" w:space="0" w:color="auto"/>
      </w:divBdr>
    </w:div>
    <w:div w:id="1025443195">
      <w:bodyDiv w:val="1"/>
      <w:marLeft w:val="0"/>
      <w:marRight w:val="0"/>
      <w:marTop w:val="0"/>
      <w:marBottom w:val="0"/>
      <w:divBdr>
        <w:top w:val="none" w:sz="0" w:space="0" w:color="auto"/>
        <w:left w:val="none" w:sz="0" w:space="0" w:color="auto"/>
        <w:bottom w:val="none" w:sz="0" w:space="0" w:color="auto"/>
        <w:right w:val="none" w:sz="0" w:space="0" w:color="auto"/>
      </w:divBdr>
    </w:div>
    <w:div w:id="1032681562">
      <w:bodyDiv w:val="1"/>
      <w:marLeft w:val="0"/>
      <w:marRight w:val="0"/>
      <w:marTop w:val="0"/>
      <w:marBottom w:val="0"/>
      <w:divBdr>
        <w:top w:val="none" w:sz="0" w:space="0" w:color="auto"/>
        <w:left w:val="none" w:sz="0" w:space="0" w:color="auto"/>
        <w:bottom w:val="none" w:sz="0" w:space="0" w:color="auto"/>
        <w:right w:val="none" w:sz="0" w:space="0" w:color="auto"/>
      </w:divBdr>
    </w:div>
    <w:div w:id="1067921273">
      <w:bodyDiv w:val="1"/>
      <w:marLeft w:val="0"/>
      <w:marRight w:val="0"/>
      <w:marTop w:val="0"/>
      <w:marBottom w:val="0"/>
      <w:divBdr>
        <w:top w:val="none" w:sz="0" w:space="0" w:color="auto"/>
        <w:left w:val="none" w:sz="0" w:space="0" w:color="auto"/>
        <w:bottom w:val="none" w:sz="0" w:space="0" w:color="auto"/>
        <w:right w:val="none" w:sz="0" w:space="0" w:color="auto"/>
      </w:divBdr>
    </w:div>
    <w:div w:id="1110202605">
      <w:bodyDiv w:val="1"/>
      <w:marLeft w:val="0"/>
      <w:marRight w:val="0"/>
      <w:marTop w:val="0"/>
      <w:marBottom w:val="0"/>
      <w:divBdr>
        <w:top w:val="none" w:sz="0" w:space="0" w:color="auto"/>
        <w:left w:val="none" w:sz="0" w:space="0" w:color="auto"/>
        <w:bottom w:val="none" w:sz="0" w:space="0" w:color="auto"/>
        <w:right w:val="none" w:sz="0" w:space="0" w:color="auto"/>
      </w:divBdr>
    </w:div>
    <w:div w:id="1144852930">
      <w:bodyDiv w:val="1"/>
      <w:marLeft w:val="0"/>
      <w:marRight w:val="0"/>
      <w:marTop w:val="0"/>
      <w:marBottom w:val="0"/>
      <w:divBdr>
        <w:top w:val="none" w:sz="0" w:space="0" w:color="auto"/>
        <w:left w:val="none" w:sz="0" w:space="0" w:color="auto"/>
        <w:bottom w:val="none" w:sz="0" w:space="0" w:color="auto"/>
        <w:right w:val="none" w:sz="0" w:space="0" w:color="auto"/>
      </w:divBdr>
    </w:div>
    <w:div w:id="1156258741">
      <w:bodyDiv w:val="1"/>
      <w:marLeft w:val="0"/>
      <w:marRight w:val="0"/>
      <w:marTop w:val="0"/>
      <w:marBottom w:val="0"/>
      <w:divBdr>
        <w:top w:val="none" w:sz="0" w:space="0" w:color="auto"/>
        <w:left w:val="none" w:sz="0" w:space="0" w:color="auto"/>
        <w:bottom w:val="none" w:sz="0" w:space="0" w:color="auto"/>
        <w:right w:val="none" w:sz="0" w:space="0" w:color="auto"/>
      </w:divBdr>
    </w:div>
    <w:div w:id="1170674826">
      <w:bodyDiv w:val="1"/>
      <w:marLeft w:val="0"/>
      <w:marRight w:val="0"/>
      <w:marTop w:val="0"/>
      <w:marBottom w:val="0"/>
      <w:divBdr>
        <w:top w:val="none" w:sz="0" w:space="0" w:color="auto"/>
        <w:left w:val="none" w:sz="0" w:space="0" w:color="auto"/>
        <w:bottom w:val="none" w:sz="0" w:space="0" w:color="auto"/>
        <w:right w:val="none" w:sz="0" w:space="0" w:color="auto"/>
      </w:divBdr>
    </w:div>
    <w:div w:id="1205871947">
      <w:bodyDiv w:val="1"/>
      <w:marLeft w:val="0"/>
      <w:marRight w:val="0"/>
      <w:marTop w:val="0"/>
      <w:marBottom w:val="0"/>
      <w:divBdr>
        <w:top w:val="none" w:sz="0" w:space="0" w:color="auto"/>
        <w:left w:val="none" w:sz="0" w:space="0" w:color="auto"/>
        <w:bottom w:val="none" w:sz="0" w:space="0" w:color="auto"/>
        <w:right w:val="none" w:sz="0" w:space="0" w:color="auto"/>
      </w:divBdr>
    </w:div>
    <w:div w:id="1212887936">
      <w:bodyDiv w:val="1"/>
      <w:marLeft w:val="0"/>
      <w:marRight w:val="0"/>
      <w:marTop w:val="0"/>
      <w:marBottom w:val="0"/>
      <w:divBdr>
        <w:top w:val="none" w:sz="0" w:space="0" w:color="auto"/>
        <w:left w:val="none" w:sz="0" w:space="0" w:color="auto"/>
        <w:bottom w:val="none" w:sz="0" w:space="0" w:color="auto"/>
        <w:right w:val="none" w:sz="0" w:space="0" w:color="auto"/>
      </w:divBdr>
    </w:div>
    <w:div w:id="1234045663">
      <w:bodyDiv w:val="1"/>
      <w:marLeft w:val="0"/>
      <w:marRight w:val="0"/>
      <w:marTop w:val="0"/>
      <w:marBottom w:val="0"/>
      <w:divBdr>
        <w:top w:val="none" w:sz="0" w:space="0" w:color="auto"/>
        <w:left w:val="none" w:sz="0" w:space="0" w:color="auto"/>
        <w:bottom w:val="none" w:sz="0" w:space="0" w:color="auto"/>
        <w:right w:val="none" w:sz="0" w:space="0" w:color="auto"/>
      </w:divBdr>
    </w:div>
    <w:div w:id="1292662722">
      <w:bodyDiv w:val="1"/>
      <w:marLeft w:val="0"/>
      <w:marRight w:val="0"/>
      <w:marTop w:val="0"/>
      <w:marBottom w:val="0"/>
      <w:divBdr>
        <w:top w:val="none" w:sz="0" w:space="0" w:color="auto"/>
        <w:left w:val="none" w:sz="0" w:space="0" w:color="auto"/>
        <w:bottom w:val="none" w:sz="0" w:space="0" w:color="auto"/>
        <w:right w:val="none" w:sz="0" w:space="0" w:color="auto"/>
      </w:divBdr>
    </w:div>
    <w:div w:id="1336611364">
      <w:bodyDiv w:val="1"/>
      <w:marLeft w:val="0"/>
      <w:marRight w:val="0"/>
      <w:marTop w:val="0"/>
      <w:marBottom w:val="0"/>
      <w:divBdr>
        <w:top w:val="none" w:sz="0" w:space="0" w:color="auto"/>
        <w:left w:val="none" w:sz="0" w:space="0" w:color="auto"/>
        <w:bottom w:val="none" w:sz="0" w:space="0" w:color="auto"/>
        <w:right w:val="none" w:sz="0" w:space="0" w:color="auto"/>
      </w:divBdr>
    </w:div>
    <w:div w:id="1336686244">
      <w:bodyDiv w:val="1"/>
      <w:marLeft w:val="0"/>
      <w:marRight w:val="0"/>
      <w:marTop w:val="0"/>
      <w:marBottom w:val="0"/>
      <w:divBdr>
        <w:top w:val="none" w:sz="0" w:space="0" w:color="auto"/>
        <w:left w:val="none" w:sz="0" w:space="0" w:color="auto"/>
        <w:bottom w:val="none" w:sz="0" w:space="0" w:color="auto"/>
        <w:right w:val="none" w:sz="0" w:space="0" w:color="auto"/>
      </w:divBdr>
    </w:div>
    <w:div w:id="1349062852">
      <w:bodyDiv w:val="1"/>
      <w:marLeft w:val="0"/>
      <w:marRight w:val="0"/>
      <w:marTop w:val="0"/>
      <w:marBottom w:val="0"/>
      <w:divBdr>
        <w:top w:val="none" w:sz="0" w:space="0" w:color="auto"/>
        <w:left w:val="none" w:sz="0" w:space="0" w:color="auto"/>
        <w:bottom w:val="none" w:sz="0" w:space="0" w:color="auto"/>
        <w:right w:val="none" w:sz="0" w:space="0" w:color="auto"/>
      </w:divBdr>
    </w:div>
    <w:div w:id="1379821163">
      <w:bodyDiv w:val="1"/>
      <w:marLeft w:val="0"/>
      <w:marRight w:val="0"/>
      <w:marTop w:val="0"/>
      <w:marBottom w:val="0"/>
      <w:divBdr>
        <w:top w:val="none" w:sz="0" w:space="0" w:color="auto"/>
        <w:left w:val="none" w:sz="0" w:space="0" w:color="auto"/>
        <w:bottom w:val="none" w:sz="0" w:space="0" w:color="auto"/>
        <w:right w:val="none" w:sz="0" w:space="0" w:color="auto"/>
      </w:divBdr>
    </w:div>
    <w:div w:id="1395157038">
      <w:bodyDiv w:val="1"/>
      <w:marLeft w:val="0"/>
      <w:marRight w:val="0"/>
      <w:marTop w:val="0"/>
      <w:marBottom w:val="0"/>
      <w:divBdr>
        <w:top w:val="none" w:sz="0" w:space="0" w:color="auto"/>
        <w:left w:val="none" w:sz="0" w:space="0" w:color="auto"/>
        <w:bottom w:val="none" w:sz="0" w:space="0" w:color="auto"/>
        <w:right w:val="none" w:sz="0" w:space="0" w:color="auto"/>
      </w:divBdr>
    </w:div>
    <w:div w:id="1402950618">
      <w:bodyDiv w:val="1"/>
      <w:marLeft w:val="0"/>
      <w:marRight w:val="0"/>
      <w:marTop w:val="0"/>
      <w:marBottom w:val="0"/>
      <w:divBdr>
        <w:top w:val="none" w:sz="0" w:space="0" w:color="auto"/>
        <w:left w:val="none" w:sz="0" w:space="0" w:color="auto"/>
        <w:bottom w:val="none" w:sz="0" w:space="0" w:color="auto"/>
        <w:right w:val="none" w:sz="0" w:space="0" w:color="auto"/>
      </w:divBdr>
    </w:div>
    <w:div w:id="1410074061">
      <w:bodyDiv w:val="1"/>
      <w:marLeft w:val="0"/>
      <w:marRight w:val="0"/>
      <w:marTop w:val="0"/>
      <w:marBottom w:val="0"/>
      <w:divBdr>
        <w:top w:val="none" w:sz="0" w:space="0" w:color="auto"/>
        <w:left w:val="none" w:sz="0" w:space="0" w:color="auto"/>
        <w:bottom w:val="none" w:sz="0" w:space="0" w:color="auto"/>
        <w:right w:val="none" w:sz="0" w:space="0" w:color="auto"/>
      </w:divBdr>
    </w:div>
    <w:div w:id="1459641707">
      <w:bodyDiv w:val="1"/>
      <w:marLeft w:val="0"/>
      <w:marRight w:val="0"/>
      <w:marTop w:val="0"/>
      <w:marBottom w:val="0"/>
      <w:divBdr>
        <w:top w:val="none" w:sz="0" w:space="0" w:color="auto"/>
        <w:left w:val="none" w:sz="0" w:space="0" w:color="auto"/>
        <w:bottom w:val="none" w:sz="0" w:space="0" w:color="auto"/>
        <w:right w:val="none" w:sz="0" w:space="0" w:color="auto"/>
      </w:divBdr>
    </w:div>
    <w:div w:id="1527987672">
      <w:bodyDiv w:val="1"/>
      <w:marLeft w:val="0"/>
      <w:marRight w:val="0"/>
      <w:marTop w:val="0"/>
      <w:marBottom w:val="0"/>
      <w:divBdr>
        <w:top w:val="none" w:sz="0" w:space="0" w:color="auto"/>
        <w:left w:val="none" w:sz="0" w:space="0" w:color="auto"/>
        <w:bottom w:val="none" w:sz="0" w:space="0" w:color="auto"/>
        <w:right w:val="none" w:sz="0" w:space="0" w:color="auto"/>
      </w:divBdr>
    </w:div>
    <w:div w:id="1540555448">
      <w:bodyDiv w:val="1"/>
      <w:marLeft w:val="0"/>
      <w:marRight w:val="0"/>
      <w:marTop w:val="0"/>
      <w:marBottom w:val="0"/>
      <w:divBdr>
        <w:top w:val="none" w:sz="0" w:space="0" w:color="auto"/>
        <w:left w:val="none" w:sz="0" w:space="0" w:color="auto"/>
        <w:bottom w:val="none" w:sz="0" w:space="0" w:color="auto"/>
        <w:right w:val="none" w:sz="0" w:space="0" w:color="auto"/>
      </w:divBdr>
    </w:div>
    <w:div w:id="1680505986">
      <w:bodyDiv w:val="1"/>
      <w:marLeft w:val="0"/>
      <w:marRight w:val="0"/>
      <w:marTop w:val="0"/>
      <w:marBottom w:val="0"/>
      <w:divBdr>
        <w:top w:val="none" w:sz="0" w:space="0" w:color="auto"/>
        <w:left w:val="none" w:sz="0" w:space="0" w:color="auto"/>
        <w:bottom w:val="none" w:sz="0" w:space="0" w:color="auto"/>
        <w:right w:val="none" w:sz="0" w:space="0" w:color="auto"/>
      </w:divBdr>
    </w:div>
    <w:div w:id="1713843252">
      <w:bodyDiv w:val="1"/>
      <w:marLeft w:val="0"/>
      <w:marRight w:val="0"/>
      <w:marTop w:val="0"/>
      <w:marBottom w:val="0"/>
      <w:divBdr>
        <w:top w:val="none" w:sz="0" w:space="0" w:color="auto"/>
        <w:left w:val="none" w:sz="0" w:space="0" w:color="auto"/>
        <w:bottom w:val="none" w:sz="0" w:space="0" w:color="auto"/>
        <w:right w:val="none" w:sz="0" w:space="0" w:color="auto"/>
      </w:divBdr>
    </w:div>
    <w:div w:id="1779250443">
      <w:bodyDiv w:val="1"/>
      <w:marLeft w:val="0"/>
      <w:marRight w:val="0"/>
      <w:marTop w:val="0"/>
      <w:marBottom w:val="0"/>
      <w:divBdr>
        <w:top w:val="none" w:sz="0" w:space="0" w:color="auto"/>
        <w:left w:val="none" w:sz="0" w:space="0" w:color="auto"/>
        <w:bottom w:val="none" w:sz="0" w:space="0" w:color="auto"/>
        <w:right w:val="none" w:sz="0" w:space="0" w:color="auto"/>
      </w:divBdr>
    </w:div>
    <w:div w:id="1798722001">
      <w:bodyDiv w:val="1"/>
      <w:marLeft w:val="0"/>
      <w:marRight w:val="0"/>
      <w:marTop w:val="0"/>
      <w:marBottom w:val="0"/>
      <w:divBdr>
        <w:top w:val="none" w:sz="0" w:space="0" w:color="auto"/>
        <w:left w:val="none" w:sz="0" w:space="0" w:color="auto"/>
        <w:bottom w:val="none" w:sz="0" w:space="0" w:color="auto"/>
        <w:right w:val="none" w:sz="0" w:space="0" w:color="auto"/>
      </w:divBdr>
    </w:div>
    <w:div w:id="1819955181">
      <w:bodyDiv w:val="1"/>
      <w:marLeft w:val="0"/>
      <w:marRight w:val="0"/>
      <w:marTop w:val="0"/>
      <w:marBottom w:val="0"/>
      <w:divBdr>
        <w:top w:val="none" w:sz="0" w:space="0" w:color="auto"/>
        <w:left w:val="none" w:sz="0" w:space="0" w:color="auto"/>
        <w:bottom w:val="none" w:sz="0" w:space="0" w:color="auto"/>
        <w:right w:val="none" w:sz="0" w:space="0" w:color="auto"/>
      </w:divBdr>
    </w:div>
    <w:div w:id="1827866660">
      <w:bodyDiv w:val="1"/>
      <w:marLeft w:val="0"/>
      <w:marRight w:val="0"/>
      <w:marTop w:val="0"/>
      <w:marBottom w:val="0"/>
      <w:divBdr>
        <w:top w:val="none" w:sz="0" w:space="0" w:color="auto"/>
        <w:left w:val="none" w:sz="0" w:space="0" w:color="auto"/>
        <w:bottom w:val="none" w:sz="0" w:space="0" w:color="auto"/>
        <w:right w:val="none" w:sz="0" w:space="0" w:color="auto"/>
      </w:divBdr>
    </w:div>
    <w:div w:id="1845971299">
      <w:bodyDiv w:val="1"/>
      <w:marLeft w:val="0"/>
      <w:marRight w:val="0"/>
      <w:marTop w:val="0"/>
      <w:marBottom w:val="0"/>
      <w:divBdr>
        <w:top w:val="none" w:sz="0" w:space="0" w:color="auto"/>
        <w:left w:val="none" w:sz="0" w:space="0" w:color="auto"/>
        <w:bottom w:val="none" w:sz="0" w:space="0" w:color="auto"/>
        <w:right w:val="none" w:sz="0" w:space="0" w:color="auto"/>
      </w:divBdr>
    </w:div>
    <w:div w:id="1877810409">
      <w:bodyDiv w:val="1"/>
      <w:marLeft w:val="0"/>
      <w:marRight w:val="0"/>
      <w:marTop w:val="0"/>
      <w:marBottom w:val="0"/>
      <w:divBdr>
        <w:top w:val="none" w:sz="0" w:space="0" w:color="auto"/>
        <w:left w:val="none" w:sz="0" w:space="0" w:color="auto"/>
        <w:bottom w:val="none" w:sz="0" w:space="0" w:color="auto"/>
        <w:right w:val="none" w:sz="0" w:space="0" w:color="auto"/>
      </w:divBdr>
    </w:div>
    <w:div w:id="1928340507">
      <w:bodyDiv w:val="1"/>
      <w:marLeft w:val="0"/>
      <w:marRight w:val="0"/>
      <w:marTop w:val="0"/>
      <w:marBottom w:val="0"/>
      <w:divBdr>
        <w:top w:val="none" w:sz="0" w:space="0" w:color="auto"/>
        <w:left w:val="none" w:sz="0" w:space="0" w:color="auto"/>
        <w:bottom w:val="none" w:sz="0" w:space="0" w:color="auto"/>
        <w:right w:val="none" w:sz="0" w:space="0" w:color="auto"/>
      </w:divBdr>
    </w:div>
    <w:div w:id="2107459835">
      <w:bodyDiv w:val="1"/>
      <w:marLeft w:val="0"/>
      <w:marRight w:val="0"/>
      <w:marTop w:val="0"/>
      <w:marBottom w:val="0"/>
      <w:divBdr>
        <w:top w:val="none" w:sz="0" w:space="0" w:color="auto"/>
        <w:left w:val="none" w:sz="0" w:space="0" w:color="auto"/>
        <w:bottom w:val="none" w:sz="0" w:space="0" w:color="auto"/>
        <w:right w:val="none" w:sz="0" w:space="0" w:color="auto"/>
      </w:divBdr>
    </w:div>
    <w:div w:id="2108312010">
      <w:bodyDiv w:val="1"/>
      <w:marLeft w:val="0"/>
      <w:marRight w:val="0"/>
      <w:marTop w:val="0"/>
      <w:marBottom w:val="0"/>
      <w:divBdr>
        <w:top w:val="none" w:sz="0" w:space="0" w:color="auto"/>
        <w:left w:val="none" w:sz="0" w:space="0" w:color="auto"/>
        <w:bottom w:val="none" w:sz="0" w:space="0" w:color="auto"/>
        <w:right w:val="none" w:sz="0" w:space="0" w:color="auto"/>
      </w:divBdr>
    </w:div>
    <w:div w:id="2118518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es.news.un.org/es/story/2017/09/1386781" TargetMode="External"/><Relationship Id="rId21" Type="http://schemas.openxmlformats.org/officeDocument/2006/relationships/hyperlink" Target="https://gruposociedadcivilhn.org/" TargetMode="External"/><Relationship Id="rId42" Type="http://schemas.openxmlformats.org/officeDocument/2006/relationships/hyperlink" Target="https://imumi.org/ninez-migrante/" TargetMode="External"/><Relationship Id="rId47" Type="http://schemas.openxmlformats.org/officeDocument/2006/relationships/hyperlink" Target="https://elmundo.hn/coiproden-informa-que-honduras-registro-transito-de-86-mil-ninos-migrantes-en-2024/" TargetMode="External"/><Relationship Id="rId63" Type="http://schemas.openxmlformats.org/officeDocument/2006/relationships/hyperlink" Target="https://proceso.hn/voto-de-hondurenos-en-el-extranjero-una-minoria-en-crecimiento/" TargetMode="External"/><Relationship Id="rId68" Type="http://schemas.openxmlformats.org/officeDocument/2006/relationships/hyperlink" Target="https://www.unodc.org/ropan/es/Noticias/2025_29abril_honduras_trata.html" TargetMode="External"/><Relationship Id="rId16" Type="http://schemas.openxmlformats.org/officeDocument/2006/relationships/hyperlink" Target="https://www.embassypages.com/honduras_es" TargetMode="External"/><Relationship Id="rId11" Type="http://schemas.openxmlformats.org/officeDocument/2006/relationships/image" Target="media/image1.wmf"/><Relationship Id="rId24" Type="http://schemas.openxmlformats.org/officeDocument/2006/relationships/hyperlink" Target="https://tiempo.hn/honduras/2025/11/09/recortan-29-millones-lempiras-presupuesto-conadeh/" TargetMode="External"/><Relationship Id="rId32" Type="http://schemas.openxmlformats.org/officeDocument/2006/relationships/hyperlink" Target="https://nortedecentroamerica.iom.int/es/stories/todos-merecen-ser-tratados-con-dignidad-mejorando-los-sistemas-de-apoyo-migrantes-en-honduras" TargetMode="External"/><Relationship Id="rId37" Type="http://schemas.openxmlformats.org/officeDocument/2006/relationships/hyperlink" Target="https://www.ohchr.org/sites/default/files/Documents/Issues/Migration/GA76thSession/States/Honduras.pdf" TargetMode="External"/><Relationship Id="rId40" Type="http://schemas.openxmlformats.org/officeDocument/2006/relationships/hyperlink" Target="https://pami-guatemala.org/2023/10/12/firma-del-protocolo-binacional-de-proteccion-y-atencion-de-ninas-ninos-y-adolescentes-migrantes-no-acompanados-entre-guatemala-y-honduras/" TargetMode="External"/><Relationship Id="rId45" Type="http://schemas.openxmlformats.org/officeDocument/2006/relationships/hyperlink" Target="https://bing.com/search?q=protecci%c3%b3n+de+ni%c3%b1os+migrantes+en+tr%c3%a1nsito+por+Honduras" TargetMode="External"/><Relationship Id="rId53" Type="http://schemas.openxmlformats.org/officeDocument/2006/relationships/hyperlink" Target="https://www.coalicioncorett.com/noticias/honduras/honduras-lidera-la-lucha-regional-contra-la-trata-de-personas-logros-destacados-de-2024" TargetMode="External"/><Relationship Id="rId58" Type="http://schemas.openxmlformats.org/officeDocument/2006/relationships/hyperlink" Target="https://www.oas.org/ext/es/seguridad/red-prevencion-crimen/Recursos/Biblioteca-Digital/recomendaciones-para-la-mejora-en-las-acciones-de-prevenci243n-protecci243n-persecuci243n-y-judicializaci243n-de-la-trata-de-personas-en-honduras" TargetMode="External"/><Relationship Id="rId66" Type="http://schemas.openxmlformats.org/officeDocument/2006/relationships/hyperlink" Target="https://stampa.hn/2025/10/18/falta-de-reglamento-y-la-debil-red-consular-amenazan-el-voto-de-hondurenos-en-el-exterior/" TargetMode="External"/><Relationship Id="rId74"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laprensa.hn/honduras/honduras-elecciones-primarias-voto-obligatorio-sanciones-constitucion-leyes-CB24702154" TargetMode="External"/><Relationship Id="rId19" Type="http://schemas.openxmlformats.org/officeDocument/2006/relationships/hyperlink" Target="https://rrocm.net/" TargetMode="External"/><Relationship Id="rId14" Type="http://schemas.openxmlformats.org/officeDocument/2006/relationships/hyperlink" Target="https://www.elheraldo.hn/honduras/aprueba-nuevas-condiciones-para-otorgar-residencia-hondurena-extranjeros-DF26896151" TargetMode="External"/><Relationship Id="rId22" Type="http://schemas.openxmlformats.org/officeDocument/2006/relationships/hyperlink" Target="https://www.laprensa.hn/honduras/honduras-proyecto-perspectivas-fortalece-reintegracion-migrante-retornado-KH25118266" TargetMode="External"/><Relationship Id="rId27" Type="http://schemas.openxmlformats.org/officeDocument/2006/relationships/hyperlink" Target="https://nortedecentroamerica.iom.int/es/stories/todos-merecen-ser-tratados-con-dignidad-mejorando-los-sistemas-de-apoyo-migrantes-en-honduras" TargetMode="External"/><Relationship Id="rId30" Type="http://schemas.openxmlformats.org/officeDocument/2006/relationships/hyperlink" Target="https://proceso.hn/conadeh-senala-que-es-necesario-coordinar-acciones-para-darle-trato-digno-a-migrantes-retornados-al-pais/" TargetMode="External"/><Relationship Id="rId35" Type="http://schemas.openxmlformats.org/officeDocument/2006/relationships/hyperlink" Target="https://proceso.hn/paso-de-migrantes-por-honduras-deja-estela-de-denuncias/" TargetMode="External"/><Relationship Id="rId43" Type="http://schemas.openxmlformats.org/officeDocument/2006/relationships/hyperlink" Target="https://www.laprensa.hn/opinion/columnas/un-modelo-demostrativo-e-integral-de-reintegracion-de-ninez-migrante-EB23330026" TargetMode="External"/><Relationship Id="rId48" Type="http://schemas.openxmlformats.org/officeDocument/2006/relationships/hyperlink" Target="https://mntv.hn/mas-de-86-mil-menores-transitaron-por-honduras-en-2024-en-busca-de-rutas-migratorias.html" TargetMode="External"/><Relationship Id="rId56" Type="http://schemas.openxmlformats.org/officeDocument/2006/relationships/hyperlink" Target="https://www.elheraldo.hn/honduras/conadeh-pide-mecanismos-prevenir-trata-personas-explotacion-sexual-migrantes-AB22545555" TargetMode="External"/><Relationship Id="rId64" Type="http://schemas.openxmlformats.org/officeDocument/2006/relationships/hyperlink" Target="https://www.laprensa.hn/honduras/cne-sigue-definir-reglamento-ejercer-voto-exterior-EB27378279" TargetMode="External"/><Relationship Id="rId69" Type="http://schemas.openxmlformats.org/officeDocument/2006/relationships/hyperlink" Target="https://www.mp.hn/publicaciones/ee-uu-reconoce-esfuerzos-de-honduras-en-la-lucha-contra-la-trata-de-personas/"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conadeh.hn/?p=3957"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garciabodan.com/honduras-flexibiliza-requisitos-migratorios-con-nuevo-decreto/" TargetMode="External"/><Relationship Id="rId17" Type="http://schemas.openxmlformats.org/officeDocument/2006/relationships/hyperlink" Target="https://consuladodehondurasenusa.com/" TargetMode="External"/><Relationship Id="rId25" Type="http://schemas.openxmlformats.org/officeDocument/2006/relationships/hyperlink" Target="https://icndigital.com/conadeh-exige-mas-presupuesto-solo-le-asignan-12-lempiras-al-ano-por-cada-hondureno-que-debe-proteger/" TargetMode="External"/><Relationship Id="rId33" Type="http://schemas.openxmlformats.org/officeDocument/2006/relationships/hyperlink" Target="https://www.tunota.com/honduras-hoy/honduras-registro-10-mil-denuncias-violacion-derechos-humanos-2022-2023-02-26" TargetMode="External"/><Relationship Id="rId38" Type="http://schemas.openxmlformats.org/officeDocument/2006/relationships/hyperlink" Target="https://www.ohchr.org/sites/default/files/Documents/Issues/Migration/GA76thSession/States/Honduras.pdf" TargetMode="External"/><Relationship Id="rId46" Type="http://schemas.openxmlformats.org/officeDocument/2006/relationships/hyperlink" Target="https://mixedmigration.org/wp-content/uploads/2023/08/298_Children-migration-Honduras_ES.pdf" TargetMode="External"/><Relationship Id="rId59" Type="http://schemas.openxmlformats.org/officeDocument/2006/relationships/hyperlink" Target="https://proceso.hn/honduras-destaca-en-el-nivel-2-en-la-lucha-contra-la-trata-de-personas-por-sus-avances-en-prevencion-y-atencion-a-victimas/" TargetMode="External"/><Relationship Id="rId67" Type="http://schemas.openxmlformats.org/officeDocument/2006/relationships/hyperlink" Target="https://proceso.hn/honduras-destaca-en-el-nivel-2-en-la-lucha-contra-la-trata-de-personas-por-sus-avances-en-prevencion-y-atencion-a-victimas/" TargetMode="External"/><Relationship Id="rId20" Type="http://schemas.openxmlformats.org/officeDocument/2006/relationships/hyperlink" Target="https://www.sreci.gob.hn/node/1759" TargetMode="External"/><Relationship Id="rId41" Type="http://schemas.openxmlformats.org/officeDocument/2006/relationships/hyperlink" Target="https://www.mp.hn/publicaciones/con-el-compromiso-institucional-del-mp-honduras-y-guatemala-firman-protocolo-binacional-de-proteccion-y-atencion-de-ninas-ninos-y-adolescentes-migrantes-no-acompanados/" TargetMode="External"/><Relationship Id="rId54" Type="http://schemas.openxmlformats.org/officeDocument/2006/relationships/hyperlink" Target="https://un.hn/observatorio-de-la-violencia-en-honduras-comprendiendo-y-enfrentando-la-realidad/" TargetMode="External"/><Relationship Id="rId62" Type="http://schemas.openxmlformats.org/officeDocument/2006/relationships/hyperlink" Target="https://todolegal.app/laws/69-ley-especial-para-el-ejercicio-del-sufragio-de-los-hondurenos-en-el-exterior" TargetMode="External"/><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latitudhn.com/actualidad-nacional/instituto-nacional-de-migracion-anuncia-nueva-ley-de-migracion-y-extranjeria-que-regira-a-partir-de-2025/" TargetMode="External"/><Relationship Id="rId23" Type="http://schemas.openxmlformats.org/officeDocument/2006/relationships/hyperlink" Target="https://www.acnur.org/noticias/avisos/honduras-avanza-en-la-proteccion-de-personas-desplazadas-forzadas" TargetMode="External"/><Relationship Id="rId28" Type="http://schemas.openxmlformats.org/officeDocument/2006/relationships/hyperlink" Target="https://conmigho.sreci.gob.hn/servicios-de-las-oficinas-de-proteccion/" TargetMode="External"/><Relationship Id="rId36" Type="http://schemas.openxmlformats.org/officeDocument/2006/relationships/hyperlink" Target="https://www.radioamerica.hn/conadeh-instituciones-gubernamentales-las-mas-denunciadas-por-violentar-los-derechos-laborales/" TargetMode="External"/><Relationship Id="rId49" Type="http://schemas.openxmlformats.org/officeDocument/2006/relationships/hyperlink" Target="http://sipeg.conadeh.hn/files/2023/12/024/VBuBPTRATA_DE_PERSONAS_EN_HONDURAS-_apartado_informe_articulo..pdf" TargetMode="External"/><Relationship Id="rId57" Type="http://schemas.openxmlformats.org/officeDocument/2006/relationships/hyperlink" Target="https://proceso.hn/honduras-destaca-en-el-nivel-2-en-la-lucha-contra-la-trata-de-personas-por-sus-avances-en-prevencion-y-atencion-a-victimas/" TargetMode="External"/><Relationship Id="rId10" Type="http://schemas.openxmlformats.org/officeDocument/2006/relationships/endnotes" Target="endnotes.xml"/><Relationship Id="rId31" Type="http://schemas.openxmlformats.org/officeDocument/2006/relationships/hyperlink" Target="https://documents.un.org/doc/undoc/gen/g25/122/14/pdf/g2512214.pdf" TargetMode="External"/><Relationship Id="rId44" Type="http://schemas.openxmlformats.org/officeDocument/2006/relationships/hyperlink" Target="https://reliefweb.int/report/honduras/boletin-no12024-adr-proteccion-de-la-ninez-honduras" TargetMode="External"/><Relationship Id="rId52" Type="http://schemas.openxmlformats.org/officeDocument/2006/relationships/hyperlink" Target="https://proceso.hn/honduras-destaca-en-el-nivel-2-en-la-lucha-contra-la-trata-de-personas-por-sus-avances-en-prevencion-y-atencion-a-victimas/" TargetMode="External"/><Relationship Id="rId60" Type="http://schemas.openxmlformats.org/officeDocument/2006/relationships/hyperlink" Target="https://nortedecentroamerica.iom.int/es/stories/todos-merecen-ser-tratados-con-dignidad-mejorando-los-sistemas-de-apoyo-migrantes-en-honduras" TargetMode="External"/><Relationship Id="rId65" Type="http://schemas.openxmlformats.org/officeDocument/2006/relationships/hyperlink" Target="https://www.radiohrn.hn/cne-elecciones-honduras-2025-voto-de-hondurenos-en-el-exterior-2025-10-19"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laprensa.hn/honduras/residencias-migratorias-especiales-honduras-2025-NN26901905" TargetMode="External"/><Relationship Id="rId18" Type="http://schemas.openxmlformats.org/officeDocument/2006/relationships/image" Target="media/image2.png"/><Relationship Id="rId39" Type="http://schemas.openxmlformats.org/officeDocument/2006/relationships/hyperlink" Target="https://sreci.gob.hn/node/1410" TargetMode="External"/><Relationship Id="rId34" Type="http://schemas.openxmlformats.org/officeDocument/2006/relationships/hyperlink" Target="https://www.laprensa.hn/honduras/violaciones-derechos-humanos-2022-honduras-DD12338685" TargetMode="External"/><Relationship Id="rId50" Type="http://schemas.openxmlformats.org/officeDocument/2006/relationships/hyperlink" Target="https://cicesct.gob.hn/wp-content/uploads/2022/04/CICESCT-Informe-anual-2021.pdf" TargetMode="External"/><Relationship Id="rId55" Type="http://schemas.openxmlformats.org/officeDocument/2006/relationships/hyperlink" Target="https://www.undp.org/es/honduras/noticias/avances-y-desafios-en-la-lucha-contra-la-trata-de-personas-en-honduras"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s://www.ohchr.org/Documents/Issues/Migration/GA76thSession/States/Honduras.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MW/C/HND/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2025-11-17T13:50:47+00:00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b59f11c04630f907074f507a52cfb13">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9910e5ddb5bdbb6b6a869f53de1def0b"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C8E777-6F1C-4343-8ADA-BC0621C8FACB}">
  <ds:schemaRefs>
    <ds:schemaRef ds:uri="http://schemas.microsoft.com/sharepoint/v3/contenttype/forms"/>
  </ds:schemaRefs>
</ds:datastoreItem>
</file>

<file path=customXml/itemProps2.xml><?xml version="1.0" encoding="utf-8"?>
<ds:datastoreItem xmlns:ds="http://schemas.openxmlformats.org/officeDocument/2006/customXml" ds:itemID="{0CCA16BB-AAC6-438F-8ABA-93EAF19E0AB3}">
  <ds:schemaRefs>
    <ds:schemaRef ds:uri="http://schemas.openxmlformats.org/officeDocument/2006/bibliography"/>
  </ds:schemaRefs>
</ds:datastoreItem>
</file>

<file path=customXml/itemProps3.xml><?xml version="1.0" encoding="utf-8"?>
<ds:datastoreItem xmlns:ds="http://schemas.openxmlformats.org/officeDocument/2006/customXml" ds:itemID="{2A9A405C-A180-45B6-82A2-9C9E68C41A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D08A44C-9BE8-45EB-B083-BFAE01665DD4}"/>
</file>

<file path=docProps/app.xml><?xml version="1.0" encoding="utf-8"?>
<Properties xmlns="http://schemas.openxmlformats.org/officeDocument/2006/extended-properties" xmlns:vt="http://schemas.openxmlformats.org/officeDocument/2006/docPropsVTypes">
  <Template>Normal</Template>
  <TotalTime>3</TotalTime>
  <Pages>13</Pages>
  <Words>7794</Words>
  <Characters>42873</Characters>
  <Application>Microsoft Office Word</Application>
  <DocSecurity>0</DocSecurity>
  <Lines>357</Lines>
  <Paragraphs>101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CMW/C/HND/Q/R.2</vt:lpstr>
      <vt:lpstr/>
      <vt:lpstr>CAT/C/XXX/Y</vt:lpstr>
    </vt:vector>
  </TitlesOfParts>
  <Company>DCM</Company>
  <LinksUpToDate>false</LinksUpToDate>
  <CharactersWithSpaces>50566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CMW/C/HND/Q/R.2</dc:title>
  <dc:subject/>
  <dc:creator>Gloria</dc:creator>
  <cp:keywords/>
  <cp:lastModifiedBy>Michele Maldonado</cp:lastModifiedBy>
  <cp:revision>4</cp:revision>
  <cp:lastPrinted>2024-06-06T07:54:00Z</cp:lastPrinted>
  <dcterms:created xsi:type="dcterms:W3CDTF">2025-11-14T01:11:00Z</dcterms:created>
  <dcterms:modified xsi:type="dcterms:W3CDTF">2025-11-14T21:36:00Z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Consideration of reports submitted by States  parties under article 73 of the Convention</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0x010100FB4CCA895A17B843B34B7F2324FFA44A</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2 de mayo de 2024</vt:lpwstr>
  </property>
  <property fmtid="{D5CDD505-2E9C-101B-9397-08002B2CF9AE}" pid="12" name="Date-Generated">
    <vt:filetime>2024-05-02T16:29:56Z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List of issues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266000</vt:r8>
  </property>
  <property fmtid="{D5CDD505-2E9C-101B-9397-08002B2CF9AE}" pid="23" name="Org">
    <vt:lpwstr>OHCHR</vt:lpwstr>
  </property>
  <property fmtid="{D5CDD505-2E9C-101B-9397-08002B2CF9AE}" pid="24" name="prep">
    <vt:lpwstr>al segundo informe periódico de Honduras</vt:lpwstr>
  </property>
  <property fmtid="{D5CDD505-2E9C-101B-9397-08002B2CF9AE}" pid="25" name="preps">
    <vt:lpwstr>segundo informe periódico de Honduras</vt:lpwstr>
  </property>
  <property fmtid="{D5CDD505-2E9C-101B-9397-08002B2CF9AE}" pid="26" name="prepw">
    <vt:lpwstr>al segundo informe periódico </vt:lpwstr>
  </property>
  <property fmtid="{D5CDD505-2E9C-101B-9397-08002B2CF9AE}" pid="27" name="prepwc">
    <vt:lpwstr>Segundo informe periódico </vt:lpwstr>
  </property>
  <property fmtid="{D5CDD505-2E9C-101B-9397-08002B2CF9AE}" pid="28" name="prepws">
    <vt:lpwstr>segundo informe periódico</vt:lpwstr>
  </property>
  <property fmtid="{D5CDD505-2E9C-101B-9397-08002B2CF9AE}" pid="29" name="sdate">
    <vt:lpwstr>3 a 14 de junio de 2024</vt:lpwstr>
  </property>
  <property fmtid="{D5CDD505-2E9C-101B-9397-08002B2CF9AE}" pid="30" name="sloca">
    <vt:lpwstr>[Location]</vt:lpwstr>
  </property>
  <property fmtid="{D5CDD505-2E9C-101B-9397-08002B2CF9AE}" pid="31" name="snum">
    <vt:lpwstr>38ᵒ</vt:lpwstr>
  </property>
  <property fmtid="{D5CDD505-2E9C-101B-9397-08002B2CF9AE}" pid="32" name="stitle">
    <vt:lpwstr>[Title]</vt:lpwstr>
  </property>
  <property fmtid="{D5CDD505-2E9C-101B-9397-08002B2CF9AE}" pid="33" name="sym1">
    <vt:lpwstr>C/HND/Q/R.2</vt:lpwstr>
  </property>
  <property fmtid="{D5CDD505-2E9C-101B-9397-08002B2CF9AE}" pid="34" name="symh">
    <vt:lpwstr>CMW/C/HND/Q/R.2</vt:lpwstr>
  </property>
  <property fmtid="{D5CDD505-2E9C-101B-9397-08002B2CF9AE}" pid="35" name="Title">
    <vt:lpwstr>CMW/C/HND/Q/R.2</vt:lpwstr>
  </property>
  <property fmtid="{D5CDD505-2E9C-101B-9397-08002B2CF9AE}" pid="36" name="tlang">
    <vt:lpwstr/>
  </property>
  <property fmtid="{D5CDD505-2E9C-101B-9397-08002B2CF9AE}" pid="37" name="virs">
    <vt:lpwstr>Español, francés e inglés únicamente</vt:lpwstr>
  </property>
</Properties>
</file>