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674F" w:rsidRDefault="0079674F">
      <w:pPr>
        <w:tabs>
          <w:tab w:val="left" w:pos="1134"/>
        </w:tabs>
        <w:ind w:right="285"/>
        <w:jc w:val="both"/>
        <w:rPr>
          <w:rFonts w:ascii="Calibri" w:hAnsi="Calibri" w:cs="Calibri"/>
          <w:b/>
          <w:color w:val="000000"/>
          <w:sz w:val="24"/>
          <w:szCs w:val="24"/>
        </w:rPr>
      </w:pPr>
    </w:p>
    <w:p w:rsidR="0079674F" w:rsidRDefault="009C4678">
      <w:pPr>
        <w:tabs>
          <w:tab w:val="left" w:pos="1134"/>
        </w:tabs>
        <w:ind w:right="285"/>
        <w:jc w:val="both"/>
        <w:rPr>
          <w:rFonts w:ascii="Calibri" w:hAnsi="Calibri" w:cs="Calibri"/>
          <w:b/>
          <w:color w:val="000000"/>
          <w:sz w:val="24"/>
          <w:szCs w:val="24"/>
        </w:rPr>
      </w:pPr>
      <w:r>
        <w:rPr>
          <w:rFonts w:ascii="Calibri" w:hAnsi="Calibri" w:cs="Calibri"/>
          <w:b/>
          <w:color w:val="000000"/>
          <w:sz w:val="24"/>
          <w:szCs w:val="24"/>
        </w:rPr>
        <w:tab/>
      </w:r>
      <w:r>
        <w:rPr>
          <w:rFonts w:ascii="Calibri" w:hAnsi="Calibri" w:cs="Calibri"/>
          <w:b/>
          <w:color w:val="000000"/>
          <w:sz w:val="24"/>
          <w:szCs w:val="24"/>
        </w:rPr>
        <w:tab/>
      </w:r>
      <w:r>
        <w:rPr>
          <w:rFonts w:ascii="Calibri" w:hAnsi="Calibri" w:cs="Calibri"/>
          <w:b/>
          <w:color w:val="000000"/>
          <w:sz w:val="24"/>
          <w:szCs w:val="24"/>
        </w:rPr>
        <w:tab/>
      </w:r>
      <w:r>
        <w:rPr>
          <w:rFonts w:ascii="Calibri" w:hAnsi="Calibri" w:cs="Calibri"/>
          <w:b/>
          <w:color w:val="000000"/>
          <w:sz w:val="24"/>
          <w:szCs w:val="24"/>
        </w:rPr>
        <w:tab/>
      </w:r>
      <w:r>
        <w:rPr>
          <w:rFonts w:ascii="Calibri" w:hAnsi="Calibri" w:cs="Calibri"/>
          <w:b/>
          <w:color w:val="000000"/>
          <w:sz w:val="24"/>
          <w:szCs w:val="24"/>
        </w:rPr>
        <w:tab/>
      </w:r>
      <w:r w:rsidR="00EA1B3E">
        <w:rPr>
          <w:rFonts w:ascii="Calibri" w:eastAsia="Calibri" w:hAnsi="Calibri" w:cs="Calibri"/>
          <w:b/>
          <w:noProof/>
          <w:color w:val="000000"/>
          <w:sz w:val="24"/>
          <w:szCs w:val="24"/>
          <w:lang w:val="en-GB" w:eastAsia="en-GB"/>
        </w:rPr>
        <w:drawing>
          <wp:inline distT="0" distB="0" distL="0" distR="0">
            <wp:extent cx="2514600" cy="258953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28771258" name="image1.png"/>
                    <pic:cNvPicPr/>
                  </pic:nvPicPr>
                  <pic:blipFill>
                    <a:blip r:embed="rId8"/>
                    <a:stretch/>
                  </pic:blipFill>
                  <pic:spPr bwMode="auto">
                    <a:xfrm>
                      <a:off x="0" y="0"/>
                      <a:ext cx="2515042" cy="2589985"/>
                    </a:xfrm>
                    <a:prstGeom prst="rect">
                      <a:avLst/>
                    </a:prstGeom>
                    <a:ln/>
                  </pic:spPr>
                </pic:pic>
              </a:graphicData>
            </a:graphic>
          </wp:inline>
        </w:drawing>
      </w:r>
    </w:p>
    <w:p w:rsidR="0079674F" w:rsidRDefault="0079674F">
      <w:pPr>
        <w:keepNext/>
        <w:keepLines/>
        <w:pBdr>
          <w:top w:val="none" w:sz="0" w:space="0" w:color="000000"/>
          <w:left w:val="none" w:sz="0" w:space="0" w:color="000000"/>
          <w:bottom w:val="none" w:sz="0" w:space="0" w:color="000000"/>
          <w:right w:val="none" w:sz="0" w:space="0" w:color="000000"/>
          <w:between w:val="none" w:sz="0" w:space="0" w:color="000000"/>
        </w:pBdr>
        <w:tabs>
          <w:tab w:val="left" w:pos="1134"/>
        </w:tabs>
        <w:spacing w:before="281" w:after="281"/>
        <w:ind w:right="285"/>
        <w:jc w:val="both"/>
        <w:rPr>
          <w:rFonts w:ascii="Calibri" w:hAnsi="Calibri" w:cs="Calibri"/>
          <w:b/>
          <w:color w:val="000000"/>
          <w:sz w:val="24"/>
          <w:szCs w:val="24"/>
        </w:rPr>
      </w:pPr>
    </w:p>
    <w:p w:rsidR="009C4678" w:rsidRPr="009C4678" w:rsidRDefault="009C4678" w:rsidP="009C4678">
      <w:pPr>
        <w:spacing w:line="240" w:lineRule="auto"/>
        <w:ind w:left="-567" w:right="-612"/>
        <w:jc w:val="center"/>
        <w:rPr>
          <w:rFonts w:asciiTheme="minorHAnsi" w:hAnsiTheme="minorHAnsi" w:cstheme="minorHAnsi"/>
          <w:b/>
          <w:bCs/>
          <w:color w:val="002060"/>
          <w:sz w:val="36"/>
          <w:szCs w:val="36"/>
          <w:lang w:val="en-GB"/>
        </w:rPr>
      </w:pPr>
      <w:r w:rsidRPr="009C4678">
        <w:rPr>
          <w:rFonts w:asciiTheme="minorHAnsi" w:hAnsiTheme="minorHAnsi" w:cstheme="minorHAnsi"/>
          <w:b/>
          <w:bCs/>
          <w:color w:val="002060"/>
          <w:sz w:val="36"/>
          <w:szCs w:val="36"/>
          <w:lang w:val="en-GB"/>
        </w:rPr>
        <w:t>Submission to the Committee against Torture</w:t>
      </w:r>
    </w:p>
    <w:p w:rsidR="009C4678" w:rsidRPr="009C4678" w:rsidRDefault="009C4678" w:rsidP="009C4678">
      <w:pPr>
        <w:spacing w:line="240" w:lineRule="auto"/>
        <w:ind w:left="-567" w:right="-612"/>
        <w:jc w:val="center"/>
        <w:rPr>
          <w:rFonts w:asciiTheme="minorHAnsi" w:hAnsiTheme="minorHAnsi" w:cstheme="minorHAnsi"/>
          <w:b/>
          <w:bCs/>
          <w:color w:val="002060"/>
          <w:sz w:val="36"/>
          <w:szCs w:val="36"/>
          <w:lang w:val="en-GB"/>
        </w:rPr>
      </w:pPr>
      <w:r w:rsidRPr="009C4678">
        <w:rPr>
          <w:rFonts w:asciiTheme="minorHAnsi" w:hAnsiTheme="minorHAnsi" w:cstheme="minorHAnsi"/>
          <w:b/>
          <w:bCs/>
          <w:color w:val="002060"/>
          <w:sz w:val="36"/>
          <w:szCs w:val="36"/>
          <w:lang w:val="en-GB"/>
        </w:rPr>
        <w:t>80th Session (08 - 26 July 2024)</w:t>
      </w:r>
    </w:p>
    <w:p w:rsidR="009C4678" w:rsidRPr="009C4678" w:rsidRDefault="009C4678" w:rsidP="009C4678">
      <w:pPr>
        <w:spacing w:line="259" w:lineRule="auto"/>
        <w:rPr>
          <w:rFonts w:asciiTheme="minorHAnsi" w:eastAsia="Times New Roman" w:hAnsiTheme="minorHAnsi" w:cstheme="minorHAnsi"/>
          <w:color w:val="000000"/>
          <w:sz w:val="36"/>
          <w:szCs w:val="36"/>
          <w:lang w:val="en-GB" w:eastAsia="en-GB"/>
        </w:rPr>
      </w:pPr>
      <w:r w:rsidRPr="009C4678">
        <w:rPr>
          <w:rFonts w:asciiTheme="minorHAnsi" w:hAnsiTheme="minorHAnsi" w:cstheme="minorHAnsi"/>
          <w:b/>
          <w:bCs/>
          <w:color w:val="002060"/>
          <w:sz w:val="36"/>
          <w:szCs w:val="36"/>
          <w:lang w:val="en-GB"/>
        </w:rPr>
        <w:t>For the consideration of the T</w:t>
      </w:r>
      <w:r w:rsidRPr="009C4678">
        <w:rPr>
          <w:rFonts w:asciiTheme="minorHAnsi" w:eastAsia="Times New Roman" w:hAnsiTheme="minorHAnsi" w:cstheme="minorHAnsi"/>
          <w:b/>
          <w:color w:val="000000"/>
          <w:sz w:val="36"/>
          <w:szCs w:val="36"/>
          <w:lang w:val="en-GB" w:eastAsia="en-GB"/>
        </w:rPr>
        <w:t>ürkiye</w:t>
      </w:r>
      <w:r w:rsidRPr="009C4678">
        <w:rPr>
          <w:rFonts w:asciiTheme="minorHAnsi" w:hAnsiTheme="minorHAnsi" w:cstheme="minorHAnsi"/>
          <w:b/>
          <w:bCs/>
          <w:color w:val="002060"/>
          <w:sz w:val="36"/>
          <w:szCs w:val="36"/>
          <w:lang w:val="en-GB"/>
        </w:rPr>
        <w:t>'s fifth periodic report</w:t>
      </w:r>
    </w:p>
    <w:p w:rsidR="0079674F" w:rsidRDefault="0079674F">
      <w:pPr>
        <w:tabs>
          <w:tab w:val="left" w:pos="1134"/>
        </w:tabs>
        <w:ind w:right="285"/>
        <w:jc w:val="center"/>
        <w:rPr>
          <w:rFonts w:ascii="Calibri" w:hAnsi="Calibri" w:cs="Calibri"/>
          <w:sz w:val="40"/>
          <w:szCs w:val="40"/>
        </w:rPr>
      </w:pPr>
    </w:p>
    <w:p w:rsidR="0079674F" w:rsidRDefault="0079674F">
      <w:pPr>
        <w:tabs>
          <w:tab w:val="left" w:pos="1134"/>
        </w:tabs>
        <w:ind w:right="285"/>
        <w:jc w:val="center"/>
        <w:rPr>
          <w:rFonts w:ascii="Calibri" w:hAnsi="Calibri" w:cs="Calibri"/>
          <w:sz w:val="36"/>
          <w:szCs w:val="36"/>
        </w:rPr>
      </w:pPr>
    </w:p>
    <w:p w:rsidR="0079674F" w:rsidRDefault="0079674F">
      <w:pPr>
        <w:tabs>
          <w:tab w:val="left" w:pos="1134"/>
        </w:tabs>
        <w:ind w:right="285"/>
        <w:jc w:val="center"/>
        <w:rPr>
          <w:rFonts w:ascii="Calibri" w:hAnsi="Calibri" w:cs="Calibri"/>
          <w:sz w:val="36"/>
          <w:szCs w:val="36"/>
        </w:rPr>
      </w:pPr>
    </w:p>
    <w:p w:rsidR="0079674F" w:rsidRDefault="00EA1B3E">
      <w:pPr>
        <w:tabs>
          <w:tab w:val="left" w:pos="1134"/>
        </w:tabs>
        <w:ind w:right="285"/>
        <w:jc w:val="center"/>
        <w:rPr>
          <w:rFonts w:ascii="Calibri" w:hAnsi="Calibri" w:cs="Calibri"/>
          <w:sz w:val="36"/>
          <w:szCs w:val="36"/>
        </w:rPr>
      </w:pPr>
      <w:r>
        <w:rPr>
          <w:rFonts w:ascii="Calibri" w:eastAsia="Calibri" w:hAnsi="Calibri" w:cs="Calibri"/>
          <w:color w:val="002060"/>
          <w:sz w:val="36"/>
          <w:szCs w:val="36"/>
        </w:rPr>
        <w:t>Security Studies and Rule of Law</w:t>
      </w:r>
      <w:bookmarkStart w:id="0" w:name="_GoBack"/>
      <w:bookmarkEnd w:id="0"/>
    </w:p>
    <w:p w:rsidR="0079674F" w:rsidRDefault="00EA1B3E">
      <w:pPr>
        <w:tabs>
          <w:tab w:val="left" w:pos="1134"/>
        </w:tabs>
        <w:ind w:right="285"/>
        <w:jc w:val="center"/>
        <w:rPr>
          <w:rFonts w:ascii="Calibri" w:hAnsi="Calibri" w:cs="Calibri"/>
          <w:sz w:val="36"/>
          <w:szCs w:val="36"/>
        </w:rPr>
      </w:pPr>
      <w:r>
        <w:rPr>
          <w:rFonts w:ascii="Calibri" w:eastAsia="Calibri" w:hAnsi="Calibri" w:cs="Calibri"/>
          <w:color w:val="002060"/>
          <w:sz w:val="36"/>
          <w:szCs w:val="36"/>
        </w:rPr>
        <w:t>Report-1</w:t>
      </w:r>
    </w:p>
    <w:p w:rsidR="0079674F" w:rsidRDefault="00EA1B3E">
      <w:pPr>
        <w:tabs>
          <w:tab w:val="left" w:pos="1134"/>
        </w:tabs>
        <w:ind w:right="285"/>
        <w:jc w:val="center"/>
        <w:rPr>
          <w:rFonts w:ascii="Calibri" w:hAnsi="Calibri" w:cs="Calibri"/>
          <w:sz w:val="36"/>
          <w:szCs w:val="36"/>
        </w:rPr>
      </w:pPr>
      <w:r>
        <w:rPr>
          <w:rFonts w:ascii="Calibri" w:eastAsia="Calibri" w:hAnsi="Calibri" w:cs="Calibri"/>
          <w:color w:val="002060"/>
          <w:sz w:val="36"/>
          <w:szCs w:val="36"/>
        </w:rPr>
        <w:t>June 2024</w:t>
      </w:r>
    </w:p>
    <w:p w:rsidR="0079674F" w:rsidRDefault="0079674F">
      <w:pPr>
        <w:tabs>
          <w:tab w:val="left" w:pos="1134"/>
        </w:tabs>
        <w:ind w:right="285"/>
        <w:jc w:val="center"/>
        <w:rPr>
          <w:rFonts w:ascii="Calibri" w:hAnsi="Calibri" w:cs="Calibri"/>
          <w:b/>
          <w:color w:val="002060"/>
          <w:sz w:val="24"/>
          <w:szCs w:val="24"/>
        </w:rPr>
      </w:pPr>
    </w:p>
    <w:p w:rsidR="00C97978" w:rsidRPr="00C97978" w:rsidRDefault="00C97978" w:rsidP="00C97978">
      <w:pPr>
        <w:ind w:left="-567" w:right="-612"/>
        <w:jc w:val="center"/>
        <w:rPr>
          <w:rFonts w:ascii="Calibri" w:hAnsi="Calibri" w:cs="Calibri"/>
          <w:b/>
          <w:color w:val="002060"/>
        </w:rPr>
      </w:pPr>
      <w:r w:rsidRPr="00C97978">
        <w:rPr>
          <w:rFonts w:ascii="Calibri" w:hAnsi="Calibri" w:cs="Calibri"/>
          <w:b/>
          <w:color w:val="002060"/>
        </w:rPr>
        <w:t>Security Studies and Rule of Law Association P.O. Box, 1200 Geneva/Switzerland</w:t>
      </w:r>
    </w:p>
    <w:p w:rsidR="00C97978" w:rsidRPr="00C97978" w:rsidRDefault="00C97978" w:rsidP="00C97978">
      <w:pPr>
        <w:ind w:left="-567" w:right="-612"/>
        <w:jc w:val="center"/>
        <w:rPr>
          <w:rFonts w:ascii="Calibri" w:hAnsi="Calibri" w:cs="Calibri"/>
          <w:b/>
        </w:rPr>
      </w:pPr>
      <w:r w:rsidRPr="00C97978">
        <w:rPr>
          <w:rFonts w:ascii="Calibri" w:hAnsi="Calibri" w:cs="Calibri"/>
          <w:b/>
        </w:rPr>
        <w:t xml:space="preserve">Web site: </w:t>
      </w:r>
      <w:r w:rsidRPr="00C97978">
        <w:rPr>
          <w:rFonts w:ascii="Calibri" w:hAnsi="Calibri" w:cs="Calibri"/>
          <w:b/>
          <w:color w:val="002060"/>
        </w:rPr>
        <w:t>www.srlswiss.com</w:t>
      </w:r>
      <w:r w:rsidRPr="00C97978">
        <w:rPr>
          <w:rFonts w:ascii="Calibri" w:hAnsi="Calibri" w:cs="Calibri"/>
          <w:b/>
        </w:rPr>
        <w:t xml:space="preserve"> - E-mail: </w:t>
      </w:r>
      <w:hyperlink r:id="rId9" w:history="1">
        <w:r w:rsidRPr="00C97978">
          <w:rPr>
            <w:rStyle w:val="Kpr"/>
            <w:rFonts w:ascii="Calibri" w:hAnsi="Calibri" w:cs="Calibri"/>
            <w:b/>
            <w:color w:val="002060"/>
          </w:rPr>
          <w:t>info@srlswiss.com</w:t>
        </w:r>
      </w:hyperlink>
    </w:p>
    <w:p w:rsidR="0079674F" w:rsidRDefault="0079674F">
      <w:pPr>
        <w:tabs>
          <w:tab w:val="left" w:pos="1134"/>
        </w:tabs>
        <w:ind w:right="285"/>
        <w:jc w:val="both"/>
        <w:rPr>
          <w:rFonts w:ascii="Calibri" w:hAnsi="Calibri" w:cs="Calibri"/>
          <w:b/>
          <w:color w:val="002060"/>
          <w:sz w:val="24"/>
          <w:szCs w:val="24"/>
        </w:rPr>
      </w:pPr>
    </w:p>
    <w:p w:rsidR="0079674F" w:rsidRDefault="0079674F">
      <w:pPr>
        <w:tabs>
          <w:tab w:val="left" w:pos="1134"/>
        </w:tabs>
        <w:ind w:right="285"/>
        <w:jc w:val="both"/>
        <w:rPr>
          <w:rFonts w:ascii="Calibri" w:hAnsi="Calibri" w:cs="Calibri"/>
          <w:b/>
          <w:color w:val="002060"/>
          <w:sz w:val="24"/>
          <w:szCs w:val="24"/>
        </w:rPr>
      </w:pPr>
    </w:p>
    <w:p w:rsidR="0079674F" w:rsidRDefault="0079674F">
      <w:pPr>
        <w:tabs>
          <w:tab w:val="left" w:pos="1134"/>
        </w:tabs>
        <w:ind w:right="285"/>
        <w:jc w:val="both"/>
        <w:rPr>
          <w:rFonts w:ascii="Calibri" w:hAnsi="Calibri" w:cs="Calibri"/>
          <w:b/>
          <w:bCs/>
          <w:color w:val="002060"/>
          <w:sz w:val="24"/>
          <w:szCs w:val="24"/>
        </w:rPr>
      </w:pPr>
    </w:p>
    <w:p w:rsidR="0079674F" w:rsidRDefault="00EA1B3E">
      <w:pPr>
        <w:keepNext/>
        <w:keepLines/>
        <w:pBdr>
          <w:top w:val="none" w:sz="0" w:space="0" w:color="000000"/>
          <w:left w:val="none" w:sz="0" w:space="0" w:color="000000"/>
          <w:bottom w:val="none" w:sz="0" w:space="0" w:color="000000"/>
          <w:right w:val="none" w:sz="0" w:space="0" w:color="000000"/>
          <w:between w:val="none" w:sz="0" w:space="0" w:color="000000"/>
        </w:pBdr>
        <w:tabs>
          <w:tab w:val="left" w:pos="1134"/>
        </w:tabs>
        <w:spacing w:before="480"/>
        <w:ind w:right="285"/>
        <w:jc w:val="both"/>
        <w:rPr>
          <w:rFonts w:ascii="Calibri" w:hAnsi="Calibri" w:cs="Calibri"/>
          <w:b/>
          <w:bCs/>
          <w:color w:val="2E75B5"/>
          <w:sz w:val="28"/>
          <w:szCs w:val="28"/>
          <w:highlight w:val="white"/>
        </w:rPr>
      </w:pPr>
      <w:r>
        <w:rPr>
          <w:rFonts w:ascii="Calibri" w:eastAsia="Calibri" w:hAnsi="Calibri" w:cs="Calibri"/>
          <w:b/>
          <w:bCs/>
          <w:color w:val="2E75B5"/>
          <w:sz w:val="28"/>
          <w:szCs w:val="28"/>
          <w:highlight w:val="white"/>
        </w:rPr>
        <w:lastRenderedPageBreak/>
        <w:t>Contents</w:t>
      </w:r>
    </w:p>
    <w:p w:rsidR="0079674F" w:rsidRDefault="0079674F">
      <w:pPr>
        <w:pBdr>
          <w:top w:val="none" w:sz="0" w:space="0" w:color="000000"/>
          <w:left w:val="none" w:sz="0" w:space="0" w:color="000000"/>
          <w:bottom w:val="none" w:sz="0" w:space="0" w:color="000000"/>
          <w:right w:val="none" w:sz="0" w:space="0" w:color="000000"/>
          <w:between w:val="none" w:sz="0" w:space="0" w:color="000000"/>
        </w:pBdr>
        <w:tabs>
          <w:tab w:val="left" w:pos="1134"/>
        </w:tabs>
        <w:ind w:right="285"/>
        <w:jc w:val="both"/>
        <w:rPr>
          <w:rFonts w:ascii="Calibri" w:hAnsi="Calibri" w:cs="Calibri"/>
          <w:color w:val="000000"/>
          <w:sz w:val="24"/>
          <w:szCs w:val="24"/>
        </w:rPr>
      </w:pP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ind w:right="285"/>
        <w:jc w:val="both"/>
        <w:rPr>
          <w:rFonts w:ascii="Calibri" w:hAnsi="Calibri" w:cs="Calibri"/>
          <w:color w:val="000000"/>
          <w:sz w:val="24"/>
          <w:szCs w:val="24"/>
        </w:rPr>
      </w:pPr>
      <w:r>
        <w:rPr>
          <w:rFonts w:ascii="Calibri" w:eastAsia="Calibri" w:hAnsi="Calibri" w:cs="Calibri"/>
          <w:color w:val="000000"/>
          <w:sz w:val="24"/>
          <w:szCs w:val="24"/>
          <w:highlight w:val="white"/>
        </w:rPr>
        <w:t>1. Introduction</w:t>
      </w:r>
      <w:proofErr w:type="gramStart"/>
      <w:r>
        <w:rPr>
          <w:rFonts w:ascii="Calibri" w:hAnsi="Calibri" w:cs="Calibri"/>
          <w:color w:val="000000"/>
          <w:sz w:val="24"/>
          <w:szCs w:val="24"/>
        </w:rPr>
        <w:t>...............................................................................................................................................</w:t>
      </w:r>
      <w:proofErr w:type="gramEnd"/>
      <w:r>
        <w:rPr>
          <w:rFonts w:ascii="Calibri" w:hAnsi="Calibri" w:cs="Calibri"/>
          <w:color w:val="000000"/>
          <w:sz w:val="24"/>
          <w:szCs w:val="24"/>
        </w:rPr>
        <w:t>3</w:t>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ind w:right="285"/>
        <w:jc w:val="both"/>
        <w:rPr>
          <w:rFonts w:ascii="Calibri" w:hAnsi="Calibri" w:cs="Calibri"/>
          <w:color w:val="000000"/>
          <w:sz w:val="24"/>
          <w:szCs w:val="24"/>
        </w:rPr>
      </w:pPr>
      <w:r>
        <w:rPr>
          <w:rFonts w:ascii="Calibri" w:eastAsia="Calibri" w:hAnsi="Calibri" w:cs="Calibri"/>
          <w:color w:val="000000"/>
          <w:sz w:val="24"/>
          <w:szCs w:val="24"/>
          <w:highlight w:val="white"/>
        </w:rPr>
        <w:t>2. Contextual Background Information About Gulen Movement and/or Failed Coup Attempt of 15 July</w:t>
      </w:r>
      <w:proofErr w:type="gramStart"/>
      <w:r>
        <w:rPr>
          <w:rFonts w:ascii="Calibri" w:hAnsi="Calibri" w:cs="Calibri"/>
          <w:color w:val="000000"/>
          <w:sz w:val="24"/>
          <w:szCs w:val="24"/>
        </w:rPr>
        <w:t>....</w:t>
      </w:r>
      <w:proofErr w:type="gramEnd"/>
      <w:r>
        <w:rPr>
          <w:rFonts w:ascii="Calibri" w:hAnsi="Calibri" w:cs="Calibri"/>
          <w:color w:val="000000"/>
          <w:sz w:val="24"/>
          <w:szCs w:val="24"/>
        </w:rPr>
        <w:t>3</w:t>
      </w:r>
    </w:p>
    <w:p w:rsidR="0079674F" w:rsidRDefault="00EA1B3E">
      <w:pPr>
        <w:pBdr>
          <w:top w:val="none" w:sz="0" w:space="0" w:color="000000"/>
          <w:left w:val="none" w:sz="0" w:space="0" w:color="000000"/>
          <w:bottom w:val="none" w:sz="0" w:space="0" w:color="000000"/>
          <w:right w:val="none" w:sz="0" w:space="0" w:color="000000"/>
        </w:pBdr>
        <w:tabs>
          <w:tab w:val="left" w:pos="1134"/>
        </w:tabs>
        <w:spacing w:before="240" w:after="240"/>
        <w:ind w:right="285"/>
        <w:jc w:val="both"/>
        <w:rPr>
          <w:rFonts w:ascii="Calibri" w:eastAsia="Calibri" w:hAnsi="Calibri" w:cs="Calibri"/>
          <w:color w:val="000000"/>
          <w:sz w:val="24"/>
          <w:szCs w:val="24"/>
        </w:rPr>
      </w:pPr>
      <w:r>
        <w:rPr>
          <w:rFonts w:ascii="Calibri" w:eastAsia="Calibri" w:hAnsi="Calibri" w:cs="Calibri"/>
          <w:color w:val="000000"/>
          <w:sz w:val="24"/>
          <w:szCs w:val="24"/>
        </w:rPr>
        <w:t xml:space="preserve">Issues included in LOIPR </w:t>
      </w:r>
      <w:proofErr w:type="gramStart"/>
      <w:r>
        <w:rPr>
          <w:rFonts w:ascii="Calibri" w:eastAsia="Calibri" w:hAnsi="Calibri" w:cs="Calibri"/>
          <w:color w:val="000000"/>
          <w:sz w:val="24"/>
          <w:szCs w:val="24"/>
        </w:rPr>
        <w:t>................................................................................................................................</w:t>
      </w:r>
      <w:proofErr w:type="gramEnd"/>
      <w:r>
        <w:rPr>
          <w:rFonts w:ascii="Calibri" w:eastAsia="Calibri" w:hAnsi="Calibri" w:cs="Calibri"/>
          <w:color w:val="000000"/>
          <w:sz w:val="24"/>
          <w:szCs w:val="24"/>
        </w:rPr>
        <w:t>5</w:t>
      </w:r>
    </w:p>
    <w:p w:rsidR="0079674F" w:rsidRDefault="00EA1B3E">
      <w:pPr>
        <w:pBdr>
          <w:top w:val="none" w:sz="0" w:space="0" w:color="000000"/>
          <w:left w:val="none" w:sz="0" w:space="0" w:color="000000"/>
          <w:bottom w:val="none" w:sz="0" w:space="0" w:color="000000"/>
          <w:right w:val="none" w:sz="0" w:space="0" w:color="000000"/>
        </w:pBdr>
        <w:tabs>
          <w:tab w:val="left" w:pos="1134"/>
        </w:tabs>
        <w:spacing w:before="240" w:after="240"/>
        <w:ind w:right="285"/>
        <w:jc w:val="both"/>
        <w:rPr>
          <w:rFonts w:ascii="Calibri" w:hAnsi="Calibri" w:cs="Calibri"/>
          <w:color w:val="000000"/>
          <w:sz w:val="24"/>
          <w:szCs w:val="24"/>
        </w:rPr>
      </w:pPr>
      <w:r>
        <w:rPr>
          <w:rFonts w:ascii="Calibri" w:eastAsia="Calibri" w:hAnsi="Calibri" w:cs="Calibri"/>
          <w:color w:val="000000"/>
          <w:sz w:val="24"/>
          <w:szCs w:val="24"/>
        </w:rPr>
        <w:tab/>
        <w:t xml:space="preserve"> Article 1</w:t>
      </w:r>
      <w:proofErr w:type="gramStart"/>
      <w:r>
        <w:rPr>
          <w:rFonts w:ascii="Calibri" w:eastAsia="Calibri" w:hAnsi="Calibri" w:cs="Calibri"/>
          <w:color w:val="000000"/>
          <w:sz w:val="24"/>
          <w:szCs w:val="24"/>
        </w:rPr>
        <w:t>.......................................................................................................................................</w:t>
      </w:r>
      <w:proofErr w:type="gramEnd"/>
      <w:r>
        <w:rPr>
          <w:rFonts w:ascii="Calibri" w:eastAsia="Calibri" w:hAnsi="Calibri" w:cs="Calibri"/>
          <w:color w:val="000000"/>
          <w:sz w:val="24"/>
          <w:szCs w:val="24"/>
        </w:rPr>
        <w:t xml:space="preserve">5 </w:t>
      </w:r>
    </w:p>
    <w:p w:rsidR="0079674F" w:rsidRDefault="00EA1B3E">
      <w:pPr>
        <w:pBdr>
          <w:top w:val="none" w:sz="0" w:space="0" w:color="000000"/>
          <w:left w:val="none" w:sz="0" w:space="0" w:color="000000"/>
          <w:bottom w:val="none" w:sz="0" w:space="0" w:color="000000"/>
          <w:right w:val="none" w:sz="0" w:space="0" w:color="000000"/>
        </w:pBdr>
        <w:tabs>
          <w:tab w:val="left" w:pos="1134"/>
        </w:tabs>
        <w:spacing w:before="240" w:after="240"/>
        <w:ind w:right="285"/>
        <w:jc w:val="both"/>
        <w:rPr>
          <w:rFonts w:ascii="Calibri" w:hAnsi="Calibri" w:cs="Calibri"/>
          <w:color w:val="000000"/>
          <w:sz w:val="24"/>
          <w:szCs w:val="24"/>
        </w:rPr>
      </w:pPr>
      <w:r>
        <w:rPr>
          <w:rFonts w:ascii="Calibri" w:eastAsia="Calibri" w:hAnsi="Calibri" w:cs="Calibri"/>
          <w:color w:val="000000"/>
          <w:sz w:val="24"/>
          <w:szCs w:val="24"/>
        </w:rPr>
        <w:t>3. Criminalization and Definition of Torture</w:t>
      </w:r>
      <w:proofErr w:type="gramStart"/>
      <w:r>
        <w:rPr>
          <w:rFonts w:ascii="Calibri" w:eastAsia="Calibri" w:hAnsi="Calibri" w:cs="Calibri"/>
          <w:color w:val="000000"/>
          <w:sz w:val="24"/>
          <w:szCs w:val="24"/>
        </w:rPr>
        <w:t>...................................................................................................</w:t>
      </w:r>
      <w:proofErr w:type="gramEnd"/>
      <w:r>
        <w:rPr>
          <w:rFonts w:ascii="Calibri" w:eastAsia="Calibri" w:hAnsi="Calibri" w:cs="Calibri"/>
          <w:color w:val="000000"/>
          <w:sz w:val="24"/>
          <w:szCs w:val="24"/>
        </w:rPr>
        <w:t>5</w:t>
      </w:r>
    </w:p>
    <w:p w:rsidR="0079674F" w:rsidRDefault="00EA1B3E">
      <w:pPr>
        <w:tabs>
          <w:tab w:val="left" w:pos="1134"/>
        </w:tabs>
        <w:ind w:right="285"/>
        <w:jc w:val="both"/>
        <w:rPr>
          <w:rFonts w:ascii="Calibri" w:hAnsi="Calibri" w:cs="Calibri"/>
          <w:color w:val="000000"/>
          <w:sz w:val="24"/>
          <w:szCs w:val="24"/>
        </w:rPr>
      </w:pPr>
      <w:r>
        <w:rPr>
          <w:rFonts w:ascii="Calibri" w:eastAsia="Calibri" w:hAnsi="Calibri" w:cs="Calibri"/>
          <w:color w:val="000000"/>
          <w:sz w:val="24"/>
          <w:szCs w:val="24"/>
        </w:rPr>
        <w:t xml:space="preserve"> </w:t>
      </w:r>
      <w:r>
        <w:rPr>
          <w:rFonts w:ascii="Calibri" w:eastAsia="Calibri" w:hAnsi="Calibri" w:cs="Calibri"/>
          <w:color w:val="000000"/>
          <w:sz w:val="24"/>
          <w:szCs w:val="24"/>
        </w:rPr>
        <w:tab/>
        <w:t>Article 2</w:t>
      </w:r>
      <w:proofErr w:type="gramStart"/>
      <w:r>
        <w:rPr>
          <w:rFonts w:ascii="Calibri" w:eastAsia="Calibri" w:hAnsi="Calibri" w:cs="Calibri"/>
          <w:color w:val="000000"/>
          <w:sz w:val="24"/>
          <w:szCs w:val="24"/>
        </w:rPr>
        <w:t>........................................................................................................................................</w:t>
      </w:r>
      <w:proofErr w:type="gramEnd"/>
      <w:r>
        <w:rPr>
          <w:rFonts w:ascii="Calibri" w:eastAsia="Calibri" w:hAnsi="Calibri" w:cs="Calibri"/>
          <w:color w:val="000000"/>
          <w:sz w:val="24"/>
          <w:szCs w:val="24"/>
        </w:rPr>
        <w:t>6</w:t>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after="0"/>
        <w:ind w:right="285"/>
        <w:jc w:val="both"/>
        <w:rPr>
          <w:rFonts w:ascii="Calibri" w:hAnsi="Calibri" w:cs="Calibri"/>
          <w:color w:val="000000"/>
          <w:sz w:val="24"/>
          <w:szCs w:val="24"/>
        </w:rPr>
      </w:pPr>
      <w:r>
        <w:rPr>
          <w:rFonts w:ascii="Calibri" w:eastAsia="Calibri" w:hAnsi="Calibri" w:cs="Calibri"/>
          <w:color w:val="000000"/>
          <w:sz w:val="24"/>
          <w:szCs w:val="24"/>
        </w:rPr>
        <w:t>4. State of emergency</w:t>
      </w:r>
      <w:proofErr w:type="gramStart"/>
      <w:r>
        <w:rPr>
          <w:rFonts w:ascii="Calibri" w:eastAsia="Calibri" w:hAnsi="Calibri" w:cs="Calibri"/>
          <w:color w:val="000000"/>
          <w:sz w:val="24"/>
          <w:szCs w:val="24"/>
        </w:rPr>
        <w:t>.....................................................................................................................................</w:t>
      </w:r>
      <w:proofErr w:type="gramEnd"/>
      <w:r>
        <w:rPr>
          <w:rFonts w:ascii="Calibri" w:eastAsia="Calibri" w:hAnsi="Calibri" w:cs="Calibri"/>
          <w:color w:val="000000"/>
          <w:sz w:val="24"/>
          <w:szCs w:val="24"/>
        </w:rPr>
        <w:t>6</w:t>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before="240" w:after="240"/>
        <w:ind w:right="285"/>
        <w:jc w:val="both"/>
        <w:rPr>
          <w:rFonts w:ascii="Calibri" w:hAnsi="Calibri" w:cs="Calibri"/>
          <w:color w:val="000000"/>
          <w:sz w:val="24"/>
          <w:szCs w:val="24"/>
        </w:rPr>
      </w:pPr>
      <w:r>
        <w:rPr>
          <w:rFonts w:ascii="Calibri" w:eastAsia="Calibri" w:hAnsi="Calibri" w:cs="Calibri"/>
          <w:color w:val="000000"/>
          <w:sz w:val="24"/>
          <w:szCs w:val="24"/>
        </w:rPr>
        <w:tab/>
        <w:t>Article 2</w:t>
      </w:r>
      <w:proofErr w:type="gramStart"/>
      <w:r>
        <w:rPr>
          <w:rFonts w:ascii="Calibri" w:eastAsia="Calibri" w:hAnsi="Calibri" w:cs="Calibri"/>
          <w:color w:val="000000"/>
          <w:sz w:val="24"/>
          <w:szCs w:val="24"/>
        </w:rPr>
        <w:t>........................................................................................................................................</w:t>
      </w:r>
      <w:proofErr w:type="gramEnd"/>
      <w:r>
        <w:rPr>
          <w:rFonts w:ascii="Calibri" w:eastAsia="Calibri" w:hAnsi="Calibri" w:cs="Calibri"/>
          <w:color w:val="000000"/>
          <w:sz w:val="24"/>
          <w:szCs w:val="24"/>
        </w:rPr>
        <w:t>9</w:t>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before="240" w:after="240"/>
        <w:ind w:right="285"/>
        <w:jc w:val="both"/>
        <w:rPr>
          <w:rFonts w:ascii="Calibri" w:hAnsi="Calibri" w:cs="Calibri"/>
          <w:color w:val="000000"/>
          <w:sz w:val="24"/>
          <w:szCs w:val="24"/>
        </w:rPr>
      </w:pPr>
      <w:r>
        <w:rPr>
          <w:rFonts w:ascii="Calibri" w:eastAsia="Calibri" w:hAnsi="Calibri" w:cs="Calibri"/>
          <w:color w:val="000000"/>
          <w:sz w:val="24"/>
          <w:szCs w:val="24"/>
        </w:rPr>
        <w:t>5.Fundamental legal safeguards</w:t>
      </w:r>
      <w:proofErr w:type="gramStart"/>
      <w:r>
        <w:rPr>
          <w:rFonts w:ascii="Calibri" w:eastAsia="Calibri" w:hAnsi="Calibri" w:cs="Calibri"/>
          <w:color w:val="000000"/>
          <w:sz w:val="24"/>
          <w:szCs w:val="24"/>
        </w:rPr>
        <w:t>.....................................................................................................................</w:t>
      </w:r>
      <w:proofErr w:type="gramEnd"/>
      <w:r>
        <w:rPr>
          <w:rFonts w:ascii="Calibri" w:eastAsia="Calibri" w:hAnsi="Calibri" w:cs="Calibri"/>
          <w:color w:val="000000"/>
          <w:sz w:val="24"/>
          <w:szCs w:val="24"/>
        </w:rPr>
        <w:t>9</w:t>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before="240" w:after="240"/>
        <w:ind w:right="285"/>
        <w:jc w:val="both"/>
        <w:rPr>
          <w:rFonts w:ascii="Calibri" w:hAnsi="Calibri" w:cs="Calibri"/>
          <w:color w:val="000000"/>
          <w:sz w:val="24"/>
          <w:szCs w:val="24"/>
        </w:rPr>
      </w:pPr>
      <w:r>
        <w:rPr>
          <w:rFonts w:ascii="Calibri" w:eastAsia="Calibri" w:hAnsi="Calibri" w:cs="Calibri"/>
          <w:color w:val="000000"/>
          <w:sz w:val="24"/>
          <w:szCs w:val="24"/>
        </w:rPr>
        <w:tab/>
        <w:t>Articles. 2, 12, 13 and 16</w:t>
      </w:r>
      <w:proofErr w:type="gramStart"/>
      <w:r>
        <w:rPr>
          <w:rFonts w:ascii="Calibri" w:eastAsia="Calibri" w:hAnsi="Calibri" w:cs="Calibri"/>
          <w:color w:val="000000"/>
          <w:sz w:val="24"/>
          <w:szCs w:val="24"/>
        </w:rPr>
        <w:t>............................................................................................................</w:t>
      </w:r>
      <w:proofErr w:type="gramEnd"/>
      <w:r>
        <w:rPr>
          <w:rFonts w:ascii="Calibri" w:eastAsia="Calibri" w:hAnsi="Calibri" w:cs="Calibri"/>
          <w:color w:val="000000"/>
          <w:sz w:val="24"/>
          <w:szCs w:val="24"/>
        </w:rPr>
        <w:t>13</w:t>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before="240" w:after="240"/>
        <w:ind w:right="285"/>
        <w:jc w:val="both"/>
        <w:rPr>
          <w:rFonts w:ascii="Calibri" w:hAnsi="Calibri" w:cs="Calibri"/>
          <w:color w:val="000000"/>
          <w:sz w:val="24"/>
          <w:szCs w:val="24"/>
        </w:rPr>
      </w:pPr>
      <w:r>
        <w:rPr>
          <w:rFonts w:ascii="Calibri" w:eastAsia="Calibri" w:hAnsi="Calibri" w:cs="Calibri"/>
          <w:color w:val="000000"/>
          <w:sz w:val="24"/>
          <w:szCs w:val="24"/>
        </w:rPr>
        <w:t>6. Enforced disappearances</w:t>
      </w:r>
      <w:proofErr w:type="gramStart"/>
      <w:r>
        <w:rPr>
          <w:rFonts w:ascii="Calibri" w:eastAsia="Calibri" w:hAnsi="Calibri" w:cs="Calibri"/>
          <w:color w:val="000000"/>
          <w:sz w:val="24"/>
          <w:szCs w:val="24"/>
        </w:rPr>
        <w:t>..........................................................................................................................</w:t>
      </w:r>
      <w:proofErr w:type="gramEnd"/>
      <w:r>
        <w:rPr>
          <w:rFonts w:ascii="Calibri" w:eastAsia="Calibri" w:hAnsi="Calibri" w:cs="Calibri"/>
          <w:color w:val="000000"/>
          <w:sz w:val="24"/>
          <w:szCs w:val="24"/>
        </w:rPr>
        <w:t xml:space="preserve">13 </w:t>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before="240" w:after="240"/>
        <w:ind w:right="285"/>
        <w:jc w:val="both"/>
        <w:rPr>
          <w:rFonts w:ascii="Calibri" w:hAnsi="Calibri" w:cs="Calibri"/>
          <w:color w:val="000000"/>
          <w:sz w:val="24"/>
          <w:szCs w:val="24"/>
        </w:rPr>
      </w:pPr>
      <w:r>
        <w:rPr>
          <w:rFonts w:ascii="Calibri" w:eastAsia="Calibri" w:hAnsi="Calibri" w:cs="Calibri"/>
          <w:color w:val="000000"/>
          <w:sz w:val="24"/>
          <w:szCs w:val="24"/>
        </w:rPr>
        <w:t>Conclusion and Recommendations</w:t>
      </w:r>
      <w:proofErr w:type="gramStart"/>
      <w:r>
        <w:rPr>
          <w:rFonts w:ascii="Calibri" w:eastAsia="Calibri" w:hAnsi="Calibri" w:cs="Calibri"/>
          <w:color w:val="000000"/>
          <w:sz w:val="24"/>
          <w:szCs w:val="24"/>
        </w:rPr>
        <w:t>...............................................................................................................</w:t>
      </w:r>
      <w:proofErr w:type="gramEnd"/>
      <w:r>
        <w:rPr>
          <w:rFonts w:ascii="Calibri" w:eastAsia="Calibri" w:hAnsi="Calibri" w:cs="Calibri"/>
          <w:color w:val="000000"/>
          <w:sz w:val="24"/>
          <w:szCs w:val="24"/>
        </w:rPr>
        <w:t>16</w:t>
      </w:r>
    </w:p>
    <w:p w:rsidR="0079674F" w:rsidRDefault="0079674F">
      <w:pPr>
        <w:pBdr>
          <w:top w:val="none" w:sz="0" w:space="0" w:color="000000"/>
          <w:left w:val="none" w:sz="0" w:space="0" w:color="000000"/>
          <w:bottom w:val="none" w:sz="0" w:space="0" w:color="000000"/>
          <w:right w:val="none" w:sz="0" w:space="0" w:color="000000"/>
          <w:between w:val="none" w:sz="0" w:space="0" w:color="000000"/>
        </w:pBdr>
        <w:tabs>
          <w:tab w:val="left" w:pos="1134"/>
        </w:tabs>
        <w:spacing w:before="240" w:after="240"/>
        <w:ind w:right="285"/>
        <w:jc w:val="both"/>
        <w:rPr>
          <w:rFonts w:ascii="Calibri" w:hAnsi="Calibri" w:cs="Calibri"/>
          <w:color w:val="000000"/>
          <w:sz w:val="24"/>
          <w:szCs w:val="24"/>
        </w:rPr>
      </w:pPr>
    </w:p>
    <w:p w:rsidR="0079674F" w:rsidRDefault="0079674F">
      <w:pPr>
        <w:pBdr>
          <w:top w:val="none" w:sz="0" w:space="0" w:color="000000"/>
          <w:left w:val="none" w:sz="0" w:space="0" w:color="000000"/>
          <w:bottom w:val="none" w:sz="0" w:space="0" w:color="000000"/>
          <w:right w:val="none" w:sz="0" w:space="0" w:color="000000"/>
          <w:between w:val="none" w:sz="0" w:space="0" w:color="000000"/>
        </w:pBdr>
        <w:tabs>
          <w:tab w:val="left" w:pos="1134"/>
        </w:tabs>
        <w:spacing w:before="240" w:after="240"/>
        <w:ind w:right="285"/>
        <w:jc w:val="both"/>
        <w:rPr>
          <w:rFonts w:ascii="Calibri" w:hAnsi="Calibri" w:cs="Calibri"/>
          <w:color w:val="000000"/>
          <w:sz w:val="24"/>
          <w:szCs w:val="24"/>
        </w:rPr>
      </w:pPr>
    </w:p>
    <w:p w:rsidR="0079674F" w:rsidRDefault="0079674F">
      <w:pPr>
        <w:pBdr>
          <w:top w:val="none" w:sz="0" w:space="0" w:color="000000"/>
          <w:left w:val="none" w:sz="0" w:space="0" w:color="000000"/>
          <w:bottom w:val="none" w:sz="0" w:space="0" w:color="000000"/>
          <w:right w:val="none" w:sz="0" w:space="0" w:color="000000"/>
          <w:between w:val="none" w:sz="0" w:space="0" w:color="000000"/>
        </w:pBdr>
        <w:tabs>
          <w:tab w:val="left" w:pos="1134"/>
        </w:tabs>
        <w:spacing w:before="240" w:after="240"/>
        <w:ind w:right="285"/>
        <w:jc w:val="both"/>
        <w:rPr>
          <w:rFonts w:ascii="Calibri" w:hAnsi="Calibri" w:cs="Calibri"/>
          <w:color w:val="000000"/>
          <w:sz w:val="24"/>
          <w:szCs w:val="24"/>
        </w:rPr>
      </w:pP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before="240" w:after="240"/>
        <w:ind w:right="285"/>
        <w:jc w:val="both"/>
        <w:rPr>
          <w:rFonts w:ascii="Calibri" w:hAnsi="Calibri" w:cs="Calibri"/>
          <w:color w:val="000000"/>
          <w:sz w:val="24"/>
          <w:szCs w:val="24"/>
        </w:rPr>
      </w:pPr>
      <w:r>
        <w:rPr>
          <w:rFonts w:ascii="Calibri" w:eastAsia="Calibri" w:hAnsi="Calibri" w:cs="Calibri"/>
          <w:color w:val="000000"/>
          <w:sz w:val="24"/>
          <w:szCs w:val="24"/>
        </w:rPr>
        <w:t xml:space="preserve"> </w:t>
      </w:r>
    </w:p>
    <w:p w:rsidR="0079674F" w:rsidRDefault="0079674F">
      <w:pPr>
        <w:pBdr>
          <w:top w:val="none" w:sz="0" w:space="0" w:color="000000"/>
          <w:left w:val="none" w:sz="0" w:space="0" w:color="000000"/>
          <w:bottom w:val="none" w:sz="0" w:space="0" w:color="000000"/>
          <w:right w:val="none" w:sz="0" w:space="0" w:color="000000"/>
          <w:between w:val="none" w:sz="0" w:space="0" w:color="000000"/>
        </w:pBdr>
        <w:tabs>
          <w:tab w:val="left" w:pos="1134"/>
        </w:tabs>
        <w:spacing w:after="0"/>
        <w:ind w:right="285"/>
        <w:jc w:val="both"/>
        <w:rPr>
          <w:rFonts w:ascii="Calibri" w:hAnsi="Calibri" w:cs="Calibri"/>
          <w:i/>
          <w:color w:val="000000"/>
          <w:sz w:val="24"/>
          <w:szCs w:val="24"/>
          <w:highlight w:val="white"/>
        </w:rPr>
      </w:pPr>
    </w:p>
    <w:p w:rsidR="0079674F" w:rsidRDefault="0079674F">
      <w:pPr>
        <w:pBdr>
          <w:top w:val="none" w:sz="0" w:space="0" w:color="000000"/>
          <w:left w:val="none" w:sz="0" w:space="0" w:color="000000"/>
          <w:bottom w:val="none" w:sz="0" w:space="0" w:color="000000"/>
          <w:right w:val="none" w:sz="0" w:space="0" w:color="000000"/>
        </w:pBdr>
        <w:tabs>
          <w:tab w:val="left" w:pos="1134"/>
        </w:tabs>
        <w:spacing w:before="240" w:after="240"/>
        <w:ind w:right="285"/>
        <w:jc w:val="both"/>
        <w:rPr>
          <w:rFonts w:ascii="Calibri" w:hAnsi="Calibri" w:cs="Calibri"/>
          <w:color w:val="000000"/>
          <w:sz w:val="24"/>
          <w:szCs w:val="24"/>
        </w:rPr>
      </w:pPr>
    </w:p>
    <w:p w:rsidR="0079674F" w:rsidRDefault="0079674F">
      <w:pPr>
        <w:pBdr>
          <w:top w:val="none" w:sz="0" w:space="0" w:color="000000"/>
          <w:left w:val="none" w:sz="0" w:space="0" w:color="000000"/>
          <w:bottom w:val="none" w:sz="0" w:space="0" w:color="000000"/>
          <w:right w:val="none" w:sz="0" w:space="0" w:color="000000"/>
          <w:between w:val="none" w:sz="0" w:space="0" w:color="000000"/>
        </w:pBdr>
        <w:tabs>
          <w:tab w:val="left" w:pos="1134"/>
        </w:tabs>
        <w:ind w:right="285"/>
        <w:jc w:val="both"/>
        <w:rPr>
          <w:rFonts w:ascii="Calibri" w:hAnsi="Calibri" w:cs="Calibri"/>
          <w:color w:val="000000"/>
          <w:sz w:val="24"/>
          <w:szCs w:val="24"/>
          <w:highlight w:val="white"/>
        </w:rPr>
      </w:pPr>
    </w:p>
    <w:p w:rsidR="0079674F" w:rsidRDefault="0079674F">
      <w:pPr>
        <w:keepNext/>
        <w:keepLines/>
        <w:pBdr>
          <w:top w:val="none" w:sz="0" w:space="0" w:color="000000"/>
          <w:left w:val="none" w:sz="0" w:space="0" w:color="000000"/>
          <w:bottom w:val="none" w:sz="0" w:space="0" w:color="000000"/>
          <w:right w:val="none" w:sz="0" w:space="0" w:color="000000"/>
          <w:between w:val="none" w:sz="0" w:space="0" w:color="000000"/>
        </w:pBdr>
        <w:tabs>
          <w:tab w:val="left" w:pos="1134"/>
        </w:tabs>
        <w:spacing w:before="281" w:after="281"/>
        <w:ind w:right="285"/>
        <w:jc w:val="both"/>
        <w:rPr>
          <w:rFonts w:ascii="Calibri" w:hAnsi="Calibri" w:cs="Calibri"/>
          <w:b/>
          <w:color w:val="000000"/>
          <w:sz w:val="24"/>
          <w:szCs w:val="24"/>
        </w:rPr>
      </w:pPr>
    </w:p>
    <w:p w:rsidR="0079674F" w:rsidRDefault="0079674F">
      <w:pPr>
        <w:keepNext/>
        <w:keepLines/>
        <w:pBdr>
          <w:top w:val="none" w:sz="0" w:space="0" w:color="000000"/>
          <w:left w:val="none" w:sz="0" w:space="0" w:color="000000"/>
          <w:bottom w:val="none" w:sz="0" w:space="0" w:color="000000"/>
          <w:right w:val="none" w:sz="0" w:space="0" w:color="000000"/>
          <w:between w:val="none" w:sz="0" w:space="0" w:color="000000"/>
        </w:pBdr>
        <w:tabs>
          <w:tab w:val="left" w:pos="1134"/>
        </w:tabs>
        <w:spacing w:before="281" w:after="281"/>
        <w:ind w:right="285"/>
        <w:jc w:val="both"/>
        <w:rPr>
          <w:rFonts w:ascii="Calibri" w:hAnsi="Calibri" w:cs="Calibri"/>
          <w:b/>
          <w:color w:val="000000"/>
          <w:sz w:val="24"/>
          <w:szCs w:val="24"/>
        </w:rPr>
      </w:pPr>
    </w:p>
    <w:p w:rsidR="0079674F" w:rsidRDefault="0079674F">
      <w:pPr>
        <w:pBdr>
          <w:top w:val="none" w:sz="0" w:space="0" w:color="000000"/>
          <w:left w:val="none" w:sz="0" w:space="0" w:color="000000"/>
          <w:bottom w:val="none" w:sz="0" w:space="0" w:color="000000"/>
          <w:right w:val="none" w:sz="0" w:space="0" w:color="000000"/>
        </w:pBdr>
        <w:tabs>
          <w:tab w:val="left" w:pos="1134"/>
        </w:tabs>
        <w:spacing w:before="240" w:after="240"/>
        <w:ind w:right="285"/>
        <w:jc w:val="both"/>
        <w:rPr>
          <w:rFonts w:ascii="Calibri" w:hAnsi="Calibri" w:cs="Calibri"/>
          <w:sz w:val="24"/>
          <w:szCs w:val="24"/>
        </w:rPr>
      </w:pPr>
    </w:p>
    <w:p w:rsidR="0079674F" w:rsidRDefault="0079674F">
      <w:pPr>
        <w:keepNext/>
        <w:keepLines/>
        <w:pBdr>
          <w:top w:val="none" w:sz="0" w:space="0" w:color="000000"/>
          <w:left w:val="none" w:sz="0" w:space="0" w:color="000000"/>
          <w:bottom w:val="none" w:sz="0" w:space="0" w:color="000000"/>
          <w:right w:val="none" w:sz="0" w:space="0" w:color="000000"/>
          <w:between w:val="none" w:sz="0" w:space="0" w:color="000000"/>
        </w:pBdr>
        <w:tabs>
          <w:tab w:val="left" w:pos="1134"/>
        </w:tabs>
        <w:spacing w:before="480"/>
        <w:ind w:right="285"/>
        <w:jc w:val="both"/>
        <w:rPr>
          <w:rFonts w:ascii="Calibri" w:hAnsi="Calibri" w:cs="Calibri"/>
          <w:b/>
          <w:bCs/>
          <w:color w:val="2E75B5"/>
          <w:sz w:val="28"/>
          <w:szCs w:val="28"/>
        </w:rPr>
      </w:pPr>
    </w:p>
    <w:p w:rsidR="0079674F" w:rsidRDefault="00EA1B3E">
      <w:pPr>
        <w:keepNext/>
        <w:keepLines/>
        <w:pBdr>
          <w:top w:val="none" w:sz="0" w:space="0" w:color="000000"/>
          <w:left w:val="none" w:sz="0" w:space="0" w:color="000000"/>
          <w:bottom w:val="none" w:sz="0" w:space="0" w:color="000000"/>
          <w:right w:val="none" w:sz="0" w:space="0" w:color="000000"/>
          <w:between w:val="none" w:sz="0" w:space="0" w:color="000000"/>
        </w:pBdr>
        <w:tabs>
          <w:tab w:val="left" w:pos="1134"/>
        </w:tabs>
        <w:spacing w:before="480"/>
        <w:ind w:right="285"/>
        <w:jc w:val="both"/>
        <w:rPr>
          <w:rFonts w:ascii="Calibri" w:eastAsia="Calibri" w:hAnsi="Calibri" w:cs="Calibri"/>
          <w:b/>
          <w:bCs/>
          <w:color w:val="2E75B5"/>
          <w:sz w:val="28"/>
          <w:szCs w:val="28"/>
        </w:rPr>
      </w:pPr>
      <w:r>
        <w:rPr>
          <w:rFonts w:ascii="Calibri" w:eastAsia="Calibri" w:hAnsi="Calibri" w:cs="Calibri"/>
          <w:b/>
          <w:bCs/>
          <w:color w:val="2E75B5"/>
          <w:sz w:val="28"/>
          <w:szCs w:val="28"/>
          <w:highlight w:val="white"/>
        </w:rPr>
        <w:t>1. Introduction</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As SSRL (Security Studies and Rule of Law), we are honored to present this report to the Committee against Torture (CAT). This report, prepared to evaluate cases of torture and ill-treatment in Turkey, aims to document human rights violations and bring them to the attention of the international community.</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Our association was established in January 2023 in Geneva, Switzerland, with the mission of protecting human rights and ensuring the rule of law. Our activities are focused on defending human rights, preventing unlawful actions, and giving a voice to the victims all over the world. We work on issues related to torture and crimes against humanity at both national and international levels, preparing reports to bring these grievances to public attention.</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Despite the landmark decision by the European Court of Human Rights in the case of Yüksel Yalçınkaya,</w:t>
      </w:r>
      <w:r>
        <w:rPr>
          <w:rFonts w:ascii="Calibri" w:hAnsi="Calibri" w:cs="Calibri"/>
          <w:strike/>
          <w:sz w:val="24"/>
          <w:szCs w:val="24"/>
        </w:rPr>
        <w:t xml:space="preserve"> </w:t>
      </w:r>
      <w:r>
        <w:rPr>
          <w:rFonts w:ascii="Calibri" w:hAnsi="Calibri" w:cs="Calibri"/>
          <w:sz w:val="24"/>
          <w:szCs w:val="24"/>
        </w:rPr>
        <w:t xml:space="preserve"> </w:t>
      </w:r>
      <w:r>
        <w:rPr>
          <w:rFonts w:ascii="Calibri" w:hAnsi="Calibri" w:cs="Calibri"/>
          <w:sz w:val="24"/>
          <w:szCs w:val="24"/>
          <w:highlight w:val="white"/>
        </w:rPr>
        <w:t>Turkey continues to engage in arbitrary detentions and human rights violations, ignoring international treaties and human rights rulings.</w:t>
      </w:r>
      <w:r>
        <w:rPr>
          <w:rFonts w:ascii="Calibri" w:hAnsi="Calibri" w:cs="Calibri"/>
          <w:sz w:val="24"/>
          <w:szCs w:val="24"/>
        </w:rPr>
        <w:t xml:space="preserve"> Thousands of people remain imprisoned for years based on dubious evidence for actions and activities that cannot be</w:t>
      </w:r>
      <w:r>
        <w:rPr>
          <w:rFonts w:ascii="Calibri" w:hAnsi="Calibri" w:cs="Calibri"/>
          <w:sz w:val="24"/>
          <w:szCs w:val="24"/>
          <w:highlight w:val="white"/>
        </w:rPr>
        <w:t xml:space="preserve"> legitimately c</w:t>
      </w:r>
      <w:r>
        <w:rPr>
          <w:rFonts w:ascii="Calibri" w:hAnsi="Calibri" w:cs="Calibri"/>
          <w:sz w:val="24"/>
          <w:szCs w:val="24"/>
        </w:rPr>
        <w:t>onsidered crimes.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highlight w:val="white"/>
        </w:rPr>
        <w:t>This report, prepared to evaluate cases of torture and ill-treatment in Turkey, aims to document human rights violations and bring them to the attention of the international community</w:t>
      </w:r>
      <w:r>
        <w:rPr>
          <w:rFonts w:ascii="Calibri" w:hAnsi="Calibri" w:cs="Calibri"/>
          <w:sz w:val="24"/>
          <w:szCs w:val="24"/>
        </w:rPr>
        <w:t xml:space="preserve">. </w:t>
      </w:r>
      <w:proofErr w:type="gramStart"/>
      <w:r>
        <w:rPr>
          <w:rFonts w:ascii="Calibri" w:hAnsi="Calibri" w:cs="Calibri"/>
          <w:sz w:val="24"/>
          <w:szCs w:val="24"/>
        </w:rPr>
        <w:t>This report elaborates on the cases of torture and ill-treatment that occurred during and after the state of emergency (OHAL) declared following the coup attempt on 15 July 2016. The widespread detentions, unfair trials, and systematic human rights violations are the result of the government’s repressive policies against members of the Gülen Movement and unfortunately, continue to this day.</w:t>
      </w:r>
      <w:proofErr w:type="gramEnd"/>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Our goal is to contribute to Turkey’s compliance with international human rights standards and the complete eradication of torture by taking the necessary steps. As SSRL, we are determined in the fight against torture and ill-treatment. We believe this report will be an important step towards the protection of human rights and the rule of law in Turkey.</w:t>
      </w:r>
    </w:p>
    <w:p w:rsidR="0079674F" w:rsidRDefault="0079674F">
      <w:pPr>
        <w:tabs>
          <w:tab w:val="left" w:pos="1134"/>
        </w:tabs>
        <w:spacing w:before="240" w:after="240" w:line="240" w:lineRule="auto"/>
        <w:ind w:right="285"/>
        <w:jc w:val="both"/>
        <w:rPr>
          <w:rFonts w:ascii="Calibri" w:hAnsi="Calibri" w:cs="Calibri"/>
          <w:b/>
          <w:bCs/>
          <w:color w:val="2E75B5"/>
          <w:sz w:val="24"/>
          <w:szCs w:val="24"/>
        </w:rPr>
      </w:pPr>
    </w:p>
    <w:p w:rsidR="0079674F" w:rsidRDefault="00EA1B3E">
      <w:pPr>
        <w:tabs>
          <w:tab w:val="left" w:pos="1134"/>
        </w:tabs>
        <w:spacing w:before="240" w:after="240" w:line="240" w:lineRule="auto"/>
        <w:ind w:right="285"/>
        <w:jc w:val="both"/>
        <w:rPr>
          <w:rFonts w:ascii="Calibri" w:eastAsia="Calibri" w:hAnsi="Calibri" w:cs="Calibri"/>
          <w:b/>
          <w:bCs/>
          <w:color w:val="2E75B5"/>
          <w:sz w:val="28"/>
          <w:szCs w:val="28"/>
        </w:rPr>
      </w:pPr>
      <w:r>
        <w:rPr>
          <w:rFonts w:ascii="Calibri" w:eastAsia="Calibri" w:hAnsi="Calibri" w:cs="Calibri"/>
          <w:b/>
          <w:color w:val="2E75B5"/>
          <w:sz w:val="28"/>
          <w:szCs w:val="28"/>
        </w:rPr>
        <w:t>2. Contextual Background Information About Gulen Movement and/or Failed Coup Attempt of 15 July</w:t>
      </w:r>
    </w:p>
    <w:p w:rsidR="0079674F" w:rsidRDefault="0079674F">
      <w:pPr>
        <w:tabs>
          <w:tab w:val="left" w:pos="1134"/>
        </w:tabs>
        <w:spacing w:before="240" w:after="240" w:line="240" w:lineRule="auto"/>
        <w:ind w:right="285"/>
        <w:jc w:val="both"/>
        <w:rPr>
          <w:rFonts w:ascii="Calibri" w:eastAsia="Calibri" w:hAnsi="Calibri" w:cs="Calibri"/>
          <w:b/>
          <w:bCs/>
          <w:color w:val="2E75B5"/>
          <w:sz w:val="24"/>
          <w:szCs w:val="24"/>
        </w:rPr>
      </w:pPr>
    </w:p>
    <w:p w:rsidR="0079674F" w:rsidRDefault="00EA1B3E">
      <w:pPr>
        <w:pStyle w:val="ListeParagraf"/>
        <w:numPr>
          <w:ilvl w:val="0"/>
          <w:numId w:val="18"/>
        </w:numPr>
        <w:pBdr>
          <w:top w:val="none" w:sz="4" w:space="0" w:color="000000"/>
          <w:left w:val="none" w:sz="4" w:space="0" w:color="000000"/>
          <w:bottom w:val="none" w:sz="4" w:space="0" w:color="000000"/>
          <w:right w:val="none" w:sz="4" w:space="0" w:color="000000"/>
        </w:pBdr>
        <w:tabs>
          <w:tab w:val="left" w:pos="1134"/>
        </w:tabs>
        <w:spacing w:before="240" w:after="240"/>
        <w:ind w:left="0" w:right="285" w:firstLine="0"/>
        <w:jc w:val="both"/>
        <w:rPr>
          <w:rFonts w:ascii="Calibri" w:hAnsi="Calibri" w:cs="Calibri"/>
          <w:sz w:val="24"/>
          <w:szCs w:val="24"/>
        </w:rPr>
      </w:pPr>
      <w:r>
        <w:rPr>
          <w:rFonts w:ascii="Calibri" w:hAnsi="Calibri" w:cs="Calibri"/>
          <w:sz w:val="24"/>
          <w:szCs w:val="24"/>
        </w:rPr>
        <w:t>Although this section does not directly fall under the committee's scope of review, it is included to fully understand the report. The Turkish government blamed the Gülen Movement for the coup attempt in its state report (CAT/C/TUR/5) and in its follow-up report submitted on 8 November 2016 (CAT/C/TUR/CO4/Add.1).</w:t>
      </w:r>
    </w:p>
    <w:p w:rsidR="0079674F" w:rsidRDefault="00EA1B3E">
      <w:pPr>
        <w:pStyle w:val="ListeParagraf"/>
        <w:numPr>
          <w:ilvl w:val="0"/>
          <w:numId w:val="18"/>
        </w:numPr>
        <w:pBdr>
          <w:top w:val="none" w:sz="4" w:space="0" w:color="000000"/>
          <w:left w:val="none" w:sz="4" w:space="0" w:color="000000"/>
          <w:bottom w:val="none" w:sz="4" w:space="0" w:color="000000"/>
          <w:right w:val="none" w:sz="4" w:space="0" w:color="000000"/>
        </w:pBdr>
        <w:tabs>
          <w:tab w:val="left" w:pos="1134"/>
        </w:tabs>
        <w:spacing w:before="240" w:after="240"/>
        <w:ind w:left="0" w:right="285" w:firstLine="0"/>
        <w:jc w:val="both"/>
        <w:rPr>
          <w:rFonts w:ascii="Calibri" w:hAnsi="Calibri" w:cs="Calibri"/>
          <w:sz w:val="24"/>
          <w:szCs w:val="24"/>
        </w:rPr>
      </w:pPr>
      <w:r>
        <w:rPr>
          <w:rFonts w:ascii="Calibri" w:hAnsi="Calibri" w:cs="Calibri"/>
          <w:sz w:val="24"/>
          <w:szCs w:val="24"/>
        </w:rPr>
        <w:t>However, even after nearly eight years, the coup attempt has not been fully clarified, and many aspects have been deliberately left in the dark.</w:t>
      </w:r>
    </w:p>
    <w:p w:rsidR="0079674F" w:rsidRDefault="00EA1B3E">
      <w:pPr>
        <w:pStyle w:val="ListeParagraf"/>
        <w:numPr>
          <w:ilvl w:val="0"/>
          <w:numId w:val="18"/>
        </w:numPr>
        <w:pBdr>
          <w:top w:val="none" w:sz="4" w:space="0" w:color="000000"/>
          <w:left w:val="none" w:sz="4" w:space="0" w:color="000000"/>
          <w:bottom w:val="none" w:sz="4" w:space="0" w:color="000000"/>
          <w:right w:val="none" w:sz="4" w:space="0" w:color="000000"/>
        </w:pBdr>
        <w:tabs>
          <w:tab w:val="left" w:pos="1134"/>
        </w:tabs>
        <w:spacing w:before="240" w:after="240"/>
        <w:ind w:left="0" w:right="285" w:firstLine="0"/>
        <w:jc w:val="both"/>
        <w:rPr>
          <w:rFonts w:ascii="Calibri" w:hAnsi="Calibri" w:cs="Calibri"/>
          <w:sz w:val="24"/>
          <w:szCs w:val="24"/>
        </w:rPr>
      </w:pPr>
      <w:r>
        <w:rPr>
          <w:rFonts w:ascii="Calibri" w:hAnsi="Calibri" w:cs="Calibri"/>
          <w:sz w:val="24"/>
          <w:szCs w:val="24"/>
        </w:rPr>
        <w:lastRenderedPageBreak/>
        <w:t>The state of emergency (OHAL) declared immediately after 15 July 2016 and which remained in effect for three years, paved the way for irreversible actions such as the closure of media outlets, civil society organizations, educational institutions, and hospitals, as well as dismissals from public service and employment.</w:t>
      </w:r>
    </w:p>
    <w:p w:rsidR="0079674F" w:rsidRDefault="00EA1B3E">
      <w:pPr>
        <w:pStyle w:val="ListeParagraf"/>
        <w:numPr>
          <w:ilvl w:val="0"/>
          <w:numId w:val="18"/>
        </w:numPr>
        <w:pBdr>
          <w:top w:val="none" w:sz="4" w:space="0" w:color="000000"/>
          <w:left w:val="none" w:sz="4" w:space="0" w:color="000000"/>
          <w:bottom w:val="none" w:sz="4" w:space="0" w:color="000000"/>
          <w:right w:val="none" w:sz="4" w:space="0" w:color="000000"/>
        </w:pBdr>
        <w:tabs>
          <w:tab w:val="left" w:pos="1134"/>
        </w:tabs>
        <w:spacing w:before="240" w:after="240"/>
        <w:ind w:left="0" w:right="285" w:firstLine="0"/>
        <w:jc w:val="both"/>
        <w:rPr>
          <w:rFonts w:ascii="Calibri" w:hAnsi="Calibri" w:cs="Calibri"/>
          <w:sz w:val="24"/>
          <w:szCs w:val="24"/>
        </w:rPr>
      </w:pPr>
      <w:proofErr w:type="gramStart"/>
      <w:r>
        <w:rPr>
          <w:rFonts w:ascii="Calibri" w:hAnsi="Calibri" w:cs="Calibri"/>
          <w:sz w:val="24"/>
          <w:szCs w:val="24"/>
        </w:rPr>
        <w:t>On the night of 15 July 2016, while the events called the coup attempt were still fresh, President Erdoğan, in his statement at Atatürk Airport, described the situation as "</w:t>
      </w:r>
      <w:r>
        <w:rPr>
          <w:rFonts w:ascii="Times New Roman" w:hAnsi="Times New Roman" w:cs="Times New Roman"/>
          <w:i/>
          <w:iCs/>
          <w:sz w:val="24"/>
          <w:szCs w:val="24"/>
        </w:rPr>
        <w:t>a great blessing from God</w:t>
      </w:r>
      <w:r>
        <w:rPr>
          <w:rFonts w:ascii="Calibri" w:hAnsi="Calibri" w:cs="Calibri"/>
          <w:sz w:val="24"/>
          <w:szCs w:val="24"/>
        </w:rPr>
        <w:t>" and expressed his satisfaction with the chaotic situation, stating on 23 September 2016 that "</w:t>
      </w:r>
      <w:r>
        <w:rPr>
          <w:rFonts w:ascii="Times New Roman" w:hAnsi="Times New Roman" w:cs="Times New Roman"/>
          <w:i/>
          <w:iCs/>
          <w:sz w:val="24"/>
          <w:szCs w:val="24"/>
        </w:rPr>
        <w:t>We are able to do many things that we could not do under normal conditions.</w:t>
      </w:r>
      <w:r>
        <w:rPr>
          <w:rFonts w:ascii="Calibri" w:hAnsi="Calibri" w:cs="Calibri"/>
          <w:sz w:val="24"/>
          <w:szCs w:val="24"/>
        </w:rPr>
        <w:t>"</w:t>
      </w:r>
      <w:proofErr w:type="gramEnd"/>
    </w:p>
    <w:p w:rsidR="0079674F" w:rsidRDefault="00EA1B3E">
      <w:pPr>
        <w:pStyle w:val="ListeParagraf"/>
        <w:numPr>
          <w:ilvl w:val="0"/>
          <w:numId w:val="18"/>
        </w:numPr>
        <w:pBdr>
          <w:top w:val="none" w:sz="4" w:space="0" w:color="000000"/>
          <w:left w:val="none" w:sz="4" w:space="0" w:color="000000"/>
          <w:bottom w:val="none" w:sz="4" w:space="0" w:color="000000"/>
          <w:right w:val="none" w:sz="4" w:space="0" w:color="000000"/>
        </w:pBdr>
        <w:tabs>
          <w:tab w:val="left" w:pos="1134"/>
        </w:tabs>
        <w:spacing w:before="240" w:after="240"/>
        <w:ind w:left="0" w:right="285" w:firstLine="0"/>
        <w:jc w:val="both"/>
        <w:rPr>
          <w:rFonts w:ascii="Calibri" w:hAnsi="Calibri" w:cs="Calibri"/>
          <w:sz w:val="24"/>
          <w:szCs w:val="24"/>
        </w:rPr>
      </w:pPr>
      <w:r>
        <w:rPr>
          <w:rFonts w:ascii="Calibri" w:hAnsi="Calibri" w:cs="Calibri"/>
          <w:sz w:val="24"/>
          <w:szCs w:val="24"/>
        </w:rPr>
        <w:t>Erdoğan, who continued to make similar statements in the following years, used this opportunity to abolish the parliamentary system and construct a more repressive and authoritarian regime, making himself the sole dominant power in the state.</w:t>
      </w:r>
    </w:p>
    <w:p w:rsidR="0079674F" w:rsidRDefault="00EA1B3E">
      <w:pPr>
        <w:pStyle w:val="ListeParagraf"/>
        <w:numPr>
          <w:ilvl w:val="0"/>
          <w:numId w:val="18"/>
        </w:numPr>
        <w:pBdr>
          <w:top w:val="none" w:sz="4" w:space="0" w:color="000000"/>
          <w:left w:val="none" w:sz="4" w:space="0" w:color="000000"/>
          <w:bottom w:val="none" w:sz="4" w:space="0" w:color="000000"/>
          <w:right w:val="none" w:sz="4" w:space="0" w:color="000000"/>
        </w:pBdr>
        <w:tabs>
          <w:tab w:val="left" w:pos="1134"/>
        </w:tabs>
        <w:spacing w:before="240" w:after="240"/>
        <w:ind w:left="0" w:right="285" w:firstLine="0"/>
        <w:jc w:val="both"/>
        <w:rPr>
          <w:rFonts w:ascii="Calibri" w:hAnsi="Calibri" w:cs="Calibri"/>
          <w:sz w:val="24"/>
          <w:szCs w:val="24"/>
        </w:rPr>
      </w:pPr>
      <w:r>
        <w:rPr>
          <w:rFonts w:ascii="Calibri" w:hAnsi="Calibri" w:cs="Calibri"/>
          <w:sz w:val="24"/>
          <w:szCs w:val="24"/>
        </w:rPr>
        <w:t>Although these statements could be considered turning a crisis into an opportunity, developments over time have shown the opposite—that a crisis was created to seize an opportunity. It has become apparent that Erdoğan intended to purge anyone who could be a barrier to the regime he planned to build.</w:t>
      </w:r>
    </w:p>
    <w:p w:rsidR="0079674F" w:rsidRDefault="00EA1B3E">
      <w:pPr>
        <w:pStyle w:val="ListeParagraf"/>
        <w:numPr>
          <w:ilvl w:val="0"/>
          <w:numId w:val="18"/>
        </w:numPr>
        <w:pBdr>
          <w:top w:val="none" w:sz="4" w:space="0" w:color="000000"/>
          <w:left w:val="none" w:sz="4" w:space="0" w:color="000000"/>
          <w:bottom w:val="none" w:sz="4" w:space="0" w:color="000000"/>
          <w:right w:val="none" w:sz="4" w:space="0" w:color="000000"/>
        </w:pBdr>
        <w:tabs>
          <w:tab w:val="left" w:pos="1134"/>
        </w:tabs>
        <w:spacing w:before="240" w:after="240"/>
        <w:ind w:left="0" w:right="285" w:firstLine="0"/>
        <w:jc w:val="both"/>
        <w:rPr>
          <w:rFonts w:ascii="Calibri" w:hAnsi="Calibri" w:cs="Calibri"/>
          <w:sz w:val="24"/>
          <w:szCs w:val="24"/>
        </w:rPr>
      </w:pPr>
      <w:r>
        <w:rPr>
          <w:rFonts w:ascii="Calibri" w:hAnsi="Calibri" w:cs="Calibri"/>
          <w:sz w:val="24"/>
          <w:szCs w:val="24"/>
        </w:rPr>
        <w:t xml:space="preserve">Looking </w:t>
      </w:r>
      <w:proofErr w:type="gramStart"/>
      <w:r>
        <w:rPr>
          <w:rFonts w:ascii="Calibri" w:hAnsi="Calibri" w:cs="Calibri"/>
          <w:sz w:val="24"/>
          <w:szCs w:val="24"/>
        </w:rPr>
        <w:t>back , it</w:t>
      </w:r>
      <w:proofErr w:type="gramEnd"/>
      <w:r>
        <w:rPr>
          <w:rFonts w:ascii="Calibri" w:hAnsi="Calibri" w:cs="Calibri"/>
          <w:sz w:val="24"/>
          <w:szCs w:val="24"/>
        </w:rPr>
        <w:t xml:space="preserve"> is </w:t>
      </w:r>
      <w:r>
        <w:rPr>
          <w:rFonts w:ascii="Calibri" w:hAnsi="Calibri" w:cs="Calibri"/>
          <w:sz w:val="24"/>
          <w:szCs w:val="24"/>
          <w:highlight w:val="white"/>
        </w:rPr>
        <w:t xml:space="preserve">clear </w:t>
      </w:r>
      <w:r>
        <w:rPr>
          <w:rFonts w:ascii="Calibri" w:hAnsi="Calibri" w:cs="Calibri"/>
          <w:sz w:val="24"/>
          <w:szCs w:val="24"/>
        </w:rPr>
        <w:t>what Erdoğan meant by his statement on the night of 15 July 2016, describing the events as "</w:t>
      </w:r>
      <w:r>
        <w:rPr>
          <w:rFonts w:ascii="Times New Roman" w:hAnsi="Times New Roman" w:cs="Times New Roman"/>
          <w:i/>
          <w:iCs/>
          <w:sz w:val="24"/>
          <w:szCs w:val="24"/>
        </w:rPr>
        <w:t>an opportunity to cleanse the TSK (Turkish Armed Forces).</w:t>
      </w:r>
      <w:r>
        <w:rPr>
          <w:rFonts w:ascii="Calibri" w:hAnsi="Calibri" w:cs="Calibri"/>
          <w:sz w:val="24"/>
          <w:szCs w:val="24"/>
        </w:rPr>
        <w:t>"</w:t>
      </w:r>
    </w:p>
    <w:p w:rsidR="0079674F" w:rsidRDefault="00EA1B3E">
      <w:pPr>
        <w:pStyle w:val="ListeParagraf"/>
        <w:numPr>
          <w:ilvl w:val="0"/>
          <w:numId w:val="18"/>
        </w:numPr>
        <w:pBdr>
          <w:top w:val="none" w:sz="4" w:space="0" w:color="000000"/>
          <w:left w:val="none" w:sz="4" w:space="0" w:color="000000"/>
          <w:bottom w:val="none" w:sz="4" w:space="0" w:color="000000"/>
          <w:right w:val="none" w:sz="4" w:space="0" w:color="000000"/>
        </w:pBdr>
        <w:tabs>
          <w:tab w:val="left" w:pos="1134"/>
        </w:tabs>
        <w:spacing w:before="240" w:after="240"/>
        <w:ind w:left="0" w:right="285" w:firstLine="0"/>
        <w:jc w:val="both"/>
        <w:rPr>
          <w:rFonts w:ascii="Calibri" w:hAnsi="Calibri" w:cs="Calibri"/>
          <w:sz w:val="24"/>
          <w:szCs w:val="24"/>
        </w:rPr>
      </w:pPr>
      <w:r>
        <w:rPr>
          <w:rFonts w:ascii="Calibri" w:hAnsi="Calibri" w:cs="Calibri"/>
          <w:sz w:val="24"/>
          <w:szCs w:val="24"/>
        </w:rPr>
        <w:t>Undoubtedly, the decision to suspend 2,735 prosecutors and judges in the early hours of 16 July 2016 also showed that the government were prepared for these actions.</w:t>
      </w:r>
    </w:p>
    <w:p w:rsidR="0079674F" w:rsidRDefault="00EA1B3E">
      <w:pPr>
        <w:pStyle w:val="ListeParagraf"/>
        <w:numPr>
          <w:ilvl w:val="0"/>
          <w:numId w:val="18"/>
        </w:numPr>
        <w:pBdr>
          <w:top w:val="none" w:sz="4" w:space="0" w:color="000000"/>
          <w:left w:val="none" w:sz="4" w:space="0" w:color="000000"/>
          <w:bottom w:val="none" w:sz="4" w:space="0" w:color="000000"/>
          <w:right w:val="none" w:sz="4" w:space="0" w:color="000000"/>
        </w:pBdr>
        <w:tabs>
          <w:tab w:val="left" w:pos="1134"/>
        </w:tabs>
        <w:spacing w:before="240" w:after="240"/>
        <w:ind w:left="0" w:right="285" w:firstLine="0"/>
        <w:jc w:val="both"/>
        <w:rPr>
          <w:rFonts w:ascii="Calibri" w:hAnsi="Calibri" w:cs="Calibri"/>
          <w:sz w:val="24"/>
          <w:szCs w:val="24"/>
        </w:rPr>
      </w:pPr>
      <w:r>
        <w:rPr>
          <w:rFonts w:ascii="Calibri" w:hAnsi="Calibri" w:cs="Calibri"/>
          <w:sz w:val="24"/>
          <w:szCs w:val="24"/>
        </w:rPr>
        <w:t xml:space="preserve">Numan Kurtulmuş, </w:t>
      </w:r>
      <w:proofErr w:type="gramStart"/>
      <w:r>
        <w:rPr>
          <w:rFonts w:ascii="Calibri" w:hAnsi="Calibri" w:cs="Calibri"/>
          <w:sz w:val="24"/>
          <w:szCs w:val="24"/>
        </w:rPr>
        <w:t>currently  the</w:t>
      </w:r>
      <w:proofErr w:type="gramEnd"/>
      <w:r>
        <w:rPr>
          <w:rFonts w:ascii="Calibri" w:hAnsi="Calibri" w:cs="Calibri"/>
          <w:sz w:val="24"/>
          <w:szCs w:val="24"/>
        </w:rPr>
        <w:t xml:space="preserve"> Speaker of the Grand National Assembly of Turkey (TBMM), confirmed our thesis by stating, "</w:t>
      </w:r>
      <w:r>
        <w:rPr>
          <w:rFonts w:ascii="Times New Roman" w:hAnsi="Times New Roman" w:cs="Times New Roman"/>
          <w:i/>
          <w:iCs/>
          <w:sz w:val="24"/>
          <w:szCs w:val="24"/>
        </w:rPr>
        <w:t>If we had tried to dismiss them through normal processes, we would not have been able to remove them from public service until 2020 or 2030.</w:t>
      </w:r>
      <w:r>
        <w:rPr>
          <w:rFonts w:ascii="Calibri" w:hAnsi="Calibri" w:cs="Calibri"/>
          <w:sz w:val="24"/>
          <w:szCs w:val="24"/>
        </w:rPr>
        <w:t>"</w:t>
      </w:r>
    </w:p>
    <w:p w:rsidR="0079674F" w:rsidRDefault="00EA1B3E">
      <w:pPr>
        <w:pStyle w:val="ListeParagraf"/>
        <w:numPr>
          <w:ilvl w:val="0"/>
          <w:numId w:val="18"/>
        </w:numPr>
        <w:pBdr>
          <w:top w:val="none" w:sz="4" w:space="0" w:color="000000"/>
          <w:left w:val="none" w:sz="4" w:space="0" w:color="000000"/>
          <w:bottom w:val="none" w:sz="4" w:space="0" w:color="000000"/>
          <w:right w:val="none" w:sz="4" w:space="0" w:color="000000"/>
        </w:pBdr>
        <w:tabs>
          <w:tab w:val="left" w:pos="1134"/>
        </w:tabs>
        <w:spacing w:before="240" w:after="240"/>
        <w:ind w:left="0" w:right="285" w:firstLine="0"/>
        <w:jc w:val="both"/>
        <w:rPr>
          <w:rFonts w:ascii="Calibri" w:hAnsi="Calibri" w:cs="Calibri"/>
          <w:sz w:val="24"/>
          <w:szCs w:val="24"/>
        </w:rPr>
      </w:pPr>
      <w:r>
        <w:rPr>
          <w:rFonts w:ascii="Calibri" w:hAnsi="Calibri" w:cs="Calibri"/>
          <w:sz w:val="24"/>
          <w:szCs w:val="24"/>
        </w:rPr>
        <w:t>Moreover, the decrees issued during the temporary state of emergency (OHAL) were later enacted into law, ensuring their long-term impact.</w:t>
      </w:r>
      <w:r>
        <w:rPr>
          <w:rFonts w:ascii="Calibri" w:hAnsi="Calibri" w:cs="Calibri"/>
          <w:sz w:val="24"/>
          <w:szCs w:val="24"/>
          <w:highlight w:val="white"/>
        </w:rPr>
        <w:t xml:space="preserve"> Consequently, </w:t>
      </w:r>
      <w:r>
        <w:rPr>
          <w:rFonts w:ascii="Calibri" w:hAnsi="Calibri" w:cs="Calibri"/>
          <w:sz w:val="24"/>
          <w:szCs w:val="24"/>
        </w:rPr>
        <w:t>millions of citizens were labeled as members of a terrorist organization, hundreds of thousands were dismissed from their jobs, prosecuted, and imprisoned.</w:t>
      </w:r>
    </w:p>
    <w:p w:rsidR="0079674F" w:rsidRDefault="00EA1B3E">
      <w:pPr>
        <w:pStyle w:val="ListeParagraf"/>
        <w:numPr>
          <w:ilvl w:val="0"/>
          <w:numId w:val="18"/>
        </w:numPr>
        <w:pBdr>
          <w:top w:val="none" w:sz="4" w:space="0" w:color="000000"/>
          <w:left w:val="none" w:sz="4" w:space="0" w:color="000000"/>
          <w:bottom w:val="none" w:sz="4" w:space="0" w:color="000000"/>
          <w:right w:val="none" w:sz="4" w:space="0" w:color="000000"/>
        </w:pBdr>
        <w:tabs>
          <w:tab w:val="left" w:pos="1134"/>
        </w:tabs>
        <w:spacing w:before="240" w:after="240"/>
        <w:ind w:left="0" w:right="285" w:firstLine="0"/>
        <w:jc w:val="both"/>
        <w:rPr>
          <w:rFonts w:ascii="Calibri" w:hAnsi="Calibri" w:cs="Calibri"/>
          <w:sz w:val="24"/>
          <w:szCs w:val="24"/>
        </w:rPr>
      </w:pPr>
      <w:r>
        <w:rPr>
          <w:rFonts w:ascii="Calibri" w:hAnsi="Calibri" w:cs="Calibri"/>
          <w:sz w:val="24"/>
          <w:szCs w:val="24"/>
        </w:rPr>
        <w:t>The baseless accusations by the government regarding the perpetrator of the coup attempt have proven to be far from reality over time.</w:t>
      </w:r>
    </w:p>
    <w:p w:rsidR="0079674F" w:rsidRDefault="00EA1B3E">
      <w:pPr>
        <w:pStyle w:val="ListeParagraf"/>
        <w:numPr>
          <w:ilvl w:val="0"/>
          <w:numId w:val="18"/>
        </w:numPr>
        <w:pBdr>
          <w:top w:val="none" w:sz="4" w:space="0" w:color="000000"/>
          <w:left w:val="none" w:sz="4" w:space="0" w:color="000000"/>
          <w:bottom w:val="none" w:sz="4" w:space="0" w:color="000000"/>
          <w:right w:val="none" w:sz="4" w:space="0" w:color="000000"/>
        </w:pBdr>
        <w:tabs>
          <w:tab w:val="left" w:pos="1134"/>
        </w:tabs>
        <w:spacing w:before="240" w:after="240"/>
        <w:ind w:left="0" w:right="285" w:firstLine="0"/>
        <w:jc w:val="both"/>
        <w:rPr>
          <w:rFonts w:ascii="Calibri" w:hAnsi="Calibri" w:cs="Calibri"/>
          <w:sz w:val="24"/>
          <w:szCs w:val="24"/>
        </w:rPr>
      </w:pPr>
      <w:r>
        <w:rPr>
          <w:rFonts w:ascii="Calibri" w:hAnsi="Calibri" w:cs="Calibri"/>
          <w:sz w:val="24"/>
          <w:szCs w:val="24"/>
        </w:rPr>
        <w:t xml:space="preserve">For instance, </w:t>
      </w:r>
      <w:r>
        <w:rPr>
          <w:rFonts w:ascii="Calibri" w:hAnsi="Calibri" w:cs="Calibri"/>
          <w:sz w:val="24"/>
          <w:szCs w:val="24"/>
          <w:highlight w:val="white"/>
        </w:rPr>
        <w:t>on 1</w:t>
      </w:r>
      <w:r>
        <w:rPr>
          <w:rFonts w:ascii="Calibri" w:hAnsi="Calibri" w:cs="Calibri"/>
          <w:sz w:val="24"/>
          <w:szCs w:val="24"/>
        </w:rPr>
        <w:t>5 July, many of the citizens who lost their lives did not have autopsy reports or ballistic examinations. Some examinations revealed materials such as non-military ammunition and hunting pellets on the bodies.</w:t>
      </w:r>
    </w:p>
    <w:p w:rsidR="0079674F" w:rsidRDefault="00EA1B3E">
      <w:pPr>
        <w:pStyle w:val="ListeParagraf"/>
        <w:numPr>
          <w:ilvl w:val="0"/>
          <w:numId w:val="18"/>
        </w:numPr>
        <w:pBdr>
          <w:top w:val="none" w:sz="4" w:space="0" w:color="000000"/>
          <w:left w:val="none" w:sz="4" w:space="0" w:color="000000"/>
          <w:bottom w:val="none" w:sz="4" w:space="0" w:color="000000"/>
          <w:right w:val="none" w:sz="4" w:space="0" w:color="000000"/>
        </w:pBdr>
        <w:tabs>
          <w:tab w:val="left" w:pos="1134"/>
        </w:tabs>
        <w:spacing w:before="240" w:after="240"/>
        <w:ind w:left="0" w:right="285" w:firstLine="0"/>
        <w:jc w:val="both"/>
        <w:rPr>
          <w:rFonts w:ascii="Calibri" w:hAnsi="Calibri" w:cs="Calibri"/>
          <w:sz w:val="24"/>
          <w:szCs w:val="24"/>
        </w:rPr>
      </w:pPr>
      <w:r>
        <w:rPr>
          <w:rFonts w:ascii="Calibri" w:hAnsi="Calibri" w:cs="Calibri"/>
          <w:sz w:val="24"/>
          <w:szCs w:val="24"/>
        </w:rPr>
        <w:t xml:space="preserve">The testimony of Hulusi Akar’s aide, Levent Türkkan, which the government used to attribute the coup attempt to the Gülen Movement, was </w:t>
      </w:r>
      <w:proofErr w:type="gramStart"/>
      <w:r>
        <w:rPr>
          <w:rFonts w:ascii="Calibri" w:hAnsi="Calibri" w:cs="Calibri"/>
          <w:sz w:val="24"/>
          <w:szCs w:val="24"/>
        </w:rPr>
        <w:t>la</w:t>
      </w:r>
      <w:r>
        <w:rPr>
          <w:rFonts w:ascii="Calibri" w:hAnsi="Calibri" w:cs="Calibri"/>
          <w:sz w:val="24"/>
          <w:szCs w:val="24"/>
          <w:highlight w:val="white"/>
        </w:rPr>
        <w:t>ter  found</w:t>
      </w:r>
      <w:proofErr w:type="gramEnd"/>
      <w:r>
        <w:rPr>
          <w:rFonts w:ascii="Calibri" w:hAnsi="Calibri" w:cs="Calibri"/>
          <w:sz w:val="24"/>
          <w:szCs w:val="24"/>
          <w:highlight w:val="white"/>
        </w:rPr>
        <w:t xml:space="preserve"> to </w:t>
      </w:r>
      <w:r>
        <w:rPr>
          <w:rFonts w:ascii="Calibri" w:hAnsi="Calibri" w:cs="Calibri"/>
          <w:sz w:val="24"/>
          <w:szCs w:val="24"/>
        </w:rPr>
        <w:t>have been obtained under torture.</w:t>
      </w:r>
    </w:p>
    <w:p w:rsidR="0079674F" w:rsidRDefault="00EA1B3E">
      <w:pPr>
        <w:pStyle w:val="ListeParagraf"/>
        <w:numPr>
          <w:ilvl w:val="0"/>
          <w:numId w:val="18"/>
        </w:numPr>
        <w:pBdr>
          <w:top w:val="none" w:sz="4" w:space="0" w:color="000000"/>
          <w:left w:val="none" w:sz="4" w:space="0" w:color="000000"/>
          <w:bottom w:val="none" w:sz="4" w:space="0" w:color="000000"/>
          <w:right w:val="none" w:sz="4" w:space="0" w:color="000000"/>
        </w:pBdr>
        <w:tabs>
          <w:tab w:val="left" w:pos="1134"/>
        </w:tabs>
        <w:spacing w:before="240" w:after="240"/>
        <w:ind w:left="0" w:right="285" w:firstLine="0"/>
        <w:jc w:val="both"/>
        <w:rPr>
          <w:rFonts w:ascii="Calibri" w:hAnsi="Calibri" w:cs="Calibri"/>
          <w:sz w:val="24"/>
          <w:szCs w:val="24"/>
        </w:rPr>
      </w:pPr>
      <w:proofErr w:type="gramStart"/>
      <w:r>
        <w:rPr>
          <w:rFonts w:ascii="Calibri" w:hAnsi="Calibri" w:cs="Calibri"/>
          <w:sz w:val="24"/>
          <w:szCs w:val="24"/>
        </w:rPr>
        <w:t>Despite the government's claim in its report (CAT/C/TUR/5) that "FETÖ members infiltrated all public institutions, manipulated public works and operations through groups they formed, aided those involved in the coup attempt, provided state secrets to the organization, and violated their loyalty to the state," it has not provided a reasonable explanation for the detention</w:t>
      </w:r>
      <w:r>
        <w:rPr>
          <w:rFonts w:ascii="Calibri" w:hAnsi="Calibri" w:cs="Calibri"/>
          <w:sz w:val="24"/>
          <w:szCs w:val="24"/>
          <w:highlight w:val="white"/>
        </w:rPr>
        <w:t xml:space="preserve"> and a</w:t>
      </w:r>
      <w:r>
        <w:rPr>
          <w:rFonts w:ascii="Calibri" w:hAnsi="Calibri" w:cs="Calibri"/>
          <w:sz w:val="24"/>
          <w:szCs w:val="24"/>
        </w:rPr>
        <w:t>rrest of elderly, women, and children even after eight years.</w:t>
      </w:r>
      <w:proofErr w:type="gramEnd"/>
    </w:p>
    <w:p w:rsidR="0079674F" w:rsidRDefault="00EA1B3E">
      <w:pPr>
        <w:pStyle w:val="ListeParagraf"/>
        <w:numPr>
          <w:ilvl w:val="0"/>
          <w:numId w:val="18"/>
        </w:numPr>
        <w:pBdr>
          <w:top w:val="none" w:sz="4" w:space="0" w:color="000000"/>
          <w:left w:val="none" w:sz="4" w:space="0" w:color="000000"/>
          <w:bottom w:val="none" w:sz="4" w:space="0" w:color="000000"/>
          <w:right w:val="none" w:sz="4" w:space="0" w:color="000000"/>
        </w:pBdr>
        <w:tabs>
          <w:tab w:val="left" w:pos="1134"/>
        </w:tabs>
        <w:spacing w:before="240" w:after="240"/>
        <w:ind w:left="0" w:right="285" w:firstLine="0"/>
        <w:jc w:val="both"/>
        <w:rPr>
          <w:rFonts w:ascii="Calibri" w:hAnsi="Calibri" w:cs="Calibri"/>
          <w:sz w:val="24"/>
          <w:szCs w:val="24"/>
          <w:highlight w:val="white"/>
        </w:rPr>
      </w:pPr>
      <w:r>
        <w:rPr>
          <w:rFonts w:ascii="Calibri" w:hAnsi="Calibri" w:cs="Calibri"/>
          <w:sz w:val="24"/>
          <w:szCs w:val="24"/>
          <w:highlight w:val="white"/>
        </w:rPr>
        <w:t>Erdoğan admitted on 30 August 2021 to applying pressure to establish his regime by setting aside the EU acquis for his political gains: "</w:t>
      </w:r>
      <w:r>
        <w:rPr>
          <w:rFonts w:ascii="Times New Roman" w:hAnsi="Times New Roman" w:cs="Times New Roman"/>
          <w:i/>
          <w:iCs/>
          <w:sz w:val="24"/>
          <w:szCs w:val="24"/>
          <w:highlight w:val="white"/>
        </w:rPr>
        <w:t>Like every event our country has experienced recently, the 15 July coup attempt has opened the door to many beneficial developments for our country and nation. We strengthened our sovereignty with local and national equipment not only in our military but also in many critical institutions, including the judiciary and diplomacy.</w:t>
      </w:r>
      <w:r>
        <w:rPr>
          <w:rFonts w:ascii="Calibri" w:hAnsi="Calibri" w:cs="Calibri"/>
          <w:sz w:val="24"/>
          <w:szCs w:val="24"/>
          <w:highlight w:val="white"/>
        </w:rPr>
        <w:t>"</w:t>
      </w:r>
    </w:p>
    <w:p w:rsidR="0079674F" w:rsidRDefault="00EA1B3E">
      <w:pPr>
        <w:pBdr>
          <w:top w:val="none" w:sz="0" w:space="0" w:color="000000"/>
          <w:left w:val="none" w:sz="0" w:space="0" w:color="000000"/>
          <w:bottom w:val="none" w:sz="0" w:space="0" w:color="000000"/>
          <w:right w:val="none" w:sz="0" w:space="0" w:color="000000"/>
        </w:pBdr>
        <w:tabs>
          <w:tab w:val="left" w:pos="1134"/>
        </w:tabs>
        <w:spacing w:before="240" w:after="240"/>
        <w:ind w:right="285"/>
        <w:jc w:val="both"/>
        <w:rPr>
          <w:rFonts w:ascii="Calibri" w:hAnsi="Calibri" w:cs="Calibri"/>
          <w:color w:val="0070C0"/>
          <w:sz w:val="28"/>
          <w:szCs w:val="28"/>
        </w:rPr>
      </w:pPr>
      <w:r>
        <w:rPr>
          <w:rFonts w:ascii="Calibri" w:eastAsia="Calibri" w:hAnsi="Calibri" w:cs="Calibri"/>
          <w:b/>
          <w:color w:val="0070C0"/>
          <w:sz w:val="28"/>
          <w:szCs w:val="28"/>
        </w:rPr>
        <w:lastRenderedPageBreak/>
        <w:t xml:space="preserve">Issues included in LOIPR </w:t>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before="120" w:after="0"/>
        <w:ind w:right="285"/>
        <w:jc w:val="both"/>
        <w:rPr>
          <w:rFonts w:ascii="Calibri" w:hAnsi="Calibri" w:cs="Calibri"/>
          <w:b/>
          <w:color w:val="000000"/>
          <w:sz w:val="28"/>
          <w:szCs w:val="28"/>
          <w:u w:val="single"/>
        </w:rPr>
      </w:pPr>
      <w:r>
        <w:rPr>
          <w:rFonts w:ascii="Calibri" w:eastAsia="Calibri" w:hAnsi="Calibri" w:cs="Calibri"/>
          <w:b/>
          <w:color w:val="2E75B5"/>
          <w:sz w:val="28"/>
          <w:szCs w:val="28"/>
        </w:rPr>
        <w:t>Article 1</w:t>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after="0"/>
        <w:ind w:right="285"/>
        <w:jc w:val="both"/>
        <w:rPr>
          <w:rFonts w:ascii="Calibri" w:hAnsi="Calibri" w:cs="Calibri"/>
          <w:color w:val="2E75B5"/>
          <w:sz w:val="28"/>
          <w:szCs w:val="28"/>
        </w:rPr>
      </w:pPr>
      <w:r>
        <w:rPr>
          <w:rFonts w:ascii="Calibri" w:eastAsia="Calibri" w:hAnsi="Calibri" w:cs="Calibri"/>
          <w:b/>
          <w:color w:val="2E75B5"/>
          <w:sz w:val="28"/>
          <w:szCs w:val="28"/>
        </w:rPr>
        <w:t>3. Criminalization and Definition of Torture</w:t>
      </w:r>
    </w:p>
    <w:p w:rsidR="0079674F" w:rsidRDefault="0079674F">
      <w:pPr>
        <w:pBdr>
          <w:top w:val="none" w:sz="0" w:space="0" w:color="000000"/>
          <w:left w:val="none" w:sz="0" w:space="0" w:color="000000"/>
          <w:bottom w:val="none" w:sz="0" w:space="0" w:color="000000"/>
          <w:right w:val="none" w:sz="0" w:space="0" w:color="000000"/>
          <w:between w:val="none" w:sz="0" w:space="0" w:color="000000"/>
        </w:pBdr>
        <w:tabs>
          <w:tab w:val="left" w:pos="1134"/>
        </w:tabs>
        <w:spacing w:after="0"/>
        <w:ind w:right="285"/>
        <w:jc w:val="both"/>
        <w:rPr>
          <w:rFonts w:ascii="Calibri" w:hAnsi="Calibri" w:cs="Calibri"/>
          <w:b/>
          <w:i/>
          <w:color w:val="000000"/>
          <w:sz w:val="24"/>
          <w:szCs w:val="24"/>
        </w:rPr>
      </w:pP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ind w:right="285"/>
        <w:jc w:val="both"/>
        <w:rPr>
          <w:rFonts w:ascii="Calibri" w:hAnsi="Calibri" w:cs="Calibri"/>
          <w:color w:val="000000"/>
          <w:sz w:val="24"/>
          <w:szCs w:val="24"/>
          <w:highlight w:val="white"/>
        </w:rPr>
      </w:pPr>
      <w:r>
        <w:rPr>
          <w:rFonts w:ascii="Calibri" w:eastAsia="Calibri" w:hAnsi="Calibri" w:cs="Calibri"/>
          <w:b/>
          <w:sz w:val="24"/>
          <w:szCs w:val="24"/>
        </w:rPr>
        <w:t>In Para. 2 of the LOIPR (2018)</w:t>
      </w:r>
    </w:p>
    <w:p w:rsidR="0079674F" w:rsidRDefault="00EA1B3E">
      <w:pPr>
        <w:pBdr>
          <w:top w:val="none" w:sz="0" w:space="0" w:color="000000"/>
          <w:left w:val="none" w:sz="0" w:space="0" w:color="000000"/>
          <w:bottom w:val="none" w:sz="0" w:space="0" w:color="000000"/>
          <w:right w:val="none" w:sz="0" w:space="0" w:color="000000"/>
        </w:pBdr>
        <w:tabs>
          <w:tab w:val="left" w:pos="1134"/>
        </w:tabs>
        <w:spacing w:before="240" w:after="240"/>
        <w:ind w:right="285"/>
        <w:jc w:val="both"/>
        <w:rPr>
          <w:rFonts w:ascii="Calibri" w:hAnsi="Calibri" w:cs="Calibri"/>
          <w:i/>
          <w:sz w:val="24"/>
          <w:szCs w:val="24"/>
          <w:vertAlign w:val="superscript"/>
        </w:rPr>
      </w:pPr>
      <w:r>
        <w:rPr>
          <w:rFonts w:ascii="Calibri" w:eastAsia="Calibri" w:hAnsi="Calibri" w:cs="Calibri"/>
          <w:i/>
          <w:color w:val="000000"/>
          <w:sz w:val="24"/>
          <w:szCs w:val="24"/>
        </w:rPr>
        <w:t>2.</w:t>
      </w:r>
      <w:r>
        <w:rPr>
          <w:rFonts w:ascii="Calibri" w:eastAsia="Calibri" w:hAnsi="Calibri" w:cs="Calibri"/>
          <w:i/>
          <w:color w:val="000000"/>
          <w:sz w:val="24"/>
          <w:szCs w:val="24"/>
        </w:rPr>
        <w:tab/>
      </w:r>
      <w:r>
        <w:rPr>
          <w:rFonts w:ascii="Times New Roman" w:eastAsia="Calibri" w:hAnsi="Times New Roman" w:cs="Times New Roman"/>
          <w:i/>
          <w:color w:val="000000"/>
          <w:sz w:val="24"/>
          <w:szCs w:val="24"/>
        </w:rPr>
        <w:t xml:space="preserve">With reference to the Committee’s previous concluding observations </w:t>
      </w:r>
      <w:proofErr w:type="gramStart"/>
      <w:r>
        <w:rPr>
          <w:rFonts w:ascii="Times New Roman" w:eastAsia="Calibri" w:hAnsi="Times New Roman" w:cs="Times New Roman"/>
          <w:i/>
          <w:color w:val="000000"/>
          <w:sz w:val="24"/>
          <w:szCs w:val="24"/>
        </w:rPr>
        <w:t>(</w:t>
      </w:r>
      <w:proofErr w:type="gramEnd"/>
      <w:r>
        <w:rPr>
          <w:rFonts w:ascii="Times New Roman" w:eastAsia="Calibri" w:hAnsi="Times New Roman" w:cs="Times New Roman"/>
          <w:i/>
          <w:color w:val="000000"/>
          <w:sz w:val="24"/>
          <w:szCs w:val="24"/>
        </w:rPr>
        <w:t xml:space="preserve">para. </w:t>
      </w:r>
      <w:proofErr w:type="gramStart"/>
      <w:r>
        <w:rPr>
          <w:rFonts w:ascii="Times New Roman" w:eastAsia="Calibri" w:hAnsi="Times New Roman" w:cs="Times New Roman"/>
          <w:i/>
          <w:color w:val="000000"/>
          <w:sz w:val="24"/>
          <w:szCs w:val="24"/>
        </w:rPr>
        <w:t>18),1 please provide information on any amendments to article 94 of the Criminal Code that would align it with article 1 of the Convention by (a) identifying the motivational factors or reasons for committing acts of torture; and (b) including in the definition</w:t>
      </w:r>
      <w:r>
        <w:rPr>
          <w:rFonts w:ascii="Times New Roman" w:eastAsia="Calibri" w:hAnsi="Times New Roman" w:cs="Times New Roman"/>
          <w:i/>
          <w:color w:val="000000"/>
          <w:sz w:val="24"/>
          <w:szCs w:val="24"/>
          <w:highlight w:val="white"/>
        </w:rPr>
        <w:t xml:space="preserve">, </w:t>
      </w:r>
      <w:r>
        <w:rPr>
          <w:rFonts w:ascii="Times New Roman" w:eastAsia="Calibri" w:hAnsi="Times New Roman" w:cs="Times New Roman"/>
          <w:i/>
          <w:color w:val="000000"/>
          <w:sz w:val="24"/>
          <w:szCs w:val="24"/>
        </w:rPr>
        <w:t>acts intended to intimidate, coerce or obtain information or a confession from a person other than the victim.</w:t>
      </w:r>
      <w:proofErr w:type="gramEnd"/>
      <w:r>
        <w:rPr>
          <w:rFonts w:ascii="Calibri" w:eastAsia="Calibri" w:hAnsi="Calibri" w:cs="Calibri"/>
          <w:i/>
          <w:sz w:val="24"/>
          <w:szCs w:val="24"/>
          <w:vertAlign w:val="superscript"/>
        </w:rPr>
        <w:footnoteReference w:id="1"/>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ind w:right="285"/>
        <w:jc w:val="both"/>
        <w:rPr>
          <w:rFonts w:ascii="Calibri" w:hAnsi="Calibri" w:cs="Calibri"/>
          <w:b/>
          <w:sz w:val="24"/>
          <w:szCs w:val="24"/>
        </w:rPr>
      </w:pPr>
      <w:r>
        <w:rPr>
          <w:rFonts w:ascii="Calibri" w:eastAsia="Calibri" w:hAnsi="Calibri" w:cs="Calibri"/>
          <w:b/>
          <w:sz w:val="24"/>
          <w:szCs w:val="24"/>
        </w:rPr>
        <w:t>In State party’s response (para 8,9)</w:t>
      </w:r>
    </w:p>
    <w:p w:rsidR="0079674F" w:rsidRDefault="00EA1B3E">
      <w:pPr>
        <w:pBdr>
          <w:top w:val="none" w:sz="0" w:space="0" w:color="000000"/>
          <w:left w:val="none" w:sz="0" w:space="0" w:color="000000"/>
          <w:bottom w:val="none" w:sz="0" w:space="0" w:color="000000"/>
          <w:right w:val="none" w:sz="0" w:space="0" w:color="000000"/>
        </w:pBdr>
        <w:tabs>
          <w:tab w:val="left" w:pos="1134"/>
        </w:tabs>
        <w:spacing w:before="240" w:after="240"/>
        <w:ind w:right="285"/>
        <w:jc w:val="both"/>
        <w:rPr>
          <w:rFonts w:ascii="Times New Roman" w:hAnsi="Times New Roman" w:cs="Times New Roman"/>
          <w:i/>
          <w:color w:val="000000"/>
          <w:sz w:val="24"/>
          <w:szCs w:val="24"/>
        </w:rPr>
      </w:pPr>
      <w:r>
        <w:rPr>
          <w:rFonts w:ascii="Calibri" w:eastAsia="Calibri" w:hAnsi="Calibri" w:cs="Calibri"/>
          <w:i/>
          <w:color w:val="000000"/>
          <w:sz w:val="24"/>
          <w:szCs w:val="24"/>
        </w:rPr>
        <w:t>8.</w:t>
      </w:r>
      <w:r>
        <w:rPr>
          <w:rFonts w:ascii="Calibri" w:eastAsia="Calibri" w:hAnsi="Calibri" w:cs="Calibri"/>
          <w:i/>
          <w:color w:val="000000"/>
          <w:sz w:val="24"/>
          <w:szCs w:val="24"/>
        </w:rPr>
        <w:tab/>
      </w:r>
      <w:r>
        <w:rPr>
          <w:rFonts w:ascii="Times New Roman" w:eastAsia="Calibri" w:hAnsi="Times New Roman" w:cs="Times New Roman"/>
          <w:i/>
          <w:color w:val="000000"/>
          <w:sz w:val="24"/>
          <w:szCs w:val="24"/>
        </w:rPr>
        <w:t>According to Article 90/5 of the Constitution, international agreements duly put into effec</w:t>
      </w:r>
      <w:r>
        <w:rPr>
          <w:rFonts w:ascii="Times New Roman" w:eastAsia="Calibri" w:hAnsi="Times New Roman" w:cs="Times New Roman"/>
          <w:i/>
          <w:color w:val="000000"/>
          <w:sz w:val="24"/>
          <w:szCs w:val="24"/>
          <w:highlight w:val="white"/>
        </w:rPr>
        <w:t xml:space="preserve">t, </w:t>
      </w:r>
      <w:r>
        <w:rPr>
          <w:rFonts w:ascii="Times New Roman" w:eastAsia="Calibri" w:hAnsi="Times New Roman" w:cs="Times New Roman"/>
          <w:i/>
          <w:color w:val="000000"/>
          <w:sz w:val="24"/>
          <w:szCs w:val="24"/>
        </w:rPr>
        <w:t xml:space="preserve">have the force of law. Turkey acceded to the UN Convention against Torture and Other Cruel, Inhuman or Degrading Treatment or Punishment on August 2, 1988. The crime of torture is defined in Article 94/1 of the TPC in line with the Convention. In practice, Article 94 of the TPC and Article 1 of the Convention are applied together. In addition, forcing to testify or to make a statement by torture is prohibited in Article 148/1 of the CCP. </w:t>
      </w:r>
    </w:p>
    <w:p w:rsidR="0079674F" w:rsidRDefault="00EA1B3E">
      <w:pPr>
        <w:pBdr>
          <w:top w:val="none" w:sz="0" w:space="0" w:color="000000"/>
          <w:left w:val="none" w:sz="0" w:space="0" w:color="000000"/>
          <w:bottom w:val="none" w:sz="0" w:space="0" w:color="000000"/>
          <w:right w:val="none" w:sz="0" w:space="0" w:color="000000"/>
        </w:pBdr>
        <w:tabs>
          <w:tab w:val="left" w:pos="1134"/>
        </w:tabs>
        <w:spacing w:before="240" w:after="240"/>
        <w:ind w:right="285"/>
        <w:jc w:val="both"/>
        <w:rPr>
          <w:rFonts w:ascii="Calibri" w:hAnsi="Calibri" w:cs="Calibri"/>
          <w:color w:val="000000"/>
          <w:sz w:val="24"/>
          <w:szCs w:val="24"/>
        </w:rPr>
      </w:pPr>
      <w:r>
        <w:rPr>
          <w:rFonts w:ascii="Calibri" w:eastAsia="Calibri" w:hAnsi="Calibri" w:cs="Calibri"/>
          <w:i/>
          <w:color w:val="000000"/>
          <w:sz w:val="24"/>
          <w:szCs w:val="24"/>
        </w:rPr>
        <w:t>9.</w:t>
      </w:r>
      <w:r>
        <w:rPr>
          <w:rFonts w:ascii="Calibri" w:eastAsia="Calibri" w:hAnsi="Calibri" w:cs="Calibri"/>
          <w:i/>
          <w:color w:val="000000"/>
          <w:sz w:val="24"/>
          <w:szCs w:val="24"/>
        </w:rPr>
        <w:tab/>
      </w:r>
      <w:r>
        <w:rPr>
          <w:rFonts w:ascii="Times New Roman" w:eastAsia="Calibri" w:hAnsi="Times New Roman" w:cs="Times New Roman"/>
          <w:i/>
          <w:color w:val="000000"/>
          <w:sz w:val="24"/>
          <w:szCs w:val="24"/>
        </w:rPr>
        <w:t>In the decision dated 13.12.2012 of the Court of Cassation, it is noted that for the existence of the crime of torture, act of intentional injuries are not mandatory; it was emphasized that continuing and frequently repeated ill-treatment may also constitute the crime of torture</w:t>
      </w:r>
      <w:r>
        <w:rPr>
          <w:rFonts w:ascii="Calibri" w:eastAsia="Calibri" w:hAnsi="Calibri" w:cs="Calibri"/>
          <w:i/>
          <w:color w:val="000000"/>
          <w:sz w:val="24"/>
          <w:szCs w:val="24"/>
        </w:rPr>
        <w:t>.</w:t>
      </w:r>
      <w:r>
        <w:rPr>
          <w:rFonts w:ascii="Calibri" w:eastAsia="Calibri" w:hAnsi="Calibri" w:cs="Calibri"/>
          <w:i/>
          <w:sz w:val="24"/>
          <w:szCs w:val="24"/>
          <w:vertAlign w:val="superscript"/>
        </w:rPr>
        <w:footnoteReference w:id="2"/>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b/>
          <w:bCs/>
          <w:sz w:val="24"/>
          <w:szCs w:val="24"/>
        </w:rPr>
      </w:pPr>
      <w:r>
        <w:rPr>
          <w:rFonts w:ascii="Calibri" w:hAnsi="Calibri" w:cs="Calibri"/>
          <w:b/>
          <w:bCs/>
          <w:sz w:val="24"/>
          <w:szCs w:val="24"/>
        </w:rPr>
        <w:t>Assessment:</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highlight w:val="white"/>
        </w:rPr>
      </w:pPr>
      <w:r>
        <w:rPr>
          <w:rFonts w:ascii="Calibri" w:hAnsi="Calibri" w:cs="Calibri"/>
          <w:sz w:val="24"/>
          <w:szCs w:val="24"/>
        </w:rPr>
        <w:t xml:space="preserve">Regardless of the reasons, there is a risk of being subjected to torture, cruel, inhuman, or degrading treatment or punishment in places where individuals are deprived of their liberty. Efforts to create </w:t>
      </w:r>
      <w:proofErr w:type="gramStart"/>
      <w:r>
        <w:rPr>
          <w:rFonts w:ascii="Calibri" w:hAnsi="Calibri" w:cs="Calibri"/>
          <w:sz w:val="24"/>
          <w:szCs w:val="24"/>
        </w:rPr>
        <w:t xml:space="preserve">mechanisms  </w:t>
      </w:r>
      <w:r>
        <w:rPr>
          <w:rFonts w:ascii="Calibri" w:hAnsi="Calibri" w:cs="Calibri"/>
          <w:sz w:val="24"/>
          <w:szCs w:val="24"/>
          <w:highlight w:val="white"/>
        </w:rPr>
        <w:t>can</w:t>
      </w:r>
      <w:proofErr w:type="gramEnd"/>
      <w:r>
        <w:rPr>
          <w:rFonts w:ascii="Calibri" w:hAnsi="Calibri" w:cs="Calibri"/>
          <w:sz w:val="24"/>
          <w:szCs w:val="24"/>
          <w:highlight w:val="white"/>
        </w:rPr>
        <w:t xml:space="preserve"> </w:t>
      </w:r>
      <w:r>
        <w:rPr>
          <w:rFonts w:ascii="Calibri" w:hAnsi="Calibri" w:cs="Calibri"/>
          <w:sz w:val="24"/>
          <w:szCs w:val="24"/>
        </w:rPr>
        <w:t>prevent this risk from materializing. Following the declaration of the state of emergency after July 15, 2016, mass detentions and investigations have led to increased allegations of torture in detention centers and prisons. Court records, national and international observation delegations, and reports have identified numerous cases of torture, human rights violations, and abuses. Moreover, in torture cases, the frequently experienced and identified coercion to become informants, forced signing of false documents, threats against family members, sexual humiliation, intimidation, and blackmail indicate that law enforcement officers act with political and legal motivati</w:t>
      </w:r>
      <w:r>
        <w:rPr>
          <w:rFonts w:ascii="Calibri" w:hAnsi="Calibri" w:cs="Calibri"/>
          <w:sz w:val="24"/>
          <w:szCs w:val="24"/>
          <w:highlight w:val="white"/>
        </w:rPr>
        <w:t>ons.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proofErr w:type="gramStart"/>
      <w:r>
        <w:rPr>
          <w:rFonts w:ascii="Calibri" w:hAnsi="Calibri" w:cs="Calibri"/>
          <w:sz w:val="24"/>
          <w:szCs w:val="24"/>
        </w:rPr>
        <w:t xml:space="preserve">The Committee's request from Turkey is to align the definition of torture in TPC Article 94 with the definition of torture in Article 1 of the UN Convention against Torture by specifically mentioning acts that should be considered torture, such as coercing a person to testify or confess, or forcing them to make false statements. </w:t>
      </w:r>
      <w:proofErr w:type="gramEnd"/>
      <w:r>
        <w:rPr>
          <w:rFonts w:ascii="Calibri" w:hAnsi="Calibri" w:cs="Calibri"/>
          <w:sz w:val="24"/>
          <w:szCs w:val="24"/>
        </w:rPr>
        <w:t xml:space="preserve">However, Turkey has not addressed this request and has misleadingly claimed that coercion to testify is </w:t>
      </w:r>
      <w:r>
        <w:rPr>
          <w:rFonts w:ascii="Calibri" w:hAnsi="Calibri" w:cs="Calibri"/>
          <w:sz w:val="24"/>
          <w:szCs w:val="24"/>
        </w:rPr>
        <w:lastRenderedPageBreak/>
        <w:t xml:space="preserve">prohibited under CCP Article 148/1, thus </w:t>
      </w:r>
      <w:r>
        <w:rPr>
          <w:rFonts w:ascii="Calibri" w:hAnsi="Calibri" w:cs="Calibri"/>
          <w:sz w:val="24"/>
          <w:szCs w:val="24"/>
          <w:highlight w:val="white"/>
        </w:rPr>
        <w:t>misinforming t</w:t>
      </w:r>
      <w:r>
        <w:rPr>
          <w:rFonts w:ascii="Calibri" w:hAnsi="Calibri" w:cs="Calibri"/>
          <w:sz w:val="24"/>
          <w:szCs w:val="24"/>
        </w:rPr>
        <w:t>he Committee. This response implies that ac</w:t>
      </w:r>
      <w:r>
        <w:rPr>
          <w:rFonts w:ascii="Calibri" w:hAnsi="Calibri" w:cs="Calibri"/>
          <w:sz w:val="24"/>
          <w:szCs w:val="24"/>
          <w:highlight w:val="white"/>
        </w:rPr>
        <w:t xml:space="preserve">ts which </w:t>
      </w:r>
      <w:r>
        <w:rPr>
          <w:rFonts w:ascii="Calibri" w:hAnsi="Calibri" w:cs="Calibri"/>
          <w:sz w:val="24"/>
          <w:szCs w:val="24"/>
        </w:rPr>
        <w:t>should be considered torture under the Convention are instead treated as less severe interrogation methods under the CCP, making the definition of torture in the TPC more abstract compared to the Convention.</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Although Turkey's response asserts that the national legislation is in line with the UN Convention, the Convention's definition of torture includes not only physical pain or suffering but also psychological pain and coercion directed at another person. Despite Turkey's claim that TPC Article 94 is applied in conjunction with the Convention's Article 1, the increased cases of torture during the state of emergency indicate non-compliance with the Convention, as the requested specific definition and motivational factors are not explicitly stated, misleading the Committee. This legal gap has created a continuous motivation for law enforcement and prison officers to commit new acts of torture. This situation presents a contradiction, showing Turkey's inadequacy in fully complying with the international convention.</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b/>
          <w:bCs/>
          <w:sz w:val="24"/>
          <w:szCs w:val="24"/>
        </w:rPr>
      </w:pPr>
      <w:r>
        <w:rPr>
          <w:rFonts w:ascii="Calibri" w:hAnsi="Calibri" w:cs="Calibri"/>
          <w:b/>
          <w:bCs/>
          <w:sz w:val="24"/>
          <w:szCs w:val="24"/>
        </w:rPr>
        <w:t>Case Study 1</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 xml:space="preserve"> </w:t>
      </w:r>
      <w:r>
        <w:rPr>
          <w:rFonts w:ascii="Calibri" w:hAnsi="Calibri" w:cs="Calibri"/>
          <w:sz w:val="24"/>
          <w:szCs w:val="24"/>
          <w:highlight w:val="white"/>
        </w:rPr>
        <w:t>During the trial of 64 individuals accused by the Turkish government of being members of FETÖ in Kırıkkale, allegations of torture emerged.</w:t>
      </w:r>
      <w:r>
        <w:rPr>
          <w:rFonts w:ascii="Calibri" w:hAnsi="Calibri" w:cs="Calibri"/>
          <w:sz w:val="24"/>
          <w:szCs w:val="24"/>
        </w:rPr>
        <w:t xml:space="preserve"> At the first hearing, seven defendants reported that they had been tortured by the police and coerced into</w:t>
      </w:r>
      <w:r>
        <w:rPr>
          <w:rFonts w:ascii="Calibri" w:hAnsi="Calibri" w:cs="Calibri"/>
          <w:sz w:val="24"/>
          <w:szCs w:val="24"/>
          <w:highlight w:val="white"/>
        </w:rPr>
        <w:t xml:space="preserve"> making f</w:t>
      </w:r>
      <w:r>
        <w:rPr>
          <w:rFonts w:ascii="Calibri" w:hAnsi="Calibri" w:cs="Calibri"/>
          <w:sz w:val="24"/>
          <w:szCs w:val="24"/>
        </w:rPr>
        <w:t>alse statements.</w:t>
      </w:r>
      <w:r>
        <w:rPr>
          <w:rFonts w:ascii="Calibri" w:hAnsi="Calibri" w:cs="Calibri"/>
          <w:sz w:val="24"/>
          <w:szCs w:val="24"/>
          <w:highlight w:val="white"/>
        </w:rPr>
        <w:t xml:space="preserve"> The de</w:t>
      </w:r>
      <w:r>
        <w:rPr>
          <w:rFonts w:ascii="Calibri" w:hAnsi="Calibri" w:cs="Calibri"/>
          <w:sz w:val="24"/>
          <w:szCs w:val="24"/>
        </w:rPr>
        <w:t>fendants included police officers, teachers, and other public officials. H.K</w:t>
      </w:r>
      <w:proofErr w:type="gramStart"/>
      <w:r>
        <w:rPr>
          <w:rFonts w:ascii="Calibri" w:hAnsi="Calibri" w:cs="Calibri"/>
          <w:sz w:val="24"/>
          <w:szCs w:val="24"/>
        </w:rPr>
        <w:t>.,</w:t>
      </w:r>
      <w:proofErr w:type="gramEnd"/>
      <w:r>
        <w:rPr>
          <w:rFonts w:ascii="Calibri" w:hAnsi="Calibri" w:cs="Calibri"/>
          <w:sz w:val="24"/>
          <w:szCs w:val="24"/>
        </w:rPr>
        <w:t xml:space="preserve"> a kindergarten director, detailed in court the severe torture, including sexual torture, he endured during interrogation at the Kırıkkale Anti-Terrorism Branch. H.K.'s wife reported that when she visited him, he was in a terrible condition and had been tortured. The court instructed the prosecutor's office to investigate the allegations, but due to the confidentiality of the investigation, it was not possible to obtain details.</w:t>
      </w:r>
      <w:r>
        <w:rPr>
          <w:rFonts w:ascii="Calibri" w:eastAsia="Calibri" w:hAnsi="Calibri" w:cs="Calibri"/>
          <w:sz w:val="24"/>
          <w:szCs w:val="24"/>
          <w:vertAlign w:val="superscript"/>
        </w:rPr>
        <w:footnoteReference w:id="3"/>
      </w:r>
    </w:p>
    <w:p w:rsidR="0079674F" w:rsidRDefault="00EA1B3E">
      <w:pPr>
        <w:tabs>
          <w:tab w:val="left" w:pos="1134"/>
        </w:tabs>
        <w:ind w:right="285"/>
        <w:jc w:val="both"/>
        <w:rPr>
          <w:rFonts w:ascii="Calibri" w:hAnsi="Calibri" w:cs="Calibri"/>
          <w:i/>
          <w:color w:val="0D0D0D"/>
          <w:sz w:val="28"/>
          <w:szCs w:val="28"/>
          <w:highlight w:val="white"/>
        </w:rPr>
      </w:pPr>
      <w:r>
        <w:rPr>
          <w:rFonts w:ascii="Calibri" w:eastAsia="Calibri" w:hAnsi="Calibri" w:cs="Calibri"/>
          <w:b/>
          <w:color w:val="2E75B5"/>
          <w:sz w:val="28"/>
          <w:szCs w:val="28"/>
        </w:rPr>
        <w:t xml:space="preserve"> Article 2</w:t>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after="0"/>
        <w:ind w:right="285"/>
        <w:jc w:val="both"/>
        <w:rPr>
          <w:rFonts w:ascii="Calibri" w:hAnsi="Calibri" w:cs="Calibri"/>
          <w:b/>
          <w:color w:val="2E75B5"/>
          <w:sz w:val="28"/>
          <w:szCs w:val="28"/>
        </w:rPr>
      </w:pPr>
      <w:r>
        <w:rPr>
          <w:rFonts w:ascii="Calibri" w:eastAsia="Calibri" w:hAnsi="Calibri" w:cs="Calibri"/>
          <w:b/>
          <w:color w:val="2E75B5"/>
          <w:sz w:val="28"/>
          <w:szCs w:val="28"/>
        </w:rPr>
        <w:t>4. State of emergency</w:t>
      </w:r>
    </w:p>
    <w:p w:rsidR="0079674F" w:rsidRDefault="0079674F">
      <w:pPr>
        <w:pBdr>
          <w:top w:val="none" w:sz="0" w:space="0" w:color="000000"/>
          <w:left w:val="none" w:sz="0" w:space="0" w:color="000000"/>
          <w:bottom w:val="none" w:sz="0" w:space="0" w:color="000000"/>
          <w:right w:val="none" w:sz="0" w:space="0" w:color="000000"/>
          <w:between w:val="none" w:sz="0" w:space="0" w:color="000000"/>
        </w:pBdr>
        <w:tabs>
          <w:tab w:val="left" w:pos="1134"/>
        </w:tabs>
        <w:spacing w:after="0"/>
        <w:ind w:right="285"/>
        <w:jc w:val="both"/>
        <w:rPr>
          <w:rFonts w:ascii="Calibri" w:hAnsi="Calibri" w:cs="Calibri"/>
          <w:color w:val="000000"/>
          <w:sz w:val="24"/>
          <w:szCs w:val="24"/>
        </w:rPr>
      </w:pPr>
    </w:p>
    <w:p w:rsidR="0079674F" w:rsidRDefault="00EA1B3E">
      <w:pPr>
        <w:tabs>
          <w:tab w:val="left" w:pos="1134"/>
        </w:tabs>
        <w:ind w:right="285"/>
        <w:jc w:val="both"/>
        <w:rPr>
          <w:rFonts w:ascii="Calibri" w:hAnsi="Calibri" w:cs="Calibri"/>
          <w:sz w:val="24"/>
          <w:szCs w:val="24"/>
        </w:rPr>
      </w:pPr>
      <w:r>
        <w:rPr>
          <w:rFonts w:ascii="Calibri" w:eastAsia="Calibri" w:hAnsi="Calibri" w:cs="Calibri"/>
          <w:b/>
          <w:sz w:val="24"/>
          <w:szCs w:val="24"/>
        </w:rPr>
        <w:t>In Para. 3 of the LOIPR (2018)</w:t>
      </w:r>
    </w:p>
    <w:p w:rsidR="0079674F" w:rsidRDefault="00EA1B3E">
      <w:pPr>
        <w:tabs>
          <w:tab w:val="left" w:pos="1134"/>
        </w:tabs>
        <w:ind w:right="285"/>
        <w:jc w:val="both"/>
        <w:rPr>
          <w:rFonts w:ascii="Times New Roman" w:hAnsi="Times New Roman" w:cs="Times New Roman"/>
          <w:sz w:val="24"/>
          <w:szCs w:val="24"/>
        </w:rPr>
      </w:pPr>
      <w:proofErr w:type="gramStart"/>
      <w:r>
        <w:rPr>
          <w:rFonts w:ascii="Times New Roman" w:eastAsia="Calibri" w:hAnsi="Times New Roman" w:cs="Times New Roman"/>
          <w:i/>
          <w:sz w:val="24"/>
          <w:szCs w:val="24"/>
        </w:rPr>
        <w:t>With reference to the request for additional information sent on 31 August 2016 by the Committee’s Chair and its Rapporteur for follow-up to concluding observations, and recalling article 2 (2) of the Convention against Torture, which states that “no exceptional circumstances whatsoever, whether a state of war or a threat of war, internal political instability or any other public emergency, may be invoked as a justification of torture”, please provide updated information on the declaration of the Government of Turkey addressed to the Secretary-General on 21 July 2016 expressing its intention to take measures which may involve derogations of its obligations under a number of articles of the International Covenant on Civil and Political Rights, including articles 2, 3, 9, 10, 12, 13, 14, 17, 19, 21, 22, 25, 26 and 27</w:t>
      </w:r>
      <w:proofErr w:type="gramEnd"/>
    </w:p>
    <w:p w:rsidR="0079674F" w:rsidRDefault="00EA1B3E">
      <w:pPr>
        <w:pBdr>
          <w:top w:val="none" w:sz="0" w:space="0" w:color="000000"/>
          <w:left w:val="none" w:sz="0" w:space="0" w:color="000000"/>
          <w:bottom w:val="none" w:sz="0" w:space="0" w:color="000000"/>
          <w:right w:val="none" w:sz="0" w:space="0" w:color="000000"/>
        </w:pBdr>
        <w:tabs>
          <w:tab w:val="left" w:pos="1134"/>
        </w:tabs>
        <w:ind w:right="285"/>
        <w:jc w:val="both"/>
        <w:rPr>
          <w:rFonts w:ascii="Calibri" w:eastAsia="Calibri" w:hAnsi="Calibri" w:cs="Calibri"/>
          <w:b/>
          <w:bCs/>
          <w:sz w:val="24"/>
          <w:szCs w:val="24"/>
        </w:rPr>
      </w:pPr>
      <w:r>
        <w:rPr>
          <w:rFonts w:ascii="Calibri" w:eastAsia="Calibri" w:hAnsi="Calibri" w:cs="Calibri"/>
          <w:b/>
          <w:sz w:val="24"/>
          <w:szCs w:val="24"/>
        </w:rPr>
        <w:t xml:space="preserve">In State party’s response </w:t>
      </w:r>
      <w:proofErr w:type="gramStart"/>
      <w:r>
        <w:rPr>
          <w:rFonts w:ascii="Calibri" w:eastAsia="Calibri" w:hAnsi="Calibri" w:cs="Calibri"/>
          <w:b/>
          <w:sz w:val="24"/>
          <w:szCs w:val="24"/>
        </w:rPr>
        <w:t>(</w:t>
      </w:r>
      <w:proofErr w:type="gramEnd"/>
      <w:r>
        <w:rPr>
          <w:rFonts w:ascii="Calibri" w:eastAsia="Calibri" w:hAnsi="Calibri" w:cs="Calibri"/>
          <w:b/>
          <w:sz w:val="24"/>
          <w:szCs w:val="24"/>
        </w:rPr>
        <w:t>para. 10)</w:t>
      </w:r>
    </w:p>
    <w:p w:rsidR="0079674F" w:rsidRDefault="00EA1B3E">
      <w:pPr>
        <w:tabs>
          <w:tab w:val="left" w:pos="1134"/>
        </w:tabs>
        <w:ind w:right="285"/>
        <w:jc w:val="both"/>
        <w:rPr>
          <w:rFonts w:ascii="Times New Roman" w:hAnsi="Times New Roman" w:cs="Times New Roman"/>
          <w:sz w:val="24"/>
          <w:szCs w:val="24"/>
        </w:rPr>
      </w:pPr>
      <w:r>
        <w:rPr>
          <w:rFonts w:ascii="Times New Roman" w:eastAsia="Calibri" w:hAnsi="Times New Roman" w:cs="Times New Roman"/>
          <w:i/>
          <w:sz w:val="24"/>
          <w:szCs w:val="24"/>
        </w:rPr>
        <w:t xml:space="preserve">The SoE, which was declared on 21 July 2016 was terminated on 19 July 2018. Notifications of derogation were duly revoked as of the same date. Turkey has implemented the SoE measures in accordance with its </w:t>
      </w:r>
      <w:r>
        <w:rPr>
          <w:rFonts w:ascii="Times New Roman" w:eastAsia="Calibri" w:hAnsi="Times New Roman" w:cs="Times New Roman"/>
          <w:i/>
          <w:sz w:val="24"/>
          <w:szCs w:val="24"/>
        </w:rPr>
        <w:lastRenderedPageBreak/>
        <w:t>international obligations and observed the principles of necessity, proportionality and legality (see Context section).</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b/>
          <w:bCs/>
          <w:sz w:val="24"/>
          <w:szCs w:val="24"/>
        </w:rPr>
      </w:pPr>
      <w:r>
        <w:rPr>
          <w:rFonts w:ascii="Calibri" w:hAnsi="Calibri" w:cs="Calibri"/>
          <w:b/>
          <w:bCs/>
          <w:sz w:val="24"/>
          <w:szCs w:val="24"/>
        </w:rPr>
        <w:t>Assessment:</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Article 2 of the Convention states: "Each State Party shall take effective legislative, administrative, judicial, or other measures to prevent acts of torture in any territory under its jurisdiction. No exceptional circumstances whatsoever, whether a state of war or a threat of war, internal political instability, or any other public emergency, may be invoked as a justification of torture. An order from a superior officer or a public authority may not be invoked as a justification of torture."</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 xml:space="preserve">Between 2016 and 2018, during the state of emergency (OHAL), the number of decrees issued reached 32. According to official </w:t>
      </w:r>
      <w:proofErr w:type="gramStart"/>
      <w:r>
        <w:rPr>
          <w:rFonts w:ascii="Calibri" w:hAnsi="Calibri" w:cs="Calibri"/>
          <w:sz w:val="24"/>
          <w:szCs w:val="24"/>
        </w:rPr>
        <w:t>data</w:t>
      </w:r>
      <w:proofErr w:type="gramEnd"/>
      <w:r>
        <w:rPr>
          <w:rFonts w:ascii="Calibri" w:hAnsi="Calibri" w:cs="Calibri"/>
          <w:sz w:val="24"/>
          <w:szCs w:val="24"/>
        </w:rPr>
        <w:t>, 160,000 people were detained, more than 70,000 were arrested, and 155,000 were investigated for membership in an 'armed terrorist organization.' The OHAL decrees extended the detention period to 30 days. By the end of 2016, this period was reduced to a maximum of 14 days at the beginning of 2017 following warnings from the Council of Europe. Access to lawyers during detention was limited by Decree No. 668 in July 2016, giving public prosecutors the authority to restrict detainees' access to lawyers for up to five days. This period was later reduced to 24 hours by another decree. The Ministry of Interior investigated 45,415 social media accounts for reasons such as "propaganda for terrorist organizations, insulting state officials, and hate speech." As a result of these investigations, legal action was taken against 17,089 individuals.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 xml:space="preserve">In June 2018, TİHV (Turkish Human Rights Foundation) and İHD (Human Rights Association) released a statement sharing the following </w:t>
      </w:r>
      <w:proofErr w:type="gramStart"/>
      <w:r>
        <w:rPr>
          <w:rFonts w:ascii="Calibri" w:hAnsi="Calibri" w:cs="Calibri"/>
          <w:sz w:val="24"/>
          <w:szCs w:val="24"/>
        </w:rPr>
        <w:t>data</w:t>
      </w:r>
      <w:proofErr w:type="gramEnd"/>
      <w:r>
        <w:rPr>
          <w:rFonts w:ascii="Calibri" w:hAnsi="Calibri" w:cs="Calibri"/>
          <w:sz w:val="24"/>
          <w:szCs w:val="24"/>
        </w:rPr>
        <w:t xml:space="preserve"> on allegations of torture:</w:t>
      </w:r>
      <w:r>
        <w:rPr>
          <w:rFonts w:ascii="Calibri" w:eastAsia="Calibri" w:hAnsi="Calibri" w:cs="Calibri"/>
          <w:color w:val="000000"/>
          <w:sz w:val="24"/>
          <w:szCs w:val="24"/>
          <w:vertAlign w:val="superscript"/>
        </w:rPr>
        <w:footnoteReference w:id="4"/>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Calibri" w:hAnsi="Calibri" w:cs="Calibri"/>
          <w:color w:val="000000"/>
          <w:sz w:val="24"/>
          <w:szCs w:val="24"/>
        </w:rPr>
        <w:t>"</w:t>
      </w:r>
      <w:r>
        <w:rPr>
          <w:rFonts w:ascii="Calibri" w:eastAsia="Times New Roman" w:hAnsi="Calibri" w:cs="Calibri"/>
          <w:color w:val="000000"/>
          <w:sz w:val="24"/>
          <w:szCs w:val="24"/>
        </w:rPr>
        <w:t xml:space="preserve">In 2017, among the 616 people who applied to TİHV, 12 were abroad, and 564 reported being subjected to torture in one or multiple locations. Of these, 272 stated they were tortured in police headquarters, and 55 in police stations and other official detention centers. Additionally, 226 applicants reported being tortured or ill-treated in public spaces during demonstrations, and 70 reported similar experiences at home or in their workplaces. It has been observed that practices in unofficial detention locations have reached alarming levels. According to applications and investigations by İHD, 5,268 people claimed they were tortured in 2017. As of the </w:t>
      </w:r>
      <w:proofErr w:type="gramStart"/>
      <w:r>
        <w:rPr>
          <w:rFonts w:ascii="Calibri" w:eastAsia="Times New Roman" w:hAnsi="Calibri" w:cs="Calibri"/>
          <w:color w:val="000000"/>
          <w:sz w:val="24"/>
          <w:szCs w:val="24"/>
        </w:rPr>
        <w:t>data</w:t>
      </w:r>
      <w:proofErr w:type="gramEnd"/>
      <w:r>
        <w:rPr>
          <w:rFonts w:ascii="Calibri" w:eastAsia="Times New Roman" w:hAnsi="Calibri" w:cs="Calibri"/>
          <w:color w:val="000000"/>
          <w:sz w:val="24"/>
          <w:szCs w:val="24"/>
        </w:rPr>
        <w:t xml:space="preserve"> released by İHD on May 30, 2017, there were 11 cases of enforced disappearances, mostly in Ankara. Four of these individuals were later released, and one committed suicide. In 2018, there was one more case of enforced disappearance. The whereabouts of eight individuals are still unknown.</w:t>
      </w:r>
      <w:r>
        <w:rPr>
          <w:rFonts w:ascii="Calibri" w:eastAsia="Calibri" w:hAnsi="Calibri" w:cs="Calibri"/>
          <w:color w:val="000000"/>
          <w:sz w:val="24"/>
          <w:szCs w:val="24"/>
        </w:rPr>
        <w:t>"</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Calibri" w:hAnsi="Calibri" w:cs="Calibri"/>
          <w:color w:val="000000"/>
          <w:sz w:val="24"/>
          <w:szCs w:val="24"/>
        </w:rPr>
        <w:tab/>
      </w:r>
      <w:r>
        <w:rPr>
          <w:rFonts w:ascii="Calibri" w:hAnsi="Calibri" w:cs="Calibri"/>
          <w:sz w:val="24"/>
          <w:szCs w:val="24"/>
        </w:rPr>
        <w:t>During the state of emergency (OHAL) period, the decrees issued imposed serious restrictions on individual rights and freedoms, as well as the right to defense, disregarding the sanctity of the right to life. This period created an environment where the prohibition of torture was not adhered to, with torturers being encouraged and protected. The legal guarantees for this situation were reinforced with OHAL decrees. Decrees No. 667 and 668, among others, ensured that state officials performing acts during the OHAL period would not be held criminally, legally, financially, or administratively liable, effectively guaranteeing impunity and opening the door to arbitrary actions. Decree No. 696 further extended this impunity to civilians, thus broadening complicity and state-sanctioned violence. According to</w:t>
      </w:r>
      <w:r>
        <w:rPr>
          <w:rFonts w:ascii="Calibri" w:hAnsi="Calibri" w:cs="Calibri"/>
          <w:sz w:val="24"/>
          <w:szCs w:val="24"/>
          <w:highlight w:val="white"/>
        </w:rPr>
        <w:t xml:space="preserve"> </w:t>
      </w:r>
      <w:proofErr w:type="gramStart"/>
      <w:r>
        <w:rPr>
          <w:rFonts w:ascii="Calibri" w:hAnsi="Calibri" w:cs="Calibri"/>
          <w:sz w:val="24"/>
          <w:szCs w:val="24"/>
          <w:highlight w:val="white"/>
        </w:rPr>
        <w:t>data</w:t>
      </w:r>
      <w:proofErr w:type="gramEnd"/>
      <w:r>
        <w:rPr>
          <w:rFonts w:ascii="Calibri" w:hAnsi="Calibri" w:cs="Calibri"/>
          <w:sz w:val="24"/>
          <w:szCs w:val="24"/>
        </w:rPr>
        <w:t xml:space="preserve"> of Ministry of Justice, in 2016, 42 </w:t>
      </w:r>
      <w:r>
        <w:rPr>
          <w:rFonts w:ascii="Calibri" w:hAnsi="Calibri" w:cs="Calibri"/>
          <w:sz w:val="24"/>
          <w:szCs w:val="24"/>
        </w:rPr>
        <w:lastRenderedPageBreak/>
        <w:t xml:space="preserve">cases were filed under Article 94 of the Turkish Penal Code (TPC) for torture, while 340 cases were filed for the lesser offense of torment. In contrast, the number of counter-lawsuits filed under TPC Article 265 for "resistance to police" was 26,195. This </w:t>
      </w:r>
      <w:proofErr w:type="gramStart"/>
      <w:r>
        <w:rPr>
          <w:rFonts w:ascii="Calibri" w:hAnsi="Calibri" w:cs="Calibri"/>
          <w:sz w:val="24"/>
          <w:szCs w:val="24"/>
        </w:rPr>
        <w:t>data</w:t>
      </w:r>
      <w:proofErr w:type="gramEnd"/>
      <w:r>
        <w:rPr>
          <w:rFonts w:ascii="Calibri" w:hAnsi="Calibri" w:cs="Calibri"/>
          <w:sz w:val="24"/>
          <w:szCs w:val="24"/>
        </w:rPr>
        <w:t xml:space="preserve"> illustrates how the method of filing counter-lawsuits is systematically used as a deterrent to intimidate victims from lodging complaints against their torturers. All these issues highlight that impunity is the most significant obstacle in the fight against</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proofErr w:type="gramStart"/>
      <w:r>
        <w:rPr>
          <w:rFonts w:ascii="Calibri" w:hAnsi="Calibri" w:cs="Calibri"/>
          <w:sz w:val="24"/>
          <w:szCs w:val="24"/>
        </w:rPr>
        <w:t xml:space="preserve">In the third paragraph, with reference to the Committee's observation report A/HRC/37/50/Add.1, paragraphs 24 and 57, Turkey has not taken any measures or made any statements regarding the need to take measures related to the obligations set forth in articles 2, 3, 9, 10, 12, 13, 14, 17, 19, 21, 22, 25, 26, and 27 of the International Covenant on Civil and Political Rights. Thus, it can be said that Turkey arbitrarily violated the civil and political rights of all Turkish citizens, which are inherently granted to them, such as the rights to freedom, non-discrimination, security, protection against arbitrary arrest, freedom of movement, privacy, freedom of expression, freedom of assembly and association, and the right to a fair trial. </w:t>
      </w:r>
      <w:proofErr w:type="gramEnd"/>
      <w:r>
        <w:rPr>
          <w:rFonts w:ascii="Calibri" w:hAnsi="Calibri" w:cs="Calibri"/>
          <w:sz w:val="24"/>
          <w:szCs w:val="24"/>
        </w:rPr>
        <w:t xml:space="preserve">These violations, especially during the state of emergency (OHAL), are evident both in the mentioned reports and in the </w:t>
      </w:r>
      <w:proofErr w:type="gramStart"/>
      <w:r>
        <w:rPr>
          <w:rFonts w:ascii="Calibri" w:hAnsi="Calibri" w:cs="Calibri"/>
          <w:sz w:val="24"/>
          <w:szCs w:val="24"/>
        </w:rPr>
        <w:t>data</w:t>
      </w:r>
      <w:proofErr w:type="gramEnd"/>
      <w:r>
        <w:rPr>
          <w:rFonts w:ascii="Calibri" w:hAnsi="Calibri" w:cs="Calibri"/>
          <w:sz w:val="24"/>
          <w:szCs w:val="24"/>
        </w:rPr>
        <w:t xml:space="preserve"> provided by human rights organizations. Additionally, Turkey has failed to take necessary measures and initiate effective and deterrent investigations within the scope of these violated rights.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Calibri" w:hAnsi="Calibri" w:cs="Calibri"/>
          <w:color w:val="000000"/>
          <w:sz w:val="24"/>
          <w:szCs w:val="24"/>
        </w:rPr>
        <w:tab/>
      </w:r>
      <w:r>
        <w:rPr>
          <w:rFonts w:ascii="Calibri" w:hAnsi="Calibri" w:cs="Calibri"/>
          <w:sz w:val="24"/>
          <w:szCs w:val="24"/>
        </w:rPr>
        <w:t xml:space="preserve">In conclusion, during the state of emergency (OHAL) measures implemented between July 21, 2016, and July 18, 2018, </w:t>
      </w:r>
      <w:proofErr w:type="gramStart"/>
      <w:r>
        <w:rPr>
          <w:rFonts w:ascii="Calibri" w:hAnsi="Calibri" w:cs="Calibri"/>
          <w:sz w:val="24"/>
          <w:szCs w:val="24"/>
        </w:rPr>
        <w:t xml:space="preserve">Turkey  </w:t>
      </w:r>
      <w:r>
        <w:rPr>
          <w:rFonts w:ascii="Calibri" w:hAnsi="Calibri" w:cs="Calibri"/>
          <w:sz w:val="24"/>
          <w:szCs w:val="24"/>
          <w:highlight w:val="white"/>
        </w:rPr>
        <w:t>failed</w:t>
      </w:r>
      <w:proofErr w:type="gramEnd"/>
      <w:r>
        <w:rPr>
          <w:rFonts w:ascii="Calibri" w:hAnsi="Calibri" w:cs="Calibri"/>
          <w:sz w:val="24"/>
          <w:szCs w:val="24"/>
          <w:highlight w:val="white"/>
        </w:rPr>
        <w:t xml:space="preserve"> to</w:t>
      </w:r>
      <w:r>
        <w:rPr>
          <w:rFonts w:ascii="Calibri" w:hAnsi="Calibri" w:cs="Calibri"/>
          <w:sz w:val="24"/>
          <w:szCs w:val="24"/>
        </w:rPr>
        <w:t xml:space="preserve"> comply with its international obligations and  </w:t>
      </w:r>
      <w:r>
        <w:rPr>
          <w:rFonts w:ascii="Calibri" w:hAnsi="Calibri" w:cs="Calibri"/>
          <w:sz w:val="24"/>
          <w:szCs w:val="24"/>
          <w:highlight w:val="white"/>
        </w:rPr>
        <w:t xml:space="preserve">did not </w:t>
      </w:r>
      <w:r>
        <w:rPr>
          <w:rFonts w:ascii="Calibri" w:hAnsi="Calibri" w:cs="Calibri"/>
          <w:sz w:val="24"/>
          <w:szCs w:val="24"/>
        </w:rPr>
        <w:t>adhere to the principles of necessity, proportionality, and legality. As a result, cases of torture and ill-treatment significantly increased during the OHAL period. The restrictive legal applications of the OHAL period created an environment where law enforcement's arbitrary actions and ill-treatment could thrive by removing transparency from detention and investigation processes. Generally, the OHAL rules and laws obstructed and perpetuated mechanisms meant to prevent and detect torture and human rights violations.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During this period, the complete politicization of the judiciary</w:t>
      </w:r>
      <w:r>
        <w:rPr>
          <w:rStyle w:val="DipnotBavurusu"/>
          <w:rFonts w:ascii="Calibri" w:hAnsi="Calibri" w:cs="Calibri"/>
          <w:sz w:val="24"/>
          <w:szCs w:val="24"/>
        </w:rPr>
        <w:footnoteReference w:id="5"/>
      </w:r>
      <w:r>
        <w:rPr>
          <w:rFonts w:ascii="Calibri" w:hAnsi="Calibri" w:cs="Calibri"/>
          <w:sz w:val="24"/>
          <w:szCs w:val="24"/>
        </w:rPr>
        <w:t xml:space="preserve">, along with the easy arrest and intimidation of judges, prosecutors, and lawyers, led to many torture allegations being covered up and not investigated. Despite the Committee's reminder that the prohibition of torture cannot be compromised even in extraordinary circumstances, Turkey failed to provide satisfactory answers while violating the relevant treaty articles. Moreover, by enacting decrees (KHKs) that provided legal immunity for public officials involved in these crimes, Turkey implicitly encouraged acts of torture and ill-treatment by </w:t>
      </w:r>
      <w:r>
        <w:rPr>
          <w:rFonts w:ascii="Calibri" w:hAnsi="Calibri" w:cs="Calibri"/>
          <w:sz w:val="24"/>
          <w:szCs w:val="24"/>
          <w:highlight w:val="white"/>
        </w:rPr>
        <w:t xml:space="preserve">these </w:t>
      </w:r>
      <w:r>
        <w:rPr>
          <w:rFonts w:ascii="Calibri" w:hAnsi="Calibri" w:cs="Calibri"/>
          <w:sz w:val="24"/>
          <w:szCs w:val="24"/>
        </w:rPr>
        <w:t>officials. This situation is reflected in the increased cases of torture and ill-treatment reported by numerous national and international human rights monitoring organizations during the OHAL period.</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b/>
          <w:bCs/>
          <w:sz w:val="24"/>
          <w:szCs w:val="24"/>
        </w:rPr>
      </w:pPr>
      <w:r>
        <w:rPr>
          <w:rFonts w:ascii="Calibri" w:hAnsi="Calibri" w:cs="Calibri"/>
          <w:b/>
          <w:bCs/>
          <w:sz w:val="24"/>
          <w:szCs w:val="24"/>
        </w:rPr>
        <w:t>Case Study 2</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highlight w:val="white"/>
        </w:rPr>
        <w:t>Lawyer A stated to Human Rights Watch:</w:t>
      </w:r>
      <w:r>
        <w:rPr>
          <w:rFonts w:ascii="Calibri" w:hAnsi="Calibri" w:cs="Calibri"/>
          <w:sz w:val="24"/>
          <w:szCs w:val="24"/>
        </w:rPr>
        <w:t xml:space="preserve"> "My client B.O. was detained on April 26, 2017, and held at the Financial Crimes branch in Ankara in connection with a FETÖ operation. </w:t>
      </w:r>
      <w:r>
        <w:rPr>
          <w:rFonts w:ascii="Calibri" w:hAnsi="Calibri" w:cs="Calibri"/>
          <w:sz w:val="24"/>
          <w:szCs w:val="24"/>
          <w:highlight w:val="white"/>
        </w:rPr>
        <w:t>When I visited him, he started crying as he entered the meeting room, believing he would be interrogated and tortured.</w:t>
      </w:r>
      <w:r>
        <w:rPr>
          <w:rFonts w:ascii="Calibri" w:hAnsi="Calibri" w:cs="Calibri"/>
          <w:sz w:val="24"/>
          <w:szCs w:val="24"/>
        </w:rPr>
        <w:t xml:space="preserve"> He did</w:t>
      </w:r>
      <w:r>
        <w:rPr>
          <w:rFonts w:ascii="Calibri" w:hAnsi="Calibri" w:cs="Calibri"/>
          <w:sz w:val="24"/>
          <w:szCs w:val="24"/>
          <w:highlight w:val="white"/>
        </w:rPr>
        <w:t xml:space="preserve">n’t </w:t>
      </w:r>
      <w:r>
        <w:rPr>
          <w:rFonts w:ascii="Calibri" w:hAnsi="Calibri" w:cs="Calibri"/>
          <w:sz w:val="24"/>
          <w:szCs w:val="24"/>
        </w:rPr>
        <w:t xml:space="preserve">believe he was meeting with a lawyer. Since there was no police officer present during our meeting, he was able to tell me what the other detainees had experienced. According to </w:t>
      </w:r>
      <w:r>
        <w:rPr>
          <w:rFonts w:ascii="Calibri" w:hAnsi="Calibri" w:cs="Calibri"/>
          <w:sz w:val="24"/>
          <w:szCs w:val="24"/>
          <w:highlight w:val="white"/>
        </w:rPr>
        <w:t>him</w:t>
      </w:r>
      <w:r>
        <w:rPr>
          <w:rFonts w:ascii="Calibri" w:hAnsi="Calibri" w:cs="Calibri"/>
          <w:sz w:val="24"/>
          <w:szCs w:val="24"/>
        </w:rPr>
        <w:t>, they were taken for interrogation one by one, and when they returned, they reported being stripped naked, sexually assaulted with a bottle, and beaten.</w:t>
      </w:r>
      <w:r>
        <w:rPr>
          <w:rFonts w:ascii="Calibri" w:hAnsi="Calibri" w:cs="Calibri"/>
          <w:sz w:val="24"/>
          <w:szCs w:val="24"/>
          <w:highlight w:val="white"/>
        </w:rPr>
        <w:t xml:space="preserve">  One individual's </w:t>
      </w:r>
      <w:r>
        <w:rPr>
          <w:rFonts w:ascii="Calibri" w:hAnsi="Calibri" w:cs="Calibri"/>
          <w:sz w:val="24"/>
          <w:szCs w:val="24"/>
        </w:rPr>
        <w:t xml:space="preserve">head had been beaten so badly that he was vomiting and nauseous for days. Concerned for </w:t>
      </w:r>
      <w:r>
        <w:rPr>
          <w:rFonts w:ascii="Calibri" w:hAnsi="Calibri" w:cs="Calibri"/>
          <w:sz w:val="24"/>
          <w:szCs w:val="24"/>
        </w:rPr>
        <w:lastRenderedPageBreak/>
        <w:t xml:space="preserve">my client, I </w:t>
      </w:r>
      <w:proofErr w:type="gramStart"/>
      <w:r>
        <w:rPr>
          <w:rFonts w:ascii="Calibri" w:hAnsi="Calibri" w:cs="Calibri"/>
          <w:sz w:val="24"/>
          <w:szCs w:val="24"/>
        </w:rPr>
        <w:t xml:space="preserve">reported  </w:t>
      </w:r>
      <w:r>
        <w:rPr>
          <w:rFonts w:ascii="Calibri" w:hAnsi="Calibri" w:cs="Calibri"/>
          <w:sz w:val="24"/>
          <w:szCs w:val="24"/>
          <w:highlight w:val="white"/>
        </w:rPr>
        <w:t>his</w:t>
      </w:r>
      <w:proofErr w:type="gramEnd"/>
      <w:r>
        <w:rPr>
          <w:rFonts w:ascii="Calibri" w:hAnsi="Calibri" w:cs="Calibri"/>
          <w:sz w:val="24"/>
          <w:szCs w:val="24"/>
          <w:highlight w:val="white"/>
        </w:rPr>
        <w:t xml:space="preserve"> statements</w:t>
      </w:r>
      <w:r>
        <w:rPr>
          <w:rFonts w:ascii="Calibri" w:hAnsi="Calibri" w:cs="Calibri"/>
          <w:sz w:val="24"/>
          <w:szCs w:val="24"/>
        </w:rPr>
        <w:t xml:space="preserve"> to the Ankara Bar Association. </w:t>
      </w:r>
      <w:r>
        <w:rPr>
          <w:rFonts w:ascii="Calibri" w:hAnsi="Calibri" w:cs="Calibri"/>
          <w:sz w:val="24"/>
          <w:szCs w:val="24"/>
          <w:highlight w:val="white"/>
        </w:rPr>
        <w:t xml:space="preserve"> On May 6, the court decided</w:t>
      </w:r>
      <w:r>
        <w:rPr>
          <w:rFonts w:ascii="Calibri" w:hAnsi="Calibri" w:cs="Calibri"/>
          <w:sz w:val="24"/>
          <w:szCs w:val="24"/>
        </w:rPr>
        <w:t xml:space="preserve"> to arrest him, and he is currently held in Sincan F-Type Prison. B.O. gave his statement on May 6, 2017, at the Ankara 2nd </w:t>
      </w:r>
      <w:proofErr w:type="gramStart"/>
      <w:r>
        <w:rPr>
          <w:rFonts w:ascii="Calibri" w:hAnsi="Calibri" w:cs="Calibri"/>
          <w:sz w:val="24"/>
          <w:szCs w:val="24"/>
        </w:rPr>
        <w:t xml:space="preserve">Criminal  </w:t>
      </w:r>
      <w:r>
        <w:rPr>
          <w:rFonts w:ascii="Calibri" w:hAnsi="Calibri" w:cs="Calibri"/>
          <w:sz w:val="24"/>
          <w:szCs w:val="24"/>
          <w:highlight w:val="white"/>
        </w:rPr>
        <w:t>Court</w:t>
      </w:r>
      <w:proofErr w:type="gramEnd"/>
      <w:r>
        <w:rPr>
          <w:rFonts w:ascii="Calibri" w:hAnsi="Calibri" w:cs="Calibri"/>
          <w:sz w:val="24"/>
          <w:szCs w:val="24"/>
        </w:rPr>
        <w:t xml:space="preserve"> of Peace. The judge decided to arrest him along with nine</w:t>
      </w:r>
      <w:r>
        <w:rPr>
          <w:rFonts w:ascii="Calibri" w:hAnsi="Calibri" w:cs="Calibri"/>
          <w:sz w:val="24"/>
          <w:szCs w:val="24"/>
          <w:highlight w:val="white"/>
        </w:rPr>
        <w:t xml:space="preserve"> others.</w:t>
      </w:r>
      <w:r>
        <w:rPr>
          <w:rFonts w:ascii="Calibri" w:hAnsi="Calibri" w:cs="Calibri"/>
          <w:sz w:val="24"/>
          <w:szCs w:val="24"/>
        </w:rPr>
        <w:t xml:space="preserve"> Court records (2017/528) show that two of these individuals, S.K. and Y.S</w:t>
      </w:r>
      <w:proofErr w:type="gramStart"/>
      <w:r>
        <w:rPr>
          <w:rFonts w:ascii="Calibri" w:hAnsi="Calibri" w:cs="Calibri"/>
          <w:sz w:val="24"/>
          <w:szCs w:val="24"/>
        </w:rPr>
        <w:t>.,</w:t>
      </w:r>
      <w:proofErr w:type="gramEnd"/>
      <w:r>
        <w:rPr>
          <w:rFonts w:ascii="Calibri" w:hAnsi="Calibri" w:cs="Calibri"/>
          <w:sz w:val="24"/>
          <w:szCs w:val="24"/>
        </w:rPr>
        <w:t xml:space="preserve"> stated in court that they had been mistreated by the police. Both reported being stripped naked, threatened with rape, and insulted. The judge did not ask any questions about these allegations, nor was there any indication that an investigation into these claims was initiated." </w:t>
      </w:r>
      <w:r>
        <w:rPr>
          <w:rFonts w:ascii="Calibri" w:eastAsia="Calibri" w:hAnsi="Calibri" w:cs="Calibri"/>
          <w:color w:val="000000"/>
          <w:sz w:val="24"/>
          <w:szCs w:val="24"/>
          <w:vertAlign w:val="superscript"/>
        </w:rPr>
        <w:footnoteReference w:id="6"/>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b/>
          <w:bCs/>
          <w:sz w:val="24"/>
          <w:szCs w:val="24"/>
        </w:rPr>
      </w:pPr>
      <w:r>
        <w:rPr>
          <w:rFonts w:ascii="Calibri" w:hAnsi="Calibri" w:cs="Calibri"/>
          <w:b/>
          <w:bCs/>
          <w:sz w:val="24"/>
          <w:szCs w:val="24"/>
        </w:rPr>
        <w:t>Case Study 3</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eastAsia="Calibri" w:hAnsi="Calibri" w:cs="Calibri"/>
          <w:color w:val="000000"/>
          <w:sz w:val="24"/>
          <w:szCs w:val="24"/>
          <w:vertAlign w:val="superscript"/>
        </w:rPr>
      </w:pPr>
      <w:r>
        <w:rPr>
          <w:rFonts w:ascii="Calibri" w:hAnsi="Calibri" w:cs="Calibri"/>
          <w:sz w:val="24"/>
          <w:szCs w:val="24"/>
          <w:highlight w:val="white"/>
        </w:rPr>
        <w:t xml:space="preserve"> Lawyer E stated to Human Rights Watch: 'When I visited my client, police officer A.K</w:t>
      </w:r>
      <w:proofErr w:type="gramStart"/>
      <w:r>
        <w:rPr>
          <w:rFonts w:ascii="Calibri" w:hAnsi="Calibri" w:cs="Calibri"/>
          <w:sz w:val="24"/>
          <w:szCs w:val="24"/>
          <w:highlight w:val="white"/>
        </w:rPr>
        <w:t>.,</w:t>
      </w:r>
      <w:proofErr w:type="gramEnd"/>
      <w:r>
        <w:rPr>
          <w:rFonts w:ascii="Calibri" w:hAnsi="Calibri" w:cs="Calibri"/>
          <w:sz w:val="24"/>
          <w:szCs w:val="24"/>
          <w:highlight w:val="white"/>
        </w:rPr>
        <w:t xml:space="preserve"> who was detained at the Ankara Anti-Terrorism Branch on April 29, I observed that he could neither stand nor sit properly. </w:t>
      </w:r>
      <w:r>
        <w:rPr>
          <w:rFonts w:ascii="Calibri" w:hAnsi="Calibri" w:cs="Calibri"/>
          <w:sz w:val="24"/>
          <w:szCs w:val="24"/>
        </w:rPr>
        <w:t xml:space="preserve">A.K. told me that he had been beaten, stripped, forced to squat over a bottle, and threatened with rape using the bottle. The lawyer filed a complaint on May 8, but the prosecutor dismissed the case on May 30, citing that A.K. did not report mistreatment during his detention and that there was no evidence of mistreatment in security camera footage or medical reports. </w:t>
      </w:r>
      <w:r>
        <w:rPr>
          <w:rFonts w:ascii="Calibri" w:hAnsi="Calibri" w:cs="Calibri"/>
          <w:sz w:val="24"/>
          <w:szCs w:val="24"/>
          <w:highlight w:val="white"/>
        </w:rPr>
        <w:t xml:space="preserve">Human Rights Watch also reviewed this decision. </w:t>
      </w:r>
      <w:r>
        <w:rPr>
          <w:rFonts w:ascii="Calibri" w:hAnsi="Calibri" w:cs="Calibri"/>
          <w:sz w:val="24"/>
          <w:szCs w:val="24"/>
        </w:rPr>
        <w:t xml:space="preserve">A.K. appealed the prosecutor's decision. The appeal petition,  </w:t>
      </w:r>
      <w:r>
        <w:rPr>
          <w:rFonts w:ascii="Calibri" w:hAnsi="Calibri" w:cs="Calibri"/>
          <w:sz w:val="24"/>
          <w:szCs w:val="24"/>
          <w:highlight w:val="white"/>
        </w:rPr>
        <w:t xml:space="preserve">reviewed </w:t>
      </w:r>
      <w:r>
        <w:rPr>
          <w:rFonts w:ascii="Calibri" w:hAnsi="Calibri" w:cs="Calibri"/>
          <w:sz w:val="24"/>
          <w:szCs w:val="24"/>
        </w:rPr>
        <w:t xml:space="preserve">by Human Rights Watch, included a report from a private doctor obtained immediately after his release from detention, which confirmed a broken rib and stated that his interrogation took place in a room without security cameras. These facts were completely ignored by the prosecutor." </w:t>
      </w:r>
      <w:r>
        <w:rPr>
          <w:rFonts w:ascii="Calibri" w:eastAsia="Calibri" w:hAnsi="Calibri" w:cs="Calibri"/>
          <w:color w:val="000000"/>
          <w:sz w:val="24"/>
          <w:szCs w:val="24"/>
          <w:vertAlign w:val="superscript"/>
        </w:rPr>
        <w:footnoteReference w:id="7"/>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after="120" w:line="240" w:lineRule="auto"/>
        <w:ind w:right="285"/>
        <w:jc w:val="both"/>
        <w:rPr>
          <w:rFonts w:ascii="Calibri" w:hAnsi="Calibri" w:cs="Calibri"/>
          <w:i/>
          <w:color w:val="000000"/>
          <w:sz w:val="28"/>
          <w:szCs w:val="28"/>
        </w:rPr>
      </w:pPr>
      <w:r>
        <w:rPr>
          <w:rFonts w:ascii="Calibri" w:eastAsia="Calibri" w:hAnsi="Calibri" w:cs="Calibri"/>
          <w:b/>
          <w:color w:val="2E75B5"/>
          <w:sz w:val="28"/>
          <w:szCs w:val="28"/>
        </w:rPr>
        <w:t>Article 2</w:t>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after="0" w:line="240" w:lineRule="auto"/>
        <w:ind w:right="285"/>
        <w:jc w:val="both"/>
        <w:rPr>
          <w:rFonts w:ascii="Calibri" w:eastAsia="Calibri" w:hAnsi="Calibri" w:cs="Calibri"/>
          <w:b/>
          <w:bCs/>
          <w:color w:val="2E75B5"/>
          <w:sz w:val="28"/>
          <w:szCs w:val="28"/>
        </w:rPr>
      </w:pPr>
      <w:r>
        <w:rPr>
          <w:rFonts w:ascii="Calibri" w:eastAsia="Calibri" w:hAnsi="Calibri" w:cs="Calibri"/>
          <w:b/>
          <w:color w:val="2E75B5"/>
          <w:sz w:val="28"/>
          <w:szCs w:val="28"/>
        </w:rPr>
        <w:t xml:space="preserve">5.Fundamental legal safeguards </w:t>
      </w:r>
    </w:p>
    <w:p w:rsidR="0079674F" w:rsidRDefault="0079674F">
      <w:pPr>
        <w:pBdr>
          <w:top w:val="none" w:sz="0" w:space="0" w:color="000000"/>
          <w:left w:val="none" w:sz="0" w:space="0" w:color="000000"/>
          <w:bottom w:val="none" w:sz="0" w:space="0" w:color="000000"/>
          <w:right w:val="none" w:sz="0" w:space="0" w:color="000000"/>
          <w:between w:val="none" w:sz="0" w:space="0" w:color="000000"/>
        </w:pBdr>
        <w:tabs>
          <w:tab w:val="left" w:pos="1134"/>
        </w:tabs>
        <w:spacing w:after="0" w:line="240" w:lineRule="auto"/>
        <w:ind w:right="285"/>
        <w:jc w:val="both"/>
        <w:rPr>
          <w:rFonts w:ascii="Calibri" w:hAnsi="Calibri" w:cs="Calibri"/>
          <w:b/>
          <w:bCs/>
          <w:color w:val="2E75B5"/>
          <w:sz w:val="28"/>
          <w:szCs w:val="28"/>
        </w:rPr>
      </w:pP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after="120" w:line="240" w:lineRule="auto"/>
        <w:ind w:right="285"/>
        <w:jc w:val="both"/>
        <w:rPr>
          <w:rFonts w:ascii="Calibri" w:hAnsi="Calibri" w:cs="Calibri"/>
          <w:b/>
          <w:color w:val="0D0D0D"/>
          <w:sz w:val="24"/>
          <w:szCs w:val="24"/>
          <w:highlight w:val="white"/>
        </w:rPr>
      </w:pPr>
      <w:r>
        <w:rPr>
          <w:rFonts w:ascii="Calibri" w:eastAsia="Calibri" w:hAnsi="Calibri" w:cs="Calibri"/>
          <w:b/>
          <w:color w:val="0D0D0D"/>
          <w:sz w:val="24"/>
          <w:szCs w:val="24"/>
          <w:highlight w:val="white"/>
        </w:rPr>
        <w:t xml:space="preserve">In Para.4 of the LOIPR (2018) </w:t>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after="120" w:line="360" w:lineRule="auto"/>
        <w:ind w:right="285"/>
        <w:jc w:val="both"/>
        <w:rPr>
          <w:rFonts w:ascii="Calibri" w:hAnsi="Calibri" w:cs="Calibri"/>
          <w:b/>
          <w:color w:val="0D0D0D"/>
          <w:sz w:val="24"/>
          <w:szCs w:val="24"/>
          <w:highlight w:val="white"/>
        </w:rPr>
      </w:pPr>
      <w:r>
        <w:rPr>
          <w:rFonts w:ascii="Calibri" w:eastAsia="Calibri" w:hAnsi="Calibri" w:cs="Calibri"/>
          <w:b/>
          <w:color w:val="0D0D0D"/>
          <w:sz w:val="24"/>
          <w:szCs w:val="24"/>
          <w:highlight w:val="white"/>
        </w:rPr>
        <w:t>Summary is as follows</w:t>
      </w:r>
      <w:r>
        <w:rPr>
          <w:rFonts w:ascii="Calibri" w:eastAsia="Calibri" w:hAnsi="Calibri" w:cs="Calibri"/>
          <w:b/>
          <w:color w:val="0D0D0D"/>
          <w:sz w:val="24"/>
          <w:szCs w:val="24"/>
        </w:rPr>
        <w:t>;</w:t>
      </w:r>
    </w:p>
    <w:p w:rsidR="0079674F" w:rsidRDefault="00EA1B3E">
      <w:pPr>
        <w:tabs>
          <w:tab w:val="left" w:pos="1134"/>
        </w:tabs>
        <w:ind w:right="285"/>
        <w:jc w:val="both"/>
        <w:rPr>
          <w:rFonts w:ascii="Calibri" w:hAnsi="Calibri" w:cs="Calibri"/>
          <w:i/>
          <w:sz w:val="24"/>
          <w:szCs w:val="24"/>
        </w:rPr>
      </w:pPr>
      <w:r>
        <w:rPr>
          <w:rFonts w:ascii="Times New Roman" w:eastAsia="Calibri" w:hAnsi="Times New Roman" w:cs="Times New Roman"/>
          <w:i/>
          <w:sz w:val="24"/>
          <w:szCs w:val="24"/>
        </w:rPr>
        <w:t xml:space="preserve">The Committee seeks information on measures to ensure that detained </w:t>
      </w:r>
      <w:proofErr w:type="gramStart"/>
      <w:r>
        <w:rPr>
          <w:rFonts w:ascii="Times New Roman" w:eastAsia="Calibri" w:hAnsi="Times New Roman" w:cs="Times New Roman"/>
          <w:i/>
          <w:sz w:val="24"/>
          <w:szCs w:val="24"/>
        </w:rPr>
        <w:t xml:space="preserve">individuals </w:t>
      </w:r>
      <w:r>
        <w:rPr>
          <w:rFonts w:ascii="Times New Roman" w:eastAsia="Calibri" w:hAnsi="Times New Roman" w:cs="Times New Roman"/>
          <w:i/>
          <w:sz w:val="24"/>
          <w:szCs w:val="24"/>
          <w:highlight w:val="white"/>
        </w:rPr>
        <w:t xml:space="preserve"> provided</w:t>
      </w:r>
      <w:proofErr w:type="gramEnd"/>
      <w:r>
        <w:rPr>
          <w:rFonts w:ascii="Times New Roman" w:eastAsia="Calibri" w:hAnsi="Times New Roman" w:cs="Times New Roman"/>
          <w:i/>
          <w:sz w:val="24"/>
          <w:szCs w:val="24"/>
          <w:highlight w:val="white"/>
        </w:rPr>
        <w:t xml:space="preserve"> with </w:t>
      </w:r>
      <w:r>
        <w:rPr>
          <w:rFonts w:ascii="Times New Roman" w:eastAsia="Calibri" w:hAnsi="Times New Roman" w:cs="Times New Roman"/>
          <w:i/>
          <w:sz w:val="24"/>
          <w:szCs w:val="24"/>
        </w:rPr>
        <w:t xml:space="preserve">fundamental legal safeguards from the start of their detention and are promptly brought before a judge. Specifically, they request details on the implementation of Decree Law No. 684, which reduced the maximum detention period without charge from 30 days to 7 days (extendable by another 7 days), and whether this leads to incommunicado detention. The Committee also inquires about efforts to reduce police custody to 24-48 hours and the frequency of denying access to a lawyer for the first 24 hours </w:t>
      </w:r>
      <w:proofErr w:type="gramStart"/>
      <w:r>
        <w:rPr>
          <w:rFonts w:ascii="Times New Roman" w:eastAsia="Calibri" w:hAnsi="Times New Roman" w:cs="Times New Roman"/>
          <w:i/>
          <w:sz w:val="24"/>
          <w:szCs w:val="24"/>
        </w:rPr>
        <w:t>under  counter</w:t>
      </w:r>
      <w:proofErr w:type="gramEnd"/>
      <w:r>
        <w:rPr>
          <w:rFonts w:ascii="Times New Roman" w:eastAsia="Calibri" w:hAnsi="Times New Roman" w:cs="Times New Roman"/>
          <w:i/>
          <w:sz w:val="24"/>
          <w:szCs w:val="24"/>
        </w:rPr>
        <w:t>-terrorism law.</w:t>
      </w:r>
    </w:p>
    <w:p w:rsidR="0079674F" w:rsidRDefault="00EA1B3E">
      <w:pPr>
        <w:tabs>
          <w:tab w:val="left" w:pos="1134"/>
        </w:tabs>
        <w:ind w:right="285"/>
        <w:jc w:val="both"/>
        <w:rPr>
          <w:rFonts w:ascii="Calibri" w:hAnsi="Calibri" w:cs="Calibri"/>
          <w:b/>
          <w:color w:val="0D0D0D"/>
          <w:sz w:val="24"/>
          <w:szCs w:val="24"/>
          <w:highlight w:val="white"/>
        </w:rPr>
      </w:pPr>
      <w:r>
        <w:rPr>
          <w:rFonts w:ascii="Calibri" w:eastAsia="Calibri" w:hAnsi="Calibri" w:cs="Calibri"/>
          <w:b/>
          <w:color w:val="0D0D0D"/>
          <w:sz w:val="24"/>
          <w:szCs w:val="24"/>
          <w:highlight w:val="white"/>
        </w:rPr>
        <w:t xml:space="preserve"> In State party’s response </w:t>
      </w:r>
      <w:proofErr w:type="gramStart"/>
      <w:r>
        <w:rPr>
          <w:rFonts w:ascii="Calibri" w:eastAsia="Calibri" w:hAnsi="Calibri" w:cs="Calibri"/>
          <w:b/>
          <w:color w:val="0D0D0D"/>
          <w:sz w:val="24"/>
          <w:szCs w:val="24"/>
          <w:highlight w:val="white"/>
        </w:rPr>
        <w:t>(</w:t>
      </w:r>
      <w:proofErr w:type="gramEnd"/>
      <w:r>
        <w:rPr>
          <w:rFonts w:ascii="Calibri" w:eastAsia="Calibri" w:hAnsi="Calibri" w:cs="Calibri"/>
          <w:b/>
          <w:color w:val="0D0D0D"/>
          <w:sz w:val="24"/>
          <w:szCs w:val="24"/>
          <w:highlight w:val="white"/>
        </w:rPr>
        <w:t xml:space="preserve">para. </w:t>
      </w:r>
      <w:proofErr w:type="gramStart"/>
      <w:r>
        <w:rPr>
          <w:rFonts w:ascii="Calibri" w:eastAsia="Calibri" w:hAnsi="Calibri" w:cs="Calibri"/>
          <w:b/>
          <w:color w:val="0D0D0D"/>
          <w:sz w:val="24"/>
          <w:szCs w:val="24"/>
          <w:highlight w:val="white"/>
        </w:rPr>
        <w:t>11,12,13,14,15,16,17,18,19,20,21</w:t>
      </w:r>
      <w:proofErr w:type="gramEnd"/>
      <w:r>
        <w:rPr>
          <w:rFonts w:ascii="Calibri" w:eastAsia="Calibri" w:hAnsi="Calibri" w:cs="Calibri"/>
          <w:b/>
          <w:color w:val="0D0D0D"/>
          <w:sz w:val="24"/>
          <w:szCs w:val="24"/>
          <w:highlight w:val="white"/>
        </w:rPr>
        <w:t>) after reviewing;</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b/>
          <w:bCs/>
          <w:sz w:val="24"/>
          <w:szCs w:val="24"/>
        </w:rPr>
      </w:pPr>
      <w:r>
        <w:rPr>
          <w:rFonts w:ascii="Calibri" w:hAnsi="Calibri" w:cs="Calibri"/>
          <w:b/>
          <w:bCs/>
          <w:sz w:val="24"/>
          <w:szCs w:val="24"/>
        </w:rPr>
        <w:t>Assessment:</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 xml:space="preserve">The discrepancies between Turkey's responses to the United Nations Committee against Torture and the actual human rights situation in the country are evidenced by various international human rights reports and case </w:t>
      </w:r>
      <w:r>
        <w:rPr>
          <w:rFonts w:ascii="Calibri" w:hAnsi="Calibri" w:cs="Calibri"/>
          <w:sz w:val="24"/>
          <w:szCs w:val="24"/>
          <w:highlight w:val="white"/>
        </w:rPr>
        <w:t>studies.</w:t>
      </w:r>
      <w:r>
        <w:rPr>
          <w:rFonts w:ascii="Calibri" w:hAnsi="Calibri" w:cs="Calibri"/>
          <w:sz w:val="24"/>
          <w:szCs w:val="24"/>
        </w:rPr>
        <w:t xml:space="preserve"> The extraordinary measures taken by the government following the coup attempt, including </w:t>
      </w:r>
      <w:r>
        <w:rPr>
          <w:rFonts w:ascii="Calibri" w:hAnsi="Calibri" w:cs="Calibri"/>
          <w:sz w:val="24"/>
          <w:szCs w:val="24"/>
        </w:rPr>
        <w:lastRenderedPageBreak/>
        <w:t>detentions, arrests, and media control mechanisms, reveal significant human rights violations not reflected in Turkey's responses.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 xml:space="preserve">Following the July 15, 2016 coup attempt, the Turkish government enacted emergency measures (OHAL), including expanded detention powers </w:t>
      </w:r>
      <w:r>
        <w:rPr>
          <w:rFonts w:ascii="Calibri" w:hAnsi="Calibri" w:cs="Calibri"/>
          <w:sz w:val="24"/>
          <w:szCs w:val="24"/>
          <w:highlight w:val="white"/>
        </w:rPr>
        <w:t>under Article 90 of the Code of Criminal Procedure (CMK),</w:t>
      </w:r>
      <w:r>
        <w:rPr>
          <w:rFonts w:ascii="Calibri" w:hAnsi="Calibri" w:cs="Calibri"/>
          <w:sz w:val="24"/>
          <w:szCs w:val="24"/>
        </w:rPr>
        <w:t xml:space="preserve"> leading to the violation of a series of fundamental legal safeguards. These broad powers have legitimized practices that would be unacceptable under normal conditions, providing local authorities and law enforcement agencies with excessive discretionary power.</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 xml:space="preserve">These measures resulted in widespread arbitrary detentions and arrests, as well as restrictions on media freedom, contributing to a climate where human rights abuses could occur with impunity. The responses provided by Turkey to the Committee do not accurately represent the extent of these violations, which have </w:t>
      </w:r>
      <w:proofErr w:type="gramStart"/>
      <w:r>
        <w:rPr>
          <w:rFonts w:ascii="Calibri" w:hAnsi="Calibri" w:cs="Calibri"/>
          <w:sz w:val="24"/>
          <w:szCs w:val="24"/>
        </w:rPr>
        <w:t xml:space="preserve">been </w:t>
      </w:r>
      <w:r>
        <w:rPr>
          <w:rFonts w:ascii="Calibri" w:hAnsi="Calibri" w:cs="Calibri"/>
          <w:sz w:val="24"/>
          <w:szCs w:val="24"/>
          <w:highlight w:val="white"/>
        </w:rPr>
        <w:t xml:space="preserve"> extensively</w:t>
      </w:r>
      <w:proofErr w:type="gramEnd"/>
      <w:r>
        <w:rPr>
          <w:rFonts w:ascii="Calibri" w:hAnsi="Calibri" w:cs="Calibri"/>
          <w:sz w:val="24"/>
          <w:szCs w:val="24"/>
          <w:highlight w:val="white"/>
        </w:rPr>
        <w:t xml:space="preserve"> documented b</w:t>
      </w:r>
      <w:r>
        <w:rPr>
          <w:rFonts w:ascii="Calibri" w:hAnsi="Calibri" w:cs="Calibri"/>
          <w:sz w:val="24"/>
          <w:szCs w:val="24"/>
        </w:rPr>
        <w:t>y international human rights organizations.</w:t>
      </w:r>
    </w:p>
    <w:p w:rsidR="0079674F" w:rsidRDefault="0079674F">
      <w:pPr>
        <w:pBdr>
          <w:top w:val="none" w:sz="0" w:space="0" w:color="000000"/>
          <w:left w:val="none" w:sz="0" w:space="0" w:color="000000"/>
          <w:bottom w:val="none" w:sz="0" w:space="0" w:color="000000"/>
          <w:right w:val="none" w:sz="0" w:space="0" w:color="000000"/>
          <w:between w:val="none" w:sz="0" w:space="0" w:color="000000"/>
        </w:pBdr>
        <w:tabs>
          <w:tab w:val="left" w:pos="1134"/>
        </w:tabs>
        <w:spacing w:after="120" w:line="360" w:lineRule="auto"/>
        <w:ind w:right="285"/>
        <w:jc w:val="both"/>
        <w:rPr>
          <w:rFonts w:ascii="Calibri" w:hAnsi="Calibri" w:cs="Calibri"/>
          <w:color w:val="000000"/>
          <w:sz w:val="24"/>
          <w:szCs w:val="24"/>
        </w:rPr>
      </w:pP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b/>
          <w:bCs/>
          <w:sz w:val="24"/>
          <w:szCs w:val="24"/>
        </w:rPr>
      </w:pPr>
      <w:r>
        <w:rPr>
          <w:rFonts w:ascii="Calibri" w:hAnsi="Calibri" w:cs="Calibri"/>
          <w:b/>
          <w:bCs/>
          <w:sz w:val="24"/>
          <w:szCs w:val="24"/>
        </w:rPr>
        <w:t>Detention Periods and Restrictions on Access to Lawyers: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Turkey stated that it reduced detention periods to seven days with Decree Law No. 684, which could be extended by another seven days at the prosecutor's request. Although Turkey claimed to have shortened detention periods and ensured access to legal safeguards for everyone, the rights of detainees to meet with their lawyers were severely restricted during the state of emergency. Specifically, soldiers and public officials detained after the coup attempt were held for days without being able to meet with their lawyers, and in some cases, faced allegations of torture.</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The regulations introduced by the decree laws prohibited meetings with lawyers for the first 24 hours, which provided a fertile ground for increased allegations of torture and ill-treatment. These restrictions on lawyer access undermined the protection of detainees' rights and contributed to an environment where abuses could occur without adequate oversight.</w:t>
      </w:r>
      <w:r>
        <w:rPr>
          <w:rFonts w:ascii="Calibri" w:eastAsia="Calibri" w:hAnsi="Calibri" w:cs="Calibri"/>
          <w:color w:val="000000"/>
          <w:sz w:val="24"/>
          <w:szCs w:val="24"/>
          <w:vertAlign w:val="superscript"/>
        </w:rPr>
        <w:footnoteReference w:id="8"/>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after="120" w:line="360" w:lineRule="auto"/>
        <w:ind w:right="285"/>
        <w:jc w:val="both"/>
        <w:rPr>
          <w:rFonts w:ascii="Calibri" w:hAnsi="Calibri" w:cs="Calibri"/>
          <w:color w:val="000000"/>
          <w:sz w:val="24"/>
          <w:szCs w:val="24"/>
        </w:rPr>
      </w:pPr>
      <w:r>
        <w:rPr>
          <w:rFonts w:ascii="Calibri" w:eastAsia="Calibri" w:hAnsi="Calibri" w:cs="Calibri"/>
          <w:color w:val="000000"/>
          <w:sz w:val="24"/>
          <w:szCs w:val="24"/>
        </w:rPr>
        <w:tab/>
      </w:r>
      <w:r>
        <w:rPr>
          <w:rFonts w:ascii="Calibri" w:hAnsi="Calibri" w:cs="Calibri"/>
          <w:sz w:val="24"/>
          <w:szCs w:val="24"/>
        </w:rPr>
        <w:t>Turkey stated that the right to meet with a lawyer could be restricted within the first five days, but detainees could not be interrogated during this period. However, international reports and testimonies show that detainees were unable to access their lawyers and many were subjected to torture and ill-treatment. Human Rights Watch and other international organizations reported that many individuals were interrogated and mistreated without legal assistance during this period.</w:t>
      </w:r>
      <w:r>
        <w:rPr>
          <w:rFonts w:ascii="Calibri" w:eastAsia="Calibri" w:hAnsi="Calibri" w:cs="Calibri"/>
          <w:color w:val="000000"/>
          <w:sz w:val="24"/>
          <w:szCs w:val="24"/>
        </w:rPr>
        <w:t xml:space="preserve"> </w:t>
      </w:r>
      <w:r>
        <w:rPr>
          <w:rFonts w:ascii="Calibri" w:eastAsia="Calibri" w:hAnsi="Calibri" w:cs="Calibri"/>
          <w:color w:val="000000"/>
          <w:sz w:val="24"/>
          <w:szCs w:val="24"/>
          <w:vertAlign w:val="superscript"/>
        </w:rPr>
        <w:footnoteReference w:id="9"/>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after="120" w:line="360" w:lineRule="auto"/>
        <w:ind w:right="285"/>
        <w:jc w:val="both"/>
        <w:rPr>
          <w:rFonts w:ascii="Calibri" w:hAnsi="Calibri" w:cs="Calibri"/>
          <w:color w:val="000000"/>
          <w:sz w:val="24"/>
          <w:szCs w:val="24"/>
        </w:rPr>
      </w:pPr>
      <w:r>
        <w:rPr>
          <w:rFonts w:ascii="Calibri" w:eastAsia="Calibri" w:hAnsi="Calibri" w:cs="Calibri"/>
          <w:color w:val="000000"/>
          <w:sz w:val="24"/>
          <w:szCs w:val="24"/>
        </w:rPr>
        <w:tab/>
      </w:r>
      <w:r>
        <w:rPr>
          <w:rFonts w:ascii="Calibri" w:hAnsi="Calibri" w:cs="Calibri"/>
          <w:sz w:val="24"/>
          <w:szCs w:val="24"/>
        </w:rPr>
        <w:t xml:space="preserve">International human rights organizations and media reports have indicated that many individuals, especially those detained under anti-terrorism measures, were held in custody for periods much longer than the legal limits. For example, following the coup attempt, numerous individuals were detained </w:t>
      </w:r>
      <w:r>
        <w:rPr>
          <w:rFonts w:ascii="Calibri" w:hAnsi="Calibri" w:cs="Calibri"/>
          <w:sz w:val="24"/>
          <w:szCs w:val="24"/>
        </w:rPr>
        <w:lastRenderedPageBreak/>
        <w:t>well beyond the legal durations and were unable to communicate with their lawyers or families during these extended periods.</w:t>
      </w:r>
      <w:r>
        <w:rPr>
          <w:rFonts w:ascii="Calibri" w:eastAsia="Calibri" w:hAnsi="Calibri" w:cs="Calibri"/>
          <w:color w:val="000000"/>
          <w:sz w:val="24"/>
          <w:szCs w:val="24"/>
        </w:rPr>
        <w:t xml:space="preserve"> </w:t>
      </w:r>
      <w:r>
        <w:rPr>
          <w:rFonts w:ascii="Calibri" w:eastAsia="Calibri" w:hAnsi="Calibri" w:cs="Calibri"/>
          <w:color w:val="000000"/>
          <w:sz w:val="24"/>
          <w:szCs w:val="24"/>
          <w:vertAlign w:val="superscript"/>
        </w:rPr>
        <w:footnoteReference w:id="10"/>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b/>
          <w:bCs/>
          <w:sz w:val="24"/>
          <w:szCs w:val="24"/>
        </w:rPr>
      </w:pPr>
      <w:r>
        <w:rPr>
          <w:rFonts w:ascii="Calibri" w:hAnsi="Calibri" w:cs="Calibri"/>
          <w:b/>
          <w:bCs/>
          <w:sz w:val="24"/>
          <w:szCs w:val="24"/>
        </w:rPr>
        <w:t>Case Study 4</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Taner Kılıç: Taner Kılıç, the Honorary Chair of Amnesty International Turkey, was detained on June 6, 2017, on charges of membership in a terrorist organization (FETÖ). However, his detention period was extended to 14 days, exceeding the legal limits, and he was subsequently arrested.</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b/>
          <w:bCs/>
          <w:sz w:val="24"/>
          <w:szCs w:val="24"/>
        </w:rPr>
      </w:pPr>
      <w:r>
        <w:rPr>
          <w:rFonts w:ascii="Calibri" w:hAnsi="Calibri" w:cs="Calibri"/>
          <w:b/>
          <w:bCs/>
          <w:sz w:val="24"/>
          <w:szCs w:val="24"/>
        </w:rPr>
        <w:t>Case Study 5</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Ali Bulaç: Journalist and writer Ali Bulaç was detained on July 31, 2016, under the same charges as Taner Kılıç. His detention period was extended to 30 days, far exceeding the legal limits. This prolonged detention period was criticized by international human rights organizations, expressing concerns about the legal processes in Turkey.</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b/>
          <w:bCs/>
          <w:sz w:val="24"/>
          <w:szCs w:val="24"/>
        </w:rPr>
      </w:pPr>
      <w:r>
        <w:rPr>
          <w:rFonts w:ascii="Calibri" w:hAnsi="Calibri" w:cs="Calibri"/>
          <w:b/>
          <w:bCs/>
          <w:sz w:val="24"/>
          <w:szCs w:val="24"/>
        </w:rPr>
        <w:t>Presence of Law Enforcement During Medical Examinations: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The presence of law enforcement officers during medical examinations conducted under detention conditions has prevented suspects from voicing their allegations of ill-treatment and torture. This situation undermined the objectivity of the examinations, preventing the true conditions from being documented. Additionally, it hindered the proper assessment of the detainees' health conditions.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b/>
          <w:bCs/>
          <w:sz w:val="24"/>
          <w:szCs w:val="24"/>
        </w:rPr>
      </w:pPr>
      <w:r>
        <w:rPr>
          <w:rFonts w:ascii="Calibri" w:hAnsi="Calibri" w:cs="Calibri"/>
          <w:b/>
          <w:bCs/>
          <w:sz w:val="24"/>
          <w:szCs w:val="24"/>
        </w:rPr>
        <w:t>Unofficial Detention Locations: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During the state of emergency (OHAL) period, detainees were frequently held in unofficial and legally undefined locations. This situation made it difficult to monitor detention conditions and led to serious disruptions in the protection of suspects' legal rights.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Times New Roman" w:hAnsi="Calibri" w:cs="Calibri"/>
          <w:b/>
          <w:color w:val="000000"/>
          <w:sz w:val="24"/>
          <w:szCs w:val="24"/>
        </w:rPr>
        <w:t>Torture and ill-Treatment</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Times New Roman" w:hAnsi="Calibri" w:cs="Calibri"/>
          <w:color w:val="000000"/>
          <w:sz w:val="24"/>
          <w:szCs w:val="24"/>
        </w:rPr>
        <w:t xml:space="preserve">Despite Turkey's claims of a zero-tolerance policy towards torture, international reports and observers have documented widespread instances of torture and ill-treatment in police custody during the post-coup period. Various torture methods, including threats of sexual assault, physical violence, sleep deprivation, and waterboarding, have been reported among those held in detention centers. </w:t>
      </w:r>
      <w:r>
        <w:rPr>
          <w:rFonts w:ascii="Calibri" w:eastAsia="Calibri" w:hAnsi="Calibri" w:cs="Calibri"/>
          <w:color w:val="000000"/>
          <w:sz w:val="24"/>
          <w:szCs w:val="24"/>
          <w:vertAlign w:val="superscript"/>
        </w:rPr>
        <w:footnoteReference w:id="11"/>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b/>
          <w:bCs/>
          <w:sz w:val="24"/>
          <w:szCs w:val="24"/>
        </w:rPr>
        <w:t>Case Study 6</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 xml:space="preserve">Gökhan Açıkkollu: Gökhan Açıkkollu, a history teacher in Istanbul, was detained following the July 15 coup attempt on allegations of FETÖ connections. During his detention, it was reported that he was subjected to torture, physical violence, and his health issues were neglected. Specifically, Açıkkollu, who was diabetic, did </w:t>
      </w:r>
      <w:r>
        <w:rPr>
          <w:rFonts w:ascii="Calibri" w:hAnsi="Calibri" w:cs="Calibri"/>
          <w:sz w:val="24"/>
          <w:szCs w:val="24"/>
        </w:rPr>
        <w:lastRenderedPageBreak/>
        <w:t>not receive his insulin treatment while in custody and was subjected to ill-treatment. Subsequently, media coverage showed footage of Açıkkollu's death in a cell, highlighting the severe conditions he endured.</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b/>
          <w:bCs/>
          <w:sz w:val="24"/>
          <w:szCs w:val="24"/>
        </w:rPr>
      </w:pPr>
      <w:r>
        <w:rPr>
          <w:rFonts w:ascii="Calibri" w:hAnsi="Calibri" w:cs="Calibri"/>
          <w:b/>
          <w:bCs/>
          <w:sz w:val="24"/>
          <w:szCs w:val="24"/>
        </w:rPr>
        <w:t>Case Study 7</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Ayten Öztürk: In 2018, Ayten Öztürk was brought to Turkey from Lebanon and detained on charges of membership in a terrorist organization. During her detention, she claimed to have been subjected to severe torture. Reports indicated that methods such as electric shocks, falaka (beating on the soles of the feet), threats of sexual assault, sleep deprivation, and waterboarding were used against her. After being released, Ayten Öztürk detailed the torture she endured, drawing the attention of international human rights organizations.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These two cases exemplify the allegations of torture and ill-treatment in Turkish detention centers following the July 15 coup attempt, highlighting practices that are in violation of international human rights norms.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Times New Roman" w:hAnsi="Calibri" w:cs="Calibri"/>
          <w:b/>
          <w:color w:val="000000"/>
          <w:sz w:val="24"/>
          <w:szCs w:val="24"/>
        </w:rPr>
        <w:t>Control Over Media and Freedom of Expression:</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Times New Roman" w:hAnsi="Calibri" w:cs="Calibri"/>
          <w:color w:val="000000"/>
          <w:sz w:val="24"/>
          <w:szCs w:val="24"/>
        </w:rPr>
        <w:t>Although Turkey claims to protect freedom of expression, following the coup attempt, hundreds of journalists were detained and dozens of media outlets were shut down. This is seen as the government's effort to control the media and suppress dissenting voices. Additionally, restrictions on internet access and controls over social media have created significant limitations on freedom of expression.</w:t>
      </w:r>
      <w:r>
        <w:rPr>
          <w:rFonts w:ascii="Calibri" w:eastAsia="Calibri" w:hAnsi="Calibri" w:cs="Calibri"/>
          <w:color w:val="000000"/>
          <w:sz w:val="24"/>
          <w:szCs w:val="24"/>
          <w:vertAlign w:val="superscript"/>
        </w:rPr>
        <w:footnoteReference w:id="12"/>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b/>
          <w:bCs/>
          <w:sz w:val="24"/>
          <w:szCs w:val="24"/>
        </w:rPr>
      </w:pPr>
      <w:r>
        <w:rPr>
          <w:rFonts w:ascii="Calibri" w:hAnsi="Calibri" w:cs="Calibri"/>
          <w:b/>
          <w:bCs/>
          <w:sz w:val="24"/>
          <w:szCs w:val="24"/>
        </w:rPr>
        <w:t>Cumhuriyet Newspaper Case:</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Following the coup attempt, writers and executives of Cumhuriyet newspaper were detained and arrested on charges of aiding terrorist organizations. Among those detained were prominent figures such as the newspaper's editor-in-chief Murat Sabuncu, investigative journalist Ahmet Şık, and cartoonist Musa Kart. The employees of the newspaper were accused of aiding terrorist organizations like FETÖ and PKK. These charges were criticized by international press freedom organizations, which viewed them as the criminalization of journalistic activities.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Times New Roman" w:hAnsi="Calibri" w:cs="Calibri"/>
          <w:b/>
          <w:color w:val="000000"/>
          <w:sz w:val="24"/>
          <w:szCs w:val="24"/>
        </w:rPr>
        <w:t>Closed Media Outlets: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Times New Roman" w:hAnsi="Calibri" w:cs="Calibri"/>
          <w:color w:val="000000"/>
          <w:sz w:val="24"/>
          <w:szCs w:val="24"/>
        </w:rPr>
        <w:t>Following the July 15 coup attempt, more than 150 media outlets were closed by decrees issued during the state of emergency (KHK). These included television channels, radio stations, newspapers, and news agencies. Notable media outlets such as İMC TV, Hayat TV, Özgür Gündem, Zaman newspaper, and Cihan News Agency were among those shut down. The closure of these outlets was seen as an increase in the government's pressure on opposition media. This situation also led to a decline in Turkey's ranking in international press freedom indices.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Times New Roman" w:hAnsi="Calibri" w:cs="Calibri"/>
          <w:b/>
          <w:color w:val="000000"/>
          <w:sz w:val="24"/>
          <w:szCs w:val="24"/>
        </w:rPr>
        <w:t>Internet and Social Media Restrictions: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Times New Roman" w:hAnsi="Calibri" w:cs="Calibri"/>
          <w:color w:val="000000"/>
          <w:sz w:val="24"/>
          <w:szCs w:val="24"/>
        </w:rPr>
        <w:t xml:space="preserve">Following the coup attempt, strict controls and restrictions were imposed on internet access and social media platforms in Turkey. Access to platforms such as Twitter, Facebook, and YouTube was often entirely blocked or slowed down. For instance, in November 2016, following the arrest of HDP (Peoples' Democratic Party) </w:t>
      </w:r>
      <w:r>
        <w:rPr>
          <w:rFonts w:ascii="Calibri" w:eastAsia="Times New Roman" w:hAnsi="Calibri" w:cs="Calibri"/>
          <w:color w:val="000000"/>
          <w:sz w:val="24"/>
          <w:szCs w:val="24"/>
        </w:rPr>
        <w:lastRenderedPageBreak/>
        <w:t>members of parliament, internet access was significantly restricted across Turkey, and access to social media platforms was blocked. This was seen by the international community as a severe interference with freedom of expression.</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Times New Roman" w:hAnsi="Calibri" w:cs="Calibri"/>
          <w:color w:val="000000"/>
          <w:sz w:val="24"/>
          <w:szCs w:val="24"/>
        </w:rPr>
        <w:t>These and similar examples demonstrate the serious restrictions and violations of freedom of expression and press freedom in Turkey following July 15. Moreover, these examples illustrate the discrepancies between Turkey's responses to the International Committee Against Torture and the actual situation in the country. The gap between legal regulations and theoretical rights versus the practical human rights violations shows that Turkey is not fully complying with its international human rights obligations. This situation is closely monitored and criticized by the international community and human rights organizations.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b/>
          <w:bCs/>
          <w:sz w:val="24"/>
          <w:szCs w:val="24"/>
        </w:rPr>
      </w:pPr>
      <w:r>
        <w:rPr>
          <w:rFonts w:ascii="Calibri" w:hAnsi="Calibri" w:cs="Calibri"/>
          <w:b/>
          <w:bCs/>
          <w:sz w:val="24"/>
          <w:szCs w:val="24"/>
        </w:rPr>
        <w:t>Restrictions on Access to Healthcare:</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Turkey's responses to the United Nations Committee Against Torture concerning detention periods, legal rights to lawyers, and medical examinations during and after the state of emergency (OHAL) primarily explain the existing legal framework. However, these responses contain numerous discrepancies when compared to international reports and observer findings.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 xml:space="preserve">For instance, detainees often reported that they could not access necessary medical treatment while in custody. This lack of access to healthcare services has been documented in several international human rights reports, highlighting the severe impact on detainees' health and well-being. These inconsistencies between the official responses and the real conditions illustrate significant human rights violations and the failure to comply with international standards. </w:t>
      </w:r>
      <w:r>
        <w:rPr>
          <w:rFonts w:ascii="Calibri" w:eastAsia="Calibri" w:hAnsi="Calibri" w:cs="Calibri"/>
          <w:color w:val="000000"/>
          <w:sz w:val="24"/>
          <w:szCs w:val="24"/>
          <w:vertAlign w:val="superscript"/>
        </w:rPr>
        <w:footnoteReference w:id="13"/>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709"/>
        </w:tabs>
        <w:spacing w:after="120" w:line="360" w:lineRule="auto"/>
        <w:ind w:right="285"/>
        <w:jc w:val="both"/>
        <w:rPr>
          <w:rFonts w:ascii="Calibri" w:hAnsi="Calibri" w:cs="Calibri"/>
          <w:color w:val="000000"/>
          <w:sz w:val="24"/>
          <w:szCs w:val="24"/>
        </w:rPr>
      </w:pPr>
      <w:r>
        <w:rPr>
          <w:rFonts w:ascii="Calibri" w:hAnsi="Calibri" w:cs="Calibri"/>
          <w:sz w:val="24"/>
          <w:szCs w:val="24"/>
        </w:rPr>
        <w:tab/>
        <w:t>Turkey stated that detainees receive regular medical examinations and that any allegations of torture are reported to the prosecutor's office. However, international reports and testimonies indicate that medical examinations during detention are often inadequate or, in some cases, completely obstructed. Additionally, it has been reported that medical examinations are conducted under police supervision and that medical reports are not shared with lawyers. These practices significantly undermine the ability to identify and document cases of torture and ill-treatment, contradicting Turkey's claims and highlighting serious human rights violations.</w:t>
      </w:r>
      <w:r>
        <w:rPr>
          <w:rFonts w:ascii="Calibri" w:eastAsia="Calibri" w:hAnsi="Calibri" w:cs="Calibri"/>
          <w:color w:val="000000"/>
          <w:sz w:val="24"/>
          <w:szCs w:val="24"/>
        </w:rPr>
        <w:t xml:space="preserve"> </w:t>
      </w:r>
      <w:r>
        <w:rPr>
          <w:rFonts w:ascii="Calibri" w:eastAsia="Calibri" w:hAnsi="Calibri" w:cs="Calibri"/>
          <w:color w:val="000000"/>
          <w:sz w:val="24"/>
          <w:szCs w:val="24"/>
          <w:vertAlign w:val="superscript"/>
        </w:rPr>
        <w:footnoteReference w:id="14"/>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709"/>
        </w:tabs>
        <w:spacing w:after="120" w:line="360" w:lineRule="auto"/>
        <w:ind w:right="285"/>
        <w:jc w:val="both"/>
        <w:rPr>
          <w:rFonts w:ascii="Calibri" w:hAnsi="Calibri" w:cs="Calibri"/>
          <w:sz w:val="24"/>
          <w:szCs w:val="24"/>
        </w:rPr>
      </w:pPr>
      <w:r>
        <w:rPr>
          <w:rFonts w:ascii="Calibri" w:eastAsia="Calibri" w:hAnsi="Calibri" w:cs="Calibri"/>
          <w:color w:val="000000"/>
          <w:sz w:val="24"/>
          <w:szCs w:val="24"/>
        </w:rPr>
        <w:t xml:space="preserve"> </w:t>
      </w:r>
      <w:r>
        <w:rPr>
          <w:rFonts w:ascii="Calibri" w:eastAsia="Calibri" w:hAnsi="Calibri" w:cs="Calibri"/>
          <w:color w:val="000000"/>
          <w:sz w:val="24"/>
          <w:szCs w:val="24"/>
        </w:rPr>
        <w:tab/>
      </w:r>
      <w:r>
        <w:rPr>
          <w:rFonts w:ascii="Calibri" w:hAnsi="Calibri" w:cs="Calibri"/>
          <w:sz w:val="24"/>
          <w:szCs w:val="24"/>
        </w:rPr>
        <w:t>These discrepancies demonstrate that Turkey is not fully complying with international human rights norms and its own legal regulations. The problems experienced in safeguarding the rights of detainees, particularly regarding access to legal counsel and medical care, necessitate close monitoring of the situation in Turkey by the international community and human rights organizations.</w:t>
      </w:r>
    </w:p>
    <w:p w:rsidR="0079674F" w:rsidRDefault="0079674F">
      <w:pPr>
        <w:pBdr>
          <w:top w:val="none" w:sz="0" w:space="0" w:color="000000"/>
          <w:left w:val="none" w:sz="0" w:space="0" w:color="000000"/>
          <w:bottom w:val="none" w:sz="0" w:space="0" w:color="000000"/>
          <w:right w:val="none" w:sz="0" w:space="0" w:color="000000"/>
          <w:between w:val="none" w:sz="0" w:space="0" w:color="000000"/>
        </w:pBdr>
        <w:tabs>
          <w:tab w:val="left" w:pos="709"/>
        </w:tabs>
        <w:spacing w:after="120" w:line="360" w:lineRule="auto"/>
        <w:ind w:right="285"/>
        <w:jc w:val="both"/>
        <w:rPr>
          <w:rFonts w:ascii="Calibri" w:hAnsi="Calibri" w:cs="Calibri"/>
          <w:sz w:val="24"/>
          <w:szCs w:val="24"/>
        </w:rPr>
      </w:pP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after="120" w:line="240" w:lineRule="auto"/>
        <w:ind w:right="285"/>
        <w:jc w:val="both"/>
        <w:rPr>
          <w:rFonts w:ascii="Calibri" w:hAnsi="Calibri" w:cs="Calibri"/>
          <w:i/>
          <w:color w:val="000000"/>
          <w:sz w:val="28"/>
          <w:szCs w:val="28"/>
          <w:highlight w:val="yellow"/>
        </w:rPr>
      </w:pPr>
      <w:r>
        <w:rPr>
          <w:rFonts w:ascii="Calibri" w:eastAsia="Calibri" w:hAnsi="Calibri" w:cs="Calibri"/>
          <w:b/>
          <w:color w:val="2E75B5"/>
          <w:sz w:val="28"/>
          <w:szCs w:val="28"/>
        </w:rPr>
        <w:t>Articles. 2, 12, 13 and 16</w:t>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after="0" w:line="240" w:lineRule="auto"/>
        <w:ind w:right="285"/>
        <w:jc w:val="both"/>
        <w:rPr>
          <w:rFonts w:ascii="Calibri" w:hAnsi="Calibri" w:cs="Calibri"/>
          <w:b/>
          <w:color w:val="2E75B5"/>
          <w:sz w:val="28"/>
          <w:szCs w:val="28"/>
        </w:rPr>
      </w:pPr>
      <w:r>
        <w:rPr>
          <w:rFonts w:ascii="Calibri" w:eastAsia="Calibri" w:hAnsi="Calibri" w:cs="Calibri"/>
          <w:b/>
          <w:color w:val="2E75B5"/>
          <w:sz w:val="28"/>
          <w:szCs w:val="28"/>
        </w:rPr>
        <w:lastRenderedPageBreak/>
        <w:t xml:space="preserve">6. Enforced disappearances </w:t>
      </w:r>
    </w:p>
    <w:p w:rsidR="0079674F" w:rsidRDefault="0079674F">
      <w:pPr>
        <w:pBdr>
          <w:top w:val="none" w:sz="0" w:space="0" w:color="000000"/>
          <w:left w:val="none" w:sz="0" w:space="0" w:color="000000"/>
          <w:bottom w:val="none" w:sz="0" w:space="0" w:color="000000"/>
          <w:right w:val="none" w:sz="0" w:space="0" w:color="000000"/>
          <w:between w:val="none" w:sz="0" w:space="0" w:color="000000"/>
        </w:pBdr>
        <w:tabs>
          <w:tab w:val="left" w:pos="1134"/>
        </w:tabs>
        <w:spacing w:after="120" w:line="240" w:lineRule="auto"/>
        <w:ind w:right="285"/>
        <w:jc w:val="both"/>
        <w:rPr>
          <w:rFonts w:ascii="Calibri" w:hAnsi="Calibri" w:cs="Calibri"/>
          <w:i/>
          <w:color w:val="000000"/>
          <w:sz w:val="24"/>
          <w:szCs w:val="24"/>
        </w:rPr>
      </w:pP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after="120" w:line="240" w:lineRule="auto"/>
        <w:ind w:right="285"/>
        <w:jc w:val="both"/>
        <w:rPr>
          <w:rFonts w:ascii="Calibri" w:hAnsi="Calibri" w:cs="Calibri"/>
          <w:i/>
          <w:color w:val="000000"/>
          <w:sz w:val="24"/>
          <w:szCs w:val="24"/>
          <w:highlight w:val="white"/>
        </w:rPr>
      </w:pPr>
      <w:r>
        <w:rPr>
          <w:rFonts w:ascii="Calibri" w:eastAsia="Calibri" w:hAnsi="Calibri" w:cs="Calibri"/>
          <w:b/>
          <w:color w:val="0D0D0D"/>
          <w:sz w:val="24"/>
          <w:szCs w:val="24"/>
          <w:highlight w:val="white"/>
        </w:rPr>
        <w:t>In Para. 6 of the LOIPR (2018)</w:t>
      </w:r>
    </w:p>
    <w:p w:rsidR="0079674F" w:rsidRDefault="00EA1B3E">
      <w:pPr>
        <w:pBdr>
          <w:top w:val="none" w:sz="0" w:space="0" w:color="000000"/>
          <w:left w:val="none" w:sz="0" w:space="0" w:color="000000"/>
          <w:bottom w:val="none" w:sz="0" w:space="0" w:color="000000"/>
          <w:right w:val="none" w:sz="0" w:space="0" w:color="000000"/>
          <w:between w:val="none" w:sz="0" w:space="0" w:color="000000"/>
        </w:pBdr>
        <w:spacing w:after="120" w:line="360" w:lineRule="auto"/>
        <w:ind w:right="285"/>
        <w:jc w:val="both"/>
        <w:rPr>
          <w:rFonts w:ascii="Times New Roman" w:hAnsi="Times New Roman" w:cs="Times New Roman"/>
          <w:bCs/>
          <w:i/>
          <w:sz w:val="24"/>
          <w:szCs w:val="24"/>
        </w:rPr>
      </w:pPr>
      <w:r>
        <w:rPr>
          <w:rFonts w:ascii="Calibri" w:eastAsia="Calibri" w:hAnsi="Calibri" w:cs="Calibri"/>
          <w:i/>
          <w:sz w:val="24"/>
          <w:szCs w:val="24"/>
        </w:rPr>
        <w:tab/>
      </w:r>
      <w:r>
        <w:rPr>
          <w:rFonts w:ascii="Times New Roman" w:eastAsia="Calibri" w:hAnsi="Times New Roman" w:cs="Times New Roman"/>
          <w:i/>
          <w:sz w:val="24"/>
          <w:szCs w:val="24"/>
        </w:rPr>
        <w:t>Following the 15 July 2016 coup attempt in Turkey, reports emerged of people being detained without access to legal representation or relatives and without formal charges for up to 30 days. There were also credible reports of abductions and enforced disappearances. Investigations and prosecutions were undertaken concerning these allegations, with varying results.</w:t>
      </w: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after="120" w:line="360" w:lineRule="auto"/>
        <w:ind w:right="285"/>
        <w:jc w:val="both"/>
        <w:rPr>
          <w:rFonts w:ascii="Calibri" w:hAnsi="Calibri" w:cs="Calibri"/>
          <w:b/>
          <w:color w:val="0D0D0D"/>
          <w:sz w:val="24"/>
          <w:szCs w:val="24"/>
        </w:rPr>
      </w:pPr>
      <w:r>
        <w:rPr>
          <w:rFonts w:ascii="Calibri" w:eastAsia="Calibri" w:hAnsi="Calibri" w:cs="Calibri"/>
          <w:b/>
          <w:color w:val="0D0D0D"/>
          <w:sz w:val="24"/>
          <w:szCs w:val="24"/>
          <w:highlight w:val="white"/>
        </w:rPr>
        <w:t xml:space="preserve">In State party’s response </w:t>
      </w:r>
      <w:proofErr w:type="gramStart"/>
      <w:r>
        <w:rPr>
          <w:rFonts w:ascii="Calibri" w:eastAsia="Calibri" w:hAnsi="Calibri" w:cs="Calibri"/>
          <w:b/>
          <w:color w:val="0D0D0D"/>
          <w:sz w:val="24"/>
          <w:szCs w:val="24"/>
          <w:highlight w:val="white"/>
        </w:rPr>
        <w:t>(</w:t>
      </w:r>
      <w:proofErr w:type="gramEnd"/>
      <w:r>
        <w:rPr>
          <w:rFonts w:ascii="Calibri" w:eastAsia="Calibri" w:hAnsi="Calibri" w:cs="Calibri"/>
          <w:b/>
          <w:color w:val="0D0D0D"/>
          <w:sz w:val="24"/>
          <w:szCs w:val="24"/>
          <w:highlight w:val="white"/>
        </w:rPr>
        <w:t>para. 28)</w:t>
      </w:r>
    </w:p>
    <w:p w:rsidR="0079674F" w:rsidRDefault="00EA1B3E">
      <w:pPr>
        <w:pBdr>
          <w:top w:val="none" w:sz="0" w:space="0" w:color="000000"/>
          <w:left w:val="none" w:sz="0" w:space="0" w:color="000000"/>
          <w:bottom w:val="none" w:sz="0" w:space="0" w:color="000000"/>
          <w:right w:val="none" w:sz="0" w:space="0" w:color="000000"/>
          <w:between w:val="none" w:sz="0" w:space="0" w:color="000000"/>
        </w:pBdr>
        <w:spacing w:after="120" w:line="360" w:lineRule="auto"/>
        <w:ind w:right="285"/>
        <w:jc w:val="both"/>
        <w:rPr>
          <w:rFonts w:ascii="Times New Roman" w:hAnsi="Times New Roman" w:cs="Times New Roman"/>
          <w:i/>
          <w:sz w:val="24"/>
          <w:szCs w:val="24"/>
        </w:rPr>
      </w:pPr>
      <w:r>
        <w:rPr>
          <w:rFonts w:ascii="Calibri" w:eastAsia="Calibri" w:hAnsi="Calibri" w:cs="Calibri"/>
          <w:i/>
          <w:sz w:val="24"/>
          <w:szCs w:val="24"/>
        </w:rPr>
        <w:tab/>
      </w:r>
      <w:r>
        <w:rPr>
          <w:rFonts w:ascii="Times New Roman" w:eastAsia="Calibri" w:hAnsi="Times New Roman" w:cs="Times New Roman"/>
          <w:i/>
          <w:sz w:val="24"/>
          <w:szCs w:val="24"/>
        </w:rPr>
        <w:t>According to Article 95/1 of the Turkish Code of Criminal Procedure, when a suspect is apprehended, taken into custody, or if the detention period is extended, a relative or chosen person must be immediately informed by the public prosecutor's order. The procedures for notifying relatives are detailed in Articles 6 and 8 of the Regulation on Apprehension, Detention, and Statement Taking. There is no evidence of communication rights being restricted for up to 30 days for detainees, nor any findings of abductions or enforced disappearances. Notifications from the UN Working Group on Enforced or Involuntary Disappearances have been appropriately addressed.</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b/>
          <w:bCs/>
          <w:sz w:val="24"/>
          <w:szCs w:val="24"/>
        </w:rPr>
      </w:pPr>
      <w:r>
        <w:rPr>
          <w:rFonts w:ascii="Calibri" w:hAnsi="Calibri" w:cs="Calibri"/>
          <w:b/>
          <w:bCs/>
          <w:sz w:val="24"/>
          <w:szCs w:val="24"/>
        </w:rPr>
        <w:t>Assessment:</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Turkey's responses to the United Nations Committee Against Torture (CAT) regarding the detention processes and allegations of enforced disappearances following the July 15, 2016, coup attempt emphasize existing legal regulations and procedures but ignore specific cases documented by the international community and human rights organizations. When comparing Turkey’s 2020 report with the questions posed in the 2018 report, it is evident that the responses are superficial and lack substantive detail.</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There are currently thousands of cases in Turkey involving allegations of torture, some of which have been accepted and decided upon by the Constitutional Court. Many individuals who were abducted and subsequently tortured have refrained from making statements due to threats against their families or their lives. The fact that these applications are almost entirely overlooked by both Turkish and international authorities exacerbates concerns that such incidents will continue and will not be effectively investigated. The practice of state-sanctioned abductions, especially from abroad, has been confirmed at the highest levels of government, heightening fears that these abuses will persist without accountability.</w:t>
      </w:r>
      <w:r>
        <w:rPr>
          <w:rFonts w:ascii="Calibri" w:eastAsia="Calibri" w:hAnsi="Calibri" w:cs="Calibri"/>
          <w:sz w:val="24"/>
          <w:szCs w:val="24"/>
          <w:vertAlign w:val="superscript"/>
        </w:rPr>
        <w:footnoteReference w:id="15"/>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Times New Roman" w:hAnsi="Calibri" w:cs="Calibri"/>
          <w:b/>
          <w:color w:val="000000"/>
          <w:sz w:val="24"/>
          <w:szCs w:val="24"/>
        </w:rPr>
        <w:t>Case Examples and International Reactions: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Times New Roman" w:hAnsi="Calibri" w:cs="Calibri"/>
          <w:b/>
          <w:color w:val="000000"/>
          <w:sz w:val="24"/>
          <w:szCs w:val="24"/>
        </w:rPr>
        <w:t>Orhan İnandı Case:</w:t>
      </w:r>
      <w:r>
        <w:rPr>
          <w:rFonts w:ascii="Calibri" w:eastAsia="Times New Roman" w:hAnsi="Calibri" w:cs="Calibri"/>
          <w:color w:val="000000"/>
          <w:sz w:val="24"/>
          <w:szCs w:val="24"/>
        </w:rPr>
        <w:t xml:space="preserve"> Orhan İnandı, who was living in Kyrgyzstan, was abducted in 2021, and photographs showing his broken arm, indicating he had been tortured, were widely disseminated in the media. This incident was extensively criticized by international media and human rights organizations. Turkey's failure to provide transparent information about the conditions and procedures of İnandı's detention heightened </w:t>
      </w:r>
      <w:r>
        <w:rPr>
          <w:rFonts w:ascii="Calibri" w:eastAsia="Times New Roman" w:hAnsi="Calibri" w:cs="Calibri"/>
          <w:color w:val="000000"/>
          <w:sz w:val="24"/>
          <w:szCs w:val="24"/>
        </w:rPr>
        <w:lastRenderedPageBreak/>
        <w:t xml:space="preserve">international concerns. Following the incident, the Kyrgyzstan Ministry of Foreign Affairs summoned Turkey's Ambassador Ahmet Sadık Doğan to address the issue, under the directive of Kyrgyzstan President Sadyr Japarov, and issued a diplomatic note to Turkey. The Ministry conveyed to Ambassador Doğan that such actions, which violate the fundamental principles and norms of international law, are unacceptable. Kyrgyzstan called on Turkey to repatriate </w:t>
      </w:r>
      <w:proofErr w:type="gramStart"/>
      <w:r>
        <w:rPr>
          <w:rFonts w:ascii="Calibri" w:eastAsia="Times New Roman" w:hAnsi="Calibri" w:cs="Calibri"/>
          <w:color w:val="000000"/>
          <w:sz w:val="24"/>
          <w:szCs w:val="24"/>
        </w:rPr>
        <w:t>İnandı</w:t>
      </w:r>
      <w:proofErr w:type="gramEnd"/>
      <w:r>
        <w:rPr>
          <w:rFonts w:ascii="Calibri" w:eastAsia="Times New Roman" w:hAnsi="Calibri" w:cs="Calibri"/>
          <w:color w:val="000000"/>
          <w:sz w:val="24"/>
          <w:szCs w:val="24"/>
        </w:rPr>
        <w:t xml:space="preserve"> and to refrain from engaging in violent and humiliating actions against him.</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Times New Roman" w:hAnsi="Calibri" w:cs="Calibri"/>
          <w:b/>
          <w:color w:val="000000"/>
          <w:sz w:val="24"/>
          <w:szCs w:val="24"/>
        </w:rPr>
        <w:t>Yusuf Bilge Tunç's Disappearance:</w:t>
      </w:r>
      <w:r>
        <w:rPr>
          <w:rFonts w:ascii="Calibri" w:eastAsia="Times New Roman" w:hAnsi="Calibri" w:cs="Calibri"/>
          <w:color w:val="000000"/>
          <w:sz w:val="24"/>
          <w:szCs w:val="24"/>
        </w:rPr>
        <w:t xml:space="preserve"> Yusuf Bilge Tunç disappeared in Ankara in 2019, and no information has been obtained about him since. Turkey's inability to present concrete investigation results regarding such cases highlights the seriousness of disappearance and enforced disappearance allegations. Despite the continuous public discourse on this case in Turkey, no tangible progress has been made so far.</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color w:val="000000"/>
          <w:sz w:val="24"/>
          <w:szCs w:val="24"/>
        </w:rPr>
      </w:pPr>
      <w:r>
        <w:rPr>
          <w:rFonts w:ascii="Calibri" w:eastAsia="Times New Roman" w:hAnsi="Calibri" w:cs="Calibri"/>
          <w:color w:val="000000"/>
          <w:sz w:val="24"/>
          <w:szCs w:val="24"/>
        </w:rPr>
        <w:t>These cases exemplify the significant discrepancies between Turkey's responses to international human rights inquiries and the actual situations on the ground. They also underscore the importance of rigorous international scrutiny and the need for Turkey to adhere to its human rights obligations.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Times New Roman" w:hAnsi="Calibri" w:cs="Calibri"/>
          <w:b/>
          <w:color w:val="000000"/>
          <w:sz w:val="24"/>
          <w:szCs w:val="24"/>
        </w:rPr>
        <w:t>Önder Asan Case and Constitutional Court Decision</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eastAsia="Times New Roman" w:hAnsi="Calibri" w:cs="Calibri"/>
          <w:color w:val="000000"/>
          <w:sz w:val="24"/>
          <w:szCs w:val="24"/>
        </w:rPr>
      </w:pPr>
      <w:r>
        <w:rPr>
          <w:rFonts w:ascii="Calibri" w:eastAsia="Times New Roman" w:hAnsi="Calibri" w:cs="Calibri"/>
          <w:color w:val="000000"/>
          <w:sz w:val="24"/>
          <w:szCs w:val="24"/>
        </w:rPr>
        <w:t>Önder Asan was abducted in 2017, and in 2023, the Constitutional Court ruled that his rights had been violated. A particularly noteworthy aspect of this case is that when Asan reappeared in police custody, his lawyer, Burak Çolak, was detained for refusing to sign a statement prepared by the police. This statement was allegedly crafted by the police after torture, and the attempt to force a defense attorney to sign it underscores the extreme pressure and coercion faced by both victims and their lawyers. The implications of this situation suggest that in other cases, both victims and their attorneys might face similar threats and intimidation, warranting serious and thorough investigation.</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Times New Roman" w:hAnsi="Calibri" w:cs="Calibri"/>
          <w:color w:val="000000"/>
          <w:sz w:val="24"/>
          <w:szCs w:val="24"/>
        </w:rPr>
        <w:t xml:space="preserve">These examples highlight the significant discrepancies between Turkey's responses to international human rights inquiries and the actual situations on the ground. They underscore the importance of rigorous international scrutiny and the need for Turkey to adhere to its human rights obligations. </w:t>
      </w:r>
      <w:r>
        <w:rPr>
          <w:rFonts w:ascii="Calibri" w:eastAsia="Calibri" w:hAnsi="Calibri" w:cs="Calibri"/>
          <w:sz w:val="24"/>
          <w:szCs w:val="24"/>
          <w:vertAlign w:val="superscript"/>
        </w:rPr>
        <w:footnoteReference w:id="16"/>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The United Nations Committee Against Torture and the Working Group on Arbitrary Detention have requested detailed explanations from Turkey regarding such cases, but most of these requests have not received satisfactory responses. Organizations like the Council of Europe and Human Rights Watch have noted that Turkey has failed to adequately investigate allegations of torture and ill-treatment and has been ineffective in protecting the rights of victims.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 xml:space="preserve">In a related incident in Kosovo in 2018, six individuals identified as members of the Gülen Movement were abducted without the knowledge of the President. As a result, the head of the Intelligence Agency, Driton Gashi, was sentenced to four years and eight months in prison for 'abuse of office.' This case highlights the ongoing issues with enforced disappearances and the lack of accountability in such operations, drawing international criticism and raising concerns about similar practices in Turkey. </w:t>
      </w:r>
      <w:r>
        <w:rPr>
          <w:rFonts w:ascii="Calibri" w:eastAsia="Calibri" w:hAnsi="Calibri" w:cs="Calibri"/>
          <w:sz w:val="24"/>
          <w:szCs w:val="24"/>
          <w:vertAlign w:val="superscript"/>
        </w:rPr>
        <w:footnoteReference w:id="17"/>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proofErr w:type="gramStart"/>
      <w:r>
        <w:rPr>
          <w:rFonts w:ascii="Calibri" w:hAnsi="Calibri" w:cs="Calibri"/>
          <w:sz w:val="24"/>
          <w:szCs w:val="24"/>
        </w:rPr>
        <w:lastRenderedPageBreak/>
        <w:t xml:space="preserve">Gürbüz Sevilay was abducted by the Turkish National Intelligence Organization (MIT) from Uzbekistan on February 15, 2021. Similarly, Koray Vural was abducted from Tajikistan in October 2023, Mehmet Cintosun was abducted in 2023 from an unknown country, Selahattin Gülen was taken from Kenya in May 2021, and Osman Karaca was abducted from Cambodia in October 2019 and brought to Turkey. </w:t>
      </w:r>
      <w:proofErr w:type="gramEnd"/>
      <w:r>
        <w:rPr>
          <w:rFonts w:ascii="Calibri" w:hAnsi="Calibri" w:cs="Calibri"/>
          <w:sz w:val="24"/>
          <w:szCs w:val="24"/>
        </w:rPr>
        <w:t>Particularly after July 15, 2016, the disappearance reports filed by families have not been converted into concrete investigations and have been largely ignored.</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Efforts to investigate and bring attention to cases of enforced disappearances have faced significant obstacles. Written questions submitted by members of parliament (e.g</w:t>
      </w:r>
      <w:proofErr w:type="gramStart"/>
      <w:r>
        <w:rPr>
          <w:rFonts w:ascii="Calibri" w:hAnsi="Calibri" w:cs="Calibri"/>
          <w:sz w:val="24"/>
          <w:szCs w:val="24"/>
        </w:rPr>
        <w:t>.,</w:t>
      </w:r>
      <w:proofErr w:type="gramEnd"/>
      <w:r>
        <w:rPr>
          <w:rFonts w:ascii="Calibri" w:hAnsi="Calibri" w:cs="Calibri"/>
          <w:sz w:val="24"/>
          <w:szCs w:val="24"/>
        </w:rPr>
        <w:t xml:space="preserve"> Ömer Faruk Gergerlioğlu, Sezgin Tanrıkulu, Mustafa Yeneroğlu, Şenal Sarıhan) have often gone unanswered. Despite the availability of evidence such as camera footage and other documentation, the judiciary and political authorities have frequently disregarded these cases, failing to take meaningful action. </w:t>
      </w:r>
      <w:bookmarkStart w:id="1" w:name="_heading=h.gjdgxs"/>
      <w:bookmarkEnd w:id="1"/>
      <w:r>
        <w:rPr>
          <w:rFonts w:ascii="Calibri" w:eastAsia="Calibri" w:hAnsi="Calibri" w:cs="Calibri"/>
          <w:sz w:val="24"/>
          <w:szCs w:val="24"/>
          <w:vertAlign w:val="superscript"/>
        </w:rPr>
        <w:footnoteReference w:id="18"/>
      </w:r>
    </w:p>
    <w:p w:rsidR="0079674F" w:rsidRDefault="0079674F">
      <w:pPr>
        <w:pBdr>
          <w:top w:val="none" w:sz="0" w:space="0" w:color="000000"/>
          <w:left w:val="none" w:sz="0" w:space="0" w:color="000000"/>
          <w:bottom w:val="none" w:sz="0" w:space="0" w:color="000000"/>
          <w:right w:val="none" w:sz="0" w:space="0" w:color="000000"/>
          <w:between w:val="none" w:sz="0" w:space="0" w:color="000000"/>
        </w:pBdr>
        <w:tabs>
          <w:tab w:val="left" w:pos="1134"/>
        </w:tabs>
        <w:spacing w:after="120" w:line="360" w:lineRule="auto"/>
        <w:ind w:right="285"/>
        <w:jc w:val="both"/>
        <w:rPr>
          <w:rFonts w:ascii="Calibri" w:hAnsi="Calibri" w:cs="Calibri"/>
          <w:color w:val="000000"/>
          <w:sz w:val="24"/>
          <w:szCs w:val="24"/>
        </w:rPr>
      </w:pPr>
    </w:p>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left" w:pos="1134"/>
        </w:tabs>
        <w:spacing w:after="120" w:line="360" w:lineRule="auto"/>
        <w:ind w:right="285"/>
        <w:jc w:val="both"/>
        <w:rPr>
          <w:rFonts w:ascii="Calibri" w:hAnsi="Calibri" w:cs="Calibri"/>
          <w:b/>
          <w:color w:val="2E75B5"/>
          <w:sz w:val="28"/>
          <w:szCs w:val="28"/>
        </w:rPr>
      </w:pPr>
      <w:r>
        <w:rPr>
          <w:rFonts w:ascii="Calibri" w:eastAsia="Calibri" w:hAnsi="Calibri" w:cs="Calibri"/>
          <w:b/>
          <w:color w:val="2E75B5"/>
          <w:sz w:val="28"/>
          <w:szCs w:val="28"/>
        </w:rPr>
        <w:t>Conclusion and Recommendations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eastAsia="Calibri" w:hAnsi="Calibri" w:cs="Calibri"/>
          <w:color w:val="000000"/>
          <w:sz w:val="24"/>
          <w:szCs w:val="24"/>
        </w:rPr>
        <w:tab/>
      </w:r>
      <w:r>
        <w:rPr>
          <w:rFonts w:ascii="Calibri" w:hAnsi="Calibri" w:cs="Calibri"/>
          <w:sz w:val="24"/>
          <w:szCs w:val="24"/>
        </w:rPr>
        <w:t>Despite the Erdoğan regime's declaration of a zero-tolerance policy against torture and ill-treatment, in practice, this policy is not effectively enforced. This situation necessitates close monitoring and criticism by the international community and human rights organizations.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Turkey's responses to the UN Committee Against Torture (CAT) aim to show compliance with international obligations, but the reality is different. The human rights violations during the post-coup period, including detentions, unfair trials, arbitrary arrests, and enforced disappearances, indicate non-compliance with international treaties.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Although Turkey claims to have made regulatory adjustments to prevent these violations, the lack of concrete measures and effective investigations into torture allegations is concerning. The enforced disappearances and confessions obtained under torture reveal a failure to uphold human rights commitments.</w:t>
      </w:r>
    </w:p>
    <w:p w:rsidR="0079674F" w:rsidRDefault="00EA1B3E">
      <w:pPr>
        <w:pBdr>
          <w:top w:val="none" w:sz="4" w:space="0" w:color="000000"/>
          <w:left w:val="none" w:sz="4" w:space="0" w:color="000000"/>
          <w:bottom w:val="none" w:sz="4" w:space="0" w:color="000000"/>
          <w:right w:val="none" w:sz="4" w:space="0" w:color="000000"/>
        </w:pBdr>
        <w:tabs>
          <w:tab w:val="left" w:pos="1134"/>
        </w:tabs>
        <w:spacing w:before="240" w:after="240"/>
        <w:ind w:right="285"/>
        <w:jc w:val="both"/>
        <w:rPr>
          <w:rFonts w:ascii="Calibri" w:hAnsi="Calibri" w:cs="Calibri"/>
          <w:sz w:val="24"/>
          <w:szCs w:val="24"/>
        </w:rPr>
      </w:pPr>
      <w:r>
        <w:rPr>
          <w:rFonts w:ascii="Calibri" w:hAnsi="Calibri" w:cs="Calibri"/>
          <w:sz w:val="24"/>
          <w:szCs w:val="24"/>
        </w:rPr>
        <w:t>To ensure the effectiveness of Turkey's fifth periodic review, we request the esteemed Committee to:</w:t>
      </w:r>
    </w:p>
    <w:p w:rsidR="0079674F" w:rsidRDefault="00EA1B3E">
      <w:pPr>
        <w:pStyle w:val="ListeParagraf"/>
        <w:numPr>
          <w:ilvl w:val="0"/>
          <w:numId w:val="19"/>
        </w:numPr>
        <w:pBdr>
          <w:top w:val="none" w:sz="4" w:space="0" w:color="000000"/>
          <w:left w:val="none" w:sz="4" w:space="0" w:color="000000"/>
          <w:bottom w:val="none" w:sz="4" w:space="0" w:color="000000"/>
          <w:right w:val="none" w:sz="4" w:space="0" w:color="000000"/>
        </w:pBdr>
        <w:tabs>
          <w:tab w:val="left" w:pos="1134"/>
        </w:tabs>
        <w:spacing w:after="0"/>
        <w:ind w:left="0" w:right="285" w:firstLine="0"/>
        <w:jc w:val="both"/>
        <w:rPr>
          <w:rFonts w:ascii="Calibri" w:hAnsi="Calibri" w:cs="Calibri"/>
          <w:sz w:val="24"/>
          <w:szCs w:val="24"/>
        </w:rPr>
      </w:pPr>
      <w:r>
        <w:rPr>
          <w:rFonts w:ascii="Calibri" w:hAnsi="Calibri" w:cs="Calibri"/>
          <w:sz w:val="24"/>
          <w:szCs w:val="24"/>
        </w:rPr>
        <w:t>Ask Turkey about the steps taken to investigate the torture of Ayten Öztürk and Orhan İnandı and identify the perpetrators.</w:t>
      </w:r>
    </w:p>
    <w:p w:rsidR="0079674F" w:rsidRDefault="00EA1B3E">
      <w:pPr>
        <w:pStyle w:val="ListeParagraf"/>
        <w:numPr>
          <w:ilvl w:val="0"/>
          <w:numId w:val="20"/>
        </w:numPr>
        <w:pBdr>
          <w:top w:val="none" w:sz="4" w:space="0" w:color="000000"/>
          <w:left w:val="none" w:sz="4" w:space="0" w:color="000000"/>
          <w:bottom w:val="none" w:sz="4" w:space="0" w:color="000000"/>
          <w:right w:val="none" w:sz="4" w:space="0" w:color="000000"/>
        </w:pBdr>
        <w:tabs>
          <w:tab w:val="left" w:pos="1134"/>
        </w:tabs>
        <w:spacing w:after="0"/>
        <w:ind w:left="0" w:right="285" w:firstLine="0"/>
        <w:jc w:val="both"/>
        <w:rPr>
          <w:rFonts w:ascii="Calibri" w:hAnsi="Calibri" w:cs="Calibri"/>
          <w:sz w:val="24"/>
          <w:szCs w:val="24"/>
        </w:rPr>
      </w:pPr>
      <w:r>
        <w:rPr>
          <w:rFonts w:ascii="Calibri" w:hAnsi="Calibri" w:cs="Calibri"/>
          <w:sz w:val="24"/>
          <w:szCs w:val="24"/>
        </w:rPr>
        <w:t>Seek information on the investigation into the still-missing Yusuf Bilge Tunç and demand that Turkey stop abductions within and outside the country.</w:t>
      </w:r>
    </w:p>
    <w:p w:rsidR="0079674F" w:rsidRDefault="00EA1B3E">
      <w:pPr>
        <w:pStyle w:val="ListeParagraf"/>
        <w:numPr>
          <w:ilvl w:val="0"/>
          <w:numId w:val="21"/>
        </w:numPr>
        <w:pBdr>
          <w:top w:val="none" w:sz="4" w:space="0" w:color="000000"/>
          <w:left w:val="none" w:sz="4" w:space="0" w:color="000000"/>
          <w:bottom w:val="none" w:sz="4" w:space="0" w:color="000000"/>
          <w:right w:val="none" w:sz="4" w:space="0" w:color="000000"/>
        </w:pBdr>
        <w:tabs>
          <w:tab w:val="left" w:pos="1134"/>
        </w:tabs>
        <w:spacing w:after="0"/>
        <w:ind w:left="0" w:right="285" w:firstLine="0"/>
        <w:jc w:val="both"/>
        <w:rPr>
          <w:rFonts w:ascii="Calibri" w:hAnsi="Calibri" w:cs="Calibri"/>
          <w:sz w:val="24"/>
          <w:szCs w:val="24"/>
        </w:rPr>
      </w:pPr>
      <w:r>
        <w:rPr>
          <w:rFonts w:ascii="Calibri" w:hAnsi="Calibri" w:cs="Calibri"/>
          <w:sz w:val="24"/>
          <w:szCs w:val="24"/>
        </w:rPr>
        <w:t>Remind Turkey of the importance and binding nature of the Yalçınkaya Decision, and request that similar cases be addressed to end systematic arbitrary detentions and threats.</w:t>
      </w:r>
    </w:p>
    <w:p w:rsidR="0079674F" w:rsidRDefault="00EA1B3E">
      <w:pPr>
        <w:pStyle w:val="ListeParagraf"/>
        <w:numPr>
          <w:ilvl w:val="0"/>
          <w:numId w:val="22"/>
        </w:numPr>
        <w:pBdr>
          <w:top w:val="none" w:sz="4" w:space="0" w:color="000000"/>
          <w:left w:val="none" w:sz="4" w:space="0" w:color="000000"/>
          <w:bottom w:val="none" w:sz="4" w:space="0" w:color="000000"/>
          <w:right w:val="none" w:sz="4" w:space="0" w:color="000000"/>
        </w:pBdr>
        <w:tabs>
          <w:tab w:val="left" w:pos="1134"/>
        </w:tabs>
        <w:spacing w:after="0"/>
        <w:ind w:left="0" w:right="285" w:firstLine="0"/>
        <w:jc w:val="both"/>
        <w:rPr>
          <w:rFonts w:ascii="Calibri" w:hAnsi="Calibri" w:cs="Calibri"/>
          <w:sz w:val="24"/>
          <w:szCs w:val="24"/>
        </w:rPr>
      </w:pPr>
      <w:r>
        <w:rPr>
          <w:rFonts w:ascii="Calibri" w:hAnsi="Calibri" w:cs="Calibri"/>
          <w:sz w:val="24"/>
          <w:szCs w:val="24"/>
        </w:rPr>
        <w:t>Request measures to prevent law enforcement and prison officers from committing torture and ill-treatment, and to investigate the cases mentioned in the Human Rights Association report.</w:t>
      </w:r>
    </w:p>
    <w:sectPr w:rsidR="0079674F">
      <w:headerReference w:type="default" r:id="rId10"/>
      <w:footerReference w:type="default" r:id="rId11"/>
      <w:pgSz w:w="11906" w:h="16838"/>
      <w:pgMar w:top="283" w:right="425" w:bottom="1134" w:left="708" w:header="709" w:footer="709" w:gutter="0"/>
      <w:pgNumType w:start="1"/>
      <w:cols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22D8" w:rsidRDefault="00DC22D8">
      <w:pPr>
        <w:spacing w:after="0" w:line="240" w:lineRule="auto"/>
      </w:pPr>
      <w:r>
        <w:separator/>
      </w:r>
    </w:p>
  </w:endnote>
  <w:endnote w:type="continuationSeparator" w:id="0">
    <w:p w:rsidR="00DC22D8" w:rsidRDefault="00DC2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74F" w:rsidRDefault="00EA1B3E">
    <w:pPr>
      <w:pBdr>
        <w:top w:val="none" w:sz="0" w:space="0" w:color="000000"/>
        <w:left w:val="none" w:sz="0" w:space="0" w:color="000000"/>
        <w:bottom w:val="none" w:sz="0" w:space="0" w:color="000000"/>
        <w:right w:val="none" w:sz="0" w:space="0" w:color="000000"/>
        <w:between w:val="none" w:sz="0" w:space="0" w:color="000000"/>
      </w:pBdr>
      <w:tabs>
        <w:tab w:val="center" w:pos="7143"/>
        <w:tab w:val="right" w:pos="14287"/>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C4678">
      <w:rPr>
        <w:noProof/>
        <w:color w:val="000000"/>
      </w:rPr>
      <w:t>16</w:t>
    </w:r>
    <w:r>
      <w:rPr>
        <w:color w:val="000000"/>
      </w:rPr>
      <w:fldChar w:fldCharType="end"/>
    </w:r>
  </w:p>
  <w:p w:rsidR="0079674F" w:rsidRDefault="0079674F">
    <w:pPr>
      <w:pBdr>
        <w:top w:val="none" w:sz="0" w:space="0" w:color="000000"/>
        <w:left w:val="none" w:sz="0" w:space="0" w:color="000000"/>
        <w:bottom w:val="none" w:sz="0" w:space="0" w:color="000000"/>
        <w:right w:val="none" w:sz="0" w:space="0" w:color="000000"/>
        <w:between w:val="none" w:sz="0" w:space="0" w:color="000000"/>
      </w:pBdr>
      <w:tabs>
        <w:tab w:val="center" w:pos="7143"/>
        <w:tab w:val="right" w:pos="14287"/>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22D8" w:rsidRDefault="00DC22D8">
      <w:pPr>
        <w:spacing w:after="0" w:line="240" w:lineRule="auto"/>
      </w:pPr>
      <w:r>
        <w:separator/>
      </w:r>
    </w:p>
  </w:footnote>
  <w:footnote w:type="continuationSeparator" w:id="0">
    <w:p w:rsidR="00DC22D8" w:rsidRDefault="00DC22D8">
      <w:pPr>
        <w:spacing w:after="0" w:line="240" w:lineRule="auto"/>
      </w:pPr>
      <w:r>
        <w:continuationSeparator/>
      </w:r>
    </w:p>
  </w:footnote>
  <w:footnote w:id="1">
    <w:p w:rsidR="0079674F" w:rsidRDefault="00EA1B3E">
      <w:pPr>
        <w:pBdr>
          <w:top w:val="none" w:sz="0" w:space="0" w:color="000000"/>
          <w:left w:val="none" w:sz="0" w:space="0" w:color="000000"/>
          <w:bottom w:val="none" w:sz="0" w:space="0" w:color="000000"/>
          <w:right w:val="none" w:sz="0" w:space="0" w:color="000000"/>
          <w:between w:val="none" w:sz="0" w:space="0" w:color="000000"/>
        </w:pBdr>
        <w:spacing w:after="40" w:line="240" w:lineRule="auto"/>
        <w:rPr>
          <w:color w:val="000000"/>
          <w:sz w:val="18"/>
          <w:szCs w:val="18"/>
        </w:rPr>
      </w:pPr>
      <w:r>
        <w:rPr>
          <w:vertAlign w:val="superscript"/>
        </w:rPr>
        <w:footnoteRef/>
      </w:r>
      <w:r>
        <w:rPr>
          <w:color w:val="000000"/>
          <w:sz w:val="18"/>
          <w:szCs w:val="18"/>
        </w:rPr>
        <w:t xml:space="preserve"> List of issues prior to submission of the fifth periodic report of Turkey (CAT/C/TUR/QPR/5)</w:t>
      </w:r>
    </w:p>
  </w:footnote>
  <w:footnote w:id="2">
    <w:p w:rsidR="0079674F" w:rsidRDefault="00EA1B3E">
      <w:pPr>
        <w:pBdr>
          <w:top w:val="none" w:sz="0" w:space="0" w:color="000000"/>
          <w:left w:val="none" w:sz="0" w:space="0" w:color="000000"/>
          <w:bottom w:val="none" w:sz="0" w:space="0" w:color="000000"/>
          <w:right w:val="none" w:sz="0" w:space="0" w:color="000000"/>
          <w:between w:val="none" w:sz="0" w:space="0" w:color="000000"/>
        </w:pBdr>
        <w:spacing w:after="40" w:line="240" w:lineRule="auto"/>
        <w:rPr>
          <w:color w:val="000000"/>
          <w:sz w:val="18"/>
          <w:szCs w:val="18"/>
        </w:rPr>
      </w:pPr>
      <w:r>
        <w:rPr>
          <w:vertAlign w:val="superscript"/>
        </w:rPr>
        <w:footnoteRef/>
      </w:r>
      <w:r>
        <w:rPr>
          <w:color w:val="000000"/>
          <w:sz w:val="18"/>
          <w:szCs w:val="18"/>
        </w:rPr>
        <w:t xml:space="preserve"> Fifth periodic report submitted by Turkey under article 19 of the Convention pursuant to the simplified reporting procedure, due in 2020( CAT/C/TUR/5)</w:t>
      </w:r>
    </w:p>
  </w:footnote>
  <w:footnote w:id="3">
    <w:p w:rsidR="0079674F" w:rsidRDefault="00EA1B3E">
      <w:pPr>
        <w:pBdr>
          <w:top w:val="none" w:sz="0" w:space="0" w:color="000000"/>
          <w:left w:val="none" w:sz="0" w:space="0" w:color="000000"/>
          <w:bottom w:val="none" w:sz="0" w:space="0" w:color="000000"/>
          <w:right w:val="none" w:sz="0" w:space="0" w:color="000000"/>
          <w:between w:val="none" w:sz="0" w:space="0" w:color="000000"/>
        </w:pBdr>
        <w:spacing w:after="40" w:line="240" w:lineRule="auto"/>
        <w:rPr>
          <w:color w:val="000000"/>
          <w:sz w:val="18"/>
          <w:szCs w:val="18"/>
        </w:rPr>
      </w:pPr>
      <w:r>
        <w:rPr>
          <w:vertAlign w:val="superscript"/>
        </w:rPr>
        <w:footnoteRef/>
      </w:r>
      <w:r>
        <w:rPr>
          <w:sz w:val="20"/>
          <w:szCs w:val="20"/>
        </w:rPr>
        <w:t xml:space="preserve"> </w:t>
      </w:r>
      <w:r>
        <w:rPr>
          <w:sz w:val="18"/>
          <w:szCs w:val="18"/>
        </w:rPr>
        <w:t>Human Rights Watch report</w:t>
      </w:r>
      <w:r>
        <w:rPr>
          <w:color w:val="000000"/>
          <w:sz w:val="18"/>
          <w:szCs w:val="18"/>
        </w:rPr>
        <w:t xml:space="preserve">  </w:t>
      </w:r>
      <w:hyperlink r:id="rId1" w:tooltip="https://www.hrw.org/tr/report/2017/10/12/310026" w:history="1">
        <w:r>
          <w:rPr>
            <w:color w:val="0563C1"/>
            <w:sz w:val="18"/>
            <w:szCs w:val="18"/>
            <w:u w:val="single"/>
          </w:rPr>
          <w:t>https://www.hrw.org/tr/report/2017/10/12/310026</w:t>
        </w:r>
      </w:hyperlink>
    </w:p>
  </w:footnote>
  <w:footnote w:id="4">
    <w:p w:rsidR="0079674F" w:rsidRDefault="00EA1B3E">
      <w:pPr>
        <w:pBdr>
          <w:top w:val="none" w:sz="0" w:space="0" w:color="000000"/>
          <w:left w:val="none" w:sz="0" w:space="0" w:color="000000"/>
          <w:bottom w:val="none" w:sz="0" w:space="0" w:color="000000"/>
          <w:right w:val="none" w:sz="0" w:space="0" w:color="000000"/>
          <w:between w:val="none" w:sz="0" w:space="0" w:color="000000"/>
        </w:pBdr>
        <w:spacing w:after="40" w:line="240" w:lineRule="auto"/>
        <w:rPr>
          <w:color w:val="000000"/>
          <w:sz w:val="18"/>
          <w:szCs w:val="18"/>
        </w:rPr>
      </w:pPr>
      <w:r>
        <w:rPr>
          <w:vertAlign w:val="superscript"/>
        </w:rPr>
        <w:footnoteRef/>
      </w:r>
      <w:hyperlink r:id="rId2" w:tooltip="https://tihv.org.tr/basin-aciklamalari/26-haziran-iskenceye-karsi-mucadele-ve-iskence-gorenlerle-dayanisma-gunu-tihv-ihd-ortak-basin-aciklamasi/" w:history="1">
        <w:r>
          <w:rPr>
            <w:color w:val="0563C1"/>
            <w:sz w:val="18"/>
            <w:szCs w:val="18"/>
            <w:u w:val="single"/>
          </w:rPr>
          <w:t xml:space="preserve"> https://tihv.org.tr/basin-aciklamalari/26-haziran-iskenceye-karsi-mucadele-ve-iskence-gorenlerle-dayanisma-gunu-tihv-ihd-ortak-basin-aciklamasi/</w:t>
        </w:r>
      </w:hyperlink>
    </w:p>
  </w:footnote>
  <w:footnote w:id="5">
    <w:p w:rsidR="0079674F" w:rsidRDefault="00EA1B3E">
      <w:pPr>
        <w:pStyle w:val="DipnotMetni"/>
      </w:pPr>
      <w:r>
        <w:rPr>
          <w:rStyle w:val="DipnotBavurusu"/>
        </w:rPr>
        <w:footnoteRef/>
      </w:r>
      <w:r>
        <w:t xml:space="preserve">  Independence and impartiality of the judiciary report of SSRL</w:t>
      </w:r>
    </w:p>
  </w:footnote>
  <w:footnote w:id="6">
    <w:p w:rsidR="0079674F" w:rsidRDefault="00EA1B3E">
      <w:pPr>
        <w:pBdr>
          <w:top w:val="none" w:sz="0" w:space="0" w:color="000000"/>
          <w:left w:val="none" w:sz="0" w:space="0" w:color="000000"/>
          <w:bottom w:val="none" w:sz="0" w:space="0" w:color="000000"/>
          <w:right w:val="none" w:sz="0" w:space="0" w:color="000000"/>
          <w:between w:val="none" w:sz="0" w:space="0" w:color="000000"/>
        </w:pBdr>
        <w:spacing w:after="40" w:line="240" w:lineRule="auto"/>
        <w:rPr>
          <w:color w:val="000000"/>
          <w:sz w:val="18"/>
          <w:szCs w:val="18"/>
        </w:rPr>
      </w:pPr>
      <w:r>
        <w:rPr>
          <w:vertAlign w:val="superscript"/>
        </w:rPr>
        <w:footnoteRef/>
      </w:r>
      <w:r>
        <w:t xml:space="preserve"> </w:t>
      </w:r>
      <w:r>
        <w:rPr>
          <w:sz w:val="20"/>
          <w:szCs w:val="20"/>
        </w:rPr>
        <w:t xml:space="preserve">Human Rights Watch report </w:t>
      </w:r>
      <w:r>
        <w:rPr>
          <w:color w:val="000000"/>
          <w:sz w:val="18"/>
          <w:szCs w:val="18"/>
        </w:rPr>
        <w:t xml:space="preserve"> </w:t>
      </w:r>
      <w:hyperlink r:id="rId3" w:tooltip="https://www.hrw.org/tr/report/2017/10/12/310026" w:history="1">
        <w:r>
          <w:rPr>
            <w:color w:val="0563C1"/>
            <w:sz w:val="18"/>
            <w:szCs w:val="18"/>
            <w:u w:val="single"/>
          </w:rPr>
          <w:t>https://www.hrw.org/tr/report/2017/10/12/310026</w:t>
        </w:r>
      </w:hyperlink>
    </w:p>
  </w:footnote>
  <w:footnote w:id="7">
    <w:p w:rsidR="0079674F" w:rsidRDefault="00EA1B3E">
      <w:pPr>
        <w:pBdr>
          <w:top w:val="none" w:sz="0" w:space="0" w:color="000000"/>
          <w:left w:val="none" w:sz="0" w:space="0" w:color="000000"/>
          <w:bottom w:val="none" w:sz="0" w:space="0" w:color="000000"/>
          <w:right w:val="none" w:sz="0" w:space="0" w:color="000000"/>
          <w:between w:val="none" w:sz="0" w:space="0" w:color="000000"/>
        </w:pBdr>
        <w:spacing w:after="40" w:line="240" w:lineRule="auto"/>
        <w:rPr>
          <w:color w:val="000000"/>
          <w:sz w:val="18"/>
          <w:szCs w:val="18"/>
        </w:rPr>
      </w:pPr>
      <w:r>
        <w:rPr>
          <w:vertAlign w:val="superscript"/>
        </w:rPr>
        <w:footnoteRef/>
      </w:r>
      <w:r>
        <w:rPr>
          <w:color w:val="000000"/>
          <w:sz w:val="18"/>
          <w:szCs w:val="18"/>
        </w:rPr>
        <w:t xml:space="preserve"> </w:t>
      </w:r>
      <w:r>
        <w:rPr>
          <w:sz w:val="20"/>
          <w:szCs w:val="20"/>
        </w:rPr>
        <w:t>Human Rights Watch report</w:t>
      </w:r>
      <w:r>
        <w:rPr>
          <w:color w:val="000000"/>
          <w:sz w:val="16"/>
          <w:szCs w:val="16"/>
        </w:rPr>
        <w:t xml:space="preserve">   </w:t>
      </w:r>
      <w:hyperlink r:id="rId4" w:tooltip="https://www.hrw.org/tr/report/2017/10/12/310026" w:history="1">
        <w:r>
          <w:rPr>
            <w:color w:val="0563C1"/>
            <w:sz w:val="18"/>
            <w:szCs w:val="18"/>
            <w:u w:val="single"/>
          </w:rPr>
          <w:t>https://www.hrw.org/tr/report/2017/10/12/310026</w:t>
        </w:r>
      </w:hyperlink>
    </w:p>
  </w:footnote>
  <w:footnote w:id="8">
    <w:p w:rsidR="0079674F" w:rsidRDefault="00EA1B3E">
      <w:pPr>
        <w:pBdr>
          <w:top w:val="none" w:sz="0" w:space="0" w:color="000000"/>
          <w:left w:val="none" w:sz="0" w:space="0" w:color="000000"/>
          <w:bottom w:val="none" w:sz="0" w:space="0" w:color="000000"/>
          <w:right w:val="none" w:sz="0" w:space="0" w:color="000000"/>
          <w:between w:val="none" w:sz="0" w:space="0" w:color="000000"/>
        </w:pBdr>
        <w:spacing w:after="40" w:line="240" w:lineRule="auto"/>
        <w:rPr>
          <w:color w:val="000000"/>
          <w:sz w:val="18"/>
          <w:szCs w:val="18"/>
        </w:rPr>
      </w:pPr>
      <w:r>
        <w:rPr>
          <w:vertAlign w:val="superscript"/>
        </w:rPr>
        <w:footnoteRef/>
      </w:r>
      <w:r>
        <w:rPr>
          <w:color w:val="000000"/>
          <w:sz w:val="18"/>
          <w:szCs w:val="18"/>
        </w:rPr>
        <w:t xml:space="preserve">  https://www.amnesty.org.uk/human-rights-turkey</w:t>
      </w:r>
    </w:p>
  </w:footnote>
  <w:footnote w:id="9">
    <w:p w:rsidR="0079674F" w:rsidRDefault="00EA1B3E">
      <w:pPr>
        <w:pBdr>
          <w:top w:val="none" w:sz="0" w:space="0" w:color="000000"/>
          <w:left w:val="none" w:sz="0" w:space="0" w:color="000000"/>
          <w:bottom w:val="none" w:sz="0" w:space="0" w:color="000000"/>
          <w:right w:val="none" w:sz="0" w:space="0" w:color="000000"/>
          <w:between w:val="none" w:sz="0" w:space="0" w:color="000000"/>
        </w:pBdr>
        <w:spacing w:after="40" w:line="240" w:lineRule="auto"/>
        <w:rPr>
          <w:color w:val="000000"/>
          <w:sz w:val="18"/>
          <w:szCs w:val="18"/>
        </w:rPr>
      </w:pPr>
      <w:r>
        <w:rPr>
          <w:vertAlign w:val="superscript"/>
        </w:rPr>
        <w:footnoteRef/>
      </w:r>
      <w:r>
        <w:rPr>
          <w:color w:val="000000"/>
          <w:sz w:val="18"/>
          <w:szCs w:val="18"/>
        </w:rPr>
        <w:t xml:space="preserve"> https://www.hrw.org/news/</w:t>
      </w:r>
      <w:proofErr w:type="gramStart"/>
      <w:r>
        <w:rPr>
          <w:color w:val="000000"/>
          <w:sz w:val="18"/>
          <w:szCs w:val="18"/>
        </w:rPr>
        <w:t>2016/07/18</w:t>
      </w:r>
      <w:proofErr w:type="gramEnd"/>
      <w:r>
        <w:rPr>
          <w:color w:val="000000"/>
          <w:sz w:val="18"/>
          <w:szCs w:val="18"/>
        </w:rPr>
        <w:t>/turkey-protect-rights-law-after-coup-attempt</w:t>
      </w:r>
    </w:p>
  </w:footnote>
  <w:footnote w:id="10">
    <w:p w:rsidR="0079674F" w:rsidRDefault="00EA1B3E">
      <w:pPr>
        <w:pBdr>
          <w:top w:val="none" w:sz="0" w:space="0" w:color="000000"/>
          <w:left w:val="none" w:sz="0" w:space="0" w:color="000000"/>
          <w:bottom w:val="none" w:sz="0" w:space="0" w:color="000000"/>
          <w:right w:val="none" w:sz="0" w:space="0" w:color="000000"/>
          <w:between w:val="none" w:sz="0" w:space="0" w:color="000000"/>
        </w:pBdr>
        <w:spacing w:after="40" w:line="240" w:lineRule="auto"/>
        <w:rPr>
          <w:color w:val="000000"/>
          <w:sz w:val="18"/>
          <w:szCs w:val="18"/>
        </w:rPr>
      </w:pPr>
      <w:r>
        <w:rPr>
          <w:vertAlign w:val="superscript"/>
        </w:rPr>
        <w:footnoteRef/>
      </w:r>
      <w:r>
        <w:rPr>
          <w:color w:val="000000"/>
          <w:sz w:val="18"/>
          <w:szCs w:val="18"/>
        </w:rPr>
        <w:t xml:space="preserve"> https://www.amnesty.org/en/latest/news/2016/07/turkey-human-rights-in-grave-danger-following-coup-attempt-and-subsequent-crackdown-2/</w:t>
      </w:r>
    </w:p>
  </w:footnote>
  <w:footnote w:id="11">
    <w:p w:rsidR="0079674F" w:rsidRDefault="00EA1B3E">
      <w:pPr>
        <w:pBdr>
          <w:top w:val="none" w:sz="0" w:space="0" w:color="000000"/>
          <w:left w:val="none" w:sz="0" w:space="0" w:color="000000"/>
          <w:bottom w:val="none" w:sz="0" w:space="0" w:color="000000"/>
          <w:right w:val="none" w:sz="0" w:space="0" w:color="000000"/>
          <w:between w:val="none" w:sz="0" w:space="0" w:color="000000"/>
        </w:pBdr>
        <w:spacing w:after="40" w:line="240" w:lineRule="auto"/>
        <w:rPr>
          <w:color w:val="000000"/>
          <w:sz w:val="18"/>
          <w:szCs w:val="18"/>
        </w:rPr>
      </w:pPr>
      <w:r>
        <w:rPr>
          <w:vertAlign w:val="superscript"/>
        </w:rPr>
        <w:footnoteRef/>
      </w:r>
      <w:r>
        <w:rPr>
          <w:color w:val="000000"/>
          <w:sz w:val="18"/>
          <w:szCs w:val="18"/>
        </w:rPr>
        <w:t xml:space="preserve"> https://www.amnesty.org/en/latest/news/2016/07/turkey-human-rights-in-grave-danger-following-coup-attempt-and-subsequent-crackdown-2/</w:t>
      </w:r>
    </w:p>
  </w:footnote>
  <w:footnote w:id="12">
    <w:p w:rsidR="0079674F" w:rsidRDefault="00EA1B3E">
      <w:pPr>
        <w:pBdr>
          <w:top w:val="none" w:sz="0" w:space="0" w:color="000000"/>
          <w:left w:val="none" w:sz="0" w:space="0" w:color="000000"/>
          <w:bottom w:val="none" w:sz="0" w:space="0" w:color="000000"/>
          <w:right w:val="none" w:sz="0" w:space="0" w:color="000000"/>
          <w:between w:val="none" w:sz="0" w:space="0" w:color="000000"/>
        </w:pBdr>
        <w:spacing w:after="40" w:line="240" w:lineRule="auto"/>
        <w:rPr>
          <w:color w:val="000000"/>
          <w:sz w:val="18"/>
          <w:szCs w:val="18"/>
        </w:rPr>
      </w:pPr>
      <w:r>
        <w:rPr>
          <w:vertAlign w:val="superscript"/>
        </w:rPr>
        <w:footnoteRef/>
      </w:r>
      <w:r>
        <w:rPr>
          <w:color w:val="000000"/>
          <w:sz w:val="18"/>
          <w:szCs w:val="18"/>
        </w:rPr>
        <w:t xml:space="preserve"> https://www.amnesty.org/en/latest/news/2016/07/turkey-crackdown-by-the-numbers-statistics-on-brutal-backlash-after-failed-coup/</w:t>
      </w:r>
    </w:p>
  </w:footnote>
  <w:footnote w:id="13">
    <w:p w:rsidR="0079674F" w:rsidRDefault="00EA1B3E">
      <w:pPr>
        <w:pBdr>
          <w:top w:val="none" w:sz="0" w:space="0" w:color="000000"/>
          <w:left w:val="none" w:sz="0" w:space="0" w:color="000000"/>
          <w:bottom w:val="none" w:sz="0" w:space="0" w:color="000000"/>
          <w:right w:val="none" w:sz="0" w:space="0" w:color="000000"/>
          <w:between w:val="none" w:sz="0" w:space="0" w:color="000000"/>
        </w:pBdr>
        <w:spacing w:after="40" w:line="240" w:lineRule="auto"/>
        <w:rPr>
          <w:color w:val="000000"/>
          <w:sz w:val="18"/>
          <w:szCs w:val="18"/>
        </w:rPr>
      </w:pPr>
      <w:r>
        <w:rPr>
          <w:vertAlign w:val="superscript"/>
        </w:rPr>
        <w:footnoteRef/>
      </w:r>
      <w:r>
        <w:rPr>
          <w:color w:val="000000"/>
          <w:sz w:val="18"/>
          <w:szCs w:val="18"/>
        </w:rPr>
        <w:t xml:space="preserve"> https://www.hrw.org/tr/report/</w:t>
      </w:r>
      <w:proofErr w:type="gramStart"/>
      <w:r>
        <w:rPr>
          <w:color w:val="000000"/>
          <w:sz w:val="18"/>
          <w:szCs w:val="18"/>
        </w:rPr>
        <w:t>2016/10/25/295429</w:t>
      </w:r>
      <w:proofErr w:type="gramEnd"/>
    </w:p>
  </w:footnote>
  <w:footnote w:id="14">
    <w:p w:rsidR="0079674F" w:rsidRDefault="00EA1B3E">
      <w:pPr>
        <w:pBdr>
          <w:top w:val="none" w:sz="0" w:space="0" w:color="000000"/>
          <w:left w:val="none" w:sz="0" w:space="0" w:color="000000"/>
          <w:bottom w:val="none" w:sz="0" w:space="0" w:color="000000"/>
          <w:right w:val="none" w:sz="0" w:space="0" w:color="000000"/>
          <w:between w:val="none" w:sz="0" w:space="0" w:color="000000"/>
        </w:pBdr>
        <w:spacing w:after="40" w:line="240" w:lineRule="auto"/>
        <w:rPr>
          <w:color w:val="000000"/>
          <w:sz w:val="18"/>
          <w:szCs w:val="18"/>
        </w:rPr>
      </w:pPr>
      <w:r>
        <w:rPr>
          <w:vertAlign w:val="superscript"/>
        </w:rPr>
        <w:footnoteRef/>
      </w:r>
      <w:r>
        <w:rPr>
          <w:color w:val="000000"/>
          <w:sz w:val="18"/>
          <w:szCs w:val="18"/>
        </w:rPr>
        <w:t xml:space="preserve"> https://www.amnesty.org.uk/human-rights-turkey#5</w:t>
      </w:r>
    </w:p>
  </w:footnote>
  <w:footnote w:id="15">
    <w:p w:rsidR="0079674F" w:rsidRDefault="00EA1B3E">
      <w:pPr>
        <w:spacing w:after="40"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https://www.aa.com.tr/tr/15-</w:t>
      </w:r>
      <w:proofErr w:type="gramStart"/>
      <w:r>
        <w:rPr>
          <w:rFonts w:ascii="Calibri" w:eastAsia="Calibri" w:hAnsi="Calibri" w:cs="Calibri"/>
          <w:sz w:val="18"/>
          <w:szCs w:val="18"/>
        </w:rPr>
        <w:t>temmuz</w:t>
      </w:r>
      <w:proofErr w:type="gramEnd"/>
      <w:r>
        <w:rPr>
          <w:rFonts w:ascii="Calibri" w:eastAsia="Calibri" w:hAnsi="Calibri" w:cs="Calibri"/>
          <w:sz w:val="18"/>
          <w:szCs w:val="18"/>
        </w:rPr>
        <w:t>-darbe-girisimi/disisleri-bakani-mevlut-cavusoglu-100un-uzerinde-onde-gelen-fetocuyu-turkiyeye-getirdik/1205170</w:t>
      </w:r>
    </w:p>
  </w:footnote>
  <w:footnote w:id="16">
    <w:p w:rsidR="0079674F" w:rsidRDefault="00EA1B3E">
      <w:pPr>
        <w:spacing w:after="40"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https://turkeytribunal.org/tr/raporlar/gunumuz-turkiyesinde-kacirmalar/</w:t>
      </w:r>
    </w:p>
  </w:footnote>
  <w:footnote w:id="17">
    <w:p w:rsidR="0079674F" w:rsidRDefault="00EA1B3E">
      <w:pPr>
        <w:spacing w:after="40"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w:t>
      </w:r>
      <w:hyperlink r:id="rId5" w:anchor="google_vignette" w:tooltip="https://www.memurlar.net/haber/1071459/kosova-da-feto-ile-mucadele-eden-burokrat-cezalandirildi.html#google_vignette" w:history="1">
        <w:r>
          <w:rPr>
            <w:rFonts w:ascii="Calibri" w:eastAsia="Calibri" w:hAnsi="Calibri" w:cs="Calibri"/>
            <w:color w:val="0563C1"/>
            <w:sz w:val="18"/>
            <w:szCs w:val="18"/>
            <w:u w:val="single"/>
          </w:rPr>
          <w:t>Kosova'da FETÖ ile mücadele eden bürokrat cezalandırıldı-Memurlar.Net</w:t>
        </w:r>
      </w:hyperlink>
    </w:p>
  </w:footnote>
  <w:footnote w:id="18">
    <w:p w:rsidR="0079674F" w:rsidRDefault="00EA1B3E">
      <w:pPr>
        <w:spacing w:after="40"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https://www.hrw.org/tr/news/</w:t>
      </w:r>
      <w:proofErr w:type="gramStart"/>
      <w:r>
        <w:rPr>
          <w:rFonts w:ascii="Calibri" w:eastAsia="Calibri" w:hAnsi="Calibri" w:cs="Calibri"/>
          <w:sz w:val="18"/>
          <w:szCs w:val="18"/>
        </w:rPr>
        <w:t>2017/08/03/307444</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74F" w:rsidRDefault="0079674F">
    <w:pPr>
      <w:pBdr>
        <w:top w:val="none" w:sz="0" w:space="0" w:color="000000"/>
        <w:left w:val="none" w:sz="0" w:space="0" w:color="000000"/>
        <w:bottom w:val="none" w:sz="0" w:space="0" w:color="000000"/>
        <w:right w:val="none" w:sz="0" w:space="0" w:color="000000"/>
        <w:between w:val="none" w:sz="0" w:space="0" w:color="000000"/>
      </w:pBdr>
      <w:tabs>
        <w:tab w:val="center" w:pos="7143"/>
        <w:tab w:val="right" w:pos="14287"/>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722CE"/>
    <w:multiLevelType w:val="hybridMultilevel"/>
    <w:tmpl w:val="EC48301C"/>
    <w:lvl w:ilvl="0" w:tplc="2EDE4DF2">
      <w:start w:val="1"/>
      <w:numFmt w:val="bullet"/>
      <w:lvlText w:val="·"/>
      <w:lvlJc w:val="left"/>
      <w:pPr>
        <w:ind w:left="709" w:hanging="360"/>
      </w:pPr>
      <w:rPr>
        <w:rFonts w:ascii="Symbol" w:eastAsia="Symbol" w:hAnsi="Symbol" w:cs="Symbol" w:hint="default"/>
      </w:rPr>
    </w:lvl>
    <w:lvl w:ilvl="1" w:tplc="C19054D6">
      <w:start w:val="1"/>
      <w:numFmt w:val="bullet"/>
      <w:lvlText w:val="·"/>
      <w:lvlJc w:val="left"/>
      <w:pPr>
        <w:ind w:left="1429" w:hanging="360"/>
      </w:pPr>
      <w:rPr>
        <w:rFonts w:ascii="Symbol" w:eastAsia="Symbol" w:hAnsi="Symbol" w:cs="Symbol" w:hint="default"/>
      </w:rPr>
    </w:lvl>
    <w:lvl w:ilvl="2" w:tplc="04F45A68">
      <w:start w:val="1"/>
      <w:numFmt w:val="bullet"/>
      <w:lvlText w:val="·"/>
      <w:lvlJc w:val="left"/>
      <w:pPr>
        <w:ind w:left="2149" w:hanging="360"/>
      </w:pPr>
      <w:rPr>
        <w:rFonts w:ascii="Symbol" w:eastAsia="Symbol" w:hAnsi="Symbol" w:cs="Symbol" w:hint="default"/>
      </w:rPr>
    </w:lvl>
    <w:lvl w:ilvl="3" w:tplc="9AA29F70">
      <w:start w:val="1"/>
      <w:numFmt w:val="bullet"/>
      <w:lvlText w:val="·"/>
      <w:lvlJc w:val="left"/>
      <w:pPr>
        <w:ind w:left="2869" w:hanging="360"/>
      </w:pPr>
      <w:rPr>
        <w:rFonts w:ascii="Symbol" w:eastAsia="Symbol" w:hAnsi="Symbol" w:cs="Symbol" w:hint="default"/>
      </w:rPr>
    </w:lvl>
    <w:lvl w:ilvl="4" w:tplc="1DCA2C18">
      <w:start w:val="1"/>
      <w:numFmt w:val="bullet"/>
      <w:lvlText w:val="·"/>
      <w:lvlJc w:val="left"/>
      <w:pPr>
        <w:ind w:left="3589" w:hanging="360"/>
      </w:pPr>
      <w:rPr>
        <w:rFonts w:ascii="Symbol" w:eastAsia="Symbol" w:hAnsi="Symbol" w:cs="Symbol" w:hint="default"/>
      </w:rPr>
    </w:lvl>
    <w:lvl w:ilvl="5" w:tplc="F32A2146">
      <w:start w:val="1"/>
      <w:numFmt w:val="bullet"/>
      <w:lvlText w:val="·"/>
      <w:lvlJc w:val="left"/>
      <w:pPr>
        <w:ind w:left="4309" w:hanging="360"/>
      </w:pPr>
      <w:rPr>
        <w:rFonts w:ascii="Symbol" w:eastAsia="Symbol" w:hAnsi="Symbol" w:cs="Symbol" w:hint="default"/>
      </w:rPr>
    </w:lvl>
    <w:lvl w:ilvl="6" w:tplc="D2E2C0FA">
      <w:start w:val="1"/>
      <w:numFmt w:val="bullet"/>
      <w:lvlText w:val="·"/>
      <w:lvlJc w:val="left"/>
      <w:pPr>
        <w:ind w:left="5029" w:hanging="360"/>
      </w:pPr>
      <w:rPr>
        <w:rFonts w:ascii="Symbol" w:eastAsia="Symbol" w:hAnsi="Symbol" w:cs="Symbol" w:hint="default"/>
      </w:rPr>
    </w:lvl>
    <w:lvl w:ilvl="7" w:tplc="EE861260">
      <w:start w:val="1"/>
      <w:numFmt w:val="bullet"/>
      <w:lvlText w:val="·"/>
      <w:lvlJc w:val="left"/>
      <w:pPr>
        <w:ind w:left="5749" w:hanging="360"/>
      </w:pPr>
      <w:rPr>
        <w:rFonts w:ascii="Symbol" w:eastAsia="Symbol" w:hAnsi="Symbol" w:cs="Symbol" w:hint="default"/>
      </w:rPr>
    </w:lvl>
    <w:lvl w:ilvl="8" w:tplc="48A658E4">
      <w:start w:val="1"/>
      <w:numFmt w:val="bullet"/>
      <w:lvlText w:val="·"/>
      <w:lvlJc w:val="left"/>
      <w:pPr>
        <w:ind w:left="6469" w:hanging="360"/>
      </w:pPr>
      <w:rPr>
        <w:rFonts w:ascii="Symbol" w:eastAsia="Symbol" w:hAnsi="Symbol" w:cs="Symbol" w:hint="default"/>
      </w:rPr>
    </w:lvl>
  </w:abstractNum>
  <w:abstractNum w:abstractNumId="1" w15:restartNumberingAfterBreak="0">
    <w:nsid w:val="0425337F"/>
    <w:multiLevelType w:val="hybridMultilevel"/>
    <w:tmpl w:val="84BCB0D6"/>
    <w:lvl w:ilvl="0" w:tplc="87CE7B66">
      <w:start w:val="1"/>
      <w:numFmt w:val="bullet"/>
      <w:lvlText w:val="·"/>
      <w:lvlJc w:val="left"/>
      <w:pPr>
        <w:ind w:left="709" w:hanging="360"/>
      </w:pPr>
      <w:rPr>
        <w:rFonts w:ascii="Symbol" w:eastAsia="Symbol" w:hAnsi="Symbol" w:cs="Symbol" w:hint="default"/>
      </w:rPr>
    </w:lvl>
    <w:lvl w:ilvl="1" w:tplc="83F24728">
      <w:start w:val="1"/>
      <w:numFmt w:val="bullet"/>
      <w:lvlText w:val="·"/>
      <w:lvlJc w:val="left"/>
      <w:pPr>
        <w:ind w:left="1429" w:hanging="360"/>
      </w:pPr>
      <w:rPr>
        <w:rFonts w:ascii="Symbol" w:eastAsia="Symbol" w:hAnsi="Symbol" w:cs="Symbol" w:hint="default"/>
      </w:rPr>
    </w:lvl>
    <w:lvl w:ilvl="2" w:tplc="5532BEBA">
      <w:start w:val="1"/>
      <w:numFmt w:val="bullet"/>
      <w:lvlText w:val="·"/>
      <w:lvlJc w:val="left"/>
      <w:pPr>
        <w:ind w:left="2149" w:hanging="360"/>
      </w:pPr>
      <w:rPr>
        <w:rFonts w:ascii="Symbol" w:eastAsia="Symbol" w:hAnsi="Symbol" w:cs="Symbol" w:hint="default"/>
      </w:rPr>
    </w:lvl>
    <w:lvl w:ilvl="3" w:tplc="7810A168">
      <w:start w:val="1"/>
      <w:numFmt w:val="bullet"/>
      <w:lvlText w:val="·"/>
      <w:lvlJc w:val="left"/>
      <w:pPr>
        <w:ind w:left="2869" w:hanging="360"/>
      </w:pPr>
      <w:rPr>
        <w:rFonts w:ascii="Symbol" w:eastAsia="Symbol" w:hAnsi="Symbol" w:cs="Symbol" w:hint="default"/>
      </w:rPr>
    </w:lvl>
    <w:lvl w:ilvl="4" w:tplc="8E3E4E7C">
      <w:start w:val="1"/>
      <w:numFmt w:val="bullet"/>
      <w:lvlText w:val="·"/>
      <w:lvlJc w:val="left"/>
      <w:pPr>
        <w:ind w:left="3589" w:hanging="360"/>
      </w:pPr>
      <w:rPr>
        <w:rFonts w:ascii="Symbol" w:eastAsia="Symbol" w:hAnsi="Symbol" w:cs="Symbol" w:hint="default"/>
      </w:rPr>
    </w:lvl>
    <w:lvl w:ilvl="5" w:tplc="75222460">
      <w:start w:val="1"/>
      <w:numFmt w:val="bullet"/>
      <w:lvlText w:val="·"/>
      <w:lvlJc w:val="left"/>
      <w:pPr>
        <w:ind w:left="4309" w:hanging="360"/>
      </w:pPr>
      <w:rPr>
        <w:rFonts w:ascii="Symbol" w:eastAsia="Symbol" w:hAnsi="Symbol" w:cs="Symbol" w:hint="default"/>
      </w:rPr>
    </w:lvl>
    <w:lvl w:ilvl="6" w:tplc="03808312">
      <w:start w:val="1"/>
      <w:numFmt w:val="bullet"/>
      <w:lvlText w:val="·"/>
      <w:lvlJc w:val="left"/>
      <w:pPr>
        <w:ind w:left="5029" w:hanging="360"/>
      </w:pPr>
      <w:rPr>
        <w:rFonts w:ascii="Symbol" w:eastAsia="Symbol" w:hAnsi="Symbol" w:cs="Symbol" w:hint="default"/>
      </w:rPr>
    </w:lvl>
    <w:lvl w:ilvl="7" w:tplc="B32AE0C0">
      <w:start w:val="1"/>
      <w:numFmt w:val="bullet"/>
      <w:lvlText w:val="·"/>
      <w:lvlJc w:val="left"/>
      <w:pPr>
        <w:ind w:left="5749" w:hanging="360"/>
      </w:pPr>
      <w:rPr>
        <w:rFonts w:ascii="Symbol" w:eastAsia="Symbol" w:hAnsi="Symbol" w:cs="Symbol" w:hint="default"/>
      </w:rPr>
    </w:lvl>
    <w:lvl w:ilvl="8" w:tplc="B41626AE">
      <w:start w:val="1"/>
      <w:numFmt w:val="bullet"/>
      <w:lvlText w:val="·"/>
      <w:lvlJc w:val="left"/>
      <w:pPr>
        <w:ind w:left="6469" w:hanging="360"/>
      </w:pPr>
      <w:rPr>
        <w:rFonts w:ascii="Symbol" w:eastAsia="Symbol" w:hAnsi="Symbol" w:cs="Symbol" w:hint="default"/>
      </w:rPr>
    </w:lvl>
  </w:abstractNum>
  <w:abstractNum w:abstractNumId="2" w15:restartNumberingAfterBreak="0">
    <w:nsid w:val="057871A4"/>
    <w:multiLevelType w:val="hybridMultilevel"/>
    <w:tmpl w:val="D37CEC34"/>
    <w:lvl w:ilvl="0" w:tplc="2F82DC40">
      <w:start w:val="1"/>
      <w:numFmt w:val="bullet"/>
      <w:lvlText w:val="·"/>
      <w:lvlJc w:val="left"/>
      <w:pPr>
        <w:ind w:left="709" w:hanging="360"/>
      </w:pPr>
      <w:rPr>
        <w:rFonts w:ascii="Symbol" w:eastAsia="Symbol" w:hAnsi="Symbol" w:cs="Symbol" w:hint="default"/>
      </w:rPr>
    </w:lvl>
    <w:lvl w:ilvl="1" w:tplc="3118E282">
      <w:start w:val="1"/>
      <w:numFmt w:val="bullet"/>
      <w:lvlText w:val="·"/>
      <w:lvlJc w:val="left"/>
      <w:pPr>
        <w:ind w:left="1429" w:hanging="360"/>
      </w:pPr>
      <w:rPr>
        <w:rFonts w:ascii="Symbol" w:eastAsia="Symbol" w:hAnsi="Symbol" w:cs="Symbol" w:hint="default"/>
      </w:rPr>
    </w:lvl>
    <w:lvl w:ilvl="2" w:tplc="3070BE02">
      <w:start w:val="1"/>
      <w:numFmt w:val="bullet"/>
      <w:lvlText w:val="·"/>
      <w:lvlJc w:val="left"/>
      <w:pPr>
        <w:ind w:left="2149" w:hanging="360"/>
      </w:pPr>
      <w:rPr>
        <w:rFonts w:ascii="Symbol" w:eastAsia="Symbol" w:hAnsi="Symbol" w:cs="Symbol" w:hint="default"/>
      </w:rPr>
    </w:lvl>
    <w:lvl w:ilvl="3" w:tplc="DF205780">
      <w:start w:val="1"/>
      <w:numFmt w:val="bullet"/>
      <w:lvlText w:val="·"/>
      <w:lvlJc w:val="left"/>
      <w:pPr>
        <w:ind w:left="2869" w:hanging="360"/>
      </w:pPr>
      <w:rPr>
        <w:rFonts w:ascii="Symbol" w:eastAsia="Symbol" w:hAnsi="Symbol" w:cs="Symbol" w:hint="default"/>
      </w:rPr>
    </w:lvl>
    <w:lvl w:ilvl="4" w:tplc="4EBCEB3A">
      <w:start w:val="1"/>
      <w:numFmt w:val="bullet"/>
      <w:lvlText w:val="·"/>
      <w:lvlJc w:val="left"/>
      <w:pPr>
        <w:ind w:left="3589" w:hanging="360"/>
      </w:pPr>
      <w:rPr>
        <w:rFonts w:ascii="Symbol" w:eastAsia="Symbol" w:hAnsi="Symbol" w:cs="Symbol" w:hint="default"/>
      </w:rPr>
    </w:lvl>
    <w:lvl w:ilvl="5" w:tplc="9B8A9280">
      <w:start w:val="1"/>
      <w:numFmt w:val="bullet"/>
      <w:lvlText w:val="·"/>
      <w:lvlJc w:val="left"/>
      <w:pPr>
        <w:ind w:left="4309" w:hanging="360"/>
      </w:pPr>
      <w:rPr>
        <w:rFonts w:ascii="Symbol" w:eastAsia="Symbol" w:hAnsi="Symbol" w:cs="Symbol" w:hint="default"/>
      </w:rPr>
    </w:lvl>
    <w:lvl w:ilvl="6" w:tplc="E32494EC">
      <w:start w:val="1"/>
      <w:numFmt w:val="bullet"/>
      <w:lvlText w:val="·"/>
      <w:lvlJc w:val="left"/>
      <w:pPr>
        <w:ind w:left="5029" w:hanging="360"/>
      </w:pPr>
      <w:rPr>
        <w:rFonts w:ascii="Symbol" w:eastAsia="Symbol" w:hAnsi="Symbol" w:cs="Symbol" w:hint="default"/>
      </w:rPr>
    </w:lvl>
    <w:lvl w:ilvl="7" w:tplc="AE1ABC3E">
      <w:start w:val="1"/>
      <w:numFmt w:val="bullet"/>
      <w:lvlText w:val="·"/>
      <w:lvlJc w:val="left"/>
      <w:pPr>
        <w:ind w:left="5749" w:hanging="360"/>
      </w:pPr>
      <w:rPr>
        <w:rFonts w:ascii="Symbol" w:eastAsia="Symbol" w:hAnsi="Symbol" w:cs="Symbol" w:hint="default"/>
      </w:rPr>
    </w:lvl>
    <w:lvl w:ilvl="8" w:tplc="416AD78E">
      <w:start w:val="1"/>
      <w:numFmt w:val="bullet"/>
      <w:lvlText w:val="·"/>
      <w:lvlJc w:val="left"/>
      <w:pPr>
        <w:ind w:left="6469" w:hanging="360"/>
      </w:pPr>
      <w:rPr>
        <w:rFonts w:ascii="Symbol" w:eastAsia="Symbol" w:hAnsi="Symbol" w:cs="Symbol" w:hint="default"/>
      </w:rPr>
    </w:lvl>
  </w:abstractNum>
  <w:abstractNum w:abstractNumId="3" w15:restartNumberingAfterBreak="0">
    <w:nsid w:val="0A5F0FB6"/>
    <w:multiLevelType w:val="hybridMultilevel"/>
    <w:tmpl w:val="E836E4EC"/>
    <w:lvl w:ilvl="0" w:tplc="B220E934">
      <w:start w:val="1"/>
      <w:numFmt w:val="decimal"/>
      <w:lvlText w:val="%1."/>
      <w:lvlJc w:val="left"/>
      <w:pPr>
        <w:ind w:left="720" w:hanging="360"/>
      </w:pPr>
    </w:lvl>
    <w:lvl w:ilvl="1" w:tplc="052CCE3A">
      <w:start w:val="1"/>
      <w:numFmt w:val="lowerLetter"/>
      <w:lvlText w:val="%2."/>
      <w:lvlJc w:val="left"/>
      <w:pPr>
        <w:ind w:left="1440" w:hanging="360"/>
      </w:pPr>
    </w:lvl>
    <w:lvl w:ilvl="2" w:tplc="26CE35DA">
      <w:start w:val="1"/>
      <w:numFmt w:val="lowerRoman"/>
      <w:lvlText w:val="%3."/>
      <w:lvlJc w:val="right"/>
      <w:pPr>
        <w:ind w:left="2160" w:hanging="180"/>
      </w:pPr>
    </w:lvl>
    <w:lvl w:ilvl="3" w:tplc="5E1E3384">
      <w:start w:val="1"/>
      <w:numFmt w:val="decimal"/>
      <w:lvlText w:val="%4."/>
      <w:lvlJc w:val="left"/>
      <w:pPr>
        <w:ind w:left="2880" w:hanging="360"/>
      </w:pPr>
    </w:lvl>
    <w:lvl w:ilvl="4" w:tplc="B8DEC94C">
      <w:start w:val="1"/>
      <w:numFmt w:val="lowerLetter"/>
      <w:lvlText w:val="%5."/>
      <w:lvlJc w:val="left"/>
      <w:pPr>
        <w:ind w:left="3600" w:hanging="360"/>
      </w:pPr>
    </w:lvl>
    <w:lvl w:ilvl="5" w:tplc="E3606B48">
      <w:start w:val="1"/>
      <w:numFmt w:val="lowerRoman"/>
      <w:lvlText w:val="%6."/>
      <w:lvlJc w:val="right"/>
      <w:pPr>
        <w:ind w:left="4320" w:hanging="180"/>
      </w:pPr>
    </w:lvl>
    <w:lvl w:ilvl="6" w:tplc="41EA2264">
      <w:start w:val="1"/>
      <w:numFmt w:val="decimal"/>
      <w:lvlText w:val="%7."/>
      <w:lvlJc w:val="left"/>
      <w:pPr>
        <w:ind w:left="5040" w:hanging="360"/>
      </w:pPr>
    </w:lvl>
    <w:lvl w:ilvl="7" w:tplc="A6BCFDFC">
      <w:start w:val="1"/>
      <w:numFmt w:val="lowerLetter"/>
      <w:lvlText w:val="%8."/>
      <w:lvlJc w:val="left"/>
      <w:pPr>
        <w:ind w:left="5760" w:hanging="360"/>
      </w:pPr>
    </w:lvl>
    <w:lvl w:ilvl="8" w:tplc="3E08414C">
      <w:start w:val="1"/>
      <w:numFmt w:val="lowerRoman"/>
      <w:lvlText w:val="%9."/>
      <w:lvlJc w:val="right"/>
      <w:pPr>
        <w:ind w:left="6480" w:hanging="180"/>
      </w:pPr>
    </w:lvl>
  </w:abstractNum>
  <w:abstractNum w:abstractNumId="4" w15:restartNumberingAfterBreak="0">
    <w:nsid w:val="0FD804A9"/>
    <w:multiLevelType w:val="hybridMultilevel"/>
    <w:tmpl w:val="E0EA339A"/>
    <w:lvl w:ilvl="0" w:tplc="F23214B0">
      <w:start w:val="1"/>
      <w:numFmt w:val="bullet"/>
      <w:lvlText w:val="·"/>
      <w:lvlJc w:val="left"/>
      <w:pPr>
        <w:ind w:left="709" w:hanging="360"/>
      </w:pPr>
      <w:rPr>
        <w:rFonts w:ascii="Symbol" w:eastAsia="Symbol" w:hAnsi="Symbol" w:cs="Symbol" w:hint="default"/>
      </w:rPr>
    </w:lvl>
    <w:lvl w:ilvl="1" w:tplc="F11A3516">
      <w:start w:val="1"/>
      <w:numFmt w:val="bullet"/>
      <w:lvlText w:val="·"/>
      <w:lvlJc w:val="left"/>
      <w:pPr>
        <w:ind w:left="1429" w:hanging="360"/>
      </w:pPr>
      <w:rPr>
        <w:rFonts w:ascii="Symbol" w:eastAsia="Symbol" w:hAnsi="Symbol" w:cs="Symbol" w:hint="default"/>
      </w:rPr>
    </w:lvl>
    <w:lvl w:ilvl="2" w:tplc="017AFA82">
      <w:start w:val="1"/>
      <w:numFmt w:val="bullet"/>
      <w:lvlText w:val="·"/>
      <w:lvlJc w:val="left"/>
      <w:pPr>
        <w:ind w:left="2149" w:hanging="360"/>
      </w:pPr>
      <w:rPr>
        <w:rFonts w:ascii="Symbol" w:eastAsia="Symbol" w:hAnsi="Symbol" w:cs="Symbol" w:hint="default"/>
      </w:rPr>
    </w:lvl>
    <w:lvl w:ilvl="3" w:tplc="108E66A8">
      <w:start w:val="1"/>
      <w:numFmt w:val="bullet"/>
      <w:lvlText w:val="·"/>
      <w:lvlJc w:val="left"/>
      <w:pPr>
        <w:ind w:left="2869" w:hanging="360"/>
      </w:pPr>
      <w:rPr>
        <w:rFonts w:ascii="Symbol" w:eastAsia="Symbol" w:hAnsi="Symbol" w:cs="Symbol" w:hint="default"/>
      </w:rPr>
    </w:lvl>
    <w:lvl w:ilvl="4" w:tplc="C0146CB8">
      <w:start w:val="1"/>
      <w:numFmt w:val="bullet"/>
      <w:lvlText w:val="·"/>
      <w:lvlJc w:val="left"/>
      <w:pPr>
        <w:ind w:left="3589" w:hanging="360"/>
      </w:pPr>
      <w:rPr>
        <w:rFonts w:ascii="Symbol" w:eastAsia="Symbol" w:hAnsi="Symbol" w:cs="Symbol" w:hint="default"/>
      </w:rPr>
    </w:lvl>
    <w:lvl w:ilvl="5" w:tplc="6E10DC26">
      <w:start w:val="1"/>
      <w:numFmt w:val="bullet"/>
      <w:lvlText w:val="·"/>
      <w:lvlJc w:val="left"/>
      <w:pPr>
        <w:ind w:left="4309" w:hanging="360"/>
      </w:pPr>
      <w:rPr>
        <w:rFonts w:ascii="Symbol" w:eastAsia="Symbol" w:hAnsi="Symbol" w:cs="Symbol" w:hint="default"/>
      </w:rPr>
    </w:lvl>
    <w:lvl w:ilvl="6" w:tplc="2486A332">
      <w:start w:val="1"/>
      <w:numFmt w:val="bullet"/>
      <w:lvlText w:val="·"/>
      <w:lvlJc w:val="left"/>
      <w:pPr>
        <w:ind w:left="5029" w:hanging="360"/>
      </w:pPr>
      <w:rPr>
        <w:rFonts w:ascii="Symbol" w:eastAsia="Symbol" w:hAnsi="Symbol" w:cs="Symbol" w:hint="default"/>
      </w:rPr>
    </w:lvl>
    <w:lvl w:ilvl="7" w:tplc="1D6AEA00">
      <w:start w:val="1"/>
      <w:numFmt w:val="bullet"/>
      <w:lvlText w:val="·"/>
      <w:lvlJc w:val="left"/>
      <w:pPr>
        <w:ind w:left="5749" w:hanging="360"/>
      </w:pPr>
      <w:rPr>
        <w:rFonts w:ascii="Symbol" w:eastAsia="Symbol" w:hAnsi="Symbol" w:cs="Symbol" w:hint="default"/>
      </w:rPr>
    </w:lvl>
    <w:lvl w:ilvl="8" w:tplc="A6FC84B4">
      <w:start w:val="1"/>
      <w:numFmt w:val="bullet"/>
      <w:lvlText w:val="·"/>
      <w:lvlJc w:val="left"/>
      <w:pPr>
        <w:ind w:left="6469" w:hanging="360"/>
      </w:pPr>
      <w:rPr>
        <w:rFonts w:ascii="Symbol" w:eastAsia="Symbol" w:hAnsi="Symbol" w:cs="Symbol" w:hint="default"/>
      </w:rPr>
    </w:lvl>
  </w:abstractNum>
  <w:abstractNum w:abstractNumId="5" w15:restartNumberingAfterBreak="0">
    <w:nsid w:val="11506E59"/>
    <w:multiLevelType w:val="hybridMultilevel"/>
    <w:tmpl w:val="567AF260"/>
    <w:lvl w:ilvl="0" w:tplc="F6C47C32">
      <w:start w:val="1"/>
      <w:numFmt w:val="bullet"/>
      <w:lvlText w:val="·"/>
      <w:lvlJc w:val="left"/>
      <w:pPr>
        <w:ind w:left="709" w:hanging="360"/>
      </w:pPr>
      <w:rPr>
        <w:rFonts w:ascii="Symbol" w:eastAsia="Symbol" w:hAnsi="Symbol" w:cs="Symbol" w:hint="default"/>
      </w:rPr>
    </w:lvl>
    <w:lvl w:ilvl="1" w:tplc="F49CB158">
      <w:start w:val="1"/>
      <w:numFmt w:val="bullet"/>
      <w:lvlText w:val="·"/>
      <w:lvlJc w:val="left"/>
      <w:pPr>
        <w:ind w:left="1429" w:hanging="360"/>
      </w:pPr>
      <w:rPr>
        <w:rFonts w:ascii="Symbol" w:eastAsia="Symbol" w:hAnsi="Symbol" w:cs="Symbol" w:hint="default"/>
      </w:rPr>
    </w:lvl>
    <w:lvl w:ilvl="2" w:tplc="150811FA">
      <w:start w:val="1"/>
      <w:numFmt w:val="bullet"/>
      <w:lvlText w:val="·"/>
      <w:lvlJc w:val="left"/>
      <w:pPr>
        <w:ind w:left="2149" w:hanging="360"/>
      </w:pPr>
      <w:rPr>
        <w:rFonts w:ascii="Symbol" w:eastAsia="Symbol" w:hAnsi="Symbol" w:cs="Symbol" w:hint="default"/>
      </w:rPr>
    </w:lvl>
    <w:lvl w:ilvl="3" w:tplc="E79854E0">
      <w:start w:val="1"/>
      <w:numFmt w:val="bullet"/>
      <w:lvlText w:val="·"/>
      <w:lvlJc w:val="left"/>
      <w:pPr>
        <w:ind w:left="2869" w:hanging="360"/>
      </w:pPr>
      <w:rPr>
        <w:rFonts w:ascii="Symbol" w:eastAsia="Symbol" w:hAnsi="Symbol" w:cs="Symbol" w:hint="default"/>
      </w:rPr>
    </w:lvl>
    <w:lvl w:ilvl="4" w:tplc="6C64980A">
      <w:start w:val="1"/>
      <w:numFmt w:val="bullet"/>
      <w:lvlText w:val="·"/>
      <w:lvlJc w:val="left"/>
      <w:pPr>
        <w:ind w:left="3589" w:hanging="360"/>
      </w:pPr>
      <w:rPr>
        <w:rFonts w:ascii="Symbol" w:eastAsia="Symbol" w:hAnsi="Symbol" w:cs="Symbol" w:hint="default"/>
      </w:rPr>
    </w:lvl>
    <w:lvl w:ilvl="5" w:tplc="654C692E">
      <w:start w:val="1"/>
      <w:numFmt w:val="bullet"/>
      <w:lvlText w:val="·"/>
      <w:lvlJc w:val="left"/>
      <w:pPr>
        <w:ind w:left="4309" w:hanging="360"/>
      </w:pPr>
      <w:rPr>
        <w:rFonts w:ascii="Symbol" w:eastAsia="Symbol" w:hAnsi="Symbol" w:cs="Symbol" w:hint="default"/>
      </w:rPr>
    </w:lvl>
    <w:lvl w:ilvl="6" w:tplc="69A0AEA2">
      <w:start w:val="1"/>
      <w:numFmt w:val="bullet"/>
      <w:lvlText w:val="·"/>
      <w:lvlJc w:val="left"/>
      <w:pPr>
        <w:ind w:left="5029" w:hanging="360"/>
      </w:pPr>
      <w:rPr>
        <w:rFonts w:ascii="Symbol" w:eastAsia="Symbol" w:hAnsi="Symbol" w:cs="Symbol" w:hint="default"/>
      </w:rPr>
    </w:lvl>
    <w:lvl w:ilvl="7" w:tplc="05665746">
      <w:start w:val="1"/>
      <w:numFmt w:val="bullet"/>
      <w:lvlText w:val="·"/>
      <w:lvlJc w:val="left"/>
      <w:pPr>
        <w:ind w:left="5749" w:hanging="360"/>
      </w:pPr>
      <w:rPr>
        <w:rFonts w:ascii="Symbol" w:eastAsia="Symbol" w:hAnsi="Symbol" w:cs="Symbol" w:hint="default"/>
      </w:rPr>
    </w:lvl>
    <w:lvl w:ilvl="8" w:tplc="89EA6D8E">
      <w:start w:val="1"/>
      <w:numFmt w:val="bullet"/>
      <w:lvlText w:val="·"/>
      <w:lvlJc w:val="left"/>
      <w:pPr>
        <w:ind w:left="6469" w:hanging="360"/>
      </w:pPr>
      <w:rPr>
        <w:rFonts w:ascii="Symbol" w:eastAsia="Symbol" w:hAnsi="Symbol" w:cs="Symbol" w:hint="default"/>
      </w:rPr>
    </w:lvl>
  </w:abstractNum>
  <w:abstractNum w:abstractNumId="6" w15:restartNumberingAfterBreak="0">
    <w:nsid w:val="12FA37C0"/>
    <w:multiLevelType w:val="hybridMultilevel"/>
    <w:tmpl w:val="ECA2AB5A"/>
    <w:lvl w:ilvl="0" w:tplc="26D03F1A">
      <w:start w:val="1"/>
      <w:numFmt w:val="bullet"/>
      <w:lvlText w:val="●"/>
      <w:lvlJc w:val="left"/>
      <w:pPr>
        <w:ind w:left="709" w:hanging="359"/>
      </w:pPr>
      <w:rPr>
        <w:rFonts w:ascii="Noto Sans Symbols" w:eastAsia="Noto Sans Symbols" w:hAnsi="Noto Sans Symbols" w:cs="Noto Sans Symbols"/>
      </w:rPr>
    </w:lvl>
    <w:lvl w:ilvl="1" w:tplc="36E4576C">
      <w:start w:val="1"/>
      <w:numFmt w:val="bullet"/>
      <w:lvlText w:val="o"/>
      <w:lvlJc w:val="left"/>
      <w:pPr>
        <w:ind w:left="1440" w:hanging="360"/>
      </w:pPr>
      <w:rPr>
        <w:rFonts w:ascii="Courier New" w:eastAsia="Courier New" w:hAnsi="Courier New" w:cs="Courier New"/>
      </w:rPr>
    </w:lvl>
    <w:lvl w:ilvl="2" w:tplc="5FC22AE2">
      <w:start w:val="1"/>
      <w:numFmt w:val="bullet"/>
      <w:lvlText w:val="▪"/>
      <w:lvlJc w:val="left"/>
      <w:pPr>
        <w:ind w:left="2160" w:hanging="360"/>
      </w:pPr>
      <w:rPr>
        <w:rFonts w:ascii="Noto Sans Symbols" w:eastAsia="Noto Sans Symbols" w:hAnsi="Noto Sans Symbols" w:cs="Noto Sans Symbols"/>
      </w:rPr>
    </w:lvl>
    <w:lvl w:ilvl="3" w:tplc="75D04AFC">
      <w:start w:val="1"/>
      <w:numFmt w:val="bullet"/>
      <w:lvlText w:val="●"/>
      <w:lvlJc w:val="left"/>
      <w:pPr>
        <w:ind w:left="2880" w:hanging="360"/>
      </w:pPr>
      <w:rPr>
        <w:rFonts w:ascii="Noto Sans Symbols" w:eastAsia="Noto Sans Symbols" w:hAnsi="Noto Sans Symbols" w:cs="Noto Sans Symbols"/>
      </w:rPr>
    </w:lvl>
    <w:lvl w:ilvl="4" w:tplc="1FDA49BE">
      <w:start w:val="1"/>
      <w:numFmt w:val="bullet"/>
      <w:lvlText w:val="o"/>
      <w:lvlJc w:val="left"/>
      <w:pPr>
        <w:ind w:left="3600" w:hanging="360"/>
      </w:pPr>
      <w:rPr>
        <w:rFonts w:ascii="Courier New" w:eastAsia="Courier New" w:hAnsi="Courier New" w:cs="Courier New"/>
      </w:rPr>
    </w:lvl>
    <w:lvl w:ilvl="5" w:tplc="60B80BD6">
      <w:start w:val="1"/>
      <w:numFmt w:val="bullet"/>
      <w:lvlText w:val="▪"/>
      <w:lvlJc w:val="left"/>
      <w:pPr>
        <w:ind w:left="4320" w:hanging="360"/>
      </w:pPr>
      <w:rPr>
        <w:rFonts w:ascii="Noto Sans Symbols" w:eastAsia="Noto Sans Symbols" w:hAnsi="Noto Sans Symbols" w:cs="Noto Sans Symbols"/>
      </w:rPr>
    </w:lvl>
    <w:lvl w:ilvl="6" w:tplc="8C6A6986">
      <w:start w:val="1"/>
      <w:numFmt w:val="bullet"/>
      <w:lvlText w:val="●"/>
      <w:lvlJc w:val="left"/>
      <w:pPr>
        <w:ind w:left="5040" w:hanging="360"/>
      </w:pPr>
      <w:rPr>
        <w:rFonts w:ascii="Noto Sans Symbols" w:eastAsia="Noto Sans Symbols" w:hAnsi="Noto Sans Symbols" w:cs="Noto Sans Symbols"/>
      </w:rPr>
    </w:lvl>
    <w:lvl w:ilvl="7" w:tplc="CF403F48">
      <w:start w:val="1"/>
      <w:numFmt w:val="bullet"/>
      <w:lvlText w:val="o"/>
      <w:lvlJc w:val="left"/>
      <w:pPr>
        <w:ind w:left="5760" w:hanging="360"/>
      </w:pPr>
      <w:rPr>
        <w:rFonts w:ascii="Courier New" w:eastAsia="Courier New" w:hAnsi="Courier New" w:cs="Courier New"/>
      </w:rPr>
    </w:lvl>
    <w:lvl w:ilvl="8" w:tplc="0C42968C">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A597E38"/>
    <w:multiLevelType w:val="hybridMultilevel"/>
    <w:tmpl w:val="F0C206F8"/>
    <w:lvl w:ilvl="0" w:tplc="D88891F0">
      <w:start w:val="1"/>
      <w:numFmt w:val="bullet"/>
      <w:lvlText w:val="·"/>
      <w:lvlJc w:val="left"/>
      <w:pPr>
        <w:ind w:left="709" w:hanging="360"/>
      </w:pPr>
      <w:rPr>
        <w:rFonts w:ascii="Symbol" w:eastAsia="Symbol" w:hAnsi="Symbol" w:cs="Symbol" w:hint="default"/>
      </w:rPr>
    </w:lvl>
    <w:lvl w:ilvl="1" w:tplc="2D64E1DA">
      <w:start w:val="1"/>
      <w:numFmt w:val="bullet"/>
      <w:lvlText w:val="·"/>
      <w:lvlJc w:val="left"/>
      <w:pPr>
        <w:ind w:left="1429" w:hanging="360"/>
      </w:pPr>
      <w:rPr>
        <w:rFonts w:ascii="Symbol" w:eastAsia="Symbol" w:hAnsi="Symbol" w:cs="Symbol" w:hint="default"/>
      </w:rPr>
    </w:lvl>
    <w:lvl w:ilvl="2" w:tplc="FEB03122">
      <w:start w:val="1"/>
      <w:numFmt w:val="bullet"/>
      <w:lvlText w:val="·"/>
      <w:lvlJc w:val="left"/>
      <w:pPr>
        <w:ind w:left="2149" w:hanging="360"/>
      </w:pPr>
      <w:rPr>
        <w:rFonts w:ascii="Symbol" w:eastAsia="Symbol" w:hAnsi="Symbol" w:cs="Symbol" w:hint="default"/>
      </w:rPr>
    </w:lvl>
    <w:lvl w:ilvl="3" w:tplc="7144DE90">
      <w:start w:val="1"/>
      <w:numFmt w:val="bullet"/>
      <w:lvlText w:val="·"/>
      <w:lvlJc w:val="left"/>
      <w:pPr>
        <w:ind w:left="2869" w:hanging="360"/>
      </w:pPr>
      <w:rPr>
        <w:rFonts w:ascii="Symbol" w:eastAsia="Symbol" w:hAnsi="Symbol" w:cs="Symbol" w:hint="default"/>
      </w:rPr>
    </w:lvl>
    <w:lvl w:ilvl="4" w:tplc="ED5A3B22">
      <w:start w:val="1"/>
      <w:numFmt w:val="bullet"/>
      <w:lvlText w:val="·"/>
      <w:lvlJc w:val="left"/>
      <w:pPr>
        <w:ind w:left="3589" w:hanging="360"/>
      </w:pPr>
      <w:rPr>
        <w:rFonts w:ascii="Symbol" w:eastAsia="Symbol" w:hAnsi="Symbol" w:cs="Symbol" w:hint="default"/>
      </w:rPr>
    </w:lvl>
    <w:lvl w:ilvl="5" w:tplc="E326DA18">
      <w:start w:val="1"/>
      <w:numFmt w:val="bullet"/>
      <w:lvlText w:val="·"/>
      <w:lvlJc w:val="left"/>
      <w:pPr>
        <w:ind w:left="4309" w:hanging="360"/>
      </w:pPr>
      <w:rPr>
        <w:rFonts w:ascii="Symbol" w:eastAsia="Symbol" w:hAnsi="Symbol" w:cs="Symbol" w:hint="default"/>
      </w:rPr>
    </w:lvl>
    <w:lvl w:ilvl="6" w:tplc="6D5009D2">
      <w:start w:val="1"/>
      <w:numFmt w:val="bullet"/>
      <w:lvlText w:val="·"/>
      <w:lvlJc w:val="left"/>
      <w:pPr>
        <w:ind w:left="5029" w:hanging="360"/>
      </w:pPr>
      <w:rPr>
        <w:rFonts w:ascii="Symbol" w:eastAsia="Symbol" w:hAnsi="Symbol" w:cs="Symbol" w:hint="default"/>
      </w:rPr>
    </w:lvl>
    <w:lvl w:ilvl="7" w:tplc="0CA4719C">
      <w:start w:val="1"/>
      <w:numFmt w:val="bullet"/>
      <w:lvlText w:val="·"/>
      <w:lvlJc w:val="left"/>
      <w:pPr>
        <w:ind w:left="5749" w:hanging="360"/>
      </w:pPr>
      <w:rPr>
        <w:rFonts w:ascii="Symbol" w:eastAsia="Symbol" w:hAnsi="Symbol" w:cs="Symbol" w:hint="default"/>
      </w:rPr>
    </w:lvl>
    <w:lvl w:ilvl="8" w:tplc="D2CA0734">
      <w:start w:val="1"/>
      <w:numFmt w:val="bullet"/>
      <w:lvlText w:val="·"/>
      <w:lvlJc w:val="left"/>
      <w:pPr>
        <w:ind w:left="6469" w:hanging="360"/>
      </w:pPr>
      <w:rPr>
        <w:rFonts w:ascii="Symbol" w:eastAsia="Symbol" w:hAnsi="Symbol" w:cs="Symbol" w:hint="default"/>
      </w:rPr>
    </w:lvl>
  </w:abstractNum>
  <w:abstractNum w:abstractNumId="8" w15:restartNumberingAfterBreak="0">
    <w:nsid w:val="1B3158C9"/>
    <w:multiLevelType w:val="hybridMultilevel"/>
    <w:tmpl w:val="ABCA11F8"/>
    <w:lvl w:ilvl="0" w:tplc="CC3E0BA6">
      <w:start w:val="1"/>
      <w:numFmt w:val="bullet"/>
      <w:lvlText w:val="·"/>
      <w:lvlJc w:val="left"/>
      <w:pPr>
        <w:ind w:left="709" w:hanging="360"/>
      </w:pPr>
      <w:rPr>
        <w:rFonts w:ascii="Symbol" w:eastAsia="Symbol" w:hAnsi="Symbol" w:cs="Symbol" w:hint="default"/>
      </w:rPr>
    </w:lvl>
    <w:lvl w:ilvl="1" w:tplc="1BC83560">
      <w:start w:val="1"/>
      <w:numFmt w:val="bullet"/>
      <w:lvlText w:val="·"/>
      <w:lvlJc w:val="left"/>
      <w:pPr>
        <w:ind w:left="1429" w:hanging="360"/>
      </w:pPr>
      <w:rPr>
        <w:rFonts w:ascii="Symbol" w:eastAsia="Symbol" w:hAnsi="Symbol" w:cs="Symbol" w:hint="default"/>
      </w:rPr>
    </w:lvl>
    <w:lvl w:ilvl="2" w:tplc="FC749F1A">
      <w:start w:val="1"/>
      <w:numFmt w:val="bullet"/>
      <w:lvlText w:val="·"/>
      <w:lvlJc w:val="left"/>
      <w:pPr>
        <w:ind w:left="2149" w:hanging="360"/>
      </w:pPr>
      <w:rPr>
        <w:rFonts w:ascii="Symbol" w:eastAsia="Symbol" w:hAnsi="Symbol" w:cs="Symbol" w:hint="default"/>
      </w:rPr>
    </w:lvl>
    <w:lvl w:ilvl="3" w:tplc="40E01C76">
      <w:start w:val="1"/>
      <w:numFmt w:val="bullet"/>
      <w:lvlText w:val="·"/>
      <w:lvlJc w:val="left"/>
      <w:pPr>
        <w:ind w:left="2869" w:hanging="360"/>
      </w:pPr>
      <w:rPr>
        <w:rFonts w:ascii="Symbol" w:eastAsia="Symbol" w:hAnsi="Symbol" w:cs="Symbol" w:hint="default"/>
      </w:rPr>
    </w:lvl>
    <w:lvl w:ilvl="4" w:tplc="4B8E0176">
      <w:start w:val="1"/>
      <w:numFmt w:val="bullet"/>
      <w:lvlText w:val="·"/>
      <w:lvlJc w:val="left"/>
      <w:pPr>
        <w:ind w:left="3589" w:hanging="360"/>
      </w:pPr>
      <w:rPr>
        <w:rFonts w:ascii="Symbol" w:eastAsia="Symbol" w:hAnsi="Symbol" w:cs="Symbol" w:hint="default"/>
      </w:rPr>
    </w:lvl>
    <w:lvl w:ilvl="5" w:tplc="6E38E16C">
      <w:start w:val="1"/>
      <w:numFmt w:val="bullet"/>
      <w:lvlText w:val="·"/>
      <w:lvlJc w:val="left"/>
      <w:pPr>
        <w:ind w:left="4309" w:hanging="360"/>
      </w:pPr>
      <w:rPr>
        <w:rFonts w:ascii="Symbol" w:eastAsia="Symbol" w:hAnsi="Symbol" w:cs="Symbol" w:hint="default"/>
      </w:rPr>
    </w:lvl>
    <w:lvl w:ilvl="6" w:tplc="82846C08">
      <w:start w:val="1"/>
      <w:numFmt w:val="bullet"/>
      <w:lvlText w:val="·"/>
      <w:lvlJc w:val="left"/>
      <w:pPr>
        <w:ind w:left="5029" w:hanging="360"/>
      </w:pPr>
      <w:rPr>
        <w:rFonts w:ascii="Symbol" w:eastAsia="Symbol" w:hAnsi="Symbol" w:cs="Symbol" w:hint="default"/>
      </w:rPr>
    </w:lvl>
    <w:lvl w:ilvl="7" w:tplc="E58237DE">
      <w:start w:val="1"/>
      <w:numFmt w:val="bullet"/>
      <w:lvlText w:val="·"/>
      <w:lvlJc w:val="left"/>
      <w:pPr>
        <w:ind w:left="5749" w:hanging="360"/>
      </w:pPr>
      <w:rPr>
        <w:rFonts w:ascii="Symbol" w:eastAsia="Symbol" w:hAnsi="Symbol" w:cs="Symbol" w:hint="default"/>
      </w:rPr>
    </w:lvl>
    <w:lvl w:ilvl="8" w:tplc="9BD02A30">
      <w:start w:val="1"/>
      <w:numFmt w:val="bullet"/>
      <w:lvlText w:val="·"/>
      <w:lvlJc w:val="left"/>
      <w:pPr>
        <w:ind w:left="6469" w:hanging="360"/>
      </w:pPr>
      <w:rPr>
        <w:rFonts w:ascii="Symbol" w:eastAsia="Symbol" w:hAnsi="Symbol" w:cs="Symbol" w:hint="default"/>
      </w:rPr>
    </w:lvl>
  </w:abstractNum>
  <w:abstractNum w:abstractNumId="9" w15:restartNumberingAfterBreak="0">
    <w:nsid w:val="26A96A4D"/>
    <w:multiLevelType w:val="hybridMultilevel"/>
    <w:tmpl w:val="A5D43364"/>
    <w:lvl w:ilvl="0" w:tplc="0DE6B018">
      <w:start w:val="1"/>
      <w:numFmt w:val="bullet"/>
      <w:lvlText w:val="·"/>
      <w:lvlJc w:val="left"/>
      <w:pPr>
        <w:ind w:left="709" w:hanging="360"/>
      </w:pPr>
      <w:rPr>
        <w:rFonts w:ascii="Symbol" w:eastAsia="Symbol" w:hAnsi="Symbol" w:cs="Symbol" w:hint="default"/>
      </w:rPr>
    </w:lvl>
    <w:lvl w:ilvl="1" w:tplc="3B70A3C2">
      <w:start w:val="1"/>
      <w:numFmt w:val="bullet"/>
      <w:lvlText w:val="·"/>
      <w:lvlJc w:val="left"/>
      <w:pPr>
        <w:ind w:left="1429" w:hanging="360"/>
      </w:pPr>
      <w:rPr>
        <w:rFonts w:ascii="Symbol" w:eastAsia="Symbol" w:hAnsi="Symbol" w:cs="Symbol" w:hint="default"/>
      </w:rPr>
    </w:lvl>
    <w:lvl w:ilvl="2" w:tplc="C65894EA">
      <w:start w:val="1"/>
      <w:numFmt w:val="bullet"/>
      <w:lvlText w:val="·"/>
      <w:lvlJc w:val="left"/>
      <w:pPr>
        <w:ind w:left="2149" w:hanging="360"/>
      </w:pPr>
      <w:rPr>
        <w:rFonts w:ascii="Symbol" w:eastAsia="Symbol" w:hAnsi="Symbol" w:cs="Symbol" w:hint="default"/>
      </w:rPr>
    </w:lvl>
    <w:lvl w:ilvl="3" w:tplc="41DA9AB2">
      <w:start w:val="1"/>
      <w:numFmt w:val="bullet"/>
      <w:lvlText w:val="·"/>
      <w:lvlJc w:val="left"/>
      <w:pPr>
        <w:ind w:left="2869" w:hanging="360"/>
      </w:pPr>
      <w:rPr>
        <w:rFonts w:ascii="Symbol" w:eastAsia="Symbol" w:hAnsi="Symbol" w:cs="Symbol" w:hint="default"/>
      </w:rPr>
    </w:lvl>
    <w:lvl w:ilvl="4" w:tplc="387A19B0">
      <w:start w:val="1"/>
      <w:numFmt w:val="bullet"/>
      <w:lvlText w:val="·"/>
      <w:lvlJc w:val="left"/>
      <w:pPr>
        <w:ind w:left="3589" w:hanging="360"/>
      </w:pPr>
      <w:rPr>
        <w:rFonts w:ascii="Symbol" w:eastAsia="Symbol" w:hAnsi="Symbol" w:cs="Symbol" w:hint="default"/>
      </w:rPr>
    </w:lvl>
    <w:lvl w:ilvl="5" w:tplc="C59C96A8">
      <w:start w:val="1"/>
      <w:numFmt w:val="bullet"/>
      <w:lvlText w:val="·"/>
      <w:lvlJc w:val="left"/>
      <w:pPr>
        <w:ind w:left="4309" w:hanging="360"/>
      </w:pPr>
      <w:rPr>
        <w:rFonts w:ascii="Symbol" w:eastAsia="Symbol" w:hAnsi="Symbol" w:cs="Symbol" w:hint="default"/>
      </w:rPr>
    </w:lvl>
    <w:lvl w:ilvl="6" w:tplc="24E61134">
      <w:start w:val="1"/>
      <w:numFmt w:val="bullet"/>
      <w:lvlText w:val="·"/>
      <w:lvlJc w:val="left"/>
      <w:pPr>
        <w:ind w:left="5029" w:hanging="360"/>
      </w:pPr>
      <w:rPr>
        <w:rFonts w:ascii="Symbol" w:eastAsia="Symbol" w:hAnsi="Symbol" w:cs="Symbol" w:hint="default"/>
      </w:rPr>
    </w:lvl>
    <w:lvl w:ilvl="7" w:tplc="3AA674A4">
      <w:start w:val="1"/>
      <w:numFmt w:val="bullet"/>
      <w:lvlText w:val="·"/>
      <w:lvlJc w:val="left"/>
      <w:pPr>
        <w:ind w:left="5749" w:hanging="360"/>
      </w:pPr>
      <w:rPr>
        <w:rFonts w:ascii="Symbol" w:eastAsia="Symbol" w:hAnsi="Symbol" w:cs="Symbol" w:hint="default"/>
      </w:rPr>
    </w:lvl>
    <w:lvl w:ilvl="8" w:tplc="46B4DE88">
      <w:start w:val="1"/>
      <w:numFmt w:val="bullet"/>
      <w:lvlText w:val="·"/>
      <w:lvlJc w:val="left"/>
      <w:pPr>
        <w:ind w:left="6469" w:hanging="360"/>
      </w:pPr>
      <w:rPr>
        <w:rFonts w:ascii="Symbol" w:eastAsia="Symbol" w:hAnsi="Symbol" w:cs="Symbol" w:hint="default"/>
      </w:rPr>
    </w:lvl>
  </w:abstractNum>
  <w:abstractNum w:abstractNumId="10" w15:restartNumberingAfterBreak="0">
    <w:nsid w:val="26F83114"/>
    <w:multiLevelType w:val="hybridMultilevel"/>
    <w:tmpl w:val="ED7C39D0"/>
    <w:lvl w:ilvl="0" w:tplc="5846ECA0">
      <w:start w:val="1"/>
      <w:numFmt w:val="bullet"/>
      <w:lvlText w:val="·"/>
      <w:lvlJc w:val="left"/>
      <w:pPr>
        <w:ind w:left="709" w:hanging="360"/>
      </w:pPr>
      <w:rPr>
        <w:rFonts w:ascii="Symbol" w:eastAsia="Symbol" w:hAnsi="Symbol" w:cs="Symbol" w:hint="default"/>
      </w:rPr>
    </w:lvl>
    <w:lvl w:ilvl="1" w:tplc="382AEF58">
      <w:start w:val="1"/>
      <w:numFmt w:val="bullet"/>
      <w:lvlText w:val="·"/>
      <w:lvlJc w:val="left"/>
      <w:pPr>
        <w:ind w:left="1429" w:hanging="360"/>
      </w:pPr>
      <w:rPr>
        <w:rFonts w:ascii="Symbol" w:eastAsia="Symbol" w:hAnsi="Symbol" w:cs="Symbol" w:hint="default"/>
      </w:rPr>
    </w:lvl>
    <w:lvl w:ilvl="2" w:tplc="817E441C">
      <w:start w:val="1"/>
      <w:numFmt w:val="bullet"/>
      <w:lvlText w:val="·"/>
      <w:lvlJc w:val="left"/>
      <w:pPr>
        <w:ind w:left="2149" w:hanging="360"/>
      </w:pPr>
      <w:rPr>
        <w:rFonts w:ascii="Symbol" w:eastAsia="Symbol" w:hAnsi="Symbol" w:cs="Symbol" w:hint="default"/>
      </w:rPr>
    </w:lvl>
    <w:lvl w:ilvl="3" w:tplc="410CFEAA">
      <w:start w:val="1"/>
      <w:numFmt w:val="bullet"/>
      <w:lvlText w:val="·"/>
      <w:lvlJc w:val="left"/>
      <w:pPr>
        <w:ind w:left="2869" w:hanging="360"/>
      </w:pPr>
      <w:rPr>
        <w:rFonts w:ascii="Symbol" w:eastAsia="Symbol" w:hAnsi="Symbol" w:cs="Symbol" w:hint="default"/>
      </w:rPr>
    </w:lvl>
    <w:lvl w:ilvl="4" w:tplc="5C5EE494">
      <w:start w:val="1"/>
      <w:numFmt w:val="bullet"/>
      <w:lvlText w:val="·"/>
      <w:lvlJc w:val="left"/>
      <w:pPr>
        <w:ind w:left="3589" w:hanging="360"/>
      </w:pPr>
      <w:rPr>
        <w:rFonts w:ascii="Symbol" w:eastAsia="Symbol" w:hAnsi="Symbol" w:cs="Symbol" w:hint="default"/>
      </w:rPr>
    </w:lvl>
    <w:lvl w:ilvl="5" w:tplc="BABEAA52">
      <w:start w:val="1"/>
      <w:numFmt w:val="bullet"/>
      <w:lvlText w:val="·"/>
      <w:lvlJc w:val="left"/>
      <w:pPr>
        <w:ind w:left="4309" w:hanging="360"/>
      </w:pPr>
      <w:rPr>
        <w:rFonts w:ascii="Symbol" w:eastAsia="Symbol" w:hAnsi="Symbol" w:cs="Symbol" w:hint="default"/>
      </w:rPr>
    </w:lvl>
    <w:lvl w:ilvl="6" w:tplc="8E7CA356">
      <w:start w:val="1"/>
      <w:numFmt w:val="bullet"/>
      <w:lvlText w:val="·"/>
      <w:lvlJc w:val="left"/>
      <w:pPr>
        <w:ind w:left="5029" w:hanging="360"/>
      </w:pPr>
      <w:rPr>
        <w:rFonts w:ascii="Symbol" w:eastAsia="Symbol" w:hAnsi="Symbol" w:cs="Symbol" w:hint="default"/>
      </w:rPr>
    </w:lvl>
    <w:lvl w:ilvl="7" w:tplc="CA606CEC">
      <w:start w:val="1"/>
      <w:numFmt w:val="bullet"/>
      <w:lvlText w:val="·"/>
      <w:lvlJc w:val="left"/>
      <w:pPr>
        <w:ind w:left="5749" w:hanging="360"/>
      </w:pPr>
      <w:rPr>
        <w:rFonts w:ascii="Symbol" w:eastAsia="Symbol" w:hAnsi="Symbol" w:cs="Symbol" w:hint="default"/>
      </w:rPr>
    </w:lvl>
    <w:lvl w:ilvl="8" w:tplc="132CD818">
      <w:start w:val="1"/>
      <w:numFmt w:val="bullet"/>
      <w:lvlText w:val="·"/>
      <w:lvlJc w:val="left"/>
      <w:pPr>
        <w:ind w:left="6469" w:hanging="360"/>
      </w:pPr>
      <w:rPr>
        <w:rFonts w:ascii="Symbol" w:eastAsia="Symbol" w:hAnsi="Symbol" w:cs="Symbol" w:hint="default"/>
      </w:rPr>
    </w:lvl>
  </w:abstractNum>
  <w:abstractNum w:abstractNumId="11" w15:restartNumberingAfterBreak="0">
    <w:nsid w:val="27563C03"/>
    <w:multiLevelType w:val="hybridMultilevel"/>
    <w:tmpl w:val="1982F596"/>
    <w:lvl w:ilvl="0" w:tplc="3444A14E">
      <w:start w:val="1"/>
      <w:numFmt w:val="bullet"/>
      <w:lvlText w:val="·"/>
      <w:lvlJc w:val="left"/>
      <w:pPr>
        <w:ind w:left="709" w:hanging="360"/>
      </w:pPr>
      <w:rPr>
        <w:rFonts w:ascii="Symbol" w:eastAsia="Symbol" w:hAnsi="Symbol" w:cs="Symbol" w:hint="default"/>
      </w:rPr>
    </w:lvl>
    <w:lvl w:ilvl="1" w:tplc="C6C40284">
      <w:start w:val="1"/>
      <w:numFmt w:val="bullet"/>
      <w:lvlText w:val="·"/>
      <w:lvlJc w:val="left"/>
      <w:pPr>
        <w:ind w:left="1429" w:hanging="360"/>
      </w:pPr>
      <w:rPr>
        <w:rFonts w:ascii="Symbol" w:eastAsia="Symbol" w:hAnsi="Symbol" w:cs="Symbol" w:hint="default"/>
      </w:rPr>
    </w:lvl>
    <w:lvl w:ilvl="2" w:tplc="E3E8E40A">
      <w:start w:val="1"/>
      <w:numFmt w:val="bullet"/>
      <w:lvlText w:val="·"/>
      <w:lvlJc w:val="left"/>
      <w:pPr>
        <w:ind w:left="2149" w:hanging="360"/>
      </w:pPr>
      <w:rPr>
        <w:rFonts w:ascii="Symbol" w:eastAsia="Symbol" w:hAnsi="Symbol" w:cs="Symbol" w:hint="default"/>
      </w:rPr>
    </w:lvl>
    <w:lvl w:ilvl="3" w:tplc="CE88D928">
      <w:start w:val="1"/>
      <w:numFmt w:val="bullet"/>
      <w:lvlText w:val="·"/>
      <w:lvlJc w:val="left"/>
      <w:pPr>
        <w:ind w:left="2869" w:hanging="360"/>
      </w:pPr>
      <w:rPr>
        <w:rFonts w:ascii="Symbol" w:eastAsia="Symbol" w:hAnsi="Symbol" w:cs="Symbol" w:hint="default"/>
      </w:rPr>
    </w:lvl>
    <w:lvl w:ilvl="4" w:tplc="6F6A9864">
      <w:start w:val="1"/>
      <w:numFmt w:val="bullet"/>
      <w:lvlText w:val="·"/>
      <w:lvlJc w:val="left"/>
      <w:pPr>
        <w:ind w:left="3589" w:hanging="360"/>
      </w:pPr>
      <w:rPr>
        <w:rFonts w:ascii="Symbol" w:eastAsia="Symbol" w:hAnsi="Symbol" w:cs="Symbol" w:hint="default"/>
      </w:rPr>
    </w:lvl>
    <w:lvl w:ilvl="5" w:tplc="A12822E8">
      <w:start w:val="1"/>
      <w:numFmt w:val="bullet"/>
      <w:lvlText w:val="·"/>
      <w:lvlJc w:val="left"/>
      <w:pPr>
        <w:ind w:left="4309" w:hanging="360"/>
      </w:pPr>
      <w:rPr>
        <w:rFonts w:ascii="Symbol" w:eastAsia="Symbol" w:hAnsi="Symbol" w:cs="Symbol" w:hint="default"/>
      </w:rPr>
    </w:lvl>
    <w:lvl w:ilvl="6" w:tplc="81D65580">
      <w:start w:val="1"/>
      <w:numFmt w:val="bullet"/>
      <w:lvlText w:val="·"/>
      <w:lvlJc w:val="left"/>
      <w:pPr>
        <w:ind w:left="5029" w:hanging="360"/>
      </w:pPr>
      <w:rPr>
        <w:rFonts w:ascii="Symbol" w:eastAsia="Symbol" w:hAnsi="Symbol" w:cs="Symbol" w:hint="default"/>
      </w:rPr>
    </w:lvl>
    <w:lvl w:ilvl="7" w:tplc="6FFCA5AE">
      <w:start w:val="1"/>
      <w:numFmt w:val="bullet"/>
      <w:lvlText w:val="·"/>
      <w:lvlJc w:val="left"/>
      <w:pPr>
        <w:ind w:left="5749" w:hanging="360"/>
      </w:pPr>
      <w:rPr>
        <w:rFonts w:ascii="Symbol" w:eastAsia="Symbol" w:hAnsi="Symbol" w:cs="Symbol" w:hint="default"/>
      </w:rPr>
    </w:lvl>
    <w:lvl w:ilvl="8" w:tplc="70D046EA">
      <w:start w:val="1"/>
      <w:numFmt w:val="bullet"/>
      <w:lvlText w:val="·"/>
      <w:lvlJc w:val="left"/>
      <w:pPr>
        <w:ind w:left="6469" w:hanging="360"/>
      </w:pPr>
      <w:rPr>
        <w:rFonts w:ascii="Symbol" w:eastAsia="Symbol" w:hAnsi="Symbol" w:cs="Symbol" w:hint="default"/>
      </w:rPr>
    </w:lvl>
  </w:abstractNum>
  <w:abstractNum w:abstractNumId="12" w15:restartNumberingAfterBreak="0">
    <w:nsid w:val="30241B4D"/>
    <w:multiLevelType w:val="hybridMultilevel"/>
    <w:tmpl w:val="2F9AA43A"/>
    <w:lvl w:ilvl="0" w:tplc="E44E0D40">
      <w:start w:val="1"/>
      <w:numFmt w:val="decimal"/>
      <w:lvlText w:val="%1."/>
      <w:lvlJc w:val="left"/>
      <w:pPr>
        <w:ind w:left="720" w:hanging="360"/>
      </w:pPr>
      <w:rPr>
        <w:b/>
      </w:rPr>
    </w:lvl>
    <w:lvl w:ilvl="1" w:tplc="AF1429F0">
      <w:start w:val="1"/>
      <w:numFmt w:val="lowerLetter"/>
      <w:lvlText w:val="%2."/>
      <w:lvlJc w:val="left"/>
      <w:pPr>
        <w:ind w:left="1440" w:hanging="360"/>
      </w:pPr>
    </w:lvl>
    <w:lvl w:ilvl="2" w:tplc="4FFE3DFA">
      <w:start w:val="1"/>
      <w:numFmt w:val="lowerRoman"/>
      <w:lvlText w:val="%3."/>
      <w:lvlJc w:val="right"/>
      <w:pPr>
        <w:ind w:left="2160" w:hanging="180"/>
      </w:pPr>
    </w:lvl>
    <w:lvl w:ilvl="3" w:tplc="1BA02220">
      <w:start w:val="1"/>
      <w:numFmt w:val="decimal"/>
      <w:lvlText w:val="%4."/>
      <w:lvlJc w:val="left"/>
      <w:pPr>
        <w:ind w:left="2880" w:hanging="360"/>
      </w:pPr>
    </w:lvl>
    <w:lvl w:ilvl="4" w:tplc="A84021B4">
      <w:start w:val="1"/>
      <w:numFmt w:val="lowerLetter"/>
      <w:lvlText w:val="%5."/>
      <w:lvlJc w:val="left"/>
      <w:pPr>
        <w:ind w:left="3600" w:hanging="360"/>
      </w:pPr>
    </w:lvl>
    <w:lvl w:ilvl="5" w:tplc="7AD4791A">
      <w:start w:val="1"/>
      <w:numFmt w:val="lowerRoman"/>
      <w:lvlText w:val="%6."/>
      <w:lvlJc w:val="right"/>
      <w:pPr>
        <w:ind w:left="4320" w:hanging="180"/>
      </w:pPr>
    </w:lvl>
    <w:lvl w:ilvl="6" w:tplc="62804E6E">
      <w:start w:val="1"/>
      <w:numFmt w:val="decimal"/>
      <w:lvlText w:val="%7."/>
      <w:lvlJc w:val="left"/>
      <w:pPr>
        <w:ind w:left="5040" w:hanging="360"/>
      </w:pPr>
    </w:lvl>
    <w:lvl w:ilvl="7" w:tplc="4B4652DC">
      <w:start w:val="1"/>
      <w:numFmt w:val="lowerLetter"/>
      <w:lvlText w:val="%8."/>
      <w:lvlJc w:val="left"/>
      <w:pPr>
        <w:ind w:left="5760" w:hanging="360"/>
      </w:pPr>
    </w:lvl>
    <w:lvl w:ilvl="8" w:tplc="54B40A3C">
      <w:start w:val="1"/>
      <w:numFmt w:val="lowerRoman"/>
      <w:lvlText w:val="%9."/>
      <w:lvlJc w:val="right"/>
      <w:pPr>
        <w:ind w:left="6480" w:hanging="180"/>
      </w:pPr>
    </w:lvl>
  </w:abstractNum>
  <w:abstractNum w:abstractNumId="13" w15:restartNumberingAfterBreak="0">
    <w:nsid w:val="32BF0328"/>
    <w:multiLevelType w:val="hybridMultilevel"/>
    <w:tmpl w:val="8CF04E68"/>
    <w:lvl w:ilvl="0" w:tplc="42F87358">
      <w:start w:val="1"/>
      <w:numFmt w:val="bullet"/>
      <w:lvlText w:val="·"/>
      <w:lvlJc w:val="left"/>
      <w:pPr>
        <w:ind w:left="709" w:hanging="360"/>
      </w:pPr>
      <w:rPr>
        <w:rFonts w:ascii="Symbol" w:eastAsia="Symbol" w:hAnsi="Symbol" w:cs="Symbol" w:hint="default"/>
      </w:rPr>
    </w:lvl>
    <w:lvl w:ilvl="1" w:tplc="767AB162">
      <w:start w:val="1"/>
      <w:numFmt w:val="bullet"/>
      <w:lvlText w:val="·"/>
      <w:lvlJc w:val="left"/>
      <w:pPr>
        <w:ind w:left="1429" w:hanging="360"/>
      </w:pPr>
      <w:rPr>
        <w:rFonts w:ascii="Symbol" w:eastAsia="Symbol" w:hAnsi="Symbol" w:cs="Symbol" w:hint="default"/>
      </w:rPr>
    </w:lvl>
    <w:lvl w:ilvl="2" w:tplc="A5BED5E4">
      <w:start w:val="1"/>
      <w:numFmt w:val="bullet"/>
      <w:lvlText w:val="·"/>
      <w:lvlJc w:val="left"/>
      <w:pPr>
        <w:ind w:left="2149" w:hanging="360"/>
      </w:pPr>
      <w:rPr>
        <w:rFonts w:ascii="Symbol" w:eastAsia="Symbol" w:hAnsi="Symbol" w:cs="Symbol" w:hint="default"/>
      </w:rPr>
    </w:lvl>
    <w:lvl w:ilvl="3" w:tplc="1806211A">
      <w:start w:val="1"/>
      <w:numFmt w:val="bullet"/>
      <w:lvlText w:val="·"/>
      <w:lvlJc w:val="left"/>
      <w:pPr>
        <w:ind w:left="2869" w:hanging="360"/>
      </w:pPr>
      <w:rPr>
        <w:rFonts w:ascii="Symbol" w:eastAsia="Symbol" w:hAnsi="Symbol" w:cs="Symbol" w:hint="default"/>
      </w:rPr>
    </w:lvl>
    <w:lvl w:ilvl="4" w:tplc="25547FD8">
      <w:start w:val="1"/>
      <w:numFmt w:val="bullet"/>
      <w:lvlText w:val="·"/>
      <w:lvlJc w:val="left"/>
      <w:pPr>
        <w:ind w:left="3589" w:hanging="360"/>
      </w:pPr>
      <w:rPr>
        <w:rFonts w:ascii="Symbol" w:eastAsia="Symbol" w:hAnsi="Symbol" w:cs="Symbol" w:hint="default"/>
      </w:rPr>
    </w:lvl>
    <w:lvl w:ilvl="5" w:tplc="18FA7124">
      <w:start w:val="1"/>
      <w:numFmt w:val="bullet"/>
      <w:lvlText w:val="·"/>
      <w:lvlJc w:val="left"/>
      <w:pPr>
        <w:ind w:left="4309" w:hanging="360"/>
      </w:pPr>
      <w:rPr>
        <w:rFonts w:ascii="Symbol" w:eastAsia="Symbol" w:hAnsi="Symbol" w:cs="Symbol" w:hint="default"/>
      </w:rPr>
    </w:lvl>
    <w:lvl w:ilvl="6" w:tplc="0854EDA0">
      <w:start w:val="1"/>
      <w:numFmt w:val="bullet"/>
      <w:lvlText w:val="·"/>
      <w:lvlJc w:val="left"/>
      <w:pPr>
        <w:ind w:left="5029" w:hanging="360"/>
      </w:pPr>
      <w:rPr>
        <w:rFonts w:ascii="Symbol" w:eastAsia="Symbol" w:hAnsi="Symbol" w:cs="Symbol" w:hint="default"/>
      </w:rPr>
    </w:lvl>
    <w:lvl w:ilvl="7" w:tplc="D98681E4">
      <w:start w:val="1"/>
      <w:numFmt w:val="bullet"/>
      <w:lvlText w:val="·"/>
      <w:lvlJc w:val="left"/>
      <w:pPr>
        <w:ind w:left="5749" w:hanging="360"/>
      </w:pPr>
      <w:rPr>
        <w:rFonts w:ascii="Symbol" w:eastAsia="Symbol" w:hAnsi="Symbol" w:cs="Symbol" w:hint="default"/>
      </w:rPr>
    </w:lvl>
    <w:lvl w:ilvl="8" w:tplc="A92A3EB4">
      <w:start w:val="1"/>
      <w:numFmt w:val="bullet"/>
      <w:lvlText w:val="·"/>
      <w:lvlJc w:val="left"/>
      <w:pPr>
        <w:ind w:left="6469" w:hanging="360"/>
      </w:pPr>
      <w:rPr>
        <w:rFonts w:ascii="Symbol" w:eastAsia="Symbol" w:hAnsi="Symbol" w:cs="Symbol" w:hint="default"/>
      </w:rPr>
    </w:lvl>
  </w:abstractNum>
  <w:abstractNum w:abstractNumId="14" w15:restartNumberingAfterBreak="0">
    <w:nsid w:val="3D9409E1"/>
    <w:multiLevelType w:val="hybridMultilevel"/>
    <w:tmpl w:val="550AEE1A"/>
    <w:lvl w:ilvl="0" w:tplc="0E342A66">
      <w:start w:val="1"/>
      <w:numFmt w:val="bullet"/>
      <w:lvlText w:val="·"/>
      <w:lvlJc w:val="left"/>
      <w:pPr>
        <w:ind w:left="709" w:hanging="360"/>
      </w:pPr>
      <w:rPr>
        <w:rFonts w:ascii="Symbol" w:eastAsia="Symbol" w:hAnsi="Symbol" w:cs="Symbol" w:hint="default"/>
      </w:rPr>
    </w:lvl>
    <w:lvl w:ilvl="1" w:tplc="133E85D8">
      <w:start w:val="1"/>
      <w:numFmt w:val="bullet"/>
      <w:lvlText w:val="·"/>
      <w:lvlJc w:val="left"/>
      <w:pPr>
        <w:ind w:left="1429" w:hanging="360"/>
      </w:pPr>
      <w:rPr>
        <w:rFonts w:ascii="Symbol" w:eastAsia="Symbol" w:hAnsi="Symbol" w:cs="Symbol" w:hint="default"/>
      </w:rPr>
    </w:lvl>
    <w:lvl w:ilvl="2" w:tplc="0DDE4B42">
      <w:start w:val="1"/>
      <w:numFmt w:val="bullet"/>
      <w:lvlText w:val="·"/>
      <w:lvlJc w:val="left"/>
      <w:pPr>
        <w:ind w:left="2149" w:hanging="360"/>
      </w:pPr>
      <w:rPr>
        <w:rFonts w:ascii="Symbol" w:eastAsia="Symbol" w:hAnsi="Symbol" w:cs="Symbol" w:hint="default"/>
      </w:rPr>
    </w:lvl>
    <w:lvl w:ilvl="3" w:tplc="948A0888">
      <w:start w:val="1"/>
      <w:numFmt w:val="bullet"/>
      <w:lvlText w:val="·"/>
      <w:lvlJc w:val="left"/>
      <w:pPr>
        <w:ind w:left="2869" w:hanging="360"/>
      </w:pPr>
      <w:rPr>
        <w:rFonts w:ascii="Symbol" w:eastAsia="Symbol" w:hAnsi="Symbol" w:cs="Symbol" w:hint="default"/>
      </w:rPr>
    </w:lvl>
    <w:lvl w:ilvl="4" w:tplc="CDD87F48">
      <w:start w:val="1"/>
      <w:numFmt w:val="bullet"/>
      <w:lvlText w:val="·"/>
      <w:lvlJc w:val="left"/>
      <w:pPr>
        <w:ind w:left="3589" w:hanging="360"/>
      </w:pPr>
      <w:rPr>
        <w:rFonts w:ascii="Symbol" w:eastAsia="Symbol" w:hAnsi="Symbol" w:cs="Symbol" w:hint="default"/>
      </w:rPr>
    </w:lvl>
    <w:lvl w:ilvl="5" w:tplc="8CB80EB4">
      <w:start w:val="1"/>
      <w:numFmt w:val="bullet"/>
      <w:lvlText w:val="·"/>
      <w:lvlJc w:val="left"/>
      <w:pPr>
        <w:ind w:left="4309" w:hanging="360"/>
      </w:pPr>
      <w:rPr>
        <w:rFonts w:ascii="Symbol" w:eastAsia="Symbol" w:hAnsi="Symbol" w:cs="Symbol" w:hint="default"/>
      </w:rPr>
    </w:lvl>
    <w:lvl w:ilvl="6" w:tplc="77325E34">
      <w:start w:val="1"/>
      <w:numFmt w:val="bullet"/>
      <w:lvlText w:val="·"/>
      <w:lvlJc w:val="left"/>
      <w:pPr>
        <w:ind w:left="5029" w:hanging="360"/>
      </w:pPr>
      <w:rPr>
        <w:rFonts w:ascii="Symbol" w:eastAsia="Symbol" w:hAnsi="Symbol" w:cs="Symbol" w:hint="default"/>
      </w:rPr>
    </w:lvl>
    <w:lvl w:ilvl="7" w:tplc="5D76E7CE">
      <w:start w:val="1"/>
      <w:numFmt w:val="bullet"/>
      <w:lvlText w:val="·"/>
      <w:lvlJc w:val="left"/>
      <w:pPr>
        <w:ind w:left="5749" w:hanging="360"/>
      </w:pPr>
      <w:rPr>
        <w:rFonts w:ascii="Symbol" w:eastAsia="Symbol" w:hAnsi="Symbol" w:cs="Symbol" w:hint="default"/>
      </w:rPr>
    </w:lvl>
    <w:lvl w:ilvl="8" w:tplc="89D2D0CE">
      <w:start w:val="1"/>
      <w:numFmt w:val="bullet"/>
      <w:lvlText w:val="·"/>
      <w:lvlJc w:val="left"/>
      <w:pPr>
        <w:ind w:left="6469" w:hanging="360"/>
      </w:pPr>
      <w:rPr>
        <w:rFonts w:ascii="Symbol" w:eastAsia="Symbol" w:hAnsi="Symbol" w:cs="Symbol" w:hint="default"/>
      </w:rPr>
    </w:lvl>
  </w:abstractNum>
  <w:abstractNum w:abstractNumId="15" w15:restartNumberingAfterBreak="0">
    <w:nsid w:val="5A844573"/>
    <w:multiLevelType w:val="hybridMultilevel"/>
    <w:tmpl w:val="33D6FA34"/>
    <w:lvl w:ilvl="0" w:tplc="5EF434E0">
      <w:start w:val="1"/>
      <w:numFmt w:val="bullet"/>
      <w:lvlText w:val="·"/>
      <w:lvlJc w:val="left"/>
      <w:pPr>
        <w:ind w:left="709" w:hanging="360"/>
      </w:pPr>
      <w:rPr>
        <w:rFonts w:ascii="Symbol" w:eastAsia="Symbol" w:hAnsi="Symbol" w:cs="Symbol" w:hint="default"/>
      </w:rPr>
    </w:lvl>
    <w:lvl w:ilvl="1" w:tplc="0464F2FA">
      <w:start w:val="1"/>
      <w:numFmt w:val="bullet"/>
      <w:lvlText w:val="·"/>
      <w:lvlJc w:val="left"/>
      <w:pPr>
        <w:ind w:left="1429" w:hanging="360"/>
      </w:pPr>
      <w:rPr>
        <w:rFonts w:ascii="Symbol" w:eastAsia="Symbol" w:hAnsi="Symbol" w:cs="Symbol" w:hint="default"/>
      </w:rPr>
    </w:lvl>
    <w:lvl w:ilvl="2" w:tplc="072C5BD2">
      <w:start w:val="1"/>
      <w:numFmt w:val="bullet"/>
      <w:lvlText w:val="·"/>
      <w:lvlJc w:val="left"/>
      <w:pPr>
        <w:ind w:left="2149" w:hanging="360"/>
      </w:pPr>
      <w:rPr>
        <w:rFonts w:ascii="Symbol" w:eastAsia="Symbol" w:hAnsi="Symbol" w:cs="Symbol" w:hint="default"/>
      </w:rPr>
    </w:lvl>
    <w:lvl w:ilvl="3" w:tplc="DD48ACC2">
      <w:start w:val="1"/>
      <w:numFmt w:val="bullet"/>
      <w:lvlText w:val="·"/>
      <w:lvlJc w:val="left"/>
      <w:pPr>
        <w:ind w:left="2869" w:hanging="360"/>
      </w:pPr>
      <w:rPr>
        <w:rFonts w:ascii="Symbol" w:eastAsia="Symbol" w:hAnsi="Symbol" w:cs="Symbol" w:hint="default"/>
      </w:rPr>
    </w:lvl>
    <w:lvl w:ilvl="4" w:tplc="10447AA0">
      <w:start w:val="1"/>
      <w:numFmt w:val="bullet"/>
      <w:lvlText w:val="·"/>
      <w:lvlJc w:val="left"/>
      <w:pPr>
        <w:ind w:left="3589" w:hanging="360"/>
      </w:pPr>
      <w:rPr>
        <w:rFonts w:ascii="Symbol" w:eastAsia="Symbol" w:hAnsi="Symbol" w:cs="Symbol" w:hint="default"/>
      </w:rPr>
    </w:lvl>
    <w:lvl w:ilvl="5" w:tplc="ED347746">
      <w:start w:val="1"/>
      <w:numFmt w:val="bullet"/>
      <w:lvlText w:val="·"/>
      <w:lvlJc w:val="left"/>
      <w:pPr>
        <w:ind w:left="4309" w:hanging="360"/>
      </w:pPr>
      <w:rPr>
        <w:rFonts w:ascii="Symbol" w:eastAsia="Symbol" w:hAnsi="Symbol" w:cs="Symbol" w:hint="default"/>
      </w:rPr>
    </w:lvl>
    <w:lvl w:ilvl="6" w:tplc="383827E4">
      <w:start w:val="1"/>
      <w:numFmt w:val="bullet"/>
      <w:lvlText w:val="·"/>
      <w:lvlJc w:val="left"/>
      <w:pPr>
        <w:ind w:left="5029" w:hanging="360"/>
      </w:pPr>
      <w:rPr>
        <w:rFonts w:ascii="Symbol" w:eastAsia="Symbol" w:hAnsi="Symbol" w:cs="Symbol" w:hint="default"/>
      </w:rPr>
    </w:lvl>
    <w:lvl w:ilvl="7" w:tplc="CB0AD73E">
      <w:start w:val="1"/>
      <w:numFmt w:val="bullet"/>
      <w:lvlText w:val="·"/>
      <w:lvlJc w:val="left"/>
      <w:pPr>
        <w:ind w:left="5749" w:hanging="360"/>
      </w:pPr>
      <w:rPr>
        <w:rFonts w:ascii="Symbol" w:eastAsia="Symbol" w:hAnsi="Symbol" w:cs="Symbol" w:hint="default"/>
      </w:rPr>
    </w:lvl>
    <w:lvl w:ilvl="8" w:tplc="130CFAD4">
      <w:start w:val="1"/>
      <w:numFmt w:val="bullet"/>
      <w:lvlText w:val="·"/>
      <w:lvlJc w:val="left"/>
      <w:pPr>
        <w:ind w:left="6469" w:hanging="360"/>
      </w:pPr>
      <w:rPr>
        <w:rFonts w:ascii="Symbol" w:eastAsia="Symbol" w:hAnsi="Symbol" w:cs="Symbol" w:hint="default"/>
      </w:rPr>
    </w:lvl>
  </w:abstractNum>
  <w:abstractNum w:abstractNumId="16" w15:restartNumberingAfterBreak="0">
    <w:nsid w:val="5D165391"/>
    <w:multiLevelType w:val="hybridMultilevel"/>
    <w:tmpl w:val="5D40BFE2"/>
    <w:lvl w:ilvl="0" w:tplc="DC08A7BE">
      <w:start w:val="1"/>
      <w:numFmt w:val="bullet"/>
      <w:lvlText w:val="·"/>
      <w:lvlJc w:val="left"/>
      <w:pPr>
        <w:ind w:left="709" w:hanging="360"/>
      </w:pPr>
      <w:rPr>
        <w:rFonts w:ascii="Symbol" w:eastAsia="Symbol" w:hAnsi="Symbol" w:cs="Symbol" w:hint="default"/>
      </w:rPr>
    </w:lvl>
    <w:lvl w:ilvl="1" w:tplc="BE52CE44">
      <w:start w:val="1"/>
      <w:numFmt w:val="bullet"/>
      <w:lvlText w:val="·"/>
      <w:lvlJc w:val="left"/>
      <w:pPr>
        <w:ind w:left="1429" w:hanging="360"/>
      </w:pPr>
      <w:rPr>
        <w:rFonts w:ascii="Symbol" w:eastAsia="Symbol" w:hAnsi="Symbol" w:cs="Symbol" w:hint="default"/>
      </w:rPr>
    </w:lvl>
    <w:lvl w:ilvl="2" w:tplc="90CA0354">
      <w:start w:val="1"/>
      <w:numFmt w:val="bullet"/>
      <w:lvlText w:val="·"/>
      <w:lvlJc w:val="left"/>
      <w:pPr>
        <w:ind w:left="2149" w:hanging="360"/>
      </w:pPr>
      <w:rPr>
        <w:rFonts w:ascii="Symbol" w:eastAsia="Symbol" w:hAnsi="Symbol" w:cs="Symbol" w:hint="default"/>
      </w:rPr>
    </w:lvl>
    <w:lvl w:ilvl="3" w:tplc="1604EF46">
      <w:start w:val="1"/>
      <w:numFmt w:val="bullet"/>
      <w:lvlText w:val="·"/>
      <w:lvlJc w:val="left"/>
      <w:pPr>
        <w:ind w:left="2869" w:hanging="360"/>
      </w:pPr>
      <w:rPr>
        <w:rFonts w:ascii="Symbol" w:eastAsia="Symbol" w:hAnsi="Symbol" w:cs="Symbol" w:hint="default"/>
      </w:rPr>
    </w:lvl>
    <w:lvl w:ilvl="4" w:tplc="D00E6794">
      <w:start w:val="1"/>
      <w:numFmt w:val="bullet"/>
      <w:lvlText w:val="·"/>
      <w:lvlJc w:val="left"/>
      <w:pPr>
        <w:ind w:left="3589" w:hanging="360"/>
      </w:pPr>
      <w:rPr>
        <w:rFonts w:ascii="Symbol" w:eastAsia="Symbol" w:hAnsi="Symbol" w:cs="Symbol" w:hint="default"/>
      </w:rPr>
    </w:lvl>
    <w:lvl w:ilvl="5" w:tplc="06040C98">
      <w:start w:val="1"/>
      <w:numFmt w:val="bullet"/>
      <w:lvlText w:val="·"/>
      <w:lvlJc w:val="left"/>
      <w:pPr>
        <w:ind w:left="4309" w:hanging="360"/>
      </w:pPr>
      <w:rPr>
        <w:rFonts w:ascii="Symbol" w:eastAsia="Symbol" w:hAnsi="Symbol" w:cs="Symbol" w:hint="default"/>
      </w:rPr>
    </w:lvl>
    <w:lvl w:ilvl="6" w:tplc="7410E3FC">
      <w:start w:val="1"/>
      <w:numFmt w:val="bullet"/>
      <w:lvlText w:val="·"/>
      <w:lvlJc w:val="left"/>
      <w:pPr>
        <w:ind w:left="5029" w:hanging="360"/>
      </w:pPr>
      <w:rPr>
        <w:rFonts w:ascii="Symbol" w:eastAsia="Symbol" w:hAnsi="Symbol" w:cs="Symbol" w:hint="default"/>
      </w:rPr>
    </w:lvl>
    <w:lvl w:ilvl="7" w:tplc="DEAC012C">
      <w:start w:val="1"/>
      <w:numFmt w:val="bullet"/>
      <w:lvlText w:val="·"/>
      <w:lvlJc w:val="left"/>
      <w:pPr>
        <w:ind w:left="5749" w:hanging="360"/>
      </w:pPr>
      <w:rPr>
        <w:rFonts w:ascii="Symbol" w:eastAsia="Symbol" w:hAnsi="Symbol" w:cs="Symbol" w:hint="default"/>
      </w:rPr>
    </w:lvl>
    <w:lvl w:ilvl="8" w:tplc="419698E6">
      <w:start w:val="1"/>
      <w:numFmt w:val="bullet"/>
      <w:lvlText w:val="·"/>
      <w:lvlJc w:val="left"/>
      <w:pPr>
        <w:ind w:left="6469" w:hanging="360"/>
      </w:pPr>
      <w:rPr>
        <w:rFonts w:ascii="Symbol" w:eastAsia="Symbol" w:hAnsi="Symbol" w:cs="Symbol" w:hint="default"/>
      </w:rPr>
    </w:lvl>
  </w:abstractNum>
  <w:abstractNum w:abstractNumId="17" w15:restartNumberingAfterBreak="0">
    <w:nsid w:val="6B304CBD"/>
    <w:multiLevelType w:val="hybridMultilevel"/>
    <w:tmpl w:val="8998118A"/>
    <w:lvl w:ilvl="0" w:tplc="4510E4DE">
      <w:start w:val="1"/>
      <w:numFmt w:val="bullet"/>
      <w:lvlText w:val="·"/>
      <w:lvlJc w:val="left"/>
      <w:pPr>
        <w:ind w:left="709" w:hanging="360"/>
      </w:pPr>
      <w:rPr>
        <w:rFonts w:ascii="Symbol" w:eastAsia="Symbol" w:hAnsi="Symbol" w:cs="Symbol" w:hint="default"/>
      </w:rPr>
    </w:lvl>
    <w:lvl w:ilvl="1" w:tplc="A33A5866">
      <w:start w:val="1"/>
      <w:numFmt w:val="bullet"/>
      <w:lvlText w:val="·"/>
      <w:lvlJc w:val="left"/>
      <w:pPr>
        <w:ind w:left="1429" w:hanging="360"/>
      </w:pPr>
      <w:rPr>
        <w:rFonts w:ascii="Symbol" w:eastAsia="Symbol" w:hAnsi="Symbol" w:cs="Symbol" w:hint="default"/>
      </w:rPr>
    </w:lvl>
    <w:lvl w:ilvl="2" w:tplc="B9940DE6">
      <w:start w:val="1"/>
      <w:numFmt w:val="bullet"/>
      <w:lvlText w:val="·"/>
      <w:lvlJc w:val="left"/>
      <w:pPr>
        <w:ind w:left="2149" w:hanging="360"/>
      </w:pPr>
      <w:rPr>
        <w:rFonts w:ascii="Symbol" w:eastAsia="Symbol" w:hAnsi="Symbol" w:cs="Symbol" w:hint="default"/>
      </w:rPr>
    </w:lvl>
    <w:lvl w:ilvl="3" w:tplc="88A25352">
      <w:start w:val="1"/>
      <w:numFmt w:val="bullet"/>
      <w:lvlText w:val="·"/>
      <w:lvlJc w:val="left"/>
      <w:pPr>
        <w:ind w:left="2869" w:hanging="360"/>
      </w:pPr>
      <w:rPr>
        <w:rFonts w:ascii="Symbol" w:eastAsia="Symbol" w:hAnsi="Symbol" w:cs="Symbol" w:hint="default"/>
      </w:rPr>
    </w:lvl>
    <w:lvl w:ilvl="4" w:tplc="C5AE5004">
      <w:start w:val="1"/>
      <w:numFmt w:val="bullet"/>
      <w:lvlText w:val="·"/>
      <w:lvlJc w:val="left"/>
      <w:pPr>
        <w:ind w:left="3589" w:hanging="360"/>
      </w:pPr>
      <w:rPr>
        <w:rFonts w:ascii="Symbol" w:eastAsia="Symbol" w:hAnsi="Symbol" w:cs="Symbol" w:hint="default"/>
      </w:rPr>
    </w:lvl>
    <w:lvl w:ilvl="5" w:tplc="3B0834CC">
      <w:start w:val="1"/>
      <w:numFmt w:val="bullet"/>
      <w:lvlText w:val="·"/>
      <w:lvlJc w:val="left"/>
      <w:pPr>
        <w:ind w:left="4309" w:hanging="360"/>
      </w:pPr>
      <w:rPr>
        <w:rFonts w:ascii="Symbol" w:eastAsia="Symbol" w:hAnsi="Symbol" w:cs="Symbol" w:hint="default"/>
      </w:rPr>
    </w:lvl>
    <w:lvl w:ilvl="6" w:tplc="F6B89D1C">
      <w:start w:val="1"/>
      <w:numFmt w:val="bullet"/>
      <w:lvlText w:val="·"/>
      <w:lvlJc w:val="left"/>
      <w:pPr>
        <w:ind w:left="5029" w:hanging="360"/>
      </w:pPr>
      <w:rPr>
        <w:rFonts w:ascii="Symbol" w:eastAsia="Symbol" w:hAnsi="Symbol" w:cs="Symbol" w:hint="default"/>
      </w:rPr>
    </w:lvl>
    <w:lvl w:ilvl="7" w:tplc="BEEE41A0">
      <w:start w:val="1"/>
      <w:numFmt w:val="bullet"/>
      <w:lvlText w:val="·"/>
      <w:lvlJc w:val="left"/>
      <w:pPr>
        <w:ind w:left="5749" w:hanging="360"/>
      </w:pPr>
      <w:rPr>
        <w:rFonts w:ascii="Symbol" w:eastAsia="Symbol" w:hAnsi="Symbol" w:cs="Symbol" w:hint="default"/>
      </w:rPr>
    </w:lvl>
    <w:lvl w:ilvl="8" w:tplc="00B2FFCE">
      <w:start w:val="1"/>
      <w:numFmt w:val="bullet"/>
      <w:lvlText w:val="·"/>
      <w:lvlJc w:val="left"/>
      <w:pPr>
        <w:ind w:left="6469" w:hanging="360"/>
      </w:pPr>
      <w:rPr>
        <w:rFonts w:ascii="Symbol" w:eastAsia="Symbol" w:hAnsi="Symbol" w:cs="Symbol" w:hint="default"/>
      </w:rPr>
    </w:lvl>
  </w:abstractNum>
  <w:abstractNum w:abstractNumId="18" w15:restartNumberingAfterBreak="0">
    <w:nsid w:val="6ED66404"/>
    <w:multiLevelType w:val="hybridMultilevel"/>
    <w:tmpl w:val="806C482A"/>
    <w:lvl w:ilvl="0" w:tplc="F3CC935A">
      <w:start w:val="1"/>
      <w:numFmt w:val="bullet"/>
      <w:lvlText w:val="·"/>
      <w:lvlJc w:val="left"/>
      <w:pPr>
        <w:ind w:left="709" w:hanging="360"/>
      </w:pPr>
      <w:rPr>
        <w:rFonts w:ascii="Symbol" w:eastAsia="Symbol" w:hAnsi="Symbol" w:cs="Symbol" w:hint="default"/>
      </w:rPr>
    </w:lvl>
    <w:lvl w:ilvl="1" w:tplc="6EB69FB2">
      <w:start w:val="1"/>
      <w:numFmt w:val="bullet"/>
      <w:lvlText w:val="·"/>
      <w:lvlJc w:val="left"/>
      <w:pPr>
        <w:ind w:left="1429" w:hanging="360"/>
      </w:pPr>
      <w:rPr>
        <w:rFonts w:ascii="Symbol" w:eastAsia="Symbol" w:hAnsi="Symbol" w:cs="Symbol" w:hint="default"/>
      </w:rPr>
    </w:lvl>
    <w:lvl w:ilvl="2" w:tplc="0568C86C">
      <w:start w:val="1"/>
      <w:numFmt w:val="bullet"/>
      <w:lvlText w:val="·"/>
      <w:lvlJc w:val="left"/>
      <w:pPr>
        <w:ind w:left="2149" w:hanging="360"/>
      </w:pPr>
      <w:rPr>
        <w:rFonts w:ascii="Symbol" w:eastAsia="Symbol" w:hAnsi="Symbol" w:cs="Symbol" w:hint="default"/>
      </w:rPr>
    </w:lvl>
    <w:lvl w:ilvl="3" w:tplc="6D200324">
      <w:start w:val="1"/>
      <w:numFmt w:val="bullet"/>
      <w:lvlText w:val="·"/>
      <w:lvlJc w:val="left"/>
      <w:pPr>
        <w:ind w:left="2869" w:hanging="360"/>
      </w:pPr>
      <w:rPr>
        <w:rFonts w:ascii="Symbol" w:eastAsia="Symbol" w:hAnsi="Symbol" w:cs="Symbol" w:hint="default"/>
      </w:rPr>
    </w:lvl>
    <w:lvl w:ilvl="4" w:tplc="F9281056">
      <w:start w:val="1"/>
      <w:numFmt w:val="bullet"/>
      <w:lvlText w:val="·"/>
      <w:lvlJc w:val="left"/>
      <w:pPr>
        <w:ind w:left="3589" w:hanging="360"/>
      </w:pPr>
      <w:rPr>
        <w:rFonts w:ascii="Symbol" w:eastAsia="Symbol" w:hAnsi="Symbol" w:cs="Symbol" w:hint="default"/>
      </w:rPr>
    </w:lvl>
    <w:lvl w:ilvl="5" w:tplc="1078426A">
      <w:start w:val="1"/>
      <w:numFmt w:val="bullet"/>
      <w:lvlText w:val="·"/>
      <w:lvlJc w:val="left"/>
      <w:pPr>
        <w:ind w:left="4309" w:hanging="360"/>
      </w:pPr>
      <w:rPr>
        <w:rFonts w:ascii="Symbol" w:eastAsia="Symbol" w:hAnsi="Symbol" w:cs="Symbol" w:hint="default"/>
      </w:rPr>
    </w:lvl>
    <w:lvl w:ilvl="6" w:tplc="425C0E1E">
      <w:start w:val="1"/>
      <w:numFmt w:val="bullet"/>
      <w:lvlText w:val="·"/>
      <w:lvlJc w:val="left"/>
      <w:pPr>
        <w:ind w:left="5029" w:hanging="360"/>
      </w:pPr>
      <w:rPr>
        <w:rFonts w:ascii="Symbol" w:eastAsia="Symbol" w:hAnsi="Symbol" w:cs="Symbol" w:hint="default"/>
      </w:rPr>
    </w:lvl>
    <w:lvl w:ilvl="7" w:tplc="0D7252B8">
      <w:start w:val="1"/>
      <w:numFmt w:val="bullet"/>
      <w:lvlText w:val="·"/>
      <w:lvlJc w:val="left"/>
      <w:pPr>
        <w:ind w:left="5749" w:hanging="360"/>
      </w:pPr>
      <w:rPr>
        <w:rFonts w:ascii="Symbol" w:eastAsia="Symbol" w:hAnsi="Symbol" w:cs="Symbol" w:hint="default"/>
      </w:rPr>
    </w:lvl>
    <w:lvl w:ilvl="8" w:tplc="E0B044BC">
      <w:start w:val="1"/>
      <w:numFmt w:val="bullet"/>
      <w:lvlText w:val="·"/>
      <w:lvlJc w:val="left"/>
      <w:pPr>
        <w:ind w:left="6469" w:hanging="360"/>
      </w:pPr>
      <w:rPr>
        <w:rFonts w:ascii="Symbol" w:eastAsia="Symbol" w:hAnsi="Symbol" w:cs="Symbol" w:hint="default"/>
      </w:rPr>
    </w:lvl>
  </w:abstractNum>
  <w:abstractNum w:abstractNumId="19" w15:restartNumberingAfterBreak="0">
    <w:nsid w:val="7B680703"/>
    <w:multiLevelType w:val="hybridMultilevel"/>
    <w:tmpl w:val="4410A4B6"/>
    <w:lvl w:ilvl="0" w:tplc="50A88CD6">
      <w:start w:val="1"/>
      <w:numFmt w:val="bullet"/>
      <w:lvlText w:val="·"/>
      <w:lvlJc w:val="left"/>
      <w:pPr>
        <w:ind w:left="709" w:hanging="360"/>
      </w:pPr>
      <w:rPr>
        <w:rFonts w:ascii="Symbol" w:eastAsia="Symbol" w:hAnsi="Symbol" w:cs="Symbol" w:hint="default"/>
      </w:rPr>
    </w:lvl>
    <w:lvl w:ilvl="1" w:tplc="85AC8814">
      <w:start w:val="1"/>
      <w:numFmt w:val="bullet"/>
      <w:lvlText w:val="·"/>
      <w:lvlJc w:val="left"/>
      <w:pPr>
        <w:ind w:left="1429" w:hanging="360"/>
      </w:pPr>
      <w:rPr>
        <w:rFonts w:ascii="Symbol" w:eastAsia="Symbol" w:hAnsi="Symbol" w:cs="Symbol" w:hint="default"/>
      </w:rPr>
    </w:lvl>
    <w:lvl w:ilvl="2" w:tplc="0784A1D6">
      <w:start w:val="1"/>
      <w:numFmt w:val="bullet"/>
      <w:lvlText w:val="·"/>
      <w:lvlJc w:val="left"/>
      <w:pPr>
        <w:ind w:left="2149" w:hanging="360"/>
      </w:pPr>
      <w:rPr>
        <w:rFonts w:ascii="Symbol" w:eastAsia="Symbol" w:hAnsi="Symbol" w:cs="Symbol" w:hint="default"/>
      </w:rPr>
    </w:lvl>
    <w:lvl w:ilvl="3" w:tplc="FB12AA3A">
      <w:start w:val="1"/>
      <w:numFmt w:val="bullet"/>
      <w:lvlText w:val="·"/>
      <w:lvlJc w:val="left"/>
      <w:pPr>
        <w:ind w:left="2869" w:hanging="360"/>
      </w:pPr>
      <w:rPr>
        <w:rFonts w:ascii="Symbol" w:eastAsia="Symbol" w:hAnsi="Symbol" w:cs="Symbol" w:hint="default"/>
      </w:rPr>
    </w:lvl>
    <w:lvl w:ilvl="4" w:tplc="DD78FE02">
      <w:start w:val="1"/>
      <w:numFmt w:val="bullet"/>
      <w:lvlText w:val="·"/>
      <w:lvlJc w:val="left"/>
      <w:pPr>
        <w:ind w:left="3589" w:hanging="360"/>
      </w:pPr>
      <w:rPr>
        <w:rFonts w:ascii="Symbol" w:eastAsia="Symbol" w:hAnsi="Symbol" w:cs="Symbol" w:hint="default"/>
      </w:rPr>
    </w:lvl>
    <w:lvl w:ilvl="5" w:tplc="56764B18">
      <w:start w:val="1"/>
      <w:numFmt w:val="bullet"/>
      <w:lvlText w:val="·"/>
      <w:lvlJc w:val="left"/>
      <w:pPr>
        <w:ind w:left="4309" w:hanging="360"/>
      </w:pPr>
      <w:rPr>
        <w:rFonts w:ascii="Symbol" w:eastAsia="Symbol" w:hAnsi="Symbol" w:cs="Symbol" w:hint="default"/>
      </w:rPr>
    </w:lvl>
    <w:lvl w:ilvl="6" w:tplc="3F063C32">
      <w:start w:val="1"/>
      <w:numFmt w:val="bullet"/>
      <w:lvlText w:val="·"/>
      <w:lvlJc w:val="left"/>
      <w:pPr>
        <w:ind w:left="5029" w:hanging="360"/>
      </w:pPr>
      <w:rPr>
        <w:rFonts w:ascii="Symbol" w:eastAsia="Symbol" w:hAnsi="Symbol" w:cs="Symbol" w:hint="default"/>
      </w:rPr>
    </w:lvl>
    <w:lvl w:ilvl="7" w:tplc="AA62E75C">
      <w:start w:val="1"/>
      <w:numFmt w:val="bullet"/>
      <w:lvlText w:val="·"/>
      <w:lvlJc w:val="left"/>
      <w:pPr>
        <w:ind w:left="5749" w:hanging="360"/>
      </w:pPr>
      <w:rPr>
        <w:rFonts w:ascii="Symbol" w:eastAsia="Symbol" w:hAnsi="Symbol" w:cs="Symbol" w:hint="default"/>
      </w:rPr>
    </w:lvl>
    <w:lvl w:ilvl="8" w:tplc="6E18FDD4">
      <w:start w:val="1"/>
      <w:numFmt w:val="bullet"/>
      <w:lvlText w:val="·"/>
      <w:lvlJc w:val="left"/>
      <w:pPr>
        <w:ind w:left="6469" w:hanging="360"/>
      </w:pPr>
      <w:rPr>
        <w:rFonts w:ascii="Symbol" w:eastAsia="Symbol" w:hAnsi="Symbol" w:cs="Symbol" w:hint="default"/>
      </w:rPr>
    </w:lvl>
  </w:abstractNum>
  <w:abstractNum w:abstractNumId="20" w15:restartNumberingAfterBreak="0">
    <w:nsid w:val="7CB16A61"/>
    <w:multiLevelType w:val="hybridMultilevel"/>
    <w:tmpl w:val="AB86E69A"/>
    <w:lvl w:ilvl="0" w:tplc="3A8A0CDE">
      <w:start w:val="1"/>
      <w:numFmt w:val="bullet"/>
      <w:lvlText w:val="·"/>
      <w:lvlJc w:val="left"/>
      <w:pPr>
        <w:ind w:left="709" w:hanging="360"/>
      </w:pPr>
      <w:rPr>
        <w:rFonts w:ascii="Symbol" w:eastAsia="Symbol" w:hAnsi="Symbol" w:cs="Symbol" w:hint="default"/>
      </w:rPr>
    </w:lvl>
    <w:lvl w:ilvl="1" w:tplc="0ED4559C">
      <w:start w:val="1"/>
      <w:numFmt w:val="bullet"/>
      <w:lvlText w:val="·"/>
      <w:lvlJc w:val="left"/>
      <w:pPr>
        <w:ind w:left="1429" w:hanging="360"/>
      </w:pPr>
      <w:rPr>
        <w:rFonts w:ascii="Symbol" w:eastAsia="Symbol" w:hAnsi="Symbol" w:cs="Symbol" w:hint="default"/>
      </w:rPr>
    </w:lvl>
    <w:lvl w:ilvl="2" w:tplc="D7DEEDFC">
      <w:start w:val="1"/>
      <w:numFmt w:val="bullet"/>
      <w:lvlText w:val="·"/>
      <w:lvlJc w:val="left"/>
      <w:pPr>
        <w:ind w:left="2149" w:hanging="360"/>
      </w:pPr>
      <w:rPr>
        <w:rFonts w:ascii="Symbol" w:eastAsia="Symbol" w:hAnsi="Symbol" w:cs="Symbol" w:hint="default"/>
      </w:rPr>
    </w:lvl>
    <w:lvl w:ilvl="3" w:tplc="602CE5F0">
      <w:start w:val="1"/>
      <w:numFmt w:val="bullet"/>
      <w:lvlText w:val="·"/>
      <w:lvlJc w:val="left"/>
      <w:pPr>
        <w:ind w:left="2869" w:hanging="360"/>
      </w:pPr>
      <w:rPr>
        <w:rFonts w:ascii="Symbol" w:eastAsia="Symbol" w:hAnsi="Symbol" w:cs="Symbol" w:hint="default"/>
      </w:rPr>
    </w:lvl>
    <w:lvl w:ilvl="4" w:tplc="AF3C0C0C">
      <w:start w:val="1"/>
      <w:numFmt w:val="bullet"/>
      <w:lvlText w:val="·"/>
      <w:lvlJc w:val="left"/>
      <w:pPr>
        <w:ind w:left="3589" w:hanging="360"/>
      </w:pPr>
      <w:rPr>
        <w:rFonts w:ascii="Symbol" w:eastAsia="Symbol" w:hAnsi="Symbol" w:cs="Symbol" w:hint="default"/>
      </w:rPr>
    </w:lvl>
    <w:lvl w:ilvl="5" w:tplc="A31AB50E">
      <w:start w:val="1"/>
      <w:numFmt w:val="bullet"/>
      <w:lvlText w:val="·"/>
      <w:lvlJc w:val="left"/>
      <w:pPr>
        <w:ind w:left="4309" w:hanging="360"/>
      </w:pPr>
      <w:rPr>
        <w:rFonts w:ascii="Symbol" w:eastAsia="Symbol" w:hAnsi="Symbol" w:cs="Symbol" w:hint="default"/>
      </w:rPr>
    </w:lvl>
    <w:lvl w:ilvl="6" w:tplc="7DA80B72">
      <w:start w:val="1"/>
      <w:numFmt w:val="bullet"/>
      <w:lvlText w:val="·"/>
      <w:lvlJc w:val="left"/>
      <w:pPr>
        <w:ind w:left="5029" w:hanging="360"/>
      </w:pPr>
      <w:rPr>
        <w:rFonts w:ascii="Symbol" w:eastAsia="Symbol" w:hAnsi="Symbol" w:cs="Symbol" w:hint="default"/>
      </w:rPr>
    </w:lvl>
    <w:lvl w:ilvl="7" w:tplc="90E0691A">
      <w:start w:val="1"/>
      <w:numFmt w:val="bullet"/>
      <w:lvlText w:val="·"/>
      <w:lvlJc w:val="left"/>
      <w:pPr>
        <w:ind w:left="5749" w:hanging="360"/>
      </w:pPr>
      <w:rPr>
        <w:rFonts w:ascii="Symbol" w:eastAsia="Symbol" w:hAnsi="Symbol" w:cs="Symbol" w:hint="default"/>
      </w:rPr>
    </w:lvl>
    <w:lvl w:ilvl="8" w:tplc="6DA4947E">
      <w:start w:val="1"/>
      <w:numFmt w:val="bullet"/>
      <w:lvlText w:val="·"/>
      <w:lvlJc w:val="left"/>
      <w:pPr>
        <w:ind w:left="6469" w:hanging="360"/>
      </w:pPr>
      <w:rPr>
        <w:rFonts w:ascii="Symbol" w:eastAsia="Symbol" w:hAnsi="Symbol" w:cs="Symbol" w:hint="default"/>
      </w:rPr>
    </w:lvl>
  </w:abstractNum>
  <w:abstractNum w:abstractNumId="21" w15:restartNumberingAfterBreak="0">
    <w:nsid w:val="7E305646"/>
    <w:multiLevelType w:val="hybridMultilevel"/>
    <w:tmpl w:val="ECFE7D36"/>
    <w:lvl w:ilvl="0" w:tplc="0A7CBC22">
      <w:start w:val="1"/>
      <w:numFmt w:val="bullet"/>
      <w:lvlText w:val="·"/>
      <w:lvlJc w:val="left"/>
      <w:pPr>
        <w:ind w:left="709" w:hanging="360"/>
      </w:pPr>
      <w:rPr>
        <w:rFonts w:ascii="Symbol" w:eastAsia="Symbol" w:hAnsi="Symbol" w:cs="Symbol" w:hint="default"/>
      </w:rPr>
    </w:lvl>
    <w:lvl w:ilvl="1" w:tplc="1DF6C048">
      <w:start w:val="1"/>
      <w:numFmt w:val="bullet"/>
      <w:lvlText w:val="·"/>
      <w:lvlJc w:val="left"/>
      <w:pPr>
        <w:ind w:left="1429" w:hanging="360"/>
      </w:pPr>
      <w:rPr>
        <w:rFonts w:ascii="Symbol" w:eastAsia="Symbol" w:hAnsi="Symbol" w:cs="Symbol" w:hint="default"/>
      </w:rPr>
    </w:lvl>
    <w:lvl w:ilvl="2" w:tplc="039E21A0">
      <w:start w:val="1"/>
      <w:numFmt w:val="bullet"/>
      <w:lvlText w:val="·"/>
      <w:lvlJc w:val="left"/>
      <w:pPr>
        <w:ind w:left="2149" w:hanging="360"/>
      </w:pPr>
      <w:rPr>
        <w:rFonts w:ascii="Symbol" w:eastAsia="Symbol" w:hAnsi="Symbol" w:cs="Symbol" w:hint="default"/>
      </w:rPr>
    </w:lvl>
    <w:lvl w:ilvl="3" w:tplc="6302B2DC">
      <w:start w:val="1"/>
      <w:numFmt w:val="bullet"/>
      <w:lvlText w:val="·"/>
      <w:lvlJc w:val="left"/>
      <w:pPr>
        <w:ind w:left="2869" w:hanging="360"/>
      </w:pPr>
      <w:rPr>
        <w:rFonts w:ascii="Symbol" w:eastAsia="Symbol" w:hAnsi="Symbol" w:cs="Symbol" w:hint="default"/>
      </w:rPr>
    </w:lvl>
    <w:lvl w:ilvl="4" w:tplc="1E726C08">
      <w:start w:val="1"/>
      <w:numFmt w:val="bullet"/>
      <w:lvlText w:val="·"/>
      <w:lvlJc w:val="left"/>
      <w:pPr>
        <w:ind w:left="3589" w:hanging="360"/>
      </w:pPr>
      <w:rPr>
        <w:rFonts w:ascii="Symbol" w:eastAsia="Symbol" w:hAnsi="Symbol" w:cs="Symbol" w:hint="default"/>
      </w:rPr>
    </w:lvl>
    <w:lvl w:ilvl="5" w:tplc="08B6AA6A">
      <w:start w:val="1"/>
      <w:numFmt w:val="bullet"/>
      <w:lvlText w:val="·"/>
      <w:lvlJc w:val="left"/>
      <w:pPr>
        <w:ind w:left="4309" w:hanging="360"/>
      </w:pPr>
      <w:rPr>
        <w:rFonts w:ascii="Symbol" w:eastAsia="Symbol" w:hAnsi="Symbol" w:cs="Symbol" w:hint="default"/>
      </w:rPr>
    </w:lvl>
    <w:lvl w:ilvl="6" w:tplc="14A66CC2">
      <w:start w:val="1"/>
      <w:numFmt w:val="bullet"/>
      <w:lvlText w:val="·"/>
      <w:lvlJc w:val="left"/>
      <w:pPr>
        <w:ind w:left="5029" w:hanging="360"/>
      </w:pPr>
      <w:rPr>
        <w:rFonts w:ascii="Symbol" w:eastAsia="Symbol" w:hAnsi="Symbol" w:cs="Symbol" w:hint="default"/>
      </w:rPr>
    </w:lvl>
    <w:lvl w:ilvl="7" w:tplc="F06AC15A">
      <w:start w:val="1"/>
      <w:numFmt w:val="bullet"/>
      <w:lvlText w:val="·"/>
      <w:lvlJc w:val="left"/>
      <w:pPr>
        <w:ind w:left="5749" w:hanging="360"/>
      </w:pPr>
      <w:rPr>
        <w:rFonts w:ascii="Symbol" w:eastAsia="Symbol" w:hAnsi="Symbol" w:cs="Symbol" w:hint="default"/>
      </w:rPr>
    </w:lvl>
    <w:lvl w:ilvl="8" w:tplc="3800B554">
      <w:start w:val="1"/>
      <w:numFmt w:val="bullet"/>
      <w:lvlText w:val="·"/>
      <w:lvlJc w:val="left"/>
      <w:pPr>
        <w:ind w:left="6469" w:hanging="360"/>
      </w:pPr>
      <w:rPr>
        <w:rFonts w:ascii="Symbol" w:eastAsia="Symbol" w:hAnsi="Symbol" w:cs="Symbol" w:hint="default"/>
      </w:rPr>
    </w:lvl>
  </w:abstractNum>
  <w:num w:numId="1">
    <w:abstractNumId w:val="6"/>
  </w:num>
  <w:num w:numId="2">
    <w:abstractNumId w:val="12"/>
  </w:num>
  <w:num w:numId="3">
    <w:abstractNumId w:val="15"/>
  </w:num>
  <w:num w:numId="4">
    <w:abstractNumId w:val="0"/>
  </w:num>
  <w:num w:numId="5">
    <w:abstractNumId w:val="8"/>
  </w:num>
  <w:num w:numId="6">
    <w:abstractNumId w:val="2"/>
  </w:num>
  <w:num w:numId="7">
    <w:abstractNumId w:val="19"/>
  </w:num>
  <w:num w:numId="8">
    <w:abstractNumId w:val="9"/>
  </w:num>
  <w:num w:numId="9">
    <w:abstractNumId w:val="7"/>
  </w:num>
  <w:num w:numId="10">
    <w:abstractNumId w:val="1"/>
  </w:num>
  <w:num w:numId="11">
    <w:abstractNumId w:val="16"/>
  </w:num>
  <w:num w:numId="12">
    <w:abstractNumId w:val="14"/>
  </w:num>
  <w:num w:numId="13">
    <w:abstractNumId w:val="10"/>
  </w:num>
  <w:num w:numId="14">
    <w:abstractNumId w:val="18"/>
  </w:num>
  <w:num w:numId="15">
    <w:abstractNumId w:val="20"/>
  </w:num>
  <w:num w:numId="16">
    <w:abstractNumId w:val="11"/>
  </w:num>
  <w:num w:numId="17">
    <w:abstractNumId w:val="5"/>
  </w:num>
  <w:num w:numId="18">
    <w:abstractNumId w:val="3"/>
  </w:num>
  <w:num w:numId="19">
    <w:abstractNumId w:val="4"/>
  </w:num>
  <w:num w:numId="20">
    <w:abstractNumId w:val="13"/>
  </w:num>
  <w:num w:numId="21">
    <w:abstractNumId w:val="17"/>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74F"/>
    <w:rsid w:val="0079674F"/>
    <w:rsid w:val="009C4678"/>
    <w:rsid w:val="00C97978"/>
    <w:rsid w:val="00DC22D8"/>
    <w:rsid w:val="00EA1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2B20E1-2BFA-4F2F-B2C6-511ABC976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tr-TR"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pPr>
      <w:keepNext/>
      <w:keepLines/>
      <w:spacing w:before="480"/>
      <w:outlineLvl w:val="0"/>
    </w:pPr>
    <w:rPr>
      <w:sz w:val="40"/>
      <w:szCs w:val="40"/>
    </w:rPr>
  </w:style>
  <w:style w:type="paragraph" w:styleId="Balk2">
    <w:name w:val="heading 2"/>
    <w:basedOn w:val="Normal"/>
    <w:next w:val="Normal"/>
    <w:link w:val="Balk2Char"/>
    <w:uiPriority w:val="9"/>
    <w:unhideWhenUsed/>
    <w:qFormat/>
    <w:pPr>
      <w:keepNext/>
      <w:keepLines/>
      <w:spacing w:before="360"/>
      <w:outlineLvl w:val="1"/>
    </w:pPr>
    <w:rPr>
      <w:sz w:val="34"/>
    </w:rPr>
  </w:style>
  <w:style w:type="paragraph" w:styleId="Balk3">
    <w:name w:val="heading 3"/>
    <w:basedOn w:val="Normal"/>
    <w:next w:val="Normal"/>
    <w:link w:val="Balk3Char"/>
    <w:uiPriority w:val="9"/>
    <w:unhideWhenUsed/>
    <w:qFormat/>
    <w:pPr>
      <w:keepNext/>
      <w:keepLines/>
      <w:spacing w:before="320"/>
      <w:outlineLvl w:val="2"/>
    </w:pPr>
    <w:rPr>
      <w:sz w:val="30"/>
      <w:szCs w:val="30"/>
    </w:rPr>
  </w:style>
  <w:style w:type="paragraph" w:styleId="Balk4">
    <w:name w:val="heading 4"/>
    <w:basedOn w:val="Normal"/>
    <w:next w:val="Normal"/>
    <w:link w:val="Balk4Char"/>
    <w:uiPriority w:val="9"/>
    <w:unhideWhenUsed/>
    <w:qFormat/>
    <w:pPr>
      <w:keepNext/>
      <w:keepLines/>
      <w:spacing w:before="320"/>
      <w:outlineLvl w:val="3"/>
    </w:pPr>
    <w:rPr>
      <w:b/>
      <w:bCs/>
      <w:sz w:val="26"/>
      <w:szCs w:val="26"/>
    </w:rPr>
  </w:style>
  <w:style w:type="paragraph" w:styleId="Balk5">
    <w:name w:val="heading 5"/>
    <w:basedOn w:val="Normal"/>
    <w:next w:val="Normal"/>
    <w:link w:val="Balk5Char"/>
    <w:uiPriority w:val="9"/>
    <w:unhideWhenUsed/>
    <w:qFormat/>
    <w:pPr>
      <w:keepNext/>
      <w:keepLines/>
      <w:spacing w:before="320"/>
      <w:outlineLvl w:val="4"/>
    </w:pPr>
    <w:rPr>
      <w:b/>
      <w:bCs/>
      <w:sz w:val="24"/>
      <w:szCs w:val="24"/>
    </w:rPr>
  </w:style>
  <w:style w:type="paragraph" w:styleId="Balk6">
    <w:name w:val="heading 6"/>
    <w:basedOn w:val="Normal"/>
    <w:next w:val="Normal"/>
    <w:link w:val="Balk6Char"/>
    <w:uiPriority w:val="9"/>
    <w:unhideWhenUsed/>
    <w:qFormat/>
    <w:pPr>
      <w:keepNext/>
      <w:keepLines/>
      <w:spacing w:before="320"/>
      <w:outlineLvl w:val="5"/>
    </w:pPr>
    <w:rPr>
      <w:b/>
      <w:bCs/>
    </w:rPr>
  </w:style>
  <w:style w:type="paragraph" w:styleId="Balk7">
    <w:name w:val="heading 7"/>
    <w:basedOn w:val="Normal"/>
    <w:next w:val="Normal"/>
    <w:link w:val="Balk7Char"/>
    <w:uiPriority w:val="9"/>
    <w:unhideWhenUsed/>
    <w:qFormat/>
    <w:pPr>
      <w:keepNext/>
      <w:keepLines/>
      <w:spacing w:before="320"/>
      <w:outlineLvl w:val="6"/>
    </w:pPr>
    <w:rPr>
      <w:b/>
      <w:bCs/>
      <w:i/>
      <w:iCs/>
    </w:rPr>
  </w:style>
  <w:style w:type="paragraph" w:styleId="Balk8">
    <w:name w:val="heading 8"/>
    <w:basedOn w:val="Normal"/>
    <w:next w:val="Normal"/>
    <w:link w:val="Balk8Char"/>
    <w:uiPriority w:val="9"/>
    <w:unhideWhenUsed/>
    <w:qFormat/>
    <w:pPr>
      <w:keepNext/>
      <w:keepLines/>
      <w:spacing w:before="320"/>
      <w:outlineLvl w:val="7"/>
    </w:pPr>
    <w:rPr>
      <w:i/>
      <w:iCs/>
    </w:rPr>
  </w:style>
  <w:style w:type="paragraph" w:styleId="Balk9">
    <w:name w:val="heading 9"/>
    <w:basedOn w:val="Normal"/>
    <w:next w:val="Normal"/>
    <w:link w:val="Balk9Char"/>
    <w:uiPriority w:val="9"/>
    <w:unhideWhenUsed/>
    <w:qFormat/>
    <w:pPr>
      <w:keepNext/>
      <w:keepLines/>
      <w:spacing w:before="320"/>
      <w:outlineLvl w:val="8"/>
    </w:pPr>
    <w:rPr>
      <w:i/>
      <w:iCs/>
      <w:sz w:val="21"/>
      <w:szCs w:val="2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CaptionChar">
    <w:name w:val="Caption Char"/>
    <w:uiPriority w:val="99"/>
  </w:style>
  <w:style w:type="table" w:customStyle="1" w:styleId="TableGridLight">
    <w:name w:val="Table Grid Light"/>
    <w:basedOn w:val="NormalTablo"/>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NormalTablo"/>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3">
    <w:name w:val="Grid Table 1 Light - Accent 3"/>
    <w:basedOn w:val="NormalTablo"/>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NormalTablo"/>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NormalTablo"/>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NormalTablo"/>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
    <w:name w:val="Grid Table 2 - Accent 1"/>
    <w:basedOn w:val="NormalTablo"/>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NormalTablo"/>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NormalTablo"/>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NormalTablo"/>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NormalTablo"/>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NormalTablo"/>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
    <w:name w:val="Grid Table 3 - Accent 1"/>
    <w:basedOn w:val="NormalTablo"/>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NormalTablo"/>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NormalTablo"/>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NormalTablo"/>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NormalTablo"/>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NormalTablo"/>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
    <w:name w:val="Grid Table 4 - Accent 1"/>
    <w:basedOn w:val="NormalTablo"/>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NormalTablo"/>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NormalTablo"/>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NormalTablo"/>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NormalTablo"/>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NormalTablo"/>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
    <w:name w:val="Grid Table 5 Dark - Accent 2"/>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
    <w:name w:val="Grid Table 5 Dark - Accent 5"/>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ListTable1Light-Accent1">
    <w:name w:val="List Table 1 Light - Accent 1"/>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
    <w:name w:val="List Table 2 - Accent 1"/>
    <w:basedOn w:val="NormalTablo"/>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NormalTablo"/>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NormalTablo"/>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NormalTablo"/>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NormalTablo"/>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NormalTablo"/>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
    <w:name w:val="List Table 3 - Accent 1"/>
    <w:basedOn w:val="NormalTablo"/>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NormalTablo"/>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NormalTablo"/>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NormalTablo"/>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NormalTablo"/>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NormalTablo"/>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
    <w:name w:val="List Table 4 - Accent 1"/>
    <w:basedOn w:val="NormalTablo"/>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NormalTablo"/>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NormalTablo"/>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NormalTablo"/>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NormalTablo"/>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NormalTablo"/>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
    <w:name w:val="List Table 5 Dark - Accent 1"/>
    <w:basedOn w:val="NormalTablo"/>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NormalTablo"/>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NormalTablo"/>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NormalTablo"/>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NormalTablo"/>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NormalTablo"/>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paragraph" w:styleId="KonuBal">
    <w:name w:val="Title"/>
    <w:basedOn w:val="Normal"/>
    <w:next w:val="Normal"/>
    <w:link w:val="KonuBalChar"/>
    <w:uiPriority w:val="10"/>
    <w:qFormat/>
    <w:pPr>
      <w:spacing w:before="300"/>
      <w:contextualSpacing/>
    </w:pPr>
    <w:rPr>
      <w:sz w:val="48"/>
      <w:szCs w:val="48"/>
    </w:rPr>
  </w:style>
  <w:style w:type="character" w:customStyle="1" w:styleId="Balk1Char">
    <w:name w:val="Başlık 1 Char"/>
    <w:link w:val="Balk1"/>
    <w:uiPriority w:val="9"/>
    <w:rPr>
      <w:rFonts w:ascii="Arial" w:eastAsia="Arial" w:hAnsi="Arial" w:cs="Arial"/>
      <w:sz w:val="40"/>
      <w:szCs w:val="40"/>
    </w:rPr>
  </w:style>
  <w:style w:type="character" w:customStyle="1" w:styleId="Balk2Char">
    <w:name w:val="Başlık 2 Char"/>
    <w:link w:val="Balk2"/>
    <w:uiPriority w:val="9"/>
    <w:rPr>
      <w:rFonts w:ascii="Arial" w:eastAsia="Arial" w:hAnsi="Arial" w:cs="Arial"/>
      <w:sz w:val="34"/>
    </w:rPr>
  </w:style>
  <w:style w:type="character" w:customStyle="1" w:styleId="Balk3Char">
    <w:name w:val="Başlık 3 Char"/>
    <w:link w:val="Balk3"/>
    <w:uiPriority w:val="9"/>
    <w:rPr>
      <w:rFonts w:ascii="Arial" w:eastAsia="Arial" w:hAnsi="Arial" w:cs="Arial"/>
      <w:sz w:val="30"/>
      <w:szCs w:val="30"/>
    </w:rPr>
  </w:style>
  <w:style w:type="character" w:customStyle="1" w:styleId="Balk4Char">
    <w:name w:val="Başlık 4 Char"/>
    <w:link w:val="Balk4"/>
    <w:uiPriority w:val="9"/>
    <w:rPr>
      <w:rFonts w:ascii="Arial" w:eastAsia="Arial" w:hAnsi="Arial" w:cs="Arial"/>
      <w:b/>
      <w:bCs/>
      <w:sz w:val="26"/>
      <w:szCs w:val="26"/>
    </w:rPr>
  </w:style>
  <w:style w:type="character" w:customStyle="1" w:styleId="Balk5Char">
    <w:name w:val="Başlık 5 Char"/>
    <w:link w:val="Balk5"/>
    <w:uiPriority w:val="9"/>
    <w:rPr>
      <w:rFonts w:ascii="Arial" w:eastAsia="Arial" w:hAnsi="Arial" w:cs="Arial"/>
      <w:b/>
      <w:bCs/>
      <w:sz w:val="24"/>
      <w:szCs w:val="24"/>
    </w:rPr>
  </w:style>
  <w:style w:type="character" w:customStyle="1" w:styleId="Balk6Char">
    <w:name w:val="Başlık 6 Char"/>
    <w:link w:val="Balk6"/>
    <w:uiPriority w:val="9"/>
    <w:rPr>
      <w:rFonts w:ascii="Arial" w:eastAsia="Arial" w:hAnsi="Arial" w:cs="Arial"/>
      <w:b/>
      <w:bCs/>
      <w:sz w:val="22"/>
      <w:szCs w:val="22"/>
    </w:rPr>
  </w:style>
  <w:style w:type="character" w:customStyle="1" w:styleId="Balk7Char">
    <w:name w:val="Başlık 7 Char"/>
    <w:link w:val="Balk7"/>
    <w:uiPriority w:val="9"/>
    <w:rPr>
      <w:rFonts w:ascii="Arial" w:eastAsia="Arial" w:hAnsi="Arial" w:cs="Arial"/>
      <w:b/>
      <w:bCs/>
      <w:i/>
      <w:iCs/>
      <w:sz w:val="22"/>
      <w:szCs w:val="22"/>
    </w:rPr>
  </w:style>
  <w:style w:type="character" w:customStyle="1" w:styleId="Balk8Char">
    <w:name w:val="Başlık 8 Char"/>
    <w:link w:val="Balk8"/>
    <w:uiPriority w:val="9"/>
    <w:rPr>
      <w:rFonts w:ascii="Arial" w:eastAsia="Arial" w:hAnsi="Arial" w:cs="Arial"/>
      <w:i/>
      <w:iCs/>
      <w:sz w:val="22"/>
      <w:szCs w:val="22"/>
    </w:rPr>
  </w:style>
  <w:style w:type="character" w:customStyle="1" w:styleId="Balk9Char">
    <w:name w:val="Başlık 9 Char"/>
    <w:link w:val="Balk9"/>
    <w:uiPriority w:val="9"/>
    <w:rPr>
      <w:rFonts w:ascii="Arial" w:eastAsia="Arial" w:hAnsi="Arial" w:cs="Arial"/>
      <w:i/>
      <w:iCs/>
      <w:sz w:val="21"/>
      <w:szCs w:val="21"/>
    </w:rPr>
  </w:style>
  <w:style w:type="character" w:customStyle="1" w:styleId="KonuBalChar">
    <w:name w:val="Konu Başlığı Char"/>
    <w:link w:val="KonuBal"/>
    <w:uiPriority w:val="10"/>
    <w:rPr>
      <w:sz w:val="48"/>
      <w:szCs w:val="48"/>
    </w:rPr>
  </w:style>
  <w:style w:type="paragraph" w:styleId="Altyaz">
    <w:name w:val="Subtitle"/>
    <w:basedOn w:val="Normal"/>
    <w:next w:val="Normal"/>
    <w:link w:val="AltyazChar"/>
    <w:pPr>
      <w:pBdr>
        <w:top w:val="none" w:sz="0" w:space="0" w:color="000000"/>
        <w:left w:val="none" w:sz="0" w:space="0" w:color="000000"/>
        <w:bottom w:val="none" w:sz="0" w:space="0" w:color="000000"/>
        <w:right w:val="none" w:sz="0" w:space="0" w:color="000000"/>
        <w:between w:val="none" w:sz="0" w:space="0" w:color="000000"/>
      </w:pBdr>
      <w:spacing w:before="200"/>
    </w:pPr>
    <w:rPr>
      <w:color w:val="000000"/>
      <w:sz w:val="24"/>
      <w:szCs w:val="24"/>
    </w:rPr>
  </w:style>
  <w:style w:type="character" w:customStyle="1" w:styleId="AltyazChar">
    <w:name w:val="Altyazı Char"/>
    <w:link w:val="Altyaz"/>
    <w:uiPriority w:val="11"/>
    <w:rPr>
      <w:sz w:val="24"/>
      <w:szCs w:val="24"/>
    </w:rPr>
  </w:style>
  <w:style w:type="paragraph" w:styleId="Alnt">
    <w:name w:val="Quote"/>
    <w:basedOn w:val="Normal"/>
    <w:next w:val="Normal"/>
    <w:link w:val="AlntChar"/>
    <w:uiPriority w:val="29"/>
    <w:qFormat/>
    <w:pPr>
      <w:ind w:left="720" w:right="720"/>
    </w:pPr>
    <w:rPr>
      <w:i/>
    </w:rPr>
  </w:style>
  <w:style w:type="character" w:customStyle="1" w:styleId="AlntChar">
    <w:name w:val="Alıntı Char"/>
    <w:link w:val="Alnt"/>
    <w:uiPriority w:val="29"/>
    <w:rPr>
      <w:i/>
    </w:rPr>
  </w:style>
  <w:style w:type="paragraph" w:styleId="GlAlnt">
    <w:name w:val="Intense Quote"/>
    <w:basedOn w:val="Normal"/>
    <w:next w:val="Normal"/>
    <w:link w:val="GlAlnt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GlAlntChar">
    <w:name w:val="Güçlü Alıntı Char"/>
    <w:link w:val="GlAlnt"/>
    <w:uiPriority w:val="30"/>
    <w:rPr>
      <w:i/>
    </w:rPr>
  </w:style>
  <w:style w:type="paragraph" w:styleId="stbilgi">
    <w:name w:val="header"/>
    <w:basedOn w:val="Normal"/>
    <w:link w:val="stbilgiChar"/>
    <w:uiPriority w:val="99"/>
    <w:unhideWhenUsed/>
    <w:pPr>
      <w:tabs>
        <w:tab w:val="center" w:pos="7143"/>
        <w:tab w:val="right" w:pos="14287"/>
      </w:tabs>
      <w:spacing w:after="0" w:line="240" w:lineRule="auto"/>
    </w:pPr>
  </w:style>
  <w:style w:type="character" w:customStyle="1" w:styleId="stbilgiChar">
    <w:name w:val="Üstbilgi Char"/>
    <w:link w:val="stbilgi"/>
    <w:uiPriority w:val="99"/>
  </w:style>
  <w:style w:type="paragraph" w:styleId="Altbilgi">
    <w:name w:val="footer"/>
    <w:basedOn w:val="Normal"/>
    <w:link w:val="AltbilgiChar"/>
    <w:uiPriority w:val="99"/>
    <w:unhideWhenUsed/>
    <w:pPr>
      <w:tabs>
        <w:tab w:val="center" w:pos="7143"/>
        <w:tab w:val="right" w:pos="14287"/>
      </w:tabs>
      <w:spacing w:after="0" w:line="240" w:lineRule="auto"/>
    </w:pPr>
  </w:style>
  <w:style w:type="character" w:customStyle="1" w:styleId="FooterChar">
    <w:name w:val="Footer Char"/>
    <w:uiPriority w:val="99"/>
  </w:style>
  <w:style w:type="paragraph" w:styleId="ResimYazs">
    <w:name w:val="caption"/>
    <w:basedOn w:val="Normal"/>
    <w:next w:val="Normal"/>
    <w:uiPriority w:val="35"/>
    <w:semiHidden/>
    <w:unhideWhenUsed/>
    <w:qFormat/>
    <w:rPr>
      <w:b/>
      <w:bCs/>
      <w:color w:val="5B9BD5" w:themeColor="accent1"/>
      <w:sz w:val="18"/>
      <w:szCs w:val="18"/>
    </w:rPr>
  </w:style>
  <w:style w:type="character" w:customStyle="1" w:styleId="AltbilgiChar">
    <w:name w:val="Altbilgi Char"/>
    <w:link w:val="Altbilgi"/>
    <w:uiPriority w:val="99"/>
  </w:style>
  <w:style w:type="table" w:styleId="TabloKlavuzu">
    <w:name w:val="Table Grid"/>
    <w:basedOn w:val="NormalTablo"/>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oKlavuzuAk">
    <w:name w:val="Grid Table Light"/>
    <w:basedOn w:val="NormalTablo"/>
    <w:uiPriority w:val="59"/>
    <w:pPr>
      <w:spacing w:after="0" w:line="240" w:lineRule="auto"/>
    </w:pPr>
    <w:tblPr>
      <w:tblBorders>
        <w:top w:val="single" w:sz="4" w:space="0" w:color="FFFFFF" w:themeColor="text1" w:themeTint="00"/>
        <w:left w:val="single" w:sz="4" w:space="0" w:color="FFFFFF" w:themeColor="text1" w:themeTint="00"/>
        <w:bottom w:val="single" w:sz="4" w:space="0" w:color="FFFFFF" w:themeColor="text1" w:themeTint="00"/>
        <w:right w:val="single" w:sz="4" w:space="0" w:color="FFFFFF" w:themeColor="text1" w:themeTint="00"/>
        <w:insideH w:val="single" w:sz="4" w:space="0" w:color="FFFFFF" w:themeColor="text1" w:themeTint="00"/>
        <w:insideV w:val="single" w:sz="4" w:space="0" w:color="FFFFFF" w:themeColor="text1" w:themeTint="00"/>
      </w:tblBorders>
    </w:tblPr>
  </w:style>
  <w:style w:type="table" w:styleId="DzTablo1">
    <w:name w:val="Plain Table 1"/>
    <w:basedOn w:val="NormalTablo"/>
    <w:uiPriority w:val="59"/>
    <w:pPr>
      <w:spacing w:after="0" w:line="240" w:lineRule="auto"/>
    </w:pPr>
    <w:tblPr>
      <w:tblBorders>
        <w:top w:val="single" w:sz="4" w:space="0" w:color="FFFFFF" w:themeColor="text1" w:themeTint="00"/>
        <w:left w:val="single" w:sz="4" w:space="0" w:color="FFFFFF" w:themeColor="text1" w:themeTint="00"/>
        <w:bottom w:val="single" w:sz="4" w:space="0" w:color="FFFFFF" w:themeColor="text1" w:themeTint="00"/>
        <w:right w:val="single" w:sz="4" w:space="0" w:color="FFFFFF" w:themeColor="text1" w:themeTint="00"/>
        <w:insideH w:val="single" w:sz="4" w:space="0" w:color="FFFFFF" w:themeColor="text1" w:themeTint="00"/>
        <w:insideV w:val="single" w:sz="4" w:space="0" w:color="FFFFFF" w:themeColor="text1" w:themeTint="0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styleId="DzTablo2">
    <w:name w:val="Plain Table 2"/>
    <w:basedOn w:val="NormalTablo"/>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DzTablo3">
    <w:name w:val="Plain Table 3"/>
    <w:basedOn w:val="NormalTablo"/>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styleId="DzTablo4">
    <w:name w:val="Plain Table 4"/>
    <w:basedOn w:val="NormalTablo"/>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styleId="DzTablo5">
    <w:name w:val="Plain Table 5"/>
    <w:basedOn w:val="NormalTablo"/>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styleId="KlavuzTablo1Ak">
    <w:name w:val="Grid Table 1 Light"/>
    <w:basedOn w:val="NormalTablo"/>
    <w:uiPriority w:val="99"/>
    <w:pPr>
      <w:spacing w:after="0" w:line="240" w:lineRule="auto"/>
    </w:pPr>
    <w:tblPr>
      <w:tblStyleRowBandSize w:val="1"/>
      <w:tblStyleColBandSize w:val="1"/>
      <w:tblBorders>
        <w:top w:val="single" w:sz="4" w:space="0" w:color="FFFFFF" w:themeColor="text1" w:themeTint="00"/>
        <w:left w:val="single" w:sz="4" w:space="0" w:color="FFFFFF" w:themeColor="text1" w:themeTint="00"/>
        <w:bottom w:val="single" w:sz="4" w:space="0" w:color="FFFFFF" w:themeColor="text1" w:themeTint="00"/>
        <w:right w:val="single" w:sz="4" w:space="0" w:color="FFFFFF" w:themeColor="text1" w:themeTint="00"/>
        <w:insideH w:val="single" w:sz="4" w:space="0" w:color="FFFFFF" w:themeColor="text1" w:themeTint="00"/>
        <w:insideV w:val="single" w:sz="4" w:space="0" w:color="FFFFFF" w:themeColor="text1" w:themeTint="00"/>
      </w:tblBorders>
    </w:tblPr>
    <w:tblStylePr w:type="firstRow">
      <w:rPr>
        <w:b/>
        <w:color w:val="404040"/>
      </w:rPr>
      <w:tblPr/>
      <w:tcPr>
        <w:tcBorders>
          <w:bottom w:val="single" w:sz="12" w:space="0" w:color="FFFFFF" w:themeColor="text1" w:themeTint="0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FFFF" w:themeColor="text1" w:themeTint="00"/>
          <w:left w:val="single" w:sz="4" w:space="0" w:color="FFFFFF" w:themeColor="text1" w:themeTint="00"/>
          <w:bottom w:val="single" w:sz="4" w:space="0" w:color="FFFFFF" w:themeColor="text1" w:themeTint="00"/>
          <w:right w:val="single" w:sz="4" w:space="0" w:color="FFFFFF" w:themeColor="text1" w:themeTint="00"/>
        </w:tcBorders>
      </w:tcPr>
    </w:tblStylePr>
  </w:style>
  <w:style w:type="table" w:styleId="KlavuzTablo1Ak-Vurgu1">
    <w:name w:val="Grid Table 1 Light Accent 1"/>
    <w:basedOn w:val="NormalTablo"/>
    <w:uiPriority w:val="99"/>
    <w:pPr>
      <w:spacing w:after="0" w:line="240" w:lineRule="auto"/>
    </w:pPr>
    <w:tblPr>
      <w:tblStyleRowBandSize w:val="1"/>
      <w:tblStyleColBandSize w:val="1"/>
      <w:tblBorders>
        <w:top w:val="single" w:sz="4" w:space="0" w:color="FFFFFF" w:themeColor="accent1" w:themeTint="00"/>
        <w:left w:val="single" w:sz="4" w:space="0" w:color="FFFFFF" w:themeColor="accent1" w:themeTint="00"/>
        <w:bottom w:val="single" w:sz="4" w:space="0" w:color="FFFFFF" w:themeColor="accent1" w:themeTint="00"/>
        <w:right w:val="single" w:sz="4" w:space="0" w:color="FFFFFF" w:themeColor="accent1" w:themeTint="00"/>
        <w:insideH w:val="single" w:sz="4" w:space="0" w:color="FFFFFF" w:themeColor="accent1" w:themeTint="00"/>
        <w:insideV w:val="single" w:sz="4" w:space="0" w:color="FFFFFF" w:themeColor="accent1" w:themeTint="00"/>
      </w:tblBorders>
    </w:tblPr>
    <w:tblStylePr w:type="firstRow">
      <w:rPr>
        <w:b/>
        <w:color w:val="404040"/>
      </w:rPr>
      <w:tblPr/>
      <w:tcPr>
        <w:tcBorders>
          <w:bottom w:val="single" w:sz="12" w:space="0" w:color="FFFFFF" w:themeColor="accent1" w:themeTint="0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FFFF" w:themeColor="accent1" w:themeTint="00"/>
          <w:left w:val="single" w:sz="4" w:space="0" w:color="FFFFFF" w:themeColor="accent1" w:themeTint="00"/>
          <w:bottom w:val="single" w:sz="4" w:space="0" w:color="FFFFFF" w:themeColor="accent1" w:themeTint="00"/>
          <w:right w:val="single" w:sz="4" w:space="0" w:color="FFFFFF" w:themeColor="accent1" w:themeTint="00"/>
        </w:tcBorders>
      </w:tcPr>
    </w:tblStylePr>
  </w:style>
  <w:style w:type="table" w:customStyle="1" w:styleId="GridTable1Light-Accent2">
    <w:name w:val="Grid Table 1 Light - Accent 2"/>
    <w:basedOn w:val="NormalTablo"/>
    <w:uiPriority w:val="99"/>
    <w:pPr>
      <w:spacing w:after="0" w:line="240" w:lineRule="auto"/>
    </w:pPr>
    <w:tblPr>
      <w:tblStyleRowBandSize w:val="1"/>
      <w:tblStyleColBandSize w:val="1"/>
      <w:tblBorders>
        <w:top w:val="single" w:sz="4" w:space="0" w:color="FFFFFF" w:themeColor="accent2" w:themeTint="00"/>
        <w:left w:val="single" w:sz="4" w:space="0" w:color="FFFFFF" w:themeColor="accent2" w:themeTint="00"/>
        <w:bottom w:val="single" w:sz="4" w:space="0" w:color="FFFFFF" w:themeColor="accent2" w:themeTint="00"/>
        <w:right w:val="single" w:sz="4" w:space="0" w:color="FFFFFF" w:themeColor="accent2" w:themeTint="00"/>
        <w:insideH w:val="single" w:sz="4" w:space="0" w:color="FFFFFF" w:themeColor="accent2" w:themeTint="00"/>
        <w:insideV w:val="single" w:sz="4" w:space="0" w:color="FFFFFF" w:themeColor="accent2" w:themeTint="00"/>
      </w:tblBorders>
    </w:tblPr>
    <w:tblStylePr w:type="firstRow">
      <w:rPr>
        <w:b/>
        <w:color w:val="404040"/>
      </w:rPr>
      <w:tblPr/>
      <w:tcPr>
        <w:tcBorders>
          <w:bottom w:val="single" w:sz="12" w:space="0" w:color="FFFFFF" w:themeColor="accent2" w:themeTint="0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FFFF" w:themeColor="accent2" w:themeTint="00"/>
          <w:left w:val="single" w:sz="4" w:space="0" w:color="FFFFFF" w:themeColor="accent2" w:themeTint="00"/>
          <w:bottom w:val="single" w:sz="4" w:space="0" w:color="FFFFFF" w:themeColor="accent2" w:themeTint="00"/>
          <w:right w:val="single" w:sz="4" w:space="0" w:color="FFFFFF" w:themeColor="accent2" w:themeTint="00"/>
        </w:tcBorders>
      </w:tcPr>
    </w:tblStylePr>
  </w:style>
  <w:style w:type="table" w:styleId="KlavuzTablo1Ak-Vurgu3">
    <w:name w:val="Grid Table 1 Light Accent 3"/>
    <w:basedOn w:val="NormalTablo"/>
    <w:uiPriority w:val="99"/>
    <w:pPr>
      <w:spacing w:after="0" w:line="240" w:lineRule="auto"/>
    </w:pPr>
    <w:tblPr>
      <w:tblStyleRowBandSize w:val="1"/>
      <w:tblStyleColBandSize w:val="1"/>
      <w:tblBorders>
        <w:top w:val="single" w:sz="4" w:space="0" w:color="FFFFFF" w:themeColor="accent3" w:themeTint="00"/>
        <w:left w:val="single" w:sz="4" w:space="0" w:color="FFFFFF" w:themeColor="accent3" w:themeTint="00"/>
        <w:bottom w:val="single" w:sz="4" w:space="0" w:color="FFFFFF" w:themeColor="accent3" w:themeTint="00"/>
        <w:right w:val="single" w:sz="4" w:space="0" w:color="FFFFFF" w:themeColor="accent3" w:themeTint="00"/>
        <w:insideH w:val="single" w:sz="4" w:space="0" w:color="FFFFFF" w:themeColor="accent3" w:themeTint="00"/>
        <w:insideV w:val="single" w:sz="4" w:space="0" w:color="FFFFFF" w:themeColor="accent3" w:themeTint="00"/>
      </w:tblBorders>
    </w:tblPr>
    <w:tblStylePr w:type="firstRow">
      <w:rPr>
        <w:b/>
        <w:color w:val="404040"/>
      </w:rPr>
      <w:tblPr/>
      <w:tcPr>
        <w:tcBorders>
          <w:bottom w:val="single" w:sz="12" w:space="0" w:color="FFFFFF" w:themeColor="accent3" w:themeTint="0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FFFF" w:themeColor="accent3" w:themeTint="00"/>
          <w:left w:val="single" w:sz="4" w:space="0" w:color="FFFFFF" w:themeColor="accent3" w:themeTint="00"/>
          <w:bottom w:val="single" w:sz="4" w:space="0" w:color="FFFFFF" w:themeColor="accent3" w:themeTint="00"/>
          <w:right w:val="single" w:sz="4" w:space="0" w:color="FFFFFF" w:themeColor="accent3" w:themeTint="00"/>
        </w:tcBorders>
      </w:tcPr>
    </w:tblStylePr>
  </w:style>
  <w:style w:type="table" w:styleId="KlavuzTablo1Ak-Vurgu4">
    <w:name w:val="Grid Table 1 Light Accent 4"/>
    <w:basedOn w:val="NormalTablo"/>
    <w:uiPriority w:val="99"/>
    <w:pPr>
      <w:spacing w:after="0" w:line="240" w:lineRule="auto"/>
    </w:pPr>
    <w:tblPr>
      <w:tblStyleRowBandSize w:val="1"/>
      <w:tblStyleColBandSize w:val="1"/>
      <w:tblBorders>
        <w:top w:val="single" w:sz="4" w:space="0" w:color="FFFFFF" w:themeColor="accent4" w:themeTint="00"/>
        <w:left w:val="single" w:sz="4" w:space="0" w:color="FFFFFF" w:themeColor="accent4" w:themeTint="00"/>
        <w:bottom w:val="single" w:sz="4" w:space="0" w:color="FFFFFF" w:themeColor="accent4" w:themeTint="00"/>
        <w:right w:val="single" w:sz="4" w:space="0" w:color="FFFFFF" w:themeColor="accent4" w:themeTint="00"/>
        <w:insideH w:val="single" w:sz="4" w:space="0" w:color="FFFFFF" w:themeColor="accent4" w:themeTint="00"/>
        <w:insideV w:val="single" w:sz="4" w:space="0" w:color="FFFFFF" w:themeColor="accent4" w:themeTint="00"/>
      </w:tblBorders>
    </w:tblPr>
    <w:tblStylePr w:type="firstRow">
      <w:rPr>
        <w:b/>
        <w:color w:val="404040"/>
      </w:rPr>
      <w:tblPr/>
      <w:tcPr>
        <w:tcBorders>
          <w:bottom w:val="single" w:sz="12" w:space="0" w:color="FFFFFF" w:themeColor="accent4" w:themeTint="0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FFFF" w:themeColor="accent4" w:themeTint="00"/>
          <w:left w:val="single" w:sz="4" w:space="0" w:color="FFFFFF" w:themeColor="accent4" w:themeTint="00"/>
          <w:bottom w:val="single" w:sz="4" w:space="0" w:color="FFFFFF" w:themeColor="accent4" w:themeTint="00"/>
          <w:right w:val="single" w:sz="4" w:space="0" w:color="FFFFFF" w:themeColor="accent4" w:themeTint="00"/>
        </w:tcBorders>
      </w:tcPr>
    </w:tblStylePr>
  </w:style>
  <w:style w:type="table" w:styleId="KlavuzTablo1Ak-Vurgu5">
    <w:name w:val="Grid Table 1 Light Accent 5"/>
    <w:basedOn w:val="NormalTablo"/>
    <w:uiPriority w:val="99"/>
    <w:pPr>
      <w:spacing w:after="0" w:line="240" w:lineRule="auto"/>
    </w:pPr>
    <w:tblPr>
      <w:tblStyleRowBandSize w:val="1"/>
      <w:tblStyleColBandSize w:val="1"/>
      <w:tblBorders>
        <w:top w:val="single" w:sz="4" w:space="0" w:color="FFFFFF" w:themeColor="accent5" w:themeTint="00"/>
        <w:left w:val="single" w:sz="4" w:space="0" w:color="FFFFFF" w:themeColor="accent5" w:themeTint="00"/>
        <w:bottom w:val="single" w:sz="4" w:space="0" w:color="FFFFFF" w:themeColor="accent5" w:themeTint="00"/>
        <w:right w:val="single" w:sz="4" w:space="0" w:color="FFFFFF" w:themeColor="accent5" w:themeTint="00"/>
        <w:insideH w:val="single" w:sz="4" w:space="0" w:color="FFFFFF" w:themeColor="accent5" w:themeTint="00"/>
        <w:insideV w:val="single" w:sz="4" w:space="0" w:color="FFFFFF" w:themeColor="accent5" w:themeTint="00"/>
      </w:tblBorders>
    </w:tblPr>
    <w:tblStylePr w:type="firstRow">
      <w:rPr>
        <w:b/>
        <w:color w:val="404040"/>
      </w:rPr>
      <w:tblPr/>
      <w:tcPr>
        <w:tcBorders>
          <w:bottom w:val="single" w:sz="12" w:space="0" w:color="FFFFFF" w:themeColor="accent5" w:themeTint="0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FFFF" w:themeColor="accent5" w:themeTint="00"/>
          <w:left w:val="single" w:sz="4" w:space="0" w:color="FFFFFF" w:themeColor="accent5" w:themeTint="00"/>
          <w:bottom w:val="single" w:sz="4" w:space="0" w:color="FFFFFF" w:themeColor="accent5" w:themeTint="00"/>
          <w:right w:val="single" w:sz="4" w:space="0" w:color="FFFFFF" w:themeColor="accent5" w:themeTint="00"/>
        </w:tcBorders>
      </w:tcPr>
    </w:tblStylePr>
  </w:style>
  <w:style w:type="table" w:styleId="KlavuzTablo1Ak-Vurgu6">
    <w:name w:val="Grid Table 1 Light Accent 6"/>
    <w:basedOn w:val="NormalTablo"/>
    <w:uiPriority w:val="99"/>
    <w:pPr>
      <w:spacing w:after="0" w:line="240" w:lineRule="auto"/>
    </w:pPr>
    <w:tblPr>
      <w:tblStyleRowBandSize w:val="1"/>
      <w:tblStyleColBandSize w:val="1"/>
      <w:tblBorders>
        <w:top w:val="single" w:sz="4" w:space="0" w:color="FFFFFF" w:themeColor="accent6" w:themeTint="00"/>
        <w:left w:val="single" w:sz="4" w:space="0" w:color="FFFFFF" w:themeColor="accent6" w:themeTint="00"/>
        <w:bottom w:val="single" w:sz="4" w:space="0" w:color="FFFFFF" w:themeColor="accent6" w:themeTint="00"/>
        <w:right w:val="single" w:sz="4" w:space="0" w:color="FFFFFF" w:themeColor="accent6" w:themeTint="00"/>
        <w:insideH w:val="single" w:sz="4" w:space="0" w:color="FFFFFF" w:themeColor="accent6" w:themeTint="00"/>
        <w:insideV w:val="single" w:sz="4" w:space="0" w:color="FFFFFF" w:themeColor="accent6" w:themeTint="00"/>
      </w:tblBorders>
    </w:tblPr>
    <w:tblStylePr w:type="firstRow">
      <w:rPr>
        <w:b/>
        <w:color w:val="404040"/>
      </w:rPr>
      <w:tblPr/>
      <w:tcPr>
        <w:tcBorders>
          <w:bottom w:val="single" w:sz="12" w:space="0" w:color="FFFFFF" w:themeColor="accent6" w:themeTint="0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FFFF" w:themeColor="accent6" w:themeTint="00"/>
          <w:left w:val="single" w:sz="4" w:space="0" w:color="FFFFFF" w:themeColor="accent6" w:themeTint="00"/>
          <w:bottom w:val="single" w:sz="4" w:space="0" w:color="FFFFFF" w:themeColor="accent6" w:themeTint="00"/>
          <w:right w:val="single" w:sz="4" w:space="0" w:color="FFFFFF" w:themeColor="accent6" w:themeTint="00"/>
        </w:tcBorders>
      </w:tcPr>
    </w:tblStylePr>
  </w:style>
  <w:style w:type="table" w:styleId="KlavuzTablo2">
    <w:name w:val="Grid Table 2"/>
    <w:basedOn w:val="NormalTablo"/>
    <w:uiPriority w:val="99"/>
    <w:pPr>
      <w:spacing w:after="0" w:line="240" w:lineRule="auto"/>
    </w:pPr>
    <w:tblPr>
      <w:tblStyleRowBandSize w:val="1"/>
      <w:tblStyleColBandSize w:val="1"/>
      <w:tblBorders>
        <w:bottom w:val="single" w:sz="4" w:space="0" w:color="FFFFFF" w:themeColor="text1" w:themeTint="00"/>
        <w:insideH w:val="single" w:sz="4" w:space="0" w:color="FFFFFF" w:themeColor="text1" w:themeTint="00"/>
        <w:insideV w:val="single" w:sz="4" w:space="0" w:color="FFFFFF" w:themeColor="text1" w:themeTint="00"/>
      </w:tblBorders>
    </w:tblPr>
    <w:tblStylePr w:type="firstRow">
      <w:rPr>
        <w:b/>
        <w:color w:val="404040"/>
      </w:rPr>
      <w:tblPr/>
      <w:tcPr>
        <w:tcBorders>
          <w:top w:val="none" w:sz="4" w:space="0" w:color="000000"/>
          <w:left w:val="none" w:sz="4" w:space="0" w:color="000000"/>
          <w:bottom w:val="single" w:sz="12" w:space="0" w:color="FFFFFF" w:themeColor="text1" w:themeTint="00"/>
          <w:right w:val="none" w:sz="4" w:space="0" w:color="000000"/>
        </w:tcBorders>
        <w:shd w:val="clear" w:color="FFFFFF" w:fill="auto"/>
      </w:tcPr>
    </w:tblStylePr>
    <w:tblStylePr w:type="lastRow">
      <w:rPr>
        <w:b/>
        <w:color w:val="404040"/>
      </w:rPr>
      <w:tblPr/>
      <w:tcPr>
        <w:tcBorders>
          <w:top w:val="single" w:sz="4" w:space="0" w:color="FFFFFF" w:themeColor="text1" w:themeTint="00"/>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styleId="KlavuzTablo2-Vurgu1">
    <w:name w:val="Grid Table 2 Accent 1"/>
    <w:basedOn w:val="NormalTablo"/>
    <w:uiPriority w:val="99"/>
    <w:pPr>
      <w:spacing w:after="0" w:line="240" w:lineRule="auto"/>
    </w:pPr>
    <w:tblPr>
      <w:tblStyleRowBandSize w:val="1"/>
      <w:tblStyleColBandSize w:val="1"/>
      <w:tblBorders>
        <w:bottom w:val="single" w:sz="4" w:space="0" w:color="FFFFFF" w:themeColor="accent1" w:themeTint="00"/>
        <w:insideH w:val="single" w:sz="4" w:space="0" w:color="FFFFFF" w:themeColor="accent1" w:themeTint="00"/>
        <w:insideV w:val="single" w:sz="4" w:space="0" w:color="FFFFFF" w:themeColor="accent1" w:themeTint="00"/>
      </w:tblBorders>
    </w:tblPr>
    <w:tblStylePr w:type="firstRow">
      <w:rPr>
        <w:b/>
        <w:color w:val="404040"/>
      </w:rPr>
      <w:tblPr/>
      <w:tcPr>
        <w:tcBorders>
          <w:top w:val="none" w:sz="4" w:space="0" w:color="000000"/>
          <w:left w:val="none" w:sz="4" w:space="0" w:color="000000"/>
          <w:bottom w:val="single" w:sz="12" w:space="0" w:color="FFFFFF" w:themeColor="accent1" w:themeTint="00"/>
          <w:right w:val="none" w:sz="4" w:space="0" w:color="000000"/>
        </w:tcBorders>
        <w:shd w:val="clear" w:color="FFFFFF" w:fill="auto"/>
      </w:tcPr>
    </w:tblStylePr>
    <w:tblStylePr w:type="lastRow">
      <w:rPr>
        <w:b/>
        <w:color w:val="404040"/>
      </w:rPr>
      <w:tblPr/>
      <w:tcPr>
        <w:tcBorders>
          <w:top w:val="single" w:sz="4" w:space="0" w:color="FFFFFF" w:themeColor="accent1" w:themeTint="00"/>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1" w:themeTint="00" w:fill="FFFFFF" w:themeFill="accent1" w:themeFillTint="00"/>
      </w:tcPr>
    </w:tblStylePr>
    <w:tblStylePr w:type="band1Horz">
      <w:rPr>
        <w:rFonts w:ascii="Arial" w:hAnsi="Arial"/>
        <w:color w:val="404040"/>
        <w:sz w:val="22"/>
      </w:rPr>
      <w:tblPr/>
      <w:tcPr>
        <w:shd w:val="clear" w:color="FFFFFF" w:themeColor="accent1" w:themeTint="00" w:fill="FFFFFF" w:themeFill="accent1" w:themeFillTint="00"/>
      </w:tcPr>
    </w:tblStylePr>
  </w:style>
  <w:style w:type="table" w:styleId="KlavuzTablo2-Vurgu2">
    <w:name w:val="Grid Table 2 Accent 2"/>
    <w:basedOn w:val="NormalTablo"/>
    <w:uiPriority w:val="99"/>
    <w:pPr>
      <w:spacing w:after="0" w:line="240" w:lineRule="auto"/>
    </w:pPr>
    <w:tblPr>
      <w:tblStyleRowBandSize w:val="1"/>
      <w:tblStyleColBandSize w:val="1"/>
      <w:tblBorders>
        <w:bottom w:val="single" w:sz="4" w:space="0" w:color="FFFFFF" w:themeColor="accent2" w:themeTint="00"/>
        <w:insideH w:val="single" w:sz="4" w:space="0" w:color="FFFFFF" w:themeColor="accent2" w:themeTint="00"/>
        <w:insideV w:val="single" w:sz="4" w:space="0" w:color="FFFFFF" w:themeColor="accent2" w:themeTint="00"/>
      </w:tblBorders>
    </w:tblPr>
    <w:tblStylePr w:type="firstRow">
      <w:rPr>
        <w:b/>
        <w:color w:val="404040"/>
      </w:rPr>
      <w:tblPr/>
      <w:tcPr>
        <w:tcBorders>
          <w:top w:val="none" w:sz="4" w:space="0" w:color="000000"/>
          <w:left w:val="none" w:sz="4" w:space="0" w:color="000000"/>
          <w:bottom w:val="single" w:sz="12" w:space="0" w:color="FFFFFF" w:themeColor="accent2" w:themeTint="00"/>
          <w:right w:val="none" w:sz="4" w:space="0" w:color="000000"/>
        </w:tcBorders>
        <w:shd w:val="clear" w:color="FFFFFF" w:fill="auto"/>
      </w:tcPr>
    </w:tblStylePr>
    <w:tblStylePr w:type="lastRow">
      <w:rPr>
        <w:b/>
        <w:color w:val="404040"/>
      </w:rPr>
      <w:tblPr/>
      <w:tcPr>
        <w:tcBorders>
          <w:top w:val="single" w:sz="4" w:space="0" w:color="FFFFFF" w:themeColor="accent2" w:themeTint="00"/>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2" w:themeTint="00" w:fill="FFFFFF" w:themeFill="accent2" w:themeFillTint="00"/>
      </w:tcPr>
    </w:tblStylePr>
    <w:tblStylePr w:type="band1Horz">
      <w:rPr>
        <w:rFonts w:ascii="Arial" w:hAnsi="Arial"/>
        <w:color w:val="404040"/>
        <w:sz w:val="22"/>
      </w:rPr>
      <w:tblPr/>
      <w:tcPr>
        <w:shd w:val="clear" w:color="FFFFFF" w:themeColor="accent2" w:themeTint="00" w:fill="FFFFFF" w:themeFill="accent2" w:themeFillTint="00"/>
      </w:tcPr>
    </w:tblStylePr>
  </w:style>
  <w:style w:type="table" w:styleId="KlavuzTablo2-Vurgu3">
    <w:name w:val="Grid Table 2 Accent 3"/>
    <w:basedOn w:val="NormalTablo"/>
    <w:uiPriority w:val="99"/>
    <w:pPr>
      <w:spacing w:after="0" w:line="240" w:lineRule="auto"/>
    </w:pPr>
    <w:tblPr>
      <w:tblStyleRowBandSize w:val="1"/>
      <w:tblStyleColBandSize w:val="1"/>
      <w:tblBorders>
        <w:bottom w:val="single" w:sz="4" w:space="0" w:color="FFFFFF" w:themeColor="accent3" w:themeTint="00"/>
        <w:insideH w:val="single" w:sz="4" w:space="0" w:color="FFFFFF" w:themeColor="accent3" w:themeTint="00"/>
        <w:insideV w:val="single" w:sz="4" w:space="0" w:color="FFFFFF" w:themeColor="accent3" w:themeTint="00"/>
      </w:tblBorders>
    </w:tblPr>
    <w:tblStylePr w:type="firstRow">
      <w:rPr>
        <w:b/>
        <w:color w:val="404040"/>
      </w:rPr>
      <w:tblPr/>
      <w:tcPr>
        <w:tcBorders>
          <w:top w:val="none" w:sz="4" w:space="0" w:color="000000"/>
          <w:left w:val="none" w:sz="4" w:space="0" w:color="000000"/>
          <w:bottom w:val="single" w:sz="12" w:space="0" w:color="FFFFFF" w:themeColor="accent3" w:themeTint="00"/>
          <w:right w:val="none" w:sz="4" w:space="0" w:color="000000"/>
        </w:tcBorders>
        <w:shd w:val="clear" w:color="FFFFFF" w:fill="auto"/>
      </w:tcPr>
    </w:tblStylePr>
    <w:tblStylePr w:type="lastRow">
      <w:rPr>
        <w:b/>
        <w:color w:val="404040"/>
      </w:rPr>
      <w:tblPr/>
      <w:tcPr>
        <w:tcBorders>
          <w:top w:val="single" w:sz="4" w:space="0" w:color="FFFFFF" w:themeColor="accent3" w:themeTint="00"/>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3" w:themeTint="00" w:fill="FFFFFF" w:themeFill="accent3" w:themeFillTint="00"/>
      </w:tcPr>
    </w:tblStylePr>
    <w:tblStylePr w:type="band1Horz">
      <w:rPr>
        <w:rFonts w:ascii="Arial" w:hAnsi="Arial"/>
        <w:color w:val="404040"/>
        <w:sz w:val="22"/>
      </w:rPr>
      <w:tblPr/>
      <w:tcPr>
        <w:shd w:val="clear" w:color="FFFFFF" w:themeColor="accent3" w:themeTint="00" w:fill="FFFFFF" w:themeFill="accent3" w:themeFillTint="00"/>
      </w:tcPr>
    </w:tblStylePr>
  </w:style>
  <w:style w:type="table" w:styleId="KlavuzTablo2-Vurgu4">
    <w:name w:val="Grid Table 2 Accent 4"/>
    <w:basedOn w:val="NormalTablo"/>
    <w:uiPriority w:val="99"/>
    <w:pPr>
      <w:spacing w:after="0" w:line="240" w:lineRule="auto"/>
    </w:pPr>
    <w:tblPr>
      <w:tblStyleRowBandSize w:val="1"/>
      <w:tblStyleColBandSize w:val="1"/>
      <w:tblBorders>
        <w:bottom w:val="single" w:sz="4" w:space="0" w:color="FFFFFF" w:themeColor="accent4" w:themeTint="00"/>
        <w:insideH w:val="single" w:sz="4" w:space="0" w:color="FFFFFF" w:themeColor="accent4" w:themeTint="00"/>
        <w:insideV w:val="single" w:sz="4" w:space="0" w:color="FFFFFF" w:themeColor="accent4" w:themeTint="00"/>
      </w:tblBorders>
    </w:tblPr>
    <w:tblStylePr w:type="firstRow">
      <w:rPr>
        <w:b/>
        <w:color w:val="404040"/>
      </w:rPr>
      <w:tblPr/>
      <w:tcPr>
        <w:tcBorders>
          <w:top w:val="none" w:sz="4" w:space="0" w:color="000000"/>
          <w:left w:val="none" w:sz="4" w:space="0" w:color="000000"/>
          <w:bottom w:val="single" w:sz="12" w:space="0" w:color="FFFFFF" w:themeColor="accent4" w:themeTint="00"/>
          <w:right w:val="none" w:sz="4" w:space="0" w:color="000000"/>
        </w:tcBorders>
        <w:shd w:val="clear" w:color="FFFFFF" w:fill="auto"/>
      </w:tcPr>
    </w:tblStylePr>
    <w:tblStylePr w:type="lastRow">
      <w:rPr>
        <w:b/>
        <w:color w:val="404040"/>
      </w:rPr>
      <w:tblPr/>
      <w:tcPr>
        <w:tcBorders>
          <w:top w:val="single" w:sz="4" w:space="0" w:color="FFFFFF" w:themeColor="accent4" w:themeTint="00"/>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4" w:themeTint="00" w:fill="FFFFFF" w:themeFill="accent4" w:themeFillTint="00"/>
      </w:tcPr>
    </w:tblStylePr>
    <w:tblStylePr w:type="band1Horz">
      <w:rPr>
        <w:rFonts w:ascii="Arial" w:hAnsi="Arial"/>
        <w:color w:val="404040"/>
        <w:sz w:val="22"/>
      </w:rPr>
      <w:tblPr/>
      <w:tcPr>
        <w:shd w:val="clear" w:color="FFFFFF" w:themeColor="accent4" w:themeTint="00" w:fill="FFFFFF" w:themeFill="accent4" w:themeFillTint="00"/>
      </w:tcPr>
    </w:tblStylePr>
  </w:style>
  <w:style w:type="table" w:styleId="KlavuzTablo2-Vurgu5">
    <w:name w:val="Grid Table 2 Accent 5"/>
    <w:basedOn w:val="NormalTablo"/>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5" w:themeTint="00" w:fill="FFFFFF" w:themeFill="accent5" w:themeFillTint="00"/>
      </w:tcPr>
    </w:tblStylePr>
    <w:tblStylePr w:type="band1Horz">
      <w:rPr>
        <w:rFonts w:ascii="Arial" w:hAnsi="Arial"/>
        <w:color w:val="404040"/>
        <w:sz w:val="22"/>
      </w:rPr>
      <w:tblPr/>
      <w:tcPr>
        <w:shd w:val="clear" w:color="FFFFFF" w:themeColor="accent5" w:themeTint="00" w:fill="FFFFFF" w:themeFill="accent5" w:themeFillTint="00"/>
      </w:tcPr>
    </w:tblStylePr>
  </w:style>
  <w:style w:type="table" w:styleId="KlavuzTablo2-Vurgu6">
    <w:name w:val="Grid Table 2 Accent 6"/>
    <w:basedOn w:val="NormalTablo"/>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6" w:themeTint="00" w:fill="FFFFFF" w:themeFill="accent6" w:themeFillTint="00"/>
      </w:tcPr>
    </w:tblStylePr>
    <w:tblStylePr w:type="band1Horz">
      <w:rPr>
        <w:rFonts w:ascii="Arial" w:hAnsi="Arial"/>
        <w:color w:val="404040"/>
        <w:sz w:val="22"/>
      </w:rPr>
      <w:tblPr/>
      <w:tcPr>
        <w:shd w:val="clear" w:color="FFFFFF" w:themeColor="accent6" w:themeTint="00" w:fill="FFFFFF" w:themeFill="accent6" w:themeFillTint="00"/>
      </w:tcPr>
    </w:tblStylePr>
  </w:style>
  <w:style w:type="table" w:styleId="KlavuzTablo3">
    <w:name w:val="Grid Table 3"/>
    <w:basedOn w:val="NormalTablo"/>
    <w:uiPriority w:val="99"/>
    <w:pPr>
      <w:spacing w:after="0" w:line="240" w:lineRule="auto"/>
    </w:pPr>
    <w:tblPr>
      <w:tblStyleRowBandSize w:val="1"/>
      <w:tblStyleColBandSize w:val="1"/>
      <w:tblBorders>
        <w:bottom w:val="single" w:sz="4" w:space="0" w:color="FFFFFF" w:themeColor="text1" w:themeTint="00"/>
        <w:insideH w:val="single" w:sz="4" w:space="0" w:color="FFFFFF" w:themeColor="text1" w:themeTint="00"/>
        <w:insideV w:val="single" w:sz="4" w:space="0" w:color="FFFFFF" w:themeColor="text1" w:themeTint="00"/>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styleId="KlavuzTablo3-Vurgu1">
    <w:name w:val="Grid Table 3 Accent 1"/>
    <w:basedOn w:val="NormalTablo"/>
    <w:uiPriority w:val="99"/>
    <w:pPr>
      <w:spacing w:after="0" w:line="240" w:lineRule="auto"/>
    </w:pPr>
    <w:tblPr>
      <w:tblStyleRowBandSize w:val="1"/>
      <w:tblStyleColBandSize w:val="1"/>
      <w:tblBorders>
        <w:bottom w:val="single" w:sz="4" w:space="0" w:color="FFFFFF" w:themeColor="accent1" w:themeTint="00"/>
        <w:insideH w:val="single" w:sz="4" w:space="0" w:color="FFFFFF" w:themeColor="accent1" w:themeTint="00"/>
        <w:insideV w:val="single" w:sz="4" w:space="0" w:color="FFFFFF" w:themeColor="accent1" w:themeTint="00"/>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FFF" w:themeColor="accent1" w:themeTint="00" w:fill="FFFFFF" w:themeFill="accent1" w:themeFillTint="00"/>
      </w:tcPr>
    </w:tblStylePr>
    <w:tblStylePr w:type="band1Horz">
      <w:rPr>
        <w:rFonts w:ascii="Arial" w:hAnsi="Arial"/>
        <w:color w:val="404040"/>
        <w:sz w:val="22"/>
      </w:rPr>
      <w:tblPr/>
      <w:tcPr>
        <w:shd w:val="clear" w:color="FFFFFF" w:themeColor="accent1" w:themeTint="00" w:fill="FFFFFF" w:themeFill="accent1" w:themeFillTint="00"/>
      </w:tcPr>
    </w:tblStylePr>
  </w:style>
  <w:style w:type="table" w:styleId="KlavuzTablo3-Vurgu2">
    <w:name w:val="Grid Table 3 Accent 2"/>
    <w:basedOn w:val="NormalTablo"/>
    <w:uiPriority w:val="99"/>
    <w:pPr>
      <w:spacing w:after="0" w:line="240" w:lineRule="auto"/>
    </w:pPr>
    <w:tblPr>
      <w:tblStyleRowBandSize w:val="1"/>
      <w:tblStyleColBandSize w:val="1"/>
      <w:tblBorders>
        <w:bottom w:val="single" w:sz="4" w:space="0" w:color="FFFFFF" w:themeColor="accent2" w:themeTint="00"/>
        <w:insideH w:val="single" w:sz="4" w:space="0" w:color="FFFFFF" w:themeColor="accent2" w:themeTint="00"/>
        <w:insideV w:val="single" w:sz="4" w:space="0" w:color="FFFFFF" w:themeColor="accent2" w:themeTint="00"/>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FFF" w:themeColor="accent2" w:themeTint="00" w:fill="FFFFFF" w:themeFill="accent2" w:themeFillTint="00"/>
      </w:tcPr>
    </w:tblStylePr>
    <w:tblStylePr w:type="band1Horz">
      <w:rPr>
        <w:rFonts w:ascii="Arial" w:hAnsi="Arial"/>
        <w:color w:val="404040"/>
        <w:sz w:val="22"/>
      </w:rPr>
      <w:tblPr/>
      <w:tcPr>
        <w:shd w:val="clear" w:color="FFFFFF" w:themeColor="accent2" w:themeTint="00" w:fill="FFFFFF" w:themeFill="accent2" w:themeFillTint="00"/>
      </w:tcPr>
    </w:tblStylePr>
  </w:style>
  <w:style w:type="table" w:styleId="KlavuzTablo3-Vurgu3">
    <w:name w:val="Grid Table 3 Accent 3"/>
    <w:basedOn w:val="NormalTablo"/>
    <w:uiPriority w:val="99"/>
    <w:pPr>
      <w:spacing w:after="0" w:line="240" w:lineRule="auto"/>
    </w:pPr>
    <w:tblPr>
      <w:tblStyleRowBandSize w:val="1"/>
      <w:tblStyleColBandSize w:val="1"/>
      <w:tblBorders>
        <w:bottom w:val="single" w:sz="4" w:space="0" w:color="FFFFFF" w:themeColor="accent3" w:themeTint="00"/>
        <w:insideH w:val="single" w:sz="4" w:space="0" w:color="FFFFFF" w:themeColor="accent3" w:themeTint="00"/>
        <w:insideV w:val="single" w:sz="4" w:space="0" w:color="FFFFFF" w:themeColor="accent3" w:themeTint="00"/>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FFF" w:themeColor="accent3" w:themeTint="00" w:fill="FFFFFF" w:themeFill="accent3" w:themeFillTint="00"/>
      </w:tcPr>
    </w:tblStylePr>
    <w:tblStylePr w:type="band1Horz">
      <w:rPr>
        <w:rFonts w:ascii="Arial" w:hAnsi="Arial"/>
        <w:color w:val="404040"/>
        <w:sz w:val="22"/>
      </w:rPr>
      <w:tblPr/>
      <w:tcPr>
        <w:shd w:val="clear" w:color="FFFFFF" w:themeColor="accent3" w:themeTint="00" w:fill="FFFFFF" w:themeFill="accent3" w:themeFillTint="00"/>
      </w:tcPr>
    </w:tblStylePr>
  </w:style>
  <w:style w:type="table" w:styleId="KlavuzTablo3-Vurgu4">
    <w:name w:val="Grid Table 3 Accent 4"/>
    <w:basedOn w:val="NormalTablo"/>
    <w:uiPriority w:val="99"/>
    <w:pPr>
      <w:spacing w:after="0" w:line="240" w:lineRule="auto"/>
    </w:pPr>
    <w:tblPr>
      <w:tblStyleRowBandSize w:val="1"/>
      <w:tblStyleColBandSize w:val="1"/>
      <w:tblBorders>
        <w:bottom w:val="single" w:sz="4" w:space="0" w:color="FFFFFF" w:themeColor="accent4" w:themeTint="00"/>
        <w:insideH w:val="single" w:sz="4" w:space="0" w:color="FFFFFF" w:themeColor="accent4" w:themeTint="00"/>
        <w:insideV w:val="single" w:sz="4" w:space="0" w:color="FFFFFF" w:themeColor="accent4" w:themeTint="00"/>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FFF" w:themeColor="accent4" w:themeTint="00" w:fill="FFFFFF" w:themeFill="accent4" w:themeFillTint="00"/>
      </w:tcPr>
    </w:tblStylePr>
    <w:tblStylePr w:type="band1Horz">
      <w:rPr>
        <w:rFonts w:ascii="Arial" w:hAnsi="Arial"/>
        <w:color w:val="404040"/>
        <w:sz w:val="22"/>
      </w:rPr>
      <w:tblPr/>
      <w:tcPr>
        <w:shd w:val="clear" w:color="FFFFFF" w:themeColor="accent4" w:themeTint="00" w:fill="FFFFFF" w:themeFill="accent4" w:themeFillTint="00"/>
      </w:tcPr>
    </w:tblStylePr>
  </w:style>
  <w:style w:type="table" w:styleId="KlavuzTablo3-Vurgu5">
    <w:name w:val="Grid Table 3 Accent 5"/>
    <w:basedOn w:val="NormalTablo"/>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FFF" w:themeColor="accent5" w:themeTint="00" w:fill="FFFFFF" w:themeFill="accent5" w:themeFillTint="00"/>
      </w:tcPr>
    </w:tblStylePr>
    <w:tblStylePr w:type="band1Horz">
      <w:rPr>
        <w:rFonts w:ascii="Arial" w:hAnsi="Arial"/>
        <w:color w:val="404040"/>
        <w:sz w:val="22"/>
      </w:rPr>
      <w:tblPr/>
      <w:tcPr>
        <w:shd w:val="clear" w:color="FFFFFF" w:themeColor="accent5" w:themeTint="00" w:fill="FFFFFF" w:themeFill="accent5" w:themeFillTint="00"/>
      </w:tcPr>
    </w:tblStylePr>
  </w:style>
  <w:style w:type="table" w:styleId="KlavuzTablo3-Vurgu6">
    <w:name w:val="Grid Table 3 Accent 6"/>
    <w:basedOn w:val="NormalTablo"/>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FFF" w:themeColor="accent6" w:themeTint="00" w:fill="FFFFFF" w:themeFill="accent6" w:themeFillTint="00"/>
      </w:tcPr>
    </w:tblStylePr>
    <w:tblStylePr w:type="band1Horz">
      <w:rPr>
        <w:rFonts w:ascii="Arial" w:hAnsi="Arial"/>
        <w:color w:val="404040"/>
        <w:sz w:val="22"/>
      </w:rPr>
      <w:tblPr/>
      <w:tcPr>
        <w:shd w:val="clear" w:color="FFFFFF" w:themeColor="accent6" w:themeTint="00" w:fill="FFFFFF" w:themeFill="accent6" w:themeFillTint="00"/>
      </w:tcPr>
    </w:tblStylePr>
  </w:style>
  <w:style w:type="table" w:styleId="KlavuzuTablo4">
    <w:name w:val="Grid Table 4"/>
    <w:basedOn w:val="NormalTablo"/>
    <w:uiPriority w:val="59"/>
    <w:pPr>
      <w:spacing w:after="0" w:line="240" w:lineRule="auto"/>
    </w:pPr>
    <w:tblPr>
      <w:tblStyleRowBandSize w:val="1"/>
      <w:tblStyleColBandSize w:val="1"/>
      <w:tblBorders>
        <w:top w:val="single" w:sz="4" w:space="0" w:color="FFFFFF" w:themeColor="text1" w:themeTint="00"/>
        <w:left w:val="single" w:sz="4" w:space="0" w:color="FFFFFF" w:themeColor="text1" w:themeTint="00"/>
        <w:bottom w:val="single" w:sz="4" w:space="0" w:color="FFFFFF" w:themeColor="text1" w:themeTint="00"/>
        <w:right w:val="single" w:sz="4" w:space="0" w:color="FFFFFF" w:themeColor="text1" w:themeTint="00"/>
        <w:insideH w:val="single" w:sz="4" w:space="0" w:color="FFFFFF" w:themeColor="text1" w:themeTint="00"/>
        <w:insideV w:val="single" w:sz="4" w:space="0" w:color="FFFFFF" w:themeColor="text1" w:themeTint="0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styleId="KlavuzuTablo4-Vurgu1">
    <w:name w:val="Grid Table 4 Accent 1"/>
    <w:basedOn w:val="NormalTablo"/>
    <w:uiPriority w:val="59"/>
    <w:pPr>
      <w:spacing w:after="0" w:line="240" w:lineRule="auto"/>
    </w:pPr>
    <w:tblPr>
      <w:tblStyleRowBandSize w:val="1"/>
      <w:tblStyleColBandSize w:val="1"/>
      <w:tblBorders>
        <w:top w:val="single" w:sz="4" w:space="0" w:color="FFFFFF" w:themeColor="accent1" w:themeTint="00"/>
        <w:left w:val="single" w:sz="4" w:space="0" w:color="FFFFFF" w:themeColor="accent1" w:themeTint="00"/>
        <w:bottom w:val="single" w:sz="4" w:space="0" w:color="FFFFFF" w:themeColor="accent1" w:themeTint="00"/>
        <w:right w:val="single" w:sz="4" w:space="0" w:color="FFFFFF" w:themeColor="accent1" w:themeTint="00"/>
        <w:insideH w:val="single" w:sz="4" w:space="0" w:color="FFFFFF" w:themeColor="accent1" w:themeTint="00"/>
        <w:insideV w:val="single" w:sz="4" w:space="0" w:color="FFFFFF" w:themeColor="accent1" w:themeTint="00"/>
      </w:tblBorders>
    </w:tblPr>
    <w:tblStylePr w:type="firstRow">
      <w:rPr>
        <w:rFonts w:ascii="Arial" w:hAnsi="Arial"/>
        <w:b/>
        <w:color w:val="FFFFFF"/>
        <w:sz w:val="22"/>
      </w:rPr>
      <w:tblPr/>
      <w:tcPr>
        <w:tcBorders>
          <w:top w:val="single" w:sz="4" w:space="0" w:color="FFFFFF" w:themeColor="accent1" w:themeTint="00"/>
          <w:left w:val="single" w:sz="4" w:space="0" w:color="FFFFFF" w:themeColor="accent1" w:themeTint="00"/>
          <w:bottom w:val="single" w:sz="4" w:space="0" w:color="FFFFFF" w:themeColor="accent1" w:themeTint="00"/>
          <w:right w:val="single" w:sz="4" w:space="0" w:color="FFFFFF" w:themeColor="accent1" w:themeTint="00"/>
        </w:tcBorders>
        <w:shd w:val="clear" w:color="FFFFFF" w:themeColor="accent1" w:themeTint="00" w:fill="FFFFFF" w:themeFill="accent1" w:themeFillTint="00"/>
      </w:tcPr>
    </w:tblStylePr>
    <w:tblStylePr w:type="lastRow">
      <w:rPr>
        <w:b/>
        <w:color w:val="404040"/>
      </w:rPr>
      <w:tblPr/>
      <w:tcPr>
        <w:tcBorders>
          <w:top w:val="single" w:sz="4" w:space="0" w:color="FFFFFF" w:themeColor="accent1" w:themeTint="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1" w:themeTint="00" w:fill="FFFFFF" w:themeFill="accent1" w:themeFillTint="00"/>
      </w:tcPr>
    </w:tblStylePr>
    <w:tblStylePr w:type="band1Horz">
      <w:rPr>
        <w:rFonts w:ascii="Arial" w:hAnsi="Arial"/>
        <w:color w:val="404040"/>
        <w:sz w:val="22"/>
      </w:rPr>
      <w:tblPr/>
      <w:tcPr>
        <w:shd w:val="clear" w:color="FFFFFF" w:themeColor="accent1" w:themeTint="00" w:fill="FFFFFF" w:themeFill="accent1" w:themeFillTint="00"/>
      </w:tcPr>
    </w:tblStylePr>
  </w:style>
  <w:style w:type="table" w:styleId="KlavuzuTablo4-Vurgu2">
    <w:name w:val="Grid Table 4 Accent 2"/>
    <w:basedOn w:val="NormalTablo"/>
    <w:uiPriority w:val="59"/>
    <w:pPr>
      <w:spacing w:after="0" w:line="240" w:lineRule="auto"/>
    </w:pPr>
    <w:tblPr>
      <w:tblStyleRowBandSize w:val="1"/>
      <w:tblStyleColBandSize w:val="1"/>
      <w:tblBorders>
        <w:top w:val="single" w:sz="4" w:space="0" w:color="FFFFFF" w:themeColor="accent2" w:themeTint="00"/>
        <w:left w:val="single" w:sz="4" w:space="0" w:color="FFFFFF" w:themeColor="accent2" w:themeTint="00"/>
        <w:bottom w:val="single" w:sz="4" w:space="0" w:color="FFFFFF" w:themeColor="accent2" w:themeTint="00"/>
        <w:right w:val="single" w:sz="4" w:space="0" w:color="FFFFFF" w:themeColor="accent2" w:themeTint="00"/>
        <w:insideH w:val="single" w:sz="4" w:space="0" w:color="FFFFFF" w:themeColor="accent2" w:themeTint="00"/>
        <w:insideV w:val="single" w:sz="4" w:space="0" w:color="FFFFFF" w:themeColor="accent2" w:themeTint="00"/>
      </w:tblBorders>
    </w:tblPr>
    <w:tblStylePr w:type="firstRow">
      <w:rPr>
        <w:rFonts w:ascii="Arial" w:hAnsi="Arial"/>
        <w:b/>
        <w:color w:val="FFFFFF"/>
        <w:sz w:val="22"/>
      </w:rPr>
      <w:tblPr/>
      <w:tcPr>
        <w:tcBorders>
          <w:top w:val="single" w:sz="4" w:space="0" w:color="FFFFFF" w:themeColor="accent2" w:themeTint="00"/>
          <w:left w:val="single" w:sz="4" w:space="0" w:color="FFFFFF" w:themeColor="accent2" w:themeTint="00"/>
          <w:bottom w:val="single" w:sz="4" w:space="0" w:color="FFFFFF" w:themeColor="accent2" w:themeTint="00"/>
          <w:right w:val="single" w:sz="4" w:space="0" w:color="FFFFFF" w:themeColor="accent2" w:themeTint="00"/>
        </w:tcBorders>
        <w:shd w:val="clear" w:color="FFFFFF" w:themeColor="accent2" w:themeTint="00" w:fill="FFFFFF" w:themeFill="accent2" w:themeFillTint="00"/>
      </w:tcPr>
    </w:tblStylePr>
    <w:tblStylePr w:type="lastRow">
      <w:rPr>
        <w:b/>
        <w:color w:val="404040"/>
      </w:rPr>
      <w:tblPr/>
      <w:tcPr>
        <w:tcBorders>
          <w:top w:val="single" w:sz="4" w:space="0" w:color="FFFFFF" w:themeColor="accent2" w:themeTint="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2" w:themeTint="00" w:fill="FFFFFF" w:themeFill="accent2" w:themeFillTint="00"/>
      </w:tcPr>
    </w:tblStylePr>
    <w:tblStylePr w:type="band1Horz">
      <w:rPr>
        <w:rFonts w:ascii="Arial" w:hAnsi="Arial"/>
        <w:color w:val="404040"/>
        <w:sz w:val="22"/>
      </w:rPr>
      <w:tblPr/>
      <w:tcPr>
        <w:shd w:val="clear" w:color="FFFFFF" w:themeColor="accent2" w:themeTint="00" w:fill="FFFFFF" w:themeFill="accent2" w:themeFillTint="00"/>
      </w:tcPr>
    </w:tblStylePr>
  </w:style>
  <w:style w:type="table" w:styleId="KlavuzuTablo4-Vurgu3">
    <w:name w:val="Grid Table 4 Accent 3"/>
    <w:basedOn w:val="NormalTablo"/>
    <w:uiPriority w:val="59"/>
    <w:pPr>
      <w:spacing w:after="0" w:line="240" w:lineRule="auto"/>
    </w:pPr>
    <w:tblPr>
      <w:tblStyleRowBandSize w:val="1"/>
      <w:tblStyleColBandSize w:val="1"/>
      <w:tblBorders>
        <w:top w:val="single" w:sz="4" w:space="0" w:color="FFFFFF" w:themeColor="accent3" w:themeTint="00"/>
        <w:left w:val="single" w:sz="4" w:space="0" w:color="FFFFFF" w:themeColor="accent3" w:themeTint="00"/>
        <w:bottom w:val="single" w:sz="4" w:space="0" w:color="FFFFFF" w:themeColor="accent3" w:themeTint="00"/>
        <w:right w:val="single" w:sz="4" w:space="0" w:color="FFFFFF" w:themeColor="accent3" w:themeTint="00"/>
        <w:insideH w:val="single" w:sz="4" w:space="0" w:color="FFFFFF" w:themeColor="accent3" w:themeTint="00"/>
        <w:insideV w:val="single" w:sz="4" w:space="0" w:color="FFFFFF" w:themeColor="accent3" w:themeTint="00"/>
      </w:tblBorders>
    </w:tblPr>
    <w:tblStylePr w:type="firstRow">
      <w:rPr>
        <w:rFonts w:ascii="Arial" w:hAnsi="Arial"/>
        <w:b/>
        <w:color w:val="FFFFFF"/>
        <w:sz w:val="22"/>
      </w:rPr>
      <w:tblPr/>
      <w:tcPr>
        <w:tcBorders>
          <w:top w:val="single" w:sz="4" w:space="0" w:color="FFFFFF" w:themeColor="accent3" w:themeTint="00"/>
          <w:left w:val="single" w:sz="4" w:space="0" w:color="FFFFFF" w:themeColor="accent3" w:themeTint="00"/>
          <w:bottom w:val="single" w:sz="4" w:space="0" w:color="FFFFFF" w:themeColor="accent3" w:themeTint="00"/>
          <w:right w:val="single" w:sz="4" w:space="0" w:color="FFFFFF" w:themeColor="accent3" w:themeTint="00"/>
        </w:tcBorders>
        <w:shd w:val="clear" w:color="FFFFFF" w:themeColor="accent3" w:themeTint="00" w:fill="FFFFFF" w:themeFill="accent3" w:themeFillTint="00"/>
      </w:tcPr>
    </w:tblStylePr>
    <w:tblStylePr w:type="lastRow">
      <w:rPr>
        <w:b/>
        <w:color w:val="404040"/>
      </w:rPr>
      <w:tblPr/>
      <w:tcPr>
        <w:tcBorders>
          <w:top w:val="single" w:sz="4" w:space="0" w:color="FFFFFF" w:themeColor="accent3" w:themeTint="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3" w:themeTint="00" w:fill="FFFFFF" w:themeFill="accent3" w:themeFillTint="00"/>
      </w:tcPr>
    </w:tblStylePr>
    <w:tblStylePr w:type="band1Horz">
      <w:rPr>
        <w:rFonts w:ascii="Arial" w:hAnsi="Arial"/>
        <w:color w:val="404040"/>
        <w:sz w:val="22"/>
      </w:rPr>
      <w:tblPr/>
      <w:tcPr>
        <w:shd w:val="clear" w:color="FFFFFF" w:themeColor="accent3" w:themeTint="00" w:fill="FFFFFF" w:themeFill="accent3" w:themeFillTint="00"/>
      </w:tcPr>
    </w:tblStylePr>
  </w:style>
  <w:style w:type="table" w:styleId="KlavuzuTablo4-Vurgu4">
    <w:name w:val="Grid Table 4 Accent 4"/>
    <w:basedOn w:val="NormalTablo"/>
    <w:uiPriority w:val="59"/>
    <w:pPr>
      <w:spacing w:after="0" w:line="240" w:lineRule="auto"/>
    </w:pPr>
    <w:tblPr>
      <w:tblStyleRowBandSize w:val="1"/>
      <w:tblStyleColBandSize w:val="1"/>
      <w:tblBorders>
        <w:top w:val="single" w:sz="4" w:space="0" w:color="FFFFFF" w:themeColor="accent4" w:themeTint="00"/>
        <w:left w:val="single" w:sz="4" w:space="0" w:color="FFFFFF" w:themeColor="accent4" w:themeTint="00"/>
        <w:bottom w:val="single" w:sz="4" w:space="0" w:color="FFFFFF" w:themeColor="accent4" w:themeTint="00"/>
        <w:right w:val="single" w:sz="4" w:space="0" w:color="FFFFFF" w:themeColor="accent4" w:themeTint="00"/>
        <w:insideH w:val="single" w:sz="4" w:space="0" w:color="FFFFFF" w:themeColor="accent4" w:themeTint="00"/>
        <w:insideV w:val="single" w:sz="4" w:space="0" w:color="FFFFFF" w:themeColor="accent4" w:themeTint="00"/>
      </w:tblBorders>
    </w:tblPr>
    <w:tblStylePr w:type="firstRow">
      <w:rPr>
        <w:rFonts w:ascii="Arial" w:hAnsi="Arial"/>
        <w:b/>
        <w:color w:val="FFFFFF"/>
        <w:sz w:val="22"/>
      </w:rPr>
      <w:tblPr/>
      <w:tcPr>
        <w:tcBorders>
          <w:top w:val="single" w:sz="4" w:space="0" w:color="FFFFFF" w:themeColor="accent4" w:themeTint="00"/>
          <w:left w:val="single" w:sz="4" w:space="0" w:color="FFFFFF" w:themeColor="accent4" w:themeTint="00"/>
          <w:bottom w:val="single" w:sz="4" w:space="0" w:color="FFFFFF" w:themeColor="accent4" w:themeTint="00"/>
          <w:right w:val="single" w:sz="4" w:space="0" w:color="FFFFFF" w:themeColor="accent4" w:themeTint="00"/>
        </w:tcBorders>
        <w:shd w:val="clear" w:color="FFFFFF" w:themeColor="accent4" w:themeTint="00" w:fill="FFFFFF" w:themeFill="accent4" w:themeFillTint="00"/>
      </w:tcPr>
    </w:tblStylePr>
    <w:tblStylePr w:type="lastRow">
      <w:rPr>
        <w:b/>
        <w:color w:val="404040"/>
      </w:rPr>
      <w:tblPr/>
      <w:tcPr>
        <w:tcBorders>
          <w:top w:val="single" w:sz="4" w:space="0" w:color="FFFFFF" w:themeColor="accent4" w:themeTint="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4" w:themeTint="00" w:fill="FFFFFF" w:themeFill="accent4" w:themeFillTint="00"/>
      </w:tcPr>
    </w:tblStylePr>
    <w:tblStylePr w:type="band1Horz">
      <w:rPr>
        <w:rFonts w:ascii="Arial" w:hAnsi="Arial"/>
        <w:color w:val="404040"/>
        <w:sz w:val="22"/>
      </w:rPr>
      <w:tblPr/>
      <w:tcPr>
        <w:shd w:val="clear" w:color="FFFFFF" w:themeColor="accent4" w:themeTint="00" w:fill="FFFFFF" w:themeFill="accent4" w:themeFillTint="00"/>
      </w:tcPr>
    </w:tblStylePr>
  </w:style>
  <w:style w:type="table" w:styleId="KlavuzuTablo4-Vurgu5">
    <w:name w:val="Grid Table 4 Accent 5"/>
    <w:basedOn w:val="NormalTablo"/>
    <w:uiPriority w:val="59"/>
    <w:pPr>
      <w:spacing w:after="0" w:line="240" w:lineRule="auto"/>
    </w:pPr>
    <w:tblPr>
      <w:tblStyleRowBandSize w:val="1"/>
      <w:tblStyleColBandSize w:val="1"/>
      <w:tblBorders>
        <w:top w:val="single" w:sz="4" w:space="0" w:color="FFFFFF" w:themeColor="accent5" w:themeTint="00"/>
        <w:left w:val="single" w:sz="4" w:space="0" w:color="FFFFFF" w:themeColor="accent5" w:themeTint="00"/>
        <w:bottom w:val="single" w:sz="4" w:space="0" w:color="FFFFFF" w:themeColor="accent5" w:themeTint="00"/>
        <w:right w:val="single" w:sz="4" w:space="0" w:color="FFFFFF" w:themeColor="accent5" w:themeTint="00"/>
        <w:insideH w:val="single" w:sz="4" w:space="0" w:color="FFFFFF" w:themeColor="accent5" w:themeTint="00"/>
        <w:insideV w:val="single" w:sz="4" w:space="0" w:color="FFFFFF" w:themeColor="accent5" w:themeTint="0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5" w:themeTint="00" w:fill="FFFFFF" w:themeFill="accent5" w:themeFillTint="00"/>
      </w:tcPr>
    </w:tblStylePr>
    <w:tblStylePr w:type="band1Horz">
      <w:rPr>
        <w:rFonts w:ascii="Arial" w:hAnsi="Arial"/>
        <w:color w:val="404040"/>
        <w:sz w:val="22"/>
      </w:rPr>
      <w:tblPr/>
      <w:tcPr>
        <w:shd w:val="clear" w:color="FFFFFF" w:themeColor="accent5" w:themeTint="00" w:fill="FFFFFF" w:themeFill="accent5" w:themeFillTint="00"/>
      </w:tcPr>
    </w:tblStylePr>
  </w:style>
  <w:style w:type="table" w:styleId="KlavuzuTablo4-Vurgu6">
    <w:name w:val="Grid Table 4 Accent 6"/>
    <w:basedOn w:val="NormalTablo"/>
    <w:uiPriority w:val="59"/>
    <w:pPr>
      <w:spacing w:after="0" w:line="240" w:lineRule="auto"/>
    </w:pPr>
    <w:tblPr>
      <w:tblStyleRowBandSize w:val="1"/>
      <w:tblStyleColBandSize w:val="1"/>
      <w:tblBorders>
        <w:top w:val="single" w:sz="4" w:space="0" w:color="FFFFFF" w:themeColor="accent6" w:themeTint="00"/>
        <w:left w:val="single" w:sz="4" w:space="0" w:color="FFFFFF" w:themeColor="accent6" w:themeTint="00"/>
        <w:bottom w:val="single" w:sz="4" w:space="0" w:color="FFFFFF" w:themeColor="accent6" w:themeTint="00"/>
        <w:right w:val="single" w:sz="4" w:space="0" w:color="FFFFFF" w:themeColor="accent6" w:themeTint="00"/>
        <w:insideH w:val="single" w:sz="4" w:space="0" w:color="FFFFFF" w:themeColor="accent6" w:themeTint="00"/>
        <w:insideV w:val="single" w:sz="4" w:space="0" w:color="FFFFFF" w:themeColor="accent6" w:themeTint="0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6" w:themeTint="00" w:fill="FFFFFF" w:themeFill="accent6" w:themeFillTint="00"/>
      </w:tcPr>
    </w:tblStylePr>
    <w:tblStylePr w:type="band1Horz">
      <w:rPr>
        <w:rFonts w:ascii="Arial" w:hAnsi="Arial"/>
        <w:color w:val="404040"/>
        <w:sz w:val="22"/>
      </w:rPr>
      <w:tblPr/>
      <w:tcPr>
        <w:shd w:val="clear" w:color="FFFFFF" w:themeColor="accent6" w:themeTint="00" w:fill="FFFFFF" w:themeFill="accent6" w:themeFillTint="00"/>
      </w:tcPr>
    </w:tblStylePr>
  </w:style>
  <w:style w:type="table" w:styleId="KlavuzTablo5Koyu">
    <w:name w:val="Grid Table 5 Dark"/>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themeColor="text1" w:themeTint="00" w:fill="FFFFFF" w:themeFill="text1" w:themeFillTint="0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customStyle="1" w:styleId="GridTable5Dark-Accent1">
    <w:name w:val="Grid Table 5 Dark- Accent 1"/>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themeColor="accent1" w:themeTint="00" w:fill="FFFFFF" w:themeFill="accent1" w:themeFillTint="00"/>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FFFFFF" w:themeColor="accent1" w:themeTint="00" w:fill="FFFFFF" w:themeFill="accent1" w:themeFillTint="00"/>
      </w:tcPr>
    </w:tblStylePr>
    <w:tblStylePr w:type="band1Horz">
      <w:tblPr/>
      <w:tcPr>
        <w:shd w:val="clear" w:color="FFFFFF" w:themeColor="accent1" w:themeTint="00" w:fill="FFFFFF" w:themeFill="accent1" w:themeFillTint="00"/>
      </w:tcPr>
    </w:tblStylePr>
  </w:style>
  <w:style w:type="table" w:styleId="KlavuzTablo5Koyu-Vurgu2">
    <w:name w:val="Grid Table 5 Dark Accent 2"/>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themeColor="accent2" w:themeTint="00" w:fill="FFFFFF" w:themeFill="accent2" w:themeFillTint="00"/>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FFFFF" w:themeColor="accent2" w:themeTint="00" w:fill="FFFFFF" w:themeFill="accent2" w:themeFillTint="00"/>
      </w:tcPr>
    </w:tblStylePr>
    <w:tblStylePr w:type="band1Horz">
      <w:tblPr/>
      <w:tcPr>
        <w:shd w:val="clear" w:color="FFFFFF" w:themeColor="accent2" w:themeTint="00" w:fill="FFFFFF" w:themeFill="accent2" w:themeFillTint="00"/>
      </w:tcPr>
    </w:tblStylePr>
  </w:style>
  <w:style w:type="table" w:styleId="KlavuzTablo5Koyu-Vurgu3">
    <w:name w:val="Grid Table 5 Dark Accent 3"/>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themeColor="accent3" w:themeTint="00" w:fill="FFFFFF" w:themeFill="accent3" w:themeFillTint="00"/>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FFFFFF" w:themeColor="accent3" w:themeTint="00" w:fill="FFFFFF" w:themeFill="accent3" w:themeFillTint="00"/>
      </w:tcPr>
    </w:tblStylePr>
    <w:tblStylePr w:type="band1Horz">
      <w:tblPr/>
      <w:tcPr>
        <w:shd w:val="clear" w:color="FFFFFF" w:themeColor="accent3" w:themeTint="00" w:fill="FFFFFF" w:themeFill="accent3" w:themeFillTint="00"/>
      </w:tcPr>
    </w:tblStylePr>
  </w:style>
  <w:style w:type="table" w:customStyle="1" w:styleId="GridTable5Dark-Accent4">
    <w:name w:val="Grid Table 5 Dark- Accent 4"/>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themeColor="accent4" w:themeTint="00" w:fill="FFFFFF" w:themeFill="accent4" w:themeFillTint="00"/>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FFFF" w:themeColor="accent4" w:themeTint="00" w:fill="FFFFFF" w:themeFill="accent4" w:themeFillTint="00"/>
      </w:tcPr>
    </w:tblStylePr>
    <w:tblStylePr w:type="band1Horz">
      <w:tblPr/>
      <w:tcPr>
        <w:shd w:val="clear" w:color="FFFFFF" w:themeColor="accent4" w:themeTint="00" w:fill="FFFFFF" w:themeFill="accent4" w:themeFillTint="00"/>
      </w:tcPr>
    </w:tblStylePr>
  </w:style>
  <w:style w:type="table" w:styleId="KlavuzTablo5Koyu-Vurgu5">
    <w:name w:val="Grid Table 5 Dark Accent 5"/>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themeColor="accent5" w:themeTint="00" w:fill="FFFFFF" w:themeFill="accent5" w:themeFillTint="00"/>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FFFFFF" w:themeColor="accent5" w:themeTint="00" w:fill="FFFFFF" w:themeFill="accent5" w:themeFillTint="00"/>
      </w:tcPr>
    </w:tblStylePr>
    <w:tblStylePr w:type="band1Horz">
      <w:tblPr/>
      <w:tcPr>
        <w:shd w:val="clear" w:color="FFFFFF" w:themeColor="accent5" w:themeTint="00" w:fill="FFFFFF" w:themeFill="accent5" w:themeFillTint="00"/>
      </w:tcPr>
    </w:tblStylePr>
  </w:style>
  <w:style w:type="table" w:styleId="KlavuzTablo5Koyu-Vurgu6">
    <w:name w:val="Grid Table 5 Dark Accent 6"/>
    <w:basedOn w:val="NormalTablo"/>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themeColor="accent6" w:themeTint="00" w:fill="FFFFFF" w:themeFill="accent6" w:themeFillTint="00"/>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FFFFFF" w:themeColor="accent6" w:themeTint="00" w:fill="FFFFFF" w:themeFill="accent6" w:themeFillTint="00"/>
      </w:tcPr>
    </w:tblStylePr>
    <w:tblStylePr w:type="band1Horz">
      <w:tblPr/>
      <w:tcPr>
        <w:shd w:val="clear" w:color="FFFFFF" w:themeColor="accent6" w:themeTint="00" w:fill="FFFFFF" w:themeFill="accent6" w:themeFillTint="00"/>
      </w:tcPr>
    </w:tblStylePr>
  </w:style>
  <w:style w:type="table" w:styleId="KlavuzTablo6Renkli">
    <w:name w:val="Grid Table 6 Colorful"/>
    <w:basedOn w:val="NormalTablo"/>
    <w:uiPriority w:val="99"/>
    <w:pPr>
      <w:spacing w:after="0" w:line="240" w:lineRule="auto"/>
    </w:pPr>
    <w:tblPr>
      <w:tblStyleRowBandSize w:val="1"/>
      <w:tblStyleColBandSize w:val="1"/>
      <w:tblBorders>
        <w:top w:val="single" w:sz="4" w:space="0" w:color="FFFFFF" w:themeColor="text1" w:themeTint="00"/>
        <w:left w:val="single" w:sz="4" w:space="0" w:color="FFFFFF" w:themeColor="text1" w:themeTint="00"/>
        <w:bottom w:val="single" w:sz="4" w:space="0" w:color="FFFFFF" w:themeColor="text1" w:themeTint="00"/>
        <w:right w:val="single" w:sz="4" w:space="0" w:color="FFFFFF" w:themeColor="text1" w:themeTint="00"/>
        <w:insideH w:val="single" w:sz="4" w:space="0" w:color="FFFFFF" w:themeColor="text1" w:themeTint="00"/>
        <w:insideV w:val="single" w:sz="4" w:space="0" w:color="FFFFFF" w:themeColor="text1" w:themeTint="00"/>
      </w:tblBorders>
    </w:tblPr>
    <w:tblStylePr w:type="firstRow">
      <w:rPr>
        <w:b/>
        <w:color w:val="FFFFFF" w:themeColor="text1" w:themeTint="00" w:themeShade="00"/>
      </w:rPr>
      <w:tblPr/>
      <w:tcPr>
        <w:tcBorders>
          <w:bottom w:val="single" w:sz="12" w:space="0" w:color="FFFFFF" w:themeColor="text1" w:themeTint="00"/>
        </w:tcBorders>
      </w:tcPr>
    </w:tblStylePr>
    <w:tblStylePr w:type="lastRow">
      <w:rPr>
        <w:b/>
        <w:color w:val="FFFFFF" w:themeColor="text1" w:themeTint="00" w:themeShade="00"/>
      </w:rPr>
    </w:tblStylePr>
    <w:tblStylePr w:type="firstCol">
      <w:rPr>
        <w:b/>
        <w:color w:val="FFFFFF" w:themeColor="text1" w:themeTint="00" w:themeShade="00"/>
      </w:rPr>
    </w:tblStylePr>
    <w:tblStylePr w:type="lastCol">
      <w:rPr>
        <w:b/>
        <w:color w:val="FFFFFF" w:themeColor="text1" w:themeTint="00" w:themeShade="00"/>
      </w:rPr>
    </w:tblStylePr>
    <w:tblStylePr w:type="band1Vert">
      <w:tblPr/>
      <w:tcPr>
        <w:shd w:val="clear" w:color="FFFFFF" w:themeColor="text1" w:themeTint="00" w:fill="FFFFFF" w:themeFill="text1" w:themeFillTint="00"/>
      </w:tcPr>
    </w:tblStylePr>
    <w:tblStylePr w:type="band1Horz">
      <w:rPr>
        <w:rFonts w:ascii="Arial" w:hAnsi="Arial"/>
        <w:color w:val="FFFFFF" w:themeColor="text1" w:themeTint="00" w:themeShade="00"/>
        <w:sz w:val="22"/>
      </w:rPr>
      <w:tblPr/>
      <w:tcPr>
        <w:shd w:val="clear" w:color="FFFFFF" w:themeColor="text1" w:themeTint="00" w:fill="FFFFFF" w:themeFill="text1" w:themeFillTint="00"/>
      </w:tcPr>
    </w:tblStylePr>
    <w:tblStylePr w:type="band2Horz">
      <w:rPr>
        <w:rFonts w:ascii="Arial" w:hAnsi="Arial"/>
        <w:color w:val="FFFFFF" w:themeColor="text1" w:themeTint="00" w:themeShade="00"/>
        <w:sz w:val="22"/>
      </w:rPr>
    </w:tblStylePr>
  </w:style>
  <w:style w:type="table" w:customStyle="1" w:styleId="GridTable6Colorful-Accent1">
    <w:name w:val="Grid Table 6 Colorful - Accent 1"/>
    <w:basedOn w:val="NormalTablo"/>
    <w:uiPriority w:val="99"/>
    <w:pPr>
      <w:spacing w:after="0" w:line="240" w:lineRule="auto"/>
    </w:pPr>
    <w:tblPr>
      <w:tblStyleRowBandSize w:val="1"/>
      <w:tblStyleColBandSize w:val="1"/>
      <w:tblBorders>
        <w:top w:val="single" w:sz="4" w:space="0" w:color="FFFFFF" w:themeColor="accent1" w:themeTint="00"/>
        <w:left w:val="single" w:sz="4" w:space="0" w:color="FFFFFF" w:themeColor="accent1" w:themeTint="00"/>
        <w:bottom w:val="single" w:sz="4" w:space="0" w:color="FFFFFF" w:themeColor="accent1" w:themeTint="00"/>
        <w:right w:val="single" w:sz="4" w:space="0" w:color="FFFFFF" w:themeColor="accent1" w:themeTint="00"/>
        <w:insideH w:val="single" w:sz="4" w:space="0" w:color="FFFFFF" w:themeColor="accent1" w:themeTint="00"/>
        <w:insideV w:val="single" w:sz="4" w:space="0" w:color="FFFFFF" w:themeColor="accent1" w:themeTint="00"/>
      </w:tblBorders>
    </w:tblPr>
    <w:tblStylePr w:type="firstRow">
      <w:rPr>
        <w:b/>
        <w:color w:val="FFFFFF" w:themeColor="accent1" w:themeTint="00" w:themeShade="00"/>
      </w:rPr>
      <w:tblPr/>
      <w:tcPr>
        <w:tcBorders>
          <w:bottom w:val="single" w:sz="12" w:space="0" w:color="FFFFFF" w:themeColor="accent1" w:themeTint="00"/>
        </w:tcBorders>
      </w:tcPr>
    </w:tblStylePr>
    <w:tblStylePr w:type="lastRow">
      <w:rPr>
        <w:b/>
        <w:color w:val="FFFFFF" w:themeColor="accent1" w:themeTint="00" w:themeShade="00"/>
      </w:rPr>
    </w:tblStylePr>
    <w:tblStylePr w:type="firstCol">
      <w:rPr>
        <w:b/>
        <w:color w:val="FFFFFF" w:themeColor="accent1" w:themeTint="00" w:themeShade="00"/>
      </w:rPr>
    </w:tblStylePr>
    <w:tblStylePr w:type="lastCol">
      <w:rPr>
        <w:b/>
        <w:color w:val="FFFFFF" w:themeColor="accent1" w:themeTint="00" w:themeShade="00"/>
      </w:rPr>
    </w:tblStylePr>
    <w:tblStylePr w:type="band1Vert">
      <w:tblPr/>
      <w:tcPr>
        <w:shd w:val="clear" w:color="FFFFFF" w:themeColor="accent1" w:themeTint="00" w:fill="FFFFFF" w:themeFill="accent1" w:themeFillTint="00"/>
      </w:tcPr>
    </w:tblStylePr>
    <w:tblStylePr w:type="band1Horz">
      <w:rPr>
        <w:rFonts w:ascii="Arial" w:hAnsi="Arial"/>
        <w:color w:val="FFFFFF" w:themeColor="accent1" w:themeTint="00" w:themeShade="00"/>
        <w:sz w:val="22"/>
      </w:rPr>
      <w:tblPr/>
      <w:tcPr>
        <w:shd w:val="clear" w:color="FFFFFF" w:themeColor="accent1" w:themeTint="00" w:fill="FFFFFF" w:themeFill="accent1" w:themeFillTint="00"/>
      </w:tcPr>
    </w:tblStylePr>
    <w:tblStylePr w:type="band2Horz">
      <w:rPr>
        <w:rFonts w:ascii="Arial" w:hAnsi="Arial"/>
        <w:color w:val="FFFFFF" w:themeColor="accent1" w:themeTint="00" w:themeShade="00"/>
        <w:sz w:val="22"/>
      </w:rPr>
    </w:tblStylePr>
  </w:style>
  <w:style w:type="table" w:customStyle="1" w:styleId="GridTable6Colorful-Accent2">
    <w:name w:val="Grid Table 6 Colorful - Accent 2"/>
    <w:basedOn w:val="NormalTablo"/>
    <w:uiPriority w:val="99"/>
    <w:pPr>
      <w:spacing w:after="0" w:line="240" w:lineRule="auto"/>
    </w:pPr>
    <w:tblPr>
      <w:tblStyleRowBandSize w:val="1"/>
      <w:tblStyleColBandSize w:val="1"/>
      <w:tblBorders>
        <w:top w:val="single" w:sz="4" w:space="0" w:color="FFFFFF" w:themeColor="accent2" w:themeTint="00"/>
        <w:left w:val="single" w:sz="4" w:space="0" w:color="FFFFFF" w:themeColor="accent2" w:themeTint="00"/>
        <w:bottom w:val="single" w:sz="4" w:space="0" w:color="FFFFFF" w:themeColor="accent2" w:themeTint="00"/>
        <w:right w:val="single" w:sz="4" w:space="0" w:color="FFFFFF" w:themeColor="accent2" w:themeTint="00"/>
        <w:insideH w:val="single" w:sz="4" w:space="0" w:color="FFFFFF" w:themeColor="accent2" w:themeTint="00"/>
        <w:insideV w:val="single" w:sz="4" w:space="0" w:color="FFFFFF" w:themeColor="accent2" w:themeTint="00"/>
      </w:tblBorders>
    </w:tblPr>
    <w:tblStylePr w:type="firstRow">
      <w:rPr>
        <w:b/>
        <w:color w:val="FFFFFF" w:themeColor="accent2" w:themeTint="00" w:themeShade="00"/>
      </w:rPr>
      <w:tblPr/>
      <w:tcPr>
        <w:tcBorders>
          <w:bottom w:val="single" w:sz="12" w:space="0" w:color="FFFFFF" w:themeColor="accent2" w:themeTint="00"/>
        </w:tcBorders>
      </w:tcPr>
    </w:tblStylePr>
    <w:tblStylePr w:type="lastRow">
      <w:rPr>
        <w:b/>
        <w:color w:val="FFFFFF" w:themeColor="accent2" w:themeTint="00" w:themeShade="00"/>
      </w:rPr>
    </w:tblStylePr>
    <w:tblStylePr w:type="firstCol">
      <w:rPr>
        <w:b/>
        <w:color w:val="FFFFFF" w:themeColor="accent2" w:themeTint="00" w:themeShade="00"/>
      </w:rPr>
    </w:tblStylePr>
    <w:tblStylePr w:type="lastCol">
      <w:rPr>
        <w:b/>
        <w:color w:val="FFFFFF" w:themeColor="accent2" w:themeTint="00" w:themeShade="00"/>
      </w:rPr>
    </w:tblStylePr>
    <w:tblStylePr w:type="band1Vert">
      <w:tblPr/>
      <w:tcPr>
        <w:shd w:val="clear" w:color="FFFFFF" w:themeColor="accent2" w:themeTint="00" w:fill="FFFFFF" w:themeFill="accent2" w:themeFillTint="00"/>
      </w:tcPr>
    </w:tblStylePr>
    <w:tblStylePr w:type="band1Horz">
      <w:rPr>
        <w:rFonts w:ascii="Arial" w:hAnsi="Arial"/>
        <w:color w:val="FFFFFF" w:themeColor="accent2" w:themeTint="00" w:themeShade="00"/>
        <w:sz w:val="22"/>
      </w:rPr>
      <w:tblPr/>
      <w:tcPr>
        <w:shd w:val="clear" w:color="FFFFFF" w:themeColor="accent2" w:themeTint="00" w:fill="FFFFFF" w:themeFill="accent2" w:themeFillTint="00"/>
      </w:tcPr>
    </w:tblStylePr>
    <w:tblStylePr w:type="band2Horz">
      <w:rPr>
        <w:rFonts w:ascii="Arial" w:hAnsi="Arial"/>
        <w:color w:val="FFFFFF" w:themeColor="accent2" w:themeTint="00" w:themeShade="00"/>
        <w:sz w:val="22"/>
      </w:rPr>
    </w:tblStylePr>
  </w:style>
  <w:style w:type="table" w:customStyle="1" w:styleId="GridTable6Colorful-Accent3">
    <w:name w:val="Grid Table 6 Colorful - Accent 3"/>
    <w:basedOn w:val="NormalTablo"/>
    <w:uiPriority w:val="99"/>
    <w:pPr>
      <w:spacing w:after="0" w:line="240" w:lineRule="auto"/>
    </w:pPr>
    <w:tblPr>
      <w:tblStyleRowBandSize w:val="1"/>
      <w:tblStyleColBandSize w:val="1"/>
      <w:tblBorders>
        <w:top w:val="single" w:sz="4" w:space="0" w:color="FFFFFF" w:themeColor="accent3" w:themeTint="00"/>
        <w:left w:val="single" w:sz="4" w:space="0" w:color="FFFFFF" w:themeColor="accent3" w:themeTint="00"/>
        <w:bottom w:val="single" w:sz="4" w:space="0" w:color="FFFFFF" w:themeColor="accent3" w:themeTint="00"/>
        <w:right w:val="single" w:sz="4" w:space="0" w:color="FFFFFF" w:themeColor="accent3" w:themeTint="00"/>
        <w:insideH w:val="single" w:sz="4" w:space="0" w:color="FFFFFF" w:themeColor="accent3" w:themeTint="00"/>
        <w:insideV w:val="single" w:sz="4" w:space="0" w:color="FFFFFF" w:themeColor="accent3" w:themeTint="00"/>
      </w:tblBorders>
    </w:tblPr>
    <w:tblStylePr w:type="firstRow">
      <w:rPr>
        <w:b/>
        <w:color w:val="FFFFFF" w:themeColor="accent3" w:themeTint="00" w:themeShade="00"/>
      </w:rPr>
      <w:tblPr/>
      <w:tcPr>
        <w:tcBorders>
          <w:bottom w:val="single" w:sz="12" w:space="0" w:color="FFFFFF" w:themeColor="accent3" w:themeTint="00"/>
        </w:tcBorders>
      </w:tcPr>
    </w:tblStylePr>
    <w:tblStylePr w:type="lastRow">
      <w:rPr>
        <w:b/>
        <w:color w:val="FFFFFF" w:themeColor="accent3" w:themeTint="00" w:themeShade="00"/>
      </w:rPr>
    </w:tblStylePr>
    <w:tblStylePr w:type="firstCol">
      <w:rPr>
        <w:b/>
        <w:color w:val="FFFFFF" w:themeColor="accent3" w:themeTint="00" w:themeShade="00"/>
      </w:rPr>
    </w:tblStylePr>
    <w:tblStylePr w:type="lastCol">
      <w:rPr>
        <w:b/>
        <w:color w:val="FFFFFF" w:themeColor="accent3" w:themeTint="00" w:themeShade="00"/>
      </w:rPr>
    </w:tblStylePr>
    <w:tblStylePr w:type="band1Vert">
      <w:tblPr/>
      <w:tcPr>
        <w:shd w:val="clear" w:color="FFFFFF" w:themeColor="accent3" w:themeTint="00" w:fill="FFFFFF" w:themeFill="accent3" w:themeFillTint="00"/>
      </w:tcPr>
    </w:tblStylePr>
    <w:tblStylePr w:type="band1Horz">
      <w:rPr>
        <w:rFonts w:ascii="Arial" w:hAnsi="Arial"/>
        <w:color w:val="FFFFFF" w:themeColor="accent3" w:themeTint="00" w:themeShade="00"/>
        <w:sz w:val="22"/>
      </w:rPr>
      <w:tblPr/>
      <w:tcPr>
        <w:shd w:val="clear" w:color="FFFFFF" w:themeColor="accent3" w:themeTint="00" w:fill="FFFFFF" w:themeFill="accent3" w:themeFillTint="00"/>
      </w:tcPr>
    </w:tblStylePr>
    <w:tblStylePr w:type="band2Horz">
      <w:rPr>
        <w:rFonts w:ascii="Arial" w:hAnsi="Arial"/>
        <w:color w:val="FFFFFF" w:themeColor="accent3" w:themeTint="00" w:themeShade="00"/>
        <w:sz w:val="22"/>
      </w:rPr>
    </w:tblStylePr>
  </w:style>
  <w:style w:type="table" w:customStyle="1" w:styleId="GridTable6Colorful-Accent4">
    <w:name w:val="Grid Table 6 Colorful - Accent 4"/>
    <w:basedOn w:val="NormalTablo"/>
    <w:uiPriority w:val="99"/>
    <w:pPr>
      <w:spacing w:after="0" w:line="240" w:lineRule="auto"/>
    </w:pPr>
    <w:tblPr>
      <w:tblStyleRowBandSize w:val="1"/>
      <w:tblStyleColBandSize w:val="1"/>
      <w:tblBorders>
        <w:top w:val="single" w:sz="4" w:space="0" w:color="FFFFFF" w:themeColor="accent4" w:themeTint="00"/>
        <w:left w:val="single" w:sz="4" w:space="0" w:color="FFFFFF" w:themeColor="accent4" w:themeTint="00"/>
        <w:bottom w:val="single" w:sz="4" w:space="0" w:color="FFFFFF" w:themeColor="accent4" w:themeTint="00"/>
        <w:right w:val="single" w:sz="4" w:space="0" w:color="FFFFFF" w:themeColor="accent4" w:themeTint="00"/>
        <w:insideH w:val="single" w:sz="4" w:space="0" w:color="FFFFFF" w:themeColor="accent4" w:themeTint="00"/>
        <w:insideV w:val="single" w:sz="4" w:space="0" w:color="FFFFFF" w:themeColor="accent4" w:themeTint="00"/>
      </w:tblBorders>
    </w:tblPr>
    <w:tblStylePr w:type="firstRow">
      <w:rPr>
        <w:b/>
        <w:color w:val="FFFFFF" w:themeColor="accent4" w:themeTint="00" w:themeShade="00"/>
      </w:rPr>
      <w:tblPr/>
      <w:tcPr>
        <w:tcBorders>
          <w:bottom w:val="single" w:sz="12" w:space="0" w:color="FFFFFF" w:themeColor="accent4" w:themeTint="00"/>
        </w:tcBorders>
      </w:tcPr>
    </w:tblStylePr>
    <w:tblStylePr w:type="lastRow">
      <w:rPr>
        <w:b/>
        <w:color w:val="FFFFFF" w:themeColor="accent4" w:themeTint="00" w:themeShade="00"/>
      </w:rPr>
    </w:tblStylePr>
    <w:tblStylePr w:type="firstCol">
      <w:rPr>
        <w:b/>
        <w:color w:val="FFFFFF" w:themeColor="accent4" w:themeTint="00" w:themeShade="00"/>
      </w:rPr>
    </w:tblStylePr>
    <w:tblStylePr w:type="lastCol">
      <w:rPr>
        <w:b/>
        <w:color w:val="FFFFFF" w:themeColor="accent4" w:themeTint="00" w:themeShade="00"/>
      </w:rPr>
    </w:tblStylePr>
    <w:tblStylePr w:type="band1Vert">
      <w:tblPr/>
      <w:tcPr>
        <w:shd w:val="clear" w:color="FFFFFF" w:themeColor="accent4" w:themeTint="00" w:fill="FFFFFF" w:themeFill="accent4" w:themeFillTint="00"/>
      </w:tcPr>
    </w:tblStylePr>
    <w:tblStylePr w:type="band1Horz">
      <w:rPr>
        <w:rFonts w:ascii="Arial" w:hAnsi="Arial"/>
        <w:color w:val="FFFFFF" w:themeColor="accent4" w:themeTint="00" w:themeShade="00"/>
        <w:sz w:val="22"/>
      </w:rPr>
      <w:tblPr/>
      <w:tcPr>
        <w:shd w:val="clear" w:color="FFFFFF" w:themeColor="accent4" w:themeTint="00" w:fill="FFFFFF" w:themeFill="accent4" w:themeFillTint="00"/>
      </w:tcPr>
    </w:tblStylePr>
    <w:tblStylePr w:type="band2Horz">
      <w:rPr>
        <w:rFonts w:ascii="Arial" w:hAnsi="Arial"/>
        <w:color w:val="FFFFFF" w:themeColor="accent4" w:themeTint="00" w:themeShade="00"/>
        <w:sz w:val="22"/>
      </w:rPr>
    </w:tblStylePr>
  </w:style>
  <w:style w:type="table" w:customStyle="1" w:styleId="GridTable6Colorful-Accent5">
    <w:name w:val="Grid Table 6 Colorful - Accent 5"/>
    <w:basedOn w:val="NormalTablo"/>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000000" w:themeColor="accent5" w:themeShade="00"/>
      </w:rPr>
      <w:tblPr/>
      <w:tcPr>
        <w:tcBorders>
          <w:bottom w:val="single" w:sz="12" w:space="0" w:color="4472C4" w:themeColor="accent5"/>
        </w:tcBorders>
      </w:tcPr>
    </w:tblStylePr>
    <w:tblStylePr w:type="lastRow">
      <w:rPr>
        <w:b/>
        <w:color w:val="000000" w:themeColor="accent5" w:themeShade="00"/>
      </w:rPr>
    </w:tblStylePr>
    <w:tblStylePr w:type="firstCol">
      <w:rPr>
        <w:b/>
        <w:color w:val="000000" w:themeColor="accent5" w:themeShade="00"/>
      </w:rPr>
    </w:tblStylePr>
    <w:tblStylePr w:type="lastCol">
      <w:rPr>
        <w:b/>
        <w:color w:val="000000" w:themeColor="accent5" w:themeShade="00"/>
      </w:rPr>
    </w:tblStylePr>
    <w:tblStylePr w:type="band1Vert">
      <w:tblPr/>
      <w:tcPr>
        <w:shd w:val="clear" w:color="FFFFFF" w:themeColor="accent5" w:themeTint="00" w:fill="FFFFFF" w:themeFill="accent5" w:themeFillTint="00"/>
      </w:tcPr>
    </w:tblStylePr>
    <w:tblStylePr w:type="band1Horz">
      <w:rPr>
        <w:rFonts w:ascii="Arial" w:hAnsi="Arial"/>
        <w:color w:val="000000" w:themeColor="accent5" w:themeShade="00"/>
        <w:sz w:val="22"/>
      </w:rPr>
      <w:tblPr/>
      <w:tcPr>
        <w:shd w:val="clear" w:color="FFFFFF" w:themeColor="accent5" w:themeTint="00" w:fill="FFFFFF" w:themeFill="accent5" w:themeFillTint="00"/>
      </w:tcPr>
    </w:tblStylePr>
    <w:tblStylePr w:type="band2Horz">
      <w:rPr>
        <w:rFonts w:ascii="Arial" w:hAnsi="Arial"/>
        <w:color w:val="000000" w:themeColor="accent5" w:themeShade="00"/>
        <w:sz w:val="22"/>
      </w:rPr>
    </w:tblStylePr>
  </w:style>
  <w:style w:type="table" w:customStyle="1" w:styleId="GridTable6Colorful-Accent6">
    <w:name w:val="Grid Table 6 Colorful - Accent 6"/>
    <w:basedOn w:val="NormalTablo"/>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000000" w:themeColor="accent5" w:themeShade="00"/>
      </w:rPr>
      <w:tblPr/>
      <w:tcPr>
        <w:tcBorders>
          <w:bottom w:val="single" w:sz="12" w:space="0" w:color="70AD47" w:themeColor="accent6"/>
        </w:tcBorders>
      </w:tcPr>
    </w:tblStylePr>
    <w:tblStylePr w:type="lastRow">
      <w:rPr>
        <w:b/>
        <w:color w:val="000000" w:themeColor="accent5" w:themeShade="00"/>
      </w:rPr>
    </w:tblStylePr>
    <w:tblStylePr w:type="firstCol">
      <w:rPr>
        <w:b/>
        <w:color w:val="000000" w:themeColor="accent5" w:themeShade="00"/>
      </w:rPr>
    </w:tblStylePr>
    <w:tblStylePr w:type="lastCol">
      <w:rPr>
        <w:b/>
        <w:color w:val="000000" w:themeColor="accent5" w:themeShade="00"/>
      </w:rPr>
    </w:tblStylePr>
    <w:tblStylePr w:type="band1Vert">
      <w:tblPr/>
      <w:tcPr>
        <w:shd w:val="clear" w:color="FFFFFF" w:themeColor="accent6" w:themeTint="00" w:fill="FFFFFF" w:themeFill="accent6" w:themeFillTint="00"/>
      </w:tcPr>
    </w:tblStylePr>
    <w:tblStylePr w:type="band1Horz">
      <w:rPr>
        <w:rFonts w:ascii="Arial" w:hAnsi="Arial"/>
        <w:color w:val="000000" w:themeColor="accent5" w:themeShade="00"/>
        <w:sz w:val="22"/>
      </w:rPr>
      <w:tblPr/>
      <w:tcPr>
        <w:shd w:val="clear" w:color="FFFFFF" w:themeColor="accent6" w:themeTint="00" w:fill="FFFFFF" w:themeFill="accent6" w:themeFillTint="00"/>
      </w:tcPr>
    </w:tblStylePr>
    <w:tblStylePr w:type="band2Horz">
      <w:rPr>
        <w:rFonts w:ascii="Arial" w:hAnsi="Arial"/>
        <w:color w:val="000000" w:themeColor="accent5" w:themeShade="00"/>
        <w:sz w:val="22"/>
      </w:rPr>
    </w:tblStylePr>
  </w:style>
  <w:style w:type="table" w:styleId="KlavuzTablo7Renkli">
    <w:name w:val="Grid Table 7 Colorful"/>
    <w:basedOn w:val="NormalTablo"/>
    <w:uiPriority w:val="99"/>
    <w:pPr>
      <w:spacing w:after="0" w:line="240" w:lineRule="auto"/>
    </w:pPr>
    <w:tblPr>
      <w:tblStyleRowBandSize w:val="1"/>
      <w:tblStyleColBandSize w:val="1"/>
      <w:tblBorders>
        <w:bottom w:val="single" w:sz="4" w:space="0" w:color="FFFFFF" w:themeColor="text1" w:themeTint="00"/>
        <w:right w:val="single" w:sz="4" w:space="0" w:color="FFFFFF" w:themeColor="text1" w:themeTint="00"/>
        <w:insideH w:val="single" w:sz="4" w:space="0" w:color="FFFFFF" w:themeColor="text1" w:themeTint="00"/>
        <w:insideV w:val="single" w:sz="4" w:space="0" w:color="FFFFFF" w:themeColor="text1" w:themeTint="00"/>
      </w:tblBorders>
    </w:tblPr>
    <w:tblStylePr w:type="firstRow">
      <w:rPr>
        <w:rFonts w:ascii="Arial" w:hAnsi="Arial"/>
        <w:b/>
        <w:color w:val="FFFFFF" w:themeColor="text1" w:themeTint="00" w:themeShade="00"/>
        <w:sz w:val="22"/>
      </w:rPr>
      <w:tblPr/>
      <w:tcPr>
        <w:tcBorders>
          <w:top w:val="none" w:sz="4" w:space="0" w:color="000000"/>
          <w:left w:val="none" w:sz="4" w:space="0" w:color="000000"/>
          <w:bottom w:val="single" w:sz="4" w:space="0" w:color="FFFFFF" w:themeColor="text1" w:themeTint="00"/>
          <w:right w:val="none" w:sz="4" w:space="0" w:color="000000"/>
        </w:tcBorders>
        <w:shd w:val="clear" w:color="FFFFFF" w:themeColor="light1" w:fill="FFFFFF" w:themeFill="light1"/>
      </w:tcPr>
    </w:tblStylePr>
    <w:tblStylePr w:type="lastRow">
      <w:rPr>
        <w:rFonts w:ascii="Arial" w:hAnsi="Arial"/>
        <w:b/>
        <w:color w:val="FFFFFF" w:themeColor="text1" w:themeTint="00" w:themeShade="00"/>
        <w:sz w:val="22"/>
      </w:rPr>
      <w:tblPr/>
      <w:tcPr>
        <w:tcBorders>
          <w:top w:val="single" w:sz="4" w:space="0" w:color="FFFFFF" w:themeColor="text1" w:themeTint="0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FFFF" w:themeColor="text1" w:themeTint="00" w:themeShade="00"/>
        <w:sz w:val="22"/>
      </w:rPr>
      <w:tblPr/>
      <w:tcPr>
        <w:tcBorders>
          <w:top w:val="none" w:sz="4" w:space="0" w:color="000000"/>
          <w:left w:val="none" w:sz="4" w:space="0" w:color="000000"/>
          <w:bottom w:val="none" w:sz="4" w:space="0" w:color="000000"/>
          <w:right w:val="single" w:sz="4" w:space="0" w:color="FFFFFF" w:themeColor="text1" w:themeTint="00"/>
        </w:tcBorders>
        <w:shd w:val="clear" w:color="FFFFFF" w:fill="auto"/>
      </w:tcPr>
    </w:tblStylePr>
    <w:tblStylePr w:type="lastCol">
      <w:rPr>
        <w:rFonts w:ascii="Arial" w:hAnsi="Arial"/>
        <w:i/>
        <w:color w:val="FFFFFF" w:themeColor="text1" w:themeTint="00" w:themeShade="00"/>
        <w:sz w:val="22"/>
      </w:rPr>
      <w:tblPr/>
      <w:tcPr>
        <w:tcBorders>
          <w:top w:val="none" w:sz="4" w:space="0" w:color="000000"/>
          <w:left w:val="single" w:sz="4" w:space="0" w:color="FFFFFF" w:themeColor="text1" w:themeTint="00"/>
          <w:bottom w:val="none" w:sz="4" w:space="0" w:color="000000"/>
          <w:right w:val="none" w:sz="4" w:space="0" w:color="000000"/>
        </w:tcBorders>
        <w:shd w:val="clear" w:color="FFFFFF" w:fill="auto"/>
      </w:tcPr>
    </w:tblStylePr>
    <w:tblStylePr w:type="band1Vert">
      <w:tblPr/>
      <w:tcPr>
        <w:shd w:val="clear" w:color="FFFFFF" w:themeColor="text1" w:themeTint="00" w:fill="FFFFFF" w:themeFill="text1" w:themeFillTint="00"/>
      </w:tcPr>
    </w:tblStylePr>
    <w:tblStylePr w:type="band1Horz">
      <w:rPr>
        <w:rFonts w:ascii="Arial" w:hAnsi="Arial"/>
        <w:color w:val="FFFFFF" w:themeColor="text1" w:themeTint="00" w:themeShade="00"/>
        <w:sz w:val="22"/>
      </w:rPr>
      <w:tblPr/>
      <w:tcPr>
        <w:shd w:val="clear" w:color="FFFFFF" w:themeColor="text1" w:themeTint="00" w:fill="FFFFFF" w:themeFill="text1" w:themeFillTint="00"/>
      </w:tcPr>
    </w:tblStylePr>
    <w:tblStylePr w:type="band2Horz">
      <w:rPr>
        <w:rFonts w:ascii="Arial" w:hAnsi="Arial"/>
        <w:color w:val="FFFFFF" w:themeColor="text1" w:themeTint="00" w:themeShade="00"/>
        <w:sz w:val="22"/>
      </w:rPr>
    </w:tblStylePr>
  </w:style>
  <w:style w:type="table" w:customStyle="1" w:styleId="GridTable7Colorful-Accent1">
    <w:name w:val="Grid Table 7 Colorful - Accent 1"/>
    <w:basedOn w:val="NormalTablo"/>
    <w:uiPriority w:val="99"/>
    <w:pPr>
      <w:spacing w:after="0" w:line="240" w:lineRule="auto"/>
    </w:pPr>
    <w:tblPr>
      <w:tblStyleRowBandSize w:val="1"/>
      <w:tblStyleColBandSize w:val="1"/>
      <w:tblBorders>
        <w:bottom w:val="single" w:sz="4" w:space="0" w:color="FFFFFF" w:themeColor="accent1" w:themeTint="00"/>
        <w:right w:val="single" w:sz="4" w:space="0" w:color="FFFFFF" w:themeColor="accent1" w:themeTint="00"/>
        <w:insideH w:val="single" w:sz="4" w:space="0" w:color="FFFFFF" w:themeColor="accent1" w:themeTint="00"/>
        <w:insideV w:val="single" w:sz="4" w:space="0" w:color="FFFFFF" w:themeColor="accent1" w:themeTint="00"/>
      </w:tblBorders>
    </w:tblPr>
    <w:tblStylePr w:type="firstRow">
      <w:rPr>
        <w:rFonts w:ascii="Arial" w:hAnsi="Arial"/>
        <w:b/>
        <w:color w:val="FFFFFF" w:themeColor="accent1" w:themeTint="00" w:themeShade="00"/>
        <w:sz w:val="22"/>
      </w:rPr>
      <w:tblPr/>
      <w:tcPr>
        <w:tcBorders>
          <w:top w:val="none" w:sz="4" w:space="0" w:color="000000"/>
          <w:left w:val="none" w:sz="4" w:space="0" w:color="000000"/>
          <w:bottom w:val="single" w:sz="4" w:space="0" w:color="FFFFFF" w:themeColor="accent1" w:themeTint="00"/>
          <w:right w:val="none" w:sz="4" w:space="0" w:color="000000"/>
        </w:tcBorders>
        <w:shd w:val="clear" w:color="FFFFFF" w:themeColor="light1" w:fill="FFFFFF" w:themeFill="light1"/>
      </w:tcPr>
    </w:tblStylePr>
    <w:tblStylePr w:type="lastRow">
      <w:rPr>
        <w:rFonts w:ascii="Arial" w:hAnsi="Arial"/>
        <w:b/>
        <w:color w:val="FFFFFF" w:themeColor="accent1" w:themeTint="00" w:themeShade="00"/>
        <w:sz w:val="22"/>
      </w:rPr>
      <w:tblPr/>
      <w:tcPr>
        <w:tcBorders>
          <w:top w:val="single" w:sz="4" w:space="0" w:color="FFFFFF" w:themeColor="accent1" w:themeTint="0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FFFF" w:themeColor="accent1" w:themeTint="00" w:themeShade="00"/>
        <w:sz w:val="22"/>
      </w:rPr>
      <w:tblPr/>
      <w:tcPr>
        <w:tcBorders>
          <w:top w:val="none" w:sz="4" w:space="0" w:color="000000"/>
          <w:left w:val="none" w:sz="4" w:space="0" w:color="000000"/>
          <w:bottom w:val="none" w:sz="4" w:space="0" w:color="000000"/>
          <w:right w:val="single" w:sz="4" w:space="0" w:color="FFFFFF" w:themeColor="accent1" w:themeTint="00"/>
        </w:tcBorders>
        <w:shd w:val="clear" w:color="FFFFFF" w:fill="auto"/>
      </w:tcPr>
    </w:tblStylePr>
    <w:tblStylePr w:type="lastCol">
      <w:rPr>
        <w:rFonts w:ascii="Arial" w:hAnsi="Arial"/>
        <w:i/>
        <w:color w:val="FFFFFF" w:themeColor="accent1" w:themeTint="00" w:themeShade="00"/>
        <w:sz w:val="22"/>
      </w:rPr>
      <w:tblPr/>
      <w:tcPr>
        <w:tcBorders>
          <w:top w:val="none" w:sz="4" w:space="0" w:color="000000"/>
          <w:left w:val="single" w:sz="4" w:space="0" w:color="FFFFFF" w:themeColor="accent1" w:themeTint="00"/>
          <w:bottom w:val="none" w:sz="4" w:space="0" w:color="000000"/>
          <w:right w:val="none" w:sz="4" w:space="0" w:color="000000"/>
        </w:tcBorders>
        <w:shd w:val="clear" w:color="FFFFFF" w:fill="auto"/>
      </w:tcPr>
    </w:tblStylePr>
    <w:tblStylePr w:type="band1Vert">
      <w:tblPr/>
      <w:tcPr>
        <w:shd w:val="clear" w:color="FFFFFF" w:themeColor="accent1" w:themeTint="00" w:fill="FFFFFF" w:themeFill="accent1" w:themeFillTint="00"/>
      </w:tcPr>
    </w:tblStylePr>
    <w:tblStylePr w:type="band1Horz">
      <w:rPr>
        <w:rFonts w:ascii="Arial" w:hAnsi="Arial"/>
        <w:color w:val="FFFFFF" w:themeColor="accent1" w:themeTint="00" w:themeShade="00"/>
        <w:sz w:val="22"/>
      </w:rPr>
      <w:tblPr/>
      <w:tcPr>
        <w:shd w:val="clear" w:color="FFFFFF" w:themeColor="accent1" w:themeTint="00" w:fill="FFFFFF" w:themeFill="accent1" w:themeFillTint="00"/>
      </w:tcPr>
    </w:tblStylePr>
    <w:tblStylePr w:type="band2Horz">
      <w:rPr>
        <w:rFonts w:ascii="Arial" w:hAnsi="Arial"/>
        <w:color w:val="FFFFFF" w:themeColor="accent1" w:themeTint="00" w:themeShade="00"/>
        <w:sz w:val="22"/>
      </w:rPr>
    </w:tblStylePr>
  </w:style>
  <w:style w:type="table" w:customStyle="1" w:styleId="GridTable7Colorful-Accent2">
    <w:name w:val="Grid Table 7 Colorful - Accent 2"/>
    <w:basedOn w:val="NormalTablo"/>
    <w:uiPriority w:val="99"/>
    <w:pPr>
      <w:spacing w:after="0" w:line="240" w:lineRule="auto"/>
    </w:pPr>
    <w:tblPr>
      <w:tblStyleRowBandSize w:val="1"/>
      <w:tblStyleColBandSize w:val="1"/>
      <w:tblBorders>
        <w:bottom w:val="single" w:sz="4" w:space="0" w:color="FFFFFF" w:themeColor="accent2" w:themeTint="00"/>
        <w:right w:val="single" w:sz="4" w:space="0" w:color="FFFFFF" w:themeColor="accent2" w:themeTint="00"/>
        <w:insideH w:val="single" w:sz="4" w:space="0" w:color="FFFFFF" w:themeColor="accent2" w:themeTint="00"/>
        <w:insideV w:val="single" w:sz="4" w:space="0" w:color="FFFFFF" w:themeColor="accent2" w:themeTint="00"/>
      </w:tblBorders>
    </w:tblPr>
    <w:tblStylePr w:type="firstRow">
      <w:rPr>
        <w:rFonts w:ascii="Arial" w:hAnsi="Arial"/>
        <w:b/>
        <w:color w:val="FFFFFF" w:themeColor="accent2" w:themeTint="00" w:themeShade="00"/>
        <w:sz w:val="22"/>
      </w:rPr>
      <w:tblPr/>
      <w:tcPr>
        <w:tcBorders>
          <w:top w:val="none" w:sz="4" w:space="0" w:color="000000"/>
          <w:left w:val="none" w:sz="4" w:space="0" w:color="000000"/>
          <w:bottom w:val="single" w:sz="4" w:space="0" w:color="FFFFFF" w:themeColor="accent2" w:themeTint="00"/>
          <w:right w:val="none" w:sz="4" w:space="0" w:color="000000"/>
        </w:tcBorders>
        <w:shd w:val="clear" w:color="FFFFFF" w:themeColor="light1" w:fill="FFFFFF" w:themeFill="light1"/>
      </w:tcPr>
    </w:tblStylePr>
    <w:tblStylePr w:type="lastRow">
      <w:rPr>
        <w:rFonts w:ascii="Arial" w:hAnsi="Arial"/>
        <w:b/>
        <w:color w:val="FFFFFF" w:themeColor="accent2" w:themeTint="00" w:themeShade="00"/>
        <w:sz w:val="22"/>
      </w:rPr>
      <w:tblPr/>
      <w:tcPr>
        <w:tcBorders>
          <w:top w:val="single" w:sz="4" w:space="0" w:color="FFFFFF" w:themeColor="accent2" w:themeTint="0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FFFF" w:themeColor="accent2" w:themeTint="00" w:themeShade="00"/>
        <w:sz w:val="22"/>
      </w:rPr>
      <w:tblPr/>
      <w:tcPr>
        <w:tcBorders>
          <w:top w:val="none" w:sz="4" w:space="0" w:color="000000"/>
          <w:left w:val="none" w:sz="4" w:space="0" w:color="000000"/>
          <w:bottom w:val="none" w:sz="4" w:space="0" w:color="000000"/>
          <w:right w:val="single" w:sz="4" w:space="0" w:color="FFFFFF" w:themeColor="accent2" w:themeTint="00"/>
        </w:tcBorders>
        <w:shd w:val="clear" w:color="FFFFFF" w:fill="auto"/>
      </w:tcPr>
    </w:tblStylePr>
    <w:tblStylePr w:type="lastCol">
      <w:rPr>
        <w:rFonts w:ascii="Arial" w:hAnsi="Arial"/>
        <w:i/>
        <w:color w:val="FFFFFF" w:themeColor="accent2" w:themeTint="00" w:themeShade="00"/>
        <w:sz w:val="22"/>
      </w:rPr>
      <w:tblPr/>
      <w:tcPr>
        <w:tcBorders>
          <w:top w:val="none" w:sz="4" w:space="0" w:color="000000"/>
          <w:left w:val="single" w:sz="4" w:space="0" w:color="FFFFFF" w:themeColor="accent2" w:themeTint="00"/>
          <w:bottom w:val="none" w:sz="4" w:space="0" w:color="000000"/>
          <w:right w:val="none" w:sz="4" w:space="0" w:color="000000"/>
        </w:tcBorders>
        <w:shd w:val="clear" w:color="FFFFFF" w:fill="auto"/>
      </w:tcPr>
    </w:tblStylePr>
    <w:tblStylePr w:type="band1Vert">
      <w:tblPr/>
      <w:tcPr>
        <w:shd w:val="clear" w:color="FFFFFF" w:themeColor="accent2" w:themeTint="00" w:fill="FFFFFF" w:themeFill="accent2" w:themeFillTint="00"/>
      </w:tcPr>
    </w:tblStylePr>
    <w:tblStylePr w:type="band1Horz">
      <w:rPr>
        <w:rFonts w:ascii="Arial" w:hAnsi="Arial"/>
        <w:color w:val="FFFFFF" w:themeColor="accent2" w:themeTint="00" w:themeShade="00"/>
        <w:sz w:val="22"/>
      </w:rPr>
      <w:tblPr/>
      <w:tcPr>
        <w:shd w:val="clear" w:color="FFFFFF" w:themeColor="accent2" w:themeTint="00" w:fill="FFFFFF" w:themeFill="accent2" w:themeFillTint="00"/>
      </w:tcPr>
    </w:tblStylePr>
    <w:tblStylePr w:type="band2Horz">
      <w:rPr>
        <w:rFonts w:ascii="Arial" w:hAnsi="Arial"/>
        <w:color w:val="FFFFFF" w:themeColor="accent2" w:themeTint="00" w:themeShade="00"/>
        <w:sz w:val="22"/>
      </w:rPr>
    </w:tblStylePr>
  </w:style>
  <w:style w:type="table" w:customStyle="1" w:styleId="GridTable7Colorful-Accent3">
    <w:name w:val="Grid Table 7 Colorful - Accent 3"/>
    <w:basedOn w:val="NormalTablo"/>
    <w:uiPriority w:val="99"/>
    <w:pPr>
      <w:spacing w:after="0" w:line="240" w:lineRule="auto"/>
    </w:pPr>
    <w:tblPr>
      <w:tblStyleRowBandSize w:val="1"/>
      <w:tblStyleColBandSize w:val="1"/>
      <w:tblBorders>
        <w:bottom w:val="single" w:sz="4" w:space="0" w:color="FFFFFF" w:themeColor="accent3" w:themeTint="00"/>
        <w:right w:val="single" w:sz="4" w:space="0" w:color="FFFFFF" w:themeColor="accent3" w:themeTint="00"/>
        <w:insideH w:val="single" w:sz="4" w:space="0" w:color="FFFFFF" w:themeColor="accent3" w:themeTint="00"/>
        <w:insideV w:val="single" w:sz="4" w:space="0" w:color="FFFFFF" w:themeColor="accent3" w:themeTint="00"/>
      </w:tblBorders>
    </w:tblPr>
    <w:tblStylePr w:type="firstRow">
      <w:rPr>
        <w:rFonts w:ascii="Arial" w:hAnsi="Arial"/>
        <w:b/>
        <w:color w:val="FFFFFF" w:themeColor="accent3" w:themeTint="00" w:themeShade="00"/>
        <w:sz w:val="22"/>
      </w:rPr>
      <w:tblPr/>
      <w:tcPr>
        <w:tcBorders>
          <w:top w:val="none" w:sz="4" w:space="0" w:color="000000"/>
          <w:left w:val="none" w:sz="4" w:space="0" w:color="000000"/>
          <w:bottom w:val="single" w:sz="4" w:space="0" w:color="FFFFFF" w:themeColor="accent3" w:themeTint="00"/>
          <w:right w:val="none" w:sz="4" w:space="0" w:color="000000"/>
        </w:tcBorders>
        <w:shd w:val="clear" w:color="FFFFFF" w:themeColor="light1" w:fill="FFFFFF" w:themeFill="light1"/>
      </w:tcPr>
    </w:tblStylePr>
    <w:tblStylePr w:type="lastRow">
      <w:rPr>
        <w:rFonts w:ascii="Arial" w:hAnsi="Arial"/>
        <w:b/>
        <w:color w:val="FFFFFF" w:themeColor="accent3" w:themeTint="00" w:themeShade="00"/>
        <w:sz w:val="22"/>
      </w:rPr>
      <w:tblPr/>
      <w:tcPr>
        <w:tcBorders>
          <w:top w:val="single" w:sz="4" w:space="0" w:color="FFFFFF" w:themeColor="accent3" w:themeTint="0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FFFF" w:themeColor="accent3" w:themeTint="00" w:themeShade="00"/>
        <w:sz w:val="22"/>
      </w:rPr>
      <w:tblPr/>
      <w:tcPr>
        <w:tcBorders>
          <w:top w:val="none" w:sz="4" w:space="0" w:color="000000"/>
          <w:left w:val="none" w:sz="4" w:space="0" w:color="000000"/>
          <w:bottom w:val="none" w:sz="4" w:space="0" w:color="000000"/>
          <w:right w:val="single" w:sz="4" w:space="0" w:color="FFFFFF" w:themeColor="accent3" w:themeTint="00"/>
        </w:tcBorders>
        <w:shd w:val="clear" w:color="FFFFFF" w:fill="auto"/>
      </w:tcPr>
    </w:tblStylePr>
    <w:tblStylePr w:type="lastCol">
      <w:rPr>
        <w:rFonts w:ascii="Arial" w:hAnsi="Arial"/>
        <w:i/>
        <w:color w:val="FFFFFF" w:themeColor="accent3" w:themeTint="00" w:themeShade="00"/>
        <w:sz w:val="22"/>
      </w:rPr>
      <w:tblPr/>
      <w:tcPr>
        <w:tcBorders>
          <w:top w:val="none" w:sz="4" w:space="0" w:color="000000"/>
          <w:left w:val="single" w:sz="4" w:space="0" w:color="FFFFFF" w:themeColor="accent3" w:themeTint="00"/>
          <w:bottom w:val="none" w:sz="4" w:space="0" w:color="000000"/>
          <w:right w:val="none" w:sz="4" w:space="0" w:color="000000"/>
        </w:tcBorders>
        <w:shd w:val="clear" w:color="FFFFFF" w:fill="auto"/>
      </w:tcPr>
    </w:tblStylePr>
    <w:tblStylePr w:type="band1Vert">
      <w:tblPr/>
      <w:tcPr>
        <w:shd w:val="clear" w:color="FFFFFF" w:themeColor="accent3" w:themeTint="00" w:fill="FFFFFF" w:themeFill="accent3" w:themeFillTint="00"/>
      </w:tcPr>
    </w:tblStylePr>
    <w:tblStylePr w:type="band1Horz">
      <w:rPr>
        <w:rFonts w:ascii="Arial" w:hAnsi="Arial"/>
        <w:color w:val="FFFFFF" w:themeColor="accent3" w:themeTint="00" w:themeShade="00"/>
        <w:sz w:val="22"/>
      </w:rPr>
      <w:tblPr/>
      <w:tcPr>
        <w:shd w:val="clear" w:color="FFFFFF" w:themeColor="accent3" w:themeTint="00" w:fill="FFFFFF" w:themeFill="accent3" w:themeFillTint="00"/>
      </w:tcPr>
    </w:tblStylePr>
    <w:tblStylePr w:type="band2Horz">
      <w:rPr>
        <w:rFonts w:ascii="Arial" w:hAnsi="Arial"/>
        <w:color w:val="FFFFFF" w:themeColor="accent3" w:themeTint="00" w:themeShade="00"/>
        <w:sz w:val="22"/>
      </w:rPr>
    </w:tblStylePr>
  </w:style>
  <w:style w:type="table" w:customStyle="1" w:styleId="GridTable7Colorful-Accent4">
    <w:name w:val="Grid Table 7 Colorful - Accent 4"/>
    <w:basedOn w:val="NormalTablo"/>
    <w:uiPriority w:val="99"/>
    <w:pPr>
      <w:spacing w:after="0" w:line="240" w:lineRule="auto"/>
    </w:pPr>
    <w:tblPr>
      <w:tblStyleRowBandSize w:val="1"/>
      <w:tblStyleColBandSize w:val="1"/>
      <w:tblBorders>
        <w:bottom w:val="single" w:sz="4" w:space="0" w:color="FFFFFF" w:themeColor="accent4" w:themeTint="00"/>
        <w:right w:val="single" w:sz="4" w:space="0" w:color="FFFFFF" w:themeColor="accent4" w:themeTint="00"/>
        <w:insideH w:val="single" w:sz="4" w:space="0" w:color="FFFFFF" w:themeColor="accent4" w:themeTint="00"/>
        <w:insideV w:val="single" w:sz="4" w:space="0" w:color="FFFFFF" w:themeColor="accent4" w:themeTint="00"/>
      </w:tblBorders>
    </w:tblPr>
    <w:tblStylePr w:type="firstRow">
      <w:rPr>
        <w:rFonts w:ascii="Arial" w:hAnsi="Arial"/>
        <w:b/>
        <w:color w:val="FFFFFF" w:themeColor="accent4" w:themeTint="00" w:themeShade="00"/>
        <w:sz w:val="22"/>
      </w:rPr>
      <w:tblPr/>
      <w:tcPr>
        <w:tcBorders>
          <w:top w:val="none" w:sz="4" w:space="0" w:color="000000"/>
          <w:left w:val="none" w:sz="4" w:space="0" w:color="000000"/>
          <w:bottom w:val="single" w:sz="4" w:space="0" w:color="FFFFFF" w:themeColor="accent4" w:themeTint="00"/>
          <w:right w:val="none" w:sz="4" w:space="0" w:color="000000"/>
        </w:tcBorders>
        <w:shd w:val="clear" w:color="FFFFFF" w:themeColor="light1" w:fill="FFFFFF" w:themeFill="light1"/>
      </w:tcPr>
    </w:tblStylePr>
    <w:tblStylePr w:type="lastRow">
      <w:rPr>
        <w:rFonts w:ascii="Arial" w:hAnsi="Arial"/>
        <w:b/>
        <w:color w:val="FFFFFF" w:themeColor="accent4" w:themeTint="00" w:themeShade="00"/>
        <w:sz w:val="22"/>
      </w:rPr>
      <w:tblPr/>
      <w:tcPr>
        <w:tcBorders>
          <w:top w:val="single" w:sz="4" w:space="0" w:color="FFFFFF" w:themeColor="accent4" w:themeTint="0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FFFF" w:themeColor="accent4" w:themeTint="00" w:themeShade="00"/>
        <w:sz w:val="22"/>
      </w:rPr>
      <w:tblPr/>
      <w:tcPr>
        <w:tcBorders>
          <w:top w:val="none" w:sz="4" w:space="0" w:color="000000"/>
          <w:left w:val="none" w:sz="4" w:space="0" w:color="000000"/>
          <w:bottom w:val="none" w:sz="4" w:space="0" w:color="000000"/>
          <w:right w:val="single" w:sz="4" w:space="0" w:color="FFFFFF" w:themeColor="accent4" w:themeTint="00"/>
        </w:tcBorders>
        <w:shd w:val="clear" w:color="FFFFFF" w:fill="auto"/>
      </w:tcPr>
    </w:tblStylePr>
    <w:tblStylePr w:type="lastCol">
      <w:rPr>
        <w:rFonts w:ascii="Arial" w:hAnsi="Arial"/>
        <w:i/>
        <w:color w:val="FFFFFF" w:themeColor="accent4" w:themeTint="00" w:themeShade="00"/>
        <w:sz w:val="22"/>
      </w:rPr>
      <w:tblPr/>
      <w:tcPr>
        <w:tcBorders>
          <w:top w:val="none" w:sz="4" w:space="0" w:color="000000"/>
          <w:left w:val="single" w:sz="4" w:space="0" w:color="FFFFFF" w:themeColor="accent4" w:themeTint="00"/>
          <w:bottom w:val="none" w:sz="4" w:space="0" w:color="000000"/>
          <w:right w:val="none" w:sz="4" w:space="0" w:color="000000"/>
        </w:tcBorders>
        <w:shd w:val="clear" w:color="FFFFFF" w:fill="auto"/>
      </w:tcPr>
    </w:tblStylePr>
    <w:tblStylePr w:type="band1Vert">
      <w:tblPr/>
      <w:tcPr>
        <w:shd w:val="clear" w:color="FFFFFF" w:themeColor="accent4" w:themeTint="00" w:fill="FFFFFF" w:themeFill="accent4" w:themeFillTint="00"/>
      </w:tcPr>
    </w:tblStylePr>
    <w:tblStylePr w:type="band1Horz">
      <w:rPr>
        <w:rFonts w:ascii="Arial" w:hAnsi="Arial"/>
        <w:color w:val="FFFFFF" w:themeColor="accent4" w:themeTint="00" w:themeShade="00"/>
        <w:sz w:val="22"/>
      </w:rPr>
      <w:tblPr/>
      <w:tcPr>
        <w:shd w:val="clear" w:color="FFFFFF" w:themeColor="accent4" w:themeTint="00" w:fill="FFFFFF" w:themeFill="accent4" w:themeFillTint="00"/>
      </w:tcPr>
    </w:tblStylePr>
    <w:tblStylePr w:type="band2Horz">
      <w:rPr>
        <w:rFonts w:ascii="Arial" w:hAnsi="Arial"/>
        <w:color w:val="FFFFFF" w:themeColor="accent4" w:themeTint="00" w:themeShade="00"/>
        <w:sz w:val="22"/>
      </w:rPr>
    </w:tblStylePr>
  </w:style>
  <w:style w:type="table" w:customStyle="1" w:styleId="GridTable7Colorful-Accent5">
    <w:name w:val="Grid Table 7 Colorful - Accent 5"/>
    <w:basedOn w:val="NormalTablo"/>
    <w:uiPriority w:val="99"/>
    <w:pPr>
      <w:spacing w:after="0" w:line="240" w:lineRule="auto"/>
    </w:pPr>
    <w:tblPr>
      <w:tblStyleRowBandSize w:val="1"/>
      <w:tblStyleColBandSize w:val="1"/>
      <w:tblBorders>
        <w:bottom w:val="single" w:sz="4" w:space="0" w:color="FFFFFF" w:themeColor="accent5" w:themeTint="00"/>
        <w:right w:val="single" w:sz="4" w:space="0" w:color="FFFFFF" w:themeColor="accent5" w:themeTint="00"/>
        <w:insideH w:val="single" w:sz="4" w:space="0" w:color="FFFFFF" w:themeColor="accent5" w:themeTint="00"/>
        <w:insideV w:val="single" w:sz="4" w:space="0" w:color="FFFFFF" w:themeColor="accent5" w:themeTint="00"/>
      </w:tblBorders>
    </w:tblPr>
    <w:tblStylePr w:type="firstRow">
      <w:rPr>
        <w:rFonts w:ascii="Arial" w:hAnsi="Arial"/>
        <w:b/>
        <w:color w:val="000000" w:themeColor="accent5" w:themeShade="00"/>
        <w:sz w:val="22"/>
      </w:rPr>
      <w:tblPr/>
      <w:tcPr>
        <w:tcBorders>
          <w:top w:val="none" w:sz="4" w:space="0" w:color="000000"/>
          <w:left w:val="none" w:sz="4" w:space="0" w:color="000000"/>
          <w:bottom w:val="single" w:sz="4" w:space="0" w:color="FFFFFF" w:themeColor="accent5" w:themeTint="00"/>
          <w:right w:val="none" w:sz="4" w:space="0" w:color="000000"/>
        </w:tcBorders>
        <w:shd w:val="clear" w:color="FFFFFF" w:themeColor="light1" w:fill="FFFFFF" w:themeFill="light1"/>
      </w:tcPr>
    </w:tblStylePr>
    <w:tblStylePr w:type="lastRow">
      <w:rPr>
        <w:rFonts w:ascii="Arial" w:hAnsi="Arial"/>
        <w:b/>
        <w:color w:val="000000" w:themeColor="accent5" w:themeShade="00"/>
        <w:sz w:val="22"/>
      </w:rPr>
      <w:tblPr/>
      <w:tcPr>
        <w:tcBorders>
          <w:top w:val="single" w:sz="4" w:space="0" w:color="FFFFFF" w:themeColor="accent5" w:themeTint="0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000000" w:themeColor="accent5" w:themeShade="00"/>
        <w:sz w:val="22"/>
      </w:rPr>
      <w:tblPr/>
      <w:tcPr>
        <w:tcBorders>
          <w:top w:val="none" w:sz="4" w:space="0" w:color="000000"/>
          <w:left w:val="none" w:sz="4" w:space="0" w:color="000000"/>
          <w:bottom w:val="none" w:sz="4" w:space="0" w:color="000000"/>
          <w:right w:val="single" w:sz="4" w:space="0" w:color="FFFFFF" w:themeColor="accent5" w:themeTint="00"/>
        </w:tcBorders>
        <w:shd w:val="clear" w:color="FFFFFF" w:fill="auto"/>
      </w:tcPr>
    </w:tblStylePr>
    <w:tblStylePr w:type="lastCol">
      <w:rPr>
        <w:rFonts w:ascii="Arial" w:hAnsi="Arial"/>
        <w:i/>
        <w:color w:val="000000" w:themeColor="accent5" w:themeShade="00"/>
        <w:sz w:val="22"/>
      </w:rPr>
      <w:tblPr/>
      <w:tcPr>
        <w:tcBorders>
          <w:top w:val="none" w:sz="4" w:space="0" w:color="000000"/>
          <w:left w:val="single" w:sz="4" w:space="0" w:color="FFFFFF" w:themeColor="accent5" w:themeTint="00"/>
          <w:bottom w:val="none" w:sz="4" w:space="0" w:color="000000"/>
          <w:right w:val="none" w:sz="4" w:space="0" w:color="000000"/>
        </w:tcBorders>
        <w:shd w:val="clear" w:color="FFFFFF" w:fill="auto"/>
      </w:tcPr>
    </w:tblStylePr>
    <w:tblStylePr w:type="band1Vert">
      <w:tblPr/>
      <w:tcPr>
        <w:shd w:val="clear" w:color="FFFFFF" w:themeColor="accent5" w:themeTint="00" w:fill="FFFFFF" w:themeFill="accent5" w:themeFillTint="00"/>
      </w:tcPr>
    </w:tblStylePr>
    <w:tblStylePr w:type="band1Horz">
      <w:rPr>
        <w:rFonts w:ascii="Arial" w:hAnsi="Arial"/>
        <w:color w:val="000000" w:themeColor="accent5" w:themeShade="00"/>
        <w:sz w:val="22"/>
      </w:rPr>
      <w:tblPr/>
      <w:tcPr>
        <w:shd w:val="clear" w:color="FFFFFF" w:themeColor="accent5" w:themeTint="00" w:fill="FFFFFF" w:themeFill="accent5" w:themeFillTint="00"/>
      </w:tcPr>
    </w:tblStylePr>
    <w:tblStylePr w:type="band2Horz">
      <w:rPr>
        <w:rFonts w:ascii="Arial" w:hAnsi="Arial"/>
        <w:color w:val="000000" w:themeColor="accent5" w:themeShade="00"/>
        <w:sz w:val="22"/>
      </w:rPr>
    </w:tblStylePr>
  </w:style>
  <w:style w:type="table" w:customStyle="1" w:styleId="GridTable7Colorful-Accent6">
    <w:name w:val="Grid Table 7 Colorful - Accent 6"/>
    <w:basedOn w:val="NormalTablo"/>
    <w:uiPriority w:val="99"/>
    <w:pPr>
      <w:spacing w:after="0" w:line="240" w:lineRule="auto"/>
    </w:pPr>
    <w:tblPr>
      <w:tblStyleRowBandSize w:val="1"/>
      <w:tblStyleColBandSize w:val="1"/>
      <w:tblBorders>
        <w:bottom w:val="single" w:sz="4" w:space="0" w:color="FFFFFF" w:themeColor="accent6" w:themeTint="00"/>
        <w:right w:val="single" w:sz="4" w:space="0" w:color="FFFFFF" w:themeColor="accent6" w:themeTint="00"/>
        <w:insideH w:val="single" w:sz="4" w:space="0" w:color="FFFFFF" w:themeColor="accent6" w:themeTint="00"/>
        <w:insideV w:val="single" w:sz="4" w:space="0" w:color="FFFFFF" w:themeColor="accent6" w:themeTint="00"/>
      </w:tblBorders>
    </w:tblPr>
    <w:tblStylePr w:type="firstRow">
      <w:rPr>
        <w:rFonts w:ascii="Arial" w:hAnsi="Arial"/>
        <w:b/>
        <w:color w:val="000000" w:themeColor="accent6" w:themeShade="00"/>
        <w:sz w:val="22"/>
      </w:rPr>
      <w:tblPr/>
      <w:tcPr>
        <w:tcBorders>
          <w:top w:val="none" w:sz="4" w:space="0" w:color="000000"/>
          <w:left w:val="none" w:sz="4" w:space="0" w:color="000000"/>
          <w:bottom w:val="single" w:sz="4" w:space="0" w:color="FFFFFF" w:themeColor="accent6" w:themeTint="00"/>
          <w:right w:val="none" w:sz="4" w:space="0" w:color="000000"/>
        </w:tcBorders>
        <w:shd w:val="clear" w:color="FFFFFF" w:themeColor="light1" w:fill="FFFFFF" w:themeFill="light1"/>
      </w:tcPr>
    </w:tblStylePr>
    <w:tblStylePr w:type="lastRow">
      <w:rPr>
        <w:rFonts w:ascii="Arial" w:hAnsi="Arial"/>
        <w:b/>
        <w:color w:val="000000" w:themeColor="accent6" w:themeShade="00"/>
        <w:sz w:val="22"/>
      </w:rPr>
      <w:tblPr/>
      <w:tcPr>
        <w:tcBorders>
          <w:top w:val="single" w:sz="4" w:space="0" w:color="FFFFFF" w:themeColor="accent6" w:themeTint="0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000000" w:themeColor="accent6" w:themeShade="00"/>
        <w:sz w:val="22"/>
      </w:rPr>
      <w:tblPr/>
      <w:tcPr>
        <w:tcBorders>
          <w:top w:val="none" w:sz="4" w:space="0" w:color="000000"/>
          <w:left w:val="none" w:sz="4" w:space="0" w:color="000000"/>
          <w:bottom w:val="none" w:sz="4" w:space="0" w:color="000000"/>
          <w:right w:val="single" w:sz="4" w:space="0" w:color="FFFFFF" w:themeColor="accent6" w:themeTint="00"/>
        </w:tcBorders>
        <w:shd w:val="clear" w:color="FFFFFF" w:fill="auto"/>
      </w:tcPr>
    </w:tblStylePr>
    <w:tblStylePr w:type="lastCol">
      <w:rPr>
        <w:rFonts w:ascii="Arial" w:hAnsi="Arial"/>
        <w:i/>
        <w:color w:val="000000" w:themeColor="accent6" w:themeShade="00"/>
        <w:sz w:val="22"/>
      </w:rPr>
      <w:tblPr/>
      <w:tcPr>
        <w:tcBorders>
          <w:top w:val="none" w:sz="4" w:space="0" w:color="000000"/>
          <w:left w:val="single" w:sz="4" w:space="0" w:color="FFFFFF" w:themeColor="accent6" w:themeTint="00"/>
          <w:bottom w:val="none" w:sz="4" w:space="0" w:color="000000"/>
          <w:right w:val="none" w:sz="4" w:space="0" w:color="000000"/>
        </w:tcBorders>
        <w:shd w:val="clear" w:color="FFFFFF" w:fill="auto"/>
      </w:tcPr>
    </w:tblStylePr>
    <w:tblStylePr w:type="band1Vert">
      <w:tblPr/>
      <w:tcPr>
        <w:shd w:val="clear" w:color="FFFFFF" w:themeColor="accent6" w:themeTint="00" w:fill="FFFFFF" w:themeFill="accent6" w:themeFillTint="00"/>
      </w:tcPr>
    </w:tblStylePr>
    <w:tblStylePr w:type="band1Horz">
      <w:rPr>
        <w:rFonts w:ascii="Arial" w:hAnsi="Arial"/>
        <w:color w:val="000000" w:themeColor="accent6" w:themeShade="00"/>
        <w:sz w:val="22"/>
      </w:rPr>
      <w:tblPr/>
      <w:tcPr>
        <w:shd w:val="clear" w:color="FFFFFF" w:themeColor="accent6" w:themeTint="00" w:fill="FFFFFF" w:themeFill="accent6" w:themeFillTint="00"/>
      </w:tcPr>
    </w:tblStylePr>
    <w:tblStylePr w:type="band2Horz">
      <w:rPr>
        <w:rFonts w:ascii="Arial" w:hAnsi="Arial"/>
        <w:color w:val="000000" w:themeColor="accent6" w:themeShade="00"/>
        <w:sz w:val="22"/>
      </w:rPr>
    </w:tblStylePr>
  </w:style>
  <w:style w:type="table" w:styleId="ListeTablo1Ak">
    <w:name w:val="List Table 1 Light"/>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styleId="ListeTablo1Ak-Vurgu1">
    <w:name w:val="List Table 1 Light Accent 1"/>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themeColor="accent1" w:themeTint="00" w:fill="FFFFFF" w:themeFill="accent1" w:themeFillTint="00"/>
      </w:tcPr>
    </w:tblStylePr>
    <w:tblStylePr w:type="band1Horz">
      <w:tblPr/>
      <w:tcPr>
        <w:shd w:val="clear" w:color="FFFFFF" w:themeColor="accent1" w:themeTint="00" w:fill="FFFFFF" w:themeFill="accent1" w:themeFillTint="00"/>
      </w:tcPr>
    </w:tblStylePr>
  </w:style>
  <w:style w:type="table" w:styleId="ListeTablo1Ak-Vurgu2">
    <w:name w:val="List Table 1 Light Accent 2"/>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themeColor="accent2" w:themeTint="00" w:fill="FFFFFF" w:themeFill="accent2" w:themeFillTint="00"/>
      </w:tcPr>
    </w:tblStylePr>
    <w:tblStylePr w:type="band1Horz">
      <w:tblPr/>
      <w:tcPr>
        <w:shd w:val="clear" w:color="FFFFFF" w:themeColor="accent2" w:themeTint="00" w:fill="FFFFFF" w:themeFill="accent2" w:themeFillTint="00"/>
      </w:tcPr>
    </w:tblStylePr>
  </w:style>
  <w:style w:type="table" w:styleId="ListeTablo1Ak-Vurgu3">
    <w:name w:val="List Table 1 Light Accent 3"/>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themeColor="accent3" w:themeTint="00" w:fill="FFFFFF" w:themeFill="accent3" w:themeFillTint="00"/>
      </w:tcPr>
    </w:tblStylePr>
    <w:tblStylePr w:type="band1Horz">
      <w:tblPr/>
      <w:tcPr>
        <w:shd w:val="clear" w:color="FFFFFF" w:themeColor="accent3" w:themeTint="00" w:fill="FFFFFF" w:themeFill="accent3" w:themeFillTint="00"/>
      </w:tcPr>
    </w:tblStylePr>
  </w:style>
  <w:style w:type="table" w:styleId="ListeTablo1Ak-Vurgu4">
    <w:name w:val="List Table 1 Light Accent 4"/>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themeColor="accent4" w:themeTint="00" w:fill="FFFFFF" w:themeFill="accent4" w:themeFillTint="00"/>
      </w:tcPr>
    </w:tblStylePr>
    <w:tblStylePr w:type="band1Horz">
      <w:tblPr/>
      <w:tcPr>
        <w:shd w:val="clear" w:color="FFFFFF" w:themeColor="accent4" w:themeTint="00" w:fill="FFFFFF" w:themeFill="accent4" w:themeFillTint="00"/>
      </w:tcPr>
    </w:tblStylePr>
  </w:style>
  <w:style w:type="table" w:styleId="ListeTablo1Ak-Vurgu5">
    <w:name w:val="List Table 1 Light Accent 5"/>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themeColor="accent5" w:themeTint="00" w:fill="FFFFFF" w:themeFill="accent5" w:themeFillTint="00"/>
      </w:tcPr>
    </w:tblStylePr>
    <w:tblStylePr w:type="band1Horz">
      <w:tblPr/>
      <w:tcPr>
        <w:shd w:val="clear" w:color="FFFFFF" w:themeColor="accent5" w:themeTint="00" w:fill="FFFFFF" w:themeFill="accent5" w:themeFillTint="00"/>
      </w:tcPr>
    </w:tblStylePr>
  </w:style>
  <w:style w:type="table" w:styleId="ListeTablo1Ak-Vurgu6">
    <w:name w:val="List Table 1 Light Accent 6"/>
    <w:basedOn w:val="NormalTablo"/>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themeColor="accent6" w:themeTint="00" w:fill="FFFFFF" w:themeFill="accent6" w:themeFillTint="00"/>
      </w:tcPr>
    </w:tblStylePr>
    <w:tblStylePr w:type="band1Horz">
      <w:tblPr/>
      <w:tcPr>
        <w:shd w:val="clear" w:color="FFFFFF" w:themeColor="accent6" w:themeTint="00" w:fill="FFFFFF" w:themeFill="accent6" w:themeFillTint="00"/>
      </w:tcPr>
    </w:tblStylePr>
  </w:style>
  <w:style w:type="table" w:styleId="ListeTablo2">
    <w:name w:val="List Table 2"/>
    <w:basedOn w:val="NormalTablo"/>
    <w:uiPriority w:val="99"/>
    <w:pPr>
      <w:spacing w:after="0" w:line="240" w:lineRule="auto"/>
    </w:pPr>
    <w:tblPr>
      <w:tblStyleRowBandSize w:val="1"/>
      <w:tblStyleColBandSize w:val="1"/>
      <w:tblBorders>
        <w:top w:val="single" w:sz="4" w:space="0" w:color="FFFFFF" w:themeColor="text1" w:themeTint="00"/>
        <w:bottom w:val="single" w:sz="4" w:space="0" w:color="FFFFFF" w:themeColor="text1" w:themeTint="00"/>
        <w:insideH w:val="single" w:sz="4" w:space="0" w:color="FFFFFF" w:themeColor="text1" w:themeTint="00"/>
      </w:tblBorders>
    </w:tblPr>
    <w:tblStylePr w:type="firstRow">
      <w:rPr>
        <w:rFonts w:ascii="Arial" w:hAnsi="Arial"/>
        <w:b/>
        <w:color w:val="404040"/>
        <w:sz w:val="22"/>
      </w:rPr>
      <w:tblPr/>
      <w:tcPr>
        <w:tcBorders>
          <w:top w:val="single" w:sz="4" w:space="0" w:color="FFFFFF" w:themeColor="text1" w:themeTint="00"/>
          <w:left w:val="none" w:sz="4" w:space="0" w:color="000000"/>
          <w:bottom w:val="single" w:sz="4" w:space="0" w:color="FFFFFF" w:themeColor="text1" w:themeTint="00"/>
          <w:right w:val="none" w:sz="4" w:space="0" w:color="000000"/>
        </w:tcBorders>
      </w:tcPr>
    </w:tblStylePr>
    <w:tblStylePr w:type="lastRow">
      <w:rPr>
        <w:rFonts w:ascii="Arial" w:hAnsi="Arial"/>
        <w:b/>
        <w:color w:val="404040"/>
        <w:sz w:val="22"/>
      </w:rPr>
      <w:tblPr/>
      <w:tcPr>
        <w:tcBorders>
          <w:top w:val="single" w:sz="4" w:space="0" w:color="FFFFFF" w:themeColor="text1" w:themeTint="00"/>
          <w:left w:val="none" w:sz="4" w:space="0" w:color="000000"/>
          <w:bottom w:val="single" w:sz="4" w:space="0" w:color="FFFFFF" w:themeColor="text1" w:themeTint="0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styleId="ListeTablo2-Vurgu1">
    <w:name w:val="List Table 2 Accent 1"/>
    <w:basedOn w:val="NormalTablo"/>
    <w:uiPriority w:val="99"/>
    <w:pPr>
      <w:spacing w:after="0" w:line="240" w:lineRule="auto"/>
    </w:pPr>
    <w:tblPr>
      <w:tblStyleRowBandSize w:val="1"/>
      <w:tblStyleColBandSize w:val="1"/>
      <w:tblBorders>
        <w:top w:val="single" w:sz="4" w:space="0" w:color="FFFFFF" w:themeColor="accent1" w:themeTint="00"/>
        <w:bottom w:val="single" w:sz="4" w:space="0" w:color="FFFFFF" w:themeColor="accent1" w:themeTint="00"/>
        <w:insideH w:val="single" w:sz="4" w:space="0" w:color="FFFFFF" w:themeColor="accent1" w:themeTint="00"/>
      </w:tblBorders>
    </w:tblPr>
    <w:tblStylePr w:type="firstRow">
      <w:rPr>
        <w:rFonts w:ascii="Arial" w:hAnsi="Arial"/>
        <w:b/>
        <w:color w:val="404040"/>
        <w:sz w:val="22"/>
      </w:rPr>
      <w:tblPr/>
      <w:tcPr>
        <w:tcBorders>
          <w:top w:val="single" w:sz="4" w:space="0" w:color="FFFFFF" w:themeColor="accent1" w:themeTint="00"/>
          <w:left w:val="none" w:sz="4" w:space="0" w:color="000000"/>
          <w:bottom w:val="single" w:sz="4" w:space="0" w:color="FFFFFF" w:themeColor="accent1" w:themeTint="00"/>
          <w:right w:val="none" w:sz="4" w:space="0" w:color="000000"/>
        </w:tcBorders>
      </w:tcPr>
    </w:tblStylePr>
    <w:tblStylePr w:type="lastRow">
      <w:rPr>
        <w:rFonts w:ascii="Arial" w:hAnsi="Arial"/>
        <w:b/>
        <w:color w:val="404040"/>
        <w:sz w:val="22"/>
      </w:rPr>
      <w:tblPr/>
      <w:tcPr>
        <w:tcBorders>
          <w:top w:val="single" w:sz="4" w:space="0" w:color="FFFFFF" w:themeColor="accent1" w:themeTint="00"/>
          <w:left w:val="none" w:sz="4" w:space="0" w:color="000000"/>
          <w:bottom w:val="single" w:sz="4" w:space="0" w:color="FFFFFF" w:themeColor="accent1" w:themeTint="0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themeColor="accent1" w:themeTint="00" w:fill="FFFFFF" w:themeFill="accent1" w:themeFillTint="00"/>
      </w:tcPr>
    </w:tblStylePr>
    <w:tblStylePr w:type="band1Horz">
      <w:rPr>
        <w:rFonts w:ascii="Arial" w:hAnsi="Arial"/>
        <w:color w:val="404040"/>
        <w:sz w:val="22"/>
      </w:rPr>
      <w:tblPr/>
      <w:tcPr>
        <w:shd w:val="clear" w:color="FFFFFF" w:themeColor="accent1" w:themeTint="00" w:fill="FFFFFF" w:themeFill="accent1" w:themeFillTint="00"/>
      </w:tcPr>
    </w:tblStylePr>
  </w:style>
  <w:style w:type="table" w:styleId="ListeTablo2-Vurgu2">
    <w:name w:val="List Table 2 Accent 2"/>
    <w:basedOn w:val="NormalTablo"/>
    <w:uiPriority w:val="99"/>
    <w:pPr>
      <w:spacing w:after="0" w:line="240" w:lineRule="auto"/>
    </w:pPr>
    <w:tblPr>
      <w:tblStyleRowBandSize w:val="1"/>
      <w:tblStyleColBandSize w:val="1"/>
      <w:tblBorders>
        <w:top w:val="single" w:sz="4" w:space="0" w:color="FFFFFF" w:themeColor="accent2" w:themeTint="00"/>
        <w:bottom w:val="single" w:sz="4" w:space="0" w:color="FFFFFF" w:themeColor="accent2" w:themeTint="00"/>
        <w:insideH w:val="single" w:sz="4" w:space="0" w:color="FFFFFF" w:themeColor="accent2" w:themeTint="00"/>
      </w:tblBorders>
    </w:tblPr>
    <w:tblStylePr w:type="firstRow">
      <w:rPr>
        <w:rFonts w:ascii="Arial" w:hAnsi="Arial"/>
        <w:b/>
        <w:color w:val="404040"/>
        <w:sz w:val="22"/>
      </w:rPr>
      <w:tblPr/>
      <w:tcPr>
        <w:tcBorders>
          <w:top w:val="single" w:sz="4" w:space="0" w:color="FFFFFF" w:themeColor="accent2" w:themeTint="00"/>
          <w:left w:val="none" w:sz="4" w:space="0" w:color="000000"/>
          <w:bottom w:val="single" w:sz="4" w:space="0" w:color="FFFFFF" w:themeColor="accent2" w:themeTint="00"/>
          <w:right w:val="none" w:sz="4" w:space="0" w:color="000000"/>
        </w:tcBorders>
      </w:tcPr>
    </w:tblStylePr>
    <w:tblStylePr w:type="lastRow">
      <w:rPr>
        <w:rFonts w:ascii="Arial" w:hAnsi="Arial"/>
        <w:b/>
        <w:color w:val="404040"/>
        <w:sz w:val="22"/>
      </w:rPr>
      <w:tblPr/>
      <w:tcPr>
        <w:tcBorders>
          <w:top w:val="single" w:sz="4" w:space="0" w:color="FFFFFF" w:themeColor="accent2" w:themeTint="00"/>
          <w:left w:val="none" w:sz="4" w:space="0" w:color="000000"/>
          <w:bottom w:val="single" w:sz="4" w:space="0" w:color="FFFFFF" w:themeColor="accent2" w:themeTint="0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themeColor="accent2" w:themeTint="00" w:fill="FFFFFF" w:themeFill="accent2" w:themeFillTint="00"/>
      </w:tcPr>
    </w:tblStylePr>
    <w:tblStylePr w:type="band1Horz">
      <w:rPr>
        <w:rFonts w:ascii="Arial" w:hAnsi="Arial"/>
        <w:color w:val="404040"/>
        <w:sz w:val="22"/>
      </w:rPr>
      <w:tblPr/>
      <w:tcPr>
        <w:shd w:val="clear" w:color="FFFFFF" w:themeColor="accent2" w:themeTint="00" w:fill="FFFFFF" w:themeFill="accent2" w:themeFillTint="00"/>
      </w:tcPr>
    </w:tblStylePr>
  </w:style>
  <w:style w:type="table" w:styleId="ListeTablo2-Vurgu3">
    <w:name w:val="List Table 2 Accent 3"/>
    <w:basedOn w:val="NormalTablo"/>
    <w:uiPriority w:val="99"/>
    <w:pPr>
      <w:spacing w:after="0" w:line="240" w:lineRule="auto"/>
    </w:pPr>
    <w:tblPr>
      <w:tblStyleRowBandSize w:val="1"/>
      <w:tblStyleColBandSize w:val="1"/>
      <w:tblBorders>
        <w:top w:val="single" w:sz="4" w:space="0" w:color="FFFFFF" w:themeColor="accent3" w:themeTint="00"/>
        <w:bottom w:val="single" w:sz="4" w:space="0" w:color="FFFFFF" w:themeColor="accent3" w:themeTint="00"/>
        <w:insideH w:val="single" w:sz="4" w:space="0" w:color="FFFFFF" w:themeColor="accent3" w:themeTint="00"/>
      </w:tblBorders>
    </w:tblPr>
    <w:tblStylePr w:type="firstRow">
      <w:rPr>
        <w:rFonts w:ascii="Arial" w:hAnsi="Arial"/>
        <w:b/>
        <w:color w:val="404040"/>
        <w:sz w:val="22"/>
      </w:rPr>
      <w:tblPr/>
      <w:tcPr>
        <w:tcBorders>
          <w:top w:val="single" w:sz="4" w:space="0" w:color="FFFFFF" w:themeColor="accent3" w:themeTint="00"/>
          <w:left w:val="none" w:sz="4" w:space="0" w:color="000000"/>
          <w:bottom w:val="single" w:sz="4" w:space="0" w:color="FFFFFF" w:themeColor="accent3" w:themeTint="00"/>
          <w:right w:val="none" w:sz="4" w:space="0" w:color="000000"/>
        </w:tcBorders>
      </w:tcPr>
    </w:tblStylePr>
    <w:tblStylePr w:type="lastRow">
      <w:rPr>
        <w:rFonts w:ascii="Arial" w:hAnsi="Arial"/>
        <w:b/>
        <w:color w:val="404040"/>
        <w:sz w:val="22"/>
      </w:rPr>
      <w:tblPr/>
      <w:tcPr>
        <w:tcBorders>
          <w:top w:val="single" w:sz="4" w:space="0" w:color="FFFFFF" w:themeColor="accent3" w:themeTint="00"/>
          <w:left w:val="none" w:sz="4" w:space="0" w:color="000000"/>
          <w:bottom w:val="single" w:sz="4" w:space="0" w:color="FFFFFF" w:themeColor="accent3" w:themeTint="0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themeColor="accent3" w:themeTint="00" w:fill="FFFFFF" w:themeFill="accent3" w:themeFillTint="00"/>
      </w:tcPr>
    </w:tblStylePr>
    <w:tblStylePr w:type="band1Horz">
      <w:rPr>
        <w:rFonts w:ascii="Arial" w:hAnsi="Arial"/>
        <w:color w:val="404040"/>
        <w:sz w:val="22"/>
      </w:rPr>
      <w:tblPr/>
      <w:tcPr>
        <w:shd w:val="clear" w:color="FFFFFF" w:themeColor="accent3" w:themeTint="00" w:fill="FFFFFF" w:themeFill="accent3" w:themeFillTint="00"/>
      </w:tcPr>
    </w:tblStylePr>
  </w:style>
  <w:style w:type="table" w:styleId="ListeTablo2-Vurgu4">
    <w:name w:val="List Table 2 Accent 4"/>
    <w:basedOn w:val="NormalTablo"/>
    <w:uiPriority w:val="99"/>
    <w:pPr>
      <w:spacing w:after="0" w:line="240" w:lineRule="auto"/>
    </w:pPr>
    <w:tblPr>
      <w:tblStyleRowBandSize w:val="1"/>
      <w:tblStyleColBandSize w:val="1"/>
      <w:tblBorders>
        <w:top w:val="single" w:sz="4" w:space="0" w:color="FFFFFF" w:themeColor="accent4" w:themeTint="00"/>
        <w:bottom w:val="single" w:sz="4" w:space="0" w:color="FFFFFF" w:themeColor="accent4" w:themeTint="00"/>
        <w:insideH w:val="single" w:sz="4" w:space="0" w:color="FFFFFF" w:themeColor="accent4" w:themeTint="00"/>
      </w:tblBorders>
    </w:tblPr>
    <w:tblStylePr w:type="firstRow">
      <w:rPr>
        <w:rFonts w:ascii="Arial" w:hAnsi="Arial"/>
        <w:b/>
        <w:color w:val="404040"/>
        <w:sz w:val="22"/>
      </w:rPr>
      <w:tblPr/>
      <w:tcPr>
        <w:tcBorders>
          <w:top w:val="single" w:sz="4" w:space="0" w:color="FFFFFF" w:themeColor="accent4" w:themeTint="00"/>
          <w:left w:val="none" w:sz="4" w:space="0" w:color="000000"/>
          <w:bottom w:val="single" w:sz="4" w:space="0" w:color="FFFFFF" w:themeColor="accent4" w:themeTint="00"/>
          <w:right w:val="none" w:sz="4" w:space="0" w:color="000000"/>
        </w:tcBorders>
      </w:tcPr>
    </w:tblStylePr>
    <w:tblStylePr w:type="lastRow">
      <w:rPr>
        <w:rFonts w:ascii="Arial" w:hAnsi="Arial"/>
        <w:b/>
        <w:color w:val="404040"/>
        <w:sz w:val="22"/>
      </w:rPr>
      <w:tblPr/>
      <w:tcPr>
        <w:tcBorders>
          <w:top w:val="single" w:sz="4" w:space="0" w:color="FFFFFF" w:themeColor="accent4" w:themeTint="00"/>
          <w:left w:val="none" w:sz="4" w:space="0" w:color="000000"/>
          <w:bottom w:val="single" w:sz="4" w:space="0" w:color="FFFFFF" w:themeColor="accent4" w:themeTint="0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themeColor="accent4" w:themeTint="00" w:fill="FFFFFF" w:themeFill="accent4" w:themeFillTint="00"/>
      </w:tcPr>
    </w:tblStylePr>
    <w:tblStylePr w:type="band1Horz">
      <w:rPr>
        <w:rFonts w:ascii="Arial" w:hAnsi="Arial"/>
        <w:color w:val="404040"/>
        <w:sz w:val="22"/>
      </w:rPr>
      <w:tblPr/>
      <w:tcPr>
        <w:shd w:val="clear" w:color="FFFFFF" w:themeColor="accent4" w:themeTint="00" w:fill="FFFFFF" w:themeFill="accent4" w:themeFillTint="00"/>
      </w:tcPr>
    </w:tblStylePr>
  </w:style>
  <w:style w:type="table" w:styleId="ListeTablo2-Vurgu5">
    <w:name w:val="List Table 2 Accent 5"/>
    <w:basedOn w:val="NormalTablo"/>
    <w:uiPriority w:val="99"/>
    <w:pPr>
      <w:spacing w:after="0" w:line="240" w:lineRule="auto"/>
    </w:pPr>
    <w:tblPr>
      <w:tblStyleRowBandSize w:val="1"/>
      <w:tblStyleColBandSize w:val="1"/>
      <w:tblBorders>
        <w:top w:val="single" w:sz="4" w:space="0" w:color="FFFFFF" w:themeColor="accent5" w:themeTint="00"/>
        <w:bottom w:val="single" w:sz="4" w:space="0" w:color="FFFFFF" w:themeColor="accent5" w:themeTint="00"/>
        <w:insideH w:val="single" w:sz="4" w:space="0" w:color="FFFFFF" w:themeColor="accent5" w:themeTint="00"/>
      </w:tblBorders>
    </w:tblPr>
    <w:tblStylePr w:type="firstRow">
      <w:rPr>
        <w:rFonts w:ascii="Arial" w:hAnsi="Arial"/>
        <w:b/>
        <w:color w:val="404040"/>
        <w:sz w:val="22"/>
      </w:rPr>
      <w:tblPr/>
      <w:tcPr>
        <w:tcBorders>
          <w:top w:val="single" w:sz="4" w:space="0" w:color="FFFFFF" w:themeColor="accent5" w:themeTint="00"/>
          <w:left w:val="none" w:sz="4" w:space="0" w:color="000000"/>
          <w:bottom w:val="single" w:sz="4" w:space="0" w:color="FFFFFF" w:themeColor="accent5" w:themeTint="00"/>
          <w:right w:val="none" w:sz="4" w:space="0" w:color="000000"/>
        </w:tcBorders>
      </w:tcPr>
    </w:tblStylePr>
    <w:tblStylePr w:type="lastRow">
      <w:rPr>
        <w:rFonts w:ascii="Arial" w:hAnsi="Arial"/>
        <w:b/>
        <w:color w:val="404040"/>
        <w:sz w:val="22"/>
      </w:rPr>
      <w:tblPr/>
      <w:tcPr>
        <w:tcBorders>
          <w:top w:val="single" w:sz="4" w:space="0" w:color="FFFFFF" w:themeColor="accent5" w:themeTint="00"/>
          <w:left w:val="none" w:sz="4" w:space="0" w:color="000000"/>
          <w:bottom w:val="single" w:sz="4" w:space="0" w:color="FFFFFF" w:themeColor="accent5" w:themeTint="0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themeColor="accent5" w:themeTint="00" w:fill="FFFFFF" w:themeFill="accent5" w:themeFillTint="00"/>
      </w:tcPr>
    </w:tblStylePr>
    <w:tblStylePr w:type="band1Horz">
      <w:rPr>
        <w:rFonts w:ascii="Arial" w:hAnsi="Arial"/>
        <w:color w:val="404040"/>
        <w:sz w:val="22"/>
      </w:rPr>
      <w:tblPr/>
      <w:tcPr>
        <w:shd w:val="clear" w:color="FFFFFF" w:themeColor="accent5" w:themeTint="00" w:fill="FFFFFF" w:themeFill="accent5" w:themeFillTint="00"/>
      </w:tcPr>
    </w:tblStylePr>
  </w:style>
  <w:style w:type="table" w:styleId="ListeTablo2-Vurgu6">
    <w:name w:val="List Table 2 Accent 6"/>
    <w:basedOn w:val="NormalTablo"/>
    <w:uiPriority w:val="99"/>
    <w:pPr>
      <w:spacing w:after="0" w:line="240" w:lineRule="auto"/>
    </w:pPr>
    <w:tblPr>
      <w:tblStyleRowBandSize w:val="1"/>
      <w:tblStyleColBandSize w:val="1"/>
      <w:tblBorders>
        <w:top w:val="single" w:sz="4" w:space="0" w:color="FFFFFF" w:themeColor="accent6" w:themeTint="00"/>
        <w:bottom w:val="single" w:sz="4" w:space="0" w:color="FFFFFF" w:themeColor="accent6" w:themeTint="00"/>
        <w:insideH w:val="single" w:sz="4" w:space="0" w:color="FFFFFF" w:themeColor="accent6" w:themeTint="00"/>
      </w:tblBorders>
    </w:tblPr>
    <w:tblStylePr w:type="firstRow">
      <w:rPr>
        <w:rFonts w:ascii="Arial" w:hAnsi="Arial"/>
        <w:b/>
        <w:color w:val="404040"/>
        <w:sz w:val="22"/>
      </w:rPr>
      <w:tblPr/>
      <w:tcPr>
        <w:tcBorders>
          <w:top w:val="single" w:sz="4" w:space="0" w:color="FFFFFF" w:themeColor="accent6" w:themeTint="00"/>
          <w:left w:val="none" w:sz="4" w:space="0" w:color="000000"/>
          <w:bottom w:val="single" w:sz="4" w:space="0" w:color="FFFFFF" w:themeColor="accent6" w:themeTint="00"/>
          <w:right w:val="none" w:sz="4" w:space="0" w:color="000000"/>
        </w:tcBorders>
      </w:tcPr>
    </w:tblStylePr>
    <w:tblStylePr w:type="lastRow">
      <w:rPr>
        <w:rFonts w:ascii="Arial" w:hAnsi="Arial"/>
        <w:b/>
        <w:color w:val="404040"/>
        <w:sz w:val="22"/>
      </w:rPr>
      <w:tblPr/>
      <w:tcPr>
        <w:tcBorders>
          <w:top w:val="single" w:sz="4" w:space="0" w:color="FFFFFF" w:themeColor="accent6" w:themeTint="00"/>
          <w:left w:val="none" w:sz="4" w:space="0" w:color="000000"/>
          <w:bottom w:val="single" w:sz="4" w:space="0" w:color="FFFFFF" w:themeColor="accent6" w:themeTint="0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themeColor="accent6" w:themeTint="00" w:fill="FFFFFF" w:themeFill="accent6" w:themeFillTint="00"/>
      </w:tcPr>
    </w:tblStylePr>
    <w:tblStylePr w:type="band1Horz">
      <w:rPr>
        <w:rFonts w:ascii="Arial" w:hAnsi="Arial"/>
        <w:color w:val="404040"/>
        <w:sz w:val="22"/>
      </w:rPr>
      <w:tblPr/>
      <w:tcPr>
        <w:shd w:val="clear" w:color="FFFFFF" w:themeColor="accent6" w:themeTint="00" w:fill="FFFFFF" w:themeFill="accent6" w:themeFillTint="00"/>
      </w:tcPr>
    </w:tblStylePr>
  </w:style>
  <w:style w:type="table" w:styleId="ListeTablo3">
    <w:name w:val="List Table 3"/>
    <w:basedOn w:val="NormalTablo"/>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eTablo3-Vurgu1">
    <w:name w:val="List Table 3 Accent 1"/>
    <w:basedOn w:val="NormalTablo"/>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eTablo3-Vurgu2">
    <w:name w:val="List Table 3 Accent 2"/>
    <w:basedOn w:val="NormalTablo"/>
    <w:uiPriority w:val="99"/>
    <w:pPr>
      <w:spacing w:after="0" w:line="240" w:lineRule="auto"/>
    </w:pPr>
    <w:tblPr>
      <w:tblStyleRowBandSize w:val="1"/>
      <w:tblStyleColBandSize w:val="1"/>
      <w:tblBorders>
        <w:top w:val="single" w:sz="4" w:space="0" w:color="FFFFFF" w:themeColor="accent2" w:themeTint="00"/>
        <w:left w:val="single" w:sz="4" w:space="0" w:color="FFFFFF" w:themeColor="accent2" w:themeTint="00"/>
        <w:bottom w:val="single" w:sz="4" w:space="0" w:color="FFFFFF" w:themeColor="accent2" w:themeTint="00"/>
        <w:right w:val="single" w:sz="4" w:space="0" w:color="FFFFFF" w:themeColor="accent2" w:themeTint="00"/>
      </w:tblBorders>
    </w:tblPr>
    <w:tblStylePr w:type="firstRow">
      <w:rPr>
        <w:rFonts w:ascii="Arial" w:hAnsi="Arial"/>
        <w:b/>
        <w:color w:val="FFFFFF"/>
        <w:sz w:val="22"/>
      </w:rPr>
      <w:tblPr/>
      <w:tcPr>
        <w:shd w:val="clear" w:color="FFFFFF" w:themeColor="accent2" w:themeTint="00" w:fill="FFFFFF" w:themeFill="accent2" w:themeFillTint="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FFFF" w:themeColor="accent2" w:themeTint="00"/>
          <w:right w:val="single" w:sz="4" w:space="0" w:color="FFFFFF" w:themeColor="accent2" w:themeTint="00"/>
        </w:tcBorders>
      </w:tcPr>
    </w:tblStylePr>
    <w:tblStylePr w:type="band1Horz">
      <w:rPr>
        <w:rFonts w:ascii="Arial" w:hAnsi="Arial"/>
        <w:color w:val="404040"/>
        <w:sz w:val="22"/>
      </w:rPr>
      <w:tblPr/>
      <w:tcPr>
        <w:tcBorders>
          <w:top w:val="single" w:sz="4" w:space="0" w:color="FFFFFF" w:themeColor="accent2" w:themeTint="00"/>
          <w:bottom w:val="single" w:sz="4" w:space="0" w:color="FFFFFF" w:themeColor="accent2" w:themeTint="00"/>
        </w:tcBorders>
      </w:tcPr>
    </w:tblStylePr>
  </w:style>
  <w:style w:type="table" w:styleId="ListeTablo3-Vurgu3">
    <w:name w:val="List Table 3 Accent 3"/>
    <w:basedOn w:val="NormalTablo"/>
    <w:uiPriority w:val="99"/>
    <w:pPr>
      <w:spacing w:after="0" w:line="240" w:lineRule="auto"/>
    </w:pPr>
    <w:tblPr>
      <w:tblStyleRowBandSize w:val="1"/>
      <w:tblStyleColBandSize w:val="1"/>
      <w:tblBorders>
        <w:top w:val="single" w:sz="4" w:space="0" w:color="FFFFFF" w:themeColor="accent3" w:themeTint="00"/>
        <w:left w:val="single" w:sz="4" w:space="0" w:color="FFFFFF" w:themeColor="accent3" w:themeTint="00"/>
        <w:bottom w:val="single" w:sz="4" w:space="0" w:color="FFFFFF" w:themeColor="accent3" w:themeTint="00"/>
        <w:right w:val="single" w:sz="4" w:space="0" w:color="FFFFFF" w:themeColor="accent3" w:themeTint="00"/>
      </w:tblBorders>
    </w:tblPr>
    <w:tblStylePr w:type="firstRow">
      <w:rPr>
        <w:rFonts w:ascii="Arial" w:hAnsi="Arial"/>
        <w:b/>
        <w:color w:val="FFFFFF"/>
        <w:sz w:val="22"/>
      </w:rPr>
      <w:tblPr/>
      <w:tcPr>
        <w:shd w:val="clear" w:color="FFFFFF" w:themeColor="accent3" w:themeTint="00" w:fill="FFFFFF" w:themeFill="accent3" w:themeFillTint="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FFFF" w:themeColor="accent3" w:themeTint="00"/>
          <w:right w:val="single" w:sz="4" w:space="0" w:color="FFFFFF" w:themeColor="accent3" w:themeTint="00"/>
        </w:tcBorders>
      </w:tcPr>
    </w:tblStylePr>
    <w:tblStylePr w:type="band1Horz">
      <w:rPr>
        <w:rFonts w:ascii="Arial" w:hAnsi="Arial"/>
        <w:color w:val="404040"/>
        <w:sz w:val="22"/>
      </w:rPr>
      <w:tblPr/>
      <w:tcPr>
        <w:tcBorders>
          <w:top w:val="single" w:sz="4" w:space="0" w:color="FFFFFF" w:themeColor="accent3" w:themeTint="00"/>
          <w:bottom w:val="single" w:sz="4" w:space="0" w:color="FFFFFF" w:themeColor="accent3" w:themeTint="00"/>
        </w:tcBorders>
      </w:tcPr>
    </w:tblStylePr>
  </w:style>
  <w:style w:type="table" w:styleId="ListeTablo3-Vurgu4">
    <w:name w:val="List Table 3 Accent 4"/>
    <w:basedOn w:val="NormalTablo"/>
    <w:uiPriority w:val="99"/>
    <w:pPr>
      <w:spacing w:after="0" w:line="240" w:lineRule="auto"/>
    </w:pPr>
    <w:tblPr>
      <w:tblStyleRowBandSize w:val="1"/>
      <w:tblStyleColBandSize w:val="1"/>
      <w:tblBorders>
        <w:top w:val="single" w:sz="4" w:space="0" w:color="FFFFFF" w:themeColor="accent4" w:themeTint="00"/>
        <w:left w:val="single" w:sz="4" w:space="0" w:color="FFFFFF" w:themeColor="accent4" w:themeTint="00"/>
        <w:bottom w:val="single" w:sz="4" w:space="0" w:color="FFFFFF" w:themeColor="accent4" w:themeTint="00"/>
        <w:right w:val="single" w:sz="4" w:space="0" w:color="FFFFFF" w:themeColor="accent4" w:themeTint="00"/>
      </w:tblBorders>
    </w:tblPr>
    <w:tblStylePr w:type="firstRow">
      <w:rPr>
        <w:rFonts w:ascii="Arial" w:hAnsi="Arial"/>
        <w:b/>
        <w:color w:val="FFFFFF"/>
        <w:sz w:val="22"/>
      </w:rPr>
      <w:tblPr/>
      <w:tcPr>
        <w:shd w:val="clear" w:color="FFFFFF" w:themeColor="accent4" w:themeTint="00" w:fill="FFFFFF" w:themeFill="accent4" w:themeFillTint="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FFFF" w:themeColor="accent4" w:themeTint="00"/>
          <w:right w:val="single" w:sz="4" w:space="0" w:color="FFFFFF" w:themeColor="accent4" w:themeTint="00"/>
        </w:tcBorders>
      </w:tcPr>
    </w:tblStylePr>
    <w:tblStylePr w:type="band1Horz">
      <w:rPr>
        <w:rFonts w:ascii="Arial" w:hAnsi="Arial"/>
        <w:color w:val="404040"/>
        <w:sz w:val="22"/>
      </w:rPr>
      <w:tblPr/>
      <w:tcPr>
        <w:tcBorders>
          <w:top w:val="single" w:sz="4" w:space="0" w:color="FFFFFF" w:themeColor="accent4" w:themeTint="00"/>
          <w:bottom w:val="single" w:sz="4" w:space="0" w:color="FFFFFF" w:themeColor="accent4" w:themeTint="00"/>
        </w:tcBorders>
      </w:tcPr>
    </w:tblStylePr>
  </w:style>
  <w:style w:type="table" w:styleId="ListeTablo3-Vurgu5">
    <w:name w:val="List Table 3 Accent 5"/>
    <w:basedOn w:val="NormalTablo"/>
    <w:uiPriority w:val="99"/>
    <w:pPr>
      <w:spacing w:after="0" w:line="240" w:lineRule="auto"/>
    </w:pPr>
    <w:tblPr>
      <w:tblStyleRowBandSize w:val="1"/>
      <w:tblStyleColBandSize w:val="1"/>
      <w:tblBorders>
        <w:top w:val="single" w:sz="4" w:space="0" w:color="FFFFFF" w:themeColor="accent5" w:themeTint="00"/>
        <w:left w:val="single" w:sz="4" w:space="0" w:color="FFFFFF" w:themeColor="accent5" w:themeTint="00"/>
        <w:bottom w:val="single" w:sz="4" w:space="0" w:color="FFFFFF" w:themeColor="accent5" w:themeTint="00"/>
        <w:right w:val="single" w:sz="4" w:space="0" w:color="FFFFFF" w:themeColor="accent5" w:themeTint="00"/>
      </w:tblBorders>
    </w:tblPr>
    <w:tblStylePr w:type="firstRow">
      <w:rPr>
        <w:rFonts w:ascii="Arial" w:hAnsi="Arial"/>
        <w:b/>
        <w:color w:val="FFFFFF"/>
        <w:sz w:val="22"/>
      </w:rPr>
      <w:tblPr/>
      <w:tcPr>
        <w:shd w:val="clear" w:color="FFFFFF" w:themeColor="accent5" w:themeTint="00" w:fill="FFFFFF" w:themeFill="accent5" w:themeFillTint="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FFFF" w:themeColor="accent5" w:themeTint="00"/>
          <w:right w:val="single" w:sz="4" w:space="0" w:color="FFFFFF" w:themeColor="accent5" w:themeTint="00"/>
        </w:tcBorders>
      </w:tcPr>
    </w:tblStylePr>
    <w:tblStylePr w:type="band1Horz">
      <w:rPr>
        <w:rFonts w:ascii="Arial" w:hAnsi="Arial"/>
        <w:color w:val="404040"/>
        <w:sz w:val="22"/>
      </w:rPr>
      <w:tblPr/>
      <w:tcPr>
        <w:tcBorders>
          <w:top w:val="single" w:sz="4" w:space="0" w:color="FFFFFF" w:themeColor="accent5" w:themeTint="00"/>
          <w:bottom w:val="single" w:sz="4" w:space="0" w:color="FFFFFF" w:themeColor="accent5" w:themeTint="00"/>
        </w:tcBorders>
      </w:tcPr>
    </w:tblStylePr>
  </w:style>
  <w:style w:type="table" w:styleId="ListeTablo3-Vurgu6">
    <w:name w:val="List Table 3 Accent 6"/>
    <w:basedOn w:val="NormalTablo"/>
    <w:uiPriority w:val="99"/>
    <w:pPr>
      <w:spacing w:after="0" w:line="240" w:lineRule="auto"/>
    </w:pPr>
    <w:tblPr>
      <w:tblStyleRowBandSize w:val="1"/>
      <w:tblStyleColBandSize w:val="1"/>
      <w:tblBorders>
        <w:top w:val="single" w:sz="4" w:space="0" w:color="FFFFFF" w:themeColor="accent6" w:themeTint="00"/>
        <w:left w:val="single" w:sz="4" w:space="0" w:color="FFFFFF" w:themeColor="accent6" w:themeTint="00"/>
        <w:bottom w:val="single" w:sz="4" w:space="0" w:color="FFFFFF" w:themeColor="accent6" w:themeTint="00"/>
        <w:right w:val="single" w:sz="4" w:space="0" w:color="FFFFFF" w:themeColor="accent6" w:themeTint="00"/>
      </w:tblBorders>
    </w:tblPr>
    <w:tblStylePr w:type="firstRow">
      <w:rPr>
        <w:rFonts w:ascii="Arial" w:hAnsi="Arial"/>
        <w:b/>
        <w:color w:val="FFFFFF"/>
        <w:sz w:val="22"/>
      </w:rPr>
      <w:tblPr/>
      <w:tcPr>
        <w:shd w:val="clear" w:color="FFFFFF" w:themeColor="accent6" w:themeTint="00" w:fill="FFFFFF" w:themeFill="accent6" w:themeFillTint="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FFFF" w:themeColor="accent6" w:themeTint="00"/>
          <w:right w:val="single" w:sz="4" w:space="0" w:color="FFFFFF" w:themeColor="accent6" w:themeTint="00"/>
        </w:tcBorders>
      </w:tcPr>
    </w:tblStylePr>
    <w:tblStylePr w:type="band1Horz">
      <w:rPr>
        <w:rFonts w:ascii="Arial" w:hAnsi="Arial"/>
        <w:color w:val="404040"/>
        <w:sz w:val="22"/>
      </w:rPr>
      <w:tblPr/>
      <w:tcPr>
        <w:tcBorders>
          <w:top w:val="single" w:sz="4" w:space="0" w:color="FFFFFF" w:themeColor="accent6" w:themeTint="00"/>
          <w:bottom w:val="single" w:sz="4" w:space="0" w:color="FFFFFF" w:themeColor="accent6" w:themeTint="00"/>
        </w:tcBorders>
      </w:tcPr>
    </w:tblStylePr>
  </w:style>
  <w:style w:type="table" w:styleId="ListeTablo4">
    <w:name w:val="List Table 4"/>
    <w:basedOn w:val="NormalTablo"/>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styleId="ListeTablo4-Vurgu1">
    <w:name w:val="List Table 4 Accent 1"/>
    <w:basedOn w:val="NormalTablo"/>
    <w:uiPriority w:val="99"/>
    <w:pPr>
      <w:spacing w:after="0" w:line="240" w:lineRule="auto"/>
    </w:pPr>
    <w:tblPr>
      <w:tblStyleRowBandSize w:val="1"/>
      <w:tblStyleColBandSize w:val="1"/>
      <w:tblBorders>
        <w:top w:val="single" w:sz="4" w:space="0" w:color="FFFFFF" w:themeColor="accent1" w:themeTint="00"/>
        <w:left w:val="single" w:sz="4" w:space="0" w:color="FFFFFF" w:themeColor="accent1" w:themeTint="00"/>
        <w:bottom w:val="single" w:sz="4" w:space="0" w:color="FFFFFF" w:themeColor="accent1" w:themeTint="00"/>
        <w:right w:val="single" w:sz="4" w:space="0" w:color="FFFFFF" w:themeColor="accent1" w:themeTint="00"/>
        <w:insideH w:val="single" w:sz="4" w:space="0" w:color="FFFFFF" w:themeColor="accent1" w:themeTint="0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1" w:themeTint="00" w:fill="FFFFFF" w:themeFill="accent1" w:themeFillTint="00"/>
      </w:tcPr>
    </w:tblStylePr>
    <w:tblStylePr w:type="band1Horz">
      <w:rPr>
        <w:rFonts w:ascii="Arial" w:hAnsi="Arial"/>
        <w:color w:val="404040"/>
        <w:sz w:val="22"/>
      </w:rPr>
      <w:tblPr/>
      <w:tcPr>
        <w:shd w:val="clear" w:color="FFFFFF" w:themeColor="accent1" w:themeTint="00" w:fill="FFFFFF" w:themeFill="accent1" w:themeFillTint="00"/>
      </w:tcPr>
    </w:tblStylePr>
  </w:style>
  <w:style w:type="table" w:styleId="ListeTablo4-Vurgu2">
    <w:name w:val="List Table 4 Accent 2"/>
    <w:basedOn w:val="NormalTablo"/>
    <w:uiPriority w:val="99"/>
    <w:pPr>
      <w:spacing w:after="0" w:line="240" w:lineRule="auto"/>
    </w:pPr>
    <w:tblPr>
      <w:tblStyleRowBandSize w:val="1"/>
      <w:tblStyleColBandSize w:val="1"/>
      <w:tblBorders>
        <w:top w:val="single" w:sz="4" w:space="0" w:color="FFFFFF" w:themeColor="accent2" w:themeTint="00"/>
        <w:left w:val="single" w:sz="4" w:space="0" w:color="FFFFFF" w:themeColor="accent2" w:themeTint="00"/>
        <w:bottom w:val="single" w:sz="4" w:space="0" w:color="FFFFFF" w:themeColor="accent2" w:themeTint="00"/>
        <w:right w:val="single" w:sz="4" w:space="0" w:color="FFFFFF" w:themeColor="accent2" w:themeTint="00"/>
        <w:insideH w:val="single" w:sz="4" w:space="0" w:color="FFFFFF" w:themeColor="accent2" w:themeTint="0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2" w:themeTint="00" w:fill="FFFFFF" w:themeFill="accent2" w:themeFillTint="00"/>
      </w:tcPr>
    </w:tblStylePr>
    <w:tblStylePr w:type="band1Horz">
      <w:rPr>
        <w:rFonts w:ascii="Arial" w:hAnsi="Arial"/>
        <w:color w:val="404040"/>
        <w:sz w:val="22"/>
      </w:rPr>
      <w:tblPr/>
      <w:tcPr>
        <w:shd w:val="clear" w:color="FFFFFF" w:themeColor="accent2" w:themeTint="00" w:fill="FFFFFF" w:themeFill="accent2" w:themeFillTint="00"/>
      </w:tcPr>
    </w:tblStylePr>
  </w:style>
  <w:style w:type="table" w:styleId="ListeTablo4-Vurgu3">
    <w:name w:val="List Table 4 Accent 3"/>
    <w:basedOn w:val="NormalTablo"/>
    <w:uiPriority w:val="99"/>
    <w:pPr>
      <w:spacing w:after="0" w:line="240" w:lineRule="auto"/>
    </w:pPr>
    <w:tblPr>
      <w:tblStyleRowBandSize w:val="1"/>
      <w:tblStyleColBandSize w:val="1"/>
      <w:tblBorders>
        <w:top w:val="single" w:sz="4" w:space="0" w:color="FFFFFF" w:themeColor="accent3" w:themeTint="00"/>
        <w:left w:val="single" w:sz="4" w:space="0" w:color="FFFFFF" w:themeColor="accent3" w:themeTint="00"/>
        <w:bottom w:val="single" w:sz="4" w:space="0" w:color="FFFFFF" w:themeColor="accent3" w:themeTint="00"/>
        <w:right w:val="single" w:sz="4" w:space="0" w:color="FFFFFF" w:themeColor="accent3" w:themeTint="00"/>
        <w:insideH w:val="single" w:sz="4" w:space="0" w:color="FFFFFF" w:themeColor="accent3" w:themeTint="0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3" w:themeTint="00" w:fill="FFFFFF" w:themeFill="accent3" w:themeFillTint="00"/>
      </w:tcPr>
    </w:tblStylePr>
    <w:tblStylePr w:type="band1Horz">
      <w:rPr>
        <w:rFonts w:ascii="Arial" w:hAnsi="Arial"/>
        <w:color w:val="404040"/>
        <w:sz w:val="22"/>
      </w:rPr>
      <w:tblPr/>
      <w:tcPr>
        <w:shd w:val="clear" w:color="FFFFFF" w:themeColor="accent3" w:themeTint="00" w:fill="FFFFFF" w:themeFill="accent3" w:themeFillTint="00"/>
      </w:tcPr>
    </w:tblStylePr>
  </w:style>
  <w:style w:type="table" w:styleId="ListeTablo4-Vurgu4">
    <w:name w:val="List Table 4 Accent 4"/>
    <w:basedOn w:val="NormalTablo"/>
    <w:uiPriority w:val="99"/>
    <w:pPr>
      <w:spacing w:after="0" w:line="240" w:lineRule="auto"/>
    </w:pPr>
    <w:tblPr>
      <w:tblStyleRowBandSize w:val="1"/>
      <w:tblStyleColBandSize w:val="1"/>
      <w:tblBorders>
        <w:top w:val="single" w:sz="4" w:space="0" w:color="FFFFFF" w:themeColor="accent4" w:themeTint="00"/>
        <w:left w:val="single" w:sz="4" w:space="0" w:color="FFFFFF" w:themeColor="accent4" w:themeTint="00"/>
        <w:bottom w:val="single" w:sz="4" w:space="0" w:color="FFFFFF" w:themeColor="accent4" w:themeTint="00"/>
        <w:right w:val="single" w:sz="4" w:space="0" w:color="FFFFFF" w:themeColor="accent4" w:themeTint="00"/>
        <w:insideH w:val="single" w:sz="4" w:space="0" w:color="FFFFFF" w:themeColor="accent4" w:themeTint="0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4" w:themeTint="00" w:fill="FFFFFF" w:themeFill="accent4" w:themeFillTint="00"/>
      </w:tcPr>
    </w:tblStylePr>
    <w:tblStylePr w:type="band1Horz">
      <w:rPr>
        <w:rFonts w:ascii="Arial" w:hAnsi="Arial"/>
        <w:color w:val="404040"/>
        <w:sz w:val="22"/>
      </w:rPr>
      <w:tblPr/>
      <w:tcPr>
        <w:shd w:val="clear" w:color="FFFFFF" w:themeColor="accent4" w:themeTint="00" w:fill="FFFFFF" w:themeFill="accent4" w:themeFillTint="00"/>
      </w:tcPr>
    </w:tblStylePr>
  </w:style>
  <w:style w:type="table" w:styleId="ListeTablo4-Vurgu5">
    <w:name w:val="List Table 4 Accent 5"/>
    <w:basedOn w:val="NormalTablo"/>
    <w:uiPriority w:val="99"/>
    <w:pPr>
      <w:spacing w:after="0" w:line="240" w:lineRule="auto"/>
    </w:pPr>
    <w:tblPr>
      <w:tblStyleRowBandSize w:val="1"/>
      <w:tblStyleColBandSize w:val="1"/>
      <w:tblBorders>
        <w:top w:val="single" w:sz="4" w:space="0" w:color="FFFFFF" w:themeColor="accent5" w:themeTint="00"/>
        <w:left w:val="single" w:sz="4" w:space="0" w:color="FFFFFF" w:themeColor="accent5" w:themeTint="00"/>
        <w:bottom w:val="single" w:sz="4" w:space="0" w:color="FFFFFF" w:themeColor="accent5" w:themeTint="00"/>
        <w:right w:val="single" w:sz="4" w:space="0" w:color="FFFFFF" w:themeColor="accent5" w:themeTint="00"/>
        <w:insideH w:val="single" w:sz="4" w:space="0" w:color="FFFFFF" w:themeColor="accent5" w:themeTint="0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5" w:themeTint="00" w:fill="FFFFFF" w:themeFill="accent5" w:themeFillTint="00"/>
      </w:tcPr>
    </w:tblStylePr>
    <w:tblStylePr w:type="band1Horz">
      <w:rPr>
        <w:rFonts w:ascii="Arial" w:hAnsi="Arial"/>
        <w:color w:val="404040"/>
        <w:sz w:val="22"/>
      </w:rPr>
      <w:tblPr/>
      <w:tcPr>
        <w:shd w:val="clear" w:color="FFFFFF" w:themeColor="accent5" w:themeTint="00" w:fill="FFFFFF" w:themeFill="accent5" w:themeFillTint="00"/>
      </w:tcPr>
    </w:tblStylePr>
  </w:style>
  <w:style w:type="table" w:styleId="ListeTablo4-Vurgu6">
    <w:name w:val="List Table 4 Accent 6"/>
    <w:basedOn w:val="NormalTablo"/>
    <w:uiPriority w:val="99"/>
    <w:pPr>
      <w:spacing w:after="0" w:line="240" w:lineRule="auto"/>
    </w:pPr>
    <w:tblPr>
      <w:tblStyleRowBandSize w:val="1"/>
      <w:tblStyleColBandSize w:val="1"/>
      <w:tblBorders>
        <w:top w:val="single" w:sz="4" w:space="0" w:color="FFFFFF" w:themeColor="accent6" w:themeTint="00"/>
        <w:left w:val="single" w:sz="4" w:space="0" w:color="FFFFFF" w:themeColor="accent6" w:themeTint="00"/>
        <w:bottom w:val="single" w:sz="4" w:space="0" w:color="FFFFFF" w:themeColor="accent6" w:themeTint="00"/>
        <w:right w:val="single" w:sz="4" w:space="0" w:color="FFFFFF" w:themeColor="accent6" w:themeTint="00"/>
        <w:insideH w:val="single" w:sz="4" w:space="0" w:color="FFFFFF" w:themeColor="accent6" w:themeTint="0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accent6" w:themeTint="00" w:fill="FFFFFF" w:themeFill="accent6" w:themeFillTint="00"/>
      </w:tcPr>
    </w:tblStylePr>
    <w:tblStylePr w:type="band1Horz">
      <w:rPr>
        <w:rFonts w:ascii="Arial" w:hAnsi="Arial"/>
        <w:color w:val="404040"/>
        <w:sz w:val="22"/>
      </w:rPr>
      <w:tblPr/>
      <w:tcPr>
        <w:shd w:val="clear" w:color="FFFFFF" w:themeColor="accent6" w:themeTint="00" w:fill="FFFFFF" w:themeFill="accent6" w:themeFillTint="00"/>
      </w:tcPr>
    </w:tblStylePr>
  </w:style>
  <w:style w:type="table" w:styleId="ListeTablo5-Koyu">
    <w:name w:val="List Table 5 Dark"/>
    <w:basedOn w:val="NormalTablo"/>
    <w:uiPriority w:val="99"/>
    <w:pPr>
      <w:spacing w:after="0" w:line="240" w:lineRule="auto"/>
    </w:pPr>
    <w:tblPr>
      <w:tblStyleRowBandSize w:val="1"/>
      <w:tblStyleColBandSize w:val="1"/>
      <w:tblBorders>
        <w:top w:val="single" w:sz="32" w:space="0" w:color="FFFFFF" w:themeColor="text1" w:themeTint="00"/>
        <w:left w:val="single" w:sz="32" w:space="0" w:color="FFFFFF" w:themeColor="text1" w:themeTint="00"/>
        <w:bottom w:val="single" w:sz="32" w:space="0" w:color="FFFFFF" w:themeColor="text1" w:themeTint="00"/>
        <w:right w:val="single" w:sz="32" w:space="0" w:color="FFFFFF" w:themeColor="text1" w:themeTint="00"/>
      </w:tblBorders>
      <w:shd w:val="clear" w:color="FFFFFF" w:themeColor="text1" w:themeTint="00" w:fill="FFFFFF" w:themeFill="text1" w:themeFillTint="00"/>
    </w:tblPr>
    <w:tblStylePr w:type="firstRow">
      <w:rPr>
        <w:rFonts w:ascii="Arial" w:hAnsi="Arial"/>
        <w:b/>
        <w:color w:val="FFFFFF" w:themeColor="light1"/>
        <w:sz w:val="22"/>
      </w:rPr>
      <w:tblPr/>
      <w:tcPr>
        <w:tcBorders>
          <w:top w:val="single" w:sz="32" w:space="0" w:color="FFFFFF" w:themeColor="text1" w:themeTint="00"/>
          <w:bottom w:val="single" w:sz="12" w:space="0" w:color="FFFFFF" w:themeColor="light1"/>
        </w:tcBorders>
        <w:shd w:val="clear" w:color="FFFFFF" w:themeColor="text1" w:themeTint="00" w:fill="FFFFFF" w:themeFill="text1" w:themeFillTint="0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FFFF" w:themeColor="text1" w:themeTint="00"/>
          <w:right w:val="single" w:sz="4" w:space="0" w:color="FFFFFF" w:themeColor="light1"/>
        </w:tcBorders>
      </w:tcPr>
    </w:tblStylePr>
    <w:tblStylePr w:type="lastCol">
      <w:tblPr/>
      <w:tcPr>
        <w:tcBorders>
          <w:left w:val="single" w:sz="4" w:space="0" w:color="FFFFFF" w:themeColor="light1"/>
          <w:right w:val="single" w:sz="32" w:space="0" w:color="FFFFFF" w:themeColor="text1" w:themeTint="00"/>
        </w:tcBorders>
      </w:tcPr>
    </w:tblStylePr>
    <w:tblStylePr w:type="band1Vert">
      <w:tblPr/>
      <w:tcPr>
        <w:tcBorders>
          <w:left w:val="single" w:sz="4" w:space="0" w:color="FFFFFF" w:themeColor="light1"/>
          <w:right w:val="single" w:sz="4" w:space="0" w:color="FFFFFF" w:themeColor="light1"/>
        </w:tcBorders>
        <w:shd w:val="clear" w:color="FFFFFF" w:themeColor="text1" w:themeTint="00" w:fill="FFFFFF" w:themeFill="text1" w:themeFillTint="0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themeColor="text1" w:themeTint="00" w:fill="FFFFFF" w:themeFill="text1" w:themeFillTint="00"/>
      </w:tcPr>
    </w:tblStylePr>
    <w:tblStylePr w:type="band2Horz">
      <w:tblPr/>
      <w:tcPr>
        <w:tcBorders>
          <w:top w:val="single" w:sz="4" w:space="0" w:color="FFFFFF" w:themeColor="light1"/>
          <w:bottom w:val="single" w:sz="4" w:space="0" w:color="FFFFFF" w:themeColor="light1"/>
        </w:tcBorders>
        <w:shd w:val="clear" w:color="FFFFFF" w:themeColor="text1" w:themeTint="00" w:fill="FFFFFF" w:themeFill="text1" w:themeFillTint="00"/>
      </w:tcPr>
    </w:tblStylePr>
  </w:style>
  <w:style w:type="table" w:styleId="ListeTablo5Koyu-Vurgu1">
    <w:name w:val="List Table 5 Dark Accent 1"/>
    <w:basedOn w:val="NormalTablo"/>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eTablo5Koyu-Vurgu2">
    <w:name w:val="List Table 5 Dark Accent 2"/>
    <w:basedOn w:val="NormalTablo"/>
    <w:uiPriority w:val="99"/>
    <w:pPr>
      <w:spacing w:after="0" w:line="240" w:lineRule="auto"/>
    </w:pPr>
    <w:tblPr>
      <w:tblStyleRowBandSize w:val="1"/>
      <w:tblStyleColBandSize w:val="1"/>
      <w:tblBorders>
        <w:top w:val="single" w:sz="32" w:space="0" w:color="FFFFFF" w:themeColor="accent2" w:themeTint="00"/>
        <w:left w:val="single" w:sz="32" w:space="0" w:color="FFFFFF" w:themeColor="accent2" w:themeTint="00"/>
        <w:bottom w:val="single" w:sz="32" w:space="0" w:color="FFFFFF" w:themeColor="accent2" w:themeTint="00"/>
        <w:right w:val="single" w:sz="32" w:space="0" w:color="FFFFFF" w:themeColor="accent2" w:themeTint="00"/>
      </w:tblBorders>
      <w:shd w:val="clear" w:color="FFFFFF" w:themeColor="accent2" w:themeTint="00" w:fill="FFFFFF" w:themeFill="accent2" w:themeFillTint="00"/>
    </w:tblPr>
    <w:tblStylePr w:type="firstRow">
      <w:rPr>
        <w:rFonts w:ascii="Arial" w:hAnsi="Arial"/>
        <w:b/>
        <w:color w:val="FFFFFF" w:themeColor="light1"/>
        <w:sz w:val="22"/>
      </w:rPr>
      <w:tblPr/>
      <w:tcPr>
        <w:tcBorders>
          <w:top w:val="single" w:sz="32" w:space="0" w:color="FFFFFF" w:themeColor="accent2" w:themeTint="00"/>
          <w:bottom w:val="single" w:sz="12" w:space="0" w:color="FFFFFF" w:themeColor="light1"/>
        </w:tcBorders>
        <w:shd w:val="clear" w:color="FFFFFF" w:themeColor="accent2" w:themeTint="00" w:fill="FFFFFF" w:themeFill="accent2" w:themeFillTint="0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FFFF" w:themeColor="accent2" w:themeTint="00"/>
          <w:right w:val="single" w:sz="4" w:space="0" w:color="FFFFFF" w:themeColor="light1"/>
        </w:tcBorders>
      </w:tcPr>
    </w:tblStylePr>
    <w:tblStylePr w:type="lastCol">
      <w:tblPr/>
      <w:tcPr>
        <w:tcBorders>
          <w:left w:val="single" w:sz="4" w:space="0" w:color="FFFFFF" w:themeColor="light1"/>
          <w:right w:val="single" w:sz="32" w:space="0" w:color="FFFFFF" w:themeColor="accent2" w:themeTint="00"/>
        </w:tcBorders>
      </w:tcPr>
    </w:tblStylePr>
    <w:tblStylePr w:type="band1Vert">
      <w:tblPr/>
      <w:tcPr>
        <w:tcBorders>
          <w:left w:val="single" w:sz="4" w:space="0" w:color="FFFFFF" w:themeColor="light1"/>
          <w:right w:val="single" w:sz="4" w:space="0" w:color="FFFFFF" w:themeColor="light1"/>
        </w:tcBorders>
        <w:shd w:val="clear" w:color="FFFFFF" w:themeColor="accent2" w:themeTint="00" w:fill="FFFFFF" w:themeFill="accent2" w:themeFillTint="0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themeColor="accent2" w:themeTint="00" w:fill="FFFFFF" w:themeFill="accent2" w:themeFillTint="00"/>
      </w:tcPr>
    </w:tblStylePr>
    <w:tblStylePr w:type="band2Horz">
      <w:tblPr/>
      <w:tcPr>
        <w:tcBorders>
          <w:top w:val="single" w:sz="4" w:space="0" w:color="FFFFFF" w:themeColor="light1"/>
          <w:bottom w:val="single" w:sz="4" w:space="0" w:color="FFFFFF" w:themeColor="light1"/>
        </w:tcBorders>
        <w:shd w:val="clear" w:color="FFFFFF" w:themeColor="accent2" w:themeTint="00" w:fill="FFFFFF" w:themeFill="accent2" w:themeFillTint="00"/>
      </w:tcPr>
    </w:tblStylePr>
  </w:style>
  <w:style w:type="table" w:styleId="ListeTablo5Koyu-Vurgu3">
    <w:name w:val="List Table 5 Dark Accent 3"/>
    <w:basedOn w:val="NormalTablo"/>
    <w:uiPriority w:val="99"/>
    <w:pPr>
      <w:spacing w:after="0" w:line="240" w:lineRule="auto"/>
    </w:pPr>
    <w:tblPr>
      <w:tblStyleRowBandSize w:val="1"/>
      <w:tblStyleColBandSize w:val="1"/>
      <w:tblBorders>
        <w:top w:val="single" w:sz="32" w:space="0" w:color="FFFFFF" w:themeColor="accent3" w:themeTint="00"/>
        <w:left w:val="single" w:sz="32" w:space="0" w:color="FFFFFF" w:themeColor="accent3" w:themeTint="00"/>
        <w:bottom w:val="single" w:sz="32" w:space="0" w:color="FFFFFF" w:themeColor="accent3" w:themeTint="00"/>
        <w:right w:val="single" w:sz="32" w:space="0" w:color="FFFFFF" w:themeColor="accent3" w:themeTint="00"/>
      </w:tblBorders>
      <w:shd w:val="clear" w:color="FFFFFF" w:themeColor="accent3" w:themeTint="00" w:fill="FFFFFF" w:themeFill="accent3" w:themeFillTint="00"/>
    </w:tblPr>
    <w:tblStylePr w:type="firstRow">
      <w:rPr>
        <w:rFonts w:ascii="Arial" w:hAnsi="Arial"/>
        <w:b/>
        <w:color w:val="FFFFFF" w:themeColor="light1"/>
        <w:sz w:val="22"/>
      </w:rPr>
      <w:tblPr/>
      <w:tcPr>
        <w:tcBorders>
          <w:top w:val="single" w:sz="32" w:space="0" w:color="FFFFFF" w:themeColor="accent3" w:themeTint="00"/>
          <w:bottom w:val="single" w:sz="12" w:space="0" w:color="FFFFFF" w:themeColor="light1"/>
        </w:tcBorders>
        <w:shd w:val="clear" w:color="FFFFFF" w:themeColor="accent3" w:themeTint="00" w:fill="FFFFFF" w:themeFill="accent3" w:themeFillTint="0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FFFF" w:themeColor="accent3" w:themeTint="00"/>
          <w:right w:val="single" w:sz="4" w:space="0" w:color="FFFFFF" w:themeColor="light1"/>
        </w:tcBorders>
      </w:tcPr>
    </w:tblStylePr>
    <w:tblStylePr w:type="lastCol">
      <w:tblPr/>
      <w:tcPr>
        <w:tcBorders>
          <w:left w:val="single" w:sz="4" w:space="0" w:color="FFFFFF" w:themeColor="light1"/>
          <w:right w:val="single" w:sz="32" w:space="0" w:color="FFFFFF" w:themeColor="accent3" w:themeTint="00"/>
        </w:tcBorders>
      </w:tcPr>
    </w:tblStylePr>
    <w:tblStylePr w:type="band1Vert">
      <w:tblPr/>
      <w:tcPr>
        <w:tcBorders>
          <w:left w:val="single" w:sz="4" w:space="0" w:color="FFFFFF" w:themeColor="light1"/>
          <w:right w:val="single" w:sz="4" w:space="0" w:color="FFFFFF" w:themeColor="light1"/>
        </w:tcBorders>
        <w:shd w:val="clear" w:color="FFFFFF" w:themeColor="accent3" w:themeTint="00" w:fill="FFFFFF" w:themeFill="accent3" w:themeFillTint="0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themeColor="accent3" w:themeTint="00" w:fill="FFFFFF" w:themeFill="accent3" w:themeFillTint="00"/>
      </w:tcPr>
    </w:tblStylePr>
    <w:tblStylePr w:type="band2Horz">
      <w:tblPr/>
      <w:tcPr>
        <w:tcBorders>
          <w:top w:val="single" w:sz="4" w:space="0" w:color="FFFFFF" w:themeColor="light1"/>
          <w:bottom w:val="single" w:sz="4" w:space="0" w:color="FFFFFF" w:themeColor="light1"/>
        </w:tcBorders>
        <w:shd w:val="clear" w:color="FFFFFF" w:themeColor="accent3" w:themeTint="00" w:fill="FFFFFF" w:themeFill="accent3" w:themeFillTint="00"/>
      </w:tcPr>
    </w:tblStylePr>
  </w:style>
  <w:style w:type="table" w:styleId="ListeTablo5Koyu-Vurgu4">
    <w:name w:val="List Table 5 Dark Accent 4"/>
    <w:basedOn w:val="NormalTablo"/>
    <w:uiPriority w:val="99"/>
    <w:pPr>
      <w:spacing w:after="0" w:line="240" w:lineRule="auto"/>
    </w:pPr>
    <w:tblPr>
      <w:tblStyleRowBandSize w:val="1"/>
      <w:tblStyleColBandSize w:val="1"/>
      <w:tblBorders>
        <w:top w:val="single" w:sz="32" w:space="0" w:color="FFFFFF" w:themeColor="accent4" w:themeTint="00"/>
        <w:left w:val="single" w:sz="32" w:space="0" w:color="FFFFFF" w:themeColor="accent4" w:themeTint="00"/>
        <w:bottom w:val="single" w:sz="32" w:space="0" w:color="FFFFFF" w:themeColor="accent4" w:themeTint="00"/>
        <w:right w:val="single" w:sz="32" w:space="0" w:color="FFFFFF" w:themeColor="accent4" w:themeTint="00"/>
      </w:tblBorders>
      <w:shd w:val="clear" w:color="FFFFFF" w:themeColor="accent4" w:themeTint="00" w:fill="FFFFFF" w:themeFill="accent4" w:themeFillTint="00"/>
    </w:tblPr>
    <w:tblStylePr w:type="firstRow">
      <w:rPr>
        <w:rFonts w:ascii="Arial" w:hAnsi="Arial"/>
        <w:b/>
        <w:color w:val="FFFFFF" w:themeColor="light1"/>
        <w:sz w:val="22"/>
      </w:rPr>
      <w:tblPr/>
      <w:tcPr>
        <w:tcBorders>
          <w:top w:val="single" w:sz="32" w:space="0" w:color="FFFFFF" w:themeColor="accent4" w:themeTint="00"/>
          <w:bottom w:val="single" w:sz="12" w:space="0" w:color="FFFFFF" w:themeColor="light1"/>
        </w:tcBorders>
        <w:shd w:val="clear" w:color="FFFFFF" w:themeColor="accent4" w:themeTint="00" w:fill="FFFFFF" w:themeFill="accent4" w:themeFillTint="0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FFFF" w:themeColor="accent4" w:themeTint="00"/>
          <w:right w:val="single" w:sz="4" w:space="0" w:color="FFFFFF" w:themeColor="light1"/>
        </w:tcBorders>
      </w:tcPr>
    </w:tblStylePr>
    <w:tblStylePr w:type="lastCol">
      <w:tblPr/>
      <w:tcPr>
        <w:tcBorders>
          <w:left w:val="single" w:sz="4" w:space="0" w:color="FFFFFF" w:themeColor="light1"/>
          <w:right w:val="single" w:sz="32" w:space="0" w:color="FFFFFF" w:themeColor="accent4" w:themeTint="00"/>
        </w:tcBorders>
      </w:tcPr>
    </w:tblStylePr>
    <w:tblStylePr w:type="band1Vert">
      <w:tblPr/>
      <w:tcPr>
        <w:tcBorders>
          <w:left w:val="single" w:sz="4" w:space="0" w:color="FFFFFF" w:themeColor="light1"/>
          <w:right w:val="single" w:sz="4" w:space="0" w:color="FFFFFF" w:themeColor="light1"/>
        </w:tcBorders>
        <w:shd w:val="clear" w:color="FFFFFF" w:themeColor="accent4" w:themeTint="00" w:fill="FFFFFF" w:themeFill="accent4" w:themeFillTint="0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themeColor="accent4" w:themeTint="00" w:fill="FFFFFF" w:themeFill="accent4" w:themeFillTint="00"/>
      </w:tcPr>
    </w:tblStylePr>
    <w:tblStylePr w:type="band2Horz">
      <w:tblPr/>
      <w:tcPr>
        <w:tcBorders>
          <w:top w:val="single" w:sz="4" w:space="0" w:color="FFFFFF" w:themeColor="light1"/>
          <w:bottom w:val="single" w:sz="4" w:space="0" w:color="FFFFFF" w:themeColor="light1"/>
        </w:tcBorders>
        <w:shd w:val="clear" w:color="FFFFFF" w:themeColor="accent4" w:themeTint="00" w:fill="FFFFFF" w:themeFill="accent4" w:themeFillTint="00"/>
      </w:tcPr>
    </w:tblStylePr>
  </w:style>
  <w:style w:type="table" w:styleId="ListeTablo5Koyu-Vurgu5">
    <w:name w:val="List Table 5 Dark Accent 5"/>
    <w:basedOn w:val="NormalTablo"/>
    <w:uiPriority w:val="99"/>
    <w:pPr>
      <w:spacing w:after="0" w:line="240" w:lineRule="auto"/>
    </w:pPr>
    <w:tblPr>
      <w:tblStyleRowBandSize w:val="1"/>
      <w:tblStyleColBandSize w:val="1"/>
      <w:tblBorders>
        <w:top w:val="single" w:sz="32" w:space="0" w:color="FFFFFF" w:themeColor="accent5" w:themeTint="00"/>
        <w:left w:val="single" w:sz="32" w:space="0" w:color="FFFFFF" w:themeColor="accent5" w:themeTint="00"/>
        <w:bottom w:val="single" w:sz="32" w:space="0" w:color="FFFFFF" w:themeColor="accent5" w:themeTint="00"/>
        <w:right w:val="single" w:sz="32" w:space="0" w:color="FFFFFF" w:themeColor="accent5" w:themeTint="00"/>
      </w:tblBorders>
      <w:shd w:val="clear" w:color="FFFFFF" w:themeColor="accent5" w:themeTint="00" w:fill="FFFFFF" w:themeFill="accent5" w:themeFillTint="00"/>
    </w:tblPr>
    <w:tblStylePr w:type="firstRow">
      <w:rPr>
        <w:rFonts w:ascii="Arial" w:hAnsi="Arial"/>
        <w:b/>
        <w:color w:val="FFFFFF" w:themeColor="light1"/>
        <w:sz w:val="22"/>
      </w:rPr>
      <w:tblPr/>
      <w:tcPr>
        <w:tcBorders>
          <w:top w:val="single" w:sz="32" w:space="0" w:color="FFFFFF" w:themeColor="accent5" w:themeTint="00"/>
          <w:bottom w:val="single" w:sz="12" w:space="0" w:color="FFFFFF" w:themeColor="light1"/>
        </w:tcBorders>
        <w:shd w:val="clear" w:color="FFFFFF" w:themeColor="accent5" w:themeTint="00" w:fill="FFFFFF" w:themeFill="accent5" w:themeFillTint="0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FFFF" w:themeColor="accent5" w:themeTint="00"/>
          <w:right w:val="single" w:sz="4" w:space="0" w:color="FFFFFF" w:themeColor="light1"/>
        </w:tcBorders>
      </w:tcPr>
    </w:tblStylePr>
    <w:tblStylePr w:type="lastCol">
      <w:tblPr/>
      <w:tcPr>
        <w:tcBorders>
          <w:left w:val="single" w:sz="4" w:space="0" w:color="FFFFFF" w:themeColor="light1"/>
          <w:right w:val="single" w:sz="32" w:space="0" w:color="FFFFFF" w:themeColor="accent5" w:themeTint="00"/>
        </w:tcBorders>
      </w:tcPr>
    </w:tblStylePr>
    <w:tblStylePr w:type="band1Vert">
      <w:tblPr/>
      <w:tcPr>
        <w:tcBorders>
          <w:left w:val="single" w:sz="4" w:space="0" w:color="FFFFFF" w:themeColor="light1"/>
          <w:right w:val="single" w:sz="4" w:space="0" w:color="FFFFFF" w:themeColor="light1"/>
        </w:tcBorders>
        <w:shd w:val="clear" w:color="FFFFFF" w:themeColor="accent5" w:themeTint="00" w:fill="FFFFFF" w:themeFill="accent5" w:themeFillTint="0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themeColor="accent5" w:themeTint="00" w:fill="FFFFFF" w:themeFill="accent5" w:themeFillTint="00"/>
      </w:tcPr>
    </w:tblStylePr>
    <w:tblStylePr w:type="band2Horz">
      <w:tblPr/>
      <w:tcPr>
        <w:tcBorders>
          <w:top w:val="single" w:sz="4" w:space="0" w:color="FFFFFF" w:themeColor="light1"/>
          <w:bottom w:val="single" w:sz="4" w:space="0" w:color="FFFFFF" w:themeColor="light1"/>
        </w:tcBorders>
        <w:shd w:val="clear" w:color="FFFFFF" w:themeColor="accent5" w:themeTint="00" w:fill="FFFFFF" w:themeFill="accent5" w:themeFillTint="00"/>
      </w:tcPr>
    </w:tblStylePr>
  </w:style>
  <w:style w:type="table" w:styleId="ListeTablo5Koyu-Vurgu6">
    <w:name w:val="List Table 5 Dark Accent 6"/>
    <w:basedOn w:val="NormalTablo"/>
    <w:uiPriority w:val="99"/>
    <w:pPr>
      <w:spacing w:after="0" w:line="240" w:lineRule="auto"/>
    </w:pPr>
    <w:tblPr>
      <w:tblStyleRowBandSize w:val="1"/>
      <w:tblStyleColBandSize w:val="1"/>
      <w:tblBorders>
        <w:top w:val="single" w:sz="32" w:space="0" w:color="FFFFFF" w:themeColor="accent6" w:themeTint="00"/>
        <w:left w:val="single" w:sz="32" w:space="0" w:color="FFFFFF" w:themeColor="accent6" w:themeTint="00"/>
        <w:bottom w:val="single" w:sz="32" w:space="0" w:color="FFFFFF" w:themeColor="accent6" w:themeTint="00"/>
        <w:right w:val="single" w:sz="32" w:space="0" w:color="FFFFFF" w:themeColor="accent6" w:themeTint="00"/>
      </w:tblBorders>
      <w:shd w:val="clear" w:color="FFFFFF" w:themeColor="accent6" w:themeTint="00" w:fill="FFFFFF" w:themeFill="accent6" w:themeFillTint="00"/>
    </w:tblPr>
    <w:tblStylePr w:type="firstRow">
      <w:rPr>
        <w:rFonts w:ascii="Arial" w:hAnsi="Arial"/>
        <w:b/>
        <w:color w:val="FFFFFF" w:themeColor="light1"/>
        <w:sz w:val="22"/>
      </w:rPr>
      <w:tblPr/>
      <w:tcPr>
        <w:tcBorders>
          <w:top w:val="single" w:sz="32" w:space="0" w:color="FFFFFF" w:themeColor="accent6" w:themeTint="00"/>
          <w:bottom w:val="single" w:sz="12" w:space="0" w:color="FFFFFF" w:themeColor="light1"/>
        </w:tcBorders>
        <w:shd w:val="clear" w:color="FFFFFF" w:themeColor="accent6" w:themeTint="00" w:fill="FFFFFF" w:themeFill="accent6" w:themeFillTint="0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FFFF" w:themeColor="accent6" w:themeTint="00"/>
          <w:right w:val="single" w:sz="4" w:space="0" w:color="FFFFFF" w:themeColor="light1"/>
        </w:tcBorders>
      </w:tcPr>
    </w:tblStylePr>
    <w:tblStylePr w:type="lastCol">
      <w:tblPr/>
      <w:tcPr>
        <w:tcBorders>
          <w:left w:val="single" w:sz="4" w:space="0" w:color="FFFFFF" w:themeColor="light1"/>
          <w:right w:val="single" w:sz="32" w:space="0" w:color="FFFFFF" w:themeColor="accent6" w:themeTint="00"/>
        </w:tcBorders>
      </w:tcPr>
    </w:tblStylePr>
    <w:tblStylePr w:type="band1Vert">
      <w:tblPr/>
      <w:tcPr>
        <w:tcBorders>
          <w:left w:val="single" w:sz="4" w:space="0" w:color="FFFFFF" w:themeColor="light1"/>
          <w:right w:val="single" w:sz="4" w:space="0" w:color="FFFFFF" w:themeColor="light1"/>
        </w:tcBorders>
        <w:shd w:val="clear" w:color="FFFFFF" w:themeColor="accent6" w:themeTint="00" w:fill="FFFFFF" w:themeFill="accent6" w:themeFillTint="0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themeColor="accent6" w:themeTint="00" w:fill="FFFFFF" w:themeFill="accent6" w:themeFillTint="00"/>
      </w:tcPr>
    </w:tblStylePr>
    <w:tblStylePr w:type="band2Horz">
      <w:tblPr/>
      <w:tcPr>
        <w:tcBorders>
          <w:top w:val="single" w:sz="4" w:space="0" w:color="FFFFFF" w:themeColor="light1"/>
          <w:bottom w:val="single" w:sz="4" w:space="0" w:color="FFFFFF" w:themeColor="light1"/>
        </w:tcBorders>
        <w:shd w:val="clear" w:color="FFFFFF" w:themeColor="accent6" w:themeTint="00" w:fill="FFFFFF" w:themeFill="accent6" w:themeFillTint="00"/>
      </w:tcPr>
    </w:tblStylePr>
  </w:style>
  <w:style w:type="table" w:styleId="ListeTablo6Renkli">
    <w:name w:val="List Table 6 Colorful"/>
    <w:basedOn w:val="NormalTablo"/>
    <w:uiPriority w:val="99"/>
    <w:pPr>
      <w:spacing w:after="0" w:line="240" w:lineRule="auto"/>
    </w:pPr>
    <w:tblPr>
      <w:tblStyleRowBandSize w:val="1"/>
      <w:tblStyleColBandSize w:val="1"/>
      <w:tblBorders>
        <w:top w:val="single" w:sz="4" w:space="0" w:color="FFFFFF" w:themeColor="text1" w:themeTint="00"/>
        <w:bottom w:val="single" w:sz="4" w:space="0" w:color="FFFFFF" w:themeColor="text1" w:themeTint="00"/>
      </w:tblBorders>
    </w:tblPr>
    <w:tblStylePr w:type="firstRow">
      <w:rPr>
        <w:b/>
        <w:color w:val="000000" w:themeColor="text1"/>
      </w:rPr>
      <w:tblPr/>
      <w:tcPr>
        <w:tcBorders>
          <w:bottom w:val="single" w:sz="4" w:space="0" w:color="FFFFFF" w:themeColor="text1" w:themeTint="00"/>
        </w:tcBorders>
      </w:tcPr>
    </w:tblStylePr>
    <w:tblStylePr w:type="lastRow">
      <w:rPr>
        <w:b/>
        <w:color w:val="000000" w:themeColor="text1"/>
      </w:rPr>
      <w:tblPr/>
      <w:tcPr>
        <w:tcBorders>
          <w:top w:val="single" w:sz="4" w:space="0" w:color="FFFFFF" w:themeColor="text1" w:themeTint="00"/>
        </w:tcBorders>
      </w:tcPr>
    </w:tblStylePr>
    <w:tblStylePr w:type="firstCol">
      <w:rPr>
        <w:b/>
        <w:color w:val="000000" w:themeColor="text1"/>
      </w:rPr>
    </w:tblStylePr>
    <w:tblStylePr w:type="lastCol">
      <w:rPr>
        <w:b/>
        <w:color w:val="000000" w:themeColor="text1"/>
      </w:rPr>
    </w:tblStylePr>
    <w:tblStylePr w:type="band1Vert">
      <w:tblPr/>
      <w:tcPr>
        <w:shd w:val="clear" w:color="FFFFFF" w:themeColor="text1" w:themeTint="00" w:fill="FFFFFF" w:themeFill="text1" w:themeFillTint="00"/>
      </w:tcPr>
    </w:tblStylePr>
    <w:tblStylePr w:type="band1Horz">
      <w:rPr>
        <w:rFonts w:ascii="Arial" w:hAnsi="Arial"/>
        <w:color w:val="000000" w:themeColor="text1"/>
        <w:sz w:val="22"/>
      </w:rPr>
      <w:tblPr/>
      <w:tcPr>
        <w:shd w:val="clear" w:color="FFFFFF" w:themeColor="text1" w:themeTint="00" w:fill="FFFFFF" w:themeFill="text1" w:themeFillTint="00"/>
      </w:tcPr>
    </w:tblStylePr>
    <w:tblStylePr w:type="band2Horz">
      <w:rPr>
        <w:rFonts w:ascii="Arial" w:hAnsi="Arial"/>
        <w:color w:val="000000" w:themeColor="text1"/>
        <w:sz w:val="22"/>
      </w:rPr>
    </w:tblStylePr>
  </w:style>
  <w:style w:type="table" w:customStyle="1" w:styleId="ListTable6Colorful-Accent1">
    <w:name w:val="List Table 6 Colorful - Accent 1"/>
    <w:basedOn w:val="NormalTablo"/>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000000" w:themeColor="accent1" w:themeShade="00"/>
      </w:rPr>
      <w:tblPr/>
      <w:tcPr>
        <w:tcBorders>
          <w:bottom w:val="single" w:sz="4" w:space="0" w:color="5B9BD5" w:themeColor="accent1"/>
        </w:tcBorders>
      </w:tcPr>
    </w:tblStylePr>
    <w:tblStylePr w:type="lastRow">
      <w:rPr>
        <w:b/>
        <w:color w:val="000000" w:themeColor="accent1" w:themeShade="00"/>
      </w:rPr>
      <w:tblPr/>
      <w:tcPr>
        <w:tcBorders>
          <w:top w:val="single" w:sz="4" w:space="0" w:color="5B9BD5" w:themeColor="accent1"/>
        </w:tcBorders>
      </w:tcPr>
    </w:tblStylePr>
    <w:tblStylePr w:type="firstCol">
      <w:rPr>
        <w:b/>
        <w:color w:val="000000" w:themeColor="accent1" w:themeShade="00"/>
      </w:rPr>
    </w:tblStylePr>
    <w:tblStylePr w:type="lastCol">
      <w:rPr>
        <w:b/>
        <w:color w:val="000000" w:themeColor="accent1" w:themeShade="00"/>
      </w:rPr>
    </w:tblStylePr>
    <w:tblStylePr w:type="band1Vert">
      <w:tblPr/>
      <w:tcPr>
        <w:shd w:val="clear" w:color="FFFFFF" w:themeColor="accent1" w:themeTint="00" w:fill="FFFFFF" w:themeFill="accent1" w:themeFillTint="00"/>
      </w:tcPr>
    </w:tblStylePr>
    <w:tblStylePr w:type="band1Horz">
      <w:rPr>
        <w:rFonts w:ascii="Arial" w:hAnsi="Arial"/>
        <w:color w:val="000000" w:themeColor="accent1" w:themeShade="00"/>
        <w:sz w:val="22"/>
      </w:rPr>
      <w:tblPr/>
      <w:tcPr>
        <w:shd w:val="clear" w:color="FFFFFF" w:themeColor="accent1" w:themeTint="00" w:fill="FFFFFF" w:themeFill="accent1" w:themeFillTint="00"/>
      </w:tcPr>
    </w:tblStylePr>
    <w:tblStylePr w:type="band2Horz">
      <w:rPr>
        <w:rFonts w:ascii="Arial" w:hAnsi="Arial"/>
        <w:color w:val="000000" w:themeColor="accent1" w:themeShade="00"/>
        <w:sz w:val="22"/>
      </w:rPr>
    </w:tblStylePr>
  </w:style>
  <w:style w:type="table" w:customStyle="1" w:styleId="ListTable6Colorful-Accent2">
    <w:name w:val="List Table 6 Colorful - Accent 2"/>
    <w:basedOn w:val="NormalTablo"/>
    <w:uiPriority w:val="99"/>
    <w:pPr>
      <w:spacing w:after="0" w:line="240" w:lineRule="auto"/>
    </w:pPr>
    <w:tblPr>
      <w:tblStyleRowBandSize w:val="1"/>
      <w:tblStyleColBandSize w:val="1"/>
      <w:tblBorders>
        <w:top w:val="single" w:sz="4" w:space="0" w:color="FFFFFF" w:themeColor="accent2" w:themeTint="00"/>
        <w:bottom w:val="single" w:sz="4" w:space="0" w:color="FFFFFF" w:themeColor="accent2" w:themeTint="00"/>
      </w:tblBorders>
    </w:tblPr>
    <w:tblStylePr w:type="firstRow">
      <w:rPr>
        <w:b/>
        <w:color w:val="FFFFFF" w:themeColor="accent2" w:themeTint="00" w:themeShade="00"/>
      </w:rPr>
      <w:tblPr/>
      <w:tcPr>
        <w:tcBorders>
          <w:bottom w:val="single" w:sz="4" w:space="0" w:color="FFFFFF" w:themeColor="accent2" w:themeTint="00"/>
        </w:tcBorders>
      </w:tcPr>
    </w:tblStylePr>
    <w:tblStylePr w:type="lastRow">
      <w:rPr>
        <w:b/>
        <w:color w:val="FFFFFF" w:themeColor="accent2" w:themeTint="00" w:themeShade="00"/>
      </w:rPr>
      <w:tblPr/>
      <w:tcPr>
        <w:tcBorders>
          <w:top w:val="single" w:sz="4" w:space="0" w:color="FFFFFF" w:themeColor="accent2" w:themeTint="00"/>
        </w:tcBorders>
      </w:tcPr>
    </w:tblStylePr>
    <w:tblStylePr w:type="firstCol">
      <w:rPr>
        <w:b/>
        <w:color w:val="FFFFFF" w:themeColor="accent2" w:themeTint="00" w:themeShade="00"/>
      </w:rPr>
    </w:tblStylePr>
    <w:tblStylePr w:type="lastCol">
      <w:rPr>
        <w:b/>
        <w:color w:val="FFFFFF" w:themeColor="accent2" w:themeTint="00" w:themeShade="00"/>
      </w:rPr>
    </w:tblStylePr>
    <w:tblStylePr w:type="band1Vert">
      <w:tblPr/>
      <w:tcPr>
        <w:shd w:val="clear" w:color="FFFFFF" w:themeColor="accent2" w:themeTint="00" w:fill="FFFFFF" w:themeFill="accent2" w:themeFillTint="00"/>
      </w:tcPr>
    </w:tblStylePr>
    <w:tblStylePr w:type="band1Horz">
      <w:rPr>
        <w:rFonts w:ascii="Arial" w:hAnsi="Arial"/>
        <w:color w:val="FFFFFF" w:themeColor="accent2" w:themeTint="00" w:themeShade="00"/>
        <w:sz w:val="22"/>
      </w:rPr>
      <w:tblPr/>
      <w:tcPr>
        <w:shd w:val="clear" w:color="FFFFFF" w:themeColor="accent2" w:themeTint="00" w:fill="FFFFFF" w:themeFill="accent2" w:themeFillTint="00"/>
      </w:tcPr>
    </w:tblStylePr>
    <w:tblStylePr w:type="band2Horz">
      <w:rPr>
        <w:rFonts w:ascii="Arial" w:hAnsi="Arial"/>
        <w:color w:val="FFFFFF" w:themeColor="accent2" w:themeTint="00" w:themeShade="00"/>
        <w:sz w:val="22"/>
      </w:rPr>
    </w:tblStylePr>
  </w:style>
  <w:style w:type="table" w:customStyle="1" w:styleId="ListTable6Colorful-Accent3">
    <w:name w:val="List Table 6 Colorful - Accent 3"/>
    <w:basedOn w:val="NormalTablo"/>
    <w:uiPriority w:val="99"/>
    <w:pPr>
      <w:spacing w:after="0" w:line="240" w:lineRule="auto"/>
    </w:pPr>
    <w:tblPr>
      <w:tblStyleRowBandSize w:val="1"/>
      <w:tblStyleColBandSize w:val="1"/>
      <w:tblBorders>
        <w:top w:val="single" w:sz="4" w:space="0" w:color="FFFFFF" w:themeColor="accent3" w:themeTint="00"/>
        <w:bottom w:val="single" w:sz="4" w:space="0" w:color="FFFFFF" w:themeColor="accent3" w:themeTint="00"/>
      </w:tblBorders>
    </w:tblPr>
    <w:tblStylePr w:type="firstRow">
      <w:rPr>
        <w:b/>
        <w:color w:val="FFFFFF" w:themeColor="accent3" w:themeTint="00" w:themeShade="00"/>
      </w:rPr>
      <w:tblPr/>
      <w:tcPr>
        <w:tcBorders>
          <w:bottom w:val="single" w:sz="4" w:space="0" w:color="FFFFFF" w:themeColor="accent3" w:themeTint="00"/>
        </w:tcBorders>
      </w:tcPr>
    </w:tblStylePr>
    <w:tblStylePr w:type="lastRow">
      <w:rPr>
        <w:b/>
        <w:color w:val="FFFFFF" w:themeColor="accent3" w:themeTint="00" w:themeShade="00"/>
      </w:rPr>
      <w:tblPr/>
      <w:tcPr>
        <w:tcBorders>
          <w:top w:val="single" w:sz="4" w:space="0" w:color="FFFFFF" w:themeColor="accent3" w:themeTint="00"/>
        </w:tcBorders>
      </w:tcPr>
    </w:tblStylePr>
    <w:tblStylePr w:type="firstCol">
      <w:rPr>
        <w:b/>
        <w:color w:val="FFFFFF" w:themeColor="accent3" w:themeTint="00" w:themeShade="00"/>
      </w:rPr>
    </w:tblStylePr>
    <w:tblStylePr w:type="lastCol">
      <w:rPr>
        <w:b/>
        <w:color w:val="FFFFFF" w:themeColor="accent3" w:themeTint="00" w:themeShade="00"/>
      </w:rPr>
    </w:tblStylePr>
    <w:tblStylePr w:type="band1Vert">
      <w:tblPr/>
      <w:tcPr>
        <w:shd w:val="clear" w:color="FFFFFF" w:themeColor="accent3" w:themeTint="00" w:fill="FFFFFF" w:themeFill="accent3" w:themeFillTint="00"/>
      </w:tcPr>
    </w:tblStylePr>
    <w:tblStylePr w:type="band1Horz">
      <w:rPr>
        <w:rFonts w:ascii="Arial" w:hAnsi="Arial"/>
        <w:color w:val="FFFFFF" w:themeColor="accent3" w:themeTint="00" w:themeShade="00"/>
        <w:sz w:val="22"/>
      </w:rPr>
      <w:tblPr/>
      <w:tcPr>
        <w:shd w:val="clear" w:color="FFFFFF" w:themeColor="accent3" w:themeTint="00" w:fill="FFFFFF" w:themeFill="accent3" w:themeFillTint="00"/>
      </w:tcPr>
    </w:tblStylePr>
    <w:tblStylePr w:type="band2Horz">
      <w:rPr>
        <w:rFonts w:ascii="Arial" w:hAnsi="Arial"/>
        <w:color w:val="FFFFFF" w:themeColor="accent3" w:themeTint="00" w:themeShade="00"/>
        <w:sz w:val="22"/>
      </w:rPr>
    </w:tblStylePr>
  </w:style>
  <w:style w:type="table" w:customStyle="1" w:styleId="ListTable6Colorful-Accent4">
    <w:name w:val="List Table 6 Colorful - Accent 4"/>
    <w:basedOn w:val="NormalTablo"/>
    <w:uiPriority w:val="99"/>
    <w:pPr>
      <w:spacing w:after="0" w:line="240" w:lineRule="auto"/>
    </w:pPr>
    <w:tblPr>
      <w:tblStyleRowBandSize w:val="1"/>
      <w:tblStyleColBandSize w:val="1"/>
      <w:tblBorders>
        <w:top w:val="single" w:sz="4" w:space="0" w:color="FFFFFF" w:themeColor="accent4" w:themeTint="00"/>
        <w:bottom w:val="single" w:sz="4" w:space="0" w:color="FFFFFF" w:themeColor="accent4" w:themeTint="00"/>
      </w:tblBorders>
    </w:tblPr>
    <w:tblStylePr w:type="firstRow">
      <w:rPr>
        <w:b/>
        <w:color w:val="FFFFFF" w:themeColor="accent4" w:themeTint="00" w:themeShade="00"/>
      </w:rPr>
      <w:tblPr/>
      <w:tcPr>
        <w:tcBorders>
          <w:bottom w:val="single" w:sz="4" w:space="0" w:color="FFFFFF" w:themeColor="accent4" w:themeTint="00"/>
        </w:tcBorders>
      </w:tcPr>
    </w:tblStylePr>
    <w:tblStylePr w:type="lastRow">
      <w:rPr>
        <w:b/>
        <w:color w:val="FFFFFF" w:themeColor="accent4" w:themeTint="00" w:themeShade="00"/>
      </w:rPr>
      <w:tblPr/>
      <w:tcPr>
        <w:tcBorders>
          <w:top w:val="single" w:sz="4" w:space="0" w:color="FFFFFF" w:themeColor="accent4" w:themeTint="00"/>
        </w:tcBorders>
      </w:tcPr>
    </w:tblStylePr>
    <w:tblStylePr w:type="firstCol">
      <w:rPr>
        <w:b/>
        <w:color w:val="FFFFFF" w:themeColor="accent4" w:themeTint="00" w:themeShade="00"/>
      </w:rPr>
    </w:tblStylePr>
    <w:tblStylePr w:type="lastCol">
      <w:rPr>
        <w:b/>
        <w:color w:val="FFFFFF" w:themeColor="accent4" w:themeTint="00" w:themeShade="00"/>
      </w:rPr>
    </w:tblStylePr>
    <w:tblStylePr w:type="band1Vert">
      <w:tblPr/>
      <w:tcPr>
        <w:shd w:val="clear" w:color="FFFFFF" w:themeColor="accent4" w:themeTint="00" w:fill="FFFFFF" w:themeFill="accent4" w:themeFillTint="00"/>
      </w:tcPr>
    </w:tblStylePr>
    <w:tblStylePr w:type="band1Horz">
      <w:rPr>
        <w:rFonts w:ascii="Arial" w:hAnsi="Arial"/>
        <w:color w:val="FFFFFF" w:themeColor="accent4" w:themeTint="00" w:themeShade="00"/>
        <w:sz w:val="22"/>
      </w:rPr>
      <w:tblPr/>
      <w:tcPr>
        <w:shd w:val="clear" w:color="FFFFFF" w:themeColor="accent4" w:themeTint="00" w:fill="FFFFFF" w:themeFill="accent4" w:themeFillTint="00"/>
      </w:tcPr>
    </w:tblStylePr>
    <w:tblStylePr w:type="band2Horz">
      <w:rPr>
        <w:rFonts w:ascii="Arial" w:hAnsi="Arial"/>
        <w:color w:val="FFFFFF" w:themeColor="accent4" w:themeTint="00" w:themeShade="00"/>
        <w:sz w:val="22"/>
      </w:rPr>
    </w:tblStylePr>
  </w:style>
  <w:style w:type="table" w:customStyle="1" w:styleId="ListTable6Colorful-Accent5">
    <w:name w:val="List Table 6 Colorful - Accent 5"/>
    <w:basedOn w:val="NormalTablo"/>
    <w:uiPriority w:val="99"/>
    <w:pPr>
      <w:spacing w:after="0" w:line="240" w:lineRule="auto"/>
    </w:pPr>
    <w:tblPr>
      <w:tblStyleRowBandSize w:val="1"/>
      <w:tblStyleColBandSize w:val="1"/>
      <w:tblBorders>
        <w:top w:val="single" w:sz="4" w:space="0" w:color="FFFFFF" w:themeColor="accent5" w:themeTint="00"/>
        <w:bottom w:val="single" w:sz="4" w:space="0" w:color="FFFFFF" w:themeColor="accent5" w:themeTint="00"/>
      </w:tblBorders>
    </w:tblPr>
    <w:tblStylePr w:type="firstRow">
      <w:rPr>
        <w:b/>
        <w:color w:val="FFFFFF" w:themeColor="accent5" w:themeTint="00" w:themeShade="00"/>
      </w:rPr>
      <w:tblPr/>
      <w:tcPr>
        <w:tcBorders>
          <w:bottom w:val="single" w:sz="4" w:space="0" w:color="FFFFFF" w:themeColor="accent5" w:themeTint="00"/>
        </w:tcBorders>
      </w:tcPr>
    </w:tblStylePr>
    <w:tblStylePr w:type="lastRow">
      <w:rPr>
        <w:b/>
        <w:color w:val="FFFFFF" w:themeColor="accent5" w:themeTint="00" w:themeShade="00"/>
      </w:rPr>
      <w:tblPr/>
      <w:tcPr>
        <w:tcBorders>
          <w:top w:val="single" w:sz="4" w:space="0" w:color="FFFFFF" w:themeColor="accent5" w:themeTint="00"/>
        </w:tcBorders>
      </w:tcPr>
    </w:tblStylePr>
    <w:tblStylePr w:type="firstCol">
      <w:rPr>
        <w:b/>
        <w:color w:val="FFFFFF" w:themeColor="accent5" w:themeTint="00" w:themeShade="00"/>
      </w:rPr>
    </w:tblStylePr>
    <w:tblStylePr w:type="lastCol">
      <w:rPr>
        <w:b/>
        <w:color w:val="FFFFFF" w:themeColor="accent5" w:themeTint="00" w:themeShade="00"/>
      </w:rPr>
    </w:tblStylePr>
    <w:tblStylePr w:type="band1Vert">
      <w:tblPr/>
      <w:tcPr>
        <w:shd w:val="clear" w:color="FFFFFF" w:themeColor="accent5" w:themeTint="00" w:fill="FFFFFF" w:themeFill="accent5" w:themeFillTint="00"/>
      </w:tcPr>
    </w:tblStylePr>
    <w:tblStylePr w:type="band1Horz">
      <w:rPr>
        <w:rFonts w:ascii="Arial" w:hAnsi="Arial"/>
        <w:color w:val="FFFFFF" w:themeColor="accent5" w:themeTint="00" w:themeShade="00"/>
        <w:sz w:val="22"/>
      </w:rPr>
      <w:tblPr/>
      <w:tcPr>
        <w:shd w:val="clear" w:color="FFFFFF" w:themeColor="accent5" w:themeTint="00" w:fill="FFFFFF" w:themeFill="accent5" w:themeFillTint="00"/>
      </w:tcPr>
    </w:tblStylePr>
    <w:tblStylePr w:type="band2Horz">
      <w:rPr>
        <w:rFonts w:ascii="Arial" w:hAnsi="Arial"/>
        <w:color w:val="FFFFFF" w:themeColor="accent5" w:themeTint="00" w:themeShade="00"/>
        <w:sz w:val="22"/>
      </w:rPr>
    </w:tblStylePr>
  </w:style>
  <w:style w:type="table" w:customStyle="1" w:styleId="ListTable6Colorful-Accent6">
    <w:name w:val="List Table 6 Colorful - Accent 6"/>
    <w:basedOn w:val="NormalTablo"/>
    <w:uiPriority w:val="99"/>
    <w:pPr>
      <w:spacing w:after="0" w:line="240" w:lineRule="auto"/>
    </w:pPr>
    <w:tblPr>
      <w:tblStyleRowBandSize w:val="1"/>
      <w:tblStyleColBandSize w:val="1"/>
      <w:tblBorders>
        <w:top w:val="single" w:sz="4" w:space="0" w:color="FFFFFF" w:themeColor="accent6" w:themeTint="00"/>
        <w:bottom w:val="single" w:sz="4" w:space="0" w:color="FFFFFF" w:themeColor="accent6" w:themeTint="00"/>
      </w:tblBorders>
    </w:tblPr>
    <w:tblStylePr w:type="firstRow">
      <w:rPr>
        <w:b/>
        <w:color w:val="FFFFFF" w:themeColor="accent6" w:themeTint="00" w:themeShade="00"/>
      </w:rPr>
      <w:tblPr/>
      <w:tcPr>
        <w:tcBorders>
          <w:bottom w:val="single" w:sz="4" w:space="0" w:color="FFFFFF" w:themeColor="accent6" w:themeTint="00"/>
        </w:tcBorders>
      </w:tcPr>
    </w:tblStylePr>
    <w:tblStylePr w:type="lastRow">
      <w:rPr>
        <w:b/>
        <w:color w:val="FFFFFF" w:themeColor="accent6" w:themeTint="00" w:themeShade="00"/>
      </w:rPr>
      <w:tblPr/>
      <w:tcPr>
        <w:tcBorders>
          <w:top w:val="single" w:sz="4" w:space="0" w:color="FFFFFF" w:themeColor="accent6" w:themeTint="00"/>
        </w:tcBorders>
      </w:tcPr>
    </w:tblStylePr>
    <w:tblStylePr w:type="firstCol">
      <w:rPr>
        <w:b/>
        <w:color w:val="FFFFFF" w:themeColor="accent6" w:themeTint="00" w:themeShade="00"/>
      </w:rPr>
    </w:tblStylePr>
    <w:tblStylePr w:type="lastCol">
      <w:rPr>
        <w:b/>
        <w:color w:val="FFFFFF" w:themeColor="accent6" w:themeTint="00" w:themeShade="00"/>
      </w:rPr>
    </w:tblStylePr>
    <w:tblStylePr w:type="band1Vert">
      <w:tblPr/>
      <w:tcPr>
        <w:shd w:val="clear" w:color="FFFFFF" w:themeColor="accent6" w:themeTint="00" w:fill="FFFFFF" w:themeFill="accent6" w:themeFillTint="00"/>
      </w:tcPr>
    </w:tblStylePr>
    <w:tblStylePr w:type="band1Horz">
      <w:rPr>
        <w:rFonts w:ascii="Arial" w:hAnsi="Arial"/>
        <w:color w:val="FFFFFF" w:themeColor="accent6" w:themeTint="00" w:themeShade="00"/>
        <w:sz w:val="22"/>
      </w:rPr>
      <w:tblPr/>
      <w:tcPr>
        <w:shd w:val="clear" w:color="FFFFFF" w:themeColor="accent6" w:themeTint="00" w:fill="FFFFFF" w:themeFill="accent6" w:themeFillTint="00"/>
      </w:tcPr>
    </w:tblStylePr>
    <w:tblStylePr w:type="band2Horz">
      <w:rPr>
        <w:rFonts w:ascii="Arial" w:hAnsi="Arial"/>
        <w:color w:val="FFFFFF" w:themeColor="accent6" w:themeTint="00" w:themeShade="00"/>
        <w:sz w:val="22"/>
      </w:rPr>
    </w:tblStylePr>
  </w:style>
  <w:style w:type="table" w:styleId="ListeTablo7Renkli">
    <w:name w:val="List Table 7 Colorful"/>
    <w:basedOn w:val="NormalTablo"/>
    <w:uiPriority w:val="99"/>
    <w:pPr>
      <w:spacing w:after="0" w:line="240" w:lineRule="auto"/>
    </w:pPr>
    <w:tblPr>
      <w:tblStyleRowBandSize w:val="1"/>
      <w:tblStyleColBandSize w:val="1"/>
      <w:tblBorders>
        <w:right w:val="single" w:sz="4" w:space="0" w:color="FFFFFF" w:themeColor="text1" w:themeTint="00"/>
      </w:tblBorders>
    </w:tblPr>
    <w:tblStylePr w:type="firstRow">
      <w:rPr>
        <w:rFonts w:ascii="Arial" w:hAnsi="Arial"/>
        <w:i/>
        <w:color w:val="FFFFFF" w:themeColor="text1" w:themeTint="00" w:themeShade="00"/>
        <w:sz w:val="22"/>
      </w:rPr>
      <w:tblPr/>
      <w:tcPr>
        <w:tcBorders>
          <w:top w:val="none" w:sz="4" w:space="0" w:color="000000"/>
          <w:left w:val="none" w:sz="4" w:space="0" w:color="000000"/>
          <w:bottom w:val="single" w:sz="4" w:space="0" w:color="FFFFFF" w:themeColor="text1" w:themeTint="00"/>
          <w:right w:val="none" w:sz="4" w:space="0" w:color="000000"/>
        </w:tcBorders>
        <w:shd w:val="clear" w:color="FFFFFF" w:themeColor="light1" w:fill="FFFFFF" w:themeFill="light1"/>
      </w:tcPr>
    </w:tblStylePr>
    <w:tblStylePr w:type="lastRow">
      <w:rPr>
        <w:rFonts w:ascii="Arial" w:hAnsi="Arial"/>
        <w:i/>
        <w:color w:val="FFFFFF" w:themeColor="text1" w:themeTint="00" w:themeShade="00"/>
        <w:sz w:val="22"/>
      </w:rPr>
      <w:tblPr/>
      <w:tcPr>
        <w:tcBorders>
          <w:top w:val="single" w:sz="4" w:space="0" w:color="FFFFFF" w:themeColor="text1" w:themeTint="0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FFFF" w:themeColor="text1" w:themeTint="00" w:themeShade="00"/>
        <w:sz w:val="22"/>
      </w:rPr>
      <w:tblPr/>
      <w:tcPr>
        <w:tcBorders>
          <w:top w:val="none" w:sz="4" w:space="0" w:color="000000"/>
          <w:left w:val="none" w:sz="4" w:space="0" w:color="000000"/>
          <w:bottom w:val="none" w:sz="4" w:space="0" w:color="000000"/>
          <w:right w:val="single" w:sz="4" w:space="0" w:color="FFFFFF" w:themeColor="text1" w:themeTint="00"/>
        </w:tcBorders>
        <w:shd w:val="clear" w:color="FFFFFF" w:fill="auto"/>
      </w:tcPr>
    </w:tblStylePr>
    <w:tblStylePr w:type="lastCol">
      <w:rPr>
        <w:rFonts w:ascii="Arial" w:hAnsi="Arial"/>
        <w:i/>
        <w:color w:val="FFFFFF" w:themeColor="text1" w:themeTint="00" w:themeShade="00"/>
        <w:sz w:val="22"/>
      </w:rPr>
      <w:tblPr/>
      <w:tcPr>
        <w:tcBorders>
          <w:top w:val="none" w:sz="4" w:space="0" w:color="000000"/>
          <w:left w:val="single" w:sz="4" w:space="0" w:color="FFFFFF" w:themeColor="text1" w:themeTint="00"/>
          <w:bottom w:val="none" w:sz="4" w:space="0" w:color="000000"/>
          <w:right w:val="none" w:sz="4" w:space="0" w:color="000000"/>
        </w:tcBorders>
        <w:shd w:val="clear" w:color="FFFFFF" w:fill="auto"/>
      </w:tcPr>
    </w:tblStylePr>
    <w:tblStylePr w:type="band1Vert">
      <w:tblPr/>
      <w:tcPr>
        <w:shd w:val="clear" w:color="FFFFFF" w:themeColor="text1" w:themeTint="00" w:fill="FFFFFF" w:themeFill="text1" w:themeFillTint="00"/>
      </w:tcPr>
    </w:tblStylePr>
    <w:tblStylePr w:type="band1Horz">
      <w:rPr>
        <w:rFonts w:ascii="Arial" w:hAnsi="Arial"/>
        <w:color w:val="FFFFFF" w:themeColor="text1" w:themeTint="00" w:themeShade="00"/>
        <w:sz w:val="22"/>
      </w:rPr>
      <w:tblPr/>
      <w:tcPr>
        <w:shd w:val="clear" w:color="FFFFFF" w:themeColor="text1" w:themeTint="00" w:fill="FFFFFF" w:themeFill="text1" w:themeFillTint="00"/>
      </w:tcPr>
    </w:tblStylePr>
    <w:tblStylePr w:type="band2Horz">
      <w:rPr>
        <w:rFonts w:ascii="Arial" w:hAnsi="Arial"/>
        <w:color w:val="FFFFFF" w:themeColor="text1" w:themeTint="00" w:themeShade="00"/>
        <w:sz w:val="22"/>
      </w:rPr>
    </w:tblStylePr>
  </w:style>
  <w:style w:type="table" w:customStyle="1" w:styleId="ListTable7Colorful-Accent1">
    <w:name w:val="List Table 7 Colorful - Accent 1"/>
    <w:basedOn w:val="NormalTablo"/>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000000" w:themeColor="accent1" w:themeShade="00"/>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000000" w:themeColor="accent1" w:themeShade="00"/>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000000" w:themeColor="accent1" w:themeShade="00"/>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000000" w:themeColor="accent1" w:themeShade="00"/>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FFFFFF" w:themeColor="accent1" w:themeTint="00" w:fill="FFFFFF" w:themeFill="accent1" w:themeFillTint="00"/>
      </w:tcPr>
    </w:tblStylePr>
    <w:tblStylePr w:type="band1Horz">
      <w:rPr>
        <w:rFonts w:ascii="Arial" w:hAnsi="Arial"/>
        <w:color w:val="000000" w:themeColor="accent1" w:themeShade="00"/>
        <w:sz w:val="22"/>
      </w:rPr>
      <w:tblPr/>
      <w:tcPr>
        <w:shd w:val="clear" w:color="FFFFFF" w:themeColor="accent1" w:themeTint="00" w:fill="FFFFFF" w:themeFill="accent1" w:themeFillTint="00"/>
      </w:tcPr>
    </w:tblStylePr>
    <w:tblStylePr w:type="band2Horz">
      <w:rPr>
        <w:rFonts w:ascii="Arial" w:hAnsi="Arial"/>
        <w:color w:val="000000" w:themeColor="accent1" w:themeShade="00"/>
        <w:sz w:val="22"/>
      </w:rPr>
    </w:tblStylePr>
  </w:style>
  <w:style w:type="table" w:customStyle="1" w:styleId="ListTable7Colorful-Accent2">
    <w:name w:val="List Table 7 Colorful - Accent 2"/>
    <w:basedOn w:val="NormalTablo"/>
    <w:uiPriority w:val="99"/>
    <w:pPr>
      <w:spacing w:after="0" w:line="240" w:lineRule="auto"/>
    </w:pPr>
    <w:tblPr>
      <w:tblStyleRowBandSize w:val="1"/>
      <w:tblStyleColBandSize w:val="1"/>
      <w:tblBorders>
        <w:right w:val="single" w:sz="4" w:space="0" w:color="FFFFFF" w:themeColor="accent2" w:themeTint="00"/>
      </w:tblBorders>
    </w:tblPr>
    <w:tblStylePr w:type="firstRow">
      <w:rPr>
        <w:rFonts w:ascii="Arial" w:hAnsi="Arial"/>
        <w:i/>
        <w:color w:val="FFFFFF" w:themeColor="accent2" w:themeTint="00" w:themeShade="00"/>
        <w:sz w:val="22"/>
      </w:rPr>
      <w:tblPr/>
      <w:tcPr>
        <w:tcBorders>
          <w:top w:val="none" w:sz="4" w:space="0" w:color="000000"/>
          <w:left w:val="none" w:sz="4" w:space="0" w:color="000000"/>
          <w:bottom w:val="single" w:sz="4" w:space="0" w:color="FFFFFF" w:themeColor="accent2" w:themeTint="00"/>
          <w:right w:val="none" w:sz="4" w:space="0" w:color="000000"/>
        </w:tcBorders>
        <w:shd w:val="clear" w:color="FFFFFF" w:themeColor="light1" w:fill="FFFFFF" w:themeFill="light1"/>
      </w:tcPr>
    </w:tblStylePr>
    <w:tblStylePr w:type="lastRow">
      <w:rPr>
        <w:rFonts w:ascii="Arial" w:hAnsi="Arial"/>
        <w:i/>
        <w:color w:val="FFFFFF" w:themeColor="accent2" w:themeTint="00" w:themeShade="00"/>
        <w:sz w:val="22"/>
      </w:rPr>
      <w:tblPr/>
      <w:tcPr>
        <w:tcBorders>
          <w:top w:val="single" w:sz="4" w:space="0" w:color="FFFFFF" w:themeColor="accent2" w:themeTint="0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FFFF" w:themeColor="accent2" w:themeTint="00" w:themeShade="00"/>
        <w:sz w:val="22"/>
      </w:rPr>
      <w:tblPr/>
      <w:tcPr>
        <w:tcBorders>
          <w:top w:val="none" w:sz="4" w:space="0" w:color="000000"/>
          <w:left w:val="none" w:sz="4" w:space="0" w:color="000000"/>
          <w:bottom w:val="none" w:sz="4" w:space="0" w:color="000000"/>
          <w:right w:val="single" w:sz="4" w:space="0" w:color="FFFFFF" w:themeColor="accent2" w:themeTint="00"/>
        </w:tcBorders>
        <w:shd w:val="clear" w:color="FFFFFF" w:fill="auto"/>
      </w:tcPr>
    </w:tblStylePr>
    <w:tblStylePr w:type="lastCol">
      <w:rPr>
        <w:rFonts w:ascii="Arial" w:hAnsi="Arial"/>
        <w:i/>
        <w:color w:val="FFFFFF" w:themeColor="accent2" w:themeTint="00" w:themeShade="00"/>
        <w:sz w:val="22"/>
      </w:rPr>
      <w:tblPr/>
      <w:tcPr>
        <w:tcBorders>
          <w:top w:val="none" w:sz="4" w:space="0" w:color="000000"/>
          <w:left w:val="single" w:sz="4" w:space="0" w:color="FFFFFF" w:themeColor="accent2" w:themeTint="00"/>
          <w:bottom w:val="none" w:sz="4" w:space="0" w:color="000000"/>
          <w:right w:val="none" w:sz="4" w:space="0" w:color="000000"/>
        </w:tcBorders>
        <w:shd w:val="clear" w:color="FFFFFF" w:fill="auto"/>
      </w:tcPr>
    </w:tblStylePr>
    <w:tblStylePr w:type="band1Vert">
      <w:tblPr/>
      <w:tcPr>
        <w:shd w:val="clear" w:color="FFFFFF" w:themeColor="accent2" w:themeTint="00" w:fill="FFFFFF" w:themeFill="accent2" w:themeFillTint="00"/>
      </w:tcPr>
    </w:tblStylePr>
    <w:tblStylePr w:type="band1Horz">
      <w:rPr>
        <w:rFonts w:ascii="Arial" w:hAnsi="Arial"/>
        <w:color w:val="FFFFFF" w:themeColor="accent2" w:themeTint="00" w:themeShade="00"/>
        <w:sz w:val="22"/>
      </w:rPr>
      <w:tblPr/>
      <w:tcPr>
        <w:shd w:val="clear" w:color="FFFFFF" w:themeColor="accent2" w:themeTint="00" w:fill="FFFFFF" w:themeFill="accent2" w:themeFillTint="00"/>
      </w:tcPr>
    </w:tblStylePr>
    <w:tblStylePr w:type="band2Horz">
      <w:rPr>
        <w:rFonts w:ascii="Arial" w:hAnsi="Arial"/>
        <w:color w:val="FFFFFF" w:themeColor="accent2" w:themeTint="00" w:themeShade="00"/>
        <w:sz w:val="22"/>
      </w:rPr>
    </w:tblStylePr>
  </w:style>
  <w:style w:type="table" w:customStyle="1" w:styleId="ListTable7Colorful-Accent3">
    <w:name w:val="List Table 7 Colorful - Accent 3"/>
    <w:basedOn w:val="NormalTablo"/>
    <w:uiPriority w:val="99"/>
    <w:pPr>
      <w:spacing w:after="0" w:line="240" w:lineRule="auto"/>
    </w:pPr>
    <w:tblPr>
      <w:tblStyleRowBandSize w:val="1"/>
      <w:tblStyleColBandSize w:val="1"/>
      <w:tblBorders>
        <w:right w:val="single" w:sz="4" w:space="0" w:color="FFFFFF" w:themeColor="accent3" w:themeTint="00"/>
      </w:tblBorders>
    </w:tblPr>
    <w:tblStylePr w:type="firstRow">
      <w:rPr>
        <w:rFonts w:ascii="Arial" w:hAnsi="Arial"/>
        <w:i/>
        <w:color w:val="FFFFFF" w:themeColor="accent3" w:themeTint="00" w:themeShade="00"/>
        <w:sz w:val="22"/>
      </w:rPr>
      <w:tblPr/>
      <w:tcPr>
        <w:tcBorders>
          <w:top w:val="none" w:sz="4" w:space="0" w:color="000000"/>
          <w:left w:val="none" w:sz="4" w:space="0" w:color="000000"/>
          <w:bottom w:val="single" w:sz="4" w:space="0" w:color="FFFFFF" w:themeColor="accent3" w:themeTint="00"/>
          <w:right w:val="none" w:sz="4" w:space="0" w:color="000000"/>
        </w:tcBorders>
        <w:shd w:val="clear" w:color="FFFFFF" w:themeColor="light1" w:fill="FFFFFF" w:themeFill="light1"/>
      </w:tcPr>
    </w:tblStylePr>
    <w:tblStylePr w:type="lastRow">
      <w:rPr>
        <w:rFonts w:ascii="Arial" w:hAnsi="Arial"/>
        <w:i/>
        <w:color w:val="FFFFFF" w:themeColor="accent3" w:themeTint="00" w:themeShade="00"/>
        <w:sz w:val="22"/>
      </w:rPr>
      <w:tblPr/>
      <w:tcPr>
        <w:tcBorders>
          <w:top w:val="single" w:sz="4" w:space="0" w:color="FFFFFF" w:themeColor="accent3" w:themeTint="0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FFFF" w:themeColor="accent3" w:themeTint="00" w:themeShade="00"/>
        <w:sz w:val="22"/>
      </w:rPr>
      <w:tblPr/>
      <w:tcPr>
        <w:tcBorders>
          <w:top w:val="none" w:sz="4" w:space="0" w:color="000000"/>
          <w:left w:val="none" w:sz="4" w:space="0" w:color="000000"/>
          <w:bottom w:val="none" w:sz="4" w:space="0" w:color="000000"/>
          <w:right w:val="single" w:sz="4" w:space="0" w:color="FFFFFF" w:themeColor="accent3" w:themeTint="00"/>
        </w:tcBorders>
        <w:shd w:val="clear" w:color="FFFFFF" w:fill="auto"/>
      </w:tcPr>
    </w:tblStylePr>
    <w:tblStylePr w:type="lastCol">
      <w:rPr>
        <w:rFonts w:ascii="Arial" w:hAnsi="Arial"/>
        <w:i/>
        <w:color w:val="FFFFFF" w:themeColor="accent3" w:themeTint="00" w:themeShade="00"/>
        <w:sz w:val="22"/>
      </w:rPr>
      <w:tblPr/>
      <w:tcPr>
        <w:tcBorders>
          <w:top w:val="none" w:sz="4" w:space="0" w:color="000000"/>
          <w:left w:val="single" w:sz="4" w:space="0" w:color="FFFFFF" w:themeColor="accent3" w:themeTint="00"/>
          <w:bottom w:val="none" w:sz="4" w:space="0" w:color="000000"/>
          <w:right w:val="none" w:sz="4" w:space="0" w:color="000000"/>
        </w:tcBorders>
        <w:shd w:val="clear" w:color="FFFFFF" w:fill="auto"/>
      </w:tcPr>
    </w:tblStylePr>
    <w:tblStylePr w:type="band1Vert">
      <w:tblPr/>
      <w:tcPr>
        <w:shd w:val="clear" w:color="FFFFFF" w:themeColor="accent3" w:themeTint="00" w:fill="FFFFFF" w:themeFill="accent3" w:themeFillTint="00"/>
      </w:tcPr>
    </w:tblStylePr>
    <w:tblStylePr w:type="band1Horz">
      <w:rPr>
        <w:rFonts w:ascii="Arial" w:hAnsi="Arial"/>
        <w:color w:val="FFFFFF" w:themeColor="accent3" w:themeTint="00" w:themeShade="00"/>
        <w:sz w:val="22"/>
      </w:rPr>
      <w:tblPr/>
      <w:tcPr>
        <w:shd w:val="clear" w:color="FFFFFF" w:themeColor="accent3" w:themeTint="00" w:fill="FFFFFF" w:themeFill="accent3" w:themeFillTint="00"/>
      </w:tcPr>
    </w:tblStylePr>
    <w:tblStylePr w:type="band2Horz">
      <w:rPr>
        <w:rFonts w:ascii="Arial" w:hAnsi="Arial"/>
        <w:color w:val="FFFFFF" w:themeColor="accent3" w:themeTint="00" w:themeShade="00"/>
        <w:sz w:val="22"/>
      </w:rPr>
    </w:tblStylePr>
  </w:style>
  <w:style w:type="table" w:customStyle="1" w:styleId="ListTable7Colorful-Accent4">
    <w:name w:val="List Table 7 Colorful - Accent 4"/>
    <w:basedOn w:val="NormalTablo"/>
    <w:uiPriority w:val="99"/>
    <w:pPr>
      <w:spacing w:after="0" w:line="240" w:lineRule="auto"/>
    </w:pPr>
    <w:tblPr>
      <w:tblStyleRowBandSize w:val="1"/>
      <w:tblStyleColBandSize w:val="1"/>
      <w:tblBorders>
        <w:right w:val="single" w:sz="4" w:space="0" w:color="FFFFFF" w:themeColor="accent4" w:themeTint="00"/>
      </w:tblBorders>
    </w:tblPr>
    <w:tblStylePr w:type="firstRow">
      <w:rPr>
        <w:rFonts w:ascii="Arial" w:hAnsi="Arial"/>
        <w:i/>
        <w:color w:val="FFFFFF" w:themeColor="accent4" w:themeTint="00" w:themeShade="00"/>
        <w:sz w:val="22"/>
      </w:rPr>
      <w:tblPr/>
      <w:tcPr>
        <w:tcBorders>
          <w:top w:val="none" w:sz="4" w:space="0" w:color="000000"/>
          <w:left w:val="none" w:sz="4" w:space="0" w:color="000000"/>
          <w:bottom w:val="single" w:sz="4" w:space="0" w:color="FFFFFF" w:themeColor="accent4" w:themeTint="00"/>
          <w:right w:val="none" w:sz="4" w:space="0" w:color="000000"/>
        </w:tcBorders>
        <w:shd w:val="clear" w:color="FFFFFF" w:themeColor="light1" w:fill="FFFFFF" w:themeFill="light1"/>
      </w:tcPr>
    </w:tblStylePr>
    <w:tblStylePr w:type="lastRow">
      <w:rPr>
        <w:rFonts w:ascii="Arial" w:hAnsi="Arial"/>
        <w:i/>
        <w:color w:val="FFFFFF" w:themeColor="accent4" w:themeTint="00" w:themeShade="00"/>
        <w:sz w:val="22"/>
      </w:rPr>
      <w:tblPr/>
      <w:tcPr>
        <w:tcBorders>
          <w:top w:val="single" w:sz="4" w:space="0" w:color="FFFFFF" w:themeColor="accent4" w:themeTint="0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FFFF" w:themeColor="accent4" w:themeTint="00" w:themeShade="00"/>
        <w:sz w:val="22"/>
      </w:rPr>
      <w:tblPr/>
      <w:tcPr>
        <w:tcBorders>
          <w:top w:val="none" w:sz="4" w:space="0" w:color="000000"/>
          <w:left w:val="none" w:sz="4" w:space="0" w:color="000000"/>
          <w:bottom w:val="none" w:sz="4" w:space="0" w:color="000000"/>
          <w:right w:val="single" w:sz="4" w:space="0" w:color="FFFFFF" w:themeColor="accent4" w:themeTint="00"/>
        </w:tcBorders>
        <w:shd w:val="clear" w:color="FFFFFF" w:fill="auto"/>
      </w:tcPr>
    </w:tblStylePr>
    <w:tblStylePr w:type="lastCol">
      <w:rPr>
        <w:rFonts w:ascii="Arial" w:hAnsi="Arial"/>
        <w:i/>
        <w:color w:val="FFFFFF" w:themeColor="accent4" w:themeTint="00" w:themeShade="00"/>
        <w:sz w:val="22"/>
      </w:rPr>
      <w:tblPr/>
      <w:tcPr>
        <w:tcBorders>
          <w:top w:val="none" w:sz="4" w:space="0" w:color="000000"/>
          <w:left w:val="single" w:sz="4" w:space="0" w:color="FFFFFF" w:themeColor="accent4" w:themeTint="00"/>
          <w:bottom w:val="none" w:sz="4" w:space="0" w:color="000000"/>
          <w:right w:val="none" w:sz="4" w:space="0" w:color="000000"/>
        </w:tcBorders>
        <w:shd w:val="clear" w:color="FFFFFF" w:fill="auto"/>
      </w:tcPr>
    </w:tblStylePr>
    <w:tblStylePr w:type="band1Vert">
      <w:tblPr/>
      <w:tcPr>
        <w:shd w:val="clear" w:color="FFFFFF" w:themeColor="accent4" w:themeTint="00" w:fill="FFFFFF" w:themeFill="accent4" w:themeFillTint="00"/>
      </w:tcPr>
    </w:tblStylePr>
    <w:tblStylePr w:type="band1Horz">
      <w:rPr>
        <w:rFonts w:ascii="Arial" w:hAnsi="Arial"/>
        <w:color w:val="FFFFFF" w:themeColor="accent4" w:themeTint="00" w:themeShade="00"/>
        <w:sz w:val="22"/>
      </w:rPr>
      <w:tblPr/>
      <w:tcPr>
        <w:shd w:val="clear" w:color="FFFFFF" w:themeColor="accent4" w:themeTint="00" w:fill="FFFFFF" w:themeFill="accent4" w:themeFillTint="00"/>
      </w:tcPr>
    </w:tblStylePr>
    <w:tblStylePr w:type="band2Horz">
      <w:rPr>
        <w:rFonts w:ascii="Arial" w:hAnsi="Arial"/>
        <w:color w:val="FFFFFF" w:themeColor="accent4" w:themeTint="00" w:themeShade="00"/>
        <w:sz w:val="22"/>
      </w:rPr>
    </w:tblStylePr>
  </w:style>
  <w:style w:type="table" w:customStyle="1" w:styleId="ListTable7Colorful-Accent5">
    <w:name w:val="List Table 7 Colorful - Accent 5"/>
    <w:basedOn w:val="NormalTablo"/>
    <w:uiPriority w:val="99"/>
    <w:pPr>
      <w:spacing w:after="0" w:line="240" w:lineRule="auto"/>
    </w:pPr>
    <w:tblPr>
      <w:tblStyleRowBandSize w:val="1"/>
      <w:tblStyleColBandSize w:val="1"/>
      <w:tblBorders>
        <w:right w:val="single" w:sz="4" w:space="0" w:color="FFFFFF" w:themeColor="accent5" w:themeTint="00"/>
      </w:tblBorders>
    </w:tblPr>
    <w:tblStylePr w:type="firstRow">
      <w:rPr>
        <w:rFonts w:ascii="Arial" w:hAnsi="Arial"/>
        <w:i/>
        <w:color w:val="FFFFFF" w:themeColor="accent5" w:themeTint="00" w:themeShade="00"/>
        <w:sz w:val="22"/>
      </w:rPr>
      <w:tblPr/>
      <w:tcPr>
        <w:tcBorders>
          <w:top w:val="none" w:sz="4" w:space="0" w:color="000000"/>
          <w:left w:val="none" w:sz="4" w:space="0" w:color="000000"/>
          <w:bottom w:val="single" w:sz="4" w:space="0" w:color="FFFFFF" w:themeColor="accent5" w:themeTint="00"/>
          <w:right w:val="none" w:sz="4" w:space="0" w:color="000000"/>
        </w:tcBorders>
        <w:shd w:val="clear" w:color="FFFFFF" w:themeColor="light1" w:fill="FFFFFF" w:themeFill="light1"/>
      </w:tcPr>
    </w:tblStylePr>
    <w:tblStylePr w:type="lastRow">
      <w:rPr>
        <w:rFonts w:ascii="Arial" w:hAnsi="Arial"/>
        <w:i/>
        <w:color w:val="FFFFFF" w:themeColor="accent5" w:themeTint="00" w:themeShade="00"/>
        <w:sz w:val="22"/>
      </w:rPr>
      <w:tblPr/>
      <w:tcPr>
        <w:tcBorders>
          <w:top w:val="single" w:sz="4" w:space="0" w:color="FFFFFF" w:themeColor="accent5" w:themeTint="0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FFFF" w:themeColor="accent5" w:themeTint="00" w:themeShade="00"/>
        <w:sz w:val="22"/>
      </w:rPr>
      <w:tblPr/>
      <w:tcPr>
        <w:tcBorders>
          <w:top w:val="none" w:sz="4" w:space="0" w:color="000000"/>
          <w:left w:val="none" w:sz="4" w:space="0" w:color="000000"/>
          <w:bottom w:val="none" w:sz="4" w:space="0" w:color="000000"/>
          <w:right w:val="single" w:sz="4" w:space="0" w:color="FFFFFF" w:themeColor="accent5" w:themeTint="00"/>
        </w:tcBorders>
        <w:shd w:val="clear" w:color="FFFFFF" w:fill="auto"/>
      </w:tcPr>
    </w:tblStylePr>
    <w:tblStylePr w:type="lastCol">
      <w:rPr>
        <w:rFonts w:ascii="Arial" w:hAnsi="Arial"/>
        <w:i/>
        <w:color w:val="FFFFFF" w:themeColor="accent5" w:themeTint="00" w:themeShade="00"/>
        <w:sz w:val="22"/>
      </w:rPr>
      <w:tblPr/>
      <w:tcPr>
        <w:tcBorders>
          <w:top w:val="none" w:sz="4" w:space="0" w:color="000000"/>
          <w:left w:val="single" w:sz="4" w:space="0" w:color="FFFFFF" w:themeColor="accent5" w:themeTint="00"/>
          <w:bottom w:val="none" w:sz="4" w:space="0" w:color="000000"/>
          <w:right w:val="none" w:sz="4" w:space="0" w:color="000000"/>
        </w:tcBorders>
        <w:shd w:val="clear" w:color="FFFFFF" w:fill="auto"/>
      </w:tcPr>
    </w:tblStylePr>
    <w:tblStylePr w:type="band1Vert">
      <w:tblPr/>
      <w:tcPr>
        <w:shd w:val="clear" w:color="FFFFFF" w:themeColor="accent5" w:themeTint="00" w:fill="FFFFFF" w:themeFill="accent5" w:themeFillTint="00"/>
      </w:tcPr>
    </w:tblStylePr>
    <w:tblStylePr w:type="band1Horz">
      <w:rPr>
        <w:rFonts w:ascii="Arial" w:hAnsi="Arial"/>
        <w:color w:val="FFFFFF" w:themeColor="accent5" w:themeTint="00" w:themeShade="00"/>
        <w:sz w:val="22"/>
      </w:rPr>
      <w:tblPr/>
      <w:tcPr>
        <w:shd w:val="clear" w:color="FFFFFF" w:themeColor="accent5" w:themeTint="00" w:fill="FFFFFF" w:themeFill="accent5" w:themeFillTint="00"/>
      </w:tcPr>
    </w:tblStylePr>
    <w:tblStylePr w:type="band2Horz">
      <w:rPr>
        <w:rFonts w:ascii="Arial" w:hAnsi="Arial"/>
        <w:color w:val="FFFFFF" w:themeColor="accent5" w:themeTint="00" w:themeShade="00"/>
        <w:sz w:val="22"/>
      </w:rPr>
    </w:tblStylePr>
  </w:style>
  <w:style w:type="table" w:customStyle="1" w:styleId="ListTable7Colorful-Accent6">
    <w:name w:val="List Table 7 Colorful - Accent 6"/>
    <w:basedOn w:val="NormalTablo"/>
    <w:uiPriority w:val="99"/>
    <w:pPr>
      <w:spacing w:after="0" w:line="240" w:lineRule="auto"/>
    </w:pPr>
    <w:tblPr>
      <w:tblStyleRowBandSize w:val="1"/>
      <w:tblStyleColBandSize w:val="1"/>
      <w:tblBorders>
        <w:right w:val="single" w:sz="4" w:space="0" w:color="FFFFFF" w:themeColor="accent6" w:themeTint="00"/>
      </w:tblBorders>
    </w:tblPr>
    <w:tblStylePr w:type="firstRow">
      <w:rPr>
        <w:rFonts w:ascii="Arial" w:hAnsi="Arial"/>
        <w:i/>
        <w:color w:val="FFFFFF" w:themeColor="accent6" w:themeTint="00" w:themeShade="00"/>
        <w:sz w:val="22"/>
      </w:rPr>
      <w:tblPr/>
      <w:tcPr>
        <w:tcBorders>
          <w:top w:val="none" w:sz="4" w:space="0" w:color="000000"/>
          <w:left w:val="none" w:sz="4" w:space="0" w:color="000000"/>
          <w:bottom w:val="single" w:sz="4" w:space="0" w:color="FFFFFF" w:themeColor="accent6" w:themeTint="00"/>
          <w:right w:val="none" w:sz="4" w:space="0" w:color="000000"/>
        </w:tcBorders>
        <w:shd w:val="clear" w:color="FFFFFF" w:themeColor="light1" w:fill="FFFFFF" w:themeFill="light1"/>
      </w:tcPr>
    </w:tblStylePr>
    <w:tblStylePr w:type="lastRow">
      <w:rPr>
        <w:rFonts w:ascii="Arial" w:hAnsi="Arial"/>
        <w:i/>
        <w:color w:val="FFFFFF" w:themeColor="accent6" w:themeTint="00" w:themeShade="00"/>
        <w:sz w:val="22"/>
      </w:rPr>
      <w:tblPr/>
      <w:tcPr>
        <w:tcBorders>
          <w:top w:val="single" w:sz="4" w:space="0" w:color="FFFFFF" w:themeColor="accent6" w:themeTint="0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FFFF" w:themeColor="accent6" w:themeTint="00" w:themeShade="00"/>
        <w:sz w:val="22"/>
      </w:rPr>
      <w:tblPr/>
      <w:tcPr>
        <w:tcBorders>
          <w:top w:val="none" w:sz="4" w:space="0" w:color="000000"/>
          <w:left w:val="none" w:sz="4" w:space="0" w:color="000000"/>
          <w:bottom w:val="none" w:sz="4" w:space="0" w:color="000000"/>
          <w:right w:val="single" w:sz="4" w:space="0" w:color="FFFFFF" w:themeColor="accent6" w:themeTint="00"/>
        </w:tcBorders>
        <w:shd w:val="clear" w:color="FFFFFF" w:fill="auto"/>
      </w:tcPr>
    </w:tblStylePr>
    <w:tblStylePr w:type="lastCol">
      <w:rPr>
        <w:rFonts w:ascii="Arial" w:hAnsi="Arial"/>
        <w:i/>
        <w:color w:val="FFFFFF" w:themeColor="accent6" w:themeTint="00" w:themeShade="00"/>
        <w:sz w:val="22"/>
      </w:rPr>
      <w:tblPr/>
      <w:tcPr>
        <w:tcBorders>
          <w:top w:val="none" w:sz="4" w:space="0" w:color="000000"/>
          <w:left w:val="single" w:sz="4" w:space="0" w:color="FFFFFF" w:themeColor="accent6" w:themeTint="00"/>
          <w:bottom w:val="none" w:sz="4" w:space="0" w:color="000000"/>
          <w:right w:val="none" w:sz="4" w:space="0" w:color="000000"/>
        </w:tcBorders>
        <w:shd w:val="clear" w:color="FFFFFF" w:fill="auto"/>
      </w:tcPr>
    </w:tblStylePr>
    <w:tblStylePr w:type="band1Vert">
      <w:tblPr/>
      <w:tcPr>
        <w:shd w:val="clear" w:color="FFFFFF" w:themeColor="accent6" w:themeTint="00" w:fill="FFFFFF" w:themeFill="accent6" w:themeFillTint="00"/>
      </w:tcPr>
    </w:tblStylePr>
    <w:tblStylePr w:type="band1Horz">
      <w:rPr>
        <w:rFonts w:ascii="Arial" w:hAnsi="Arial"/>
        <w:color w:val="FFFFFF" w:themeColor="accent6" w:themeTint="00" w:themeShade="00"/>
        <w:sz w:val="22"/>
      </w:rPr>
      <w:tblPr/>
      <w:tcPr>
        <w:shd w:val="clear" w:color="FFFFFF" w:themeColor="accent6" w:themeTint="00" w:fill="FFFFFF" w:themeFill="accent6" w:themeFillTint="00"/>
      </w:tcPr>
    </w:tblStylePr>
    <w:tblStylePr w:type="band2Horz">
      <w:rPr>
        <w:rFonts w:ascii="Arial" w:hAnsi="Arial"/>
        <w:color w:val="FFFFFF" w:themeColor="accent6" w:themeTint="00" w:themeShade="00"/>
        <w:sz w:val="22"/>
      </w:rPr>
    </w:tblStylePr>
  </w:style>
  <w:style w:type="table" w:customStyle="1" w:styleId="Lined-Accent">
    <w:name w:val="Lined - Accent"/>
    <w:basedOn w:val="NormalTablo"/>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FFFFFF" w:themeColor="text1" w:themeTint="00" w:fill="FFFFFF" w:themeFill="text1" w:themeFillTint="00"/>
      </w:tcPr>
    </w:tblStylePr>
    <w:tblStylePr w:type="lastRow">
      <w:rPr>
        <w:rFonts w:ascii="Arial" w:hAnsi="Arial"/>
        <w:color w:val="F2F2F2"/>
        <w:sz w:val="22"/>
      </w:rPr>
      <w:tblPr/>
      <w:tcPr>
        <w:shd w:val="clear" w:color="FFFFFF" w:themeColor="text1" w:themeTint="00" w:fill="FFFFFF" w:themeFill="text1" w:themeFillTint="00"/>
      </w:tcPr>
    </w:tblStylePr>
    <w:tblStylePr w:type="firstCol">
      <w:rPr>
        <w:rFonts w:ascii="Arial" w:hAnsi="Arial"/>
        <w:color w:val="F2F2F2"/>
        <w:sz w:val="22"/>
      </w:rPr>
      <w:tblPr/>
      <w:tcPr>
        <w:shd w:val="clear" w:color="FFFFFF" w:themeColor="text1" w:themeTint="00" w:fill="FFFFFF" w:themeFill="text1" w:themeFillTint="00"/>
      </w:tcPr>
    </w:tblStylePr>
    <w:tblStylePr w:type="lastCol">
      <w:rPr>
        <w:rFonts w:ascii="Arial" w:hAnsi="Arial"/>
        <w:color w:val="F2F2F2"/>
        <w:sz w:val="22"/>
      </w:rPr>
      <w:tblPr/>
      <w:tcPr>
        <w:shd w:val="clear" w:color="FFFFFF" w:themeColor="text1" w:themeTint="00" w:fill="FFFFFF" w:themeFill="text1" w:themeFillTint="0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Lined-Accent1">
    <w:name w:val="Lined - Accent 1"/>
    <w:basedOn w:val="NormalTablo"/>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FFFFFF" w:themeColor="accent1" w:themeTint="00" w:fill="FFFFFF" w:themeFill="accent1" w:themeFillTint="00"/>
      </w:tcPr>
    </w:tblStylePr>
    <w:tblStylePr w:type="lastRow">
      <w:rPr>
        <w:rFonts w:ascii="Arial" w:hAnsi="Arial"/>
        <w:color w:val="F2F2F2"/>
        <w:sz w:val="22"/>
      </w:rPr>
      <w:tblPr/>
      <w:tcPr>
        <w:shd w:val="clear" w:color="FFFFFF" w:themeColor="accent1" w:themeTint="00" w:fill="FFFFFF" w:themeFill="accent1" w:themeFillTint="00"/>
      </w:tcPr>
    </w:tblStylePr>
    <w:tblStylePr w:type="firstCol">
      <w:rPr>
        <w:rFonts w:ascii="Arial" w:hAnsi="Arial"/>
        <w:color w:val="F2F2F2"/>
        <w:sz w:val="22"/>
      </w:rPr>
      <w:tblPr/>
      <w:tcPr>
        <w:shd w:val="clear" w:color="FFFFFF" w:themeColor="accent1" w:themeTint="00" w:fill="FFFFFF" w:themeFill="accent1" w:themeFillTint="00"/>
      </w:tcPr>
    </w:tblStylePr>
    <w:tblStylePr w:type="lastCol">
      <w:rPr>
        <w:rFonts w:ascii="Arial" w:hAnsi="Arial"/>
        <w:color w:val="F2F2F2"/>
        <w:sz w:val="22"/>
      </w:rPr>
      <w:tblPr/>
      <w:tcPr>
        <w:shd w:val="clear" w:color="FFFFFF" w:themeColor="accent1" w:themeTint="00" w:fill="FFFFFF" w:themeFill="accent1" w:themeFillTint="0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accent1" w:themeTint="00" w:fill="FFFFFF" w:themeFill="accen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accent1" w:themeTint="00" w:fill="FFFFFF" w:themeFill="accent1" w:themeFillTint="00"/>
      </w:tcPr>
    </w:tblStylePr>
  </w:style>
  <w:style w:type="table" w:customStyle="1" w:styleId="Lined-Accent2">
    <w:name w:val="Lined - Accent 2"/>
    <w:basedOn w:val="NormalTablo"/>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FFFFFF" w:themeColor="accent2" w:themeTint="00" w:fill="FFFFFF" w:themeFill="accent2" w:themeFillTint="00"/>
      </w:tcPr>
    </w:tblStylePr>
    <w:tblStylePr w:type="lastRow">
      <w:rPr>
        <w:rFonts w:ascii="Arial" w:hAnsi="Arial"/>
        <w:color w:val="F2F2F2"/>
        <w:sz w:val="22"/>
      </w:rPr>
      <w:tblPr/>
      <w:tcPr>
        <w:shd w:val="clear" w:color="FFFFFF" w:themeColor="accent2" w:themeTint="00" w:fill="FFFFFF" w:themeFill="accent2" w:themeFillTint="00"/>
      </w:tcPr>
    </w:tblStylePr>
    <w:tblStylePr w:type="firstCol">
      <w:rPr>
        <w:rFonts w:ascii="Arial" w:hAnsi="Arial"/>
        <w:color w:val="F2F2F2"/>
        <w:sz w:val="22"/>
      </w:rPr>
      <w:tblPr/>
      <w:tcPr>
        <w:shd w:val="clear" w:color="FFFFFF" w:themeColor="accent2" w:themeTint="00" w:fill="FFFFFF" w:themeFill="accent2" w:themeFillTint="00"/>
      </w:tcPr>
    </w:tblStylePr>
    <w:tblStylePr w:type="lastCol">
      <w:rPr>
        <w:rFonts w:ascii="Arial" w:hAnsi="Arial"/>
        <w:color w:val="F2F2F2"/>
        <w:sz w:val="22"/>
      </w:rPr>
      <w:tblPr/>
      <w:tcPr>
        <w:shd w:val="clear" w:color="FFFFFF" w:themeColor="accent2" w:themeTint="00" w:fill="FFFFFF" w:themeFill="accent2" w:themeFillTint="0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accent2" w:themeTint="00" w:fill="FFFFFF" w:themeFill="accent2"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accent2" w:themeTint="00" w:fill="FFFFFF" w:themeFill="accent2" w:themeFillTint="00"/>
      </w:tcPr>
    </w:tblStylePr>
  </w:style>
  <w:style w:type="table" w:customStyle="1" w:styleId="Lined-Accent3">
    <w:name w:val="Lined - Accent 3"/>
    <w:basedOn w:val="NormalTablo"/>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FFFFFF" w:themeColor="accent3" w:themeTint="00" w:fill="FFFFFF" w:themeFill="accent3" w:themeFillTint="00"/>
      </w:tcPr>
    </w:tblStylePr>
    <w:tblStylePr w:type="lastRow">
      <w:rPr>
        <w:rFonts w:ascii="Arial" w:hAnsi="Arial"/>
        <w:color w:val="F2F2F2"/>
        <w:sz w:val="22"/>
      </w:rPr>
      <w:tblPr/>
      <w:tcPr>
        <w:shd w:val="clear" w:color="FFFFFF" w:themeColor="accent3" w:themeTint="00" w:fill="FFFFFF" w:themeFill="accent3" w:themeFillTint="00"/>
      </w:tcPr>
    </w:tblStylePr>
    <w:tblStylePr w:type="firstCol">
      <w:rPr>
        <w:rFonts w:ascii="Arial" w:hAnsi="Arial"/>
        <w:color w:val="F2F2F2"/>
        <w:sz w:val="22"/>
      </w:rPr>
      <w:tblPr/>
      <w:tcPr>
        <w:shd w:val="clear" w:color="FFFFFF" w:themeColor="accent3" w:themeTint="00" w:fill="FFFFFF" w:themeFill="accent3" w:themeFillTint="00"/>
      </w:tcPr>
    </w:tblStylePr>
    <w:tblStylePr w:type="lastCol">
      <w:rPr>
        <w:rFonts w:ascii="Arial" w:hAnsi="Arial"/>
        <w:color w:val="F2F2F2"/>
        <w:sz w:val="22"/>
      </w:rPr>
      <w:tblPr/>
      <w:tcPr>
        <w:shd w:val="clear" w:color="FFFFFF" w:themeColor="accent3" w:themeTint="00" w:fill="FFFFFF" w:themeFill="accent3" w:themeFillTint="0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accent3" w:themeTint="00" w:fill="FFFFFF" w:themeFill="accent3"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accent3" w:themeTint="00" w:fill="FFFFFF" w:themeFill="accent3" w:themeFillTint="00"/>
      </w:tcPr>
    </w:tblStylePr>
  </w:style>
  <w:style w:type="table" w:customStyle="1" w:styleId="Lined-Accent4">
    <w:name w:val="Lined - Accent 4"/>
    <w:basedOn w:val="NormalTablo"/>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FFFFFF" w:themeColor="accent4" w:themeTint="00" w:fill="FFFFFF" w:themeFill="accent4" w:themeFillTint="00"/>
      </w:tcPr>
    </w:tblStylePr>
    <w:tblStylePr w:type="lastRow">
      <w:rPr>
        <w:rFonts w:ascii="Arial" w:hAnsi="Arial"/>
        <w:color w:val="F2F2F2"/>
        <w:sz w:val="22"/>
      </w:rPr>
      <w:tblPr/>
      <w:tcPr>
        <w:shd w:val="clear" w:color="FFFFFF" w:themeColor="accent4" w:themeTint="00" w:fill="FFFFFF" w:themeFill="accent4" w:themeFillTint="00"/>
      </w:tcPr>
    </w:tblStylePr>
    <w:tblStylePr w:type="firstCol">
      <w:rPr>
        <w:rFonts w:ascii="Arial" w:hAnsi="Arial"/>
        <w:color w:val="F2F2F2"/>
        <w:sz w:val="22"/>
      </w:rPr>
      <w:tblPr/>
      <w:tcPr>
        <w:shd w:val="clear" w:color="FFFFFF" w:themeColor="accent4" w:themeTint="00" w:fill="FFFFFF" w:themeFill="accent4" w:themeFillTint="00"/>
      </w:tcPr>
    </w:tblStylePr>
    <w:tblStylePr w:type="lastCol">
      <w:rPr>
        <w:rFonts w:ascii="Arial" w:hAnsi="Arial"/>
        <w:color w:val="F2F2F2"/>
        <w:sz w:val="22"/>
      </w:rPr>
      <w:tblPr/>
      <w:tcPr>
        <w:shd w:val="clear" w:color="FFFFFF" w:themeColor="accent4" w:themeTint="00" w:fill="FFFFFF" w:themeFill="accent4" w:themeFillTint="0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accent4" w:themeTint="00" w:fill="FFFFFF" w:themeFill="accent4"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accent4" w:themeTint="00" w:fill="FFFFFF" w:themeFill="accent4" w:themeFillTint="00"/>
      </w:tcPr>
    </w:tblStylePr>
  </w:style>
  <w:style w:type="table" w:customStyle="1" w:styleId="Lined-Accent5">
    <w:name w:val="Lined - Accent 5"/>
    <w:basedOn w:val="NormalTablo"/>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themeColor="accent5" w:themeTint="00" w:fill="FFFFFF" w:themeFill="accent5"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accent5" w:themeTint="00" w:fill="FFFFFF" w:themeFill="accent5" w:themeFillTint="00"/>
      </w:tcPr>
    </w:tblStylePr>
  </w:style>
  <w:style w:type="table" w:customStyle="1" w:styleId="Lined-Accent6">
    <w:name w:val="Lined - Accent 6"/>
    <w:basedOn w:val="NormalTablo"/>
    <w:uiPriority w:val="99"/>
    <w:pPr>
      <w:spacing w:after="0" w:line="240" w:lineRule="auto"/>
    </w:pPr>
    <w:rPr>
      <w:color w:val="404040"/>
      <w:sz w:val="20"/>
      <w:szCs w:val="20"/>
      <w:lang w:eastAsia="en-GB"/>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themeColor="accent6" w:themeTint="00" w:fill="FFFFFF" w:themeFill="accent6"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accent6" w:themeTint="00" w:fill="FFFFFF" w:themeFill="accent6" w:themeFillTint="00"/>
      </w:tcPr>
    </w:tblStylePr>
  </w:style>
  <w:style w:type="table" w:customStyle="1" w:styleId="BorderedLined-Accent">
    <w:name w:val="Bordered &amp; Lined - Accent"/>
    <w:basedOn w:val="NormalTablo"/>
    <w:uiPriority w:val="99"/>
    <w:pPr>
      <w:spacing w:after="0" w:line="240" w:lineRule="auto"/>
    </w:pPr>
    <w:rPr>
      <w:color w:val="404040"/>
      <w:sz w:val="20"/>
      <w:szCs w:val="20"/>
      <w:lang w:eastAsia="en-GB"/>
    </w:rPr>
    <w:tblPr>
      <w:tblStyleRowBandSize w:val="1"/>
      <w:tblStyleColBandSize w:val="1"/>
      <w:tblBorders>
        <w:top w:val="single" w:sz="4" w:space="0" w:color="FFFFFF" w:themeColor="text1" w:themeTint="00"/>
        <w:left w:val="single" w:sz="4" w:space="0" w:color="FFFFFF" w:themeColor="text1" w:themeTint="00"/>
        <w:bottom w:val="single" w:sz="4" w:space="0" w:color="FFFFFF" w:themeColor="text1" w:themeTint="00"/>
        <w:right w:val="single" w:sz="4" w:space="0" w:color="FFFFFF" w:themeColor="text1" w:themeTint="00"/>
        <w:insideH w:val="single" w:sz="4" w:space="0" w:color="FFFFFF" w:themeColor="text1" w:themeTint="00"/>
        <w:insideV w:val="single" w:sz="4" w:space="0" w:color="FFFFFF" w:themeColor="text1" w:themeTint="00"/>
      </w:tblBorders>
    </w:tblPr>
    <w:tblStylePr w:type="firstRow">
      <w:rPr>
        <w:rFonts w:ascii="Arial" w:hAnsi="Arial"/>
        <w:color w:val="F2F2F2"/>
        <w:sz w:val="22"/>
      </w:rPr>
      <w:tblPr/>
      <w:tcPr>
        <w:shd w:val="clear" w:color="FFFFFF" w:themeColor="text1" w:themeTint="00" w:fill="FFFFFF" w:themeFill="text1" w:themeFillTint="00"/>
      </w:tcPr>
    </w:tblStylePr>
    <w:tblStylePr w:type="lastRow">
      <w:rPr>
        <w:rFonts w:ascii="Arial" w:hAnsi="Arial"/>
        <w:color w:val="F2F2F2"/>
        <w:sz w:val="22"/>
      </w:rPr>
      <w:tblPr/>
      <w:tcPr>
        <w:shd w:val="clear" w:color="FFFFFF" w:themeColor="text1" w:themeTint="00" w:fill="FFFFFF" w:themeFill="text1" w:themeFillTint="00"/>
      </w:tcPr>
    </w:tblStylePr>
    <w:tblStylePr w:type="firstCol">
      <w:rPr>
        <w:rFonts w:ascii="Arial" w:hAnsi="Arial"/>
        <w:color w:val="F2F2F2"/>
        <w:sz w:val="22"/>
      </w:rPr>
      <w:tblPr/>
      <w:tcPr>
        <w:shd w:val="clear" w:color="FFFFFF" w:themeColor="text1" w:themeTint="00" w:fill="FFFFFF" w:themeFill="text1" w:themeFillTint="00"/>
      </w:tcPr>
    </w:tblStylePr>
    <w:tblStylePr w:type="lastCol">
      <w:rPr>
        <w:rFonts w:ascii="Arial" w:hAnsi="Arial"/>
        <w:color w:val="F2F2F2"/>
        <w:sz w:val="22"/>
      </w:rPr>
      <w:tblPr/>
      <w:tcPr>
        <w:shd w:val="clear" w:color="FFFFFF" w:themeColor="text1" w:themeTint="00" w:fill="FFFFFF" w:themeFill="text1" w:themeFillTint="0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BorderedLined-Accent1">
    <w:name w:val="Bordered &amp; Lined - Accent 1"/>
    <w:basedOn w:val="NormalTablo"/>
    <w:uiPriority w:val="99"/>
    <w:pPr>
      <w:spacing w:after="0" w:line="240" w:lineRule="auto"/>
    </w:pPr>
    <w:rPr>
      <w:color w:val="404040"/>
      <w:sz w:val="20"/>
      <w:szCs w:val="20"/>
      <w:lang w:eastAsia="en-GB"/>
    </w:rPr>
    <w:tblPr>
      <w:tblStyleRowBandSize w:val="1"/>
      <w:tblStyleColBandSize w:val="1"/>
      <w:tblBorders>
        <w:top w:val="single" w:sz="4" w:space="0" w:color="000000" w:themeColor="accent1" w:themeShade="00"/>
        <w:left w:val="single" w:sz="4" w:space="0" w:color="000000" w:themeColor="accent1" w:themeShade="00"/>
        <w:bottom w:val="single" w:sz="4" w:space="0" w:color="000000" w:themeColor="accent1" w:themeShade="00"/>
        <w:right w:val="single" w:sz="4" w:space="0" w:color="000000" w:themeColor="accent1" w:themeShade="00"/>
        <w:insideH w:val="single" w:sz="4" w:space="0" w:color="000000" w:themeColor="accent1" w:themeShade="00"/>
        <w:insideV w:val="single" w:sz="4" w:space="0" w:color="000000" w:themeColor="accent1" w:themeShade="00"/>
      </w:tblBorders>
    </w:tblPr>
    <w:tblStylePr w:type="firstRow">
      <w:rPr>
        <w:rFonts w:ascii="Arial" w:hAnsi="Arial"/>
        <w:color w:val="F2F2F2"/>
        <w:sz w:val="22"/>
      </w:rPr>
      <w:tblPr/>
      <w:tcPr>
        <w:shd w:val="clear" w:color="FFFFFF" w:themeColor="accent1" w:themeTint="00" w:fill="FFFFFF" w:themeFill="accent1" w:themeFillTint="00"/>
      </w:tcPr>
    </w:tblStylePr>
    <w:tblStylePr w:type="lastRow">
      <w:rPr>
        <w:rFonts w:ascii="Arial" w:hAnsi="Arial"/>
        <w:color w:val="F2F2F2"/>
        <w:sz w:val="22"/>
      </w:rPr>
      <w:tblPr/>
      <w:tcPr>
        <w:shd w:val="clear" w:color="FFFFFF" w:themeColor="accent1" w:themeTint="00" w:fill="FFFFFF" w:themeFill="accent1" w:themeFillTint="00"/>
      </w:tcPr>
    </w:tblStylePr>
    <w:tblStylePr w:type="firstCol">
      <w:rPr>
        <w:rFonts w:ascii="Arial" w:hAnsi="Arial"/>
        <w:color w:val="F2F2F2"/>
        <w:sz w:val="22"/>
      </w:rPr>
      <w:tblPr/>
      <w:tcPr>
        <w:shd w:val="clear" w:color="FFFFFF" w:themeColor="accent1" w:themeTint="00" w:fill="FFFFFF" w:themeFill="accent1" w:themeFillTint="00"/>
      </w:tcPr>
    </w:tblStylePr>
    <w:tblStylePr w:type="lastCol">
      <w:rPr>
        <w:rFonts w:ascii="Arial" w:hAnsi="Arial"/>
        <w:color w:val="F2F2F2"/>
        <w:sz w:val="22"/>
      </w:rPr>
      <w:tblPr/>
      <w:tcPr>
        <w:shd w:val="clear" w:color="FFFFFF" w:themeColor="accent1" w:themeTint="00" w:fill="FFFFFF" w:themeFill="accent1" w:themeFillTint="0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accent1" w:themeTint="00" w:fill="FFFFFF" w:themeFill="accen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accent1" w:themeTint="00" w:fill="FFFFFF" w:themeFill="accent1" w:themeFillTint="00"/>
      </w:tcPr>
    </w:tblStylePr>
  </w:style>
  <w:style w:type="table" w:customStyle="1" w:styleId="BorderedLined-Accent2">
    <w:name w:val="Bordered &amp; Lined - Accent 2"/>
    <w:basedOn w:val="NormalTablo"/>
    <w:uiPriority w:val="99"/>
    <w:pPr>
      <w:spacing w:after="0" w:line="240" w:lineRule="auto"/>
    </w:pPr>
    <w:rPr>
      <w:color w:val="404040"/>
      <w:sz w:val="20"/>
      <w:szCs w:val="20"/>
      <w:lang w:eastAsia="en-GB"/>
    </w:rPr>
    <w:tblPr>
      <w:tblStyleRowBandSize w:val="1"/>
      <w:tblStyleColBandSize w:val="1"/>
      <w:tblBorders>
        <w:top w:val="single" w:sz="4" w:space="0" w:color="000000" w:themeColor="accent2" w:themeShade="00"/>
        <w:left w:val="single" w:sz="4" w:space="0" w:color="000000" w:themeColor="accent2" w:themeShade="00"/>
        <w:bottom w:val="single" w:sz="4" w:space="0" w:color="000000" w:themeColor="accent2" w:themeShade="00"/>
        <w:right w:val="single" w:sz="4" w:space="0" w:color="000000" w:themeColor="accent2" w:themeShade="00"/>
        <w:insideH w:val="single" w:sz="4" w:space="0" w:color="000000" w:themeColor="accent2" w:themeShade="00"/>
        <w:insideV w:val="single" w:sz="4" w:space="0" w:color="000000" w:themeColor="accent2" w:themeShade="00"/>
      </w:tblBorders>
    </w:tblPr>
    <w:tblStylePr w:type="firstRow">
      <w:rPr>
        <w:rFonts w:ascii="Arial" w:hAnsi="Arial"/>
        <w:color w:val="F2F2F2"/>
        <w:sz w:val="22"/>
      </w:rPr>
      <w:tblPr/>
      <w:tcPr>
        <w:shd w:val="clear" w:color="FFFFFF" w:themeColor="accent2" w:themeTint="00" w:fill="FFFFFF" w:themeFill="accent2" w:themeFillTint="00"/>
      </w:tcPr>
    </w:tblStylePr>
    <w:tblStylePr w:type="lastRow">
      <w:rPr>
        <w:rFonts w:ascii="Arial" w:hAnsi="Arial"/>
        <w:color w:val="F2F2F2"/>
        <w:sz w:val="22"/>
      </w:rPr>
      <w:tblPr/>
      <w:tcPr>
        <w:shd w:val="clear" w:color="FFFFFF" w:themeColor="accent2" w:themeTint="00" w:fill="FFFFFF" w:themeFill="accent2" w:themeFillTint="00"/>
      </w:tcPr>
    </w:tblStylePr>
    <w:tblStylePr w:type="firstCol">
      <w:rPr>
        <w:rFonts w:ascii="Arial" w:hAnsi="Arial"/>
        <w:color w:val="F2F2F2"/>
        <w:sz w:val="22"/>
      </w:rPr>
      <w:tblPr/>
      <w:tcPr>
        <w:shd w:val="clear" w:color="FFFFFF" w:themeColor="accent2" w:themeTint="00" w:fill="FFFFFF" w:themeFill="accent2" w:themeFillTint="00"/>
      </w:tcPr>
    </w:tblStylePr>
    <w:tblStylePr w:type="lastCol">
      <w:rPr>
        <w:rFonts w:ascii="Arial" w:hAnsi="Arial"/>
        <w:color w:val="F2F2F2"/>
        <w:sz w:val="22"/>
      </w:rPr>
      <w:tblPr/>
      <w:tcPr>
        <w:shd w:val="clear" w:color="FFFFFF" w:themeColor="accent2" w:themeTint="00" w:fill="FFFFFF" w:themeFill="accent2" w:themeFillTint="0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accent2" w:themeTint="00" w:fill="FFFFFF" w:themeFill="accent2"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accent2" w:themeTint="00" w:fill="FFFFFF" w:themeFill="accent2" w:themeFillTint="00"/>
      </w:tcPr>
    </w:tblStylePr>
  </w:style>
  <w:style w:type="table" w:customStyle="1" w:styleId="BorderedLined-Accent3">
    <w:name w:val="Bordered &amp; Lined - Accent 3"/>
    <w:basedOn w:val="NormalTablo"/>
    <w:uiPriority w:val="99"/>
    <w:pPr>
      <w:spacing w:after="0" w:line="240" w:lineRule="auto"/>
    </w:pPr>
    <w:rPr>
      <w:color w:val="404040"/>
      <w:sz w:val="20"/>
      <w:szCs w:val="20"/>
      <w:lang w:eastAsia="en-GB"/>
    </w:rPr>
    <w:tblPr>
      <w:tblStyleRowBandSize w:val="1"/>
      <w:tblStyleColBandSize w:val="1"/>
      <w:tblBorders>
        <w:top w:val="single" w:sz="4" w:space="0" w:color="000000" w:themeColor="accent3" w:themeShade="00"/>
        <w:left w:val="single" w:sz="4" w:space="0" w:color="000000" w:themeColor="accent3" w:themeShade="00"/>
        <w:bottom w:val="single" w:sz="4" w:space="0" w:color="000000" w:themeColor="accent3" w:themeShade="00"/>
        <w:right w:val="single" w:sz="4" w:space="0" w:color="000000" w:themeColor="accent3" w:themeShade="00"/>
        <w:insideH w:val="single" w:sz="4" w:space="0" w:color="000000" w:themeColor="accent3" w:themeShade="00"/>
        <w:insideV w:val="single" w:sz="4" w:space="0" w:color="000000" w:themeColor="accent3" w:themeShade="00"/>
      </w:tblBorders>
    </w:tblPr>
    <w:tblStylePr w:type="firstRow">
      <w:rPr>
        <w:rFonts w:ascii="Arial" w:hAnsi="Arial"/>
        <w:color w:val="F2F2F2"/>
        <w:sz w:val="22"/>
      </w:rPr>
      <w:tblPr/>
      <w:tcPr>
        <w:shd w:val="clear" w:color="FFFFFF" w:themeColor="accent3" w:themeTint="00" w:fill="FFFFFF" w:themeFill="accent3" w:themeFillTint="00"/>
      </w:tcPr>
    </w:tblStylePr>
    <w:tblStylePr w:type="lastRow">
      <w:rPr>
        <w:rFonts w:ascii="Arial" w:hAnsi="Arial"/>
        <w:color w:val="F2F2F2"/>
        <w:sz w:val="22"/>
      </w:rPr>
      <w:tblPr/>
      <w:tcPr>
        <w:shd w:val="clear" w:color="FFFFFF" w:themeColor="accent3" w:themeTint="00" w:fill="FFFFFF" w:themeFill="accent3" w:themeFillTint="00"/>
      </w:tcPr>
    </w:tblStylePr>
    <w:tblStylePr w:type="firstCol">
      <w:rPr>
        <w:rFonts w:ascii="Arial" w:hAnsi="Arial"/>
        <w:color w:val="F2F2F2"/>
        <w:sz w:val="22"/>
      </w:rPr>
      <w:tblPr/>
      <w:tcPr>
        <w:shd w:val="clear" w:color="FFFFFF" w:themeColor="accent3" w:themeTint="00" w:fill="FFFFFF" w:themeFill="accent3" w:themeFillTint="00"/>
      </w:tcPr>
    </w:tblStylePr>
    <w:tblStylePr w:type="lastCol">
      <w:rPr>
        <w:rFonts w:ascii="Arial" w:hAnsi="Arial"/>
        <w:color w:val="F2F2F2"/>
        <w:sz w:val="22"/>
      </w:rPr>
      <w:tblPr/>
      <w:tcPr>
        <w:shd w:val="clear" w:color="FFFFFF" w:themeColor="accent3" w:themeTint="00" w:fill="FFFFFF" w:themeFill="accent3" w:themeFillTint="0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accent3" w:themeTint="00" w:fill="FFFFFF" w:themeFill="accent3"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accent3" w:themeTint="00" w:fill="FFFFFF" w:themeFill="accent3" w:themeFillTint="00"/>
      </w:tcPr>
    </w:tblStylePr>
  </w:style>
  <w:style w:type="table" w:customStyle="1" w:styleId="BorderedLined-Accent4">
    <w:name w:val="Bordered &amp; Lined - Accent 4"/>
    <w:basedOn w:val="NormalTablo"/>
    <w:uiPriority w:val="99"/>
    <w:pPr>
      <w:spacing w:after="0" w:line="240" w:lineRule="auto"/>
    </w:pPr>
    <w:rPr>
      <w:color w:val="404040"/>
      <w:sz w:val="20"/>
      <w:szCs w:val="20"/>
      <w:lang w:eastAsia="en-GB"/>
    </w:rPr>
    <w:tblPr>
      <w:tblStyleRowBandSize w:val="1"/>
      <w:tblStyleColBandSize w:val="1"/>
      <w:tblBorders>
        <w:top w:val="single" w:sz="4" w:space="0" w:color="000000" w:themeColor="accent4" w:themeShade="00"/>
        <w:left w:val="single" w:sz="4" w:space="0" w:color="000000" w:themeColor="accent4" w:themeShade="00"/>
        <w:bottom w:val="single" w:sz="4" w:space="0" w:color="000000" w:themeColor="accent4" w:themeShade="00"/>
        <w:right w:val="single" w:sz="4" w:space="0" w:color="000000" w:themeColor="accent4" w:themeShade="00"/>
        <w:insideH w:val="single" w:sz="4" w:space="0" w:color="000000" w:themeColor="accent4" w:themeShade="00"/>
        <w:insideV w:val="single" w:sz="4" w:space="0" w:color="000000" w:themeColor="accent4" w:themeShade="00"/>
      </w:tblBorders>
    </w:tblPr>
    <w:tblStylePr w:type="firstRow">
      <w:rPr>
        <w:rFonts w:ascii="Arial" w:hAnsi="Arial"/>
        <w:color w:val="F2F2F2"/>
        <w:sz w:val="22"/>
      </w:rPr>
      <w:tblPr/>
      <w:tcPr>
        <w:shd w:val="clear" w:color="FFFFFF" w:themeColor="accent4" w:themeTint="00" w:fill="FFFFFF" w:themeFill="accent4" w:themeFillTint="00"/>
      </w:tcPr>
    </w:tblStylePr>
    <w:tblStylePr w:type="lastRow">
      <w:rPr>
        <w:rFonts w:ascii="Arial" w:hAnsi="Arial"/>
        <w:color w:val="F2F2F2"/>
        <w:sz w:val="22"/>
      </w:rPr>
      <w:tblPr/>
      <w:tcPr>
        <w:shd w:val="clear" w:color="FFFFFF" w:themeColor="accent4" w:themeTint="00" w:fill="FFFFFF" w:themeFill="accent4" w:themeFillTint="00"/>
      </w:tcPr>
    </w:tblStylePr>
    <w:tblStylePr w:type="firstCol">
      <w:rPr>
        <w:rFonts w:ascii="Arial" w:hAnsi="Arial"/>
        <w:color w:val="F2F2F2"/>
        <w:sz w:val="22"/>
      </w:rPr>
      <w:tblPr/>
      <w:tcPr>
        <w:shd w:val="clear" w:color="FFFFFF" w:themeColor="accent4" w:themeTint="00" w:fill="FFFFFF" w:themeFill="accent4" w:themeFillTint="00"/>
      </w:tcPr>
    </w:tblStylePr>
    <w:tblStylePr w:type="lastCol">
      <w:rPr>
        <w:rFonts w:ascii="Arial" w:hAnsi="Arial"/>
        <w:color w:val="F2F2F2"/>
        <w:sz w:val="22"/>
      </w:rPr>
      <w:tblPr/>
      <w:tcPr>
        <w:shd w:val="clear" w:color="FFFFFF" w:themeColor="accent4" w:themeTint="00" w:fill="FFFFFF" w:themeFill="accent4" w:themeFillTint="0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accent4" w:themeTint="00" w:fill="FFFFFF" w:themeFill="accent4"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accent4" w:themeTint="00" w:fill="FFFFFF" w:themeFill="accent4" w:themeFillTint="00"/>
      </w:tcPr>
    </w:tblStylePr>
  </w:style>
  <w:style w:type="table" w:customStyle="1" w:styleId="BorderedLined-Accent5">
    <w:name w:val="Bordered &amp; Lined - Accent 5"/>
    <w:basedOn w:val="NormalTablo"/>
    <w:uiPriority w:val="99"/>
    <w:pPr>
      <w:spacing w:after="0" w:line="240" w:lineRule="auto"/>
    </w:pPr>
    <w:rPr>
      <w:color w:val="404040"/>
      <w:sz w:val="20"/>
      <w:szCs w:val="20"/>
      <w:lang w:eastAsia="en-GB"/>
    </w:rPr>
    <w:tblPr>
      <w:tblStyleRowBandSize w:val="1"/>
      <w:tblStyleColBandSize w:val="1"/>
      <w:tblBorders>
        <w:top w:val="single" w:sz="4" w:space="0" w:color="000000" w:themeColor="accent5" w:themeShade="00"/>
        <w:left w:val="single" w:sz="4" w:space="0" w:color="000000" w:themeColor="accent5" w:themeShade="00"/>
        <w:bottom w:val="single" w:sz="4" w:space="0" w:color="000000" w:themeColor="accent5" w:themeShade="00"/>
        <w:right w:val="single" w:sz="4" w:space="0" w:color="000000" w:themeColor="accent5" w:themeShade="00"/>
        <w:insideH w:val="single" w:sz="4" w:space="0" w:color="000000" w:themeColor="accent5" w:themeShade="00"/>
        <w:insideV w:val="single" w:sz="4" w:space="0" w:color="000000" w:themeColor="accent5" w:themeShade="00"/>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themeColor="accent5" w:themeTint="00" w:fill="FFFFFF" w:themeFill="accent5"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accent5" w:themeTint="00" w:fill="FFFFFF" w:themeFill="accent5" w:themeFillTint="00"/>
      </w:tcPr>
    </w:tblStylePr>
  </w:style>
  <w:style w:type="table" w:customStyle="1" w:styleId="BorderedLined-Accent6">
    <w:name w:val="Bordered &amp; Lined - Accent 6"/>
    <w:basedOn w:val="NormalTablo"/>
    <w:uiPriority w:val="99"/>
    <w:pPr>
      <w:spacing w:after="0" w:line="240" w:lineRule="auto"/>
    </w:pPr>
    <w:rPr>
      <w:color w:val="404040"/>
      <w:sz w:val="20"/>
      <w:szCs w:val="20"/>
      <w:lang w:eastAsia="en-GB"/>
    </w:rPr>
    <w:tblPr>
      <w:tblStyleRowBandSize w:val="1"/>
      <w:tblStyleColBandSize w:val="1"/>
      <w:tblBorders>
        <w:top w:val="single" w:sz="4" w:space="0" w:color="000000" w:themeColor="accent6" w:themeShade="00"/>
        <w:left w:val="single" w:sz="4" w:space="0" w:color="000000" w:themeColor="accent6" w:themeShade="00"/>
        <w:bottom w:val="single" w:sz="4" w:space="0" w:color="000000" w:themeColor="accent6" w:themeShade="00"/>
        <w:right w:val="single" w:sz="4" w:space="0" w:color="000000" w:themeColor="accent6" w:themeShade="00"/>
        <w:insideH w:val="single" w:sz="4" w:space="0" w:color="000000" w:themeColor="accent6" w:themeShade="00"/>
        <w:insideV w:val="single" w:sz="4" w:space="0" w:color="000000" w:themeColor="accent6" w:themeShade="00"/>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themeColor="accent6" w:themeTint="00" w:fill="FFFFFF" w:themeFill="accent6"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accent6" w:themeTint="00" w:fill="FFFFFF" w:themeFill="accent6" w:themeFillTint="00"/>
      </w:tcPr>
    </w:tblStylePr>
  </w:style>
  <w:style w:type="table" w:customStyle="1" w:styleId="Bordered">
    <w:name w:val="Bordered"/>
    <w:basedOn w:val="NormalTablo"/>
    <w:uiPriority w:val="99"/>
    <w:pPr>
      <w:spacing w:after="0" w:line="240" w:lineRule="auto"/>
    </w:pPr>
    <w:tblPr>
      <w:tblStyleRowBandSize w:val="1"/>
      <w:tblStyleColBandSize w:val="1"/>
      <w:tblBorders>
        <w:top w:val="single" w:sz="4" w:space="0" w:color="FFFFFF" w:themeColor="text1" w:themeTint="00"/>
        <w:left w:val="single" w:sz="4" w:space="0" w:color="FFFFFF" w:themeColor="text1" w:themeTint="00"/>
        <w:bottom w:val="single" w:sz="4" w:space="0" w:color="FFFFFF" w:themeColor="text1" w:themeTint="00"/>
        <w:right w:val="single" w:sz="4" w:space="0" w:color="FFFFFF" w:themeColor="text1" w:themeTint="00"/>
        <w:insideH w:val="single" w:sz="4" w:space="0" w:color="FFFFFF" w:themeColor="text1" w:themeTint="00"/>
        <w:insideV w:val="single" w:sz="4" w:space="0" w:color="FFFFFF" w:themeColor="text1" w:themeTint="00"/>
      </w:tblBorders>
    </w:tblPr>
    <w:tblStylePr w:type="firstRow">
      <w:rPr>
        <w:rFonts w:ascii="Arial" w:hAnsi="Arial"/>
        <w:color w:val="404040"/>
        <w:sz w:val="22"/>
      </w:rPr>
      <w:tblPr/>
      <w:tcPr>
        <w:tcBorders>
          <w:bottom w:val="single" w:sz="12" w:space="0" w:color="FFFFFF" w:themeColor="text1" w:themeTint="00"/>
        </w:tcBorders>
      </w:tcPr>
    </w:tblStylePr>
    <w:tblStylePr w:type="lastRow">
      <w:rPr>
        <w:rFonts w:ascii="Arial" w:hAnsi="Arial"/>
        <w:color w:val="404040"/>
        <w:sz w:val="22"/>
      </w:rPr>
      <w:tblPr/>
      <w:tcPr>
        <w:tcBorders>
          <w:top w:val="single" w:sz="12" w:space="0" w:color="FFFFFF" w:themeColor="text1" w:themeTint="0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FFFF" w:themeColor="text1" w:themeTint="00"/>
        </w:tcBorders>
      </w:tcPr>
    </w:tblStylePr>
    <w:tblStylePr w:type="band1Horz">
      <w:rPr>
        <w:rFonts w:ascii="Arial" w:hAnsi="Arial"/>
        <w:color w:val="404040"/>
        <w:sz w:val="22"/>
      </w:rPr>
      <w:tblPr/>
      <w:tcPr>
        <w:tcBorders>
          <w:top w:val="single" w:sz="4" w:space="0" w:color="FFFFFF" w:themeColor="text1" w:themeTint="00"/>
          <w:left w:val="single" w:sz="4" w:space="0" w:color="FFFFFF" w:themeColor="text1" w:themeTint="00"/>
          <w:bottom w:val="single" w:sz="4" w:space="0" w:color="FFFFFF" w:themeColor="text1" w:themeTint="00"/>
          <w:right w:val="single" w:sz="4" w:space="0" w:color="FFFFFF" w:themeColor="text1" w:themeTint="00"/>
        </w:tcBorders>
      </w:tcPr>
    </w:tblStylePr>
  </w:style>
  <w:style w:type="table" w:customStyle="1" w:styleId="Bordered-Accent1">
    <w:name w:val="Bordered - Accent 1"/>
    <w:basedOn w:val="NormalTablo"/>
    <w:uiPriority w:val="99"/>
    <w:pPr>
      <w:spacing w:after="0" w:line="240" w:lineRule="auto"/>
    </w:pPr>
    <w:tblPr>
      <w:tblStyleRowBandSize w:val="1"/>
      <w:tblStyleColBandSize w:val="1"/>
      <w:tblBorders>
        <w:top w:val="single" w:sz="4" w:space="0" w:color="FFFFFF" w:themeColor="accent1" w:themeTint="00"/>
        <w:left w:val="single" w:sz="4" w:space="0" w:color="FFFFFF" w:themeColor="accent1" w:themeTint="00"/>
        <w:bottom w:val="single" w:sz="4" w:space="0" w:color="FFFFFF" w:themeColor="accent1" w:themeTint="00"/>
        <w:right w:val="single" w:sz="4" w:space="0" w:color="FFFFFF" w:themeColor="accent1" w:themeTint="00"/>
        <w:insideH w:val="single" w:sz="4" w:space="0" w:color="FFFFFF" w:themeColor="accent1" w:themeTint="00"/>
        <w:insideV w:val="single" w:sz="4" w:space="0" w:color="FFFFFF" w:themeColor="accent1" w:themeTint="00"/>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FFFFFF" w:themeColor="accent1" w:themeTint="00"/>
          <w:left w:val="single" w:sz="4" w:space="0" w:color="FFFFFF" w:themeColor="accent1" w:themeTint="00"/>
          <w:bottom w:val="single" w:sz="4" w:space="0" w:color="FFFFFF" w:themeColor="accent1" w:themeTint="00"/>
          <w:right w:val="single" w:sz="4" w:space="0" w:color="FFFFFF" w:themeColor="accent1" w:themeTint="00"/>
        </w:tcBorders>
      </w:tcPr>
    </w:tblStylePr>
  </w:style>
  <w:style w:type="table" w:customStyle="1" w:styleId="Bordered-Accent2">
    <w:name w:val="Bordered - Accent 2"/>
    <w:basedOn w:val="NormalTablo"/>
    <w:uiPriority w:val="99"/>
    <w:pPr>
      <w:spacing w:after="0" w:line="240" w:lineRule="auto"/>
    </w:pPr>
    <w:tblPr>
      <w:tblStyleRowBandSize w:val="1"/>
      <w:tblStyleColBandSize w:val="1"/>
      <w:tblBorders>
        <w:top w:val="single" w:sz="4" w:space="0" w:color="FFFFFF" w:themeColor="accent2" w:themeTint="00"/>
        <w:left w:val="single" w:sz="4" w:space="0" w:color="FFFFFF" w:themeColor="accent2" w:themeTint="00"/>
        <w:bottom w:val="single" w:sz="4" w:space="0" w:color="FFFFFF" w:themeColor="accent2" w:themeTint="00"/>
        <w:right w:val="single" w:sz="4" w:space="0" w:color="FFFFFF" w:themeColor="accent2" w:themeTint="00"/>
        <w:insideH w:val="single" w:sz="4" w:space="0" w:color="FFFFFF" w:themeColor="accent2" w:themeTint="00"/>
        <w:insideV w:val="single" w:sz="4" w:space="0" w:color="FFFFFF" w:themeColor="accent2" w:themeTint="00"/>
      </w:tblBorders>
    </w:tblPr>
    <w:tblStylePr w:type="firstRow">
      <w:rPr>
        <w:rFonts w:ascii="Arial" w:hAnsi="Arial"/>
        <w:color w:val="404040"/>
        <w:sz w:val="22"/>
      </w:rPr>
      <w:tblPr/>
      <w:tcPr>
        <w:tcBorders>
          <w:bottom w:val="single" w:sz="12" w:space="0" w:color="FFFFFF" w:themeColor="accent2" w:themeTint="00"/>
        </w:tcBorders>
      </w:tcPr>
    </w:tblStylePr>
    <w:tblStylePr w:type="lastRow">
      <w:rPr>
        <w:rFonts w:ascii="Arial" w:hAnsi="Arial"/>
        <w:color w:val="404040"/>
        <w:sz w:val="22"/>
      </w:rPr>
      <w:tblPr/>
      <w:tcPr>
        <w:tcBorders>
          <w:top w:val="single" w:sz="12" w:space="0" w:color="FFFFFF" w:themeColor="accent2" w:themeTint="0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FFFF" w:themeColor="accent2" w:themeTint="00"/>
        </w:tcBorders>
      </w:tcPr>
    </w:tblStylePr>
    <w:tblStylePr w:type="band1Horz">
      <w:rPr>
        <w:rFonts w:ascii="Arial" w:hAnsi="Arial"/>
        <w:color w:val="404040"/>
        <w:sz w:val="22"/>
      </w:rPr>
      <w:tblPr/>
      <w:tcPr>
        <w:tcBorders>
          <w:top w:val="single" w:sz="4" w:space="0" w:color="FFFFFF" w:themeColor="accent2" w:themeTint="00"/>
          <w:left w:val="single" w:sz="4" w:space="0" w:color="FFFFFF" w:themeColor="accent2" w:themeTint="00"/>
          <w:bottom w:val="single" w:sz="4" w:space="0" w:color="FFFFFF" w:themeColor="accent2" w:themeTint="00"/>
          <w:right w:val="single" w:sz="4" w:space="0" w:color="FFFFFF" w:themeColor="accent2" w:themeTint="00"/>
        </w:tcBorders>
      </w:tcPr>
    </w:tblStylePr>
  </w:style>
  <w:style w:type="table" w:customStyle="1" w:styleId="Bordered-Accent3">
    <w:name w:val="Bordered - Accent 3"/>
    <w:basedOn w:val="NormalTablo"/>
    <w:uiPriority w:val="99"/>
    <w:pPr>
      <w:spacing w:after="0" w:line="240" w:lineRule="auto"/>
    </w:pPr>
    <w:tblPr>
      <w:tblStyleRowBandSize w:val="1"/>
      <w:tblStyleColBandSize w:val="1"/>
      <w:tblBorders>
        <w:top w:val="single" w:sz="4" w:space="0" w:color="FFFFFF" w:themeColor="accent3" w:themeTint="00"/>
        <w:left w:val="single" w:sz="4" w:space="0" w:color="FFFFFF" w:themeColor="accent3" w:themeTint="00"/>
        <w:bottom w:val="single" w:sz="4" w:space="0" w:color="FFFFFF" w:themeColor="accent3" w:themeTint="00"/>
        <w:right w:val="single" w:sz="4" w:space="0" w:color="FFFFFF" w:themeColor="accent3" w:themeTint="00"/>
        <w:insideH w:val="single" w:sz="4" w:space="0" w:color="FFFFFF" w:themeColor="accent3" w:themeTint="00"/>
        <w:insideV w:val="single" w:sz="4" w:space="0" w:color="FFFFFF" w:themeColor="accent3" w:themeTint="00"/>
      </w:tblBorders>
    </w:tblPr>
    <w:tblStylePr w:type="firstRow">
      <w:rPr>
        <w:rFonts w:ascii="Arial" w:hAnsi="Arial"/>
        <w:color w:val="404040"/>
        <w:sz w:val="22"/>
      </w:rPr>
      <w:tblPr/>
      <w:tcPr>
        <w:tcBorders>
          <w:bottom w:val="single" w:sz="12" w:space="0" w:color="FFFFFF" w:themeColor="accent3" w:themeTint="00"/>
        </w:tcBorders>
      </w:tcPr>
    </w:tblStylePr>
    <w:tblStylePr w:type="lastRow">
      <w:rPr>
        <w:rFonts w:ascii="Arial" w:hAnsi="Arial"/>
        <w:color w:val="404040"/>
        <w:sz w:val="22"/>
      </w:rPr>
      <w:tblPr/>
      <w:tcPr>
        <w:tcBorders>
          <w:top w:val="single" w:sz="12" w:space="0" w:color="FFFFFF" w:themeColor="accent3" w:themeTint="0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FFFF" w:themeColor="accent3" w:themeTint="00"/>
        </w:tcBorders>
      </w:tcPr>
    </w:tblStylePr>
    <w:tblStylePr w:type="band1Horz">
      <w:rPr>
        <w:rFonts w:ascii="Arial" w:hAnsi="Arial"/>
        <w:color w:val="404040"/>
        <w:sz w:val="22"/>
      </w:rPr>
      <w:tblPr/>
      <w:tcPr>
        <w:tcBorders>
          <w:top w:val="single" w:sz="4" w:space="0" w:color="FFFFFF" w:themeColor="accent3" w:themeTint="00"/>
          <w:left w:val="single" w:sz="4" w:space="0" w:color="FFFFFF" w:themeColor="accent3" w:themeTint="00"/>
          <w:bottom w:val="single" w:sz="4" w:space="0" w:color="FFFFFF" w:themeColor="accent3" w:themeTint="00"/>
          <w:right w:val="single" w:sz="4" w:space="0" w:color="FFFFFF" w:themeColor="accent3" w:themeTint="00"/>
        </w:tcBorders>
      </w:tcPr>
    </w:tblStylePr>
  </w:style>
  <w:style w:type="table" w:customStyle="1" w:styleId="Bordered-Accent4">
    <w:name w:val="Bordered - Accent 4"/>
    <w:basedOn w:val="NormalTablo"/>
    <w:uiPriority w:val="99"/>
    <w:pPr>
      <w:spacing w:after="0" w:line="240" w:lineRule="auto"/>
    </w:pPr>
    <w:tblPr>
      <w:tblStyleRowBandSize w:val="1"/>
      <w:tblStyleColBandSize w:val="1"/>
      <w:tblBorders>
        <w:top w:val="single" w:sz="4" w:space="0" w:color="FFFFFF" w:themeColor="accent4" w:themeTint="00"/>
        <w:left w:val="single" w:sz="4" w:space="0" w:color="FFFFFF" w:themeColor="accent4" w:themeTint="00"/>
        <w:bottom w:val="single" w:sz="4" w:space="0" w:color="FFFFFF" w:themeColor="accent4" w:themeTint="00"/>
        <w:right w:val="single" w:sz="4" w:space="0" w:color="FFFFFF" w:themeColor="accent4" w:themeTint="00"/>
        <w:insideH w:val="single" w:sz="4" w:space="0" w:color="FFFFFF" w:themeColor="accent4" w:themeTint="00"/>
        <w:insideV w:val="single" w:sz="4" w:space="0" w:color="FFFFFF" w:themeColor="accent4" w:themeTint="00"/>
      </w:tblBorders>
    </w:tblPr>
    <w:tblStylePr w:type="firstRow">
      <w:rPr>
        <w:rFonts w:ascii="Arial" w:hAnsi="Arial"/>
        <w:color w:val="404040"/>
        <w:sz w:val="22"/>
      </w:rPr>
      <w:tblPr/>
      <w:tcPr>
        <w:tcBorders>
          <w:bottom w:val="single" w:sz="12" w:space="0" w:color="FFFFFF" w:themeColor="accent4" w:themeTint="00"/>
        </w:tcBorders>
      </w:tcPr>
    </w:tblStylePr>
    <w:tblStylePr w:type="lastRow">
      <w:rPr>
        <w:rFonts w:ascii="Arial" w:hAnsi="Arial"/>
        <w:color w:val="404040"/>
        <w:sz w:val="22"/>
      </w:rPr>
      <w:tblPr/>
      <w:tcPr>
        <w:tcBorders>
          <w:top w:val="single" w:sz="12" w:space="0" w:color="FFFFFF" w:themeColor="accent4" w:themeTint="0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FFFF" w:themeColor="accent4" w:themeTint="00"/>
        </w:tcBorders>
      </w:tcPr>
    </w:tblStylePr>
    <w:tblStylePr w:type="band1Horz">
      <w:rPr>
        <w:rFonts w:ascii="Arial" w:hAnsi="Arial"/>
        <w:color w:val="404040"/>
        <w:sz w:val="22"/>
      </w:rPr>
      <w:tblPr/>
      <w:tcPr>
        <w:tcBorders>
          <w:top w:val="single" w:sz="4" w:space="0" w:color="FFFFFF" w:themeColor="accent4" w:themeTint="00"/>
          <w:left w:val="single" w:sz="4" w:space="0" w:color="FFFFFF" w:themeColor="accent4" w:themeTint="00"/>
          <w:bottom w:val="single" w:sz="4" w:space="0" w:color="FFFFFF" w:themeColor="accent4" w:themeTint="00"/>
          <w:right w:val="single" w:sz="4" w:space="0" w:color="FFFFFF" w:themeColor="accent4" w:themeTint="00"/>
        </w:tcBorders>
      </w:tcPr>
    </w:tblStylePr>
  </w:style>
  <w:style w:type="table" w:customStyle="1" w:styleId="Bordered-Accent5">
    <w:name w:val="Bordered - Accent 5"/>
    <w:basedOn w:val="NormalTablo"/>
    <w:uiPriority w:val="99"/>
    <w:pPr>
      <w:spacing w:after="0" w:line="240" w:lineRule="auto"/>
    </w:pPr>
    <w:tblPr>
      <w:tblStyleRowBandSize w:val="1"/>
      <w:tblStyleColBandSize w:val="1"/>
      <w:tblBorders>
        <w:top w:val="single" w:sz="4" w:space="0" w:color="FFFFFF" w:themeColor="accent5" w:themeTint="00"/>
        <w:left w:val="single" w:sz="4" w:space="0" w:color="FFFFFF" w:themeColor="accent5" w:themeTint="00"/>
        <w:bottom w:val="single" w:sz="4" w:space="0" w:color="FFFFFF" w:themeColor="accent5" w:themeTint="00"/>
        <w:right w:val="single" w:sz="4" w:space="0" w:color="FFFFFF" w:themeColor="accent5" w:themeTint="00"/>
        <w:insideH w:val="single" w:sz="4" w:space="0" w:color="FFFFFF" w:themeColor="accent5" w:themeTint="00"/>
        <w:insideV w:val="single" w:sz="4" w:space="0" w:color="FFFFFF" w:themeColor="accent5" w:themeTint="00"/>
      </w:tblBorders>
    </w:tblPr>
    <w:tblStylePr w:type="firstRow">
      <w:rPr>
        <w:rFonts w:ascii="Arial" w:hAnsi="Arial"/>
        <w:color w:val="404040"/>
        <w:sz w:val="22"/>
      </w:rPr>
      <w:tblPr/>
      <w:tcPr>
        <w:tcBorders>
          <w:bottom w:val="single" w:sz="12" w:space="0" w:color="FFFFFF" w:themeColor="accent5" w:themeTint="00"/>
        </w:tcBorders>
      </w:tcPr>
    </w:tblStylePr>
    <w:tblStylePr w:type="lastRow">
      <w:rPr>
        <w:rFonts w:ascii="Arial" w:hAnsi="Arial"/>
        <w:color w:val="404040"/>
        <w:sz w:val="22"/>
      </w:rPr>
      <w:tblPr/>
      <w:tcPr>
        <w:tcBorders>
          <w:top w:val="single" w:sz="12" w:space="0" w:color="FFFFFF" w:themeColor="accent5" w:themeTint="0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FFFF" w:themeColor="accent5" w:themeTint="00"/>
        </w:tcBorders>
      </w:tcPr>
    </w:tblStylePr>
    <w:tblStylePr w:type="band1Horz">
      <w:rPr>
        <w:rFonts w:ascii="Arial" w:hAnsi="Arial"/>
        <w:color w:val="404040"/>
        <w:sz w:val="22"/>
      </w:rPr>
      <w:tblPr/>
      <w:tcPr>
        <w:tcBorders>
          <w:top w:val="single" w:sz="4" w:space="0" w:color="FFFFFF" w:themeColor="accent5" w:themeTint="00"/>
          <w:left w:val="single" w:sz="4" w:space="0" w:color="FFFFFF" w:themeColor="accent5" w:themeTint="00"/>
          <w:bottom w:val="single" w:sz="4" w:space="0" w:color="FFFFFF" w:themeColor="accent5" w:themeTint="00"/>
          <w:right w:val="single" w:sz="4" w:space="0" w:color="FFFFFF" w:themeColor="accent5" w:themeTint="00"/>
        </w:tcBorders>
      </w:tcPr>
    </w:tblStylePr>
  </w:style>
  <w:style w:type="table" w:customStyle="1" w:styleId="Bordered-Accent6">
    <w:name w:val="Bordered - Accent 6"/>
    <w:basedOn w:val="NormalTablo"/>
    <w:uiPriority w:val="99"/>
    <w:pPr>
      <w:spacing w:after="0" w:line="240" w:lineRule="auto"/>
    </w:pPr>
    <w:tblPr>
      <w:tblStyleRowBandSize w:val="1"/>
      <w:tblStyleColBandSize w:val="1"/>
      <w:tblBorders>
        <w:top w:val="single" w:sz="4" w:space="0" w:color="FFFFFF" w:themeColor="accent6" w:themeTint="00"/>
        <w:left w:val="single" w:sz="4" w:space="0" w:color="FFFFFF" w:themeColor="accent6" w:themeTint="00"/>
        <w:bottom w:val="single" w:sz="4" w:space="0" w:color="FFFFFF" w:themeColor="accent6" w:themeTint="00"/>
        <w:right w:val="single" w:sz="4" w:space="0" w:color="FFFFFF" w:themeColor="accent6" w:themeTint="00"/>
        <w:insideH w:val="single" w:sz="4" w:space="0" w:color="FFFFFF" w:themeColor="accent6" w:themeTint="00"/>
        <w:insideV w:val="single" w:sz="4" w:space="0" w:color="FFFFFF" w:themeColor="accent6" w:themeTint="00"/>
      </w:tblBorders>
    </w:tblPr>
    <w:tblStylePr w:type="firstRow">
      <w:rPr>
        <w:rFonts w:ascii="Arial" w:hAnsi="Arial"/>
        <w:color w:val="404040"/>
        <w:sz w:val="22"/>
      </w:rPr>
      <w:tblPr/>
      <w:tcPr>
        <w:tcBorders>
          <w:bottom w:val="single" w:sz="12" w:space="0" w:color="FFFFFF" w:themeColor="accent6" w:themeTint="00"/>
        </w:tcBorders>
      </w:tcPr>
    </w:tblStylePr>
    <w:tblStylePr w:type="lastRow">
      <w:rPr>
        <w:rFonts w:ascii="Arial" w:hAnsi="Arial"/>
        <w:color w:val="404040"/>
        <w:sz w:val="22"/>
      </w:rPr>
      <w:tblPr/>
      <w:tcPr>
        <w:tcBorders>
          <w:top w:val="single" w:sz="12" w:space="0" w:color="FFFFFF" w:themeColor="accent6" w:themeTint="0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FFFF" w:themeColor="accent6" w:themeTint="00"/>
        </w:tcBorders>
      </w:tcPr>
    </w:tblStylePr>
    <w:tblStylePr w:type="band1Horz">
      <w:rPr>
        <w:rFonts w:ascii="Arial" w:hAnsi="Arial"/>
        <w:color w:val="404040"/>
        <w:sz w:val="22"/>
      </w:rPr>
      <w:tblPr/>
      <w:tcPr>
        <w:tcBorders>
          <w:top w:val="single" w:sz="4" w:space="0" w:color="FFFFFF" w:themeColor="accent6" w:themeTint="00"/>
          <w:left w:val="single" w:sz="4" w:space="0" w:color="FFFFFF" w:themeColor="accent6" w:themeTint="00"/>
          <w:bottom w:val="single" w:sz="4" w:space="0" w:color="FFFFFF" w:themeColor="accent6" w:themeTint="00"/>
          <w:right w:val="single" w:sz="4" w:space="0" w:color="FFFFFF" w:themeColor="accent6" w:themeTint="00"/>
        </w:tcBorders>
      </w:tcPr>
    </w:tblStylePr>
  </w:style>
  <w:style w:type="character" w:styleId="Kpr">
    <w:name w:val="Hyperlink"/>
    <w:uiPriority w:val="99"/>
    <w:unhideWhenUsed/>
    <w:rPr>
      <w:color w:val="0563C1" w:themeColor="hyperlink"/>
      <w:u w:val="single"/>
    </w:rPr>
  </w:style>
  <w:style w:type="paragraph" w:styleId="DipnotMetni">
    <w:name w:val="footnote text"/>
    <w:basedOn w:val="Normal"/>
    <w:link w:val="DipnotMetniChar"/>
    <w:uiPriority w:val="99"/>
    <w:semiHidden/>
    <w:unhideWhenUsed/>
    <w:pPr>
      <w:spacing w:after="40" w:line="240" w:lineRule="auto"/>
    </w:pPr>
    <w:rPr>
      <w:sz w:val="18"/>
    </w:rPr>
  </w:style>
  <w:style w:type="character" w:customStyle="1" w:styleId="DipnotMetniChar">
    <w:name w:val="Dipnot Metni Char"/>
    <w:link w:val="DipnotMetni"/>
    <w:uiPriority w:val="99"/>
    <w:rPr>
      <w:sz w:val="18"/>
    </w:rPr>
  </w:style>
  <w:style w:type="character" w:styleId="DipnotBavurusu">
    <w:name w:val="footnote reference"/>
    <w:uiPriority w:val="99"/>
    <w:unhideWhenUsed/>
    <w:rPr>
      <w:vertAlign w:val="superscript"/>
    </w:rPr>
  </w:style>
  <w:style w:type="paragraph" w:styleId="SonnotMetni">
    <w:name w:val="endnote text"/>
    <w:basedOn w:val="Normal"/>
    <w:link w:val="SonnotMetniChar"/>
    <w:uiPriority w:val="99"/>
    <w:semiHidden/>
    <w:unhideWhenUsed/>
    <w:pPr>
      <w:spacing w:after="0" w:line="240" w:lineRule="auto"/>
    </w:pPr>
    <w:rPr>
      <w:sz w:val="20"/>
    </w:rPr>
  </w:style>
  <w:style w:type="character" w:customStyle="1" w:styleId="SonnotMetniChar">
    <w:name w:val="Sonnot Metni Char"/>
    <w:link w:val="SonnotMetni"/>
    <w:uiPriority w:val="99"/>
    <w:rPr>
      <w:sz w:val="20"/>
    </w:rPr>
  </w:style>
  <w:style w:type="character" w:styleId="SonnotBavurusu">
    <w:name w:val="endnote reference"/>
    <w:uiPriority w:val="99"/>
    <w:semiHidden/>
    <w:unhideWhenUsed/>
    <w:rPr>
      <w:vertAlign w:val="superscript"/>
    </w:rPr>
  </w:style>
  <w:style w:type="paragraph" w:styleId="T1">
    <w:name w:val="toc 1"/>
    <w:basedOn w:val="Normal"/>
    <w:next w:val="Normal"/>
    <w:uiPriority w:val="39"/>
    <w:unhideWhenUsed/>
    <w:pPr>
      <w:spacing w:after="57"/>
    </w:pPr>
  </w:style>
  <w:style w:type="paragraph" w:styleId="T2">
    <w:name w:val="toc 2"/>
    <w:basedOn w:val="Normal"/>
    <w:next w:val="Normal"/>
    <w:uiPriority w:val="39"/>
    <w:unhideWhenUsed/>
    <w:pPr>
      <w:spacing w:after="57"/>
      <w:ind w:left="283"/>
    </w:pPr>
  </w:style>
  <w:style w:type="paragraph" w:styleId="T3">
    <w:name w:val="toc 3"/>
    <w:basedOn w:val="Normal"/>
    <w:next w:val="Normal"/>
    <w:uiPriority w:val="39"/>
    <w:unhideWhenUsed/>
    <w:pPr>
      <w:spacing w:after="57"/>
      <w:ind w:left="567"/>
    </w:pPr>
  </w:style>
  <w:style w:type="paragraph" w:styleId="T4">
    <w:name w:val="toc 4"/>
    <w:basedOn w:val="Normal"/>
    <w:next w:val="Normal"/>
    <w:uiPriority w:val="39"/>
    <w:unhideWhenUsed/>
    <w:pPr>
      <w:spacing w:after="57"/>
      <w:ind w:left="850"/>
    </w:pPr>
  </w:style>
  <w:style w:type="paragraph" w:styleId="T5">
    <w:name w:val="toc 5"/>
    <w:basedOn w:val="Normal"/>
    <w:next w:val="Normal"/>
    <w:uiPriority w:val="39"/>
    <w:unhideWhenUsed/>
    <w:pPr>
      <w:spacing w:after="57"/>
      <w:ind w:left="1134"/>
    </w:pPr>
  </w:style>
  <w:style w:type="paragraph" w:styleId="T6">
    <w:name w:val="toc 6"/>
    <w:basedOn w:val="Normal"/>
    <w:next w:val="Normal"/>
    <w:uiPriority w:val="39"/>
    <w:unhideWhenUsed/>
    <w:pPr>
      <w:spacing w:after="57"/>
      <w:ind w:left="1417"/>
    </w:pPr>
  </w:style>
  <w:style w:type="paragraph" w:styleId="T7">
    <w:name w:val="toc 7"/>
    <w:basedOn w:val="Normal"/>
    <w:next w:val="Normal"/>
    <w:uiPriority w:val="39"/>
    <w:unhideWhenUsed/>
    <w:pPr>
      <w:spacing w:after="57"/>
      <w:ind w:left="1701"/>
    </w:pPr>
  </w:style>
  <w:style w:type="paragraph" w:styleId="T8">
    <w:name w:val="toc 8"/>
    <w:basedOn w:val="Normal"/>
    <w:next w:val="Normal"/>
    <w:uiPriority w:val="39"/>
    <w:unhideWhenUsed/>
    <w:pPr>
      <w:spacing w:after="57"/>
      <w:ind w:left="1984"/>
    </w:pPr>
  </w:style>
  <w:style w:type="paragraph" w:styleId="T9">
    <w:name w:val="toc 9"/>
    <w:basedOn w:val="Normal"/>
    <w:next w:val="Normal"/>
    <w:uiPriority w:val="39"/>
    <w:unhideWhenUsed/>
    <w:pPr>
      <w:spacing w:after="57"/>
      <w:ind w:left="2268"/>
    </w:pPr>
  </w:style>
  <w:style w:type="paragraph" w:styleId="TBal">
    <w:name w:val="TOC Heading"/>
    <w:uiPriority w:val="39"/>
    <w:unhideWhenUsed/>
  </w:style>
  <w:style w:type="paragraph" w:styleId="ekillerTablosu">
    <w:name w:val="table of figures"/>
    <w:basedOn w:val="Normal"/>
    <w:next w:val="Normal"/>
    <w:uiPriority w:val="99"/>
    <w:unhideWhenUsed/>
    <w:pPr>
      <w:spacing w:after="0"/>
    </w:pPr>
  </w:style>
  <w:style w:type="paragraph" w:styleId="AralkYok">
    <w:name w:val="No Spacing"/>
    <w:basedOn w:val="Normal"/>
    <w:uiPriority w:val="1"/>
    <w:qFormat/>
    <w:pPr>
      <w:spacing w:after="0" w:line="240" w:lineRule="auto"/>
    </w:pPr>
  </w:style>
  <w:style w:type="paragraph" w:styleId="ListeParagraf">
    <w:name w:val="List Paragraph"/>
    <w:basedOn w:val="Normal"/>
    <w:uiPriority w:val="34"/>
    <w:qFormat/>
    <w:pPr>
      <w:ind w:left="720"/>
      <w:contextualSpacing/>
    </w:pPr>
  </w:style>
  <w:style w:type="paragraph" w:customStyle="1" w:styleId="ParaNoG">
    <w:name w:val="_ParaNo._G"/>
    <w:pPr>
      <w:pBdr>
        <w:top w:val="none" w:sz="4" w:space="0" w:color="000000"/>
        <w:left w:val="none" w:sz="4" w:space="0" w:color="000000"/>
        <w:bottom w:val="none" w:sz="4" w:space="0" w:color="000000"/>
        <w:right w:val="none" w:sz="4" w:space="0" w:color="000000"/>
        <w:between w:val="none" w:sz="4" w:space="0" w:color="000000"/>
      </w:pBdr>
      <w:tabs>
        <w:tab w:val="num" w:pos="0"/>
        <w:tab w:val="left" w:pos="1134"/>
        <w:tab w:val="left" w:pos="1701"/>
        <w:tab w:val="left" w:pos="2268"/>
        <w:tab w:val="left" w:pos="2835"/>
      </w:tabs>
      <w:spacing w:after="120" w:line="240" w:lineRule="atLeast"/>
      <w:ind w:left="1134" w:right="1134"/>
      <w:jc w:val="both"/>
    </w:pPr>
    <w:rPr>
      <w:rFonts w:ascii="Times New Roman" w:eastAsia="SimSun" w:hAnsi="Times New Roman" w:cs="Times New Roman"/>
      <w:sz w:val="20"/>
      <w:szCs w:val="20"/>
      <w:lang w:val="en-GB" w:eastAsia="en-US"/>
    </w:rPr>
  </w:style>
  <w:style w:type="paragraph" w:customStyle="1" w:styleId="HChG">
    <w:name w:val="_ H _Ch_G"/>
    <w:pPr>
      <w:keepNext/>
      <w:keepLines/>
      <w:pBdr>
        <w:top w:val="none" w:sz="4" w:space="0" w:color="000000"/>
        <w:left w:val="none" w:sz="4" w:space="0" w:color="000000"/>
        <w:bottom w:val="none" w:sz="4" w:space="0" w:color="000000"/>
        <w:right w:val="none" w:sz="4" w:space="0" w:color="000000"/>
        <w:between w:val="none" w:sz="4" w:space="0" w:color="000000"/>
      </w:pBdr>
      <w:tabs>
        <w:tab w:val="right" w:pos="851"/>
      </w:tabs>
      <w:spacing w:before="360" w:after="240" w:line="300" w:lineRule="exact"/>
      <w:ind w:left="1134" w:right="1134" w:hanging="1134"/>
    </w:pPr>
    <w:rPr>
      <w:rFonts w:ascii="Times New Roman" w:eastAsia="Times New Roman" w:hAnsi="Times New Roman" w:cs="Times New Roman"/>
      <w:b/>
      <w:sz w:val="28"/>
      <w:szCs w:val="20"/>
      <w:lang w:val="en-GB" w:eastAsia="en-US"/>
    </w:rPr>
  </w:style>
  <w:style w:type="paragraph" w:customStyle="1" w:styleId="HMG">
    <w:name w:val="_ H __M_G"/>
    <w:qFormat/>
    <w:pPr>
      <w:keepNext/>
      <w:keepLines/>
      <w:pBdr>
        <w:top w:val="none" w:sz="4" w:space="0" w:color="000000"/>
        <w:left w:val="none" w:sz="4" w:space="0" w:color="000000"/>
        <w:bottom w:val="none" w:sz="4" w:space="0" w:color="000000"/>
        <w:right w:val="none" w:sz="4" w:space="0" w:color="000000"/>
        <w:between w:val="none" w:sz="4" w:space="0" w:color="000000"/>
      </w:pBdr>
      <w:tabs>
        <w:tab w:val="right" w:pos="851"/>
      </w:tabs>
      <w:spacing w:before="240" w:after="240" w:line="360" w:lineRule="exact"/>
      <w:ind w:left="1134" w:right="1134" w:hanging="1134"/>
      <w:outlineLvl w:val="0"/>
    </w:pPr>
    <w:rPr>
      <w:rFonts w:ascii="Times New Roman" w:eastAsiaTheme="minorEastAsia" w:hAnsi="Times New Roman" w:cs="Times New Roman"/>
      <w:b/>
      <w:sz w:val="34"/>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srlswiss.com"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hrw.org/tr/report/2017/10/12/310026" TargetMode="External"/><Relationship Id="rId2" Type="http://schemas.openxmlformats.org/officeDocument/2006/relationships/hyperlink" Target="https://tihv.org.tr/basin-aciklamalari/26-haziran-iskenceye-karsi-mucadele-ve-iskence-gorenlerle-dayanisma-gunu-tihv-ihd-ortak-basin-aciklamasi/" TargetMode="External"/><Relationship Id="rId1" Type="http://schemas.openxmlformats.org/officeDocument/2006/relationships/hyperlink" Target="https://www.hrw.org/tr/report/2017/10/12/310026" TargetMode="External"/><Relationship Id="rId5" Type="http://schemas.openxmlformats.org/officeDocument/2006/relationships/hyperlink" Target="https://www.memurlar.net/haber/1071459/kosova-da-feto-ile-mucadele-eden-burokrat-cezalandirildi.html" TargetMode="External"/><Relationship Id="rId4" Type="http://schemas.openxmlformats.org/officeDocument/2006/relationships/hyperlink" Target="https://www.hrw.org/tr/report/2017/10/12/310026" TargetMode="Externa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AwC0KCfg5DbpQqRyz3X2W0sL5Q==">CgMxLjAyCGguZ2pkZ3hzOAByITFMbUFpWlYybVVzRDV0WTd0LU5YVS1wY1N0UjM0bUw4Nw==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CFF53EE-A16A-4E43-A472-FC14C1805D25}"/>
</file>

<file path=customXml/itemProps3.xml><?xml version="1.0" encoding="utf-8"?>
<ds:datastoreItem xmlns:ds="http://schemas.openxmlformats.org/officeDocument/2006/customXml" ds:itemID="{70DDC9A6-2CEC-40E4-A66B-45BC936EB57F}"/>
</file>

<file path=docProps/app.xml><?xml version="1.0" encoding="utf-8"?>
<Properties xmlns="http://schemas.openxmlformats.org/officeDocument/2006/extended-properties" xmlns:vt="http://schemas.openxmlformats.org/officeDocument/2006/docPropsVTypes">
  <Template>Normal</Template>
  <TotalTime>6</TotalTime>
  <Pages>16</Pages>
  <Words>6579</Words>
  <Characters>37501</Characters>
  <Application>Microsoft Office Word</Application>
  <DocSecurity>0</DocSecurity>
  <Lines>312</Lines>
  <Paragraphs>87</Paragraphs>
  <ScaleCrop>false</ScaleCrop>
  <Company/>
  <LinksUpToDate>false</LinksUpToDate>
  <CharactersWithSpaces>43993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hesabı</cp:lastModifiedBy>
  <cp:revision>10</cp:revision>
  <dcterms:created xsi:type="dcterms:W3CDTF">2024-06-07T18:37:00Z</dcterms:created>
  <dcterms:modified xsi:type="dcterms:W3CDTF">2024-06-28T12:20:00Z</dcterms:modified>
</cp:coreProperties>
</file>