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1464001590"/>
        <w:docPartObj>
          <w:docPartGallery w:val="Cover Pages"/>
          <w:docPartUnique/>
        </w:docPartObj>
      </w:sdtPr>
      <w:sdtEndPr/>
      <w:sdtContent>
        <w:p w:rsidR="00DB2198" w:rsidRDefault="00DB2198" w:rsidP="001813AA">
          <w:pPr>
            <w:spacing w:after="0" w:line="360" w:lineRule="auto"/>
          </w:pPr>
          <w:r>
            <w:rPr>
              <w:noProof/>
              <w:lang w:val="pl-PL" w:eastAsia="pl-PL" w:bidi="ar-SA"/>
            </w:rPr>
            <mc:AlternateContent>
              <mc:Choice Requires="wps">
                <w:drawing>
                  <wp:anchor distT="0" distB="0" distL="114300" distR="114300" simplePos="0" relativeHeight="251659264" behindDoc="0" locked="0" layoutInCell="1" allowOverlap="1" wp14:anchorId="60EE4FDD" wp14:editId="317AC247">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22225" b="22860"/>
                    <wp:wrapNone/>
                    <wp:docPr id="47" name="Prostokąt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color w:val="000000" w:themeColor="text1"/>
                                    <w:sz w:val="36"/>
                                    <w:szCs w:val="36"/>
                                  </w:rPr>
                                  <w:alias w:val="Tytuł"/>
                                  <w:id w:val="-1070349389"/>
                                  <w:dataBinding w:prefixMappings="xmlns:ns0='http://schemas.openxmlformats.org/package/2006/metadata/core-properties' xmlns:ns1='http://purl.org/dc/elements/1.1/'" w:xpath="/ns0:coreProperties[1]/ns1:title[1]" w:storeItemID="{6C3C8BC8-F283-45AE-878A-BAB7291924A1}"/>
                                  <w:text/>
                                </w:sdtPr>
                                <w:sdtEndPr/>
                                <w:sdtContent>
                                  <w:p w:rsidR="00AE5886" w:rsidRPr="00AE5886" w:rsidRDefault="00422810" w:rsidP="001B476A">
                                    <w:pPr>
                                      <w:pStyle w:val="Tytu"/>
                                      <w:pBdr>
                                        <w:bottom w:val="none" w:sz="0" w:space="0" w:color="auto"/>
                                      </w:pBdr>
                                      <w:jc w:val="center"/>
                                      <w:rPr>
                                        <w:b/>
                                        <w:caps/>
                                        <w:color w:val="000000" w:themeColor="text1"/>
                                        <w:sz w:val="36"/>
                                        <w:szCs w:val="36"/>
                                      </w:rPr>
                                    </w:pPr>
                                    <w:r>
                                      <w:rPr>
                                        <w:rFonts w:ascii="Arial" w:hAnsi="Arial" w:cs="Arial"/>
                                        <w:b/>
                                        <w:color w:val="000000" w:themeColor="text1"/>
                                        <w:sz w:val="36"/>
                                        <w:szCs w:val="36"/>
                                      </w:rPr>
                                      <w:t>Realisation of the obligations arising from the Convention on the Rights of Persons with Disabilities by Poland</w:t>
                                    </w:r>
                                  </w:p>
                                </w:sdtContent>
                              </w:sdt>
                              <w:p w:rsidR="00AE5886" w:rsidRDefault="00AE5886" w:rsidP="00AE5886">
                                <w:pPr>
                                  <w:spacing w:after="0" w:line="360" w:lineRule="auto"/>
                                  <w:jc w:val="center"/>
                                  <w:rPr>
                                    <w:rFonts w:ascii="Arial" w:hAnsi="Arial" w:cs="Arial"/>
                                    <w:color w:val="000000" w:themeColor="text1"/>
                                    <w:sz w:val="28"/>
                                    <w:szCs w:val="28"/>
                                  </w:rPr>
                                </w:pPr>
                              </w:p>
                              <w:p w:rsidR="00AE5886" w:rsidRDefault="00AE5886" w:rsidP="00AE5886">
                                <w:pPr>
                                  <w:spacing w:after="0" w:line="360" w:lineRule="auto"/>
                                  <w:jc w:val="center"/>
                                  <w:rPr>
                                    <w:rFonts w:ascii="Arial" w:hAnsi="Arial" w:cs="Arial"/>
                                    <w:color w:val="000000" w:themeColor="text1"/>
                                    <w:sz w:val="28"/>
                                    <w:szCs w:val="28"/>
                                  </w:rPr>
                                </w:pPr>
                              </w:p>
                              <w:p w:rsidR="00AE5886" w:rsidRPr="00AE7D83" w:rsidRDefault="00AE5886" w:rsidP="00AE5886">
                                <w:pPr>
                                  <w:spacing w:after="0" w:line="360" w:lineRule="auto"/>
                                  <w:jc w:val="center"/>
                                  <w:rPr>
                                    <w:rFonts w:ascii="Arial" w:hAnsi="Arial" w:cs="Arial"/>
                                    <w:b/>
                                    <w:color w:val="A51F7F"/>
                                    <w:sz w:val="96"/>
                                    <w:szCs w:val="96"/>
                                  </w:rPr>
                                </w:pPr>
                                <w:r>
                                  <w:rPr>
                                    <w:rFonts w:ascii="Arial" w:hAnsi="Arial"/>
                                    <w:b/>
                                    <w:color w:val="A51F7F"/>
                                    <w:sz w:val="96"/>
                                  </w:rPr>
                                  <w:t>SUMMARY</w:t>
                                </w:r>
                              </w:p>
                              <w:p w:rsidR="00AE5886" w:rsidRPr="00AE5886" w:rsidRDefault="00AE5886" w:rsidP="00AE5886">
                                <w:pPr>
                                  <w:spacing w:after="0" w:line="360" w:lineRule="auto"/>
                                  <w:jc w:val="center"/>
                                  <w:rPr>
                                    <w:rFonts w:ascii="Arial" w:hAnsi="Arial" w:cs="Arial"/>
                                    <w:b/>
                                    <w:color w:val="000000" w:themeColor="text1"/>
                                    <w:sz w:val="28"/>
                                    <w:szCs w:val="28"/>
                                  </w:rPr>
                                </w:pPr>
                                <w:r>
                                  <w:rPr>
                                    <w:rFonts w:ascii="Arial" w:hAnsi="Arial"/>
                                    <w:b/>
                                    <w:color w:val="000000" w:themeColor="text1"/>
                                    <w:sz w:val="28"/>
                                  </w:rPr>
                                  <w:t>of the Report of the Human Rights Defender</w:t>
                                </w:r>
                              </w:p>
                              <w:p w:rsidR="00AE5886" w:rsidRPr="001B476A" w:rsidRDefault="00AE5886" w:rsidP="001B476A">
                                <w:pPr>
                                  <w:spacing w:before="240"/>
                                  <w:jc w:val="center"/>
                                  <w:rPr>
                                    <w:color w:val="000000" w:themeColor="text1"/>
                                  </w:rPr>
                                </w:pPr>
                              </w:p>
                              <w:p w:rsidR="00AE5886" w:rsidRDefault="00AE5886" w:rsidP="008745D9">
                                <w:pPr>
                                  <w:spacing w:before="240"/>
                                  <w:ind w:left="284" w:right="359"/>
                                  <w:jc w:val="both"/>
                                  <w:rPr>
                                    <w:rFonts w:ascii="Arial" w:hAnsi="Arial" w:cs="Arial"/>
                                    <w:color w:val="000000" w:themeColor="text1"/>
                                    <w:sz w:val="21"/>
                                    <w:szCs w:val="21"/>
                                  </w:rPr>
                                </w:pPr>
                              </w:p>
                              <w:p w:rsidR="00AE5886" w:rsidRPr="004F0FC9" w:rsidRDefault="00AE5886" w:rsidP="008745D9">
                                <w:pPr>
                                  <w:spacing w:before="240"/>
                                  <w:ind w:left="284" w:right="359"/>
                                  <w:jc w:val="both"/>
                                  <w:rPr>
                                    <w:rFonts w:ascii="Arial" w:hAnsi="Arial" w:cs="Arial"/>
                                    <w:color w:val="000000" w:themeColor="text1"/>
                                  </w:rPr>
                                </w:pPr>
                              </w:p>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Prostokąt 47" o:spid="_x0000_s1026" style="position:absolute;margin-left:0;margin-top:0;width:422.3pt;height:760.3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" fillcolor="white [3212]" strokecolor="black [3213]" strokeweight="2pt">
                    <v:path arrowok="t"/>
                    <v:textbox inset="21.6pt,1in,21.6pt">
                      <w:txbxContent>
                        <w:sdt>
                          <w:sdtPr>
                            <w:rPr>
                              <w:rFonts w:ascii="Arial" w:hAnsi="Arial" w:cs="Arial"/>
                              <w:b/>
                              <w:color w:val="000000" w:themeColor="text1"/>
                              <w:sz w:val="36"/>
                              <w:szCs w:val="36"/>
                            </w:rPr>
                            <w:alias w:val="Tytuł"/>
                            <w:id w:val="-1070349389"/>
                            <w:dataBinding w:prefixMappings="xmlns:ns0='http://schemas.openxmlformats.org/package/2006/metadata/core-properties' xmlns:ns1='http://purl.org/dc/elements/1.1/'" w:xpath="/ns0:coreProperties[1]/ns1:title[1]" w:storeItemID="{6C3C8BC8-F283-45AE-878A-BAB7291924A1}"/>
                            <w:text/>
                          </w:sdtPr>
                          <w:sdtEndPr/>
                          <w:sdtContent>
                            <w:p w:rsidR="00AE5886" w:rsidRPr="00AE5886" w:rsidRDefault="00422810" w:rsidP="001B476A">
                              <w:pPr>
                                <w:pStyle w:val="Tytu"/>
                                <w:pBdr>
                                  <w:bottom w:val="none" w:sz="0" w:space="0" w:color="auto"/>
                                </w:pBdr>
                                <w:jc w:val="center"/>
                                <w:rPr>
                                  <w:b/>
                                  <w:caps/>
                                  <w:color w:val="000000" w:themeColor="text1"/>
                                  <w:sz w:val="36"/>
                                  <w:szCs w:val="36"/>
                                </w:rPr>
                              </w:pPr>
                              <w:r>
                                <w:rPr>
                                  <w:rFonts w:ascii="Arial" w:hAnsi="Arial" w:cs="Arial"/>
                                  <w:b/>
                                  <w:color w:val="000000" w:themeColor="text1"/>
                                  <w:sz w:val="36"/>
                                  <w:szCs w:val="36"/>
                                </w:rPr>
                                <w:t>Realisation of the obligations arising from the Convention on the Rights of Persons with Disabilities by Poland</w:t>
                              </w:r>
                            </w:p>
                          </w:sdtContent>
                        </w:sdt>
                        <w:p w:rsidR="00AE5886" w:rsidRDefault="00AE5886" w:rsidP="00AE5886">
                          <w:pPr>
                            <w:spacing w:after="0" w:line="360" w:lineRule="auto"/>
                            <w:jc w:val="center"/>
                            <w:rPr>
                              <w:rFonts w:ascii="Arial" w:hAnsi="Arial" w:cs="Arial"/>
                              <w:color w:val="000000" w:themeColor="text1"/>
                              <w:sz w:val="28"/>
                              <w:szCs w:val="28"/>
                            </w:rPr>
                          </w:pPr>
                        </w:p>
                        <w:p w:rsidR="00AE5886" w:rsidRDefault="00AE5886" w:rsidP="00AE5886">
                          <w:pPr>
                            <w:spacing w:after="0" w:line="360" w:lineRule="auto"/>
                            <w:jc w:val="center"/>
                            <w:rPr>
                              <w:rFonts w:ascii="Arial" w:hAnsi="Arial" w:cs="Arial"/>
                              <w:color w:val="000000" w:themeColor="text1"/>
                              <w:sz w:val="28"/>
                              <w:szCs w:val="28"/>
                            </w:rPr>
                          </w:pPr>
                        </w:p>
                        <w:p w:rsidR="00AE5886" w:rsidRPr="00AE7D83" w:rsidRDefault="00AE5886" w:rsidP="00AE5886">
                          <w:pPr>
                            <w:spacing w:after="0" w:line="360" w:lineRule="auto"/>
                            <w:jc w:val="center"/>
                            <w:rPr>
                              <w:rFonts w:ascii="Arial" w:hAnsi="Arial" w:cs="Arial"/>
                              <w:b/>
                              <w:color w:val="A51F7F"/>
                              <w:sz w:val="96"/>
                              <w:szCs w:val="96"/>
                            </w:rPr>
                          </w:pPr>
                          <w:r>
                            <w:rPr>
                              <w:rFonts w:ascii="Arial" w:hAnsi="Arial"/>
                              <w:b/>
                              <w:color w:val="A51F7F"/>
                              <w:sz w:val="96"/>
                            </w:rPr>
                            <w:t>SUMMARY</w:t>
                          </w:r>
                        </w:p>
                        <w:p w:rsidR="00AE5886" w:rsidRPr="00AE5886" w:rsidRDefault="00AE5886" w:rsidP="00AE5886">
                          <w:pPr>
                            <w:spacing w:after="0" w:line="360" w:lineRule="auto"/>
                            <w:jc w:val="center"/>
                            <w:rPr>
                              <w:rFonts w:ascii="Arial" w:hAnsi="Arial" w:cs="Arial"/>
                              <w:b/>
                              <w:color w:val="000000" w:themeColor="text1"/>
                              <w:sz w:val="28"/>
                              <w:szCs w:val="28"/>
                            </w:rPr>
                          </w:pPr>
                          <w:r>
                            <w:rPr>
                              <w:rFonts w:ascii="Arial" w:hAnsi="Arial"/>
                              <w:b/>
                              <w:color w:val="000000" w:themeColor="text1"/>
                              <w:sz w:val="28"/>
                            </w:rPr>
                            <w:t>of the Report of the Human Rights Defender</w:t>
                          </w:r>
                        </w:p>
                        <w:p w:rsidR="00AE5886" w:rsidRPr="001B476A" w:rsidRDefault="00AE5886" w:rsidP="001B476A">
                          <w:pPr>
                            <w:spacing w:before="240"/>
                            <w:jc w:val="center"/>
                            <w:rPr>
                              <w:color w:val="000000" w:themeColor="text1"/>
                            </w:rPr>
                          </w:pPr>
                        </w:p>
                        <w:p w:rsidR="00AE5886" w:rsidRDefault="00AE5886" w:rsidP="008745D9">
                          <w:pPr>
                            <w:spacing w:before="240"/>
                            <w:ind w:left="284" w:right="359"/>
                            <w:jc w:val="both"/>
                            <w:rPr>
                              <w:rFonts w:ascii="Arial" w:hAnsi="Arial" w:cs="Arial"/>
                              <w:color w:val="000000" w:themeColor="text1"/>
                              <w:sz w:val="21"/>
                              <w:szCs w:val="21"/>
                            </w:rPr>
                          </w:pPr>
                        </w:p>
                        <w:p w:rsidR="00AE5886" w:rsidRPr="004F0FC9" w:rsidRDefault="00AE5886" w:rsidP="008745D9">
                          <w:pPr>
                            <w:spacing w:before="240"/>
                            <w:ind w:left="284" w:right="359"/>
                            <w:jc w:val="both"/>
                            <w:rPr>
                              <w:rFonts w:ascii="Arial" w:hAnsi="Arial" w:cs="Arial"/>
                              <w:color w:val="000000" w:themeColor="text1"/>
                            </w:rPr>
                          </w:pPr>
                        </w:p>
                      </w:txbxContent>
                    </v:textbox>
                    <w10:wrap anchorx="page" anchory="page"/>
                  </v:rect>
                </w:pict>
              </mc:Fallback>
            </mc:AlternateContent>
          </w:r>
          <w:r>
            <w:rPr>
              <w:noProof/>
              <w:lang w:val="pl-PL" w:eastAsia="pl-PL" w:bidi="ar-SA"/>
            </w:rPr>
            <mc:AlternateContent>
              <mc:Choice Requires="wps">
                <w:drawing>
                  <wp:anchor distT="0" distB="0" distL="114300" distR="114300" simplePos="0" relativeHeight="251660288" behindDoc="0" locked="0" layoutInCell="1" allowOverlap="1" wp14:anchorId="4D7BF456" wp14:editId="27595937">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8" name="Prostokąt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rgbClr val="A51F7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E5886" w:rsidRPr="00D86744" w:rsidRDefault="00AE5886">
                                <w:pPr>
                                  <w:pStyle w:val="Podtytu"/>
                                  <w:rPr>
                                    <w:rFonts w:ascii="Arial" w:hAnsi="Arial" w:cs="Arial"/>
                                    <w:b/>
                                    <w:color w:val="000000" w:themeColor="text1"/>
                                    <w:sz w:val="36"/>
                                    <w:szCs w:val="36"/>
                                  </w:rPr>
                                </w:pPr>
                                <w:r>
                                  <w:rPr>
                                    <w:rFonts w:ascii="Arial" w:hAnsi="Arial"/>
                                    <w:b/>
                                    <w:color w:val="000000" w:themeColor="text1"/>
                                    <w:sz w:val="36"/>
                                  </w:rPr>
                                  <w:t>2012 - 2014</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Prostokąt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" fillcolor="#a51f7f" stroked="f" strokeweight="2pt">
                    <v:path arrowok="t"/>
                    <v:textbox inset="14.4pt,,14.4pt">
                      <w:txbxContent>
                        <w:p w:rsidR="00AE5886" w:rsidRPr="00D86744" w:rsidRDefault="00AE5886">
                          <w:pPr>
                            <w:pStyle w:val="Podtytu"/>
                            <w:rPr>
                              <w:rFonts w:ascii="Arial" w:hAnsi="Arial" w:cs="Arial"/>
                              <w:b/>
                              <w:color w:val="000000" w:themeColor="text1"/>
                              <w:sz w:val="36"/>
                              <w:szCs w:val="36"/>
                            </w:rPr>
                          </w:pPr>
                          <w:r>
                            <w:rPr>
                              <w:rFonts w:ascii="Arial" w:hAnsi="Arial"/>
                              <w:b/>
                              <w:color w:val="000000" w:themeColor="text1"/>
                              <w:sz w:val="36"/>
                            </w:rPr>
                            <w:t>2012 - 2014</w:t>
                          </w:r>
                        </w:p>
                      </w:txbxContent>
                    </v:textbox>
                    <w10:wrap anchorx="page" anchory="page"/>
                  </v:rect>
                </w:pict>
              </mc:Fallback>
            </mc:AlternateContent>
          </w:r>
        </w:p>
        <w:p w:rsidR="00DB2198" w:rsidRDefault="00DB2198" w:rsidP="001813AA">
          <w:pPr>
            <w:spacing w:after="0" w:line="360" w:lineRule="auto"/>
          </w:pPr>
        </w:p>
        <w:p w:rsidR="00DB2198" w:rsidRDefault="00A651E3" w:rsidP="001813AA">
          <w:pPr>
            <w:spacing w:after="0" w:line="360" w:lineRule="auto"/>
          </w:pPr>
          <w:r>
            <w:rPr>
              <w:noProof/>
              <w:lang w:val="pl-PL" w:eastAsia="pl-PL" w:bidi="ar-SA"/>
            </w:rPr>
            <w:drawing>
              <wp:anchor distT="0" distB="0" distL="114300" distR="114300" simplePos="0" relativeHeight="251661312" behindDoc="0" locked="0" layoutInCell="1" allowOverlap="1">
                <wp:simplePos x="0" y="0"/>
                <wp:positionH relativeFrom="column">
                  <wp:posOffset>417195</wp:posOffset>
                </wp:positionH>
                <wp:positionV relativeFrom="paragraph">
                  <wp:posOffset>489585</wp:posOffset>
                </wp:positionV>
                <wp:extent cx="2868930" cy="1155065"/>
                <wp:effectExtent l="0" t="0" r="7620" b="6985"/>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4"/>
                        <pic:cNvPicPr>
                          <a:picLocks noChangeAspect="1" noChangeArrowheads="1"/>
                        </pic:cNvPicPr>
                      </pic:nvPicPr>
                      <pic:blipFill>
                        <a:blip r:embed="rId10" cstate="print">
                          <a:grayscl/>
                          <a:extLst>
                            <a:ext uri="{28A0092B-C50C-407E-A947-70E740481C1C}">
                              <a14:useLocalDpi xmlns:a14="http://schemas.microsoft.com/office/drawing/2010/main" val="0"/>
                            </a:ext>
                          </a:extLst>
                        </a:blip>
                        <a:srcRect/>
                        <a:stretch>
                          <a:fillRect/>
                        </a:stretch>
                      </pic:blipFill>
                      <pic:spPr bwMode="auto">
                        <a:xfrm>
                          <a:off x="0" y="0"/>
                          <a:ext cx="2868930" cy="1155065"/>
                        </a:xfrm>
                        <a:prstGeom prst="rect">
                          <a:avLst/>
                        </a:prstGeom>
                        <a:noFill/>
                        <a:ln>
                          <a:noFill/>
                        </a:ln>
                      </pic:spPr>
                    </pic:pic>
                  </a:graphicData>
                </a:graphic>
                <wp14:sizeRelH relativeFrom="page">
                  <wp14:pctWidth>0</wp14:pctWidth>
                </wp14:sizeRelH>
                <wp14:sizeRelV relativeFrom="page">
                  <wp14:pctHeight>0</wp14:pctHeight>
                </wp14:sizeRelV>
              </wp:anchor>
            </w:drawing>
          </w:r>
          <w:r w:rsidR="008C60EC">
            <w:br w:type="page"/>
          </w:r>
        </w:p>
      </w:sdtContent>
    </w:sdt>
    <w:p w:rsidR="00C073E5" w:rsidRPr="00A95DA8" w:rsidRDefault="00C073E5" w:rsidP="001813AA">
      <w:pPr>
        <w:spacing w:after="0" w:line="360" w:lineRule="auto"/>
        <w:rPr>
          <w:rFonts w:ascii="Arial" w:hAnsi="Arial" w:cs="Arial"/>
          <w:b/>
          <w:sz w:val="16"/>
          <w:szCs w:val="16"/>
        </w:rPr>
      </w:pPr>
    </w:p>
    <w:p w:rsidR="008A5DC5" w:rsidRPr="00AE7D83" w:rsidRDefault="008A5DC5" w:rsidP="003C52ED">
      <w:pPr>
        <w:spacing w:after="0" w:line="360" w:lineRule="auto"/>
        <w:jc w:val="center"/>
        <w:rPr>
          <w:rFonts w:ascii="Arial" w:hAnsi="Arial" w:cs="Arial"/>
          <w:b/>
          <w:color w:val="A51F7F"/>
          <w:sz w:val="24"/>
          <w:szCs w:val="24"/>
        </w:rPr>
      </w:pPr>
      <w:r>
        <w:rPr>
          <w:rFonts w:ascii="Arial" w:hAnsi="Arial"/>
          <w:b/>
          <w:color w:val="A51F7F"/>
          <w:sz w:val="24"/>
        </w:rPr>
        <w:t>Summary of the most important conclusions and recommendations</w:t>
      </w:r>
    </w:p>
    <w:p w:rsidR="008A5DC5" w:rsidRPr="005F50D0" w:rsidRDefault="008A5DC5" w:rsidP="001813AA">
      <w:pPr>
        <w:spacing w:after="0" w:line="360" w:lineRule="auto"/>
        <w:jc w:val="both"/>
        <w:rPr>
          <w:rFonts w:ascii="Arial" w:hAnsi="Arial" w:cs="Arial"/>
          <w:b/>
          <w:sz w:val="16"/>
          <w:szCs w:val="16"/>
        </w:rPr>
      </w:pPr>
    </w:p>
    <w:p w:rsidR="00AE1699" w:rsidRDefault="00AE1699" w:rsidP="00392689">
      <w:pPr>
        <w:spacing w:after="0" w:line="360" w:lineRule="auto"/>
        <w:ind w:firstLine="567"/>
        <w:jc w:val="both"/>
        <w:rPr>
          <w:rFonts w:ascii="Arial" w:hAnsi="Arial" w:cs="Arial"/>
        </w:rPr>
      </w:pPr>
      <w:r>
        <w:rPr>
          <w:rFonts w:ascii="Arial" w:hAnsi="Arial"/>
        </w:rPr>
        <w:t xml:space="preserve">Ratification of the Convention on the Rights of Persons with Disabilities by Poland (Convention or CRPD) confirmed the right of persons with disabilities to full and equal exercising of all human rights and fundamental freedoms as well as respecting inherent dignity. However, the results of the research and analyses carried out by the Human Rights Defender indicate that in order for these rights to become real, it is necessary to </w:t>
      </w:r>
      <w:r>
        <w:rPr>
          <w:rFonts w:ascii="Arial" w:hAnsi="Arial"/>
          <w:b/>
        </w:rPr>
        <w:t>depart from focusing on medical aspects of disability and move towards the social integration and activation</w:t>
      </w:r>
      <w:r>
        <w:rPr>
          <w:rFonts w:ascii="Arial" w:hAnsi="Arial"/>
        </w:rPr>
        <w:t>. For this purpose, it is also necessary to introduce changes of legislative character as well as to change the practical application of the provisions of law. Below you will find the most important conclusions and recommendations regarding the implementation by Poland of the obligations arising from the Convention on the Rights of Persons with Disabilities.</w:t>
      </w:r>
    </w:p>
    <w:p w:rsidR="00FC1501" w:rsidRDefault="00FC1501" w:rsidP="00FC1501">
      <w:pPr>
        <w:spacing w:after="0" w:line="360" w:lineRule="auto"/>
        <w:ind w:firstLine="567"/>
        <w:jc w:val="both"/>
        <w:rPr>
          <w:rFonts w:ascii="Arial" w:hAnsi="Arial" w:cs="Arial"/>
        </w:rPr>
      </w:pPr>
      <w:r>
        <w:rPr>
          <w:rFonts w:ascii="Arial" w:hAnsi="Arial"/>
        </w:rPr>
        <w:t>According to the Human Rights Defender, in order to fully implement the rights established in the Convention on the Rights of Persons with Disabilities it is necessary to:</w:t>
      </w:r>
    </w:p>
    <w:p w:rsidR="00FC1501" w:rsidRPr="00582A62"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adopt </w:t>
      </w:r>
      <w:r>
        <w:rPr>
          <w:rFonts w:ascii="Arial" w:hAnsi="Arial"/>
          <w:b/>
        </w:rPr>
        <w:t>a national strategy on implementing the provisions of the Convention</w:t>
      </w:r>
      <w:r>
        <w:rPr>
          <w:rFonts w:ascii="Arial" w:hAnsi="Arial"/>
        </w:rPr>
        <w:t xml:space="preserve"> on the Rights of Persons with Disabilities and prepare indicators and related national reference framework for each right established by the Convention;</w:t>
      </w:r>
    </w:p>
    <w:p w:rsidR="00FC1501" w:rsidRPr="00582A62"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prepare and implement </w:t>
      </w:r>
      <w:r>
        <w:rPr>
          <w:rFonts w:ascii="Arial" w:hAnsi="Arial"/>
          <w:b/>
        </w:rPr>
        <w:t>a uniform assessment system</w:t>
      </w:r>
      <w:r>
        <w:rPr>
          <w:rFonts w:ascii="Arial" w:hAnsi="Arial"/>
        </w:rPr>
        <w:t xml:space="preserve"> with respect to the functioning of the persons with disabilities in all areas of life, including education, work, social security and healthcare. This system should be based on functional diagnosis of persons with disabilities using the definition based on the social model of disability;</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define clearly </w:t>
      </w:r>
      <w:r>
        <w:rPr>
          <w:rFonts w:ascii="Arial" w:hAnsi="Arial"/>
          <w:b/>
        </w:rPr>
        <w:t>which rights are granted to persons with disabilities depending on the type of assessment held</w:t>
      </w:r>
      <w:r>
        <w:rPr>
          <w:rFonts w:ascii="Arial" w:hAnsi="Arial"/>
        </w:rPr>
        <w:t xml:space="preserve"> (legal disability) and which rights arise from the very fact of the existence of the disability (biological disability);</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b/>
        </w:rPr>
        <w:t>abolish the instrument of legal incapacitation</w:t>
      </w:r>
      <w:r>
        <w:rPr>
          <w:rFonts w:ascii="Arial" w:hAnsi="Arial"/>
        </w:rPr>
        <w:t xml:space="preserve"> and introduce various forms of support based on the model of supported decision-making;</w:t>
      </w:r>
    </w:p>
    <w:p w:rsidR="00FC1501" w:rsidRPr="00D51186" w:rsidRDefault="00FC1501" w:rsidP="00FC1501">
      <w:pPr>
        <w:numPr>
          <w:ilvl w:val="0"/>
          <w:numId w:val="27"/>
        </w:numPr>
        <w:spacing w:after="0" w:line="360" w:lineRule="auto"/>
        <w:ind w:left="284" w:hanging="284"/>
        <w:jc w:val="both"/>
        <w:rPr>
          <w:rFonts w:ascii="Arial" w:hAnsi="Arial" w:cs="Arial"/>
        </w:rPr>
      </w:pPr>
      <w:r>
        <w:rPr>
          <w:rFonts w:ascii="Arial" w:hAnsi="Arial"/>
          <w:b/>
        </w:rPr>
        <w:t xml:space="preserve">depart from the prohibition to marry </w:t>
      </w:r>
      <w:r>
        <w:rPr>
          <w:rFonts w:ascii="Arial" w:hAnsi="Arial"/>
        </w:rPr>
        <w:t>in order to</w:t>
      </w:r>
      <w:r>
        <w:rPr>
          <w:rFonts w:ascii="Arial" w:hAnsi="Arial"/>
          <w:b/>
        </w:rPr>
        <w:t xml:space="preserve"> </w:t>
      </w:r>
      <w:r>
        <w:rPr>
          <w:rFonts w:ascii="Arial" w:hAnsi="Arial"/>
        </w:rPr>
        <w:t>ensure the right to marry to persons with disabilities on the basis of a freely given and full consent of the future spouses;</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b/>
        </w:rPr>
        <w:t>strengthen the protection of persons with disabilities against discrimination</w:t>
      </w:r>
      <w:r>
        <w:rPr>
          <w:rFonts w:ascii="Arial" w:hAnsi="Arial"/>
        </w:rPr>
        <w:t xml:space="preserve"> at least at the level of the guarantees present in the area of preventing discrimination on the grounds of race, nationality or ethnicity;</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design developed environment as well as products, programmes and services </w:t>
      </w:r>
      <w:r>
        <w:rPr>
          <w:rFonts w:ascii="Arial" w:hAnsi="Arial"/>
          <w:b/>
        </w:rPr>
        <w:t xml:space="preserve">in line with the </w:t>
      </w:r>
      <w:r>
        <w:rPr>
          <w:rFonts w:ascii="Arial" w:hAnsi="Arial"/>
          <w:b/>
          <w:i/>
        </w:rPr>
        <w:t>Universal Design</w:t>
      </w:r>
      <w:r>
        <w:rPr>
          <w:rFonts w:ascii="Arial" w:hAnsi="Arial"/>
          <w:b/>
        </w:rPr>
        <w:t xml:space="preserve"> principles</w:t>
      </w:r>
      <w:r>
        <w:rPr>
          <w:rFonts w:ascii="Arial" w:hAnsi="Arial"/>
        </w:rPr>
        <w:t>;</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adopt and implement </w:t>
      </w:r>
      <w:r>
        <w:rPr>
          <w:rFonts w:ascii="Arial" w:hAnsi="Arial"/>
          <w:b/>
        </w:rPr>
        <w:t>the Act on access to free legal assistance</w:t>
      </w:r>
      <w:r>
        <w:rPr>
          <w:rFonts w:ascii="Arial" w:hAnsi="Arial"/>
        </w:rPr>
        <w:t xml:space="preserve"> considering the specific needs of persons with disabilities;</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b/>
        </w:rPr>
        <w:lastRenderedPageBreak/>
        <w:t>eliminate the cases of inhumane and humiliating treatment</w:t>
      </w:r>
      <w:r>
        <w:rPr>
          <w:rFonts w:ascii="Arial" w:hAnsi="Arial"/>
        </w:rPr>
        <w:t xml:space="preserve"> of persons with disabilities that are deprived of their liberties by the personnel of the facilities they stay in; </w:t>
      </w:r>
      <w:r>
        <w:rPr>
          <w:rFonts w:ascii="Arial" w:hAnsi="Arial" w:cs="Arial"/>
        </w:rPr>
        <w:br/>
      </w:r>
      <w:r>
        <w:rPr>
          <w:rFonts w:ascii="Arial" w:hAnsi="Arial"/>
          <w:b/>
        </w:rPr>
        <w:t>strengthen the protection of persons with disabilities against violence</w:t>
      </w:r>
      <w:r>
        <w:rPr>
          <w:rFonts w:ascii="Arial" w:hAnsi="Arial"/>
        </w:rPr>
        <w:t>, including domestic violence;</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intensify activities in the area of </w:t>
      </w:r>
      <w:r>
        <w:rPr>
          <w:rFonts w:ascii="Arial" w:hAnsi="Arial"/>
          <w:b/>
        </w:rPr>
        <w:t>departing from institutionalised care</w:t>
      </w:r>
      <w:r>
        <w:rPr>
          <w:rFonts w:ascii="Arial" w:hAnsi="Arial"/>
        </w:rPr>
        <w:t xml:space="preserve"> and moving towards the care provided at the level of local communities (the so-called de-institutionalisation);</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introduce and promote the </w:t>
      </w:r>
      <w:r>
        <w:rPr>
          <w:rFonts w:ascii="Arial" w:hAnsi="Arial"/>
          <w:b/>
        </w:rPr>
        <w:t>personal assistant instrument</w:t>
      </w:r>
      <w:r>
        <w:rPr>
          <w:rFonts w:ascii="Arial" w:hAnsi="Arial"/>
        </w:rPr>
        <w:t xml:space="preserve"> for persons with disabilities;</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b/>
        </w:rPr>
        <w:t>adapt all websites of public institutions</w:t>
      </w:r>
      <w:r>
        <w:rPr>
          <w:rFonts w:ascii="Arial" w:hAnsi="Arial"/>
        </w:rPr>
        <w:t xml:space="preserve"> to the needs of persons with disabilities;</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undertake activities intended to bring about the rights of the persons who are deaf or deafblind to communicate with the public administration authorities using non-verbal communication, i.e. </w:t>
      </w:r>
      <w:r>
        <w:rPr>
          <w:rFonts w:ascii="Arial" w:hAnsi="Arial"/>
          <w:b/>
        </w:rPr>
        <w:t>Polish Sign Language</w:t>
      </w:r>
      <w:r>
        <w:rPr>
          <w:rFonts w:ascii="Arial" w:hAnsi="Arial"/>
        </w:rPr>
        <w:t>;</w:t>
      </w:r>
      <w:r w:rsidR="00422810">
        <w:rPr>
          <w:rFonts w:ascii="Arial" w:hAnsi="Arial"/>
        </w:rPr>
        <w:t xml:space="preserve"> </w:t>
      </w:r>
      <w:r>
        <w:rPr>
          <w:rFonts w:ascii="Arial" w:hAnsi="Arial"/>
        </w:rPr>
        <w:t xml:space="preserve">promote other alternative forms of communication, i.e.: </w:t>
      </w:r>
      <w:r>
        <w:rPr>
          <w:rFonts w:ascii="Arial" w:hAnsi="Arial"/>
          <w:b/>
        </w:rPr>
        <w:t>language that is easy to read, supporting forms</w:t>
      </w:r>
      <w:r>
        <w:rPr>
          <w:rFonts w:ascii="Arial" w:hAnsi="Arial"/>
        </w:rPr>
        <w:t xml:space="preserve"> (augmentative);</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bring about the right of persons with disabilities to </w:t>
      </w:r>
      <w:r>
        <w:rPr>
          <w:rFonts w:ascii="Arial" w:hAnsi="Arial"/>
          <w:b/>
        </w:rPr>
        <w:t>inclusive education,</w:t>
      </w:r>
      <w:r w:rsidR="009E4665">
        <w:rPr>
          <w:rFonts w:ascii="Arial" w:hAnsi="Arial"/>
        </w:rPr>
        <w:t xml:space="preserve"> so that as large a </w:t>
      </w:r>
      <w:r>
        <w:rPr>
          <w:rFonts w:ascii="Arial" w:hAnsi="Arial"/>
        </w:rPr>
        <w:t>group of students as possible at each level of education attended public schools, as close to their place of residence as possible;</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ensure a packet of </w:t>
      </w:r>
      <w:r>
        <w:rPr>
          <w:rFonts w:ascii="Arial" w:hAnsi="Arial"/>
          <w:b/>
        </w:rPr>
        <w:t>guaranteed rehabilitation services</w:t>
      </w:r>
      <w:r>
        <w:rPr>
          <w:rFonts w:ascii="Arial" w:hAnsi="Arial"/>
        </w:rPr>
        <w:t xml:space="preserve"> determined individually for each person with disability based on a functional diagnosis that is subject to periodic review;</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design the social security system in such a way so that, on one hand, to ensure </w:t>
      </w:r>
      <w:r>
        <w:rPr>
          <w:rFonts w:ascii="Arial" w:hAnsi="Arial"/>
          <w:b/>
        </w:rPr>
        <w:t>compensation of higher support costs to persons with disabilities and families with persons with disabilities</w:t>
      </w:r>
      <w:r>
        <w:rPr>
          <w:rFonts w:ascii="Arial" w:hAnsi="Arial"/>
        </w:rPr>
        <w:t xml:space="preserve"> and, on the other hand, to remove or significantly decrease obstacles preventing taking up employment </w:t>
      </w:r>
      <w:r>
        <w:rPr>
          <w:rFonts w:ascii="Arial" w:hAnsi="Arial"/>
          <w:b/>
        </w:rPr>
        <w:t>on the open labour market</w:t>
      </w:r>
      <w:r>
        <w:rPr>
          <w:rFonts w:ascii="Arial" w:hAnsi="Arial"/>
        </w:rPr>
        <w:t xml:space="preserve"> by persons with disabilities in productive age;</w:t>
      </w:r>
    </w:p>
    <w:p w:rsidR="00FC1501" w:rsidRDefault="00FC1501" w:rsidP="00FC1501">
      <w:pPr>
        <w:numPr>
          <w:ilvl w:val="0"/>
          <w:numId w:val="27"/>
        </w:numPr>
        <w:spacing w:after="0" w:line="360" w:lineRule="auto"/>
        <w:ind w:left="284" w:hanging="284"/>
        <w:jc w:val="both"/>
        <w:rPr>
          <w:rFonts w:ascii="Arial" w:hAnsi="Arial" w:cs="Arial"/>
        </w:rPr>
      </w:pPr>
      <w:r>
        <w:rPr>
          <w:rFonts w:ascii="Arial" w:hAnsi="Arial"/>
        </w:rPr>
        <w:t xml:space="preserve">ensure that persons with intellectual or mental disabilities </w:t>
      </w:r>
      <w:r>
        <w:rPr>
          <w:rFonts w:ascii="Arial" w:hAnsi="Arial"/>
          <w:b/>
        </w:rPr>
        <w:t>are not arbitrarily deprived of the right to vote and to stand in election</w:t>
      </w:r>
      <w:r>
        <w:rPr>
          <w:rFonts w:ascii="Arial" w:hAnsi="Arial"/>
        </w:rPr>
        <w:t xml:space="preserve"> as well as </w:t>
      </w:r>
      <w:r>
        <w:rPr>
          <w:rFonts w:ascii="Arial" w:hAnsi="Arial"/>
          <w:b/>
        </w:rPr>
        <w:t>create the conditions that make it possible to exercise the freedom of association and of assembly</w:t>
      </w:r>
      <w:r>
        <w:rPr>
          <w:rFonts w:ascii="Arial" w:hAnsi="Arial"/>
        </w:rPr>
        <w:t xml:space="preserve"> by all persons with disabilities.</w:t>
      </w:r>
    </w:p>
    <w:p w:rsidR="00E14FE3" w:rsidRPr="00127E36" w:rsidRDefault="00E14FE3" w:rsidP="00127E36">
      <w:pPr>
        <w:spacing w:after="0" w:line="360" w:lineRule="auto"/>
        <w:ind w:firstLine="567"/>
        <w:jc w:val="both"/>
        <w:rPr>
          <w:rFonts w:ascii="Arial" w:hAnsi="Arial" w:cs="Arial"/>
          <w:sz w:val="16"/>
          <w:szCs w:val="16"/>
        </w:rPr>
      </w:pPr>
    </w:p>
    <w:p w:rsidR="00127E36" w:rsidRDefault="00127E36">
      <w:pPr>
        <w:rPr>
          <w:rFonts w:ascii="Arial" w:hAnsi="Arial" w:cs="Arial"/>
          <w:sz w:val="16"/>
          <w:szCs w:val="16"/>
        </w:rPr>
      </w:pPr>
      <w:r>
        <w:rPr>
          <w:rFonts w:ascii="Arial" w:hAnsi="Arial" w:cs="Arial"/>
          <w:sz w:val="16"/>
          <w:szCs w:val="16"/>
        </w:rPr>
        <w:br w:type="page"/>
      </w:r>
    </w:p>
    <w:p w:rsidR="00BF12DB" w:rsidRPr="00AE7D83" w:rsidRDefault="005E348C" w:rsidP="001813AA">
      <w:pPr>
        <w:pStyle w:val="Akapitzlist"/>
        <w:numPr>
          <w:ilvl w:val="0"/>
          <w:numId w:val="1"/>
        </w:numPr>
        <w:spacing w:after="0" w:line="360" w:lineRule="auto"/>
        <w:ind w:left="284" w:hanging="284"/>
        <w:jc w:val="both"/>
        <w:rPr>
          <w:rFonts w:ascii="Arial" w:hAnsi="Arial" w:cs="Arial"/>
          <w:b/>
          <w:color w:val="A51F7F"/>
          <w:sz w:val="24"/>
          <w:szCs w:val="24"/>
        </w:rPr>
      </w:pPr>
      <w:r>
        <w:rPr>
          <w:rFonts w:ascii="Arial" w:hAnsi="Arial"/>
          <w:b/>
          <w:color w:val="A51F7F"/>
          <w:sz w:val="24"/>
        </w:rPr>
        <w:lastRenderedPageBreak/>
        <w:t>Information on the realisation of provisions of the Convention and the manner of implementation and monitoring the Convention at the national level</w:t>
      </w:r>
    </w:p>
    <w:p w:rsidR="005C12F4" w:rsidRPr="00341E15" w:rsidRDefault="005C12F4" w:rsidP="001813AA">
      <w:pPr>
        <w:tabs>
          <w:tab w:val="left" w:pos="7020"/>
        </w:tabs>
        <w:spacing w:after="0" w:line="360" w:lineRule="auto"/>
        <w:jc w:val="right"/>
        <w:rPr>
          <w:rFonts w:ascii="Arial" w:hAnsi="Arial" w:cs="Arial"/>
          <w:sz w:val="16"/>
          <w:szCs w:val="16"/>
        </w:rPr>
      </w:pPr>
    </w:p>
    <w:p w:rsidR="00775112" w:rsidRPr="00775112" w:rsidRDefault="00A92C27" w:rsidP="00775112">
      <w:pPr>
        <w:spacing w:after="0" w:line="360" w:lineRule="auto"/>
        <w:ind w:firstLine="567"/>
        <w:jc w:val="both"/>
        <w:rPr>
          <w:rFonts w:ascii="Arial" w:hAnsi="Arial" w:cs="Arial"/>
        </w:rPr>
      </w:pPr>
      <w:r>
        <w:rPr>
          <w:rFonts w:ascii="Arial" w:hAnsi="Arial"/>
        </w:rPr>
        <w:t xml:space="preserve">In Poland, there are </w:t>
      </w:r>
      <w:r>
        <w:rPr>
          <w:rFonts w:ascii="Arial" w:hAnsi="Arial"/>
          <w:b/>
        </w:rPr>
        <w:t>4,697,500 persons with disabilities</w:t>
      </w:r>
      <w:r>
        <w:rPr>
          <w:rFonts w:ascii="Arial" w:hAnsi="Arial"/>
        </w:rPr>
        <w:t xml:space="preserve"> (2011), which constitutes </w:t>
      </w:r>
      <w:r>
        <w:rPr>
          <w:rFonts w:ascii="Arial" w:hAnsi="Arial"/>
          <w:b/>
        </w:rPr>
        <w:t>approx. 12.2 % of the country’s population</w:t>
      </w:r>
      <w:r>
        <w:rPr>
          <w:rFonts w:ascii="Arial" w:hAnsi="Arial"/>
        </w:rPr>
        <w:t xml:space="preserve">. Out of those, 3,121,500 persons have a legal disability status. The Polish legal system </w:t>
      </w:r>
      <w:r>
        <w:rPr>
          <w:rFonts w:ascii="Arial" w:hAnsi="Arial"/>
          <w:b/>
        </w:rPr>
        <w:t>does not have, as of now, one commonly binding definition of disability</w:t>
      </w:r>
      <w:r>
        <w:rPr>
          <w:rFonts w:ascii="Arial" w:hAnsi="Arial"/>
        </w:rPr>
        <w:t xml:space="preserve">. Individual legal acts use different terms to designate disability or persons with disabilities, using obsolete and pejorative terms, such as: handicap, mental retardation, mental backwardness, ineptitude. The legal situation of persons with disabilities is made even more complicated by the fact that </w:t>
      </w:r>
      <w:r>
        <w:rPr>
          <w:rFonts w:ascii="Arial" w:hAnsi="Arial"/>
          <w:b/>
        </w:rPr>
        <w:t>there is no uniform assessment system</w:t>
      </w:r>
      <w:r>
        <w:rPr>
          <w:rFonts w:ascii="Arial" w:hAnsi="Arial"/>
        </w:rPr>
        <w:t xml:space="preserve"> awarding to such persons relevant entitlements or support from the state, and therefore the basis for receiving the decision is not always the same. Two primary assessment systems are based on the provisions of the Act on social and vocational rehabilitation and on employment of persons with disabilities (decisions on degree of disability) and of the Act on retirement and disability pensions from the Social Insurance Fund (decisions on being unfit for work). Moreover, there are four additional systems (assessments for persons aged less than 16; for agricultural farms; for military service and for education). The existence of those multiple assessment systems comprises a significant hardship for persons with disabilities that apply for assistance to public authorities.</w:t>
      </w:r>
    </w:p>
    <w:p w:rsidR="003E1952" w:rsidRDefault="003E1952" w:rsidP="003E1952">
      <w:pPr>
        <w:spacing w:after="0" w:line="360" w:lineRule="auto"/>
        <w:ind w:firstLine="567"/>
        <w:jc w:val="both"/>
        <w:rPr>
          <w:rFonts w:ascii="Arial" w:hAnsi="Arial" w:cs="Arial"/>
        </w:rPr>
      </w:pPr>
      <w:r>
        <w:rPr>
          <w:rFonts w:ascii="Arial" w:hAnsi="Arial"/>
          <w:b/>
        </w:rPr>
        <w:t>The definitions that are applied in these systems are based on the medical model</w:t>
      </w:r>
      <w:r>
        <w:rPr>
          <w:rFonts w:ascii="Arial" w:hAnsi="Arial"/>
        </w:rPr>
        <w:t xml:space="preserve"> and, contrary to the standards established under CRPD, omit the matter of interactions of persons with disabilities with the barriers in their community. Polish assessment system focuses on dysfunctions of persons with disabilities, excluding the ability of such persons to fulfil social roles and neglecting their potential. In the majority of cases internal provisions make awarding entitlements or support dependant on having a formal legal disability status (relevant for the type of the entitlement), not on the existence of the disability.</w:t>
      </w:r>
    </w:p>
    <w:p w:rsidR="00E05EF5" w:rsidRDefault="003C52ED" w:rsidP="001813AA">
      <w:pPr>
        <w:spacing w:after="0" w:line="360" w:lineRule="auto"/>
        <w:ind w:firstLine="567"/>
        <w:jc w:val="both"/>
        <w:rPr>
          <w:rFonts w:ascii="Arial" w:hAnsi="Arial" w:cs="Arial"/>
        </w:rPr>
      </w:pPr>
      <w:r>
        <w:rPr>
          <w:rFonts w:ascii="Arial" w:hAnsi="Arial"/>
        </w:rPr>
        <w:t xml:space="preserve">In line with Article 33 of CRPD that regulates the national mechanism to implement and monitor the realisation of the Convention, Poland has established the so-called </w:t>
      </w:r>
      <w:r>
        <w:rPr>
          <w:rFonts w:ascii="Arial" w:hAnsi="Arial"/>
          <w:i/>
        </w:rPr>
        <w:t>focal point</w:t>
      </w:r>
      <w:r>
        <w:rPr>
          <w:rFonts w:ascii="Arial" w:hAnsi="Arial"/>
        </w:rPr>
        <w:t xml:space="preserve"> within the government. This role is served by the Ministry of Labour and Social Policy (hereinafter also referred to as: Ministry of Labour and Social Policy). Also, the same institution was indicated as the coordination mechanism for the implementation of the Convention. This function is served with the assistance of the Government Plenipotentiary for Persons with Disabilities (in the rank of Deputy Minister of Labour and Social Policy). It must be emphasized that the tasks of the Minister of Labour and Social Policy concentrate around social benefits, vocational and social rehabilitation, employing persons with disabilities, </w:t>
      </w:r>
      <w:r>
        <w:rPr>
          <w:rFonts w:ascii="Arial" w:hAnsi="Arial"/>
        </w:rPr>
        <w:lastRenderedPageBreak/>
        <w:t xml:space="preserve">omitting other areas of social, economic and political life. Therefore, </w:t>
      </w:r>
      <w:r>
        <w:rPr>
          <w:rFonts w:ascii="Arial" w:hAnsi="Arial"/>
          <w:b/>
        </w:rPr>
        <w:t>none of the authorities referred to above does not serve as the coordination mechanism for the policy towards persons with disabilities.</w:t>
      </w:r>
      <w:r>
        <w:rPr>
          <w:rFonts w:ascii="Arial" w:hAnsi="Arial"/>
        </w:rPr>
        <w:t xml:space="preserve"> </w:t>
      </w:r>
    </w:p>
    <w:p w:rsidR="00363A9D" w:rsidRDefault="00363A9D" w:rsidP="001813AA">
      <w:pPr>
        <w:spacing w:after="0" w:line="360" w:lineRule="auto"/>
        <w:ind w:firstLine="567"/>
        <w:jc w:val="both"/>
        <w:rPr>
          <w:rFonts w:ascii="Arial" w:hAnsi="Arial" w:cs="Arial"/>
        </w:rPr>
      </w:pPr>
      <w:r>
        <w:rPr>
          <w:rFonts w:ascii="Arial" w:hAnsi="Arial"/>
        </w:rPr>
        <w:t xml:space="preserve">The function of the independent mechanism to promote, protect and monitor the implementation of the provisions of the Convention on the Rights of Persons with Disabilities is served by </w:t>
      </w:r>
      <w:r>
        <w:rPr>
          <w:rFonts w:ascii="Arial" w:hAnsi="Arial"/>
          <w:b/>
        </w:rPr>
        <w:t>the Human Rights Defender</w:t>
      </w:r>
      <w:r>
        <w:rPr>
          <w:rFonts w:ascii="Arial" w:hAnsi="Arial"/>
        </w:rPr>
        <w:t>.</w:t>
      </w:r>
    </w:p>
    <w:p w:rsidR="00E01A14" w:rsidRDefault="00E01A14" w:rsidP="00E01A14">
      <w:pPr>
        <w:spacing w:after="0" w:line="360" w:lineRule="auto"/>
        <w:ind w:firstLine="567"/>
        <w:jc w:val="both"/>
        <w:rPr>
          <w:rFonts w:ascii="Arial" w:hAnsi="Arial" w:cs="Arial"/>
        </w:rPr>
      </w:pPr>
      <w:r>
        <w:rPr>
          <w:rFonts w:ascii="Arial" w:hAnsi="Arial"/>
        </w:rPr>
        <w:t xml:space="preserve">However, until now </w:t>
      </w:r>
      <w:r>
        <w:rPr>
          <w:rFonts w:ascii="Arial" w:hAnsi="Arial"/>
          <w:b/>
        </w:rPr>
        <w:t xml:space="preserve">no strategy to implement the </w:t>
      </w:r>
      <w:r w:rsidR="00C46439">
        <w:rPr>
          <w:rFonts w:ascii="Arial" w:hAnsi="Arial"/>
          <w:b/>
        </w:rPr>
        <w:t>provisions of the Convention which was adopted in Poland</w:t>
      </w:r>
      <w:r>
        <w:rPr>
          <w:rFonts w:ascii="Arial" w:hAnsi="Arial"/>
        </w:rPr>
        <w:t>, no indicators and related national reference framework for each right established by Convention were determined. With reference to the wording of Article 4(2) of CRPD, it was not determined which of the rights established in the Convention are implemented gradually, and which – immediately. It is of particular significance for the process of monitoring the realization of social rights stipulated in the Convention and makes it difficult to reliably assess the realization of its provisions.</w:t>
      </w:r>
    </w:p>
    <w:p w:rsidR="00BF6C45" w:rsidRPr="00BF6C45" w:rsidRDefault="00BF6C45" w:rsidP="00BF6C45">
      <w:pPr>
        <w:spacing w:after="0" w:line="360" w:lineRule="auto"/>
        <w:ind w:firstLine="567"/>
        <w:jc w:val="both"/>
        <w:rPr>
          <w:rFonts w:ascii="Arial" w:hAnsi="Arial" w:cs="Arial"/>
        </w:rPr>
      </w:pPr>
      <w:r>
        <w:rPr>
          <w:rFonts w:ascii="Arial" w:hAnsi="Arial"/>
        </w:rPr>
        <w:t xml:space="preserve">It must also be noted that persons with disabilities have </w:t>
      </w:r>
      <w:r>
        <w:rPr>
          <w:rFonts w:ascii="Arial" w:hAnsi="Arial"/>
          <w:b/>
        </w:rPr>
        <w:t>a limited capacity to claim compensation or demand remedy if their rights established under the Convention are infringed</w:t>
      </w:r>
      <w:r>
        <w:rPr>
          <w:rFonts w:ascii="Arial" w:hAnsi="Arial"/>
        </w:rPr>
        <w:t>, and direct application of that agreement’s provisions might encounter significant obstacles. Since the Convention on the Rights of Persons wit</w:t>
      </w:r>
      <w:r w:rsidR="00C46439">
        <w:rPr>
          <w:rFonts w:ascii="Arial" w:hAnsi="Arial"/>
        </w:rPr>
        <w:t>h Disabilities was ratified, no </w:t>
      </w:r>
      <w:r>
        <w:rPr>
          <w:rFonts w:ascii="Arial" w:hAnsi="Arial"/>
        </w:rPr>
        <w:t>ruling of a common court was registered, where the CRPD provisions would be the basis for the judgement.</w:t>
      </w:r>
    </w:p>
    <w:p w:rsidR="001C1552" w:rsidRDefault="00A92C27" w:rsidP="001813AA">
      <w:pPr>
        <w:spacing w:after="0" w:line="360" w:lineRule="auto"/>
        <w:ind w:firstLine="567"/>
        <w:jc w:val="both"/>
        <w:rPr>
          <w:rFonts w:ascii="Arial" w:hAnsi="Arial" w:cs="Arial"/>
        </w:rPr>
      </w:pPr>
      <w:r>
        <w:rPr>
          <w:rFonts w:ascii="Arial" w:hAnsi="Arial"/>
        </w:rPr>
        <w:t xml:space="preserve">Poland ratified the Convention with the reservations submitted to Article 12 (equal recognition before the law), Article 23(1)(a) (right to marry) and Article 23(1) and Article 25(a) (procreation and family planning). The government’s report pertaining to the measures undertaken to realise the obligations arising from the Convention does not comment on the purpose of maintaining those reservations. However, in particular the reservation made to Article 12 of CRPD (formally referred to as “interpretation statement”) constitutes a significant barrier to implementation of the Convention’s provisions in Poland. This reservation excludes the application of the Convention in the area of equal capacity for legal acts of persons with disabilities and makes the legal incapacitation </w:t>
      </w:r>
      <w:r w:rsidR="00C46439" w:rsidRPr="00C46439">
        <w:rPr>
          <w:rFonts w:ascii="Arial" w:hAnsi="Arial"/>
        </w:rPr>
        <w:t xml:space="preserve">an equal instrument </w:t>
      </w:r>
      <w:r>
        <w:rPr>
          <w:rFonts w:ascii="Arial" w:hAnsi="Arial"/>
        </w:rPr>
        <w:t xml:space="preserve">with the measure mentioned in Article 12(4) of CRPD. Therefore, according to the Ombudsman, </w:t>
      </w:r>
      <w:r>
        <w:rPr>
          <w:rFonts w:ascii="Arial" w:hAnsi="Arial"/>
          <w:b/>
        </w:rPr>
        <w:t>the statement submitted is contradictory to the objective and the subject matter of the Convention and as such should be withdrawn</w:t>
      </w:r>
      <w:r>
        <w:rPr>
          <w:rFonts w:ascii="Arial" w:hAnsi="Arial"/>
        </w:rPr>
        <w:t>.</w:t>
      </w:r>
    </w:p>
    <w:p w:rsidR="00912D77" w:rsidRDefault="00912D77" w:rsidP="001813AA">
      <w:pPr>
        <w:spacing w:after="0" w:line="360" w:lineRule="auto"/>
        <w:ind w:firstLine="567"/>
        <w:jc w:val="both"/>
        <w:rPr>
          <w:rFonts w:ascii="Arial" w:hAnsi="Arial" w:cs="Arial"/>
          <w:sz w:val="16"/>
          <w:szCs w:val="16"/>
        </w:rPr>
      </w:pPr>
    </w:p>
    <w:p w:rsidR="00127E36" w:rsidRDefault="00127E36">
      <w:pPr>
        <w:rPr>
          <w:rFonts w:ascii="Arial" w:hAnsi="Arial" w:cs="Arial"/>
          <w:sz w:val="16"/>
          <w:szCs w:val="16"/>
        </w:rPr>
      </w:pPr>
      <w:r>
        <w:rPr>
          <w:rFonts w:ascii="Arial" w:hAnsi="Arial" w:cs="Arial"/>
          <w:sz w:val="16"/>
          <w:szCs w:val="16"/>
        </w:rPr>
        <w:br w:type="page"/>
      </w:r>
    </w:p>
    <w:p w:rsidR="00C073E5" w:rsidRPr="00AE7D83" w:rsidRDefault="0011147E" w:rsidP="001813AA">
      <w:pPr>
        <w:pStyle w:val="Akapitzlist"/>
        <w:numPr>
          <w:ilvl w:val="0"/>
          <w:numId w:val="1"/>
        </w:numPr>
        <w:spacing w:after="0" w:line="360" w:lineRule="auto"/>
        <w:ind w:left="426" w:hanging="426"/>
        <w:jc w:val="both"/>
        <w:rPr>
          <w:rFonts w:ascii="Arial" w:hAnsi="Arial" w:cs="Arial"/>
          <w:b/>
          <w:color w:val="A51F7F"/>
          <w:sz w:val="24"/>
          <w:szCs w:val="24"/>
        </w:rPr>
      </w:pPr>
      <w:r>
        <w:rPr>
          <w:rFonts w:ascii="Arial" w:hAnsi="Arial"/>
          <w:b/>
          <w:color w:val="A51F7F"/>
          <w:sz w:val="24"/>
        </w:rPr>
        <w:lastRenderedPageBreak/>
        <w:t xml:space="preserve">Information on realisation of selected rights established by the Convention </w:t>
      </w:r>
    </w:p>
    <w:p w:rsidR="00A34E46" w:rsidRPr="00127E36" w:rsidRDefault="00A34E46" w:rsidP="001813AA">
      <w:pPr>
        <w:pStyle w:val="Akapitzlist"/>
        <w:spacing w:after="0" w:line="360" w:lineRule="auto"/>
        <w:ind w:left="0"/>
        <w:jc w:val="both"/>
        <w:rPr>
          <w:rFonts w:ascii="Arial" w:hAnsi="Arial" w:cs="Arial"/>
          <w:sz w:val="16"/>
          <w:szCs w:val="16"/>
        </w:rPr>
      </w:pPr>
    </w:p>
    <w:p w:rsidR="006317A2" w:rsidRPr="00AE7D83" w:rsidRDefault="006317A2" w:rsidP="001813AA">
      <w:pPr>
        <w:pStyle w:val="Akapitzlist"/>
        <w:spacing w:after="0" w:line="360" w:lineRule="auto"/>
        <w:ind w:left="0"/>
        <w:jc w:val="both"/>
        <w:rPr>
          <w:rFonts w:ascii="Arial" w:hAnsi="Arial" w:cs="Arial"/>
          <w:b/>
          <w:bCs/>
          <w:color w:val="A51F7F"/>
        </w:rPr>
      </w:pPr>
      <w:r>
        <w:rPr>
          <w:rFonts w:ascii="Arial" w:hAnsi="Arial"/>
          <w:b/>
          <w:color w:val="A51F7F"/>
        </w:rPr>
        <w:t>Article 5 – Equality and non-discrimination</w:t>
      </w:r>
    </w:p>
    <w:p w:rsidR="00BE7AB1" w:rsidRPr="00BE7AB1" w:rsidRDefault="00BE7AB1" w:rsidP="001813AA">
      <w:pPr>
        <w:pStyle w:val="Akapitzlist"/>
        <w:spacing w:after="0" w:line="360" w:lineRule="auto"/>
        <w:ind w:left="0"/>
        <w:jc w:val="both"/>
        <w:rPr>
          <w:rFonts w:ascii="Arial" w:hAnsi="Arial" w:cs="Arial"/>
          <w:sz w:val="16"/>
          <w:szCs w:val="16"/>
        </w:rPr>
      </w:pPr>
    </w:p>
    <w:p w:rsidR="001666AE" w:rsidRDefault="001666AE" w:rsidP="001666AE">
      <w:pPr>
        <w:pStyle w:val="Akapitzlist"/>
        <w:spacing w:after="0" w:line="360" w:lineRule="auto"/>
        <w:ind w:left="0" w:firstLine="567"/>
        <w:jc w:val="both"/>
        <w:rPr>
          <w:rFonts w:ascii="Arial" w:hAnsi="Arial" w:cs="Arial"/>
        </w:rPr>
      </w:pPr>
      <w:r>
        <w:rPr>
          <w:rFonts w:ascii="Arial" w:hAnsi="Arial"/>
        </w:rPr>
        <w:t xml:space="preserve">Out of all groups in Poland at risk of discrimination and exclusion, </w:t>
      </w:r>
      <w:r>
        <w:rPr>
          <w:rFonts w:ascii="Arial" w:hAnsi="Arial"/>
          <w:b/>
        </w:rPr>
        <w:t>it is the persons with disabilities who enjoy the highest understanding and the lowest social distance.</w:t>
      </w:r>
      <w:r>
        <w:rPr>
          <w:rFonts w:ascii="Arial" w:hAnsi="Arial"/>
        </w:rPr>
        <w:t xml:space="preserve"> However, the attitude of Poles to persons with mental disabilities is troubling. Social distance to that group of persons is as many as 46.3, which is fourth highest social distance result (following homosexual men, transgender persons and bisexual persons).</w:t>
      </w:r>
    </w:p>
    <w:p w:rsidR="0070558E" w:rsidRDefault="001666AE" w:rsidP="0070558E">
      <w:pPr>
        <w:pStyle w:val="Akapitzlist"/>
        <w:spacing w:after="0" w:line="360" w:lineRule="auto"/>
        <w:ind w:left="0" w:firstLine="567"/>
        <w:jc w:val="both"/>
        <w:rPr>
          <w:rFonts w:ascii="Arial" w:hAnsi="Arial" w:cs="Arial"/>
        </w:rPr>
      </w:pPr>
      <w:r>
        <w:rPr>
          <w:rFonts w:ascii="Arial" w:hAnsi="Arial"/>
        </w:rPr>
        <w:t xml:space="preserve">The provisions of the Polish Labour Code and the Act on implementation of some regulations of European Union regarding equal treatment (hereinafter to as Act on equal treatment) provide for measures of legal protection to persons with disabilities who experienced discrimination in the workplace. The Act on equal treatment does not prohibit discrimination of persons with disabilities in other areas of social life even though that prohibition applies to other groups at risk of discrimination (e.g. ethnic minorities). Therefore, </w:t>
      </w:r>
      <w:r>
        <w:rPr>
          <w:rFonts w:ascii="Arial" w:hAnsi="Arial"/>
          <w:b/>
        </w:rPr>
        <w:t>a person with disabilities that became a victim of unequal treatment is not covered</w:t>
      </w:r>
      <w:r>
        <w:rPr>
          <w:rFonts w:ascii="Arial" w:hAnsi="Arial"/>
        </w:rPr>
        <w:t xml:space="preserve"> </w:t>
      </w:r>
      <w:r>
        <w:rPr>
          <w:rFonts w:ascii="Arial" w:hAnsi="Arial"/>
          <w:b/>
        </w:rPr>
        <w:t>by the same protection against discrimination as others</w:t>
      </w:r>
      <w:r>
        <w:rPr>
          <w:rFonts w:ascii="Arial" w:hAnsi="Arial"/>
        </w:rPr>
        <w:t xml:space="preserve">. The Ombudsman </w:t>
      </w:r>
      <w:r>
        <w:rPr>
          <w:rFonts w:ascii="Arial" w:hAnsi="Arial"/>
          <w:b/>
        </w:rPr>
        <w:t>is also critical about the efficiency of the existing legal protection measures</w:t>
      </w:r>
      <w:r>
        <w:rPr>
          <w:rFonts w:ascii="Arial" w:hAnsi="Arial"/>
        </w:rPr>
        <w:t xml:space="preserve"> against the infringement of the equal treatment principle. The number of such cases considered by the courts and other public institutions is small, what does not reflect the real scale of discrimination on the grounds of disability in Poland.</w:t>
      </w:r>
    </w:p>
    <w:p w:rsidR="00B102A3" w:rsidRDefault="0070558E" w:rsidP="0070558E">
      <w:pPr>
        <w:pStyle w:val="Akapitzlist"/>
        <w:spacing w:after="0" w:line="360" w:lineRule="auto"/>
        <w:ind w:left="0" w:firstLine="567"/>
        <w:jc w:val="both"/>
        <w:rPr>
          <w:rFonts w:ascii="Arial" w:hAnsi="Arial" w:cs="Arial"/>
        </w:rPr>
      </w:pPr>
      <w:r>
        <w:rPr>
          <w:rFonts w:ascii="Arial" w:hAnsi="Arial"/>
          <w:b/>
        </w:rPr>
        <w:t xml:space="preserve">Low social awareness and low level of knowledge about the rights the victims of discrimination are entitled to </w:t>
      </w:r>
      <w:r>
        <w:rPr>
          <w:rFonts w:ascii="Arial" w:hAnsi="Arial"/>
        </w:rPr>
        <w:t>and about the institutions and bodies providing help to them in this area also constitutes a significant barrier in exercising the right to equal treatment and non-discrimination of persons with disabilities.</w:t>
      </w:r>
    </w:p>
    <w:p w:rsidR="001666AE" w:rsidRPr="00A84B0C" w:rsidRDefault="001666AE" w:rsidP="001813AA">
      <w:pPr>
        <w:pStyle w:val="Akapitzlist"/>
        <w:spacing w:after="0" w:line="360" w:lineRule="auto"/>
        <w:ind w:left="0"/>
        <w:jc w:val="both"/>
        <w:rPr>
          <w:rFonts w:ascii="Arial" w:hAnsi="Arial" w:cs="Arial"/>
          <w:sz w:val="16"/>
          <w:szCs w:val="16"/>
        </w:rPr>
      </w:pPr>
    </w:p>
    <w:p w:rsidR="006317A2" w:rsidRPr="00AE7D83" w:rsidRDefault="006317A2" w:rsidP="001813AA">
      <w:pPr>
        <w:pStyle w:val="Akapitzlist"/>
        <w:spacing w:after="0" w:line="360" w:lineRule="auto"/>
        <w:ind w:left="0"/>
        <w:jc w:val="both"/>
        <w:rPr>
          <w:rFonts w:ascii="Arial" w:hAnsi="Arial" w:cs="Arial"/>
          <w:b/>
          <w:bCs/>
          <w:color w:val="A51F7F"/>
        </w:rPr>
      </w:pPr>
      <w:r>
        <w:rPr>
          <w:rFonts w:ascii="Arial" w:hAnsi="Arial"/>
          <w:b/>
          <w:color w:val="A51F7F"/>
        </w:rPr>
        <w:t>Article 9 – Accessibility</w:t>
      </w:r>
    </w:p>
    <w:p w:rsidR="00DE34A2" w:rsidRPr="00127E36" w:rsidRDefault="00DE34A2" w:rsidP="001813AA">
      <w:pPr>
        <w:pStyle w:val="Akapitzlist"/>
        <w:spacing w:after="0" w:line="360" w:lineRule="auto"/>
        <w:ind w:left="0"/>
        <w:jc w:val="both"/>
        <w:rPr>
          <w:rFonts w:ascii="Arial" w:hAnsi="Arial" w:cs="Arial"/>
          <w:b/>
          <w:bCs/>
          <w:sz w:val="16"/>
          <w:szCs w:val="16"/>
        </w:rPr>
      </w:pPr>
    </w:p>
    <w:p w:rsidR="00DF72AC" w:rsidRDefault="00DF72AC" w:rsidP="00DF72AC">
      <w:pPr>
        <w:spacing w:after="0" w:line="360" w:lineRule="auto"/>
        <w:ind w:firstLine="709"/>
        <w:jc w:val="both"/>
        <w:rPr>
          <w:rFonts w:ascii="Arial" w:hAnsi="Arial" w:cs="Arial"/>
        </w:rPr>
      </w:pPr>
      <w:r>
        <w:rPr>
          <w:rFonts w:ascii="Arial" w:hAnsi="Arial"/>
        </w:rPr>
        <w:t xml:space="preserve">Despite the existence of relevant regulations in the national law on the accessibility of developed areas to persons with disabilities, </w:t>
      </w:r>
      <w:r>
        <w:rPr>
          <w:rFonts w:ascii="Arial" w:hAnsi="Arial"/>
          <w:b/>
        </w:rPr>
        <w:t>their realisation in practice does not correspond to the standards stipulated in the Convention</w:t>
      </w:r>
      <w:r>
        <w:rPr>
          <w:rFonts w:ascii="Arial" w:hAnsi="Arial"/>
        </w:rPr>
        <w:t xml:space="preserve"> on the Rights of Persons with Disabilities. The provisions of the Construction Law Act only refer to the needs of persons with limited mobility. As a result, the majority of new projects offer facilitations only to one group of persons with disabilities - persons on wheel chairs. Currently, there is also no general obligation to undertake actions to adapt buildings built before the currently binding Construction Law Act entered into force to the needs of </w:t>
      </w:r>
      <w:r w:rsidR="009E4665">
        <w:rPr>
          <w:rFonts w:ascii="Arial" w:hAnsi="Arial"/>
        </w:rPr>
        <w:t xml:space="preserve">persons with disabilities. </w:t>
      </w:r>
      <w:r w:rsidR="009E4665">
        <w:rPr>
          <w:rFonts w:ascii="Arial" w:hAnsi="Arial"/>
        </w:rPr>
        <w:lastRenderedPageBreak/>
        <w:t>As a </w:t>
      </w:r>
      <w:r>
        <w:rPr>
          <w:rFonts w:ascii="Arial" w:hAnsi="Arial"/>
        </w:rPr>
        <w:t xml:space="preserve">consequence, </w:t>
      </w:r>
      <w:r>
        <w:rPr>
          <w:rFonts w:ascii="Arial" w:hAnsi="Arial"/>
          <w:b/>
        </w:rPr>
        <w:t>the majority of these buildings remains inaccessible to persons with disabilities</w:t>
      </w:r>
      <w:r>
        <w:rPr>
          <w:rFonts w:ascii="Arial" w:hAnsi="Arial"/>
        </w:rPr>
        <w:t xml:space="preserve">. </w:t>
      </w:r>
    </w:p>
    <w:p w:rsidR="007A58C9" w:rsidRDefault="007A58C9" w:rsidP="00DF72AC">
      <w:pPr>
        <w:spacing w:after="0" w:line="360" w:lineRule="auto"/>
        <w:ind w:firstLine="709"/>
        <w:jc w:val="both"/>
        <w:rPr>
          <w:rFonts w:ascii="Arial" w:hAnsi="Arial" w:cs="Arial"/>
        </w:rPr>
      </w:pPr>
      <w:r>
        <w:rPr>
          <w:rFonts w:ascii="Arial" w:hAnsi="Arial"/>
        </w:rPr>
        <w:t>Similar problems apply to the accessibility of transportation and means of communication. Out of public means of transport, the best adapted means of transport is the air transport, while the most problems are observed in the case of railway transport</w:t>
      </w:r>
      <w:r>
        <w:rPr>
          <w:rFonts w:ascii="Arial" w:hAnsi="Arial"/>
          <w:b/>
        </w:rPr>
        <w:t xml:space="preserve"> </w:t>
      </w:r>
      <w:r>
        <w:rPr>
          <w:rFonts w:ascii="Arial" w:hAnsi="Arial"/>
        </w:rPr>
        <w:t>(see the report on the realisation of Article 20 of CRPD).</w:t>
      </w:r>
    </w:p>
    <w:p w:rsidR="007A58C9" w:rsidRPr="00DF72AC" w:rsidRDefault="007A58C9" w:rsidP="00DF72AC">
      <w:pPr>
        <w:spacing w:after="0" w:line="360" w:lineRule="auto"/>
        <w:ind w:firstLine="709"/>
        <w:jc w:val="both"/>
        <w:rPr>
          <w:rFonts w:ascii="Arial" w:hAnsi="Arial" w:cs="Arial"/>
        </w:rPr>
      </w:pPr>
      <w:r>
        <w:rPr>
          <w:rFonts w:ascii="Arial" w:hAnsi="Arial"/>
        </w:rPr>
        <w:t>Certain progress must be noted as regards access to information. By May 2015, all websites of public institutions should conform with the international accessibility standards (see the report on the realisation of Article 21 of CRPD).</w:t>
      </w:r>
    </w:p>
    <w:p w:rsidR="00DF72AC" w:rsidRDefault="00D06D1C" w:rsidP="00DF72AC">
      <w:pPr>
        <w:spacing w:after="0" w:line="360" w:lineRule="auto"/>
        <w:ind w:firstLine="709"/>
        <w:jc w:val="both"/>
        <w:rPr>
          <w:rFonts w:ascii="Arial" w:hAnsi="Arial" w:cs="Arial"/>
        </w:rPr>
      </w:pPr>
      <w:r>
        <w:rPr>
          <w:rFonts w:ascii="Arial" w:hAnsi="Arial"/>
        </w:rPr>
        <w:t xml:space="preserve">Polish internal provisions do not use the term “universal design” and do not enforce construction of new facilities in line with this concept. </w:t>
      </w:r>
      <w:r>
        <w:rPr>
          <w:rFonts w:ascii="Arial" w:hAnsi="Arial"/>
          <w:b/>
        </w:rPr>
        <w:t>Systematic and comprehensive trainings in this area are also lacking</w:t>
      </w:r>
      <w:r>
        <w:rPr>
          <w:rFonts w:ascii="Arial" w:hAnsi="Arial"/>
        </w:rPr>
        <w:t>, which would be dedicated to representatives of all professions dealing with creating developed areas.</w:t>
      </w:r>
    </w:p>
    <w:p w:rsidR="007A58C9" w:rsidRPr="007A58C9" w:rsidRDefault="007A58C9" w:rsidP="007A58C9">
      <w:pPr>
        <w:spacing w:after="0" w:line="360" w:lineRule="auto"/>
        <w:ind w:firstLine="709"/>
        <w:jc w:val="both"/>
        <w:rPr>
          <w:rFonts w:ascii="Arial" w:hAnsi="Arial" w:cs="Arial"/>
        </w:rPr>
      </w:pPr>
      <w:r>
        <w:rPr>
          <w:rFonts w:ascii="Arial" w:hAnsi="Arial"/>
        </w:rPr>
        <w:t xml:space="preserve">Despite the aforementioned, accessibility of public space, means of transport and information is </w:t>
      </w:r>
      <w:r>
        <w:rPr>
          <w:rFonts w:ascii="Arial" w:hAnsi="Arial"/>
          <w:b/>
        </w:rPr>
        <w:t>slowly but systematically improving</w:t>
      </w:r>
      <w:r>
        <w:rPr>
          <w:rFonts w:ascii="Arial" w:hAnsi="Arial"/>
        </w:rPr>
        <w:t xml:space="preserve"> in Poland.</w:t>
      </w:r>
    </w:p>
    <w:p w:rsidR="00DF72AC" w:rsidRPr="00127E36" w:rsidRDefault="00DF72AC" w:rsidP="001813AA">
      <w:pPr>
        <w:pStyle w:val="Akapitzlist"/>
        <w:spacing w:after="0" w:line="360" w:lineRule="auto"/>
        <w:ind w:left="0"/>
        <w:jc w:val="both"/>
        <w:rPr>
          <w:rFonts w:ascii="Arial" w:hAnsi="Arial" w:cs="Arial"/>
          <w:b/>
          <w:bCs/>
          <w:sz w:val="16"/>
          <w:szCs w:val="16"/>
        </w:rPr>
      </w:pPr>
    </w:p>
    <w:p w:rsidR="00A84B0C" w:rsidRPr="00AE7D83" w:rsidRDefault="00A84B0C" w:rsidP="00A84B0C">
      <w:pPr>
        <w:pStyle w:val="Akapitzlist"/>
        <w:spacing w:after="0" w:line="360" w:lineRule="auto"/>
        <w:ind w:left="0"/>
        <w:jc w:val="both"/>
        <w:rPr>
          <w:rFonts w:ascii="Arial" w:hAnsi="Arial" w:cs="Arial"/>
          <w:b/>
          <w:bCs/>
          <w:color w:val="A51F7F"/>
        </w:rPr>
      </w:pPr>
      <w:r>
        <w:rPr>
          <w:rFonts w:ascii="Arial" w:hAnsi="Arial"/>
          <w:b/>
          <w:color w:val="A51F7F"/>
        </w:rPr>
        <w:t xml:space="preserve">Article 12 – Equal recognition before the law </w:t>
      </w:r>
    </w:p>
    <w:p w:rsidR="00A84B0C" w:rsidRPr="00127E36" w:rsidRDefault="00A84B0C" w:rsidP="00A84B0C">
      <w:pPr>
        <w:pStyle w:val="Akapitzlist"/>
        <w:spacing w:after="0" w:line="360" w:lineRule="auto"/>
        <w:ind w:left="0"/>
        <w:jc w:val="both"/>
        <w:rPr>
          <w:rFonts w:ascii="Arial" w:hAnsi="Arial" w:cs="Arial"/>
          <w:b/>
          <w:bCs/>
          <w:sz w:val="16"/>
          <w:szCs w:val="16"/>
        </w:rPr>
      </w:pPr>
    </w:p>
    <w:p w:rsidR="00A84B0C" w:rsidRDefault="00AA248A" w:rsidP="00AA248A">
      <w:pPr>
        <w:spacing w:after="0" w:line="360" w:lineRule="auto"/>
        <w:ind w:firstLine="567"/>
        <w:jc w:val="both"/>
        <w:rPr>
          <w:rFonts w:ascii="Arial" w:hAnsi="Arial" w:cs="Arial"/>
        </w:rPr>
      </w:pPr>
      <w:r>
        <w:rPr>
          <w:rFonts w:ascii="Arial" w:hAnsi="Arial"/>
        </w:rPr>
        <w:t xml:space="preserve">The Polish legal system clearly distinguishes between </w:t>
      </w:r>
      <w:r>
        <w:rPr>
          <w:rFonts w:ascii="Arial" w:hAnsi="Arial"/>
          <w:i/>
        </w:rPr>
        <w:t>legal capacity</w:t>
      </w:r>
      <w:r>
        <w:rPr>
          <w:rFonts w:ascii="Arial" w:hAnsi="Arial"/>
        </w:rPr>
        <w:t xml:space="preserve"> (Polish: </w:t>
      </w:r>
      <w:r>
        <w:rPr>
          <w:rFonts w:ascii="Arial" w:hAnsi="Arial"/>
          <w:i/>
        </w:rPr>
        <w:t>zdolność prawna</w:t>
      </w:r>
      <w:r>
        <w:rPr>
          <w:rFonts w:ascii="Arial" w:hAnsi="Arial"/>
        </w:rPr>
        <w:t xml:space="preserve">) and </w:t>
      </w:r>
      <w:r>
        <w:rPr>
          <w:rFonts w:ascii="Arial" w:hAnsi="Arial"/>
          <w:i/>
        </w:rPr>
        <w:t>capacity for legal acts</w:t>
      </w:r>
      <w:r>
        <w:rPr>
          <w:rFonts w:ascii="Arial" w:hAnsi="Arial"/>
        </w:rPr>
        <w:t xml:space="preserve"> (Polish: </w:t>
      </w:r>
      <w:r>
        <w:rPr>
          <w:rFonts w:ascii="Arial" w:hAnsi="Arial"/>
          <w:i/>
        </w:rPr>
        <w:t>zdolność do czynności prawnych</w:t>
      </w:r>
      <w:r>
        <w:rPr>
          <w:rFonts w:ascii="Arial" w:hAnsi="Arial"/>
        </w:rPr>
        <w:t>). Each and every human has legal capacity since birth. This term means the capacity to be the subject of rights and duties. In turn, capacity for legal acts means the capacity to gain rights and duties on your own behalf, i.e. the capacity to shape your legal situation independently. In line with the official translation of the Convention into Polish, the wording of Article 12 of CRPD only refers to equal legal capacity of persons with disabilities, omitting the capacity for legal acts.</w:t>
      </w:r>
    </w:p>
    <w:p w:rsidR="00AA248A" w:rsidRDefault="00AA248A" w:rsidP="00AA248A">
      <w:pPr>
        <w:spacing w:after="0" w:line="360" w:lineRule="auto"/>
        <w:ind w:firstLine="567"/>
        <w:jc w:val="both"/>
        <w:rPr>
          <w:rFonts w:ascii="Arial" w:hAnsi="Arial" w:cs="Arial"/>
        </w:rPr>
      </w:pPr>
      <w:r>
        <w:rPr>
          <w:rFonts w:ascii="Arial" w:hAnsi="Arial"/>
        </w:rPr>
        <w:t xml:space="preserve">Polish provisions of law that regulate the legal incapacitation instrument constitute </w:t>
      </w:r>
      <w:r w:rsidR="009E4665">
        <w:rPr>
          <w:rFonts w:ascii="Arial" w:hAnsi="Arial"/>
          <w:b/>
        </w:rPr>
        <w:t>a </w:t>
      </w:r>
      <w:r>
        <w:rPr>
          <w:rFonts w:ascii="Arial" w:hAnsi="Arial"/>
          <w:b/>
        </w:rPr>
        <w:t>typical example of a substitute decision-making model and as such they do not satisfy the standards stipulated in Article 12 of the Convention</w:t>
      </w:r>
      <w:r>
        <w:rPr>
          <w:rFonts w:ascii="Arial" w:hAnsi="Arial"/>
        </w:rPr>
        <w:t>. The most serious consequence of legal incapacitation is the loss or reduction of the capacity for legal acts, therefore the said regulation does not provide persons with disabilities with support in exercising their capacity for legal acts, only with making these decisions as sub</w:t>
      </w:r>
      <w:r w:rsidR="009E4665">
        <w:rPr>
          <w:rFonts w:ascii="Arial" w:hAnsi="Arial"/>
        </w:rPr>
        <w:t>stitute. The </w:t>
      </w:r>
      <w:r>
        <w:rPr>
          <w:rFonts w:ascii="Arial" w:hAnsi="Arial"/>
        </w:rPr>
        <w:t xml:space="preserve">instrument of legal incapacitation is thus a measure that is highly disproportional, imposed for an indefinite period and is not limited to certain scopes or types of affairs. </w:t>
      </w:r>
      <w:r w:rsidR="009E4665">
        <w:rPr>
          <w:rFonts w:ascii="Arial" w:hAnsi="Arial"/>
          <w:b/>
        </w:rPr>
        <w:t>The </w:t>
      </w:r>
      <w:r>
        <w:rPr>
          <w:rFonts w:ascii="Arial" w:hAnsi="Arial"/>
          <w:b/>
        </w:rPr>
        <w:t>consequences of legal incapacitation are far-reaching and cause total exclusion of persons with disabilities from social life</w:t>
      </w:r>
      <w:r>
        <w:rPr>
          <w:rFonts w:ascii="Arial" w:hAnsi="Arial"/>
        </w:rPr>
        <w:t>.</w:t>
      </w:r>
    </w:p>
    <w:p w:rsidR="00AA248A" w:rsidRDefault="00E21834" w:rsidP="00AA248A">
      <w:pPr>
        <w:spacing w:after="0" w:line="360" w:lineRule="auto"/>
        <w:ind w:firstLine="567"/>
        <w:jc w:val="both"/>
        <w:rPr>
          <w:rFonts w:ascii="Arial" w:hAnsi="Arial" w:cs="Arial"/>
        </w:rPr>
      </w:pPr>
      <w:r>
        <w:rPr>
          <w:rFonts w:ascii="Arial" w:hAnsi="Arial"/>
        </w:rPr>
        <w:t xml:space="preserve">Since the Convention on the Rights of Persons with Disabilities was passed, </w:t>
      </w:r>
      <w:r w:rsidR="009E4665">
        <w:rPr>
          <w:rFonts w:ascii="Arial" w:hAnsi="Arial"/>
          <w:b/>
        </w:rPr>
        <w:t>the </w:t>
      </w:r>
      <w:r>
        <w:rPr>
          <w:rFonts w:ascii="Arial" w:hAnsi="Arial"/>
          <w:b/>
        </w:rPr>
        <w:t xml:space="preserve">number of new applications to legally incapacitate individuals has been </w:t>
      </w:r>
      <w:r>
        <w:rPr>
          <w:rFonts w:ascii="Arial" w:hAnsi="Arial"/>
          <w:b/>
        </w:rPr>
        <w:lastRenderedPageBreak/>
        <w:t>systematically growing</w:t>
      </w:r>
      <w:r>
        <w:rPr>
          <w:rFonts w:ascii="Arial" w:hAnsi="Arial"/>
        </w:rPr>
        <w:t xml:space="preserve">. In 2006, the number of such applications was 9,104 (full legal incapacitation was granted in 5,497 cases, partial legal incapacitation – in 692 cases), while in 2013 that number increased to 12,999 applications (full legal incapacitation was granted in 7,776 cases, while partial legal incapacitation – in 718 cases). In 2013, </w:t>
      </w:r>
      <w:r>
        <w:rPr>
          <w:rFonts w:ascii="Arial" w:hAnsi="Arial"/>
          <w:b/>
        </w:rPr>
        <w:t>the total number of legally incapacitated persons in Poland was 77,639.</w:t>
      </w:r>
    </w:p>
    <w:p w:rsidR="00AA248A" w:rsidRPr="00AA248A" w:rsidRDefault="001D3CF1" w:rsidP="001D3CF1">
      <w:pPr>
        <w:spacing w:after="0" w:line="360" w:lineRule="auto"/>
        <w:ind w:firstLine="567"/>
        <w:jc w:val="both"/>
        <w:rPr>
          <w:rFonts w:ascii="Arial" w:hAnsi="Arial" w:cs="Arial"/>
        </w:rPr>
      </w:pPr>
      <w:r>
        <w:rPr>
          <w:rFonts w:ascii="Arial" w:hAnsi="Arial"/>
        </w:rPr>
        <w:t>Ratification of the Convention intensified the discussion on the need to amend the legal incapacitation instrument in Poland. The Ministry of Justice is currently working on revising the provisions of law in this respect. The general nature of this project does not allow for assessing whether it implements the standards established by the Convention on the Rights of Persons with Disabilities in full.</w:t>
      </w:r>
    </w:p>
    <w:p w:rsidR="00A84B0C" w:rsidRPr="00127E36" w:rsidRDefault="00A84B0C" w:rsidP="00A84B0C">
      <w:pPr>
        <w:pStyle w:val="Akapitzlist"/>
        <w:spacing w:after="0" w:line="360" w:lineRule="auto"/>
        <w:ind w:left="0"/>
        <w:jc w:val="both"/>
        <w:rPr>
          <w:rFonts w:ascii="Arial" w:hAnsi="Arial" w:cs="Arial"/>
          <w:b/>
          <w:bCs/>
          <w:sz w:val="16"/>
          <w:szCs w:val="16"/>
        </w:rPr>
      </w:pPr>
    </w:p>
    <w:p w:rsidR="00A84B0C" w:rsidRPr="00AE7D83" w:rsidRDefault="00A84B0C" w:rsidP="00A84B0C">
      <w:pPr>
        <w:pStyle w:val="Akapitzlist"/>
        <w:spacing w:after="0" w:line="360" w:lineRule="auto"/>
        <w:ind w:left="0"/>
        <w:jc w:val="both"/>
        <w:rPr>
          <w:rFonts w:ascii="Arial" w:hAnsi="Arial" w:cs="Arial"/>
          <w:b/>
          <w:bCs/>
          <w:color w:val="A51F7F"/>
        </w:rPr>
      </w:pPr>
      <w:r>
        <w:rPr>
          <w:rFonts w:ascii="Arial" w:hAnsi="Arial"/>
          <w:b/>
          <w:color w:val="A51F7F"/>
        </w:rPr>
        <w:t>Article 13 – Access to justice</w:t>
      </w:r>
    </w:p>
    <w:p w:rsidR="002013F3" w:rsidRPr="00127E36" w:rsidRDefault="002013F3" w:rsidP="001813AA">
      <w:pPr>
        <w:pStyle w:val="Akapitzlist"/>
        <w:spacing w:after="0" w:line="360" w:lineRule="auto"/>
        <w:ind w:left="0"/>
        <w:rPr>
          <w:rFonts w:ascii="Arial" w:hAnsi="Arial" w:cs="Arial"/>
          <w:sz w:val="16"/>
          <w:szCs w:val="16"/>
        </w:rPr>
      </w:pPr>
    </w:p>
    <w:p w:rsidR="00E45567" w:rsidRDefault="00E45567" w:rsidP="00E45567">
      <w:pPr>
        <w:spacing w:after="0" w:line="360" w:lineRule="auto"/>
        <w:ind w:firstLine="709"/>
        <w:jc w:val="both"/>
        <w:rPr>
          <w:rFonts w:ascii="Arial" w:hAnsi="Arial" w:cs="Arial"/>
        </w:rPr>
      </w:pPr>
      <w:r>
        <w:rPr>
          <w:rFonts w:ascii="Arial" w:hAnsi="Arial"/>
        </w:rPr>
        <w:t xml:space="preserve">Persons with intellectual or mental disabilities </w:t>
      </w:r>
      <w:r>
        <w:rPr>
          <w:rFonts w:ascii="Arial" w:hAnsi="Arial"/>
          <w:b/>
        </w:rPr>
        <w:t>that were legally incapacitated, as a rule, have no capacity to be a party to litigation</w:t>
      </w:r>
      <w:r>
        <w:rPr>
          <w:rFonts w:ascii="Arial" w:hAnsi="Arial"/>
        </w:rPr>
        <w:t>, and therefore they have no capacity to undertake acts in litigation, such as filing a claim, filing a appeal to court decisions, filing statements and motions. An exception is made for the cases regarding legal incapacitation, where the legally incapacitated person is entitled to file a motion to revoke legal incapacitation. Both in the civil procedure and in criminal procedure, persons with disabilities encounter exclusions or limitations in their ability to be a witness.</w:t>
      </w:r>
    </w:p>
    <w:p w:rsidR="00E45567" w:rsidRDefault="00E45567" w:rsidP="00E45567">
      <w:pPr>
        <w:spacing w:after="0" w:line="360" w:lineRule="auto"/>
        <w:ind w:firstLine="709"/>
        <w:jc w:val="both"/>
        <w:rPr>
          <w:rFonts w:ascii="Arial" w:hAnsi="Arial" w:cs="Arial"/>
        </w:rPr>
      </w:pPr>
      <w:r>
        <w:rPr>
          <w:rFonts w:ascii="Arial" w:hAnsi="Arial"/>
        </w:rPr>
        <w:t xml:space="preserve">Another significant barrier in access to justice for persons with disabilities is </w:t>
      </w:r>
      <w:r>
        <w:rPr>
          <w:rFonts w:ascii="Arial" w:hAnsi="Arial"/>
          <w:b/>
        </w:rPr>
        <w:t>lack of architectural accessibility</w:t>
      </w:r>
      <w:r>
        <w:rPr>
          <w:rFonts w:ascii="Arial" w:hAnsi="Arial"/>
        </w:rPr>
        <w:t xml:space="preserve"> of buildings where courts or prosecutor’s offices are located. Polish legal system </w:t>
      </w:r>
      <w:r>
        <w:rPr>
          <w:rFonts w:ascii="Arial" w:hAnsi="Arial"/>
          <w:b/>
        </w:rPr>
        <w:t>also lacks procedural solutions that would ensure efficient communication</w:t>
      </w:r>
      <w:r>
        <w:rPr>
          <w:rFonts w:ascii="Arial" w:hAnsi="Arial"/>
        </w:rPr>
        <w:t xml:space="preserve"> between the justice system authorities and persons with different disabilities using sign language (an interpreter is present only in the case of activities related to the on-going procedure), Braille or augmentative and alternative communication. Contrary to the obligation arising from the provision of Article 13(2) of the Convention, </w:t>
      </w:r>
      <w:r>
        <w:rPr>
          <w:rFonts w:ascii="Arial" w:hAnsi="Arial"/>
          <w:b/>
        </w:rPr>
        <w:t>no regular training courses for the justice system personnel</w:t>
      </w:r>
      <w:r>
        <w:rPr>
          <w:rFonts w:ascii="Arial" w:hAnsi="Arial"/>
        </w:rPr>
        <w:t xml:space="preserve"> are held in the area of protecting the rights of persons with disabilities. In Poland, </w:t>
      </w:r>
      <w:r>
        <w:rPr>
          <w:rFonts w:ascii="Arial" w:hAnsi="Arial"/>
          <w:b/>
        </w:rPr>
        <w:t>there is also no systemic and free legal assistance</w:t>
      </w:r>
      <w:r>
        <w:rPr>
          <w:rFonts w:ascii="Arial" w:hAnsi="Arial"/>
        </w:rPr>
        <w:t xml:space="preserve"> for persons of modest means, including persons with disabilities.</w:t>
      </w:r>
    </w:p>
    <w:p w:rsidR="0028134C" w:rsidRDefault="0028134C" w:rsidP="00E45567">
      <w:pPr>
        <w:spacing w:after="0" w:line="360" w:lineRule="auto"/>
        <w:ind w:firstLine="709"/>
        <w:jc w:val="both"/>
        <w:rPr>
          <w:rFonts w:ascii="Arial" w:hAnsi="Arial" w:cs="Arial"/>
        </w:rPr>
      </w:pPr>
      <w:r>
        <w:rPr>
          <w:rFonts w:ascii="Arial" w:hAnsi="Arial"/>
        </w:rPr>
        <w:t xml:space="preserve">A significant progress in the area of access to justice for the persons with disabilities is </w:t>
      </w:r>
      <w:r>
        <w:rPr>
          <w:rFonts w:ascii="Arial" w:hAnsi="Arial"/>
          <w:b/>
        </w:rPr>
        <w:t>partial digitalisation</w:t>
      </w:r>
      <w:r>
        <w:rPr>
          <w:rFonts w:ascii="Arial" w:hAnsi="Arial"/>
        </w:rPr>
        <w:t xml:space="preserve"> of the justice system, including the </w:t>
      </w:r>
      <w:r w:rsidR="00297135">
        <w:rPr>
          <w:rFonts w:ascii="Arial" w:hAnsi="Arial"/>
        </w:rPr>
        <w:t>introduction of the so-called       e-</w:t>
      </w:r>
      <w:r>
        <w:rPr>
          <w:rFonts w:ascii="Arial" w:hAnsi="Arial"/>
        </w:rPr>
        <w:t>courts (civil procedure) and the development of the electronic reporting system.</w:t>
      </w:r>
    </w:p>
    <w:p w:rsidR="005D675F" w:rsidRDefault="005D675F" w:rsidP="001813AA">
      <w:pPr>
        <w:pStyle w:val="Akapitzlist"/>
        <w:spacing w:after="0" w:line="360" w:lineRule="auto"/>
        <w:ind w:left="0"/>
        <w:rPr>
          <w:rFonts w:ascii="Arial" w:hAnsi="Arial" w:cs="Arial"/>
          <w:sz w:val="16"/>
          <w:szCs w:val="16"/>
        </w:rPr>
      </w:pPr>
    </w:p>
    <w:p w:rsidR="009067ED" w:rsidRDefault="009067ED" w:rsidP="001813AA">
      <w:pPr>
        <w:pStyle w:val="Akapitzlist"/>
        <w:spacing w:after="0" w:line="360" w:lineRule="auto"/>
        <w:ind w:left="0"/>
        <w:rPr>
          <w:rFonts w:ascii="Arial" w:hAnsi="Arial" w:cs="Arial"/>
          <w:sz w:val="16"/>
          <w:szCs w:val="16"/>
        </w:rPr>
      </w:pPr>
    </w:p>
    <w:p w:rsidR="009067ED" w:rsidRDefault="009067ED" w:rsidP="001813AA">
      <w:pPr>
        <w:pStyle w:val="Akapitzlist"/>
        <w:spacing w:after="0" w:line="360" w:lineRule="auto"/>
        <w:ind w:left="0"/>
        <w:rPr>
          <w:rFonts w:ascii="Arial" w:hAnsi="Arial" w:cs="Arial"/>
          <w:sz w:val="16"/>
          <w:szCs w:val="16"/>
        </w:rPr>
      </w:pPr>
    </w:p>
    <w:p w:rsidR="009067ED" w:rsidRDefault="009067ED" w:rsidP="001813AA">
      <w:pPr>
        <w:pStyle w:val="Akapitzlist"/>
        <w:spacing w:after="0" w:line="360" w:lineRule="auto"/>
        <w:ind w:left="0"/>
        <w:rPr>
          <w:rFonts w:ascii="Arial" w:hAnsi="Arial" w:cs="Arial"/>
          <w:sz w:val="16"/>
          <w:szCs w:val="16"/>
        </w:rPr>
      </w:pPr>
    </w:p>
    <w:p w:rsidR="009067ED" w:rsidRPr="00127E36" w:rsidRDefault="009067ED" w:rsidP="001813AA">
      <w:pPr>
        <w:pStyle w:val="Akapitzlist"/>
        <w:spacing w:after="0" w:line="360" w:lineRule="auto"/>
        <w:ind w:left="0"/>
        <w:rPr>
          <w:rFonts w:ascii="Arial" w:hAnsi="Arial" w:cs="Arial"/>
          <w:sz w:val="16"/>
          <w:szCs w:val="16"/>
        </w:rPr>
      </w:pPr>
    </w:p>
    <w:p w:rsidR="00AE7D83" w:rsidRDefault="006317A2" w:rsidP="001813AA">
      <w:pPr>
        <w:pStyle w:val="Akapitzlist"/>
        <w:spacing w:after="0" w:line="360" w:lineRule="auto"/>
        <w:ind w:left="0"/>
        <w:jc w:val="both"/>
        <w:rPr>
          <w:rFonts w:ascii="Arial" w:hAnsi="Arial" w:cs="Arial"/>
          <w:b/>
          <w:bCs/>
          <w:color w:val="A51F7F"/>
        </w:rPr>
      </w:pPr>
      <w:r>
        <w:rPr>
          <w:rFonts w:ascii="Arial" w:hAnsi="Arial"/>
          <w:b/>
          <w:color w:val="A51F7F"/>
        </w:rPr>
        <w:lastRenderedPageBreak/>
        <w:t>Article 14 – Liberty and security of the person</w:t>
      </w:r>
    </w:p>
    <w:p w:rsidR="006317A2" w:rsidRPr="00AE7D83" w:rsidRDefault="00AE7D83" w:rsidP="001813AA">
      <w:pPr>
        <w:pStyle w:val="Akapitzlist"/>
        <w:spacing w:after="0" w:line="360" w:lineRule="auto"/>
        <w:ind w:left="0"/>
        <w:jc w:val="both"/>
        <w:rPr>
          <w:rFonts w:ascii="Arial" w:hAnsi="Arial" w:cs="Arial"/>
          <w:b/>
          <w:bCs/>
          <w:color w:val="A51F7F"/>
        </w:rPr>
      </w:pPr>
      <w:r>
        <w:rPr>
          <w:rFonts w:ascii="Arial" w:hAnsi="Arial"/>
          <w:b/>
          <w:color w:val="A51F7F"/>
        </w:rPr>
        <w:t>Article 15 – Freedom of torture or cruel, inhuman or degrading treatment or punishment</w:t>
      </w:r>
    </w:p>
    <w:p w:rsidR="00872FB5" w:rsidRPr="00127E36" w:rsidRDefault="00872FB5" w:rsidP="00872FB5">
      <w:pPr>
        <w:pStyle w:val="Akapitzlist"/>
        <w:spacing w:after="0" w:line="360" w:lineRule="auto"/>
        <w:ind w:left="0"/>
        <w:jc w:val="both"/>
        <w:rPr>
          <w:rFonts w:ascii="Arial" w:hAnsi="Arial" w:cs="Arial"/>
          <w:b/>
          <w:bCs/>
          <w:sz w:val="16"/>
          <w:szCs w:val="16"/>
        </w:rPr>
      </w:pPr>
    </w:p>
    <w:p w:rsidR="00AE7D83" w:rsidRDefault="0049455B" w:rsidP="0049455B">
      <w:pPr>
        <w:pStyle w:val="Akapitzlist"/>
        <w:spacing w:after="0" w:line="360" w:lineRule="auto"/>
        <w:ind w:left="0" w:firstLine="709"/>
        <w:jc w:val="both"/>
        <w:rPr>
          <w:rFonts w:ascii="Arial" w:eastAsia="Calibri" w:hAnsi="Arial" w:cs="Arial"/>
        </w:rPr>
      </w:pPr>
      <w:r>
        <w:rPr>
          <w:rFonts w:ascii="Arial" w:hAnsi="Arial"/>
        </w:rPr>
        <w:t>As a result of the inspections conducted, the Human Rights Defender believes that</w:t>
      </w:r>
      <w:r>
        <w:rPr>
          <w:rFonts w:ascii="Arial" w:hAnsi="Arial"/>
          <w:b/>
        </w:rPr>
        <w:t xml:space="preserve"> an improvement is observed with respect to the sensitivity of the persons managing detention centres to special needs of persons with disabilities </w:t>
      </w:r>
      <w:r>
        <w:rPr>
          <w:rFonts w:ascii="Arial" w:hAnsi="Arial"/>
        </w:rPr>
        <w:t xml:space="preserve">and more understanding to the need to adapt these places to their needs. In the practice of the National Preventive Mechanism, </w:t>
      </w:r>
      <w:r>
        <w:rPr>
          <w:rFonts w:ascii="Arial" w:hAnsi="Arial"/>
          <w:b/>
        </w:rPr>
        <w:t>it was not rare to determine cases of inhuman or degrading treatment of persons with disabilities</w:t>
      </w:r>
      <w:r>
        <w:rPr>
          <w:rFonts w:ascii="Arial" w:hAnsi="Arial"/>
        </w:rPr>
        <w:t>. Examples of such treatment include: punishing by taking away a wheel chair, unjustified practice towards legally incapacitated persons, such as: prohibition to leave the premises of the home, prohibition to be visited by friends and family, taking away identity documents. Keeping prisoners with disabilities in cells not adapted to their needs or lack of possibility to follow doctor’s orders.</w:t>
      </w:r>
    </w:p>
    <w:p w:rsidR="00A00CDA" w:rsidRDefault="00A00CDA" w:rsidP="0049455B">
      <w:pPr>
        <w:pStyle w:val="Akapitzlist"/>
        <w:spacing w:after="0" w:line="360" w:lineRule="auto"/>
        <w:ind w:left="0" w:firstLine="709"/>
        <w:jc w:val="both"/>
        <w:rPr>
          <w:rFonts w:ascii="Arial" w:hAnsi="Arial" w:cs="Arial"/>
          <w:b/>
          <w:bCs/>
          <w:color w:val="A51F7F"/>
        </w:rPr>
      </w:pPr>
      <w:r>
        <w:rPr>
          <w:rFonts w:ascii="Arial" w:hAnsi="Arial"/>
        </w:rPr>
        <w:t xml:space="preserve">The situation of </w:t>
      </w:r>
      <w:r>
        <w:rPr>
          <w:rFonts w:ascii="Arial" w:hAnsi="Arial"/>
          <w:b/>
        </w:rPr>
        <w:t>persons with mental disabilities staying in detention centres</w:t>
      </w:r>
      <w:r>
        <w:rPr>
          <w:rFonts w:ascii="Arial" w:hAnsi="Arial"/>
        </w:rPr>
        <w:t xml:space="preserve"> is particularly difficult. From the information obtained from the employees of the Prison Service it follows that at the moment, penitentiary centres have over 200 prisoners under their custody, whose mental disability makes it significantly difficult or even impossible for them to adapt to the conditions in prison and to perform basic day-to-day activities.</w:t>
      </w:r>
    </w:p>
    <w:p w:rsidR="0028134C" w:rsidRPr="00127E36" w:rsidRDefault="0028134C" w:rsidP="00872FB5">
      <w:pPr>
        <w:pStyle w:val="Akapitzlist"/>
        <w:spacing w:after="0" w:line="360" w:lineRule="auto"/>
        <w:ind w:left="0"/>
        <w:jc w:val="both"/>
        <w:rPr>
          <w:rFonts w:ascii="Arial" w:hAnsi="Arial" w:cs="Arial"/>
          <w:b/>
          <w:bCs/>
          <w:sz w:val="16"/>
          <w:szCs w:val="16"/>
        </w:rPr>
      </w:pPr>
    </w:p>
    <w:p w:rsidR="006317A2" w:rsidRPr="00AE7D83" w:rsidRDefault="006317A2" w:rsidP="001813AA">
      <w:pPr>
        <w:pStyle w:val="Akapitzlist"/>
        <w:spacing w:after="0" w:line="360" w:lineRule="auto"/>
        <w:ind w:left="0"/>
        <w:jc w:val="both"/>
        <w:rPr>
          <w:rFonts w:ascii="Arial" w:hAnsi="Arial" w:cs="Arial"/>
          <w:b/>
          <w:bCs/>
          <w:color w:val="A51F7F"/>
        </w:rPr>
      </w:pPr>
      <w:r>
        <w:rPr>
          <w:rFonts w:ascii="Arial" w:hAnsi="Arial"/>
          <w:b/>
          <w:color w:val="A51F7F"/>
        </w:rPr>
        <w:t>Article 16 – Freedom from exploitation, violence and abuse</w:t>
      </w:r>
    </w:p>
    <w:p w:rsidR="00513129" w:rsidRPr="00127E36" w:rsidRDefault="00513129" w:rsidP="001813AA">
      <w:pPr>
        <w:pStyle w:val="Akapitzlist"/>
        <w:spacing w:after="0" w:line="360" w:lineRule="auto"/>
        <w:ind w:left="0"/>
        <w:rPr>
          <w:rFonts w:ascii="Arial" w:hAnsi="Arial" w:cs="Arial"/>
          <w:sz w:val="16"/>
          <w:szCs w:val="16"/>
        </w:rPr>
      </w:pPr>
    </w:p>
    <w:p w:rsidR="00253952" w:rsidRDefault="00253952" w:rsidP="00253952">
      <w:pPr>
        <w:pStyle w:val="Akapitzlist"/>
        <w:spacing w:after="0" w:line="360" w:lineRule="auto"/>
        <w:ind w:left="0" w:firstLine="709"/>
        <w:jc w:val="both"/>
        <w:rPr>
          <w:rFonts w:ascii="Arial" w:hAnsi="Arial" w:cs="Arial"/>
        </w:rPr>
      </w:pPr>
      <w:r>
        <w:rPr>
          <w:rFonts w:ascii="Arial" w:hAnsi="Arial"/>
        </w:rPr>
        <w:t xml:space="preserve">The real scale of domestic violence against persons with disabilities is not known, even though the programmes intended to prevent violence consider particular vulnerability of persons with disabilities, in particular women, to violence. The majority of employees in the institutions assisting persons with disabilities believes that </w:t>
      </w:r>
      <w:r>
        <w:rPr>
          <w:rFonts w:ascii="Arial" w:hAnsi="Arial"/>
          <w:b/>
        </w:rPr>
        <w:t>detecting domestic violence in families of persons with disabilities is very rare.</w:t>
      </w:r>
      <w:r>
        <w:rPr>
          <w:rFonts w:ascii="Arial" w:hAnsi="Arial"/>
        </w:rPr>
        <w:t xml:space="preserve"> One of the reasons for failing to report violence by persons with disabilities is </w:t>
      </w:r>
      <w:r>
        <w:rPr>
          <w:rFonts w:ascii="Arial" w:hAnsi="Arial"/>
          <w:b/>
        </w:rPr>
        <w:t>the unavailability of legal or psychological assistance and the unavailability of assistance institutions.</w:t>
      </w:r>
      <w:r>
        <w:rPr>
          <w:rFonts w:ascii="Arial" w:hAnsi="Arial"/>
        </w:rPr>
        <w:t xml:space="preserve"> Legal protection measures for violence victims, including persons with disabilities, provides for in criminal procedure, are rarely used and are not adapted to the specific situation of those persons.</w:t>
      </w:r>
    </w:p>
    <w:p w:rsidR="00253952" w:rsidRPr="00127E36" w:rsidRDefault="00817F94" w:rsidP="00253952">
      <w:pPr>
        <w:pStyle w:val="Akapitzlist"/>
        <w:spacing w:after="0" w:line="360" w:lineRule="auto"/>
        <w:ind w:left="0" w:firstLine="709"/>
        <w:jc w:val="both"/>
        <w:rPr>
          <w:rFonts w:ascii="Arial" w:hAnsi="Arial" w:cs="Arial"/>
        </w:rPr>
      </w:pPr>
      <w:r>
        <w:rPr>
          <w:rFonts w:ascii="Arial" w:hAnsi="Arial"/>
        </w:rPr>
        <w:t xml:space="preserve">It also seems that it is </w:t>
      </w:r>
      <w:r>
        <w:rPr>
          <w:rFonts w:ascii="Arial" w:hAnsi="Arial"/>
          <w:b/>
        </w:rPr>
        <w:t xml:space="preserve">necessary to increase the protection </w:t>
      </w:r>
      <w:r>
        <w:rPr>
          <w:rFonts w:ascii="Arial" w:hAnsi="Arial"/>
        </w:rPr>
        <w:t xml:space="preserve">of persons residing in nursing homes and persons with mental illnesses and staying in psychiatric hospitals </w:t>
      </w:r>
      <w:r>
        <w:rPr>
          <w:rFonts w:ascii="Arial" w:hAnsi="Arial"/>
          <w:b/>
        </w:rPr>
        <w:t>against institutional violence.</w:t>
      </w:r>
      <w:r>
        <w:rPr>
          <w:rFonts w:ascii="Arial" w:hAnsi="Arial"/>
        </w:rPr>
        <w:t xml:space="preserve"> The Ombudsmen for the Rights of Patients of Psychiatric Hospitals have many times determined that </w:t>
      </w:r>
      <w:r>
        <w:rPr>
          <w:rFonts w:ascii="Arial" w:hAnsi="Arial"/>
          <w:b/>
        </w:rPr>
        <w:t>the rights of patients of psychiatric hospitals were infringed multiple times through the use of various forms of violence towards them.</w:t>
      </w:r>
      <w:r>
        <w:rPr>
          <w:rFonts w:ascii="Arial" w:hAnsi="Arial"/>
        </w:rPr>
        <w:t xml:space="preserve"> Finally, </w:t>
      </w:r>
      <w:r>
        <w:rPr>
          <w:rFonts w:ascii="Arial" w:hAnsi="Arial"/>
          <w:b/>
        </w:rPr>
        <w:t xml:space="preserve">it is also necessary to notice the problem of failing to consider the </w:t>
      </w:r>
      <w:r>
        <w:rPr>
          <w:rFonts w:ascii="Arial" w:hAnsi="Arial"/>
          <w:b/>
        </w:rPr>
        <w:lastRenderedPageBreak/>
        <w:t>specific type of offences motivated by hatred towards persons with disabilities.</w:t>
      </w:r>
      <w:r w:rsidR="00297135">
        <w:rPr>
          <w:rFonts w:ascii="Arial" w:hAnsi="Arial"/>
        </w:rPr>
        <w:t xml:space="preserve"> The </w:t>
      </w:r>
      <w:r>
        <w:rPr>
          <w:rFonts w:ascii="Arial" w:hAnsi="Arial"/>
        </w:rPr>
        <w:t>offences consisting in inciting hatred, degrading behaviour or using violence or illegal threats due to nationality, ethnicity, race, religion or lack of religion do not mention persons with disabilities – this quality is thus not specifically protected by the provisions of the Polish Criminal Code.</w:t>
      </w:r>
    </w:p>
    <w:p w:rsidR="00297135" w:rsidRPr="00127E36" w:rsidRDefault="00297135" w:rsidP="001813AA">
      <w:pPr>
        <w:pStyle w:val="Akapitzlist"/>
        <w:spacing w:after="0" w:line="360" w:lineRule="auto"/>
        <w:ind w:left="0"/>
        <w:rPr>
          <w:rFonts w:ascii="Arial" w:hAnsi="Arial" w:cs="Arial"/>
          <w:sz w:val="16"/>
          <w:szCs w:val="16"/>
        </w:rPr>
      </w:pPr>
    </w:p>
    <w:p w:rsidR="006317A2" w:rsidRPr="00AE7D83" w:rsidRDefault="006317A2" w:rsidP="003B597D">
      <w:pPr>
        <w:pStyle w:val="Akapitzlist"/>
        <w:spacing w:after="0" w:line="360" w:lineRule="auto"/>
        <w:ind w:left="0"/>
        <w:jc w:val="both"/>
        <w:rPr>
          <w:rFonts w:ascii="Arial" w:hAnsi="Arial" w:cs="Arial"/>
          <w:b/>
          <w:bCs/>
          <w:color w:val="A51F7F"/>
        </w:rPr>
      </w:pPr>
      <w:r>
        <w:rPr>
          <w:rFonts w:ascii="Arial" w:hAnsi="Arial"/>
          <w:b/>
          <w:color w:val="A51F7F"/>
        </w:rPr>
        <w:t>Article 19 – Living independently and being included in the community</w:t>
      </w:r>
    </w:p>
    <w:p w:rsidR="00BF2DC5" w:rsidRPr="00127E36" w:rsidRDefault="00BF2DC5" w:rsidP="00E12B94">
      <w:pPr>
        <w:pStyle w:val="Akapitzlist"/>
        <w:spacing w:after="0" w:line="360" w:lineRule="auto"/>
        <w:ind w:left="0" w:firstLine="709"/>
        <w:jc w:val="both"/>
        <w:rPr>
          <w:rFonts w:ascii="Arial" w:hAnsi="Arial" w:cs="Arial"/>
          <w:bCs/>
          <w:sz w:val="16"/>
          <w:szCs w:val="16"/>
        </w:rPr>
      </w:pPr>
    </w:p>
    <w:p w:rsidR="002F5C4D" w:rsidRDefault="00A60094" w:rsidP="00E12B94">
      <w:pPr>
        <w:pStyle w:val="Akapitzlist"/>
        <w:spacing w:after="0" w:line="360" w:lineRule="auto"/>
        <w:ind w:left="0" w:firstLine="709"/>
        <w:jc w:val="both"/>
        <w:rPr>
          <w:rFonts w:ascii="Arial" w:hAnsi="Arial" w:cs="Arial"/>
        </w:rPr>
      </w:pPr>
      <w:r>
        <w:rPr>
          <w:rFonts w:ascii="Arial" w:hAnsi="Arial"/>
          <w:b/>
        </w:rPr>
        <w:t xml:space="preserve">An archaic model of comprehensive institutional care still dominates </w:t>
      </w:r>
      <w:r>
        <w:rPr>
          <w:rFonts w:ascii="Arial" w:hAnsi="Arial"/>
        </w:rPr>
        <w:t xml:space="preserve">in Poland, instead of promoting services rendered at the place of residence. </w:t>
      </w:r>
      <w:r>
        <w:rPr>
          <w:rFonts w:ascii="Arial" w:hAnsi="Arial"/>
          <w:b/>
        </w:rPr>
        <w:t>The number of full-time nursing homes is still growing</w:t>
      </w:r>
      <w:r>
        <w:rPr>
          <w:rFonts w:ascii="Arial" w:hAnsi="Arial"/>
        </w:rPr>
        <w:t xml:space="preserve"> (from 803 in 2012 to 810 in 2013, and the number of residents increased from 85,044 in 2012 to 85,329 in 2013). The Ministry of Labour and Social Policy publishes the plans to further increase the number of places in nursing homes. The annual allocation for the maintenance of nursing homes for persons with disabilities is PLN 1.8 billion, while over PLN 700 million is provided to finance care and support centres. This disproportion illustrates the advantage of the institutional care over the community care.</w:t>
      </w:r>
    </w:p>
    <w:p w:rsidR="00CD5414" w:rsidRDefault="00CD5414" w:rsidP="00CD5414">
      <w:pPr>
        <w:spacing w:after="0" w:line="360" w:lineRule="auto"/>
        <w:ind w:firstLine="709"/>
        <w:jc w:val="both"/>
        <w:rPr>
          <w:rFonts w:ascii="Arial" w:hAnsi="Arial" w:cs="Arial"/>
        </w:rPr>
      </w:pPr>
      <w:r>
        <w:rPr>
          <w:rFonts w:ascii="Arial" w:hAnsi="Arial"/>
        </w:rPr>
        <w:t xml:space="preserve">Moreover, </w:t>
      </w:r>
      <w:r>
        <w:rPr>
          <w:rFonts w:ascii="Arial" w:hAnsi="Arial"/>
          <w:b/>
        </w:rPr>
        <w:t>the income criterion makes it impossible for many persons with disabilities to use care services</w:t>
      </w:r>
      <w:r>
        <w:rPr>
          <w:rFonts w:ascii="Arial" w:hAnsi="Arial"/>
        </w:rPr>
        <w:t>, yet it does not relieve them of the burden of covering living costs, including housing, food, medication. It forces such persons to use institutional care, where full living services are guaranteed.</w:t>
      </w:r>
    </w:p>
    <w:p w:rsidR="006600CD" w:rsidRPr="00CD5414" w:rsidRDefault="00C87F5C" w:rsidP="00CD5414">
      <w:pPr>
        <w:spacing w:after="0" w:line="360" w:lineRule="auto"/>
        <w:ind w:firstLine="709"/>
        <w:jc w:val="both"/>
        <w:rPr>
          <w:rFonts w:ascii="Arial" w:hAnsi="Arial" w:cs="Arial"/>
        </w:rPr>
      </w:pPr>
      <w:r>
        <w:rPr>
          <w:rFonts w:ascii="Arial" w:hAnsi="Arial"/>
        </w:rPr>
        <w:t xml:space="preserve">However, the Ombudsman notices </w:t>
      </w:r>
      <w:r>
        <w:rPr>
          <w:rFonts w:ascii="Arial" w:hAnsi="Arial"/>
          <w:b/>
        </w:rPr>
        <w:t>initiatives intended to improve the quality of social and health services</w:t>
      </w:r>
      <w:r>
        <w:rPr>
          <w:rFonts w:ascii="Arial" w:hAnsi="Arial"/>
        </w:rPr>
        <w:t xml:space="preserve"> to persons at risk of social exclusion as well as numerous pilot programmes in the area of support of an assistant to person with disabilities and supported housing.</w:t>
      </w:r>
    </w:p>
    <w:p w:rsidR="00A60094" w:rsidRPr="00127E36" w:rsidRDefault="00A60094" w:rsidP="00E12B94">
      <w:pPr>
        <w:pStyle w:val="Akapitzlist"/>
        <w:spacing w:after="0" w:line="360" w:lineRule="auto"/>
        <w:ind w:left="0" w:firstLine="709"/>
        <w:jc w:val="both"/>
        <w:rPr>
          <w:rFonts w:ascii="Arial" w:hAnsi="Arial" w:cs="Arial"/>
          <w:bCs/>
          <w:sz w:val="16"/>
          <w:szCs w:val="16"/>
        </w:rPr>
      </w:pPr>
    </w:p>
    <w:p w:rsidR="006317A2" w:rsidRPr="00AE7D83" w:rsidRDefault="006317A2" w:rsidP="001813AA">
      <w:pPr>
        <w:pStyle w:val="Akapitzlist"/>
        <w:spacing w:after="0" w:line="360" w:lineRule="auto"/>
        <w:ind w:left="0"/>
        <w:jc w:val="both"/>
        <w:rPr>
          <w:rFonts w:ascii="Arial" w:hAnsi="Arial" w:cs="Arial"/>
          <w:b/>
          <w:bCs/>
          <w:color w:val="A51F7F"/>
        </w:rPr>
      </w:pPr>
      <w:r>
        <w:rPr>
          <w:rFonts w:ascii="Arial" w:hAnsi="Arial"/>
          <w:b/>
          <w:color w:val="A51F7F"/>
        </w:rPr>
        <w:t>Article 20 – Personal mobility</w:t>
      </w:r>
    </w:p>
    <w:p w:rsidR="007E3B00" w:rsidRPr="00127E36" w:rsidRDefault="007E3B00" w:rsidP="007F6DAB">
      <w:pPr>
        <w:pStyle w:val="Akapitzlist"/>
        <w:spacing w:after="0" w:line="360" w:lineRule="auto"/>
        <w:ind w:left="0"/>
        <w:rPr>
          <w:rFonts w:ascii="Arial" w:hAnsi="Arial" w:cs="Arial"/>
          <w:sz w:val="16"/>
          <w:szCs w:val="16"/>
        </w:rPr>
      </w:pPr>
    </w:p>
    <w:p w:rsidR="00C87F5C" w:rsidRDefault="002E4B0A" w:rsidP="002E4B0A">
      <w:pPr>
        <w:pStyle w:val="Akapitzlist"/>
        <w:spacing w:after="0" w:line="360" w:lineRule="auto"/>
        <w:ind w:left="0" w:firstLine="709"/>
        <w:jc w:val="both"/>
        <w:rPr>
          <w:rFonts w:ascii="Arial" w:hAnsi="Arial" w:cs="Arial"/>
        </w:rPr>
      </w:pPr>
      <w:r>
        <w:rPr>
          <w:rFonts w:ascii="Arial" w:hAnsi="Arial"/>
        </w:rPr>
        <w:t>Out of public means of transport,</w:t>
      </w:r>
      <w:r>
        <w:rPr>
          <w:rFonts w:ascii="Arial" w:hAnsi="Arial"/>
          <w:b/>
        </w:rPr>
        <w:t xml:space="preserve"> the best adapted means of transport is the air transport</w:t>
      </w:r>
      <w:r>
        <w:rPr>
          <w:rFonts w:ascii="Arial" w:hAnsi="Arial"/>
        </w:rPr>
        <w:t xml:space="preserve">, while </w:t>
      </w:r>
      <w:r>
        <w:rPr>
          <w:rFonts w:ascii="Arial" w:hAnsi="Arial"/>
          <w:b/>
        </w:rPr>
        <w:t>the most problems are observed in the case of railway transport</w:t>
      </w:r>
      <w:r>
        <w:rPr>
          <w:rFonts w:ascii="Arial" w:hAnsi="Arial"/>
        </w:rPr>
        <w:t>, which still remains one of the most popular means of transport in Poland. As regards the railway transport, there are accessibility problems with respect to railway stations, platforms and rolling stock for persons with disabilities. The Polish legislator excluded the obligation to adapt the railway infrastructure to the needs of persons with disa</w:t>
      </w:r>
      <w:r w:rsidR="00297135">
        <w:rPr>
          <w:rFonts w:ascii="Arial" w:hAnsi="Arial"/>
        </w:rPr>
        <w:t>bilities for unlimited time. As </w:t>
      </w:r>
      <w:r>
        <w:rPr>
          <w:rFonts w:ascii="Arial" w:hAnsi="Arial"/>
        </w:rPr>
        <w:t>regards public urban transport, there are still no legal regulations that would oblige the carriers to ensure vehicles and services accessible to persons with disabilities. More and more local government units, in particular in large cities, notice the necessity to adapt the public transport to the needs of persons with disabilities.</w:t>
      </w:r>
    </w:p>
    <w:p w:rsidR="002E4B0A" w:rsidRPr="002E4B0A" w:rsidRDefault="002E4B0A" w:rsidP="002E4B0A">
      <w:pPr>
        <w:pStyle w:val="Akapitzlist"/>
        <w:spacing w:after="0" w:line="360" w:lineRule="auto"/>
        <w:ind w:left="0" w:firstLine="709"/>
        <w:jc w:val="both"/>
        <w:rPr>
          <w:rFonts w:ascii="Arial" w:hAnsi="Arial" w:cs="Arial"/>
        </w:rPr>
      </w:pPr>
      <w:r>
        <w:rPr>
          <w:rFonts w:ascii="Arial" w:hAnsi="Arial"/>
          <w:b/>
        </w:rPr>
        <w:lastRenderedPageBreak/>
        <w:t>Significant barriers</w:t>
      </w:r>
      <w:r>
        <w:rPr>
          <w:rFonts w:ascii="Arial" w:hAnsi="Arial"/>
        </w:rPr>
        <w:t xml:space="preserve"> </w:t>
      </w:r>
      <w:r>
        <w:rPr>
          <w:rFonts w:ascii="Arial" w:hAnsi="Arial"/>
          <w:b/>
        </w:rPr>
        <w:t>are encountered by persons with disabilities who wish to obtain a driving licence</w:t>
      </w:r>
      <w:r>
        <w:rPr>
          <w:rFonts w:ascii="Arial" w:hAnsi="Arial"/>
        </w:rPr>
        <w:t>. It concerns in particular the deaf persons, who have no option to use the assistance of the sign language interpreter, and persons with mobility restrictions, who are obliged to deliver an adapted vehicle for the practical part of the exam. Moreover, deaf persons currently cannot obtain a driving licence for trucks.</w:t>
      </w:r>
    </w:p>
    <w:p w:rsidR="008314D9" w:rsidRPr="00127E36" w:rsidRDefault="008314D9" w:rsidP="007F6DAB">
      <w:pPr>
        <w:pStyle w:val="Akapitzlist"/>
        <w:spacing w:after="0" w:line="360" w:lineRule="auto"/>
        <w:ind w:left="0"/>
        <w:rPr>
          <w:rFonts w:ascii="Arial" w:hAnsi="Arial" w:cs="Arial"/>
          <w:sz w:val="16"/>
          <w:szCs w:val="16"/>
        </w:rPr>
      </w:pPr>
    </w:p>
    <w:p w:rsidR="006317A2" w:rsidRPr="00AE7D83" w:rsidRDefault="006317A2" w:rsidP="001813AA">
      <w:pPr>
        <w:pStyle w:val="Akapitzlist"/>
        <w:spacing w:after="0" w:line="360" w:lineRule="auto"/>
        <w:ind w:left="0"/>
        <w:jc w:val="both"/>
        <w:rPr>
          <w:rFonts w:ascii="Arial" w:hAnsi="Arial" w:cs="Arial"/>
          <w:b/>
          <w:bCs/>
          <w:color w:val="A51F7F"/>
        </w:rPr>
      </w:pPr>
      <w:r>
        <w:rPr>
          <w:rFonts w:ascii="Arial" w:hAnsi="Arial"/>
          <w:b/>
          <w:color w:val="A51F7F"/>
        </w:rPr>
        <w:t>Article 21 – Freedom of expression and opinion, and access to information</w:t>
      </w:r>
    </w:p>
    <w:p w:rsidR="001D3CF1" w:rsidRPr="00127E36" w:rsidRDefault="001D3CF1" w:rsidP="001813AA">
      <w:pPr>
        <w:pStyle w:val="Akapitzlist"/>
        <w:spacing w:after="0" w:line="360" w:lineRule="auto"/>
        <w:ind w:left="0"/>
        <w:jc w:val="both"/>
        <w:rPr>
          <w:rFonts w:ascii="Arial" w:hAnsi="Arial" w:cs="Arial"/>
          <w:b/>
          <w:bCs/>
          <w:sz w:val="16"/>
          <w:szCs w:val="16"/>
        </w:rPr>
      </w:pPr>
    </w:p>
    <w:p w:rsidR="009D2F44" w:rsidRDefault="009D2F44" w:rsidP="009D2F44">
      <w:pPr>
        <w:spacing w:after="0" w:line="360" w:lineRule="auto"/>
        <w:ind w:firstLine="709"/>
        <w:jc w:val="both"/>
        <w:rPr>
          <w:rFonts w:ascii="Arial" w:hAnsi="Arial" w:cs="Arial"/>
        </w:rPr>
      </w:pPr>
      <w:r>
        <w:rPr>
          <w:rFonts w:ascii="Arial" w:hAnsi="Arial"/>
        </w:rPr>
        <w:t xml:space="preserve">Over the recent years, there was a series of significant changes intended to improve the realisation of the right of persons with disabilities to access to information and the freedom of expression and opinion. </w:t>
      </w:r>
      <w:r>
        <w:rPr>
          <w:rFonts w:ascii="Arial" w:hAnsi="Arial"/>
          <w:b/>
        </w:rPr>
        <w:t xml:space="preserve">Revision of the Telecommunications Law Act </w:t>
      </w:r>
      <w:r>
        <w:rPr>
          <w:rFonts w:ascii="Arial" w:hAnsi="Arial"/>
        </w:rPr>
        <w:t xml:space="preserve">is one of such examples, as a result of which operators of public telephone services were obliged to provide, to users who are persons with disabilities, access to the telephone services provided by them on equal terms as the access to telephone services provided to the majority of users. </w:t>
      </w:r>
    </w:p>
    <w:p w:rsidR="00934418" w:rsidRPr="00934418" w:rsidRDefault="009D2F44" w:rsidP="00934418">
      <w:pPr>
        <w:spacing w:after="0" w:line="360" w:lineRule="auto"/>
        <w:ind w:firstLine="709"/>
        <w:jc w:val="both"/>
        <w:rPr>
          <w:rFonts w:ascii="Arial" w:hAnsi="Arial" w:cs="Arial"/>
          <w:bCs/>
        </w:rPr>
      </w:pPr>
      <w:r>
        <w:rPr>
          <w:rFonts w:ascii="Arial" w:hAnsi="Arial"/>
        </w:rPr>
        <w:t xml:space="preserve">Under the Act on sign language and other means of communication, public administration authorities, on request of a deaf or deafblind person, are obliged to </w:t>
      </w:r>
      <w:r>
        <w:rPr>
          <w:rFonts w:ascii="Arial" w:hAnsi="Arial"/>
          <w:b/>
        </w:rPr>
        <w:t>ensure the services of a sign language interpreter</w:t>
      </w:r>
      <w:r>
        <w:rPr>
          <w:rFonts w:ascii="Arial" w:hAnsi="Arial"/>
        </w:rPr>
        <w:t xml:space="preserve"> or interpreter </w:t>
      </w:r>
      <w:r w:rsidR="00297135">
        <w:rPr>
          <w:rFonts w:ascii="Arial" w:hAnsi="Arial"/>
        </w:rPr>
        <w:t>using SKOGN, the </w:t>
      </w:r>
      <w:r>
        <w:rPr>
          <w:rFonts w:ascii="Arial" w:hAnsi="Arial"/>
        </w:rPr>
        <w:t xml:space="preserve">communication system for deafblind persons. In 2013, the Human Rights Defender conducted an inspection of the provisions on the Act on sign language. The results show that in the case of the deaf, </w:t>
      </w:r>
      <w:r>
        <w:rPr>
          <w:rFonts w:ascii="Arial" w:hAnsi="Arial"/>
          <w:b/>
        </w:rPr>
        <w:t>over</w:t>
      </w:r>
      <w:r>
        <w:rPr>
          <w:rFonts w:ascii="Arial" w:hAnsi="Arial"/>
        </w:rPr>
        <w:t xml:space="preserve"> </w:t>
      </w:r>
      <w:r>
        <w:rPr>
          <w:rFonts w:ascii="Arial" w:hAnsi="Arial"/>
          <w:b/>
        </w:rPr>
        <w:t xml:space="preserve">one fourth of offices (27%) fails to meet the obligations </w:t>
      </w:r>
      <w:r>
        <w:rPr>
          <w:rFonts w:ascii="Arial" w:hAnsi="Arial"/>
        </w:rPr>
        <w:t xml:space="preserve">imposed by them under the Act on sign language, and in the case of deafblind persons, </w:t>
      </w:r>
      <w:r>
        <w:rPr>
          <w:rFonts w:ascii="Arial" w:hAnsi="Arial"/>
          <w:b/>
        </w:rPr>
        <w:t>that number grows to over three fourths (78%)</w:t>
      </w:r>
      <w:r>
        <w:rPr>
          <w:rFonts w:ascii="Arial" w:hAnsi="Arial"/>
        </w:rPr>
        <w:t xml:space="preserve">. Also, no </w:t>
      </w:r>
      <w:r>
        <w:rPr>
          <w:rFonts w:ascii="Arial" w:hAnsi="Arial"/>
          <w:b/>
        </w:rPr>
        <w:t>provisions of law allow for the use of Braille, auxiliary (augmentative) and alternative communication by persons with disabilities for the purposes of managing their affairs</w:t>
      </w:r>
      <w:r>
        <w:rPr>
          <w:rFonts w:ascii="Arial" w:hAnsi="Arial"/>
        </w:rPr>
        <w:t>.</w:t>
      </w:r>
    </w:p>
    <w:p w:rsidR="003008D5" w:rsidRDefault="003008D5" w:rsidP="009D2F44">
      <w:pPr>
        <w:spacing w:after="0" w:line="360" w:lineRule="auto"/>
        <w:ind w:firstLine="709"/>
        <w:jc w:val="both"/>
        <w:rPr>
          <w:rFonts w:ascii="Arial" w:hAnsi="Arial" w:cs="Arial"/>
          <w:bCs/>
        </w:rPr>
      </w:pPr>
      <w:r>
        <w:rPr>
          <w:rFonts w:ascii="Arial" w:hAnsi="Arial"/>
        </w:rPr>
        <w:t xml:space="preserve">Visible progress was also made with respect to </w:t>
      </w:r>
      <w:r>
        <w:rPr>
          <w:rFonts w:ascii="Arial" w:hAnsi="Arial"/>
          <w:b/>
        </w:rPr>
        <w:t>accessibility of public websites.</w:t>
      </w:r>
      <w:r w:rsidR="00297135">
        <w:rPr>
          <w:rFonts w:ascii="Arial" w:hAnsi="Arial"/>
        </w:rPr>
        <w:t xml:space="preserve"> IT </w:t>
      </w:r>
      <w:r>
        <w:rPr>
          <w:rFonts w:ascii="Arial" w:hAnsi="Arial"/>
        </w:rPr>
        <w:t>systems of entities realising public tasks must meet the accessibility standards for users with disabilities</w:t>
      </w:r>
      <w:r>
        <w:rPr>
          <w:rFonts w:ascii="Arial" w:hAnsi="Arial"/>
          <w:b/>
        </w:rPr>
        <w:t xml:space="preserve"> </w:t>
      </w:r>
      <w:r>
        <w:rPr>
          <w:rFonts w:ascii="Arial" w:hAnsi="Arial"/>
        </w:rPr>
        <w:t xml:space="preserve">by the end of first quarter of 2015. The inspection conducted in 2013 showed that </w:t>
      </w:r>
      <w:r>
        <w:rPr>
          <w:rFonts w:ascii="Arial" w:hAnsi="Arial"/>
          <w:b/>
        </w:rPr>
        <w:t>no website studied</w:t>
      </w:r>
      <w:r>
        <w:rPr>
          <w:rFonts w:ascii="Arial" w:hAnsi="Arial"/>
        </w:rPr>
        <w:t xml:space="preserve"> </w:t>
      </w:r>
      <w:r>
        <w:rPr>
          <w:rFonts w:ascii="Arial" w:hAnsi="Arial"/>
          <w:b/>
        </w:rPr>
        <w:t>was 100% accessible to persons with disabilities</w:t>
      </w:r>
      <w:r>
        <w:rPr>
          <w:rFonts w:ascii="Arial" w:hAnsi="Arial"/>
        </w:rPr>
        <w:t xml:space="preserve"> and to other persons at risk of digital exclusion.</w:t>
      </w:r>
    </w:p>
    <w:p w:rsidR="00D57333" w:rsidRPr="00D57333" w:rsidRDefault="00D57333" w:rsidP="009D2F44">
      <w:pPr>
        <w:spacing w:after="0" w:line="360" w:lineRule="auto"/>
        <w:ind w:firstLine="709"/>
        <w:jc w:val="both"/>
        <w:rPr>
          <w:rFonts w:ascii="Arial" w:hAnsi="Arial" w:cs="Arial"/>
          <w:bCs/>
          <w:sz w:val="16"/>
          <w:szCs w:val="16"/>
        </w:rPr>
      </w:pPr>
    </w:p>
    <w:p w:rsidR="006317A2" w:rsidRPr="00AE7D83" w:rsidRDefault="006317A2" w:rsidP="001813AA">
      <w:pPr>
        <w:pStyle w:val="Akapitzlist"/>
        <w:spacing w:after="0" w:line="360" w:lineRule="auto"/>
        <w:ind w:left="0"/>
        <w:jc w:val="both"/>
        <w:rPr>
          <w:rFonts w:ascii="Arial" w:hAnsi="Arial" w:cs="Arial"/>
          <w:b/>
          <w:bCs/>
          <w:color w:val="A51F7F"/>
        </w:rPr>
      </w:pPr>
      <w:r>
        <w:rPr>
          <w:rFonts w:ascii="Arial" w:hAnsi="Arial"/>
          <w:b/>
          <w:color w:val="A51F7F"/>
        </w:rPr>
        <w:t>Article 23 – Respect for home and the family</w:t>
      </w:r>
    </w:p>
    <w:p w:rsidR="00F37D2E" w:rsidRPr="00127E36" w:rsidRDefault="00F37D2E" w:rsidP="001813AA">
      <w:pPr>
        <w:pStyle w:val="Akapitzlist"/>
        <w:spacing w:after="0" w:line="360" w:lineRule="auto"/>
        <w:ind w:left="0"/>
        <w:rPr>
          <w:rFonts w:ascii="Arial" w:hAnsi="Arial" w:cs="Arial"/>
          <w:sz w:val="16"/>
          <w:szCs w:val="16"/>
        </w:rPr>
      </w:pPr>
    </w:p>
    <w:p w:rsidR="009068FA" w:rsidRDefault="008647D7" w:rsidP="008647D7">
      <w:pPr>
        <w:pStyle w:val="Akapitzlist"/>
        <w:spacing w:after="0" w:line="360" w:lineRule="auto"/>
        <w:ind w:left="0" w:firstLine="709"/>
        <w:jc w:val="both"/>
        <w:rPr>
          <w:rFonts w:ascii="Arial" w:hAnsi="Arial" w:cs="Arial"/>
        </w:rPr>
      </w:pPr>
      <w:r>
        <w:rPr>
          <w:rFonts w:ascii="Arial" w:hAnsi="Arial"/>
        </w:rPr>
        <w:t xml:space="preserve">In line with the provisions of the Polish Family and Guardianship Code, </w:t>
      </w:r>
      <w:r>
        <w:rPr>
          <w:rFonts w:ascii="Arial" w:hAnsi="Arial"/>
          <w:b/>
        </w:rPr>
        <w:t>a fully legally incapacitated may not marry in Poland</w:t>
      </w:r>
      <w:r>
        <w:rPr>
          <w:rFonts w:ascii="Arial" w:hAnsi="Arial"/>
        </w:rPr>
        <w:t xml:space="preserve">. Moreover, </w:t>
      </w:r>
      <w:r>
        <w:rPr>
          <w:rFonts w:ascii="Arial" w:hAnsi="Arial"/>
          <w:b/>
        </w:rPr>
        <w:t>a person suffering from mental illness or mental deficiencies also may not marry</w:t>
      </w:r>
      <w:r>
        <w:rPr>
          <w:rFonts w:ascii="Arial" w:hAnsi="Arial"/>
        </w:rPr>
        <w:t xml:space="preserve"> (after the Code). Only in exceptional cases a court may allow for such persons to marry, if their health or mental condition poses no threat for the marriage and health of the future offspring. The Human Rights Defender </w:t>
      </w:r>
      <w:r>
        <w:rPr>
          <w:rFonts w:ascii="Arial" w:hAnsi="Arial"/>
        </w:rPr>
        <w:lastRenderedPageBreak/>
        <w:t>receives complaints on the cases where the interpretation of the aforementioned obstacles to marry is performed extensively. This regulation constitutes a significant barrier for the realisation of the right of persons with disabilities to marry and to found a family and became the basis for the reservation made by Poland to the provision of Article 23(1)(a) of the Convention.</w:t>
      </w:r>
    </w:p>
    <w:p w:rsidR="0033667D" w:rsidRPr="00127E36" w:rsidRDefault="0033667D" w:rsidP="008647D7">
      <w:pPr>
        <w:pStyle w:val="Akapitzlist"/>
        <w:spacing w:after="0" w:line="360" w:lineRule="auto"/>
        <w:ind w:left="0" w:firstLine="709"/>
        <w:jc w:val="both"/>
        <w:rPr>
          <w:rFonts w:ascii="Arial" w:hAnsi="Arial" w:cs="Arial"/>
        </w:rPr>
      </w:pPr>
      <w:r>
        <w:rPr>
          <w:rFonts w:ascii="Arial" w:hAnsi="Arial"/>
        </w:rPr>
        <w:t xml:space="preserve">The Ministry of Justice is currently working on </w:t>
      </w:r>
      <w:r>
        <w:rPr>
          <w:rFonts w:ascii="Arial" w:hAnsi="Arial"/>
          <w:b/>
        </w:rPr>
        <w:t>revising the said regulation</w:t>
      </w:r>
      <w:r>
        <w:rPr>
          <w:rFonts w:ascii="Arial" w:hAnsi="Arial"/>
        </w:rPr>
        <w:t>. According to the Ombudsman, adopting that revision should allow for withdrawing the reservation submitted by Poland.</w:t>
      </w:r>
    </w:p>
    <w:p w:rsidR="009068FA" w:rsidRPr="00127E36" w:rsidRDefault="009068FA" w:rsidP="001813AA">
      <w:pPr>
        <w:pStyle w:val="Akapitzlist"/>
        <w:spacing w:after="0" w:line="360" w:lineRule="auto"/>
        <w:ind w:left="0"/>
        <w:rPr>
          <w:rFonts w:ascii="Arial" w:hAnsi="Arial" w:cs="Arial"/>
          <w:sz w:val="16"/>
          <w:szCs w:val="16"/>
        </w:rPr>
      </w:pPr>
    </w:p>
    <w:p w:rsidR="006317A2" w:rsidRDefault="006317A2" w:rsidP="00987809">
      <w:pPr>
        <w:pStyle w:val="Akapitzlist"/>
        <w:spacing w:after="0" w:line="360" w:lineRule="auto"/>
        <w:ind w:left="0"/>
        <w:jc w:val="both"/>
        <w:rPr>
          <w:rFonts w:ascii="Arial" w:hAnsi="Arial" w:cs="Arial"/>
          <w:b/>
          <w:bCs/>
          <w:color w:val="A51F7F"/>
        </w:rPr>
      </w:pPr>
      <w:r>
        <w:rPr>
          <w:rFonts w:ascii="Arial" w:hAnsi="Arial"/>
          <w:b/>
          <w:color w:val="A51F7F"/>
        </w:rPr>
        <w:t>Article 24 – Education</w:t>
      </w:r>
    </w:p>
    <w:p w:rsidR="00AE7D83" w:rsidRPr="00127E36" w:rsidRDefault="00AE7D83" w:rsidP="00987809">
      <w:pPr>
        <w:pStyle w:val="Akapitzlist"/>
        <w:spacing w:after="0" w:line="360" w:lineRule="auto"/>
        <w:ind w:left="0"/>
        <w:jc w:val="both"/>
        <w:rPr>
          <w:rFonts w:ascii="Arial" w:hAnsi="Arial" w:cs="Arial"/>
          <w:b/>
          <w:bCs/>
          <w:sz w:val="16"/>
          <w:szCs w:val="16"/>
        </w:rPr>
      </w:pPr>
    </w:p>
    <w:p w:rsidR="00FA1A99" w:rsidRPr="00FA1A99" w:rsidRDefault="00FA1A99" w:rsidP="00987809">
      <w:pPr>
        <w:spacing w:after="0" w:line="360" w:lineRule="auto"/>
        <w:ind w:firstLine="709"/>
        <w:contextualSpacing/>
        <w:jc w:val="both"/>
        <w:rPr>
          <w:rFonts w:ascii="Arial" w:hAnsi="Arial" w:cs="Arial"/>
        </w:rPr>
      </w:pPr>
      <w:r>
        <w:rPr>
          <w:rFonts w:ascii="Arial" w:hAnsi="Arial"/>
        </w:rPr>
        <w:t xml:space="preserve">In the Polish conditions, education of students with disabilities (special education) </w:t>
      </w:r>
      <w:r>
        <w:rPr>
          <w:rFonts w:ascii="Arial" w:hAnsi="Arial"/>
          <w:b/>
        </w:rPr>
        <w:t>takes place in public schools (with inclusive education programme), in integration schools and in special schools.</w:t>
      </w:r>
      <w:r>
        <w:rPr>
          <w:rFonts w:ascii="Arial" w:hAnsi="Arial"/>
        </w:rPr>
        <w:t xml:space="preserve"> The general legal framework makes it possible to realise the right of persons with disabilities to inclusive education. However, challenges are posed by certain specific provisions, which ensure that even though the right to education may be realised, there are no relevant legal solutions that ensure proper realisation of the right to education and enforcement of that right. </w:t>
      </w:r>
    </w:p>
    <w:p w:rsidR="00FA1A99" w:rsidRPr="00FA1A99" w:rsidRDefault="00FA1A99" w:rsidP="00987809">
      <w:pPr>
        <w:spacing w:after="0" w:line="360" w:lineRule="auto"/>
        <w:ind w:firstLine="709"/>
        <w:contextualSpacing/>
        <w:jc w:val="both"/>
        <w:rPr>
          <w:rFonts w:ascii="Arial" w:hAnsi="Arial" w:cs="Arial"/>
        </w:rPr>
      </w:pPr>
      <w:r>
        <w:rPr>
          <w:rFonts w:ascii="Arial" w:hAnsi="Arial"/>
        </w:rPr>
        <w:t xml:space="preserve">Another challenge is posed e.g. by </w:t>
      </w:r>
      <w:r>
        <w:rPr>
          <w:rFonts w:ascii="Arial" w:hAnsi="Arial"/>
          <w:b/>
        </w:rPr>
        <w:t>the system for financing s4pecial educational needs</w:t>
      </w:r>
      <w:r>
        <w:rPr>
          <w:rFonts w:ascii="Arial" w:hAnsi="Arial"/>
        </w:rPr>
        <w:t xml:space="preserve">. Even though an additional subsidy weight due to disability is granted for every child with legal disability status, which is transferred from the state budget to the authority that manages the given school, </w:t>
      </w:r>
      <w:r>
        <w:rPr>
          <w:rFonts w:ascii="Arial" w:hAnsi="Arial"/>
          <w:b/>
        </w:rPr>
        <w:t>there are no legal guarantees that would ensure the transfer of the money by the local government directly to the school, in which the child received education.</w:t>
      </w:r>
      <w:r>
        <w:rPr>
          <w:rFonts w:ascii="Arial" w:hAnsi="Arial"/>
        </w:rPr>
        <w:t xml:space="preserve"> In practice, public schools guarantee the minimum support – two hours of revalidation classes per week. In turn, the possibility of obtaining support adequate to the needs depends on the affluence of the given local government and the level of activity of the school director and of the parents of the child with disabilities, not on the objective needs of the child. </w:t>
      </w:r>
    </w:p>
    <w:p w:rsidR="00FA1A99" w:rsidRDefault="00FA1A99" w:rsidP="00987809">
      <w:pPr>
        <w:spacing w:after="0" w:line="360" w:lineRule="auto"/>
        <w:ind w:firstLine="709"/>
        <w:contextualSpacing/>
        <w:jc w:val="both"/>
        <w:rPr>
          <w:rFonts w:ascii="Arial" w:hAnsi="Arial" w:cs="Arial"/>
        </w:rPr>
      </w:pPr>
      <w:r>
        <w:rPr>
          <w:rFonts w:ascii="Arial" w:hAnsi="Arial"/>
        </w:rPr>
        <w:t xml:space="preserve">It is also important to mention that detailed legal regulations, including financial regulations, apply </w:t>
      </w:r>
      <w:r>
        <w:rPr>
          <w:rFonts w:ascii="Arial" w:hAnsi="Arial"/>
          <w:b/>
        </w:rPr>
        <w:t>only to children with legal disability status</w:t>
      </w:r>
      <w:r>
        <w:rPr>
          <w:rFonts w:ascii="Arial" w:hAnsi="Arial"/>
        </w:rPr>
        <w:t>, which makes many children with learning dysfunctions but without formal legal disability status eligible to a much reduced scope of support. Thus, the methods of defining disability under the Convention and within the education system differ.</w:t>
      </w:r>
    </w:p>
    <w:p w:rsidR="00841BE4" w:rsidRDefault="00841BE4" w:rsidP="00987809">
      <w:pPr>
        <w:spacing w:after="0" w:line="360" w:lineRule="auto"/>
        <w:ind w:firstLine="709"/>
        <w:contextualSpacing/>
        <w:jc w:val="both"/>
        <w:rPr>
          <w:rFonts w:ascii="Arial" w:hAnsi="Arial" w:cs="Arial"/>
        </w:rPr>
      </w:pPr>
      <w:r>
        <w:rPr>
          <w:rFonts w:ascii="Arial" w:hAnsi="Arial"/>
        </w:rPr>
        <w:t xml:space="preserve">Thus, </w:t>
      </w:r>
      <w:r>
        <w:rPr>
          <w:rFonts w:ascii="Arial" w:hAnsi="Arial"/>
          <w:b/>
        </w:rPr>
        <w:t>about half of students with special educational needs due to disabilities go to special schools, about one fifth – to integration schools,</w:t>
      </w:r>
      <w:r>
        <w:rPr>
          <w:rFonts w:ascii="Arial" w:hAnsi="Arial"/>
        </w:rPr>
        <w:t xml:space="preserve"> </w:t>
      </w:r>
      <w:r>
        <w:rPr>
          <w:rFonts w:ascii="Arial" w:hAnsi="Arial"/>
          <w:b/>
        </w:rPr>
        <w:t>and only three out of ten students – to public schools that offer inclusive education</w:t>
      </w:r>
      <w:r>
        <w:rPr>
          <w:rFonts w:ascii="Arial" w:hAnsi="Arial"/>
        </w:rPr>
        <w:t xml:space="preserve">. Moreover, the percentage of students in inclusive education is significantly decreasing as the age of </w:t>
      </w:r>
      <w:r>
        <w:rPr>
          <w:rFonts w:ascii="Arial" w:hAnsi="Arial"/>
        </w:rPr>
        <w:lastRenderedPageBreak/>
        <w:t>students increases: while in kindergartens the percentage of students in special schools is approx. one fourth, with each subsequent stage of education in increases and in senior high schools it is as much as three fourths of the students wit</w:t>
      </w:r>
      <w:r w:rsidR="008A22E8">
        <w:rPr>
          <w:rFonts w:ascii="Arial" w:hAnsi="Arial"/>
        </w:rPr>
        <w:t>h assessment certificates. As a </w:t>
      </w:r>
      <w:r>
        <w:rPr>
          <w:rFonts w:ascii="Arial" w:hAnsi="Arial"/>
        </w:rPr>
        <w:t xml:space="preserve">consequence, </w:t>
      </w:r>
      <w:r>
        <w:rPr>
          <w:rFonts w:ascii="Arial" w:hAnsi="Arial"/>
          <w:b/>
        </w:rPr>
        <w:t>the percentage of persons with disabilities reaching the level of higher education i</w:t>
      </w:r>
      <w:r w:rsidR="008A22E8">
        <w:rPr>
          <w:rFonts w:ascii="Arial" w:hAnsi="Arial"/>
          <w:b/>
        </w:rPr>
        <w:t>s</w:t>
      </w:r>
      <w:r>
        <w:rPr>
          <w:rFonts w:ascii="Arial" w:hAnsi="Arial"/>
          <w:b/>
        </w:rPr>
        <w:t xml:space="preserve"> only 7.7 in 2013</w:t>
      </w:r>
      <w:r>
        <w:rPr>
          <w:rFonts w:ascii="Arial" w:hAnsi="Arial"/>
        </w:rPr>
        <w:t xml:space="preserve"> (non-disabled persons – 20.6%). </w:t>
      </w:r>
      <w:r>
        <w:rPr>
          <w:rFonts w:ascii="Arial" w:hAnsi="Arial"/>
          <w:b/>
        </w:rPr>
        <w:t>Only one in six persons with disabilities is active on the labour market</w:t>
      </w:r>
      <w:r>
        <w:rPr>
          <w:rFonts w:ascii="Arial" w:hAnsi="Arial"/>
        </w:rPr>
        <w:t xml:space="preserve"> – the vocational activity indicator is 17.2%. To compare, this indicator is 56% for non-disabled persons, which means that every other non-disabled person is active on the labour market.</w:t>
      </w:r>
    </w:p>
    <w:p w:rsidR="00987809" w:rsidRPr="00FA1A99" w:rsidRDefault="00987809" w:rsidP="00987809">
      <w:pPr>
        <w:spacing w:after="0" w:line="360" w:lineRule="auto"/>
        <w:ind w:firstLine="709"/>
        <w:contextualSpacing/>
        <w:jc w:val="both"/>
        <w:rPr>
          <w:rFonts w:ascii="Arial" w:hAnsi="Arial" w:cs="Arial"/>
        </w:rPr>
      </w:pPr>
      <w:r>
        <w:rPr>
          <w:rFonts w:ascii="Arial" w:hAnsi="Arial"/>
        </w:rPr>
        <w:t xml:space="preserve">Significant problems are also posed by education conducted in languages and through methods and means of communication that is best fitted to students with disabilities, in particular deaf and deafblind students. From the data provided by the Polish Association of the Deaf it follows that until now, </w:t>
      </w:r>
      <w:r>
        <w:rPr>
          <w:rFonts w:ascii="Arial" w:hAnsi="Arial"/>
          <w:b/>
        </w:rPr>
        <w:t>no school attended by deaf students holds regular classes in the Polish sign language, the natural language of the deaf</w:t>
      </w:r>
      <w:r>
        <w:rPr>
          <w:rFonts w:ascii="Arial" w:hAnsi="Arial"/>
        </w:rPr>
        <w:t>.</w:t>
      </w:r>
    </w:p>
    <w:p w:rsidR="009956A5" w:rsidRPr="00127E36" w:rsidRDefault="009956A5" w:rsidP="001813AA">
      <w:pPr>
        <w:pStyle w:val="Akapitzlist"/>
        <w:spacing w:after="0" w:line="360" w:lineRule="auto"/>
        <w:ind w:left="0"/>
        <w:jc w:val="both"/>
        <w:rPr>
          <w:rFonts w:ascii="Arial" w:hAnsi="Arial" w:cs="Arial"/>
          <w:b/>
          <w:bCs/>
          <w:sz w:val="16"/>
          <w:szCs w:val="16"/>
        </w:rPr>
      </w:pPr>
    </w:p>
    <w:p w:rsidR="006317A2" w:rsidRPr="00AE7D83" w:rsidRDefault="006317A2" w:rsidP="001813AA">
      <w:pPr>
        <w:pStyle w:val="Akapitzlist"/>
        <w:spacing w:after="0" w:line="360" w:lineRule="auto"/>
        <w:ind w:left="0"/>
        <w:jc w:val="both"/>
        <w:rPr>
          <w:rFonts w:ascii="Arial" w:hAnsi="Arial" w:cs="Arial"/>
          <w:b/>
          <w:bCs/>
          <w:color w:val="A51F7F"/>
        </w:rPr>
      </w:pPr>
      <w:r>
        <w:rPr>
          <w:rFonts w:ascii="Arial" w:hAnsi="Arial"/>
          <w:b/>
          <w:color w:val="A51F7F"/>
        </w:rPr>
        <w:t>Article 26 – Habilitation and rehabilitation</w:t>
      </w:r>
    </w:p>
    <w:p w:rsidR="00703BD9" w:rsidRPr="00127E36" w:rsidRDefault="00703BD9" w:rsidP="001813AA">
      <w:pPr>
        <w:pStyle w:val="Akapitzlist"/>
        <w:spacing w:after="0" w:line="360" w:lineRule="auto"/>
        <w:ind w:left="0"/>
        <w:jc w:val="both"/>
        <w:rPr>
          <w:rFonts w:ascii="Arial" w:hAnsi="Arial" w:cs="Arial"/>
          <w:b/>
          <w:bCs/>
          <w:sz w:val="16"/>
          <w:szCs w:val="16"/>
        </w:rPr>
      </w:pPr>
    </w:p>
    <w:p w:rsidR="00FF0D68" w:rsidRPr="00FF0D68" w:rsidRDefault="005D675F" w:rsidP="00FF0D68">
      <w:pPr>
        <w:spacing w:after="0" w:line="360" w:lineRule="auto"/>
        <w:ind w:firstLine="709"/>
        <w:jc w:val="both"/>
        <w:rPr>
          <w:rFonts w:ascii="Arial" w:hAnsi="Arial" w:cs="Arial"/>
        </w:rPr>
      </w:pPr>
      <w:r>
        <w:rPr>
          <w:rFonts w:ascii="Arial" w:hAnsi="Arial"/>
        </w:rPr>
        <w:t xml:space="preserve">The fundamental source of vocational and social rehabilitation financing in Poland is the </w:t>
      </w:r>
      <w:r>
        <w:rPr>
          <w:rFonts w:ascii="Arial" w:hAnsi="Arial"/>
          <w:b/>
        </w:rPr>
        <w:t xml:space="preserve">State Fund for Rehabilitation of the Disabled Persons </w:t>
      </w:r>
      <w:r>
        <w:rPr>
          <w:rFonts w:ascii="Arial" w:hAnsi="Arial"/>
        </w:rPr>
        <w:t>(PFRON). The Fund offers co-financing to: (1) rehabilitation equipment, orthopaedic articles and assistance meas</w:t>
      </w:r>
      <w:r w:rsidR="008A22E8">
        <w:rPr>
          <w:rFonts w:ascii="Arial" w:hAnsi="Arial"/>
        </w:rPr>
        <w:t>ures; (2) </w:t>
      </w:r>
      <w:r>
        <w:rPr>
          <w:rFonts w:ascii="Arial" w:hAnsi="Arial"/>
        </w:rPr>
        <w:t xml:space="preserve">rehabilitation camps; (3) removal of architectural barriers, barriers in communication and transportation barriers. </w:t>
      </w:r>
      <w:r>
        <w:rPr>
          <w:rFonts w:ascii="Arial" w:hAnsi="Arial"/>
          <w:b/>
        </w:rPr>
        <w:t>The demand for all those forms of support is satisfied only partially.</w:t>
      </w:r>
      <w:r>
        <w:rPr>
          <w:rFonts w:ascii="Arial" w:hAnsi="Arial"/>
        </w:rPr>
        <w:t xml:space="preserve"> In 2013, under the aforementioned programmes, contracts were made, respectively: in the case of 78%, 41% and 37% of applications. By amount, these indicators are even lower, which additionally proves that contracts for lower than applied amounts are made. Due to the income criterion that regulates the eligibility for support, one might also suspect that the current demand is underestimated, as applications are filed only by persons that meet that criterion.</w:t>
      </w:r>
    </w:p>
    <w:p w:rsidR="00EC145F" w:rsidRDefault="00EC145F" w:rsidP="00EC145F">
      <w:pPr>
        <w:spacing w:after="0" w:line="360" w:lineRule="auto"/>
        <w:ind w:firstLine="709"/>
        <w:jc w:val="both"/>
        <w:rPr>
          <w:rFonts w:ascii="Arial" w:hAnsi="Arial" w:cs="Arial"/>
        </w:rPr>
      </w:pPr>
      <w:r>
        <w:rPr>
          <w:rFonts w:ascii="Arial" w:hAnsi="Arial"/>
          <w:b/>
        </w:rPr>
        <w:t>There is no – except for medical rehabilitation – set of guaranteed free rehabilitation services</w:t>
      </w:r>
      <w:r>
        <w:rPr>
          <w:rFonts w:ascii="Arial" w:hAnsi="Arial"/>
        </w:rPr>
        <w:t>. Therefore, access of persons with disabilities to such services largely depends on the existence in the local community of a NGO and on whether that NGO obtains financing for short-term projects. Thus, there is a permanent risk that the progress achieved through rehabilitation will be lost as a result of losing access to continued rehabilitation.</w:t>
      </w:r>
    </w:p>
    <w:p w:rsidR="00757EBC" w:rsidRDefault="00757EBC" w:rsidP="00757EBC">
      <w:pPr>
        <w:spacing w:after="0" w:line="360" w:lineRule="auto"/>
        <w:ind w:firstLine="709"/>
        <w:jc w:val="both"/>
        <w:rPr>
          <w:rFonts w:ascii="Arial" w:hAnsi="Arial" w:cs="Arial"/>
        </w:rPr>
      </w:pPr>
      <w:r>
        <w:rPr>
          <w:rFonts w:ascii="Arial" w:hAnsi="Arial"/>
        </w:rPr>
        <w:t xml:space="preserve">As regards access to rehabilitation, </w:t>
      </w:r>
      <w:r>
        <w:rPr>
          <w:rFonts w:ascii="Arial" w:hAnsi="Arial"/>
          <w:b/>
        </w:rPr>
        <w:t>the situation of persons with mental disabilities is particularly difficult.</w:t>
      </w:r>
      <w:r>
        <w:rPr>
          <w:rFonts w:ascii="Arial" w:hAnsi="Arial"/>
        </w:rPr>
        <w:t xml:space="preserve"> Poland still has not managed to implement a community psychiatric model, which could reduce the frequency and length of the strongly stigmatising hospital stays. </w:t>
      </w:r>
    </w:p>
    <w:p w:rsidR="00FF0D68" w:rsidRDefault="00757EBC" w:rsidP="00757EBC">
      <w:pPr>
        <w:spacing w:after="0" w:line="360" w:lineRule="auto"/>
        <w:ind w:firstLine="709"/>
        <w:jc w:val="both"/>
        <w:rPr>
          <w:rFonts w:ascii="Arial" w:hAnsi="Arial" w:cs="Arial"/>
        </w:rPr>
      </w:pPr>
      <w:r>
        <w:rPr>
          <w:rFonts w:ascii="Arial" w:hAnsi="Arial"/>
        </w:rPr>
        <w:lastRenderedPageBreak/>
        <w:t>Finally, continued increase of public spending for the purposes related to students with disabilities is not accompanied by a better degree of meeting specific needs of children with disabilities encompassed by the education system.</w:t>
      </w:r>
    </w:p>
    <w:p w:rsidR="008A22E8" w:rsidRPr="00127E36" w:rsidRDefault="008A22E8" w:rsidP="00515BCC">
      <w:pPr>
        <w:pStyle w:val="Akapitzlist"/>
        <w:tabs>
          <w:tab w:val="left" w:pos="5985"/>
        </w:tabs>
        <w:spacing w:after="0" w:line="360" w:lineRule="auto"/>
        <w:ind w:left="0"/>
        <w:jc w:val="both"/>
        <w:rPr>
          <w:rFonts w:ascii="Arial" w:hAnsi="Arial" w:cs="Arial"/>
          <w:b/>
          <w:bCs/>
          <w:sz w:val="16"/>
          <w:szCs w:val="16"/>
        </w:rPr>
      </w:pPr>
    </w:p>
    <w:p w:rsidR="00703BD9" w:rsidRPr="00AE7D83" w:rsidRDefault="005D675F" w:rsidP="00703BD9">
      <w:pPr>
        <w:pStyle w:val="Akapitzlist"/>
        <w:spacing w:after="0" w:line="360" w:lineRule="auto"/>
        <w:ind w:left="0"/>
        <w:jc w:val="both"/>
        <w:rPr>
          <w:rFonts w:ascii="Arial" w:hAnsi="Arial" w:cs="Arial"/>
          <w:b/>
          <w:bCs/>
          <w:color w:val="A51F7F"/>
        </w:rPr>
      </w:pPr>
      <w:r>
        <w:rPr>
          <w:rFonts w:ascii="Arial" w:hAnsi="Arial"/>
          <w:b/>
          <w:color w:val="A51F7F"/>
        </w:rPr>
        <w:t>Article 27 – Work and employment</w:t>
      </w:r>
    </w:p>
    <w:p w:rsidR="00AE7D83" w:rsidRPr="00127E36" w:rsidRDefault="00AE7D83" w:rsidP="00127E36">
      <w:pPr>
        <w:widowControl w:val="0"/>
        <w:autoSpaceDE w:val="0"/>
        <w:autoSpaceDN w:val="0"/>
        <w:adjustRightInd w:val="0"/>
        <w:spacing w:after="0" w:line="360" w:lineRule="auto"/>
        <w:ind w:left="709"/>
        <w:rPr>
          <w:rFonts w:ascii="Arial" w:eastAsia="MS Mincho" w:hAnsi="Arial" w:cs="Arial"/>
          <w:b/>
          <w:sz w:val="16"/>
          <w:szCs w:val="16"/>
        </w:rPr>
      </w:pPr>
    </w:p>
    <w:p w:rsidR="007D7AEA" w:rsidRDefault="00A74617" w:rsidP="007D7AEA">
      <w:pPr>
        <w:widowControl w:val="0"/>
        <w:autoSpaceDE w:val="0"/>
        <w:autoSpaceDN w:val="0"/>
        <w:adjustRightInd w:val="0"/>
        <w:spacing w:after="0" w:line="360" w:lineRule="auto"/>
        <w:ind w:firstLine="709"/>
        <w:jc w:val="both"/>
        <w:rPr>
          <w:rFonts w:ascii="Arial" w:hAnsi="Arial" w:cs="Arial"/>
        </w:rPr>
      </w:pPr>
      <w:r>
        <w:rPr>
          <w:rFonts w:ascii="Arial" w:hAnsi="Arial"/>
        </w:rPr>
        <w:t xml:space="preserve">Gradually, actions are undertaken by Poland to realise the social model of disability and </w:t>
      </w:r>
      <w:r>
        <w:rPr>
          <w:rFonts w:ascii="Arial" w:hAnsi="Arial"/>
          <w:b/>
        </w:rPr>
        <w:t>to promote employment on the open labour market.</w:t>
      </w:r>
      <w:r>
        <w:rPr>
          <w:rFonts w:ascii="Arial" w:hAnsi="Arial"/>
        </w:rPr>
        <w:t xml:space="preserve"> Over the recent years, Poland has adopted positive changes regarding employment on the open labour market, </w:t>
      </w:r>
      <w:r>
        <w:rPr>
          <w:rFonts w:ascii="Arial" w:hAnsi="Arial"/>
          <w:b/>
        </w:rPr>
        <w:t>by ensuring equal co-financing for employers to remuneration of employees with disabilities and co-financing on the sheltered labour market.</w:t>
      </w:r>
      <w:r>
        <w:rPr>
          <w:rFonts w:ascii="Arial" w:hAnsi="Arial"/>
        </w:rPr>
        <w:t xml:space="preserve"> Before that change, co-financing to remuneration was higher for employers operating on the sheltered labour market. Despite the existence of a financial support system in employment, the employment rate indicator of persons with disabilities in Poland is one of the lowest in Europe. </w:t>
      </w:r>
      <w:r>
        <w:rPr>
          <w:rFonts w:ascii="Arial" w:hAnsi="Arial"/>
          <w:b/>
        </w:rPr>
        <w:t>The vocational activity indicator of persons with disabil</w:t>
      </w:r>
      <w:r w:rsidR="008A22E8">
        <w:rPr>
          <w:rFonts w:ascii="Arial" w:hAnsi="Arial"/>
          <w:b/>
        </w:rPr>
        <w:t>ities in productive age is 25.7</w:t>
      </w:r>
      <w:r>
        <w:rPr>
          <w:rFonts w:ascii="Arial" w:hAnsi="Arial"/>
          <w:b/>
        </w:rPr>
        <w:t>% (2013), the</w:t>
      </w:r>
      <w:r w:rsidR="008A22E8">
        <w:rPr>
          <w:rFonts w:ascii="Arial" w:hAnsi="Arial"/>
          <w:b/>
        </w:rPr>
        <w:t xml:space="preserve"> employment rate indicator – 21</w:t>
      </w:r>
      <w:r>
        <w:rPr>
          <w:rFonts w:ascii="Arial" w:hAnsi="Arial"/>
          <w:b/>
        </w:rPr>
        <w:t>%, a</w:t>
      </w:r>
      <w:r w:rsidR="008A22E8">
        <w:rPr>
          <w:rFonts w:ascii="Arial" w:hAnsi="Arial"/>
          <w:b/>
        </w:rPr>
        <w:t>nd the unemployment rate – 18.4</w:t>
      </w:r>
      <w:r>
        <w:rPr>
          <w:rFonts w:ascii="Arial" w:hAnsi="Arial"/>
          <w:b/>
        </w:rPr>
        <w:t>%.</w:t>
      </w:r>
    </w:p>
    <w:p w:rsidR="007D7AEA" w:rsidRPr="007D7AEA" w:rsidRDefault="007D7AEA" w:rsidP="007D7AEA">
      <w:pPr>
        <w:widowControl w:val="0"/>
        <w:autoSpaceDE w:val="0"/>
        <w:autoSpaceDN w:val="0"/>
        <w:adjustRightInd w:val="0"/>
        <w:spacing w:after="0" w:line="360" w:lineRule="auto"/>
        <w:ind w:firstLine="709"/>
        <w:jc w:val="both"/>
        <w:rPr>
          <w:rFonts w:ascii="Arial" w:hAnsi="Arial" w:cs="Arial"/>
          <w:b/>
        </w:rPr>
      </w:pPr>
      <w:r>
        <w:rPr>
          <w:rFonts w:ascii="Arial" w:hAnsi="Arial"/>
        </w:rPr>
        <w:t xml:space="preserve">Lack of coherence between the social security system for persons with disabilities and the system to support employment is a serious problem. In Poland, we have experienced for years a known and unresolved </w:t>
      </w:r>
      <w:r>
        <w:rPr>
          <w:rFonts w:ascii="Arial" w:hAnsi="Arial"/>
          <w:b/>
        </w:rPr>
        <w:t>phenomenon of a benefit trap</w:t>
      </w:r>
      <w:r>
        <w:rPr>
          <w:rFonts w:ascii="Arial" w:hAnsi="Arial"/>
        </w:rPr>
        <w:t>, which discourages persons with disabilities who receive disability pension from vocational activity. According to the Ombudsman, the system supporting persons with disabilities considers actual, individual needs of employees with disabilities to a too small extent.</w:t>
      </w:r>
    </w:p>
    <w:p w:rsidR="00A74617" w:rsidRPr="00127E36" w:rsidRDefault="00A74617" w:rsidP="007D7AEA">
      <w:pPr>
        <w:widowControl w:val="0"/>
        <w:autoSpaceDE w:val="0"/>
        <w:autoSpaceDN w:val="0"/>
        <w:adjustRightInd w:val="0"/>
        <w:spacing w:after="0" w:line="360" w:lineRule="auto"/>
        <w:ind w:firstLine="709"/>
        <w:jc w:val="both"/>
        <w:rPr>
          <w:rFonts w:ascii="Arial" w:eastAsia="MS Mincho" w:hAnsi="Arial" w:cs="Arial"/>
          <w:b/>
        </w:rPr>
      </w:pPr>
      <w:r>
        <w:rPr>
          <w:rFonts w:ascii="Arial" w:hAnsi="Arial"/>
        </w:rPr>
        <w:t xml:space="preserve">Poland has recently undertaken </w:t>
      </w:r>
      <w:r>
        <w:rPr>
          <w:rFonts w:ascii="Arial" w:hAnsi="Arial"/>
          <w:b/>
        </w:rPr>
        <w:t>affirmative activities</w:t>
      </w:r>
      <w:r>
        <w:rPr>
          <w:rFonts w:ascii="Arial" w:hAnsi="Arial"/>
        </w:rPr>
        <w:t xml:space="preserve"> in the form of promotional campaigns promoting employment of persons with disabilities on the open labour market. Additionally, </w:t>
      </w:r>
      <w:r>
        <w:rPr>
          <w:rFonts w:ascii="Arial" w:hAnsi="Arial"/>
          <w:b/>
        </w:rPr>
        <w:t>changes to positions in governmental administration</w:t>
      </w:r>
      <w:r>
        <w:rPr>
          <w:rFonts w:ascii="Arial" w:hAnsi="Arial"/>
        </w:rPr>
        <w:t xml:space="preserve"> (civil service, state offices) and local government administration, awarding candidates with disabilities the priority to be hired in administration offices tha</w:t>
      </w:r>
      <w:r w:rsidR="008A22E8">
        <w:rPr>
          <w:rFonts w:ascii="Arial" w:hAnsi="Arial"/>
        </w:rPr>
        <w:t>t do not exceed the statutory 6</w:t>
      </w:r>
      <w:r>
        <w:rPr>
          <w:rFonts w:ascii="Arial" w:hAnsi="Arial"/>
        </w:rPr>
        <w:t xml:space="preserve">% employment rate of persons with disabilities, provided that the persons with disabilities meet the same qualification criteria as other candidates. Despite that fact, </w:t>
      </w:r>
      <w:r>
        <w:rPr>
          <w:rFonts w:ascii="Arial" w:hAnsi="Arial"/>
          <w:b/>
        </w:rPr>
        <w:t>the percentage of persons with disabilities employed in public administration is growing very slowly</w:t>
      </w:r>
      <w:r>
        <w:rPr>
          <w:rFonts w:ascii="Arial" w:hAnsi="Arial"/>
        </w:rPr>
        <w:t>.</w:t>
      </w:r>
    </w:p>
    <w:p w:rsidR="00A74617" w:rsidRPr="00127E36" w:rsidRDefault="00A74617" w:rsidP="00127E36">
      <w:pPr>
        <w:widowControl w:val="0"/>
        <w:autoSpaceDE w:val="0"/>
        <w:autoSpaceDN w:val="0"/>
        <w:adjustRightInd w:val="0"/>
        <w:spacing w:after="0" w:line="360" w:lineRule="auto"/>
        <w:ind w:left="709"/>
        <w:rPr>
          <w:rFonts w:ascii="Arial" w:eastAsia="MS Mincho" w:hAnsi="Arial" w:cs="Arial"/>
          <w:b/>
          <w:sz w:val="16"/>
          <w:szCs w:val="16"/>
        </w:rPr>
      </w:pPr>
    </w:p>
    <w:p w:rsidR="006317A2" w:rsidRPr="00AE7D83" w:rsidRDefault="006317A2" w:rsidP="001813AA">
      <w:pPr>
        <w:pStyle w:val="Akapitzlist"/>
        <w:spacing w:after="0" w:line="360" w:lineRule="auto"/>
        <w:ind w:left="0"/>
        <w:jc w:val="both"/>
        <w:rPr>
          <w:rFonts w:ascii="Arial" w:hAnsi="Arial" w:cs="Arial"/>
          <w:b/>
          <w:bCs/>
          <w:color w:val="A51F7F"/>
        </w:rPr>
      </w:pPr>
      <w:r>
        <w:rPr>
          <w:rFonts w:ascii="Arial" w:hAnsi="Arial"/>
          <w:b/>
          <w:color w:val="A51F7F"/>
        </w:rPr>
        <w:t>Article 28 – Adequate standard of living and social protection</w:t>
      </w:r>
    </w:p>
    <w:p w:rsidR="003A5B7A" w:rsidRPr="00127E36" w:rsidRDefault="003A5B7A" w:rsidP="001813AA">
      <w:pPr>
        <w:pStyle w:val="Akapitzlist"/>
        <w:spacing w:after="0" w:line="360" w:lineRule="auto"/>
        <w:ind w:left="0"/>
        <w:rPr>
          <w:rFonts w:ascii="Arial" w:hAnsi="Arial" w:cs="Arial"/>
          <w:sz w:val="16"/>
          <w:szCs w:val="16"/>
        </w:rPr>
      </w:pPr>
    </w:p>
    <w:p w:rsidR="00AE1317" w:rsidRPr="00AE1317" w:rsidRDefault="00AE1317" w:rsidP="00AE1317">
      <w:pPr>
        <w:spacing w:after="0" w:line="360" w:lineRule="auto"/>
        <w:ind w:firstLine="709"/>
        <w:jc w:val="both"/>
        <w:rPr>
          <w:rFonts w:ascii="Arial" w:hAnsi="Arial" w:cs="Arial"/>
        </w:rPr>
      </w:pPr>
      <w:r>
        <w:rPr>
          <w:rFonts w:ascii="Arial" w:hAnsi="Arial"/>
        </w:rPr>
        <w:t xml:space="preserve">Poland, like other developed countries, created an extensive social security system, which – in its insurance part – considers the risk of full or partial inability to work and provides for a compensation of lost earnings for this reason (disability pension due to being unfit for work). Moreover, two additional situations were taken into account. The first one arises from the fact that it is possible to gain a disability in childhood, which makes it much more difficult </w:t>
      </w:r>
      <w:r>
        <w:rPr>
          <w:rFonts w:ascii="Arial" w:hAnsi="Arial"/>
        </w:rPr>
        <w:lastRenderedPageBreak/>
        <w:t>or even prevents obtaining the insurance rights to disability pension due to being unfit for work – social  disability pension. The second one arises from the fact that persons with disabilities might experience financial poverty despite the disability insurance (with minimum value) and social disability pension – temporary and permanent allowance from social welfare.</w:t>
      </w:r>
    </w:p>
    <w:p w:rsidR="00AE1317" w:rsidRPr="00AE1317" w:rsidRDefault="00AE1317" w:rsidP="00D77434">
      <w:pPr>
        <w:spacing w:after="0" w:line="360" w:lineRule="auto"/>
        <w:ind w:firstLine="709"/>
        <w:jc w:val="both"/>
        <w:rPr>
          <w:rFonts w:ascii="Arial" w:hAnsi="Arial" w:cs="Arial"/>
        </w:rPr>
      </w:pPr>
      <w:r>
        <w:rPr>
          <w:rFonts w:ascii="Arial" w:hAnsi="Arial"/>
        </w:rPr>
        <w:t>In the case of families with children with disabilities, their higher needs are considered by means of bonuses to family allowance (as a rule, addressed only to poor families). Moreover, if children with disabilities are not independent and requir</w:t>
      </w:r>
      <w:r w:rsidR="008A22E8">
        <w:rPr>
          <w:rFonts w:ascii="Arial" w:hAnsi="Arial"/>
        </w:rPr>
        <w:t>e permanent care, a </w:t>
      </w:r>
      <w:r>
        <w:rPr>
          <w:rFonts w:ascii="Arial" w:hAnsi="Arial"/>
        </w:rPr>
        <w:t>separate benefit for the parent is provided for, i.e. care bene</w:t>
      </w:r>
      <w:r w:rsidR="008A22E8">
        <w:rPr>
          <w:rFonts w:ascii="Arial" w:hAnsi="Arial"/>
        </w:rPr>
        <w:t>fit. This system, as a rule, is </w:t>
      </w:r>
      <w:r>
        <w:rPr>
          <w:rFonts w:ascii="Arial" w:hAnsi="Arial"/>
        </w:rPr>
        <w:t>supposed to fully secure persons with disabilities and their families against poverty. Despite the aforementioned, the statistical indicators of poverty, e.g. the poverty rate is higher for households with persons with disabilities compared with households without such persons.</w:t>
      </w:r>
    </w:p>
    <w:p w:rsidR="004C0035" w:rsidRPr="004C0035" w:rsidRDefault="004C0035" w:rsidP="004C0035">
      <w:pPr>
        <w:spacing w:after="0" w:line="360" w:lineRule="auto"/>
        <w:ind w:firstLine="709"/>
        <w:jc w:val="both"/>
        <w:rPr>
          <w:rFonts w:ascii="Arial" w:hAnsi="Arial" w:cs="Arial"/>
        </w:rPr>
      </w:pPr>
      <w:r>
        <w:rPr>
          <w:rFonts w:ascii="Arial" w:hAnsi="Arial"/>
        </w:rPr>
        <w:t>The difference between the indicators calculated in line with the minimum subsistence threshold for both groups has been on the rise since 2009. In 2009, the extreme poverty rate for households with at least one person with disabilities (7.6%) was higher tan the poverty rate for households without such persons (5.1%) by 2.5 p.p., and in 2013 the same difference was twice as high and increased to 4.4 (from 10.8% to 6.4%). The increase of that difference was related to a faster increase of extreme poverty in the families with at least one person with disabilities compared with families without such persons.</w:t>
      </w:r>
    </w:p>
    <w:p w:rsidR="00D77434" w:rsidRPr="00D77434" w:rsidRDefault="00D77434" w:rsidP="00D77434">
      <w:pPr>
        <w:spacing w:after="0" w:line="360" w:lineRule="auto"/>
        <w:ind w:firstLine="709"/>
        <w:jc w:val="both"/>
        <w:rPr>
          <w:rFonts w:ascii="Arial" w:hAnsi="Arial" w:cs="Arial"/>
        </w:rPr>
      </w:pPr>
      <w:r>
        <w:rPr>
          <w:rFonts w:ascii="Arial" w:hAnsi="Arial"/>
        </w:rPr>
        <w:t xml:space="preserve">The analysis of statistical indicators clearly shows that </w:t>
      </w:r>
      <w:r>
        <w:rPr>
          <w:rFonts w:ascii="Arial" w:hAnsi="Arial"/>
          <w:b/>
        </w:rPr>
        <w:t>households run by persons with disabilities or with persons with disabilities are at higher risk of worse living conditions, extreme poverty and material deprivation.</w:t>
      </w:r>
      <w:r>
        <w:rPr>
          <w:rFonts w:ascii="Arial" w:hAnsi="Arial"/>
        </w:rPr>
        <w:t xml:space="preserve"> Thus, the social security system does not compensate for the factors that make persons with disabilities more vulnerable to extreme poverty and material deprivation with respect to basic needs.</w:t>
      </w:r>
    </w:p>
    <w:p w:rsidR="00127E36" w:rsidRPr="00127E36" w:rsidRDefault="00127E36" w:rsidP="00127E36">
      <w:pPr>
        <w:pStyle w:val="Akapitzlist"/>
        <w:spacing w:after="0" w:line="360" w:lineRule="auto"/>
        <w:ind w:left="284"/>
        <w:jc w:val="both"/>
        <w:rPr>
          <w:rFonts w:ascii="Arial" w:hAnsi="Arial" w:cs="Arial"/>
          <w:sz w:val="16"/>
          <w:szCs w:val="16"/>
        </w:rPr>
      </w:pPr>
    </w:p>
    <w:p w:rsidR="006317A2" w:rsidRPr="00AE7D83" w:rsidRDefault="00454060" w:rsidP="00454060">
      <w:pPr>
        <w:pStyle w:val="Akapitzlist"/>
        <w:spacing w:after="0" w:line="360" w:lineRule="auto"/>
        <w:ind w:left="0"/>
        <w:rPr>
          <w:rFonts w:ascii="Arial" w:hAnsi="Arial" w:cs="Arial"/>
          <w:b/>
          <w:bCs/>
          <w:color w:val="A51F7F"/>
        </w:rPr>
      </w:pPr>
      <w:r>
        <w:rPr>
          <w:rFonts w:ascii="Arial" w:hAnsi="Arial"/>
          <w:b/>
          <w:color w:val="A51F7F"/>
        </w:rPr>
        <w:t>Article 29 – Participation in political and public life</w:t>
      </w:r>
    </w:p>
    <w:p w:rsidR="0041769A" w:rsidRPr="00127E36" w:rsidRDefault="0041769A" w:rsidP="0041769A">
      <w:pPr>
        <w:pStyle w:val="Akapitzlist"/>
        <w:spacing w:after="0" w:line="360" w:lineRule="auto"/>
        <w:ind w:left="284"/>
        <w:jc w:val="both"/>
        <w:rPr>
          <w:rFonts w:ascii="Arial" w:hAnsi="Arial" w:cs="Arial"/>
          <w:sz w:val="16"/>
          <w:szCs w:val="16"/>
        </w:rPr>
      </w:pPr>
    </w:p>
    <w:p w:rsidR="001539AF" w:rsidRDefault="001539AF" w:rsidP="001539AF">
      <w:pPr>
        <w:spacing w:after="0" w:line="360" w:lineRule="auto"/>
        <w:ind w:firstLine="709"/>
        <w:contextualSpacing/>
        <w:jc w:val="both"/>
        <w:rPr>
          <w:rFonts w:ascii="Arial" w:hAnsi="Arial" w:cs="Arial"/>
        </w:rPr>
      </w:pPr>
      <w:r>
        <w:rPr>
          <w:rFonts w:ascii="Arial" w:hAnsi="Arial"/>
        </w:rPr>
        <w:t xml:space="preserve">In line with the provisions of the Polish Election Code, persons with significant or medium degree of disability may use alternative forms of voting in the form of </w:t>
      </w:r>
      <w:r>
        <w:rPr>
          <w:rFonts w:ascii="Arial" w:hAnsi="Arial"/>
          <w:b/>
        </w:rPr>
        <w:t>voting via a proxy and correspondence voting</w:t>
      </w:r>
      <w:r>
        <w:rPr>
          <w:rFonts w:ascii="Arial" w:hAnsi="Arial"/>
        </w:rPr>
        <w:t xml:space="preserve">. Election Code also introduced the possibility, addressed to blind persons, of voting using </w:t>
      </w:r>
      <w:r>
        <w:rPr>
          <w:rFonts w:ascii="Arial" w:hAnsi="Arial"/>
          <w:b/>
        </w:rPr>
        <w:t>special covers made in Braille placed on voting cards</w:t>
      </w:r>
      <w:r>
        <w:rPr>
          <w:rFonts w:ascii="Arial" w:hAnsi="Arial"/>
        </w:rPr>
        <w:t xml:space="preserve">. Gradually, </w:t>
      </w:r>
      <w:r>
        <w:rPr>
          <w:rFonts w:ascii="Arial" w:hAnsi="Arial"/>
          <w:b/>
        </w:rPr>
        <w:t>the required number of polling places adapted to the needs of persons with disabilities is increasing.</w:t>
      </w:r>
    </w:p>
    <w:p w:rsidR="001539AF" w:rsidRDefault="001539AF" w:rsidP="001539AF">
      <w:pPr>
        <w:spacing w:after="0" w:line="360" w:lineRule="auto"/>
        <w:ind w:firstLine="709"/>
        <w:contextualSpacing/>
        <w:jc w:val="both"/>
        <w:rPr>
          <w:rFonts w:ascii="Arial" w:hAnsi="Arial" w:cs="Arial"/>
        </w:rPr>
      </w:pPr>
      <w:r>
        <w:rPr>
          <w:rFonts w:ascii="Arial" w:hAnsi="Arial"/>
        </w:rPr>
        <w:t xml:space="preserve">Despite introducing mechanisms to adapt election procedures to the needs of persons with disabilities and to impose informative obligations, the level of knowledge on </w:t>
      </w:r>
      <w:r>
        <w:rPr>
          <w:rFonts w:ascii="Arial" w:hAnsi="Arial"/>
        </w:rPr>
        <w:lastRenderedPageBreak/>
        <w:t xml:space="preserve">alternative forms of voting among eligible persons is very low. As a result, </w:t>
      </w:r>
      <w:r>
        <w:rPr>
          <w:rFonts w:ascii="Arial" w:hAnsi="Arial"/>
          <w:b/>
        </w:rPr>
        <w:t>only a small percentage of eligible persons uses alternative forms of voting.</w:t>
      </w:r>
    </w:p>
    <w:p w:rsidR="001539AF" w:rsidRPr="001539AF" w:rsidRDefault="001539AF" w:rsidP="001539AF">
      <w:pPr>
        <w:spacing w:after="0" w:line="360" w:lineRule="auto"/>
        <w:ind w:firstLine="709"/>
        <w:contextualSpacing/>
        <w:jc w:val="both"/>
        <w:rPr>
          <w:rFonts w:ascii="Arial" w:hAnsi="Arial" w:cs="Arial"/>
        </w:rPr>
      </w:pPr>
      <w:r>
        <w:rPr>
          <w:rFonts w:ascii="Arial" w:hAnsi="Arial"/>
        </w:rPr>
        <w:t xml:space="preserve">One of the most important problems with respect to participation of persons with disabilities in political and public life still takes the form of the legal status of persons legally incapacitated. After the assessment on legal disability status becomes binding, </w:t>
      </w:r>
      <w:r>
        <w:rPr>
          <w:rFonts w:ascii="Arial" w:hAnsi="Arial"/>
          <w:b/>
        </w:rPr>
        <w:t>such persons are automatically deleted from the register of voters and cannot stand in election.</w:t>
      </w:r>
      <w:r>
        <w:rPr>
          <w:rFonts w:ascii="Arial" w:hAnsi="Arial"/>
        </w:rPr>
        <w:t xml:space="preserve"> Moreover, </w:t>
      </w:r>
      <w:r>
        <w:rPr>
          <w:rFonts w:ascii="Arial" w:hAnsi="Arial"/>
          <w:b/>
        </w:rPr>
        <w:t>legally incapacitated persons may not found an association nor be members of one, they also may not organise public assemblies</w:t>
      </w:r>
      <w:r>
        <w:rPr>
          <w:rFonts w:ascii="Arial" w:hAnsi="Arial"/>
        </w:rPr>
        <w:t xml:space="preserve"> (though they may participate in them). According to the Ombudsman, these solutions are inconsistent with Article 29 of CRPD. </w:t>
      </w:r>
    </w:p>
    <w:p w:rsidR="00454060" w:rsidRPr="00127E36" w:rsidRDefault="00454060" w:rsidP="002F7AE3">
      <w:pPr>
        <w:pStyle w:val="Akapitzlist"/>
        <w:spacing w:after="0" w:line="360" w:lineRule="auto"/>
        <w:ind w:left="284"/>
        <w:jc w:val="both"/>
        <w:rPr>
          <w:rFonts w:ascii="Arial" w:hAnsi="Arial" w:cs="Arial"/>
          <w:sz w:val="16"/>
          <w:szCs w:val="16"/>
        </w:rPr>
      </w:pPr>
    </w:p>
    <w:p w:rsidR="00FD1FB7" w:rsidRPr="00AE7D83" w:rsidRDefault="006317A2" w:rsidP="002F7AE3">
      <w:pPr>
        <w:pStyle w:val="Akapitzlist"/>
        <w:spacing w:after="0" w:line="360" w:lineRule="auto"/>
        <w:ind w:left="0"/>
        <w:jc w:val="both"/>
        <w:rPr>
          <w:rFonts w:ascii="Arial" w:hAnsi="Arial" w:cs="Arial"/>
          <w:b/>
          <w:bCs/>
          <w:color w:val="A51F7F"/>
        </w:rPr>
      </w:pPr>
      <w:r>
        <w:rPr>
          <w:rFonts w:ascii="Arial" w:hAnsi="Arial"/>
          <w:b/>
          <w:color w:val="A51F7F"/>
        </w:rPr>
        <w:t>Article 30 – Participation in cultural life, recreation, leisure and sport</w:t>
      </w:r>
    </w:p>
    <w:p w:rsidR="002F7AE3" w:rsidRPr="007D344D" w:rsidRDefault="002F7AE3" w:rsidP="002F7AE3">
      <w:pPr>
        <w:spacing w:after="0" w:line="360" w:lineRule="auto"/>
        <w:ind w:firstLine="709"/>
        <w:jc w:val="both"/>
        <w:rPr>
          <w:rFonts w:ascii="Arial" w:hAnsi="Arial" w:cs="Arial"/>
          <w:bCs/>
          <w:sz w:val="16"/>
          <w:szCs w:val="16"/>
        </w:rPr>
      </w:pPr>
    </w:p>
    <w:p w:rsidR="007D1CA2" w:rsidRDefault="002F7AE3" w:rsidP="007D344D">
      <w:pPr>
        <w:spacing w:after="0" w:line="360" w:lineRule="auto"/>
        <w:ind w:firstLine="709"/>
        <w:jc w:val="both"/>
        <w:rPr>
          <w:rFonts w:ascii="Arial" w:hAnsi="Arial"/>
        </w:rPr>
      </w:pPr>
      <w:r>
        <w:rPr>
          <w:rFonts w:ascii="Arial" w:hAnsi="Arial"/>
        </w:rPr>
        <w:t xml:space="preserve">In line with Article 18a of the Act on radio and television, television programme broadcasters are obliged to </w:t>
      </w:r>
      <w:r>
        <w:rPr>
          <w:rFonts w:ascii="Arial" w:hAnsi="Arial"/>
          <w:b/>
        </w:rPr>
        <w:t xml:space="preserve">ensure accessibility of programmes to persons with disabilities </w:t>
      </w:r>
      <w:r>
        <w:rPr>
          <w:rFonts w:ascii="Arial" w:hAnsi="Arial"/>
        </w:rPr>
        <w:t>on the grounds of dysfunctions to sight and hearing by introducing relevant facilitations: audio description, subtitles for deaf persons and interpretations into sign language, so that at least 10% of the broadcasting time per q</w:t>
      </w:r>
      <w:r w:rsidR="000A20A5">
        <w:rPr>
          <w:rFonts w:ascii="Arial" w:hAnsi="Arial"/>
        </w:rPr>
        <w:t xml:space="preserve">uarter were accompanied by such </w:t>
      </w:r>
      <w:r>
        <w:rPr>
          <w:rFonts w:ascii="Arial" w:hAnsi="Arial"/>
        </w:rPr>
        <w:t xml:space="preserve">facilitations. </w:t>
      </w:r>
    </w:p>
    <w:p w:rsidR="002F7AE3" w:rsidRDefault="002F7AE3" w:rsidP="007D344D">
      <w:pPr>
        <w:spacing w:after="0" w:line="360" w:lineRule="auto"/>
        <w:ind w:firstLine="709"/>
        <w:jc w:val="both"/>
        <w:rPr>
          <w:rFonts w:ascii="Arial" w:hAnsi="Arial" w:cs="Arial"/>
        </w:rPr>
      </w:pPr>
      <w:r>
        <w:rPr>
          <w:rFonts w:ascii="Arial" w:hAnsi="Arial"/>
        </w:rPr>
        <w:t xml:space="preserve">However, due to interpretation doubts, television channels, if they do broadcast facilitated programming, it is not uniform, and it does not ensure accessibility to persons with different types of disabilities. This situation </w:t>
      </w:r>
      <w:r>
        <w:rPr>
          <w:rFonts w:ascii="Arial" w:hAnsi="Arial"/>
          <w:b/>
        </w:rPr>
        <w:t>does not contribute to ensuring as extensive as possible access to the products of culture to persons with disabilities.</w:t>
      </w:r>
    </w:p>
    <w:p w:rsidR="008A22E8" w:rsidRDefault="007D344D" w:rsidP="007D344D">
      <w:pPr>
        <w:spacing w:after="0" w:line="360" w:lineRule="auto"/>
        <w:ind w:firstLine="709"/>
        <w:jc w:val="both"/>
        <w:rPr>
          <w:rFonts w:ascii="Arial" w:hAnsi="Arial" w:cs="Arial"/>
          <w:bCs/>
        </w:rPr>
      </w:pPr>
      <w:r>
        <w:rPr>
          <w:rFonts w:ascii="Arial" w:hAnsi="Arial"/>
        </w:rPr>
        <w:t xml:space="preserve">The </w:t>
      </w:r>
      <w:r>
        <w:rPr>
          <w:rFonts w:ascii="Arial" w:hAnsi="Arial"/>
          <w:b/>
        </w:rPr>
        <w:t xml:space="preserve">provisions of the act on copyright in its current wording do not allow for preparing audio description or interpretation into sign language </w:t>
      </w:r>
      <w:r w:rsidR="008A22E8">
        <w:rPr>
          <w:rFonts w:ascii="Arial" w:hAnsi="Arial"/>
        </w:rPr>
        <w:t>without the consent of the copyright owner.</w:t>
      </w:r>
    </w:p>
    <w:p w:rsidR="007D344D" w:rsidRPr="007D344D" w:rsidRDefault="007D344D" w:rsidP="007D344D">
      <w:pPr>
        <w:spacing w:after="0" w:line="360" w:lineRule="auto"/>
        <w:ind w:firstLine="709"/>
        <w:jc w:val="both"/>
        <w:rPr>
          <w:rFonts w:ascii="Arial" w:hAnsi="Arial" w:cs="Arial"/>
          <w:bCs/>
        </w:rPr>
      </w:pPr>
      <w:r>
        <w:rPr>
          <w:rFonts w:ascii="Arial" w:hAnsi="Arial"/>
        </w:rPr>
        <w:t>This is because such activities result in creating a related work, which is used for commercial purposes (e.g. by television channels). It c</w:t>
      </w:r>
      <w:r w:rsidR="007D1CA2">
        <w:rPr>
          <w:rFonts w:ascii="Arial" w:hAnsi="Arial"/>
        </w:rPr>
        <w:t>onstitutes a serious barrier in </w:t>
      </w:r>
      <w:r>
        <w:rPr>
          <w:rFonts w:ascii="Arial" w:hAnsi="Arial"/>
        </w:rPr>
        <w:t>realisation of the rights of persons with disabilities.</w:t>
      </w:r>
    </w:p>
    <w:p w:rsidR="00127E36" w:rsidRDefault="00127E36" w:rsidP="00627830">
      <w:pPr>
        <w:pStyle w:val="Akapitzlist"/>
        <w:spacing w:after="0" w:line="360" w:lineRule="auto"/>
        <w:ind w:left="0"/>
        <w:jc w:val="both"/>
        <w:rPr>
          <w:rFonts w:ascii="Arial" w:hAnsi="Arial" w:cs="Arial"/>
          <w:b/>
          <w:bCs/>
          <w:sz w:val="16"/>
          <w:szCs w:val="16"/>
        </w:rPr>
      </w:pPr>
    </w:p>
    <w:p w:rsidR="00127E36" w:rsidRDefault="00127E36">
      <w:pPr>
        <w:rPr>
          <w:rFonts w:ascii="Arial" w:hAnsi="Arial" w:cs="Arial"/>
          <w:b/>
          <w:bCs/>
          <w:sz w:val="16"/>
          <w:szCs w:val="16"/>
        </w:rPr>
      </w:pPr>
      <w:r>
        <w:rPr>
          <w:rFonts w:ascii="Arial" w:hAnsi="Arial" w:cs="Arial"/>
          <w:b/>
          <w:bCs/>
          <w:sz w:val="16"/>
          <w:szCs w:val="16"/>
        </w:rPr>
        <w:br w:type="page"/>
      </w:r>
    </w:p>
    <w:p w:rsidR="007918AD" w:rsidRDefault="00627830" w:rsidP="007918AD">
      <w:pPr>
        <w:pStyle w:val="Akapitzlist"/>
        <w:numPr>
          <w:ilvl w:val="0"/>
          <w:numId w:val="1"/>
        </w:numPr>
        <w:spacing w:after="0" w:line="360" w:lineRule="auto"/>
        <w:ind w:left="284" w:hanging="284"/>
        <w:jc w:val="both"/>
        <w:rPr>
          <w:rFonts w:ascii="Arial" w:hAnsi="Arial" w:cs="Arial"/>
          <w:b/>
          <w:bCs/>
          <w:color w:val="A51F7F"/>
          <w:sz w:val="24"/>
          <w:szCs w:val="24"/>
        </w:rPr>
      </w:pPr>
      <w:r>
        <w:rPr>
          <w:rFonts w:ascii="Arial" w:hAnsi="Arial"/>
          <w:b/>
          <w:color w:val="A51F7F"/>
          <w:sz w:val="24"/>
        </w:rPr>
        <w:lastRenderedPageBreak/>
        <w:t>Information on the consultation procedure and the involvement of civic society in the process of drawing up the report of HRD</w:t>
      </w:r>
    </w:p>
    <w:p w:rsidR="007918AD" w:rsidRPr="00127E36" w:rsidRDefault="007918AD" w:rsidP="007918AD">
      <w:pPr>
        <w:pStyle w:val="Akapitzlist"/>
        <w:spacing w:after="0" w:line="360" w:lineRule="auto"/>
        <w:ind w:left="1080"/>
        <w:jc w:val="both"/>
        <w:rPr>
          <w:rFonts w:ascii="Arial" w:hAnsi="Arial" w:cs="Arial"/>
          <w:b/>
          <w:bCs/>
          <w:sz w:val="16"/>
          <w:szCs w:val="16"/>
        </w:rPr>
      </w:pPr>
    </w:p>
    <w:p w:rsidR="00627830" w:rsidRPr="00627830" w:rsidRDefault="00627830" w:rsidP="00627830">
      <w:pPr>
        <w:spacing w:after="0" w:line="360" w:lineRule="auto"/>
        <w:ind w:firstLine="567"/>
        <w:jc w:val="both"/>
        <w:rPr>
          <w:rFonts w:ascii="Arial" w:hAnsi="Arial" w:cs="Arial"/>
        </w:rPr>
      </w:pPr>
      <w:r>
        <w:rPr>
          <w:rFonts w:ascii="Arial" w:hAnsi="Arial"/>
        </w:rPr>
        <w:t>The concept, the structure and the contents of the Report of the Ombudsman were drawn up following consultations with the permanent Expert Committee for Persons with Disabilities functioning at the Human Rights Defender’s Office. The Committee is comprised of the representatives of the science community and NGOs involved in protecting the rights of persons with disabilities, including the persons with disabilities themselves.</w:t>
      </w:r>
    </w:p>
    <w:p w:rsidR="00627830" w:rsidRPr="00627830" w:rsidRDefault="00627830" w:rsidP="00627830">
      <w:pPr>
        <w:spacing w:after="0" w:line="360" w:lineRule="auto"/>
        <w:ind w:firstLine="567"/>
        <w:jc w:val="both"/>
        <w:rPr>
          <w:rFonts w:ascii="Arial" w:hAnsi="Arial" w:cs="Arial"/>
        </w:rPr>
      </w:pPr>
      <w:r>
        <w:rPr>
          <w:rFonts w:ascii="Arial" w:hAnsi="Arial"/>
        </w:rPr>
        <w:t xml:space="preserve">The report was also subjected to extensive social consultations. The consultations took place within regional meetings attended by persons with disabilities, their guardians, representatives of NGOs acting for the benefit of persons with disabilities, as well as employees of public institutions dealing with disability topics. Consultation meetings took place in four Polish cities (Gdańsk, Katowice, Warsaw, Wrocław). There were 14 meetings in total, attended by 140 persons. All meetings were open and available to persons with any type of disability. Additional meetings were also organised for persons with mental disabilities and for deaf persons. The draft summary of the Report was interpreted into sign language and was available to all participants of the consultation meetings. </w:t>
      </w:r>
    </w:p>
    <w:p w:rsidR="00627830" w:rsidRPr="00627830" w:rsidRDefault="00627830" w:rsidP="00627830">
      <w:pPr>
        <w:spacing w:after="0" w:line="360" w:lineRule="auto"/>
        <w:ind w:firstLine="567"/>
        <w:jc w:val="both"/>
        <w:rPr>
          <w:rFonts w:ascii="Arial" w:hAnsi="Arial" w:cs="Arial"/>
        </w:rPr>
      </w:pPr>
      <w:r>
        <w:rPr>
          <w:rFonts w:ascii="Arial" w:hAnsi="Arial"/>
        </w:rPr>
        <w:t>At the same time, consultations were held using an on-line questionnaire prepared in line with the guidelines of WCAG 2.0 and subjected to the acces</w:t>
      </w:r>
      <w:r w:rsidR="007D1CA2">
        <w:rPr>
          <w:rFonts w:ascii="Arial" w:hAnsi="Arial"/>
        </w:rPr>
        <w:t>sibility audit. In this way, 45 </w:t>
      </w:r>
      <w:r>
        <w:rPr>
          <w:rFonts w:ascii="Arial" w:hAnsi="Arial"/>
        </w:rPr>
        <w:t>additional opinions and comments were obtained regarding the contents of the Ombudsman’s Report.</w:t>
      </w:r>
    </w:p>
    <w:p w:rsidR="00627830" w:rsidRPr="00627830" w:rsidRDefault="00627830" w:rsidP="00627830">
      <w:pPr>
        <w:spacing w:after="0" w:line="360" w:lineRule="auto"/>
        <w:ind w:firstLine="567"/>
        <w:jc w:val="both"/>
        <w:rPr>
          <w:rFonts w:ascii="Arial" w:hAnsi="Arial" w:cs="Arial"/>
        </w:rPr>
      </w:pPr>
      <w:r>
        <w:rPr>
          <w:rFonts w:ascii="Arial" w:hAnsi="Arial"/>
        </w:rPr>
        <w:t>The final version of the Report is available in the Polish Sign Language.</w:t>
      </w:r>
    </w:p>
    <w:p w:rsidR="006317A2" w:rsidRPr="00FD1FB7" w:rsidRDefault="006317A2" w:rsidP="00FD1FB7">
      <w:pPr>
        <w:tabs>
          <w:tab w:val="left" w:pos="1409"/>
        </w:tabs>
      </w:pPr>
    </w:p>
    <w:sectPr w:rsidR="006317A2" w:rsidRPr="00FD1FB7" w:rsidSect="00012023">
      <w:headerReference w:type="default" r:id="rId11"/>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9A7" w:rsidRDefault="00F149A7" w:rsidP="00DF331F">
      <w:pPr>
        <w:spacing w:after="0" w:line="240" w:lineRule="auto"/>
      </w:pPr>
      <w:r>
        <w:separator/>
      </w:r>
    </w:p>
  </w:endnote>
  <w:endnote w:type="continuationSeparator" w:id="0">
    <w:p w:rsidR="00F149A7" w:rsidRDefault="00F149A7" w:rsidP="00DF3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4632481"/>
      <w:docPartObj>
        <w:docPartGallery w:val="Page Numbers (Bottom of Page)"/>
        <w:docPartUnique/>
      </w:docPartObj>
    </w:sdtPr>
    <w:sdtEndPr/>
    <w:sdtContent>
      <w:p w:rsidR="00AE5886" w:rsidRDefault="00AE5886">
        <w:pPr>
          <w:pStyle w:val="Stopka"/>
          <w:jc w:val="center"/>
        </w:pPr>
        <w:r>
          <w:fldChar w:fldCharType="begin"/>
        </w:r>
        <w:r>
          <w:instrText>PAGE   \* MERGEFORMAT</w:instrText>
        </w:r>
        <w:r>
          <w:fldChar w:fldCharType="separate"/>
        </w:r>
        <w:r w:rsidR="007E3888">
          <w:rPr>
            <w:noProof/>
          </w:rPr>
          <w:t>16</w:t>
        </w:r>
        <w:r>
          <w:fldChar w:fldCharType="end"/>
        </w:r>
      </w:p>
    </w:sdtContent>
  </w:sdt>
  <w:p w:rsidR="00AE5886" w:rsidRDefault="00AE588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9A7" w:rsidRDefault="00F149A7" w:rsidP="00DF331F">
      <w:pPr>
        <w:spacing w:after="0" w:line="240" w:lineRule="auto"/>
      </w:pPr>
      <w:r>
        <w:separator/>
      </w:r>
    </w:p>
  </w:footnote>
  <w:footnote w:type="continuationSeparator" w:id="0">
    <w:p w:rsidR="00F149A7" w:rsidRDefault="00F149A7" w:rsidP="00DF33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A41" w:rsidRPr="00E05EF5" w:rsidRDefault="00A651E3" w:rsidP="009067ED">
    <w:pPr>
      <w:pStyle w:val="Nagwek"/>
      <w:tabs>
        <w:tab w:val="clear" w:pos="4536"/>
        <w:tab w:val="clear" w:pos="9072"/>
      </w:tabs>
      <w:ind w:right="1701"/>
      <w:jc w:val="right"/>
      <w:rPr>
        <w:rFonts w:ascii="Arial" w:hAnsi="Arial" w:cs="Arial"/>
        <w:sz w:val="18"/>
        <w:szCs w:val="18"/>
      </w:rPr>
    </w:pPr>
    <w:r>
      <w:rPr>
        <w:rFonts w:ascii="Arial" w:hAnsi="Arial"/>
        <w:noProof/>
        <w:sz w:val="16"/>
        <w:lang w:val="pl-PL" w:eastAsia="pl-PL" w:bidi="ar-SA"/>
      </w:rPr>
      <w:drawing>
        <wp:anchor distT="0" distB="0" distL="114300" distR="114300" simplePos="0" relativeHeight="251658240" behindDoc="0" locked="0" layoutInCell="1" allowOverlap="1" wp14:anchorId="7BC7F9BA" wp14:editId="41C44D94">
          <wp:simplePos x="0" y="0"/>
          <wp:positionH relativeFrom="column">
            <wp:posOffset>4761230</wp:posOffset>
          </wp:positionH>
          <wp:positionV relativeFrom="paragraph">
            <wp:posOffset>-36830</wp:posOffset>
          </wp:positionV>
          <wp:extent cx="986790" cy="396875"/>
          <wp:effectExtent l="0" t="0" r="3810" b="3175"/>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4"/>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98679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5886">
      <w:rPr>
        <w:rFonts w:ascii="Arial" w:hAnsi="Arial"/>
        <w:b/>
        <w:sz w:val="18"/>
      </w:rPr>
      <w:t>SUMMARY</w:t>
    </w:r>
  </w:p>
  <w:p w:rsidR="00AE5886" w:rsidRPr="00E05EF5" w:rsidRDefault="00440A41" w:rsidP="009067ED">
    <w:pPr>
      <w:pStyle w:val="Nagwek"/>
      <w:tabs>
        <w:tab w:val="clear" w:pos="4536"/>
        <w:tab w:val="clear" w:pos="9072"/>
      </w:tabs>
      <w:ind w:right="1701"/>
      <w:jc w:val="right"/>
      <w:rPr>
        <w:rFonts w:ascii="Arial" w:hAnsi="Arial" w:cs="Arial"/>
        <w:sz w:val="16"/>
        <w:szCs w:val="16"/>
      </w:rPr>
    </w:pPr>
    <w:r>
      <w:rPr>
        <w:rFonts w:ascii="Arial" w:hAnsi="Arial"/>
        <w:sz w:val="16"/>
      </w:rPr>
      <w:t>of the Report of the Human Rights Defender</w:t>
    </w:r>
  </w:p>
  <w:p w:rsidR="00127E36" w:rsidRPr="00A651E3" w:rsidRDefault="00DB365D" w:rsidP="009067ED">
    <w:pPr>
      <w:pStyle w:val="Nagwek"/>
      <w:tabs>
        <w:tab w:val="clear" w:pos="4536"/>
        <w:tab w:val="clear" w:pos="9072"/>
      </w:tabs>
      <w:spacing w:after="240"/>
      <w:ind w:right="1701"/>
      <w:jc w:val="right"/>
      <w:rPr>
        <w:rFonts w:ascii="Arial" w:hAnsi="Arial" w:cs="Arial"/>
        <w:sz w:val="16"/>
        <w:szCs w:val="16"/>
      </w:rPr>
    </w:pPr>
    <w:r>
      <w:rPr>
        <w:rFonts w:ascii="Arial" w:hAnsi="Arial"/>
        <w:sz w:val="16"/>
      </w:rPr>
      <w:t>on the implementation of the Convention on the Rights of Persons with Disabilities by Poland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7A06"/>
    <w:multiLevelType w:val="hybridMultilevel"/>
    <w:tmpl w:val="35EAA5FE"/>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6816A5"/>
    <w:multiLevelType w:val="hybridMultilevel"/>
    <w:tmpl w:val="F5BE0D60"/>
    <w:lvl w:ilvl="0" w:tplc="FA94CD5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074A61FD"/>
    <w:multiLevelType w:val="hybridMultilevel"/>
    <w:tmpl w:val="A40E5E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C65319E"/>
    <w:multiLevelType w:val="hybridMultilevel"/>
    <w:tmpl w:val="507E69C0"/>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200BFC"/>
    <w:multiLevelType w:val="hybridMultilevel"/>
    <w:tmpl w:val="F3E2AA2A"/>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3414DBC"/>
    <w:multiLevelType w:val="hybridMultilevel"/>
    <w:tmpl w:val="E70685EA"/>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40660FB"/>
    <w:multiLevelType w:val="hybridMultilevel"/>
    <w:tmpl w:val="80B88924"/>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4330D5B"/>
    <w:multiLevelType w:val="hybridMultilevel"/>
    <w:tmpl w:val="A2200D3C"/>
    <w:lvl w:ilvl="0" w:tplc="8B5273F2">
      <w:start w:val="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B20810"/>
    <w:multiLevelType w:val="hybridMultilevel"/>
    <w:tmpl w:val="E5FEDAAE"/>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0E398B"/>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1776471F"/>
    <w:multiLevelType w:val="hybridMultilevel"/>
    <w:tmpl w:val="64521144"/>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7FD6F06"/>
    <w:multiLevelType w:val="hybridMultilevel"/>
    <w:tmpl w:val="18329F00"/>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B6356A6"/>
    <w:multiLevelType w:val="hybridMultilevel"/>
    <w:tmpl w:val="E0B4DA06"/>
    <w:lvl w:ilvl="0" w:tplc="FA94CD5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1CA0674A"/>
    <w:multiLevelType w:val="hybridMultilevel"/>
    <w:tmpl w:val="AAEE0500"/>
    <w:lvl w:ilvl="0" w:tplc="FA94CD5E">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
    <w:nsid w:val="1CE108DC"/>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2AFC2F21"/>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2B6E5279"/>
    <w:multiLevelType w:val="hybridMultilevel"/>
    <w:tmpl w:val="56F0B7A8"/>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C395333"/>
    <w:multiLevelType w:val="hybridMultilevel"/>
    <w:tmpl w:val="221604B8"/>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E0D72AC"/>
    <w:multiLevelType w:val="hybridMultilevel"/>
    <w:tmpl w:val="9B245B0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F1C7CA8"/>
    <w:multiLevelType w:val="hybridMultilevel"/>
    <w:tmpl w:val="87508F06"/>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nsid w:val="2F2A19C2"/>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2FC966A9"/>
    <w:multiLevelType w:val="hybridMultilevel"/>
    <w:tmpl w:val="6BE2258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0417113"/>
    <w:multiLevelType w:val="hybridMultilevel"/>
    <w:tmpl w:val="76760C02"/>
    <w:lvl w:ilvl="0" w:tplc="04150015">
      <w:start w:val="2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07C5087"/>
    <w:multiLevelType w:val="hybridMultilevel"/>
    <w:tmpl w:val="1ADCE922"/>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23D133A"/>
    <w:multiLevelType w:val="hybridMultilevel"/>
    <w:tmpl w:val="6162520C"/>
    <w:lvl w:ilvl="0" w:tplc="8B5273F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40303E6"/>
    <w:multiLevelType w:val="hybridMultilevel"/>
    <w:tmpl w:val="64F477DE"/>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525096F"/>
    <w:multiLevelType w:val="hybridMultilevel"/>
    <w:tmpl w:val="4094BE3A"/>
    <w:lvl w:ilvl="0" w:tplc="DC96FC6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9E305F1"/>
    <w:multiLevelType w:val="hybridMultilevel"/>
    <w:tmpl w:val="960EFB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B086F28"/>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3E440528"/>
    <w:multiLevelType w:val="hybridMultilevel"/>
    <w:tmpl w:val="03D8C34E"/>
    <w:lvl w:ilvl="0" w:tplc="FA94CD5E">
      <w:start w:val="1"/>
      <w:numFmt w:val="bullet"/>
      <w:lvlText w:val=""/>
      <w:lvlJc w:val="left"/>
      <w:pPr>
        <w:ind w:left="720" w:hanging="360"/>
      </w:pPr>
      <w:rPr>
        <w:rFonts w:ascii="Symbol" w:hAnsi="Symbol" w:hint="default"/>
      </w:rPr>
    </w:lvl>
    <w:lvl w:ilvl="1" w:tplc="0140482A">
      <w:numFmt w:val="bullet"/>
      <w:lvlText w:val="•"/>
      <w:lvlJc w:val="left"/>
      <w:pPr>
        <w:ind w:left="2025" w:hanging="945"/>
      </w:pPr>
      <w:rPr>
        <w:rFonts w:ascii="Arial" w:eastAsiaTheme="minorHAnsi"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E673993"/>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3EB736A3"/>
    <w:multiLevelType w:val="hybridMultilevel"/>
    <w:tmpl w:val="764016CC"/>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F1F44C3"/>
    <w:multiLevelType w:val="hybridMultilevel"/>
    <w:tmpl w:val="45A07734"/>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43817B5D"/>
    <w:multiLevelType w:val="hybridMultilevel"/>
    <w:tmpl w:val="08F0387A"/>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nsid w:val="461B39A0"/>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49AB6636"/>
    <w:multiLevelType w:val="hybridMultilevel"/>
    <w:tmpl w:val="D57C80B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A417728"/>
    <w:multiLevelType w:val="hybridMultilevel"/>
    <w:tmpl w:val="17265FB0"/>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501328D5"/>
    <w:multiLevelType w:val="hybridMultilevel"/>
    <w:tmpl w:val="4A76EAA6"/>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525372B4"/>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52D5081C"/>
    <w:multiLevelType w:val="hybridMultilevel"/>
    <w:tmpl w:val="752EE18C"/>
    <w:lvl w:ilvl="0" w:tplc="781EB9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34016D0"/>
    <w:multiLevelType w:val="hybridMultilevel"/>
    <w:tmpl w:val="5B56854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nsid w:val="59706F46"/>
    <w:multiLevelType w:val="hybridMultilevel"/>
    <w:tmpl w:val="2EE2DE7A"/>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5D2A5048"/>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5D640D66"/>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nsid w:val="5F4D483C"/>
    <w:multiLevelType w:val="hybridMultilevel"/>
    <w:tmpl w:val="6C9622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8CB13E3"/>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nsid w:val="6A1E606C"/>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nsid w:val="6A3E0FF2"/>
    <w:multiLevelType w:val="hybridMultilevel"/>
    <w:tmpl w:val="BA1C5680"/>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6AB1657C"/>
    <w:multiLevelType w:val="hybridMultilevel"/>
    <w:tmpl w:val="23781E50"/>
    <w:lvl w:ilvl="0" w:tplc="FA94CD5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6F8C1912"/>
    <w:multiLevelType w:val="hybridMultilevel"/>
    <w:tmpl w:val="ED986586"/>
    <w:lvl w:ilvl="0" w:tplc="FA94CD5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71B333BC"/>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nsid w:val="71B74905"/>
    <w:multiLevelType w:val="hybridMultilevel"/>
    <w:tmpl w:val="21366EBE"/>
    <w:lvl w:ilvl="0" w:tplc="6248CBD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1DD0171"/>
    <w:multiLevelType w:val="hybridMultilevel"/>
    <w:tmpl w:val="D4C066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35F4971"/>
    <w:multiLevelType w:val="hybridMultilevel"/>
    <w:tmpl w:val="53C05554"/>
    <w:lvl w:ilvl="0" w:tplc="781EB9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760162A5"/>
    <w:multiLevelType w:val="hybridMultilevel"/>
    <w:tmpl w:val="3AD8BD16"/>
    <w:lvl w:ilvl="0" w:tplc="FA94CD5E">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77CC162F"/>
    <w:multiLevelType w:val="hybridMultilevel"/>
    <w:tmpl w:val="8C7A95F8"/>
    <w:lvl w:ilvl="0" w:tplc="DC96F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7FDB4F28"/>
    <w:multiLevelType w:val="hybridMultilevel"/>
    <w:tmpl w:val="3322105C"/>
    <w:lvl w:ilvl="0" w:tplc="404CFC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24"/>
  </w:num>
  <w:num w:numId="2">
    <w:abstractNumId w:val="30"/>
  </w:num>
  <w:num w:numId="3">
    <w:abstractNumId w:val="38"/>
  </w:num>
  <w:num w:numId="4">
    <w:abstractNumId w:val="20"/>
  </w:num>
  <w:num w:numId="5">
    <w:abstractNumId w:val="34"/>
  </w:num>
  <w:num w:numId="6">
    <w:abstractNumId w:val="40"/>
  </w:num>
  <w:num w:numId="7">
    <w:abstractNumId w:val="46"/>
  </w:num>
  <w:num w:numId="8">
    <w:abstractNumId w:val="50"/>
  </w:num>
  <w:num w:numId="9">
    <w:abstractNumId w:val="14"/>
  </w:num>
  <w:num w:numId="10">
    <w:abstractNumId w:val="15"/>
  </w:num>
  <w:num w:numId="11">
    <w:abstractNumId w:val="28"/>
  </w:num>
  <w:num w:numId="12">
    <w:abstractNumId w:val="42"/>
  </w:num>
  <w:num w:numId="13">
    <w:abstractNumId w:val="43"/>
  </w:num>
  <w:num w:numId="14">
    <w:abstractNumId w:val="9"/>
  </w:num>
  <w:num w:numId="15">
    <w:abstractNumId w:val="19"/>
  </w:num>
  <w:num w:numId="16">
    <w:abstractNumId w:val="56"/>
  </w:num>
  <w:num w:numId="17">
    <w:abstractNumId w:val="45"/>
  </w:num>
  <w:num w:numId="18">
    <w:abstractNumId w:val="54"/>
  </w:num>
  <w:num w:numId="19">
    <w:abstractNumId w:val="52"/>
  </w:num>
  <w:num w:numId="20">
    <w:abstractNumId w:val="44"/>
  </w:num>
  <w:num w:numId="21">
    <w:abstractNumId w:val="22"/>
  </w:num>
  <w:num w:numId="22">
    <w:abstractNumId w:val="7"/>
  </w:num>
  <w:num w:numId="23">
    <w:abstractNumId w:val="27"/>
  </w:num>
  <w:num w:numId="24">
    <w:abstractNumId w:val="39"/>
  </w:num>
  <w:num w:numId="25">
    <w:abstractNumId w:val="53"/>
  </w:num>
  <w:num w:numId="26">
    <w:abstractNumId w:val="2"/>
  </w:num>
  <w:num w:numId="27">
    <w:abstractNumId w:val="23"/>
  </w:num>
  <w:num w:numId="28">
    <w:abstractNumId w:val="31"/>
  </w:num>
  <w:num w:numId="29">
    <w:abstractNumId w:val="29"/>
  </w:num>
  <w:num w:numId="30">
    <w:abstractNumId w:val="12"/>
  </w:num>
  <w:num w:numId="31">
    <w:abstractNumId w:val="32"/>
  </w:num>
  <w:num w:numId="32">
    <w:abstractNumId w:val="0"/>
  </w:num>
  <w:num w:numId="33">
    <w:abstractNumId w:val="33"/>
  </w:num>
  <w:num w:numId="34">
    <w:abstractNumId w:val="47"/>
  </w:num>
  <w:num w:numId="35">
    <w:abstractNumId w:val="11"/>
  </w:num>
  <w:num w:numId="36">
    <w:abstractNumId w:val="1"/>
  </w:num>
  <w:num w:numId="37">
    <w:abstractNumId w:val="51"/>
  </w:num>
  <w:num w:numId="38">
    <w:abstractNumId w:val="13"/>
  </w:num>
  <w:num w:numId="39">
    <w:abstractNumId w:val="36"/>
  </w:num>
  <w:num w:numId="40">
    <w:abstractNumId w:val="17"/>
  </w:num>
  <w:num w:numId="41">
    <w:abstractNumId w:val="8"/>
  </w:num>
  <w:num w:numId="42">
    <w:abstractNumId w:val="6"/>
  </w:num>
  <w:num w:numId="43">
    <w:abstractNumId w:val="4"/>
  </w:num>
  <w:num w:numId="44">
    <w:abstractNumId w:val="18"/>
  </w:num>
  <w:num w:numId="45">
    <w:abstractNumId w:val="48"/>
  </w:num>
  <w:num w:numId="46">
    <w:abstractNumId w:val="49"/>
  </w:num>
  <w:num w:numId="47">
    <w:abstractNumId w:val="5"/>
  </w:num>
  <w:num w:numId="48">
    <w:abstractNumId w:val="21"/>
  </w:num>
  <w:num w:numId="49">
    <w:abstractNumId w:val="55"/>
  </w:num>
  <w:num w:numId="50">
    <w:abstractNumId w:val="41"/>
  </w:num>
  <w:num w:numId="51">
    <w:abstractNumId w:val="10"/>
  </w:num>
  <w:num w:numId="52">
    <w:abstractNumId w:val="25"/>
  </w:num>
  <w:num w:numId="53">
    <w:abstractNumId w:val="16"/>
  </w:num>
  <w:num w:numId="54">
    <w:abstractNumId w:val="37"/>
  </w:num>
  <w:num w:numId="55">
    <w:abstractNumId w:val="3"/>
  </w:num>
  <w:num w:numId="56">
    <w:abstractNumId w:val="26"/>
  </w:num>
  <w:num w:numId="57">
    <w:abstractNumId w:val="3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9ED"/>
    <w:rsid w:val="00001B2A"/>
    <w:rsid w:val="000029A3"/>
    <w:rsid w:val="000030E6"/>
    <w:rsid w:val="000042D8"/>
    <w:rsid w:val="00005DA7"/>
    <w:rsid w:val="00006DA5"/>
    <w:rsid w:val="00010F5D"/>
    <w:rsid w:val="00011242"/>
    <w:rsid w:val="00012023"/>
    <w:rsid w:val="00012A5D"/>
    <w:rsid w:val="0001514F"/>
    <w:rsid w:val="000208E6"/>
    <w:rsid w:val="00021201"/>
    <w:rsid w:val="00021826"/>
    <w:rsid w:val="00023974"/>
    <w:rsid w:val="00024B39"/>
    <w:rsid w:val="000265E4"/>
    <w:rsid w:val="000303FB"/>
    <w:rsid w:val="0003085A"/>
    <w:rsid w:val="00031D7B"/>
    <w:rsid w:val="000326C0"/>
    <w:rsid w:val="00033351"/>
    <w:rsid w:val="0003344C"/>
    <w:rsid w:val="00035BBE"/>
    <w:rsid w:val="00035F07"/>
    <w:rsid w:val="00035FAA"/>
    <w:rsid w:val="00040497"/>
    <w:rsid w:val="0004752D"/>
    <w:rsid w:val="00052F32"/>
    <w:rsid w:val="00053898"/>
    <w:rsid w:val="00053A9B"/>
    <w:rsid w:val="00056426"/>
    <w:rsid w:val="00056B05"/>
    <w:rsid w:val="00060A55"/>
    <w:rsid w:val="000655DF"/>
    <w:rsid w:val="00065676"/>
    <w:rsid w:val="00066D89"/>
    <w:rsid w:val="000676B3"/>
    <w:rsid w:val="00071762"/>
    <w:rsid w:val="00072CA4"/>
    <w:rsid w:val="000760E2"/>
    <w:rsid w:val="00077BD5"/>
    <w:rsid w:val="0008027D"/>
    <w:rsid w:val="000809B5"/>
    <w:rsid w:val="000814E6"/>
    <w:rsid w:val="00083401"/>
    <w:rsid w:val="00084174"/>
    <w:rsid w:val="0008461C"/>
    <w:rsid w:val="00086D60"/>
    <w:rsid w:val="00087D63"/>
    <w:rsid w:val="00090685"/>
    <w:rsid w:val="000908DD"/>
    <w:rsid w:val="00090927"/>
    <w:rsid w:val="00090B04"/>
    <w:rsid w:val="00091335"/>
    <w:rsid w:val="000918EA"/>
    <w:rsid w:val="0009409C"/>
    <w:rsid w:val="0009435A"/>
    <w:rsid w:val="000A1BBC"/>
    <w:rsid w:val="000A1E41"/>
    <w:rsid w:val="000A2060"/>
    <w:rsid w:val="000A20A5"/>
    <w:rsid w:val="000A31FA"/>
    <w:rsid w:val="000A3779"/>
    <w:rsid w:val="000A7E61"/>
    <w:rsid w:val="000B12E2"/>
    <w:rsid w:val="000B1878"/>
    <w:rsid w:val="000B20AE"/>
    <w:rsid w:val="000B2E95"/>
    <w:rsid w:val="000B75F0"/>
    <w:rsid w:val="000C521A"/>
    <w:rsid w:val="000C5F0B"/>
    <w:rsid w:val="000C76E9"/>
    <w:rsid w:val="000D1DF4"/>
    <w:rsid w:val="000D2334"/>
    <w:rsid w:val="000D23FE"/>
    <w:rsid w:val="000D2DC3"/>
    <w:rsid w:val="000D5DF9"/>
    <w:rsid w:val="000D5E3E"/>
    <w:rsid w:val="000D5FDF"/>
    <w:rsid w:val="000E16BE"/>
    <w:rsid w:val="000E367E"/>
    <w:rsid w:val="000E4467"/>
    <w:rsid w:val="000E48FB"/>
    <w:rsid w:val="000F5387"/>
    <w:rsid w:val="00100C2E"/>
    <w:rsid w:val="0010107F"/>
    <w:rsid w:val="00102F81"/>
    <w:rsid w:val="00103441"/>
    <w:rsid w:val="001075D5"/>
    <w:rsid w:val="0011147E"/>
    <w:rsid w:val="001116DC"/>
    <w:rsid w:val="00112C42"/>
    <w:rsid w:val="00113431"/>
    <w:rsid w:val="001206B6"/>
    <w:rsid w:val="00124A8F"/>
    <w:rsid w:val="0012538D"/>
    <w:rsid w:val="00125BE8"/>
    <w:rsid w:val="00127E36"/>
    <w:rsid w:val="001318E9"/>
    <w:rsid w:val="00131D67"/>
    <w:rsid w:val="00134AFB"/>
    <w:rsid w:val="001359C0"/>
    <w:rsid w:val="00136766"/>
    <w:rsid w:val="00140229"/>
    <w:rsid w:val="001410C7"/>
    <w:rsid w:val="00141E8D"/>
    <w:rsid w:val="001428A3"/>
    <w:rsid w:val="00143128"/>
    <w:rsid w:val="001443A0"/>
    <w:rsid w:val="00146E20"/>
    <w:rsid w:val="00152DC5"/>
    <w:rsid w:val="001539AF"/>
    <w:rsid w:val="00154B76"/>
    <w:rsid w:val="00155AB5"/>
    <w:rsid w:val="001560CB"/>
    <w:rsid w:val="00157314"/>
    <w:rsid w:val="001575B0"/>
    <w:rsid w:val="00160D7C"/>
    <w:rsid w:val="0016146E"/>
    <w:rsid w:val="00161856"/>
    <w:rsid w:val="00161EFA"/>
    <w:rsid w:val="00163DA2"/>
    <w:rsid w:val="00164854"/>
    <w:rsid w:val="001666AE"/>
    <w:rsid w:val="00167971"/>
    <w:rsid w:val="00167C63"/>
    <w:rsid w:val="001715CB"/>
    <w:rsid w:val="0017186F"/>
    <w:rsid w:val="001778B9"/>
    <w:rsid w:val="001813AA"/>
    <w:rsid w:val="00182126"/>
    <w:rsid w:val="001830A2"/>
    <w:rsid w:val="00184448"/>
    <w:rsid w:val="00186611"/>
    <w:rsid w:val="001867FC"/>
    <w:rsid w:val="00186CE7"/>
    <w:rsid w:val="00193291"/>
    <w:rsid w:val="0019388E"/>
    <w:rsid w:val="00195392"/>
    <w:rsid w:val="0019559C"/>
    <w:rsid w:val="00196FE3"/>
    <w:rsid w:val="00197F70"/>
    <w:rsid w:val="001A0AB5"/>
    <w:rsid w:val="001A1CD3"/>
    <w:rsid w:val="001A205A"/>
    <w:rsid w:val="001A5AFE"/>
    <w:rsid w:val="001A5F34"/>
    <w:rsid w:val="001A66BA"/>
    <w:rsid w:val="001B3D71"/>
    <w:rsid w:val="001B476A"/>
    <w:rsid w:val="001B4D27"/>
    <w:rsid w:val="001B6A6F"/>
    <w:rsid w:val="001C1552"/>
    <w:rsid w:val="001C4A51"/>
    <w:rsid w:val="001C552D"/>
    <w:rsid w:val="001C59E0"/>
    <w:rsid w:val="001C6D83"/>
    <w:rsid w:val="001D15A2"/>
    <w:rsid w:val="001D3CF1"/>
    <w:rsid w:val="001D5420"/>
    <w:rsid w:val="001D5B1C"/>
    <w:rsid w:val="001E3296"/>
    <w:rsid w:val="001E374C"/>
    <w:rsid w:val="001E4C16"/>
    <w:rsid w:val="001E5D7C"/>
    <w:rsid w:val="001F250E"/>
    <w:rsid w:val="001F3E0A"/>
    <w:rsid w:val="001F3F40"/>
    <w:rsid w:val="001F46A8"/>
    <w:rsid w:val="001F61FD"/>
    <w:rsid w:val="001F6663"/>
    <w:rsid w:val="001F6AAD"/>
    <w:rsid w:val="001F7017"/>
    <w:rsid w:val="002000F5"/>
    <w:rsid w:val="002005EA"/>
    <w:rsid w:val="00200E6C"/>
    <w:rsid w:val="00201044"/>
    <w:rsid w:val="002013F3"/>
    <w:rsid w:val="00203C13"/>
    <w:rsid w:val="0020747F"/>
    <w:rsid w:val="0021006B"/>
    <w:rsid w:val="002105ED"/>
    <w:rsid w:val="0021080D"/>
    <w:rsid w:val="002128D7"/>
    <w:rsid w:val="00212D24"/>
    <w:rsid w:val="00215537"/>
    <w:rsid w:val="0021651C"/>
    <w:rsid w:val="00216B29"/>
    <w:rsid w:val="0021731A"/>
    <w:rsid w:val="00217A29"/>
    <w:rsid w:val="00220E84"/>
    <w:rsid w:val="002214A1"/>
    <w:rsid w:val="00222194"/>
    <w:rsid w:val="00225D72"/>
    <w:rsid w:val="0022707D"/>
    <w:rsid w:val="00227452"/>
    <w:rsid w:val="002300B5"/>
    <w:rsid w:val="00230236"/>
    <w:rsid w:val="00230877"/>
    <w:rsid w:val="00230A1D"/>
    <w:rsid w:val="00232234"/>
    <w:rsid w:val="00232BDC"/>
    <w:rsid w:val="00233CA4"/>
    <w:rsid w:val="00233D2D"/>
    <w:rsid w:val="0023487D"/>
    <w:rsid w:val="00235BA5"/>
    <w:rsid w:val="0024031E"/>
    <w:rsid w:val="00250973"/>
    <w:rsid w:val="00251674"/>
    <w:rsid w:val="00251910"/>
    <w:rsid w:val="002527D3"/>
    <w:rsid w:val="00252CFC"/>
    <w:rsid w:val="0025340A"/>
    <w:rsid w:val="00253952"/>
    <w:rsid w:val="00255814"/>
    <w:rsid w:val="00257A64"/>
    <w:rsid w:val="00263FE3"/>
    <w:rsid w:val="002642A3"/>
    <w:rsid w:val="0026437E"/>
    <w:rsid w:val="002647B7"/>
    <w:rsid w:val="00266BD0"/>
    <w:rsid w:val="002746F2"/>
    <w:rsid w:val="00275755"/>
    <w:rsid w:val="0027594C"/>
    <w:rsid w:val="0027683A"/>
    <w:rsid w:val="00280CC6"/>
    <w:rsid w:val="002812E6"/>
    <w:rsid w:val="0028134C"/>
    <w:rsid w:val="00282447"/>
    <w:rsid w:val="00285AD6"/>
    <w:rsid w:val="0028623B"/>
    <w:rsid w:val="00292788"/>
    <w:rsid w:val="00292968"/>
    <w:rsid w:val="002933FD"/>
    <w:rsid w:val="00293B55"/>
    <w:rsid w:val="0029415D"/>
    <w:rsid w:val="00295351"/>
    <w:rsid w:val="00297135"/>
    <w:rsid w:val="002A4B8E"/>
    <w:rsid w:val="002A4D8E"/>
    <w:rsid w:val="002A6E66"/>
    <w:rsid w:val="002B365F"/>
    <w:rsid w:val="002B3A8F"/>
    <w:rsid w:val="002B4848"/>
    <w:rsid w:val="002B64A4"/>
    <w:rsid w:val="002B6A25"/>
    <w:rsid w:val="002C02CF"/>
    <w:rsid w:val="002C0944"/>
    <w:rsid w:val="002C17CC"/>
    <w:rsid w:val="002C38A7"/>
    <w:rsid w:val="002C66BD"/>
    <w:rsid w:val="002C6C09"/>
    <w:rsid w:val="002D0F99"/>
    <w:rsid w:val="002D395D"/>
    <w:rsid w:val="002D5F6D"/>
    <w:rsid w:val="002E0900"/>
    <w:rsid w:val="002E1CEB"/>
    <w:rsid w:val="002E1F06"/>
    <w:rsid w:val="002E3477"/>
    <w:rsid w:val="002E4946"/>
    <w:rsid w:val="002E4B0A"/>
    <w:rsid w:val="002E58C5"/>
    <w:rsid w:val="002E7C7E"/>
    <w:rsid w:val="002F0E23"/>
    <w:rsid w:val="002F1B82"/>
    <w:rsid w:val="002F5C4D"/>
    <w:rsid w:val="002F6177"/>
    <w:rsid w:val="002F6712"/>
    <w:rsid w:val="002F6933"/>
    <w:rsid w:val="002F7823"/>
    <w:rsid w:val="002F7AE3"/>
    <w:rsid w:val="003008D5"/>
    <w:rsid w:val="003031DB"/>
    <w:rsid w:val="00303358"/>
    <w:rsid w:val="0030367A"/>
    <w:rsid w:val="003048CB"/>
    <w:rsid w:val="003064A3"/>
    <w:rsid w:val="003073F1"/>
    <w:rsid w:val="00307F2B"/>
    <w:rsid w:val="00310A02"/>
    <w:rsid w:val="003110F0"/>
    <w:rsid w:val="00312D13"/>
    <w:rsid w:val="0031606D"/>
    <w:rsid w:val="00316BFC"/>
    <w:rsid w:val="0031741E"/>
    <w:rsid w:val="00321F14"/>
    <w:rsid w:val="00322613"/>
    <w:rsid w:val="003235CB"/>
    <w:rsid w:val="00324338"/>
    <w:rsid w:val="00326518"/>
    <w:rsid w:val="003300F5"/>
    <w:rsid w:val="00333CE4"/>
    <w:rsid w:val="00334795"/>
    <w:rsid w:val="003354CF"/>
    <w:rsid w:val="00336643"/>
    <w:rsid w:val="0033667D"/>
    <w:rsid w:val="00336A92"/>
    <w:rsid w:val="00340BE8"/>
    <w:rsid w:val="00341E15"/>
    <w:rsid w:val="003478DE"/>
    <w:rsid w:val="003536D7"/>
    <w:rsid w:val="00354130"/>
    <w:rsid w:val="00357E93"/>
    <w:rsid w:val="0036057C"/>
    <w:rsid w:val="00362DBE"/>
    <w:rsid w:val="00363A9D"/>
    <w:rsid w:val="003648CF"/>
    <w:rsid w:val="00364E41"/>
    <w:rsid w:val="0037078C"/>
    <w:rsid w:val="003733AC"/>
    <w:rsid w:val="00373D22"/>
    <w:rsid w:val="00375962"/>
    <w:rsid w:val="00381933"/>
    <w:rsid w:val="00386644"/>
    <w:rsid w:val="00386668"/>
    <w:rsid w:val="00386819"/>
    <w:rsid w:val="00386C74"/>
    <w:rsid w:val="00387BCA"/>
    <w:rsid w:val="003919C9"/>
    <w:rsid w:val="00392689"/>
    <w:rsid w:val="00392E5D"/>
    <w:rsid w:val="00393498"/>
    <w:rsid w:val="003A1AC9"/>
    <w:rsid w:val="003A2200"/>
    <w:rsid w:val="003A3B4C"/>
    <w:rsid w:val="003A451C"/>
    <w:rsid w:val="003A5B7A"/>
    <w:rsid w:val="003A77C4"/>
    <w:rsid w:val="003B0937"/>
    <w:rsid w:val="003B23B5"/>
    <w:rsid w:val="003B2E0D"/>
    <w:rsid w:val="003B4D07"/>
    <w:rsid w:val="003B597D"/>
    <w:rsid w:val="003C146A"/>
    <w:rsid w:val="003C1490"/>
    <w:rsid w:val="003C227B"/>
    <w:rsid w:val="003C23BD"/>
    <w:rsid w:val="003C285C"/>
    <w:rsid w:val="003C44EF"/>
    <w:rsid w:val="003C4C40"/>
    <w:rsid w:val="003C52ED"/>
    <w:rsid w:val="003D137A"/>
    <w:rsid w:val="003D345C"/>
    <w:rsid w:val="003D44EF"/>
    <w:rsid w:val="003D4A42"/>
    <w:rsid w:val="003D533D"/>
    <w:rsid w:val="003D5CC7"/>
    <w:rsid w:val="003D6341"/>
    <w:rsid w:val="003D759E"/>
    <w:rsid w:val="003D7618"/>
    <w:rsid w:val="003E1952"/>
    <w:rsid w:val="003E3167"/>
    <w:rsid w:val="003E6969"/>
    <w:rsid w:val="003F1C29"/>
    <w:rsid w:val="003F267A"/>
    <w:rsid w:val="003F30CF"/>
    <w:rsid w:val="003F336E"/>
    <w:rsid w:val="003F6948"/>
    <w:rsid w:val="003F7752"/>
    <w:rsid w:val="004021B3"/>
    <w:rsid w:val="0040277F"/>
    <w:rsid w:val="00404B1E"/>
    <w:rsid w:val="00404E1E"/>
    <w:rsid w:val="004055A0"/>
    <w:rsid w:val="0040670C"/>
    <w:rsid w:val="00412F52"/>
    <w:rsid w:val="0041333B"/>
    <w:rsid w:val="0041358F"/>
    <w:rsid w:val="00414348"/>
    <w:rsid w:val="0041769A"/>
    <w:rsid w:val="0042264B"/>
    <w:rsid w:val="00422810"/>
    <w:rsid w:val="00426793"/>
    <w:rsid w:val="00427336"/>
    <w:rsid w:val="0043182A"/>
    <w:rsid w:val="00432DE8"/>
    <w:rsid w:val="004335C3"/>
    <w:rsid w:val="004345E5"/>
    <w:rsid w:val="004355C1"/>
    <w:rsid w:val="00437F7F"/>
    <w:rsid w:val="00440A41"/>
    <w:rsid w:val="00441420"/>
    <w:rsid w:val="004427D0"/>
    <w:rsid w:val="00446E2C"/>
    <w:rsid w:val="00446E54"/>
    <w:rsid w:val="0045075D"/>
    <w:rsid w:val="00453581"/>
    <w:rsid w:val="00454060"/>
    <w:rsid w:val="00454279"/>
    <w:rsid w:val="004565DB"/>
    <w:rsid w:val="00463080"/>
    <w:rsid w:val="00466CF8"/>
    <w:rsid w:val="00472C98"/>
    <w:rsid w:val="00477049"/>
    <w:rsid w:val="00481025"/>
    <w:rsid w:val="00481126"/>
    <w:rsid w:val="00482468"/>
    <w:rsid w:val="004843D5"/>
    <w:rsid w:val="0048657D"/>
    <w:rsid w:val="004914C4"/>
    <w:rsid w:val="0049455B"/>
    <w:rsid w:val="004948DE"/>
    <w:rsid w:val="0049599B"/>
    <w:rsid w:val="004965CC"/>
    <w:rsid w:val="00496B6F"/>
    <w:rsid w:val="004A0102"/>
    <w:rsid w:val="004A238D"/>
    <w:rsid w:val="004A28A4"/>
    <w:rsid w:val="004A2F4B"/>
    <w:rsid w:val="004A5015"/>
    <w:rsid w:val="004A6D3B"/>
    <w:rsid w:val="004A71C1"/>
    <w:rsid w:val="004B01FA"/>
    <w:rsid w:val="004B2C57"/>
    <w:rsid w:val="004B2D5D"/>
    <w:rsid w:val="004B314C"/>
    <w:rsid w:val="004B3B7B"/>
    <w:rsid w:val="004B7F26"/>
    <w:rsid w:val="004C0035"/>
    <w:rsid w:val="004C5C24"/>
    <w:rsid w:val="004C783F"/>
    <w:rsid w:val="004C787D"/>
    <w:rsid w:val="004C7AE6"/>
    <w:rsid w:val="004D2BA0"/>
    <w:rsid w:val="004D2D5E"/>
    <w:rsid w:val="004D472E"/>
    <w:rsid w:val="004D4AD2"/>
    <w:rsid w:val="004D4CC5"/>
    <w:rsid w:val="004D5455"/>
    <w:rsid w:val="004D70A2"/>
    <w:rsid w:val="004D7D57"/>
    <w:rsid w:val="004E052B"/>
    <w:rsid w:val="004E093B"/>
    <w:rsid w:val="004E5904"/>
    <w:rsid w:val="004F0DE0"/>
    <w:rsid w:val="004F0FC9"/>
    <w:rsid w:val="004F2CFA"/>
    <w:rsid w:val="004F2D34"/>
    <w:rsid w:val="004F3D43"/>
    <w:rsid w:val="004F65B7"/>
    <w:rsid w:val="004F6919"/>
    <w:rsid w:val="004F6E47"/>
    <w:rsid w:val="0050086F"/>
    <w:rsid w:val="00502C7B"/>
    <w:rsid w:val="005051AC"/>
    <w:rsid w:val="005070EA"/>
    <w:rsid w:val="0050710D"/>
    <w:rsid w:val="005072BC"/>
    <w:rsid w:val="005076B7"/>
    <w:rsid w:val="00513129"/>
    <w:rsid w:val="00513A67"/>
    <w:rsid w:val="005154FC"/>
    <w:rsid w:val="00515BCC"/>
    <w:rsid w:val="00520706"/>
    <w:rsid w:val="00522887"/>
    <w:rsid w:val="005247C5"/>
    <w:rsid w:val="00524A7A"/>
    <w:rsid w:val="005316C4"/>
    <w:rsid w:val="00531C3B"/>
    <w:rsid w:val="0054137B"/>
    <w:rsid w:val="0054318B"/>
    <w:rsid w:val="00544BC7"/>
    <w:rsid w:val="00547730"/>
    <w:rsid w:val="00551901"/>
    <w:rsid w:val="00556F73"/>
    <w:rsid w:val="00557604"/>
    <w:rsid w:val="0056261D"/>
    <w:rsid w:val="00563BB8"/>
    <w:rsid w:val="00564D72"/>
    <w:rsid w:val="0056588E"/>
    <w:rsid w:val="0056604A"/>
    <w:rsid w:val="005709D3"/>
    <w:rsid w:val="00571D72"/>
    <w:rsid w:val="00572853"/>
    <w:rsid w:val="00572DF2"/>
    <w:rsid w:val="00573040"/>
    <w:rsid w:val="00574E61"/>
    <w:rsid w:val="005819B7"/>
    <w:rsid w:val="00582A62"/>
    <w:rsid w:val="0058594C"/>
    <w:rsid w:val="00592F08"/>
    <w:rsid w:val="00592F33"/>
    <w:rsid w:val="005945E4"/>
    <w:rsid w:val="00596674"/>
    <w:rsid w:val="00597C7A"/>
    <w:rsid w:val="005A1C28"/>
    <w:rsid w:val="005A60A3"/>
    <w:rsid w:val="005A6D7C"/>
    <w:rsid w:val="005B1304"/>
    <w:rsid w:val="005B1766"/>
    <w:rsid w:val="005B21A8"/>
    <w:rsid w:val="005B6C21"/>
    <w:rsid w:val="005B73DC"/>
    <w:rsid w:val="005B777A"/>
    <w:rsid w:val="005C12F4"/>
    <w:rsid w:val="005C21E9"/>
    <w:rsid w:val="005C284B"/>
    <w:rsid w:val="005D0FE6"/>
    <w:rsid w:val="005D2E26"/>
    <w:rsid w:val="005D4295"/>
    <w:rsid w:val="005D675F"/>
    <w:rsid w:val="005D767F"/>
    <w:rsid w:val="005E0071"/>
    <w:rsid w:val="005E14D0"/>
    <w:rsid w:val="005E2CC6"/>
    <w:rsid w:val="005E348C"/>
    <w:rsid w:val="005F03D0"/>
    <w:rsid w:val="005F0AAD"/>
    <w:rsid w:val="005F0DB5"/>
    <w:rsid w:val="005F287E"/>
    <w:rsid w:val="005F29D2"/>
    <w:rsid w:val="005F3603"/>
    <w:rsid w:val="005F4AB9"/>
    <w:rsid w:val="005F50D0"/>
    <w:rsid w:val="005F57DB"/>
    <w:rsid w:val="005F7820"/>
    <w:rsid w:val="00600993"/>
    <w:rsid w:val="00601160"/>
    <w:rsid w:val="00610122"/>
    <w:rsid w:val="0061020F"/>
    <w:rsid w:val="0061093E"/>
    <w:rsid w:val="0061097F"/>
    <w:rsid w:val="00613003"/>
    <w:rsid w:val="00615556"/>
    <w:rsid w:val="0061725F"/>
    <w:rsid w:val="0062055B"/>
    <w:rsid w:val="00623F54"/>
    <w:rsid w:val="00624916"/>
    <w:rsid w:val="006273DF"/>
    <w:rsid w:val="00627830"/>
    <w:rsid w:val="006278EF"/>
    <w:rsid w:val="006317A2"/>
    <w:rsid w:val="0063220B"/>
    <w:rsid w:val="00632B95"/>
    <w:rsid w:val="00634815"/>
    <w:rsid w:val="00635602"/>
    <w:rsid w:val="00635FFC"/>
    <w:rsid w:val="0064055C"/>
    <w:rsid w:val="006407BE"/>
    <w:rsid w:val="00640F04"/>
    <w:rsid w:val="006412DA"/>
    <w:rsid w:val="00641B79"/>
    <w:rsid w:val="00641D0C"/>
    <w:rsid w:val="006421EF"/>
    <w:rsid w:val="0064339E"/>
    <w:rsid w:val="00643BCB"/>
    <w:rsid w:val="00644DA2"/>
    <w:rsid w:val="00644E29"/>
    <w:rsid w:val="00645723"/>
    <w:rsid w:val="0064639C"/>
    <w:rsid w:val="00646A38"/>
    <w:rsid w:val="006506E3"/>
    <w:rsid w:val="00650FD4"/>
    <w:rsid w:val="006514EE"/>
    <w:rsid w:val="006522F5"/>
    <w:rsid w:val="0065715F"/>
    <w:rsid w:val="00657F26"/>
    <w:rsid w:val="006600CD"/>
    <w:rsid w:val="006609ED"/>
    <w:rsid w:val="0066190C"/>
    <w:rsid w:val="0066307D"/>
    <w:rsid w:val="006630DE"/>
    <w:rsid w:val="00665872"/>
    <w:rsid w:val="00670D1A"/>
    <w:rsid w:val="00672F81"/>
    <w:rsid w:val="00673791"/>
    <w:rsid w:val="00673F05"/>
    <w:rsid w:val="006746A3"/>
    <w:rsid w:val="0068181C"/>
    <w:rsid w:val="0068208E"/>
    <w:rsid w:val="00685A50"/>
    <w:rsid w:val="00685C47"/>
    <w:rsid w:val="00685C8A"/>
    <w:rsid w:val="00686F78"/>
    <w:rsid w:val="00690989"/>
    <w:rsid w:val="00691CE8"/>
    <w:rsid w:val="00692F45"/>
    <w:rsid w:val="00695B80"/>
    <w:rsid w:val="00696462"/>
    <w:rsid w:val="006A361A"/>
    <w:rsid w:val="006A45D2"/>
    <w:rsid w:val="006A5D09"/>
    <w:rsid w:val="006A6530"/>
    <w:rsid w:val="006B05AF"/>
    <w:rsid w:val="006B097E"/>
    <w:rsid w:val="006B0BEF"/>
    <w:rsid w:val="006B12F9"/>
    <w:rsid w:val="006B2974"/>
    <w:rsid w:val="006B30B1"/>
    <w:rsid w:val="006B4BE8"/>
    <w:rsid w:val="006B599E"/>
    <w:rsid w:val="006B5F13"/>
    <w:rsid w:val="006B6CD3"/>
    <w:rsid w:val="006B7E2E"/>
    <w:rsid w:val="006C0AE5"/>
    <w:rsid w:val="006C15EB"/>
    <w:rsid w:val="006C2DA8"/>
    <w:rsid w:val="006C5B0A"/>
    <w:rsid w:val="006C5D1F"/>
    <w:rsid w:val="006C6DC5"/>
    <w:rsid w:val="006C749F"/>
    <w:rsid w:val="006C7772"/>
    <w:rsid w:val="006D04FD"/>
    <w:rsid w:val="006D06A4"/>
    <w:rsid w:val="006D11AE"/>
    <w:rsid w:val="006D3C7F"/>
    <w:rsid w:val="006D6143"/>
    <w:rsid w:val="006D66FB"/>
    <w:rsid w:val="006D7098"/>
    <w:rsid w:val="006E0D0A"/>
    <w:rsid w:val="006E209A"/>
    <w:rsid w:val="006E228D"/>
    <w:rsid w:val="006E2BE4"/>
    <w:rsid w:val="006E541E"/>
    <w:rsid w:val="006F0946"/>
    <w:rsid w:val="006F0BC1"/>
    <w:rsid w:val="006F53C2"/>
    <w:rsid w:val="006F6924"/>
    <w:rsid w:val="006F6DAB"/>
    <w:rsid w:val="006F7164"/>
    <w:rsid w:val="006F7E34"/>
    <w:rsid w:val="007003CC"/>
    <w:rsid w:val="00701D07"/>
    <w:rsid w:val="00702897"/>
    <w:rsid w:val="00703104"/>
    <w:rsid w:val="00703BD9"/>
    <w:rsid w:val="0070558E"/>
    <w:rsid w:val="00706893"/>
    <w:rsid w:val="007120F2"/>
    <w:rsid w:val="00712512"/>
    <w:rsid w:val="00713A6A"/>
    <w:rsid w:val="00720943"/>
    <w:rsid w:val="007240BC"/>
    <w:rsid w:val="00725F95"/>
    <w:rsid w:val="00726C13"/>
    <w:rsid w:val="007305CC"/>
    <w:rsid w:val="00730DDF"/>
    <w:rsid w:val="00732E9D"/>
    <w:rsid w:val="007334A6"/>
    <w:rsid w:val="0073465E"/>
    <w:rsid w:val="00743479"/>
    <w:rsid w:val="00745658"/>
    <w:rsid w:val="00746B8D"/>
    <w:rsid w:val="00750875"/>
    <w:rsid w:val="0075192B"/>
    <w:rsid w:val="00753B9D"/>
    <w:rsid w:val="00754618"/>
    <w:rsid w:val="00755484"/>
    <w:rsid w:val="00755EA7"/>
    <w:rsid w:val="00757EBC"/>
    <w:rsid w:val="00761C76"/>
    <w:rsid w:val="00762A77"/>
    <w:rsid w:val="00763385"/>
    <w:rsid w:val="00765CB1"/>
    <w:rsid w:val="00765E51"/>
    <w:rsid w:val="007664C0"/>
    <w:rsid w:val="00766C35"/>
    <w:rsid w:val="00766F83"/>
    <w:rsid w:val="00767373"/>
    <w:rsid w:val="007674E1"/>
    <w:rsid w:val="0077050C"/>
    <w:rsid w:val="00770AC9"/>
    <w:rsid w:val="00771039"/>
    <w:rsid w:val="00771923"/>
    <w:rsid w:val="0077251F"/>
    <w:rsid w:val="00775112"/>
    <w:rsid w:val="0077608C"/>
    <w:rsid w:val="007774FE"/>
    <w:rsid w:val="00777CC3"/>
    <w:rsid w:val="007808B7"/>
    <w:rsid w:val="00783563"/>
    <w:rsid w:val="00785550"/>
    <w:rsid w:val="0078717E"/>
    <w:rsid w:val="00790CB2"/>
    <w:rsid w:val="007912FF"/>
    <w:rsid w:val="0079137F"/>
    <w:rsid w:val="007917CE"/>
    <w:rsid w:val="007918AD"/>
    <w:rsid w:val="007961E9"/>
    <w:rsid w:val="00796567"/>
    <w:rsid w:val="007A4E14"/>
    <w:rsid w:val="007A5618"/>
    <w:rsid w:val="007A58C9"/>
    <w:rsid w:val="007A5A84"/>
    <w:rsid w:val="007B060B"/>
    <w:rsid w:val="007B0E0C"/>
    <w:rsid w:val="007B1D66"/>
    <w:rsid w:val="007B2B28"/>
    <w:rsid w:val="007B4C58"/>
    <w:rsid w:val="007C0E0E"/>
    <w:rsid w:val="007C12BB"/>
    <w:rsid w:val="007C2013"/>
    <w:rsid w:val="007C285C"/>
    <w:rsid w:val="007C3513"/>
    <w:rsid w:val="007C3BF0"/>
    <w:rsid w:val="007C49C6"/>
    <w:rsid w:val="007C49FC"/>
    <w:rsid w:val="007C53A7"/>
    <w:rsid w:val="007C5D38"/>
    <w:rsid w:val="007C5F32"/>
    <w:rsid w:val="007C7F39"/>
    <w:rsid w:val="007D11B6"/>
    <w:rsid w:val="007D1CA2"/>
    <w:rsid w:val="007D344D"/>
    <w:rsid w:val="007D477E"/>
    <w:rsid w:val="007D657A"/>
    <w:rsid w:val="007D7AEA"/>
    <w:rsid w:val="007D7B66"/>
    <w:rsid w:val="007E1BC7"/>
    <w:rsid w:val="007E3888"/>
    <w:rsid w:val="007E3B00"/>
    <w:rsid w:val="007E7616"/>
    <w:rsid w:val="007F19C5"/>
    <w:rsid w:val="007F6DAB"/>
    <w:rsid w:val="007F77E1"/>
    <w:rsid w:val="007F7968"/>
    <w:rsid w:val="008003D6"/>
    <w:rsid w:val="00802B98"/>
    <w:rsid w:val="00811DD5"/>
    <w:rsid w:val="008134B4"/>
    <w:rsid w:val="00815963"/>
    <w:rsid w:val="00817F94"/>
    <w:rsid w:val="00822770"/>
    <w:rsid w:val="00825855"/>
    <w:rsid w:val="008271AC"/>
    <w:rsid w:val="008314D9"/>
    <w:rsid w:val="008319B7"/>
    <w:rsid w:val="00833A1D"/>
    <w:rsid w:val="00833D75"/>
    <w:rsid w:val="00834B19"/>
    <w:rsid w:val="008354B1"/>
    <w:rsid w:val="00836192"/>
    <w:rsid w:val="00840935"/>
    <w:rsid w:val="00840FF8"/>
    <w:rsid w:val="00841BE4"/>
    <w:rsid w:val="00842AEC"/>
    <w:rsid w:val="00843468"/>
    <w:rsid w:val="0084389C"/>
    <w:rsid w:val="008449CA"/>
    <w:rsid w:val="00845127"/>
    <w:rsid w:val="00847F29"/>
    <w:rsid w:val="0085211D"/>
    <w:rsid w:val="0085213D"/>
    <w:rsid w:val="008549F6"/>
    <w:rsid w:val="00856102"/>
    <w:rsid w:val="00860684"/>
    <w:rsid w:val="008647D7"/>
    <w:rsid w:val="00871371"/>
    <w:rsid w:val="0087175D"/>
    <w:rsid w:val="00872FB5"/>
    <w:rsid w:val="008745D9"/>
    <w:rsid w:val="008765C1"/>
    <w:rsid w:val="0087685A"/>
    <w:rsid w:val="00876F77"/>
    <w:rsid w:val="00880724"/>
    <w:rsid w:val="00883A92"/>
    <w:rsid w:val="00885CE0"/>
    <w:rsid w:val="008916C1"/>
    <w:rsid w:val="00891A83"/>
    <w:rsid w:val="00891C3B"/>
    <w:rsid w:val="008948B4"/>
    <w:rsid w:val="00894FE8"/>
    <w:rsid w:val="00896E86"/>
    <w:rsid w:val="00897237"/>
    <w:rsid w:val="008A22E8"/>
    <w:rsid w:val="008A2549"/>
    <w:rsid w:val="008A4F6C"/>
    <w:rsid w:val="008A5DC5"/>
    <w:rsid w:val="008A6A31"/>
    <w:rsid w:val="008B2B01"/>
    <w:rsid w:val="008B3EEA"/>
    <w:rsid w:val="008B5BED"/>
    <w:rsid w:val="008C2271"/>
    <w:rsid w:val="008C337B"/>
    <w:rsid w:val="008C59FE"/>
    <w:rsid w:val="008C5B4E"/>
    <w:rsid w:val="008C60EC"/>
    <w:rsid w:val="008C6BF6"/>
    <w:rsid w:val="008D163D"/>
    <w:rsid w:val="008D1A0A"/>
    <w:rsid w:val="008D3687"/>
    <w:rsid w:val="008D5EBD"/>
    <w:rsid w:val="008E1AF9"/>
    <w:rsid w:val="008E25E8"/>
    <w:rsid w:val="008E2EB2"/>
    <w:rsid w:val="008E51F1"/>
    <w:rsid w:val="008E53A2"/>
    <w:rsid w:val="008E5C8B"/>
    <w:rsid w:val="008E684B"/>
    <w:rsid w:val="008E7466"/>
    <w:rsid w:val="008F15C3"/>
    <w:rsid w:val="008F2E2A"/>
    <w:rsid w:val="008F3838"/>
    <w:rsid w:val="008F3CC1"/>
    <w:rsid w:val="008F524D"/>
    <w:rsid w:val="008F5413"/>
    <w:rsid w:val="008F561A"/>
    <w:rsid w:val="008F6054"/>
    <w:rsid w:val="0090292C"/>
    <w:rsid w:val="009067ED"/>
    <w:rsid w:val="009068DA"/>
    <w:rsid w:val="009068FA"/>
    <w:rsid w:val="00912D77"/>
    <w:rsid w:val="0091360E"/>
    <w:rsid w:val="00913CB7"/>
    <w:rsid w:val="00914A95"/>
    <w:rsid w:val="00914B8A"/>
    <w:rsid w:val="0091621E"/>
    <w:rsid w:val="0091720E"/>
    <w:rsid w:val="00917AD3"/>
    <w:rsid w:val="00917BD7"/>
    <w:rsid w:val="009203DF"/>
    <w:rsid w:val="00922958"/>
    <w:rsid w:val="00922CEC"/>
    <w:rsid w:val="009240E2"/>
    <w:rsid w:val="009261BC"/>
    <w:rsid w:val="00926D12"/>
    <w:rsid w:val="009275C5"/>
    <w:rsid w:val="00934050"/>
    <w:rsid w:val="00934418"/>
    <w:rsid w:val="00942FEB"/>
    <w:rsid w:val="00943CB3"/>
    <w:rsid w:val="0094737B"/>
    <w:rsid w:val="0094792E"/>
    <w:rsid w:val="00950671"/>
    <w:rsid w:val="009517E5"/>
    <w:rsid w:val="009540D3"/>
    <w:rsid w:val="00954858"/>
    <w:rsid w:val="00954DFD"/>
    <w:rsid w:val="00954F12"/>
    <w:rsid w:val="00955DF1"/>
    <w:rsid w:val="0095705D"/>
    <w:rsid w:val="009606AC"/>
    <w:rsid w:val="0096224F"/>
    <w:rsid w:val="00962744"/>
    <w:rsid w:val="00965226"/>
    <w:rsid w:val="00965C3C"/>
    <w:rsid w:val="009669B7"/>
    <w:rsid w:val="009733C4"/>
    <w:rsid w:val="00973893"/>
    <w:rsid w:val="009738E4"/>
    <w:rsid w:val="00974B27"/>
    <w:rsid w:val="00975A55"/>
    <w:rsid w:val="00977BD1"/>
    <w:rsid w:val="00980525"/>
    <w:rsid w:val="0098091D"/>
    <w:rsid w:val="00980D21"/>
    <w:rsid w:val="00984BF4"/>
    <w:rsid w:val="0098741B"/>
    <w:rsid w:val="00987809"/>
    <w:rsid w:val="00990A1C"/>
    <w:rsid w:val="009926F5"/>
    <w:rsid w:val="00994261"/>
    <w:rsid w:val="009956A5"/>
    <w:rsid w:val="009A2F28"/>
    <w:rsid w:val="009A4543"/>
    <w:rsid w:val="009B0617"/>
    <w:rsid w:val="009B1D50"/>
    <w:rsid w:val="009B23D2"/>
    <w:rsid w:val="009B5992"/>
    <w:rsid w:val="009B5F7F"/>
    <w:rsid w:val="009B6EB5"/>
    <w:rsid w:val="009B6EE8"/>
    <w:rsid w:val="009C19F3"/>
    <w:rsid w:val="009D08E0"/>
    <w:rsid w:val="009D1AAC"/>
    <w:rsid w:val="009D22C1"/>
    <w:rsid w:val="009D2F44"/>
    <w:rsid w:val="009D5D2D"/>
    <w:rsid w:val="009D5E1E"/>
    <w:rsid w:val="009D6B91"/>
    <w:rsid w:val="009D7C71"/>
    <w:rsid w:val="009E0E09"/>
    <w:rsid w:val="009E169F"/>
    <w:rsid w:val="009E24DF"/>
    <w:rsid w:val="009E3894"/>
    <w:rsid w:val="009E4665"/>
    <w:rsid w:val="009E4E1D"/>
    <w:rsid w:val="009E6630"/>
    <w:rsid w:val="009E7B3F"/>
    <w:rsid w:val="009F1009"/>
    <w:rsid w:val="009F11A7"/>
    <w:rsid w:val="009F1A2B"/>
    <w:rsid w:val="009F522F"/>
    <w:rsid w:val="009F7284"/>
    <w:rsid w:val="009F7721"/>
    <w:rsid w:val="00A00CDA"/>
    <w:rsid w:val="00A025FA"/>
    <w:rsid w:val="00A02A3F"/>
    <w:rsid w:val="00A043B1"/>
    <w:rsid w:val="00A06380"/>
    <w:rsid w:val="00A06E8F"/>
    <w:rsid w:val="00A077DB"/>
    <w:rsid w:val="00A10355"/>
    <w:rsid w:val="00A14887"/>
    <w:rsid w:val="00A14C86"/>
    <w:rsid w:val="00A16F58"/>
    <w:rsid w:val="00A2098B"/>
    <w:rsid w:val="00A23AA9"/>
    <w:rsid w:val="00A2449A"/>
    <w:rsid w:val="00A260C7"/>
    <w:rsid w:val="00A27CFA"/>
    <w:rsid w:val="00A34E46"/>
    <w:rsid w:val="00A375DE"/>
    <w:rsid w:val="00A5007D"/>
    <w:rsid w:val="00A5012D"/>
    <w:rsid w:val="00A536D9"/>
    <w:rsid w:val="00A5743E"/>
    <w:rsid w:val="00A60094"/>
    <w:rsid w:val="00A62389"/>
    <w:rsid w:val="00A62A42"/>
    <w:rsid w:val="00A64A3D"/>
    <w:rsid w:val="00A651E3"/>
    <w:rsid w:val="00A65213"/>
    <w:rsid w:val="00A65790"/>
    <w:rsid w:val="00A67BEC"/>
    <w:rsid w:val="00A71B2F"/>
    <w:rsid w:val="00A71BEE"/>
    <w:rsid w:val="00A72DD1"/>
    <w:rsid w:val="00A73DA7"/>
    <w:rsid w:val="00A74617"/>
    <w:rsid w:val="00A74B08"/>
    <w:rsid w:val="00A75522"/>
    <w:rsid w:val="00A75FE6"/>
    <w:rsid w:val="00A77FC0"/>
    <w:rsid w:val="00A82C37"/>
    <w:rsid w:val="00A82F36"/>
    <w:rsid w:val="00A82F6A"/>
    <w:rsid w:val="00A84B0C"/>
    <w:rsid w:val="00A85144"/>
    <w:rsid w:val="00A909FE"/>
    <w:rsid w:val="00A92A14"/>
    <w:rsid w:val="00A92C27"/>
    <w:rsid w:val="00A94C29"/>
    <w:rsid w:val="00A9560A"/>
    <w:rsid w:val="00A95DA8"/>
    <w:rsid w:val="00A975F7"/>
    <w:rsid w:val="00AA0C56"/>
    <w:rsid w:val="00AA0DBB"/>
    <w:rsid w:val="00AA190F"/>
    <w:rsid w:val="00AA248A"/>
    <w:rsid w:val="00AA582B"/>
    <w:rsid w:val="00AA712F"/>
    <w:rsid w:val="00AA7F08"/>
    <w:rsid w:val="00AB0A1A"/>
    <w:rsid w:val="00AB225A"/>
    <w:rsid w:val="00AB3699"/>
    <w:rsid w:val="00AB4389"/>
    <w:rsid w:val="00AB7AFE"/>
    <w:rsid w:val="00AC2717"/>
    <w:rsid w:val="00AC47E0"/>
    <w:rsid w:val="00AC5135"/>
    <w:rsid w:val="00AC6784"/>
    <w:rsid w:val="00AC747F"/>
    <w:rsid w:val="00AD58D2"/>
    <w:rsid w:val="00AD5984"/>
    <w:rsid w:val="00AD74E3"/>
    <w:rsid w:val="00AE0A6E"/>
    <w:rsid w:val="00AE1317"/>
    <w:rsid w:val="00AE1699"/>
    <w:rsid w:val="00AE2594"/>
    <w:rsid w:val="00AE3875"/>
    <w:rsid w:val="00AE3C87"/>
    <w:rsid w:val="00AE5886"/>
    <w:rsid w:val="00AE684E"/>
    <w:rsid w:val="00AE7D83"/>
    <w:rsid w:val="00AF0FCB"/>
    <w:rsid w:val="00AF271F"/>
    <w:rsid w:val="00AF278F"/>
    <w:rsid w:val="00AF4634"/>
    <w:rsid w:val="00AF4E7A"/>
    <w:rsid w:val="00AF504D"/>
    <w:rsid w:val="00AF5EDF"/>
    <w:rsid w:val="00AF77BE"/>
    <w:rsid w:val="00B0063B"/>
    <w:rsid w:val="00B01C05"/>
    <w:rsid w:val="00B02763"/>
    <w:rsid w:val="00B02D89"/>
    <w:rsid w:val="00B048E3"/>
    <w:rsid w:val="00B051B7"/>
    <w:rsid w:val="00B07622"/>
    <w:rsid w:val="00B0782F"/>
    <w:rsid w:val="00B102A3"/>
    <w:rsid w:val="00B135A0"/>
    <w:rsid w:val="00B14E03"/>
    <w:rsid w:val="00B14F97"/>
    <w:rsid w:val="00B162EB"/>
    <w:rsid w:val="00B20763"/>
    <w:rsid w:val="00B21186"/>
    <w:rsid w:val="00B31B58"/>
    <w:rsid w:val="00B3267C"/>
    <w:rsid w:val="00B35672"/>
    <w:rsid w:val="00B35EBE"/>
    <w:rsid w:val="00B366CE"/>
    <w:rsid w:val="00B41992"/>
    <w:rsid w:val="00B52AE3"/>
    <w:rsid w:val="00B52FBC"/>
    <w:rsid w:val="00B53D85"/>
    <w:rsid w:val="00B60209"/>
    <w:rsid w:val="00B619D1"/>
    <w:rsid w:val="00B65136"/>
    <w:rsid w:val="00B66164"/>
    <w:rsid w:val="00B66193"/>
    <w:rsid w:val="00B70DA3"/>
    <w:rsid w:val="00B7285D"/>
    <w:rsid w:val="00B72A2C"/>
    <w:rsid w:val="00B72ECF"/>
    <w:rsid w:val="00B7459B"/>
    <w:rsid w:val="00B80F37"/>
    <w:rsid w:val="00B82BCB"/>
    <w:rsid w:val="00B85283"/>
    <w:rsid w:val="00B85731"/>
    <w:rsid w:val="00B91494"/>
    <w:rsid w:val="00B95CB0"/>
    <w:rsid w:val="00B967ED"/>
    <w:rsid w:val="00B97231"/>
    <w:rsid w:val="00B97F13"/>
    <w:rsid w:val="00BA0287"/>
    <w:rsid w:val="00BA0DB2"/>
    <w:rsid w:val="00BA0EBD"/>
    <w:rsid w:val="00BA1345"/>
    <w:rsid w:val="00BA376D"/>
    <w:rsid w:val="00BA6228"/>
    <w:rsid w:val="00BA7B00"/>
    <w:rsid w:val="00BB05C4"/>
    <w:rsid w:val="00BB08C4"/>
    <w:rsid w:val="00BB1DBA"/>
    <w:rsid w:val="00BB1EDD"/>
    <w:rsid w:val="00BB4A06"/>
    <w:rsid w:val="00BB4E93"/>
    <w:rsid w:val="00BB5248"/>
    <w:rsid w:val="00BC02AC"/>
    <w:rsid w:val="00BC10BE"/>
    <w:rsid w:val="00BC12B9"/>
    <w:rsid w:val="00BC1F63"/>
    <w:rsid w:val="00BC2ACE"/>
    <w:rsid w:val="00BC30FC"/>
    <w:rsid w:val="00BC38D4"/>
    <w:rsid w:val="00BC3D6F"/>
    <w:rsid w:val="00BC426F"/>
    <w:rsid w:val="00BC6CAE"/>
    <w:rsid w:val="00BC77FB"/>
    <w:rsid w:val="00BC78AC"/>
    <w:rsid w:val="00BD3B30"/>
    <w:rsid w:val="00BD52C5"/>
    <w:rsid w:val="00BD5ABA"/>
    <w:rsid w:val="00BE03B0"/>
    <w:rsid w:val="00BE554E"/>
    <w:rsid w:val="00BE67A0"/>
    <w:rsid w:val="00BE7AB1"/>
    <w:rsid w:val="00BF12DB"/>
    <w:rsid w:val="00BF2DC5"/>
    <w:rsid w:val="00BF68CE"/>
    <w:rsid w:val="00BF6C45"/>
    <w:rsid w:val="00C02B00"/>
    <w:rsid w:val="00C05BBB"/>
    <w:rsid w:val="00C073E5"/>
    <w:rsid w:val="00C1621B"/>
    <w:rsid w:val="00C16DCB"/>
    <w:rsid w:val="00C17723"/>
    <w:rsid w:val="00C17F05"/>
    <w:rsid w:val="00C20D79"/>
    <w:rsid w:val="00C21A9F"/>
    <w:rsid w:val="00C220CC"/>
    <w:rsid w:val="00C25270"/>
    <w:rsid w:val="00C26D83"/>
    <w:rsid w:val="00C33402"/>
    <w:rsid w:val="00C33ECD"/>
    <w:rsid w:val="00C359D1"/>
    <w:rsid w:val="00C363A1"/>
    <w:rsid w:val="00C363DA"/>
    <w:rsid w:val="00C414E9"/>
    <w:rsid w:val="00C419F8"/>
    <w:rsid w:val="00C4440B"/>
    <w:rsid w:val="00C4499D"/>
    <w:rsid w:val="00C45045"/>
    <w:rsid w:val="00C4553A"/>
    <w:rsid w:val="00C46131"/>
    <w:rsid w:val="00C46439"/>
    <w:rsid w:val="00C523B2"/>
    <w:rsid w:val="00C52A0B"/>
    <w:rsid w:val="00C5315B"/>
    <w:rsid w:val="00C5469E"/>
    <w:rsid w:val="00C5559B"/>
    <w:rsid w:val="00C57C11"/>
    <w:rsid w:val="00C609A1"/>
    <w:rsid w:val="00C612E2"/>
    <w:rsid w:val="00C623EB"/>
    <w:rsid w:val="00C63300"/>
    <w:rsid w:val="00C64A97"/>
    <w:rsid w:val="00C65FD3"/>
    <w:rsid w:val="00C6653C"/>
    <w:rsid w:val="00C67FE7"/>
    <w:rsid w:val="00C716C2"/>
    <w:rsid w:val="00C71A0D"/>
    <w:rsid w:val="00C81001"/>
    <w:rsid w:val="00C8230C"/>
    <w:rsid w:val="00C831E4"/>
    <w:rsid w:val="00C8448B"/>
    <w:rsid w:val="00C87F5C"/>
    <w:rsid w:val="00C90689"/>
    <w:rsid w:val="00C90FDE"/>
    <w:rsid w:val="00C910FF"/>
    <w:rsid w:val="00C9653E"/>
    <w:rsid w:val="00CA0F70"/>
    <w:rsid w:val="00CA25D7"/>
    <w:rsid w:val="00CA2753"/>
    <w:rsid w:val="00CA3415"/>
    <w:rsid w:val="00CA437A"/>
    <w:rsid w:val="00CA6594"/>
    <w:rsid w:val="00CB0F42"/>
    <w:rsid w:val="00CB2AA6"/>
    <w:rsid w:val="00CB3327"/>
    <w:rsid w:val="00CB4A20"/>
    <w:rsid w:val="00CB622A"/>
    <w:rsid w:val="00CB6D02"/>
    <w:rsid w:val="00CB6F6C"/>
    <w:rsid w:val="00CB7270"/>
    <w:rsid w:val="00CC4FB8"/>
    <w:rsid w:val="00CD2CFF"/>
    <w:rsid w:val="00CD5414"/>
    <w:rsid w:val="00CD69B0"/>
    <w:rsid w:val="00CD69F3"/>
    <w:rsid w:val="00CD6D7C"/>
    <w:rsid w:val="00CE0A8A"/>
    <w:rsid w:val="00CE153B"/>
    <w:rsid w:val="00CE19F1"/>
    <w:rsid w:val="00CE1D36"/>
    <w:rsid w:val="00CE5582"/>
    <w:rsid w:val="00CE72A2"/>
    <w:rsid w:val="00CF17EF"/>
    <w:rsid w:val="00CF18ED"/>
    <w:rsid w:val="00CF1C83"/>
    <w:rsid w:val="00CF45DB"/>
    <w:rsid w:val="00CF4E9C"/>
    <w:rsid w:val="00D047BD"/>
    <w:rsid w:val="00D049F3"/>
    <w:rsid w:val="00D04AEC"/>
    <w:rsid w:val="00D067BC"/>
    <w:rsid w:val="00D06D1C"/>
    <w:rsid w:val="00D11FEB"/>
    <w:rsid w:val="00D165A9"/>
    <w:rsid w:val="00D166AB"/>
    <w:rsid w:val="00D22620"/>
    <w:rsid w:val="00D233AD"/>
    <w:rsid w:val="00D23B0F"/>
    <w:rsid w:val="00D243C6"/>
    <w:rsid w:val="00D24969"/>
    <w:rsid w:val="00D26A22"/>
    <w:rsid w:val="00D30D5B"/>
    <w:rsid w:val="00D3147E"/>
    <w:rsid w:val="00D31713"/>
    <w:rsid w:val="00D32618"/>
    <w:rsid w:val="00D32955"/>
    <w:rsid w:val="00D34A74"/>
    <w:rsid w:val="00D3567B"/>
    <w:rsid w:val="00D408AE"/>
    <w:rsid w:val="00D411BD"/>
    <w:rsid w:val="00D41505"/>
    <w:rsid w:val="00D42EDC"/>
    <w:rsid w:val="00D431EF"/>
    <w:rsid w:val="00D43B93"/>
    <w:rsid w:val="00D43C34"/>
    <w:rsid w:val="00D47CA7"/>
    <w:rsid w:val="00D47E29"/>
    <w:rsid w:val="00D50769"/>
    <w:rsid w:val="00D51104"/>
    <w:rsid w:val="00D51186"/>
    <w:rsid w:val="00D518A4"/>
    <w:rsid w:val="00D52E41"/>
    <w:rsid w:val="00D53510"/>
    <w:rsid w:val="00D5422F"/>
    <w:rsid w:val="00D57333"/>
    <w:rsid w:val="00D6166E"/>
    <w:rsid w:val="00D65A24"/>
    <w:rsid w:val="00D66224"/>
    <w:rsid w:val="00D67147"/>
    <w:rsid w:val="00D71C8D"/>
    <w:rsid w:val="00D71FC0"/>
    <w:rsid w:val="00D72186"/>
    <w:rsid w:val="00D7306A"/>
    <w:rsid w:val="00D75CB2"/>
    <w:rsid w:val="00D767F0"/>
    <w:rsid w:val="00D76EBE"/>
    <w:rsid w:val="00D770B5"/>
    <w:rsid w:val="00D77434"/>
    <w:rsid w:val="00D82977"/>
    <w:rsid w:val="00D83387"/>
    <w:rsid w:val="00D83671"/>
    <w:rsid w:val="00D86744"/>
    <w:rsid w:val="00D876AD"/>
    <w:rsid w:val="00D902FB"/>
    <w:rsid w:val="00D91E23"/>
    <w:rsid w:val="00D92AD8"/>
    <w:rsid w:val="00D96980"/>
    <w:rsid w:val="00DA1F8D"/>
    <w:rsid w:val="00DA41B7"/>
    <w:rsid w:val="00DB2198"/>
    <w:rsid w:val="00DB365D"/>
    <w:rsid w:val="00DB4E96"/>
    <w:rsid w:val="00DB6D72"/>
    <w:rsid w:val="00DB7916"/>
    <w:rsid w:val="00DC072B"/>
    <w:rsid w:val="00DC30B3"/>
    <w:rsid w:val="00DC3BDB"/>
    <w:rsid w:val="00DC42D0"/>
    <w:rsid w:val="00DC4640"/>
    <w:rsid w:val="00DC495E"/>
    <w:rsid w:val="00DC5553"/>
    <w:rsid w:val="00DC6480"/>
    <w:rsid w:val="00DC6776"/>
    <w:rsid w:val="00DC6FB5"/>
    <w:rsid w:val="00DC7119"/>
    <w:rsid w:val="00DD134F"/>
    <w:rsid w:val="00DD171F"/>
    <w:rsid w:val="00DD275D"/>
    <w:rsid w:val="00DD359C"/>
    <w:rsid w:val="00DD4673"/>
    <w:rsid w:val="00DE064F"/>
    <w:rsid w:val="00DE34A2"/>
    <w:rsid w:val="00DE423C"/>
    <w:rsid w:val="00DF1CE1"/>
    <w:rsid w:val="00DF1D0E"/>
    <w:rsid w:val="00DF331F"/>
    <w:rsid w:val="00DF3CB1"/>
    <w:rsid w:val="00DF4153"/>
    <w:rsid w:val="00DF4877"/>
    <w:rsid w:val="00DF68BE"/>
    <w:rsid w:val="00DF72AC"/>
    <w:rsid w:val="00E01621"/>
    <w:rsid w:val="00E01A14"/>
    <w:rsid w:val="00E01A66"/>
    <w:rsid w:val="00E02C8D"/>
    <w:rsid w:val="00E038D6"/>
    <w:rsid w:val="00E04EBF"/>
    <w:rsid w:val="00E05EF5"/>
    <w:rsid w:val="00E109D4"/>
    <w:rsid w:val="00E12B94"/>
    <w:rsid w:val="00E13C61"/>
    <w:rsid w:val="00E14FE3"/>
    <w:rsid w:val="00E177FD"/>
    <w:rsid w:val="00E21834"/>
    <w:rsid w:val="00E253F5"/>
    <w:rsid w:val="00E255B9"/>
    <w:rsid w:val="00E2690F"/>
    <w:rsid w:val="00E306AA"/>
    <w:rsid w:val="00E30814"/>
    <w:rsid w:val="00E322E2"/>
    <w:rsid w:val="00E33BE7"/>
    <w:rsid w:val="00E3429C"/>
    <w:rsid w:val="00E40D28"/>
    <w:rsid w:val="00E4157B"/>
    <w:rsid w:val="00E42CCD"/>
    <w:rsid w:val="00E43392"/>
    <w:rsid w:val="00E44A47"/>
    <w:rsid w:val="00E45567"/>
    <w:rsid w:val="00E46B2E"/>
    <w:rsid w:val="00E5012F"/>
    <w:rsid w:val="00E5058E"/>
    <w:rsid w:val="00E510B9"/>
    <w:rsid w:val="00E527EB"/>
    <w:rsid w:val="00E541B6"/>
    <w:rsid w:val="00E555D4"/>
    <w:rsid w:val="00E55B35"/>
    <w:rsid w:val="00E5624D"/>
    <w:rsid w:val="00E563A2"/>
    <w:rsid w:val="00E571CE"/>
    <w:rsid w:val="00E579D5"/>
    <w:rsid w:val="00E601C1"/>
    <w:rsid w:val="00E61B19"/>
    <w:rsid w:val="00E61B32"/>
    <w:rsid w:val="00E62E58"/>
    <w:rsid w:val="00E63D8E"/>
    <w:rsid w:val="00E650D1"/>
    <w:rsid w:val="00E658F6"/>
    <w:rsid w:val="00E7014A"/>
    <w:rsid w:val="00E702F0"/>
    <w:rsid w:val="00E70E75"/>
    <w:rsid w:val="00E7160E"/>
    <w:rsid w:val="00E71FF3"/>
    <w:rsid w:val="00E72108"/>
    <w:rsid w:val="00E76C1B"/>
    <w:rsid w:val="00E80F29"/>
    <w:rsid w:val="00E83C8A"/>
    <w:rsid w:val="00E86759"/>
    <w:rsid w:val="00E96139"/>
    <w:rsid w:val="00E96835"/>
    <w:rsid w:val="00E97E5B"/>
    <w:rsid w:val="00EA1250"/>
    <w:rsid w:val="00EA15B3"/>
    <w:rsid w:val="00EA1E62"/>
    <w:rsid w:val="00EA3537"/>
    <w:rsid w:val="00EB119D"/>
    <w:rsid w:val="00EB6714"/>
    <w:rsid w:val="00EB689A"/>
    <w:rsid w:val="00EB78C6"/>
    <w:rsid w:val="00EB7BC0"/>
    <w:rsid w:val="00EC145F"/>
    <w:rsid w:val="00EC1CE9"/>
    <w:rsid w:val="00EC1EA6"/>
    <w:rsid w:val="00EC2524"/>
    <w:rsid w:val="00EC2A30"/>
    <w:rsid w:val="00EC4B2F"/>
    <w:rsid w:val="00EC68BB"/>
    <w:rsid w:val="00ED2311"/>
    <w:rsid w:val="00ED2CDC"/>
    <w:rsid w:val="00ED596F"/>
    <w:rsid w:val="00ED68C0"/>
    <w:rsid w:val="00EE04F8"/>
    <w:rsid w:val="00EE0BC2"/>
    <w:rsid w:val="00EE3D04"/>
    <w:rsid w:val="00EE3F45"/>
    <w:rsid w:val="00EE4E91"/>
    <w:rsid w:val="00EE573C"/>
    <w:rsid w:val="00EF0D34"/>
    <w:rsid w:val="00EF105C"/>
    <w:rsid w:val="00EF1432"/>
    <w:rsid w:val="00EF32B1"/>
    <w:rsid w:val="00EF3553"/>
    <w:rsid w:val="00EF574F"/>
    <w:rsid w:val="00EF6608"/>
    <w:rsid w:val="00F003BA"/>
    <w:rsid w:val="00F03016"/>
    <w:rsid w:val="00F03625"/>
    <w:rsid w:val="00F052AA"/>
    <w:rsid w:val="00F05DD4"/>
    <w:rsid w:val="00F07081"/>
    <w:rsid w:val="00F11020"/>
    <w:rsid w:val="00F12C38"/>
    <w:rsid w:val="00F149A7"/>
    <w:rsid w:val="00F14B62"/>
    <w:rsid w:val="00F16989"/>
    <w:rsid w:val="00F16A7D"/>
    <w:rsid w:val="00F17BFF"/>
    <w:rsid w:val="00F204D4"/>
    <w:rsid w:val="00F208C1"/>
    <w:rsid w:val="00F2266A"/>
    <w:rsid w:val="00F22D20"/>
    <w:rsid w:val="00F22D8A"/>
    <w:rsid w:val="00F24B30"/>
    <w:rsid w:val="00F27091"/>
    <w:rsid w:val="00F3416F"/>
    <w:rsid w:val="00F35A13"/>
    <w:rsid w:val="00F36414"/>
    <w:rsid w:val="00F3745D"/>
    <w:rsid w:val="00F37D2E"/>
    <w:rsid w:val="00F417C4"/>
    <w:rsid w:val="00F421E7"/>
    <w:rsid w:val="00F42656"/>
    <w:rsid w:val="00F531C9"/>
    <w:rsid w:val="00F551B1"/>
    <w:rsid w:val="00F555ED"/>
    <w:rsid w:val="00F572C2"/>
    <w:rsid w:val="00F636FB"/>
    <w:rsid w:val="00F637B0"/>
    <w:rsid w:val="00F6524A"/>
    <w:rsid w:val="00F66D81"/>
    <w:rsid w:val="00F67C09"/>
    <w:rsid w:val="00F702E8"/>
    <w:rsid w:val="00F70AEF"/>
    <w:rsid w:val="00F71272"/>
    <w:rsid w:val="00F71899"/>
    <w:rsid w:val="00F71CF3"/>
    <w:rsid w:val="00F77406"/>
    <w:rsid w:val="00F80031"/>
    <w:rsid w:val="00F80A83"/>
    <w:rsid w:val="00F81A13"/>
    <w:rsid w:val="00F8260D"/>
    <w:rsid w:val="00F847E9"/>
    <w:rsid w:val="00F86737"/>
    <w:rsid w:val="00F86AF6"/>
    <w:rsid w:val="00F90A48"/>
    <w:rsid w:val="00F91966"/>
    <w:rsid w:val="00F91A18"/>
    <w:rsid w:val="00F9374A"/>
    <w:rsid w:val="00F93884"/>
    <w:rsid w:val="00F96F85"/>
    <w:rsid w:val="00F97F5A"/>
    <w:rsid w:val="00FA1606"/>
    <w:rsid w:val="00FA1A99"/>
    <w:rsid w:val="00FA2E76"/>
    <w:rsid w:val="00FA309D"/>
    <w:rsid w:val="00FA47C7"/>
    <w:rsid w:val="00FA4C21"/>
    <w:rsid w:val="00FA4F32"/>
    <w:rsid w:val="00FA6450"/>
    <w:rsid w:val="00FA74E5"/>
    <w:rsid w:val="00FB79A6"/>
    <w:rsid w:val="00FC056C"/>
    <w:rsid w:val="00FC1501"/>
    <w:rsid w:val="00FC4BDF"/>
    <w:rsid w:val="00FC69A5"/>
    <w:rsid w:val="00FD1816"/>
    <w:rsid w:val="00FD1FB7"/>
    <w:rsid w:val="00FD4D8F"/>
    <w:rsid w:val="00FD66FE"/>
    <w:rsid w:val="00FD6D7F"/>
    <w:rsid w:val="00FD6EA7"/>
    <w:rsid w:val="00FE34E6"/>
    <w:rsid w:val="00FE4AA0"/>
    <w:rsid w:val="00FE4D59"/>
    <w:rsid w:val="00FE7240"/>
    <w:rsid w:val="00FF0409"/>
    <w:rsid w:val="00FF0D68"/>
    <w:rsid w:val="00FF1B34"/>
    <w:rsid w:val="00FF1DA8"/>
    <w:rsid w:val="00FF2247"/>
    <w:rsid w:val="00FF2F84"/>
    <w:rsid w:val="00FF5218"/>
    <w:rsid w:val="00FF59C5"/>
    <w:rsid w:val="00FF63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GB" w:bidi="en-GB"/>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9D22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73E5"/>
    <w:pPr>
      <w:ind w:left="720"/>
      <w:contextualSpacing/>
    </w:pPr>
  </w:style>
  <w:style w:type="paragraph" w:styleId="Tekstprzypisudolnego">
    <w:name w:val="footnote text"/>
    <w:basedOn w:val="Normalny"/>
    <w:link w:val="TekstprzypisudolnegoZnak"/>
    <w:uiPriority w:val="99"/>
    <w:unhideWhenUsed/>
    <w:rsid w:val="00DF33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F331F"/>
    <w:rPr>
      <w:sz w:val="20"/>
      <w:szCs w:val="20"/>
    </w:rPr>
  </w:style>
  <w:style w:type="character" w:styleId="Odwoanieprzypisudolnego">
    <w:name w:val="footnote reference"/>
    <w:basedOn w:val="Domylnaczcionkaakapitu"/>
    <w:uiPriority w:val="99"/>
    <w:unhideWhenUsed/>
    <w:rsid w:val="00DF331F"/>
    <w:rPr>
      <w:vertAlign w:val="superscript"/>
    </w:rPr>
  </w:style>
  <w:style w:type="paragraph" w:styleId="Nagwek">
    <w:name w:val="header"/>
    <w:basedOn w:val="Normalny"/>
    <w:link w:val="NagwekZnak"/>
    <w:uiPriority w:val="99"/>
    <w:unhideWhenUsed/>
    <w:rsid w:val="00A95DA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95DA8"/>
  </w:style>
  <w:style w:type="paragraph" w:styleId="Stopka">
    <w:name w:val="footer"/>
    <w:basedOn w:val="Normalny"/>
    <w:link w:val="StopkaZnak"/>
    <w:uiPriority w:val="99"/>
    <w:unhideWhenUsed/>
    <w:rsid w:val="00A95DA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95DA8"/>
  </w:style>
  <w:style w:type="paragraph" w:styleId="Bezodstpw">
    <w:name w:val="No Spacing"/>
    <w:link w:val="BezodstpwZnak"/>
    <w:uiPriority w:val="1"/>
    <w:qFormat/>
    <w:rsid w:val="00012023"/>
    <w:pPr>
      <w:spacing w:after="0" w:line="240" w:lineRule="auto"/>
    </w:pPr>
    <w:rPr>
      <w:rFonts w:eastAsiaTheme="minorEastAsia"/>
    </w:rPr>
  </w:style>
  <w:style w:type="character" w:customStyle="1" w:styleId="BezodstpwZnak">
    <w:name w:val="Bez odstępów Znak"/>
    <w:basedOn w:val="Domylnaczcionkaakapitu"/>
    <w:link w:val="Bezodstpw"/>
    <w:uiPriority w:val="1"/>
    <w:rsid w:val="00012023"/>
    <w:rPr>
      <w:rFonts w:eastAsiaTheme="minorEastAsia"/>
      <w:lang w:eastAsia="en-GB"/>
    </w:rPr>
  </w:style>
  <w:style w:type="paragraph" w:styleId="Tekstdymka">
    <w:name w:val="Balloon Text"/>
    <w:basedOn w:val="Normalny"/>
    <w:link w:val="TekstdymkaZnak"/>
    <w:uiPriority w:val="99"/>
    <w:semiHidden/>
    <w:unhideWhenUsed/>
    <w:rsid w:val="0001202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12023"/>
    <w:rPr>
      <w:rFonts w:ascii="Tahoma" w:hAnsi="Tahoma" w:cs="Tahoma"/>
      <w:sz w:val="16"/>
      <w:szCs w:val="16"/>
    </w:rPr>
  </w:style>
  <w:style w:type="paragraph" w:styleId="Tytu">
    <w:name w:val="Title"/>
    <w:basedOn w:val="Normalny"/>
    <w:next w:val="Normalny"/>
    <w:link w:val="TytuZnak"/>
    <w:uiPriority w:val="10"/>
    <w:qFormat/>
    <w:rsid w:val="000120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012023"/>
    <w:rPr>
      <w:rFonts w:asciiTheme="majorHAnsi" w:eastAsiaTheme="majorEastAsia" w:hAnsiTheme="majorHAnsi" w:cstheme="majorBidi"/>
      <w:color w:val="17365D" w:themeColor="text2" w:themeShade="BF"/>
      <w:spacing w:val="5"/>
      <w:kern w:val="28"/>
      <w:sz w:val="52"/>
      <w:szCs w:val="52"/>
      <w:lang w:eastAsia="en-GB"/>
    </w:rPr>
  </w:style>
  <w:style w:type="paragraph" w:styleId="Podtytu">
    <w:name w:val="Subtitle"/>
    <w:basedOn w:val="Normalny"/>
    <w:next w:val="Normalny"/>
    <w:link w:val="PodtytuZnak"/>
    <w:uiPriority w:val="11"/>
    <w:qFormat/>
    <w:rsid w:val="0001202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012023"/>
    <w:rPr>
      <w:rFonts w:asciiTheme="majorHAnsi" w:eastAsiaTheme="majorEastAsia" w:hAnsiTheme="majorHAnsi" w:cstheme="majorBidi"/>
      <w:i/>
      <w:iCs/>
      <w:color w:val="4F81BD" w:themeColor="accent1"/>
      <w:spacing w:val="15"/>
      <w:sz w:val="24"/>
      <w:szCs w:val="24"/>
      <w:lang w:eastAsia="en-GB"/>
    </w:rPr>
  </w:style>
  <w:style w:type="character" w:customStyle="1" w:styleId="Nagwek1Znak">
    <w:name w:val="Nagłówek 1 Znak"/>
    <w:basedOn w:val="Domylnaczcionkaakapitu"/>
    <w:link w:val="Nagwek1"/>
    <w:uiPriority w:val="9"/>
    <w:rsid w:val="009D22C1"/>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9D22C1"/>
    <w:pPr>
      <w:outlineLvl w:val="9"/>
    </w:pPr>
  </w:style>
  <w:style w:type="paragraph" w:styleId="Spistreci2">
    <w:name w:val="toc 2"/>
    <w:basedOn w:val="Normalny"/>
    <w:next w:val="Normalny"/>
    <w:autoRedefine/>
    <w:uiPriority w:val="39"/>
    <w:semiHidden/>
    <w:unhideWhenUsed/>
    <w:qFormat/>
    <w:rsid w:val="009D22C1"/>
    <w:pPr>
      <w:spacing w:after="100"/>
      <w:ind w:left="220"/>
    </w:pPr>
    <w:rPr>
      <w:rFonts w:eastAsiaTheme="minorEastAsia"/>
    </w:rPr>
  </w:style>
  <w:style w:type="paragraph" w:styleId="Spistreci1">
    <w:name w:val="toc 1"/>
    <w:basedOn w:val="Normalny"/>
    <w:next w:val="Normalny"/>
    <w:autoRedefine/>
    <w:uiPriority w:val="39"/>
    <w:semiHidden/>
    <w:unhideWhenUsed/>
    <w:qFormat/>
    <w:rsid w:val="009D22C1"/>
    <w:pPr>
      <w:spacing w:after="100"/>
    </w:pPr>
    <w:rPr>
      <w:rFonts w:eastAsiaTheme="minorEastAsia"/>
    </w:rPr>
  </w:style>
  <w:style w:type="paragraph" w:styleId="Spistreci3">
    <w:name w:val="toc 3"/>
    <w:basedOn w:val="Normalny"/>
    <w:next w:val="Normalny"/>
    <w:autoRedefine/>
    <w:uiPriority w:val="39"/>
    <w:semiHidden/>
    <w:unhideWhenUsed/>
    <w:qFormat/>
    <w:rsid w:val="009D22C1"/>
    <w:pPr>
      <w:spacing w:after="100"/>
      <w:ind w:left="440"/>
    </w:pPr>
    <w:rPr>
      <w:rFonts w:eastAsiaTheme="minorEastAsia"/>
    </w:rPr>
  </w:style>
  <w:style w:type="paragraph" w:styleId="Tekstpodstawowywcity3">
    <w:name w:val="Body Text Indent 3"/>
    <w:basedOn w:val="Normalny"/>
    <w:link w:val="Tekstpodstawowywcity3Znak"/>
    <w:uiPriority w:val="99"/>
    <w:semiHidden/>
    <w:unhideWhenUsed/>
    <w:rsid w:val="004021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021B3"/>
    <w:rPr>
      <w:sz w:val="16"/>
      <w:szCs w:val="16"/>
    </w:rPr>
  </w:style>
  <w:style w:type="character" w:styleId="Hipercze">
    <w:name w:val="Hyperlink"/>
    <w:basedOn w:val="Domylnaczcionkaakapitu"/>
    <w:uiPriority w:val="99"/>
    <w:unhideWhenUsed/>
    <w:rsid w:val="00CA3415"/>
    <w:rPr>
      <w:color w:val="0000FF" w:themeColor="hyperlink"/>
      <w:u w:val="single"/>
    </w:rPr>
  </w:style>
  <w:style w:type="character" w:styleId="Odwoaniedokomentarza">
    <w:name w:val="annotation reference"/>
    <w:basedOn w:val="Domylnaczcionkaakapitu"/>
    <w:uiPriority w:val="99"/>
    <w:semiHidden/>
    <w:unhideWhenUsed/>
    <w:rsid w:val="00777CC3"/>
    <w:rPr>
      <w:sz w:val="16"/>
      <w:szCs w:val="16"/>
    </w:rPr>
  </w:style>
  <w:style w:type="paragraph" w:styleId="Tekstkomentarza">
    <w:name w:val="annotation text"/>
    <w:basedOn w:val="Normalny"/>
    <w:link w:val="TekstkomentarzaZnak"/>
    <w:uiPriority w:val="99"/>
    <w:semiHidden/>
    <w:unhideWhenUsed/>
    <w:rsid w:val="00777CC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7CC3"/>
    <w:rPr>
      <w:sz w:val="20"/>
      <w:szCs w:val="20"/>
    </w:rPr>
  </w:style>
  <w:style w:type="paragraph" w:styleId="Tematkomentarza">
    <w:name w:val="annotation subject"/>
    <w:basedOn w:val="Tekstkomentarza"/>
    <w:next w:val="Tekstkomentarza"/>
    <w:link w:val="TematkomentarzaZnak"/>
    <w:uiPriority w:val="99"/>
    <w:semiHidden/>
    <w:unhideWhenUsed/>
    <w:rsid w:val="00777CC3"/>
    <w:rPr>
      <w:b/>
      <w:bCs/>
    </w:rPr>
  </w:style>
  <w:style w:type="character" w:customStyle="1" w:styleId="TematkomentarzaZnak">
    <w:name w:val="Temat komentarza Znak"/>
    <w:basedOn w:val="TekstkomentarzaZnak"/>
    <w:link w:val="Tematkomentarza"/>
    <w:uiPriority w:val="99"/>
    <w:semiHidden/>
    <w:rsid w:val="00777CC3"/>
    <w:rPr>
      <w:b/>
      <w:bCs/>
      <w:sz w:val="20"/>
      <w:szCs w:val="20"/>
    </w:rPr>
  </w:style>
  <w:style w:type="table" w:styleId="Tabela-Siatka">
    <w:name w:val="Table Grid"/>
    <w:basedOn w:val="Standardowy"/>
    <w:uiPriority w:val="59"/>
    <w:rsid w:val="00891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891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BA3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dniasiatka1akcent6">
    <w:name w:val="Medium Grid 1 Accent 6"/>
    <w:basedOn w:val="Standardowy"/>
    <w:uiPriority w:val="67"/>
    <w:rsid w:val="00623F5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3akcent6">
    <w:name w:val="Medium Grid 3 Accent 6"/>
    <w:basedOn w:val="Standardowy"/>
    <w:uiPriority w:val="69"/>
    <w:rsid w:val="0010107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GB" w:bidi="en-GB"/>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9D22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73E5"/>
    <w:pPr>
      <w:ind w:left="720"/>
      <w:contextualSpacing/>
    </w:pPr>
  </w:style>
  <w:style w:type="paragraph" w:styleId="Tekstprzypisudolnego">
    <w:name w:val="footnote text"/>
    <w:basedOn w:val="Normalny"/>
    <w:link w:val="TekstprzypisudolnegoZnak"/>
    <w:uiPriority w:val="99"/>
    <w:unhideWhenUsed/>
    <w:rsid w:val="00DF33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F331F"/>
    <w:rPr>
      <w:sz w:val="20"/>
      <w:szCs w:val="20"/>
    </w:rPr>
  </w:style>
  <w:style w:type="character" w:styleId="Odwoanieprzypisudolnego">
    <w:name w:val="footnote reference"/>
    <w:basedOn w:val="Domylnaczcionkaakapitu"/>
    <w:uiPriority w:val="99"/>
    <w:unhideWhenUsed/>
    <w:rsid w:val="00DF331F"/>
    <w:rPr>
      <w:vertAlign w:val="superscript"/>
    </w:rPr>
  </w:style>
  <w:style w:type="paragraph" w:styleId="Nagwek">
    <w:name w:val="header"/>
    <w:basedOn w:val="Normalny"/>
    <w:link w:val="NagwekZnak"/>
    <w:uiPriority w:val="99"/>
    <w:unhideWhenUsed/>
    <w:rsid w:val="00A95DA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95DA8"/>
  </w:style>
  <w:style w:type="paragraph" w:styleId="Stopka">
    <w:name w:val="footer"/>
    <w:basedOn w:val="Normalny"/>
    <w:link w:val="StopkaZnak"/>
    <w:uiPriority w:val="99"/>
    <w:unhideWhenUsed/>
    <w:rsid w:val="00A95DA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95DA8"/>
  </w:style>
  <w:style w:type="paragraph" w:styleId="Bezodstpw">
    <w:name w:val="No Spacing"/>
    <w:link w:val="BezodstpwZnak"/>
    <w:uiPriority w:val="1"/>
    <w:qFormat/>
    <w:rsid w:val="00012023"/>
    <w:pPr>
      <w:spacing w:after="0" w:line="240" w:lineRule="auto"/>
    </w:pPr>
    <w:rPr>
      <w:rFonts w:eastAsiaTheme="minorEastAsia"/>
    </w:rPr>
  </w:style>
  <w:style w:type="character" w:customStyle="1" w:styleId="BezodstpwZnak">
    <w:name w:val="Bez odstępów Znak"/>
    <w:basedOn w:val="Domylnaczcionkaakapitu"/>
    <w:link w:val="Bezodstpw"/>
    <w:uiPriority w:val="1"/>
    <w:rsid w:val="00012023"/>
    <w:rPr>
      <w:rFonts w:eastAsiaTheme="minorEastAsia"/>
      <w:lang w:eastAsia="en-GB"/>
    </w:rPr>
  </w:style>
  <w:style w:type="paragraph" w:styleId="Tekstdymka">
    <w:name w:val="Balloon Text"/>
    <w:basedOn w:val="Normalny"/>
    <w:link w:val="TekstdymkaZnak"/>
    <w:uiPriority w:val="99"/>
    <w:semiHidden/>
    <w:unhideWhenUsed/>
    <w:rsid w:val="0001202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12023"/>
    <w:rPr>
      <w:rFonts w:ascii="Tahoma" w:hAnsi="Tahoma" w:cs="Tahoma"/>
      <w:sz w:val="16"/>
      <w:szCs w:val="16"/>
    </w:rPr>
  </w:style>
  <w:style w:type="paragraph" w:styleId="Tytu">
    <w:name w:val="Title"/>
    <w:basedOn w:val="Normalny"/>
    <w:next w:val="Normalny"/>
    <w:link w:val="TytuZnak"/>
    <w:uiPriority w:val="10"/>
    <w:qFormat/>
    <w:rsid w:val="000120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012023"/>
    <w:rPr>
      <w:rFonts w:asciiTheme="majorHAnsi" w:eastAsiaTheme="majorEastAsia" w:hAnsiTheme="majorHAnsi" w:cstheme="majorBidi"/>
      <w:color w:val="17365D" w:themeColor="text2" w:themeShade="BF"/>
      <w:spacing w:val="5"/>
      <w:kern w:val="28"/>
      <w:sz w:val="52"/>
      <w:szCs w:val="52"/>
      <w:lang w:eastAsia="en-GB"/>
    </w:rPr>
  </w:style>
  <w:style w:type="paragraph" w:styleId="Podtytu">
    <w:name w:val="Subtitle"/>
    <w:basedOn w:val="Normalny"/>
    <w:next w:val="Normalny"/>
    <w:link w:val="PodtytuZnak"/>
    <w:uiPriority w:val="11"/>
    <w:qFormat/>
    <w:rsid w:val="0001202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012023"/>
    <w:rPr>
      <w:rFonts w:asciiTheme="majorHAnsi" w:eastAsiaTheme="majorEastAsia" w:hAnsiTheme="majorHAnsi" w:cstheme="majorBidi"/>
      <w:i/>
      <w:iCs/>
      <w:color w:val="4F81BD" w:themeColor="accent1"/>
      <w:spacing w:val="15"/>
      <w:sz w:val="24"/>
      <w:szCs w:val="24"/>
      <w:lang w:eastAsia="en-GB"/>
    </w:rPr>
  </w:style>
  <w:style w:type="character" w:customStyle="1" w:styleId="Nagwek1Znak">
    <w:name w:val="Nagłówek 1 Znak"/>
    <w:basedOn w:val="Domylnaczcionkaakapitu"/>
    <w:link w:val="Nagwek1"/>
    <w:uiPriority w:val="9"/>
    <w:rsid w:val="009D22C1"/>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9D22C1"/>
    <w:pPr>
      <w:outlineLvl w:val="9"/>
    </w:pPr>
  </w:style>
  <w:style w:type="paragraph" w:styleId="Spistreci2">
    <w:name w:val="toc 2"/>
    <w:basedOn w:val="Normalny"/>
    <w:next w:val="Normalny"/>
    <w:autoRedefine/>
    <w:uiPriority w:val="39"/>
    <w:semiHidden/>
    <w:unhideWhenUsed/>
    <w:qFormat/>
    <w:rsid w:val="009D22C1"/>
    <w:pPr>
      <w:spacing w:after="100"/>
      <w:ind w:left="220"/>
    </w:pPr>
    <w:rPr>
      <w:rFonts w:eastAsiaTheme="minorEastAsia"/>
    </w:rPr>
  </w:style>
  <w:style w:type="paragraph" w:styleId="Spistreci1">
    <w:name w:val="toc 1"/>
    <w:basedOn w:val="Normalny"/>
    <w:next w:val="Normalny"/>
    <w:autoRedefine/>
    <w:uiPriority w:val="39"/>
    <w:semiHidden/>
    <w:unhideWhenUsed/>
    <w:qFormat/>
    <w:rsid w:val="009D22C1"/>
    <w:pPr>
      <w:spacing w:after="100"/>
    </w:pPr>
    <w:rPr>
      <w:rFonts w:eastAsiaTheme="minorEastAsia"/>
    </w:rPr>
  </w:style>
  <w:style w:type="paragraph" w:styleId="Spistreci3">
    <w:name w:val="toc 3"/>
    <w:basedOn w:val="Normalny"/>
    <w:next w:val="Normalny"/>
    <w:autoRedefine/>
    <w:uiPriority w:val="39"/>
    <w:semiHidden/>
    <w:unhideWhenUsed/>
    <w:qFormat/>
    <w:rsid w:val="009D22C1"/>
    <w:pPr>
      <w:spacing w:after="100"/>
      <w:ind w:left="440"/>
    </w:pPr>
    <w:rPr>
      <w:rFonts w:eastAsiaTheme="minorEastAsia"/>
    </w:rPr>
  </w:style>
  <w:style w:type="paragraph" w:styleId="Tekstpodstawowywcity3">
    <w:name w:val="Body Text Indent 3"/>
    <w:basedOn w:val="Normalny"/>
    <w:link w:val="Tekstpodstawowywcity3Znak"/>
    <w:uiPriority w:val="99"/>
    <w:semiHidden/>
    <w:unhideWhenUsed/>
    <w:rsid w:val="004021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021B3"/>
    <w:rPr>
      <w:sz w:val="16"/>
      <w:szCs w:val="16"/>
    </w:rPr>
  </w:style>
  <w:style w:type="character" w:styleId="Hipercze">
    <w:name w:val="Hyperlink"/>
    <w:basedOn w:val="Domylnaczcionkaakapitu"/>
    <w:uiPriority w:val="99"/>
    <w:unhideWhenUsed/>
    <w:rsid w:val="00CA3415"/>
    <w:rPr>
      <w:color w:val="0000FF" w:themeColor="hyperlink"/>
      <w:u w:val="single"/>
    </w:rPr>
  </w:style>
  <w:style w:type="character" w:styleId="Odwoaniedokomentarza">
    <w:name w:val="annotation reference"/>
    <w:basedOn w:val="Domylnaczcionkaakapitu"/>
    <w:uiPriority w:val="99"/>
    <w:semiHidden/>
    <w:unhideWhenUsed/>
    <w:rsid w:val="00777CC3"/>
    <w:rPr>
      <w:sz w:val="16"/>
      <w:szCs w:val="16"/>
    </w:rPr>
  </w:style>
  <w:style w:type="paragraph" w:styleId="Tekstkomentarza">
    <w:name w:val="annotation text"/>
    <w:basedOn w:val="Normalny"/>
    <w:link w:val="TekstkomentarzaZnak"/>
    <w:uiPriority w:val="99"/>
    <w:semiHidden/>
    <w:unhideWhenUsed/>
    <w:rsid w:val="00777CC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7CC3"/>
    <w:rPr>
      <w:sz w:val="20"/>
      <w:szCs w:val="20"/>
    </w:rPr>
  </w:style>
  <w:style w:type="paragraph" w:styleId="Tematkomentarza">
    <w:name w:val="annotation subject"/>
    <w:basedOn w:val="Tekstkomentarza"/>
    <w:next w:val="Tekstkomentarza"/>
    <w:link w:val="TematkomentarzaZnak"/>
    <w:uiPriority w:val="99"/>
    <w:semiHidden/>
    <w:unhideWhenUsed/>
    <w:rsid w:val="00777CC3"/>
    <w:rPr>
      <w:b/>
      <w:bCs/>
    </w:rPr>
  </w:style>
  <w:style w:type="character" w:customStyle="1" w:styleId="TematkomentarzaZnak">
    <w:name w:val="Temat komentarza Znak"/>
    <w:basedOn w:val="TekstkomentarzaZnak"/>
    <w:link w:val="Tematkomentarza"/>
    <w:uiPriority w:val="99"/>
    <w:semiHidden/>
    <w:rsid w:val="00777CC3"/>
    <w:rPr>
      <w:b/>
      <w:bCs/>
      <w:sz w:val="20"/>
      <w:szCs w:val="20"/>
    </w:rPr>
  </w:style>
  <w:style w:type="table" w:styleId="Tabela-Siatka">
    <w:name w:val="Table Grid"/>
    <w:basedOn w:val="Standardowy"/>
    <w:uiPriority w:val="59"/>
    <w:rsid w:val="00891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891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BA3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dniasiatka1akcent6">
    <w:name w:val="Medium Grid 1 Accent 6"/>
    <w:basedOn w:val="Standardowy"/>
    <w:uiPriority w:val="67"/>
    <w:rsid w:val="00623F5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3akcent6">
    <w:name w:val="Medium Grid 3 Accent 6"/>
    <w:basedOn w:val="Standardowy"/>
    <w:uiPriority w:val="69"/>
    <w:rsid w:val="0010107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45120">
      <w:bodyDiv w:val="1"/>
      <w:marLeft w:val="0"/>
      <w:marRight w:val="0"/>
      <w:marTop w:val="0"/>
      <w:marBottom w:val="0"/>
      <w:divBdr>
        <w:top w:val="none" w:sz="0" w:space="0" w:color="auto"/>
        <w:left w:val="none" w:sz="0" w:space="0" w:color="auto"/>
        <w:bottom w:val="none" w:sz="0" w:space="0" w:color="auto"/>
        <w:right w:val="none" w:sz="0" w:space="0" w:color="auto"/>
      </w:divBdr>
    </w:div>
    <w:div w:id="367796539">
      <w:bodyDiv w:val="1"/>
      <w:marLeft w:val="0"/>
      <w:marRight w:val="0"/>
      <w:marTop w:val="0"/>
      <w:marBottom w:val="0"/>
      <w:divBdr>
        <w:top w:val="none" w:sz="0" w:space="0" w:color="auto"/>
        <w:left w:val="none" w:sz="0" w:space="0" w:color="auto"/>
        <w:bottom w:val="none" w:sz="0" w:space="0" w:color="auto"/>
        <w:right w:val="none" w:sz="0" w:space="0" w:color="auto"/>
      </w:divBdr>
    </w:div>
    <w:div w:id="883059912">
      <w:bodyDiv w:val="1"/>
      <w:marLeft w:val="0"/>
      <w:marRight w:val="0"/>
      <w:marTop w:val="0"/>
      <w:marBottom w:val="0"/>
      <w:divBdr>
        <w:top w:val="none" w:sz="0" w:space="0" w:color="auto"/>
        <w:left w:val="none" w:sz="0" w:space="0" w:color="auto"/>
        <w:bottom w:val="none" w:sz="0" w:space="0" w:color="auto"/>
        <w:right w:val="none" w:sz="0" w:space="0" w:color="auto"/>
      </w:divBdr>
    </w:div>
    <w:div w:id="182415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customXml" Target="../customXml/item3.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overPageProperties xmlns="http://schemas.microsoft.com/office/2006/coverPageProps">
  <PublishDate/>
  <Abstract>Sprawozdanie stanowi realizację uprawnień Rzecznika Praw Obywatelskich </Abstract>
  <CompanyAddress/>
  <CompanyPhone/>
  <CompanyFax/>
  <CompanyEmail/>
</CoverPage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837F63-5A7B-45EB-9B98-98A2B607E6B5}"/>
</file>

<file path=customXml/itemProps2.xml><?xml version="1.0" encoding="utf-8"?>
<ds:datastoreItem xmlns:ds="http://schemas.openxmlformats.org/officeDocument/2006/customXml" ds:itemID="{DE903167-581D-40D8-BBCF-37274B14B86B}"/>
</file>

<file path=customXml/itemProps3.xml><?xml version="1.0" encoding="utf-8"?>
<ds:datastoreItem xmlns:ds="http://schemas.openxmlformats.org/officeDocument/2006/customXml" ds:itemID="{709307A2-5675-4A36-AD65-D9BA173F50EE}"/>
</file>

<file path=customXml/itemProps4.xml><?xml version="1.0" encoding="utf-8"?>
<ds:datastoreItem xmlns:ds="http://schemas.openxmlformats.org/officeDocument/2006/customXml" ds:itemID="{55AF091B-3C7A-41E3-B477-F2FDAA23CFDA}"/>
</file>

<file path=customXml/itemProps5.xml><?xml version="1.0" encoding="utf-8"?>
<ds:datastoreItem xmlns:ds="http://schemas.openxmlformats.org/officeDocument/2006/customXml" ds:itemID="{885F5DF4-32F8-4A3F-87E6-2B5F662BD497}"/>
</file>

<file path=docProps/app.xml><?xml version="1.0" encoding="utf-8"?>
<Properties xmlns="http://schemas.openxmlformats.org/officeDocument/2006/extended-properties" xmlns:vt="http://schemas.openxmlformats.org/officeDocument/2006/docPropsVTypes">
  <Template>Normal</Template>
  <TotalTime>1</TotalTime>
  <Pages>17</Pages>
  <Words>6329</Words>
  <Characters>35068</Characters>
  <Application>Microsoft Office Word</Application>
  <DocSecurity>0</DocSecurity>
  <Lines>574</Lines>
  <Paragraphs>177</Paragraphs>
  <ScaleCrop>false</ScaleCrop>
  <HeadingPairs>
    <vt:vector size="2" baseType="variant">
      <vt:variant>
        <vt:lpstr>Tytuł</vt:lpstr>
      </vt:variant>
      <vt:variant>
        <vt:i4>1</vt:i4>
      </vt:variant>
    </vt:vector>
  </HeadingPairs>
  <TitlesOfParts>
    <vt:vector size="1" baseType="lpstr">
      <vt:lpstr>Realisation of the obligations arising from the Convention on the Rights of Persons with Disabilities by Poland</vt:lpstr>
    </vt:vector>
  </TitlesOfParts>
  <Company>BRPO</Company>
  <LinksUpToDate>false</LinksUpToDate>
  <CharactersWithSpaces>41220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Realisation of the obligations arising from the Convention on the Rights of Persons with Disabilities by Poland</dc:title>
  <dc:subject>2012 - 2014</dc:subject>
  <dc:creator>Anna</dc:creator>
  <cp:lastModifiedBy>Magdalena Kuruś</cp:lastModifiedBy>
  <cp:revision>2</cp:revision>
  <cp:lastPrinted>2014-09-30T09:39:00Z</cp:lastPrinted>
  <dcterms:created xsi:type="dcterms:W3CDTF">2018-01-31T12:02:00Z</dcterms:created>
  <dcterms:modified xsi:type="dcterms:W3CDTF">2018-01-31T12:02:00Z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