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7DD1B3" w14:textId="77777777" w:rsidR="007737F8" w:rsidRDefault="009E7F98">
      <w:pPr>
        <w:pStyle w:val="Normal1"/>
        <w:jc w:val="both"/>
      </w:pPr>
      <w:r w:rsidRPr="007B4FBA">
        <w:rPr>
          <w:rFonts w:ascii="Times New Roman" w:eastAsia="Times New Roman" w:hAnsi="Times New Roman" w:cs="Times New Roman"/>
          <w:b/>
        </w:rPr>
        <w:t>COALICIÓN URUGUAYA DE ORGANIZACIONES DE LA SOCIEDAD CIVIL EN SEGUIMIENTO DE LA CERD</w:t>
      </w:r>
      <w:r w:rsidRPr="007B4FBA">
        <w:rPr>
          <w:rFonts w:ascii="Times New Roman" w:eastAsia="Times New Roman" w:hAnsi="Times New Roman" w:cs="Times New Roman"/>
          <w:b/>
          <w:vertAlign w:val="superscript"/>
        </w:rPr>
        <w:footnoteReference w:id="1"/>
      </w:r>
    </w:p>
    <w:p w14:paraId="77E2B80F" w14:textId="77777777" w:rsidR="007737F8" w:rsidRDefault="007737F8">
      <w:pPr>
        <w:pStyle w:val="Normal1"/>
        <w:jc w:val="both"/>
      </w:pPr>
    </w:p>
    <w:p w14:paraId="4FBC1734" w14:textId="77777777" w:rsidR="007737F8" w:rsidRDefault="009E7F98">
      <w:pPr>
        <w:pStyle w:val="Normal1"/>
        <w:jc w:val="both"/>
      </w:pPr>
      <w:r>
        <w:rPr>
          <w:rFonts w:ascii="Times New Roman" w:eastAsia="Times New Roman" w:hAnsi="Times New Roman" w:cs="Times New Roman"/>
        </w:rPr>
        <w:t>Teniendo en cuenta que Uruguay será examinado por este Comité en noviembre de 2016, y en preparación de un Informe Sombra, señalamos temas relevantes, vinculados al cumplimiento del estado uruguayo con la Convención Internacional Sobre la Eliminación de Todas las Formas de Discriminación Racial, las Recomendaciones Generales y las Recomendaciones de este Comité a Uruguay en 2011, desde una perspectiva de género, diversidad religiosa, orientación sexual e identidad de género.</w:t>
      </w:r>
    </w:p>
    <w:p w14:paraId="7DD2F430" w14:textId="77777777" w:rsidR="007737F8" w:rsidRDefault="009E7F98">
      <w:pPr>
        <w:pStyle w:val="Normal1"/>
        <w:jc w:val="both"/>
      </w:pPr>
      <w:r>
        <w:rPr>
          <w:rFonts w:ascii="Times New Roman" w:eastAsia="Times New Roman" w:hAnsi="Times New Roman" w:cs="Times New Roman"/>
        </w:rPr>
        <w:t xml:space="preserve"> </w:t>
      </w:r>
    </w:p>
    <w:p w14:paraId="20EECE86"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El Estado uruguayo no ha aceptado expresamente la competencia del Comité (art. 14 de la Convención). </w:t>
      </w:r>
    </w:p>
    <w:p w14:paraId="0475B28A"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La Comisión Interinstitucional para el Seguimiento del Cumplimiento de las Recomendaciones de los Comités y Tratados tiene escaso o nulo funcionamiento en Uruguay. </w:t>
      </w:r>
    </w:p>
    <w:p w14:paraId="324F1307" w14:textId="1CA0DFB4"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El Estado uruguayo ha reiterado lo informado al Comité en 2010, ignorando las formas de racismo religioso existentes en el país. El racismo religioso y las prácticas de intolerancia contra las religiones de origen africano, a través de medios de comunicación e Internet, la </w:t>
      </w:r>
      <w:proofErr w:type="spellStart"/>
      <w:r w:rsidRPr="00B674DC">
        <w:rPr>
          <w:rFonts w:ascii="Times New Roman" w:eastAsia="Times New Roman" w:hAnsi="Times New Roman" w:cs="Times New Roman"/>
        </w:rPr>
        <w:t>vandalización</w:t>
      </w:r>
      <w:proofErr w:type="spellEnd"/>
      <w:r w:rsidRPr="00B674DC">
        <w:rPr>
          <w:rFonts w:ascii="Times New Roman" w:eastAsia="Times New Roman" w:hAnsi="Times New Roman" w:cs="Times New Roman"/>
        </w:rPr>
        <w:t xml:space="preserve"> de sus monumentos y la agresión a sus profesantes menoscaban el derecho de las personas a la libertad religiosa.</w:t>
      </w:r>
    </w:p>
    <w:p w14:paraId="1E99C48B"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El Estado uruguayo incumple la Recomendación 9 del Comité y aún no ha adoptado legislación específica en armonización con los artículos 2 y 4 de la Convención, ni con el Convenio No 169 de la OIT. Esto tiene especial impacto en las mujeres y personas LGBTI </w:t>
      </w:r>
      <w:proofErr w:type="spellStart"/>
      <w:r w:rsidRPr="00B674DC">
        <w:rPr>
          <w:rFonts w:ascii="Times New Roman" w:eastAsia="Times New Roman" w:hAnsi="Times New Roman" w:cs="Times New Roman"/>
        </w:rPr>
        <w:t>afrodescendientes</w:t>
      </w:r>
      <w:proofErr w:type="spellEnd"/>
      <w:r w:rsidRPr="00B674DC">
        <w:rPr>
          <w:rFonts w:ascii="Times New Roman" w:eastAsia="Times New Roman" w:hAnsi="Times New Roman" w:cs="Times New Roman"/>
        </w:rPr>
        <w:t xml:space="preserve"> e indígenas, afectadas por múltiples niveles de discriminación.</w:t>
      </w:r>
    </w:p>
    <w:p w14:paraId="0C15C98A" w14:textId="4A2A1189"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El abatimiento de la pobreza no ha alcanzado a la población </w:t>
      </w:r>
      <w:proofErr w:type="spellStart"/>
      <w:r w:rsidRPr="00B674DC">
        <w:rPr>
          <w:rFonts w:ascii="Times New Roman" w:eastAsia="Times New Roman" w:hAnsi="Times New Roman" w:cs="Times New Roman"/>
        </w:rPr>
        <w:t>afrouruguaya</w:t>
      </w:r>
      <w:proofErr w:type="spellEnd"/>
      <w:r w:rsidRPr="00B674DC">
        <w:rPr>
          <w:rFonts w:ascii="Times New Roman" w:eastAsia="Times New Roman" w:hAnsi="Times New Roman" w:cs="Times New Roman"/>
        </w:rPr>
        <w:t xml:space="preserve"> y de ascendencia indígena. Un 12,7% viven en asentamientos ante un 4,2% de otra población. La pobreza es mayor respecto de las mujeres </w:t>
      </w:r>
      <w:proofErr w:type="spellStart"/>
      <w:r w:rsidRPr="00B674DC">
        <w:rPr>
          <w:rFonts w:ascii="Times New Roman" w:eastAsia="Times New Roman" w:hAnsi="Times New Roman" w:cs="Times New Roman"/>
        </w:rPr>
        <w:t>afrouruguayas</w:t>
      </w:r>
      <w:proofErr w:type="spellEnd"/>
      <w:r w:rsidRPr="00B674DC">
        <w:rPr>
          <w:rFonts w:ascii="Times New Roman" w:eastAsia="Times New Roman" w:hAnsi="Times New Roman" w:cs="Times New Roman"/>
        </w:rPr>
        <w:t xml:space="preserve">; 30 de cada 100 mujeres </w:t>
      </w:r>
      <w:proofErr w:type="spellStart"/>
      <w:r w:rsidRPr="00B674DC">
        <w:rPr>
          <w:rFonts w:ascii="Times New Roman" w:eastAsia="Times New Roman" w:hAnsi="Times New Roman" w:cs="Times New Roman"/>
        </w:rPr>
        <w:t>afrouruguayas</w:t>
      </w:r>
      <w:proofErr w:type="spellEnd"/>
      <w:r w:rsidRPr="00B674DC">
        <w:rPr>
          <w:rFonts w:ascii="Times New Roman" w:eastAsia="Times New Roman" w:hAnsi="Times New Roman" w:cs="Times New Roman"/>
        </w:rPr>
        <w:t xml:space="preserve"> son pobres, ante 12 de cada 100 en otras poblaciones e incluso respecto de los varones </w:t>
      </w:r>
      <w:proofErr w:type="spellStart"/>
      <w:r w:rsidRPr="00B674DC">
        <w:rPr>
          <w:rFonts w:ascii="Times New Roman" w:eastAsia="Times New Roman" w:hAnsi="Times New Roman" w:cs="Times New Roman"/>
        </w:rPr>
        <w:t>aforuruguayos</w:t>
      </w:r>
      <w:proofErr w:type="spellEnd"/>
      <w:r w:rsidRPr="00B674DC">
        <w:rPr>
          <w:rFonts w:ascii="Times New Roman" w:eastAsia="Times New Roman" w:hAnsi="Times New Roman" w:cs="Times New Roman"/>
        </w:rPr>
        <w:t>.</w:t>
      </w:r>
      <w:r w:rsidR="00F12D4F" w:rsidRPr="00B674DC">
        <w:rPr>
          <w:rStyle w:val="FootnoteReference"/>
          <w:rFonts w:ascii="Times New Roman" w:eastAsia="Times New Roman" w:hAnsi="Times New Roman" w:cs="Times New Roman"/>
        </w:rPr>
        <w:footnoteReference w:id="2"/>
      </w:r>
      <w:r w:rsidRPr="00B674DC">
        <w:rPr>
          <w:rFonts w:ascii="Times New Roman" w:eastAsia="Times New Roman" w:hAnsi="Times New Roman" w:cs="Times New Roman"/>
        </w:rPr>
        <w:t xml:space="preserve"> Esa desventaja y su relación con la práctica </w:t>
      </w:r>
      <w:proofErr w:type="spellStart"/>
      <w:r w:rsidRPr="00B674DC">
        <w:rPr>
          <w:rFonts w:ascii="Times New Roman" w:eastAsia="Times New Roman" w:hAnsi="Times New Roman" w:cs="Times New Roman"/>
        </w:rPr>
        <w:t>afrorreligiosa</w:t>
      </w:r>
      <w:proofErr w:type="spellEnd"/>
      <w:r w:rsidRPr="00B674DC">
        <w:rPr>
          <w:rFonts w:ascii="Times New Roman" w:eastAsia="Times New Roman" w:hAnsi="Times New Roman" w:cs="Times New Roman"/>
        </w:rPr>
        <w:t xml:space="preserve">, alcanza a un 58,3% de practicantes </w:t>
      </w:r>
      <w:proofErr w:type="spellStart"/>
      <w:r w:rsidRPr="00B674DC">
        <w:rPr>
          <w:rFonts w:ascii="Times New Roman" w:eastAsia="Times New Roman" w:hAnsi="Times New Roman" w:cs="Times New Roman"/>
        </w:rPr>
        <w:t>afroumbandistas</w:t>
      </w:r>
      <w:proofErr w:type="spellEnd"/>
      <w:r w:rsidRPr="00B674DC">
        <w:rPr>
          <w:rFonts w:ascii="Times New Roman" w:eastAsia="Times New Roman" w:hAnsi="Times New Roman" w:cs="Times New Roman"/>
        </w:rPr>
        <w:t xml:space="preserve"> en sectores bajos. </w:t>
      </w:r>
    </w:p>
    <w:p w14:paraId="3AE159B9"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Persisten las graves brechas en el acceso a la educación. </w:t>
      </w:r>
    </w:p>
    <w:p w14:paraId="723BD696"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La tasa de desocupación de las mujeres </w:t>
      </w:r>
      <w:proofErr w:type="spellStart"/>
      <w:r w:rsidRPr="00B674DC">
        <w:rPr>
          <w:rFonts w:ascii="Times New Roman" w:eastAsia="Times New Roman" w:hAnsi="Times New Roman" w:cs="Times New Roman"/>
        </w:rPr>
        <w:t>afrouruguayas</w:t>
      </w:r>
      <w:proofErr w:type="spellEnd"/>
      <w:r w:rsidRPr="00B674DC">
        <w:rPr>
          <w:rFonts w:ascii="Times New Roman" w:eastAsia="Times New Roman" w:hAnsi="Times New Roman" w:cs="Times New Roman"/>
        </w:rPr>
        <w:t xml:space="preserve"> casi duplica la tasa de los varones </w:t>
      </w:r>
      <w:proofErr w:type="spellStart"/>
      <w:r w:rsidRPr="00B674DC">
        <w:rPr>
          <w:rFonts w:ascii="Times New Roman" w:eastAsia="Times New Roman" w:hAnsi="Times New Roman" w:cs="Times New Roman"/>
        </w:rPr>
        <w:t>afrouruguayos</w:t>
      </w:r>
      <w:proofErr w:type="spellEnd"/>
      <w:r w:rsidRPr="00B674DC">
        <w:rPr>
          <w:rFonts w:ascii="Times New Roman" w:eastAsia="Times New Roman" w:hAnsi="Times New Roman" w:cs="Times New Roman"/>
        </w:rPr>
        <w:t>. 42% de mujeres desocupadas ante 23% de varones. Las mujeres enfrentan obstáculos para articular tiempos de cuidado con tiempos de trabajo remunerado</w:t>
      </w:r>
      <w:r w:rsidRPr="00B674DC">
        <w:rPr>
          <w:rFonts w:ascii="Times New Roman" w:eastAsia="Times New Roman" w:hAnsi="Times New Roman" w:cs="Times New Roman"/>
          <w:vertAlign w:val="superscript"/>
        </w:rPr>
        <w:footnoteReference w:id="3"/>
      </w:r>
    </w:p>
    <w:p w14:paraId="7CA42429" w14:textId="77777777" w:rsidR="007737F8" w:rsidRPr="00B674DC" w:rsidRDefault="007737F8">
      <w:pPr>
        <w:pStyle w:val="Normal1"/>
        <w:jc w:val="both"/>
      </w:pPr>
    </w:p>
    <w:p w14:paraId="400C39D9" w14:textId="77777777" w:rsidR="007737F8" w:rsidRPr="00B674DC" w:rsidRDefault="007737F8">
      <w:pPr>
        <w:pStyle w:val="Normal1"/>
        <w:jc w:val="both"/>
      </w:pPr>
    </w:p>
    <w:p w14:paraId="30140489" w14:textId="77777777" w:rsidR="007737F8" w:rsidRPr="00B674DC" w:rsidRDefault="009E7F98">
      <w:pPr>
        <w:pStyle w:val="Normal1"/>
      </w:pPr>
      <w:r w:rsidRPr="00B674DC">
        <w:br w:type="page"/>
      </w:r>
    </w:p>
    <w:p w14:paraId="0AFED949" w14:textId="77777777" w:rsidR="007737F8" w:rsidRPr="00B674DC" w:rsidRDefault="007737F8">
      <w:pPr>
        <w:pStyle w:val="Normal1"/>
        <w:jc w:val="both"/>
      </w:pPr>
    </w:p>
    <w:p w14:paraId="6DE26D01" w14:textId="0FCFC096" w:rsidR="007737F8" w:rsidRPr="00B674DC" w:rsidRDefault="007737F8">
      <w:pPr>
        <w:pStyle w:val="Normal1"/>
        <w:jc w:val="both"/>
      </w:pPr>
    </w:p>
    <w:p w14:paraId="227CB501"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La ley No 19122 por la que se estableció una cuota de cupos laborales no se implementa en la práctica debido – entre otras razones- a la falta de igualdad de oportunidades en el acceso a la educación de la población </w:t>
      </w:r>
      <w:proofErr w:type="spellStart"/>
      <w:r w:rsidRPr="00B674DC">
        <w:rPr>
          <w:rFonts w:ascii="Times New Roman" w:eastAsia="Times New Roman" w:hAnsi="Times New Roman" w:cs="Times New Roman"/>
        </w:rPr>
        <w:t>afrouruguaya</w:t>
      </w:r>
      <w:proofErr w:type="spellEnd"/>
      <w:r w:rsidRPr="00B674DC">
        <w:rPr>
          <w:rFonts w:ascii="Times New Roman" w:eastAsia="Times New Roman" w:hAnsi="Times New Roman" w:cs="Times New Roman"/>
        </w:rPr>
        <w:t xml:space="preserve">. </w:t>
      </w:r>
    </w:p>
    <w:p w14:paraId="2538A1BC"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Con respecto a la Recomendación 12, existen múltiples oficinas en el estado uruguayo sin programas, planes o estrategias interinstitucionales. Se carece de información sobre los presupuestos específicos y las evaluaciones periódicas de su funcionamiento. La asignación de recursos humanos es escasa.</w:t>
      </w:r>
    </w:p>
    <w:p w14:paraId="08A16FE2"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Con respecto a la Recomendación 13, el Código Penal vigente en Uruguay desde 1934 carece de perspectiva de género</w:t>
      </w:r>
      <w:r w:rsidR="00D7010F" w:rsidRPr="00B674DC">
        <w:rPr>
          <w:rFonts w:ascii="Times New Roman" w:eastAsia="Times New Roman" w:hAnsi="Times New Roman" w:cs="Times New Roman"/>
        </w:rPr>
        <w:t>,</w:t>
      </w:r>
      <w:r w:rsidRPr="00B674DC">
        <w:rPr>
          <w:rFonts w:ascii="Times New Roman" w:eastAsia="Times New Roman" w:hAnsi="Times New Roman" w:cs="Times New Roman"/>
        </w:rPr>
        <w:t xml:space="preserve"> de dimensión étnico-racial y aún está pendiente su reforma.</w:t>
      </w:r>
    </w:p>
    <w:p w14:paraId="344DE8A0"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Con respecto a la Recomendación No 32 de este Comité, debemos mencionar que persiste la </w:t>
      </w:r>
      <w:proofErr w:type="spellStart"/>
      <w:r w:rsidRPr="00B674DC">
        <w:rPr>
          <w:rFonts w:ascii="Times New Roman" w:eastAsia="Times New Roman" w:hAnsi="Times New Roman" w:cs="Times New Roman"/>
        </w:rPr>
        <w:t>subrepresentación</w:t>
      </w:r>
      <w:proofErr w:type="spellEnd"/>
      <w:r w:rsidRPr="00B674DC">
        <w:rPr>
          <w:rFonts w:ascii="Times New Roman" w:eastAsia="Times New Roman" w:hAnsi="Times New Roman" w:cs="Times New Roman"/>
        </w:rPr>
        <w:t xml:space="preserve"> de las personas </w:t>
      </w:r>
      <w:proofErr w:type="spellStart"/>
      <w:r w:rsidRPr="00B674DC">
        <w:rPr>
          <w:rFonts w:ascii="Times New Roman" w:eastAsia="Times New Roman" w:hAnsi="Times New Roman" w:cs="Times New Roman"/>
        </w:rPr>
        <w:t>afrodescendientes</w:t>
      </w:r>
      <w:proofErr w:type="spellEnd"/>
      <w:r w:rsidRPr="00B674DC">
        <w:rPr>
          <w:rFonts w:ascii="Times New Roman" w:eastAsia="Times New Roman" w:hAnsi="Times New Roman" w:cs="Times New Roman"/>
        </w:rPr>
        <w:t xml:space="preserve"> e indígenas en la vida política y pública. No se han adoptado medidas especiales para revertir esta situación.</w:t>
      </w:r>
    </w:p>
    <w:p w14:paraId="2BE20C75" w14:textId="120D17F6"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Con respecto a la Recomendación No 16, el Plan Estratégico 2014 del Poder Judicial uruguayo incluyó la violencia basada en género, pero no así la dimensión étnico-racial. Los magistrados judiciales y fiscales no reciben capacitación sistemática basada en derechos humanos, género, orientación e identidad sexual etnia, raza, ni acerca de cómo detectar discriminación racial o étnica. Son inexistentes las condenas por discriminación racial.</w:t>
      </w:r>
      <w:r w:rsidR="003B6BE3" w:rsidRPr="00B674DC">
        <w:rPr>
          <w:rStyle w:val="FootnoteReference"/>
          <w:rFonts w:ascii="Times New Roman" w:eastAsia="Times New Roman" w:hAnsi="Times New Roman" w:cs="Times New Roman"/>
        </w:rPr>
        <w:footnoteReference w:id="4"/>
      </w:r>
    </w:p>
    <w:p w14:paraId="1A049F2D" w14:textId="022814D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No existen estadísticas sobre mujeres </w:t>
      </w:r>
      <w:proofErr w:type="spellStart"/>
      <w:r w:rsidRPr="00B674DC">
        <w:rPr>
          <w:rFonts w:ascii="Times New Roman" w:eastAsia="Times New Roman" w:hAnsi="Times New Roman" w:cs="Times New Roman"/>
        </w:rPr>
        <w:t>afrodescendientes</w:t>
      </w:r>
      <w:proofErr w:type="spellEnd"/>
      <w:r w:rsidRPr="00B674DC">
        <w:rPr>
          <w:rFonts w:ascii="Times New Roman" w:eastAsia="Times New Roman" w:hAnsi="Times New Roman" w:cs="Times New Roman"/>
        </w:rPr>
        <w:t xml:space="preserve"> en prisión, lo que incluye su orientación sexual, identidad de género y religiosidad.</w:t>
      </w:r>
      <w:r w:rsidR="00EE4EF1" w:rsidRPr="00B674DC">
        <w:rPr>
          <w:rStyle w:val="FootnoteReference"/>
          <w:rFonts w:ascii="Times New Roman" w:eastAsia="Times New Roman" w:hAnsi="Times New Roman" w:cs="Times New Roman"/>
        </w:rPr>
        <w:footnoteReference w:id="5"/>
      </w:r>
      <w:r w:rsidRPr="00B674DC">
        <w:rPr>
          <w:rFonts w:ascii="Times New Roman" w:eastAsia="Times New Roman" w:hAnsi="Times New Roman" w:cs="Times New Roman"/>
        </w:rPr>
        <w:t xml:space="preserve"> Dado el retroceso en las condiciones de vida</w:t>
      </w:r>
      <w:r w:rsidR="003B6BE3" w:rsidRPr="00B674DC">
        <w:rPr>
          <w:rFonts w:ascii="Times New Roman" w:eastAsia="Times New Roman" w:hAnsi="Times New Roman" w:cs="Times New Roman"/>
        </w:rPr>
        <w:t xml:space="preserve"> de las personas privadas de </w:t>
      </w:r>
      <w:r w:rsidRPr="00B674DC">
        <w:rPr>
          <w:rFonts w:ascii="Times New Roman" w:eastAsia="Times New Roman" w:hAnsi="Times New Roman" w:cs="Times New Roman"/>
        </w:rPr>
        <w:t>libertad, esto es muy preocupante. El nivel de violencia carcelaria es alto: solo desde enero 2016 han muerto 12 personas, de las cuales 4 se suicidaron, 4 murieron de forma “natural”, dos por “accidente”, y sobre una de ellas no hay datos</w:t>
      </w:r>
      <w:r w:rsidRPr="00B674DC">
        <w:rPr>
          <w:rFonts w:ascii="Times New Roman" w:eastAsia="Times New Roman" w:hAnsi="Times New Roman" w:cs="Times New Roman"/>
          <w:vertAlign w:val="superscript"/>
        </w:rPr>
        <w:footnoteReference w:id="6"/>
      </w:r>
    </w:p>
    <w:p w14:paraId="3E5B3D71"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Persisten los estereotipos discriminatorios respecto de la población </w:t>
      </w:r>
      <w:proofErr w:type="spellStart"/>
      <w:r w:rsidRPr="00B674DC">
        <w:rPr>
          <w:rFonts w:ascii="Times New Roman" w:eastAsia="Times New Roman" w:hAnsi="Times New Roman" w:cs="Times New Roman"/>
        </w:rPr>
        <w:t>afrodescendiente</w:t>
      </w:r>
      <w:proofErr w:type="spellEnd"/>
      <w:r w:rsidRPr="00B674DC">
        <w:rPr>
          <w:rFonts w:ascii="Times New Roman" w:eastAsia="Times New Roman" w:hAnsi="Times New Roman" w:cs="Times New Roman"/>
        </w:rPr>
        <w:t>. Las denuncias judiciales – sin otras medidas del Estado –son insuficientes para erradicarlas.</w:t>
      </w:r>
    </w:p>
    <w:p w14:paraId="4D50E574" w14:textId="594A997C"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No obstante el marco legal, no existe por parte del estado ninguna política pública dirigida a la población indígena. Según el último censo en 2011, 159.319 personas se </w:t>
      </w:r>
      <w:proofErr w:type="spellStart"/>
      <w:r w:rsidRPr="00B674DC">
        <w:rPr>
          <w:rFonts w:ascii="Times New Roman" w:eastAsia="Times New Roman" w:hAnsi="Times New Roman" w:cs="Times New Roman"/>
        </w:rPr>
        <w:t>autoidentifican</w:t>
      </w:r>
      <w:proofErr w:type="spellEnd"/>
      <w:r w:rsidRPr="00B674DC">
        <w:rPr>
          <w:rFonts w:ascii="Times New Roman" w:eastAsia="Times New Roman" w:hAnsi="Times New Roman" w:cs="Times New Roman"/>
        </w:rPr>
        <w:t xml:space="preserve"> como de ascendencia indígena, de las cuales casi un 55% son mujeres (87.162 personas)</w:t>
      </w:r>
      <w:r w:rsidR="002C5AAE" w:rsidRPr="00B674DC">
        <w:rPr>
          <w:rStyle w:val="FootnoteReference"/>
          <w:rFonts w:ascii="Times New Roman" w:eastAsia="Times New Roman" w:hAnsi="Times New Roman" w:cs="Times New Roman"/>
        </w:rPr>
        <w:footnoteReference w:id="7"/>
      </w:r>
      <w:r w:rsidRPr="00B674DC">
        <w:rPr>
          <w:rFonts w:ascii="Times New Roman" w:eastAsia="Times New Roman" w:hAnsi="Times New Roman" w:cs="Times New Roman"/>
        </w:rPr>
        <w:t>.</w:t>
      </w:r>
    </w:p>
    <w:p w14:paraId="337F5EF8"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No hay representación de mujeres indígenas en los espacios institucionales del Instituto Nacional de las Mujeres (INMUJERES).</w:t>
      </w:r>
    </w:p>
    <w:p w14:paraId="386B230A" w14:textId="77777777" w:rsidR="007737F8" w:rsidRPr="00B674DC" w:rsidRDefault="009E7F98">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La Comisión Honoraria Contra el Racismo, la Xenofobia y Toda Otra Forma de Discriminación, creada por la ley 17817 “Lucha contra el racismo, la xenofobia y la discriminación” (2004) y designada directamente por el Presidente de la República, no tiene actualmente representación de personas de ascendencia indígena.</w:t>
      </w:r>
    </w:p>
    <w:p w14:paraId="12F0DE97" w14:textId="4BB80DE2" w:rsidR="007737F8" w:rsidRPr="00B674DC" w:rsidRDefault="009E7F98" w:rsidP="00DB62CE">
      <w:pPr>
        <w:pStyle w:val="Normal1"/>
        <w:numPr>
          <w:ilvl w:val="0"/>
          <w:numId w:val="1"/>
        </w:numPr>
        <w:ind w:hanging="360"/>
        <w:contextualSpacing/>
        <w:jc w:val="both"/>
        <w:rPr>
          <w:rFonts w:ascii="Times New Roman" w:eastAsia="Times New Roman" w:hAnsi="Times New Roman" w:cs="Times New Roman"/>
        </w:rPr>
      </w:pPr>
      <w:r w:rsidRPr="00B674DC">
        <w:rPr>
          <w:rFonts w:ascii="Times New Roman" w:eastAsia="Times New Roman" w:hAnsi="Times New Roman" w:cs="Times New Roman"/>
        </w:rPr>
        <w:t xml:space="preserve">El Estado ha incumplido el compromiso adquirido por la Ley No. 18.589 que declara  del 11 de Abril como Día de la Nación Charrúa y la Identidad Indígena. </w:t>
      </w:r>
      <w:bookmarkStart w:id="0" w:name="_GoBack"/>
      <w:bookmarkEnd w:id="0"/>
    </w:p>
    <w:sectPr w:rsidR="007737F8" w:rsidRPr="00B674DC">
      <w:pgSz w:w="11900" w:h="16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EE863B" w14:textId="77777777" w:rsidR="00F166A4" w:rsidRDefault="009E7F98">
      <w:r>
        <w:separator/>
      </w:r>
    </w:p>
  </w:endnote>
  <w:endnote w:type="continuationSeparator" w:id="0">
    <w:p w14:paraId="4AC72E5A" w14:textId="77777777" w:rsidR="00F166A4" w:rsidRDefault="009E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7F29E" w14:textId="77777777" w:rsidR="00F166A4" w:rsidRDefault="009E7F98">
      <w:r>
        <w:separator/>
      </w:r>
    </w:p>
  </w:footnote>
  <w:footnote w:type="continuationSeparator" w:id="0">
    <w:p w14:paraId="77C87C0F" w14:textId="77777777" w:rsidR="00F166A4" w:rsidRDefault="009E7F98">
      <w:r>
        <w:continuationSeparator/>
      </w:r>
    </w:p>
  </w:footnote>
  <w:footnote w:id="1">
    <w:p w14:paraId="488FA68C" w14:textId="0E0502CD" w:rsidR="007737F8" w:rsidRDefault="009E7F98">
      <w:pPr>
        <w:pStyle w:val="Normal1"/>
      </w:pPr>
      <w:r>
        <w:rPr>
          <w:vertAlign w:val="superscript"/>
        </w:rPr>
        <w:footnoteRef/>
      </w:r>
      <w:r>
        <w:t xml:space="preserve"> </w:t>
      </w:r>
      <w:r>
        <w:rPr>
          <w:sz w:val="20"/>
          <w:szCs w:val="20"/>
        </w:rPr>
        <w:t xml:space="preserve">Colectiva Mujeres (organización feminista de mujeres </w:t>
      </w:r>
      <w:proofErr w:type="spellStart"/>
      <w:r>
        <w:rPr>
          <w:sz w:val="20"/>
          <w:szCs w:val="20"/>
        </w:rPr>
        <w:t>afrouruguayas</w:t>
      </w:r>
      <w:proofErr w:type="spellEnd"/>
      <w:r>
        <w:rPr>
          <w:sz w:val="20"/>
          <w:szCs w:val="20"/>
        </w:rPr>
        <w:t xml:space="preserve">), </w:t>
      </w:r>
      <w:proofErr w:type="spellStart"/>
      <w:r>
        <w:rPr>
          <w:sz w:val="20"/>
          <w:szCs w:val="20"/>
        </w:rPr>
        <w:t>Atabaque</w:t>
      </w:r>
      <w:proofErr w:type="spellEnd"/>
      <w:r>
        <w:rPr>
          <w:sz w:val="20"/>
          <w:szCs w:val="20"/>
        </w:rPr>
        <w:t xml:space="preserve"> (organización </w:t>
      </w:r>
      <w:proofErr w:type="spellStart"/>
      <w:r>
        <w:rPr>
          <w:sz w:val="20"/>
          <w:szCs w:val="20"/>
        </w:rPr>
        <w:t>afrorreligiosa</w:t>
      </w:r>
      <w:proofErr w:type="spellEnd"/>
      <w:r>
        <w:rPr>
          <w:sz w:val="20"/>
          <w:szCs w:val="20"/>
        </w:rPr>
        <w:t xml:space="preserve">),  CLADEM (Comité de América Latina y el Caribe para la Defensa de los Derechos de las Mujeres), Colectivo Ovejas Negras (organización de defensa de los derechos de lesbianas, </w:t>
      </w:r>
      <w:proofErr w:type="spellStart"/>
      <w:r>
        <w:rPr>
          <w:sz w:val="20"/>
          <w:szCs w:val="20"/>
        </w:rPr>
        <w:t>gays</w:t>
      </w:r>
      <w:proofErr w:type="spellEnd"/>
      <w:r>
        <w:rPr>
          <w:sz w:val="20"/>
          <w:szCs w:val="20"/>
        </w:rPr>
        <w:t xml:space="preserve">, bisexuales, </w:t>
      </w:r>
      <w:proofErr w:type="spellStart"/>
      <w:r>
        <w:rPr>
          <w:sz w:val="20"/>
          <w:szCs w:val="20"/>
        </w:rPr>
        <w:t>trans</w:t>
      </w:r>
      <w:proofErr w:type="spellEnd"/>
      <w:r>
        <w:rPr>
          <w:sz w:val="20"/>
          <w:szCs w:val="20"/>
        </w:rPr>
        <w:t xml:space="preserve"> e intersexuale</w:t>
      </w:r>
      <w:r w:rsidR="002D1EFE">
        <w:rPr>
          <w:sz w:val="20"/>
          <w:szCs w:val="20"/>
        </w:rPr>
        <w:t>s</w:t>
      </w:r>
      <w:r>
        <w:rPr>
          <w:sz w:val="20"/>
          <w:szCs w:val="20"/>
        </w:rPr>
        <w:t xml:space="preserve"> en Uruguay), Clan </w:t>
      </w:r>
      <w:proofErr w:type="spellStart"/>
      <w:r>
        <w:rPr>
          <w:sz w:val="20"/>
          <w:szCs w:val="20"/>
        </w:rPr>
        <w:t>Chonik</w:t>
      </w:r>
      <w:proofErr w:type="spellEnd"/>
      <w:r>
        <w:rPr>
          <w:sz w:val="20"/>
          <w:szCs w:val="20"/>
        </w:rPr>
        <w:t xml:space="preserve"> (organización de descendientes de indígenas),</w:t>
      </w:r>
      <w:r w:rsidR="002D1EFE">
        <w:rPr>
          <w:sz w:val="20"/>
          <w:szCs w:val="20"/>
        </w:rPr>
        <w:t xml:space="preserve"> </w:t>
      </w:r>
      <w:r>
        <w:rPr>
          <w:sz w:val="20"/>
          <w:szCs w:val="20"/>
        </w:rPr>
        <w:t xml:space="preserve">UTRU (Unión </w:t>
      </w:r>
      <w:proofErr w:type="spellStart"/>
      <w:r>
        <w:rPr>
          <w:sz w:val="20"/>
          <w:szCs w:val="20"/>
        </w:rPr>
        <w:t>Trans</w:t>
      </w:r>
      <w:proofErr w:type="spellEnd"/>
      <w:r>
        <w:rPr>
          <w:sz w:val="20"/>
          <w:szCs w:val="20"/>
        </w:rPr>
        <w:t xml:space="preserve"> del Uruguay) </w:t>
      </w:r>
    </w:p>
  </w:footnote>
  <w:footnote w:id="2">
    <w:p w14:paraId="4AEF9F9E" w14:textId="7AF50B44" w:rsidR="00F12D4F" w:rsidRPr="00F12D4F" w:rsidRDefault="00F12D4F">
      <w:pPr>
        <w:pStyle w:val="FootnoteText"/>
        <w:rPr>
          <w:rFonts w:ascii="Times New Roman" w:hAnsi="Times New Roman" w:cs="Times New Roman"/>
          <w:sz w:val="18"/>
          <w:szCs w:val="18"/>
        </w:rPr>
      </w:pPr>
      <w:r>
        <w:rPr>
          <w:rStyle w:val="FootnoteReference"/>
        </w:rPr>
        <w:footnoteRef/>
      </w:r>
      <w:r>
        <w:t xml:space="preserve"> </w:t>
      </w:r>
      <w:r w:rsidRPr="00F12D4F">
        <w:rPr>
          <w:rFonts w:ascii="Times New Roman" w:hAnsi="Times New Roman" w:cs="Times New Roman"/>
          <w:bCs/>
          <w:sz w:val="20"/>
          <w:szCs w:val="20"/>
          <w:lang w:val="es-ES"/>
        </w:rPr>
        <w:t xml:space="preserve">"Situación socio económica y Mapa Político de liderazgo de la Población afro del Uruguay. PNUD 2013" </w:t>
      </w:r>
      <w:proofErr w:type="spellStart"/>
      <w:r w:rsidRPr="00F12D4F">
        <w:rPr>
          <w:rFonts w:ascii="Times New Roman" w:hAnsi="Times New Roman" w:cs="Times New Roman"/>
          <w:bCs/>
          <w:sz w:val="20"/>
          <w:szCs w:val="20"/>
          <w:lang w:val="es-ES"/>
        </w:rPr>
        <w:t>pag</w:t>
      </w:r>
      <w:proofErr w:type="spellEnd"/>
      <w:r w:rsidRPr="00F12D4F">
        <w:rPr>
          <w:rFonts w:ascii="Times New Roman" w:hAnsi="Times New Roman" w:cs="Times New Roman"/>
          <w:bCs/>
          <w:sz w:val="20"/>
          <w:szCs w:val="20"/>
          <w:lang w:val="es-ES"/>
        </w:rPr>
        <w:t xml:space="preserve"> 23</w:t>
      </w:r>
    </w:p>
  </w:footnote>
  <w:footnote w:id="3">
    <w:p w14:paraId="49F52519" w14:textId="77777777" w:rsidR="007737F8" w:rsidRDefault="009E7F98">
      <w:pPr>
        <w:pStyle w:val="Normal1"/>
      </w:pPr>
      <w:r>
        <w:rPr>
          <w:vertAlign w:val="superscript"/>
        </w:rPr>
        <w:footnoteRef/>
      </w:r>
      <w:r>
        <w:t xml:space="preserve"> </w:t>
      </w:r>
      <w:r>
        <w:rPr>
          <w:sz w:val="20"/>
          <w:szCs w:val="20"/>
        </w:rPr>
        <w:t>Situación socioeconómica y Mapa Político y de liderazgo de la Población Afro del Uruguay. PNUD 2013. (Población total del país: 3.407 millones)</w:t>
      </w:r>
    </w:p>
  </w:footnote>
  <w:footnote w:id="4">
    <w:p w14:paraId="1B5CEC72" w14:textId="1B23579E" w:rsidR="003B6BE3" w:rsidRPr="003B6BE3" w:rsidRDefault="003B6BE3">
      <w:pPr>
        <w:pStyle w:val="FootnoteText"/>
        <w:rPr>
          <w:rFonts w:ascii="Times New Roman" w:hAnsi="Times New Roman" w:cs="Times New Roman"/>
          <w:sz w:val="20"/>
          <w:szCs w:val="20"/>
        </w:rPr>
      </w:pPr>
      <w:r>
        <w:rPr>
          <w:rStyle w:val="FootnoteReference"/>
        </w:rPr>
        <w:footnoteRef/>
      </w:r>
      <w:r>
        <w:t xml:space="preserve"> </w:t>
      </w:r>
      <w:hyperlink r:id="rId1" w:history="1">
        <w:r w:rsidRPr="003B6BE3">
          <w:rPr>
            <w:rStyle w:val="Hyperlink"/>
            <w:rFonts w:ascii="Times New Roman" w:hAnsi="Times New Roman" w:cs="Times New Roman"/>
            <w:sz w:val="20"/>
            <w:szCs w:val="20"/>
          </w:rPr>
          <w:t>www.poderjuducial.gub.uy</w:t>
        </w:r>
      </w:hyperlink>
      <w:r w:rsidRPr="003B6BE3">
        <w:rPr>
          <w:rFonts w:ascii="Times New Roman" w:hAnsi="Times New Roman" w:cs="Times New Roman"/>
          <w:sz w:val="20"/>
          <w:szCs w:val="20"/>
        </w:rPr>
        <w:t xml:space="preserve"> Anuario Estadístico</w:t>
      </w:r>
      <w:r w:rsidR="008548EF">
        <w:rPr>
          <w:rFonts w:ascii="Times New Roman" w:hAnsi="Times New Roman" w:cs="Times New Roman"/>
          <w:sz w:val="20"/>
          <w:szCs w:val="20"/>
        </w:rPr>
        <w:t xml:space="preserve">. Plan Integral de lucha contra  la Violencia basada en Género. </w:t>
      </w:r>
    </w:p>
  </w:footnote>
  <w:footnote w:id="5">
    <w:p w14:paraId="56B42D68" w14:textId="230C574B" w:rsidR="00EE4EF1" w:rsidRDefault="00EE4EF1">
      <w:pPr>
        <w:pStyle w:val="FootnoteText"/>
      </w:pPr>
      <w:r>
        <w:rPr>
          <w:rStyle w:val="FootnoteReference"/>
        </w:rPr>
        <w:footnoteRef/>
      </w:r>
      <w:r>
        <w:t xml:space="preserve"> </w:t>
      </w:r>
      <w:hyperlink r:id="rId2" w:history="1">
        <w:r w:rsidRPr="00DD16C7">
          <w:rPr>
            <w:rStyle w:val="Hyperlink"/>
            <w:rFonts w:ascii="Times New Roman" w:hAnsi="Times New Roman" w:cs="Times New Roman"/>
            <w:sz w:val="20"/>
            <w:szCs w:val="20"/>
          </w:rPr>
          <w:t>www.minterior.gub.uy</w:t>
        </w:r>
      </w:hyperlink>
      <w:r>
        <w:rPr>
          <w:rFonts w:ascii="Times New Roman" w:hAnsi="Times New Roman" w:cs="Times New Roman"/>
          <w:sz w:val="20"/>
          <w:szCs w:val="20"/>
        </w:rPr>
        <w:t xml:space="preserve"> Censo de Personas privadas de libertad, diciembre 2010.</w:t>
      </w:r>
    </w:p>
  </w:footnote>
  <w:footnote w:id="6">
    <w:p w14:paraId="5C9CFA8F" w14:textId="77777777" w:rsidR="007737F8" w:rsidRDefault="009E7F98">
      <w:pPr>
        <w:pStyle w:val="Normal1"/>
      </w:pPr>
      <w:r w:rsidRPr="003B6BE3">
        <w:rPr>
          <w:rFonts w:ascii="Times New Roman" w:hAnsi="Times New Roman" w:cs="Times New Roman"/>
          <w:sz w:val="20"/>
          <w:szCs w:val="20"/>
          <w:vertAlign w:val="superscript"/>
        </w:rPr>
        <w:footnoteRef/>
      </w:r>
      <w:r w:rsidRPr="003B6BE3">
        <w:rPr>
          <w:rFonts w:ascii="Times New Roman" w:hAnsi="Times New Roman" w:cs="Times New Roman"/>
          <w:sz w:val="20"/>
          <w:szCs w:val="20"/>
        </w:rPr>
        <w:t xml:space="preserve"> Comisionado Parlamentario, La Diaria 22.8.2016</w:t>
      </w:r>
    </w:p>
  </w:footnote>
  <w:footnote w:id="7">
    <w:p w14:paraId="1DEF1C9D" w14:textId="4ECA6BDF" w:rsidR="002C5AAE" w:rsidRPr="002C5AAE" w:rsidRDefault="002C5AAE">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 xml:space="preserve">Atlas Socio demográfico de la Desigualdad de Uruguay, PNUD. Fasc.2, Cabella, </w:t>
      </w:r>
      <w:proofErr w:type="spellStart"/>
      <w:r>
        <w:rPr>
          <w:rFonts w:ascii="Times New Roman" w:hAnsi="Times New Roman" w:cs="Times New Roman"/>
          <w:sz w:val="20"/>
          <w:szCs w:val="20"/>
        </w:rPr>
        <w:t>Nathan</w:t>
      </w:r>
      <w:proofErr w:type="spellEnd"/>
      <w:r>
        <w:rPr>
          <w:rFonts w:ascii="Times New Roman" w:hAnsi="Times New Roman" w:cs="Times New Roman"/>
          <w:sz w:val="20"/>
          <w:szCs w:val="20"/>
        </w:rPr>
        <w:t xml:space="preserve"> y </w:t>
      </w:r>
      <w:proofErr w:type="spellStart"/>
      <w:r>
        <w:rPr>
          <w:rFonts w:ascii="Times New Roman" w:hAnsi="Times New Roman" w:cs="Times New Roman"/>
          <w:sz w:val="20"/>
          <w:szCs w:val="20"/>
        </w:rPr>
        <w:t>Tenenbaum</w:t>
      </w:r>
      <w:proofErr w:type="spellEnd"/>
      <w:r>
        <w:rPr>
          <w:rFonts w:ascii="Times New Roman" w:hAnsi="Times New Roman" w:cs="Times New Roman"/>
          <w:sz w:val="20"/>
          <w:szCs w:val="20"/>
        </w:rPr>
        <w:t xml:space="preserve">, sobre Censo 2011. </w:t>
      </w:r>
      <w:r w:rsidR="00BE69A1">
        <w:rPr>
          <w:rFonts w:ascii="Times New Roman" w:hAnsi="Times New Roman" w:cs="Times New Roman"/>
          <w:sz w:val="20"/>
          <w:szCs w:val="20"/>
        </w:rPr>
        <w:t xml:space="preserve"> </w:t>
      </w:r>
      <w:hyperlink r:id="rId3" w:history="1">
        <w:r w:rsidR="00BE69A1" w:rsidRPr="00DD16C7">
          <w:rPr>
            <w:rStyle w:val="Hyperlink"/>
            <w:rFonts w:ascii="Times New Roman" w:hAnsi="Times New Roman" w:cs="Times New Roman"/>
            <w:sz w:val="20"/>
            <w:szCs w:val="20"/>
          </w:rPr>
          <w:t>www.ine.gub.uy/censos</w:t>
        </w:r>
      </w:hyperlink>
      <w:r w:rsidR="00BE69A1">
        <w:rPr>
          <w:rFonts w:ascii="Times New Roman" w:hAnsi="Times New Roman" w:cs="Times New Roman"/>
          <w:sz w:val="20"/>
          <w:szCs w:val="20"/>
        </w:rPr>
        <w:t xml:space="preserve"> 2011/resultados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441E9"/>
    <w:multiLevelType w:val="multilevel"/>
    <w:tmpl w:val="997CAE5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737F8"/>
    <w:rsid w:val="00045C47"/>
    <w:rsid w:val="0029365D"/>
    <w:rsid w:val="002C5AAE"/>
    <w:rsid w:val="002D1EFE"/>
    <w:rsid w:val="003B6BE3"/>
    <w:rsid w:val="005D757C"/>
    <w:rsid w:val="00633B47"/>
    <w:rsid w:val="007737F8"/>
    <w:rsid w:val="007B4FBA"/>
    <w:rsid w:val="008548EF"/>
    <w:rsid w:val="008A3C9D"/>
    <w:rsid w:val="008D61B1"/>
    <w:rsid w:val="009E7F98"/>
    <w:rsid w:val="00B674DC"/>
    <w:rsid w:val="00BE69A1"/>
    <w:rsid w:val="00C87198"/>
    <w:rsid w:val="00D00EA2"/>
    <w:rsid w:val="00D7010F"/>
    <w:rsid w:val="00DB62CE"/>
    <w:rsid w:val="00EE4EF1"/>
    <w:rsid w:val="00F12D4F"/>
    <w:rsid w:val="00F166A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66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color w:val="000000"/>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szCs w:val="48"/>
    </w:rPr>
  </w:style>
  <w:style w:type="paragraph" w:styleId="Heading2">
    <w:name w:val="heading 2"/>
    <w:basedOn w:val="Normal1"/>
    <w:next w:val="Normal1"/>
    <w:pPr>
      <w:keepNext/>
      <w:keepLines/>
      <w:spacing w:before="360" w:after="80"/>
      <w:contextualSpacing/>
      <w:outlineLvl w:val="1"/>
    </w:pPr>
    <w:rPr>
      <w:b/>
      <w:sz w:val="36"/>
      <w:szCs w:val="36"/>
    </w:rPr>
  </w:style>
  <w:style w:type="paragraph" w:styleId="Heading3">
    <w:name w:val="heading 3"/>
    <w:basedOn w:val="Normal1"/>
    <w:next w:val="Normal1"/>
    <w:pPr>
      <w:keepNext/>
      <w:keepLines/>
      <w:spacing w:before="280" w:after="80"/>
      <w:contextualSpacing/>
      <w:outlineLvl w:val="2"/>
    </w:pPr>
    <w:rPr>
      <w:b/>
      <w:sz w:val="28"/>
      <w:szCs w:val="28"/>
    </w:rPr>
  </w:style>
  <w:style w:type="paragraph" w:styleId="Heading4">
    <w:name w:val="heading 4"/>
    <w:basedOn w:val="Normal1"/>
    <w:next w:val="Normal1"/>
    <w:pPr>
      <w:keepNext/>
      <w:keepLines/>
      <w:spacing w:before="240" w:after="40"/>
      <w:contextualSpacing/>
      <w:outlineLvl w:val="3"/>
    </w:pPr>
    <w:rPr>
      <w:b/>
    </w:rPr>
  </w:style>
  <w:style w:type="paragraph" w:styleId="Heading5">
    <w:name w:val="heading 5"/>
    <w:basedOn w:val="Normal1"/>
    <w:next w:val="Normal1"/>
    <w:pPr>
      <w:keepNext/>
      <w:keepLines/>
      <w:spacing w:before="220" w:after="40"/>
      <w:contextualSpacing/>
      <w:outlineLvl w:val="4"/>
    </w:pPr>
    <w:rPr>
      <w:b/>
      <w:sz w:val="22"/>
      <w:szCs w:val="22"/>
    </w:rPr>
  </w:style>
  <w:style w:type="paragraph" w:styleId="Heading6">
    <w:name w:val="heading 6"/>
    <w:basedOn w:val="Normal1"/>
    <w:next w:val="Normal1"/>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contextualSpacing/>
    </w:pPr>
    <w:rPr>
      <w:b/>
      <w:sz w:val="72"/>
      <w:szCs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szCs w:val="48"/>
    </w:rPr>
  </w:style>
  <w:style w:type="paragraph" w:styleId="FootnoteText">
    <w:name w:val="footnote text"/>
    <w:basedOn w:val="Normal"/>
    <w:link w:val="FootnoteTextChar"/>
    <w:uiPriority w:val="99"/>
    <w:unhideWhenUsed/>
    <w:rsid w:val="003B6BE3"/>
  </w:style>
  <w:style w:type="character" w:customStyle="1" w:styleId="FootnoteTextChar">
    <w:name w:val="Footnote Text Char"/>
    <w:basedOn w:val="DefaultParagraphFont"/>
    <w:link w:val="FootnoteText"/>
    <w:uiPriority w:val="99"/>
    <w:rsid w:val="003B6BE3"/>
  </w:style>
  <w:style w:type="character" w:styleId="FootnoteReference">
    <w:name w:val="footnote reference"/>
    <w:basedOn w:val="DefaultParagraphFont"/>
    <w:uiPriority w:val="99"/>
    <w:unhideWhenUsed/>
    <w:rsid w:val="003B6BE3"/>
    <w:rPr>
      <w:vertAlign w:val="superscript"/>
    </w:rPr>
  </w:style>
  <w:style w:type="character" w:styleId="Hyperlink">
    <w:name w:val="Hyperlink"/>
    <w:basedOn w:val="DefaultParagraphFont"/>
    <w:uiPriority w:val="99"/>
    <w:unhideWhenUsed/>
    <w:rsid w:val="003B6BE3"/>
    <w:rPr>
      <w:color w:val="0000FF" w:themeColor="hyperlink"/>
      <w:u w:val="single"/>
    </w:rPr>
  </w:style>
  <w:style w:type="character" w:styleId="FollowedHyperlink">
    <w:name w:val="FollowedHyperlink"/>
    <w:basedOn w:val="DefaultParagraphFont"/>
    <w:uiPriority w:val="99"/>
    <w:semiHidden/>
    <w:unhideWhenUsed/>
    <w:rsid w:val="003B6BE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Cambria"/>
        <w:color w:val="000000"/>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szCs w:val="48"/>
    </w:rPr>
  </w:style>
  <w:style w:type="paragraph" w:styleId="Heading2">
    <w:name w:val="heading 2"/>
    <w:basedOn w:val="Normal1"/>
    <w:next w:val="Normal1"/>
    <w:pPr>
      <w:keepNext/>
      <w:keepLines/>
      <w:spacing w:before="360" w:after="80"/>
      <w:contextualSpacing/>
      <w:outlineLvl w:val="1"/>
    </w:pPr>
    <w:rPr>
      <w:b/>
      <w:sz w:val="36"/>
      <w:szCs w:val="36"/>
    </w:rPr>
  </w:style>
  <w:style w:type="paragraph" w:styleId="Heading3">
    <w:name w:val="heading 3"/>
    <w:basedOn w:val="Normal1"/>
    <w:next w:val="Normal1"/>
    <w:pPr>
      <w:keepNext/>
      <w:keepLines/>
      <w:spacing w:before="280" w:after="80"/>
      <w:contextualSpacing/>
      <w:outlineLvl w:val="2"/>
    </w:pPr>
    <w:rPr>
      <w:b/>
      <w:sz w:val="28"/>
      <w:szCs w:val="28"/>
    </w:rPr>
  </w:style>
  <w:style w:type="paragraph" w:styleId="Heading4">
    <w:name w:val="heading 4"/>
    <w:basedOn w:val="Normal1"/>
    <w:next w:val="Normal1"/>
    <w:pPr>
      <w:keepNext/>
      <w:keepLines/>
      <w:spacing w:before="240" w:after="40"/>
      <w:contextualSpacing/>
      <w:outlineLvl w:val="3"/>
    </w:pPr>
    <w:rPr>
      <w:b/>
    </w:rPr>
  </w:style>
  <w:style w:type="paragraph" w:styleId="Heading5">
    <w:name w:val="heading 5"/>
    <w:basedOn w:val="Normal1"/>
    <w:next w:val="Normal1"/>
    <w:pPr>
      <w:keepNext/>
      <w:keepLines/>
      <w:spacing w:before="220" w:after="40"/>
      <w:contextualSpacing/>
      <w:outlineLvl w:val="4"/>
    </w:pPr>
    <w:rPr>
      <w:b/>
      <w:sz w:val="22"/>
      <w:szCs w:val="22"/>
    </w:rPr>
  </w:style>
  <w:style w:type="paragraph" w:styleId="Heading6">
    <w:name w:val="heading 6"/>
    <w:basedOn w:val="Normal1"/>
    <w:next w:val="Normal1"/>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contextualSpacing/>
    </w:pPr>
    <w:rPr>
      <w:b/>
      <w:sz w:val="72"/>
      <w:szCs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szCs w:val="48"/>
    </w:rPr>
  </w:style>
  <w:style w:type="paragraph" w:styleId="FootnoteText">
    <w:name w:val="footnote text"/>
    <w:basedOn w:val="Normal"/>
    <w:link w:val="FootnoteTextChar"/>
    <w:uiPriority w:val="99"/>
    <w:unhideWhenUsed/>
    <w:rsid w:val="003B6BE3"/>
  </w:style>
  <w:style w:type="character" w:customStyle="1" w:styleId="FootnoteTextChar">
    <w:name w:val="Footnote Text Char"/>
    <w:basedOn w:val="DefaultParagraphFont"/>
    <w:link w:val="FootnoteText"/>
    <w:uiPriority w:val="99"/>
    <w:rsid w:val="003B6BE3"/>
  </w:style>
  <w:style w:type="character" w:styleId="FootnoteReference">
    <w:name w:val="footnote reference"/>
    <w:basedOn w:val="DefaultParagraphFont"/>
    <w:uiPriority w:val="99"/>
    <w:unhideWhenUsed/>
    <w:rsid w:val="003B6BE3"/>
    <w:rPr>
      <w:vertAlign w:val="superscript"/>
    </w:rPr>
  </w:style>
  <w:style w:type="character" w:styleId="Hyperlink">
    <w:name w:val="Hyperlink"/>
    <w:basedOn w:val="DefaultParagraphFont"/>
    <w:uiPriority w:val="99"/>
    <w:unhideWhenUsed/>
    <w:rsid w:val="003B6BE3"/>
    <w:rPr>
      <w:color w:val="0000FF" w:themeColor="hyperlink"/>
      <w:u w:val="single"/>
    </w:rPr>
  </w:style>
  <w:style w:type="character" w:styleId="FollowedHyperlink">
    <w:name w:val="FollowedHyperlink"/>
    <w:basedOn w:val="DefaultParagraphFont"/>
    <w:uiPriority w:val="99"/>
    <w:semiHidden/>
    <w:unhideWhenUsed/>
    <w:rsid w:val="003B6B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ine.gub.uy/censos" TargetMode="External"/><Relationship Id="rId2" Type="http://schemas.openxmlformats.org/officeDocument/2006/relationships/hyperlink" Target="http://www.minterior.gub.uy" TargetMode="External"/><Relationship Id="rId1" Type="http://schemas.openxmlformats.org/officeDocument/2006/relationships/hyperlink" Target="http://www.poderjuducial.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82203-8520-4322-B143-69AA78B18D44}"/>
</file>

<file path=customXml/itemProps2.xml><?xml version="1.0" encoding="utf-8"?>
<ds:datastoreItem xmlns:ds="http://schemas.openxmlformats.org/officeDocument/2006/customXml" ds:itemID="{6637D16B-C073-4C9C-8F33-A32345B9648D}"/>
</file>

<file path=customXml/itemProps3.xml><?xml version="1.0" encoding="utf-8"?>
<ds:datastoreItem xmlns:ds="http://schemas.openxmlformats.org/officeDocument/2006/customXml" ds:itemID="{AACF5813-AB7F-4D11-BB72-45C591329276}"/>
</file>

<file path=docProps/app.xml><?xml version="1.0" encoding="utf-8"?>
<Properties xmlns="http://schemas.openxmlformats.org/officeDocument/2006/extended-properties" xmlns:vt="http://schemas.openxmlformats.org/officeDocument/2006/docPropsVTypes">
  <Template>Normal.dotm</Template>
  <TotalTime>16</TotalTime>
  <Pages>2</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Arevalo</dc:creator>
  <cp:lastModifiedBy>Carmen Arevalo</cp:lastModifiedBy>
  <cp:revision>3</cp:revision>
  <dcterms:created xsi:type="dcterms:W3CDTF">2016-08-29T07:44:00Z</dcterms:created>
  <dcterms:modified xsi:type="dcterms:W3CDTF">2016-08-29T08:45:00Z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