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4F98E3" w14:textId="508A6083" w:rsidR="00E6074C" w:rsidRDefault="00E6074C" w:rsidP="00E6074C">
      <w:pPr>
        <w:jc w:val="center"/>
        <w:rPr>
          <w:b/>
        </w:rPr>
      </w:pPr>
      <w:r w:rsidRPr="007C7350">
        <w:rPr>
          <w:b/>
        </w:rPr>
        <w:t xml:space="preserve">JOINT SUBMISSION </w:t>
      </w:r>
      <w:r>
        <w:rPr>
          <w:b/>
        </w:rPr>
        <w:t xml:space="preserve">TO THE </w:t>
      </w:r>
      <w:r w:rsidR="005910B4">
        <w:rPr>
          <w:b/>
        </w:rPr>
        <w:t xml:space="preserve">93rd SESSION OF THE </w:t>
      </w:r>
      <w:r>
        <w:rPr>
          <w:b/>
        </w:rPr>
        <w:t>COMMITTEE FOR THE CONVENTION ON THE ELIMINATION OF RACIAL DISCRIMINATION (CERD)</w:t>
      </w:r>
    </w:p>
    <w:p w14:paraId="6C2DC905" w14:textId="77777777" w:rsidR="00C311DF" w:rsidRPr="007C7350" w:rsidRDefault="00C311DF" w:rsidP="00E6074C">
      <w:pPr>
        <w:jc w:val="center"/>
        <w:rPr>
          <w:b/>
        </w:rPr>
      </w:pPr>
    </w:p>
    <w:p w14:paraId="5DA920DE" w14:textId="77777777" w:rsidR="00E6074C" w:rsidRPr="007C7350" w:rsidRDefault="00E6074C" w:rsidP="00E6074C">
      <w:pPr>
        <w:jc w:val="center"/>
        <w:rPr>
          <w:b/>
        </w:rPr>
      </w:pPr>
      <w:r w:rsidRPr="007C7350">
        <w:rPr>
          <w:b/>
        </w:rPr>
        <w:t>By</w:t>
      </w:r>
    </w:p>
    <w:p w14:paraId="1C08F8B4" w14:textId="59F020F9" w:rsidR="00E6074C" w:rsidRPr="003B7A34" w:rsidRDefault="00E6074C" w:rsidP="003B7A34">
      <w:pPr>
        <w:pStyle w:val="NoSpacing"/>
        <w:jc w:val="center"/>
        <w:rPr>
          <w:b/>
        </w:rPr>
      </w:pPr>
      <w:r w:rsidRPr="003B7A34">
        <w:rPr>
          <w:b/>
        </w:rPr>
        <w:t>COLOUR OF POVERTY</w:t>
      </w:r>
      <w:r w:rsidR="003C59AF">
        <w:rPr>
          <w:b/>
        </w:rPr>
        <w:t xml:space="preserve"> - </w:t>
      </w:r>
      <w:r w:rsidRPr="003B7A34">
        <w:rPr>
          <w:b/>
        </w:rPr>
        <w:t>COLOUR OF CHANGE</w:t>
      </w:r>
    </w:p>
    <w:p w14:paraId="1F39C7B7" w14:textId="09B7761A" w:rsidR="00E6074C" w:rsidRPr="003B7A34" w:rsidRDefault="00E6074C" w:rsidP="003B7A34">
      <w:pPr>
        <w:pStyle w:val="NoSpacing"/>
        <w:jc w:val="center"/>
        <w:rPr>
          <w:b/>
        </w:rPr>
      </w:pPr>
      <w:r w:rsidRPr="003B7A34">
        <w:rPr>
          <w:b/>
        </w:rPr>
        <w:t>CHINESE &amp; SOUTHEAST ASIAN LEGAL CLINIC</w:t>
      </w:r>
    </w:p>
    <w:p w14:paraId="06AF8569" w14:textId="77777777" w:rsidR="00E6074C" w:rsidRPr="003B7A34" w:rsidRDefault="00E6074C" w:rsidP="003B7A34">
      <w:pPr>
        <w:pStyle w:val="NoSpacing"/>
        <w:jc w:val="center"/>
        <w:rPr>
          <w:b/>
        </w:rPr>
      </w:pPr>
      <w:r w:rsidRPr="003B7A34">
        <w:rPr>
          <w:b/>
        </w:rPr>
        <w:t>ONTARIO COUNCIL OF AGENCIES SERVING IMMIGRANTS and</w:t>
      </w:r>
    </w:p>
    <w:p w14:paraId="169DBD07" w14:textId="77777777" w:rsidR="00E6074C" w:rsidRPr="003B7A34" w:rsidRDefault="00E6074C" w:rsidP="003B7A34">
      <w:pPr>
        <w:pStyle w:val="NoSpacing"/>
        <w:jc w:val="center"/>
        <w:rPr>
          <w:b/>
        </w:rPr>
      </w:pPr>
      <w:r w:rsidRPr="003B7A34">
        <w:rPr>
          <w:b/>
        </w:rPr>
        <w:t>SOUTH ASIAN LEGAL CLINIC OF ONTARIO</w:t>
      </w:r>
    </w:p>
    <w:p w14:paraId="3C696BA4" w14:textId="156140B7" w:rsidR="00E6074C" w:rsidRPr="007C7350" w:rsidRDefault="00E6074C" w:rsidP="00E6074C"/>
    <w:p w14:paraId="335351F7" w14:textId="5E3A80A9" w:rsidR="00E6074C" w:rsidRPr="007C7350" w:rsidRDefault="002B0D4D" w:rsidP="00E6074C">
      <w:pPr>
        <w:jc w:val="center"/>
        <w:rPr>
          <w:b/>
        </w:rPr>
      </w:pPr>
      <w:r>
        <w:rPr>
          <w:b/>
        </w:rPr>
        <w:t>July</w:t>
      </w:r>
      <w:r w:rsidR="00527023">
        <w:rPr>
          <w:b/>
        </w:rPr>
        <w:t xml:space="preserve"> 2017</w:t>
      </w:r>
    </w:p>
    <w:p w14:paraId="1E7C2CFA" w14:textId="77777777" w:rsidR="00527023" w:rsidRPr="007C7350" w:rsidRDefault="00527023" w:rsidP="00527023">
      <w:pPr>
        <w:rPr>
          <w:b/>
        </w:rPr>
      </w:pPr>
      <w:r w:rsidRPr="007C7350">
        <w:rPr>
          <w:b/>
        </w:rPr>
        <w:t>INTRODUCTION</w:t>
      </w:r>
    </w:p>
    <w:p w14:paraId="1CD627CC" w14:textId="77777777" w:rsidR="00527023" w:rsidRPr="007C7350" w:rsidRDefault="00527023" w:rsidP="00527023">
      <w:bookmarkStart w:id="0" w:name="_GoBack"/>
      <w:bookmarkEnd w:id="0"/>
    </w:p>
    <w:p w14:paraId="5EC180B1" w14:textId="6515B756" w:rsidR="00527023" w:rsidRPr="007C7350" w:rsidRDefault="00527023" w:rsidP="00527023">
      <w:r w:rsidRPr="00C311DF">
        <w:rPr>
          <w:b/>
        </w:rPr>
        <w:t xml:space="preserve">Colour of Poverty </w:t>
      </w:r>
      <w:r w:rsidR="003C59AF" w:rsidRPr="00C311DF">
        <w:rPr>
          <w:b/>
        </w:rPr>
        <w:t xml:space="preserve">- </w:t>
      </w:r>
      <w:r w:rsidRPr="00C311DF">
        <w:rPr>
          <w:b/>
        </w:rPr>
        <w:t>Colour of Change (COP-COC)</w:t>
      </w:r>
      <w:r w:rsidRPr="007C7350">
        <w:t xml:space="preserve"> is a community initiative based in the province of Ontario, Canada</w:t>
      </w:r>
      <w:r>
        <w:t>,</w:t>
      </w:r>
      <w:r w:rsidRPr="007C7350">
        <w:t xml:space="preserve"> which is made up of individuals and organizations working to build community-based capacity to address the growing racialization of poverty and the resulting increased levels of social exclusion and marginalization of racialized communities</w:t>
      </w:r>
      <w:r w:rsidR="001048E4">
        <w:t xml:space="preserve"> (both Indigenous </w:t>
      </w:r>
      <w:r w:rsidR="003C59AF">
        <w:t>P</w:t>
      </w:r>
      <w:r w:rsidR="001048E4">
        <w:t>eoples and peoples of colour)</w:t>
      </w:r>
      <w:r w:rsidRPr="007C7350">
        <w:t xml:space="preserve"> across Ontario. </w:t>
      </w:r>
    </w:p>
    <w:p w14:paraId="4073005C" w14:textId="7F6492C4" w:rsidR="00527023" w:rsidRPr="007C7350" w:rsidRDefault="00527023" w:rsidP="00527023">
      <w:r>
        <w:t xml:space="preserve">The </w:t>
      </w:r>
      <w:r w:rsidRPr="00EA48AB">
        <w:rPr>
          <w:b/>
        </w:rPr>
        <w:t>Chinese &amp; South East Asian Legal Clinic (CSALC)</w:t>
      </w:r>
      <w:r>
        <w:t xml:space="preserve"> – formerly known as the Metro Toronto Chinese &amp; Southeast Asian Legal Clinic (MTCSALC)</w:t>
      </w:r>
      <w:r w:rsidR="00CA6319">
        <w:t xml:space="preserve"> –</w:t>
      </w:r>
      <w:r w:rsidRPr="007C7350">
        <w:t xml:space="preserve"> </w:t>
      </w:r>
      <w:r w:rsidR="00CA6319">
        <w:t>i</w:t>
      </w:r>
      <w:r w:rsidRPr="007C7350">
        <w:t xml:space="preserve">s a Canadian NGO mandated </w:t>
      </w:r>
      <w:proofErr w:type="gramStart"/>
      <w:r w:rsidRPr="007C7350">
        <w:t>to</w:t>
      </w:r>
      <w:proofErr w:type="gramEnd"/>
      <w:r w:rsidRPr="007C7350">
        <w:t xml:space="preserve"> provide free legal services to low income members of Chinese and Southeast Asian communities in Ontario.  </w:t>
      </w:r>
      <w:r>
        <w:t xml:space="preserve">Apart from providing legal services, CSALC also engages in systemic advocacy to advance the rights of immigrants, racialized communities and other disadvantaged members of society.  </w:t>
      </w:r>
      <w:r w:rsidRPr="007C7350">
        <w:t>CSALC has ECOSOC consultative status at the UN.</w:t>
      </w:r>
    </w:p>
    <w:p w14:paraId="16E19F25" w14:textId="76085BC9" w:rsidR="00527023" w:rsidRDefault="00527023" w:rsidP="00527023">
      <w:pPr>
        <w:spacing w:before="100" w:beforeAutospacing="1" w:after="100" w:afterAutospacing="1"/>
      </w:pPr>
      <w:r w:rsidRPr="00C311DF">
        <w:rPr>
          <w:b/>
        </w:rPr>
        <w:t>OCASI - Ontario Council of Agencies Serving Immigrants</w:t>
      </w:r>
      <w:r>
        <w:t xml:space="preserve"> is a council of autonomous immigrant and refugee-serving organizations in Ontario</w:t>
      </w:r>
      <w:r w:rsidR="002B0D4D">
        <w:t xml:space="preserve"> and the collective voice of the immigrant and refugee-serving sector in the province</w:t>
      </w:r>
      <w:r>
        <w:t xml:space="preserve">. Formed in 1978, </w:t>
      </w:r>
      <w:r w:rsidR="002B0D4D">
        <w:t xml:space="preserve">OCASI has 220 </w:t>
      </w:r>
      <w:r>
        <w:t xml:space="preserve">member organizations across the province of Ontario. OCASI’s mission is to achieve equality, access and full participation for immigrants and refugees in every aspect of Canadian life. </w:t>
      </w:r>
    </w:p>
    <w:p w14:paraId="68A2FA1F" w14:textId="1C34FC99" w:rsidR="00527023" w:rsidRPr="00185596" w:rsidRDefault="00527023" w:rsidP="00527023">
      <w:pPr>
        <w:pStyle w:val="PlainText"/>
        <w:rPr>
          <w:rFonts w:ascii="Times New Roman" w:hAnsi="Times New Roman"/>
          <w:sz w:val="24"/>
          <w:szCs w:val="24"/>
        </w:rPr>
      </w:pPr>
      <w:r w:rsidRPr="00852C29">
        <w:rPr>
          <w:rFonts w:ascii="Times New Roman" w:hAnsi="Times New Roman"/>
          <w:b/>
          <w:sz w:val="24"/>
          <w:szCs w:val="24"/>
        </w:rPr>
        <w:t>South Asian Legal Clinic of Ontario (SALCO)</w:t>
      </w:r>
      <w:r w:rsidRPr="00185596">
        <w:rPr>
          <w:rFonts w:ascii="Times New Roman" w:hAnsi="Times New Roman"/>
          <w:sz w:val="24"/>
          <w:szCs w:val="24"/>
        </w:rPr>
        <w:t xml:space="preserve"> is a not-for-profit organization established to enhance access to justice for low-income South Asians in </w:t>
      </w:r>
      <w:r w:rsidR="003C59AF">
        <w:rPr>
          <w:rFonts w:ascii="Times New Roman" w:hAnsi="Times New Roman"/>
          <w:sz w:val="24"/>
          <w:szCs w:val="24"/>
        </w:rPr>
        <w:t xml:space="preserve">the Greater </w:t>
      </w:r>
      <w:r w:rsidRPr="00185596">
        <w:rPr>
          <w:rFonts w:ascii="Times New Roman" w:hAnsi="Times New Roman"/>
          <w:sz w:val="24"/>
          <w:szCs w:val="24"/>
        </w:rPr>
        <w:t>Toronto</w:t>
      </w:r>
      <w:r w:rsidR="003C59AF">
        <w:rPr>
          <w:rFonts w:ascii="Times New Roman" w:hAnsi="Times New Roman"/>
          <w:sz w:val="24"/>
          <w:szCs w:val="24"/>
        </w:rPr>
        <w:t xml:space="preserve"> area</w:t>
      </w:r>
      <w:r w:rsidRPr="00185596">
        <w:rPr>
          <w:rFonts w:ascii="Times New Roman" w:hAnsi="Times New Roman"/>
          <w:sz w:val="24"/>
          <w:szCs w:val="24"/>
        </w:rPr>
        <w:t xml:space="preserve">. Since 1999, SALCO </w:t>
      </w:r>
      <w:r>
        <w:rPr>
          <w:rFonts w:ascii="Times New Roman" w:hAnsi="Times New Roman"/>
          <w:sz w:val="24"/>
          <w:szCs w:val="24"/>
        </w:rPr>
        <w:t>h</w:t>
      </w:r>
      <w:r w:rsidRPr="00185596">
        <w:rPr>
          <w:rFonts w:ascii="Times New Roman" w:hAnsi="Times New Roman"/>
          <w:sz w:val="24"/>
          <w:szCs w:val="24"/>
        </w:rPr>
        <w:t>as</w:t>
      </w:r>
      <w:r>
        <w:rPr>
          <w:rFonts w:ascii="Times New Roman" w:hAnsi="Times New Roman"/>
          <w:sz w:val="24"/>
          <w:szCs w:val="24"/>
        </w:rPr>
        <w:t xml:space="preserve"> been</w:t>
      </w:r>
      <w:r w:rsidRPr="00185596">
        <w:rPr>
          <w:rFonts w:ascii="Times New Roman" w:hAnsi="Times New Roman"/>
          <w:sz w:val="24"/>
          <w:szCs w:val="24"/>
        </w:rPr>
        <w:t xml:space="preserve"> working to serve the growing needs of South Asians in a culturally and linguistically sensitive manner. As a specialty clinic funded by Legal Aid Ontario, SALCO provides advice, brief services and/or legal representation in various areas of poverty law.</w:t>
      </w:r>
    </w:p>
    <w:p w14:paraId="4F62737E" w14:textId="0B46EAB3" w:rsidR="00527023" w:rsidRDefault="00527023" w:rsidP="00527023">
      <w:pPr>
        <w:spacing w:before="100" w:beforeAutospacing="1" w:after="100" w:afterAutospacing="1"/>
      </w:pPr>
      <w:r>
        <w:t>CSALC, OCASI and SALCO are founding Steering Committee members of Colour of Poverty - Colour of Change.</w:t>
      </w:r>
    </w:p>
    <w:p w14:paraId="0EF588C3" w14:textId="3AA68415" w:rsidR="006132CB" w:rsidRPr="00A179B5" w:rsidRDefault="006132CB" w:rsidP="006132CB">
      <w:pPr>
        <w:pStyle w:val="Heading1"/>
        <w:spacing w:after="240"/>
        <w:rPr>
          <w:rFonts w:ascii="Times New Roman" w:hAnsi="Times New Roman" w:cs="Times New Roman"/>
          <w:color w:val="000000" w:themeColor="text1"/>
          <w:sz w:val="24"/>
          <w:szCs w:val="24"/>
        </w:rPr>
      </w:pPr>
      <w:r w:rsidRPr="00A179B5">
        <w:rPr>
          <w:rFonts w:ascii="Times New Roman" w:hAnsi="Times New Roman" w:cs="Times New Roman"/>
          <w:color w:val="000000" w:themeColor="text1"/>
          <w:sz w:val="24"/>
          <w:szCs w:val="24"/>
        </w:rPr>
        <w:lastRenderedPageBreak/>
        <w:t>This</w:t>
      </w:r>
      <w:r>
        <w:rPr>
          <w:rFonts w:ascii="Times New Roman" w:hAnsi="Times New Roman" w:cs="Times New Roman"/>
          <w:color w:val="000000" w:themeColor="text1"/>
          <w:sz w:val="24"/>
          <w:szCs w:val="24"/>
        </w:rPr>
        <w:t xml:space="preserve"> shadow</w:t>
      </w:r>
      <w:r w:rsidRPr="00A179B5">
        <w:rPr>
          <w:rFonts w:ascii="Times New Roman" w:hAnsi="Times New Roman" w:cs="Times New Roman"/>
          <w:color w:val="000000" w:themeColor="text1"/>
          <w:sz w:val="24"/>
          <w:szCs w:val="24"/>
        </w:rPr>
        <w:t xml:space="preserve"> report was prepared by conducting a review of relevant literature, and consultations with academics, lawyers, activists, social service providers, and community and research organizations working on issues of racial discrimination. The analysis focuses on both </w:t>
      </w:r>
      <w:r w:rsidR="00FA0605">
        <w:rPr>
          <w:rFonts w:ascii="Times New Roman" w:hAnsi="Times New Roman" w:cs="Times New Roman"/>
          <w:color w:val="000000" w:themeColor="text1"/>
          <w:sz w:val="24"/>
          <w:szCs w:val="24"/>
        </w:rPr>
        <w:t>F</w:t>
      </w:r>
      <w:r w:rsidRPr="00A179B5">
        <w:rPr>
          <w:rFonts w:ascii="Times New Roman" w:hAnsi="Times New Roman" w:cs="Times New Roman"/>
          <w:color w:val="000000" w:themeColor="text1"/>
          <w:sz w:val="24"/>
          <w:szCs w:val="24"/>
        </w:rPr>
        <w:t>ederal and Ontario laws and policies.</w:t>
      </w:r>
    </w:p>
    <w:p w14:paraId="7C8C4819" w14:textId="65B742DB" w:rsidR="00527023" w:rsidRDefault="00527023" w:rsidP="00527023">
      <w:r w:rsidRPr="007C7350">
        <w:t>This joint submission on the</w:t>
      </w:r>
      <w:r w:rsidR="00DE0497">
        <w:t xml:space="preserve"> twenty-first to twenty-third</w:t>
      </w:r>
      <w:r w:rsidR="00126748">
        <w:t xml:space="preserve"> </w:t>
      </w:r>
      <w:r w:rsidRPr="007C7350">
        <w:t>periodic report</w:t>
      </w:r>
      <w:r w:rsidR="00DE0497">
        <w:t>s</w:t>
      </w:r>
      <w:r w:rsidRPr="007C7350">
        <w:t xml:space="preserve"> of Canada focuses on the issues facing racialized communities, </w:t>
      </w:r>
      <w:r w:rsidR="00B1113B">
        <w:t>newcomers (</w:t>
      </w:r>
      <w:r w:rsidRPr="007C7350">
        <w:t>immigrants, refugees and migrants</w:t>
      </w:r>
      <w:r w:rsidR="00B1113B">
        <w:t>)</w:t>
      </w:r>
      <w:r w:rsidRPr="007C7350">
        <w:t xml:space="preserve"> in Canada, and in particular, the following issues:  </w:t>
      </w:r>
    </w:p>
    <w:tbl>
      <w:tblPr>
        <w:tblStyle w:val="TableGrid"/>
        <w:tblW w:w="0" w:type="auto"/>
        <w:tblLook w:val="04A0" w:firstRow="1" w:lastRow="0" w:firstColumn="1" w:lastColumn="0" w:noHBand="0" w:noVBand="1"/>
      </w:tblPr>
      <w:tblGrid>
        <w:gridCol w:w="8046"/>
        <w:gridCol w:w="1530"/>
      </w:tblGrid>
      <w:tr w:rsidR="005D2730" w14:paraId="1767A9C4" w14:textId="77777777" w:rsidTr="0049093C">
        <w:tc>
          <w:tcPr>
            <w:tcW w:w="8046" w:type="dxa"/>
          </w:tcPr>
          <w:p w14:paraId="6D295452" w14:textId="54A858E6" w:rsidR="005D2730" w:rsidRPr="0049093C" w:rsidRDefault="005D2730" w:rsidP="00527023">
            <w:pPr>
              <w:rPr>
                <w:b/>
              </w:rPr>
            </w:pPr>
            <w:r>
              <w:rPr>
                <w:b/>
              </w:rPr>
              <w:t>Issue</w:t>
            </w:r>
          </w:p>
        </w:tc>
        <w:tc>
          <w:tcPr>
            <w:tcW w:w="1530" w:type="dxa"/>
          </w:tcPr>
          <w:p w14:paraId="6594C573" w14:textId="59674F76" w:rsidR="005D2730" w:rsidRPr="0049093C" w:rsidRDefault="005D2730" w:rsidP="00527023">
            <w:pPr>
              <w:rPr>
                <w:b/>
              </w:rPr>
            </w:pPr>
            <w:r>
              <w:rPr>
                <w:b/>
              </w:rPr>
              <w:t>Page #</w:t>
            </w:r>
          </w:p>
        </w:tc>
      </w:tr>
      <w:tr w:rsidR="005D2730" w14:paraId="0C1E1548" w14:textId="77777777" w:rsidTr="0049093C">
        <w:tc>
          <w:tcPr>
            <w:tcW w:w="8046" w:type="dxa"/>
          </w:tcPr>
          <w:p w14:paraId="7EE887A3" w14:textId="72FA9BE5" w:rsidR="005D2730" w:rsidRDefault="005D2730" w:rsidP="0049093C">
            <w:pPr>
              <w:numPr>
                <w:ilvl w:val="0"/>
                <w:numId w:val="34"/>
              </w:numPr>
            </w:pPr>
            <w:r>
              <w:t>Data Collection</w:t>
            </w:r>
          </w:p>
        </w:tc>
        <w:tc>
          <w:tcPr>
            <w:tcW w:w="1530" w:type="dxa"/>
          </w:tcPr>
          <w:p w14:paraId="39A86456" w14:textId="6D3B1A14" w:rsidR="005D2730" w:rsidRDefault="008D7C74" w:rsidP="00527023">
            <w:r>
              <w:t>3</w:t>
            </w:r>
          </w:p>
        </w:tc>
      </w:tr>
      <w:tr w:rsidR="005D2730" w14:paraId="591C8470" w14:textId="77777777" w:rsidTr="0049093C">
        <w:tc>
          <w:tcPr>
            <w:tcW w:w="8046" w:type="dxa"/>
          </w:tcPr>
          <w:p w14:paraId="79231D0E" w14:textId="71A2AA16" w:rsidR="005D2730" w:rsidRDefault="005D2730" w:rsidP="0049093C">
            <w:pPr>
              <w:numPr>
                <w:ilvl w:val="0"/>
                <w:numId w:val="34"/>
              </w:numPr>
            </w:pPr>
            <w:r w:rsidRPr="00562B56">
              <w:rPr>
                <w:color w:val="000000" w:themeColor="text1"/>
              </w:rPr>
              <w:t>The Racialization of Poverty and Labour Market Discrimination</w:t>
            </w:r>
          </w:p>
        </w:tc>
        <w:tc>
          <w:tcPr>
            <w:tcW w:w="1530" w:type="dxa"/>
          </w:tcPr>
          <w:p w14:paraId="531EA13D" w14:textId="0F646050" w:rsidR="005D2730" w:rsidRDefault="008D7C74" w:rsidP="00527023">
            <w:r>
              <w:t>4</w:t>
            </w:r>
          </w:p>
        </w:tc>
      </w:tr>
      <w:tr w:rsidR="005D2730" w14:paraId="54631C26" w14:textId="77777777" w:rsidTr="0049093C">
        <w:tc>
          <w:tcPr>
            <w:tcW w:w="8046" w:type="dxa"/>
          </w:tcPr>
          <w:p w14:paraId="3611B061" w14:textId="74FD47FC" w:rsidR="005D2730" w:rsidRDefault="005D2730" w:rsidP="0049093C">
            <w:pPr>
              <w:numPr>
                <w:ilvl w:val="0"/>
                <w:numId w:val="34"/>
              </w:numPr>
            </w:pPr>
            <w:r w:rsidRPr="00562B56">
              <w:rPr>
                <w:color w:val="000000" w:themeColor="text1"/>
              </w:rPr>
              <w:t>Rights of Temporary Migrant Workers</w:t>
            </w:r>
          </w:p>
        </w:tc>
        <w:tc>
          <w:tcPr>
            <w:tcW w:w="1530" w:type="dxa"/>
          </w:tcPr>
          <w:p w14:paraId="5FA83E19" w14:textId="18CF9809" w:rsidR="005D2730" w:rsidRDefault="008D7C74" w:rsidP="00527023">
            <w:r>
              <w:t>10</w:t>
            </w:r>
          </w:p>
        </w:tc>
      </w:tr>
      <w:tr w:rsidR="005D2730" w14:paraId="7EC19EB4" w14:textId="77777777" w:rsidTr="0049093C">
        <w:tc>
          <w:tcPr>
            <w:tcW w:w="8046" w:type="dxa"/>
          </w:tcPr>
          <w:p w14:paraId="793BBA30" w14:textId="71A3F458" w:rsidR="005D2730" w:rsidRDefault="005D2730" w:rsidP="0049093C">
            <w:pPr>
              <w:numPr>
                <w:ilvl w:val="0"/>
                <w:numId w:val="34"/>
              </w:numPr>
            </w:pPr>
            <w:r w:rsidRPr="00562B56">
              <w:rPr>
                <w:color w:val="000000" w:themeColor="text1"/>
              </w:rPr>
              <w:t>Family Class Immigration Reforms and Spousal Sponsorship</w:t>
            </w:r>
          </w:p>
        </w:tc>
        <w:tc>
          <w:tcPr>
            <w:tcW w:w="1530" w:type="dxa"/>
          </w:tcPr>
          <w:p w14:paraId="0362C238" w14:textId="6F0842DF" w:rsidR="005D2730" w:rsidRDefault="008D7C74" w:rsidP="00527023">
            <w:r>
              <w:t>11</w:t>
            </w:r>
          </w:p>
        </w:tc>
      </w:tr>
      <w:tr w:rsidR="005D2730" w14:paraId="4942C752" w14:textId="77777777" w:rsidTr="0049093C">
        <w:tc>
          <w:tcPr>
            <w:tcW w:w="8046" w:type="dxa"/>
          </w:tcPr>
          <w:p w14:paraId="64F260B7" w14:textId="2E4836B4" w:rsidR="005D2730" w:rsidRDefault="005D2730" w:rsidP="0049093C">
            <w:pPr>
              <w:numPr>
                <w:ilvl w:val="0"/>
                <w:numId w:val="34"/>
              </w:numPr>
            </w:pPr>
            <w:r w:rsidRPr="00562B56">
              <w:rPr>
                <w:color w:val="000000" w:themeColor="text1"/>
              </w:rPr>
              <w:t>Restrictive Asylum Laws and Policies</w:t>
            </w:r>
          </w:p>
        </w:tc>
        <w:tc>
          <w:tcPr>
            <w:tcW w:w="1530" w:type="dxa"/>
          </w:tcPr>
          <w:p w14:paraId="41753A1A" w14:textId="2AFA484B" w:rsidR="005D2730" w:rsidRDefault="008D7C74" w:rsidP="00527023">
            <w:r>
              <w:t>12</w:t>
            </w:r>
          </w:p>
        </w:tc>
      </w:tr>
      <w:tr w:rsidR="005D2730" w14:paraId="2C81AF0F" w14:textId="77777777" w:rsidTr="0049093C">
        <w:tc>
          <w:tcPr>
            <w:tcW w:w="8046" w:type="dxa"/>
          </w:tcPr>
          <w:p w14:paraId="21E56065" w14:textId="1BA8F298" w:rsidR="005D2730" w:rsidRDefault="005D2730" w:rsidP="0049093C">
            <w:pPr>
              <w:numPr>
                <w:ilvl w:val="0"/>
                <w:numId w:val="34"/>
              </w:numPr>
            </w:pPr>
            <w:r w:rsidRPr="00562B56">
              <w:rPr>
                <w:color w:val="000000" w:themeColor="text1"/>
              </w:rPr>
              <w:t>Immigration Detention</w:t>
            </w:r>
          </w:p>
        </w:tc>
        <w:tc>
          <w:tcPr>
            <w:tcW w:w="1530" w:type="dxa"/>
          </w:tcPr>
          <w:p w14:paraId="77AFC0BB" w14:textId="5EB432A5" w:rsidR="005D2730" w:rsidRDefault="008D7C74" w:rsidP="00527023">
            <w:r>
              <w:t>14</w:t>
            </w:r>
          </w:p>
        </w:tc>
      </w:tr>
      <w:tr w:rsidR="005D2730" w14:paraId="00D05DBA" w14:textId="77777777" w:rsidTr="0049093C">
        <w:tc>
          <w:tcPr>
            <w:tcW w:w="8046" w:type="dxa"/>
          </w:tcPr>
          <w:p w14:paraId="0625A64C" w14:textId="68D9E7C5" w:rsidR="005D2730" w:rsidRDefault="005D2730" w:rsidP="0049093C">
            <w:pPr>
              <w:numPr>
                <w:ilvl w:val="0"/>
                <w:numId w:val="34"/>
              </w:numPr>
            </w:pPr>
            <w:r w:rsidRPr="00562B56">
              <w:rPr>
                <w:color w:val="000000" w:themeColor="text1"/>
              </w:rPr>
              <w:t>Racial Discrimination in National Security</w:t>
            </w:r>
          </w:p>
        </w:tc>
        <w:tc>
          <w:tcPr>
            <w:tcW w:w="1530" w:type="dxa"/>
          </w:tcPr>
          <w:p w14:paraId="6D696EE6" w14:textId="4207D622" w:rsidR="005D2730" w:rsidRDefault="008D7C74" w:rsidP="00527023">
            <w:r>
              <w:t>16</w:t>
            </w:r>
          </w:p>
        </w:tc>
      </w:tr>
      <w:tr w:rsidR="005D2730" w14:paraId="62D12B25" w14:textId="77777777" w:rsidTr="0049093C">
        <w:tc>
          <w:tcPr>
            <w:tcW w:w="8046" w:type="dxa"/>
          </w:tcPr>
          <w:p w14:paraId="2B4F8FA1" w14:textId="48618F9C" w:rsidR="005D2730" w:rsidRPr="0049093C" w:rsidRDefault="003C59AF" w:rsidP="00FA0605">
            <w:pPr>
              <w:numPr>
                <w:ilvl w:val="0"/>
                <w:numId w:val="34"/>
              </w:numPr>
            </w:pPr>
            <w:r>
              <w:rPr>
                <w:color w:val="000000" w:themeColor="text1"/>
              </w:rPr>
              <w:t>Treaty-Based Nation-to-Nation</w:t>
            </w:r>
            <w:r w:rsidR="005D2730" w:rsidRPr="00562B56">
              <w:rPr>
                <w:color w:val="000000" w:themeColor="text1"/>
              </w:rPr>
              <w:t xml:space="preserve"> Relationship with Indigenous </w:t>
            </w:r>
            <w:r>
              <w:rPr>
                <w:color w:val="000000" w:themeColor="text1"/>
              </w:rPr>
              <w:t>People</w:t>
            </w:r>
            <w:r w:rsidR="005D2730" w:rsidRPr="00562B56">
              <w:rPr>
                <w:color w:val="000000" w:themeColor="text1"/>
              </w:rPr>
              <w:t>s</w:t>
            </w:r>
          </w:p>
        </w:tc>
        <w:tc>
          <w:tcPr>
            <w:tcW w:w="1530" w:type="dxa"/>
          </w:tcPr>
          <w:p w14:paraId="2645E78F" w14:textId="41AEA94C" w:rsidR="005D2730" w:rsidRDefault="008D7C74" w:rsidP="00527023">
            <w:r>
              <w:t>20</w:t>
            </w:r>
          </w:p>
        </w:tc>
      </w:tr>
      <w:tr w:rsidR="005D2730" w14:paraId="70E1A98E" w14:textId="77777777" w:rsidTr="0049093C">
        <w:tc>
          <w:tcPr>
            <w:tcW w:w="8046" w:type="dxa"/>
          </w:tcPr>
          <w:p w14:paraId="380714DD" w14:textId="61CF3228" w:rsidR="005D2730" w:rsidRPr="0049093C" w:rsidRDefault="005D2730" w:rsidP="00FA0605">
            <w:pPr>
              <w:numPr>
                <w:ilvl w:val="0"/>
                <w:numId w:val="34"/>
              </w:numPr>
            </w:pPr>
            <w:r w:rsidRPr="00562B56">
              <w:rPr>
                <w:color w:val="000000" w:themeColor="text1"/>
              </w:rPr>
              <w:t xml:space="preserve">Violence Against </w:t>
            </w:r>
            <w:r w:rsidR="0058105C">
              <w:rPr>
                <w:color w:val="000000" w:themeColor="text1"/>
              </w:rPr>
              <w:t>Indigenous</w:t>
            </w:r>
            <w:r w:rsidRPr="00562B56">
              <w:rPr>
                <w:color w:val="000000" w:themeColor="text1"/>
              </w:rPr>
              <w:t xml:space="preserve"> Women</w:t>
            </w:r>
            <w:r w:rsidR="0058105C">
              <w:rPr>
                <w:color w:val="000000" w:themeColor="text1"/>
              </w:rPr>
              <w:t xml:space="preserve"> and Women of Colour</w:t>
            </w:r>
          </w:p>
        </w:tc>
        <w:tc>
          <w:tcPr>
            <w:tcW w:w="1530" w:type="dxa"/>
          </w:tcPr>
          <w:p w14:paraId="02B83BFA" w14:textId="64A1A55E" w:rsidR="005D2730" w:rsidRDefault="008D7C74" w:rsidP="00527023">
            <w:r>
              <w:t>22</w:t>
            </w:r>
          </w:p>
        </w:tc>
      </w:tr>
      <w:tr w:rsidR="005D2730" w14:paraId="5BA59550" w14:textId="77777777" w:rsidTr="0049093C">
        <w:tc>
          <w:tcPr>
            <w:tcW w:w="8046" w:type="dxa"/>
          </w:tcPr>
          <w:p w14:paraId="031F0E63" w14:textId="23F5D835" w:rsidR="005D2730" w:rsidRPr="0049093C" w:rsidRDefault="005D2730" w:rsidP="00FA0605">
            <w:pPr>
              <w:numPr>
                <w:ilvl w:val="0"/>
                <w:numId w:val="34"/>
              </w:numPr>
            </w:pPr>
            <w:r w:rsidRPr="00562B56">
              <w:rPr>
                <w:color w:val="000000" w:themeColor="text1"/>
              </w:rPr>
              <w:t>Hate Crimes</w:t>
            </w:r>
          </w:p>
        </w:tc>
        <w:tc>
          <w:tcPr>
            <w:tcW w:w="1530" w:type="dxa"/>
          </w:tcPr>
          <w:p w14:paraId="59779540" w14:textId="28520268" w:rsidR="005D2730" w:rsidRDefault="008D7C74" w:rsidP="00527023">
            <w:r>
              <w:t>24</w:t>
            </w:r>
          </w:p>
        </w:tc>
      </w:tr>
      <w:tr w:rsidR="005D2730" w14:paraId="79E51C72" w14:textId="77777777" w:rsidTr="0049093C">
        <w:tc>
          <w:tcPr>
            <w:tcW w:w="8046" w:type="dxa"/>
          </w:tcPr>
          <w:p w14:paraId="43C28347" w14:textId="2EE694E0" w:rsidR="005D2730" w:rsidRPr="0049093C" w:rsidRDefault="005D2730" w:rsidP="00FA0605">
            <w:pPr>
              <w:numPr>
                <w:ilvl w:val="0"/>
                <w:numId w:val="34"/>
              </w:numPr>
            </w:pPr>
            <w:r w:rsidRPr="00411512">
              <w:rPr>
                <w:color w:val="000000" w:themeColor="text1"/>
              </w:rPr>
              <w:t>Racial Discrimination in Policing and Criminal Justice</w:t>
            </w:r>
          </w:p>
        </w:tc>
        <w:tc>
          <w:tcPr>
            <w:tcW w:w="1530" w:type="dxa"/>
          </w:tcPr>
          <w:p w14:paraId="18330F78" w14:textId="6D3321E6" w:rsidR="005D2730" w:rsidRDefault="008D7C74" w:rsidP="00527023">
            <w:r>
              <w:t>25</w:t>
            </w:r>
          </w:p>
        </w:tc>
      </w:tr>
      <w:tr w:rsidR="005D2730" w14:paraId="03146DE4" w14:textId="77777777" w:rsidTr="0049093C">
        <w:tc>
          <w:tcPr>
            <w:tcW w:w="8046" w:type="dxa"/>
          </w:tcPr>
          <w:p w14:paraId="2FC2569E" w14:textId="7CF0C4C2" w:rsidR="005D2730" w:rsidRPr="0049093C" w:rsidRDefault="005D2730" w:rsidP="00FA0605">
            <w:pPr>
              <w:numPr>
                <w:ilvl w:val="0"/>
                <w:numId w:val="34"/>
              </w:numPr>
            </w:pPr>
            <w:r w:rsidRPr="00411512">
              <w:rPr>
                <w:color w:val="000000" w:themeColor="text1"/>
              </w:rPr>
              <w:t>Racial Discrimination in Child Welfare</w:t>
            </w:r>
          </w:p>
        </w:tc>
        <w:tc>
          <w:tcPr>
            <w:tcW w:w="1530" w:type="dxa"/>
          </w:tcPr>
          <w:p w14:paraId="4D81AE9C" w14:textId="5DA877C1" w:rsidR="005D2730" w:rsidRDefault="008D7C74" w:rsidP="00527023">
            <w:r>
              <w:t>31</w:t>
            </w:r>
          </w:p>
        </w:tc>
      </w:tr>
      <w:tr w:rsidR="005D2730" w14:paraId="4E6828FD" w14:textId="77777777" w:rsidTr="0049093C">
        <w:tc>
          <w:tcPr>
            <w:tcW w:w="8046" w:type="dxa"/>
          </w:tcPr>
          <w:p w14:paraId="4A03E611" w14:textId="2AB62EDE" w:rsidR="005D2730" w:rsidRPr="0049093C" w:rsidRDefault="005D2730" w:rsidP="00FA0605">
            <w:pPr>
              <w:numPr>
                <w:ilvl w:val="0"/>
                <w:numId w:val="34"/>
              </w:numPr>
            </w:pPr>
            <w:r w:rsidRPr="00411512">
              <w:rPr>
                <w:color w:val="000000" w:themeColor="text1"/>
              </w:rPr>
              <w:t>Racial Discrimination in Education</w:t>
            </w:r>
          </w:p>
        </w:tc>
        <w:tc>
          <w:tcPr>
            <w:tcW w:w="1530" w:type="dxa"/>
          </w:tcPr>
          <w:p w14:paraId="129DE508" w14:textId="2307030D" w:rsidR="005D2730" w:rsidRDefault="008D7C74" w:rsidP="00527023">
            <w:r>
              <w:t>33</w:t>
            </w:r>
          </w:p>
        </w:tc>
      </w:tr>
      <w:tr w:rsidR="005D2730" w14:paraId="2160FDBF" w14:textId="77777777" w:rsidTr="0049093C">
        <w:tc>
          <w:tcPr>
            <w:tcW w:w="8046" w:type="dxa"/>
          </w:tcPr>
          <w:p w14:paraId="154DE02B" w14:textId="1A191D3E" w:rsidR="005D2730" w:rsidRPr="0049093C" w:rsidRDefault="005D2730" w:rsidP="00FA0605">
            <w:pPr>
              <w:numPr>
                <w:ilvl w:val="0"/>
                <w:numId w:val="34"/>
              </w:numPr>
            </w:pPr>
            <w:r w:rsidRPr="00411512">
              <w:rPr>
                <w:color w:val="000000" w:themeColor="text1"/>
              </w:rPr>
              <w:t>Racial Discrimination in Health Care</w:t>
            </w:r>
          </w:p>
        </w:tc>
        <w:tc>
          <w:tcPr>
            <w:tcW w:w="1530" w:type="dxa"/>
          </w:tcPr>
          <w:p w14:paraId="679D876B" w14:textId="5F0CDEB1" w:rsidR="005D2730" w:rsidRDefault="008D7C74" w:rsidP="00527023">
            <w:r>
              <w:t>35</w:t>
            </w:r>
          </w:p>
        </w:tc>
      </w:tr>
      <w:tr w:rsidR="00E856EA" w14:paraId="0F1A5451" w14:textId="77777777" w:rsidTr="0049093C">
        <w:tc>
          <w:tcPr>
            <w:tcW w:w="8046" w:type="dxa"/>
          </w:tcPr>
          <w:p w14:paraId="6E53160F" w14:textId="03E1C40D" w:rsidR="00E856EA" w:rsidRPr="00411512" w:rsidRDefault="00E856EA" w:rsidP="00FA0605">
            <w:pPr>
              <w:numPr>
                <w:ilvl w:val="0"/>
                <w:numId w:val="34"/>
              </w:numPr>
              <w:rPr>
                <w:color w:val="000000" w:themeColor="text1"/>
              </w:rPr>
            </w:pPr>
            <w:r>
              <w:rPr>
                <w:color w:val="000000" w:themeColor="text1"/>
              </w:rPr>
              <w:t>WCAR and Canada’s Action Plan Against Racism</w:t>
            </w:r>
          </w:p>
        </w:tc>
        <w:tc>
          <w:tcPr>
            <w:tcW w:w="1530" w:type="dxa"/>
          </w:tcPr>
          <w:p w14:paraId="04822035" w14:textId="63F1AE7C" w:rsidR="00E856EA" w:rsidRDefault="00E856EA" w:rsidP="00527023">
            <w:r>
              <w:t>36</w:t>
            </w:r>
          </w:p>
        </w:tc>
      </w:tr>
    </w:tbl>
    <w:p w14:paraId="5A780414" w14:textId="77777777" w:rsidR="005D2730" w:rsidRPr="007C7350" w:rsidRDefault="005D2730" w:rsidP="00527023"/>
    <w:p w14:paraId="093687B1" w14:textId="1E2A8624" w:rsidR="00BA3D0C" w:rsidRDefault="00734651" w:rsidP="00527023">
      <w:r w:rsidRPr="0021026C">
        <w:t>M</w:t>
      </w:r>
      <w:r w:rsidR="00BA3D0C" w:rsidRPr="0021026C">
        <w:t>ost of the issues</w:t>
      </w:r>
      <w:r w:rsidRPr="0021026C">
        <w:t xml:space="preserve"> covered in this report</w:t>
      </w:r>
      <w:r w:rsidR="00BA3D0C" w:rsidRPr="0021026C">
        <w:t xml:space="preserve"> either fall under the Federal</w:t>
      </w:r>
      <w:r w:rsidR="003B7A34" w:rsidRPr="0021026C">
        <w:t xml:space="preserve"> Government</w:t>
      </w:r>
      <w:r w:rsidR="00BA3D0C" w:rsidRPr="0021026C">
        <w:t xml:space="preserve">’s sole jurisdiction or shared jurisdiction between the </w:t>
      </w:r>
      <w:r w:rsidR="00FA0605" w:rsidRPr="0021026C">
        <w:t>F</w:t>
      </w:r>
      <w:r w:rsidR="00BA3D0C" w:rsidRPr="0021026C">
        <w:t>ederal and</w:t>
      </w:r>
      <w:r w:rsidR="00EB6A7F" w:rsidRPr="0021026C">
        <w:t xml:space="preserve"> Ontario</w:t>
      </w:r>
      <w:r w:rsidR="00BA3D0C" w:rsidRPr="0021026C">
        <w:t xml:space="preserve"> governments.</w:t>
      </w:r>
      <w:r w:rsidRPr="0021026C">
        <w:t xml:space="preserve">  Some issues, namely </w:t>
      </w:r>
      <w:r w:rsidR="00955D1A" w:rsidRPr="0021026C">
        <w:t xml:space="preserve">education </w:t>
      </w:r>
      <w:r w:rsidRPr="0021026C">
        <w:t xml:space="preserve">and healthcare fall </w:t>
      </w:r>
      <w:r w:rsidR="00955D1A" w:rsidRPr="0021026C">
        <w:t xml:space="preserve">largely </w:t>
      </w:r>
      <w:r w:rsidRPr="0021026C">
        <w:t xml:space="preserve">under the jurisdiction of the provincial government.  </w:t>
      </w:r>
      <w:r w:rsidR="00CA4574" w:rsidRPr="0021026C">
        <w:t>But in areas such as</w:t>
      </w:r>
      <w:r w:rsidRPr="0021026C">
        <w:t xml:space="preserve"> </w:t>
      </w:r>
      <w:r w:rsidR="00B1113B" w:rsidRPr="0021026C">
        <w:t xml:space="preserve">education and </w:t>
      </w:r>
      <w:r w:rsidRPr="0021026C">
        <w:t>child welfare</w:t>
      </w:r>
      <w:r w:rsidR="00CA4574" w:rsidRPr="0021026C">
        <w:t xml:space="preserve"> for example</w:t>
      </w:r>
      <w:r w:rsidRPr="0021026C">
        <w:t>, the Federal Government</w:t>
      </w:r>
      <w:r w:rsidR="00255697" w:rsidRPr="0021026C">
        <w:t xml:space="preserve"> is solely responsible for the funding of </w:t>
      </w:r>
      <w:r w:rsidR="00B1113B" w:rsidRPr="0021026C">
        <w:t xml:space="preserve">the </w:t>
      </w:r>
      <w:r w:rsidR="00255697" w:rsidRPr="0021026C">
        <w:t xml:space="preserve">Indigenous </w:t>
      </w:r>
      <w:r w:rsidR="00B1113B" w:rsidRPr="0021026C">
        <w:t xml:space="preserve">education and </w:t>
      </w:r>
      <w:r w:rsidR="00255697" w:rsidRPr="0021026C">
        <w:t>child welfare system</w:t>
      </w:r>
      <w:r w:rsidR="00B1113B" w:rsidRPr="0021026C">
        <w:t>s</w:t>
      </w:r>
      <w:r w:rsidR="00255697" w:rsidRPr="0021026C">
        <w:t xml:space="preserve"> on reserves.</w:t>
      </w:r>
    </w:p>
    <w:p w14:paraId="0C003E90" w14:textId="74659E8F" w:rsidR="00527023" w:rsidRDefault="00527023" w:rsidP="00527023">
      <w:r w:rsidRPr="007C7350">
        <w:t xml:space="preserve">Many of these issues were never addressed by the Canadian Government in its previous reports.   To the extent that they were addressed, the Government of Canada has either not accepted the recommendations </w:t>
      </w:r>
      <w:r w:rsidR="00852C29">
        <w:t xml:space="preserve">by the CERD Committee </w:t>
      </w:r>
      <w:r w:rsidRPr="007C7350">
        <w:t>or has not acted on the recommendations.  Some of these issues involve legislative changes that were implemented since the last CER</w:t>
      </w:r>
      <w:r>
        <w:t>D</w:t>
      </w:r>
      <w:r w:rsidRPr="007C7350">
        <w:t xml:space="preserve"> report. A few issues were raised but not addressed in the context of the experiences of </w:t>
      </w:r>
      <w:r w:rsidR="00B1113B">
        <w:t>Indigenous Peoples, peoples of colour</w:t>
      </w:r>
      <w:r w:rsidRPr="007C7350">
        <w:t xml:space="preserve"> </w:t>
      </w:r>
      <w:r w:rsidR="00B1113B">
        <w:t>or</w:t>
      </w:r>
      <w:r w:rsidRPr="007C7350">
        <w:t xml:space="preserve"> </w:t>
      </w:r>
      <w:r w:rsidR="00B1113B">
        <w:t>newcomer</w:t>
      </w:r>
      <w:r w:rsidRPr="007C7350">
        <w:t xml:space="preserve"> communities specifically.</w:t>
      </w:r>
    </w:p>
    <w:p w14:paraId="1495CD63" w14:textId="443C4F36" w:rsidR="00894416" w:rsidRDefault="00894416" w:rsidP="00894416">
      <w:r>
        <w:t xml:space="preserve">It should also be noted within the rest of the submissions that </w:t>
      </w:r>
      <w:r w:rsidR="00211D1D">
        <w:t>a</w:t>
      </w:r>
      <w:r w:rsidRPr="00894416">
        <w:t xml:space="preserve">nti-Indigenous racism is </w:t>
      </w:r>
      <w:r w:rsidR="00722154">
        <w:t xml:space="preserve">a form of </w:t>
      </w:r>
      <w:r w:rsidRPr="00894416">
        <w:t>discrimination</w:t>
      </w:r>
      <w:r w:rsidR="00722154">
        <w:t xml:space="preserve"> that is distinct from discrimination</w:t>
      </w:r>
      <w:r w:rsidRPr="00894416">
        <w:t xml:space="preserve"> against other racialized groups in Canada, because </w:t>
      </w:r>
      <w:r w:rsidR="00B1113B">
        <w:t xml:space="preserve">to a considerable extent </w:t>
      </w:r>
      <w:r w:rsidRPr="00894416">
        <w:t>it is a</w:t>
      </w:r>
      <w:r w:rsidR="00B1113B">
        <w:t>n ongoing</w:t>
      </w:r>
      <w:r w:rsidRPr="00894416">
        <w:t xml:space="preserve"> manifestation of the Canadian state’s colonial </w:t>
      </w:r>
      <w:r w:rsidR="00CA4574">
        <w:t xml:space="preserve">style </w:t>
      </w:r>
      <w:r w:rsidRPr="00894416">
        <w:t xml:space="preserve">relationship with Indigenous </w:t>
      </w:r>
      <w:r w:rsidR="00B1113B">
        <w:t>People</w:t>
      </w:r>
      <w:r w:rsidRPr="00894416">
        <w:t>s.</w:t>
      </w:r>
    </w:p>
    <w:p w14:paraId="5B696FBE" w14:textId="77777777" w:rsidR="00852C29" w:rsidRDefault="00527023" w:rsidP="00527023">
      <w:r w:rsidRPr="007C7350">
        <w:t xml:space="preserve">On October 19, 2015, Canadians elected a new </w:t>
      </w:r>
      <w:r w:rsidR="00B1113B">
        <w:t xml:space="preserve">Federal </w:t>
      </w:r>
      <w:r w:rsidRPr="007C7350">
        <w:t xml:space="preserve">Government.  While the change in Government ignited </w:t>
      </w:r>
      <w:r w:rsidR="00B1113B">
        <w:t>considerabl</w:t>
      </w:r>
      <w:r w:rsidRPr="007C7350">
        <w:t xml:space="preserve">e hope for change, and </w:t>
      </w:r>
      <w:r w:rsidR="00CA4574">
        <w:t xml:space="preserve">though </w:t>
      </w:r>
      <w:r w:rsidRPr="007C7350">
        <w:t xml:space="preserve">the new Government has promised to address some longstanding and historic issues facing Indigenous </w:t>
      </w:r>
      <w:r w:rsidR="00B1113B">
        <w:t>P</w:t>
      </w:r>
      <w:r w:rsidRPr="007C7350">
        <w:t xml:space="preserve">eoples in Canada, </w:t>
      </w:r>
      <w:r w:rsidR="00EF6754">
        <w:t>the</w:t>
      </w:r>
      <w:r w:rsidR="00722154">
        <w:t xml:space="preserve"> systemic</w:t>
      </w:r>
      <w:r w:rsidR="00EF6754">
        <w:t xml:space="preserve"> exclusion and marginalization of </w:t>
      </w:r>
      <w:r w:rsidRPr="007C7350">
        <w:t xml:space="preserve">Indigenous </w:t>
      </w:r>
      <w:r w:rsidR="00B1113B">
        <w:t>P</w:t>
      </w:r>
      <w:r w:rsidRPr="007C7350">
        <w:t xml:space="preserve">eoples </w:t>
      </w:r>
      <w:r w:rsidR="00EF6754">
        <w:t>is persistent and ongoing.</w:t>
      </w:r>
      <w:r w:rsidRPr="007C7350">
        <w:t xml:space="preserve">  </w:t>
      </w:r>
    </w:p>
    <w:p w14:paraId="006CC2B4" w14:textId="0B56C718" w:rsidR="00527023" w:rsidRDefault="00527023" w:rsidP="00527023">
      <w:r w:rsidRPr="007C7350">
        <w:t>A</w:t>
      </w:r>
      <w:r w:rsidR="00EF6754">
        <w:t xml:space="preserve">dditionally, </w:t>
      </w:r>
      <w:r w:rsidRPr="007C7350">
        <w:t xml:space="preserve">the Canadian Government has yet to </w:t>
      </w:r>
      <w:r w:rsidR="00B1113B">
        <w:t xml:space="preserve">fully </w:t>
      </w:r>
      <w:r w:rsidRPr="007C7350">
        <w:t xml:space="preserve">acknowledge the </w:t>
      </w:r>
      <w:r w:rsidR="00EF6754">
        <w:t xml:space="preserve">exclusion and discrimination </w:t>
      </w:r>
      <w:r w:rsidR="00B1113B">
        <w:t>as long experienced by</w:t>
      </w:r>
      <w:r w:rsidR="00EF6754">
        <w:t xml:space="preserve"> </w:t>
      </w:r>
      <w:r w:rsidRPr="007C7350">
        <w:t>communities of colour (</w:t>
      </w:r>
      <w:r w:rsidR="00B1113B">
        <w:t xml:space="preserve">referred to by governments as </w:t>
      </w:r>
      <w:r w:rsidRPr="007C7350">
        <w:t xml:space="preserve">“visible minority groups”) in Canada, let alone </w:t>
      </w:r>
      <w:r>
        <w:t>propose</w:t>
      </w:r>
      <w:r w:rsidRPr="007C7350">
        <w:t xml:space="preserve"> any </w:t>
      </w:r>
      <w:r>
        <w:t xml:space="preserve">concrete </w:t>
      </w:r>
      <w:r w:rsidRPr="007C7350">
        <w:t>measures to tackle the</w:t>
      </w:r>
      <w:r w:rsidR="00EF6754">
        <w:t xml:space="preserve"> urgent and serious</w:t>
      </w:r>
      <w:r w:rsidRPr="007C7350">
        <w:t xml:space="preserve"> issues</w:t>
      </w:r>
      <w:r>
        <w:t xml:space="preserve"> these </w:t>
      </w:r>
      <w:r w:rsidR="00597C53">
        <w:t xml:space="preserve">ethno-racially diverse </w:t>
      </w:r>
      <w:r>
        <w:t>communities face</w:t>
      </w:r>
      <w:r w:rsidRPr="007C7350">
        <w:t xml:space="preserve">.   </w:t>
      </w:r>
    </w:p>
    <w:p w14:paraId="1AF25B2F" w14:textId="190F547E" w:rsidR="00EB749D" w:rsidRDefault="00EB749D" w:rsidP="00EB749D">
      <w:r>
        <w:t>Finally, all orders of Government - federal, provincial/territorial and municipal – have failed to continue working on and deliverin</w:t>
      </w:r>
      <w:r w:rsidR="00762DFB">
        <w:t>g on their respective obligation</w:t>
      </w:r>
      <w:r>
        <w:t xml:space="preserve">s under the World Conference </w:t>
      </w:r>
      <w:proofErr w:type="gramStart"/>
      <w:r>
        <w:t>Against</w:t>
      </w:r>
      <w:proofErr w:type="gramEnd"/>
      <w:r>
        <w:t xml:space="preserve"> Racism (W</w:t>
      </w:r>
      <w:r w:rsidR="00762DFB">
        <w:t>CAR) Programme of Action –</w:t>
      </w:r>
      <w:r>
        <w:t xml:space="preserve"> commitments</w:t>
      </w:r>
      <w:r w:rsidR="00762DFB">
        <w:t xml:space="preserve"> that include a comprehensive and robust national action plan against racism</w:t>
      </w:r>
      <w:r>
        <w:t>.</w:t>
      </w:r>
    </w:p>
    <w:p w14:paraId="7C65420E" w14:textId="77777777" w:rsidR="00894416" w:rsidRPr="007C7350" w:rsidRDefault="00894416" w:rsidP="00527023"/>
    <w:p w14:paraId="5818E0DF" w14:textId="5655DF71" w:rsidR="00D328B8" w:rsidRPr="0049093C" w:rsidRDefault="005175CE" w:rsidP="0049093C">
      <w:r w:rsidRPr="0049093C">
        <w:rPr>
          <w:b/>
          <w:color w:val="000000" w:themeColor="text1"/>
          <w:u w:val="single"/>
        </w:rPr>
        <w:t xml:space="preserve">Issue 1: </w:t>
      </w:r>
      <w:r w:rsidR="00FE0CA9" w:rsidRPr="0049093C">
        <w:rPr>
          <w:b/>
          <w:color w:val="000000" w:themeColor="text1"/>
          <w:u w:val="single"/>
        </w:rPr>
        <w:t>Data Collection</w:t>
      </w:r>
    </w:p>
    <w:p w14:paraId="0672BE01" w14:textId="2AAC5BF0" w:rsidR="00291FF2" w:rsidRPr="00D91822" w:rsidRDefault="00897F1A" w:rsidP="00D91822">
      <w:pPr>
        <w:pStyle w:val="ListParagraph"/>
        <w:numPr>
          <w:ilvl w:val="0"/>
          <w:numId w:val="10"/>
        </w:numPr>
        <w:rPr>
          <w:color w:val="000000" w:themeColor="text1"/>
        </w:rPr>
      </w:pPr>
      <w:r w:rsidRPr="00A179B5">
        <w:rPr>
          <w:color w:val="000000" w:themeColor="text1"/>
        </w:rPr>
        <w:t xml:space="preserve">Governmental failure </w:t>
      </w:r>
      <w:r w:rsidR="00597C53">
        <w:rPr>
          <w:color w:val="000000" w:themeColor="text1"/>
        </w:rPr>
        <w:t xml:space="preserve">at all levels </w:t>
      </w:r>
      <w:r w:rsidRPr="00A179B5">
        <w:rPr>
          <w:color w:val="000000" w:themeColor="text1"/>
        </w:rPr>
        <w:t>to collect</w:t>
      </w:r>
      <w:r w:rsidR="0082171B" w:rsidRPr="00A179B5">
        <w:rPr>
          <w:color w:val="000000" w:themeColor="text1"/>
        </w:rPr>
        <w:t xml:space="preserve"> </w:t>
      </w:r>
      <w:r w:rsidRPr="00A179B5">
        <w:rPr>
          <w:color w:val="000000" w:themeColor="text1"/>
        </w:rPr>
        <w:t>disaggregated data</w:t>
      </w:r>
      <w:r w:rsidR="00955D1A">
        <w:rPr>
          <w:color w:val="000000" w:themeColor="text1"/>
        </w:rPr>
        <w:t xml:space="preserve"> with respect to ethno-racial background</w:t>
      </w:r>
      <w:r w:rsidRPr="00A179B5">
        <w:rPr>
          <w:color w:val="000000" w:themeColor="text1"/>
        </w:rPr>
        <w:t xml:space="preserve"> is an overarching issue across the different areas where racial discrimination is manifested</w:t>
      </w:r>
      <w:r w:rsidR="00BA2DEB" w:rsidRPr="00A179B5">
        <w:rPr>
          <w:color w:val="000000" w:themeColor="text1"/>
        </w:rPr>
        <w:t>. This prevents</w:t>
      </w:r>
      <w:r w:rsidRPr="00A179B5">
        <w:rPr>
          <w:color w:val="000000" w:themeColor="text1"/>
        </w:rPr>
        <w:t xml:space="preserve"> the measurement and tracking of racial </w:t>
      </w:r>
      <w:r w:rsidR="00597C53">
        <w:rPr>
          <w:color w:val="000000" w:themeColor="text1"/>
        </w:rPr>
        <w:t xml:space="preserve">inequities and </w:t>
      </w:r>
      <w:r w:rsidRPr="00A179B5">
        <w:rPr>
          <w:color w:val="000000" w:themeColor="text1"/>
        </w:rPr>
        <w:t>disparities</w:t>
      </w:r>
      <w:r w:rsidR="002C5C5F" w:rsidRPr="00A179B5">
        <w:rPr>
          <w:color w:val="000000" w:themeColor="text1"/>
        </w:rPr>
        <w:t>; impairs</w:t>
      </w:r>
      <w:r w:rsidR="0082171B" w:rsidRPr="00A179B5">
        <w:rPr>
          <w:color w:val="000000" w:themeColor="text1"/>
        </w:rPr>
        <w:t xml:space="preserve"> </w:t>
      </w:r>
      <w:r w:rsidR="001754AA" w:rsidRPr="00A179B5">
        <w:rPr>
          <w:color w:val="000000" w:themeColor="text1"/>
        </w:rPr>
        <w:t>assessment</w:t>
      </w:r>
      <w:r w:rsidR="0082171B" w:rsidRPr="00A179B5">
        <w:rPr>
          <w:color w:val="000000" w:themeColor="text1"/>
        </w:rPr>
        <w:t xml:space="preserve"> of the impacts of government</w:t>
      </w:r>
      <w:r w:rsidR="00FE45F9" w:rsidRPr="00A179B5">
        <w:rPr>
          <w:color w:val="000000" w:themeColor="text1"/>
        </w:rPr>
        <w:t xml:space="preserve"> laws, </w:t>
      </w:r>
      <w:r w:rsidR="0082171B" w:rsidRPr="00A179B5">
        <w:rPr>
          <w:color w:val="000000" w:themeColor="text1"/>
        </w:rPr>
        <w:t>policies</w:t>
      </w:r>
      <w:r w:rsidR="00FE45F9" w:rsidRPr="00A179B5">
        <w:rPr>
          <w:color w:val="000000" w:themeColor="text1"/>
        </w:rPr>
        <w:t>, and programs</w:t>
      </w:r>
      <w:r w:rsidR="0082171B" w:rsidRPr="00A179B5">
        <w:rPr>
          <w:color w:val="000000" w:themeColor="text1"/>
        </w:rPr>
        <w:t xml:space="preserve"> on marginalized communities</w:t>
      </w:r>
      <w:r w:rsidR="002C5C5F" w:rsidRPr="00A179B5">
        <w:rPr>
          <w:color w:val="000000" w:themeColor="text1"/>
        </w:rPr>
        <w:t>; and impedes political and legal recognition of racial discrimination</w:t>
      </w:r>
      <w:r w:rsidRPr="00A179B5">
        <w:rPr>
          <w:color w:val="000000" w:themeColor="text1"/>
        </w:rPr>
        <w:t>.</w:t>
      </w:r>
    </w:p>
    <w:p w14:paraId="7AEFE036" w14:textId="77777777" w:rsidR="001B343D" w:rsidRPr="00A179B5" w:rsidRDefault="001B343D" w:rsidP="001B343D">
      <w:pPr>
        <w:pStyle w:val="ListParagraph"/>
        <w:ind w:left="0"/>
        <w:rPr>
          <w:color w:val="000000" w:themeColor="text1"/>
        </w:rPr>
      </w:pPr>
    </w:p>
    <w:p w14:paraId="5F796C21" w14:textId="7B446A41" w:rsidR="00291FF2" w:rsidRDefault="00FE45F9" w:rsidP="00F9327E">
      <w:pPr>
        <w:pStyle w:val="ListParagraph"/>
        <w:numPr>
          <w:ilvl w:val="0"/>
          <w:numId w:val="10"/>
        </w:numPr>
        <w:rPr>
          <w:color w:val="000000" w:themeColor="text1"/>
        </w:rPr>
      </w:pPr>
      <w:r w:rsidRPr="00A179B5">
        <w:rPr>
          <w:color w:val="000000" w:themeColor="text1"/>
        </w:rPr>
        <w:t xml:space="preserve">The </w:t>
      </w:r>
      <w:r w:rsidR="00597C53">
        <w:rPr>
          <w:color w:val="000000" w:themeColor="text1"/>
        </w:rPr>
        <w:t xml:space="preserve">new </w:t>
      </w:r>
      <w:r w:rsidR="00F9608B">
        <w:rPr>
          <w:color w:val="000000" w:themeColor="text1"/>
        </w:rPr>
        <w:t>F</w:t>
      </w:r>
      <w:r w:rsidR="00BA2DEB" w:rsidRPr="00A179B5">
        <w:rPr>
          <w:color w:val="000000" w:themeColor="text1"/>
        </w:rPr>
        <w:t xml:space="preserve">ederal </w:t>
      </w:r>
      <w:r w:rsidR="00F9608B">
        <w:rPr>
          <w:color w:val="000000" w:themeColor="text1"/>
        </w:rPr>
        <w:t>G</w:t>
      </w:r>
      <w:r w:rsidR="00BA2DEB" w:rsidRPr="00A179B5">
        <w:rPr>
          <w:color w:val="000000" w:themeColor="text1"/>
        </w:rPr>
        <w:t xml:space="preserve">overnment’s </w:t>
      </w:r>
      <w:r w:rsidRPr="00A179B5">
        <w:rPr>
          <w:color w:val="000000" w:themeColor="text1"/>
        </w:rPr>
        <w:t>restoration of the national mandatory long-form census</w:t>
      </w:r>
      <w:r w:rsidR="00BA2DEB" w:rsidRPr="00A179B5">
        <w:rPr>
          <w:color w:val="000000" w:themeColor="text1"/>
        </w:rPr>
        <w:t xml:space="preserve"> – which includes quest</w:t>
      </w:r>
      <w:r w:rsidR="007C1D6D" w:rsidRPr="00A179B5">
        <w:rPr>
          <w:color w:val="000000" w:themeColor="text1"/>
        </w:rPr>
        <w:t xml:space="preserve">ions relating to race, </w:t>
      </w:r>
      <w:r w:rsidR="00BA2DEB" w:rsidRPr="00A179B5">
        <w:rPr>
          <w:color w:val="000000" w:themeColor="text1"/>
        </w:rPr>
        <w:t>ethnicity,</w:t>
      </w:r>
      <w:r w:rsidR="007C1D6D" w:rsidRPr="00A179B5">
        <w:rPr>
          <w:color w:val="000000" w:themeColor="text1"/>
        </w:rPr>
        <w:t xml:space="preserve"> Indigeneity</w:t>
      </w:r>
      <w:r w:rsidR="001B343D" w:rsidRPr="00A179B5">
        <w:rPr>
          <w:color w:val="000000" w:themeColor="text1"/>
        </w:rPr>
        <w:t>,</w:t>
      </w:r>
      <w:r w:rsidR="00BA2DEB" w:rsidRPr="00A179B5">
        <w:rPr>
          <w:color w:val="000000" w:themeColor="text1"/>
        </w:rPr>
        <w:t xml:space="preserve"> and immigration status – is</w:t>
      </w:r>
      <w:r w:rsidR="007C1D6D" w:rsidRPr="00A179B5">
        <w:rPr>
          <w:color w:val="000000" w:themeColor="text1"/>
        </w:rPr>
        <w:t xml:space="preserve"> </w:t>
      </w:r>
      <w:r w:rsidR="00EE56FD">
        <w:rPr>
          <w:color w:val="000000" w:themeColor="text1"/>
        </w:rPr>
        <w:t>welcome</w:t>
      </w:r>
      <w:r w:rsidR="007C1D6D" w:rsidRPr="00A179B5">
        <w:rPr>
          <w:color w:val="000000" w:themeColor="text1"/>
        </w:rPr>
        <w:t>.</w:t>
      </w:r>
      <w:r w:rsidR="007C1D6D" w:rsidRPr="00A179B5">
        <w:rPr>
          <w:rStyle w:val="FootnoteReference"/>
          <w:color w:val="000000" w:themeColor="text1"/>
        </w:rPr>
        <w:footnoteReference w:id="1"/>
      </w:r>
      <w:r w:rsidR="00332EAD" w:rsidRPr="00A179B5">
        <w:rPr>
          <w:color w:val="000000" w:themeColor="text1"/>
        </w:rPr>
        <w:t xml:space="preserve"> This will permit tracking of</w:t>
      </w:r>
      <w:r w:rsidR="00AF76F7" w:rsidRPr="00A179B5">
        <w:rPr>
          <w:color w:val="000000" w:themeColor="text1"/>
        </w:rPr>
        <w:t xml:space="preserve"> racial disparities </w:t>
      </w:r>
      <w:r w:rsidR="00597C53">
        <w:rPr>
          <w:color w:val="000000" w:themeColor="text1"/>
        </w:rPr>
        <w:t xml:space="preserve">across a range of economic, health and social indicators, such as </w:t>
      </w:r>
      <w:r w:rsidR="00332EAD" w:rsidRPr="00A179B5">
        <w:rPr>
          <w:color w:val="000000" w:themeColor="text1"/>
        </w:rPr>
        <w:t xml:space="preserve">income levels. However, </w:t>
      </w:r>
      <w:r w:rsidR="00597C53">
        <w:rPr>
          <w:color w:val="000000" w:themeColor="text1"/>
        </w:rPr>
        <w:t xml:space="preserve">complementary </w:t>
      </w:r>
      <w:r w:rsidR="00332EAD" w:rsidRPr="00A179B5">
        <w:rPr>
          <w:color w:val="000000" w:themeColor="text1"/>
        </w:rPr>
        <w:t xml:space="preserve">race-based </w:t>
      </w:r>
      <w:r w:rsidR="00597C53">
        <w:rPr>
          <w:color w:val="000000" w:themeColor="text1"/>
        </w:rPr>
        <w:t xml:space="preserve">administrative </w:t>
      </w:r>
      <w:r w:rsidR="00332EAD" w:rsidRPr="00A179B5">
        <w:rPr>
          <w:color w:val="000000" w:themeColor="text1"/>
        </w:rPr>
        <w:t>data</w:t>
      </w:r>
      <w:r w:rsidR="00597C53">
        <w:rPr>
          <w:color w:val="000000" w:themeColor="text1"/>
        </w:rPr>
        <w:t xml:space="preserve"> sets</w:t>
      </w:r>
      <w:r w:rsidR="00332EAD" w:rsidRPr="00A179B5">
        <w:rPr>
          <w:color w:val="000000" w:themeColor="text1"/>
        </w:rPr>
        <w:t xml:space="preserve"> </w:t>
      </w:r>
      <w:r w:rsidR="00597C53">
        <w:rPr>
          <w:color w:val="000000" w:themeColor="text1"/>
        </w:rPr>
        <w:t>are lacking across all orders of government – Municipal, Provincial and Federal. In</w:t>
      </w:r>
      <w:r w:rsidR="007C1D6D" w:rsidRPr="00A179B5">
        <w:rPr>
          <w:color w:val="000000" w:themeColor="text1"/>
        </w:rPr>
        <w:t xml:space="preserve"> areas of federal jurisdiction </w:t>
      </w:r>
      <w:r w:rsidR="00597C53">
        <w:rPr>
          <w:color w:val="000000" w:themeColor="text1"/>
        </w:rPr>
        <w:t xml:space="preserve">this </w:t>
      </w:r>
      <w:r w:rsidR="007C1D6D" w:rsidRPr="00A179B5">
        <w:rPr>
          <w:color w:val="000000" w:themeColor="text1"/>
        </w:rPr>
        <w:t>present</w:t>
      </w:r>
      <w:r w:rsidR="00597C53">
        <w:rPr>
          <w:color w:val="000000" w:themeColor="text1"/>
        </w:rPr>
        <w:t>s</w:t>
      </w:r>
      <w:r w:rsidR="007C1D6D" w:rsidRPr="00A179B5">
        <w:rPr>
          <w:color w:val="000000" w:themeColor="text1"/>
        </w:rPr>
        <w:t xml:space="preserve"> particular </w:t>
      </w:r>
      <w:r w:rsidR="00332EAD" w:rsidRPr="00A179B5">
        <w:rPr>
          <w:color w:val="000000" w:themeColor="text1"/>
        </w:rPr>
        <w:t>concerns relating to</w:t>
      </w:r>
      <w:r w:rsidR="007C1D6D" w:rsidRPr="00A179B5">
        <w:rPr>
          <w:color w:val="000000" w:themeColor="text1"/>
        </w:rPr>
        <w:t xml:space="preserve"> racial discrimination, </w:t>
      </w:r>
      <w:r w:rsidR="008B18FB" w:rsidRPr="00A179B5">
        <w:rPr>
          <w:color w:val="000000" w:themeColor="text1"/>
        </w:rPr>
        <w:t>such as immigration detention</w:t>
      </w:r>
      <w:r w:rsidR="00A868FD">
        <w:rPr>
          <w:color w:val="000000" w:themeColor="text1"/>
        </w:rPr>
        <w:t xml:space="preserve">, </w:t>
      </w:r>
      <w:r w:rsidR="008B18FB" w:rsidRPr="00A179B5">
        <w:rPr>
          <w:color w:val="000000" w:themeColor="text1"/>
        </w:rPr>
        <w:t>nati</w:t>
      </w:r>
      <w:r w:rsidR="007C1D6D" w:rsidRPr="00A179B5">
        <w:rPr>
          <w:color w:val="000000" w:themeColor="text1"/>
        </w:rPr>
        <w:t>onal security</w:t>
      </w:r>
      <w:r w:rsidR="00332EAD" w:rsidRPr="00A179B5">
        <w:rPr>
          <w:color w:val="000000" w:themeColor="text1"/>
        </w:rPr>
        <w:t xml:space="preserve"> policies</w:t>
      </w:r>
      <w:r w:rsidR="00A868FD">
        <w:rPr>
          <w:color w:val="000000" w:themeColor="text1"/>
        </w:rPr>
        <w:t xml:space="preserve"> and federal income support programs</w:t>
      </w:r>
      <w:r w:rsidR="00A868FD">
        <w:rPr>
          <w:rStyle w:val="FootnoteReference"/>
          <w:color w:val="000000" w:themeColor="text1"/>
        </w:rPr>
        <w:footnoteReference w:id="2"/>
      </w:r>
      <w:r w:rsidR="007C1D6D" w:rsidRPr="00A179B5">
        <w:rPr>
          <w:color w:val="000000" w:themeColor="text1"/>
        </w:rPr>
        <w:t>, a</w:t>
      </w:r>
      <w:r w:rsidR="00597C53">
        <w:rPr>
          <w:color w:val="000000" w:themeColor="text1"/>
        </w:rPr>
        <w:t>s ethno-racially specific break-outs of the data a</w:t>
      </w:r>
      <w:r w:rsidR="007C1D6D" w:rsidRPr="00A179B5">
        <w:rPr>
          <w:color w:val="000000" w:themeColor="text1"/>
        </w:rPr>
        <w:t>re</w:t>
      </w:r>
      <w:r w:rsidR="009B2095" w:rsidRPr="00A179B5">
        <w:rPr>
          <w:color w:val="000000" w:themeColor="text1"/>
        </w:rPr>
        <w:t xml:space="preserve"> not</w:t>
      </w:r>
      <w:r w:rsidR="007C1D6D" w:rsidRPr="00A179B5">
        <w:rPr>
          <w:color w:val="000000" w:themeColor="text1"/>
        </w:rPr>
        <w:t xml:space="preserve"> made</w:t>
      </w:r>
      <w:r w:rsidR="009B2095" w:rsidRPr="00A179B5">
        <w:rPr>
          <w:color w:val="000000" w:themeColor="text1"/>
        </w:rPr>
        <w:t xml:space="preserve"> available</w:t>
      </w:r>
      <w:r w:rsidR="00332EAD" w:rsidRPr="00A179B5">
        <w:rPr>
          <w:color w:val="000000" w:themeColor="text1"/>
        </w:rPr>
        <w:t xml:space="preserve"> (see sections </w:t>
      </w:r>
      <w:r w:rsidR="00F9608B">
        <w:rPr>
          <w:color w:val="000000" w:themeColor="text1"/>
        </w:rPr>
        <w:t>6 and 7</w:t>
      </w:r>
      <w:r w:rsidR="00332EAD" w:rsidRPr="00A179B5">
        <w:rPr>
          <w:color w:val="000000" w:themeColor="text1"/>
        </w:rPr>
        <w:t>)</w:t>
      </w:r>
      <w:r w:rsidR="009B2095" w:rsidRPr="00A179B5">
        <w:rPr>
          <w:color w:val="000000" w:themeColor="text1"/>
        </w:rPr>
        <w:t>.</w:t>
      </w:r>
    </w:p>
    <w:p w14:paraId="52E8986B" w14:textId="77777777" w:rsidR="008E4B42" w:rsidRPr="00EF6754" w:rsidRDefault="008E4B42" w:rsidP="00EF6754">
      <w:pPr>
        <w:pStyle w:val="ListParagraph"/>
        <w:rPr>
          <w:color w:val="000000" w:themeColor="text1"/>
        </w:rPr>
      </w:pPr>
    </w:p>
    <w:p w14:paraId="50361936" w14:textId="12B0AE3A" w:rsidR="001B343D" w:rsidRDefault="008E4B42" w:rsidP="0021026C">
      <w:pPr>
        <w:pStyle w:val="ListParagraph"/>
        <w:numPr>
          <w:ilvl w:val="0"/>
          <w:numId w:val="10"/>
        </w:numPr>
        <w:rPr>
          <w:color w:val="000000" w:themeColor="text1"/>
        </w:rPr>
      </w:pPr>
      <w:r w:rsidRPr="0021026C">
        <w:rPr>
          <w:color w:val="000000" w:themeColor="text1"/>
        </w:rPr>
        <w:t xml:space="preserve">The lack of race based data is reflective of the </w:t>
      </w:r>
      <w:r w:rsidR="005F7403" w:rsidRPr="0021026C">
        <w:rPr>
          <w:color w:val="000000" w:themeColor="text1"/>
        </w:rPr>
        <w:t xml:space="preserve">Federal </w:t>
      </w:r>
      <w:r w:rsidRPr="0021026C">
        <w:rPr>
          <w:color w:val="000000" w:themeColor="text1"/>
        </w:rPr>
        <w:t xml:space="preserve">Government’s </w:t>
      </w:r>
      <w:r w:rsidR="005F7403" w:rsidRPr="0021026C">
        <w:rPr>
          <w:color w:val="000000" w:themeColor="text1"/>
        </w:rPr>
        <w:t>refusal to</w:t>
      </w:r>
      <w:r w:rsidR="00597C53" w:rsidRPr="0021026C">
        <w:rPr>
          <w:color w:val="000000" w:themeColor="text1"/>
        </w:rPr>
        <w:t xml:space="preserve"> adequately</w:t>
      </w:r>
      <w:r w:rsidR="005F7403" w:rsidRPr="0021026C">
        <w:rPr>
          <w:color w:val="000000" w:themeColor="text1"/>
        </w:rPr>
        <w:t xml:space="preserve"> </w:t>
      </w:r>
      <w:r w:rsidR="00955D1A" w:rsidRPr="0021026C">
        <w:rPr>
          <w:color w:val="000000" w:themeColor="text1"/>
        </w:rPr>
        <w:t xml:space="preserve">if not fully </w:t>
      </w:r>
      <w:r w:rsidRPr="0021026C">
        <w:rPr>
          <w:color w:val="000000" w:themeColor="text1"/>
        </w:rPr>
        <w:t>acknowledg</w:t>
      </w:r>
      <w:r w:rsidR="00597C53" w:rsidRPr="0021026C">
        <w:rPr>
          <w:color w:val="000000" w:themeColor="text1"/>
        </w:rPr>
        <w:t>e</w:t>
      </w:r>
      <w:r w:rsidRPr="0021026C">
        <w:rPr>
          <w:color w:val="000000" w:themeColor="text1"/>
        </w:rPr>
        <w:t xml:space="preserve"> the </w:t>
      </w:r>
      <w:r w:rsidR="00597C53" w:rsidRPr="0021026C">
        <w:rPr>
          <w:color w:val="000000" w:themeColor="text1"/>
        </w:rPr>
        <w:t>realities</w:t>
      </w:r>
      <w:r w:rsidRPr="0021026C">
        <w:rPr>
          <w:color w:val="000000" w:themeColor="text1"/>
        </w:rPr>
        <w:t xml:space="preserve"> of rac</w:t>
      </w:r>
      <w:r w:rsidR="005F7403" w:rsidRPr="0021026C">
        <w:rPr>
          <w:color w:val="000000" w:themeColor="text1"/>
        </w:rPr>
        <w:t xml:space="preserve">ism, especially as </w:t>
      </w:r>
      <w:r w:rsidR="00597C53" w:rsidRPr="0021026C">
        <w:rPr>
          <w:color w:val="000000" w:themeColor="text1"/>
        </w:rPr>
        <w:t>they</w:t>
      </w:r>
      <w:r w:rsidR="005F7403" w:rsidRPr="0021026C">
        <w:rPr>
          <w:color w:val="000000" w:themeColor="text1"/>
        </w:rPr>
        <w:t xml:space="preserve"> affect communities of colour</w:t>
      </w:r>
      <w:r w:rsidRPr="0021026C">
        <w:rPr>
          <w:color w:val="000000" w:themeColor="text1"/>
        </w:rPr>
        <w:t xml:space="preserve">.  In the recently </w:t>
      </w:r>
      <w:r w:rsidR="00597C53" w:rsidRPr="0021026C">
        <w:rPr>
          <w:color w:val="000000" w:themeColor="text1"/>
        </w:rPr>
        <w:t>announc</w:t>
      </w:r>
      <w:r w:rsidRPr="0021026C">
        <w:rPr>
          <w:color w:val="000000" w:themeColor="text1"/>
        </w:rPr>
        <w:t xml:space="preserve">ed </w:t>
      </w:r>
      <w:r w:rsidR="00597C53" w:rsidRPr="0021026C">
        <w:rPr>
          <w:color w:val="000000" w:themeColor="text1"/>
        </w:rPr>
        <w:t xml:space="preserve">federal </w:t>
      </w:r>
      <w:r w:rsidR="005F7403" w:rsidRPr="0021026C">
        <w:rPr>
          <w:color w:val="000000" w:themeColor="text1"/>
        </w:rPr>
        <w:t xml:space="preserve">Poverty Reduction Strategy – the first ever in Canada – various </w:t>
      </w:r>
      <w:r w:rsidR="00597C53" w:rsidRPr="0021026C">
        <w:rPr>
          <w:color w:val="000000" w:themeColor="text1"/>
        </w:rPr>
        <w:t xml:space="preserve">priority </w:t>
      </w:r>
      <w:r w:rsidR="005F7403" w:rsidRPr="0021026C">
        <w:rPr>
          <w:color w:val="000000" w:themeColor="text1"/>
        </w:rPr>
        <w:t>vulnerable communities at heightened risk of poverty were identified</w:t>
      </w:r>
      <w:r w:rsidR="00C77C74" w:rsidRPr="0021026C">
        <w:rPr>
          <w:color w:val="000000" w:themeColor="text1"/>
        </w:rPr>
        <w:t xml:space="preserve"> as the focus for the strategy,</w:t>
      </w:r>
      <w:r w:rsidR="005F7403" w:rsidRPr="0021026C">
        <w:rPr>
          <w:color w:val="000000" w:themeColor="text1"/>
        </w:rPr>
        <w:t xml:space="preserve"> </w:t>
      </w:r>
      <w:r w:rsidR="00C77C74" w:rsidRPr="0021026C">
        <w:rPr>
          <w:color w:val="000000" w:themeColor="text1"/>
        </w:rPr>
        <w:t>namely</w:t>
      </w:r>
      <w:r w:rsidR="005F7403" w:rsidRPr="0021026C">
        <w:rPr>
          <w:color w:val="000000" w:themeColor="text1"/>
        </w:rPr>
        <w:t xml:space="preserve">, single people aged 45-64, single parents, recent immigrants, people with disabilities and Indigenous </w:t>
      </w:r>
      <w:r w:rsidR="00597C53" w:rsidRPr="0021026C">
        <w:rPr>
          <w:color w:val="000000" w:themeColor="text1"/>
        </w:rPr>
        <w:t>P</w:t>
      </w:r>
      <w:r w:rsidR="005F7403" w:rsidRPr="0021026C">
        <w:rPr>
          <w:color w:val="000000" w:themeColor="text1"/>
        </w:rPr>
        <w:t>eople</w:t>
      </w:r>
      <w:r w:rsidR="00597C53" w:rsidRPr="0021026C">
        <w:rPr>
          <w:color w:val="000000" w:themeColor="text1"/>
        </w:rPr>
        <w:t>s</w:t>
      </w:r>
      <w:r w:rsidR="005F7403" w:rsidRPr="0021026C">
        <w:rPr>
          <w:color w:val="000000" w:themeColor="text1"/>
        </w:rPr>
        <w:t xml:space="preserve">.  Missing from the list, however, are </w:t>
      </w:r>
      <w:r w:rsidR="00597C53" w:rsidRPr="0021026C">
        <w:rPr>
          <w:color w:val="000000" w:themeColor="text1"/>
        </w:rPr>
        <w:t>peopl</w:t>
      </w:r>
      <w:r w:rsidR="005F7403" w:rsidRPr="0021026C">
        <w:rPr>
          <w:color w:val="000000" w:themeColor="text1"/>
        </w:rPr>
        <w:t>es of colour</w:t>
      </w:r>
      <w:r w:rsidR="00597C53" w:rsidRPr="0021026C">
        <w:rPr>
          <w:color w:val="000000" w:themeColor="text1"/>
        </w:rPr>
        <w:t xml:space="preserve"> –</w:t>
      </w:r>
      <w:r w:rsidR="005F7403" w:rsidRPr="0021026C">
        <w:rPr>
          <w:color w:val="000000" w:themeColor="text1"/>
        </w:rPr>
        <w:t xml:space="preserve"> even though they are at least two times, and in some cases, six times more likely to live in poverty as compared with the general population.</w:t>
      </w:r>
      <w:r w:rsidRPr="0021026C">
        <w:rPr>
          <w:rStyle w:val="FootnoteReference"/>
          <w:color w:val="000000" w:themeColor="text1"/>
        </w:rPr>
        <w:footnoteReference w:id="3"/>
      </w:r>
      <w:r w:rsidR="00EF6754" w:rsidRPr="0021026C">
        <w:rPr>
          <w:color w:val="000000" w:themeColor="text1"/>
        </w:rPr>
        <w:t xml:space="preserve"> Among communities of colour, communities of African descent in particular are over-represented </w:t>
      </w:r>
      <w:r w:rsidR="00781AC2" w:rsidRPr="0021026C">
        <w:rPr>
          <w:color w:val="000000" w:themeColor="text1"/>
        </w:rPr>
        <w:t>in virtually every category that signifies disadvantage. It is critical that race based data is disaggregated further to allow identification of the experience</w:t>
      </w:r>
      <w:r w:rsidR="00472EDA" w:rsidRPr="0021026C">
        <w:rPr>
          <w:color w:val="000000" w:themeColor="text1"/>
        </w:rPr>
        <w:t>s</w:t>
      </w:r>
      <w:r w:rsidR="00781AC2" w:rsidRPr="0021026C">
        <w:rPr>
          <w:color w:val="000000" w:themeColor="text1"/>
        </w:rPr>
        <w:t xml:space="preserve"> of </w:t>
      </w:r>
      <w:r w:rsidR="00955D1A" w:rsidRPr="0021026C">
        <w:rPr>
          <w:color w:val="000000" w:themeColor="text1"/>
        </w:rPr>
        <w:t>diverse peoples o</w:t>
      </w:r>
      <w:r w:rsidR="00472EDA" w:rsidRPr="0021026C">
        <w:rPr>
          <w:color w:val="000000" w:themeColor="text1"/>
        </w:rPr>
        <w:t>f colour</w:t>
      </w:r>
      <w:r w:rsidR="00781AC2" w:rsidRPr="0021026C">
        <w:rPr>
          <w:color w:val="000000" w:themeColor="text1"/>
        </w:rPr>
        <w:t xml:space="preserve"> and </w:t>
      </w:r>
      <w:r w:rsidR="00472EDA" w:rsidRPr="0021026C">
        <w:rPr>
          <w:color w:val="000000" w:themeColor="text1"/>
        </w:rPr>
        <w:t xml:space="preserve">to </w:t>
      </w:r>
      <w:r w:rsidR="00781AC2" w:rsidRPr="0021026C">
        <w:rPr>
          <w:color w:val="000000" w:themeColor="text1"/>
        </w:rPr>
        <w:t xml:space="preserve">measure the </w:t>
      </w:r>
      <w:r w:rsidR="00472EDA" w:rsidRPr="0021026C">
        <w:rPr>
          <w:color w:val="000000" w:themeColor="text1"/>
        </w:rPr>
        <w:t xml:space="preserve">unique </w:t>
      </w:r>
      <w:r w:rsidR="00781AC2" w:rsidRPr="0021026C">
        <w:rPr>
          <w:color w:val="000000" w:themeColor="text1"/>
        </w:rPr>
        <w:t>impact</w:t>
      </w:r>
      <w:r w:rsidR="00472EDA" w:rsidRPr="0021026C">
        <w:rPr>
          <w:color w:val="000000" w:themeColor="text1"/>
        </w:rPr>
        <w:t>s</w:t>
      </w:r>
      <w:r w:rsidR="00781AC2" w:rsidRPr="0021026C">
        <w:rPr>
          <w:color w:val="000000" w:themeColor="text1"/>
        </w:rPr>
        <w:t xml:space="preserve"> of public policy interventions. </w:t>
      </w:r>
    </w:p>
    <w:p w14:paraId="1F18A530" w14:textId="7A052162" w:rsidR="00762DFB" w:rsidRPr="00A179B5" w:rsidRDefault="00762DFB" w:rsidP="00762DFB">
      <w:pPr>
        <w:pStyle w:val="ListParagraph"/>
        <w:ind w:left="0"/>
        <w:rPr>
          <w:color w:val="000000" w:themeColor="text1"/>
        </w:rPr>
      </w:pPr>
    </w:p>
    <w:p w14:paraId="467203AF" w14:textId="4D5F9875" w:rsidR="00897F1A" w:rsidRDefault="001B343D" w:rsidP="00F9327E">
      <w:pPr>
        <w:pStyle w:val="ListParagraph"/>
        <w:numPr>
          <w:ilvl w:val="0"/>
          <w:numId w:val="10"/>
        </w:numPr>
        <w:rPr>
          <w:color w:val="000000" w:themeColor="text1"/>
        </w:rPr>
      </w:pPr>
      <w:r w:rsidRPr="00A179B5">
        <w:rPr>
          <w:color w:val="000000" w:themeColor="text1"/>
        </w:rPr>
        <w:t xml:space="preserve">In Ontario, there is </w:t>
      </w:r>
      <w:r w:rsidR="00F9608B">
        <w:rPr>
          <w:color w:val="000000" w:themeColor="text1"/>
        </w:rPr>
        <w:t xml:space="preserve">currently </w:t>
      </w:r>
      <w:r w:rsidRPr="00A179B5">
        <w:rPr>
          <w:color w:val="000000" w:themeColor="text1"/>
        </w:rPr>
        <w:t>no systematic province-wide collection of race-based data. T</w:t>
      </w:r>
      <w:r w:rsidR="00897F1A" w:rsidRPr="00A179B5">
        <w:rPr>
          <w:color w:val="000000" w:themeColor="text1"/>
        </w:rPr>
        <w:t>he Ontario Anti-Racism Directorate</w:t>
      </w:r>
      <w:r w:rsidR="008B18FB" w:rsidRPr="00A179B5">
        <w:rPr>
          <w:color w:val="000000" w:themeColor="text1"/>
        </w:rPr>
        <w:t xml:space="preserve"> (ARD)</w:t>
      </w:r>
      <w:r w:rsidR="00897F1A" w:rsidRPr="00A179B5">
        <w:rPr>
          <w:color w:val="000000" w:themeColor="text1"/>
        </w:rPr>
        <w:t>, created in February 2016 to “</w:t>
      </w:r>
      <w:r w:rsidR="0082171B" w:rsidRPr="00A179B5">
        <w:rPr>
          <w:color w:val="000000" w:themeColor="text1"/>
        </w:rPr>
        <w:t>address and prevent systemic racism in government policy, legislation, programs and services,”</w:t>
      </w:r>
      <w:r w:rsidR="0082171B" w:rsidRPr="00A179B5">
        <w:rPr>
          <w:rStyle w:val="FootnoteReference"/>
          <w:color w:val="000000" w:themeColor="text1"/>
        </w:rPr>
        <w:footnoteReference w:id="4"/>
      </w:r>
      <w:r w:rsidR="00897F1A" w:rsidRPr="00A179B5">
        <w:rPr>
          <w:color w:val="000000" w:themeColor="text1"/>
        </w:rPr>
        <w:t xml:space="preserve"> </w:t>
      </w:r>
      <w:r w:rsidR="00332EAD" w:rsidRPr="00A179B5">
        <w:rPr>
          <w:color w:val="000000" w:themeColor="text1"/>
        </w:rPr>
        <w:t>has indicated that it plans to</w:t>
      </w:r>
      <w:r w:rsidR="00897F1A" w:rsidRPr="00A179B5">
        <w:rPr>
          <w:color w:val="000000" w:themeColor="text1"/>
        </w:rPr>
        <w:t xml:space="preserve"> collect data in the areas of </w:t>
      </w:r>
      <w:r w:rsidR="0082171B" w:rsidRPr="00A179B5">
        <w:rPr>
          <w:color w:val="000000" w:themeColor="text1"/>
        </w:rPr>
        <w:t>child welfare</w:t>
      </w:r>
      <w:r w:rsidR="00897F1A" w:rsidRPr="00A179B5">
        <w:rPr>
          <w:color w:val="000000" w:themeColor="text1"/>
        </w:rPr>
        <w:t xml:space="preserve">, </w:t>
      </w:r>
      <w:r w:rsidR="00732905">
        <w:rPr>
          <w:color w:val="000000" w:themeColor="text1"/>
        </w:rPr>
        <w:t>justice</w:t>
      </w:r>
      <w:r w:rsidR="0082171B" w:rsidRPr="00A179B5">
        <w:rPr>
          <w:color w:val="000000" w:themeColor="text1"/>
        </w:rPr>
        <w:t>, educati</w:t>
      </w:r>
      <w:r w:rsidR="00732905">
        <w:rPr>
          <w:color w:val="000000" w:themeColor="text1"/>
        </w:rPr>
        <w:t>on, and health</w:t>
      </w:r>
      <w:r w:rsidR="00FE45F9" w:rsidRPr="00A179B5">
        <w:rPr>
          <w:color w:val="000000" w:themeColor="text1"/>
        </w:rPr>
        <w:t>. Th</w:t>
      </w:r>
      <w:r w:rsidR="00812278" w:rsidRPr="00A179B5">
        <w:rPr>
          <w:color w:val="000000" w:themeColor="text1"/>
        </w:rPr>
        <w:t>e Directorate is still at</w:t>
      </w:r>
      <w:r w:rsidR="00FE45F9" w:rsidRPr="00A179B5">
        <w:rPr>
          <w:color w:val="000000" w:themeColor="text1"/>
        </w:rPr>
        <w:t xml:space="preserve"> a</w:t>
      </w:r>
      <w:r w:rsidR="00472EDA">
        <w:rPr>
          <w:color w:val="000000" w:themeColor="text1"/>
        </w:rPr>
        <w:t xml:space="preserve"> very early</w:t>
      </w:r>
      <w:r w:rsidR="00FE45F9" w:rsidRPr="00A179B5">
        <w:rPr>
          <w:color w:val="000000" w:themeColor="text1"/>
        </w:rPr>
        <w:t xml:space="preserve"> stage of </w:t>
      </w:r>
      <w:r w:rsidR="00472EDA">
        <w:rPr>
          <w:color w:val="000000" w:themeColor="text1"/>
        </w:rPr>
        <w:t xml:space="preserve">its </w:t>
      </w:r>
      <w:r w:rsidR="00FE45F9" w:rsidRPr="00A179B5">
        <w:rPr>
          <w:color w:val="000000" w:themeColor="text1"/>
        </w:rPr>
        <w:t>development, precluding evaluation of</w:t>
      </w:r>
      <w:r w:rsidR="001754AA" w:rsidRPr="00A179B5">
        <w:rPr>
          <w:color w:val="000000" w:themeColor="text1"/>
        </w:rPr>
        <w:t xml:space="preserve"> its framework</w:t>
      </w:r>
      <w:r w:rsidR="00FE45F9" w:rsidRPr="00A179B5">
        <w:rPr>
          <w:color w:val="000000" w:themeColor="text1"/>
        </w:rPr>
        <w:t xml:space="preserve"> for data collection and analysis. However,</w:t>
      </w:r>
      <w:r w:rsidR="00BA2DEB" w:rsidRPr="00A179B5">
        <w:rPr>
          <w:color w:val="000000" w:themeColor="text1"/>
        </w:rPr>
        <w:t xml:space="preserve"> </w:t>
      </w:r>
      <w:r w:rsidR="00330FBE">
        <w:rPr>
          <w:color w:val="000000" w:themeColor="text1"/>
        </w:rPr>
        <w:t>it is problematic</w:t>
      </w:r>
      <w:r w:rsidR="001754AA" w:rsidRPr="00A179B5">
        <w:rPr>
          <w:color w:val="000000" w:themeColor="text1"/>
        </w:rPr>
        <w:t xml:space="preserve"> that </w:t>
      </w:r>
      <w:r w:rsidR="008B18FB" w:rsidRPr="00A179B5">
        <w:rPr>
          <w:color w:val="000000" w:themeColor="text1"/>
        </w:rPr>
        <w:t>the ARD’s enabling legislation, the</w:t>
      </w:r>
      <w:r w:rsidR="00BA2DEB" w:rsidRPr="00A179B5">
        <w:rPr>
          <w:color w:val="000000" w:themeColor="text1"/>
        </w:rPr>
        <w:t xml:space="preserve"> </w:t>
      </w:r>
      <w:r w:rsidR="00BA2DEB" w:rsidRPr="00A179B5">
        <w:rPr>
          <w:i/>
          <w:color w:val="000000" w:themeColor="text1"/>
        </w:rPr>
        <w:t>Anti-Racism Act</w:t>
      </w:r>
      <w:r w:rsidR="001F22C8">
        <w:rPr>
          <w:color w:val="000000" w:themeColor="text1"/>
        </w:rPr>
        <w:t>, presently</w:t>
      </w:r>
      <w:r w:rsidR="002B781C">
        <w:rPr>
          <w:color w:val="000000" w:themeColor="text1"/>
        </w:rPr>
        <w:t xml:space="preserve"> </w:t>
      </w:r>
      <w:r w:rsidR="00472EDA">
        <w:rPr>
          <w:color w:val="000000" w:themeColor="text1"/>
        </w:rPr>
        <w:t>specifically exempts</w:t>
      </w:r>
      <w:r w:rsidR="002B781C">
        <w:rPr>
          <w:color w:val="000000" w:themeColor="text1"/>
        </w:rPr>
        <w:t xml:space="preserve"> the collection of race</w:t>
      </w:r>
      <w:r w:rsidR="00EA61AF">
        <w:rPr>
          <w:color w:val="000000" w:themeColor="text1"/>
        </w:rPr>
        <w:t>-</w:t>
      </w:r>
      <w:r w:rsidR="002B781C">
        <w:rPr>
          <w:color w:val="000000" w:themeColor="text1"/>
        </w:rPr>
        <w:t xml:space="preserve">based data </w:t>
      </w:r>
      <w:r w:rsidR="00472EDA">
        <w:rPr>
          <w:color w:val="000000" w:themeColor="text1"/>
        </w:rPr>
        <w:t>in the area of</w:t>
      </w:r>
      <w:r w:rsidR="00481A12" w:rsidRPr="00A179B5">
        <w:rPr>
          <w:color w:val="000000" w:themeColor="text1"/>
        </w:rPr>
        <w:t xml:space="preserve"> health</w:t>
      </w:r>
      <w:r w:rsidR="00852C29">
        <w:rPr>
          <w:color w:val="000000" w:themeColor="text1"/>
        </w:rPr>
        <w:t>,</w:t>
      </w:r>
      <w:r w:rsidR="00472EDA">
        <w:rPr>
          <w:color w:val="000000" w:themeColor="text1"/>
        </w:rPr>
        <w:t xml:space="preserve"> i</w:t>
      </w:r>
      <w:r w:rsidR="00481A12" w:rsidRPr="00A179B5">
        <w:rPr>
          <w:color w:val="000000" w:themeColor="text1"/>
        </w:rPr>
        <w:t>nformation</w:t>
      </w:r>
      <w:r w:rsidR="00852C29">
        <w:rPr>
          <w:color w:val="000000" w:themeColor="text1"/>
        </w:rPr>
        <w:t xml:space="preserve"> that is</w:t>
      </w:r>
      <w:r w:rsidR="00472EDA">
        <w:rPr>
          <w:color w:val="000000" w:themeColor="text1"/>
        </w:rPr>
        <w:t xml:space="preserve"> fundamental and critical to </w:t>
      </w:r>
      <w:r w:rsidR="008B18FB" w:rsidRPr="00A179B5">
        <w:rPr>
          <w:color w:val="000000" w:themeColor="text1"/>
        </w:rPr>
        <w:t xml:space="preserve">its </w:t>
      </w:r>
      <w:r w:rsidR="00472EDA">
        <w:rPr>
          <w:color w:val="000000" w:themeColor="text1"/>
        </w:rPr>
        <w:t xml:space="preserve">baseline </w:t>
      </w:r>
      <w:r w:rsidR="008B18FB" w:rsidRPr="00A179B5">
        <w:rPr>
          <w:color w:val="000000" w:themeColor="text1"/>
        </w:rPr>
        <w:t>data collection regime</w:t>
      </w:r>
      <w:r w:rsidR="001754AA" w:rsidRPr="00A179B5">
        <w:rPr>
          <w:color w:val="000000" w:themeColor="text1"/>
        </w:rPr>
        <w:t>.</w:t>
      </w:r>
      <w:r w:rsidR="008B18FB" w:rsidRPr="00A179B5">
        <w:rPr>
          <w:rStyle w:val="FootnoteReference"/>
          <w:color w:val="000000" w:themeColor="text1"/>
        </w:rPr>
        <w:footnoteReference w:id="5"/>
      </w:r>
      <w:r w:rsidR="00FE45F9" w:rsidRPr="00A179B5">
        <w:rPr>
          <w:color w:val="000000" w:themeColor="text1"/>
        </w:rPr>
        <w:t xml:space="preserve">   </w:t>
      </w:r>
      <w:r w:rsidR="00897F1A" w:rsidRPr="00A179B5">
        <w:rPr>
          <w:color w:val="000000" w:themeColor="text1"/>
        </w:rPr>
        <w:t xml:space="preserve">  </w:t>
      </w:r>
    </w:p>
    <w:p w14:paraId="1F042CF7" w14:textId="77777777" w:rsidR="00F838E5" w:rsidRPr="00F838E5" w:rsidRDefault="00F838E5" w:rsidP="00F838E5">
      <w:pPr>
        <w:pStyle w:val="ListParagraph"/>
        <w:rPr>
          <w:color w:val="000000" w:themeColor="text1"/>
        </w:rPr>
      </w:pPr>
    </w:p>
    <w:p w14:paraId="7E3DB1C7" w14:textId="37CF4263" w:rsidR="00F838E5" w:rsidRPr="00F838E5" w:rsidRDefault="00F838E5" w:rsidP="00F838E5">
      <w:pPr>
        <w:pStyle w:val="ListParagraph"/>
        <w:ind w:left="0"/>
        <w:rPr>
          <w:color w:val="000000" w:themeColor="text1"/>
        </w:rPr>
      </w:pPr>
      <w:r>
        <w:rPr>
          <w:b/>
          <w:i/>
          <w:color w:val="000000" w:themeColor="text1"/>
        </w:rPr>
        <w:t xml:space="preserve">Relevant Articles: </w:t>
      </w:r>
      <w:r>
        <w:rPr>
          <w:color w:val="000000" w:themeColor="text1"/>
        </w:rPr>
        <w:t>2(1</w:t>
      </w:r>
      <w:proofErr w:type="gramStart"/>
      <w:r>
        <w:rPr>
          <w:color w:val="000000" w:themeColor="text1"/>
        </w:rPr>
        <w:t>)(</w:t>
      </w:r>
      <w:proofErr w:type="gramEnd"/>
      <w:r>
        <w:rPr>
          <w:color w:val="000000" w:themeColor="text1"/>
        </w:rPr>
        <w:t>c)</w:t>
      </w:r>
    </w:p>
    <w:p w14:paraId="1FDA2C63" w14:textId="2F830719" w:rsidR="00332EAD" w:rsidRDefault="005C2DFC" w:rsidP="005C2DFC">
      <w:pPr>
        <w:spacing w:after="240"/>
        <w:rPr>
          <w:color w:val="000000" w:themeColor="text1"/>
        </w:rPr>
      </w:pPr>
      <w:r w:rsidRPr="00A179B5">
        <w:rPr>
          <w:b/>
          <w:i/>
          <w:color w:val="000000" w:themeColor="text1"/>
        </w:rPr>
        <w:t>Recommendations</w:t>
      </w:r>
      <w:r w:rsidR="002C5C5F" w:rsidRPr="00A179B5">
        <w:rPr>
          <w:b/>
          <w:i/>
          <w:color w:val="000000" w:themeColor="text1"/>
        </w:rPr>
        <w:t xml:space="preserve">: </w:t>
      </w:r>
      <w:r w:rsidR="00332EAD" w:rsidRPr="00A179B5">
        <w:rPr>
          <w:color w:val="000000" w:themeColor="text1"/>
        </w:rPr>
        <w:t>We ask that the Committee recommend that</w:t>
      </w:r>
      <w:r w:rsidR="001F6CDC">
        <w:rPr>
          <w:color w:val="000000" w:themeColor="text1"/>
        </w:rPr>
        <w:t xml:space="preserve"> F</w:t>
      </w:r>
      <w:r w:rsidR="00F123F1" w:rsidRPr="00A179B5">
        <w:rPr>
          <w:color w:val="000000" w:themeColor="text1"/>
        </w:rPr>
        <w:t>ederal</w:t>
      </w:r>
      <w:r w:rsidR="00472EDA">
        <w:rPr>
          <w:color w:val="000000" w:themeColor="text1"/>
        </w:rPr>
        <w:t>,</w:t>
      </w:r>
      <w:r w:rsidR="00F123F1" w:rsidRPr="00A179B5">
        <w:rPr>
          <w:color w:val="000000" w:themeColor="text1"/>
        </w:rPr>
        <w:t xml:space="preserve"> </w:t>
      </w:r>
      <w:r w:rsidR="001F6CDC">
        <w:rPr>
          <w:color w:val="000000" w:themeColor="text1"/>
        </w:rPr>
        <w:t>P</w:t>
      </w:r>
      <w:r w:rsidR="00F123F1" w:rsidRPr="00A179B5">
        <w:rPr>
          <w:color w:val="000000" w:themeColor="text1"/>
        </w:rPr>
        <w:t>rovincial</w:t>
      </w:r>
      <w:r w:rsidR="00472EDA">
        <w:rPr>
          <w:color w:val="000000" w:themeColor="text1"/>
        </w:rPr>
        <w:t xml:space="preserve"> and Municipal</w:t>
      </w:r>
      <w:r w:rsidR="00F123F1" w:rsidRPr="00A179B5">
        <w:rPr>
          <w:color w:val="000000" w:themeColor="text1"/>
        </w:rPr>
        <w:t xml:space="preserve"> governments in</w:t>
      </w:r>
      <w:r w:rsidR="00332EAD" w:rsidRPr="00A179B5">
        <w:rPr>
          <w:color w:val="000000" w:themeColor="text1"/>
        </w:rPr>
        <w:t xml:space="preserve"> Canada </w:t>
      </w:r>
      <w:r w:rsidR="002C5C5F" w:rsidRPr="00A179B5">
        <w:rPr>
          <w:color w:val="000000" w:themeColor="text1"/>
        </w:rPr>
        <w:t xml:space="preserve">collect and track disaggregated data </w:t>
      </w:r>
      <w:r w:rsidR="00955D1A">
        <w:rPr>
          <w:color w:val="000000" w:themeColor="text1"/>
        </w:rPr>
        <w:t xml:space="preserve">with respect to ethno-racial background </w:t>
      </w:r>
      <w:r w:rsidR="002C5C5F" w:rsidRPr="00A179B5">
        <w:rPr>
          <w:color w:val="000000" w:themeColor="text1"/>
        </w:rPr>
        <w:t>across all  Departments,</w:t>
      </w:r>
      <w:r w:rsidR="00F96687">
        <w:rPr>
          <w:color w:val="000000" w:themeColor="text1"/>
        </w:rPr>
        <w:t xml:space="preserve"> Ministries,</w:t>
      </w:r>
      <w:r w:rsidR="002C5C5F" w:rsidRPr="00A179B5">
        <w:rPr>
          <w:color w:val="000000" w:themeColor="text1"/>
        </w:rPr>
        <w:t xml:space="preserve"> </w:t>
      </w:r>
      <w:r w:rsidR="00955D1A">
        <w:rPr>
          <w:color w:val="000000" w:themeColor="text1"/>
        </w:rPr>
        <w:t xml:space="preserve">Divisions </w:t>
      </w:r>
      <w:r w:rsidR="002C5C5F" w:rsidRPr="00A179B5">
        <w:rPr>
          <w:color w:val="000000" w:themeColor="text1"/>
        </w:rPr>
        <w:t>and relevant institutions, and use this data to develop strategies for addressing systemic racism.</w:t>
      </w:r>
      <w:r w:rsidR="001B343D" w:rsidRPr="00A179B5">
        <w:rPr>
          <w:color w:val="000000" w:themeColor="text1"/>
        </w:rPr>
        <w:t xml:space="preserve"> Immigration status should not be used as a proxy or substitute category for race</w:t>
      </w:r>
      <w:r w:rsidR="005F4964" w:rsidRPr="00A179B5">
        <w:rPr>
          <w:color w:val="000000" w:themeColor="text1"/>
        </w:rPr>
        <w:t>, and racial</w:t>
      </w:r>
      <w:r w:rsidR="00AE7AF7">
        <w:rPr>
          <w:color w:val="000000" w:themeColor="text1"/>
        </w:rPr>
        <w:t xml:space="preserve"> groups should not be homogenized</w:t>
      </w:r>
      <w:r w:rsidR="005F4964" w:rsidRPr="00A179B5">
        <w:rPr>
          <w:color w:val="000000" w:themeColor="text1"/>
        </w:rPr>
        <w:t xml:space="preserve"> under the category of “visible minority</w:t>
      </w:r>
      <w:r w:rsidR="001B343D" w:rsidRPr="00A179B5">
        <w:rPr>
          <w:color w:val="000000" w:themeColor="text1"/>
        </w:rPr>
        <w:t>.</w:t>
      </w:r>
      <w:r w:rsidR="005F4964" w:rsidRPr="00A179B5">
        <w:rPr>
          <w:color w:val="000000" w:themeColor="text1"/>
        </w:rPr>
        <w:t>”</w:t>
      </w:r>
      <w:r w:rsidR="001B343D" w:rsidRPr="00A179B5">
        <w:rPr>
          <w:color w:val="000000" w:themeColor="text1"/>
        </w:rPr>
        <w:t xml:space="preserve"> Data should be collected in a way that enables analysis of the intersecting effects of </w:t>
      </w:r>
      <w:r w:rsidR="00955D1A">
        <w:rPr>
          <w:color w:val="000000" w:themeColor="text1"/>
        </w:rPr>
        <w:t>ethno-racial background</w:t>
      </w:r>
      <w:r w:rsidR="001B343D" w:rsidRPr="00A179B5">
        <w:rPr>
          <w:color w:val="000000" w:themeColor="text1"/>
        </w:rPr>
        <w:t xml:space="preserve"> with gender identity, sexual orientation, socioeconomic status, immigration status,</w:t>
      </w:r>
      <w:r w:rsidR="004C757F" w:rsidRPr="00A179B5">
        <w:rPr>
          <w:color w:val="000000" w:themeColor="text1"/>
        </w:rPr>
        <w:t xml:space="preserve"> age,</w:t>
      </w:r>
      <w:r w:rsidR="001B343D" w:rsidRPr="00A179B5">
        <w:rPr>
          <w:color w:val="000000" w:themeColor="text1"/>
        </w:rPr>
        <w:t xml:space="preserve"> and </w:t>
      </w:r>
      <w:r w:rsidR="00472EDA">
        <w:rPr>
          <w:color w:val="000000" w:themeColor="text1"/>
        </w:rPr>
        <w:t>(dis)</w:t>
      </w:r>
      <w:r w:rsidR="001B343D" w:rsidRPr="00A179B5">
        <w:rPr>
          <w:color w:val="000000" w:themeColor="text1"/>
        </w:rPr>
        <w:t xml:space="preserve">ability. </w:t>
      </w:r>
    </w:p>
    <w:p w14:paraId="14B9030D" w14:textId="77777777" w:rsidR="009753C1" w:rsidRDefault="009753C1" w:rsidP="006132CB">
      <w:pPr>
        <w:pStyle w:val="Heading1"/>
        <w:rPr>
          <w:rFonts w:ascii="Times New Roman" w:hAnsi="Times New Roman" w:cs="Times New Roman"/>
          <w:b/>
          <w:color w:val="000000" w:themeColor="text1"/>
          <w:sz w:val="24"/>
          <w:szCs w:val="24"/>
          <w:u w:val="single"/>
        </w:rPr>
      </w:pPr>
    </w:p>
    <w:p w14:paraId="0FE586A5" w14:textId="77777777" w:rsidR="006132CB" w:rsidRPr="0049093C" w:rsidRDefault="006132CB" w:rsidP="006132CB">
      <w:pPr>
        <w:pStyle w:val="Heading1"/>
        <w:rPr>
          <w:rFonts w:ascii="Times New Roman" w:hAnsi="Times New Roman" w:cs="Times New Roman"/>
          <w:b/>
          <w:color w:val="000000" w:themeColor="text1"/>
          <w:sz w:val="24"/>
          <w:szCs w:val="24"/>
          <w:u w:val="single"/>
        </w:rPr>
      </w:pPr>
      <w:r w:rsidRPr="0049093C">
        <w:rPr>
          <w:rFonts w:ascii="Times New Roman" w:hAnsi="Times New Roman" w:cs="Times New Roman"/>
          <w:b/>
          <w:color w:val="000000" w:themeColor="text1"/>
          <w:sz w:val="24"/>
          <w:szCs w:val="24"/>
          <w:u w:val="single"/>
        </w:rPr>
        <w:t>Issue Two: The Racialization of Poverty and Labour Market Discrimination</w:t>
      </w:r>
    </w:p>
    <w:p w14:paraId="736B0FA7" w14:textId="77777777" w:rsidR="006132CB" w:rsidRPr="005C51D5" w:rsidRDefault="006132CB" w:rsidP="006132CB">
      <w:pPr>
        <w:pStyle w:val="Heading1"/>
        <w:spacing w:after="240"/>
        <w:rPr>
          <w:rFonts w:ascii="Times New Roman" w:hAnsi="Times New Roman" w:cs="Times New Roman"/>
          <w:b/>
          <w:i/>
          <w:color w:val="000000" w:themeColor="text1"/>
          <w:sz w:val="24"/>
          <w:szCs w:val="24"/>
        </w:rPr>
      </w:pPr>
      <w:r w:rsidRPr="005C51D5">
        <w:rPr>
          <w:rFonts w:ascii="Times New Roman" w:hAnsi="Times New Roman" w:cs="Times New Roman"/>
          <w:b/>
          <w:i/>
          <w:color w:val="000000" w:themeColor="text1"/>
          <w:sz w:val="24"/>
          <w:szCs w:val="24"/>
        </w:rPr>
        <w:t>Poverty</w:t>
      </w:r>
    </w:p>
    <w:p w14:paraId="6D542707" w14:textId="79CE3D71" w:rsidR="004D6A92" w:rsidRDefault="006132CB" w:rsidP="006132CB">
      <w:pPr>
        <w:pStyle w:val="ListParagraph"/>
        <w:numPr>
          <w:ilvl w:val="0"/>
          <w:numId w:val="23"/>
        </w:numPr>
        <w:rPr>
          <w:color w:val="000000" w:themeColor="text1"/>
        </w:rPr>
      </w:pPr>
      <w:r w:rsidRPr="00A179B5">
        <w:rPr>
          <w:color w:val="000000" w:themeColor="text1"/>
        </w:rPr>
        <w:t>Data from the 2011 National Household Survey</w:t>
      </w:r>
      <w:r>
        <w:rPr>
          <w:color w:val="000000" w:themeColor="text1"/>
        </w:rPr>
        <w:t xml:space="preserve"> (NHS)</w:t>
      </w:r>
      <w:r w:rsidRPr="00A179B5">
        <w:rPr>
          <w:color w:val="000000" w:themeColor="text1"/>
        </w:rPr>
        <w:t xml:space="preserve"> show that </w:t>
      </w:r>
      <w:r w:rsidR="00472EDA">
        <w:rPr>
          <w:color w:val="000000" w:themeColor="text1"/>
        </w:rPr>
        <w:t xml:space="preserve">at least </w:t>
      </w:r>
      <w:r w:rsidRPr="00A179B5">
        <w:rPr>
          <w:color w:val="000000" w:themeColor="text1"/>
        </w:rPr>
        <w:t>20% of racialized Ontarians are living in poverty, as compared to 11.6% of White Ontarians.</w:t>
      </w:r>
      <w:r w:rsidRPr="00A179B5">
        <w:rPr>
          <w:rStyle w:val="FootnoteReference"/>
          <w:color w:val="000000" w:themeColor="text1"/>
        </w:rPr>
        <w:footnoteReference w:id="6"/>
      </w:r>
      <w:r w:rsidR="001F6CDC">
        <w:rPr>
          <w:color w:val="000000" w:themeColor="text1"/>
        </w:rPr>
        <w:t xml:space="preserve"> </w:t>
      </w:r>
      <w:r w:rsidR="000E2D77">
        <w:rPr>
          <w:color w:val="000000" w:themeColor="text1"/>
        </w:rPr>
        <w:t xml:space="preserve">The last mandatory </w:t>
      </w:r>
      <w:r w:rsidR="001F6CDC">
        <w:rPr>
          <w:color w:val="000000" w:themeColor="text1"/>
        </w:rPr>
        <w:t xml:space="preserve">national </w:t>
      </w:r>
      <w:r w:rsidR="000E2D77">
        <w:rPr>
          <w:color w:val="000000" w:themeColor="text1"/>
        </w:rPr>
        <w:t xml:space="preserve">long-form census (in 2006) likewise found that </w:t>
      </w:r>
      <w:r w:rsidR="001F6CDC">
        <w:t xml:space="preserve">18.7% of racialized families were living in poverty as compared to only </w:t>
      </w:r>
      <w:r w:rsidR="000E2D77">
        <w:t>6% of non-racialized families.</w:t>
      </w:r>
      <w:r w:rsidR="000E2D77">
        <w:rPr>
          <w:rStyle w:val="FootnoteReference"/>
        </w:rPr>
        <w:footnoteReference w:id="7"/>
      </w:r>
      <w:r w:rsidR="000E2D77">
        <w:t xml:space="preserve"> </w:t>
      </w:r>
      <w:r w:rsidR="00464A36">
        <w:rPr>
          <w:color w:val="000000" w:themeColor="text1"/>
        </w:rPr>
        <w:t xml:space="preserve"> </w:t>
      </w:r>
    </w:p>
    <w:p w14:paraId="78181E52" w14:textId="77777777" w:rsidR="00762DFB" w:rsidRDefault="00762DFB" w:rsidP="00762DFB">
      <w:pPr>
        <w:pStyle w:val="ListParagraph"/>
        <w:ind w:left="0"/>
        <w:rPr>
          <w:color w:val="000000" w:themeColor="text1"/>
        </w:rPr>
      </w:pPr>
    </w:p>
    <w:p w14:paraId="0FE44D7E" w14:textId="63AB39AC" w:rsidR="004D6A92" w:rsidRDefault="006132CB" w:rsidP="006132CB">
      <w:pPr>
        <w:pStyle w:val="ListParagraph"/>
        <w:numPr>
          <w:ilvl w:val="0"/>
          <w:numId w:val="23"/>
        </w:numPr>
        <w:rPr>
          <w:color w:val="000000" w:themeColor="text1"/>
        </w:rPr>
      </w:pPr>
      <w:r>
        <w:rPr>
          <w:color w:val="000000" w:themeColor="text1"/>
        </w:rPr>
        <w:t>D</w:t>
      </w:r>
      <w:r w:rsidRPr="00A179B5">
        <w:rPr>
          <w:color w:val="000000" w:themeColor="text1"/>
        </w:rPr>
        <w:t>ata from Statistics Canada indicate that a far greater proportion of Indigenous adults are low-income than non-Indigenous adults; for example, 53.4% of Indigenous women 65 and older are in low-income status, compared to 30.9% of non-Indigenous women in the same age category.</w:t>
      </w:r>
      <w:r w:rsidRPr="00A179B5">
        <w:rPr>
          <w:rStyle w:val="FootnoteReference"/>
          <w:color w:val="000000" w:themeColor="text1"/>
        </w:rPr>
        <w:footnoteReference w:id="8"/>
      </w:r>
      <w:r w:rsidRPr="00A179B5">
        <w:rPr>
          <w:color w:val="000000" w:themeColor="text1"/>
        </w:rPr>
        <w:t xml:space="preserve"> </w:t>
      </w:r>
    </w:p>
    <w:p w14:paraId="1F2BC5E8" w14:textId="77777777" w:rsidR="004D6A92" w:rsidRDefault="004D6A92" w:rsidP="0049093C">
      <w:pPr>
        <w:pStyle w:val="ListParagraph"/>
        <w:ind w:left="0"/>
        <w:rPr>
          <w:color w:val="000000" w:themeColor="text1"/>
        </w:rPr>
      </w:pPr>
    </w:p>
    <w:p w14:paraId="6D445DD8" w14:textId="38AF83C6" w:rsidR="006132CB" w:rsidRPr="00A179B5" w:rsidRDefault="006132CB" w:rsidP="006132CB">
      <w:pPr>
        <w:pStyle w:val="ListParagraph"/>
        <w:numPr>
          <w:ilvl w:val="0"/>
          <w:numId w:val="23"/>
        </w:numPr>
        <w:rPr>
          <w:color w:val="000000" w:themeColor="text1"/>
        </w:rPr>
      </w:pPr>
      <w:r w:rsidRPr="00A179B5">
        <w:rPr>
          <w:color w:val="000000" w:themeColor="text1"/>
        </w:rPr>
        <w:t xml:space="preserve">Child poverty rates in Canada are 13% for White non-immigrant children, but 51% for Indigenous children (and 60% for </w:t>
      </w:r>
      <w:r w:rsidR="004D6A92">
        <w:rPr>
          <w:color w:val="000000" w:themeColor="text1"/>
        </w:rPr>
        <w:t xml:space="preserve">Indigenous </w:t>
      </w:r>
      <w:r w:rsidRPr="00A179B5">
        <w:rPr>
          <w:color w:val="000000" w:themeColor="text1"/>
        </w:rPr>
        <w:t>children living on reserve); 32% for children of immigrants; and 22% for children</w:t>
      </w:r>
      <w:r w:rsidR="00472EDA">
        <w:rPr>
          <w:color w:val="000000" w:themeColor="text1"/>
        </w:rPr>
        <w:t xml:space="preserve"> of colour</w:t>
      </w:r>
      <w:r w:rsidRPr="00A179B5">
        <w:rPr>
          <w:color w:val="000000" w:themeColor="text1"/>
        </w:rPr>
        <w:t>.</w:t>
      </w:r>
      <w:r w:rsidRPr="00A179B5">
        <w:rPr>
          <w:rStyle w:val="FootnoteReference"/>
          <w:color w:val="000000" w:themeColor="text1"/>
        </w:rPr>
        <w:footnoteReference w:id="9"/>
      </w:r>
      <w:r w:rsidRPr="00A179B5">
        <w:rPr>
          <w:color w:val="000000" w:themeColor="text1"/>
        </w:rPr>
        <w:t xml:space="preserve"> The exclusion of people living on reserve </w:t>
      </w:r>
      <w:r w:rsidR="00EA61AF">
        <w:rPr>
          <w:color w:val="000000" w:themeColor="text1"/>
        </w:rPr>
        <w:t>(</w:t>
      </w:r>
      <w:r w:rsidR="004D6A92">
        <w:rPr>
          <w:color w:val="000000" w:themeColor="text1"/>
        </w:rPr>
        <w:t>who experience disproportionately high poverty rates</w:t>
      </w:r>
      <w:r w:rsidR="00EA61AF">
        <w:rPr>
          <w:color w:val="000000" w:themeColor="text1"/>
        </w:rPr>
        <w:t>)</w:t>
      </w:r>
      <w:r w:rsidR="004D6A92">
        <w:rPr>
          <w:color w:val="000000" w:themeColor="text1"/>
        </w:rPr>
        <w:t xml:space="preserve"> </w:t>
      </w:r>
      <w:r w:rsidRPr="00A179B5">
        <w:rPr>
          <w:color w:val="000000" w:themeColor="text1"/>
        </w:rPr>
        <w:t>from Statistics Canada reports artificially deflates official</w:t>
      </w:r>
      <w:r w:rsidR="004D6A92">
        <w:rPr>
          <w:color w:val="000000" w:themeColor="text1"/>
        </w:rPr>
        <w:t>ly published</w:t>
      </w:r>
      <w:r w:rsidRPr="00A179B5">
        <w:rPr>
          <w:color w:val="000000" w:themeColor="text1"/>
        </w:rPr>
        <w:t xml:space="preserve"> poverty rates in Canada.</w:t>
      </w:r>
      <w:r w:rsidRPr="00A179B5">
        <w:rPr>
          <w:rStyle w:val="FootnoteReference"/>
          <w:color w:val="000000" w:themeColor="text1"/>
        </w:rPr>
        <w:footnoteReference w:id="10"/>
      </w:r>
      <w:r w:rsidR="00472EDA">
        <w:rPr>
          <w:color w:val="000000" w:themeColor="text1"/>
        </w:rPr>
        <w:t xml:space="preserve"> I</w:t>
      </w:r>
      <w:r w:rsidR="0025062E">
        <w:rPr>
          <w:color w:val="000000" w:themeColor="text1"/>
        </w:rPr>
        <w:t>mmigrant children</w:t>
      </w:r>
      <w:r w:rsidR="00472EDA">
        <w:rPr>
          <w:color w:val="000000" w:themeColor="text1"/>
        </w:rPr>
        <w:t xml:space="preserve"> of colour</w:t>
      </w:r>
      <w:r w:rsidR="0025062E">
        <w:rPr>
          <w:color w:val="000000" w:themeColor="text1"/>
        </w:rPr>
        <w:t xml:space="preserve"> are likely to experience higher levels of poverty</w:t>
      </w:r>
      <w:r w:rsidR="00472EDA">
        <w:rPr>
          <w:color w:val="000000" w:themeColor="text1"/>
        </w:rPr>
        <w:t xml:space="preserve"> as</w:t>
      </w:r>
      <w:r w:rsidR="0025062E">
        <w:rPr>
          <w:color w:val="000000" w:themeColor="text1"/>
        </w:rPr>
        <w:t xml:space="preserve"> compared t</w:t>
      </w:r>
      <w:r w:rsidR="00852C29">
        <w:rPr>
          <w:color w:val="000000" w:themeColor="text1"/>
        </w:rPr>
        <w:t>o</w:t>
      </w:r>
      <w:r w:rsidR="0025062E">
        <w:rPr>
          <w:color w:val="000000" w:themeColor="text1"/>
        </w:rPr>
        <w:t xml:space="preserve"> </w:t>
      </w:r>
      <w:r w:rsidR="00472EDA">
        <w:rPr>
          <w:color w:val="000000" w:themeColor="text1"/>
        </w:rPr>
        <w:t>number</w:t>
      </w:r>
      <w:r w:rsidR="0025062E">
        <w:rPr>
          <w:color w:val="000000" w:themeColor="text1"/>
        </w:rPr>
        <w:t>s cited here for children</w:t>
      </w:r>
      <w:r w:rsidR="00472EDA">
        <w:rPr>
          <w:color w:val="000000" w:themeColor="text1"/>
        </w:rPr>
        <w:t xml:space="preserve"> of colour</w:t>
      </w:r>
      <w:r w:rsidR="0025062E">
        <w:rPr>
          <w:color w:val="000000" w:themeColor="text1"/>
        </w:rPr>
        <w:t xml:space="preserve"> and for immigrant children</w:t>
      </w:r>
      <w:r w:rsidR="00852C29">
        <w:rPr>
          <w:color w:val="000000" w:themeColor="text1"/>
        </w:rPr>
        <w:t>;</w:t>
      </w:r>
      <w:r w:rsidR="0025062E">
        <w:rPr>
          <w:color w:val="000000" w:themeColor="text1"/>
        </w:rPr>
        <w:t xml:space="preserve"> however intersectional data is not included in the publicly available Census data.</w:t>
      </w:r>
    </w:p>
    <w:p w14:paraId="72D12220" w14:textId="77777777" w:rsidR="006132CB" w:rsidRPr="00A179B5" w:rsidRDefault="006132CB" w:rsidP="006132CB">
      <w:pPr>
        <w:pStyle w:val="ListParagraph"/>
        <w:spacing w:before="240"/>
        <w:ind w:left="0"/>
        <w:rPr>
          <w:color w:val="000000" w:themeColor="text1"/>
        </w:rPr>
      </w:pPr>
    </w:p>
    <w:p w14:paraId="5C170CCD" w14:textId="1EC427B4" w:rsidR="006132CB" w:rsidRPr="003B28CC" w:rsidRDefault="006132CB" w:rsidP="006132CB">
      <w:pPr>
        <w:pStyle w:val="ListParagraph"/>
        <w:numPr>
          <w:ilvl w:val="0"/>
          <w:numId w:val="23"/>
        </w:numPr>
        <w:spacing w:before="240"/>
        <w:rPr>
          <w:color w:val="000000" w:themeColor="text1"/>
        </w:rPr>
      </w:pPr>
      <w:r w:rsidRPr="00A179B5">
        <w:rPr>
          <w:color w:val="000000" w:themeColor="text1"/>
        </w:rPr>
        <w:t>Poverty is</w:t>
      </w:r>
      <w:r>
        <w:rPr>
          <w:color w:val="000000" w:themeColor="text1"/>
        </w:rPr>
        <w:t xml:space="preserve"> exacerbated by other forms</w:t>
      </w:r>
      <w:r w:rsidRPr="00A179B5">
        <w:rPr>
          <w:color w:val="000000" w:themeColor="text1"/>
        </w:rPr>
        <w:t xml:space="preserve"> of race-based disadvantage. For example, the effects of poverty for children living on reserve are</w:t>
      </w:r>
      <w:r>
        <w:rPr>
          <w:color w:val="000000" w:themeColor="text1"/>
        </w:rPr>
        <w:t xml:space="preserve"> intensified</w:t>
      </w:r>
      <w:r w:rsidRPr="00A179B5">
        <w:rPr>
          <w:color w:val="000000" w:themeColor="text1"/>
        </w:rPr>
        <w:t xml:space="preserve"> by chronic underfunding of schools and child welfare services, crowded housing, and undrinkable water (see section </w:t>
      </w:r>
      <w:r w:rsidR="004D6A92">
        <w:rPr>
          <w:color w:val="000000" w:themeColor="text1"/>
        </w:rPr>
        <w:t xml:space="preserve">8 </w:t>
      </w:r>
      <w:r w:rsidRPr="00A179B5">
        <w:rPr>
          <w:color w:val="000000" w:themeColor="text1"/>
        </w:rPr>
        <w:t>on Canada’s Relationship with Indigenous Peoples).</w:t>
      </w:r>
      <w:r w:rsidRPr="00A179B5">
        <w:rPr>
          <w:rStyle w:val="FootnoteReference"/>
          <w:color w:val="000000" w:themeColor="text1"/>
        </w:rPr>
        <w:footnoteReference w:id="11"/>
      </w:r>
      <w:r w:rsidRPr="00A179B5">
        <w:rPr>
          <w:color w:val="000000" w:themeColor="text1"/>
        </w:rPr>
        <w:t xml:space="preserve"> </w:t>
      </w:r>
    </w:p>
    <w:p w14:paraId="7B52F2F4" w14:textId="77777777" w:rsidR="006132CB" w:rsidRPr="003B28CC" w:rsidRDefault="006132CB" w:rsidP="006132CB">
      <w:pPr>
        <w:pStyle w:val="ListParagraph"/>
        <w:rPr>
          <w:color w:val="000000" w:themeColor="text1"/>
        </w:rPr>
      </w:pPr>
    </w:p>
    <w:p w14:paraId="383F7CB8" w14:textId="33C2914E" w:rsidR="006132CB" w:rsidRPr="001B5887" w:rsidRDefault="006132CB" w:rsidP="006132CB">
      <w:pPr>
        <w:pStyle w:val="ListParagraph"/>
        <w:numPr>
          <w:ilvl w:val="0"/>
          <w:numId w:val="23"/>
        </w:numPr>
        <w:spacing w:before="240"/>
        <w:rPr>
          <w:color w:val="000000" w:themeColor="text1"/>
        </w:rPr>
      </w:pPr>
      <w:r>
        <w:rPr>
          <w:color w:val="000000" w:themeColor="text1"/>
        </w:rPr>
        <w:t>The unavailability of affordable housing is compounded by racial discrimination in the housing market; for example, a 2009 study by the Center for Equality Rights in Accommodation found significant discrimination against renters on the basis of</w:t>
      </w:r>
      <w:r w:rsidR="00955D1A">
        <w:rPr>
          <w:color w:val="000000" w:themeColor="text1"/>
        </w:rPr>
        <w:t xml:space="preserve"> ethno-racial background</w:t>
      </w:r>
      <w:r>
        <w:rPr>
          <w:color w:val="000000" w:themeColor="text1"/>
        </w:rPr>
        <w:t>, single parenthood, and mental illness.</w:t>
      </w:r>
      <w:r>
        <w:rPr>
          <w:rStyle w:val="FootnoteReference"/>
          <w:color w:val="000000" w:themeColor="text1"/>
        </w:rPr>
        <w:footnoteReference w:id="12"/>
      </w:r>
      <w:r>
        <w:rPr>
          <w:color w:val="000000" w:themeColor="text1"/>
        </w:rPr>
        <w:t xml:space="preserve">  </w:t>
      </w:r>
      <w:r w:rsidRPr="00A179B5">
        <w:rPr>
          <w:color w:val="000000" w:themeColor="text1"/>
        </w:rPr>
        <w:t xml:space="preserve"> </w:t>
      </w:r>
    </w:p>
    <w:p w14:paraId="76A05EE8" w14:textId="77777777" w:rsidR="006132CB" w:rsidRPr="001B5887" w:rsidRDefault="006132CB" w:rsidP="006132CB">
      <w:pPr>
        <w:pStyle w:val="ListParagraph"/>
        <w:rPr>
          <w:color w:val="000000" w:themeColor="text1"/>
        </w:rPr>
      </w:pPr>
    </w:p>
    <w:p w14:paraId="3E51B87E" w14:textId="523B116C" w:rsidR="00705C52" w:rsidRPr="0021026C" w:rsidRDefault="00C77C74" w:rsidP="006132CB">
      <w:pPr>
        <w:pStyle w:val="ListParagraph"/>
        <w:numPr>
          <w:ilvl w:val="0"/>
          <w:numId w:val="23"/>
        </w:numPr>
        <w:spacing w:before="240"/>
        <w:rPr>
          <w:color w:val="000000" w:themeColor="text1"/>
        </w:rPr>
      </w:pPr>
      <w:r w:rsidRPr="0021026C">
        <w:rPr>
          <w:color w:val="000000" w:themeColor="text1"/>
        </w:rPr>
        <w:t>As noted above, t</w:t>
      </w:r>
      <w:r w:rsidR="006132CB" w:rsidRPr="0021026C">
        <w:rPr>
          <w:color w:val="000000" w:themeColor="text1"/>
        </w:rPr>
        <w:t xml:space="preserve">he </w:t>
      </w:r>
      <w:r w:rsidR="004D6A92" w:rsidRPr="0021026C">
        <w:rPr>
          <w:color w:val="000000" w:themeColor="text1"/>
        </w:rPr>
        <w:t>F</w:t>
      </w:r>
      <w:r w:rsidR="006132CB" w:rsidRPr="0021026C">
        <w:rPr>
          <w:color w:val="000000" w:themeColor="text1"/>
        </w:rPr>
        <w:t>ederal government</w:t>
      </w:r>
      <w:r w:rsidRPr="0021026C">
        <w:rPr>
          <w:color w:val="000000" w:themeColor="text1"/>
        </w:rPr>
        <w:t>’s</w:t>
      </w:r>
      <w:r w:rsidR="006132CB" w:rsidRPr="0021026C">
        <w:rPr>
          <w:color w:val="000000" w:themeColor="text1"/>
        </w:rPr>
        <w:t xml:space="preserve"> </w:t>
      </w:r>
      <w:r w:rsidR="00705C52" w:rsidRPr="0021026C">
        <w:rPr>
          <w:color w:val="000000" w:themeColor="text1"/>
        </w:rPr>
        <w:t>N</w:t>
      </w:r>
      <w:r w:rsidR="006132CB" w:rsidRPr="0021026C">
        <w:rPr>
          <w:color w:val="000000" w:themeColor="text1"/>
        </w:rPr>
        <w:t>ational Poverty Reduction Strategy</w:t>
      </w:r>
      <w:r w:rsidRPr="0021026C">
        <w:rPr>
          <w:color w:val="000000" w:themeColor="text1"/>
        </w:rPr>
        <w:t xml:space="preserve"> makes little to no</w:t>
      </w:r>
      <w:r w:rsidR="00705C52" w:rsidRPr="0021026C">
        <w:rPr>
          <w:color w:val="000000" w:themeColor="text1"/>
        </w:rPr>
        <w:t xml:space="preserve"> mention of </w:t>
      </w:r>
      <w:r w:rsidRPr="0021026C">
        <w:rPr>
          <w:color w:val="000000" w:themeColor="text1"/>
        </w:rPr>
        <w:t>communities of colour, rendering these communities invisible while their issues remain unaddressed</w:t>
      </w:r>
      <w:r w:rsidR="006132CB" w:rsidRPr="0021026C">
        <w:rPr>
          <w:color w:val="000000" w:themeColor="text1"/>
        </w:rPr>
        <w:t>.</w:t>
      </w:r>
      <w:r w:rsidR="006132CB" w:rsidRPr="0021026C">
        <w:rPr>
          <w:rStyle w:val="FootnoteReference"/>
          <w:color w:val="000000" w:themeColor="text1"/>
        </w:rPr>
        <w:footnoteReference w:id="13"/>
      </w:r>
      <w:r w:rsidR="006132CB" w:rsidRPr="0021026C">
        <w:rPr>
          <w:color w:val="000000" w:themeColor="text1"/>
        </w:rPr>
        <w:t xml:space="preserve"> </w:t>
      </w:r>
    </w:p>
    <w:p w14:paraId="37AAF17B" w14:textId="77777777" w:rsidR="00705C52" w:rsidRPr="00955D1A" w:rsidRDefault="00705C52" w:rsidP="0049093C">
      <w:pPr>
        <w:pStyle w:val="ListParagraph"/>
        <w:rPr>
          <w:color w:val="000000" w:themeColor="text1"/>
        </w:rPr>
      </w:pPr>
    </w:p>
    <w:p w14:paraId="0165CFBD" w14:textId="56E90012" w:rsidR="006132CB" w:rsidRPr="0021026C" w:rsidRDefault="006132CB" w:rsidP="006132CB">
      <w:pPr>
        <w:pStyle w:val="ListParagraph"/>
        <w:numPr>
          <w:ilvl w:val="0"/>
          <w:numId w:val="23"/>
        </w:numPr>
        <w:spacing w:before="240"/>
        <w:rPr>
          <w:color w:val="000000" w:themeColor="text1"/>
        </w:rPr>
      </w:pPr>
      <w:r w:rsidRPr="00955D1A">
        <w:rPr>
          <w:color w:val="000000" w:themeColor="text1"/>
        </w:rPr>
        <w:t>Ontario</w:t>
      </w:r>
      <w:r>
        <w:rPr>
          <w:color w:val="000000" w:themeColor="text1"/>
        </w:rPr>
        <w:t xml:space="preserve"> has had a Poverty Reduction Strategy since 2008, but analysis of the experiences and needs of </w:t>
      </w:r>
      <w:r w:rsidR="00DC5A7B">
        <w:rPr>
          <w:color w:val="000000" w:themeColor="text1"/>
        </w:rPr>
        <w:t>peoples of colour</w:t>
      </w:r>
      <w:r>
        <w:rPr>
          <w:color w:val="000000" w:themeColor="text1"/>
        </w:rPr>
        <w:t xml:space="preserve"> has been marginal</w:t>
      </w:r>
      <w:r w:rsidR="00DC5A7B">
        <w:rPr>
          <w:color w:val="000000" w:themeColor="text1"/>
        </w:rPr>
        <w:t xml:space="preserve"> at best</w:t>
      </w:r>
      <w:r w:rsidR="00EA61AF">
        <w:rPr>
          <w:color w:val="000000" w:themeColor="text1"/>
        </w:rPr>
        <w:t>,</w:t>
      </w:r>
      <w:r w:rsidR="004D6A92">
        <w:rPr>
          <w:color w:val="000000" w:themeColor="text1"/>
        </w:rPr>
        <w:t xml:space="preserve"> and mention of </w:t>
      </w:r>
      <w:r w:rsidR="00DC5A7B">
        <w:rPr>
          <w:color w:val="000000" w:themeColor="text1"/>
        </w:rPr>
        <w:t>these</w:t>
      </w:r>
      <w:r w:rsidR="004D6A92">
        <w:rPr>
          <w:color w:val="000000" w:themeColor="text1"/>
        </w:rPr>
        <w:t xml:space="preserve"> groups have</w:t>
      </w:r>
      <w:r w:rsidR="00C13401">
        <w:rPr>
          <w:color w:val="000000" w:themeColor="text1"/>
        </w:rPr>
        <w:t xml:space="preserve"> </w:t>
      </w:r>
      <w:r w:rsidR="004D6A92">
        <w:rPr>
          <w:color w:val="000000" w:themeColor="text1"/>
        </w:rPr>
        <w:t xml:space="preserve">in certain instances </w:t>
      </w:r>
      <w:r w:rsidR="00C13401">
        <w:rPr>
          <w:color w:val="000000" w:themeColor="text1"/>
        </w:rPr>
        <w:t xml:space="preserve">been </w:t>
      </w:r>
      <w:r w:rsidR="004D6A92">
        <w:rPr>
          <w:color w:val="000000" w:themeColor="text1"/>
        </w:rPr>
        <w:t>erased from the Poverty Reduction Strategy altogether</w:t>
      </w:r>
      <w:r w:rsidR="00DC5A7B">
        <w:rPr>
          <w:color w:val="000000" w:themeColor="text1"/>
        </w:rPr>
        <w:t>,</w:t>
      </w:r>
      <w:r w:rsidR="00705C52">
        <w:rPr>
          <w:color w:val="000000" w:themeColor="text1"/>
        </w:rPr>
        <w:t xml:space="preserve"> despite the fact </w:t>
      </w:r>
      <w:r w:rsidR="00852C29">
        <w:rPr>
          <w:color w:val="000000" w:themeColor="text1"/>
        </w:rPr>
        <w:t>that they are included</w:t>
      </w:r>
      <w:r w:rsidR="00705C52">
        <w:rPr>
          <w:color w:val="000000" w:themeColor="text1"/>
        </w:rPr>
        <w:t xml:space="preserve"> in the poverty reduction legislation</w:t>
      </w:r>
      <w:r w:rsidR="00C77C74">
        <w:rPr>
          <w:color w:val="000000" w:themeColor="text1"/>
        </w:rPr>
        <w:t xml:space="preserve"> </w:t>
      </w:r>
      <w:r w:rsidR="00C77C74" w:rsidRPr="0021026C">
        <w:rPr>
          <w:color w:val="000000" w:themeColor="text1"/>
        </w:rPr>
        <w:t>as among those who experience heightened risk of poverty</w:t>
      </w:r>
      <w:r w:rsidRPr="0021026C">
        <w:rPr>
          <w:color w:val="000000" w:themeColor="text1"/>
        </w:rPr>
        <w:t>.</w:t>
      </w:r>
      <w:r w:rsidRPr="0021026C">
        <w:rPr>
          <w:rStyle w:val="FootnoteReference"/>
          <w:color w:val="000000" w:themeColor="text1"/>
        </w:rPr>
        <w:footnoteReference w:id="14"/>
      </w:r>
    </w:p>
    <w:p w14:paraId="0EACF99F" w14:textId="77777777" w:rsidR="009753C1" w:rsidRPr="00A179B5" w:rsidRDefault="009753C1" w:rsidP="0049093C">
      <w:pPr>
        <w:pStyle w:val="ListParagraph"/>
        <w:spacing w:before="240"/>
        <w:ind w:left="0"/>
        <w:rPr>
          <w:color w:val="000000" w:themeColor="text1"/>
        </w:rPr>
      </w:pPr>
    </w:p>
    <w:p w14:paraId="39DF370A" w14:textId="77777777" w:rsidR="006132CB" w:rsidRPr="005C51D5" w:rsidRDefault="006132CB" w:rsidP="006132CB">
      <w:pPr>
        <w:rPr>
          <w:b/>
          <w:i/>
          <w:color w:val="000000" w:themeColor="text1"/>
        </w:rPr>
      </w:pPr>
      <w:r w:rsidRPr="005C51D5">
        <w:rPr>
          <w:b/>
          <w:i/>
          <w:color w:val="000000" w:themeColor="text1"/>
        </w:rPr>
        <w:t>Employment Discrimination and the Racial Wage Gap</w:t>
      </w:r>
    </w:p>
    <w:p w14:paraId="0EE826F7" w14:textId="43B49C90" w:rsidR="003F50CD" w:rsidRPr="00630635" w:rsidRDefault="006132CB" w:rsidP="006132CB">
      <w:pPr>
        <w:pStyle w:val="ListParagraph"/>
        <w:numPr>
          <w:ilvl w:val="0"/>
          <w:numId w:val="24"/>
        </w:numPr>
        <w:rPr>
          <w:i/>
          <w:color w:val="000000" w:themeColor="text1"/>
        </w:rPr>
      </w:pPr>
      <w:r w:rsidRPr="00A179B5">
        <w:rPr>
          <w:color w:val="000000" w:themeColor="text1"/>
        </w:rPr>
        <w:t>There are significant racial</w:t>
      </w:r>
      <w:r w:rsidR="00DC5A7B">
        <w:rPr>
          <w:color w:val="000000" w:themeColor="text1"/>
        </w:rPr>
        <w:t>ized</w:t>
      </w:r>
      <w:r w:rsidRPr="00A179B5">
        <w:rPr>
          <w:color w:val="000000" w:themeColor="text1"/>
        </w:rPr>
        <w:t xml:space="preserve"> </w:t>
      </w:r>
      <w:r>
        <w:rPr>
          <w:color w:val="000000" w:themeColor="text1"/>
        </w:rPr>
        <w:t>wage and employment</w:t>
      </w:r>
      <w:r w:rsidRPr="00A179B5">
        <w:rPr>
          <w:color w:val="000000" w:themeColor="text1"/>
        </w:rPr>
        <w:t xml:space="preserve"> gaps in Canada.</w:t>
      </w:r>
      <w:r>
        <w:rPr>
          <w:color w:val="000000" w:themeColor="text1"/>
        </w:rPr>
        <w:t xml:space="preserve"> </w:t>
      </w:r>
      <w:r w:rsidR="003F50CD">
        <w:rPr>
          <w:color w:val="000000" w:themeColor="text1"/>
        </w:rPr>
        <w:t>The 2006 mandatory long-form census evi</w:t>
      </w:r>
      <w:r w:rsidR="00C77C74">
        <w:rPr>
          <w:color w:val="000000" w:themeColor="text1"/>
        </w:rPr>
        <w:t>de</w:t>
      </w:r>
      <w:r w:rsidR="00C13401">
        <w:rPr>
          <w:color w:val="000000" w:themeColor="text1"/>
        </w:rPr>
        <w:t>nced</w:t>
      </w:r>
      <w:r w:rsidR="003F50CD">
        <w:rPr>
          <w:color w:val="000000" w:themeColor="text1"/>
        </w:rPr>
        <w:t xml:space="preserve"> a significant race and gender wage gap: women</w:t>
      </w:r>
      <w:r w:rsidR="00DC5A7B">
        <w:rPr>
          <w:color w:val="000000" w:themeColor="text1"/>
        </w:rPr>
        <w:t xml:space="preserve"> of colour</w:t>
      </w:r>
      <w:r w:rsidR="003F50CD">
        <w:rPr>
          <w:color w:val="000000" w:themeColor="text1"/>
        </w:rPr>
        <w:t xml:space="preserve"> made 53.4% as much as non-racialized </w:t>
      </w:r>
      <w:r w:rsidR="00852C29">
        <w:rPr>
          <w:color w:val="000000" w:themeColor="text1"/>
        </w:rPr>
        <w:t xml:space="preserve">(white) </w:t>
      </w:r>
      <w:r w:rsidR="003F50CD">
        <w:rPr>
          <w:color w:val="000000" w:themeColor="text1"/>
        </w:rPr>
        <w:t>men; men</w:t>
      </w:r>
      <w:r w:rsidR="00DC5A7B">
        <w:rPr>
          <w:color w:val="000000" w:themeColor="text1"/>
        </w:rPr>
        <w:t xml:space="preserve"> of colour</w:t>
      </w:r>
      <w:r w:rsidR="003F50CD">
        <w:rPr>
          <w:color w:val="000000" w:themeColor="text1"/>
        </w:rPr>
        <w:t xml:space="preserve"> made 73.6% as much as non-racialized men; and women</w:t>
      </w:r>
      <w:r w:rsidR="00DC5A7B">
        <w:rPr>
          <w:color w:val="000000" w:themeColor="text1"/>
        </w:rPr>
        <w:t xml:space="preserve"> of colour</w:t>
      </w:r>
      <w:r w:rsidR="003F50CD">
        <w:rPr>
          <w:color w:val="000000" w:themeColor="text1"/>
        </w:rPr>
        <w:t xml:space="preserve"> made 84.7% as much as non-racialized women.</w:t>
      </w:r>
      <w:r w:rsidR="003F50CD">
        <w:rPr>
          <w:rStyle w:val="FootnoteReference"/>
          <w:color w:val="000000" w:themeColor="text1"/>
        </w:rPr>
        <w:footnoteReference w:id="15"/>
      </w:r>
    </w:p>
    <w:p w14:paraId="756119BB" w14:textId="7B2B9490" w:rsidR="003F50CD" w:rsidRPr="00630635" w:rsidRDefault="003F50CD" w:rsidP="00630635">
      <w:pPr>
        <w:pStyle w:val="ListParagraph"/>
        <w:ind w:left="0"/>
        <w:rPr>
          <w:i/>
          <w:color w:val="000000" w:themeColor="text1"/>
        </w:rPr>
      </w:pPr>
      <w:r>
        <w:rPr>
          <w:color w:val="000000" w:themeColor="text1"/>
        </w:rPr>
        <w:t xml:space="preserve">  </w:t>
      </w:r>
    </w:p>
    <w:p w14:paraId="434F4902" w14:textId="50948AE7" w:rsidR="006132CB" w:rsidRPr="00732905" w:rsidRDefault="003F50CD" w:rsidP="006132CB">
      <w:pPr>
        <w:pStyle w:val="ListParagraph"/>
        <w:numPr>
          <w:ilvl w:val="0"/>
          <w:numId w:val="24"/>
        </w:numPr>
        <w:rPr>
          <w:i/>
          <w:color w:val="000000" w:themeColor="text1"/>
        </w:rPr>
      </w:pPr>
      <w:r>
        <w:rPr>
          <w:color w:val="000000" w:themeColor="text1"/>
        </w:rPr>
        <w:t xml:space="preserve">Data from the 2011 NHS also </w:t>
      </w:r>
      <w:r w:rsidR="00C13401">
        <w:rPr>
          <w:color w:val="000000" w:themeColor="text1"/>
        </w:rPr>
        <w:t>evidence</w:t>
      </w:r>
      <w:r w:rsidR="0049093C">
        <w:rPr>
          <w:color w:val="000000" w:themeColor="text1"/>
        </w:rPr>
        <w:t>d</w:t>
      </w:r>
      <w:r>
        <w:rPr>
          <w:color w:val="000000" w:themeColor="text1"/>
        </w:rPr>
        <w:t xml:space="preserve"> a </w:t>
      </w:r>
      <w:r w:rsidR="006132CB">
        <w:rPr>
          <w:color w:val="000000" w:themeColor="text1"/>
        </w:rPr>
        <w:t xml:space="preserve">racial wage gap </w:t>
      </w:r>
      <w:r>
        <w:rPr>
          <w:color w:val="000000" w:themeColor="text1"/>
        </w:rPr>
        <w:t xml:space="preserve">that </w:t>
      </w:r>
      <w:r w:rsidR="006132CB">
        <w:rPr>
          <w:color w:val="000000" w:themeColor="text1"/>
        </w:rPr>
        <w:t>intersects with the gender wage gap:</w:t>
      </w:r>
      <w:r w:rsidR="006132CB" w:rsidRPr="00A179B5">
        <w:rPr>
          <w:color w:val="000000" w:themeColor="text1"/>
        </w:rPr>
        <w:t xml:space="preserve"> </w:t>
      </w:r>
      <w:r w:rsidR="006132CB">
        <w:rPr>
          <w:color w:val="000000" w:themeColor="text1"/>
        </w:rPr>
        <w:t>I</w:t>
      </w:r>
      <w:r w:rsidR="006132CB" w:rsidRPr="00A179B5">
        <w:rPr>
          <w:color w:val="000000" w:themeColor="text1"/>
        </w:rPr>
        <w:t>ndigenous women earn 10% less than Indigenous men, and 26%</w:t>
      </w:r>
      <w:r w:rsidR="006132CB">
        <w:rPr>
          <w:color w:val="000000" w:themeColor="text1"/>
        </w:rPr>
        <w:t xml:space="preserve"> less than non-Indigenous men; </w:t>
      </w:r>
      <w:r w:rsidR="006132CB" w:rsidRPr="00A179B5">
        <w:rPr>
          <w:color w:val="000000" w:themeColor="text1"/>
        </w:rPr>
        <w:t>women</w:t>
      </w:r>
      <w:r w:rsidR="00DC5A7B">
        <w:rPr>
          <w:color w:val="000000" w:themeColor="text1"/>
        </w:rPr>
        <w:t xml:space="preserve"> of colour</w:t>
      </w:r>
      <w:r w:rsidR="006132CB" w:rsidRPr="00A179B5">
        <w:rPr>
          <w:color w:val="000000" w:themeColor="text1"/>
        </w:rPr>
        <w:t xml:space="preserve"> earn 21% less than racialized men, and 32%</w:t>
      </w:r>
      <w:r w:rsidR="006132CB">
        <w:rPr>
          <w:color w:val="000000" w:themeColor="text1"/>
        </w:rPr>
        <w:t xml:space="preserve"> less than non-racialized men; and i</w:t>
      </w:r>
      <w:r w:rsidR="006132CB" w:rsidRPr="00A179B5">
        <w:rPr>
          <w:color w:val="000000" w:themeColor="text1"/>
        </w:rPr>
        <w:t>mmigrant women earn 25% less than immigrant men, and 28% less than non-immigrant men.</w:t>
      </w:r>
      <w:r w:rsidR="006132CB">
        <w:rPr>
          <w:rStyle w:val="FootnoteReference"/>
          <w:color w:val="000000" w:themeColor="text1"/>
        </w:rPr>
        <w:footnoteReference w:id="16"/>
      </w:r>
      <w:r w:rsidR="00464A36">
        <w:rPr>
          <w:color w:val="000000" w:themeColor="text1"/>
        </w:rPr>
        <w:t xml:space="preserve"> </w:t>
      </w:r>
    </w:p>
    <w:p w14:paraId="53B0B6E1" w14:textId="77777777" w:rsidR="006132CB" w:rsidRPr="00732905" w:rsidRDefault="006132CB" w:rsidP="006132CB">
      <w:pPr>
        <w:pStyle w:val="ListParagraph"/>
        <w:ind w:left="0"/>
        <w:rPr>
          <w:i/>
          <w:color w:val="000000" w:themeColor="text1"/>
        </w:rPr>
      </w:pPr>
    </w:p>
    <w:p w14:paraId="3D64B7D2" w14:textId="6DA1A48B" w:rsidR="006132CB" w:rsidRPr="00A179B5" w:rsidRDefault="006132CB" w:rsidP="006132CB">
      <w:pPr>
        <w:pStyle w:val="ListParagraph"/>
        <w:numPr>
          <w:ilvl w:val="0"/>
          <w:numId w:val="24"/>
        </w:numPr>
        <w:rPr>
          <w:i/>
          <w:color w:val="000000" w:themeColor="text1"/>
        </w:rPr>
      </w:pPr>
      <w:r>
        <w:rPr>
          <w:color w:val="000000" w:themeColor="text1"/>
        </w:rPr>
        <w:t>W</w:t>
      </w:r>
      <w:r w:rsidRPr="00A179B5">
        <w:rPr>
          <w:color w:val="000000" w:themeColor="text1"/>
        </w:rPr>
        <w:t>age gaps increase for Indigenous</w:t>
      </w:r>
      <w:r w:rsidR="00DC5A7B">
        <w:rPr>
          <w:color w:val="000000" w:themeColor="text1"/>
        </w:rPr>
        <w:t xml:space="preserve"> women</w:t>
      </w:r>
      <w:r w:rsidRPr="00A179B5">
        <w:rPr>
          <w:color w:val="000000" w:themeColor="text1"/>
        </w:rPr>
        <w:t xml:space="preserve">, </w:t>
      </w:r>
      <w:r w:rsidR="00DC5A7B">
        <w:rPr>
          <w:color w:val="000000" w:themeColor="text1"/>
        </w:rPr>
        <w:t>women of colour</w:t>
      </w:r>
      <w:r w:rsidRPr="00A179B5">
        <w:rPr>
          <w:color w:val="000000" w:themeColor="text1"/>
        </w:rPr>
        <w:t>, and immigrant women with university degrees; for example, Indigenous women with a university degree earn 24% less than Indigenous men with a university degree, and 33% less than non-Indigenous men with a university degree. A 2016 report by the Canadian Centre for Policy Alternatives and Oxfam concludes that “[d]iscriminatory hiring and wage setting practices are undermining the benefits of education for these groups.”</w:t>
      </w:r>
      <w:r w:rsidRPr="00A179B5">
        <w:rPr>
          <w:rStyle w:val="FootnoteReference"/>
          <w:color w:val="000000" w:themeColor="text1"/>
        </w:rPr>
        <w:footnoteReference w:id="17"/>
      </w:r>
      <w:r w:rsidRPr="00A179B5">
        <w:rPr>
          <w:color w:val="000000" w:themeColor="text1"/>
        </w:rPr>
        <w:t xml:space="preserve"> </w:t>
      </w:r>
    </w:p>
    <w:p w14:paraId="5BECC436" w14:textId="77777777" w:rsidR="006132CB" w:rsidRPr="00C3556F" w:rsidRDefault="006132CB" w:rsidP="006132CB">
      <w:pPr>
        <w:pStyle w:val="ListParagraph"/>
        <w:ind w:left="0"/>
        <w:rPr>
          <w:i/>
          <w:color w:val="000000" w:themeColor="text1"/>
        </w:rPr>
      </w:pPr>
    </w:p>
    <w:p w14:paraId="25302C0D" w14:textId="684DA967" w:rsidR="006132CB" w:rsidRPr="00196E7A" w:rsidRDefault="00DC5A7B" w:rsidP="006132CB">
      <w:pPr>
        <w:pStyle w:val="ListParagraph"/>
        <w:numPr>
          <w:ilvl w:val="0"/>
          <w:numId w:val="24"/>
        </w:numPr>
        <w:rPr>
          <w:i/>
          <w:color w:val="000000" w:themeColor="text1"/>
        </w:rPr>
      </w:pPr>
      <w:r>
        <w:rPr>
          <w:color w:val="000000" w:themeColor="text1"/>
        </w:rPr>
        <w:t>Peoples of colour</w:t>
      </w:r>
      <w:r w:rsidR="006132CB" w:rsidRPr="007B0C04">
        <w:rPr>
          <w:color w:val="000000" w:themeColor="text1"/>
        </w:rPr>
        <w:t xml:space="preserve"> resident </w:t>
      </w:r>
      <w:r>
        <w:rPr>
          <w:color w:val="000000" w:themeColor="text1"/>
        </w:rPr>
        <w:t>in</w:t>
      </w:r>
      <w:r w:rsidR="006132CB" w:rsidRPr="007B0C04">
        <w:rPr>
          <w:color w:val="000000" w:themeColor="text1"/>
        </w:rPr>
        <w:t xml:space="preserve"> Ontario have higher unemployment rates than White residents – 10.5% versus 7.5%</w:t>
      </w:r>
      <w:r w:rsidR="005567D5">
        <w:rPr>
          <w:color w:val="000000" w:themeColor="text1"/>
        </w:rPr>
        <w:t>, despite having higher labour force participation rates</w:t>
      </w:r>
      <w:r w:rsidR="006132CB" w:rsidRPr="007B0C04">
        <w:rPr>
          <w:color w:val="000000" w:themeColor="text1"/>
        </w:rPr>
        <w:t xml:space="preserve"> – and studies suggest that the racial disparities in the labour market experiences of Ontarians is widening.</w:t>
      </w:r>
      <w:r w:rsidR="006132CB" w:rsidRPr="00A179B5">
        <w:rPr>
          <w:rStyle w:val="FootnoteReference"/>
          <w:color w:val="000000" w:themeColor="text1"/>
        </w:rPr>
        <w:footnoteReference w:id="18"/>
      </w:r>
      <w:r w:rsidR="006132CB" w:rsidRPr="007B0C04">
        <w:rPr>
          <w:color w:val="000000" w:themeColor="text1"/>
        </w:rPr>
        <w:t xml:space="preserve"> Multiple studies have demonstrated that employers discriminate against job applicants with </w:t>
      </w:r>
      <w:r w:rsidR="00EB6A7F">
        <w:rPr>
          <w:color w:val="000000" w:themeColor="text1"/>
        </w:rPr>
        <w:t>Asian</w:t>
      </w:r>
      <w:r w:rsidR="005567D5">
        <w:rPr>
          <w:color w:val="000000" w:themeColor="text1"/>
        </w:rPr>
        <w:t>-</w:t>
      </w:r>
      <w:r w:rsidR="00EB6A7F">
        <w:rPr>
          <w:color w:val="000000" w:themeColor="text1"/>
        </w:rPr>
        <w:t>sounding</w:t>
      </w:r>
      <w:r w:rsidR="00EB6A7F" w:rsidRPr="007B0C04">
        <w:rPr>
          <w:color w:val="000000" w:themeColor="text1"/>
        </w:rPr>
        <w:t xml:space="preserve"> </w:t>
      </w:r>
      <w:r w:rsidR="006132CB" w:rsidRPr="007B0C04">
        <w:rPr>
          <w:color w:val="000000" w:themeColor="text1"/>
        </w:rPr>
        <w:t>names, even when applicants have equivalent education and experience.</w:t>
      </w:r>
      <w:r w:rsidR="006132CB" w:rsidRPr="00A179B5">
        <w:rPr>
          <w:rStyle w:val="FootnoteReference"/>
          <w:color w:val="000000" w:themeColor="text1"/>
        </w:rPr>
        <w:footnoteReference w:id="19"/>
      </w:r>
      <w:r w:rsidR="006132CB" w:rsidRPr="007B0C04">
        <w:rPr>
          <w:color w:val="000000" w:themeColor="text1"/>
        </w:rPr>
        <w:t xml:space="preserve"> </w:t>
      </w:r>
    </w:p>
    <w:p w14:paraId="4416BFCC" w14:textId="77777777" w:rsidR="006132CB" w:rsidRPr="00196E7A" w:rsidRDefault="006132CB" w:rsidP="006132CB">
      <w:pPr>
        <w:pStyle w:val="ListParagraph"/>
        <w:rPr>
          <w:color w:val="000000" w:themeColor="text1"/>
        </w:rPr>
      </w:pPr>
    </w:p>
    <w:p w14:paraId="37C8BD1E" w14:textId="4744F2C4" w:rsidR="006132CB" w:rsidRPr="007B0C04" w:rsidRDefault="006132CB" w:rsidP="006132CB">
      <w:pPr>
        <w:pStyle w:val="ListParagraph"/>
        <w:numPr>
          <w:ilvl w:val="0"/>
          <w:numId w:val="24"/>
        </w:numPr>
        <w:rPr>
          <w:i/>
          <w:color w:val="000000" w:themeColor="text1"/>
        </w:rPr>
      </w:pPr>
      <w:r w:rsidRPr="007B0C04">
        <w:rPr>
          <w:color w:val="000000" w:themeColor="text1"/>
        </w:rPr>
        <w:t xml:space="preserve">While the </w:t>
      </w:r>
      <w:r w:rsidR="002A32AC">
        <w:rPr>
          <w:color w:val="000000" w:themeColor="text1"/>
        </w:rPr>
        <w:t>F</w:t>
      </w:r>
      <w:r w:rsidRPr="007B0C04">
        <w:rPr>
          <w:color w:val="000000" w:themeColor="text1"/>
        </w:rPr>
        <w:t>ederal government has implemented employment equity legislation for federally-regulated employers,</w:t>
      </w:r>
      <w:r>
        <w:rPr>
          <w:color w:val="000000" w:themeColor="text1"/>
        </w:rPr>
        <w:t xml:space="preserve"> changes in 2012 rendered compliance voluntary for federal contractors.</w:t>
      </w:r>
      <w:r w:rsidR="005567D5">
        <w:rPr>
          <w:rStyle w:val="FootnoteReference"/>
          <w:color w:val="000000" w:themeColor="text1"/>
        </w:rPr>
        <w:footnoteReference w:id="20"/>
      </w:r>
      <w:r w:rsidRPr="007B0C04">
        <w:rPr>
          <w:color w:val="000000" w:themeColor="text1"/>
        </w:rPr>
        <w:t xml:space="preserve"> </w:t>
      </w:r>
      <w:r>
        <w:rPr>
          <w:color w:val="000000" w:themeColor="text1"/>
        </w:rPr>
        <w:t>T</w:t>
      </w:r>
      <w:r w:rsidRPr="007B0C04">
        <w:rPr>
          <w:color w:val="000000" w:themeColor="text1"/>
        </w:rPr>
        <w:t xml:space="preserve">here is no </w:t>
      </w:r>
      <w:r>
        <w:rPr>
          <w:color w:val="000000" w:themeColor="text1"/>
        </w:rPr>
        <w:t>employment equity</w:t>
      </w:r>
      <w:r w:rsidRPr="007B0C04">
        <w:rPr>
          <w:color w:val="000000" w:themeColor="text1"/>
        </w:rPr>
        <w:t xml:space="preserve"> legislation for provincially-regulated </w:t>
      </w:r>
      <w:r w:rsidR="002A32AC">
        <w:rPr>
          <w:color w:val="000000" w:themeColor="text1"/>
        </w:rPr>
        <w:t xml:space="preserve">employers </w:t>
      </w:r>
      <w:r w:rsidRPr="007B0C04">
        <w:rPr>
          <w:color w:val="000000" w:themeColor="text1"/>
        </w:rPr>
        <w:t>in Ontario</w:t>
      </w:r>
      <w:r w:rsidR="00C13401">
        <w:rPr>
          <w:color w:val="000000" w:themeColor="text1"/>
        </w:rPr>
        <w:t xml:space="preserve"> and </w:t>
      </w:r>
      <w:r w:rsidR="00852C29">
        <w:rPr>
          <w:color w:val="000000" w:themeColor="text1"/>
        </w:rPr>
        <w:t xml:space="preserve">almost all </w:t>
      </w:r>
      <w:r w:rsidR="00DC5A7B">
        <w:rPr>
          <w:color w:val="000000" w:themeColor="text1"/>
        </w:rPr>
        <w:t>of the</w:t>
      </w:r>
      <w:r w:rsidR="002A32AC">
        <w:rPr>
          <w:color w:val="000000" w:themeColor="text1"/>
        </w:rPr>
        <w:t xml:space="preserve"> other provinces and territories </w:t>
      </w:r>
      <w:r w:rsidRPr="007B0C04">
        <w:rPr>
          <w:color w:val="000000" w:themeColor="text1"/>
        </w:rPr>
        <w:t xml:space="preserve">(which </w:t>
      </w:r>
      <w:r w:rsidR="00DC5A7B">
        <w:rPr>
          <w:color w:val="000000" w:themeColor="text1"/>
        </w:rPr>
        <w:t xml:space="preserve">collectively – through their respective areas of jurisdictional competence </w:t>
      </w:r>
      <w:r w:rsidRPr="007B0C04">
        <w:rPr>
          <w:color w:val="000000" w:themeColor="text1"/>
        </w:rPr>
        <w:t xml:space="preserve">constitute the </w:t>
      </w:r>
      <w:r w:rsidR="002A32AC">
        <w:rPr>
          <w:color w:val="000000" w:themeColor="text1"/>
        </w:rPr>
        <w:t xml:space="preserve">vast </w:t>
      </w:r>
      <w:r w:rsidRPr="007B0C04">
        <w:rPr>
          <w:color w:val="000000" w:themeColor="text1"/>
        </w:rPr>
        <w:t xml:space="preserve">majority of </w:t>
      </w:r>
      <w:r w:rsidR="002A32AC">
        <w:rPr>
          <w:color w:val="000000" w:themeColor="text1"/>
        </w:rPr>
        <w:t xml:space="preserve">the </w:t>
      </w:r>
      <w:r w:rsidR="00DC5A7B">
        <w:rPr>
          <w:color w:val="000000" w:themeColor="text1"/>
        </w:rPr>
        <w:t xml:space="preserve">Canadian </w:t>
      </w:r>
      <w:r w:rsidR="002A32AC">
        <w:rPr>
          <w:color w:val="000000" w:themeColor="text1"/>
        </w:rPr>
        <w:t>labour market</w:t>
      </w:r>
      <w:r w:rsidRPr="007B0C04">
        <w:rPr>
          <w:color w:val="000000" w:themeColor="text1"/>
        </w:rPr>
        <w:t>).</w:t>
      </w:r>
    </w:p>
    <w:p w14:paraId="2B0BF0BB" w14:textId="77777777" w:rsidR="006132CB" w:rsidRPr="007B0C04" w:rsidRDefault="006132CB" w:rsidP="006132CB">
      <w:pPr>
        <w:pStyle w:val="ListParagraph"/>
        <w:ind w:left="0"/>
        <w:rPr>
          <w:i/>
          <w:color w:val="000000" w:themeColor="text1"/>
        </w:rPr>
      </w:pPr>
    </w:p>
    <w:p w14:paraId="041EFEB1" w14:textId="2F944B03" w:rsidR="006132CB" w:rsidRPr="00C3556F" w:rsidRDefault="0049093C" w:rsidP="006132CB">
      <w:pPr>
        <w:pStyle w:val="ListParagraph"/>
        <w:numPr>
          <w:ilvl w:val="0"/>
          <w:numId w:val="24"/>
        </w:numPr>
        <w:rPr>
          <w:i/>
          <w:color w:val="000000" w:themeColor="text1"/>
        </w:rPr>
      </w:pPr>
      <w:r>
        <w:rPr>
          <w:color w:val="000000" w:themeColor="text1"/>
        </w:rPr>
        <w:t xml:space="preserve">Employer demand or expectation for demonstration of </w:t>
      </w:r>
      <w:r w:rsidR="006132CB" w:rsidRPr="00A179B5">
        <w:rPr>
          <w:color w:val="000000" w:themeColor="text1"/>
        </w:rPr>
        <w:t xml:space="preserve">“Canadian </w:t>
      </w:r>
      <w:r>
        <w:rPr>
          <w:color w:val="000000" w:themeColor="text1"/>
        </w:rPr>
        <w:t xml:space="preserve">work </w:t>
      </w:r>
      <w:r w:rsidR="006132CB" w:rsidRPr="00A179B5">
        <w:rPr>
          <w:color w:val="000000" w:themeColor="text1"/>
        </w:rPr>
        <w:t>experience”</w:t>
      </w:r>
      <w:r>
        <w:rPr>
          <w:color w:val="000000" w:themeColor="text1"/>
        </w:rPr>
        <w:t xml:space="preserve"> </w:t>
      </w:r>
      <w:r w:rsidR="006132CB" w:rsidRPr="00A179B5">
        <w:rPr>
          <w:color w:val="000000" w:themeColor="text1"/>
        </w:rPr>
        <w:t>produce</w:t>
      </w:r>
      <w:r>
        <w:rPr>
          <w:color w:val="000000" w:themeColor="text1"/>
        </w:rPr>
        <w:t>s</w:t>
      </w:r>
      <w:r w:rsidR="006132CB" w:rsidRPr="00A179B5">
        <w:rPr>
          <w:color w:val="000000" w:themeColor="text1"/>
        </w:rPr>
        <w:t xml:space="preserve"> discrimination against applicants with </w:t>
      </w:r>
      <w:r w:rsidR="00DC5A7B">
        <w:rPr>
          <w:color w:val="000000" w:themeColor="text1"/>
        </w:rPr>
        <w:t>international</w:t>
      </w:r>
      <w:r w:rsidR="006132CB" w:rsidRPr="00A179B5">
        <w:rPr>
          <w:color w:val="000000" w:themeColor="text1"/>
        </w:rPr>
        <w:t xml:space="preserve"> credentials</w:t>
      </w:r>
      <w:r w:rsidR="006132CB">
        <w:rPr>
          <w:color w:val="000000" w:themeColor="text1"/>
        </w:rPr>
        <w:t>, leading to de-skilling of immigrants</w:t>
      </w:r>
      <w:r w:rsidR="006132CB" w:rsidRPr="00A179B5">
        <w:rPr>
          <w:color w:val="000000" w:themeColor="text1"/>
        </w:rPr>
        <w:t>.</w:t>
      </w:r>
      <w:r w:rsidR="00771022">
        <w:rPr>
          <w:rStyle w:val="FootnoteReference"/>
          <w:color w:val="000000" w:themeColor="text1"/>
        </w:rPr>
        <w:footnoteReference w:id="21"/>
      </w:r>
      <w:r w:rsidR="006132CB">
        <w:rPr>
          <w:color w:val="000000" w:themeColor="text1"/>
        </w:rPr>
        <w:t xml:space="preserve"> </w:t>
      </w:r>
      <w:r w:rsidR="006132CB" w:rsidRPr="00A179B5">
        <w:rPr>
          <w:color w:val="000000" w:themeColor="text1"/>
        </w:rPr>
        <w:t xml:space="preserve">However, even when </w:t>
      </w:r>
      <w:r>
        <w:rPr>
          <w:color w:val="000000" w:themeColor="text1"/>
        </w:rPr>
        <w:t xml:space="preserve">the </w:t>
      </w:r>
      <w:r w:rsidR="006132CB" w:rsidRPr="00A179B5">
        <w:rPr>
          <w:color w:val="000000" w:themeColor="text1"/>
        </w:rPr>
        <w:t xml:space="preserve">Canadian experience </w:t>
      </w:r>
      <w:r>
        <w:rPr>
          <w:color w:val="000000" w:themeColor="text1"/>
        </w:rPr>
        <w:t xml:space="preserve">barrier is </w:t>
      </w:r>
      <w:r w:rsidR="006132CB" w:rsidRPr="00A179B5">
        <w:rPr>
          <w:color w:val="000000" w:themeColor="text1"/>
        </w:rPr>
        <w:t>removed, discrimination persists</w:t>
      </w:r>
      <w:r w:rsidR="006132CB">
        <w:rPr>
          <w:color w:val="000000" w:themeColor="text1"/>
        </w:rPr>
        <w:t xml:space="preserve"> (for example, employers </w:t>
      </w:r>
      <w:r w:rsidR="002A32AC">
        <w:rPr>
          <w:color w:val="000000" w:themeColor="text1"/>
        </w:rPr>
        <w:t xml:space="preserve">may </w:t>
      </w:r>
      <w:r w:rsidR="006132CB">
        <w:rPr>
          <w:color w:val="000000" w:themeColor="text1"/>
        </w:rPr>
        <w:t xml:space="preserve">cite </w:t>
      </w:r>
      <w:r w:rsidR="00DC5A7B">
        <w:rPr>
          <w:color w:val="000000" w:themeColor="text1"/>
        </w:rPr>
        <w:t xml:space="preserve">an </w:t>
      </w:r>
      <w:r w:rsidR="006132CB">
        <w:rPr>
          <w:color w:val="000000" w:themeColor="text1"/>
        </w:rPr>
        <w:t>applicant</w:t>
      </w:r>
      <w:r w:rsidR="00DC5A7B">
        <w:rPr>
          <w:color w:val="000000" w:themeColor="text1"/>
        </w:rPr>
        <w:t xml:space="preserve"> of colours</w:t>
      </w:r>
      <w:r w:rsidR="006132CB">
        <w:rPr>
          <w:color w:val="000000" w:themeColor="text1"/>
        </w:rPr>
        <w:t>’ allegedly inferior “soft skills”)</w:t>
      </w:r>
      <w:r w:rsidR="006132CB" w:rsidRPr="00A179B5">
        <w:rPr>
          <w:color w:val="000000" w:themeColor="text1"/>
        </w:rPr>
        <w:t>.</w:t>
      </w:r>
    </w:p>
    <w:p w14:paraId="341D8E17" w14:textId="77777777" w:rsidR="006132CB" w:rsidRPr="00C3556F" w:rsidRDefault="006132CB" w:rsidP="006132CB">
      <w:pPr>
        <w:pStyle w:val="ListParagraph"/>
        <w:rPr>
          <w:i/>
          <w:color w:val="000000" w:themeColor="text1"/>
        </w:rPr>
      </w:pPr>
    </w:p>
    <w:p w14:paraId="6CE0CE43" w14:textId="78EF4831" w:rsidR="006132CB" w:rsidRPr="00C3556F" w:rsidRDefault="006132CB" w:rsidP="006132CB">
      <w:pPr>
        <w:pStyle w:val="ListParagraph"/>
        <w:numPr>
          <w:ilvl w:val="0"/>
          <w:numId w:val="24"/>
        </w:numPr>
        <w:rPr>
          <w:i/>
          <w:color w:val="000000" w:themeColor="text1"/>
        </w:rPr>
      </w:pPr>
      <w:r>
        <w:rPr>
          <w:color w:val="000000" w:themeColor="text1"/>
        </w:rPr>
        <w:t xml:space="preserve">Employers’ use of police record checks in the hiring process also entrenches the exclusion of over-policed Indigenous groups </w:t>
      </w:r>
      <w:r w:rsidR="00EB6A7F">
        <w:rPr>
          <w:color w:val="000000" w:themeColor="text1"/>
        </w:rPr>
        <w:t>and communities of colour</w:t>
      </w:r>
      <w:r w:rsidR="002A32AC">
        <w:rPr>
          <w:color w:val="000000" w:themeColor="text1"/>
        </w:rPr>
        <w:t xml:space="preserve"> (see Section 11 on </w:t>
      </w:r>
      <w:r w:rsidR="002A32AC" w:rsidRPr="00411512">
        <w:rPr>
          <w:color w:val="000000" w:themeColor="text1"/>
        </w:rPr>
        <w:t>Racial Discrimination in Policing and Criminal Justice</w:t>
      </w:r>
      <w:r w:rsidR="002A32AC">
        <w:rPr>
          <w:color w:val="000000" w:themeColor="text1"/>
        </w:rPr>
        <w:t>)</w:t>
      </w:r>
      <w:r w:rsidR="00EB6A7F">
        <w:rPr>
          <w:color w:val="000000" w:themeColor="text1"/>
        </w:rPr>
        <w:t xml:space="preserve"> </w:t>
      </w:r>
      <w:r>
        <w:rPr>
          <w:color w:val="000000" w:themeColor="text1"/>
        </w:rPr>
        <w:t xml:space="preserve">from the labour market. The John Howard Society of Ontario’s 2014 study on barriers to employment for youth with police records determined that 51% of the employers surveyed required police background checks on prospective employees, and </w:t>
      </w:r>
      <w:r>
        <w:t>15% stated that they would</w:t>
      </w:r>
      <w:r w:rsidRPr="005C2B31">
        <w:t xml:space="preserve"> not hire</w:t>
      </w:r>
      <w:r>
        <w:t xml:space="preserve"> anyone with a criminal record (</w:t>
      </w:r>
      <w:r w:rsidRPr="005C2B31">
        <w:t>regardless of the na</w:t>
      </w:r>
      <w:r>
        <w:t xml:space="preserve">ture of </w:t>
      </w:r>
      <w:r w:rsidR="00A424BF">
        <w:t xml:space="preserve">the </w:t>
      </w:r>
      <w:r>
        <w:t>record, how much time had</w:t>
      </w:r>
      <w:r w:rsidRPr="005C2B31">
        <w:t xml:space="preserve"> passed since it was acquired, or its relevance to the job position</w:t>
      </w:r>
      <w:r>
        <w:t>)</w:t>
      </w:r>
      <w:r w:rsidRPr="005C2B31">
        <w:t>.</w:t>
      </w:r>
      <w:r>
        <w:rPr>
          <w:rStyle w:val="FootnoteReference"/>
          <w:color w:val="000000" w:themeColor="text1"/>
        </w:rPr>
        <w:footnoteReference w:id="22"/>
      </w:r>
      <w:r>
        <w:rPr>
          <w:color w:val="000000" w:themeColor="text1"/>
        </w:rPr>
        <w:t xml:space="preserve"> Ontario’s </w:t>
      </w:r>
      <w:r>
        <w:rPr>
          <w:i/>
          <w:color w:val="000000" w:themeColor="text1"/>
        </w:rPr>
        <w:t>Police Record Checks Reform Act</w:t>
      </w:r>
      <w:r>
        <w:rPr>
          <w:color w:val="000000" w:themeColor="text1"/>
        </w:rPr>
        <w:t>, passed in 2015, will limit the disclosure of non-conviction and non-criminal records, as well as mental health information. However, there is still no protection in Ontario from discrimination on the basis of convictions or non-conviction records.</w:t>
      </w:r>
    </w:p>
    <w:p w14:paraId="0755CC3E" w14:textId="77777777" w:rsidR="006132CB" w:rsidRPr="00C3556F" w:rsidRDefault="006132CB" w:rsidP="006132CB">
      <w:pPr>
        <w:pStyle w:val="ListParagraph"/>
        <w:rPr>
          <w:i/>
          <w:color w:val="000000" w:themeColor="text1"/>
        </w:rPr>
      </w:pPr>
    </w:p>
    <w:p w14:paraId="01890938" w14:textId="670E7021" w:rsidR="006132CB" w:rsidRPr="00834206" w:rsidRDefault="006132CB" w:rsidP="006132CB">
      <w:pPr>
        <w:pStyle w:val="ListParagraph"/>
        <w:numPr>
          <w:ilvl w:val="0"/>
          <w:numId w:val="24"/>
        </w:numPr>
        <w:rPr>
          <w:i/>
          <w:color w:val="000000" w:themeColor="text1"/>
        </w:rPr>
      </w:pPr>
      <w:r>
        <w:rPr>
          <w:color w:val="000000" w:themeColor="text1"/>
        </w:rPr>
        <w:t>Racialized people and immigrants are over-represented in part-time and precarious employment, characterized by lower wages, absence of benefits, job insecurity, and unpredictability.</w:t>
      </w:r>
      <w:r>
        <w:rPr>
          <w:rStyle w:val="FootnoteReference"/>
          <w:color w:val="000000" w:themeColor="text1"/>
        </w:rPr>
        <w:footnoteReference w:id="23"/>
      </w:r>
      <w:r>
        <w:rPr>
          <w:color w:val="000000" w:themeColor="text1"/>
        </w:rPr>
        <w:t xml:space="preserve"> Analysis of data </w:t>
      </w:r>
      <w:r>
        <w:t xml:space="preserve">from the Longitudinal Survey of Immigrants in Canada </w:t>
      </w:r>
      <w:r w:rsidR="00A424BF">
        <w:t xml:space="preserve">for example </w:t>
      </w:r>
      <w:r>
        <w:t>found that the average hourly wage of fulltime workers ($17.34) was much higher than the average hourly wage for part-time workers ($13.02).</w:t>
      </w:r>
      <w:r>
        <w:rPr>
          <w:rStyle w:val="FootnoteReference"/>
        </w:rPr>
        <w:footnoteReference w:id="24"/>
      </w:r>
      <w:r>
        <w:t xml:space="preserve"> A recent research project on precarious employment in Southern Ontario found that workers</w:t>
      </w:r>
      <w:r w:rsidR="00A424BF">
        <w:t xml:space="preserve"> of colour</w:t>
      </w:r>
      <w:r>
        <w:t xml:space="preserve"> were less likely to receive supplemental benefits, be paid if they miss</w:t>
      </w:r>
      <w:r w:rsidR="00A424BF">
        <w:t>ed</w:t>
      </w:r>
      <w:r>
        <w:t xml:space="preserve"> work, be offered opportunities for advancement, and be unionized than White workers; </w:t>
      </w:r>
      <w:r w:rsidR="00B42D83">
        <w:t xml:space="preserve">conversely, </w:t>
      </w:r>
      <w:r>
        <w:t>they were more likely to report suffering negative repercussions from asserting rights related to occupational health or employment and safety standards.</w:t>
      </w:r>
      <w:r>
        <w:rPr>
          <w:rStyle w:val="FootnoteReference"/>
        </w:rPr>
        <w:footnoteReference w:id="25"/>
      </w:r>
      <w:r>
        <w:t xml:space="preserve"> </w:t>
      </w:r>
    </w:p>
    <w:p w14:paraId="4263AA83" w14:textId="77777777" w:rsidR="00834206" w:rsidRPr="00834206" w:rsidRDefault="00834206" w:rsidP="00834206">
      <w:pPr>
        <w:pStyle w:val="ListParagraph"/>
        <w:rPr>
          <w:i/>
          <w:color w:val="000000" w:themeColor="text1"/>
        </w:rPr>
      </w:pPr>
    </w:p>
    <w:p w14:paraId="29018FCF" w14:textId="213C92BA" w:rsidR="00894416" w:rsidRPr="0021026C" w:rsidRDefault="00834206" w:rsidP="0021026C">
      <w:pPr>
        <w:pStyle w:val="ListParagraph"/>
        <w:numPr>
          <w:ilvl w:val="0"/>
          <w:numId w:val="24"/>
        </w:numPr>
        <w:rPr>
          <w:color w:val="000000" w:themeColor="text1"/>
        </w:rPr>
      </w:pPr>
      <w:r>
        <w:rPr>
          <w:color w:val="000000" w:themeColor="text1"/>
        </w:rPr>
        <w:t xml:space="preserve">The 2017 report of Ontario’s Changing Workplaces Review made several recommendations for legislative and policy changes to reduce the vulnerability of precarious workers, including: bolstering proactive initiatives for employment standards enforcement, to reduce the </w:t>
      </w:r>
      <w:r w:rsidR="000F65C6">
        <w:rPr>
          <w:color w:val="000000" w:themeColor="text1"/>
        </w:rPr>
        <w:t xml:space="preserve">burden on employees to complain; increasing protection for employees seeking to enforce their rights (including protection from reprisals); greater penalties for non-compliance with employment standards legislation; equal pay for part-time, temporary, and seasonal employees with comparable full-time employees; and inclusion of domestic and agricultural workers in the </w:t>
      </w:r>
      <w:r w:rsidR="000F65C6">
        <w:rPr>
          <w:i/>
          <w:color w:val="000000" w:themeColor="text1"/>
        </w:rPr>
        <w:t xml:space="preserve">Labour Relations Act </w:t>
      </w:r>
      <w:r w:rsidR="000F65C6">
        <w:rPr>
          <w:color w:val="000000" w:themeColor="text1"/>
        </w:rPr>
        <w:t>(see section on Temporary Migrant Workers below).</w:t>
      </w:r>
      <w:r w:rsidR="00203B5A">
        <w:rPr>
          <w:color w:val="000000" w:themeColor="text1"/>
        </w:rPr>
        <w:t xml:space="preserve"> However the report stops short of making recommendations that would address unjust racialized labour market disparities</w:t>
      </w:r>
      <w:r w:rsidR="00A424BF">
        <w:rPr>
          <w:color w:val="000000" w:themeColor="text1"/>
        </w:rPr>
        <w:t xml:space="preserve"> and thus the critical need for provincial employment equity regimes</w:t>
      </w:r>
      <w:r w:rsidR="00203B5A">
        <w:rPr>
          <w:color w:val="000000" w:themeColor="text1"/>
        </w:rPr>
        <w:t xml:space="preserve">. </w:t>
      </w:r>
      <w:r w:rsidR="009F5B11">
        <w:rPr>
          <w:rStyle w:val="FootnoteReference"/>
          <w:color w:val="000000" w:themeColor="text1"/>
        </w:rPr>
        <w:footnoteReference w:id="26"/>
      </w:r>
      <w:r w:rsidR="000F65C6">
        <w:rPr>
          <w:color w:val="000000" w:themeColor="text1"/>
        </w:rPr>
        <w:t xml:space="preserve"> </w:t>
      </w:r>
    </w:p>
    <w:p w14:paraId="194FE499" w14:textId="2BD5B733" w:rsidR="00894416" w:rsidRPr="00203B5A" w:rsidRDefault="00203B5A" w:rsidP="00203B5A">
      <w:pPr>
        <w:pStyle w:val="Heading1"/>
        <w:numPr>
          <w:ilvl w:val="0"/>
          <w:numId w:val="24"/>
        </w:numPr>
        <w:shd w:val="clear" w:color="auto" w:fill="FFFFFF"/>
        <w:spacing w:before="0"/>
        <w:rPr>
          <w:rFonts w:ascii="Times New Roman" w:hAnsi="Times New Roman" w:cs="Times New Roman"/>
          <w:color w:val="663333"/>
          <w:sz w:val="24"/>
          <w:szCs w:val="24"/>
        </w:rPr>
      </w:pPr>
      <w:r w:rsidRPr="00203B5A">
        <w:rPr>
          <w:rFonts w:ascii="Times New Roman" w:hAnsi="Times New Roman" w:cs="Times New Roman"/>
          <w:color w:val="000000" w:themeColor="text1"/>
          <w:sz w:val="24"/>
          <w:szCs w:val="24"/>
        </w:rPr>
        <w:t xml:space="preserve">The </w:t>
      </w:r>
      <w:r w:rsidR="00894416" w:rsidRPr="00203B5A">
        <w:rPr>
          <w:rFonts w:ascii="Times New Roman" w:hAnsi="Times New Roman" w:cs="Times New Roman"/>
          <w:color w:val="000000" w:themeColor="text1"/>
          <w:sz w:val="24"/>
          <w:szCs w:val="24"/>
        </w:rPr>
        <w:t>Ontario government</w:t>
      </w:r>
      <w:r w:rsidRPr="00203B5A">
        <w:rPr>
          <w:rFonts w:ascii="Times New Roman" w:hAnsi="Times New Roman" w:cs="Times New Roman"/>
          <w:color w:val="000000" w:themeColor="text1"/>
          <w:sz w:val="24"/>
          <w:szCs w:val="24"/>
        </w:rPr>
        <w:t xml:space="preserve"> tabled</w:t>
      </w:r>
      <w:r>
        <w:rPr>
          <w:rFonts w:ascii="Times New Roman" w:hAnsi="Times New Roman" w:cs="Times New Roman"/>
          <w:color w:val="000000" w:themeColor="text1"/>
          <w:sz w:val="24"/>
          <w:szCs w:val="24"/>
        </w:rPr>
        <w:t xml:space="preserve"> legislation</w:t>
      </w:r>
      <w:r>
        <w:rPr>
          <w:rStyle w:val="FootnoteReference"/>
          <w:rFonts w:ascii="Times New Roman" w:hAnsi="Times New Roman" w:cs="Times New Roman"/>
          <w:color w:val="000000" w:themeColor="text1"/>
          <w:sz w:val="24"/>
          <w:szCs w:val="24"/>
        </w:rPr>
        <w:footnoteReference w:id="27"/>
      </w:r>
      <w:r>
        <w:rPr>
          <w:rFonts w:ascii="Times New Roman" w:hAnsi="Times New Roman" w:cs="Times New Roman"/>
          <w:color w:val="000000" w:themeColor="text1"/>
          <w:sz w:val="24"/>
          <w:szCs w:val="24"/>
        </w:rPr>
        <w:t xml:space="preserve"> in June 2017 that </w:t>
      </w:r>
      <w:r w:rsidRPr="0021026C">
        <w:rPr>
          <w:rFonts w:ascii="Times New Roman" w:hAnsi="Times New Roman" w:cs="Times New Roman"/>
          <w:color w:val="auto"/>
          <w:sz w:val="24"/>
          <w:szCs w:val="24"/>
        </w:rPr>
        <w:t xml:space="preserve">incorporates several recommendations from the </w:t>
      </w:r>
      <w:r w:rsidR="00A424BF" w:rsidRPr="0021026C">
        <w:rPr>
          <w:rFonts w:ascii="Times New Roman" w:hAnsi="Times New Roman" w:cs="Times New Roman"/>
          <w:color w:val="auto"/>
          <w:sz w:val="24"/>
          <w:szCs w:val="24"/>
        </w:rPr>
        <w:t xml:space="preserve">Changing Workplaces Review </w:t>
      </w:r>
      <w:r w:rsidRPr="0021026C">
        <w:rPr>
          <w:rFonts w:ascii="Times New Roman" w:hAnsi="Times New Roman" w:cs="Times New Roman"/>
          <w:color w:val="auto"/>
          <w:sz w:val="24"/>
          <w:szCs w:val="24"/>
        </w:rPr>
        <w:t xml:space="preserve">report. However the Bill </w:t>
      </w:r>
      <w:r w:rsidR="00A424BF">
        <w:rPr>
          <w:rFonts w:ascii="Times New Roman" w:hAnsi="Times New Roman" w:cs="Times New Roman"/>
          <w:color w:val="auto"/>
          <w:sz w:val="24"/>
          <w:szCs w:val="24"/>
        </w:rPr>
        <w:t xml:space="preserve">also </w:t>
      </w:r>
      <w:r w:rsidRPr="0021026C">
        <w:rPr>
          <w:rFonts w:ascii="Times New Roman" w:hAnsi="Times New Roman" w:cs="Times New Roman"/>
          <w:color w:val="auto"/>
          <w:sz w:val="24"/>
          <w:szCs w:val="24"/>
        </w:rPr>
        <w:t xml:space="preserve">stops short of </w:t>
      </w:r>
      <w:r w:rsidR="00894416" w:rsidRPr="00203B5A">
        <w:rPr>
          <w:rFonts w:ascii="Times New Roman" w:hAnsi="Times New Roman" w:cs="Times New Roman"/>
          <w:color w:val="000000" w:themeColor="text1"/>
          <w:sz w:val="24"/>
          <w:szCs w:val="24"/>
        </w:rPr>
        <w:t>addressing unjust racialized labour market disparities. Further, there is little in the</w:t>
      </w:r>
      <w:r>
        <w:rPr>
          <w:rFonts w:ascii="Times New Roman" w:hAnsi="Times New Roman" w:cs="Times New Roman"/>
          <w:color w:val="000000" w:themeColor="text1"/>
          <w:sz w:val="24"/>
          <w:szCs w:val="24"/>
        </w:rPr>
        <w:t xml:space="preserve"> Bill or government plans </w:t>
      </w:r>
      <w:r w:rsidR="00894416" w:rsidRPr="00203B5A">
        <w:rPr>
          <w:rFonts w:ascii="Times New Roman" w:hAnsi="Times New Roman" w:cs="Times New Roman"/>
          <w:color w:val="000000" w:themeColor="text1"/>
          <w:sz w:val="24"/>
          <w:szCs w:val="24"/>
        </w:rPr>
        <w:t>to address issue</w:t>
      </w:r>
      <w:r>
        <w:rPr>
          <w:rFonts w:ascii="Times New Roman" w:hAnsi="Times New Roman" w:cs="Times New Roman"/>
          <w:color w:val="000000" w:themeColor="text1"/>
          <w:sz w:val="24"/>
          <w:szCs w:val="24"/>
        </w:rPr>
        <w:t>s</w:t>
      </w:r>
      <w:r w:rsidR="00894416" w:rsidRPr="00203B5A">
        <w:rPr>
          <w:rFonts w:ascii="Times New Roman" w:hAnsi="Times New Roman" w:cs="Times New Roman"/>
          <w:color w:val="000000" w:themeColor="text1"/>
          <w:sz w:val="24"/>
          <w:szCs w:val="24"/>
        </w:rPr>
        <w:t xml:space="preserve"> of employers violating employm</w:t>
      </w:r>
      <w:r w:rsidR="002C1D73" w:rsidRPr="00203B5A">
        <w:rPr>
          <w:rFonts w:ascii="Times New Roman" w:hAnsi="Times New Roman" w:cs="Times New Roman"/>
          <w:color w:val="000000" w:themeColor="text1"/>
          <w:sz w:val="24"/>
          <w:szCs w:val="24"/>
        </w:rPr>
        <w:t xml:space="preserve">ent standards provisions with impunity, employees being unable to recover lost wages due to recalcitrant employers, and fear of losing one’s job and being blacklisted in the community – a fear that is greatly exacerbated in </w:t>
      </w:r>
      <w:r w:rsidR="00A424BF">
        <w:rPr>
          <w:rFonts w:ascii="Times New Roman" w:hAnsi="Times New Roman" w:cs="Times New Roman"/>
          <w:color w:val="000000" w:themeColor="text1"/>
          <w:sz w:val="24"/>
          <w:szCs w:val="24"/>
        </w:rPr>
        <w:t>Indigenous</w:t>
      </w:r>
      <w:r w:rsidR="002C1D73" w:rsidRPr="00203B5A">
        <w:rPr>
          <w:rFonts w:ascii="Times New Roman" w:hAnsi="Times New Roman" w:cs="Times New Roman"/>
          <w:color w:val="000000" w:themeColor="text1"/>
          <w:sz w:val="24"/>
          <w:szCs w:val="24"/>
        </w:rPr>
        <w:t xml:space="preserve"> communities</w:t>
      </w:r>
      <w:r w:rsidR="00A424BF">
        <w:rPr>
          <w:rFonts w:ascii="Times New Roman" w:hAnsi="Times New Roman" w:cs="Times New Roman"/>
          <w:color w:val="000000" w:themeColor="text1"/>
          <w:sz w:val="24"/>
          <w:szCs w:val="24"/>
        </w:rPr>
        <w:t xml:space="preserve"> and communities of colour</w:t>
      </w:r>
      <w:r w:rsidR="002C1D73" w:rsidRPr="00203B5A">
        <w:rPr>
          <w:rFonts w:ascii="Times New Roman" w:hAnsi="Times New Roman" w:cs="Times New Roman"/>
          <w:color w:val="000000" w:themeColor="text1"/>
          <w:sz w:val="24"/>
          <w:szCs w:val="24"/>
        </w:rPr>
        <w:t>.</w:t>
      </w:r>
      <w:r w:rsidR="002C1D73" w:rsidRPr="00203B5A">
        <w:rPr>
          <w:rStyle w:val="FootnoteReference"/>
          <w:rFonts w:ascii="Times New Roman" w:hAnsi="Times New Roman" w:cs="Times New Roman"/>
          <w:color w:val="000000" w:themeColor="text1"/>
          <w:sz w:val="24"/>
          <w:szCs w:val="24"/>
        </w:rPr>
        <w:footnoteReference w:id="28"/>
      </w:r>
    </w:p>
    <w:p w14:paraId="013360A5" w14:textId="77777777" w:rsidR="006132CB" w:rsidRPr="005C51D5" w:rsidRDefault="006132CB" w:rsidP="006132CB">
      <w:pPr>
        <w:pStyle w:val="Heading1"/>
        <w:rPr>
          <w:rFonts w:ascii="Times New Roman" w:hAnsi="Times New Roman" w:cs="Times New Roman"/>
          <w:b/>
          <w:i/>
          <w:color w:val="000000" w:themeColor="text1"/>
          <w:sz w:val="24"/>
          <w:szCs w:val="24"/>
        </w:rPr>
      </w:pPr>
      <w:r w:rsidRPr="005C51D5">
        <w:rPr>
          <w:rFonts w:ascii="Times New Roman" w:hAnsi="Times New Roman" w:cs="Times New Roman"/>
          <w:b/>
          <w:i/>
          <w:color w:val="000000" w:themeColor="text1"/>
          <w:sz w:val="24"/>
          <w:szCs w:val="24"/>
        </w:rPr>
        <w:t>Discrimination in the Ontario Public Service</w:t>
      </w:r>
    </w:p>
    <w:p w14:paraId="2B0F4F5E" w14:textId="1F7EA383" w:rsidR="006132CB" w:rsidRDefault="006132CB" w:rsidP="006132CB">
      <w:pPr>
        <w:pStyle w:val="ListParagraph"/>
        <w:numPr>
          <w:ilvl w:val="0"/>
          <w:numId w:val="25"/>
        </w:numPr>
        <w:spacing w:before="240"/>
      </w:pPr>
      <w:r>
        <w:t xml:space="preserve">Black employees in the Ontario Public Service have reported experiencing pervasive </w:t>
      </w:r>
      <w:r w:rsidR="007F427C">
        <w:t xml:space="preserve">racial </w:t>
      </w:r>
      <w:r>
        <w:t>aggression and discrimination. Complaints about racism made under the Respectful Workplace Policy (formerly the Workplace Discrimination and Harassment Policy) have not been addressed, and complainants have faced reprisals from superiors</w:t>
      </w:r>
      <w:r w:rsidR="007E30C4">
        <w:rPr>
          <w:rStyle w:val="FootnoteReference"/>
        </w:rPr>
        <w:footnoteReference w:id="29"/>
      </w:r>
      <w:r>
        <w:t xml:space="preserve">. </w:t>
      </w:r>
    </w:p>
    <w:p w14:paraId="05649BAF" w14:textId="77777777" w:rsidR="006132CB" w:rsidRDefault="006132CB" w:rsidP="006132CB">
      <w:pPr>
        <w:pStyle w:val="ListParagraph"/>
        <w:spacing w:before="240"/>
        <w:ind w:left="0"/>
        <w:rPr>
          <w:b/>
          <w:i/>
        </w:rPr>
      </w:pPr>
    </w:p>
    <w:p w14:paraId="7FB53B2F" w14:textId="1C676BFA" w:rsidR="006132CB" w:rsidRPr="001B5887" w:rsidRDefault="006132CB" w:rsidP="006132CB">
      <w:pPr>
        <w:pStyle w:val="ListParagraph"/>
        <w:spacing w:before="240"/>
        <w:ind w:left="0"/>
      </w:pPr>
      <w:r>
        <w:rPr>
          <w:b/>
          <w:i/>
        </w:rPr>
        <w:t xml:space="preserve">Relevant Articles: </w:t>
      </w:r>
      <w:r>
        <w:t>5(e</w:t>
      </w:r>
      <w:proofErr w:type="gramStart"/>
      <w:r>
        <w:t>)(</w:t>
      </w:r>
      <w:proofErr w:type="gramEnd"/>
      <w:r>
        <w:t>i), 5(e)(iii)</w:t>
      </w:r>
    </w:p>
    <w:p w14:paraId="66AC81E1" w14:textId="62278B30" w:rsidR="006132CB" w:rsidRDefault="006132CB" w:rsidP="006132CB">
      <w:pPr>
        <w:spacing w:before="240"/>
      </w:pPr>
      <w:r w:rsidRPr="00A179B5">
        <w:rPr>
          <w:b/>
          <w:i/>
          <w:color w:val="000000" w:themeColor="text1"/>
        </w:rPr>
        <w:t>Recommendations</w:t>
      </w:r>
      <w:r>
        <w:rPr>
          <w:b/>
          <w:i/>
          <w:color w:val="000000" w:themeColor="text1"/>
        </w:rPr>
        <w:t xml:space="preserve">: </w:t>
      </w:r>
      <w:r>
        <w:rPr>
          <w:color w:val="000000" w:themeColor="text1"/>
        </w:rPr>
        <w:t>We ask that the Committee recommend that Canada: 1) centre the problem of the racialization of poverty in the national Poverty Reduction Strategy; and 2) reinstate mandatory compliance with employment equity for federal contractors</w:t>
      </w:r>
      <w:r w:rsidR="00A424BF">
        <w:rPr>
          <w:color w:val="000000" w:themeColor="text1"/>
        </w:rPr>
        <w:t xml:space="preserve"> and effectively enforce that regime</w:t>
      </w:r>
      <w:r>
        <w:rPr>
          <w:color w:val="000000" w:themeColor="text1"/>
        </w:rPr>
        <w:t xml:space="preserve">. We ask that the Committee recommend that Ontario: 1) introduce </w:t>
      </w:r>
      <w:r w:rsidR="00A424BF">
        <w:rPr>
          <w:color w:val="000000" w:themeColor="text1"/>
        </w:rPr>
        <w:t xml:space="preserve">and effectively enforce </w:t>
      </w:r>
      <w:r>
        <w:rPr>
          <w:color w:val="000000" w:themeColor="text1"/>
        </w:rPr>
        <w:t xml:space="preserve">employment equity legislation; 2) collect and analyze data on the racialization of poverty through the Anti-Racism Directorate; 3) centre the problem of the racialization of poverty in its </w:t>
      </w:r>
      <w:r w:rsidR="007F427C">
        <w:rPr>
          <w:color w:val="000000" w:themeColor="text1"/>
        </w:rPr>
        <w:t xml:space="preserve">provincial </w:t>
      </w:r>
      <w:r>
        <w:rPr>
          <w:color w:val="000000" w:themeColor="text1"/>
        </w:rPr>
        <w:t xml:space="preserve">Poverty Reduction Strategy; 4) remove barriers to recognition of </w:t>
      </w:r>
      <w:r w:rsidR="00A424BF">
        <w:rPr>
          <w:color w:val="000000" w:themeColor="text1"/>
        </w:rPr>
        <w:t>international</w:t>
      </w:r>
      <w:r>
        <w:rPr>
          <w:color w:val="000000" w:themeColor="text1"/>
        </w:rPr>
        <w:t xml:space="preserve"> training</w:t>
      </w:r>
      <w:r w:rsidR="007E30C4">
        <w:rPr>
          <w:color w:val="000000" w:themeColor="text1"/>
        </w:rPr>
        <w:t xml:space="preserve"> by institutions, regulatory bodies and employers</w:t>
      </w:r>
      <w:r>
        <w:rPr>
          <w:color w:val="000000" w:themeColor="text1"/>
        </w:rPr>
        <w:t xml:space="preserve">; 5) amend the Human Rights Code to protect individuals from discrimination on the basis of police records of conviction or non-conviction, and facilitate pardons/record suspensions; 6) </w:t>
      </w:r>
      <w:r>
        <w:t>ensure more effective enforceme</w:t>
      </w:r>
      <w:r w:rsidR="009F5B11">
        <w:t>nt of employment s</w:t>
      </w:r>
      <w:r>
        <w:t>tan</w:t>
      </w:r>
      <w:r w:rsidR="009F5B11">
        <w:t>dards and labour relations</w:t>
      </w:r>
      <w:r>
        <w:t xml:space="preserve">; </w:t>
      </w:r>
      <w:r w:rsidR="002C1D73">
        <w:t xml:space="preserve">7) </w:t>
      </w:r>
      <w:r w:rsidR="003F0502" w:rsidRPr="0021026C">
        <w:t>strengthen enforcement of employment standards laws through</w:t>
      </w:r>
      <w:r w:rsidR="003F0502">
        <w:t xml:space="preserve"> </w:t>
      </w:r>
      <w:r w:rsidR="002C1D73">
        <w:t xml:space="preserve">increased prosecutions, </w:t>
      </w:r>
      <w:r w:rsidR="007E30C4">
        <w:t>higher</w:t>
      </w:r>
      <w:r w:rsidR="002C1D73">
        <w:t xml:space="preserve"> fines and penalties, public databases for employers with outstanding orders to pay, and automatic </w:t>
      </w:r>
      <w:r w:rsidR="007E30C4">
        <w:t>D</w:t>
      </w:r>
      <w:r w:rsidR="002C1D73">
        <w:t xml:space="preserve">irector’s liability for owed employment standards entitlements; 8) implement an </w:t>
      </w:r>
      <w:r w:rsidR="004800A7" w:rsidRPr="0021026C">
        <w:t>E</w:t>
      </w:r>
      <w:r w:rsidR="002C1D73" w:rsidRPr="0021026C">
        <w:t xml:space="preserve">mployee </w:t>
      </w:r>
      <w:r w:rsidR="004800A7" w:rsidRPr="0021026C">
        <w:t>Wage Protection F</w:t>
      </w:r>
      <w:r w:rsidR="002C1D73" w:rsidRPr="0021026C">
        <w:t>und</w:t>
      </w:r>
      <w:r w:rsidR="002C1D73">
        <w:t xml:space="preserve"> to compensate victims of wage theft (which</w:t>
      </w:r>
      <w:r w:rsidR="00C13401">
        <w:t xml:space="preserve"> disproportionately affects</w:t>
      </w:r>
      <w:r w:rsidR="002C1D73">
        <w:t xml:space="preserve"> </w:t>
      </w:r>
      <w:r w:rsidR="000C0296">
        <w:t xml:space="preserve">Indigenous workers and </w:t>
      </w:r>
      <w:r w:rsidR="002C1D73">
        <w:t>workers</w:t>
      </w:r>
      <w:r w:rsidR="000C0296">
        <w:t xml:space="preserve"> of colour</w:t>
      </w:r>
      <w:r w:rsidR="002C1D73">
        <w:t>)</w:t>
      </w:r>
      <w:r w:rsidR="00C13401">
        <w:t>;</w:t>
      </w:r>
      <w:r w:rsidR="002C1D73">
        <w:t xml:space="preserve"> </w:t>
      </w:r>
      <w:r>
        <w:t xml:space="preserve">and </w:t>
      </w:r>
      <w:r w:rsidR="002C1D73">
        <w:t>9</w:t>
      </w:r>
      <w:r>
        <w:t>) provide public reports on incidents of racism in the public service, and better protect public service employees from racial discrimination and aggression</w:t>
      </w:r>
      <w:r w:rsidR="007E30C4">
        <w:t>, and reprisals</w:t>
      </w:r>
      <w:r>
        <w:t>.</w:t>
      </w:r>
    </w:p>
    <w:p w14:paraId="3F11E75E" w14:textId="77777777" w:rsidR="009753C1" w:rsidRDefault="009753C1" w:rsidP="006132CB">
      <w:pPr>
        <w:pStyle w:val="Heading1"/>
        <w:spacing w:before="0" w:after="240"/>
        <w:rPr>
          <w:rFonts w:ascii="Times New Roman" w:hAnsi="Times New Roman" w:cs="Times New Roman"/>
          <w:b/>
          <w:color w:val="000000" w:themeColor="text1"/>
          <w:sz w:val="24"/>
          <w:szCs w:val="24"/>
          <w:u w:val="single"/>
        </w:rPr>
      </w:pPr>
    </w:p>
    <w:p w14:paraId="40E1D9E6" w14:textId="77777777" w:rsidR="005910B4" w:rsidRDefault="005910B4" w:rsidP="005910B4"/>
    <w:p w14:paraId="33711323" w14:textId="77777777" w:rsidR="005910B4" w:rsidRPr="005910B4" w:rsidRDefault="005910B4" w:rsidP="005910B4"/>
    <w:p w14:paraId="35A9213B" w14:textId="186A31A6" w:rsidR="009753C1" w:rsidRDefault="006132CB" w:rsidP="00203B5A">
      <w:pPr>
        <w:pStyle w:val="ListParagraph"/>
        <w:ind w:left="0"/>
        <w:rPr>
          <w:color w:val="000000" w:themeColor="text1"/>
        </w:rPr>
      </w:pPr>
      <w:r w:rsidRPr="00203B5A">
        <w:rPr>
          <w:b/>
          <w:color w:val="000000" w:themeColor="text1"/>
          <w:u w:val="single"/>
        </w:rPr>
        <w:t>Issue Three: Rights of Temporary Migrant Workers</w:t>
      </w:r>
    </w:p>
    <w:p w14:paraId="3CFF7F0D" w14:textId="77777777" w:rsidR="002C01CD" w:rsidRPr="007E30C4" w:rsidRDefault="002C01CD" w:rsidP="00203B5A">
      <w:pPr>
        <w:pStyle w:val="ListParagraph"/>
        <w:ind w:left="0"/>
        <w:rPr>
          <w:color w:val="000000" w:themeColor="text1"/>
        </w:rPr>
      </w:pPr>
    </w:p>
    <w:p w14:paraId="5EE2EA8C" w14:textId="77777777" w:rsidR="005910B4" w:rsidRDefault="006132CB" w:rsidP="005910B4">
      <w:pPr>
        <w:pStyle w:val="ListParagraph"/>
        <w:numPr>
          <w:ilvl w:val="0"/>
          <w:numId w:val="21"/>
        </w:numPr>
        <w:rPr>
          <w:color w:val="000000" w:themeColor="text1"/>
        </w:rPr>
      </w:pPr>
      <w:r>
        <w:rPr>
          <w:color w:val="000000" w:themeColor="text1"/>
        </w:rPr>
        <w:t>The number of temporary migrant</w:t>
      </w:r>
      <w:r w:rsidRPr="007F7240">
        <w:rPr>
          <w:color w:val="000000" w:themeColor="text1"/>
        </w:rPr>
        <w:t xml:space="preserve"> workers in Canada has more than quadrupled since 2000</w:t>
      </w:r>
      <w:r w:rsidR="007D1538">
        <w:rPr>
          <w:color w:val="000000" w:themeColor="text1"/>
        </w:rPr>
        <w:t xml:space="preserve"> – as of 2014, there were 567,977 temporary status workers in the country</w:t>
      </w:r>
      <w:r w:rsidRPr="007F7240">
        <w:rPr>
          <w:color w:val="000000" w:themeColor="text1"/>
        </w:rPr>
        <w:t>.</w:t>
      </w:r>
      <w:r w:rsidRPr="00A179B5">
        <w:rPr>
          <w:rStyle w:val="FootnoteReference"/>
          <w:color w:val="000000" w:themeColor="text1"/>
        </w:rPr>
        <w:footnoteReference w:id="30"/>
      </w:r>
      <w:r w:rsidRPr="007F7240">
        <w:rPr>
          <w:color w:val="000000" w:themeColor="text1"/>
        </w:rPr>
        <w:t xml:space="preserve"> Migrant workers in low-wage streams of temporary migration – disproportionately workers</w:t>
      </w:r>
      <w:r w:rsidR="0058105C">
        <w:rPr>
          <w:color w:val="000000" w:themeColor="text1"/>
        </w:rPr>
        <w:t xml:space="preserve"> of colour</w:t>
      </w:r>
      <w:r w:rsidRPr="007F7240">
        <w:rPr>
          <w:color w:val="000000" w:themeColor="text1"/>
        </w:rPr>
        <w:t xml:space="preserve"> from the Global South – are exceptionally susceptible to exploitation and abuse. </w:t>
      </w:r>
    </w:p>
    <w:p w14:paraId="1D0E3213" w14:textId="77777777" w:rsidR="005910B4" w:rsidRDefault="005910B4" w:rsidP="005910B4">
      <w:pPr>
        <w:pStyle w:val="ListParagraph"/>
        <w:ind w:left="0"/>
        <w:rPr>
          <w:color w:val="000000" w:themeColor="text1"/>
        </w:rPr>
      </w:pPr>
    </w:p>
    <w:p w14:paraId="538A34E1" w14:textId="3B7ED66D" w:rsidR="007A7A14" w:rsidRPr="005910B4" w:rsidRDefault="006132CB" w:rsidP="005910B4">
      <w:pPr>
        <w:pStyle w:val="ListParagraph"/>
        <w:numPr>
          <w:ilvl w:val="0"/>
          <w:numId w:val="21"/>
        </w:numPr>
        <w:rPr>
          <w:color w:val="000000" w:themeColor="text1"/>
        </w:rPr>
      </w:pPr>
      <w:r w:rsidRPr="005910B4">
        <w:rPr>
          <w:color w:val="000000" w:themeColor="text1"/>
        </w:rPr>
        <w:t xml:space="preserve">Workers in the Seasonal Agricultural Workers Program (which </w:t>
      </w:r>
      <w:r w:rsidR="007E30C4" w:rsidRPr="005910B4">
        <w:rPr>
          <w:color w:val="000000" w:themeColor="text1"/>
        </w:rPr>
        <w:t xml:space="preserve">is </w:t>
      </w:r>
      <w:r w:rsidR="0058105C" w:rsidRPr="005910B4">
        <w:rPr>
          <w:color w:val="000000" w:themeColor="text1"/>
        </w:rPr>
        <w:t xml:space="preserve">largely </w:t>
      </w:r>
      <w:r w:rsidR="007E30C4" w:rsidRPr="005910B4">
        <w:rPr>
          <w:color w:val="000000" w:themeColor="text1"/>
        </w:rPr>
        <w:t xml:space="preserve">based on bi-lateral agreements with </w:t>
      </w:r>
      <w:r w:rsidRPr="005910B4">
        <w:rPr>
          <w:color w:val="000000" w:themeColor="text1"/>
        </w:rPr>
        <w:t xml:space="preserve">Mexico and several Caribbean states) are denied the opportunity to settle permanently in Canada, are bound to particular employers with </w:t>
      </w:r>
      <w:r w:rsidR="0058105C" w:rsidRPr="005910B4">
        <w:rPr>
          <w:color w:val="000000" w:themeColor="text1"/>
        </w:rPr>
        <w:t xml:space="preserve">exclusively </w:t>
      </w:r>
      <w:r w:rsidRPr="005910B4">
        <w:rPr>
          <w:color w:val="000000" w:themeColor="text1"/>
        </w:rPr>
        <w:t>tied work permits, and</w:t>
      </w:r>
      <w:r w:rsidR="007D1538" w:rsidRPr="005910B4">
        <w:rPr>
          <w:color w:val="000000" w:themeColor="text1"/>
        </w:rPr>
        <w:t xml:space="preserve"> are required to</w:t>
      </w:r>
      <w:r w:rsidRPr="005910B4">
        <w:rPr>
          <w:color w:val="000000" w:themeColor="text1"/>
        </w:rPr>
        <w:t xml:space="preserve"> live in employer-provided housing on or near the farms</w:t>
      </w:r>
      <w:r w:rsidR="007E30C4" w:rsidRPr="005910B4">
        <w:rPr>
          <w:color w:val="000000" w:themeColor="text1"/>
        </w:rPr>
        <w:t xml:space="preserve"> and greenhouses</w:t>
      </w:r>
      <w:r w:rsidRPr="005910B4">
        <w:rPr>
          <w:color w:val="000000" w:themeColor="text1"/>
        </w:rPr>
        <w:t xml:space="preserve"> where they work.</w:t>
      </w:r>
      <w:r w:rsidRPr="00A179B5">
        <w:rPr>
          <w:rStyle w:val="FootnoteReference"/>
          <w:color w:val="000000" w:themeColor="text1"/>
        </w:rPr>
        <w:footnoteReference w:id="31"/>
      </w:r>
      <w:r w:rsidRPr="005910B4">
        <w:rPr>
          <w:color w:val="000000" w:themeColor="text1"/>
        </w:rPr>
        <w:t xml:space="preserve"> </w:t>
      </w:r>
      <w:r w:rsidR="000F65C6" w:rsidRPr="005910B4">
        <w:rPr>
          <w:color w:val="000000" w:themeColor="text1"/>
        </w:rPr>
        <w:t xml:space="preserve">Workplace injuries frequently result in medical repatriation. </w:t>
      </w:r>
      <w:r w:rsidRPr="005910B4">
        <w:rPr>
          <w:color w:val="000000" w:themeColor="text1"/>
        </w:rPr>
        <w:t xml:space="preserve">“They live under persistent threat of deportation that forces them to work under difficult and exploitative conditions, especially in cases of conflict with employers, workplace injuries, shortages in </w:t>
      </w:r>
      <w:proofErr w:type="gramStart"/>
      <w:r w:rsidRPr="005910B4">
        <w:rPr>
          <w:color w:val="000000" w:themeColor="text1"/>
        </w:rPr>
        <w:t>work,</w:t>
      </w:r>
      <w:proofErr w:type="gramEnd"/>
      <w:r w:rsidRPr="005910B4">
        <w:rPr>
          <w:color w:val="000000" w:themeColor="text1"/>
        </w:rPr>
        <w:t xml:space="preserve"> or merely by virtue of employ</w:t>
      </w:r>
      <w:r w:rsidR="009F2CDB">
        <w:rPr>
          <w:color w:val="000000" w:themeColor="text1"/>
        </w:rPr>
        <w:t>er whim”</w:t>
      </w:r>
      <w:r w:rsidRPr="005910B4">
        <w:rPr>
          <w:color w:val="000000" w:themeColor="text1"/>
        </w:rPr>
        <w:t>.</w:t>
      </w:r>
      <w:r w:rsidRPr="00A179B5">
        <w:rPr>
          <w:rStyle w:val="FootnoteReference"/>
          <w:color w:val="000000" w:themeColor="text1"/>
        </w:rPr>
        <w:footnoteReference w:id="32"/>
      </w:r>
    </w:p>
    <w:p w14:paraId="7A068F16" w14:textId="77777777" w:rsidR="006132CB" w:rsidRPr="00A179B5" w:rsidRDefault="006132CB" w:rsidP="006132CB">
      <w:pPr>
        <w:pStyle w:val="ListParagraph"/>
        <w:rPr>
          <w:color w:val="000000" w:themeColor="text1"/>
        </w:rPr>
      </w:pPr>
    </w:p>
    <w:p w14:paraId="68AC39A6" w14:textId="48EB5B48" w:rsidR="006132CB" w:rsidRPr="00A179B5" w:rsidRDefault="006132CB" w:rsidP="006132CB">
      <w:pPr>
        <w:pStyle w:val="ListParagraph"/>
        <w:numPr>
          <w:ilvl w:val="0"/>
          <w:numId w:val="21"/>
        </w:numPr>
        <w:rPr>
          <w:color w:val="000000" w:themeColor="text1"/>
        </w:rPr>
      </w:pPr>
      <w:r w:rsidRPr="00A179B5">
        <w:rPr>
          <w:color w:val="000000" w:themeColor="text1"/>
        </w:rPr>
        <w:t>Workers in the Caregiver Program (formerly the Live-In Caregiver Program), primarily women recruited from the Philippines, are similarly prone to exploitation and ill-treatment</w:t>
      </w:r>
      <w:r>
        <w:rPr>
          <w:color w:val="000000" w:themeColor="text1"/>
        </w:rPr>
        <w:t xml:space="preserve"> by employers. </w:t>
      </w:r>
      <w:r w:rsidR="0058105C">
        <w:rPr>
          <w:color w:val="000000" w:themeColor="text1"/>
        </w:rPr>
        <w:t>Again t</w:t>
      </w:r>
      <w:r w:rsidRPr="00A179B5">
        <w:rPr>
          <w:color w:val="000000" w:themeColor="text1"/>
        </w:rPr>
        <w:t>ied work permits make it difficult for caregivers to complain about abuse, non-payment of wages, and employers’ refusals to adhere to occupational safety standards. Changes introduced in 201</w:t>
      </w:r>
      <w:r>
        <w:rPr>
          <w:color w:val="000000" w:themeColor="text1"/>
        </w:rPr>
        <w:t>4 eliminated</w:t>
      </w:r>
      <w:r w:rsidRPr="00A179B5">
        <w:rPr>
          <w:color w:val="000000" w:themeColor="text1"/>
        </w:rPr>
        <w:t xml:space="preserve"> the requirement that caregivers live with their employers, reducing their vulnerability. However, other changes –</w:t>
      </w:r>
      <w:r>
        <w:rPr>
          <w:color w:val="000000" w:themeColor="text1"/>
        </w:rPr>
        <w:t xml:space="preserve"> particularly the removal of the previously-existing</w:t>
      </w:r>
      <w:r w:rsidRPr="00A179B5">
        <w:rPr>
          <w:color w:val="000000" w:themeColor="text1"/>
        </w:rPr>
        <w:t xml:space="preserve"> guaranteed route to permanent residence, the imposition of a new cap on the number of caregivers who can apply for permanent residence</w:t>
      </w:r>
      <w:r w:rsidR="007D1538">
        <w:rPr>
          <w:color w:val="000000" w:themeColor="text1"/>
        </w:rPr>
        <w:t xml:space="preserve"> in any given year</w:t>
      </w:r>
      <w:r w:rsidRPr="00A179B5">
        <w:rPr>
          <w:color w:val="000000" w:themeColor="text1"/>
        </w:rPr>
        <w:t xml:space="preserve">, and the proliferation of </w:t>
      </w:r>
      <w:r w:rsidR="007D1538">
        <w:rPr>
          <w:color w:val="000000" w:themeColor="text1"/>
        </w:rPr>
        <w:t xml:space="preserve">limited </w:t>
      </w:r>
      <w:r w:rsidRPr="00A179B5">
        <w:rPr>
          <w:color w:val="000000" w:themeColor="text1"/>
        </w:rPr>
        <w:t xml:space="preserve">spheres in which migrant caregiving is permitted – have increased the precariousness of workers in the Caregiver Program. Long delays in the processing of caregivers’ permanent residence applications (the processing time is </w:t>
      </w:r>
      <w:r w:rsidR="007D1538">
        <w:rPr>
          <w:color w:val="000000" w:themeColor="text1"/>
        </w:rPr>
        <w:t xml:space="preserve">typically </w:t>
      </w:r>
      <w:r w:rsidRPr="00A179B5">
        <w:rPr>
          <w:color w:val="000000" w:themeColor="text1"/>
        </w:rPr>
        <w:t>more than four years) prolong the separation of caregivers from their families</w:t>
      </w:r>
      <w:r w:rsidR="007D1538">
        <w:rPr>
          <w:color w:val="000000" w:themeColor="text1"/>
        </w:rPr>
        <w:t xml:space="preserve"> and increase vulnerability</w:t>
      </w:r>
      <w:r w:rsidRPr="00A179B5">
        <w:rPr>
          <w:color w:val="000000" w:themeColor="text1"/>
        </w:rPr>
        <w:t>.</w:t>
      </w:r>
      <w:r w:rsidRPr="00A179B5">
        <w:rPr>
          <w:rStyle w:val="FootnoteReference"/>
          <w:color w:val="000000" w:themeColor="text1"/>
        </w:rPr>
        <w:footnoteReference w:id="33"/>
      </w:r>
    </w:p>
    <w:p w14:paraId="322C7C7B" w14:textId="77777777" w:rsidR="006132CB" w:rsidRPr="00A179B5" w:rsidRDefault="006132CB" w:rsidP="006132CB">
      <w:pPr>
        <w:pStyle w:val="ListParagraph"/>
        <w:rPr>
          <w:color w:val="000000" w:themeColor="text1"/>
        </w:rPr>
      </w:pPr>
    </w:p>
    <w:p w14:paraId="6FB05917" w14:textId="0819B326" w:rsidR="006132CB" w:rsidRDefault="006132CB" w:rsidP="006132CB">
      <w:pPr>
        <w:pStyle w:val="ListParagraph"/>
        <w:numPr>
          <w:ilvl w:val="0"/>
          <w:numId w:val="21"/>
        </w:numPr>
        <w:rPr>
          <w:color w:val="000000" w:themeColor="text1"/>
        </w:rPr>
      </w:pPr>
      <w:r w:rsidRPr="00A179B5">
        <w:rPr>
          <w:color w:val="000000" w:themeColor="text1"/>
        </w:rPr>
        <w:t>While migrant workers contribute to social entitlement programs</w:t>
      </w:r>
      <w:r w:rsidR="007D1538">
        <w:rPr>
          <w:color w:val="000000" w:themeColor="text1"/>
        </w:rPr>
        <w:t xml:space="preserve"> in Canada</w:t>
      </w:r>
      <w:r w:rsidRPr="00A179B5">
        <w:rPr>
          <w:color w:val="000000" w:themeColor="text1"/>
        </w:rPr>
        <w:t xml:space="preserve"> like Employment Insurance, the Canada Pension Plan, Old Age Security, health care, and child benefits, their temporary status largely precludes them from accessing the</w:t>
      </w:r>
      <w:r w:rsidR="0058105C">
        <w:rPr>
          <w:color w:val="000000" w:themeColor="text1"/>
        </w:rPr>
        <w:t xml:space="preserve"> programs</w:t>
      </w:r>
      <w:r w:rsidRPr="00A179B5">
        <w:rPr>
          <w:color w:val="000000" w:themeColor="text1"/>
        </w:rPr>
        <w:t>.</w:t>
      </w:r>
      <w:r w:rsidR="00F6614F">
        <w:rPr>
          <w:rStyle w:val="FootnoteReference"/>
          <w:color w:val="000000" w:themeColor="text1"/>
        </w:rPr>
        <w:footnoteReference w:id="34"/>
      </w:r>
      <w:r w:rsidR="00642FD7">
        <w:rPr>
          <w:color w:val="000000" w:themeColor="text1"/>
        </w:rPr>
        <w:t xml:space="preserve"> Migrant workers who are injured on the job are routinely sent back to their countries</w:t>
      </w:r>
      <w:r w:rsidR="0058105C">
        <w:rPr>
          <w:color w:val="000000" w:themeColor="text1"/>
        </w:rPr>
        <w:t xml:space="preserve"> of origin</w:t>
      </w:r>
      <w:r w:rsidR="00642FD7">
        <w:rPr>
          <w:color w:val="000000" w:themeColor="text1"/>
        </w:rPr>
        <w:t>, thus preventing them from accessing need</w:t>
      </w:r>
      <w:r w:rsidR="003F0ACF">
        <w:rPr>
          <w:color w:val="000000" w:themeColor="text1"/>
        </w:rPr>
        <w:t>ed treatment</w:t>
      </w:r>
      <w:r w:rsidR="0058105C">
        <w:rPr>
          <w:color w:val="000000" w:themeColor="text1"/>
        </w:rPr>
        <w:t>, treatment</w:t>
      </w:r>
      <w:r w:rsidR="003F0ACF">
        <w:rPr>
          <w:color w:val="000000" w:themeColor="text1"/>
        </w:rPr>
        <w:t xml:space="preserve"> which may not be available in their own countries,</w:t>
      </w:r>
      <w:r w:rsidR="00642FD7">
        <w:rPr>
          <w:color w:val="000000" w:themeColor="text1"/>
        </w:rPr>
        <w:t xml:space="preserve"> and </w:t>
      </w:r>
      <w:r w:rsidR="0058105C">
        <w:rPr>
          <w:color w:val="000000" w:themeColor="text1"/>
        </w:rPr>
        <w:t xml:space="preserve">the </w:t>
      </w:r>
      <w:r w:rsidR="00642FD7">
        <w:rPr>
          <w:color w:val="000000" w:themeColor="text1"/>
        </w:rPr>
        <w:t xml:space="preserve">workers compensation benefits to which they are entitled. </w:t>
      </w:r>
      <w:r w:rsidR="00642FD7">
        <w:rPr>
          <w:rStyle w:val="FootnoteReference"/>
          <w:color w:val="000000" w:themeColor="text1"/>
        </w:rPr>
        <w:footnoteReference w:id="35"/>
      </w:r>
    </w:p>
    <w:p w14:paraId="5B56C276" w14:textId="77777777" w:rsidR="007D644B" w:rsidRPr="00FC1AD2" w:rsidRDefault="007D644B" w:rsidP="00FC1AD2">
      <w:pPr>
        <w:pStyle w:val="ListParagraph"/>
        <w:rPr>
          <w:color w:val="000000" w:themeColor="text1"/>
        </w:rPr>
      </w:pPr>
    </w:p>
    <w:p w14:paraId="27A4F57F" w14:textId="232CA15A" w:rsidR="006132CB" w:rsidRPr="00762DFB" w:rsidRDefault="006132CB" w:rsidP="006132CB">
      <w:pPr>
        <w:pStyle w:val="ListParagraph"/>
        <w:ind w:left="0"/>
        <w:rPr>
          <w:color w:val="000000" w:themeColor="text1"/>
          <w:lang w:val="es-ES"/>
        </w:rPr>
      </w:pPr>
      <w:r w:rsidRPr="00762DFB">
        <w:rPr>
          <w:b/>
          <w:i/>
          <w:color w:val="000000" w:themeColor="text1"/>
          <w:lang w:val="es-ES"/>
        </w:rPr>
        <w:t xml:space="preserve">Relevant Articles: </w:t>
      </w:r>
      <w:r w:rsidRPr="00762DFB">
        <w:rPr>
          <w:color w:val="000000" w:themeColor="text1"/>
          <w:lang w:val="es-ES"/>
        </w:rPr>
        <w:t>5(b), 5(e</w:t>
      </w:r>
      <w:proofErr w:type="gramStart"/>
      <w:r w:rsidRPr="00762DFB">
        <w:rPr>
          <w:color w:val="000000" w:themeColor="text1"/>
          <w:lang w:val="es-ES"/>
        </w:rPr>
        <w:t>)(</w:t>
      </w:r>
      <w:proofErr w:type="gramEnd"/>
      <w:r w:rsidRPr="00762DFB">
        <w:rPr>
          <w:color w:val="000000" w:themeColor="text1"/>
          <w:lang w:val="es-ES"/>
        </w:rPr>
        <w:t>i), 5(e)(ii), 5(e)(iv)</w:t>
      </w:r>
    </w:p>
    <w:p w14:paraId="7E6ADE8E" w14:textId="0236D15E" w:rsidR="006132CB" w:rsidRPr="00762DFB" w:rsidRDefault="006132CB" w:rsidP="006132CB">
      <w:pPr>
        <w:pStyle w:val="ListParagraph"/>
        <w:ind w:left="0"/>
        <w:rPr>
          <w:color w:val="000000" w:themeColor="text1"/>
          <w:lang w:val="es-ES"/>
        </w:rPr>
      </w:pPr>
    </w:p>
    <w:p w14:paraId="5511660F" w14:textId="18450DC1" w:rsidR="006132CB" w:rsidRDefault="006132CB" w:rsidP="009F5B11">
      <w:pPr>
        <w:pStyle w:val="ListParagraph"/>
        <w:ind w:left="0"/>
        <w:rPr>
          <w:color w:val="000000" w:themeColor="text1"/>
        </w:rPr>
      </w:pPr>
      <w:r>
        <w:rPr>
          <w:b/>
          <w:i/>
          <w:color w:val="000000" w:themeColor="text1"/>
        </w:rPr>
        <w:t xml:space="preserve">Recommendations: </w:t>
      </w:r>
      <w:r>
        <w:rPr>
          <w:color w:val="000000" w:themeColor="text1"/>
        </w:rPr>
        <w:t xml:space="preserve">We ask that the Committee recommend that federal and provincial governments increase protection for vulnerable migrant workers, including through: 1) </w:t>
      </w:r>
      <w:r w:rsidRPr="00A179B5">
        <w:rPr>
          <w:color w:val="000000" w:themeColor="text1"/>
        </w:rPr>
        <w:t>provision of p</w:t>
      </w:r>
      <w:r>
        <w:rPr>
          <w:color w:val="000000" w:themeColor="text1"/>
        </w:rPr>
        <w:t>ermanent residency upon arrival; 2)</w:t>
      </w:r>
      <w:r w:rsidRPr="00A179B5">
        <w:rPr>
          <w:color w:val="000000" w:themeColor="text1"/>
        </w:rPr>
        <w:t xml:space="preserve"> access to social entit</w:t>
      </w:r>
      <w:r>
        <w:rPr>
          <w:color w:val="000000" w:themeColor="text1"/>
        </w:rPr>
        <w:t>lements; 3)</w:t>
      </w:r>
      <w:r w:rsidRPr="00A179B5">
        <w:rPr>
          <w:color w:val="000000" w:themeColor="text1"/>
        </w:rPr>
        <w:t xml:space="preserve"> incorporation of </w:t>
      </w:r>
      <w:r>
        <w:rPr>
          <w:color w:val="000000" w:themeColor="text1"/>
        </w:rPr>
        <w:t>domestic and agricultural</w:t>
      </w:r>
      <w:r w:rsidRPr="00A179B5">
        <w:rPr>
          <w:color w:val="000000" w:themeColor="text1"/>
        </w:rPr>
        <w:t xml:space="preserve"> workers into the </w:t>
      </w:r>
      <w:r w:rsidRPr="00A179B5">
        <w:rPr>
          <w:i/>
          <w:color w:val="000000" w:themeColor="text1"/>
        </w:rPr>
        <w:t>Labour Relations Act</w:t>
      </w:r>
      <w:r>
        <w:rPr>
          <w:color w:val="000000" w:themeColor="text1"/>
        </w:rPr>
        <w:t>,</w:t>
      </w:r>
      <w:r w:rsidRPr="00A179B5">
        <w:rPr>
          <w:color w:val="000000" w:themeColor="text1"/>
        </w:rPr>
        <w:t xml:space="preserve"> increased support for collective organizing and bargaining of workers in</w:t>
      </w:r>
      <w:r>
        <w:rPr>
          <w:color w:val="000000" w:themeColor="text1"/>
        </w:rPr>
        <w:t xml:space="preserve"> vulnerable and precarious work; 4) </w:t>
      </w:r>
      <w:r w:rsidRPr="00A179B5">
        <w:rPr>
          <w:color w:val="000000" w:themeColor="text1"/>
        </w:rPr>
        <w:t xml:space="preserve">establishment of a robust model for enforcing the </w:t>
      </w:r>
      <w:r w:rsidRPr="00A179B5">
        <w:rPr>
          <w:i/>
          <w:color w:val="000000" w:themeColor="text1"/>
        </w:rPr>
        <w:t>Employment Standards Act</w:t>
      </w:r>
      <w:r w:rsidR="009F5B11">
        <w:rPr>
          <w:color w:val="000000" w:themeColor="text1"/>
        </w:rPr>
        <w:t xml:space="preserve">, </w:t>
      </w:r>
      <w:r w:rsidRPr="00A179B5">
        <w:rPr>
          <w:color w:val="000000" w:themeColor="text1"/>
        </w:rPr>
        <w:t xml:space="preserve">including </w:t>
      </w:r>
      <w:r w:rsidR="00F65B18">
        <w:rPr>
          <w:color w:val="000000" w:themeColor="text1"/>
        </w:rPr>
        <w:t xml:space="preserve">mandating </w:t>
      </w:r>
      <w:r w:rsidR="003F0ACF">
        <w:rPr>
          <w:color w:val="000000" w:themeColor="text1"/>
        </w:rPr>
        <w:t>D</w:t>
      </w:r>
      <w:r w:rsidR="00F65B18">
        <w:rPr>
          <w:color w:val="000000" w:themeColor="text1"/>
        </w:rPr>
        <w:t>irectors’ liability for unpaid wages, implementing an anonymous tip line that provides leads for inspection,</w:t>
      </w:r>
      <w:r w:rsidRPr="00A179B5">
        <w:rPr>
          <w:color w:val="000000" w:themeColor="text1"/>
        </w:rPr>
        <w:t xml:space="preserve"> expedition of reprisal investigations</w:t>
      </w:r>
      <w:r w:rsidR="00F65B18">
        <w:rPr>
          <w:color w:val="000000" w:themeColor="text1"/>
        </w:rPr>
        <w:t xml:space="preserve">, </w:t>
      </w:r>
      <w:r w:rsidR="009F2CDB">
        <w:rPr>
          <w:color w:val="000000" w:themeColor="text1"/>
        </w:rPr>
        <w:t xml:space="preserve">granting workers </w:t>
      </w:r>
      <w:r w:rsidR="003F0ACF">
        <w:rPr>
          <w:color w:val="000000" w:themeColor="text1"/>
        </w:rPr>
        <w:t>the right to remain in Canada in the event of an injury to obtain medical treatment and healthcare as well as full access to eligible Workers Compensation benefits</w:t>
      </w:r>
      <w:r w:rsidR="00771022">
        <w:rPr>
          <w:color w:val="000000" w:themeColor="text1"/>
        </w:rPr>
        <w:t xml:space="preserve">; 5) inclusion of migrant workers in government consultations on all programs implicating temporary migrant labour; 6) adoption of the </w:t>
      </w:r>
      <w:r w:rsidR="00771022">
        <w:rPr>
          <w:i/>
          <w:color w:val="000000" w:themeColor="text1"/>
        </w:rPr>
        <w:t xml:space="preserve">International Convention on the Protection of the Rights of All Migrant Workers and Members of their Families; </w:t>
      </w:r>
      <w:r w:rsidR="00771022">
        <w:rPr>
          <w:color w:val="000000" w:themeColor="text1"/>
        </w:rPr>
        <w:t>and 6)</w:t>
      </w:r>
      <w:r w:rsidR="00646EA8">
        <w:rPr>
          <w:color w:val="000000" w:themeColor="text1"/>
        </w:rPr>
        <w:t xml:space="preserve"> </w:t>
      </w:r>
      <w:r w:rsidR="00771022">
        <w:rPr>
          <w:color w:val="000000" w:themeColor="text1"/>
        </w:rPr>
        <w:t>implementation of</w:t>
      </w:r>
      <w:r w:rsidR="00EB6A7F">
        <w:rPr>
          <w:color w:val="000000" w:themeColor="text1"/>
        </w:rPr>
        <w:t xml:space="preserve"> the recommendations from the Changing Workplace Review</w:t>
      </w:r>
      <w:r w:rsidR="009F5B11">
        <w:rPr>
          <w:color w:val="000000" w:themeColor="text1"/>
        </w:rPr>
        <w:t>, particularly regarding inclusion of domestic and agricultural workers in existing labour and employment regimes.</w:t>
      </w:r>
    </w:p>
    <w:p w14:paraId="346C94A6" w14:textId="77777777" w:rsidR="009753C1" w:rsidRDefault="009753C1" w:rsidP="009F5B11">
      <w:pPr>
        <w:pStyle w:val="ListParagraph"/>
        <w:ind w:left="0"/>
        <w:rPr>
          <w:b/>
          <w:color w:val="000000" w:themeColor="text1"/>
        </w:rPr>
      </w:pPr>
    </w:p>
    <w:p w14:paraId="01A2AAB6" w14:textId="77777777" w:rsidR="004D4AD2" w:rsidRDefault="004D4AD2" w:rsidP="009F5B11">
      <w:pPr>
        <w:pStyle w:val="ListParagraph"/>
        <w:ind w:left="0"/>
        <w:rPr>
          <w:b/>
          <w:color w:val="000000" w:themeColor="text1"/>
        </w:rPr>
      </w:pPr>
    </w:p>
    <w:p w14:paraId="36EB51CF" w14:textId="00693376" w:rsidR="009753C1" w:rsidRDefault="006132CB" w:rsidP="003F0ACF">
      <w:pPr>
        <w:pStyle w:val="ListParagraph"/>
        <w:ind w:left="0"/>
        <w:rPr>
          <w:b/>
          <w:color w:val="000000" w:themeColor="text1"/>
          <w:u w:val="single"/>
        </w:rPr>
      </w:pPr>
      <w:r w:rsidRPr="003F0ACF">
        <w:rPr>
          <w:b/>
          <w:color w:val="000000" w:themeColor="text1"/>
          <w:u w:val="single"/>
        </w:rPr>
        <w:t>Issue Four: Family Class Immigration Reforms and Spousal Sponsorship</w:t>
      </w:r>
    </w:p>
    <w:p w14:paraId="2C2D5B5D" w14:textId="77777777" w:rsidR="009F2CDB" w:rsidRPr="00C34653" w:rsidRDefault="009F2CDB" w:rsidP="003F0ACF">
      <w:pPr>
        <w:pStyle w:val="ListParagraph"/>
        <w:ind w:left="0"/>
      </w:pPr>
    </w:p>
    <w:p w14:paraId="6D29920F" w14:textId="63963059" w:rsidR="006132CB" w:rsidRDefault="006132CB" w:rsidP="006132CB">
      <w:pPr>
        <w:pStyle w:val="ListParagraph"/>
        <w:numPr>
          <w:ilvl w:val="0"/>
          <w:numId w:val="22"/>
        </w:numPr>
      </w:pPr>
      <w:r>
        <w:t>Recent reforms to family class immigration</w:t>
      </w:r>
      <w:r w:rsidR="004800A7">
        <w:t xml:space="preserve"> </w:t>
      </w:r>
      <w:r w:rsidR="004800A7" w:rsidRPr="0021026C">
        <w:t>for parents and grandparents</w:t>
      </w:r>
      <w:r>
        <w:t xml:space="preserve"> include a</w:t>
      </w:r>
      <w:r w:rsidR="001D4E32">
        <w:t>n annual</w:t>
      </w:r>
      <w:r>
        <w:t xml:space="preserve"> cap of 10,000 on applicants</w:t>
      </w:r>
      <w:r w:rsidR="00981B30">
        <w:t xml:space="preserve"> and </w:t>
      </w:r>
      <w:r w:rsidR="00CB5EFE">
        <w:t>significant</w:t>
      </w:r>
      <w:r w:rsidR="00981B30">
        <w:t xml:space="preserve">ly stricter </w:t>
      </w:r>
      <w:r>
        <w:t>minimum annual income requirement</w:t>
      </w:r>
      <w:r w:rsidR="00981B30">
        <w:t>s</w:t>
      </w:r>
      <w:r>
        <w:t xml:space="preserve"> </w:t>
      </w:r>
      <w:r w:rsidR="004800A7" w:rsidRPr="0021026C">
        <w:t>for their sponsors</w:t>
      </w:r>
      <w:r>
        <w:t>.</w:t>
      </w:r>
      <w:r>
        <w:rPr>
          <w:rStyle w:val="FootnoteReference"/>
        </w:rPr>
        <w:footnoteReference w:id="36"/>
      </w:r>
      <w:r>
        <w:t xml:space="preserve"> Since racialized Canadians have systemically poorer labour market outcomes than White Canadians,</w:t>
      </w:r>
      <w:r w:rsidR="004800A7">
        <w:t xml:space="preserve"> </w:t>
      </w:r>
      <w:r w:rsidR="004800A7" w:rsidRPr="0021026C">
        <w:t>and since the vast majority of these family class immigrants come from India, China and other countries in the Global South,</w:t>
      </w:r>
      <w:r>
        <w:t xml:space="preserve"> the changes will disproportionately impede reunification of </w:t>
      </w:r>
      <w:r w:rsidR="001D4E32">
        <w:t xml:space="preserve">such </w:t>
      </w:r>
      <w:r>
        <w:t>racialized families.</w:t>
      </w:r>
      <w:r>
        <w:rPr>
          <w:rStyle w:val="FootnoteReference"/>
        </w:rPr>
        <w:footnoteReference w:id="37"/>
      </w:r>
    </w:p>
    <w:p w14:paraId="6ED529A8" w14:textId="77777777" w:rsidR="006132CB" w:rsidRPr="007F7240" w:rsidRDefault="006132CB" w:rsidP="006132CB">
      <w:pPr>
        <w:pStyle w:val="ListParagraph"/>
        <w:ind w:left="0"/>
      </w:pPr>
    </w:p>
    <w:p w14:paraId="02ABF491" w14:textId="3D84D672" w:rsidR="006132CB" w:rsidRPr="005C51D5" w:rsidRDefault="006132CB" w:rsidP="006132CB">
      <w:pPr>
        <w:pStyle w:val="ListParagraph"/>
        <w:numPr>
          <w:ilvl w:val="0"/>
          <w:numId w:val="22"/>
        </w:numPr>
        <w:rPr>
          <w:color w:val="000000" w:themeColor="text1"/>
        </w:rPr>
      </w:pPr>
      <w:r w:rsidRPr="00A179B5">
        <w:rPr>
          <w:color w:val="000000" w:themeColor="text1"/>
        </w:rPr>
        <w:t xml:space="preserve">The government’s cancellation of the two-year co-habitation requirement for spousal sponsorships – which was ostensibly to detect marriage fraud, but created pressure on women to remain in abusive domestic situations – is </w:t>
      </w:r>
      <w:r w:rsidR="001D4E32">
        <w:rPr>
          <w:color w:val="000000" w:themeColor="text1"/>
        </w:rPr>
        <w:t>very welcome</w:t>
      </w:r>
      <w:r w:rsidRPr="00A179B5">
        <w:rPr>
          <w:color w:val="000000" w:themeColor="text1"/>
        </w:rPr>
        <w:t xml:space="preserve">. However, the government’s accompanying promise that it is “doubly committed” to detecting fake marriages with stringent screening procedures threatens to exacerbate racial discrimination against </w:t>
      </w:r>
      <w:r w:rsidR="00CB5EFE">
        <w:rPr>
          <w:color w:val="000000" w:themeColor="text1"/>
        </w:rPr>
        <w:t>im</w:t>
      </w:r>
      <w:r w:rsidRPr="00A179B5">
        <w:rPr>
          <w:color w:val="000000" w:themeColor="text1"/>
        </w:rPr>
        <w:t>migrants from regions stereotyped as sources of marriages of convenience (</w:t>
      </w:r>
      <w:r w:rsidR="001D4E32">
        <w:rPr>
          <w:color w:val="000000" w:themeColor="text1"/>
        </w:rPr>
        <w:t xml:space="preserve">ie. </w:t>
      </w:r>
      <w:r w:rsidRPr="00A179B5">
        <w:rPr>
          <w:color w:val="000000" w:themeColor="text1"/>
        </w:rPr>
        <w:t>Asia and Africa)</w:t>
      </w:r>
      <w:r w:rsidRPr="00A179B5">
        <w:rPr>
          <w:rStyle w:val="FootnoteReference"/>
          <w:color w:val="000000" w:themeColor="text1"/>
        </w:rPr>
        <w:footnoteReference w:id="38"/>
      </w:r>
      <w:r w:rsidRPr="00A179B5">
        <w:rPr>
          <w:color w:val="000000" w:themeColor="text1"/>
        </w:rPr>
        <w:t xml:space="preserve"> – including through reliance on discriminatory and ethno</w:t>
      </w:r>
      <w:r w:rsidR="001D4E32">
        <w:rPr>
          <w:color w:val="000000" w:themeColor="text1"/>
        </w:rPr>
        <w:t>-specif</w:t>
      </w:r>
      <w:r w:rsidRPr="00A179B5">
        <w:rPr>
          <w:color w:val="000000" w:themeColor="text1"/>
        </w:rPr>
        <w:t xml:space="preserve">ic </w:t>
      </w:r>
      <w:r w:rsidR="001D4E32">
        <w:rPr>
          <w:color w:val="000000" w:themeColor="text1"/>
        </w:rPr>
        <w:t xml:space="preserve">like </w:t>
      </w:r>
      <w:r w:rsidRPr="00A179B5">
        <w:rPr>
          <w:color w:val="000000" w:themeColor="text1"/>
        </w:rPr>
        <w:t>criteria for distinguishing fraudulent marriages from authentic ones.</w:t>
      </w:r>
      <w:r w:rsidRPr="00A179B5">
        <w:rPr>
          <w:rStyle w:val="FootnoteReference"/>
          <w:color w:val="000000" w:themeColor="text1"/>
        </w:rPr>
        <w:footnoteReference w:id="39"/>
      </w:r>
      <w:r w:rsidRPr="00A179B5">
        <w:rPr>
          <w:color w:val="000000" w:themeColor="text1"/>
        </w:rPr>
        <w:t xml:space="preserve"> </w:t>
      </w:r>
    </w:p>
    <w:p w14:paraId="19D20CC2" w14:textId="77777777" w:rsidR="006132CB" w:rsidRPr="005C51D5" w:rsidRDefault="006132CB" w:rsidP="006132CB">
      <w:pPr>
        <w:pStyle w:val="ListParagraph"/>
        <w:rPr>
          <w:color w:val="000000" w:themeColor="text1"/>
        </w:rPr>
      </w:pPr>
    </w:p>
    <w:p w14:paraId="2A403D28" w14:textId="42B10F72" w:rsidR="006132CB" w:rsidRPr="00CA6319" w:rsidRDefault="006132CB" w:rsidP="006132CB">
      <w:pPr>
        <w:pStyle w:val="ListParagraph"/>
        <w:ind w:left="0"/>
        <w:rPr>
          <w:color w:val="000000" w:themeColor="text1"/>
          <w:lang w:val="fr-CA"/>
        </w:rPr>
      </w:pPr>
      <w:r w:rsidRPr="00CA6319">
        <w:rPr>
          <w:b/>
          <w:i/>
          <w:color w:val="000000" w:themeColor="text1"/>
          <w:lang w:val="fr-CA"/>
        </w:rPr>
        <w:t xml:space="preserve">Relevant Articles: </w:t>
      </w:r>
      <w:r w:rsidRPr="00CA6319">
        <w:rPr>
          <w:color w:val="000000" w:themeColor="text1"/>
          <w:lang w:val="fr-CA"/>
        </w:rPr>
        <w:t>5(d</w:t>
      </w:r>
      <w:proofErr w:type="gramStart"/>
      <w:r w:rsidRPr="00CA6319">
        <w:rPr>
          <w:color w:val="000000" w:themeColor="text1"/>
          <w:lang w:val="fr-CA"/>
        </w:rPr>
        <w:t>)(</w:t>
      </w:r>
      <w:proofErr w:type="gramEnd"/>
      <w:r w:rsidRPr="00CA6319">
        <w:rPr>
          <w:color w:val="000000" w:themeColor="text1"/>
          <w:lang w:val="fr-CA"/>
        </w:rPr>
        <w:t>iv), 5(e)</w:t>
      </w:r>
    </w:p>
    <w:p w14:paraId="7D76E75E" w14:textId="7BC7BE41" w:rsidR="006132CB" w:rsidRDefault="006132CB" w:rsidP="006132CB">
      <w:pPr>
        <w:spacing w:before="240"/>
        <w:rPr>
          <w:b/>
          <w:i/>
          <w:color w:val="000000" w:themeColor="text1"/>
        </w:rPr>
      </w:pPr>
      <w:r w:rsidRPr="00A179B5">
        <w:rPr>
          <w:b/>
          <w:i/>
          <w:color w:val="000000" w:themeColor="text1"/>
        </w:rPr>
        <w:t>Recommendations</w:t>
      </w:r>
      <w:r>
        <w:rPr>
          <w:b/>
          <w:i/>
          <w:color w:val="000000" w:themeColor="text1"/>
        </w:rPr>
        <w:t xml:space="preserve">: </w:t>
      </w:r>
      <w:r>
        <w:rPr>
          <w:color w:val="000000" w:themeColor="text1"/>
        </w:rPr>
        <w:t>We ask that the Committee recommend that Canada: 1) repeal the</w:t>
      </w:r>
      <w:r w:rsidR="00CB5EFE">
        <w:rPr>
          <w:color w:val="000000" w:themeColor="text1"/>
        </w:rPr>
        <w:t xml:space="preserve"> application</w:t>
      </w:r>
      <w:r>
        <w:rPr>
          <w:color w:val="000000" w:themeColor="text1"/>
        </w:rPr>
        <w:t xml:space="preserve"> cap and minimum income requirement for </w:t>
      </w:r>
      <w:r w:rsidR="00CB5EFE">
        <w:rPr>
          <w:color w:val="000000" w:themeColor="text1"/>
        </w:rPr>
        <w:t>sponsorship of parents and grandparents</w:t>
      </w:r>
      <w:r>
        <w:rPr>
          <w:color w:val="000000" w:themeColor="text1"/>
        </w:rPr>
        <w:t xml:space="preserve">; and 2) evaluate the impacts of immigration policies (including regarding spousal sponsorship) on racialized communities, and adopt measures to mitigate </w:t>
      </w:r>
      <w:r w:rsidR="001D4E32">
        <w:rPr>
          <w:color w:val="000000" w:themeColor="text1"/>
        </w:rPr>
        <w:t>ethno-</w:t>
      </w:r>
      <w:r>
        <w:rPr>
          <w:color w:val="000000" w:themeColor="text1"/>
        </w:rPr>
        <w:t>racially-disparate effects.</w:t>
      </w:r>
    </w:p>
    <w:p w14:paraId="18110EF1" w14:textId="77777777" w:rsidR="009753C1" w:rsidRDefault="009753C1" w:rsidP="006132CB">
      <w:pPr>
        <w:pStyle w:val="Heading1"/>
        <w:spacing w:after="240"/>
        <w:rPr>
          <w:rFonts w:ascii="Times New Roman" w:hAnsi="Times New Roman" w:cs="Times New Roman"/>
          <w:b/>
          <w:color w:val="000000" w:themeColor="text1"/>
          <w:sz w:val="24"/>
          <w:szCs w:val="24"/>
          <w:u w:val="single"/>
        </w:rPr>
      </w:pPr>
    </w:p>
    <w:p w14:paraId="2555B257" w14:textId="040D3A2E" w:rsidR="009753C1" w:rsidRPr="003F0ACF" w:rsidRDefault="006132CB" w:rsidP="003F0ACF">
      <w:pPr>
        <w:pStyle w:val="ListParagraph"/>
        <w:spacing w:before="240"/>
        <w:ind w:left="0"/>
        <w:rPr>
          <w:color w:val="000000" w:themeColor="text1"/>
        </w:rPr>
      </w:pPr>
      <w:r w:rsidRPr="003F0ACF">
        <w:rPr>
          <w:b/>
          <w:color w:val="000000" w:themeColor="text1"/>
          <w:u w:val="single"/>
        </w:rPr>
        <w:t>Issue Five: Restrictive Asylum Laws and Policies</w:t>
      </w:r>
    </w:p>
    <w:p w14:paraId="1BB73B7B" w14:textId="0203FAEB" w:rsidR="006132CB" w:rsidRPr="00094CB8" w:rsidRDefault="006132CB" w:rsidP="006132CB">
      <w:pPr>
        <w:rPr>
          <w:b/>
          <w:i/>
        </w:rPr>
      </w:pPr>
      <w:r>
        <w:rPr>
          <w:b/>
          <w:i/>
        </w:rPr>
        <w:t>Safe Third Country Agreement</w:t>
      </w:r>
    </w:p>
    <w:p w14:paraId="5F71A3F7" w14:textId="6C8FCCC1" w:rsidR="006132CB" w:rsidRDefault="006132CB" w:rsidP="006132CB">
      <w:pPr>
        <w:pStyle w:val="ListParagraph"/>
        <w:numPr>
          <w:ilvl w:val="0"/>
          <w:numId w:val="19"/>
        </w:numPr>
        <w:spacing w:before="240" w:after="0"/>
        <w:rPr>
          <w:color w:val="000000" w:themeColor="text1"/>
        </w:rPr>
      </w:pPr>
      <w:r w:rsidRPr="00A179B5">
        <w:rPr>
          <w:color w:val="000000" w:themeColor="text1"/>
        </w:rPr>
        <w:t xml:space="preserve">The 2004 </w:t>
      </w:r>
      <w:r w:rsidRPr="00A179B5">
        <w:rPr>
          <w:i/>
          <w:color w:val="000000" w:themeColor="text1"/>
        </w:rPr>
        <w:t xml:space="preserve">Safe Third Country Agreement </w:t>
      </w:r>
      <w:r w:rsidRPr="00A179B5">
        <w:rPr>
          <w:color w:val="000000" w:themeColor="text1"/>
        </w:rPr>
        <w:t>(STCA)</w:t>
      </w:r>
      <w:r w:rsidRPr="00A179B5">
        <w:rPr>
          <w:i/>
          <w:color w:val="000000" w:themeColor="text1"/>
        </w:rPr>
        <w:t xml:space="preserve"> </w:t>
      </w:r>
      <w:r w:rsidRPr="00A179B5">
        <w:rPr>
          <w:color w:val="000000" w:themeColor="text1"/>
        </w:rPr>
        <w:t>between Canada and the United States generally precludes refugees</w:t>
      </w:r>
      <w:r>
        <w:rPr>
          <w:color w:val="000000" w:themeColor="text1"/>
        </w:rPr>
        <w:t xml:space="preserve"> entering the country from the US from claiming asylum in Canada</w:t>
      </w:r>
      <w:r w:rsidR="00671D81">
        <w:rPr>
          <w:color w:val="000000" w:themeColor="text1"/>
        </w:rPr>
        <w:t xml:space="preserve"> at </w:t>
      </w:r>
      <w:r w:rsidR="003F0ACF">
        <w:rPr>
          <w:color w:val="000000" w:themeColor="text1"/>
        </w:rPr>
        <w:t>regulated</w:t>
      </w:r>
      <w:r w:rsidR="00671D81">
        <w:rPr>
          <w:color w:val="000000" w:themeColor="text1"/>
        </w:rPr>
        <w:t xml:space="preserve"> points of entry</w:t>
      </w:r>
      <w:r w:rsidRPr="00A179B5">
        <w:rPr>
          <w:color w:val="000000" w:themeColor="text1"/>
        </w:rPr>
        <w:t>.</w:t>
      </w:r>
      <w:r w:rsidRPr="00A179B5">
        <w:rPr>
          <w:rStyle w:val="FootnoteReference"/>
          <w:color w:val="000000" w:themeColor="text1"/>
        </w:rPr>
        <w:footnoteReference w:id="40"/>
      </w:r>
      <w:r>
        <w:rPr>
          <w:color w:val="000000" w:themeColor="text1"/>
        </w:rPr>
        <w:t xml:space="preserve"> The recent introduction of increasingly discriminatory policies in the United States has produced a sharp rise</w:t>
      </w:r>
      <w:r w:rsidRPr="00A179B5">
        <w:rPr>
          <w:color w:val="000000" w:themeColor="text1"/>
        </w:rPr>
        <w:t xml:space="preserve"> in asylum</w:t>
      </w:r>
      <w:r>
        <w:rPr>
          <w:color w:val="000000" w:themeColor="text1"/>
        </w:rPr>
        <w:t xml:space="preserve"> seekers</w:t>
      </w:r>
      <w:r w:rsidR="00671D81">
        <w:rPr>
          <w:color w:val="000000" w:themeColor="text1"/>
        </w:rPr>
        <w:t xml:space="preserve"> who, because of the restrictions in the STCA,</w:t>
      </w:r>
      <w:r>
        <w:rPr>
          <w:color w:val="000000" w:themeColor="text1"/>
        </w:rPr>
        <w:t xml:space="preserve"> attempt to enter Canada</w:t>
      </w:r>
      <w:r w:rsidRPr="00A179B5">
        <w:rPr>
          <w:color w:val="000000" w:themeColor="text1"/>
        </w:rPr>
        <w:t xml:space="preserve"> through irregular border crossings, often under dangerous or life-threatening conditions.</w:t>
      </w:r>
      <w:r w:rsidRPr="00A179B5">
        <w:rPr>
          <w:rStyle w:val="FootnoteReference"/>
          <w:color w:val="000000" w:themeColor="text1"/>
        </w:rPr>
        <w:footnoteReference w:id="41"/>
      </w:r>
      <w:r w:rsidRPr="00A179B5">
        <w:rPr>
          <w:color w:val="000000" w:themeColor="text1"/>
        </w:rPr>
        <w:t xml:space="preserve"> </w:t>
      </w:r>
    </w:p>
    <w:p w14:paraId="25AC231C" w14:textId="77777777" w:rsidR="006132CB" w:rsidRDefault="006132CB" w:rsidP="006132CB">
      <w:pPr>
        <w:pStyle w:val="ListParagraph"/>
        <w:spacing w:before="240" w:after="0"/>
        <w:ind w:left="0"/>
        <w:rPr>
          <w:color w:val="000000" w:themeColor="text1"/>
        </w:rPr>
      </w:pPr>
    </w:p>
    <w:p w14:paraId="57CB9D9F" w14:textId="3CADCE0E" w:rsidR="006132CB" w:rsidRPr="00E42818" w:rsidRDefault="006132CB" w:rsidP="006132CB">
      <w:pPr>
        <w:pStyle w:val="ListParagraph"/>
        <w:numPr>
          <w:ilvl w:val="0"/>
          <w:numId w:val="19"/>
        </w:numPr>
        <w:spacing w:before="240" w:after="0"/>
        <w:rPr>
          <w:color w:val="000000" w:themeColor="text1"/>
        </w:rPr>
      </w:pPr>
      <w:r w:rsidRPr="00E42818">
        <w:rPr>
          <w:color w:val="000000" w:themeColor="text1"/>
          <w:shd w:val="clear" w:color="auto" w:fill="FFFFFF"/>
        </w:rPr>
        <w:t>The designation of the United States as a “safe third country” had been overturned by a Federal Court judge in 2007, but this decision was reversed on procedural grounds by the Federal Court of Appeal in 2008.</w:t>
      </w:r>
      <w:r w:rsidRPr="00A179B5">
        <w:rPr>
          <w:rStyle w:val="FootnoteReference"/>
          <w:color w:val="000000" w:themeColor="text1"/>
          <w:shd w:val="clear" w:color="auto" w:fill="FFFFFF"/>
        </w:rPr>
        <w:footnoteReference w:id="42"/>
      </w:r>
      <w:r w:rsidRPr="00E42818">
        <w:rPr>
          <w:color w:val="000000" w:themeColor="text1"/>
          <w:shd w:val="clear" w:color="auto" w:fill="FFFFFF"/>
        </w:rPr>
        <w:t xml:space="preserve"> Migrant justice and human rights organizations have renewed their calls for Canada to withdraw from the Agreement in the wake of the US election. However, </w:t>
      </w:r>
      <w:r w:rsidR="001D4E32">
        <w:rPr>
          <w:color w:val="000000" w:themeColor="text1"/>
          <w:shd w:val="clear" w:color="auto" w:fill="FFFFFF"/>
        </w:rPr>
        <w:t xml:space="preserve">to this point </w:t>
      </w:r>
      <w:r w:rsidRPr="00E42818">
        <w:rPr>
          <w:color w:val="000000" w:themeColor="text1"/>
          <w:shd w:val="clear" w:color="auto" w:fill="FFFFFF"/>
        </w:rPr>
        <w:t>the Canadian government has refused to revoke the STCA, and Canada has reportedly been sharing information on asylum seekers with US authorities.</w:t>
      </w:r>
      <w:r w:rsidRPr="00A179B5">
        <w:rPr>
          <w:rStyle w:val="FootnoteReference"/>
          <w:color w:val="000000" w:themeColor="text1"/>
          <w:shd w:val="clear" w:color="auto" w:fill="FFFFFF"/>
        </w:rPr>
        <w:footnoteReference w:id="43"/>
      </w:r>
      <w:r w:rsidRPr="00E42818">
        <w:rPr>
          <w:color w:val="000000" w:themeColor="text1"/>
          <w:shd w:val="clear" w:color="auto" w:fill="FFFFFF"/>
        </w:rPr>
        <w:t xml:space="preserve"> </w:t>
      </w:r>
    </w:p>
    <w:p w14:paraId="396ABC4C" w14:textId="77777777" w:rsidR="006132CB" w:rsidRPr="003B28CC" w:rsidRDefault="006132CB" w:rsidP="006132CB">
      <w:pPr>
        <w:pStyle w:val="ListParagraph"/>
        <w:rPr>
          <w:color w:val="000000" w:themeColor="text1"/>
        </w:rPr>
      </w:pPr>
    </w:p>
    <w:p w14:paraId="4EC679CA" w14:textId="77777777" w:rsidR="006132CB" w:rsidRPr="003B28CC" w:rsidRDefault="006132CB" w:rsidP="006132CB">
      <w:pPr>
        <w:pStyle w:val="ListParagraph"/>
        <w:spacing w:before="240" w:after="0"/>
        <w:ind w:left="0"/>
        <w:rPr>
          <w:b/>
          <w:i/>
          <w:color w:val="000000" w:themeColor="text1"/>
        </w:rPr>
      </w:pPr>
      <w:r>
        <w:rPr>
          <w:b/>
          <w:i/>
          <w:color w:val="000000" w:themeColor="text1"/>
        </w:rPr>
        <w:t>Designated Countries of Origin</w:t>
      </w:r>
    </w:p>
    <w:p w14:paraId="2F3B0D7B" w14:textId="77777777" w:rsidR="006132CB" w:rsidRPr="00A179B5" w:rsidRDefault="006132CB" w:rsidP="006132CB">
      <w:pPr>
        <w:pStyle w:val="ListParagraph"/>
        <w:spacing w:before="240" w:after="0"/>
        <w:ind w:left="0"/>
        <w:rPr>
          <w:color w:val="000000" w:themeColor="text1"/>
        </w:rPr>
      </w:pPr>
    </w:p>
    <w:p w14:paraId="0780EC06" w14:textId="63AEECBD" w:rsidR="006132CB" w:rsidRDefault="006132CB" w:rsidP="006132CB">
      <w:pPr>
        <w:pStyle w:val="ListParagraph"/>
        <w:numPr>
          <w:ilvl w:val="0"/>
          <w:numId w:val="19"/>
        </w:numPr>
        <w:spacing w:before="240" w:after="0"/>
        <w:rPr>
          <w:color w:val="000000" w:themeColor="text1"/>
        </w:rPr>
      </w:pPr>
      <w:r w:rsidRPr="00A179B5">
        <w:rPr>
          <w:color w:val="000000" w:themeColor="text1"/>
        </w:rPr>
        <w:t xml:space="preserve">Canada’s Designated Countries of Origin (DCO) scheme, implemented in 2012, discriminates between refugee claimants on the basis of </w:t>
      </w:r>
      <w:r w:rsidR="001D4E32">
        <w:rPr>
          <w:color w:val="000000" w:themeColor="text1"/>
        </w:rPr>
        <w:t xml:space="preserve">their respective </w:t>
      </w:r>
      <w:r w:rsidRPr="00A179B5">
        <w:rPr>
          <w:color w:val="000000" w:themeColor="text1"/>
        </w:rPr>
        <w:t>countr</w:t>
      </w:r>
      <w:r w:rsidR="001D4E32">
        <w:rPr>
          <w:color w:val="000000" w:themeColor="text1"/>
        </w:rPr>
        <w:t>ies</w:t>
      </w:r>
      <w:r w:rsidRPr="00A179B5">
        <w:rPr>
          <w:color w:val="000000" w:themeColor="text1"/>
        </w:rPr>
        <w:t xml:space="preserve"> of origin. Claimants from countries deemed “safe” by the Minister of Citizenship and Immigration have half the time given other claimants – only 30 days – to prepare for their hearings, compromising their ability to gather evidence and engage legal support.</w:t>
      </w:r>
      <w:r w:rsidRPr="00A179B5">
        <w:rPr>
          <w:rStyle w:val="FootnoteReference"/>
          <w:color w:val="000000" w:themeColor="text1"/>
        </w:rPr>
        <w:footnoteReference w:id="44"/>
      </w:r>
      <w:r w:rsidRPr="00A179B5">
        <w:rPr>
          <w:color w:val="000000" w:themeColor="text1"/>
        </w:rPr>
        <w:t xml:space="preserve"> </w:t>
      </w:r>
    </w:p>
    <w:p w14:paraId="77EB4877" w14:textId="77777777" w:rsidR="006132CB" w:rsidRDefault="006132CB" w:rsidP="006132CB">
      <w:pPr>
        <w:pStyle w:val="ListParagraph"/>
        <w:spacing w:before="240" w:after="0"/>
        <w:ind w:left="0"/>
        <w:rPr>
          <w:color w:val="000000" w:themeColor="text1"/>
        </w:rPr>
      </w:pPr>
    </w:p>
    <w:p w14:paraId="1847F678" w14:textId="04D22D9F" w:rsidR="006132CB" w:rsidRPr="003B28CC" w:rsidRDefault="006132CB" w:rsidP="006132CB">
      <w:pPr>
        <w:pStyle w:val="ListParagraph"/>
        <w:numPr>
          <w:ilvl w:val="0"/>
          <w:numId w:val="19"/>
        </w:numPr>
        <w:spacing w:before="240" w:after="0"/>
        <w:rPr>
          <w:color w:val="000000" w:themeColor="text1"/>
        </w:rPr>
      </w:pPr>
      <w:r w:rsidRPr="00A179B5">
        <w:rPr>
          <w:color w:val="000000" w:themeColor="text1"/>
          <w:shd w:val="clear" w:color="auto" w:fill="FFFFFF"/>
        </w:rPr>
        <w:t>As the government notes in its report to the Committee, a 2015 Federal Court decision has restored the right to appeal refugee board decisions for claimants from DCOs. However, the compressed timeframe for hearings</w:t>
      </w:r>
      <w:r>
        <w:rPr>
          <w:color w:val="000000" w:themeColor="text1"/>
          <w:shd w:val="clear" w:color="auto" w:fill="FFFFFF"/>
        </w:rPr>
        <w:t xml:space="preserve"> </w:t>
      </w:r>
      <w:r w:rsidRPr="00A179B5">
        <w:rPr>
          <w:color w:val="000000" w:themeColor="text1"/>
          <w:shd w:val="clear" w:color="auto" w:fill="FFFFFF"/>
        </w:rPr>
        <w:t>remains in place.</w:t>
      </w:r>
      <w:r w:rsidR="0011667E">
        <w:rPr>
          <w:color w:val="000000" w:themeColor="text1"/>
          <w:shd w:val="clear" w:color="auto" w:fill="FFFFFF"/>
        </w:rPr>
        <w:t xml:space="preserve"> A 2017 review of the 2012 reforms to Canada’s refugee system, published by the Canadian Association for Refugee and Forced Migration Studies, concluded that the reforms have failed to reduce backlogs, created major delays in claims processing, negatively impacted the human rights of migrants (particularly regarding access to justice</w:t>
      </w:r>
      <w:r w:rsidR="00C34653">
        <w:rPr>
          <w:color w:val="000000" w:themeColor="text1"/>
          <w:shd w:val="clear" w:color="auto" w:fill="FFFFFF"/>
        </w:rPr>
        <w:t xml:space="preserve"> and procedural fairness</w:t>
      </w:r>
      <w:r w:rsidR="0011667E">
        <w:rPr>
          <w:color w:val="000000" w:themeColor="text1"/>
          <w:shd w:val="clear" w:color="auto" w:fill="FFFFFF"/>
        </w:rPr>
        <w:t>), and exacerbated the criminalization of asylum seekers.</w:t>
      </w:r>
      <w:r w:rsidR="0011667E">
        <w:rPr>
          <w:rStyle w:val="FootnoteReference"/>
          <w:color w:val="000000" w:themeColor="text1"/>
          <w:shd w:val="clear" w:color="auto" w:fill="FFFFFF"/>
        </w:rPr>
        <w:footnoteReference w:id="45"/>
      </w:r>
      <w:r w:rsidR="00E45632">
        <w:rPr>
          <w:color w:val="000000" w:themeColor="text1"/>
          <w:shd w:val="clear" w:color="auto" w:fill="FFFFFF"/>
        </w:rPr>
        <w:t xml:space="preserve"> </w:t>
      </w:r>
    </w:p>
    <w:p w14:paraId="1BC7092D" w14:textId="77777777" w:rsidR="006132CB" w:rsidRPr="003B28CC" w:rsidRDefault="006132CB" w:rsidP="006132CB">
      <w:pPr>
        <w:pStyle w:val="ListParagraph"/>
        <w:rPr>
          <w:color w:val="000000" w:themeColor="text1"/>
        </w:rPr>
      </w:pPr>
    </w:p>
    <w:p w14:paraId="587BC82E" w14:textId="77777777" w:rsidR="004D4AD2" w:rsidRDefault="004D4AD2" w:rsidP="006132CB">
      <w:pPr>
        <w:pStyle w:val="ListParagraph"/>
        <w:spacing w:before="240" w:after="0"/>
        <w:ind w:left="0"/>
        <w:rPr>
          <w:b/>
          <w:i/>
          <w:color w:val="000000" w:themeColor="text1"/>
        </w:rPr>
      </w:pPr>
    </w:p>
    <w:p w14:paraId="1FBB722B" w14:textId="77777777" w:rsidR="004D4AD2" w:rsidRDefault="004D4AD2" w:rsidP="006132CB">
      <w:pPr>
        <w:pStyle w:val="ListParagraph"/>
        <w:spacing w:before="240" w:after="0"/>
        <w:ind w:left="0"/>
        <w:rPr>
          <w:b/>
          <w:i/>
          <w:color w:val="000000" w:themeColor="text1"/>
        </w:rPr>
      </w:pPr>
    </w:p>
    <w:p w14:paraId="7517984F" w14:textId="77777777" w:rsidR="004D4AD2" w:rsidRDefault="004D4AD2" w:rsidP="006132CB">
      <w:pPr>
        <w:pStyle w:val="ListParagraph"/>
        <w:spacing w:before="240" w:after="0"/>
        <w:ind w:left="0"/>
        <w:rPr>
          <w:b/>
          <w:i/>
          <w:color w:val="000000" w:themeColor="text1"/>
        </w:rPr>
      </w:pPr>
    </w:p>
    <w:p w14:paraId="3DB7C3F0" w14:textId="0D48DE33" w:rsidR="006132CB" w:rsidRPr="003B28CC" w:rsidRDefault="006132CB" w:rsidP="006132CB">
      <w:pPr>
        <w:pStyle w:val="ListParagraph"/>
        <w:spacing w:before="240" w:after="0"/>
        <w:ind w:left="0"/>
        <w:rPr>
          <w:b/>
          <w:i/>
          <w:color w:val="000000" w:themeColor="text1"/>
        </w:rPr>
      </w:pPr>
      <w:r>
        <w:rPr>
          <w:b/>
          <w:i/>
          <w:color w:val="000000" w:themeColor="text1"/>
        </w:rPr>
        <w:t>LGBTQ</w:t>
      </w:r>
      <w:r w:rsidR="001D4E32">
        <w:rPr>
          <w:b/>
          <w:i/>
          <w:color w:val="000000" w:themeColor="text1"/>
        </w:rPr>
        <w:t>2S</w:t>
      </w:r>
      <w:r>
        <w:rPr>
          <w:b/>
          <w:i/>
          <w:color w:val="000000" w:themeColor="text1"/>
        </w:rPr>
        <w:t xml:space="preserve"> Refugee Claimants</w:t>
      </w:r>
    </w:p>
    <w:p w14:paraId="4DE497B1" w14:textId="77777777" w:rsidR="006132CB" w:rsidRPr="00A179B5" w:rsidRDefault="006132CB" w:rsidP="006132CB">
      <w:pPr>
        <w:pStyle w:val="ListParagraph"/>
        <w:rPr>
          <w:color w:val="000000" w:themeColor="text1"/>
        </w:rPr>
      </w:pPr>
    </w:p>
    <w:p w14:paraId="559C4268" w14:textId="48BD0CC4" w:rsidR="006132CB" w:rsidRPr="00555093" w:rsidRDefault="003E5008" w:rsidP="006132CB">
      <w:pPr>
        <w:pStyle w:val="ListParagraph"/>
        <w:numPr>
          <w:ilvl w:val="0"/>
          <w:numId w:val="19"/>
        </w:numPr>
        <w:spacing w:before="240"/>
        <w:rPr>
          <w:color w:val="000000" w:themeColor="text1"/>
        </w:rPr>
      </w:pPr>
      <w:r>
        <w:rPr>
          <w:color w:val="000000" w:themeColor="text1"/>
        </w:rPr>
        <w:t>Racialized a</w:t>
      </w:r>
      <w:r w:rsidR="006132CB" w:rsidRPr="00A179B5">
        <w:rPr>
          <w:color w:val="000000" w:themeColor="text1"/>
        </w:rPr>
        <w:t>sylum seekers from countries outside North America/Europe claiming persecution on grounds of sexual orientation or gender identity are disadvantaged in the refugee process by</w:t>
      </w:r>
      <w:r w:rsidR="000D35B4">
        <w:rPr>
          <w:color w:val="000000" w:themeColor="text1"/>
        </w:rPr>
        <w:t>:</w:t>
      </w:r>
      <w:r w:rsidR="006132CB" w:rsidRPr="00A179B5">
        <w:rPr>
          <w:color w:val="000000" w:themeColor="text1"/>
        </w:rPr>
        <w:t xml:space="preserve"> decision-makers’ </w:t>
      </w:r>
      <w:r>
        <w:rPr>
          <w:color w:val="000000" w:themeColor="text1"/>
        </w:rPr>
        <w:t>Euro</w:t>
      </w:r>
      <w:r w:rsidR="006132CB" w:rsidRPr="00A179B5">
        <w:rPr>
          <w:color w:val="000000" w:themeColor="text1"/>
        </w:rPr>
        <w:t>centric preconceptions about authentic LGBTQ</w:t>
      </w:r>
      <w:r w:rsidR="001D4E32">
        <w:rPr>
          <w:color w:val="000000" w:themeColor="text1"/>
        </w:rPr>
        <w:t>2S</w:t>
      </w:r>
      <w:r w:rsidR="006132CB" w:rsidRPr="00A179B5">
        <w:rPr>
          <w:color w:val="000000" w:themeColor="text1"/>
        </w:rPr>
        <w:t xml:space="preserve"> identity; the difficulty of providing evidence of LGBTQ</w:t>
      </w:r>
      <w:r w:rsidR="001D4E32">
        <w:rPr>
          <w:color w:val="000000" w:themeColor="text1"/>
        </w:rPr>
        <w:t>2S</w:t>
      </w:r>
      <w:r w:rsidR="006132CB" w:rsidRPr="00A179B5">
        <w:rPr>
          <w:color w:val="000000" w:themeColor="text1"/>
        </w:rPr>
        <w:t xml:space="preserve"> identity when coming from a home country where such identities are criminalized and need to be kept secret; and decision-makers’ stereotypes about particular countries as sources of fraudulent refugee claimants.</w:t>
      </w:r>
      <w:r w:rsidR="006132CB" w:rsidRPr="00A179B5">
        <w:rPr>
          <w:rStyle w:val="FootnoteReference"/>
          <w:color w:val="000000" w:themeColor="text1"/>
        </w:rPr>
        <w:footnoteReference w:id="46"/>
      </w:r>
      <w:r w:rsidR="006132CB" w:rsidRPr="00A179B5">
        <w:rPr>
          <w:color w:val="000000" w:themeColor="text1"/>
        </w:rPr>
        <w:t xml:space="preserve"> </w:t>
      </w:r>
      <w:r w:rsidR="006132CB" w:rsidRPr="00555093">
        <w:rPr>
          <w:color w:val="000000" w:themeColor="text1"/>
        </w:rPr>
        <w:t>Lawyers representing LGBTQ</w:t>
      </w:r>
      <w:r w:rsidR="001D4E32">
        <w:rPr>
          <w:color w:val="000000" w:themeColor="text1"/>
        </w:rPr>
        <w:t>2S</w:t>
      </w:r>
      <w:r w:rsidR="006132CB" w:rsidRPr="00555093">
        <w:rPr>
          <w:color w:val="000000" w:themeColor="text1"/>
        </w:rPr>
        <w:t xml:space="preserve"> claimants have reported instances of clients being asked graphic and intrusive questions about sexual practices during hearings. </w:t>
      </w:r>
      <w:r>
        <w:rPr>
          <w:color w:val="000000" w:themeColor="text1"/>
        </w:rPr>
        <w:t>T</w:t>
      </w:r>
      <w:r w:rsidR="006132CB" w:rsidRPr="00555093">
        <w:rPr>
          <w:color w:val="000000" w:themeColor="text1"/>
        </w:rPr>
        <w:t xml:space="preserve">hese disadvantages are compounded by the frequent inadequacy of translation services at hearings. </w:t>
      </w:r>
    </w:p>
    <w:p w14:paraId="66AC7934" w14:textId="77777777" w:rsidR="006132CB" w:rsidRPr="003B28CC" w:rsidRDefault="006132CB" w:rsidP="006132CB">
      <w:pPr>
        <w:pStyle w:val="ListParagraph"/>
        <w:rPr>
          <w:color w:val="000000" w:themeColor="text1"/>
        </w:rPr>
      </w:pPr>
    </w:p>
    <w:p w14:paraId="01B2AF8A" w14:textId="69552C9F" w:rsidR="006132CB" w:rsidRDefault="006132CB" w:rsidP="006132CB">
      <w:pPr>
        <w:pStyle w:val="ListParagraph"/>
        <w:numPr>
          <w:ilvl w:val="0"/>
          <w:numId w:val="19"/>
        </w:numPr>
        <w:spacing w:before="240"/>
        <w:rPr>
          <w:color w:val="000000" w:themeColor="text1"/>
        </w:rPr>
      </w:pPr>
      <w:r w:rsidRPr="00A179B5">
        <w:rPr>
          <w:color w:val="000000" w:themeColor="text1"/>
        </w:rPr>
        <w:t>The Immigration and Refugee Board released guidelines in 2017 to avoid stereotyping and inappropriate questioning in hearings involving LGBTQ</w:t>
      </w:r>
      <w:r w:rsidR="001D4E32">
        <w:rPr>
          <w:color w:val="000000" w:themeColor="text1"/>
        </w:rPr>
        <w:t>2S</w:t>
      </w:r>
      <w:r w:rsidRPr="00A179B5">
        <w:rPr>
          <w:color w:val="000000" w:themeColor="text1"/>
        </w:rPr>
        <w:t xml:space="preserve"> claimants;</w:t>
      </w:r>
      <w:r w:rsidRPr="00A179B5">
        <w:rPr>
          <w:rStyle w:val="FootnoteReference"/>
          <w:color w:val="000000" w:themeColor="text1"/>
        </w:rPr>
        <w:footnoteReference w:id="47"/>
      </w:r>
      <w:r w:rsidRPr="00A179B5">
        <w:rPr>
          <w:color w:val="000000" w:themeColor="text1"/>
        </w:rPr>
        <w:t xml:space="preserve"> however, as guidelines, they are not</w:t>
      </w:r>
      <w:r w:rsidR="000D35B4">
        <w:rPr>
          <w:color w:val="000000" w:themeColor="text1"/>
        </w:rPr>
        <w:t xml:space="preserve"> legally</w:t>
      </w:r>
      <w:r w:rsidRPr="00A179B5">
        <w:rPr>
          <w:color w:val="000000" w:themeColor="text1"/>
        </w:rPr>
        <w:t xml:space="preserve"> binding.</w:t>
      </w:r>
      <w:r w:rsidRPr="00A179B5">
        <w:rPr>
          <w:rStyle w:val="FootnoteReference"/>
          <w:color w:val="000000" w:themeColor="text1"/>
        </w:rPr>
        <w:footnoteReference w:id="48"/>
      </w:r>
      <w:r w:rsidRPr="00A179B5">
        <w:rPr>
          <w:color w:val="000000" w:themeColor="text1"/>
        </w:rPr>
        <w:t xml:space="preserve"> </w:t>
      </w:r>
    </w:p>
    <w:p w14:paraId="3F04E6F9" w14:textId="77777777" w:rsidR="006132CB" w:rsidRPr="007F7240" w:rsidRDefault="006132CB" w:rsidP="006132CB">
      <w:pPr>
        <w:pStyle w:val="ListParagraph"/>
        <w:rPr>
          <w:color w:val="000000" w:themeColor="text1"/>
        </w:rPr>
      </w:pPr>
    </w:p>
    <w:p w14:paraId="3A1DADE2" w14:textId="607F535E" w:rsidR="006132CB" w:rsidRDefault="006132CB" w:rsidP="006132CB">
      <w:pPr>
        <w:pStyle w:val="ListParagraph"/>
        <w:spacing w:before="240"/>
        <w:ind w:left="0"/>
        <w:rPr>
          <w:color w:val="000000" w:themeColor="text1"/>
        </w:rPr>
      </w:pPr>
      <w:r>
        <w:rPr>
          <w:b/>
          <w:i/>
          <w:color w:val="000000" w:themeColor="text1"/>
        </w:rPr>
        <w:t xml:space="preserve">Relevant Articles: </w:t>
      </w:r>
      <w:r>
        <w:rPr>
          <w:color w:val="000000" w:themeColor="text1"/>
        </w:rPr>
        <w:t>5(a), 5(b)</w:t>
      </w:r>
    </w:p>
    <w:p w14:paraId="1FA49643" w14:textId="0FAE1B30" w:rsidR="006132CB" w:rsidRDefault="006132CB" w:rsidP="006132CB">
      <w:pPr>
        <w:pStyle w:val="ListParagraph"/>
        <w:spacing w:before="240"/>
        <w:ind w:left="0"/>
        <w:rPr>
          <w:color w:val="000000" w:themeColor="text1"/>
        </w:rPr>
      </w:pPr>
    </w:p>
    <w:p w14:paraId="0825560B" w14:textId="77777777" w:rsidR="006132CB" w:rsidRPr="007F7240" w:rsidRDefault="006132CB" w:rsidP="006132CB">
      <w:pPr>
        <w:pStyle w:val="ListParagraph"/>
        <w:spacing w:before="240"/>
        <w:ind w:left="0"/>
        <w:rPr>
          <w:color w:val="000000" w:themeColor="text1"/>
        </w:rPr>
      </w:pPr>
      <w:r>
        <w:rPr>
          <w:b/>
          <w:i/>
          <w:color w:val="000000" w:themeColor="text1"/>
        </w:rPr>
        <w:t xml:space="preserve">Recommendations: </w:t>
      </w:r>
      <w:r>
        <w:rPr>
          <w:color w:val="000000" w:themeColor="text1"/>
        </w:rPr>
        <w:t xml:space="preserve">We ask that the Committee recommend that Canada: 1) withdraw the </w:t>
      </w:r>
      <w:r>
        <w:rPr>
          <w:i/>
          <w:color w:val="000000" w:themeColor="text1"/>
        </w:rPr>
        <w:t xml:space="preserve">Safe Third Country Agreement </w:t>
      </w:r>
      <w:r>
        <w:rPr>
          <w:color w:val="000000" w:themeColor="text1"/>
        </w:rPr>
        <w:t>with the United States; 2) remove the Designated Countries of Origin scheme; and 3) implement mechanisms for tracking and remedying racial discrimination in refugee hearings.</w:t>
      </w:r>
    </w:p>
    <w:p w14:paraId="6176F1BD" w14:textId="77777777" w:rsidR="009753C1" w:rsidRDefault="009753C1" w:rsidP="006132CB">
      <w:pPr>
        <w:pStyle w:val="Heading2"/>
        <w:spacing w:after="240"/>
        <w:rPr>
          <w:rFonts w:ascii="Times New Roman" w:hAnsi="Times New Roman" w:cs="Times New Roman"/>
          <w:b/>
          <w:color w:val="000000" w:themeColor="text1"/>
          <w:sz w:val="24"/>
          <w:szCs w:val="24"/>
          <w:u w:val="single"/>
        </w:rPr>
      </w:pPr>
    </w:p>
    <w:p w14:paraId="0BCBEE0E" w14:textId="179F8995" w:rsidR="00C34653" w:rsidRPr="003F0ACF" w:rsidRDefault="006132CB" w:rsidP="003F0ACF">
      <w:r w:rsidRPr="003F0ACF">
        <w:rPr>
          <w:b/>
          <w:color w:val="000000" w:themeColor="text1"/>
          <w:u w:val="single"/>
        </w:rPr>
        <w:t>Issue Six: Immigration Detention</w:t>
      </w:r>
    </w:p>
    <w:p w14:paraId="2978549F" w14:textId="77777777" w:rsidR="00C34653" w:rsidRDefault="00C34653" w:rsidP="003F0ACF">
      <w:pPr>
        <w:pStyle w:val="ListParagraph"/>
        <w:ind w:left="0"/>
        <w:rPr>
          <w:color w:val="000000" w:themeColor="text1"/>
        </w:rPr>
      </w:pPr>
    </w:p>
    <w:p w14:paraId="326D96B4" w14:textId="3A2BE1A3" w:rsidR="006132CB" w:rsidRDefault="006132CB" w:rsidP="003F0ACF">
      <w:pPr>
        <w:pStyle w:val="ListParagraph"/>
        <w:numPr>
          <w:ilvl w:val="0"/>
          <w:numId w:val="19"/>
        </w:numPr>
        <w:rPr>
          <w:color w:val="000000" w:themeColor="text1"/>
        </w:rPr>
      </w:pPr>
      <w:r w:rsidRPr="00A179B5">
        <w:rPr>
          <w:color w:val="000000" w:themeColor="text1"/>
        </w:rPr>
        <w:t>According to data provided by the Canadian Border Services Agency (CBSA), 6,</w:t>
      </w:r>
      <w:r w:rsidR="00093BB5">
        <w:rPr>
          <w:color w:val="000000" w:themeColor="text1"/>
        </w:rPr>
        <w:t>251</w:t>
      </w:r>
      <w:r w:rsidRPr="00A179B5">
        <w:rPr>
          <w:color w:val="000000" w:themeColor="text1"/>
        </w:rPr>
        <w:t xml:space="preserve"> people were held in immigration detention in 201</w:t>
      </w:r>
      <w:r w:rsidR="00093BB5">
        <w:rPr>
          <w:color w:val="000000" w:themeColor="text1"/>
        </w:rPr>
        <w:t>6</w:t>
      </w:r>
      <w:r w:rsidRPr="00A179B5">
        <w:rPr>
          <w:color w:val="000000" w:themeColor="text1"/>
        </w:rPr>
        <w:t>/201</w:t>
      </w:r>
      <w:r w:rsidR="00093BB5">
        <w:rPr>
          <w:color w:val="000000" w:themeColor="text1"/>
        </w:rPr>
        <w:t>7</w:t>
      </w:r>
      <w:r w:rsidRPr="00A179B5">
        <w:rPr>
          <w:color w:val="000000" w:themeColor="text1"/>
        </w:rPr>
        <w:t xml:space="preserve">, including </w:t>
      </w:r>
      <w:r w:rsidR="00093BB5">
        <w:rPr>
          <w:color w:val="000000" w:themeColor="text1"/>
        </w:rPr>
        <w:t>151</w:t>
      </w:r>
      <w:r w:rsidRPr="00A179B5">
        <w:rPr>
          <w:color w:val="000000" w:themeColor="text1"/>
        </w:rPr>
        <w:t xml:space="preserve"> minors.</w:t>
      </w:r>
      <w:r w:rsidR="00093BB5">
        <w:rPr>
          <w:color w:val="000000" w:themeColor="text1"/>
        </w:rPr>
        <w:t xml:space="preserve"> This is a slight decrease from 2015/2016, when 6,596 people, including 181 minors, were detained.</w:t>
      </w:r>
      <w:r w:rsidRPr="00A179B5">
        <w:rPr>
          <w:rStyle w:val="FootnoteReference"/>
          <w:color w:val="000000" w:themeColor="text1"/>
        </w:rPr>
        <w:footnoteReference w:id="49"/>
      </w:r>
      <w:r w:rsidRPr="00A179B5">
        <w:rPr>
          <w:color w:val="000000" w:themeColor="text1"/>
        </w:rPr>
        <w:t xml:space="preserve"> 94.2% are detained on grounds other than allegedly posing a security threat.</w:t>
      </w:r>
      <w:r w:rsidRPr="00A179B5">
        <w:rPr>
          <w:rStyle w:val="FootnoteReference"/>
          <w:color w:val="000000" w:themeColor="text1"/>
        </w:rPr>
        <w:footnoteReference w:id="50"/>
      </w:r>
      <w:r w:rsidRPr="00A179B5">
        <w:rPr>
          <w:color w:val="000000" w:themeColor="text1"/>
        </w:rPr>
        <w:t xml:space="preserve"> </w:t>
      </w:r>
    </w:p>
    <w:p w14:paraId="4C51AE7A" w14:textId="407C0F38" w:rsidR="006132CB" w:rsidRPr="00A179B5" w:rsidRDefault="006132CB" w:rsidP="006132CB">
      <w:pPr>
        <w:pStyle w:val="ListParagraph"/>
        <w:numPr>
          <w:ilvl w:val="0"/>
          <w:numId w:val="20"/>
        </w:numPr>
        <w:rPr>
          <w:color w:val="000000" w:themeColor="text1"/>
        </w:rPr>
      </w:pPr>
      <w:r w:rsidRPr="00A179B5">
        <w:rPr>
          <w:color w:val="000000" w:themeColor="text1"/>
        </w:rPr>
        <w:t xml:space="preserve">The CBSA does not publish detention statistics disaggregated on the basis of race, ethnicity, or country of origin. However, </w:t>
      </w:r>
      <w:r w:rsidR="007B7AAB">
        <w:rPr>
          <w:color w:val="000000" w:themeColor="text1"/>
        </w:rPr>
        <w:t xml:space="preserve">anecdotal evidence suggests that </w:t>
      </w:r>
      <w:r w:rsidRPr="00A179B5">
        <w:rPr>
          <w:color w:val="000000" w:themeColor="text1"/>
        </w:rPr>
        <w:t>long-term detainees are disproportionately racialized: first, because racialized undocumented migrants are more likely to be detained rather than receive a notice to appear for a hearing; second, because of difficulty obtaining identity documents from their countries of origin; and third, because of the paucity of legal aid for detention reviews.</w:t>
      </w:r>
    </w:p>
    <w:p w14:paraId="749F4ABF" w14:textId="77777777" w:rsidR="006132CB" w:rsidRPr="00A179B5" w:rsidRDefault="006132CB" w:rsidP="006132CB">
      <w:pPr>
        <w:pStyle w:val="ListParagraph"/>
        <w:ind w:left="0"/>
        <w:rPr>
          <w:color w:val="000000" w:themeColor="text1"/>
        </w:rPr>
      </w:pPr>
    </w:p>
    <w:p w14:paraId="1E0365B8" w14:textId="5C30CDCA" w:rsidR="006132CB" w:rsidRPr="00A179B5" w:rsidRDefault="006132CB" w:rsidP="006132CB">
      <w:pPr>
        <w:pStyle w:val="ListParagraph"/>
        <w:numPr>
          <w:ilvl w:val="0"/>
          <w:numId w:val="20"/>
        </w:numPr>
        <w:rPr>
          <w:color w:val="000000" w:themeColor="text1"/>
        </w:rPr>
      </w:pPr>
      <w:r w:rsidRPr="00A179B5">
        <w:rPr>
          <w:color w:val="000000" w:themeColor="text1"/>
        </w:rPr>
        <w:t xml:space="preserve">Canada does not impose a maximum time limit on immigration detention. </w:t>
      </w:r>
      <w:r w:rsidR="000D35B4">
        <w:rPr>
          <w:color w:val="000000" w:themeColor="text1"/>
        </w:rPr>
        <w:t>For example, i</w:t>
      </w:r>
      <w:r w:rsidRPr="00A179B5">
        <w:rPr>
          <w:color w:val="000000" w:themeColor="text1"/>
        </w:rPr>
        <w:t>n April 2017, the Ontario Superior Court ordered the release of a West African immigration detainee held in a maximum-security jail for seven years (including 103 consecutive days spent in solitary confinement).</w:t>
      </w:r>
      <w:r w:rsidRPr="00A179B5">
        <w:rPr>
          <w:rStyle w:val="FootnoteReference"/>
          <w:color w:val="000000" w:themeColor="text1"/>
        </w:rPr>
        <w:footnoteReference w:id="51"/>
      </w:r>
      <w:r w:rsidRPr="00A179B5">
        <w:rPr>
          <w:color w:val="000000" w:themeColor="text1"/>
        </w:rPr>
        <w:t xml:space="preserve">  </w:t>
      </w:r>
      <w:r w:rsidR="000D35B4">
        <w:rPr>
          <w:color w:val="000000" w:themeColor="text1"/>
        </w:rPr>
        <w:t>This is in contrast with the majority of other countries</w:t>
      </w:r>
      <w:r w:rsidR="001848A6">
        <w:rPr>
          <w:color w:val="000000" w:themeColor="text1"/>
        </w:rPr>
        <w:t xml:space="preserve"> in Europe and North America</w:t>
      </w:r>
      <w:r w:rsidR="000D35B4">
        <w:rPr>
          <w:color w:val="000000" w:themeColor="text1"/>
        </w:rPr>
        <w:t xml:space="preserve"> that do implement a time limit for immigration detention.</w:t>
      </w:r>
      <w:r w:rsidR="000D35B4">
        <w:rPr>
          <w:rStyle w:val="FootnoteReference"/>
          <w:color w:val="000000" w:themeColor="text1"/>
        </w:rPr>
        <w:footnoteReference w:id="52"/>
      </w:r>
    </w:p>
    <w:p w14:paraId="0361FFB7" w14:textId="77777777" w:rsidR="006132CB" w:rsidRPr="00A179B5" w:rsidRDefault="006132CB" w:rsidP="006132CB">
      <w:pPr>
        <w:pStyle w:val="ListParagraph"/>
        <w:rPr>
          <w:color w:val="000000" w:themeColor="text1"/>
        </w:rPr>
      </w:pPr>
    </w:p>
    <w:p w14:paraId="619BC7FA" w14:textId="58316900" w:rsidR="006132CB" w:rsidRPr="00A179B5" w:rsidRDefault="006132CB" w:rsidP="006132CB">
      <w:pPr>
        <w:pStyle w:val="ListParagraph"/>
        <w:numPr>
          <w:ilvl w:val="0"/>
          <w:numId w:val="20"/>
        </w:numPr>
        <w:rPr>
          <w:color w:val="000000" w:themeColor="text1"/>
        </w:rPr>
      </w:pPr>
      <w:r w:rsidRPr="00A179B5">
        <w:rPr>
          <w:color w:val="000000" w:themeColor="text1"/>
        </w:rPr>
        <w:t>The government states in its report to the Committee that immigration detainees “are protected from arbitrary detention, and have access to effective remedies.” However, data analyzed by the End Immigration Detention Network in 2014 found significant variance in the release rates between individual immigration detention board members, from 5% to 33%; and between regions, from 9% in Central Canada to 27% in Western Canada – calling into question the non-arbitrariness and fairness of decisions to continue detention.</w:t>
      </w:r>
      <w:r w:rsidRPr="00A179B5">
        <w:rPr>
          <w:rStyle w:val="FootnoteReference"/>
          <w:color w:val="000000" w:themeColor="text1"/>
        </w:rPr>
        <w:footnoteReference w:id="53"/>
      </w:r>
      <w:r w:rsidRPr="00A179B5">
        <w:rPr>
          <w:color w:val="000000" w:themeColor="text1"/>
        </w:rPr>
        <w:t xml:space="preserve"> </w:t>
      </w:r>
    </w:p>
    <w:p w14:paraId="30539A03" w14:textId="77777777" w:rsidR="006132CB" w:rsidRPr="00A179B5" w:rsidRDefault="006132CB" w:rsidP="006132CB">
      <w:pPr>
        <w:pStyle w:val="ListParagraph"/>
        <w:rPr>
          <w:color w:val="000000" w:themeColor="text1"/>
        </w:rPr>
      </w:pPr>
    </w:p>
    <w:p w14:paraId="124836EA" w14:textId="40E90781" w:rsidR="006132CB" w:rsidRPr="00A179B5" w:rsidRDefault="006132CB" w:rsidP="006132CB">
      <w:pPr>
        <w:pStyle w:val="ListParagraph"/>
        <w:numPr>
          <w:ilvl w:val="0"/>
          <w:numId w:val="20"/>
        </w:numPr>
        <w:rPr>
          <w:color w:val="000000" w:themeColor="text1"/>
        </w:rPr>
      </w:pPr>
      <w:r w:rsidRPr="00A179B5">
        <w:rPr>
          <w:color w:val="000000" w:themeColor="text1"/>
        </w:rPr>
        <w:t xml:space="preserve">Moreover, nearly one-third of immigration detainees are held in provincial </w:t>
      </w:r>
      <w:r w:rsidR="00150D54">
        <w:rPr>
          <w:color w:val="000000" w:themeColor="text1"/>
        </w:rPr>
        <w:t>jails</w:t>
      </w:r>
      <w:r w:rsidRPr="00A179B5">
        <w:rPr>
          <w:color w:val="000000" w:themeColor="text1"/>
        </w:rPr>
        <w:t xml:space="preserve"> (rather than dedicated immigration holding centres) – where, in the words of the University of Toronto’s International Human Rights Program (IHRP), they fall into a “legal black hole” between federal and provincial jurisdiction.</w:t>
      </w:r>
      <w:r w:rsidRPr="00A179B5">
        <w:rPr>
          <w:rStyle w:val="FootnoteReference"/>
          <w:color w:val="000000" w:themeColor="text1"/>
        </w:rPr>
        <w:footnoteReference w:id="54"/>
      </w:r>
      <w:r w:rsidRPr="00A179B5">
        <w:rPr>
          <w:color w:val="000000" w:themeColor="text1"/>
        </w:rPr>
        <w:t xml:space="preserve"> “The lack of communication between CBSA and provincial jails is be</w:t>
      </w:r>
      <w:r w:rsidR="001848A6">
        <w:rPr>
          <w:color w:val="000000" w:themeColor="text1"/>
        </w:rPr>
        <w:t xml:space="preserve">st </w:t>
      </w:r>
      <w:r w:rsidRPr="00A179B5">
        <w:rPr>
          <w:color w:val="000000" w:themeColor="text1"/>
        </w:rPr>
        <w:t>illustrated by the fact that, on at least one occasion, Minister’s counsel showed up to the detention review hearing for a deceased man [ . . . ] between o</w:t>
      </w:r>
      <w:r>
        <w:rPr>
          <w:color w:val="000000" w:themeColor="text1"/>
        </w:rPr>
        <w:t>ne to two weeks after his death,</w:t>
      </w:r>
      <w:r w:rsidRPr="00A179B5">
        <w:rPr>
          <w:color w:val="000000" w:themeColor="text1"/>
        </w:rPr>
        <w:t>” according to the IHRP.</w:t>
      </w:r>
      <w:r w:rsidRPr="00A179B5">
        <w:rPr>
          <w:rStyle w:val="FootnoteReference"/>
          <w:color w:val="000000" w:themeColor="text1"/>
        </w:rPr>
        <w:footnoteReference w:id="55"/>
      </w:r>
      <w:r w:rsidRPr="00A179B5">
        <w:rPr>
          <w:color w:val="000000" w:themeColor="text1"/>
        </w:rPr>
        <w:t xml:space="preserve"> Since 2000, at least 15 people have died in immigration detention.</w:t>
      </w:r>
      <w:r w:rsidRPr="00A179B5">
        <w:rPr>
          <w:rStyle w:val="FootnoteReference"/>
          <w:color w:val="000000" w:themeColor="text1"/>
        </w:rPr>
        <w:footnoteReference w:id="56"/>
      </w:r>
    </w:p>
    <w:p w14:paraId="09276972" w14:textId="38838124" w:rsidR="006132CB" w:rsidRPr="00A179B5" w:rsidRDefault="006132CB" w:rsidP="006132CB">
      <w:pPr>
        <w:pStyle w:val="ListParagraph"/>
        <w:numPr>
          <w:ilvl w:val="0"/>
          <w:numId w:val="20"/>
        </w:numPr>
        <w:rPr>
          <w:color w:val="000000" w:themeColor="text1"/>
        </w:rPr>
      </w:pPr>
      <w:r w:rsidRPr="00A179B5">
        <w:rPr>
          <w:color w:val="000000" w:themeColor="text1"/>
        </w:rPr>
        <w:t xml:space="preserve">The government’s report claims that “children are detained only as a measure of last resort, taking into account </w:t>
      </w:r>
      <w:proofErr w:type="gramStart"/>
      <w:r w:rsidRPr="00A179B5">
        <w:rPr>
          <w:color w:val="000000" w:themeColor="text1"/>
        </w:rPr>
        <w:t>[ .</w:t>
      </w:r>
      <w:proofErr w:type="gramEnd"/>
      <w:r w:rsidRPr="00A179B5">
        <w:rPr>
          <w:color w:val="000000" w:themeColor="text1"/>
        </w:rPr>
        <w:t xml:space="preserve"> . . ] the best interests of the child.” However, the absence of well-developed alternatives to immigration detention (such as community-based non-custodial programs) means that children must either be detained with their parents or </w:t>
      </w:r>
      <w:r w:rsidR="00150D54">
        <w:rPr>
          <w:color w:val="000000" w:themeColor="text1"/>
        </w:rPr>
        <w:t xml:space="preserve">be </w:t>
      </w:r>
      <w:r w:rsidRPr="00A179B5">
        <w:rPr>
          <w:color w:val="000000" w:themeColor="text1"/>
        </w:rPr>
        <w:t>separated from them; both options are psychologically harmful for children</w:t>
      </w:r>
      <w:r w:rsidR="00150D54">
        <w:rPr>
          <w:color w:val="000000" w:themeColor="text1"/>
        </w:rPr>
        <w:t xml:space="preserve"> and contrary to their best interests</w:t>
      </w:r>
      <w:r w:rsidRPr="00A179B5">
        <w:rPr>
          <w:color w:val="000000" w:themeColor="text1"/>
        </w:rPr>
        <w:t>.</w:t>
      </w:r>
      <w:r w:rsidRPr="00A179B5">
        <w:rPr>
          <w:rStyle w:val="FootnoteReference"/>
          <w:color w:val="000000" w:themeColor="text1"/>
        </w:rPr>
        <w:footnoteReference w:id="57"/>
      </w:r>
      <w:r w:rsidRPr="00A179B5">
        <w:rPr>
          <w:color w:val="000000" w:themeColor="text1"/>
        </w:rPr>
        <w:t xml:space="preserve"> The Designated Foreign Nationals regime, implemented by the 2012 </w:t>
      </w:r>
      <w:r>
        <w:rPr>
          <w:i/>
          <w:color w:val="000000" w:themeColor="text1"/>
        </w:rPr>
        <w:t>Protecting Canada’s Immigration System</w:t>
      </w:r>
      <w:r w:rsidRPr="00A179B5">
        <w:rPr>
          <w:i/>
          <w:color w:val="000000" w:themeColor="text1"/>
        </w:rPr>
        <w:t xml:space="preserve"> Act</w:t>
      </w:r>
      <w:r w:rsidRPr="00A179B5">
        <w:rPr>
          <w:color w:val="000000" w:themeColor="text1"/>
        </w:rPr>
        <w:t>, mandates compulsory detention for migrants deemed “irregular arrivals,” including children older than 16.</w:t>
      </w:r>
      <w:r w:rsidRPr="00A179B5">
        <w:rPr>
          <w:rStyle w:val="FootnoteReference"/>
          <w:color w:val="000000" w:themeColor="text1"/>
        </w:rPr>
        <w:footnoteReference w:id="58"/>
      </w:r>
    </w:p>
    <w:p w14:paraId="4804E0B4" w14:textId="77777777" w:rsidR="006132CB" w:rsidRPr="00A179B5" w:rsidRDefault="006132CB" w:rsidP="006132CB">
      <w:pPr>
        <w:pStyle w:val="ListParagraph"/>
        <w:rPr>
          <w:color w:val="000000" w:themeColor="text1"/>
        </w:rPr>
      </w:pPr>
    </w:p>
    <w:p w14:paraId="7E2D2C42" w14:textId="77777777" w:rsidR="006132CB" w:rsidRDefault="006132CB" w:rsidP="006132CB">
      <w:pPr>
        <w:pStyle w:val="ListParagraph"/>
        <w:numPr>
          <w:ilvl w:val="0"/>
          <w:numId w:val="20"/>
        </w:numPr>
        <w:rPr>
          <w:color w:val="000000" w:themeColor="text1"/>
        </w:rPr>
      </w:pPr>
      <w:r w:rsidRPr="00A179B5">
        <w:rPr>
          <w:color w:val="000000" w:themeColor="text1"/>
        </w:rPr>
        <w:t>The IHRP’s study of immigration detention of children concludes that the best interests of Canadian children detained with their parents are not sufficiently or consistently accounted for: “</w:t>
      </w:r>
      <w:r w:rsidRPr="00A179B5">
        <w:rPr>
          <w:i/>
          <w:color w:val="000000" w:themeColor="text1"/>
        </w:rPr>
        <w:t>de facto</w:t>
      </w:r>
      <w:r w:rsidRPr="00A179B5">
        <w:rPr>
          <w:color w:val="000000" w:themeColor="text1"/>
        </w:rPr>
        <w:t xml:space="preserve"> detained children do not have their own detention review hearings, and until recently, adjudicators explicitly declined to consider the best interests of Canadian children in the detention reviews of their parents. While a recent development in the courts permits consideration of the best interests of Canadian children in their parents’ detention reviews, the overall focus of the detention review analysis remains on the detained parent(s)</w:t>
      </w:r>
      <w:r>
        <w:rPr>
          <w:color w:val="000000" w:themeColor="text1"/>
        </w:rPr>
        <w:t>.</w:t>
      </w:r>
      <w:r w:rsidRPr="00A179B5">
        <w:rPr>
          <w:color w:val="000000" w:themeColor="text1"/>
        </w:rPr>
        <w:t>”</w:t>
      </w:r>
      <w:r w:rsidRPr="00A179B5">
        <w:rPr>
          <w:rStyle w:val="FootnoteReference"/>
          <w:color w:val="000000" w:themeColor="text1"/>
        </w:rPr>
        <w:footnoteReference w:id="59"/>
      </w:r>
      <w:r w:rsidRPr="00A179B5">
        <w:rPr>
          <w:color w:val="000000" w:themeColor="text1"/>
        </w:rPr>
        <w:t xml:space="preserve"> </w:t>
      </w:r>
    </w:p>
    <w:p w14:paraId="2607DC22" w14:textId="77777777" w:rsidR="006132CB" w:rsidRPr="007F7240" w:rsidRDefault="006132CB" w:rsidP="006132CB">
      <w:pPr>
        <w:pStyle w:val="ListParagraph"/>
        <w:rPr>
          <w:color w:val="000000" w:themeColor="text1"/>
        </w:rPr>
      </w:pPr>
    </w:p>
    <w:p w14:paraId="1694DD72" w14:textId="13D48634" w:rsidR="006132CB" w:rsidRDefault="006132CB" w:rsidP="006132CB">
      <w:pPr>
        <w:pStyle w:val="ListParagraph"/>
        <w:ind w:left="0"/>
        <w:rPr>
          <w:color w:val="000000" w:themeColor="text1"/>
        </w:rPr>
      </w:pPr>
      <w:r>
        <w:rPr>
          <w:b/>
          <w:i/>
          <w:color w:val="000000" w:themeColor="text1"/>
        </w:rPr>
        <w:t xml:space="preserve">Relevant Articles: </w:t>
      </w:r>
      <w:r>
        <w:rPr>
          <w:color w:val="000000" w:themeColor="text1"/>
        </w:rPr>
        <w:t>5(a), 5(d</w:t>
      </w:r>
      <w:proofErr w:type="gramStart"/>
      <w:r>
        <w:rPr>
          <w:color w:val="000000" w:themeColor="text1"/>
        </w:rPr>
        <w:t>)(</w:t>
      </w:r>
      <w:proofErr w:type="gramEnd"/>
      <w:r>
        <w:rPr>
          <w:color w:val="000000" w:themeColor="text1"/>
        </w:rPr>
        <w:t>i)</w:t>
      </w:r>
    </w:p>
    <w:p w14:paraId="680010C4" w14:textId="5B2D2CF7" w:rsidR="006132CB" w:rsidRDefault="006132CB" w:rsidP="006132CB">
      <w:pPr>
        <w:pStyle w:val="ListParagraph"/>
        <w:ind w:left="0"/>
        <w:rPr>
          <w:color w:val="000000" w:themeColor="text1"/>
        </w:rPr>
      </w:pPr>
    </w:p>
    <w:p w14:paraId="65900B70" w14:textId="05767147" w:rsidR="006132CB" w:rsidRPr="007F7240" w:rsidRDefault="006132CB" w:rsidP="006132CB">
      <w:pPr>
        <w:pStyle w:val="ListParagraph"/>
        <w:ind w:left="0"/>
        <w:rPr>
          <w:color w:val="000000" w:themeColor="text1"/>
        </w:rPr>
      </w:pPr>
      <w:r>
        <w:rPr>
          <w:b/>
          <w:i/>
          <w:color w:val="000000" w:themeColor="text1"/>
        </w:rPr>
        <w:t xml:space="preserve">Recommendations: </w:t>
      </w:r>
      <w:r>
        <w:rPr>
          <w:color w:val="000000" w:themeColor="text1"/>
        </w:rPr>
        <w:t>We ask that the Committee recommend that Canada: 1) impose a time limit on immigration detention; 2) make detention</w:t>
      </w:r>
      <w:r w:rsidR="003B490E">
        <w:rPr>
          <w:color w:val="000000" w:themeColor="text1"/>
        </w:rPr>
        <w:t xml:space="preserve"> truly</w:t>
      </w:r>
      <w:r>
        <w:rPr>
          <w:color w:val="000000" w:themeColor="text1"/>
        </w:rPr>
        <w:t xml:space="preserve"> a last resort, and develop robust </w:t>
      </w:r>
      <w:r w:rsidR="00D328B8">
        <w:rPr>
          <w:color w:val="000000" w:themeColor="text1"/>
        </w:rPr>
        <w:t xml:space="preserve">and meaningful </w:t>
      </w:r>
      <w:r>
        <w:rPr>
          <w:color w:val="000000" w:themeColor="text1"/>
        </w:rPr>
        <w:t xml:space="preserve">community-based alternatives to detention; 3) cease holding immigration detainees in </w:t>
      </w:r>
      <w:r w:rsidR="00D328B8">
        <w:rPr>
          <w:color w:val="000000" w:themeColor="text1"/>
        </w:rPr>
        <w:t>provincial jails</w:t>
      </w:r>
      <w:r>
        <w:rPr>
          <w:color w:val="000000" w:themeColor="text1"/>
        </w:rPr>
        <w:t xml:space="preserve">; 4) ensure that the best interests of all children in detention are a primary consideration in detention-related decisions; and 5) collect and publish data disaggregated by </w:t>
      </w:r>
      <w:r w:rsidR="007A7A14">
        <w:rPr>
          <w:color w:val="000000" w:themeColor="text1"/>
        </w:rPr>
        <w:t>ethno-racial background</w:t>
      </w:r>
      <w:r>
        <w:rPr>
          <w:color w:val="000000" w:themeColor="text1"/>
        </w:rPr>
        <w:t xml:space="preserve"> and country of origin </w:t>
      </w:r>
      <w:r w:rsidR="00514AA3">
        <w:rPr>
          <w:color w:val="000000" w:themeColor="text1"/>
        </w:rPr>
        <w:t>with respect to all aspects of</w:t>
      </w:r>
      <w:r>
        <w:rPr>
          <w:color w:val="000000" w:themeColor="text1"/>
        </w:rPr>
        <w:t xml:space="preserve"> detention (including data regarding reasons for detention and length of detention).</w:t>
      </w:r>
    </w:p>
    <w:p w14:paraId="2A1F912C" w14:textId="77777777" w:rsidR="009753C1" w:rsidRDefault="009753C1" w:rsidP="006132CB">
      <w:pPr>
        <w:pStyle w:val="Heading1"/>
        <w:rPr>
          <w:rFonts w:ascii="Times New Roman" w:hAnsi="Times New Roman" w:cs="Times New Roman"/>
          <w:b/>
          <w:color w:val="000000" w:themeColor="text1"/>
          <w:sz w:val="24"/>
          <w:szCs w:val="24"/>
          <w:u w:val="single"/>
        </w:rPr>
      </w:pPr>
    </w:p>
    <w:p w14:paraId="18ADA17C" w14:textId="2BE46E76" w:rsidR="00D328B8" w:rsidRPr="003F0ACF" w:rsidRDefault="006132CB" w:rsidP="003F0ACF">
      <w:r w:rsidRPr="003F0ACF">
        <w:rPr>
          <w:b/>
          <w:color w:val="000000" w:themeColor="text1"/>
          <w:u w:val="single"/>
        </w:rPr>
        <w:t>Issue Seven: Racial Discrimination in National Security</w:t>
      </w:r>
    </w:p>
    <w:p w14:paraId="299B0203" w14:textId="2811792E" w:rsidR="006132CB" w:rsidRPr="00A179B5" w:rsidRDefault="006132CB" w:rsidP="003F0ACF">
      <w:pPr>
        <w:pStyle w:val="ListParagraph"/>
        <w:numPr>
          <w:ilvl w:val="0"/>
          <w:numId w:val="20"/>
        </w:numPr>
        <w:spacing w:before="240"/>
        <w:rPr>
          <w:color w:val="000000" w:themeColor="text1"/>
        </w:rPr>
      </w:pPr>
      <w:r w:rsidRPr="00A179B5">
        <w:rPr>
          <w:color w:val="000000" w:themeColor="text1"/>
        </w:rPr>
        <w:t xml:space="preserve">National security agencies have so far </w:t>
      </w:r>
      <w:r w:rsidR="00D328B8">
        <w:rPr>
          <w:color w:val="000000" w:themeColor="text1"/>
        </w:rPr>
        <w:t>ignored</w:t>
      </w:r>
      <w:r w:rsidR="00D328B8" w:rsidRPr="00A179B5">
        <w:rPr>
          <w:color w:val="000000" w:themeColor="text1"/>
        </w:rPr>
        <w:t xml:space="preserve"> </w:t>
      </w:r>
      <w:r w:rsidRPr="00A179B5">
        <w:rPr>
          <w:color w:val="000000" w:themeColor="text1"/>
        </w:rPr>
        <w:t>the Canadian Human Rights Commission’s call to collect and analyze race-disaggregated data on their operations, so that the impact of security practices and policies on Indigenous communities</w:t>
      </w:r>
      <w:r w:rsidR="008C0182">
        <w:rPr>
          <w:color w:val="000000" w:themeColor="text1"/>
        </w:rPr>
        <w:t xml:space="preserve"> and communities of colour</w:t>
      </w:r>
      <w:r w:rsidRPr="00A179B5">
        <w:rPr>
          <w:color w:val="000000" w:themeColor="text1"/>
        </w:rPr>
        <w:t xml:space="preserve"> can be assessed. “Analysis of a decade of research clearly shows that there are no means to assess the human rights performance of Canada’s national security organizations. Not only is there no accountability framework in place, national security organizations are not required to collect and report data on human rights performance in practice</w:t>
      </w:r>
      <w:r w:rsidRPr="00A179B5">
        <w:rPr>
          <w:color w:val="000000" w:themeColor="text1"/>
          <w:shd w:val="clear" w:color="auto" w:fill="FFFFFF"/>
        </w:rPr>
        <w:t>,” the Commission points out.</w:t>
      </w:r>
      <w:r w:rsidRPr="00A179B5">
        <w:rPr>
          <w:rStyle w:val="FootnoteReference"/>
          <w:color w:val="000000" w:themeColor="text1"/>
          <w:shd w:val="clear" w:color="auto" w:fill="FFFFFF"/>
        </w:rPr>
        <w:footnoteReference w:id="60"/>
      </w:r>
    </w:p>
    <w:p w14:paraId="3AA9074E" w14:textId="77777777" w:rsidR="006132CB" w:rsidRPr="00F9327E" w:rsidRDefault="006132CB" w:rsidP="006132CB">
      <w:pPr>
        <w:pStyle w:val="Heading1"/>
        <w:rPr>
          <w:rFonts w:ascii="Times New Roman" w:hAnsi="Times New Roman" w:cs="Times New Roman"/>
          <w:b/>
          <w:i/>
          <w:color w:val="000000" w:themeColor="text1"/>
          <w:sz w:val="24"/>
          <w:szCs w:val="24"/>
        </w:rPr>
      </w:pPr>
      <w:r w:rsidRPr="00F9327E">
        <w:rPr>
          <w:rFonts w:ascii="Times New Roman" w:hAnsi="Times New Roman" w:cs="Times New Roman"/>
          <w:b/>
          <w:i/>
          <w:color w:val="000000" w:themeColor="text1"/>
          <w:sz w:val="24"/>
          <w:szCs w:val="24"/>
        </w:rPr>
        <w:t>Racial Profiling</w:t>
      </w:r>
    </w:p>
    <w:p w14:paraId="018A097E" w14:textId="77777777" w:rsidR="006132CB" w:rsidRPr="00A179B5" w:rsidRDefault="006132CB" w:rsidP="006132CB">
      <w:pPr>
        <w:pStyle w:val="ListParagraph"/>
        <w:numPr>
          <w:ilvl w:val="0"/>
          <w:numId w:val="13"/>
        </w:numPr>
        <w:spacing w:before="240"/>
        <w:rPr>
          <w:color w:val="000000" w:themeColor="text1"/>
        </w:rPr>
      </w:pPr>
      <w:r w:rsidRPr="00A179B5">
        <w:rPr>
          <w:color w:val="000000" w:themeColor="text1"/>
        </w:rPr>
        <w:t>Government reports on national security by Public Safety Canada and the Canadian Security Intelligence Service (CSIS) focus almost exclusively on Muslim individuals and organizations as the source of terrorism</w:t>
      </w:r>
      <w:r w:rsidRPr="00A179B5">
        <w:rPr>
          <w:rStyle w:val="FootnoteReference"/>
          <w:color w:val="000000" w:themeColor="text1"/>
        </w:rPr>
        <w:footnoteReference w:id="61"/>
      </w:r>
      <w:r w:rsidRPr="00A179B5">
        <w:rPr>
          <w:color w:val="000000" w:themeColor="text1"/>
        </w:rPr>
        <w:t xml:space="preserve"> – ignoring the more than 100 extreme right-wing and White supremacist groups active across Canada.</w:t>
      </w:r>
      <w:r w:rsidRPr="00A179B5">
        <w:rPr>
          <w:rStyle w:val="FootnoteReference"/>
          <w:color w:val="000000" w:themeColor="text1"/>
        </w:rPr>
        <w:footnoteReference w:id="62"/>
      </w:r>
    </w:p>
    <w:p w14:paraId="279AC532" w14:textId="77777777" w:rsidR="006132CB" w:rsidRPr="00A179B5" w:rsidRDefault="006132CB" w:rsidP="006132CB">
      <w:pPr>
        <w:pStyle w:val="ListParagraph"/>
        <w:spacing w:before="240"/>
        <w:ind w:left="0"/>
        <w:rPr>
          <w:color w:val="000000" w:themeColor="text1"/>
        </w:rPr>
      </w:pPr>
    </w:p>
    <w:p w14:paraId="778BDF43" w14:textId="38C26E3F" w:rsidR="006132CB" w:rsidRPr="00A179B5" w:rsidRDefault="006132CB" w:rsidP="006132CB">
      <w:pPr>
        <w:pStyle w:val="ListParagraph"/>
        <w:numPr>
          <w:ilvl w:val="0"/>
          <w:numId w:val="13"/>
        </w:numPr>
        <w:spacing w:before="240"/>
        <w:rPr>
          <w:color w:val="000000" w:themeColor="text1"/>
        </w:rPr>
      </w:pPr>
      <w:r w:rsidRPr="00A179B5">
        <w:rPr>
          <w:color w:val="000000" w:themeColor="text1"/>
        </w:rPr>
        <w:t>Young Muslims have reported being targeted for monitoring by CSIS or police intelligence because of participation in activism for causes like Palestinian rights.</w:t>
      </w:r>
      <w:r w:rsidRPr="00A179B5">
        <w:rPr>
          <w:rStyle w:val="FootnoteReference"/>
          <w:color w:val="000000" w:themeColor="text1"/>
        </w:rPr>
        <w:footnoteReference w:id="63"/>
      </w:r>
      <w:r w:rsidRPr="00A179B5">
        <w:rPr>
          <w:color w:val="000000" w:themeColor="text1"/>
        </w:rPr>
        <w:t xml:space="preserve"> </w:t>
      </w:r>
      <w:r w:rsidR="008C0182">
        <w:rPr>
          <w:color w:val="000000" w:themeColor="text1"/>
        </w:rPr>
        <w:t>Instances of</w:t>
      </w:r>
      <w:r w:rsidRPr="00A179B5">
        <w:rPr>
          <w:color w:val="000000" w:themeColor="text1"/>
        </w:rPr>
        <w:t xml:space="preserve"> university students</w:t>
      </w:r>
      <w:r w:rsidR="00D328B8">
        <w:rPr>
          <w:color w:val="000000" w:themeColor="text1"/>
        </w:rPr>
        <w:t>,</w:t>
      </w:r>
      <w:r w:rsidR="008C0182">
        <w:rPr>
          <w:color w:val="000000" w:themeColor="text1"/>
        </w:rPr>
        <w:t xml:space="preserve"> among others</w:t>
      </w:r>
      <w:r w:rsidRPr="00A179B5">
        <w:rPr>
          <w:color w:val="000000" w:themeColor="text1"/>
        </w:rPr>
        <w:t>, being aggressively recruited by security agencies to become informants on “radicalized” peers</w:t>
      </w:r>
      <w:r w:rsidR="008C0182">
        <w:rPr>
          <w:color w:val="000000" w:themeColor="text1"/>
        </w:rPr>
        <w:t xml:space="preserve"> have been reported</w:t>
      </w:r>
      <w:r w:rsidRPr="00A179B5">
        <w:rPr>
          <w:color w:val="000000" w:themeColor="text1"/>
        </w:rPr>
        <w:t xml:space="preserve">. </w:t>
      </w:r>
    </w:p>
    <w:p w14:paraId="4C00F959" w14:textId="77777777" w:rsidR="006132CB" w:rsidRPr="00A179B5" w:rsidRDefault="006132CB" w:rsidP="006132CB">
      <w:pPr>
        <w:pStyle w:val="ListParagraph"/>
        <w:spacing w:before="240"/>
        <w:ind w:left="0"/>
        <w:rPr>
          <w:color w:val="000000" w:themeColor="text1"/>
        </w:rPr>
      </w:pPr>
    </w:p>
    <w:p w14:paraId="5C6AB20F" w14:textId="160C3304" w:rsidR="006132CB" w:rsidRDefault="006132CB" w:rsidP="006132CB">
      <w:pPr>
        <w:pStyle w:val="ListParagraph"/>
        <w:numPr>
          <w:ilvl w:val="0"/>
          <w:numId w:val="13"/>
        </w:numPr>
        <w:spacing w:before="240"/>
        <w:rPr>
          <w:color w:val="000000" w:themeColor="text1"/>
        </w:rPr>
      </w:pPr>
      <w:r w:rsidRPr="00A179B5">
        <w:rPr>
          <w:color w:val="000000" w:themeColor="text1"/>
        </w:rPr>
        <w:t>Muslim, South Asian, Arab, and Black travellers have reported experiencing racial profiling at airports and border crossings: being stopped, being followed by air marshals, being placed on no-fly lists, having their names flagged, being selected for “random” screening, being subjected to body and/or luggage searches, and being questioned about religious beliefs.</w:t>
      </w:r>
      <w:r w:rsidRPr="00A179B5">
        <w:rPr>
          <w:rStyle w:val="FootnoteReference"/>
          <w:color w:val="000000" w:themeColor="text1"/>
        </w:rPr>
        <w:footnoteReference w:id="64"/>
      </w:r>
      <w:r w:rsidRPr="00A179B5">
        <w:rPr>
          <w:color w:val="000000" w:themeColor="text1"/>
        </w:rPr>
        <w:t xml:space="preserve"> The National Council of Canadian Muslims notes that 15% of the human rights complaints it received in 2014 were from Muslims who were “turned away from border crossings without any explanations.”</w:t>
      </w:r>
      <w:r w:rsidRPr="00A179B5">
        <w:rPr>
          <w:rStyle w:val="FootnoteReference"/>
          <w:color w:val="000000" w:themeColor="text1"/>
        </w:rPr>
        <w:footnoteReference w:id="65"/>
      </w:r>
      <w:r w:rsidRPr="00A179B5">
        <w:rPr>
          <w:color w:val="000000" w:themeColor="text1"/>
        </w:rPr>
        <w:t xml:space="preserve"> </w:t>
      </w:r>
    </w:p>
    <w:p w14:paraId="50A4DD9D" w14:textId="3FA69B79" w:rsidR="006132CB" w:rsidRPr="00A179B5" w:rsidRDefault="006132CB" w:rsidP="006132CB">
      <w:pPr>
        <w:pStyle w:val="ListParagraph"/>
        <w:numPr>
          <w:ilvl w:val="0"/>
          <w:numId w:val="13"/>
        </w:numPr>
        <w:spacing w:before="240"/>
        <w:rPr>
          <w:color w:val="000000" w:themeColor="text1"/>
        </w:rPr>
      </w:pPr>
      <w:r w:rsidRPr="00A179B5">
        <w:rPr>
          <w:color w:val="000000" w:themeColor="text1"/>
        </w:rPr>
        <w:t xml:space="preserve">The proposed </w:t>
      </w:r>
      <w:r w:rsidRPr="00A179B5">
        <w:rPr>
          <w:i/>
          <w:color w:val="000000" w:themeColor="text1"/>
        </w:rPr>
        <w:t xml:space="preserve">Preclearance Act </w:t>
      </w:r>
      <w:r w:rsidRPr="00A179B5">
        <w:rPr>
          <w:color w:val="000000" w:themeColor="text1"/>
        </w:rPr>
        <w:t>(Bill C-23)</w:t>
      </w:r>
      <w:r w:rsidR="001848A6">
        <w:rPr>
          <w:color w:val="000000" w:themeColor="text1"/>
        </w:rPr>
        <w:t>,</w:t>
      </w:r>
      <w:r w:rsidRPr="00A179B5">
        <w:rPr>
          <w:color w:val="000000" w:themeColor="text1"/>
        </w:rPr>
        <w:t xml:space="preserve"> which will give US border guards new powers to question, search, and detain in pre-clearance areas on Canadian territory, threatens to exacerbate Muslims’ and other racialized travellers’ experiences of discriminatory securitization.</w:t>
      </w:r>
      <w:r w:rsidRPr="00A179B5">
        <w:rPr>
          <w:rStyle w:val="FootnoteReference"/>
          <w:color w:val="000000" w:themeColor="text1"/>
        </w:rPr>
        <w:footnoteReference w:id="66"/>
      </w:r>
    </w:p>
    <w:p w14:paraId="5FD6B855" w14:textId="77777777" w:rsidR="006132CB" w:rsidRPr="00A179B5" w:rsidRDefault="006132CB" w:rsidP="006132CB">
      <w:pPr>
        <w:pStyle w:val="ListParagraph"/>
        <w:rPr>
          <w:color w:val="000000" w:themeColor="text1"/>
        </w:rPr>
      </w:pPr>
    </w:p>
    <w:p w14:paraId="4B6A8F16" w14:textId="7F4D2CAE" w:rsidR="006132CB" w:rsidRPr="00A179B5" w:rsidRDefault="006132CB" w:rsidP="006132CB">
      <w:pPr>
        <w:pStyle w:val="ListParagraph"/>
        <w:numPr>
          <w:ilvl w:val="0"/>
          <w:numId w:val="13"/>
        </w:numPr>
        <w:spacing w:before="240"/>
        <w:rPr>
          <w:color w:val="000000" w:themeColor="text1"/>
        </w:rPr>
      </w:pPr>
      <w:r w:rsidRPr="00A179B5">
        <w:rPr>
          <w:color w:val="000000" w:themeColor="text1"/>
        </w:rPr>
        <w:t xml:space="preserve">There have been several reported cases of Muslims being denied security clearance for employment purposes, for apparently discriminatory reasons. </w:t>
      </w:r>
      <w:r w:rsidR="008C0182">
        <w:rPr>
          <w:color w:val="000000" w:themeColor="text1"/>
        </w:rPr>
        <w:t>For example, according to a lawyer</w:t>
      </w:r>
      <w:r w:rsidR="003E5008">
        <w:rPr>
          <w:color w:val="000000" w:themeColor="text1"/>
        </w:rPr>
        <w:t xml:space="preserve"> specializing in national security cases</w:t>
      </w:r>
      <w:r w:rsidR="008C0182">
        <w:rPr>
          <w:color w:val="000000" w:themeColor="text1"/>
        </w:rPr>
        <w:t xml:space="preserve">, </w:t>
      </w:r>
      <w:r w:rsidR="003E5008">
        <w:rPr>
          <w:color w:val="000000" w:themeColor="text1"/>
        </w:rPr>
        <w:t>one</w:t>
      </w:r>
      <w:r w:rsidR="008C0182">
        <w:rPr>
          <w:color w:val="000000" w:themeColor="text1"/>
        </w:rPr>
        <w:t xml:space="preserve"> Muslim client’s</w:t>
      </w:r>
      <w:r w:rsidRPr="00A179B5">
        <w:rPr>
          <w:color w:val="000000" w:themeColor="text1"/>
        </w:rPr>
        <w:t xml:space="preserve"> participation in paintball (described by CSIS as “a form of </w:t>
      </w:r>
      <w:r w:rsidRPr="00A179B5">
        <w:rPr>
          <w:i/>
          <w:color w:val="000000" w:themeColor="text1"/>
        </w:rPr>
        <w:t xml:space="preserve">jihad </w:t>
      </w:r>
      <w:r w:rsidRPr="00A179B5">
        <w:rPr>
          <w:color w:val="000000" w:themeColor="text1"/>
        </w:rPr>
        <w:t>for Sunni Muslims”) was cited as a reason for denial.</w:t>
      </w:r>
    </w:p>
    <w:p w14:paraId="520022A5" w14:textId="77777777" w:rsidR="006132CB" w:rsidRPr="00A179B5" w:rsidRDefault="006132CB" w:rsidP="006132CB">
      <w:pPr>
        <w:pStyle w:val="ListParagraph"/>
        <w:rPr>
          <w:color w:val="000000" w:themeColor="text1"/>
        </w:rPr>
      </w:pPr>
    </w:p>
    <w:p w14:paraId="6A3E041B" w14:textId="05EC4A91" w:rsidR="006132CB" w:rsidRPr="00A179B5" w:rsidRDefault="006132CB" w:rsidP="006132CB">
      <w:pPr>
        <w:pStyle w:val="ListParagraph"/>
        <w:numPr>
          <w:ilvl w:val="0"/>
          <w:numId w:val="13"/>
        </w:numPr>
        <w:spacing w:before="240"/>
        <w:rPr>
          <w:color w:val="000000" w:themeColor="text1"/>
        </w:rPr>
      </w:pPr>
      <w:r w:rsidRPr="00A179B5">
        <w:rPr>
          <w:color w:val="000000" w:themeColor="text1"/>
        </w:rPr>
        <w:t>Indigenous activists have also been targeted as national security threats by security agencies. The RCMP’s Project Sitka, for instance, monitored 89 Indigenous activists deemed threats for participation in protests.</w:t>
      </w:r>
      <w:r w:rsidRPr="00A179B5">
        <w:rPr>
          <w:rStyle w:val="FootnoteReference"/>
          <w:color w:val="000000" w:themeColor="text1"/>
        </w:rPr>
        <w:footnoteReference w:id="67"/>
      </w:r>
    </w:p>
    <w:p w14:paraId="68307CC9" w14:textId="77777777" w:rsidR="006132CB" w:rsidRPr="00F9327E" w:rsidRDefault="006132CB" w:rsidP="006132CB">
      <w:pPr>
        <w:pStyle w:val="Heading1"/>
        <w:rPr>
          <w:rFonts w:ascii="Times New Roman" w:hAnsi="Times New Roman" w:cs="Times New Roman"/>
          <w:b/>
          <w:i/>
          <w:color w:val="000000" w:themeColor="text1"/>
          <w:sz w:val="24"/>
          <w:szCs w:val="24"/>
        </w:rPr>
      </w:pPr>
      <w:r w:rsidRPr="00F9327E">
        <w:rPr>
          <w:rFonts w:ascii="Times New Roman" w:hAnsi="Times New Roman" w:cs="Times New Roman"/>
          <w:b/>
          <w:i/>
          <w:color w:val="000000" w:themeColor="text1"/>
          <w:sz w:val="24"/>
          <w:szCs w:val="24"/>
        </w:rPr>
        <w:t>Security Certificates</w:t>
      </w:r>
    </w:p>
    <w:p w14:paraId="27302A53" w14:textId="62475761" w:rsidR="006132CB" w:rsidRPr="00A179B5" w:rsidRDefault="006132CB" w:rsidP="006132CB">
      <w:pPr>
        <w:pStyle w:val="ListParagraph"/>
        <w:numPr>
          <w:ilvl w:val="0"/>
          <w:numId w:val="14"/>
        </w:numPr>
        <w:spacing w:before="240"/>
        <w:rPr>
          <w:color w:val="000000" w:themeColor="text1"/>
        </w:rPr>
      </w:pPr>
      <w:r w:rsidRPr="00A179B5">
        <w:rPr>
          <w:color w:val="000000" w:themeColor="text1"/>
        </w:rPr>
        <w:t>Security certificates have been applied to non-citizens deemed inadmissible to Canada on security grounds, on the strength of secret evidence – permitting indefinite detention or imposition of extremely stringent house arrest conditions.</w:t>
      </w:r>
      <w:r w:rsidRPr="00A179B5">
        <w:rPr>
          <w:rStyle w:val="FootnoteReference"/>
          <w:color w:val="000000" w:themeColor="text1"/>
        </w:rPr>
        <w:footnoteReference w:id="68"/>
      </w:r>
      <w:r w:rsidRPr="00A179B5">
        <w:rPr>
          <w:color w:val="000000" w:themeColor="text1"/>
        </w:rPr>
        <w:t xml:space="preserve"> Two Arab Muslim security certificate detainees – Mohamed Harkat and Mohammad Mahjoub – are currently facing deportation to possible torture in Algeria and Egypt, respectively.</w:t>
      </w:r>
      <w:r w:rsidR="008E15AF">
        <w:rPr>
          <w:rStyle w:val="FootnoteReference"/>
          <w:color w:val="000000" w:themeColor="text1"/>
        </w:rPr>
        <w:footnoteReference w:id="69"/>
      </w:r>
    </w:p>
    <w:p w14:paraId="7DD47CED" w14:textId="77777777" w:rsidR="006132CB" w:rsidRPr="00F9327E" w:rsidRDefault="006132CB" w:rsidP="006132CB">
      <w:pPr>
        <w:pStyle w:val="Heading1"/>
        <w:rPr>
          <w:rFonts w:ascii="Times New Roman" w:hAnsi="Times New Roman" w:cs="Times New Roman"/>
          <w:b/>
          <w:i/>
          <w:color w:val="000000" w:themeColor="text1"/>
          <w:sz w:val="24"/>
          <w:szCs w:val="24"/>
        </w:rPr>
      </w:pPr>
      <w:r w:rsidRPr="00F9327E">
        <w:rPr>
          <w:rFonts w:ascii="Times New Roman" w:hAnsi="Times New Roman" w:cs="Times New Roman"/>
          <w:b/>
          <w:i/>
          <w:color w:val="000000" w:themeColor="text1"/>
          <w:sz w:val="24"/>
          <w:szCs w:val="24"/>
        </w:rPr>
        <w:t>The Anti-Terrorism Act, 2015</w:t>
      </w:r>
    </w:p>
    <w:p w14:paraId="5BC99AF0" w14:textId="4162B499" w:rsidR="006132CB" w:rsidRDefault="006132CB" w:rsidP="006132CB">
      <w:pPr>
        <w:pStyle w:val="ListParagraph"/>
        <w:numPr>
          <w:ilvl w:val="0"/>
          <w:numId w:val="15"/>
        </w:numPr>
        <w:spacing w:before="240"/>
        <w:rPr>
          <w:color w:val="000000" w:themeColor="text1"/>
        </w:rPr>
      </w:pPr>
      <w:r w:rsidRPr="00A179B5">
        <w:rPr>
          <w:color w:val="000000" w:themeColor="text1"/>
        </w:rPr>
        <w:t>Anti-terrorism legislation passed in 2015 drastically augments the powers of security agencies and polic</w:t>
      </w:r>
      <w:r w:rsidR="0021656C">
        <w:rPr>
          <w:color w:val="000000" w:themeColor="text1"/>
        </w:rPr>
        <w:t>e</w:t>
      </w:r>
      <w:r w:rsidRPr="00A179B5">
        <w:rPr>
          <w:color w:val="000000" w:themeColor="text1"/>
        </w:rPr>
        <w:t xml:space="preserve">, without counter-balancing oversight and review mechanisms. </w:t>
      </w:r>
    </w:p>
    <w:p w14:paraId="6049D95A" w14:textId="77777777" w:rsidR="006132CB" w:rsidRDefault="006132CB" w:rsidP="006132CB">
      <w:pPr>
        <w:pStyle w:val="ListParagraph"/>
        <w:spacing w:before="240"/>
        <w:ind w:left="0"/>
        <w:rPr>
          <w:color w:val="000000" w:themeColor="text1"/>
        </w:rPr>
      </w:pPr>
    </w:p>
    <w:p w14:paraId="0C244EAE" w14:textId="77777777" w:rsidR="006132CB" w:rsidRPr="00A179B5" w:rsidRDefault="006132CB" w:rsidP="006132CB">
      <w:pPr>
        <w:pStyle w:val="ListParagraph"/>
        <w:numPr>
          <w:ilvl w:val="0"/>
          <w:numId w:val="15"/>
        </w:numPr>
        <w:spacing w:before="240"/>
        <w:rPr>
          <w:color w:val="000000" w:themeColor="text1"/>
        </w:rPr>
      </w:pPr>
      <w:r w:rsidRPr="00A179B5">
        <w:rPr>
          <w:color w:val="000000" w:themeColor="text1"/>
        </w:rPr>
        <w:t xml:space="preserve">Civil liberties organizations have raised concerns about many of the changes introduced by the </w:t>
      </w:r>
      <w:r w:rsidRPr="00A179B5">
        <w:rPr>
          <w:i/>
          <w:color w:val="000000" w:themeColor="text1"/>
        </w:rPr>
        <w:t>Anti-Terrorism Act, 2015</w:t>
      </w:r>
      <w:r w:rsidRPr="00A179B5">
        <w:rPr>
          <w:color w:val="000000" w:themeColor="text1"/>
        </w:rPr>
        <w:t xml:space="preserve">, which include: expansion of information-sharing powers between government bodies about activities that “undermine the security of Canada”; widening of the criteria for placement on Canada’s no-fly list; creation of a new, broad criminal offence of “advocating or promoting the commission of terrorism offences in general”; lowering of the threshold for preventive arrest and imposition of recognizances with conditions; extension of the maximum time of preventive detention; and expansion of CSIS’s mandate from intelligence-gathering to threat disruption, including permission to violate the </w:t>
      </w:r>
      <w:r w:rsidRPr="00A179B5">
        <w:rPr>
          <w:i/>
          <w:color w:val="000000" w:themeColor="text1"/>
        </w:rPr>
        <w:t>Charter of Rights and Freedoms</w:t>
      </w:r>
      <w:r w:rsidRPr="00A179B5">
        <w:rPr>
          <w:color w:val="000000" w:themeColor="text1"/>
        </w:rPr>
        <w:t xml:space="preserve"> if a judicial warrant has been obtained.</w:t>
      </w:r>
      <w:r w:rsidRPr="00A179B5">
        <w:rPr>
          <w:rStyle w:val="FootnoteReference"/>
          <w:color w:val="000000" w:themeColor="text1"/>
        </w:rPr>
        <w:footnoteReference w:id="70"/>
      </w:r>
      <w:r w:rsidRPr="00A179B5">
        <w:rPr>
          <w:color w:val="000000" w:themeColor="text1"/>
        </w:rPr>
        <w:t xml:space="preserve"> </w:t>
      </w:r>
    </w:p>
    <w:p w14:paraId="67EB1BC9" w14:textId="77777777" w:rsidR="006132CB" w:rsidRPr="00F9327E" w:rsidRDefault="006132CB" w:rsidP="006132CB">
      <w:pPr>
        <w:pStyle w:val="Heading1"/>
        <w:rPr>
          <w:rFonts w:ascii="Times New Roman" w:hAnsi="Times New Roman" w:cs="Times New Roman"/>
          <w:b/>
          <w:i/>
          <w:color w:val="000000" w:themeColor="text1"/>
          <w:sz w:val="24"/>
          <w:szCs w:val="24"/>
        </w:rPr>
      </w:pPr>
      <w:r w:rsidRPr="00F9327E">
        <w:rPr>
          <w:rFonts w:ascii="Times New Roman" w:hAnsi="Times New Roman" w:cs="Times New Roman"/>
          <w:b/>
          <w:i/>
          <w:color w:val="000000" w:themeColor="text1"/>
          <w:sz w:val="24"/>
          <w:szCs w:val="24"/>
        </w:rPr>
        <w:t>Complicity with Torture</w:t>
      </w:r>
    </w:p>
    <w:p w14:paraId="4195DF29" w14:textId="5E2DAB1B" w:rsidR="006132CB" w:rsidRDefault="006132CB" w:rsidP="006132CB">
      <w:pPr>
        <w:pStyle w:val="ListParagraph"/>
        <w:numPr>
          <w:ilvl w:val="0"/>
          <w:numId w:val="16"/>
        </w:numPr>
        <w:spacing w:before="240"/>
        <w:rPr>
          <w:color w:val="000000" w:themeColor="text1"/>
        </w:rPr>
      </w:pPr>
      <w:r w:rsidRPr="00A179B5">
        <w:rPr>
          <w:color w:val="000000" w:themeColor="text1"/>
        </w:rPr>
        <w:t>The Canadian government has compensated Maher Arar, Ahmad El-Maati, Abdullah Almalki, and Muayyed Nureddin for its involvement in their secret imprisonment and torture</w:t>
      </w:r>
      <w:r w:rsidR="00F82BF0">
        <w:rPr>
          <w:color w:val="000000" w:themeColor="text1"/>
        </w:rPr>
        <w:t xml:space="preserve">, and recently announced compensation for Omar Khadr. </w:t>
      </w:r>
      <w:r w:rsidRPr="00A179B5">
        <w:rPr>
          <w:color w:val="000000" w:themeColor="text1"/>
        </w:rPr>
        <w:t xml:space="preserve">However, </w:t>
      </w:r>
      <w:r w:rsidR="00F82BF0">
        <w:rPr>
          <w:color w:val="000000" w:themeColor="text1"/>
        </w:rPr>
        <w:t>an</w:t>
      </w:r>
      <w:r w:rsidRPr="00A179B5">
        <w:rPr>
          <w:color w:val="000000" w:themeColor="text1"/>
        </w:rPr>
        <w:t>other Muslim m</w:t>
      </w:r>
      <w:r w:rsidR="00F82BF0">
        <w:rPr>
          <w:color w:val="000000" w:themeColor="text1"/>
        </w:rPr>
        <w:t>a</w:t>
      </w:r>
      <w:r w:rsidRPr="00A179B5">
        <w:rPr>
          <w:color w:val="000000" w:themeColor="text1"/>
        </w:rPr>
        <w:t>n tortured with Canadian complicity</w:t>
      </w:r>
      <w:r w:rsidR="00F82BF0">
        <w:rPr>
          <w:color w:val="000000" w:themeColor="text1"/>
        </w:rPr>
        <w:t xml:space="preserve"> - </w:t>
      </w:r>
      <w:r w:rsidRPr="00A179B5">
        <w:rPr>
          <w:color w:val="000000" w:themeColor="text1"/>
        </w:rPr>
        <w:t>Abousfian Abdelrazik ha</w:t>
      </w:r>
      <w:r w:rsidR="00F82BF0">
        <w:rPr>
          <w:color w:val="000000" w:themeColor="text1"/>
        </w:rPr>
        <w:t>s</w:t>
      </w:r>
      <w:r w:rsidRPr="00A179B5">
        <w:rPr>
          <w:color w:val="000000" w:themeColor="text1"/>
        </w:rPr>
        <w:t xml:space="preserve"> not yet received any compensation or apology. </w:t>
      </w:r>
    </w:p>
    <w:p w14:paraId="2D9F0C60" w14:textId="77777777" w:rsidR="006132CB" w:rsidRDefault="006132CB" w:rsidP="006132CB">
      <w:pPr>
        <w:pStyle w:val="ListParagraph"/>
        <w:spacing w:before="240"/>
        <w:ind w:left="0"/>
        <w:rPr>
          <w:color w:val="000000" w:themeColor="text1"/>
        </w:rPr>
      </w:pPr>
    </w:p>
    <w:p w14:paraId="49AA889B" w14:textId="6A787F16" w:rsidR="006132CB" w:rsidRDefault="006132CB" w:rsidP="006132CB">
      <w:pPr>
        <w:pStyle w:val="ListParagraph"/>
        <w:numPr>
          <w:ilvl w:val="0"/>
          <w:numId w:val="16"/>
        </w:numPr>
        <w:spacing w:before="240"/>
        <w:rPr>
          <w:color w:val="000000" w:themeColor="text1"/>
        </w:rPr>
      </w:pPr>
      <w:r w:rsidRPr="00A179B5">
        <w:rPr>
          <w:color w:val="000000" w:themeColor="text1"/>
        </w:rPr>
        <w:t>Canadian security and foreign affairs officials implicated in torture have not been prosecuted, and the recommendations of two official inquiries into the Arar, El-Maati, Almalki, and Nureddin cases (the Iacobucci and O’Connor Inquiries) for preventing future abuses have not been implemented.</w:t>
      </w:r>
      <w:r w:rsidRPr="00A179B5">
        <w:rPr>
          <w:rStyle w:val="FootnoteReference"/>
          <w:color w:val="000000" w:themeColor="text1"/>
        </w:rPr>
        <w:footnoteReference w:id="71"/>
      </w:r>
      <w:r w:rsidRPr="00A179B5">
        <w:rPr>
          <w:color w:val="000000" w:themeColor="text1"/>
        </w:rPr>
        <w:t xml:space="preserve"> Moreover, memos allowing security agencies to share information with regimes known to torture have not been rescinded.</w:t>
      </w:r>
      <w:r w:rsidRPr="00A179B5">
        <w:rPr>
          <w:rStyle w:val="FootnoteReference"/>
          <w:color w:val="000000" w:themeColor="text1"/>
        </w:rPr>
        <w:footnoteReference w:id="72"/>
      </w:r>
    </w:p>
    <w:p w14:paraId="2E4771F5" w14:textId="77777777" w:rsidR="006132CB" w:rsidRPr="00584674" w:rsidRDefault="006132CB" w:rsidP="006132CB">
      <w:pPr>
        <w:pStyle w:val="ListParagraph"/>
        <w:rPr>
          <w:color w:val="000000" w:themeColor="text1"/>
        </w:rPr>
      </w:pPr>
    </w:p>
    <w:p w14:paraId="05EBA112" w14:textId="386303BC" w:rsidR="006132CB" w:rsidRPr="00CA6319" w:rsidRDefault="006132CB" w:rsidP="006132CB">
      <w:pPr>
        <w:pStyle w:val="ListParagraph"/>
        <w:spacing w:before="240"/>
        <w:ind w:left="0"/>
        <w:rPr>
          <w:color w:val="000000" w:themeColor="text1"/>
          <w:lang w:val="fr-CA"/>
        </w:rPr>
      </w:pPr>
      <w:r w:rsidRPr="00CA6319">
        <w:rPr>
          <w:b/>
          <w:i/>
          <w:color w:val="000000" w:themeColor="text1"/>
          <w:lang w:val="fr-CA"/>
        </w:rPr>
        <w:t xml:space="preserve">Relevant Articles: </w:t>
      </w:r>
      <w:r w:rsidRPr="00CA6319">
        <w:rPr>
          <w:color w:val="000000" w:themeColor="text1"/>
          <w:lang w:val="fr-CA"/>
        </w:rPr>
        <w:t>5(a), 5(b), 5(e</w:t>
      </w:r>
      <w:proofErr w:type="gramStart"/>
      <w:r w:rsidRPr="00CA6319">
        <w:rPr>
          <w:color w:val="000000" w:themeColor="text1"/>
          <w:lang w:val="fr-CA"/>
        </w:rPr>
        <w:t>)(</w:t>
      </w:r>
      <w:proofErr w:type="gramEnd"/>
      <w:r w:rsidRPr="00CA6319">
        <w:rPr>
          <w:color w:val="000000" w:themeColor="text1"/>
          <w:lang w:val="fr-CA"/>
        </w:rPr>
        <w:t>ii), 5(e)(vii), 5(e)(viii), 5(e)(ix)</w:t>
      </w:r>
    </w:p>
    <w:p w14:paraId="3B8ED395" w14:textId="190A1C4A" w:rsidR="006132CB" w:rsidRPr="00913C7F" w:rsidRDefault="006132CB" w:rsidP="006132CB">
      <w:pPr>
        <w:spacing w:before="240"/>
        <w:rPr>
          <w:color w:val="000000" w:themeColor="text1"/>
        </w:rPr>
      </w:pPr>
      <w:r w:rsidRPr="00A179B5">
        <w:rPr>
          <w:b/>
          <w:i/>
          <w:color w:val="000000" w:themeColor="text1"/>
        </w:rPr>
        <w:t>Recommendations</w:t>
      </w:r>
      <w:r>
        <w:rPr>
          <w:b/>
          <w:i/>
          <w:color w:val="000000" w:themeColor="text1"/>
        </w:rPr>
        <w:t xml:space="preserve">: </w:t>
      </w:r>
      <w:r>
        <w:rPr>
          <w:color w:val="000000" w:themeColor="text1"/>
        </w:rPr>
        <w:t xml:space="preserve">We ask that the Committee recommend that Canada: 1) study and publish analyses on the phenomenon of White supremacist and right-wing political violence; 2) collect and publish </w:t>
      </w:r>
      <w:r w:rsidR="007A7A14">
        <w:rPr>
          <w:color w:val="000000" w:themeColor="text1"/>
        </w:rPr>
        <w:t xml:space="preserve">ethno-racially </w:t>
      </w:r>
      <w:r>
        <w:rPr>
          <w:color w:val="000000" w:themeColor="text1"/>
        </w:rPr>
        <w:t xml:space="preserve">disaggregated data regarding counter-terrorism practices, including on visitations by security officials, composition of the no-fly list, and security clearance denials; 3) abolish the security certificate regime, and cease deportation proceedings under it; 4) repeal the </w:t>
      </w:r>
      <w:r>
        <w:rPr>
          <w:i/>
          <w:color w:val="000000" w:themeColor="text1"/>
        </w:rPr>
        <w:t>Anti-Terrorism Act, 2015</w:t>
      </w:r>
      <w:r>
        <w:rPr>
          <w:color w:val="000000" w:themeColor="text1"/>
        </w:rPr>
        <w:t xml:space="preserve"> (and not just amend it); 5) adhere to its obligations under the </w:t>
      </w:r>
      <w:r>
        <w:rPr>
          <w:i/>
          <w:color w:val="000000" w:themeColor="text1"/>
        </w:rPr>
        <w:t>United Nations Convention Against Torture</w:t>
      </w:r>
      <w:r>
        <w:rPr>
          <w:color w:val="000000" w:themeColor="text1"/>
        </w:rPr>
        <w:t xml:space="preserve"> to compensate the tortured and prosecute complicity in torture; and 6) revoke the torture memos, and implement the Iacobucci and O’Connor Inquiry recommendations. </w:t>
      </w:r>
    </w:p>
    <w:p w14:paraId="7157BCC3" w14:textId="77777777" w:rsidR="006132CB" w:rsidRDefault="006132CB" w:rsidP="005C2DFC">
      <w:pPr>
        <w:spacing w:after="240"/>
        <w:rPr>
          <w:b/>
          <w:color w:val="000000" w:themeColor="text1"/>
        </w:rPr>
      </w:pPr>
    </w:p>
    <w:p w14:paraId="083B58CC" w14:textId="77777777" w:rsidR="00CA4574" w:rsidRDefault="00CA4574" w:rsidP="005C2DFC">
      <w:pPr>
        <w:spacing w:after="240"/>
        <w:rPr>
          <w:b/>
          <w:color w:val="000000" w:themeColor="text1"/>
        </w:rPr>
      </w:pPr>
    </w:p>
    <w:p w14:paraId="4D77A826" w14:textId="4B830FC3" w:rsidR="00D328B8" w:rsidRPr="00F82BF0" w:rsidRDefault="00562B56" w:rsidP="00F82BF0">
      <w:r w:rsidRPr="00F82BF0">
        <w:rPr>
          <w:b/>
          <w:color w:val="000000" w:themeColor="text1"/>
          <w:u w:val="single"/>
        </w:rPr>
        <w:t>Issue Eight</w:t>
      </w:r>
      <w:r w:rsidR="00F9327E" w:rsidRPr="00F82BF0">
        <w:rPr>
          <w:b/>
          <w:color w:val="000000" w:themeColor="text1"/>
          <w:u w:val="single"/>
        </w:rPr>
        <w:t xml:space="preserve">: </w:t>
      </w:r>
      <w:r w:rsidR="0058105C" w:rsidRPr="0058105C">
        <w:rPr>
          <w:b/>
          <w:color w:val="000000" w:themeColor="text1"/>
          <w:u w:val="single"/>
        </w:rPr>
        <w:t>Treaty-Based Nation-to-Nation</w:t>
      </w:r>
      <w:r w:rsidR="0058105C">
        <w:rPr>
          <w:b/>
          <w:color w:val="000000" w:themeColor="text1"/>
          <w:u w:val="single"/>
        </w:rPr>
        <w:t xml:space="preserve"> </w:t>
      </w:r>
      <w:r w:rsidR="00FE0CA9" w:rsidRPr="00F82BF0">
        <w:rPr>
          <w:b/>
          <w:color w:val="000000" w:themeColor="text1"/>
          <w:u w:val="single"/>
        </w:rPr>
        <w:t xml:space="preserve">Relationship with Indigenous </w:t>
      </w:r>
      <w:r w:rsidR="0058105C">
        <w:rPr>
          <w:b/>
          <w:color w:val="000000" w:themeColor="text1"/>
          <w:u w:val="single"/>
        </w:rPr>
        <w:t>People</w:t>
      </w:r>
      <w:r w:rsidR="00FE0CA9" w:rsidRPr="00F82BF0">
        <w:rPr>
          <w:b/>
          <w:color w:val="000000" w:themeColor="text1"/>
          <w:u w:val="single"/>
        </w:rPr>
        <w:t>s</w:t>
      </w:r>
    </w:p>
    <w:p w14:paraId="2A67D2D3" w14:textId="77777777" w:rsidR="009B448C" w:rsidRPr="00A179B5" w:rsidRDefault="009B448C" w:rsidP="009B448C">
      <w:pPr>
        <w:pStyle w:val="ListParagraph"/>
        <w:spacing w:before="240"/>
        <w:ind w:left="0"/>
        <w:rPr>
          <w:color w:val="000000" w:themeColor="text1"/>
        </w:rPr>
      </w:pPr>
    </w:p>
    <w:p w14:paraId="6C0FA2DF" w14:textId="411F92D2" w:rsidR="000B7593" w:rsidRDefault="00C34B28" w:rsidP="000B7593">
      <w:pPr>
        <w:pStyle w:val="ListParagraph"/>
        <w:numPr>
          <w:ilvl w:val="0"/>
          <w:numId w:val="11"/>
        </w:numPr>
        <w:spacing w:before="240"/>
        <w:rPr>
          <w:color w:val="000000" w:themeColor="text1"/>
        </w:rPr>
      </w:pPr>
      <w:r w:rsidRPr="004F4D00">
        <w:rPr>
          <w:color w:val="000000" w:themeColor="text1"/>
        </w:rPr>
        <w:t>In his 2014 report on Canada, the UN Special Rapporteur on the Rights of Indigenous Peoples James Anaya concluded that: “</w:t>
      </w:r>
      <w:r w:rsidR="0021656C">
        <w:rPr>
          <w:color w:val="000000" w:themeColor="text1"/>
        </w:rPr>
        <w:t>[t]</w:t>
      </w:r>
      <w:r w:rsidRPr="004F4D00">
        <w:rPr>
          <w:color w:val="000000" w:themeColor="text1"/>
        </w:rPr>
        <w:t xml:space="preserve">he numerous initiatives that have been taken at the federal and provincial/territorial levels to address the problems faced by </w:t>
      </w:r>
      <w:r w:rsidR="00CA4574">
        <w:rPr>
          <w:color w:val="000000" w:themeColor="text1"/>
        </w:rPr>
        <w:t>I</w:t>
      </w:r>
      <w:r w:rsidRPr="004F4D00">
        <w:rPr>
          <w:color w:val="000000" w:themeColor="text1"/>
        </w:rPr>
        <w:t xml:space="preserve">ndigenous </w:t>
      </w:r>
      <w:r w:rsidR="00CA4574">
        <w:rPr>
          <w:color w:val="000000" w:themeColor="text1"/>
        </w:rPr>
        <w:t>P</w:t>
      </w:r>
      <w:r w:rsidRPr="004F4D00">
        <w:rPr>
          <w:color w:val="000000" w:themeColor="text1"/>
        </w:rPr>
        <w:t xml:space="preserve">eoples have been insufficient. The well-being gap between </w:t>
      </w:r>
      <w:r w:rsidR="00CA4574">
        <w:rPr>
          <w:color w:val="000000" w:themeColor="text1"/>
        </w:rPr>
        <w:t>A</w:t>
      </w:r>
      <w:r w:rsidRPr="004F4D00">
        <w:rPr>
          <w:color w:val="000000" w:themeColor="text1"/>
        </w:rPr>
        <w:t xml:space="preserve">boriginal and </w:t>
      </w:r>
      <w:proofErr w:type="gramStart"/>
      <w:r w:rsidRPr="004F4D00">
        <w:rPr>
          <w:color w:val="000000" w:themeColor="text1"/>
        </w:rPr>
        <w:t>non-</w:t>
      </w:r>
      <w:r w:rsidR="00CA4574">
        <w:rPr>
          <w:color w:val="000000" w:themeColor="text1"/>
        </w:rPr>
        <w:t>A</w:t>
      </w:r>
      <w:r w:rsidRPr="004F4D00">
        <w:rPr>
          <w:color w:val="000000" w:themeColor="text1"/>
        </w:rPr>
        <w:t>boriginal people in Canada has</w:t>
      </w:r>
      <w:proofErr w:type="gramEnd"/>
      <w:r w:rsidRPr="004F4D00">
        <w:rPr>
          <w:color w:val="000000" w:themeColor="text1"/>
        </w:rPr>
        <w:t xml:space="preserve"> not narrowed over the last severa</w:t>
      </w:r>
      <w:r w:rsidR="007F6B64" w:rsidRPr="004F4D00">
        <w:rPr>
          <w:color w:val="000000" w:themeColor="text1"/>
        </w:rPr>
        <w:t xml:space="preserve">l years, treaty and </w:t>
      </w:r>
      <w:r w:rsidR="00CA4574">
        <w:rPr>
          <w:color w:val="000000" w:themeColor="text1"/>
        </w:rPr>
        <w:t>A</w:t>
      </w:r>
      <w:r w:rsidR="007F6B64" w:rsidRPr="004F4D00">
        <w:rPr>
          <w:color w:val="000000" w:themeColor="text1"/>
        </w:rPr>
        <w:t xml:space="preserve">boriginal </w:t>
      </w:r>
      <w:r w:rsidRPr="004F4D00">
        <w:rPr>
          <w:color w:val="000000" w:themeColor="text1"/>
        </w:rPr>
        <w:t xml:space="preserve">claims remain persistently unresolved, </w:t>
      </w:r>
      <w:r w:rsidR="00CA4574">
        <w:rPr>
          <w:color w:val="000000" w:themeColor="text1"/>
        </w:rPr>
        <w:t>I</w:t>
      </w:r>
      <w:r w:rsidRPr="004F4D00">
        <w:rPr>
          <w:color w:val="000000" w:themeColor="text1"/>
        </w:rPr>
        <w:t xml:space="preserve">ndigenous women and girls remain vulnerable to abuse, and overall there appear to be high levels of distrust among </w:t>
      </w:r>
      <w:r w:rsidR="00CA4574">
        <w:rPr>
          <w:color w:val="000000" w:themeColor="text1"/>
        </w:rPr>
        <w:t>I</w:t>
      </w:r>
      <w:r w:rsidRPr="004F4D00">
        <w:rPr>
          <w:color w:val="000000" w:themeColor="text1"/>
        </w:rPr>
        <w:t xml:space="preserve">ndigenous </w:t>
      </w:r>
      <w:r w:rsidR="00CA4574">
        <w:rPr>
          <w:color w:val="000000" w:themeColor="text1"/>
        </w:rPr>
        <w:t>P</w:t>
      </w:r>
      <w:r w:rsidRPr="004F4D00">
        <w:rPr>
          <w:color w:val="000000" w:themeColor="text1"/>
        </w:rPr>
        <w:t>eoples toward government at both the federal and provincial levels.”</w:t>
      </w:r>
      <w:r w:rsidRPr="00A179B5">
        <w:rPr>
          <w:rStyle w:val="FootnoteReference"/>
          <w:color w:val="000000" w:themeColor="text1"/>
        </w:rPr>
        <w:footnoteReference w:id="73"/>
      </w:r>
      <w:r w:rsidR="00ED0EE6" w:rsidRPr="004F4D00">
        <w:rPr>
          <w:color w:val="000000" w:themeColor="text1"/>
        </w:rPr>
        <w:t xml:space="preserve"> </w:t>
      </w:r>
    </w:p>
    <w:p w14:paraId="2EE82406" w14:textId="77777777" w:rsidR="004F4D00" w:rsidRPr="004F4D00" w:rsidRDefault="004F4D00" w:rsidP="004F4D00">
      <w:pPr>
        <w:pStyle w:val="ListParagraph"/>
        <w:spacing w:before="240"/>
        <w:ind w:left="0"/>
        <w:rPr>
          <w:color w:val="000000" w:themeColor="text1"/>
        </w:rPr>
      </w:pPr>
    </w:p>
    <w:p w14:paraId="1ABAB9F2" w14:textId="73C5BD90" w:rsidR="006406D5" w:rsidRPr="00A179B5" w:rsidRDefault="006406D5" w:rsidP="00F9327E">
      <w:pPr>
        <w:pStyle w:val="ListParagraph"/>
        <w:numPr>
          <w:ilvl w:val="0"/>
          <w:numId w:val="11"/>
        </w:numPr>
        <w:spacing w:before="240"/>
        <w:rPr>
          <w:color w:val="000000" w:themeColor="text1"/>
        </w:rPr>
      </w:pPr>
      <w:r w:rsidRPr="00A179B5">
        <w:rPr>
          <w:color w:val="000000" w:themeColor="text1"/>
        </w:rPr>
        <w:t xml:space="preserve">The continuing organization of Canada-Indigenous relationships under the </w:t>
      </w:r>
      <w:r w:rsidRPr="00A179B5">
        <w:rPr>
          <w:i/>
          <w:color w:val="000000" w:themeColor="text1"/>
        </w:rPr>
        <w:t xml:space="preserve">Indian Act </w:t>
      </w:r>
      <w:r w:rsidR="00CA4574">
        <w:rPr>
          <w:color w:val="000000" w:themeColor="text1"/>
        </w:rPr>
        <w:t>undermin</w:t>
      </w:r>
      <w:r w:rsidRPr="00A179B5">
        <w:rPr>
          <w:color w:val="000000" w:themeColor="text1"/>
        </w:rPr>
        <w:t>es</w:t>
      </w:r>
      <w:r w:rsidR="00CA4574">
        <w:rPr>
          <w:color w:val="000000" w:themeColor="text1"/>
        </w:rPr>
        <w:t xml:space="preserve"> if not systematically precludes</w:t>
      </w:r>
      <w:r w:rsidRPr="00A179B5">
        <w:rPr>
          <w:color w:val="000000" w:themeColor="text1"/>
        </w:rPr>
        <w:t xml:space="preserve"> Indigenous self-government</w:t>
      </w:r>
      <w:r w:rsidR="000D4758" w:rsidRPr="00A179B5">
        <w:rPr>
          <w:color w:val="000000" w:themeColor="text1"/>
        </w:rPr>
        <w:t xml:space="preserve"> by rendering almost all decisions subject to the approval of the Minister of Indian and Northern Affairs Canada, </w:t>
      </w:r>
      <w:r w:rsidR="00CA4574">
        <w:rPr>
          <w:color w:val="000000" w:themeColor="text1"/>
        </w:rPr>
        <w:t>such as</w:t>
      </w:r>
      <w:r w:rsidR="000D4758" w:rsidRPr="00A179B5">
        <w:rPr>
          <w:color w:val="000000" w:themeColor="text1"/>
        </w:rPr>
        <w:t xml:space="preserve"> changes in band by-laws, funding for reserve programs and infrastructure, and leasing of land.</w:t>
      </w:r>
      <w:r w:rsidR="008E7495" w:rsidRPr="00A179B5">
        <w:rPr>
          <w:rStyle w:val="FootnoteReference"/>
          <w:color w:val="000000" w:themeColor="text1"/>
        </w:rPr>
        <w:footnoteReference w:id="74"/>
      </w:r>
    </w:p>
    <w:p w14:paraId="087C427F" w14:textId="77777777" w:rsidR="006406D5" w:rsidRPr="00A179B5" w:rsidRDefault="006406D5" w:rsidP="006406D5">
      <w:pPr>
        <w:pStyle w:val="ListParagraph"/>
        <w:rPr>
          <w:color w:val="000000" w:themeColor="text1"/>
        </w:rPr>
      </w:pPr>
    </w:p>
    <w:p w14:paraId="220FC3DA" w14:textId="04063221" w:rsidR="00942AE8" w:rsidRDefault="00E82A31" w:rsidP="00F9327E">
      <w:pPr>
        <w:pStyle w:val="ListParagraph"/>
        <w:numPr>
          <w:ilvl w:val="0"/>
          <w:numId w:val="11"/>
        </w:numPr>
        <w:spacing w:before="240"/>
        <w:rPr>
          <w:color w:val="000000" w:themeColor="text1"/>
        </w:rPr>
      </w:pPr>
      <w:r w:rsidRPr="00A179B5">
        <w:rPr>
          <w:color w:val="000000" w:themeColor="text1"/>
        </w:rPr>
        <w:t>While Aboriginal rights are enshrined in section 35 of the Canadian Constitution,</w:t>
      </w:r>
      <w:r w:rsidR="00D35980" w:rsidRPr="00A179B5">
        <w:rPr>
          <w:color w:val="000000" w:themeColor="text1"/>
        </w:rPr>
        <w:t xml:space="preserve"> as the State</w:t>
      </w:r>
      <w:r w:rsidR="00440A07" w:rsidRPr="00A179B5">
        <w:rPr>
          <w:color w:val="000000" w:themeColor="text1"/>
        </w:rPr>
        <w:t xml:space="preserve"> notes in its report to the Committee,</w:t>
      </w:r>
      <w:r w:rsidRPr="00A179B5">
        <w:rPr>
          <w:color w:val="000000" w:themeColor="text1"/>
        </w:rPr>
        <w:t xml:space="preserve"> in</w:t>
      </w:r>
      <w:r w:rsidR="00F13B20" w:rsidRPr="00A179B5">
        <w:rPr>
          <w:color w:val="000000" w:themeColor="text1"/>
        </w:rPr>
        <w:t>dividuals attempting to exercise</w:t>
      </w:r>
      <w:r w:rsidRPr="00A179B5">
        <w:rPr>
          <w:color w:val="000000" w:themeColor="text1"/>
        </w:rPr>
        <w:t xml:space="preserve"> these rights have reported encountering racial discrimination by authorities.</w:t>
      </w:r>
      <w:r w:rsidR="006122BE" w:rsidRPr="00A179B5">
        <w:rPr>
          <w:color w:val="000000" w:themeColor="text1"/>
        </w:rPr>
        <w:t xml:space="preserve"> T</w:t>
      </w:r>
      <w:r w:rsidRPr="00A179B5">
        <w:rPr>
          <w:color w:val="000000" w:themeColor="text1"/>
        </w:rPr>
        <w:t xml:space="preserve">he Ontario Human Rights Commission’s 2017 </w:t>
      </w:r>
      <w:r w:rsidR="00ED0EE6" w:rsidRPr="00A179B5">
        <w:rPr>
          <w:color w:val="000000" w:themeColor="text1"/>
        </w:rPr>
        <w:t xml:space="preserve">research </w:t>
      </w:r>
      <w:r w:rsidRPr="00A179B5">
        <w:rPr>
          <w:color w:val="000000" w:themeColor="text1"/>
        </w:rPr>
        <w:t xml:space="preserve">report on racial profiling, </w:t>
      </w:r>
      <w:r w:rsidRPr="00A179B5">
        <w:rPr>
          <w:i/>
          <w:color w:val="000000" w:themeColor="text1"/>
        </w:rPr>
        <w:t>Under Suspicion</w:t>
      </w:r>
      <w:r w:rsidR="00962F82" w:rsidRPr="00A179B5">
        <w:rPr>
          <w:color w:val="000000" w:themeColor="text1"/>
        </w:rPr>
        <w:t>, describes</w:t>
      </w:r>
      <w:r w:rsidRPr="00A179B5">
        <w:rPr>
          <w:color w:val="000000" w:themeColor="text1"/>
        </w:rPr>
        <w:t xml:space="preserve"> how </w:t>
      </w:r>
      <w:r w:rsidR="006122BE" w:rsidRPr="00A179B5">
        <w:rPr>
          <w:color w:val="000000" w:themeColor="text1"/>
        </w:rPr>
        <w:t xml:space="preserve">Indigenous </w:t>
      </w:r>
      <w:r w:rsidR="00CA4574">
        <w:rPr>
          <w:color w:val="000000" w:themeColor="text1"/>
        </w:rPr>
        <w:t>P</w:t>
      </w:r>
      <w:r w:rsidR="006122BE" w:rsidRPr="00A179B5">
        <w:rPr>
          <w:color w:val="000000" w:themeColor="text1"/>
        </w:rPr>
        <w:t xml:space="preserve">eople exercising their harvesting rights have been subjected to extreme scrutiny by conservation officers, and </w:t>
      </w:r>
      <w:r w:rsidR="00346248" w:rsidRPr="00A179B5">
        <w:rPr>
          <w:color w:val="000000" w:themeColor="text1"/>
        </w:rPr>
        <w:t>wrongfully charged and</w:t>
      </w:r>
      <w:r w:rsidR="006122BE" w:rsidRPr="00A179B5">
        <w:rPr>
          <w:color w:val="000000" w:themeColor="text1"/>
        </w:rPr>
        <w:t xml:space="preserve"> prosecuted for hunting, fishing, or trapping without a licence</w:t>
      </w:r>
      <w:r w:rsidR="00ED0EE6" w:rsidRPr="00A179B5">
        <w:rPr>
          <w:color w:val="000000" w:themeColor="text1"/>
        </w:rPr>
        <w:t>.</w:t>
      </w:r>
      <w:r w:rsidRPr="00A179B5">
        <w:rPr>
          <w:rStyle w:val="FootnoteReference"/>
          <w:color w:val="000000" w:themeColor="text1"/>
        </w:rPr>
        <w:footnoteReference w:id="75"/>
      </w:r>
      <w:r w:rsidR="00D35980" w:rsidRPr="00A179B5">
        <w:rPr>
          <w:color w:val="000000" w:themeColor="text1"/>
        </w:rPr>
        <w:t xml:space="preserve"> </w:t>
      </w:r>
    </w:p>
    <w:p w14:paraId="51D94122" w14:textId="77777777" w:rsidR="00942AE8" w:rsidRPr="00942AE8" w:rsidRDefault="00942AE8" w:rsidP="00942AE8">
      <w:pPr>
        <w:pStyle w:val="ListParagraph"/>
        <w:rPr>
          <w:color w:val="000000" w:themeColor="text1"/>
        </w:rPr>
      </w:pPr>
    </w:p>
    <w:p w14:paraId="16A4A55F" w14:textId="7CBDD65B" w:rsidR="006225E8" w:rsidRPr="00A179B5" w:rsidRDefault="000C003E" w:rsidP="00F9327E">
      <w:pPr>
        <w:pStyle w:val="ListParagraph"/>
        <w:numPr>
          <w:ilvl w:val="0"/>
          <w:numId w:val="11"/>
        </w:numPr>
        <w:spacing w:before="240"/>
        <w:rPr>
          <w:color w:val="000000" w:themeColor="text1"/>
        </w:rPr>
      </w:pPr>
      <w:r w:rsidRPr="00A179B5">
        <w:rPr>
          <w:color w:val="000000" w:themeColor="text1"/>
        </w:rPr>
        <w:t xml:space="preserve">In 2016, Canada removed its permanent objector status to the </w:t>
      </w:r>
      <w:r w:rsidRPr="00A179B5">
        <w:rPr>
          <w:i/>
          <w:color w:val="000000" w:themeColor="text1"/>
        </w:rPr>
        <w:t>United Nations Declaration on the Rights of Indigenous Peoples</w:t>
      </w:r>
      <w:r w:rsidR="00FF5631">
        <w:rPr>
          <w:i/>
          <w:color w:val="000000" w:themeColor="text1"/>
        </w:rPr>
        <w:t xml:space="preserve"> </w:t>
      </w:r>
      <w:r w:rsidR="00FF5631">
        <w:rPr>
          <w:color w:val="000000" w:themeColor="text1"/>
        </w:rPr>
        <w:t>(UNDRIP)</w:t>
      </w:r>
      <w:r w:rsidRPr="00A179B5">
        <w:rPr>
          <w:color w:val="000000" w:themeColor="text1"/>
        </w:rPr>
        <w:t>, including</w:t>
      </w:r>
      <w:r w:rsidR="00AF5D3E" w:rsidRPr="00A179B5">
        <w:rPr>
          <w:color w:val="000000" w:themeColor="text1"/>
        </w:rPr>
        <w:t xml:space="preserve"> its previous objections</w:t>
      </w:r>
      <w:r w:rsidR="001F50B7" w:rsidRPr="00A179B5">
        <w:rPr>
          <w:color w:val="000000" w:themeColor="text1"/>
        </w:rPr>
        <w:t xml:space="preserve"> to the requirement that states</w:t>
      </w:r>
      <w:r w:rsidR="00AF5D3E" w:rsidRPr="00A179B5">
        <w:rPr>
          <w:color w:val="000000" w:themeColor="text1"/>
        </w:rPr>
        <w:t xml:space="preserve"> obtain “free, prior and informed consent” from Indigenous </w:t>
      </w:r>
      <w:r w:rsidR="00DC59A9">
        <w:rPr>
          <w:color w:val="000000" w:themeColor="text1"/>
        </w:rPr>
        <w:t>P</w:t>
      </w:r>
      <w:r w:rsidR="00AF5D3E" w:rsidRPr="00A179B5">
        <w:rPr>
          <w:color w:val="000000" w:themeColor="text1"/>
        </w:rPr>
        <w:t xml:space="preserve">eoples </w:t>
      </w:r>
      <w:r w:rsidR="00190A1C" w:rsidRPr="00A179B5">
        <w:rPr>
          <w:color w:val="000000" w:themeColor="text1"/>
        </w:rPr>
        <w:t>before</w:t>
      </w:r>
      <w:r w:rsidR="00AF5D3E" w:rsidRPr="00A179B5">
        <w:rPr>
          <w:color w:val="000000" w:themeColor="text1"/>
        </w:rPr>
        <w:t xml:space="preserve"> </w:t>
      </w:r>
      <w:r w:rsidR="00190A1C" w:rsidRPr="00A179B5">
        <w:rPr>
          <w:color w:val="000000" w:themeColor="text1"/>
        </w:rPr>
        <w:t>“</w:t>
      </w:r>
      <w:r w:rsidR="00AF5D3E" w:rsidRPr="00A179B5">
        <w:rPr>
          <w:color w:val="000000" w:themeColor="text1"/>
        </w:rPr>
        <w:t>the approval of any project affecting their lands or territories</w:t>
      </w:r>
      <w:r w:rsidRPr="00A179B5">
        <w:rPr>
          <w:color w:val="000000" w:themeColor="text1"/>
        </w:rPr>
        <w:t>.</w:t>
      </w:r>
      <w:r w:rsidR="00AF5D3E" w:rsidRPr="00A179B5">
        <w:rPr>
          <w:color w:val="000000" w:themeColor="text1"/>
        </w:rPr>
        <w:t>”</w:t>
      </w:r>
      <w:r w:rsidR="00AF5D3E" w:rsidRPr="00A179B5">
        <w:rPr>
          <w:rStyle w:val="FootnoteReference"/>
          <w:color w:val="000000" w:themeColor="text1"/>
        </w:rPr>
        <w:footnoteReference w:id="76"/>
      </w:r>
      <w:r w:rsidR="00AF5D3E" w:rsidRPr="00A179B5">
        <w:rPr>
          <w:color w:val="000000" w:themeColor="text1"/>
        </w:rPr>
        <w:t xml:space="preserve"> </w:t>
      </w:r>
      <w:r w:rsidR="00075D8B" w:rsidRPr="00A179B5">
        <w:rPr>
          <w:color w:val="000000" w:themeColor="text1"/>
        </w:rPr>
        <w:t xml:space="preserve">However, there are several </w:t>
      </w:r>
      <w:r w:rsidR="00DC59A9">
        <w:rPr>
          <w:color w:val="000000" w:themeColor="text1"/>
        </w:rPr>
        <w:t xml:space="preserve">major </w:t>
      </w:r>
      <w:r w:rsidR="00075D8B" w:rsidRPr="00A179B5">
        <w:rPr>
          <w:color w:val="000000" w:themeColor="text1"/>
        </w:rPr>
        <w:t>development projects that continue to progress against the protests of affected Indigenous communities, including</w:t>
      </w:r>
      <w:r w:rsidR="00190A1C" w:rsidRPr="00A179B5">
        <w:rPr>
          <w:color w:val="000000" w:themeColor="text1"/>
        </w:rPr>
        <w:t xml:space="preserve"> (but not limited to)</w:t>
      </w:r>
      <w:r w:rsidR="00075D8B" w:rsidRPr="00A179B5">
        <w:rPr>
          <w:color w:val="000000" w:themeColor="text1"/>
        </w:rPr>
        <w:t>: the Pacific Northwest LNG export terminal; the Site C dam</w:t>
      </w:r>
      <w:r w:rsidR="00DC59A9">
        <w:rPr>
          <w:color w:val="000000" w:themeColor="text1"/>
        </w:rPr>
        <w:t xml:space="preserve"> in British Columbia</w:t>
      </w:r>
      <w:r w:rsidR="00075D8B" w:rsidRPr="00A179B5">
        <w:rPr>
          <w:color w:val="000000" w:themeColor="text1"/>
        </w:rPr>
        <w:t xml:space="preserve">; the Kinder Morgan </w:t>
      </w:r>
      <w:r w:rsidR="00190A1C" w:rsidRPr="00A179B5">
        <w:rPr>
          <w:color w:val="000000" w:themeColor="text1"/>
        </w:rPr>
        <w:t xml:space="preserve">Trans-Mountain Pipeline; </w:t>
      </w:r>
      <w:r w:rsidR="00075D8B" w:rsidRPr="00A179B5">
        <w:rPr>
          <w:color w:val="000000" w:themeColor="text1"/>
        </w:rPr>
        <w:t>the Enbridge Line 3 pipeline</w:t>
      </w:r>
      <w:r w:rsidR="00190A1C" w:rsidRPr="00A179B5">
        <w:rPr>
          <w:color w:val="000000" w:themeColor="text1"/>
        </w:rPr>
        <w:t>; and explor</w:t>
      </w:r>
      <w:r w:rsidR="00DC2718" w:rsidRPr="00A179B5">
        <w:rPr>
          <w:color w:val="000000" w:themeColor="text1"/>
        </w:rPr>
        <w:t>atory drilling by</w:t>
      </w:r>
      <w:r w:rsidR="00190A1C" w:rsidRPr="00A179B5">
        <w:rPr>
          <w:color w:val="000000" w:themeColor="text1"/>
        </w:rPr>
        <w:t xml:space="preserve"> Copper One at Barriere Lake</w:t>
      </w:r>
      <w:r w:rsidR="00075D8B" w:rsidRPr="00A179B5">
        <w:rPr>
          <w:color w:val="000000" w:themeColor="text1"/>
        </w:rPr>
        <w:t>.</w:t>
      </w:r>
      <w:r w:rsidR="00B53B07">
        <w:rPr>
          <w:rStyle w:val="FootnoteReference"/>
          <w:color w:val="000000" w:themeColor="text1"/>
        </w:rPr>
        <w:footnoteReference w:id="77"/>
      </w:r>
    </w:p>
    <w:p w14:paraId="4568F631" w14:textId="77777777" w:rsidR="00E409B5" w:rsidRPr="00A179B5" w:rsidRDefault="00E409B5" w:rsidP="00E409B5">
      <w:pPr>
        <w:pStyle w:val="ListParagraph"/>
        <w:spacing w:before="240"/>
        <w:ind w:left="0"/>
        <w:rPr>
          <w:color w:val="000000" w:themeColor="text1"/>
        </w:rPr>
      </w:pPr>
    </w:p>
    <w:p w14:paraId="66B996FB" w14:textId="19D54E02" w:rsidR="00164691" w:rsidRDefault="00A95A62" w:rsidP="00942AE8">
      <w:pPr>
        <w:pStyle w:val="ListParagraph"/>
        <w:numPr>
          <w:ilvl w:val="0"/>
          <w:numId w:val="11"/>
        </w:numPr>
        <w:spacing w:before="240"/>
        <w:rPr>
          <w:color w:val="000000" w:themeColor="text1"/>
        </w:rPr>
      </w:pPr>
      <w:r w:rsidRPr="00A179B5">
        <w:rPr>
          <w:color w:val="000000" w:themeColor="text1"/>
        </w:rPr>
        <w:t xml:space="preserve">Living conditions on reserves deny Indigenous </w:t>
      </w:r>
      <w:r w:rsidR="00DC59A9">
        <w:rPr>
          <w:color w:val="000000" w:themeColor="text1"/>
        </w:rPr>
        <w:t>P</w:t>
      </w:r>
      <w:r w:rsidRPr="00A179B5">
        <w:rPr>
          <w:color w:val="000000" w:themeColor="text1"/>
        </w:rPr>
        <w:t>eoples safe water and adequate housing.</w:t>
      </w:r>
      <w:r w:rsidR="00190A1C" w:rsidRPr="00A179B5">
        <w:rPr>
          <w:color w:val="000000" w:themeColor="text1"/>
        </w:rPr>
        <w:t xml:space="preserve"> </w:t>
      </w:r>
      <w:r w:rsidR="009D7FB1" w:rsidRPr="00A179B5">
        <w:rPr>
          <w:color w:val="000000" w:themeColor="text1"/>
        </w:rPr>
        <w:t>As of January 2016, there were 134 drinking water advisories</w:t>
      </w:r>
      <w:r w:rsidR="009B448C" w:rsidRPr="00A179B5">
        <w:rPr>
          <w:color w:val="000000" w:themeColor="text1"/>
        </w:rPr>
        <w:t xml:space="preserve"> </w:t>
      </w:r>
      <w:r w:rsidR="009D7FB1" w:rsidRPr="00A179B5">
        <w:rPr>
          <w:color w:val="000000" w:themeColor="text1"/>
        </w:rPr>
        <w:t>– 90 of them in Ontario – for Indigenous reserves across Canada.</w:t>
      </w:r>
      <w:r w:rsidR="00190A1C" w:rsidRPr="00A179B5">
        <w:rPr>
          <w:color w:val="000000" w:themeColor="text1"/>
        </w:rPr>
        <w:t xml:space="preserve"> </w:t>
      </w:r>
      <w:r w:rsidR="009D7FB1" w:rsidRPr="00A179B5">
        <w:rPr>
          <w:color w:val="000000" w:themeColor="text1"/>
        </w:rPr>
        <w:t>According to Human Rights Watch, factors contributing to the water crisis include: the lack of binding regulations on water quality on First Nations reserves; persistent under-funding and arbitrary budgeting for water sys</w:t>
      </w:r>
      <w:r w:rsidR="00CD2E60" w:rsidRPr="00A179B5">
        <w:rPr>
          <w:color w:val="000000" w:themeColor="text1"/>
        </w:rPr>
        <w:t>tem costs</w:t>
      </w:r>
      <w:r w:rsidR="009D7FB1" w:rsidRPr="00A179B5">
        <w:rPr>
          <w:color w:val="000000" w:themeColor="text1"/>
        </w:rPr>
        <w:t>; lack of support for household water and wastewater systems; worsening conditions of source water; and lack of capacity and support for water operators.</w:t>
      </w:r>
      <w:r w:rsidR="009D7FB1" w:rsidRPr="00A179B5">
        <w:rPr>
          <w:rStyle w:val="FootnoteReference"/>
          <w:color w:val="000000" w:themeColor="text1"/>
        </w:rPr>
        <w:footnoteReference w:id="78"/>
      </w:r>
      <w:r w:rsidR="00942AE8">
        <w:rPr>
          <w:color w:val="000000" w:themeColor="text1"/>
        </w:rPr>
        <w:t xml:space="preserve"> </w:t>
      </w:r>
    </w:p>
    <w:p w14:paraId="1383A60C" w14:textId="77777777" w:rsidR="008D7C74" w:rsidRPr="008D7C74" w:rsidRDefault="008D7C74" w:rsidP="008D7C74">
      <w:pPr>
        <w:pStyle w:val="ListParagraph"/>
        <w:rPr>
          <w:color w:val="000000" w:themeColor="text1"/>
        </w:rPr>
      </w:pPr>
    </w:p>
    <w:p w14:paraId="0BC80565" w14:textId="07F81973" w:rsidR="008D7C74" w:rsidRDefault="008D7C74" w:rsidP="00942AE8">
      <w:pPr>
        <w:pStyle w:val="ListParagraph"/>
        <w:numPr>
          <w:ilvl w:val="0"/>
          <w:numId w:val="11"/>
        </w:numPr>
        <w:spacing w:before="240"/>
        <w:rPr>
          <w:color w:val="000000" w:themeColor="text1"/>
        </w:rPr>
      </w:pPr>
      <w:r>
        <w:rPr>
          <w:color w:val="000000" w:themeColor="text1"/>
        </w:rPr>
        <w:t>In 2013, approximately one-quarter of Indigenous adults lived in overcrowded homes, and nearly half of these were in states of serious disrepair.</w:t>
      </w:r>
      <w:r w:rsidRPr="008D7C74">
        <w:rPr>
          <w:rStyle w:val="FootnoteReference"/>
          <w:color w:val="000000" w:themeColor="text1"/>
          <w:shd w:val="clear" w:color="auto" w:fill="FAFAFA"/>
        </w:rPr>
        <w:footnoteReference w:id="79"/>
      </w:r>
      <w:r>
        <w:rPr>
          <w:color w:val="000000" w:themeColor="text1"/>
        </w:rPr>
        <w:t xml:space="preserve"> Government investments are inadequate to address these deficits.</w:t>
      </w:r>
      <w:r w:rsidRPr="008D7C74">
        <w:rPr>
          <w:rStyle w:val="FootnoteReference"/>
          <w:color w:val="000000" w:themeColor="text1"/>
        </w:rPr>
        <w:t xml:space="preserve"> </w:t>
      </w:r>
      <w:r w:rsidRPr="008D7C74">
        <w:rPr>
          <w:rStyle w:val="FootnoteReference"/>
          <w:color w:val="000000" w:themeColor="text1"/>
        </w:rPr>
        <w:footnoteReference w:id="80"/>
      </w:r>
    </w:p>
    <w:p w14:paraId="2767DDC0" w14:textId="77777777" w:rsidR="004F4D00" w:rsidRPr="004F4D00" w:rsidRDefault="004F4D00" w:rsidP="004F4D00">
      <w:pPr>
        <w:pStyle w:val="ListParagraph"/>
        <w:rPr>
          <w:color w:val="000000" w:themeColor="text1"/>
        </w:rPr>
      </w:pPr>
    </w:p>
    <w:p w14:paraId="56B2E19F" w14:textId="1C2ABFF3" w:rsidR="007F6B64" w:rsidRPr="00A179B5" w:rsidRDefault="00190A1C" w:rsidP="00535311">
      <w:pPr>
        <w:pStyle w:val="ListParagraph"/>
        <w:numPr>
          <w:ilvl w:val="0"/>
          <w:numId w:val="11"/>
        </w:numPr>
        <w:spacing w:before="240"/>
        <w:rPr>
          <w:color w:val="000000" w:themeColor="text1"/>
        </w:rPr>
      </w:pPr>
      <w:r w:rsidRPr="00A179B5">
        <w:rPr>
          <w:color w:val="000000" w:themeColor="text1"/>
        </w:rPr>
        <w:t xml:space="preserve">In </w:t>
      </w:r>
      <w:r w:rsidR="009B448C" w:rsidRPr="00A179B5">
        <w:rPr>
          <w:color w:val="000000" w:themeColor="text1"/>
        </w:rPr>
        <w:t xml:space="preserve">January </w:t>
      </w:r>
      <w:r w:rsidRPr="00A179B5">
        <w:rPr>
          <w:color w:val="000000" w:themeColor="text1"/>
        </w:rPr>
        <w:t xml:space="preserve">2016, the </w:t>
      </w:r>
      <w:r w:rsidR="009B448C" w:rsidRPr="00A179B5">
        <w:rPr>
          <w:color w:val="000000" w:themeColor="text1"/>
        </w:rPr>
        <w:t>Canadian Human Rights Tribunal (CHRT)</w:t>
      </w:r>
      <w:r w:rsidRPr="00A179B5">
        <w:rPr>
          <w:color w:val="000000" w:themeColor="text1"/>
        </w:rPr>
        <w:t xml:space="preserve"> issued a decision finding that the Canadian government has been racially discriminating against Indigenous children, by</w:t>
      </w:r>
      <w:r w:rsidR="009B448C" w:rsidRPr="00A179B5">
        <w:rPr>
          <w:color w:val="000000" w:themeColor="text1"/>
        </w:rPr>
        <w:t xml:space="preserve"> consistently</w:t>
      </w:r>
      <w:r w:rsidRPr="00A179B5">
        <w:rPr>
          <w:color w:val="000000" w:themeColor="text1"/>
        </w:rPr>
        <w:t xml:space="preserve"> underfunding child </w:t>
      </w:r>
      <w:r w:rsidR="009B448C" w:rsidRPr="00A179B5">
        <w:rPr>
          <w:color w:val="000000" w:themeColor="text1"/>
        </w:rPr>
        <w:t xml:space="preserve">and family </w:t>
      </w:r>
      <w:r w:rsidRPr="00A179B5">
        <w:rPr>
          <w:color w:val="000000" w:themeColor="text1"/>
        </w:rPr>
        <w:t>services on reserves</w:t>
      </w:r>
      <w:r w:rsidR="008537C9">
        <w:rPr>
          <w:color w:val="000000" w:themeColor="text1"/>
        </w:rPr>
        <w:t xml:space="preserve"> and inadequately implementing Jordan’s Principle (which </w:t>
      </w:r>
      <w:r w:rsidR="008537C9" w:rsidRPr="00A179B5">
        <w:rPr>
          <w:color w:val="000000" w:themeColor="text1"/>
        </w:rPr>
        <w:t>is meant to ensure that the governme</w:t>
      </w:r>
      <w:r w:rsidR="008537C9">
        <w:rPr>
          <w:color w:val="000000" w:themeColor="text1"/>
        </w:rPr>
        <w:t>nt of first contact pays for health</w:t>
      </w:r>
      <w:r w:rsidR="008537C9" w:rsidRPr="00A179B5">
        <w:rPr>
          <w:color w:val="000000" w:themeColor="text1"/>
        </w:rPr>
        <w:t xml:space="preserve"> service</w:t>
      </w:r>
      <w:r w:rsidR="008537C9">
        <w:rPr>
          <w:color w:val="000000" w:themeColor="text1"/>
        </w:rPr>
        <w:t>s without delay)</w:t>
      </w:r>
      <w:r w:rsidRPr="00A179B5">
        <w:rPr>
          <w:color w:val="000000" w:themeColor="text1"/>
        </w:rPr>
        <w:t>.</w:t>
      </w:r>
      <w:r w:rsidR="009B448C" w:rsidRPr="00A179B5">
        <w:rPr>
          <w:rStyle w:val="FootnoteReference"/>
          <w:color w:val="000000" w:themeColor="text1"/>
        </w:rPr>
        <w:footnoteReference w:id="81"/>
      </w:r>
      <w:r w:rsidRPr="00A179B5">
        <w:rPr>
          <w:color w:val="000000" w:themeColor="text1"/>
        </w:rPr>
        <w:t xml:space="preserve"> </w:t>
      </w:r>
      <w:r w:rsidR="009B448C" w:rsidRPr="00A179B5">
        <w:rPr>
          <w:color w:val="000000" w:themeColor="text1"/>
        </w:rPr>
        <w:t>The First Nations Child and Family Caring Society estimate</w:t>
      </w:r>
      <w:r w:rsidR="008C54F0" w:rsidRPr="00A179B5">
        <w:rPr>
          <w:color w:val="000000" w:themeColor="text1"/>
        </w:rPr>
        <w:t>d that the immediate funding shortfall is at least $155 million.</w:t>
      </w:r>
      <w:r w:rsidR="008C54F0" w:rsidRPr="00A179B5">
        <w:rPr>
          <w:rStyle w:val="FootnoteReference"/>
          <w:color w:val="000000" w:themeColor="text1"/>
        </w:rPr>
        <w:footnoteReference w:id="82"/>
      </w:r>
      <w:r w:rsidR="009B448C" w:rsidRPr="00A179B5">
        <w:rPr>
          <w:color w:val="000000" w:themeColor="text1"/>
        </w:rPr>
        <w:t xml:space="preserve"> </w:t>
      </w:r>
      <w:r w:rsidR="00642E10" w:rsidRPr="00A179B5">
        <w:rPr>
          <w:color w:val="000000" w:themeColor="text1"/>
        </w:rPr>
        <w:t>However, the government continues to be in breach of the CHRT’s order to equalize funding for child services on- and off-reserve</w:t>
      </w:r>
      <w:r w:rsidR="008C7614">
        <w:rPr>
          <w:color w:val="000000" w:themeColor="text1"/>
        </w:rPr>
        <w:t>. T</w:t>
      </w:r>
      <w:r w:rsidR="009B448C" w:rsidRPr="00A179B5">
        <w:rPr>
          <w:color w:val="000000" w:themeColor="text1"/>
        </w:rPr>
        <w:t xml:space="preserve">he Tribunal has issued </w:t>
      </w:r>
      <w:r w:rsidR="008537C9">
        <w:rPr>
          <w:color w:val="000000" w:themeColor="text1"/>
        </w:rPr>
        <w:t>three</w:t>
      </w:r>
      <w:r w:rsidR="009B448C" w:rsidRPr="00A179B5">
        <w:rPr>
          <w:color w:val="000000" w:themeColor="text1"/>
        </w:rPr>
        <w:t xml:space="preserve"> non-compliance orders against the government since the ruling</w:t>
      </w:r>
      <w:r w:rsidR="008537C9">
        <w:rPr>
          <w:color w:val="000000" w:themeColor="text1"/>
        </w:rPr>
        <w:t>; the latest order, issued in May 2017, found that the</w:t>
      </w:r>
      <w:r w:rsidR="002153BE">
        <w:rPr>
          <w:color w:val="000000" w:themeColor="text1"/>
        </w:rPr>
        <w:t xml:space="preserve"> federal</w:t>
      </w:r>
      <w:r w:rsidR="008537C9">
        <w:rPr>
          <w:color w:val="000000" w:themeColor="text1"/>
        </w:rPr>
        <w:t xml:space="preserve"> govern</w:t>
      </w:r>
      <w:r w:rsidR="002153BE">
        <w:rPr>
          <w:color w:val="000000" w:themeColor="text1"/>
        </w:rPr>
        <w:t>ment’s failure to properly actualize Jordan’s Principle was partially responsible for the suicide deaths of two twelve-year-old Indigenous girls</w:t>
      </w:r>
      <w:r w:rsidR="009B448C" w:rsidRPr="00A179B5">
        <w:rPr>
          <w:color w:val="000000" w:themeColor="text1"/>
        </w:rPr>
        <w:t>.</w:t>
      </w:r>
      <w:r w:rsidR="00094CB8">
        <w:rPr>
          <w:rStyle w:val="FootnoteReference"/>
          <w:color w:val="000000" w:themeColor="text1"/>
        </w:rPr>
        <w:footnoteReference w:id="83"/>
      </w:r>
      <w:r w:rsidR="00535311" w:rsidRPr="00535311">
        <w:t xml:space="preserve"> </w:t>
      </w:r>
      <w:r w:rsidR="00E87FAB">
        <w:rPr>
          <w:color w:val="000000" w:themeColor="text1"/>
        </w:rPr>
        <w:t>Rather</w:t>
      </w:r>
      <w:r w:rsidR="00535311" w:rsidRPr="0021026C">
        <w:rPr>
          <w:color w:val="000000" w:themeColor="text1"/>
        </w:rPr>
        <w:t xml:space="preserve"> than implementing the order </w:t>
      </w:r>
      <w:r w:rsidR="000E1799">
        <w:rPr>
          <w:color w:val="000000" w:themeColor="text1"/>
        </w:rPr>
        <w:t xml:space="preserve">as </w:t>
      </w:r>
      <w:r w:rsidR="00535311" w:rsidRPr="0021026C">
        <w:rPr>
          <w:color w:val="000000" w:themeColor="text1"/>
        </w:rPr>
        <w:t xml:space="preserve">issued by </w:t>
      </w:r>
      <w:r w:rsidR="000E1799" w:rsidRPr="0021026C">
        <w:rPr>
          <w:color w:val="000000" w:themeColor="text1"/>
        </w:rPr>
        <w:t xml:space="preserve">the </w:t>
      </w:r>
      <w:r w:rsidR="00535311" w:rsidRPr="0021026C">
        <w:rPr>
          <w:color w:val="000000" w:themeColor="text1"/>
        </w:rPr>
        <w:t>CHRT, in June 2017, the Federal Government brought an application for judicial review of the CHRT decision to the Federal Court, arguing that the decision was unreasonable.</w:t>
      </w:r>
    </w:p>
    <w:p w14:paraId="2786668E" w14:textId="77777777" w:rsidR="00E409B5" w:rsidRPr="00A179B5" w:rsidRDefault="00E409B5" w:rsidP="00E409B5">
      <w:pPr>
        <w:pStyle w:val="ListParagraph"/>
        <w:spacing w:before="240"/>
        <w:ind w:left="0"/>
        <w:rPr>
          <w:color w:val="000000" w:themeColor="text1"/>
        </w:rPr>
      </w:pPr>
    </w:p>
    <w:p w14:paraId="6A192E99" w14:textId="1ED2E85D" w:rsidR="00187854" w:rsidRDefault="008C54F0" w:rsidP="00F9327E">
      <w:pPr>
        <w:pStyle w:val="ListParagraph"/>
        <w:numPr>
          <w:ilvl w:val="0"/>
          <w:numId w:val="11"/>
        </w:numPr>
        <w:spacing w:before="240"/>
        <w:rPr>
          <w:color w:val="000000" w:themeColor="text1"/>
        </w:rPr>
      </w:pPr>
      <w:r w:rsidRPr="00A179B5">
        <w:rPr>
          <w:color w:val="000000" w:themeColor="text1"/>
        </w:rPr>
        <w:t>The Truth and Reconciliation Commission</w:t>
      </w:r>
      <w:r w:rsidR="001848A6">
        <w:rPr>
          <w:color w:val="000000" w:themeColor="text1"/>
        </w:rPr>
        <w:t xml:space="preserve"> – </w:t>
      </w:r>
      <w:r w:rsidR="002943CB">
        <w:rPr>
          <w:color w:val="000000" w:themeColor="text1"/>
        </w:rPr>
        <w:t xml:space="preserve">which reviewed the long history of residential schools that removed Indigenous children from their families and attempted to eliminate Indigenous </w:t>
      </w:r>
      <w:r w:rsidR="000E1799">
        <w:rPr>
          <w:color w:val="000000" w:themeColor="text1"/>
        </w:rPr>
        <w:t xml:space="preserve">spirituality, </w:t>
      </w:r>
      <w:r w:rsidR="002943CB">
        <w:rPr>
          <w:color w:val="000000" w:themeColor="text1"/>
        </w:rPr>
        <w:t>culture, identities and practices</w:t>
      </w:r>
      <w:r w:rsidR="001848A6">
        <w:rPr>
          <w:color w:val="000000" w:themeColor="text1"/>
        </w:rPr>
        <w:t xml:space="preserve"> – </w:t>
      </w:r>
      <w:r w:rsidRPr="00A179B5">
        <w:rPr>
          <w:color w:val="000000" w:themeColor="text1"/>
        </w:rPr>
        <w:t>issued</w:t>
      </w:r>
      <w:r w:rsidR="00A95A62" w:rsidRPr="00A179B5">
        <w:rPr>
          <w:color w:val="000000" w:themeColor="text1"/>
        </w:rPr>
        <w:t xml:space="preserve"> ninety-four</w:t>
      </w:r>
      <w:r w:rsidRPr="00A179B5">
        <w:rPr>
          <w:color w:val="000000" w:themeColor="text1"/>
        </w:rPr>
        <w:t xml:space="preserve"> Calls to </w:t>
      </w:r>
      <w:r w:rsidR="00A95A62" w:rsidRPr="00A179B5">
        <w:rPr>
          <w:color w:val="000000" w:themeColor="text1"/>
        </w:rPr>
        <w:t xml:space="preserve">Action in its </w:t>
      </w:r>
      <w:r w:rsidR="002943CB">
        <w:rPr>
          <w:color w:val="000000" w:themeColor="text1"/>
        </w:rPr>
        <w:t xml:space="preserve">2015 final </w:t>
      </w:r>
      <w:r w:rsidR="00A95A62" w:rsidRPr="00A179B5">
        <w:rPr>
          <w:color w:val="000000" w:themeColor="text1"/>
        </w:rPr>
        <w:t xml:space="preserve">report, in areas </w:t>
      </w:r>
      <w:r w:rsidR="000E1799">
        <w:rPr>
          <w:color w:val="000000" w:themeColor="text1"/>
        </w:rPr>
        <w:t xml:space="preserve">which </w:t>
      </w:r>
      <w:r w:rsidR="00A95A62" w:rsidRPr="00A179B5">
        <w:rPr>
          <w:color w:val="000000" w:themeColor="text1"/>
        </w:rPr>
        <w:t>includ</w:t>
      </w:r>
      <w:r w:rsidR="000E1799">
        <w:rPr>
          <w:color w:val="000000" w:themeColor="text1"/>
        </w:rPr>
        <w:t>e</w:t>
      </w:r>
      <w:r w:rsidR="00A95A62" w:rsidRPr="00A179B5">
        <w:rPr>
          <w:color w:val="000000" w:themeColor="text1"/>
        </w:rPr>
        <w:t xml:space="preserve"> child welfare, education,</w:t>
      </w:r>
      <w:r w:rsidRPr="00A179B5">
        <w:rPr>
          <w:color w:val="000000" w:themeColor="text1"/>
        </w:rPr>
        <w:t xml:space="preserve"> </w:t>
      </w:r>
      <w:r w:rsidR="00A95A62" w:rsidRPr="00A179B5">
        <w:rPr>
          <w:color w:val="000000" w:themeColor="text1"/>
        </w:rPr>
        <w:t>health, the legal system, and the media.</w:t>
      </w:r>
      <w:r w:rsidR="00A95A62" w:rsidRPr="00A179B5">
        <w:rPr>
          <w:rStyle w:val="FootnoteReference"/>
          <w:color w:val="000000" w:themeColor="text1"/>
        </w:rPr>
        <w:footnoteReference w:id="84"/>
      </w:r>
      <w:r w:rsidR="00A95A62" w:rsidRPr="00A179B5">
        <w:rPr>
          <w:color w:val="000000" w:themeColor="text1"/>
        </w:rPr>
        <w:t xml:space="preserve"> </w:t>
      </w:r>
      <w:r w:rsidRPr="00A179B5">
        <w:rPr>
          <w:color w:val="000000" w:themeColor="text1"/>
        </w:rPr>
        <w:t xml:space="preserve">While the </w:t>
      </w:r>
      <w:r w:rsidR="000E1799">
        <w:rPr>
          <w:color w:val="000000" w:themeColor="text1"/>
        </w:rPr>
        <w:t>Federal and other G</w:t>
      </w:r>
      <w:r w:rsidRPr="00A179B5">
        <w:rPr>
          <w:color w:val="000000" w:themeColor="text1"/>
        </w:rPr>
        <w:t>over</w:t>
      </w:r>
      <w:r w:rsidR="00A95A62" w:rsidRPr="00A179B5">
        <w:rPr>
          <w:color w:val="000000" w:themeColor="text1"/>
        </w:rPr>
        <w:t>nment</w:t>
      </w:r>
      <w:r w:rsidR="000E1799">
        <w:rPr>
          <w:color w:val="000000" w:themeColor="text1"/>
        </w:rPr>
        <w:t>s</w:t>
      </w:r>
      <w:r w:rsidR="00A95A62" w:rsidRPr="00A179B5">
        <w:rPr>
          <w:color w:val="000000" w:themeColor="text1"/>
        </w:rPr>
        <w:t xml:space="preserve"> ha</w:t>
      </w:r>
      <w:r w:rsidR="000E1799">
        <w:rPr>
          <w:color w:val="000000" w:themeColor="text1"/>
        </w:rPr>
        <w:t>ve</w:t>
      </w:r>
      <w:r w:rsidR="00A95A62" w:rsidRPr="00A179B5">
        <w:rPr>
          <w:color w:val="000000" w:themeColor="text1"/>
        </w:rPr>
        <w:t xml:space="preserve"> pledged to fulfill</w:t>
      </w:r>
      <w:r w:rsidRPr="00A179B5">
        <w:rPr>
          <w:color w:val="000000" w:themeColor="text1"/>
        </w:rPr>
        <w:t xml:space="preserve"> the </w:t>
      </w:r>
      <w:r w:rsidR="000E1799">
        <w:rPr>
          <w:color w:val="000000" w:themeColor="text1"/>
        </w:rPr>
        <w:t xml:space="preserve">94 </w:t>
      </w:r>
      <w:r w:rsidRPr="00A179B5">
        <w:rPr>
          <w:color w:val="000000" w:themeColor="text1"/>
        </w:rPr>
        <w:t xml:space="preserve">Calls to Action, </w:t>
      </w:r>
      <w:r w:rsidR="00A95A62" w:rsidRPr="00A179B5">
        <w:rPr>
          <w:color w:val="000000" w:themeColor="text1"/>
        </w:rPr>
        <w:t xml:space="preserve">concrete and meaningful action </w:t>
      </w:r>
      <w:r w:rsidR="00FF5631">
        <w:rPr>
          <w:color w:val="000000" w:themeColor="text1"/>
        </w:rPr>
        <w:t xml:space="preserve">and implementation </w:t>
      </w:r>
      <w:r w:rsidR="00A95A62" w:rsidRPr="00A179B5">
        <w:rPr>
          <w:color w:val="000000" w:themeColor="text1"/>
        </w:rPr>
        <w:t>has</w:t>
      </w:r>
      <w:r w:rsidRPr="00A179B5">
        <w:rPr>
          <w:color w:val="000000" w:themeColor="text1"/>
        </w:rPr>
        <w:t xml:space="preserve"> so far been minimal.</w:t>
      </w:r>
    </w:p>
    <w:p w14:paraId="631D9BB1" w14:textId="77777777" w:rsidR="00F838E5" w:rsidRPr="00F838E5" w:rsidRDefault="00F838E5" w:rsidP="00F838E5">
      <w:pPr>
        <w:pStyle w:val="ListParagraph"/>
        <w:rPr>
          <w:color w:val="000000" w:themeColor="text1"/>
        </w:rPr>
      </w:pPr>
    </w:p>
    <w:p w14:paraId="01EAB5AA" w14:textId="69C8427C" w:rsidR="00F838E5" w:rsidRPr="00CA6319" w:rsidRDefault="00F838E5" w:rsidP="00F838E5">
      <w:pPr>
        <w:pStyle w:val="ListParagraph"/>
        <w:spacing w:before="240"/>
        <w:ind w:left="0"/>
        <w:rPr>
          <w:color w:val="000000" w:themeColor="text1"/>
          <w:lang w:val="fr-CA"/>
        </w:rPr>
      </w:pPr>
      <w:r w:rsidRPr="00CA6319">
        <w:rPr>
          <w:b/>
          <w:i/>
          <w:color w:val="000000" w:themeColor="text1"/>
          <w:lang w:val="fr-CA"/>
        </w:rPr>
        <w:t xml:space="preserve">Relevant Articles: </w:t>
      </w:r>
      <w:r w:rsidRPr="00CA6319">
        <w:rPr>
          <w:color w:val="000000" w:themeColor="text1"/>
          <w:lang w:val="fr-CA"/>
        </w:rPr>
        <w:t>5(e</w:t>
      </w:r>
      <w:proofErr w:type="gramStart"/>
      <w:r w:rsidRPr="00CA6319">
        <w:rPr>
          <w:color w:val="000000" w:themeColor="text1"/>
          <w:lang w:val="fr-CA"/>
        </w:rPr>
        <w:t>)</w:t>
      </w:r>
      <w:r w:rsidR="00584674" w:rsidRPr="00CA6319">
        <w:rPr>
          <w:color w:val="000000" w:themeColor="text1"/>
          <w:lang w:val="fr-CA"/>
        </w:rPr>
        <w:t>(</w:t>
      </w:r>
      <w:proofErr w:type="gramEnd"/>
      <w:r w:rsidR="00584674" w:rsidRPr="00CA6319">
        <w:rPr>
          <w:color w:val="000000" w:themeColor="text1"/>
          <w:lang w:val="fr-CA"/>
        </w:rPr>
        <w:t>iii), 5(e)(iv), 5(e)(vi)</w:t>
      </w:r>
    </w:p>
    <w:p w14:paraId="2447DE80" w14:textId="1C48F7BF" w:rsidR="005C2DFC" w:rsidRDefault="005C2DFC" w:rsidP="00E4345F">
      <w:pPr>
        <w:rPr>
          <w:color w:val="000000" w:themeColor="text1"/>
        </w:rPr>
      </w:pPr>
      <w:r w:rsidRPr="00A179B5">
        <w:rPr>
          <w:b/>
          <w:i/>
          <w:color w:val="000000" w:themeColor="text1"/>
        </w:rPr>
        <w:t>Recommendations</w:t>
      </w:r>
      <w:r w:rsidR="007F6B64" w:rsidRPr="00A179B5">
        <w:rPr>
          <w:b/>
          <w:i/>
          <w:color w:val="000000" w:themeColor="text1"/>
        </w:rPr>
        <w:t xml:space="preserve">: </w:t>
      </w:r>
      <w:r w:rsidR="007F6B64" w:rsidRPr="00A179B5">
        <w:rPr>
          <w:color w:val="000000" w:themeColor="text1"/>
        </w:rPr>
        <w:t xml:space="preserve">We ask that </w:t>
      </w:r>
      <w:r w:rsidR="00071E4C">
        <w:rPr>
          <w:color w:val="000000" w:themeColor="text1"/>
        </w:rPr>
        <w:t>the Committee recommend that Canada</w:t>
      </w:r>
      <w:r w:rsidR="00E83B4E" w:rsidRPr="00A179B5">
        <w:rPr>
          <w:color w:val="000000" w:themeColor="text1"/>
        </w:rPr>
        <w:t>: 1)</w:t>
      </w:r>
      <w:r w:rsidR="007F6B64" w:rsidRPr="00A179B5">
        <w:rPr>
          <w:color w:val="000000" w:themeColor="text1"/>
        </w:rPr>
        <w:t xml:space="preserve"> fully</w:t>
      </w:r>
      <w:r w:rsidR="001A2D52" w:rsidRPr="00A179B5">
        <w:rPr>
          <w:color w:val="000000" w:themeColor="text1"/>
        </w:rPr>
        <w:t xml:space="preserve"> and accountably</w:t>
      </w:r>
      <w:r w:rsidR="007F6B64" w:rsidRPr="00A179B5">
        <w:rPr>
          <w:color w:val="000000" w:themeColor="text1"/>
        </w:rPr>
        <w:t xml:space="preserve"> implement all </w:t>
      </w:r>
      <w:r w:rsidR="000E1799">
        <w:rPr>
          <w:color w:val="000000" w:themeColor="text1"/>
        </w:rPr>
        <w:t xml:space="preserve">of </w:t>
      </w:r>
      <w:r w:rsidR="007F6B64" w:rsidRPr="00A179B5">
        <w:rPr>
          <w:color w:val="000000" w:themeColor="text1"/>
        </w:rPr>
        <w:t xml:space="preserve">the Truth and Reconciliation </w:t>
      </w:r>
      <w:r w:rsidR="000E1799">
        <w:rPr>
          <w:color w:val="000000" w:themeColor="text1"/>
        </w:rPr>
        <w:t xml:space="preserve">94 </w:t>
      </w:r>
      <w:r w:rsidR="007F6B64" w:rsidRPr="00A179B5">
        <w:rPr>
          <w:color w:val="000000" w:themeColor="text1"/>
        </w:rPr>
        <w:t>Calls to Action and the provisions of the UNDRIP (particularly regarding the right to fre</w:t>
      </w:r>
      <w:r w:rsidR="00190A1C" w:rsidRPr="00A179B5">
        <w:rPr>
          <w:color w:val="000000" w:themeColor="text1"/>
        </w:rPr>
        <w:t>e, prior, and informed consent</w:t>
      </w:r>
      <w:r w:rsidR="009B448C" w:rsidRPr="00A179B5">
        <w:rPr>
          <w:color w:val="000000" w:themeColor="text1"/>
        </w:rPr>
        <w:t xml:space="preserve">); 2) adhere to the ruling of the CHRT </w:t>
      </w:r>
      <w:r w:rsidR="000E1799">
        <w:rPr>
          <w:color w:val="000000" w:themeColor="text1"/>
        </w:rPr>
        <w:t>by</w:t>
      </w:r>
      <w:r w:rsidR="009B448C" w:rsidRPr="00A179B5">
        <w:rPr>
          <w:color w:val="000000" w:themeColor="text1"/>
        </w:rPr>
        <w:t xml:space="preserve"> adequately fund</w:t>
      </w:r>
      <w:r w:rsidR="000E1799">
        <w:rPr>
          <w:color w:val="000000" w:themeColor="text1"/>
        </w:rPr>
        <w:t>ing</w:t>
      </w:r>
      <w:r w:rsidR="009B448C" w:rsidRPr="00A179B5">
        <w:rPr>
          <w:color w:val="000000" w:themeColor="text1"/>
        </w:rPr>
        <w:t xml:space="preserve"> child services on reserves</w:t>
      </w:r>
      <w:r w:rsidR="00211D1D">
        <w:rPr>
          <w:color w:val="000000" w:themeColor="text1"/>
        </w:rPr>
        <w:t>,</w:t>
      </w:r>
      <w:r w:rsidR="00EA61AF">
        <w:rPr>
          <w:color w:val="000000" w:themeColor="text1"/>
        </w:rPr>
        <w:t xml:space="preserve"> and fully implement Jordan’s Principle</w:t>
      </w:r>
      <w:r w:rsidR="008C54F0" w:rsidRPr="00A179B5">
        <w:rPr>
          <w:color w:val="000000" w:themeColor="text1"/>
        </w:rPr>
        <w:t xml:space="preserve">; 3) </w:t>
      </w:r>
      <w:r w:rsidR="00211D1D">
        <w:rPr>
          <w:color w:val="000000" w:themeColor="text1"/>
        </w:rPr>
        <w:t xml:space="preserve">acknowledge, </w:t>
      </w:r>
      <w:r w:rsidR="008C54F0" w:rsidRPr="00A179B5">
        <w:rPr>
          <w:color w:val="000000" w:themeColor="text1"/>
        </w:rPr>
        <w:t>fortify and expand Indigenous self-government</w:t>
      </w:r>
      <w:r w:rsidR="00A95A62" w:rsidRPr="00A179B5">
        <w:rPr>
          <w:color w:val="000000" w:themeColor="text1"/>
        </w:rPr>
        <w:t xml:space="preserve"> </w:t>
      </w:r>
      <w:r w:rsidR="00211D1D">
        <w:rPr>
          <w:color w:val="000000" w:themeColor="text1"/>
        </w:rPr>
        <w:t>as</w:t>
      </w:r>
      <w:r w:rsidR="00A95A62" w:rsidRPr="00A179B5">
        <w:rPr>
          <w:color w:val="000000" w:themeColor="text1"/>
        </w:rPr>
        <w:t xml:space="preserve"> a </w:t>
      </w:r>
      <w:r w:rsidR="00211D1D">
        <w:rPr>
          <w:color w:val="000000" w:themeColor="text1"/>
        </w:rPr>
        <w:t>fourth</w:t>
      </w:r>
      <w:r w:rsidR="00A95A62" w:rsidRPr="00A179B5">
        <w:rPr>
          <w:color w:val="000000" w:themeColor="text1"/>
        </w:rPr>
        <w:t xml:space="preserve"> order of government</w:t>
      </w:r>
      <w:r w:rsidR="00AE0C31">
        <w:rPr>
          <w:color w:val="000000" w:themeColor="text1"/>
        </w:rPr>
        <w:t>; 4) remedy disparities between on-reserve and off-reserve living conditions</w:t>
      </w:r>
      <w:r w:rsidR="00190A1C" w:rsidRPr="00A179B5">
        <w:rPr>
          <w:color w:val="000000" w:themeColor="text1"/>
        </w:rPr>
        <w:t>.</w:t>
      </w:r>
    </w:p>
    <w:p w14:paraId="531354EA" w14:textId="77777777" w:rsidR="009753C1" w:rsidRPr="00A179B5" w:rsidRDefault="009753C1" w:rsidP="00E4345F">
      <w:pPr>
        <w:rPr>
          <w:color w:val="000000" w:themeColor="text1"/>
        </w:rPr>
      </w:pPr>
    </w:p>
    <w:p w14:paraId="027A8B2E" w14:textId="7840E61C" w:rsidR="00D328B8" w:rsidRPr="00F82BF0" w:rsidRDefault="00562B56" w:rsidP="00F82BF0">
      <w:r w:rsidRPr="00F82BF0">
        <w:rPr>
          <w:b/>
          <w:color w:val="000000" w:themeColor="text1"/>
          <w:u w:val="single"/>
        </w:rPr>
        <w:t>Issue Nine</w:t>
      </w:r>
      <w:r w:rsidR="00F9327E" w:rsidRPr="00F82BF0">
        <w:rPr>
          <w:b/>
          <w:color w:val="000000" w:themeColor="text1"/>
          <w:u w:val="single"/>
        </w:rPr>
        <w:t xml:space="preserve">: </w:t>
      </w:r>
      <w:r w:rsidR="00C33650" w:rsidRPr="00F82BF0">
        <w:rPr>
          <w:b/>
          <w:color w:val="000000" w:themeColor="text1"/>
          <w:u w:val="single"/>
        </w:rPr>
        <w:t xml:space="preserve">Violence </w:t>
      </w:r>
      <w:proofErr w:type="gramStart"/>
      <w:r w:rsidR="00C33650" w:rsidRPr="00F82BF0">
        <w:rPr>
          <w:b/>
          <w:color w:val="000000" w:themeColor="text1"/>
          <w:u w:val="single"/>
        </w:rPr>
        <w:t>Against</w:t>
      </w:r>
      <w:proofErr w:type="gramEnd"/>
      <w:r w:rsidR="00C33650" w:rsidRPr="00F82BF0">
        <w:rPr>
          <w:b/>
          <w:color w:val="000000" w:themeColor="text1"/>
          <w:u w:val="single"/>
        </w:rPr>
        <w:t xml:space="preserve"> </w:t>
      </w:r>
      <w:r w:rsidR="0058105C">
        <w:rPr>
          <w:b/>
          <w:color w:val="000000" w:themeColor="text1"/>
          <w:u w:val="single"/>
        </w:rPr>
        <w:t>Indigenous Women and</w:t>
      </w:r>
      <w:r w:rsidR="00F9327E" w:rsidRPr="00F82BF0">
        <w:rPr>
          <w:b/>
          <w:color w:val="000000" w:themeColor="text1"/>
          <w:u w:val="single"/>
        </w:rPr>
        <w:t xml:space="preserve"> </w:t>
      </w:r>
      <w:r w:rsidR="00C33650" w:rsidRPr="00F82BF0">
        <w:rPr>
          <w:b/>
          <w:color w:val="000000" w:themeColor="text1"/>
          <w:u w:val="single"/>
        </w:rPr>
        <w:t>Women</w:t>
      </w:r>
      <w:r w:rsidR="0058105C">
        <w:rPr>
          <w:b/>
          <w:color w:val="000000" w:themeColor="text1"/>
          <w:u w:val="single"/>
        </w:rPr>
        <w:t xml:space="preserve"> of Colour</w:t>
      </w:r>
    </w:p>
    <w:p w14:paraId="62321FF2" w14:textId="7822267F" w:rsidR="00C33650" w:rsidRPr="00F9327E" w:rsidRDefault="00C33650" w:rsidP="00C33650">
      <w:pPr>
        <w:pStyle w:val="Heading1"/>
        <w:rPr>
          <w:rFonts w:ascii="Times New Roman" w:hAnsi="Times New Roman" w:cs="Times New Roman"/>
          <w:b/>
          <w:i/>
          <w:color w:val="000000" w:themeColor="text1"/>
          <w:sz w:val="24"/>
          <w:szCs w:val="24"/>
        </w:rPr>
      </w:pPr>
      <w:r w:rsidRPr="00F9327E">
        <w:rPr>
          <w:rFonts w:ascii="Times New Roman" w:hAnsi="Times New Roman" w:cs="Times New Roman"/>
          <w:b/>
          <w:i/>
          <w:color w:val="000000" w:themeColor="text1"/>
          <w:sz w:val="24"/>
          <w:szCs w:val="24"/>
        </w:rPr>
        <w:t>Missing and Murdered Indigenous Women</w:t>
      </w:r>
      <w:r w:rsidR="00211D1D">
        <w:rPr>
          <w:rFonts w:ascii="Times New Roman" w:hAnsi="Times New Roman" w:cs="Times New Roman"/>
          <w:b/>
          <w:i/>
          <w:color w:val="000000" w:themeColor="text1"/>
          <w:sz w:val="24"/>
          <w:szCs w:val="24"/>
        </w:rPr>
        <w:t xml:space="preserve"> and Girls</w:t>
      </w:r>
    </w:p>
    <w:p w14:paraId="380070A4" w14:textId="0AA50AF8" w:rsidR="00C33650" w:rsidRDefault="00707FE4" w:rsidP="00F9327E">
      <w:pPr>
        <w:pStyle w:val="ListParagraph"/>
        <w:numPr>
          <w:ilvl w:val="0"/>
          <w:numId w:val="17"/>
        </w:numPr>
        <w:spacing w:before="240"/>
      </w:pPr>
      <w:r>
        <w:t>A</w:t>
      </w:r>
      <w:r w:rsidR="001700C2">
        <w:t>ccording to a</w:t>
      </w:r>
      <w:r>
        <w:t xml:space="preserve"> 2014 report by th</w:t>
      </w:r>
      <w:r w:rsidR="001700C2">
        <w:t>e Royal Canadian Mounted Police,</w:t>
      </w:r>
      <w:r>
        <w:t xml:space="preserve"> </w:t>
      </w:r>
      <w:r w:rsidR="001F559E">
        <w:t xml:space="preserve">1,017 Indigenous women or girls were murdered </w:t>
      </w:r>
      <w:r w:rsidR="001700C2">
        <w:t>between 1980 and 2012, and a further 164 are</w:t>
      </w:r>
      <w:r w:rsidR="001F559E">
        <w:t xml:space="preserve"> missing.</w:t>
      </w:r>
      <w:r w:rsidR="001F559E">
        <w:rPr>
          <w:rStyle w:val="FootnoteReference"/>
        </w:rPr>
        <w:footnoteReference w:id="85"/>
      </w:r>
      <w:r w:rsidR="001F559E">
        <w:t xml:space="preserve"> More recent figures from the Native Women’s Association of Canada</w:t>
      </w:r>
      <w:r w:rsidR="00211D1D">
        <w:t xml:space="preserve"> (NWAC)</w:t>
      </w:r>
      <w:r w:rsidR="001700C2">
        <w:t>, however, suggest</w:t>
      </w:r>
      <w:r w:rsidR="001F559E">
        <w:t xml:space="preserve"> that the actual number of missing and murdered Indigenous women</w:t>
      </w:r>
      <w:r w:rsidR="00211D1D">
        <w:t xml:space="preserve"> and girls</w:t>
      </w:r>
      <w:r w:rsidR="005C1ED8">
        <w:t xml:space="preserve"> (MMIW</w:t>
      </w:r>
      <w:r w:rsidR="00211D1D">
        <w:t>G</w:t>
      </w:r>
      <w:r w:rsidR="005C1ED8">
        <w:t>)</w:t>
      </w:r>
      <w:r w:rsidR="001F559E">
        <w:t xml:space="preserve"> </w:t>
      </w:r>
      <w:r w:rsidR="004144C3">
        <w:t xml:space="preserve">is underreported and </w:t>
      </w:r>
      <w:r w:rsidR="001F559E">
        <w:t>could be higher than 4,000.</w:t>
      </w:r>
      <w:r w:rsidR="001700C2">
        <w:rPr>
          <w:rStyle w:val="FootnoteReference"/>
        </w:rPr>
        <w:footnoteReference w:id="86"/>
      </w:r>
    </w:p>
    <w:p w14:paraId="03EE025F" w14:textId="77777777" w:rsidR="001F559E" w:rsidRDefault="001F559E" w:rsidP="001F559E">
      <w:pPr>
        <w:pStyle w:val="ListParagraph"/>
        <w:spacing w:before="240"/>
        <w:ind w:left="0"/>
      </w:pPr>
    </w:p>
    <w:p w14:paraId="5CDDB23A" w14:textId="6CC8B1FC" w:rsidR="001F559E" w:rsidRPr="00C33650" w:rsidRDefault="001F559E" w:rsidP="00F9327E">
      <w:pPr>
        <w:pStyle w:val="ListParagraph"/>
        <w:numPr>
          <w:ilvl w:val="0"/>
          <w:numId w:val="17"/>
        </w:numPr>
        <w:spacing w:before="240"/>
      </w:pPr>
      <w:r>
        <w:t>In 2016, the federa</w:t>
      </w:r>
      <w:r w:rsidR="00D007AF">
        <w:t>l government announced that it would be holding national inquiry on MMIW</w:t>
      </w:r>
      <w:r w:rsidR="00211D1D">
        <w:t>G</w:t>
      </w:r>
      <w:r w:rsidR="005C1ED8">
        <w:t>. However, the inquiry has been criticized for: the limitations of its terms of reference</w:t>
      </w:r>
      <w:r w:rsidR="001700C2">
        <w:t xml:space="preserve"> – which do not include an explicit mandate to review policing policies and practices, or a mechanism for review of individual cases</w:t>
      </w:r>
      <w:r w:rsidR="005C1ED8">
        <w:t xml:space="preserve">; inadequate </w:t>
      </w:r>
      <w:r w:rsidR="008A2EBC">
        <w:t xml:space="preserve">consultation with and </w:t>
      </w:r>
      <w:r w:rsidR="005C1ED8">
        <w:t>inc</w:t>
      </w:r>
      <w:r w:rsidR="001700C2">
        <w:t>lusion of families of MMIW</w:t>
      </w:r>
      <w:r w:rsidR="00211D1D">
        <w:t>G</w:t>
      </w:r>
      <w:r w:rsidR="001700C2">
        <w:t xml:space="preserve"> and front-line organizations;</w:t>
      </w:r>
      <w:r w:rsidR="005C1ED8">
        <w:t xml:space="preserve"> </w:t>
      </w:r>
      <w:r w:rsidR="00DE4A24">
        <w:t xml:space="preserve">significant delays in the proceedings; </w:t>
      </w:r>
      <w:r w:rsidR="001700C2">
        <w:t>and failure</w:t>
      </w:r>
      <w:r w:rsidR="005C1ED8">
        <w:t xml:space="preserve"> to provide sufficient mental he</w:t>
      </w:r>
      <w:r w:rsidR="001700C2">
        <w:t xml:space="preserve">alth support for </w:t>
      </w:r>
      <w:r w:rsidR="005C1ED8">
        <w:t>families</w:t>
      </w:r>
      <w:r w:rsidR="001700C2">
        <w:t xml:space="preserve"> re-traumatized by participation in the </w:t>
      </w:r>
      <w:r w:rsidR="008A2EBC">
        <w:t>pre-</w:t>
      </w:r>
      <w:r w:rsidR="001700C2">
        <w:t>inquiry</w:t>
      </w:r>
      <w:r w:rsidR="008A2EBC">
        <w:t xml:space="preserve"> process</w:t>
      </w:r>
      <w:r w:rsidR="001700C2">
        <w:t>.</w:t>
      </w:r>
      <w:r w:rsidR="001700C2">
        <w:rPr>
          <w:rStyle w:val="FootnoteReference"/>
        </w:rPr>
        <w:footnoteReference w:id="87"/>
      </w:r>
      <w:r w:rsidR="008577EC">
        <w:t xml:space="preserve"> The N</w:t>
      </w:r>
      <w:r w:rsidR="00211D1D">
        <w:t>WAC</w:t>
      </w:r>
      <w:r w:rsidR="008577EC">
        <w:t>’s most recent report card on the Inquiry (released May 2017) gave the Inquiry failing grades in ten out of fifteen categories, including for its failure to include families, absence of transparency, and departure from timelines.</w:t>
      </w:r>
      <w:r w:rsidR="008577EC">
        <w:rPr>
          <w:rStyle w:val="FootnoteReference"/>
        </w:rPr>
        <w:footnoteReference w:id="88"/>
      </w:r>
    </w:p>
    <w:p w14:paraId="400B525B" w14:textId="77777777" w:rsidR="00C33650" w:rsidRPr="00F9327E" w:rsidRDefault="000E299B" w:rsidP="00C33650">
      <w:pPr>
        <w:pStyle w:val="Heading1"/>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The </w:t>
      </w:r>
      <w:r w:rsidR="00C33650" w:rsidRPr="00F9327E">
        <w:rPr>
          <w:rFonts w:ascii="Times New Roman" w:hAnsi="Times New Roman" w:cs="Times New Roman"/>
          <w:b/>
          <w:i/>
          <w:color w:val="000000" w:themeColor="text1"/>
          <w:sz w:val="24"/>
          <w:szCs w:val="24"/>
        </w:rPr>
        <w:t>Zero Tolerance for Barbaric Cultural Practices Act</w:t>
      </w:r>
    </w:p>
    <w:p w14:paraId="0D634D7F" w14:textId="284DED30" w:rsidR="000D662C" w:rsidRDefault="001700C2">
      <w:pPr>
        <w:pStyle w:val="ListParagraph"/>
        <w:numPr>
          <w:ilvl w:val="0"/>
          <w:numId w:val="18"/>
        </w:numPr>
        <w:spacing w:before="240"/>
      </w:pPr>
      <w:r>
        <w:t xml:space="preserve">The 2015 </w:t>
      </w:r>
      <w:r>
        <w:rPr>
          <w:i/>
        </w:rPr>
        <w:t xml:space="preserve">Zero Tolerance for Barbaric Cultural Practices Act </w:t>
      </w:r>
      <w:r w:rsidR="00CC1820">
        <w:t>specifically targets polygamy, forced marriages, and “honour killings”</w:t>
      </w:r>
      <w:r w:rsidR="00041F03">
        <w:t xml:space="preserve"> </w:t>
      </w:r>
      <w:r w:rsidR="002036E8">
        <w:t xml:space="preserve">by making </w:t>
      </w:r>
      <w:r w:rsidR="00CC1820">
        <w:t xml:space="preserve">changes to the </w:t>
      </w:r>
      <w:r w:rsidR="00CC1820">
        <w:rPr>
          <w:i/>
        </w:rPr>
        <w:t>Immigration and Refugee Protection Act</w:t>
      </w:r>
      <w:r w:rsidR="00CC1820">
        <w:t>,</w:t>
      </w:r>
      <w:r w:rsidR="00041F03">
        <w:t xml:space="preserve"> the </w:t>
      </w:r>
      <w:r w:rsidR="00041F03">
        <w:rPr>
          <w:i/>
        </w:rPr>
        <w:t>Civil Marriage Act</w:t>
      </w:r>
      <w:r w:rsidR="00041F03">
        <w:t xml:space="preserve">, and the </w:t>
      </w:r>
      <w:r w:rsidR="00041F03">
        <w:rPr>
          <w:i/>
        </w:rPr>
        <w:t>Criminal Code</w:t>
      </w:r>
      <w:r w:rsidR="00041F03">
        <w:t>, including: a new inadmissibility provision in immigration law for polygamy; new criminal offences for participation in forced and under</w:t>
      </w:r>
      <w:r w:rsidR="00211D1D">
        <w:t>-</w:t>
      </w:r>
      <w:r w:rsidR="00041F03">
        <w:t>aged marriages; and narrowing of the provocation defence.</w:t>
      </w:r>
      <w:r w:rsidR="00F67A39">
        <w:t xml:space="preserve"> The description of the targeted forms of violence against women – strongly linked in the popular imagination with Muslim, Arab, and South Asian communities – as “barbaric cultural practices” </w:t>
      </w:r>
      <w:r w:rsidR="00211D1D">
        <w:t xml:space="preserve">– </w:t>
      </w:r>
      <w:r w:rsidR="00F67A39">
        <w:t xml:space="preserve">reinforces stigmatizing stereotypes about these communities. </w:t>
      </w:r>
    </w:p>
    <w:p w14:paraId="35A0ABD9" w14:textId="77777777" w:rsidR="000D662C" w:rsidRDefault="000D662C" w:rsidP="000D662C">
      <w:pPr>
        <w:pStyle w:val="ListParagraph"/>
        <w:spacing w:before="240"/>
        <w:ind w:left="0"/>
      </w:pPr>
    </w:p>
    <w:p w14:paraId="6FED6BD6" w14:textId="784BEAF5" w:rsidR="00584674" w:rsidRDefault="00F67A39" w:rsidP="00F9327E">
      <w:pPr>
        <w:pStyle w:val="ListParagraph"/>
        <w:numPr>
          <w:ilvl w:val="0"/>
          <w:numId w:val="18"/>
        </w:numPr>
        <w:spacing w:before="240"/>
      </w:pPr>
      <w:r>
        <w:t>Moreover, a</w:t>
      </w:r>
      <w:r w:rsidR="00802A92">
        <w:t xml:space="preserve">s </w:t>
      </w:r>
      <w:r w:rsidR="00E87FAB">
        <w:t xml:space="preserve">many </w:t>
      </w:r>
      <w:r w:rsidR="00802A92">
        <w:t xml:space="preserve">organizations have argued, the </w:t>
      </w:r>
      <w:r w:rsidR="00802A92">
        <w:rPr>
          <w:i/>
        </w:rPr>
        <w:t xml:space="preserve">Barbaric Cultural Practices Act </w:t>
      </w:r>
      <w:r w:rsidR="00802A92">
        <w:t xml:space="preserve">is unlikely to increase the safety of </w:t>
      </w:r>
      <w:r w:rsidR="008137F0">
        <w:t xml:space="preserve">vulnerable women – and indeed, will probably have the opposite effect. </w:t>
      </w:r>
      <w:r w:rsidR="002036E8">
        <w:t>For example, t</w:t>
      </w:r>
      <w:r w:rsidR="008137F0">
        <w:t>he polygamy excl</w:t>
      </w:r>
      <w:r>
        <w:t>usion provision puts women in polygamous relationships at risk for removal</w:t>
      </w:r>
      <w:r w:rsidR="008137F0">
        <w:t>.</w:t>
      </w:r>
      <w:r w:rsidR="008137F0">
        <w:rPr>
          <w:rStyle w:val="FootnoteReference"/>
        </w:rPr>
        <w:footnoteReference w:id="89"/>
      </w:r>
      <w:r w:rsidR="008137F0">
        <w:t xml:space="preserve"> The criminalization of forced marriage</w:t>
      </w:r>
      <w:r>
        <w:t xml:space="preserve"> will likely deter women in forced marriages from seeking help.</w:t>
      </w:r>
      <w:r w:rsidR="000D662C">
        <w:rPr>
          <w:rStyle w:val="FootnoteReference"/>
        </w:rPr>
        <w:footnoteReference w:id="90"/>
      </w:r>
      <w:r>
        <w:t xml:space="preserve"> </w:t>
      </w:r>
    </w:p>
    <w:p w14:paraId="024EDFF1" w14:textId="77777777" w:rsidR="00584674" w:rsidRDefault="00584674" w:rsidP="00584674">
      <w:pPr>
        <w:pStyle w:val="ListParagraph"/>
      </w:pPr>
    </w:p>
    <w:p w14:paraId="26F1C2F2" w14:textId="799345DA" w:rsidR="001700C2" w:rsidRPr="001700C2" w:rsidRDefault="00584674" w:rsidP="00584674">
      <w:pPr>
        <w:pStyle w:val="ListParagraph"/>
        <w:spacing w:before="240"/>
        <w:ind w:left="0"/>
      </w:pPr>
      <w:r>
        <w:rPr>
          <w:b/>
          <w:i/>
        </w:rPr>
        <w:t xml:space="preserve">Relevant Articles: </w:t>
      </w:r>
      <w:r>
        <w:t>5(b)</w:t>
      </w:r>
      <w:r w:rsidR="008137F0">
        <w:t xml:space="preserve"> </w:t>
      </w:r>
    </w:p>
    <w:p w14:paraId="23D07FB5" w14:textId="6A913051" w:rsidR="00C33650" w:rsidRPr="00D93D7E" w:rsidRDefault="00C33650" w:rsidP="00C33650">
      <w:pPr>
        <w:spacing w:before="240"/>
        <w:rPr>
          <w:color w:val="000000" w:themeColor="text1"/>
        </w:rPr>
      </w:pPr>
      <w:r w:rsidRPr="00A179B5">
        <w:rPr>
          <w:b/>
          <w:i/>
          <w:color w:val="000000" w:themeColor="text1"/>
        </w:rPr>
        <w:t>Recommendations</w:t>
      </w:r>
      <w:r w:rsidR="00D93D7E">
        <w:rPr>
          <w:b/>
          <w:i/>
          <w:color w:val="000000" w:themeColor="text1"/>
        </w:rPr>
        <w:t xml:space="preserve">: </w:t>
      </w:r>
      <w:r w:rsidR="00D93D7E">
        <w:rPr>
          <w:color w:val="000000" w:themeColor="text1"/>
        </w:rPr>
        <w:t xml:space="preserve">We ask that the Committee recommend that Canada: 1) provide greater support for families and Indigenous women’s organizations to </w:t>
      </w:r>
      <w:r w:rsidR="00211D1D">
        <w:rPr>
          <w:color w:val="000000" w:themeColor="text1"/>
        </w:rPr>
        <w:t>take part</w:t>
      </w:r>
      <w:r w:rsidR="00D93D7E">
        <w:rPr>
          <w:color w:val="000000" w:themeColor="text1"/>
        </w:rPr>
        <w:t xml:space="preserve"> in the MMIW</w:t>
      </w:r>
      <w:r w:rsidR="00211D1D">
        <w:rPr>
          <w:color w:val="000000" w:themeColor="text1"/>
        </w:rPr>
        <w:t>G</w:t>
      </w:r>
      <w:r w:rsidR="00D93D7E">
        <w:rPr>
          <w:color w:val="000000" w:themeColor="text1"/>
        </w:rPr>
        <w:t xml:space="preserve"> inquiry; 2) ensure accountability in implementation of its recommendations; 3) repeal the </w:t>
      </w:r>
      <w:r w:rsidR="00D93D7E">
        <w:rPr>
          <w:i/>
          <w:color w:val="000000" w:themeColor="text1"/>
        </w:rPr>
        <w:t>Zero Tolerance for Barbaric Cultural Practices Act</w:t>
      </w:r>
      <w:r w:rsidR="002F1725">
        <w:rPr>
          <w:color w:val="000000" w:themeColor="text1"/>
        </w:rPr>
        <w:t>, and provide greater economic and social support for racialized women experiencing violence.</w:t>
      </w:r>
    </w:p>
    <w:p w14:paraId="3C04AD8C" w14:textId="77777777" w:rsidR="009753C1" w:rsidRDefault="009753C1" w:rsidP="00196943">
      <w:pPr>
        <w:spacing w:before="240"/>
        <w:rPr>
          <w:b/>
          <w:color w:val="000000" w:themeColor="text1"/>
          <w:u w:val="single"/>
        </w:rPr>
      </w:pPr>
    </w:p>
    <w:p w14:paraId="323A213A" w14:textId="5EF7876A" w:rsidR="00D328B8" w:rsidRPr="00F82BF0" w:rsidRDefault="00562B56" w:rsidP="00196943">
      <w:pPr>
        <w:spacing w:before="240"/>
        <w:rPr>
          <w:color w:val="000000" w:themeColor="text1"/>
          <w:u w:val="single"/>
        </w:rPr>
      </w:pPr>
      <w:r w:rsidRPr="00F82BF0">
        <w:rPr>
          <w:b/>
          <w:color w:val="000000" w:themeColor="text1"/>
          <w:u w:val="single"/>
        </w:rPr>
        <w:t>Issue Ten</w:t>
      </w:r>
      <w:r w:rsidR="00196943" w:rsidRPr="00F82BF0">
        <w:rPr>
          <w:b/>
          <w:color w:val="000000" w:themeColor="text1"/>
          <w:u w:val="single"/>
        </w:rPr>
        <w:t>: Hate Crimes</w:t>
      </w:r>
    </w:p>
    <w:p w14:paraId="2FCBE1CE" w14:textId="7036799B" w:rsidR="00AF33F9" w:rsidRDefault="00196943" w:rsidP="00196943">
      <w:pPr>
        <w:pStyle w:val="ListParagraph"/>
        <w:numPr>
          <w:ilvl w:val="0"/>
          <w:numId w:val="26"/>
        </w:numPr>
        <w:rPr>
          <w:color w:val="000000" w:themeColor="text1"/>
        </w:rPr>
      </w:pPr>
      <w:r w:rsidRPr="00A179B5">
        <w:rPr>
          <w:color w:val="000000" w:themeColor="text1"/>
        </w:rPr>
        <w:t xml:space="preserve">Hate crime is not an independent criminal offence in Canada; sections 318, 319, and 320 of the </w:t>
      </w:r>
      <w:r w:rsidRPr="00A179B5">
        <w:rPr>
          <w:i/>
          <w:color w:val="000000" w:themeColor="text1"/>
        </w:rPr>
        <w:t xml:space="preserve">Criminal Code </w:t>
      </w:r>
      <w:r w:rsidRPr="00A179B5">
        <w:rPr>
          <w:color w:val="000000" w:themeColor="text1"/>
        </w:rPr>
        <w:t xml:space="preserve">criminalize hate propaganda, and </w:t>
      </w:r>
      <w:r w:rsidR="00211D1D">
        <w:rPr>
          <w:color w:val="000000" w:themeColor="text1"/>
        </w:rPr>
        <w:t>“</w:t>
      </w:r>
      <w:r w:rsidRPr="00A179B5">
        <w:rPr>
          <w:color w:val="000000" w:themeColor="text1"/>
        </w:rPr>
        <w:t>hateful motive</w:t>
      </w:r>
      <w:r w:rsidR="00211D1D">
        <w:rPr>
          <w:color w:val="000000" w:themeColor="text1"/>
        </w:rPr>
        <w:t>”</w:t>
      </w:r>
      <w:r w:rsidRPr="00A179B5">
        <w:rPr>
          <w:color w:val="000000" w:themeColor="text1"/>
        </w:rPr>
        <w:t xml:space="preserve"> is an aggravating factor in sentencing. </w:t>
      </w:r>
    </w:p>
    <w:p w14:paraId="3BA265B7" w14:textId="77777777" w:rsidR="00AF33F9" w:rsidRDefault="00AF33F9" w:rsidP="00AF33F9">
      <w:pPr>
        <w:pStyle w:val="ListParagraph"/>
        <w:ind w:left="0"/>
        <w:rPr>
          <w:color w:val="000000" w:themeColor="text1"/>
        </w:rPr>
      </w:pPr>
    </w:p>
    <w:p w14:paraId="6024FB10" w14:textId="74E4150F" w:rsidR="00196943" w:rsidRPr="00A179B5" w:rsidRDefault="00196943" w:rsidP="00196943">
      <w:pPr>
        <w:pStyle w:val="ListParagraph"/>
        <w:numPr>
          <w:ilvl w:val="0"/>
          <w:numId w:val="26"/>
        </w:numPr>
        <w:rPr>
          <w:color w:val="000000" w:themeColor="text1"/>
        </w:rPr>
      </w:pPr>
      <w:r w:rsidRPr="00A179B5">
        <w:rPr>
          <w:color w:val="000000" w:themeColor="text1"/>
        </w:rPr>
        <w:t xml:space="preserve">In 2013, section 13 of the </w:t>
      </w:r>
      <w:r w:rsidRPr="00A179B5">
        <w:rPr>
          <w:i/>
          <w:color w:val="000000" w:themeColor="text1"/>
        </w:rPr>
        <w:t>Canadian Human Rights Act</w:t>
      </w:r>
      <w:r w:rsidRPr="00A179B5">
        <w:rPr>
          <w:color w:val="000000" w:themeColor="text1"/>
        </w:rPr>
        <w:t xml:space="preserve">, which had made communication of hateful messages </w:t>
      </w:r>
      <w:r w:rsidR="002036E8">
        <w:rPr>
          <w:color w:val="000000" w:themeColor="text1"/>
        </w:rPr>
        <w:t xml:space="preserve">legal </w:t>
      </w:r>
      <w:r w:rsidRPr="00A179B5">
        <w:rPr>
          <w:color w:val="000000" w:themeColor="text1"/>
        </w:rPr>
        <w:t>grounds for complaint, was repealed.</w:t>
      </w:r>
      <w:r w:rsidRPr="00A179B5">
        <w:rPr>
          <w:rStyle w:val="FootnoteReference"/>
          <w:color w:val="000000" w:themeColor="text1"/>
        </w:rPr>
        <w:footnoteReference w:id="91"/>
      </w:r>
      <w:r w:rsidRPr="00A179B5">
        <w:rPr>
          <w:color w:val="000000" w:themeColor="text1"/>
        </w:rPr>
        <w:t xml:space="preserve"> This has reduced the avenues available </w:t>
      </w:r>
      <w:r w:rsidR="00211D1D">
        <w:rPr>
          <w:color w:val="000000" w:themeColor="text1"/>
        </w:rPr>
        <w:t xml:space="preserve">in Canada </w:t>
      </w:r>
      <w:r w:rsidRPr="00A179B5">
        <w:rPr>
          <w:color w:val="000000" w:themeColor="text1"/>
        </w:rPr>
        <w:t>for addressing hate through the human rights system.</w:t>
      </w:r>
    </w:p>
    <w:p w14:paraId="05C09000" w14:textId="77777777" w:rsidR="00196943" w:rsidRPr="00A179B5" w:rsidRDefault="00196943" w:rsidP="00196943">
      <w:pPr>
        <w:pStyle w:val="ListParagraph"/>
        <w:ind w:left="0"/>
        <w:rPr>
          <w:color w:val="000000" w:themeColor="text1"/>
        </w:rPr>
      </w:pPr>
    </w:p>
    <w:p w14:paraId="4760F4CA" w14:textId="21D0BA35" w:rsidR="00196943" w:rsidRDefault="00196943" w:rsidP="00196943">
      <w:pPr>
        <w:pStyle w:val="ListParagraph"/>
        <w:numPr>
          <w:ilvl w:val="0"/>
          <w:numId w:val="26"/>
        </w:numPr>
        <w:rPr>
          <w:color w:val="000000" w:themeColor="text1"/>
        </w:rPr>
      </w:pPr>
      <w:r w:rsidRPr="00A179B5">
        <w:rPr>
          <w:color w:val="000000" w:themeColor="text1"/>
        </w:rPr>
        <w:t xml:space="preserve">In 2014 (the most recent year for which </w:t>
      </w:r>
      <w:r w:rsidR="002036E8">
        <w:rPr>
          <w:color w:val="000000" w:themeColor="text1"/>
        </w:rPr>
        <w:t xml:space="preserve">full </w:t>
      </w:r>
      <w:r w:rsidRPr="00A179B5">
        <w:rPr>
          <w:color w:val="000000" w:themeColor="text1"/>
        </w:rPr>
        <w:t>statistics are available), there were 611 crimes motivated by hatred against a particular racial group (primarily anti-Black racism: 238), and 429 motivated by hatred against a particular religious group (primarily Jewish: 213, and Muslim: 99). Hate crimes against Muslims have doubled between 2014 and 2016.</w:t>
      </w:r>
      <w:r w:rsidRPr="00A179B5">
        <w:rPr>
          <w:rStyle w:val="FootnoteReference"/>
          <w:color w:val="000000" w:themeColor="text1"/>
        </w:rPr>
        <w:footnoteReference w:id="92"/>
      </w:r>
      <w:r w:rsidRPr="00A179B5">
        <w:rPr>
          <w:color w:val="000000" w:themeColor="text1"/>
        </w:rPr>
        <w:t xml:space="preserve"> However, these statistics on hate </w:t>
      </w:r>
      <w:r w:rsidR="002036E8">
        <w:rPr>
          <w:color w:val="000000" w:themeColor="text1"/>
        </w:rPr>
        <w:t xml:space="preserve">crimes </w:t>
      </w:r>
      <w:r w:rsidRPr="00A179B5">
        <w:rPr>
          <w:color w:val="000000" w:themeColor="text1"/>
        </w:rPr>
        <w:t>in Canada are incomplete: first, because only a small proportion (approximately one-third) of hateful acts are reported; and second, because hate incidents not deemed to qualify as hate crimes are not systematically recorded and tracked.</w:t>
      </w:r>
    </w:p>
    <w:p w14:paraId="485735D9" w14:textId="77777777" w:rsidR="00F82BF0" w:rsidRPr="00F82BF0" w:rsidRDefault="00F82BF0" w:rsidP="00F82BF0">
      <w:pPr>
        <w:pStyle w:val="ListParagraph"/>
        <w:rPr>
          <w:color w:val="000000" w:themeColor="text1"/>
        </w:rPr>
      </w:pPr>
    </w:p>
    <w:p w14:paraId="5D88133F" w14:textId="205C3F90" w:rsidR="00F82BF0" w:rsidRPr="00A179B5" w:rsidRDefault="00F82BF0" w:rsidP="00196943">
      <w:pPr>
        <w:pStyle w:val="ListParagraph"/>
        <w:numPr>
          <w:ilvl w:val="0"/>
          <w:numId w:val="26"/>
        </w:numPr>
        <w:rPr>
          <w:color w:val="000000" w:themeColor="text1"/>
        </w:rPr>
      </w:pPr>
      <w:r>
        <w:rPr>
          <w:color w:val="000000" w:themeColor="text1"/>
        </w:rPr>
        <w:t>More recently, a report on Police Reported Hate Crimes in Canada in 2015 found that police reported crimes against Muslims rose by 61% in 2015</w:t>
      </w:r>
      <w:r w:rsidR="00B768FF">
        <w:rPr>
          <w:color w:val="000000" w:themeColor="text1"/>
        </w:rPr>
        <w:t xml:space="preserve"> and Muslim women were disproportionately affected. Crimes motivated by hatred of race or ethnicity increased by 5%. While there was a slight drop in hate crimes against Black populations, they remained the most common type of hate crime related to race and ethnicity</w:t>
      </w:r>
      <w:r w:rsidR="00B768FF">
        <w:rPr>
          <w:rStyle w:val="FootnoteReference"/>
          <w:color w:val="000000" w:themeColor="text1"/>
        </w:rPr>
        <w:footnoteReference w:id="93"/>
      </w:r>
      <w:r w:rsidR="00B768FF">
        <w:rPr>
          <w:color w:val="000000" w:themeColor="text1"/>
        </w:rPr>
        <w:t>.</w:t>
      </w:r>
      <w:r w:rsidR="00410C2A">
        <w:rPr>
          <w:color w:val="000000" w:themeColor="text1"/>
        </w:rPr>
        <w:t xml:space="preserve"> As noted above, the report is based on police reports of hate crimes and does not adequately capture the full scope of hate crimes.</w:t>
      </w:r>
    </w:p>
    <w:p w14:paraId="6D9BCA56" w14:textId="77777777" w:rsidR="00196943" w:rsidRPr="00A179B5" w:rsidRDefault="00196943" w:rsidP="00196943">
      <w:pPr>
        <w:pStyle w:val="ListParagraph"/>
        <w:ind w:left="0"/>
        <w:rPr>
          <w:color w:val="000000" w:themeColor="text1"/>
        </w:rPr>
      </w:pPr>
    </w:p>
    <w:p w14:paraId="0CAE4719" w14:textId="5912CE3D" w:rsidR="00196943" w:rsidRDefault="00AF33F9" w:rsidP="00196943">
      <w:pPr>
        <w:pStyle w:val="ListParagraph"/>
        <w:numPr>
          <w:ilvl w:val="0"/>
          <w:numId w:val="26"/>
        </w:numPr>
        <w:rPr>
          <w:color w:val="000000" w:themeColor="text1"/>
        </w:rPr>
      </w:pPr>
      <w:r>
        <w:rPr>
          <w:color w:val="000000" w:themeColor="text1"/>
        </w:rPr>
        <w:t>A</w:t>
      </w:r>
      <w:r w:rsidRPr="00A179B5">
        <w:rPr>
          <w:color w:val="000000" w:themeColor="text1"/>
        </w:rPr>
        <w:t>ccording to the 2005 report of the Hate Crimes Community Working Group</w:t>
      </w:r>
      <w:r>
        <w:rPr>
          <w:color w:val="000000" w:themeColor="text1"/>
        </w:rPr>
        <w:t>,</w:t>
      </w:r>
      <w:r w:rsidRPr="00A179B5">
        <w:rPr>
          <w:color w:val="000000" w:themeColor="text1"/>
        </w:rPr>
        <w:t xml:space="preserve"> </w:t>
      </w:r>
      <w:r w:rsidR="00196943" w:rsidRPr="00A179B5">
        <w:rPr>
          <w:color w:val="000000" w:themeColor="text1"/>
        </w:rPr>
        <w:t xml:space="preserve">“Aboriginal and African Canadian stakeholders expressed a deep concern with </w:t>
      </w:r>
      <w:r w:rsidR="00723753">
        <w:rPr>
          <w:color w:val="000000" w:themeColor="text1"/>
        </w:rPr>
        <w:t xml:space="preserve">the </w:t>
      </w:r>
      <w:r w:rsidR="00196943" w:rsidRPr="00A179B5">
        <w:rPr>
          <w:color w:val="000000" w:themeColor="text1"/>
        </w:rPr>
        <w:t>negative consequences of attracting police attention by reporting hate incidents, and feared that they themselves would be charg</w:t>
      </w:r>
      <w:r>
        <w:rPr>
          <w:color w:val="000000" w:themeColor="text1"/>
        </w:rPr>
        <w:t xml:space="preserve">ed or mistreated for doing so. </w:t>
      </w:r>
      <w:r w:rsidR="00196943" w:rsidRPr="00A179B5">
        <w:rPr>
          <w:color w:val="000000" w:themeColor="text1"/>
        </w:rPr>
        <w:t>When they did report, their experiences with polic</w:t>
      </w:r>
      <w:r w:rsidR="00723753">
        <w:rPr>
          <w:color w:val="000000" w:themeColor="text1"/>
        </w:rPr>
        <w:t>e</w:t>
      </w:r>
      <w:r w:rsidR="00196943" w:rsidRPr="00A179B5">
        <w:rPr>
          <w:color w:val="000000" w:themeColor="text1"/>
        </w:rPr>
        <w:t xml:space="preserve"> services were in most cases negative, and the police services were unlikely to put </w:t>
      </w:r>
      <w:r w:rsidR="00723753">
        <w:rPr>
          <w:color w:val="000000" w:themeColor="text1"/>
        </w:rPr>
        <w:t xml:space="preserve">the needed </w:t>
      </w:r>
      <w:r w:rsidR="00196943" w:rsidRPr="00A179B5">
        <w:rPr>
          <w:color w:val="000000" w:themeColor="text1"/>
        </w:rPr>
        <w:t>resources into investigating their complaints</w:t>
      </w:r>
      <w:r w:rsidR="00196943">
        <w:rPr>
          <w:color w:val="000000" w:themeColor="text1"/>
        </w:rPr>
        <w:t>.</w:t>
      </w:r>
      <w:r w:rsidR="00196943" w:rsidRPr="00A179B5">
        <w:rPr>
          <w:color w:val="000000" w:themeColor="text1"/>
        </w:rPr>
        <w:t>”</w:t>
      </w:r>
      <w:r w:rsidR="00196943" w:rsidRPr="00A179B5">
        <w:rPr>
          <w:rStyle w:val="FootnoteReference"/>
          <w:color w:val="000000" w:themeColor="text1"/>
        </w:rPr>
        <w:footnoteReference w:id="94"/>
      </w:r>
      <w:r w:rsidR="00196943" w:rsidRPr="00A179B5">
        <w:rPr>
          <w:color w:val="000000" w:themeColor="text1"/>
        </w:rPr>
        <w:t xml:space="preserve"> </w:t>
      </w:r>
      <w:r w:rsidR="00E87204">
        <w:rPr>
          <w:color w:val="000000" w:themeColor="text1"/>
        </w:rPr>
        <w:t>Some racialized community members have reported</w:t>
      </w:r>
      <w:r w:rsidR="00196943" w:rsidRPr="00A179B5">
        <w:rPr>
          <w:color w:val="000000" w:themeColor="text1"/>
        </w:rPr>
        <w:t xml:space="preserve"> being discouraged by police from reporting hate</w:t>
      </w:r>
      <w:r w:rsidR="00E87204">
        <w:rPr>
          <w:color w:val="000000" w:themeColor="text1"/>
        </w:rPr>
        <w:t xml:space="preserve"> </w:t>
      </w:r>
      <w:r w:rsidR="003E5008">
        <w:rPr>
          <w:color w:val="000000" w:themeColor="text1"/>
        </w:rPr>
        <w:t>incidents</w:t>
      </w:r>
      <w:r w:rsidR="001848A6">
        <w:rPr>
          <w:color w:val="000000" w:themeColor="text1"/>
        </w:rPr>
        <w:t xml:space="preserve"> </w:t>
      </w:r>
      <w:r w:rsidR="001848A6" w:rsidRPr="00A179B5">
        <w:rPr>
          <w:color w:val="000000" w:themeColor="text1"/>
        </w:rPr>
        <w:t>(by being warned about the time-consuming process for reporting an incident, for example)</w:t>
      </w:r>
      <w:r w:rsidR="00196943" w:rsidRPr="00A179B5">
        <w:rPr>
          <w:color w:val="000000" w:themeColor="text1"/>
        </w:rPr>
        <w:t>.</w:t>
      </w:r>
    </w:p>
    <w:p w14:paraId="14EA3552" w14:textId="77777777" w:rsidR="00196943" w:rsidRPr="00196943" w:rsidRDefault="00196943" w:rsidP="00196943">
      <w:pPr>
        <w:pStyle w:val="ListParagraph"/>
        <w:rPr>
          <w:color w:val="000000" w:themeColor="text1"/>
        </w:rPr>
      </w:pPr>
    </w:p>
    <w:p w14:paraId="780C36D8" w14:textId="7142724A" w:rsidR="00196943" w:rsidRPr="00196943" w:rsidRDefault="00196943" w:rsidP="00196943">
      <w:pPr>
        <w:pStyle w:val="ListParagraph"/>
        <w:ind w:left="0"/>
        <w:rPr>
          <w:color w:val="000000" w:themeColor="text1"/>
        </w:rPr>
      </w:pPr>
      <w:r>
        <w:rPr>
          <w:b/>
          <w:i/>
          <w:color w:val="000000" w:themeColor="text1"/>
        </w:rPr>
        <w:t xml:space="preserve">Relevant Articles: </w:t>
      </w:r>
      <w:r>
        <w:rPr>
          <w:color w:val="000000" w:themeColor="text1"/>
        </w:rPr>
        <w:t>4(a), 5(b)</w:t>
      </w:r>
    </w:p>
    <w:p w14:paraId="67E180B3" w14:textId="69107AFE" w:rsidR="00703505" w:rsidRDefault="00196943" w:rsidP="00196943">
      <w:pPr>
        <w:pStyle w:val="ListParagraph"/>
        <w:ind w:left="0"/>
        <w:rPr>
          <w:color w:val="000000" w:themeColor="text1"/>
        </w:rPr>
      </w:pPr>
      <w:r>
        <w:rPr>
          <w:b/>
          <w:i/>
          <w:color w:val="000000" w:themeColor="text1"/>
        </w:rPr>
        <w:t>Recommendations</w:t>
      </w:r>
      <w:r w:rsidRPr="00196943">
        <w:rPr>
          <w:color w:val="000000" w:themeColor="text1"/>
        </w:rPr>
        <w:t>:</w:t>
      </w:r>
      <w:r>
        <w:rPr>
          <w:color w:val="000000" w:themeColor="text1"/>
        </w:rPr>
        <w:t xml:space="preserve"> We ask that the Committee recommend that Canada better protect racialized groups</w:t>
      </w:r>
      <w:r w:rsidR="00723753">
        <w:rPr>
          <w:color w:val="000000" w:themeColor="text1"/>
        </w:rPr>
        <w:t xml:space="preserve"> (Indigenous Peoples and peoples of colour)</w:t>
      </w:r>
      <w:r>
        <w:rPr>
          <w:color w:val="000000" w:themeColor="text1"/>
        </w:rPr>
        <w:t xml:space="preserve"> from hate incidents, including through:</w:t>
      </w:r>
      <w:r w:rsidRPr="00196943">
        <w:rPr>
          <w:color w:val="000000" w:themeColor="text1"/>
        </w:rPr>
        <w:t xml:space="preserve"> </w:t>
      </w:r>
      <w:r>
        <w:rPr>
          <w:color w:val="000000" w:themeColor="text1"/>
        </w:rPr>
        <w:t xml:space="preserve">1) </w:t>
      </w:r>
      <w:r w:rsidRPr="00196943">
        <w:rPr>
          <w:color w:val="000000" w:themeColor="text1"/>
        </w:rPr>
        <w:t xml:space="preserve">amendments to the </w:t>
      </w:r>
      <w:r w:rsidRPr="00196943">
        <w:rPr>
          <w:i/>
          <w:color w:val="000000" w:themeColor="text1"/>
        </w:rPr>
        <w:t>Criminal Code</w:t>
      </w:r>
      <w:r w:rsidRPr="00196943">
        <w:rPr>
          <w:color w:val="000000" w:themeColor="text1"/>
        </w:rPr>
        <w:t xml:space="preserve"> to take hate motivation into account more effectively and consistently; </w:t>
      </w:r>
      <w:r>
        <w:rPr>
          <w:color w:val="000000" w:themeColor="text1"/>
        </w:rPr>
        <w:t xml:space="preserve">2) </w:t>
      </w:r>
      <w:r w:rsidRPr="00196943">
        <w:rPr>
          <w:color w:val="000000" w:themeColor="text1"/>
        </w:rPr>
        <w:t>mandated standards for identifying and re</w:t>
      </w:r>
      <w:r>
        <w:rPr>
          <w:color w:val="000000" w:themeColor="text1"/>
        </w:rPr>
        <w:t>cording all hate incidents and their dispensation in the justice system</w:t>
      </w:r>
      <w:r w:rsidRPr="00196943">
        <w:rPr>
          <w:color w:val="000000" w:themeColor="text1"/>
        </w:rPr>
        <w:t>;</w:t>
      </w:r>
      <w:r>
        <w:rPr>
          <w:color w:val="000000" w:themeColor="text1"/>
        </w:rPr>
        <w:t xml:space="preserve"> </w:t>
      </w:r>
      <w:r w:rsidR="00703505">
        <w:rPr>
          <w:color w:val="000000" w:themeColor="text1"/>
        </w:rPr>
        <w:t xml:space="preserve">and </w:t>
      </w:r>
      <w:r>
        <w:rPr>
          <w:color w:val="000000" w:themeColor="text1"/>
        </w:rPr>
        <w:t>4)</w:t>
      </w:r>
      <w:r w:rsidRPr="00196943">
        <w:rPr>
          <w:color w:val="000000" w:themeColor="text1"/>
        </w:rPr>
        <w:t xml:space="preserve"> consistent minimum policing standards and ongoing police training requirements for dealing with and investigating reported hate crime</w:t>
      </w:r>
      <w:r w:rsidR="00723753">
        <w:rPr>
          <w:color w:val="000000" w:themeColor="text1"/>
        </w:rPr>
        <w:t>s</w:t>
      </w:r>
      <w:r w:rsidR="00703505">
        <w:rPr>
          <w:color w:val="000000" w:themeColor="text1"/>
        </w:rPr>
        <w:t>.</w:t>
      </w:r>
      <w:r>
        <w:rPr>
          <w:color w:val="000000" w:themeColor="text1"/>
        </w:rPr>
        <w:t xml:space="preserve"> </w:t>
      </w:r>
    </w:p>
    <w:p w14:paraId="7A9B6EB9" w14:textId="6C005358" w:rsidR="00094CB8" w:rsidRDefault="00094CB8" w:rsidP="00196943">
      <w:pPr>
        <w:pStyle w:val="ListParagraph"/>
        <w:ind w:left="0"/>
        <w:rPr>
          <w:color w:val="000000" w:themeColor="text1"/>
        </w:rPr>
      </w:pPr>
    </w:p>
    <w:p w14:paraId="253B13D9" w14:textId="77777777" w:rsidR="004D4AD2" w:rsidRDefault="004D4AD2" w:rsidP="00196943">
      <w:pPr>
        <w:pStyle w:val="ListParagraph"/>
        <w:ind w:left="0"/>
        <w:rPr>
          <w:color w:val="000000" w:themeColor="text1"/>
        </w:rPr>
      </w:pPr>
    </w:p>
    <w:p w14:paraId="7B198CC7" w14:textId="2160D0CD" w:rsidR="00D328B8" w:rsidRPr="0021026C" w:rsidRDefault="001B5887" w:rsidP="0021026C">
      <w:r w:rsidRPr="0021026C">
        <w:rPr>
          <w:rFonts w:eastAsiaTheme="majorEastAsia"/>
          <w:b/>
          <w:color w:val="000000" w:themeColor="text1"/>
          <w:u w:val="single"/>
        </w:rPr>
        <w:t xml:space="preserve">Issue Eleven: Racial Discrimination in </w:t>
      </w:r>
      <w:r w:rsidR="00F9327E" w:rsidRPr="0021026C">
        <w:rPr>
          <w:rFonts w:eastAsiaTheme="majorEastAsia"/>
          <w:b/>
          <w:color w:val="000000" w:themeColor="text1"/>
          <w:u w:val="single"/>
        </w:rPr>
        <w:t>Policing and Criminal Justice</w:t>
      </w:r>
    </w:p>
    <w:p w14:paraId="1863FA80" w14:textId="77777777" w:rsidR="00F9327E" w:rsidRPr="001B5887" w:rsidRDefault="00F9327E" w:rsidP="00F9327E">
      <w:pPr>
        <w:pStyle w:val="Heading1"/>
        <w:spacing w:after="240"/>
        <w:rPr>
          <w:rFonts w:ascii="Times New Roman" w:hAnsi="Times New Roman" w:cs="Times New Roman"/>
          <w:b/>
          <w:i/>
          <w:color w:val="000000" w:themeColor="text1"/>
          <w:sz w:val="24"/>
          <w:szCs w:val="24"/>
        </w:rPr>
      </w:pPr>
      <w:r w:rsidRPr="001B5887">
        <w:rPr>
          <w:rFonts w:ascii="Times New Roman" w:hAnsi="Times New Roman" w:cs="Times New Roman"/>
          <w:b/>
          <w:i/>
          <w:color w:val="000000" w:themeColor="text1"/>
          <w:sz w:val="24"/>
          <w:szCs w:val="24"/>
        </w:rPr>
        <w:t>Policing</w:t>
      </w:r>
    </w:p>
    <w:p w14:paraId="4E8DC4D6" w14:textId="1A36FEE0" w:rsidR="00F9327E" w:rsidRPr="00A179B5" w:rsidRDefault="00F9327E" w:rsidP="001B5887">
      <w:pPr>
        <w:pStyle w:val="ListParagraph"/>
        <w:numPr>
          <w:ilvl w:val="0"/>
          <w:numId w:val="27"/>
        </w:numPr>
        <w:rPr>
          <w:color w:val="000000" w:themeColor="text1"/>
        </w:rPr>
      </w:pPr>
      <w:r w:rsidRPr="00A179B5">
        <w:rPr>
          <w:color w:val="000000" w:themeColor="text1"/>
        </w:rPr>
        <w:t xml:space="preserve">Indigenous </w:t>
      </w:r>
      <w:r w:rsidR="00723753">
        <w:rPr>
          <w:color w:val="000000" w:themeColor="text1"/>
        </w:rPr>
        <w:t>communities and</w:t>
      </w:r>
      <w:r w:rsidRPr="00A179B5">
        <w:rPr>
          <w:color w:val="000000" w:themeColor="text1"/>
        </w:rPr>
        <w:t xml:space="preserve"> communities</w:t>
      </w:r>
      <w:r w:rsidR="00723753">
        <w:rPr>
          <w:color w:val="000000" w:themeColor="text1"/>
        </w:rPr>
        <w:t xml:space="preserve"> of colour</w:t>
      </w:r>
      <w:r w:rsidRPr="00A179B5">
        <w:rPr>
          <w:color w:val="000000" w:themeColor="text1"/>
        </w:rPr>
        <w:t xml:space="preserve"> have reported experiencing racial profiling and discrimination in police street checks, traffic stops, investigations, searches, DNA sampling, arrest decisions, and use of force.</w:t>
      </w:r>
      <w:r w:rsidRPr="00A179B5">
        <w:rPr>
          <w:rStyle w:val="FootnoteReference"/>
          <w:color w:val="000000" w:themeColor="text1"/>
        </w:rPr>
        <w:footnoteReference w:id="95"/>
      </w:r>
    </w:p>
    <w:p w14:paraId="2FC51265" w14:textId="77777777" w:rsidR="00F9327E" w:rsidRPr="00A179B5" w:rsidRDefault="00F9327E" w:rsidP="00F9327E">
      <w:pPr>
        <w:pStyle w:val="ListParagraph"/>
        <w:ind w:left="0"/>
        <w:rPr>
          <w:color w:val="000000" w:themeColor="text1"/>
        </w:rPr>
      </w:pPr>
    </w:p>
    <w:p w14:paraId="365F7F90" w14:textId="491186F3" w:rsidR="00F9327E" w:rsidRPr="00A179B5" w:rsidRDefault="00F9327E" w:rsidP="001B5887">
      <w:pPr>
        <w:pStyle w:val="ListParagraph"/>
        <w:numPr>
          <w:ilvl w:val="0"/>
          <w:numId w:val="27"/>
        </w:numPr>
        <w:rPr>
          <w:color w:val="000000" w:themeColor="text1"/>
        </w:rPr>
      </w:pPr>
      <w:r w:rsidRPr="00A179B5">
        <w:rPr>
          <w:color w:val="000000" w:themeColor="text1"/>
        </w:rPr>
        <w:t xml:space="preserve">Data on traffic stops collected by the Ottawa Police Services from 2013 to 2015 found that Black drivers were stopped 2.3 times more </w:t>
      </w:r>
      <w:r w:rsidR="00723753">
        <w:rPr>
          <w:color w:val="000000" w:themeColor="text1"/>
        </w:rPr>
        <w:t xml:space="preserve">often </w:t>
      </w:r>
      <w:r w:rsidRPr="00A179B5">
        <w:rPr>
          <w:color w:val="000000" w:themeColor="text1"/>
        </w:rPr>
        <w:t>than expected given their representation in the driving population; young Black men were stopped 8.3 times more; Middle Eastern drivers were stopped 3.3 times more; and young Middle Eastern men were stopped 12 times more.</w:t>
      </w:r>
      <w:r w:rsidRPr="00A179B5">
        <w:rPr>
          <w:rStyle w:val="FootnoteReference"/>
          <w:color w:val="000000" w:themeColor="text1"/>
        </w:rPr>
        <w:footnoteReference w:id="96"/>
      </w:r>
    </w:p>
    <w:p w14:paraId="08AD8D1C" w14:textId="77777777" w:rsidR="00F9327E" w:rsidRPr="00A179B5" w:rsidRDefault="00F9327E" w:rsidP="00F9327E">
      <w:pPr>
        <w:pStyle w:val="ListParagraph"/>
        <w:ind w:left="0"/>
        <w:rPr>
          <w:color w:val="000000" w:themeColor="text1"/>
        </w:rPr>
      </w:pPr>
    </w:p>
    <w:p w14:paraId="050B1DD4" w14:textId="0909E768" w:rsidR="00F9327E" w:rsidRPr="001B5887" w:rsidRDefault="00F9327E" w:rsidP="001B5887">
      <w:pPr>
        <w:pStyle w:val="ListParagraph"/>
        <w:numPr>
          <w:ilvl w:val="0"/>
          <w:numId w:val="27"/>
        </w:numPr>
        <w:rPr>
          <w:color w:val="000000" w:themeColor="text1"/>
        </w:rPr>
      </w:pPr>
      <w:r w:rsidRPr="00A179B5">
        <w:rPr>
          <w:color w:val="000000" w:themeColor="text1"/>
        </w:rPr>
        <w:t>In its 2016 review of Canada, the UN Working Group of Experts on People of African Descent concluded that “there is clear evidence that racial profiling is endemic in the strategies and practices used by law enforcement</w:t>
      </w:r>
      <w:r w:rsidR="00723753">
        <w:rPr>
          <w:color w:val="000000" w:themeColor="text1"/>
        </w:rPr>
        <w:t xml:space="preserve"> (in Canada)</w:t>
      </w:r>
      <w:r w:rsidRPr="00A179B5">
        <w:rPr>
          <w:color w:val="000000" w:themeColor="text1"/>
        </w:rPr>
        <w:t>. Arbitrary use of ‘carding’ or street checks disproportionately affects people of African descent.”</w:t>
      </w:r>
      <w:r w:rsidRPr="00A179B5">
        <w:rPr>
          <w:rStyle w:val="FootnoteReference"/>
          <w:color w:val="000000" w:themeColor="text1"/>
        </w:rPr>
        <w:footnoteReference w:id="97"/>
      </w:r>
      <w:r w:rsidRPr="00A179B5">
        <w:rPr>
          <w:color w:val="000000" w:themeColor="text1"/>
        </w:rPr>
        <w:t xml:space="preserve"> </w:t>
      </w:r>
      <w:r w:rsidRPr="001B5887">
        <w:rPr>
          <w:color w:val="000000" w:themeColor="text1"/>
        </w:rPr>
        <w:t xml:space="preserve">A 2014 study by the </w:t>
      </w:r>
      <w:r w:rsidRPr="001B5887">
        <w:rPr>
          <w:i/>
          <w:color w:val="000000" w:themeColor="text1"/>
        </w:rPr>
        <w:t>Toronto Star</w:t>
      </w:r>
      <w:r w:rsidR="00723753">
        <w:rPr>
          <w:color w:val="000000" w:themeColor="text1"/>
        </w:rPr>
        <w:t xml:space="preserve"> newspaper, </w:t>
      </w:r>
      <w:r w:rsidRPr="001B5887">
        <w:rPr>
          <w:color w:val="000000" w:themeColor="text1"/>
        </w:rPr>
        <w:t>for example,</w:t>
      </w:r>
      <w:r w:rsidRPr="001B5887">
        <w:rPr>
          <w:i/>
          <w:color w:val="000000" w:themeColor="text1"/>
        </w:rPr>
        <w:t xml:space="preserve"> </w:t>
      </w:r>
      <w:r w:rsidRPr="001B5887">
        <w:rPr>
          <w:color w:val="000000" w:themeColor="text1"/>
        </w:rPr>
        <w:t>found that Black people were 3.4 times more likely to be carded by Toronto police than expected, given their representation in the population.</w:t>
      </w:r>
      <w:r w:rsidRPr="00A179B5">
        <w:rPr>
          <w:rStyle w:val="FootnoteReference"/>
          <w:color w:val="000000" w:themeColor="text1"/>
        </w:rPr>
        <w:footnoteReference w:id="98"/>
      </w:r>
      <w:r w:rsidRPr="001B5887">
        <w:rPr>
          <w:color w:val="000000" w:themeColor="text1"/>
        </w:rPr>
        <w:t xml:space="preserve"> </w:t>
      </w:r>
    </w:p>
    <w:p w14:paraId="1683F967" w14:textId="77777777" w:rsidR="00F9327E" w:rsidRPr="00A179B5" w:rsidRDefault="00F9327E" w:rsidP="00F9327E">
      <w:pPr>
        <w:pStyle w:val="ListParagraph"/>
        <w:ind w:left="0"/>
        <w:rPr>
          <w:color w:val="000000" w:themeColor="text1"/>
        </w:rPr>
      </w:pPr>
    </w:p>
    <w:p w14:paraId="60039E69" w14:textId="05BC6F90" w:rsidR="00F9327E" w:rsidRPr="00A179B5" w:rsidRDefault="00F9327E" w:rsidP="001B5887">
      <w:pPr>
        <w:pStyle w:val="ListParagraph"/>
        <w:numPr>
          <w:ilvl w:val="0"/>
          <w:numId w:val="27"/>
        </w:numPr>
        <w:rPr>
          <w:color w:val="000000" w:themeColor="text1"/>
        </w:rPr>
      </w:pPr>
      <w:r w:rsidRPr="00A179B5">
        <w:rPr>
          <w:color w:val="000000" w:themeColor="text1"/>
        </w:rPr>
        <w:t>In 2017, the Government of Ontario implemented regulations to restrain police carding practices.</w:t>
      </w:r>
      <w:r w:rsidRPr="00A179B5">
        <w:rPr>
          <w:rStyle w:val="FootnoteReference"/>
          <w:color w:val="000000" w:themeColor="text1"/>
        </w:rPr>
        <w:footnoteReference w:id="99"/>
      </w:r>
      <w:r w:rsidRPr="00A179B5">
        <w:rPr>
          <w:color w:val="000000" w:themeColor="text1"/>
        </w:rPr>
        <w:t xml:space="preserve"> However, the regulations still permit street checks to be conducted in connection with </w:t>
      </w:r>
      <w:r w:rsidR="00732905">
        <w:rPr>
          <w:color w:val="000000" w:themeColor="text1"/>
        </w:rPr>
        <w:t>investigations</w:t>
      </w:r>
      <w:r w:rsidRPr="00A179B5">
        <w:rPr>
          <w:rStyle w:val="FootnoteReference"/>
          <w:color w:val="000000" w:themeColor="text1"/>
          <w:shd w:val="clear" w:color="auto" w:fill="FFFFFF"/>
        </w:rPr>
        <w:footnoteReference w:id="100"/>
      </w:r>
      <w:r w:rsidRPr="00A179B5">
        <w:rPr>
          <w:color w:val="000000" w:themeColor="text1"/>
        </w:rPr>
        <w:t xml:space="preserve"> – leaving space for the continued operation of racial profiling. Moreover, the regulations do not require destruction of the police databases of personal information already amassed through racially-discriminatory carding. This is of heightened concern given </w:t>
      </w:r>
      <w:r w:rsidR="00723753">
        <w:rPr>
          <w:color w:val="000000" w:themeColor="text1"/>
        </w:rPr>
        <w:t xml:space="preserve">the ever expanding </w:t>
      </w:r>
      <w:r w:rsidRPr="00A179B5">
        <w:rPr>
          <w:color w:val="000000" w:themeColor="text1"/>
        </w:rPr>
        <w:t>information-sharing agreements between Ontario municipal police and national security agencies (</w:t>
      </w:r>
      <w:r w:rsidR="006C0568">
        <w:rPr>
          <w:color w:val="000000" w:themeColor="text1"/>
        </w:rPr>
        <w:t xml:space="preserve">e.g. </w:t>
      </w:r>
      <w:r w:rsidRPr="00A179B5">
        <w:rPr>
          <w:color w:val="000000" w:themeColor="text1"/>
        </w:rPr>
        <w:t>the Royal Canadian Mounted Police (RCMP), and the Canadian Security Intelligence Service (CSIS); see se</w:t>
      </w:r>
      <w:r w:rsidR="004F4D00">
        <w:rPr>
          <w:color w:val="000000" w:themeColor="text1"/>
        </w:rPr>
        <w:t>ction on National Security above</w:t>
      </w:r>
      <w:r w:rsidRPr="00A179B5">
        <w:rPr>
          <w:color w:val="000000" w:themeColor="text1"/>
        </w:rPr>
        <w:t>).</w:t>
      </w:r>
      <w:r w:rsidRPr="00A179B5">
        <w:rPr>
          <w:rStyle w:val="FootnoteReference"/>
          <w:color w:val="000000" w:themeColor="text1"/>
        </w:rPr>
        <w:footnoteReference w:id="101"/>
      </w:r>
      <w:r w:rsidRPr="00A179B5">
        <w:rPr>
          <w:color w:val="000000" w:themeColor="text1"/>
        </w:rPr>
        <w:t xml:space="preserve">   </w:t>
      </w:r>
    </w:p>
    <w:p w14:paraId="05E1129E" w14:textId="77777777" w:rsidR="00F9327E" w:rsidRPr="00A179B5" w:rsidRDefault="00F9327E" w:rsidP="00F9327E">
      <w:pPr>
        <w:pStyle w:val="ListParagraph"/>
        <w:rPr>
          <w:color w:val="000000" w:themeColor="text1"/>
        </w:rPr>
      </w:pPr>
    </w:p>
    <w:p w14:paraId="2693DD2A" w14:textId="7D07DA51" w:rsidR="00F9327E" w:rsidRPr="00A179B5" w:rsidRDefault="00F9327E" w:rsidP="001B5887">
      <w:pPr>
        <w:pStyle w:val="ListParagraph"/>
        <w:numPr>
          <w:ilvl w:val="0"/>
          <w:numId w:val="27"/>
        </w:numPr>
        <w:rPr>
          <w:color w:val="000000" w:themeColor="text1"/>
        </w:rPr>
      </w:pPr>
      <w:r w:rsidRPr="00A179B5">
        <w:rPr>
          <w:color w:val="000000" w:themeColor="text1"/>
        </w:rPr>
        <w:t xml:space="preserve">Indigenous </w:t>
      </w:r>
      <w:r w:rsidR="00723753">
        <w:rPr>
          <w:color w:val="000000" w:themeColor="text1"/>
        </w:rPr>
        <w:t>P</w:t>
      </w:r>
      <w:r w:rsidRPr="00A179B5">
        <w:rPr>
          <w:color w:val="000000" w:themeColor="text1"/>
        </w:rPr>
        <w:t>eople</w:t>
      </w:r>
      <w:r w:rsidR="00B0354C">
        <w:rPr>
          <w:color w:val="000000" w:themeColor="text1"/>
        </w:rPr>
        <w:t xml:space="preserve"> and people of colour</w:t>
      </w:r>
      <w:r w:rsidRPr="00A179B5">
        <w:rPr>
          <w:color w:val="000000" w:themeColor="text1"/>
        </w:rPr>
        <w:t xml:space="preserve"> have also reported being subjected to excessive use of police force, unnecessary strip and cavity searches, and reprisals for complaining or asserting their rights </w:t>
      </w:r>
      <w:r w:rsidR="006C0568">
        <w:rPr>
          <w:color w:val="000000" w:themeColor="text1"/>
        </w:rPr>
        <w:t>vis-à-vis</w:t>
      </w:r>
      <w:r w:rsidR="006C0568" w:rsidRPr="00A179B5">
        <w:rPr>
          <w:color w:val="000000" w:themeColor="text1"/>
        </w:rPr>
        <w:t xml:space="preserve"> </w:t>
      </w:r>
      <w:r w:rsidR="00723753">
        <w:rPr>
          <w:color w:val="000000" w:themeColor="text1"/>
        </w:rPr>
        <w:t xml:space="preserve">the </w:t>
      </w:r>
      <w:r w:rsidRPr="00A179B5">
        <w:rPr>
          <w:color w:val="000000" w:themeColor="text1"/>
        </w:rPr>
        <w:t>police.</w:t>
      </w:r>
      <w:r w:rsidRPr="00A179B5">
        <w:rPr>
          <w:rStyle w:val="FootnoteReference"/>
          <w:color w:val="000000" w:themeColor="text1"/>
        </w:rPr>
        <w:footnoteReference w:id="102"/>
      </w:r>
      <w:r w:rsidRPr="00A179B5">
        <w:rPr>
          <w:color w:val="000000" w:themeColor="text1"/>
        </w:rPr>
        <w:t xml:space="preserve"> A 2006 study by criminologist Scott Wortley found that Black and Indigenous </w:t>
      </w:r>
      <w:r w:rsidR="00723753">
        <w:rPr>
          <w:color w:val="000000" w:themeColor="text1"/>
        </w:rPr>
        <w:t>P</w:t>
      </w:r>
      <w:r w:rsidRPr="00A179B5">
        <w:rPr>
          <w:color w:val="000000" w:themeColor="text1"/>
        </w:rPr>
        <w:t>eoples were highly overrepresented in police use of force cases. While Black people constitute</w:t>
      </w:r>
      <w:r w:rsidR="0070263A">
        <w:rPr>
          <w:color w:val="000000" w:themeColor="text1"/>
        </w:rPr>
        <w:t>d</w:t>
      </w:r>
      <w:r w:rsidRPr="00A179B5">
        <w:rPr>
          <w:color w:val="000000" w:themeColor="text1"/>
        </w:rPr>
        <w:t xml:space="preserve"> 3.6% of the population of Ontario, they represented 16% of all investigations involving police use of force, 27% of investigations into police shootings, and 34.5% of all deaths caused by police shootings.</w:t>
      </w:r>
      <w:r w:rsidRPr="00A179B5">
        <w:rPr>
          <w:rStyle w:val="FootnoteReference"/>
          <w:color w:val="000000" w:themeColor="text1"/>
        </w:rPr>
        <w:footnoteReference w:id="103"/>
      </w:r>
    </w:p>
    <w:p w14:paraId="11985CB7" w14:textId="77777777" w:rsidR="00F9327E" w:rsidRPr="00A179B5" w:rsidRDefault="00F9327E" w:rsidP="00F9327E">
      <w:pPr>
        <w:pStyle w:val="ListParagraph"/>
        <w:ind w:left="0"/>
        <w:rPr>
          <w:color w:val="000000" w:themeColor="text1"/>
        </w:rPr>
      </w:pPr>
    </w:p>
    <w:p w14:paraId="1D29A4C3" w14:textId="63FA9B22" w:rsidR="004F4D00" w:rsidRDefault="00F9327E" w:rsidP="001B5887">
      <w:pPr>
        <w:pStyle w:val="ListParagraph"/>
        <w:numPr>
          <w:ilvl w:val="0"/>
          <w:numId w:val="27"/>
        </w:numPr>
        <w:rPr>
          <w:color w:val="000000" w:themeColor="text1"/>
        </w:rPr>
      </w:pPr>
      <w:r w:rsidRPr="00A179B5">
        <w:rPr>
          <w:color w:val="000000" w:themeColor="text1"/>
        </w:rPr>
        <w:t xml:space="preserve">Police profiling on the basis of race intersects with profiling on the basis of immigration status. A 2015 study documented how immigration status checks performed by Toronto police are a form of racial </w:t>
      </w:r>
      <w:proofErr w:type="gramStart"/>
      <w:r w:rsidRPr="00A179B5">
        <w:rPr>
          <w:color w:val="000000" w:themeColor="text1"/>
        </w:rPr>
        <w:t>profiling,</w:t>
      </w:r>
      <w:proofErr w:type="gramEnd"/>
      <w:r w:rsidRPr="00A179B5">
        <w:rPr>
          <w:color w:val="000000" w:themeColor="text1"/>
        </w:rPr>
        <w:t xml:space="preserve"> making undocumented residents</w:t>
      </w:r>
      <w:r w:rsidR="00AF5566">
        <w:rPr>
          <w:color w:val="000000" w:themeColor="text1"/>
        </w:rPr>
        <w:t xml:space="preserve"> of colour</w:t>
      </w:r>
      <w:r w:rsidRPr="00A179B5">
        <w:rPr>
          <w:color w:val="000000" w:themeColor="text1"/>
        </w:rPr>
        <w:t xml:space="preserve"> vulnerable to</w:t>
      </w:r>
      <w:r w:rsidR="006C0568">
        <w:rPr>
          <w:color w:val="000000" w:themeColor="text1"/>
        </w:rPr>
        <w:t xml:space="preserve"> the prospect of</w:t>
      </w:r>
      <w:r w:rsidRPr="00A179B5">
        <w:rPr>
          <w:color w:val="000000" w:themeColor="text1"/>
        </w:rPr>
        <w:t xml:space="preserve"> indefinite immigration detention and deportation</w:t>
      </w:r>
      <w:r w:rsidRPr="00A179B5">
        <w:rPr>
          <w:rStyle w:val="FootnoteReference"/>
          <w:color w:val="000000" w:themeColor="text1"/>
        </w:rPr>
        <w:footnoteReference w:id="104"/>
      </w:r>
      <w:r w:rsidRPr="00A179B5">
        <w:rPr>
          <w:color w:val="000000" w:themeColor="text1"/>
        </w:rPr>
        <w:t xml:space="preserve"> (see section</w:t>
      </w:r>
      <w:r w:rsidR="004F4D00">
        <w:rPr>
          <w:color w:val="000000" w:themeColor="text1"/>
        </w:rPr>
        <w:t xml:space="preserve"> on Immigration Detention above</w:t>
      </w:r>
      <w:r w:rsidRPr="00A179B5">
        <w:rPr>
          <w:color w:val="000000" w:themeColor="text1"/>
        </w:rPr>
        <w:t xml:space="preserve">).  </w:t>
      </w:r>
    </w:p>
    <w:p w14:paraId="61A27CDE" w14:textId="77777777" w:rsidR="004F4D00" w:rsidRPr="004F4D00" w:rsidRDefault="004F4D00" w:rsidP="004F4D00">
      <w:pPr>
        <w:pStyle w:val="ListParagraph"/>
        <w:rPr>
          <w:color w:val="000000" w:themeColor="text1"/>
        </w:rPr>
      </w:pPr>
    </w:p>
    <w:p w14:paraId="77EF127F" w14:textId="4C162D57" w:rsidR="007D644B" w:rsidRPr="00894416" w:rsidRDefault="00F9327E" w:rsidP="0021026C">
      <w:pPr>
        <w:pStyle w:val="ListParagraph"/>
        <w:numPr>
          <w:ilvl w:val="0"/>
          <w:numId w:val="27"/>
        </w:numPr>
        <w:rPr>
          <w:color w:val="000000" w:themeColor="text1"/>
        </w:rPr>
      </w:pPr>
      <w:r w:rsidRPr="00894416">
        <w:rPr>
          <w:color w:val="000000" w:themeColor="text1"/>
        </w:rPr>
        <w:t>In December 2013, Justicia for Migrant Workers filed a complaint with the Ontario Independent P</w:t>
      </w:r>
      <w:r w:rsidRPr="006C0568">
        <w:rPr>
          <w:color w:val="000000" w:themeColor="text1"/>
        </w:rPr>
        <w:t>olice Review Director</w:t>
      </w:r>
      <w:r w:rsidR="0090118C" w:rsidRPr="006C0568">
        <w:rPr>
          <w:color w:val="000000" w:themeColor="text1"/>
        </w:rPr>
        <w:t xml:space="preserve"> (OIPRD)</w:t>
      </w:r>
      <w:r w:rsidRPr="006C0568">
        <w:rPr>
          <w:color w:val="000000" w:themeColor="text1"/>
        </w:rPr>
        <w:t>, alleging that the Ontario Provincial Police collected DNA samples from approximately 100 male “Indo and Afro-Caribbean” migrant workers as part of a sexual assault investigation – even though the migrant workers did not match the description of the suspect, apart from their skin colour.</w:t>
      </w:r>
      <w:r w:rsidR="0090118C" w:rsidRPr="006C0568">
        <w:rPr>
          <w:color w:val="000000" w:themeColor="text1"/>
        </w:rPr>
        <w:t xml:space="preserve"> </w:t>
      </w:r>
      <w:r w:rsidR="00B0354C" w:rsidRPr="006C0568">
        <w:rPr>
          <w:color w:val="000000" w:themeColor="text1"/>
        </w:rPr>
        <w:t>In a disappointing decision, the OIPRD Director found that rac</w:t>
      </w:r>
      <w:r w:rsidR="0090118C" w:rsidRPr="006C0568">
        <w:rPr>
          <w:color w:val="000000" w:themeColor="text1"/>
        </w:rPr>
        <w:t>ial profiling</w:t>
      </w:r>
      <w:r w:rsidR="00B0354C" w:rsidRPr="006C0568">
        <w:rPr>
          <w:color w:val="000000" w:themeColor="text1"/>
        </w:rPr>
        <w:t xml:space="preserve"> was not a factor in the OPP’s decision to conduct the DNA sweep</w:t>
      </w:r>
      <w:r w:rsidR="0090118C" w:rsidRPr="006C0568">
        <w:rPr>
          <w:color w:val="000000" w:themeColor="text1"/>
        </w:rPr>
        <w:t>, although the sweep was “overly broad</w:t>
      </w:r>
      <w:r w:rsidR="00B0354C" w:rsidRPr="006C0568">
        <w:rPr>
          <w:color w:val="000000" w:themeColor="text1"/>
        </w:rPr>
        <w:t>.</w:t>
      </w:r>
      <w:r w:rsidR="0090118C" w:rsidRPr="006C0568">
        <w:rPr>
          <w:color w:val="000000" w:themeColor="text1"/>
        </w:rPr>
        <w:t>”</w:t>
      </w:r>
      <w:r w:rsidR="0090118C">
        <w:rPr>
          <w:rStyle w:val="FootnoteReference"/>
          <w:color w:val="000000" w:themeColor="text1"/>
        </w:rPr>
        <w:footnoteReference w:id="105"/>
      </w:r>
    </w:p>
    <w:p w14:paraId="66753D21" w14:textId="77777777" w:rsidR="004D4AD2" w:rsidRDefault="004D4AD2" w:rsidP="004D4AD2">
      <w:pPr>
        <w:pStyle w:val="ListParagraph"/>
        <w:ind w:left="0"/>
        <w:rPr>
          <w:color w:val="000000" w:themeColor="text1"/>
        </w:rPr>
      </w:pPr>
    </w:p>
    <w:p w14:paraId="5CBBF609" w14:textId="7BBCC8DE" w:rsidR="00F9327E" w:rsidRPr="00A179B5" w:rsidRDefault="00F9327E" w:rsidP="001B5887">
      <w:pPr>
        <w:pStyle w:val="ListParagraph"/>
        <w:numPr>
          <w:ilvl w:val="0"/>
          <w:numId w:val="27"/>
        </w:numPr>
        <w:rPr>
          <w:color w:val="000000" w:themeColor="text1"/>
        </w:rPr>
      </w:pPr>
      <w:r w:rsidRPr="00A179B5">
        <w:rPr>
          <w:color w:val="000000" w:themeColor="text1"/>
        </w:rPr>
        <w:t xml:space="preserve">Racialized communities have consistently raised concerns about the inefficacy, non-transparency, and apparent partiality of police oversight bodies. Investigations by Ontario’s Special Investigations Unit (SIU), which is </w:t>
      </w:r>
      <w:r w:rsidR="00615CD7">
        <w:rPr>
          <w:color w:val="000000" w:themeColor="text1"/>
        </w:rPr>
        <w:t>mandated</w:t>
      </w:r>
      <w:r w:rsidR="00615CD7" w:rsidRPr="00A179B5">
        <w:rPr>
          <w:color w:val="000000" w:themeColor="text1"/>
        </w:rPr>
        <w:t xml:space="preserve"> </w:t>
      </w:r>
      <w:r w:rsidRPr="00A179B5">
        <w:rPr>
          <w:color w:val="000000" w:themeColor="text1"/>
        </w:rPr>
        <w:t xml:space="preserve">to investigate police-civilian interactions that result in serious injury or death to a civilian, have only </w:t>
      </w:r>
      <w:r w:rsidR="00AF5566">
        <w:rPr>
          <w:color w:val="000000" w:themeColor="text1"/>
        </w:rPr>
        <w:t>resul</w:t>
      </w:r>
      <w:r w:rsidRPr="00A179B5">
        <w:rPr>
          <w:color w:val="000000" w:themeColor="text1"/>
        </w:rPr>
        <w:t>ted in charges being laid against police officers in 12</w:t>
      </w:r>
      <w:r w:rsidR="0090118C">
        <w:rPr>
          <w:color w:val="000000" w:themeColor="text1"/>
        </w:rPr>
        <w:t>9</w:t>
      </w:r>
      <w:r w:rsidRPr="00A179B5">
        <w:rPr>
          <w:color w:val="000000" w:themeColor="text1"/>
        </w:rPr>
        <w:t xml:space="preserve"> out of 3,932 cases between 2002 and 2016.</w:t>
      </w:r>
      <w:r w:rsidRPr="00A179B5">
        <w:rPr>
          <w:rStyle w:val="FootnoteReference"/>
          <w:color w:val="000000" w:themeColor="text1"/>
        </w:rPr>
        <w:footnoteReference w:id="106"/>
      </w:r>
      <w:r w:rsidRPr="00A179B5">
        <w:rPr>
          <w:color w:val="000000" w:themeColor="text1"/>
        </w:rPr>
        <w:t xml:space="preserve"> Redacted SIU reports on incidents involving civilian deaths, like that of South Sudanese refugee Andrew Loku, have only been released following </w:t>
      </w:r>
      <w:r w:rsidR="00615CD7">
        <w:rPr>
          <w:color w:val="000000" w:themeColor="text1"/>
        </w:rPr>
        <w:t xml:space="preserve">intense </w:t>
      </w:r>
      <w:r w:rsidRPr="00A179B5">
        <w:rPr>
          <w:color w:val="000000" w:themeColor="text1"/>
        </w:rPr>
        <w:t>public pressure by activist groups.</w:t>
      </w:r>
      <w:r w:rsidRPr="00A179B5">
        <w:rPr>
          <w:rStyle w:val="FootnoteReference"/>
          <w:color w:val="000000" w:themeColor="text1"/>
        </w:rPr>
        <w:footnoteReference w:id="107"/>
      </w:r>
      <w:r w:rsidRPr="00A179B5">
        <w:rPr>
          <w:color w:val="000000" w:themeColor="text1"/>
        </w:rPr>
        <w:t xml:space="preserve"> </w:t>
      </w:r>
    </w:p>
    <w:p w14:paraId="31DAACD5" w14:textId="77777777" w:rsidR="00F9327E" w:rsidRPr="00A179B5" w:rsidRDefault="00F9327E" w:rsidP="00F9327E">
      <w:pPr>
        <w:pStyle w:val="ListParagraph"/>
        <w:rPr>
          <w:color w:val="000000" w:themeColor="text1"/>
        </w:rPr>
      </w:pPr>
    </w:p>
    <w:p w14:paraId="2D2540FF" w14:textId="5B6A5372" w:rsidR="001B5887" w:rsidRDefault="00F9327E" w:rsidP="001B5887">
      <w:pPr>
        <w:pStyle w:val="ListParagraph"/>
        <w:numPr>
          <w:ilvl w:val="0"/>
          <w:numId w:val="27"/>
        </w:numPr>
        <w:rPr>
          <w:color w:val="000000" w:themeColor="text1"/>
        </w:rPr>
      </w:pPr>
      <w:r w:rsidRPr="00A179B5">
        <w:rPr>
          <w:color w:val="000000" w:themeColor="text1"/>
        </w:rPr>
        <w:t xml:space="preserve">In his 2017 evaluation of police oversight in Ontario, Justice Michael Tulloch recommended, </w:t>
      </w:r>
      <w:r w:rsidRPr="00A179B5">
        <w:rPr>
          <w:i/>
          <w:color w:val="000000" w:themeColor="text1"/>
        </w:rPr>
        <w:t>inter alia</w:t>
      </w:r>
      <w:r w:rsidRPr="00A179B5">
        <w:rPr>
          <w:color w:val="000000" w:themeColor="text1"/>
        </w:rPr>
        <w:t xml:space="preserve">, that: </w:t>
      </w:r>
      <w:r w:rsidR="00AF5566">
        <w:rPr>
          <w:color w:val="000000" w:themeColor="text1"/>
        </w:rPr>
        <w:t xml:space="preserve">all police oversight bodies should collect ethno-racially disaggregated data; </w:t>
      </w:r>
      <w:r w:rsidRPr="00A179B5">
        <w:rPr>
          <w:color w:val="000000" w:themeColor="text1"/>
        </w:rPr>
        <w:t xml:space="preserve">no more than half of SIU investigators should be former police officers; anti-bias measures should be incorporated into the training for investigators; “serious injuries” should be given a standard definition; all incidents involving discharge of a firearm by a police officer at a person should be investigated; and </w:t>
      </w:r>
      <w:r w:rsidR="00AF5566">
        <w:rPr>
          <w:color w:val="000000" w:themeColor="text1"/>
        </w:rPr>
        <w:t xml:space="preserve">in the interest of transparency and accountability that </w:t>
      </w:r>
      <w:r w:rsidRPr="00A179B5">
        <w:rPr>
          <w:color w:val="000000" w:themeColor="text1"/>
        </w:rPr>
        <w:t>public reports should be provided for all SIU investigations.</w:t>
      </w:r>
      <w:r w:rsidRPr="00A179B5">
        <w:rPr>
          <w:rStyle w:val="FootnoteReference"/>
          <w:color w:val="000000" w:themeColor="text1"/>
        </w:rPr>
        <w:footnoteReference w:id="108"/>
      </w:r>
      <w:r w:rsidRPr="00A179B5">
        <w:rPr>
          <w:color w:val="000000" w:themeColor="text1"/>
        </w:rPr>
        <w:t xml:space="preserve"> </w:t>
      </w:r>
    </w:p>
    <w:p w14:paraId="093B3368" w14:textId="77777777" w:rsidR="001B5887" w:rsidRPr="001B5887" w:rsidRDefault="001B5887" w:rsidP="001B5887">
      <w:pPr>
        <w:pStyle w:val="ListParagraph"/>
        <w:rPr>
          <w:color w:val="000000" w:themeColor="text1"/>
        </w:rPr>
      </w:pPr>
    </w:p>
    <w:p w14:paraId="3F2FDC2C" w14:textId="4FC86A70" w:rsidR="00F9327E" w:rsidRPr="00A179B5" w:rsidRDefault="00F9327E" w:rsidP="001B5887">
      <w:pPr>
        <w:pStyle w:val="ListParagraph"/>
        <w:numPr>
          <w:ilvl w:val="0"/>
          <w:numId w:val="27"/>
        </w:numPr>
        <w:rPr>
          <w:color w:val="000000" w:themeColor="text1"/>
        </w:rPr>
      </w:pPr>
      <w:r w:rsidRPr="00A179B5">
        <w:rPr>
          <w:color w:val="000000" w:themeColor="text1"/>
        </w:rPr>
        <w:t xml:space="preserve">Justice Tulloch’s </w:t>
      </w:r>
      <w:r w:rsidR="00AF5566">
        <w:rPr>
          <w:color w:val="000000" w:themeColor="text1"/>
        </w:rPr>
        <w:t xml:space="preserve">welcome </w:t>
      </w:r>
      <w:r w:rsidRPr="00A179B5">
        <w:rPr>
          <w:color w:val="000000" w:themeColor="text1"/>
        </w:rPr>
        <w:t xml:space="preserve">recommendations are non-binding; </w:t>
      </w:r>
      <w:r w:rsidR="00AF5566">
        <w:rPr>
          <w:color w:val="000000" w:themeColor="text1"/>
        </w:rPr>
        <w:t xml:space="preserve">so </w:t>
      </w:r>
      <w:r w:rsidRPr="00A179B5">
        <w:rPr>
          <w:color w:val="000000" w:themeColor="text1"/>
        </w:rPr>
        <w:t xml:space="preserve">while the Ontario government has indicated that it is committed to implementing them, there is no accountability mechanism ensuring that it does. Furthermore, commentators have critiqued the Tulloch report for recommending that the names of investigated police officers should not be released unless they are charged – inhibiting the identification of </w:t>
      </w:r>
      <w:r w:rsidR="00AF5566">
        <w:rPr>
          <w:color w:val="000000" w:themeColor="text1"/>
        </w:rPr>
        <w:t xml:space="preserve">ethno-racial and other biased </w:t>
      </w:r>
      <w:r w:rsidRPr="00A179B5">
        <w:rPr>
          <w:color w:val="000000" w:themeColor="text1"/>
        </w:rPr>
        <w:t>patterns of violent behaviour by particular police officers.</w:t>
      </w:r>
    </w:p>
    <w:p w14:paraId="2A1E5116" w14:textId="77777777" w:rsidR="00F9327E" w:rsidRPr="001B5887" w:rsidRDefault="001B5887" w:rsidP="00F9327E">
      <w:pPr>
        <w:pStyle w:val="Heading1"/>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Pre-Trial Detention</w:t>
      </w:r>
    </w:p>
    <w:p w14:paraId="68198F4F" w14:textId="3713E239" w:rsidR="001B5887" w:rsidRDefault="00F9327E" w:rsidP="001B5887">
      <w:pPr>
        <w:pStyle w:val="ListParagraph"/>
        <w:numPr>
          <w:ilvl w:val="0"/>
          <w:numId w:val="27"/>
        </w:numPr>
        <w:spacing w:before="240"/>
        <w:rPr>
          <w:color w:val="000000" w:themeColor="text1"/>
        </w:rPr>
      </w:pPr>
      <w:r w:rsidRPr="00A179B5">
        <w:rPr>
          <w:color w:val="000000" w:themeColor="text1"/>
        </w:rPr>
        <w:t xml:space="preserve">A 2016 report by Legal Aid Ontario on the bail system observes that </w:t>
      </w:r>
      <w:r w:rsidR="00EC2592">
        <w:rPr>
          <w:color w:val="000000" w:themeColor="text1"/>
        </w:rPr>
        <w:t>Indigenous Peoples and peoples of colour</w:t>
      </w:r>
      <w:r w:rsidRPr="00A179B5">
        <w:rPr>
          <w:color w:val="000000" w:themeColor="text1"/>
        </w:rPr>
        <w:t xml:space="preserve"> </w:t>
      </w:r>
      <w:r w:rsidR="00EC2592">
        <w:rPr>
          <w:color w:val="000000" w:themeColor="text1"/>
        </w:rPr>
        <w:t>“…</w:t>
      </w:r>
      <w:r w:rsidRPr="00A179B5">
        <w:rPr>
          <w:color w:val="000000" w:themeColor="text1"/>
        </w:rPr>
        <w:t>who are subject to over-policing practices and racial profiling are more likely to find themselves in pre-trial detention</w:t>
      </w:r>
      <w:r w:rsidR="00EC2592">
        <w:rPr>
          <w:color w:val="000000" w:themeColor="text1"/>
        </w:rPr>
        <w:t>…</w:t>
      </w:r>
      <w:r w:rsidR="0060658E" w:rsidRPr="0060658E">
        <w:rPr>
          <w:color w:val="000000" w:themeColor="text1"/>
        </w:rPr>
        <w:t>”</w:t>
      </w:r>
      <w:r w:rsidR="0060658E" w:rsidRPr="0060658E">
        <w:rPr>
          <w:color w:val="000000" w:themeColor="text1"/>
          <w:vertAlign w:val="superscript"/>
        </w:rPr>
        <w:footnoteReference w:id="109"/>
      </w:r>
      <w:r w:rsidRPr="00A179B5">
        <w:rPr>
          <w:color w:val="000000" w:themeColor="text1"/>
        </w:rPr>
        <w:t xml:space="preserve"> than those from non-racialized backgrounds. The </w:t>
      </w:r>
      <w:r w:rsidR="0060658E">
        <w:rPr>
          <w:color w:val="000000" w:themeColor="text1"/>
        </w:rPr>
        <w:t xml:space="preserve">much earlier </w:t>
      </w:r>
      <w:r w:rsidRPr="00A179B5">
        <w:rPr>
          <w:color w:val="000000" w:themeColor="text1"/>
        </w:rPr>
        <w:t>Commission on Systemic Racism in the Ontario Criminal Justice System, for example, found that Black adult males were three times more likely than White adult males to be denied bail for drug charges in Toronto courts.</w:t>
      </w:r>
      <w:r w:rsidRPr="00A179B5">
        <w:rPr>
          <w:rStyle w:val="FootnoteReference"/>
          <w:color w:val="000000" w:themeColor="text1"/>
        </w:rPr>
        <w:footnoteReference w:id="110"/>
      </w:r>
      <w:r w:rsidRPr="00A179B5">
        <w:rPr>
          <w:color w:val="000000" w:themeColor="text1"/>
        </w:rPr>
        <w:t xml:space="preserve"> In 2014, Indigenous </w:t>
      </w:r>
      <w:r w:rsidR="0060658E">
        <w:rPr>
          <w:color w:val="000000" w:themeColor="text1"/>
        </w:rPr>
        <w:t>P</w:t>
      </w:r>
      <w:r w:rsidRPr="00A179B5">
        <w:rPr>
          <w:color w:val="000000" w:themeColor="text1"/>
        </w:rPr>
        <w:t>eople comprised 13% of persons in remand detention, despite constituting only 2% of Ontario’s population.</w:t>
      </w:r>
      <w:r w:rsidRPr="00A179B5">
        <w:rPr>
          <w:rStyle w:val="FootnoteReference"/>
          <w:color w:val="000000" w:themeColor="text1"/>
        </w:rPr>
        <w:footnoteReference w:id="111"/>
      </w:r>
      <w:r w:rsidRPr="00A179B5">
        <w:rPr>
          <w:color w:val="000000" w:themeColor="text1"/>
        </w:rPr>
        <w:t xml:space="preserve"> </w:t>
      </w:r>
    </w:p>
    <w:p w14:paraId="3AB6F7E6" w14:textId="77777777" w:rsidR="004D4AD2" w:rsidRDefault="004D4AD2" w:rsidP="004D4AD2">
      <w:pPr>
        <w:pStyle w:val="ListParagraph"/>
        <w:spacing w:before="240"/>
        <w:ind w:left="0"/>
        <w:rPr>
          <w:color w:val="000000" w:themeColor="text1"/>
        </w:rPr>
      </w:pPr>
    </w:p>
    <w:p w14:paraId="6A4DA640" w14:textId="10DA81C5" w:rsidR="00F9327E" w:rsidRPr="001B5887" w:rsidRDefault="00F9327E" w:rsidP="001B5887">
      <w:pPr>
        <w:pStyle w:val="ListParagraph"/>
        <w:numPr>
          <w:ilvl w:val="0"/>
          <w:numId w:val="27"/>
        </w:numPr>
        <w:spacing w:before="240"/>
        <w:rPr>
          <w:color w:val="000000" w:themeColor="text1"/>
        </w:rPr>
      </w:pPr>
      <w:r w:rsidRPr="001B5887">
        <w:rPr>
          <w:color w:val="000000" w:themeColor="text1"/>
        </w:rPr>
        <w:t>Th</w:t>
      </w:r>
      <w:r w:rsidR="0060658E">
        <w:rPr>
          <w:color w:val="000000" w:themeColor="text1"/>
        </w:rPr>
        <w:t>is</w:t>
      </w:r>
      <w:r w:rsidRPr="001B5887">
        <w:rPr>
          <w:color w:val="000000" w:themeColor="text1"/>
        </w:rPr>
        <w:t xml:space="preserve"> racialization of pre-trial detention is exacerbated by the racialization of poverty and mental health issues. As the Canadian Civil Liberties Association has argued, the Canadian bail system is one that “disproportionately penalizes – and criminalizes – poverty, addiction and mental illness. Canadian bail courts regularly impose abstinence requirements on those addicted to alcohol or drugs, residency conditions on the homeless, strict check-in requirements in difficult to access locations, no-contact conditions between family members, and rigid curfews that interfere with employment and daily life.”</w:t>
      </w:r>
      <w:r w:rsidRPr="00A179B5">
        <w:rPr>
          <w:rStyle w:val="FootnoteReference"/>
          <w:color w:val="000000" w:themeColor="text1"/>
        </w:rPr>
        <w:footnoteReference w:id="112"/>
      </w:r>
    </w:p>
    <w:p w14:paraId="3FEFC83B" w14:textId="77777777" w:rsidR="00F9327E" w:rsidRPr="00A179B5" w:rsidRDefault="00F9327E" w:rsidP="00F9327E">
      <w:pPr>
        <w:pStyle w:val="ListParagraph"/>
        <w:spacing w:before="240"/>
        <w:ind w:left="0"/>
        <w:rPr>
          <w:color w:val="000000" w:themeColor="text1"/>
        </w:rPr>
      </w:pPr>
    </w:p>
    <w:p w14:paraId="6CE1573F" w14:textId="77777777" w:rsidR="00F9327E" w:rsidRPr="00A179B5" w:rsidRDefault="00F9327E" w:rsidP="001B5887">
      <w:pPr>
        <w:pStyle w:val="ListParagraph"/>
        <w:numPr>
          <w:ilvl w:val="0"/>
          <w:numId w:val="27"/>
        </w:numPr>
        <w:spacing w:before="240"/>
        <w:rPr>
          <w:color w:val="000000" w:themeColor="text1"/>
        </w:rPr>
      </w:pPr>
      <w:r w:rsidRPr="00A179B5">
        <w:rPr>
          <w:color w:val="000000" w:themeColor="text1"/>
        </w:rPr>
        <w:t>Pre-trial detention impairs access to counsel, and increases pressure on an accused to plead guilty or agree to onerous release conditions.</w:t>
      </w:r>
      <w:r w:rsidRPr="00A179B5">
        <w:rPr>
          <w:rStyle w:val="FootnoteReference"/>
          <w:color w:val="000000" w:themeColor="text1"/>
        </w:rPr>
        <w:footnoteReference w:id="113"/>
      </w:r>
      <w:r w:rsidRPr="00A179B5">
        <w:rPr>
          <w:color w:val="000000" w:themeColor="text1"/>
        </w:rPr>
        <w:t xml:space="preserve"> The disadvantages are compounded for Indigenous defendants from remote communities, who are removed to provincial detention centres many kilometres away from the community supports that could help them secure pre-trial release.</w:t>
      </w:r>
      <w:r w:rsidRPr="00A179B5">
        <w:rPr>
          <w:rStyle w:val="FootnoteReference"/>
          <w:color w:val="000000" w:themeColor="text1"/>
        </w:rPr>
        <w:footnoteReference w:id="114"/>
      </w:r>
      <w:r w:rsidRPr="00A179B5">
        <w:rPr>
          <w:color w:val="000000" w:themeColor="text1"/>
        </w:rPr>
        <w:t xml:space="preserve"> </w:t>
      </w:r>
    </w:p>
    <w:p w14:paraId="1BDD0799" w14:textId="77777777" w:rsidR="00F9327E" w:rsidRPr="00A179B5" w:rsidRDefault="00F9327E" w:rsidP="00F9327E">
      <w:pPr>
        <w:pStyle w:val="ListParagraph"/>
        <w:spacing w:before="240"/>
        <w:ind w:left="0"/>
        <w:rPr>
          <w:color w:val="000000" w:themeColor="text1"/>
        </w:rPr>
      </w:pPr>
    </w:p>
    <w:p w14:paraId="097927DE" w14:textId="7D87DD46" w:rsidR="00F9327E" w:rsidRPr="00A179B5" w:rsidRDefault="00F9327E" w:rsidP="001B5887">
      <w:pPr>
        <w:pStyle w:val="ListParagraph"/>
        <w:numPr>
          <w:ilvl w:val="0"/>
          <w:numId w:val="27"/>
        </w:numPr>
        <w:spacing w:before="240"/>
        <w:rPr>
          <w:color w:val="000000" w:themeColor="text1"/>
        </w:rPr>
      </w:pPr>
      <w:r w:rsidRPr="00A179B5">
        <w:rPr>
          <w:color w:val="000000" w:themeColor="text1"/>
        </w:rPr>
        <w:t xml:space="preserve">Racial disparities in the court system are reinforced by the serious under-representation of members of Indigenous and </w:t>
      </w:r>
      <w:r w:rsidR="007B6C76">
        <w:rPr>
          <w:color w:val="000000" w:themeColor="text1"/>
        </w:rPr>
        <w:t xml:space="preserve">non-Indigenous </w:t>
      </w:r>
      <w:r w:rsidR="0023716C">
        <w:rPr>
          <w:color w:val="000000" w:themeColor="text1"/>
        </w:rPr>
        <w:t>racialized groups in the judiciary</w:t>
      </w:r>
      <w:r w:rsidRPr="00A179B5">
        <w:rPr>
          <w:color w:val="000000" w:themeColor="text1"/>
        </w:rPr>
        <w:t>. A 2016 study estimated that 1% of the 2,160 judges in the</w:t>
      </w:r>
      <w:r w:rsidR="00480889">
        <w:rPr>
          <w:color w:val="000000" w:themeColor="text1"/>
        </w:rPr>
        <w:t xml:space="preserve"> Ontario</w:t>
      </w:r>
      <w:r w:rsidRPr="00A179B5">
        <w:rPr>
          <w:color w:val="000000" w:themeColor="text1"/>
        </w:rPr>
        <w:t xml:space="preserve"> provincial superior and lower courts are</w:t>
      </w:r>
      <w:r w:rsidR="0060658E">
        <w:rPr>
          <w:color w:val="000000" w:themeColor="text1"/>
        </w:rPr>
        <w:t xml:space="preserve"> of</w:t>
      </w:r>
      <w:r w:rsidRPr="00A179B5">
        <w:rPr>
          <w:color w:val="000000" w:themeColor="text1"/>
        </w:rPr>
        <w:t xml:space="preserve"> Indigenous</w:t>
      </w:r>
      <w:r w:rsidR="0060658E">
        <w:rPr>
          <w:color w:val="000000" w:themeColor="text1"/>
        </w:rPr>
        <w:t xml:space="preserve"> background</w:t>
      </w:r>
      <w:r w:rsidRPr="00A179B5">
        <w:rPr>
          <w:color w:val="000000" w:themeColor="text1"/>
        </w:rPr>
        <w:t xml:space="preserve"> (</w:t>
      </w:r>
      <w:r w:rsidR="0060658E">
        <w:rPr>
          <w:color w:val="000000" w:themeColor="text1"/>
        </w:rPr>
        <w:t xml:space="preserve">though they are roughly </w:t>
      </w:r>
      <w:r w:rsidRPr="00A179B5">
        <w:rPr>
          <w:color w:val="000000" w:themeColor="text1"/>
        </w:rPr>
        <w:t xml:space="preserve">4.3% of the </w:t>
      </w:r>
      <w:r w:rsidR="0060658E">
        <w:rPr>
          <w:color w:val="000000" w:themeColor="text1"/>
        </w:rPr>
        <w:t>Canadian</w:t>
      </w:r>
      <w:r w:rsidRPr="00A179B5">
        <w:rPr>
          <w:color w:val="000000" w:themeColor="text1"/>
        </w:rPr>
        <w:t xml:space="preserve"> population), and 3% are </w:t>
      </w:r>
      <w:r w:rsidR="0060658E">
        <w:rPr>
          <w:color w:val="000000" w:themeColor="text1"/>
        </w:rPr>
        <w:t xml:space="preserve">people of colour </w:t>
      </w:r>
      <w:r w:rsidRPr="00A179B5">
        <w:rPr>
          <w:color w:val="000000" w:themeColor="text1"/>
        </w:rPr>
        <w:t>(</w:t>
      </w:r>
      <w:r w:rsidR="0060658E">
        <w:rPr>
          <w:color w:val="000000" w:themeColor="text1"/>
        </w:rPr>
        <w:t xml:space="preserve">though they make up around </w:t>
      </w:r>
      <w:r w:rsidRPr="00A179B5">
        <w:rPr>
          <w:color w:val="000000" w:themeColor="text1"/>
        </w:rPr>
        <w:t xml:space="preserve">19% of the </w:t>
      </w:r>
      <w:r w:rsidR="0060658E">
        <w:rPr>
          <w:color w:val="000000" w:themeColor="text1"/>
        </w:rPr>
        <w:t xml:space="preserve">total Canadian </w:t>
      </w:r>
      <w:r w:rsidRPr="00A179B5">
        <w:rPr>
          <w:color w:val="000000" w:themeColor="text1"/>
        </w:rPr>
        <w:t>population)</w:t>
      </w:r>
      <w:r w:rsidR="007B6C76">
        <w:rPr>
          <w:color w:val="000000" w:themeColor="text1"/>
        </w:rPr>
        <w:t xml:space="preserve">; </w:t>
      </w:r>
      <w:r w:rsidR="0060658E">
        <w:rPr>
          <w:color w:val="000000" w:themeColor="text1"/>
        </w:rPr>
        <w:t xml:space="preserve">and </w:t>
      </w:r>
      <w:r w:rsidR="007B6C76">
        <w:rPr>
          <w:color w:val="000000" w:themeColor="text1"/>
        </w:rPr>
        <w:t>there are no Indigenous or judges</w:t>
      </w:r>
      <w:r w:rsidR="00835796">
        <w:rPr>
          <w:color w:val="000000" w:themeColor="text1"/>
        </w:rPr>
        <w:t xml:space="preserve"> of colour</w:t>
      </w:r>
      <w:r w:rsidR="007B6C76">
        <w:rPr>
          <w:color w:val="000000" w:themeColor="text1"/>
        </w:rPr>
        <w:t xml:space="preserve"> in the Supreme Court of Canada and the Federal Court of Appeal</w:t>
      </w:r>
      <w:r w:rsidRPr="00A179B5">
        <w:rPr>
          <w:color w:val="000000" w:themeColor="text1"/>
        </w:rPr>
        <w:t>.</w:t>
      </w:r>
      <w:r w:rsidRPr="00A179B5">
        <w:rPr>
          <w:rStyle w:val="FootnoteReference"/>
          <w:color w:val="000000" w:themeColor="text1"/>
        </w:rPr>
        <w:footnoteReference w:id="115"/>
      </w:r>
    </w:p>
    <w:p w14:paraId="07FB145E" w14:textId="77777777" w:rsidR="00F9327E" w:rsidRPr="001B5887" w:rsidRDefault="00F9327E" w:rsidP="00F9327E">
      <w:pPr>
        <w:pStyle w:val="Heading1"/>
        <w:rPr>
          <w:rFonts w:ascii="Times New Roman" w:hAnsi="Times New Roman" w:cs="Times New Roman"/>
          <w:b/>
          <w:i/>
          <w:color w:val="000000" w:themeColor="text1"/>
          <w:sz w:val="24"/>
          <w:szCs w:val="24"/>
        </w:rPr>
      </w:pPr>
      <w:r w:rsidRPr="001B5887">
        <w:rPr>
          <w:rFonts w:ascii="Times New Roman" w:hAnsi="Times New Roman" w:cs="Times New Roman"/>
          <w:b/>
          <w:i/>
          <w:color w:val="000000" w:themeColor="text1"/>
          <w:sz w:val="24"/>
          <w:szCs w:val="24"/>
        </w:rPr>
        <w:t>Corrections</w:t>
      </w:r>
    </w:p>
    <w:p w14:paraId="46490DC6" w14:textId="768BCE95" w:rsidR="00F9327E" w:rsidRPr="00A179B5" w:rsidRDefault="00F9327E" w:rsidP="001B5887">
      <w:pPr>
        <w:pStyle w:val="ListParagraph"/>
        <w:numPr>
          <w:ilvl w:val="0"/>
          <w:numId w:val="29"/>
        </w:numPr>
        <w:spacing w:before="240"/>
        <w:rPr>
          <w:color w:val="000000" w:themeColor="text1"/>
        </w:rPr>
      </w:pPr>
      <w:r w:rsidRPr="00A179B5">
        <w:rPr>
          <w:color w:val="000000" w:themeColor="text1"/>
        </w:rPr>
        <w:t>The federal prison system is the only segment of Canada’s correctional system that regularly collects and publishes race-based data.</w:t>
      </w:r>
      <w:r w:rsidRPr="00A179B5">
        <w:rPr>
          <w:rStyle w:val="FootnoteReference"/>
          <w:color w:val="000000" w:themeColor="text1"/>
        </w:rPr>
        <w:footnoteReference w:id="116"/>
      </w:r>
      <w:r w:rsidRPr="00A179B5">
        <w:rPr>
          <w:color w:val="000000" w:themeColor="text1"/>
        </w:rPr>
        <w:t xml:space="preserve"> These data reveal that Indigenous and Black people are significantly and increasingly over-represented in Canadian prisons. In January 2016, 25% of the total federal</w:t>
      </w:r>
      <w:r w:rsidR="0070263A">
        <w:rPr>
          <w:color w:val="000000" w:themeColor="text1"/>
        </w:rPr>
        <w:t>ly</w:t>
      </w:r>
      <w:r w:rsidRPr="00A179B5">
        <w:rPr>
          <w:color w:val="000000" w:themeColor="text1"/>
        </w:rPr>
        <w:t xml:space="preserve"> incarcerated population</w:t>
      </w:r>
      <w:r w:rsidR="0070263A">
        <w:rPr>
          <w:color w:val="000000" w:themeColor="text1"/>
        </w:rPr>
        <w:t xml:space="preserve"> – </w:t>
      </w:r>
      <w:r w:rsidR="0070263A" w:rsidRPr="00A179B5">
        <w:rPr>
          <w:color w:val="000000" w:themeColor="text1"/>
        </w:rPr>
        <w:t>and 35% of federally-sentenced women</w:t>
      </w:r>
      <w:r w:rsidR="0070263A">
        <w:rPr>
          <w:color w:val="000000" w:themeColor="text1"/>
        </w:rPr>
        <w:t xml:space="preserve"> – were Indigenous</w:t>
      </w:r>
      <w:r w:rsidR="00AC25F8">
        <w:rPr>
          <w:color w:val="000000" w:themeColor="text1"/>
        </w:rPr>
        <w:t xml:space="preserve">, despite accounting for </w:t>
      </w:r>
      <w:r w:rsidR="00FF0C6C">
        <w:rPr>
          <w:color w:val="000000" w:themeColor="text1"/>
        </w:rPr>
        <w:t xml:space="preserve">only </w:t>
      </w:r>
      <w:r w:rsidR="0060658E">
        <w:rPr>
          <w:color w:val="000000" w:themeColor="text1"/>
        </w:rPr>
        <w:t>around</w:t>
      </w:r>
      <w:r w:rsidR="00AC25F8">
        <w:rPr>
          <w:color w:val="000000" w:themeColor="text1"/>
        </w:rPr>
        <w:t xml:space="preserve"> 4</w:t>
      </w:r>
      <w:r w:rsidR="0060658E">
        <w:rPr>
          <w:color w:val="000000" w:themeColor="text1"/>
        </w:rPr>
        <w:t>.3</w:t>
      </w:r>
      <w:r w:rsidR="00AC25F8">
        <w:rPr>
          <w:color w:val="000000" w:themeColor="text1"/>
        </w:rPr>
        <w:t>% of the total Canadian population</w:t>
      </w:r>
      <w:r w:rsidRPr="00A179B5">
        <w:rPr>
          <w:color w:val="000000" w:themeColor="text1"/>
        </w:rPr>
        <w:t>.</w:t>
      </w:r>
      <w:r w:rsidRPr="00A179B5">
        <w:rPr>
          <w:rStyle w:val="FootnoteReference"/>
          <w:color w:val="000000" w:themeColor="text1"/>
        </w:rPr>
        <w:footnoteReference w:id="117"/>
      </w:r>
      <w:r w:rsidRPr="00A179B5">
        <w:rPr>
          <w:color w:val="000000" w:themeColor="text1"/>
        </w:rPr>
        <w:t xml:space="preserve"> Between 2005 and 2015, the number of incarcerated Indigenous people increased by more than 50%, while the number of incarcerated Indigenous women almost doubled.</w:t>
      </w:r>
      <w:r w:rsidRPr="00A179B5">
        <w:rPr>
          <w:rStyle w:val="FootnoteReference"/>
          <w:color w:val="000000" w:themeColor="text1"/>
        </w:rPr>
        <w:footnoteReference w:id="118"/>
      </w:r>
      <w:r w:rsidRPr="00A179B5">
        <w:rPr>
          <w:color w:val="000000" w:themeColor="text1"/>
        </w:rPr>
        <w:t xml:space="preserve"> Black people comprise 3% of the general Canadian population, but 10% of the federally incarcerated population.</w:t>
      </w:r>
      <w:r w:rsidRPr="00A179B5">
        <w:rPr>
          <w:rStyle w:val="FootnoteReference"/>
          <w:color w:val="000000" w:themeColor="text1"/>
        </w:rPr>
        <w:footnoteReference w:id="119"/>
      </w:r>
      <w:r w:rsidRPr="00A179B5">
        <w:rPr>
          <w:color w:val="000000" w:themeColor="text1"/>
        </w:rPr>
        <w:t xml:space="preserve"> The Black prison population has grown by nearly 90% since 2003.</w:t>
      </w:r>
      <w:r w:rsidRPr="00A179B5">
        <w:rPr>
          <w:rStyle w:val="FootnoteReference"/>
          <w:color w:val="000000" w:themeColor="text1"/>
        </w:rPr>
        <w:footnoteReference w:id="120"/>
      </w:r>
    </w:p>
    <w:p w14:paraId="7BA24489" w14:textId="77777777" w:rsidR="00F9327E" w:rsidRPr="00A179B5" w:rsidRDefault="00F9327E" w:rsidP="00F9327E">
      <w:pPr>
        <w:pStyle w:val="ListParagraph"/>
        <w:spacing w:before="240"/>
        <w:ind w:left="0"/>
        <w:rPr>
          <w:color w:val="000000" w:themeColor="text1"/>
        </w:rPr>
      </w:pPr>
    </w:p>
    <w:p w14:paraId="1B2C3348" w14:textId="14A11E02" w:rsidR="00F9327E" w:rsidRPr="00A179B5" w:rsidRDefault="00F9327E" w:rsidP="001B5887">
      <w:pPr>
        <w:pStyle w:val="ListParagraph"/>
        <w:numPr>
          <w:ilvl w:val="0"/>
          <w:numId w:val="29"/>
        </w:numPr>
        <w:spacing w:before="240"/>
        <w:rPr>
          <w:color w:val="000000" w:themeColor="text1"/>
        </w:rPr>
      </w:pPr>
      <w:r w:rsidRPr="00A179B5">
        <w:rPr>
          <w:color w:val="000000" w:themeColor="text1"/>
        </w:rPr>
        <w:t>Data obtained through freedom of information requests indicates similar racial disproportionality in provincial corrections</w:t>
      </w:r>
      <w:r w:rsidR="00AC25F8">
        <w:rPr>
          <w:color w:val="000000" w:themeColor="text1"/>
        </w:rPr>
        <w:t xml:space="preserve"> systems</w:t>
      </w:r>
      <w:r w:rsidRPr="00A179B5">
        <w:rPr>
          <w:color w:val="000000" w:themeColor="text1"/>
        </w:rPr>
        <w:t xml:space="preserve">. In Ontario, for instance, Indigenous people </w:t>
      </w:r>
      <w:r w:rsidR="00E2191B">
        <w:rPr>
          <w:color w:val="000000" w:themeColor="text1"/>
        </w:rPr>
        <w:t>(2% of the general</w:t>
      </w:r>
      <w:r w:rsidR="0070263A">
        <w:rPr>
          <w:color w:val="000000" w:themeColor="text1"/>
        </w:rPr>
        <w:t xml:space="preserve"> provincial</w:t>
      </w:r>
      <w:r w:rsidR="00E2191B">
        <w:rPr>
          <w:color w:val="000000" w:themeColor="text1"/>
        </w:rPr>
        <w:t xml:space="preserve"> population) </w:t>
      </w:r>
      <w:r w:rsidRPr="00A179B5">
        <w:rPr>
          <w:color w:val="000000" w:themeColor="text1"/>
        </w:rPr>
        <w:t>constitute</w:t>
      </w:r>
      <w:r w:rsidR="00E2191B">
        <w:rPr>
          <w:color w:val="000000" w:themeColor="text1"/>
        </w:rPr>
        <w:t>d</w:t>
      </w:r>
      <w:r w:rsidRPr="00A179B5">
        <w:rPr>
          <w:color w:val="000000" w:themeColor="text1"/>
        </w:rPr>
        <w:t xml:space="preserve"> 11.8% of the provincially incarcerated population</w:t>
      </w:r>
      <w:r w:rsidR="00E2191B">
        <w:rPr>
          <w:color w:val="000000" w:themeColor="text1"/>
        </w:rPr>
        <w:t xml:space="preserve"> in 2011;</w:t>
      </w:r>
      <w:r w:rsidRPr="00A179B5">
        <w:rPr>
          <w:color w:val="000000" w:themeColor="text1"/>
        </w:rPr>
        <w:t xml:space="preserve"> and Black people</w:t>
      </w:r>
      <w:r w:rsidR="00E2191B">
        <w:rPr>
          <w:color w:val="000000" w:themeColor="text1"/>
        </w:rPr>
        <w:t xml:space="preserve"> (3.9% of the general </w:t>
      </w:r>
      <w:r w:rsidR="0070263A">
        <w:rPr>
          <w:color w:val="000000" w:themeColor="text1"/>
        </w:rPr>
        <w:t xml:space="preserve">provincial </w:t>
      </w:r>
      <w:r w:rsidR="00E2191B">
        <w:rPr>
          <w:color w:val="000000" w:themeColor="text1"/>
        </w:rPr>
        <w:t>population) constituted</w:t>
      </w:r>
      <w:r w:rsidRPr="00A179B5">
        <w:rPr>
          <w:color w:val="000000" w:themeColor="text1"/>
        </w:rPr>
        <w:t xml:space="preserve"> 17.7%</w:t>
      </w:r>
      <w:r w:rsidR="00E2191B">
        <w:rPr>
          <w:color w:val="000000" w:themeColor="text1"/>
        </w:rPr>
        <w:t xml:space="preserve"> of the provincially incarcerated population</w:t>
      </w:r>
      <w:r w:rsidRPr="00A179B5">
        <w:rPr>
          <w:color w:val="000000" w:themeColor="text1"/>
        </w:rPr>
        <w:t>.</w:t>
      </w:r>
      <w:r w:rsidRPr="00A179B5">
        <w:rPr>
          <w:rStyle w:val="FootnoteReference"/>
          <w:color w:val="000000" w:themeColor="text1"/>
        </w:rPr>
        <w:footnoteReference w:id="121"/>
      </w:r>
    </w:p>
    <w:p w14:paraId="09B82036" w14:textId="77777777" w:rsidR="00F9327E" w:rsidRPr="00A179B5" w:rsidRDefault="00F9327E" w:rsidP="00F9327E">
      <w:pPr>
        <w:pStyle w:val="ListParagraph"/>
        <w:rPr>
          <w:color w:val="000000" w:themeColor="text1"/>
        </w:rPr>
      </w:pPr>
    </w:p>
    <w:p w14:paraId="77B85CEE" w14:textId="2CE256BB" w:rsidR="00F9327E" w:rsidRPr="00A179B5" w:rsidRDefault="00F9327E" w:rsidP="001B5887">
      <w:pPr>
        <w:pStyle w:val="ListParagraph"/>
        <w:numPr>
          <w:ilvl w:val="0"/>
          <w:numId w:val="29"/>
        </w:numPr>
        <w:spacing w:before="240"/>
        <w:rPr>
          <w:color w:val="000000" w:themeColor="text1"/>
        </w:rPr>
      </w:pPr>
      <w:r w:rsidRPr="00A179B5">
        <w:rPr>
          <w:color w:val="000000" w:themeColor="text1"/>
        </w:rPr>
        <w:t>Black inmates are more likely than White inmates to be charged with misconduct that involves subjective judgement on the part of correctional officers (such as disrespect toward staff).</w:t>
      </w:r>
      <w:r w:rsidRPr="00A179B5">
        <w:rPr>
          <w:rStyle w:val="FootnoteReference"/>
          <w:color w:val="000000" w:themeColor="text1"/>
        </w:rPr>
        <w:t xml:space="preserve"> </w:t>
      </w:r>
      <w:r w:rsidRPr="00A179B5">
        <w:rPr>
          <w:rStyle w:val="FootnoteReference"/>
          <w:color w:val="000000" w:themeColor="text1"/>
        </w:rPr>
        <w:footnoteReference w:id="122"/>
      </w:r>
      <w:r w:rsidRPr="00A179B5">
        <w:rPr>
          <w:color w:val="000000" w:themeColor="text1"/>
        </w:rPr>
        <w:t xml:space="preserve"> And Black and Indigenous inmates are disproportionately</w:t>
      </w:r>
      <w:r w:rsidR="007D644B">
        <w:rPr>
          <w:color w:val="000000" w:themeColor="text1"/>
        </w:rPr>
        <w:t xml:space="preserve"> more</w:t>
      </w:r>
      <w:r w:rsidRPr="00A179B5">
        <w:rPr>
          <w:color w:val="000000" w:themeColor="text1"/>
        </w:rPr>
        <w:t xml:space="preserve"> likely to be subjected to use of force by correctional officers; in 2015-2016, Indigenous prisoners accounted for 30% of use of force incidents in federal corrections, and Black prisoners for 18%</w:t>
      </w:r>
      <w:r w:rsidR="00F56081">
        <w:rPr>
          <w:color w:val="000000" w:themeColor="text1"/>
        </w:rPr>
        <w:t xml:space="preserve"> of incidents</w:t>
      </w:r>
      <w:r w:rsidRPr="00A179B5">
        <w:rPr>
          <w:color w:val="000000" w:themeColor="text1"/>
        </w:rPr>
        <w:t>.</w:t>
      </w:r>
      <w:r w:rsidRPr="00A179B5">
        <w:rPr>
          <w:rStyle w:val="FootnoteReference"/>
          <w:color w:val="000000" w:themeColor="text1"/>
        </w:rPr>
        <w:footnoteReference w:id="123"/>
      </w:r>
      <w:r w:rsidRPr="00A179B5">
        <w:rPr>
          <w:color w:val="000000" w:themeColor="text1"/>
        </w:rPr>
        <w:t xml:space="preserve"> </w:t>
      </w:r>
    </w:p>
    <w:p w14:paraId="76D201D5" w14:textId="77777777" w:rsidR="00F9327E" w:rsidRPr="00A179B5" w:rsidRDefault="00F9327E" w:rsidP="00F9327E">
      <w:pPr>
        <w:pStyle w:val="ListParagraph"/>
        <w:spacing w:before="240"/>
        <w:ind w:left="0"/>
        <w:rPr>
          <w:color w:val="000000" w:themeColor="text1"/>
        </w:rPr>
      </w:pPr>
    </w:p>
    <w:p w14:paraId="719D2D74" w14:textId="680AC079" w:rsidR="0070263A" w:rsidRPr="0070263A" w:rsidRDefault="00F9327E" w:rsidP="001B5887">
      <w:pPr>
        <w:pStyle w:val="ListParagraph"/>
        <w:numPr>
          <w:ilvl w:val="0"/>
          <w:numId w:val="29"/>
        </w:numPr>
        <w:spacing w:before="240" w:after="240"/>
        <w:rPr>
          <w:i/>
          <w:color w:val="000000" w:themeColor="text1"/>
        </w:rPr>
      </w:pPr>
      <w:r w:rsidRPr="00A179B5">
        <w:rPr>
          <w:color w:val="000000" w:themeColor="text1"/>
        </w:rPr>
        <w:t xml:space="preserve">Last year, the UN Working Group of Experts on People of African Descent expressed “extreme concern about the practice and excessive use of solitary confinement or ‘segregation’ in correctional facilities, the absence of appropriate monitoring, and lack of data being kept on inmates’ race, mental health status or gender.” The Working Group noted that </w:t>
      </w:r>
      <w:r w:rsidRPr="00A179B5">
        <w:rPr>
          <w:color w:val="000000" w:themeColor="text1"/>
          <w:shd w:val="clear" w:color="auto" w:fill="FFFFFF"/>
        </w:rPr>
        <w:t>as many as 40% of inmates in segregation at the Toronto South Detention Center were Black.</w:t>
      </w:r>
      <w:r w:rsidRPr="00A179B5">
        <w:rPr>
          <w:rStyle w:val="FootnoteReference"/>
          <w:color w:val="000000" w:themeColor="text1"/>
          <w:shd w:val="clear" w:color="auto" w:fill="FFFFFF"/>
        </w:rPr>
        <w:footnoteReference w:id="124"/>
      </w:r>
      <w:r w:rsidRPr="00A179B5">
        <w:rPr>
          <w:color w:val="000000" w:themeColor="text1"/>
          <w:shd w:val="clear" w:color="auto" w:fill="FFFFFF"/>
        </w:rPr>
        <w:t xml:space="preserve"> </w:t>
      </w:r>
    </w:p>
    <w:p w14:paraId="35E5BCB1" w14:textId="77777777" w:rsidR="0070263A" w:rsidRPr="0070263A" w:rsidRDefault="0070263A" w:rsidP="0070263A">
      <w:pPr>
        <w:pStyle w:val="ListParagraph"/>
        <w:rPr>
          <w:color w:val="000000" w:themeColor="text1"/>
          <w:shd w:val="clear" w:color="auto" w:fill="FFFFFF"/>
        </w:rPr>
      </w:pPr>
    </w:p>
    <w:p w14:paraId="4984AE63" w14:textId="7088BFA3" w:rsidR="00F9327E" w:rsidRPr="00A179B5" w:rsidRDefault="00F9327E" w:rsidP="001B5887">
      <w:pPr>
        <w:pStyle w:val="ListParagraph"/>
        <w:numPr>
          <w:ilvl w:val="0"/>
          <w:numId w:val="29"/>
        </w:numPr>
        <w:spacing w:before="240" w:after="240"/>
        <w:rPr>
          <w:i/>
          <w:color w:val="000000" w:themeColor="text1"/>
        </w:rPr>
      </w:pPr>
      <w:r w:rsidRPr="00A179B5">
        <w:rPr>
          <w:color w:val="000000" w:themeColor="text1"/>
          <w:shd w:val="clear" w:color="auto" w:fill="FFFFFF"/>
        </w:rPr>
        <w:t>14% of people in segregation in Ontario jails are Indigenous.</w:t>
      </w:r>
      <w:r w:rsidRPr="00A179B5">
        <w:rPr>
          <w:rStyle w:val="FootnoteReference"/>
          <w:color w:val="000000" w:themeColor="text1"/>
          <w:shd w:val="clear" w:color="auto" w:fill="FFFFFF"/>
        </w:rPr>
        <w:footnoteReference w:id="125"/>
      </w:r>
      <w:r w:rsidRPr="00A179B5">
        <w:rPr>
          <w:color w:val="000000" w:themeColor="text1"/>
          <w:shd w:val="clear" w:color="auto" w:fill="FFFFFF"/>
        </w:rPr>
        <w:t xml:space="preserve"> One 23-year-old Indigenous man, Adam Capay, was held in solitary confinement for more than 1,500 days while awaiting trial.</w:t>
      </w:r>
      <w:r w:rsidRPr="00A179B5">
        <w:rPr>
          <w:rStyle w:val="FootnoteReference"/>
          <w:color w:val="000000" w:themeColor="text1"/>
          <w:shd w:val="clear" w:color="auto" w:fill="FFFFFF"/>
        </w:rPr>
        <w:footnoteReference w:id="126"/>
      </w:r>
      <w:r w:rsidRPr="00A179B5">
        <w:rPr>
          <w:color w:val="000000" w:themeColor="text1"/>
          <w:shd w:val="clear" w:color="auto" w:fill="FFFFFF"/>
        </w:rPr>
        <w:t xml:space="preserve"> In 2016, 70% of people held in segregation in Ontario were in pre-trial detention (</w:t>
      </w:r>
      <w:r w:rsidR="00BE3D81">
        <w:rPr>
          <w:color w:val="000000" w:themeColor="text1"/>
          <w:shd w:val="clear" w:color="auto" w:fill="FFFFFF"/>
        </w:rPr>
        <w:t>while</w:t>
      </w:r>
      <w:r w:rsidRPr="00A179B5">
        <w:rPr>
          <w:color w:val="000000" w:themeColor="text1"/>
          <w:shd w:val="clear" w:color="auto" w:fill="FFFFFF"/>
        </w:rPr>
        <w:t xml:space="preserve"> legally </w:t>
      </w:r>
      <w:r w:rsidR="00BE3D81">
        <w:rPr>
          <w:color w:val="000000" w:themeColor="text1"/>
          <w:shd w:val="clear" w:color="auto" w:fill="FFFFFF"/>
        </w:rPr>
        <w:t xml:space="preserve">presumed to be </w:t>
      </w:r>
      <w:r w:rsidRPr="00A179B5">
        <w:rPr>
          <w:color w:val="000000" w:themeColor="text1"/>
          <w:shd w:val="clear" w:color="auto" w:fill="FFFFFF"/>
        </w:rPr>
        <w:t>innocent).</w:t>
      </w:r>
      <w:r w:rsidRPr="00A179B5">
        <w:rPr>
          <w:rStyle w:val="FootnoteReference"/>
          <w:color w:val="000000" w:themeColor="text1"/>
          <w:shd w:val="clear" w:color="auto" w:fill="FFFFFF"/>
        </w:rPr>
        <w:footnoteReference w:id="127"/>
      </w:r>
      <w:r w:rsidRPr="00A179B5">
        <w:rPr>
          <w:color w:val="000000" w:themeColor="text1"/>
          <w:shd w:val="clear" w:color="auto" w:fill="FFFFFF"/>
        </w:rPr>
        <w:t xml:space="preserve"> Racial discrimination intersects with discrimination on the basis of mental health in segregation practices: over half of the Indigenous women and men admitted to segregation in 2016 had a suicide risk alert.</w:t>
      </w:r>
      <w:r w:rsidRPr="00A179B5">
        <w:rPr>
          <w:rStyle w:val="FootnoteReference"/>
          <w:color w:val="000000" w:themeColor="text1"/>
          <w:shd w:val="clear" w:color="auto" w:fill="FFFFFF"/>
        </w:rPr>
        <w:footnoteReference w:id="128"/>
      </w:r>
      <w:r w:rsidRPr="00A179B5">
        <w:rPr>
          <w:color w:val="000000" w:themeColor="text1"/>
          <w:shd w:val="clear" w:color="auto" w:fill="FFFFFF"/>
        </w:rPr>
        <w:t xml:space="preserve">  </w:t>
      </w:r>
    </w:p>
    <w:p w14:paraId="0222EEE0" w14:textId="77777777" w:rsidR="00F9327E" w:rsidRPr="00A179B5" w:rsidRDefault="00F9327E" w:rsidP="00F9327E">
      <w:pPr>
        <w:pStyle w:val="ListParagraph"/>
        <w:rPr>
          <w:i/>
          <w:color w:val="000000" w:themeColor="text1"/>
        </w:rPr>
      </w:pPr>
    </w:p>
    <w:p w14:paraId="1132B1DD" w14:textId="77777777" w:rsidR="00F9327E" w:rsidRPr="00A32D1C" w:rsidRDefault="00F9327E" w:rsidP="00C01DF6">
      <w:pPr>
        <w:pStyle w:val="ListParagraph"/>
        <w:numPr>
          <w:ilvl w:val="0"/>
          <w:numId w:val="30"/>
        </w:numPr>
        <w:spacing w:before="240" w:after="240"/>
        <w:rPr>
          <w:i/>
          <w:color w:val="000000" w:themeColor="text1"/>
        </w:rPr>
      </w:pPr>
      <w:r w:rsidRPr="00A179B5">
        <w:rPr>
          <w:color w:val="000000" w:themeColor="text1"/>
        </w:rPr>
        <w:t>Howard Sapers, the Independent Advisor on Corrections in Ontario, has made several recommendations for revisions to solitary confinement practices, including: imposition of a 15-day time limit for continuous segregation; standardization of collection of race-based data for segregated inmates; and consideration of life history analysis for all segregated Indigenous inmates at their five-day review.</w:t>
      </w:r>
      <w:r w:rsidRPr="00A179B5">
        <w:rPr>
          <w:rStyle w:val="FootnoteReference"/>
          <w:color w:val="000000" w:themeColor="text1"/>
        </w:rPr>
        <w:footnoteReference w:id="129"/>
      </w:r>
      <w:r w:rsidRPr="00A179B5">
        <w:rPr>
          <w:color w:val="000000" w:themeColor="text1"/>
        </w:rPr>
        <w:t xml:space="preserve">  </w:t>
      </w:r>
    </w:p>
    <w:p w14:paraId="60DE1E63" w14:textId="09A9EFB3" w:rsidR="00A32D1C" w:rsidRDefault="00A32D1C" w:rsidP="00A32D1C">
      <w:pPr>
        <w:pStyle w:val="ListParagraph"/>
        <w:spacing w:before="240" w:after="240"/>
        <w:ind w:left="0"/>
        <w:rPr>
          <w:color w:val="000000" w:themeColor="text1"/>
        </w:rPr>
      </w:pPr>
    </w:p>
    <w:p w14:paraId="4440A829" w14:textId="4D993598" w:rsidR="00F9327E" w:rsidRPr="00A32D1C" w:rsidRDefault="00A32D1C" w:rsidP="00A32D1C">
      <w:pPr>
        <w:pStyle w:val="ListParagraph"/>
        <w:spacing w:before="240" w:after="240"/>
        <w:ind w:left="0"/>
        <w:rPr>
          <w:color w:val="000000" w:themeColor="text1"/>
        </w:rPr>
      </w:pPr>
      <w:r>
        <w:rPr>
          <w:b/>
          <w:i/>
          <w:color w:val="000000" w:themeColor="text1"/>
        </w:rPr>
        <w:t xml:space="preserve">Relevant Articles: </w:t>
      </w:r>
      <w:r>
        <w:rPr>
          <w:color w:val="000000" w:themeColor="text1"/>
        </w:rPr>
        <w:t>5(a), 5(b), 5(d</w:t>
      </w:r>
      <w:proofErr w:type="gramStart"/>
      <w:r>
        <w:rPr>
          <w:color w:val="000000" w:themeColor="text1"/>
        </w:rPr>
        <w:t>)(</w:t>
      </w:r>
      <w:proofErr w:type="gramEnd"/>
      <w:r>
        <w:rPr>
          <w:color w:val="000000" w:themeColor="text1"/>
        </w:rPr>
        <w:t>i)</w:t>
      </w:r>
    </w:p>
    <w:p w14:paraId="7F8011D2" w14:textId="5D3DC3D7" w:rsidR="00F9327E" w:rsidRDefault="00F9327E" w:rsidP="00F9327E">
      <w:pPr>
        <w:rPr>
          <w:color w:val="000000" w:themeColor="text1"/>
        </w:rPr>
      </w:pPr>
      <w:r w:rsidRPr="00A179B5">
        <w:rPr>
          <w:b/>
          <w:i/>
          <w:color w:val="000000" w:themeColor="text1"/>
        </w:rPr>
        <w:t>Recommendations</w:t>
      </w:r>
      <w:r>
        <w:rPr>
          <w:b/>
          <w:i/>
          <w:color w:val="000000" w:themeColor="text1"/>
        </w:rPr>
        <w:t xml:space="preserve">: </w:t>
      </w:r>
      <w:r>
        <w:rPr>
          <w:color w:val="000000" w:themeColor="text1"/>
        </w:rPr>
        <w:t xml:space="preserve">We ask that the Committee recommend that: 1) Ontario abolish all arbitrary street checks, </w:t>
      </w:r>
      <w:r w:rsidR="00FF0C6C">
        <w:rPr>
          <w:color w:val="000000" w:themeColor="text1"/>
        </w:rPr>
        <w:t xml:space="preserve">require the issuing of receipts – that allow for ethno-racial and other relevant self-identification – for all police contact and engagement with members of civil society, </w:t>
      </w:r>
      <w:r>
        <w:rPr>
          <w:color w:val="000000" w:themeColor="text1"/>
        </w:rPr>
        <w:t xml:space="preserve">and purge historical databases of information collected through carding; 2) Ontario implement the Tulloch recommendations to strengthen police oversight, </w:t>
      </w:r>
      <w:r w:rsidR="00FF0C6C">
        <w:rPr>
          <w:color w:val="000000" w:themeColor="text1"/>
        </w:rPr>
        <w:t>while</w:t>
      </w:r>
      <w:r>
        <w:rPr>
          <w:color w:val="000000" w:themeColor="text1"/>
        </w:rPr>
        <w:t xml:space="preserve"> address</w:t>
      </w:r>
      <w:r w:rsidR="00FF0C6C">
        <w:rPr>
          <w:color w:val="000000" w:themeColor="text1"/>
        </w:rPr>
        <w:t>ing</w:t>
      </w:r>
      <w:r>
        <w:rPr>
          <w:color w:val="000000" w:themeColor="text1"/>
        </w:rPr>
        <w:t xml:space="preserve"> the limitations of the Tulloch recommendations; 3) Ontario ban immigration status checks by police; 4) national data be collected on </w:t>
      </w:r>
      <w:r w:rsidR="00FF0C6C">
        <w:rPr>
          <w:color w:val="000000" w:themeColor="text1"/>
        </w:rPr>
        <w:t>ethno-</w:t>
      </w:r>
      <w:r>
        <w:rPr>
          <w:color w:val="000000" w:themeColor="text1"/>
        </w:rPr>
        <w:t>racial dis</w:t>
      </w:r>
      <w:r w:rsidR="00A32D1C">
        <w:rPr>
          <w:color w:val="000000" w:themeColor="text1"/>
        </w:rPr>
        <w:t>crimination in the criminal justice system</w:t>
      </w:r>
      <w:r>
        <w:rPr>
          <w:color w:val="000000" w:themeColor="text1"/>
        </w:rPr>
        <w:t>, from bail hearings to sentencing</w:t>
      </w:r>
      <w:r w:rsidR="00A32D1C">
        <w:rPr>
          <w:color w:val="000000" w:themeColor="text1"/>
        </w:rPr>
        <w:t xml:space="preserve"> to custody ratings</w:t>
      </w:r>
      <w:r>
        <w:rPr>
          <w:color w:val="000000" w:themeColor="text1"/>
        </w:rPr>
        <w:t xml:space="preserve">; 5) greater financial and legal support be provided for bail; </w:t>
      </w:r>
      <w:r w:rsidR="00703505">
        <w:rPr>
          <w:color w:val="000000" w:themeColor="text1"/>
        </w:rPr>
        <w:t>5)</w:t>
      </w:r>
      <w:r w:rsidR="00703505" w:rsidRPr="00196943">
        <w:rPr>
          <w:color w:val="000000" w:themeColor="text1"/>
        </w:rPr>
        <w:t xml:space="preserve"> strengthened procedures </w:t>
      </w:r>
      <w:r w:rsidR="00703505">
        <w:rPr>
          <w:color w:val="000000" w:themeColor="text1"/>
        </w:rPr>
        <w:t xml:space="preserve">be implemented </w:t>
      </w:r>
      <w:r w:rsidR="00703505" w:rsidRPr="00196943">
        <w:rPr>
          <w:color w:val="000000" w:themeColor="text1"/>
        </w:rPr>
        <w:t>for dealing with public complaints about police, especially those involvin</w:t>
      </w:r>
      <w:r w:rsidR="00703505">
        <w:rPr>
          <w:color w:val="000000" w:themeColor="text1"/>
        </w:rPr>
        <w:t>g allegations of discrimination</w:t>
      </w:r>
      <w:r w:rsidR="00EA61AF">
        <w:rPr>
          <w:color w:val="000000" w:themeColor="text1"/>
        </w:rPr>
        <w:t>;</w:t>
      </w:r>
      <w:r w:rsidR="00703505">
        <w:rPr>
          <w:color w:val="000000" w:themeColor="text1"/>
        </w:rPr>
        <w:t xml:space="preserve"> </w:t>
      </w:r>
      <w:r>
        <w:rPr>
          <w:color w:val="000000" w:themeColor="text1"/>
        </w:rPr>
        <w:t>6)</w:t>
      </w:r>
      <w:r w:rsidR="00094CB8">
        <w:rPr>
          <w:color w:val="000000" w:themeColor="text1"/>
        </w:rPr>
        <w:t xml:space="preserve"> federal and provincial</w:t>
      </w:r>
      <w:r>
        <w:rPr>
          <w:color w:val="000000" w:themeColor="text1"/>
        </w:rPr>
        <w:t xml:space="preserve"> inmates be given access to a more robust complaints mechanism for in-corrections abuses, including access to courts and protection from reprisals; </w:t>
      </w:r>
      <w:r w:rsidR="00A32D1C">
        <w:rPr>
          <w:color w:val="000000" w:themeColor="text1"/>
        </w:rPr>
        <w:t xml:space="preserve">and </w:t>
      </w:r>
      <w:r w:rsidR="00094CB8">
        <w:rPr>
          <w:color w:val="000000" w:themeColor="text1"/>
        </w:rPr>
        <w:t>7) federal and provincial</w:t>
      </w:r>
      <w:r>
        <w:rPr>
          <w:color w:val="000000" w:themeColor="text1"/>
        </w:rPr>
        <w:t xml:space="preserve"> governments adhere to international law limitations on the use of solitary confinement, and implement</w:t>
      </w:r>
      <w:r w:rsidR="0070263A">
        <w:rPr>
          <w:color w:val="000000" w:themeColor="text1"/>
        </w:rPr>
        <w:t xml:space="preserve"> all</w:t>
      </w:r>
      <w:r>
        <w:rPr>
          <w:color w:val="000000" w:themeColor="text1"/>
        </w:rPr>
        <w:t xml:space="preserve"> </w:t>
      </w:r>
      <w:r w:rsidR="00FF0C6C">
        <w:rPr>
          <w:color w:val="000000" w:themeColor="text1"/>
        </w:rPr>
        <w:t xml:space="preserve">of </w:t>
      </w:r>
      <w:r>
        <w:rPr>
          <w:color w:val="000000" w:themeColor="text1"/>
        </w:rPr>
        <w:t xml:space="preserve">the Sapers recommendations </w:t>
      </w:r>
      <w:r w:rsidR="00FF0C6C">
        <w:rPr>
          <w:color w:val="000000" w:themeColor="text1"/>
        </w:rPr>
        <w:t>with respect to</w:t>
      </w:r>
      <w:r>
        <w:rPr>
          <w:color w:val="000000" w:themeColor="text1"/>
        </w:rPr>
        <w:t xml:space="preserve"> solitary confinement</w:t>
      </w:r>
      <w:r w:rsidR="00A32D1C">
        <w:rPr>
          <w:color w:val="000000" w:themeColor="text1"/>
        </w:rPr>
        <w:t>.</w:t>
      </w:r>
    </w:p>
    <w:p w14:paraId="6F3898D3" w14:textId="77777777" w:rsidR="00094CB8" w:rsidRPr="00094CB8" w:rsidRDefault="00094CB8" w:rsidP="00F9327E">
      <w:pPr>
        <w:rPr>
          <w:b/>
          <w:color w:val="000000" w:themeColor="text1"/>
        </w:rPr>
      </w:pPr>
      <w:r>
        <w:rPr>
          <w:b/>
          <w:color w:val="000000" w:themeColor="text1"/>
        </w:rPr>
        <w:t>ONTARIO</w:t>
      </w:r>
    </w:p>
    <w:p w14:paraId="0FA2C957" w14:textId="258EF3D0" w:rsidR="0087355B" w:rsidRDefault="00A32D1C" w:rsidP="00103D0E">
      <w:pPr>
        <w:pStyle w:val="ListParagraph"/>
        <w:ind w:left="0"/>
      </w:pPr>
      <w:r w:rsidRPr="00103D0E">
        <w:rPr>
          <w:b/>
          <w:color w:val="000000" w:themeColor="text1"/>
          <w:u w:val="single"/>
        </w:rPr>
        <w:t xml:space="preserve">Issue Twelve: Racial Discrimination in </w:t>
      </w:r>
      <w:r w:rsidR="00F9327E" w:rsidRPr="00103D0E">
        <w:rPr>
          <w:b/>
          <w:color w:val="000000" w:themeColor="text1"/>
          <w:u w:val="single"/>
        </w:rPr>
        <w:t>Child Welfare</w:t>
      </w:r>
    </w:p>
    <w:p w14:paraId="7312C467" w14:textId="77777777" w:rsidR="0087355B" w:rsidRDefault="0087355B" w:rsidP="00103D0E">
      <w:pPr>
        <w:pStyle w:val="ListParagraph"/>
        <w:ind w:left="0"/>
        <w:rPr>
          <w:color w:val="000000" w:themeColor="text1"/>
        </w:rPr>
      </w:pPr>
    </w:p>
    <w:p w14:paraId="1E085B1A" w14:textId="77777777" w:rsidR="002351D6" w:rsidRPr="00A179B5" w:rsidRDefault="00F9327E" w:rsidP="002351D6">
      <w:pPr>
        <w:pStyle w:val="ListParagraph"/>
        <w:numPr>
          <w:ilvl w:val="0"/>
          <w:numId w:val="31"/>
        </w:numPr>
        <w:rPr>
          <w:color w:val="000000" w:themeColor="text1"/>
        </w:rPr>
      </w:pPr>
      <w:r w:rsidRPr="00A179B5">
        <w:rPr>
          <w:color w:val="000000" w:themeColor="text1"/>
        </w:rPr>
        <w:t>Indigenous, Black, and other racialized children are heavily over-represented in the child welfare system, compared to their census populations. According to the Children’s Aid Society of Toronto, for example, Black Canadians constitute 8.5% of the population of Toronto, but 40% of the children in care.</w:t>
      </w:r>
      <w:r w:rsidRPr="00A179B5">
        <w:rPr>
          <w:rStyle w:val="FootnoteReference"/>
          <w:color w:val="000000" w:themeColor="text1"/>
        </w:rPr>
        <w:footnoteReference w:id="130"/>
      </w:r>
      <w:r w:rsidRPr="00A179B5">
        <w:rPr>
          <w:color w:val="000000" w:themeColor="text1"/>
        </w:rPr>
        <w:t xml:space="preserve"> And Indigenous children represent 3.4% of the total number of children in Ontario, but 25.5% of children in foster care.</w:t>
      </w:r>
      <w:r w:rsidRPr="00A179B5">
        <w:rPr>
          <w:rStyle w:val="FootnoteReference"/>
          <w:color w:val="000000" w:themeColor="text1"/>
        </w:rPr>
        <w:footnoteReference w:id="131"/>
      </w:r>
      <w:r w:rsidRPr="00A179B5">
        <w:rPr>
          <w:color w:val="000000" w:themeColor="text1"/>
        </w:rPr>
        <w:t xml:space="preserve"> </w:t>
      </w:r>
      <w:r w:rsidR="002351D6" w:rsidRPr="00A179B5">
        <w:rPr>
          <w:color w:val="000000" w:themeColor="text1"/>
        </w:rPr>
        <w:t>In its 2012 concluding observations on Canada, the United Nations Committee on the Rights of the Child (UNCRC) noted the over-representation of Indigenous and Black children and youth in Canada’s child welfare system, and recommended that Canada “take urgent measures” to address the disparity.</w:t>
      </w:r>
      <w:r w:rsidR="002351D6" w:rsidRPr="00A179B5">
        <w:rPr>
          <w:rStyle w:val="FootnoteReference"/>
          <w:color w:val="000000" w:themeColor="text1"/>
        </w:rPr>
        <w:footnoteReference w:id="132"/>
      </w:r>
    </w:p>
    <w:p w14:paraId="419BA872" w14:textId="77777777" w:rsidR="002351D6" w:rsidRDefault="002351D6" w:rsidP="002351D6">
      <w:pPr>
        <w:pStyle w:val="ListParagraph"/>
        <w:ind w:left="0"/>
        <w:rPr>
          <w:color w:val="000000" w:themeColor="text1"/>
        </w:rPr>
      </w:pPr>
    </w:p>
    <w:p w14:paraId="0B99F981" w14:textId="77777777" w:rsidR="00F9327E" w:rsidRPr="002351D6" w:rsidRDefault="00F9327E" w:rsidP="00F9327E">
      <w:pPr>
        <w:pStyle w:val="ListParagraph"/>
        <w:numPr>
          <w:ilvl w:val="0"/>
          <w:numId w:val="31"/>
        </w:numPr>
        <w:rPr>
          <w:color w:val="000000" w:themeColor="text1"/>
        </w:rPr>
      </w:pPr>
      <w:r w:rsidRPr="002351D6">
        <w:rPr>
          <w:color w:val="000000" w:themeColor="text1"/>
        </w:rPr>
        <w:t>Long-term placement in foster care is correlated with lower education achievement, future homelessness, and involvement with the criminal justice, welfare, and mental health systems.</w:t>
      </w:r>
      <w:r w:rsidRPr="00A179B5">
        <w:rPr>
          <w:rStyle w:val="FootnoteReference"/>
          <w:color w:val="000000" w:themeColor="text1"/>
        </w:rPr>
        <w:footnoteReference w:id="133"/>
      </w:r>
      <w:r w:rsidRPr="002351D6">
        <w:rPr>
          <w:color w:val="000000" w:themeColor="text1"/>
        </w:rPr>
        <w:t xml:space="preserve"> </w:t>
      </w:r>
    </w:p>
    <w:p w14:paraId="2D058668" w14:textId="77777777" w:rsidR="002351D6" w:rsidRDefault="002351D6" w:rsidP="002351D6">
      <w:pPr>
        <w:pStyle w:val="ListParagraph"/>
        <w:ind w:left="0"/>
        <w:rPr>
          <w:color w:val="000000" w:themeColor="text1"/>
        </w:rPr>
      </w:pPr>
    </w:p>
    <w:p w14:paraId="12DE3DF5" w14:textId="782C2AD5" w:rsidR="00F9327E" w:rsidRDefault="00F9327E" w:rsidP="0021026C">
      <w:pPr>
        <w:pStyle w:val="ListParagraph"/>
        <w:numPr>
          <w:ilvl w:val="0"/>
          <w:numId w:val="31"/>
        </w:numPr>
        <w:rPr>
          <w:color w:val="000000" w:themeColor="text1"/>
        </w:rPr>
      </w:pPr>
      <w:r w:rsidRPr="00A179B5">
        <w:rPr>
          <w:color w:val="000000" w:themeColor="text1"/>
        </w:rPr>
        <w:t>Racial biases and stereotypes may inform referrals to child welfare agencies by professionals like teachers and medical doctors, as well as decision-making practices by child welfare workers. For example, Black families have reported being referred to child welfare because their children eat non-Western food.</w:t>
      </w:r>
      <w:r w:rsidRPr="00A179B5">
        <w:rPr>
          <w:rStyle w:val="FootnoteReference"/>
          <w:color w:val="000000" w:themeColor="text1"/>
        </w:rPr>
        <w:footnoteReference w:id="134"/>
      </w:r>
    </w:p>
    <w:p w14:paraId="253E2A8C" w14:textId="77777777" w:rsidR="00EB749D" w:rsidRPr="00EB749D" w:rsidRDefault="00EB749D" w:rsidP="00EB749D">
      <w:pPr>
        <w:pStyle w:val="ListParagraph"/>
        <w:rPr>
          <w:color w:val="000000" w:themeColor="text1"/>
        </w:rPr>
      </w:pPr>
    </w:p>
    <w:p w14:paraId="72FB8ED5" w14:textId="23EEEA83" w:rsidR="00F9327E" w:rsidRPr="00A179B5" w:rsidRDefault="00F9327E" w:rsidP="002351D6">
      <w:pPr>
        <w:pStyle w:val="ListParagraph"/>
        <w:numPr>
          <w:ilvl w:val="0"/>
          <w:numId w:val="31"/>
        </w:numPr>
        <w:rPr>
          <w:color w:val="000000" w:themeColor="text1"/>
        </w:rPr>
      </w:pPr>
      <w:r w:rsidRPr="00A179B5">
        <w:rPr>
          <w:color w:val="000000" w:themeColor="text1"/>
        </w:rPr>
        <w:t>Tools and standards used to assess risk to children perpetuate systemic racism by treating poverty as a sign of neglect</w:t>
      </w:r>
      <w:r w:rsidR="00732905">
        <w:rPr>
          <w:color w:val="000000" w:themeColor="text1"/>
        </w:rPr>
        <w:t xml:space="preserve"> </w:t>
      </w:r>
      <w:r w:rsidRPr="00A179B5">
        <w:rPr>
          <w:color w:val="000000" w:themeColor="text1"/>
        </w:rPr>
        <w:t>– disproportionately affecting racialized families, who are more likely to experience poverty, and lack access to housing and social services.</w:t>
      </w:r>
      <w:r w:rsidRPr="00A179B5">
        <w:rPr>
          <w:rStyle w:val="FootnoteReference"/>
          <w:color w:val="000000" w:themeColor="text1"/>
        </w:rPr>
        <w:footnoteReference w:id="135"/>
      </w:r>
      <w:r w:rsidRPr="00A179B5">
        <w:rPr>
          <w:color w:val="000000" w:themeColor="text1"/>
        </w:rPr>
        <w:t xml:space="preserve"> Funding formulas incentiv</w:t>
      </w:r>
      <w:r w:rsidR="00BE3D81">
        <w:rPr>
          <w:color w:val="000000" w:themeColor="text1"/>
        </w:rPr>
        <w:t>ise</w:t>
      </w:r>
      <w:r w:rsidRPr="00A179B5">
        <w:rPr>
          <w:color w:val="000000" w:themeColor="text1"/>
        </w:rPr>
        <w:t xml:space="preserve"> apprehension, rather than provision of in-home services.</w:t>
      </w:r>
      <w:r w:rsidRPr="00A179B5">
        <w:rPr>
          <w:rStyle w:val="FootnoteReference"/>
          <w:color w:val="000000" w:themeColor="text1"/>
        </w:rPr>
        <w:footnoteReference w:id="136"/>
      </w:r>
      <w:r w:rsidRPr="00A179B5">
        <w:rPr>
          <w:color w:val="000000" w:themeColor="text1"/>
        </w:rPr>
        <w:t xml:space="preserve"> The UNCRC has expressed its concern about the frequent removal of children in Canada from their families as a “first resort” in cases of neglect, financial hardship, or disability.</w:t>
      </w:r>
      <w:r w:rsidRPr="00A179B5">
        <w:rPr>
          <w:rStyle w:val="FootnoteReference"/>
          <w:color w:val="000000" w:themeColor="text1"/>
        </w:rPr>
        <w:footnoteReference w:id="137"/>
      </w:r>
      <w:r w:rsidRPr="00A179B5">
        <w:rPr>
          <w:color w:val="000000" w:themeColor="text1"/>
        </w:rPr>
        <w:t xml:space="preserve"> </w:t>
      </w:r>
    </w:p>
    <w:p w14:paraId="37A36F60" w14:textId="77777777" w:rsidR="00F9327E" w:rsidRPr="00A179B5" w:rsidRDefault="00F9327E" w:rsidP="00F9327E">
      <w:pPr>
        <w:pStyle w:val="ListParagraph"/>
        <w:rPr>
          <w:color w:val="000000" w:themeColor="text1"/>
        </w:rPr>
      </w:pPr>
    </w:p>
    <w:p w14:paraId="13F4823B" w14:textId="77777777" w:rsidR="00F9327E" w:rsidRPr="00A179B5" w:rsidRDefault="00F9327E" w:rsidP="002351D6">
      <w:pPr>
        <w:pStyle w:val="ListParagraph"/>
        <w:numPr>
          <w:ilvl w:val="0"/>
          <w:numId w:val="31"/>
        </w:numPr>
        <w:rPr>
          <w:color w:val="000000" w:themeColor="text1"/>
        </w:rPr>
      </w:pPr>
      <w:r w:rsidRPr="00A179B5">
        <w:rPr>
          <w:color w:val="000000" w:themeColor="text1"/>
        </w:rPr>
        <w:t>Police are often called to accompany child welfare workers on visits to Black homes – reinforcing stigmatizing stereotypes about Black aggressiveness and criminality, and increasing the chances of parents being arrested for abuse or resisting apprehension.</w:t>
      </w:r>
      <w:r w:rsidRPr="00A179B5">
        <w:rPr>
          <w:rStyle w:val="FootnoteReference"/>
          <w:color w:val="000000" w:themeColor="text1"/>
        </w:rPr>
        <w:footnoteReference w:id="138"/>
      </w:r>
      <w:r w:rsidRPr="00A179B5">
        <w:rPr>
          <w:color w:val="000000" w:themeColor="text1"/>
        </w:rPr>
        <w:t xml:space="preserve"> </w:t>
      </w:r>
    </w:p>
    <w:p w14:paraId="2634C86F" w14:textId="77777777" w:rsidR="00F9327E" w:rsidRPr="00A179B5" w:rsidRDefault="00F9327E" w:rsidP="00F9327E">
      <w:pPr>
        <w:pStyle w:val="ListParagraph"/>
        <w:ind w:left="0"/>
        <w:rPr>
          <w:color w:val="000000" w:themeColor="text1"/>
        </w:rPr>
      </w:pPr>
    </w:p>
    <w:p w14:paraId="51FA0A3D" w14:textId="51741707" w:rsidR="00732905" w:rsidRDefault="00F9327E" w:rsidP="002351D6">
      <w:pPr>
        <w:pStyle w:val="ListParagraph"/>
        <w:numPr>
          <w:ilvl w:val="0"/>
          <w:numId w:val="31"/>
        </w:numPr>
        <w:rPr>
          <w:color w:val="000000" w:themeColor="text1"/>
        </w:rPr>
      </w:pPr>
      <w:r w:rsidRPr="00A179B5">
        <w:rPr>
          <w:color w:val="000000" w:themeColor="text1"/>
        </w:rPr>
        <w:t>Racialized children are vulnerable to racialized forms of abuse and culturally</w:t>
      </w:r>
      <w:r w:rsidR="00472910">
        <w:rPr>
          <w:color w:val="000000" w:themeColor="text1"/>
        </w:rPr>
        <w:t xml:space="preserve"> </w:t>
      </w:r>
      <w:r w:rsidRPr="00A179B5">
        <w:rPr>
          <w:color w:val="000000" w:themeColor="text1"/>
        </w:rPr>
        <w:t xml:space="preserve">inappropriate treatment in foster homes. For example, the 2016 </w:t>
      </w:r>
      <w:r w:rsidRPr="00A179B5">
        <w:rPr>
          <w:i/>
          <w:color w:val="000000" w:themeColor="text1"/>
        </w:rPr>
        <w:t xml:space="preserve">One Vision, One Voice </w:t>
      </w:r>
      <w:r w:rsidRPr="00A179B5">
        <w:rPr>
          <w:color w:val="000000" w:themeColor="text1"/>
        </w:rPr>
        <w:t>report, which documents the systemic anti-Black racism of child welfare services in Ontario, notes that White foster parents frequently shave off the hair of Black girls placed in their care, causing psychological harm.</w:t>
      </w:r>
      <w:r w:rsidRPr="00A179B5">
        <w:rPr>
          <w:rStyle w:val="FootnoteReference"/>
          <w:color w:val="000000" w:themeColor="text1"/>
        </w:rPr>
        <w:footnoteReference w:id="139"/>
      </w:r>
      <w:r w:rsidRPr="00A179B5">
        <w:rPr>
          <w:color w:val="000000" w:themeColor="text1"/>
        </w:rPr>
        <w:t xml:space="preserve"> A witness at the Truth and Reconciliation Commission hearings spoke of how her foster parents were “adamant about Aboriginal culture being less than human, living as dirty bush people, eating rats.”</w:t>
      </w:r>
      <w:r w:rsidRPr="00A179B5">
        <w:rPr>
          <w:rStyle w:val="FootnoteReference"/>
          <w:color w:val="000000" w:themeColor="text1"/>
        </w:rPr>
        <w:footnoteReference w:id="140"/>
      </w:r>
      <w:r w:rsidRPr="00A179B5">
        <w:rPr>
          <w:color w:val="000000" w:themeColor="text1"/>
        </w:rPr>
        <w:t xml:space="preserve"> </w:t>
      </w:r>
    </w:p>
    <w:p w14:paraId="00679DAE" w14:textId="77777777" w:rsidR="00732905" w:rsidRPr="00732905" w:rsidRDefault="00732905" w:rsidP="00732905">
      <w:pPr>
        <w:pStyle w:val="ListParagraph"/>
        <w:rPr>
          <w:color w:val="000000" w:themeColor="text1"/>
        </w:rPr>
      </w:pPr>
    </w:p>
    <w:p w14:paraId="19C7EEB7" w14:textId="52199683" w:rsidR="00255697" w:rsidRPr="0021026C" w:rsidRDefault="00F9327E" w:rsidP="0021026C">
      <w:pPr>
        <w:pStyle w:val="ListParagraph"/>
        <w:numPr>
          <w:ilvl w:val="0"/>
          <w:numId w:val="31"/>
        </w:numPr>
        <w:rPr>
          <w:color w:val="000000" w:themeColor="text1"/>
        </w:rPr>
      </w:pPr>
      <w:r w:rsidRPr="00A179B5">
        <w:rPr>
          <w:color w:val="000000" w:themeColor="text1"/>
        </w:rPr>
        <w:t>Indigenous children are disproportionately</w:t>
      </w:r>
      <w:r w:rsidR="00BE3D81">
        <w:rPr>
          <w:color w:val="000000" w:themeColor="text1"/>
        </w:rPr>
        <w:t xml:space="preserve"> more</w:t>
      </w:r>
      <w:r w:rsidRPr="00A179B5">
        <w:rPr>
          <w:color w:val="000000" w:themeColor="text1"/>
        </w:rPr>
        <w:t xml:space="preserve"> likely to die in foster care.</w:t>
      </w:r>
      <w:r w:rsidRPr="00A179B5">
        <w:rPr>
          <w:rStyle w:val="FootnoteReference"/>
          <w:color w:val="000000" w:themeColor="text1"/>
        </w:rPr>
        <w:footnoteReference w:id="141"/>
      </w:r>
      <w:r w:rsidRPr="00A179B5">
        <w:rPr>
          <w:color w:val="000000" w:themeColor="text1"/>
        </w:rPr>
        <w:t xml:space="preserve"> </w:t>
      </w:r>
    </w:p>
    <w:p w14:paraId="18511563" w14:textId="77777777" w:rsidR="004D4AD2" w:rsidRDefault="004D4AD2" w:rsidP="002351D6">
      <w:pPr>
        <w:pStyle w:val="ListParagraph"/>
        <w:ind w:left="0"/>
        <w:rPr>
          <w:b/>
          <w:i/>
          <w:color w:val="000000" w:themeColor="text1"/>
          <w:lang w:val="fr-CA"/>
        </w:rPr>
      </w:pPr>
    </w:p>
    <w:p w14:paraId="46F5B3B3" w14:textId="689AD74F" w:rsidR="002351D6" w:rsidRPr="00CA6319" w:rsidRDefault="002351D6" w:rsidP="002351D6">
      <w:pPr>
        <w:pStyle w:val="ListParagraph"/>
        <w:ind w:left="0"/>
        <w:rPr>
          <w:color w:val="000000" w:themeColor="text1"/>
          <w:lang w:val="fr-CA"/>
        </w:rPr>
      </w:pPr>
      <w:r w:rsidRPr="00CA6319">
        <w:rPr>
          <w:b/>
          <w:i/>
          <w:color w:val="000000" w:themeColor="text1"/>
          <w:lang w:val="fr-CA"/>
        </w:rPr>
        <w:t xml:space="preserve">Relevant Articles: </w:t>
      </w:r>
      <w:r w:rsidRPr="00CA6319">
        <w:rPr>
          <w:color w:val="000000" w:themeColor="text1"/>
          <w:lang w:val="fr-CA"/>
        </w:rPr>
        <w:t>5(b), 5(d), 5(e</w:t>
      </w:r>
      <w:proofErr w:type="gramStart"/>
      <w:r w:rsidRPr="00CA6319">
        <w:rPr>
          <w:color w:val="000000" w:themeColor="text1"/>
          <w:lang w:val="fr-CA"/>
        </w:rPr>
        <w:t>)(</w:t>
      </w:r>
      <w:proofErr w:type="gramEnd"/>
      <w:r w:rsidRPr="00CA6319">
        <w:rPr>
          <w:color w:val="000000" w:themeColor="text1"/>
          <w:lang w:val="fr-CA"/>
        </w:rPr>
        <w:t>iv), 5(e)(v), 5(e)(vi)</w:t>
      </w:r>
    </w:p>
    <w:p w14:paraId="5AFBC16D" w14:textId="0F259E6D" w:rsidR="00F9327E" w:rsidRPr="00A179B5" w:rsidRDefault="00F9327E" w:rsidP="00F9327E">
      <w:pPr>
        <w:spacing w:after="240"/>
        <w:rPr>
          <w:color w:val="000000" w:themeColor="text1"/>
        </w:rPr>
      </w:pPr>
      <w:r w:rsidRPr="00A179B5">
        <w:rPr>
          <w:b/>
          <w:i/>
          <w:color w:val="000000" w:themeColor="text1"/>
        </w:rPr>
        <w:t xml:space="preserve">Recommendations: </w:t>
      </w:r>
      <w:r w:rsidRPr="00A179B5">
        <w:rPr>
          <w:color w:val="000000" w:themeColor="text1"/>
        </w:rPr>
        <w:t>We ask that the</w:t>
      </w:r>
      <w:r>
        <w:rPr>
          <w:color w:val="000000" w:themeColor="text1"/>
        </w:rPr>
        <w:t xml:space="preserve"> Committee recommend that</w:t>
      </w:r>
      <w:r w:rsidRPr="00A179B5">
        <w:rPr>
          <w:color w:val="000000" w:themeColor="text1"/>
        </w:rPr>
        <w:t xml:space="preserve">: 1) </w:t>
      </w:r>
      <w:r>
        <w:rPr>
          <w:color w:val="000000" w:themeColor="text1"/>
        </w:rPr>
        <w:t xml:space="preserve">all provincial governments </w:t>
      </w:r>
      <w:r w:rsidRPr="00A179B5">
        <w:rPr>
          <w:color w:val="000000" w:themeColor="text1"/>
        </w:rPr>
        <w:t xml:space="preserve">systematically collect </w:t>
      </w:r>
      <w:r w:rsidR="00472910">
        <w:rPr>
          <w:color w:val="000000" w:themeColor="text1"/>
        </w:rPr>
        <w:t>ethno-racially</w:t>
      </w:r>
      <w:r w:rsidRPr="00A179B5">
        <w:rPr>
          <w:color w:val="000000" w:themeColor="text1"/>
        </w:rPr>
        <w:t xml:space="preserve"> disaggregated data </w:t>
      </w:r>
      <w:r w:rsidR="00472910">
        <w:rPr>
          <w:color w:val="000000" w:themeColor="text1"/>
        </w:rPr>
        <w:t>regarding</w:t>
      </w:r>
      <w:r w:rsidRPr="00A179B5">
        <w:rPr>
          <w:color w:val="000000" w:themeColor="text1"/>
        </w:rPr>
        <w:t xml:space="preserve"> child welfare apprehensions (including </w:t>
      </w:r>
      <w:r w:rsidR="00472910">
        <w:rPr>
          <w:color w:val="000000" w:themeColor="text1"/>
        </w:rPr>
        <w:t xml:space="preserve">with respect to </w:t>
      </w:r>
      <w:r w:rsidRPr="00A179B5">
        <w:rPr>
          <w:color w:val="000000" w:themeColor="text1"/>
        </w:rPr>
        <w:t xml:space="preserve">reasons for removal and involvement of police) and placements; </w:t>
      </w:r>
      <w:r>
        <w:rPr>
          <w:color w:val="000000" w:themeColor="text1"/>
        </w:rPr>
        <w:t>2) Ontario implement</w:t>
      </w:r>
      <w:r w:rsidRPr="00A179B5">
        <w:rPr>
          <w:color w:val="000000" w:themeColor="text1"/>
        </w:rPr>
        <w:t xml:space="preserve"> the One Vision, One Voice</w:t>
      </w:r>
      <w:r>
        <w:rPr>
          <w:color w:val="000000" w:themeColor="text1"/>
        </w:rPr>
        <w:t xml:space="preserve"> plan</w:t>
      </w:r>
      <w:r w:rsidRPr="00A179B5">
        <w:rPr>
          <w:color w:val="000000" w:themeColor="text1"/>
        </w:rPr>
        <w:t xml:space="preserve"> for addressing systemic </w:t>
      </w:r>
      <w:r w:rsidR="00472910">
        <w:rPr>
          <w:color w:val="000000" w:themeColor="text1"/>
        </w:rPr>
        <w:t xml:space="preserve">anti-Black </w:t>
      </w:r>
      <w:r w:rsidRPr="00A179B5">
        <w:rPr>
          <w:color w:val="000000" w:themeColor="text1"/>
        </w:rPr>
        <w:t>racism in child welfare</w:t>
      </w:r>
      <w:r>
        <w:rPr>
          <w:color w:val="000000" w:themeColor="text1"/>
        </w:rPr>
        <w:t>; 3) mandatory inquests be held for all child deaths in the child welfare system</w:t>
      </w:r>
      <w:r w:rsidRPr="00A179B5">
        <w:rPr>
          <w:color w:val="000000" w:themeColor="text1"/>
        </w:rPr>
        <w:t>.</w:t>
      </w:r>
      <w:r w:rsidR="00734651">
        <w:rPr>
          <w:color w:val="000000" w:themeColor="text1"/>
        </w:rPr>
        <w:t xml:space="preserve">  </w:t>
      </w:r>
    </w:p>
    <w:p w14:paraId="3A230D89" w14:textId="45B02B34" w:rsidR="009753C1" w:rsidRDefault="002351D6" w:rsidP="00103D0E">
      <w:pPr>
        <w:pStyle w:val="ListParagraph"/>
        <w:spacing w:after="0"/>
        <w:ind w:left="0"/>
        <w:rPr>
          <w:b/>
          <w:color w:val="000000" w:themeColor="text1"/>
          <w:u w:val="single"/>
        </w:rPr>
      </w:pPr>
      <w:r w:rsidRPr="00103D0E">
        <w:rPr>
          <w:b/>
          <w:color w:val="000000" w:themeColor="text1"/>
          <w:u w:val="single"/>
        </w:rPr>
        <w:t xml:space="preserve">Issue Thirteen: Racial Discrimination in </w:t>
      </w:r>
      <w:r w:rsidR="00FE0CA9" w:rsidRPr="00103D0E">
        <w:rPr>
          <w:b/>
          <w:color w:val="000000" w:themeColor="text1"/>
          <w:u w:val="single"/>
        </w:rPr>
        <w:t>Education</w:t>
      </w:r>
    </w:p>
    <w:p w14:paraId="35BD0482" w14:textId="77777777" w:rsidR="00D328B8" w:rsidRPr="00103D0E" w:rsidRDefault="00D328B8" w:rsidP="00103D0E">
      <w:pPr>
        <w:pStyle w:val="ListParagraph"/>
        <w:spacing w:after="0"/>
        <w:ind w:left="0"/>
      </w:pPr>
    </w:p>
    <w:p w14:paraId="19AA8A64" w14:textId="313B6BA1" w:rsidR="00732905" w:rsidRDefault="0098584D" w:rsidP="002351D6">
      <w:pPr>
        <w:pStyle w:val="ListParagraph"/>
        <w:numPr>
          <w:ilvl w:val="0"/>
          <w:numId w:val="32"/>
        </w:numPr>
        <w:spacing w:before="240" w:after="0"/>
        <w:rPr>
          <w:color w:val="000000" w:themeColor="text1"/>
        </w:rPr>
      </w:pPr>
      <w:r w:rsidRPr="00A179B5">
        <w:rPr>
          <w:color w:val="000000" w:themeColor="text1"/>
        </w:rPr>
        <w:t xml:space="preserve">In 2009, the Ontario government introduced the </w:t>
      </w:r>
      <w:r w:rsidRPr="00A179B5">
        <w:rPr>
          <w:i/>
          <w:color w:val="000000" w:themeColor="text1"/>
        </w:rPr>
        <w:t>Equity and Inclusive Education Strategy</w:t>
      </w:r>
      <w:r w:rsidR="00263C6E" w:rsidRPr="00A179B5">
        <w:rPr>
          <w:color w:val="000000" w:themeColor="text1"/>
        </w:rPr>
        <w:t>,</w:t>
      </w:r>
      <w:r w:rsidRPr="00A179B5">
        <w:rPr>
          <w:color w:val="000000" w:themeColor="text1"/>
        </w:rPr>
        <w:t xml:space="preserve"> to address discrimination and systemic barriers to student achievement</w:t>
      </w:r>
      <w:r w:rsidR="00263C6E" w:rsidRPr="00A179B5">
        <w:rPr>
          <w:color w:val="000000" w:themeColor="text1"/>
        </w:rPr>
        <w:t>. While the S</w:t>
      </w:r>
      <w:r w:rsidRPr="00A179B5">
        <w:rPr>
          <w:color w:val="000000" w:themeColor="text1"/>
        </w:rPr>
        <w:t>trat</w:t>
      </w:r>
      <w:r w:rsidR="0070263A">
        <w:rPr>
          <w:color w:val="000000" w:themeColor="text1"/>
        </w:rPr>
        <w:t>egy required</w:t>
      </w:r>
      <w:r w:rsidR="00553EA0" w:rsidRPr="00A179B5">
        <w:rPr>
          <w:color w:val="000000" w:themeColor="text1"/>
        </w:rPr>
        <w:t xml:space="preserve"> school boards to </w:t>
      </w:r>
      <w:r w:rsidRPr="00A179B5">
        <w:rPr>
          <w:color w:val="000000" w:themeColor="text1"/>
        </w:rPr>
        <w:t>develop equity and inclusive educatio</w:t>
      </w:r>
      <w:r w:rsidR="00664EF0" w:rsidRPr="00A179B5">
        <w:rPr>
          <w:color w:val="000000" w:themeColor="text1"/>
        </w:rPr>
        <w:t>n policies, it did not</w:t>
      </w:r>
      <w:r w:rsidRPr="00A179B5">
        <w:rPr>
          <w:color w:val="000000" w:themeColor="text1"/>
        </w:rPr>
        <w:t xml:space="preserve"> m</w:t>
      </w:r>
      <w:r w:rsidR="00664EF0" w:rsidRPr="00A179B5">
        <w:rPr>
          <w:color w:val="000000" w:themeColor="text1"/>
        </w:rPr>
        <w:t>andate</w:t>
      </w:r>
      <w:r w:rsidRPr="00A179B5">
        <w:rPr>
          <w:color w:val="000000" w:themeColor="text1"/>
        </w:rPr>
        <w:t xml:space="preserve"> that school boards adopt an anti-racism approach,</w:t>
      </w:r>
      <w:r w:rsidR="00472910">
        <w:rPr>
          <w:color w:val="000000" w:themeColor="text1"/>
        </w:rPr>
        <w:t xml:space="preserve"> it did not require them</w:t>
      </w:r>
      <w:r w:rsidRPr="00A179B5">
        <w:rPr>
          <w:color w:val="000000" w:themeColor="text1"/>
        </w:rPr>
        <w:t xml:space="preserve"> </w:t>
      </w:r>
      <w:r w:rsidR="00472910">
        <w:rPr>
          <w:color w:val="000000" w:themeColor="text1"/>
        </w:rPr>
        <w:t xml:space="preserve">to </w:t>
      </w:r>
      <w:r w:rsidRPr="00A179B5">
        <w:rPr>
          <w:color w:val="000000" w:themeColor="text1"/>
        </w:rPr>
        <w:t xml:space="preserve">collect </w:t>
      </w:r>
      <w:r w:rsidR="00472910">
        <w:rPr>
          <w:color w:val="000000" w:themeColor="text1"/>
        </w:rPr>
        <w:t xml:space="preserve">ethno-racially and other </w:t>
      </w:r>
      <w:r w:rsidRPr="00A179B5">
        <w:rPr>
          <w:color w:val="000000" w:themeColor="text1"/>
        </w:rPr>
        <w:t>disaggregated data, or implement employment equity pro</w:t>
      </w:r>
      <w:r w:rsidR="00664EF0" w:rsidRPr="00A179B5">
        <w:rPr>
          <w:color w:val="000000" w:themeColor="text1"/>
        </w:rPr>
        <w:t>grams to ensure that the</w:t>
      </w:r>
      <w:r w:rsidRPr="00A179B5">
        <w:rPr>
          <w:color w:val="000000" w:themeColor="text1"/>
        </w:rPr>
        <w:t xml:space="preserve"> teaching workforce</w:t>
      </w:r>
      <w:r w:rsidR="00664EF0" w:rsidRPr="00A179B5">
        <w:rPr>
          <w:color w:val="000000" w:themeColor="text1"/>
        </w:rPr>
        <w:t xml:space="preserve"> reflects the racial diversity of the student population</w:t>
      </w:r>
      <w:r w:rsidRPr="00A179B5">
        <w:rPr>
          <w:color w:val="000000" w:themeColor="text1"/>
        </w:rPr>
        <w:t>.</w:t>
      </w:r>
      <w:r w:rsidRPr="00A179B5">
        <w:rPr>
          <w:rStyle w:val="FootnoteReference"/>
          <w:color w:val="000000" w:themeColor="text1"/>
        </w:rPr>
        <w:footnoteReference w:id="142"/>
      </w:r>
      <w:r w:rsidR="00664EF0" w:rsidRPr="00A179B5">
        <w:rPr>
          <w:color w:val="000000" w:themeColor="text1"/>
        </w:rPr>
        <w:t xml:space="preserve"> </w:t>
      </w:r>
    </w:p>
    <w:p w14:paraId="3E8BE3A3" w14:textId="77777777" w:rsidR="00732905" w:rsidRDefault="00732905" w:rsidP="00732905">
      <w:pPr>
        <w:pStyle w:val="ListParagraph"/>
        <w:spacing w:before="240" w:after="0"/>
        <w:ind w:left="0"/>
        <w:rPr>
          <w:color w:val="000000" w:themeColor="text1"/>
        </w:rPr>
      </w:pPr>
    </w:p>
    <w:p w14:paraId="17A8BEBB" w14:textId="4C05C2D2" w:rsidR="0098584D" w:rsidRPr="00A179B5" w:rsidRDefault="00664EF0" w:rsidP="002351D6">
      <w:pPr>
        <w:pStyle w:val="ListParagraph"/>
        <w:numPr>
          <w:ilvl w:val="0"/>
          <w:numId w:val="32"/>
        </w:numPr>
        <w:spacing w:before="240" w:after="0"/>
        <w:rPr>
          <w:color w:val="000000" w:themeColor="text1"/>
        </w:rPr>
      </w:pPr>
      <w:r w:rsidRPr="00A179B5">
        <w:rPr>
          <w:color w:val="000000" w:themeColor="text1"/>
        </w:rPr>
        <w:t xml:space="preserve">The Toronto District School Board is currently the only </w:t>
      </w:r>
      <w:r w:rsidR="000B369B">
        <w:rPr>
          <w:color w:val="000000" w:themeColor="text1"/>
        </w:rPr>
        <w:t>school board</w:t>
      </w:r>
      <w:r w:rsidR="000B369B" w:rsidRPr="00A179B5">
        <w:rPr>
          <w:color w:val="000000" w:themeColor="text1"/>
        </w:rPr>
        <w:t xml:space="preserve"> </w:t>
      </w:r>
      <w:r w:rsidRPr="00A179B5">
        <w:rPr>
          <w:color w:val="000000" w:themeColor="text1"/>
        </w:rPr>
        <w:t xml:space="preserve">in Ontario </w:t>
      </w:r>
      <w:r w:rsidR="000B369B">
        <w:rPr>
          <w:color w:val="000000" w:themeColor="text1"/>
        </w:rPr>
        <w:t>that</w:t>
      </w:r>
      <w:r w:rsidR="000B369B" w:rsidRPr="00A179B5">
        <w:rPr>
          <w:color w:val="000000" w:themeColor="text1"/>
        </w:rPr>
        <w:t xml:space="preserve"> </w:t>
      </w:r>
      <w:r w:rsidRPr="00A179B5">
        <w:rPr>
          <w:color w:val="000000" w:themeColor="text1"/>
        </w:rPr>
        <w:t>systematically collect</w:t>
      </w:r>
      <w:r w:rsidR="000B369B">
        <w:rPr>
          <w:color w:val="000000" w:themeColor="text1"/>
        </w:rPr>
        <w:t>s</w:t>
      </w:r>
      <w:r w:rsidRPr="00A179B5">
        <w:rPr>
          <w:color w:val="000000" w:themeColor="text1"/>
        </w:rPr>
        <w:t xml:space="preserve"> and analyze</w:t>
      </w:r>
      <w:r w:rsidR="000B369B">
        <w:rPr>
          <w:color w:val="000000" w:themeColor="text1"/>
        </w:rPr>
        <w:t>s</w:t>
      </w:r>
      <w:r w:rsidRPr="00A179B5">
        <w:rPr>
          <w:color w:val="000000" w:themeColor="text1"/>
        </w:rPr>
        <w:t xml:space="preserve"> </w:t>
      </w:r>
      <w:r w:rsidR="00472910">
        <w:rPr>
          <w:color w:val="000000" w:themeColor="text1"/>
        </w:rPr>
        <w:t xml:space="preserve">ethno-racially and other </w:t>
      </w:r>
      <w:r w:rsidRPr="00A179B5">
        <w:rPr>
          <w:color w:val="000000" w:themeColor="text1"/>
        </w:rPr>
        <w:t>disaggregated student data.</w:t>
      </w:r>
      <w:r w:rsidR="00EA14BB" w:rsidRPr="00A179B5">
        <w:rPr>
          <w:color w:val="000000" w:themeColor="text1"/>
        </w:rPr>
        <w:t xml:space="preserve"> </w:t>
      </w:r>
    </w:p>
    <w:p w14:paraId="3FA9CF98" w14:textId="77777777" w:rsidR="0098584D" w:rsidRPr="00A179B5" w:rsidRDefault="0098584D" w:rsidP="0098584D">
      <w:pPr>
        <w:pStyle w:val="ListParagraph"/>
        <w:spacing w:before="240" w:after="0"/>
        <w:ind w:left="0"/>
        <w:rPr>
          <w:color w:val="000000" w:themeColor="text1"/>
        </w:rPr>
      </w:pPr>
    </w:p>
    <w:p w14:paraId="708DD4E1" w14:textId="3E83EF3C" w:rsidR="00C048C5" w:rsidRPr="00A179B5" w:rsidRDefault="00A501F7" w:rsidP="002351D6">
      <w:pPr>
        <w:pStyle w:val="ListParagraph"/>
        <w:numPr>
          <w:ilvl w:val="0"/>
          <w:numId w:val="32"/>
        </w:numPr>
        <w:spacing w:before="240" w:after="0"/>
        <w:rPr>
          <w:color w:val="000000" w:themeColor="text1"/>
        </w:rPr>
      </w:pPr>
      <w:r w:rsidRPr="00A179B5">
        <w:rPr>
          <w:color w:val="000000" w:themeColor="text1"/>
        </w:rPr>
        <w:t>While the government’s report</w:t>
      </w:r>
      <w:r w:rsidR="0098584D" w:rsidRPr="00A179B5">
        <w:rPr>
          <w:color w:val="000000" w:themeColor="text1"/>
        </w:rPr>
        <w:t xml:space="preserve"> to the Committee</w:t>
      </w:r>
      <w:r w:rsidRPr="00A179B5">
        <w:rPr>
          <w:color w:val="000000" w:themeColor="text1"/>
        </w:rPr>
        <w:t xml:space="preserve"> outlines a series of measures adopted to address racial</w:t>
      </w:r>
      <w:r w:rsidR="00553EA0" w:rsidRPr="00A179B5">
        <w:rPr>
          <w:color w:val="000000" w:themeColor="text1"/>
        </w:rPr>
        <w:t xml:space="preserve"> discrimination in school curricula</w:t>
      </w:r>
      <w:r w:rsidRPr="00A179B5">
        <w:rPr>
          <w:color w:val="000000" w:themeColor="text1"/>
        </w:rPr>
        <w:t xml:space="preserve">, curricula continue to be </w:t>
      </w:r>
      <w:r w:rsidR="00472910">
        <w:rPr>
          <w:color w:val="000000" w:themeColor="text1"/>
        </w:rPr>
        <w:t>“</w:t>
      </w:r>
      <w:r w:rsidRPr="00A179B5">
        <w:rPr>
          <w:color w:val="000000" w:themeColor="text1"/>
        </w:rPr>
        <w:t>White-centric</w:t>
      </w:r>
      <w:r w:rsidR="00472910">
        <w:rPr>
          <w:color w:val="000000" w:themeColor="text1"/>
        </w:rPr>
        <w:t>”</w:t>
      </w:r>
      <w:r w:rsidRPr="00A179B5">
        <w:rPr>
          <w:color w:val="000000" w:themeColor="text1"/>
        </w:rPr>
        <w:t xml:space="preserve">, marginalizing the histories and contributions of Indigenous </w:t>
      </w:r>
      <w:r w:rsidR="000B369B">
        <w:rPr>
          <w:color w:val="000000" w:themeColor="text1"/>
        </w:rPr>
        <w:t>groups and communities of colour</w:t>
      </w:r>
      <w:r w:rsidRPr="00A179B5">
        <w:rPr>
          <w:color w:val="000000" w:themeColor="text1"/>
        </w:rPr>
        <w:t>.</w:t>
      </w:r>
    </w:p>
    <w:p w14:paraId="0C2CB3B4" w14:textId="77777777" w:rsidR="00364AB5" w:rsidRPr="00A179B5" w:rsidRDefault="00364AB5" w:rsidP="00C048C5">
      <w:pPr>
        <w:spacing w:after="0"/>
        <w:rPr>
          <w:color w:val="000000" w:themeColor="text1"/>
        </w:rPr>
      </w:pPr>
    </w:p>
    <w:p w14:paraId="774569FE" w14:textId="52C61480" w:rsidR="00A501F7" w:rsidRPr="00472910" w:rsidRDefault="00553EA0" w:rsidP="0021026C">
      <w:pPr>
        <w:pStyle w:val="ListParagraph"/>
        <w:numPr>
          <w:ilvl w:val="0"/>
          <w:numId w:val="32"/>
        </w:numPr>
        <w:spacing w:after="0"/>
        <w:rPr>
          <w:color w:val="000000" w:themeColor="text1"/>
        </w:rPr>
      </w:pPr>
      <w:r w:rsidRPr="00A179B5">
        <w:rPr>
          <w:color w:val="000000" w:themeColor="text1"/>
        </w:rPr>
        <w:t>Data from the TDSB demonstrates that Black</w:t>
      </w:r>
      <w:r w:rsidR="00C5408B" w:rsidRPr="00A179B5">
        <w:rPr>
          <w:color w:val="000000" w:themeColor="text1"/>
        </w:rPr>
        <w:t xml:space="preserve"> and Indigenous</w:t>
      </w:r>
      <w:r w:rsidRPr="00A179B5">
        <w:rPr>
          <w:color w:val="000000" w:themeColor="text1"/>
        </w:rPr>
        <w:t xml:space="preserve"> students are more likely to be streamed into non-academic programs than White or </w:t>
      </w:r>
      <w:r w:rsidR="00472910">
        <w:rPr>
          <w:color w:val="000000" w:themeColor="text1"/>
        </w:rPr>
        <w:t xml:space="preserve">some of the </w:t>
      </w:r>
      <w:r w:rsidRPr="00A179B5">
        <w:rPr>
          <w:color w:val="000000" w:themeColor="text1"/>
        </w:rPr>
        <w:t>other racialized students: in 2015, 53% of Black students</w:t>
      </w:r>
      <w:r w:rsidR="00C5408B" w:rsidRPr="00A179B5">
        <w:rPr>
          <w:color w:val="000000" w:themeColor="text1"/>
        </w:rPr>
        <w:t xml:space="preserve"> and 48% of Indigenous students</w:t>
      </w:r>
      <w:r w:rsidRPr="00A179B5">
        <w:rPr>
          <w:color w:val="000000" w:themeColor="text1"/>
        </w:rPr>
        <w:t>, compared to 81% of White students</w:t>
      </w:r>
      <w:r w:rsidR="00EC2720" w:rsidRPr="00A179B5">
        <w:rPr>
          <w:color w:val="000000" w:themeColor="text1"/>
        </w:rPr>
        <w:t>,</w:t>
      </w:r>
      <w:r w:rsidRPr="00A179B5">
        <w:rPr>
          <w:color w:val="000000" w:themeColor="text1"/>
        </w:rPr>
        <w:t xml:space="preserve"> were enrolled in Academic programs of study; while 39% of Black students</w:t>
      </w:r>
      <w:r w:rsidR="00C5408B" w:rsidRPr="00A179B5">
        <w:rPr>
          <w:color w:val="000000" w:themeColor="text1"/>
        </w:rPr>
        <w:t xml:space="preserve"> and 41% of Indigenous students</w:t>
      </w:r>
      <w:r w:rsidRPr="00A179B5">
        <w:rPr>
          <w:color w:val="000000" w:themeColor="text1"/>
        </w:rPr>
        <w:t>, compared to 16% of White students</w:t>
      </w:r>
      <w:r w:rsidR="00EC2720" w:rsidRPr="00A179B5">
        <w:rPr>
          <w:color w:val="000000" w:themeColor="text1"/>
        </w:rPr>
        <w:t>,</w:t>
      </w:r>
      <w:r w:rsidRPr="00A179B5">
        <w:rPr>
          <w:color w:val="000000" w:themeColor="text1"/>
        </w:rPr>
        <w:t xml:space="preserve"> were in Applied programs.</w:t>
      </w:r>
      <w:r w:rsidRPr="00A179B5">
        <w:rPr>
          <w:rStyle w:val="FootnoteReference"/>
          <w:color w:val="000000" w:themeColor="text1"/>
        </w:rPr>
        <w:footnoteReference w:id="143"/>
      </w:r>
      <w:r w:rsidRPr="00A179B5">
        <w:rPr>
          <w:color w:val="000000" w:themeColor="text1"/>
        </w:rPr>
        <w:t xml:space="preserve"> </w:t>
      </w:r>
      <w:r w:rsidR="00A501F7" w:rsidRPr="00A179B5">
        <w:rPr>
          <w:color w:val="000000" w:themeColor="text1"/>
        </w:rPr>
        <w:t>Black immigrant students are often put in English as a Second Language classes because of their accents, or placed in grades below their level without being tested.</w:t>
      </w:r>
      <w:r w:rsidR="00A501F7" w:rsidRPr="00A179B5">
        <w:rPr>
          <w:rStyle w:val="FootnoteReference"/>
          <w:color w:val="000000" w:themeColor="text1"/>
        </w:rPr>
        <w:footnoteReference w:id="144"/>
      </w:r>
      <w:r w:rsidR="00A501F7" w:rsidRPr="00A179B5">
        <w:rPr>
          <w:color w:val="000000" w:themeColor="text1"/>
        </w:rPr>
        <w:t xml:space="preserve"> </w:t>
      </w:r>
    </w:p>
    <w:p w14:paraId="380EF899" w14:textId="77777777" w:rsidR="00EB749D" w:rsidRDefault="00EB749D" w:rsidP="00EB749D">
      <w:pPr>
        <w:pStyle w:val="ListParagraph"/>
        <w:spacing w:after="0"/>
        <w:ind w:left="0"/>
        <w:rPr>
          <w:color w:val="000000" w:themeColor="text1"/>
        </w:rPr>
      </w:pPr>
    </w:p>
    <w:p w14:paraId="3D0022E5" w14:textId="7AA367BA" w:rsidR="00916412" w:rsidRPr="00A179B5" w:rsidRDefault="008C2F12" w:rsidP="002351D6">
      <w:pPr>
        <w:pStyle w:val="ListParagraph"/>
        <w:numPr>
          <w:ilvl w:val="0"/>
          <w:numId w:val="32"/>
        </w:numPr>
        <w:spacing w:after="0"/>
        <w:rPr>
          <w:color w:val="000000" w:themeColor="text1"/>
        </w:rPr>
      </w:pPr>
      <w:r w:rsidRPr="00A179B5">
        <w:rPr>
          <w:color w:val="000000" w:themeColor="text1"/>
        </w:rPr>
        <w:t>While Ontario has repealed the</w:t>
      </w:r>
      <w:r w:rsidR="00A501F7" w:rsidRPr="00A179B5">
        <w:rPr>
          <w:color w:val="000000" w:themeColor="text1"/>
        </w:rPr>
        <w:t xml:space="preserve"> 2000</w:t>
      </w:r>
      <w:r w:rsidRPr="00A179B5">
        <w:rPr>
          <w:color w:val="000000" w:themeColor="text1"/>
        </w:rPr>
        <w:t xml:space="preserve"> </w:t>
      </w:r>
      <w:r w:rsidRPr="00A179B5">
        <w:rPr>
          <w:i/>
          <w:color w:val="000000" w:themeColor="text1"/>
        </w:rPr>
        <w:t>Safe Schools Act</w:t>
      </w:r>
      <w:r w:rsidRPr="00A179B5">
        <w:rPr>
          <w:color w:val="000000" w:themeColor="text1"/>
        </w:rPr>
        <w:t>, f</w:t>
      </w:r>
      <w:r w:rsidR="008757CF" w:rsidRPr="00A179B5">
        <w:rPr>
          <w:color w:val="000000" w:themeColor="text1"/>
        </w:rPr>
        <w:t>ollowing complaints by the OHRC</w:t>
      </w:r>
      <w:r w:rsidRPr="00A179B5">
        <w:rPr>
          <w:color w:val="000000" w:themeColor="text1"/>
        </w:rPr>
        <w:t xml:space="preserve"> that its</w:t>
      </w:r>
      <w:r w:rsidR="00E6423C">
        <w:rPr>
          <w:color w:val="000000" w:themeColor="text1"/>
        </w:rPr>
        <w:t>’</w:t>
      </w:r>
      <w:r w:rsidRPr="00A179B5">
        <w:rPr>
          <w:color w:val="000000" w:themeColor="text1"/>
        </w:rPr>
        <w:t xml:space="preserve"> zero tolerance policy was being discriminatorily applied against racialized students and students with disabilities, the disproportionate disciplining</w:t>
      </w:r>
      <w:r w:rsidR="00EA14BB" w:rsidRPr="00A179B5">
        <w:rPr>
          <w:color w:val="000000" w:themeColor="text1"/>
        </w:rPr>
        <w:t xml:space="preserve"> and policing of </w:t>
      </w:r>
      <w:r w:rsidRPr="00A179B5">
        <w:rPr>
          <w:color w:val="000000" w:themeColor="text1"/>
        </w:rPr>
        <w:t>racialized students persists.</w:t>
      </w:r>
      <w:r w:rsidR="00A501F7" w:rsidRPr="00A179B5">
        <w:rPr>
          <w:color w:val="000000" w:themeColor="text1"/>
        </w:rPr>
        <w:t xml:space="preserve"> In April 2017, </w:t>
      </w:r>
      <w:r w:rsidR="00A501F7" w:rsidRPr="00A179B5">
        <w:rPr>
          <w:color w:val="000000" w:themeColor="text1"/>
          <w:shd w:val="clear" w:color="auto" w:fill="FFFFFF"/>
        </w:rPr>
        <w:t>the Toronto District School Board (TDSB) released a report showing that</w:t>
      </w:r>
      <w:r w:rsidR="00916412" w:rsidRPr="00A179B5">
        <w:rPr>
          <w:color w:val="000000" w:themeColor="text1"/>
          <w:shd w:val="clear" w:color="auto" w:fill="FFFFFF"/>
        </w:rPr>
        <w:t xml:space="preserve"> Black, Indigenous, and Middle Eastern students are dispropor</w:t>
      </w:r>
      <w:r w:rsidR="008D48E0" w:rsidRPr="00A179B5">
        <w:rPr>
          <w:color w:val="000000" w:themeColor="text1"/>
          <w:shd w:val="clear" w:color="auto" w:fill="FFFFFF"/>
        </w:rPr>
        <w:t>tionately expelled from schools: a</w:t>
      </w:r>
      <w:r w:rsidR="00A501F7" w:rsidRPr="00A179B5">
        <w:rPr>
          <w:color w:val="000000" w:themeColor="text1"/>
          <w:shd w:val="clear" w:color="auto" w:fill="FFFFFF"/>
        </w:rPr>
        <w:t>lmost half of all students expelled over the last five years were Black, even though Black students comprise only 12% of the TDSB’s population</w:t>
      </w:r>
      <w:r w:rsidR="00916412" w:rsidRPr="00A179B5">
        <w:rPr>
          <w:color w:val="000000" w:themeColor="text1"/>
          <w:shd w:val="clear" w:color="auto" w:fill="FFFFFF"/>
        </w:rPr>
        <w:t xml:space="preserve">; Indigenous students (0.3% of the </w:t>
      </w:r>
      <w:r w:rsidR="00E6423C">
        <w:rPr>
          <w:color w:val="000000" w:themeColor="text1"/>
          <w:shd w:val="clear" w:color="auto" w:fill="FFFFFF"/>
        </w:rPr>
        <w:t xml:space="preserve">TDSB </w:t>
      </w:r>
      <w:r w:rsidR="00916412" w:rsidRPr="00A179B5">
        <w:rPr>
          <w:color w:val="000000" w:themeColor="text1"/>
          <w:shd w:val="clear" w:color="auto" w:fill="FFFFFF"/>
        </w:rPr>
        <w:t xml:space="preserve">population) represented 1% of all expulsions; and Middle Eastern students (4% of the </w:t>
      </w:r>
      <w:r w:rsidR="00E6423C">
        <w:rPr>
          <w:color w:val="000000" w:themeColor="text1"/>
          <w:shd w:val="clear" w:color="auto" w:fill="FFFFFF"/>
        </w:rPr>
        <w:t xml:space="preserve">TDSB </w:t>
      </w:r>
      <w:r w:rsidR="00916412" w:rsidRPr="00A179B5">
        <w:rPr>
          <w:color w:val="000000" w:themeColor="text1"/>
          <w:shd w:val="clear" w:color="auto" w:fill="FFFFFF"/>
        </w:rPr>
        <w:t>population) represented 8% of all expulsions</w:t>
      </w:r>
      <w:r w:rsidR="00A501F7" w:rsidRPr="00A179B5">
        <w:rPr>
          <w:color w:val="000000" w:themeColor="text1"/>
          <w:shd w:val="clear" w:color="auto" w:fill="FFFFFF"/>
        </w:rPr>
        <w:t>.</w:t>
      </w:r>
      <w:r w:rsidR="0098584D" w:rsidRPr="00A179B5">
        <w:rPr>
          <w:rStyle w:val="FootnoteReference"/>
          <w:color w:val="000000" w:themeColor="text1"/>
          <w:shd w:val="clear" w:color="auto" w:fill="FFFFFF"/>
        </w:rPr>
        <w:footnoteReference w:id="145"/>
      </w:r>
      <w:r w:rsidRPr="00A179B5">
        <w:rPr>
          <w:color w:val="000000" w:themeColor="text1"/>
        </w:rPr>
        <w:t xml:space="preserve"> </w:t>
      </w:r>
    </w:p>
    <w:p w14:paraId="49477B24" w14:textId="77777777" w:rsidR="00916412" w:rsidRPr="00A179B5" w:rsidRDefault="00916412" w:rsidP="00916412">
      <w:pPr>
        <w:pStyle w:val="ListParagraph"/>
        <w:rPr>
          <w:color w:val="000000" w:themeColor="text1"/>
        </w:rPr>
      </w:pPr>
    </w:p>
    <w:p w14:paraId="564BE6A6" w14:textId="2364689B" w:rsidR="00553EA0" w:rsidRPr="00A179B5" w:rsidRDefault="00553EA0" w:rsidP="002351D6">
      <w:pPr>
        <w:pStyle w:val="ListParagraph"/>
        <w:numPr>
          <w:ilvl w:val="0"/>
          <w:numId w:val="32"/>
        </w:numPr>
        <w:spacing w:after="0"/>
        <w:rPr>
          <w:color w:val="000000" w:themeColor="text1"/>
        </w:rPr>
      </w:pPr>
      <w:r w:rsidRPr="00A179B5">
        <w:rPr>
          <w:color w:val="000000" w:themeColor="text1"/>
        </w:rPr>
        <w:t>Police presence is increased in</w:t>
      </w:r>
      <w:r w:rsidR="00664EF0" w:rsidRPr="00A179B5">
        <w:rPr>
          <w:color w:val="000000" w:themeColor="text1"/>
        </w:rPr>
        <w:t xml:space="preserve"> schools deemed “vulnerable” – predominantly schools with relatively larger Black student populations.</w:t>
      </w:r>
      <w:r w:rsidR="00664EF0" w:rsidRPr="00A179B5">
        <w:rPr>
          <w:rStyle w:val="FootnoteReference"/>
          <w:color w:val="000000" w:themeColor="text1"/>
        </w:rPr>
        <w:footnoteReference w:id="146"/>
      </w:r>
      <w:r w:rsidR="00664EF0" w:rsidRPr="00A179B5">
        <w:rPr>
          <w:color w:val="000000" w:themeColor="text1"/>
        </w:rPr>
        <w:t xml:space="preserve"> </w:t>
      </w:r>
      <w:r w:rsidRPr="00A179B5">
        <w:rPr>
          <w:color w:val="000000" w:themeColor="text1"/>
        </w:rPr>
        <w:t>The introduction of counter-radicalization programs in Toronto, which involve the training of teachers to recognize signs of radic</w:t>
      </w:r>
      <w:r w:rsidR="00E45622" w:rsidRPr="00A179B5">
        <w:rPr>
          <w:color w:val="000000" w:themeColor="text1"/>
        </w:rPr>
        <w:t>alization in students, will likely intensify</w:t>
      </w:r>
      <w:r w:rsidRPr="00A179B5">
        <w:rPr>
          <w:color w:val="000000" w:themeColor="text1"/>
        </w:rPr>
        <w:t xml:space="preserve"> the racial profiling and surveil</w:t>
      </w:r>
      <w:r w:rsidR="00E6423C">
        <w:rPr>
          <w:color w:val="000000" w:themeColor="text1"/>
        </w:rPr>
        <w:t>l</w:t>
      </w:r>
      <w:r w:rsidR="000F14FE">
        <w:rPr>
          <w:color w:val="000000" w:themeColor="text1"/>
        </w:rPr>
        <w:t>ance</w:t>
      </w:r>
      <w:r w:rsidRPr="00A179B5">
        <w:rPr>
          <w:color w:val="000000" w:themeColor="text1"/>
        </w:rPr>
        <w:t xml:space="preserve"> of Muslim students.</w:t>
      </w:r>
      <w:r w:rsidRPr="00A179B5">
        <w:rPr>
          <w:rStyle w:val="FootnoteReference"/>
          <w:color w:val="000000" w:themeColor="text1"/>
        </w:rPr>
        <w:footnoteReference w:id="147"/>
      </w:r>
    </w:p>
    <w:p w14:paraId="38DC4E97" w14:textId="77777777" w:rsidR="00EA14BB" w:rsidRPr="00A179B5" w:rsidRDefault="00EA14BB" w:rsidP="00EA14BB">
      <w:pPr>
        <w:pStyle w:val="ListParagraph"/>
        <w:rPr>
          <w:color w:val="000000" w:themeColor="text1"/>
        </w:rPr>
      </w:pPr>
    </w:p>
    <w:p w14:paraId="76BFB9FD" w14:textId="5FA928F2" w:rsidR="00EA14BB" w:rsidRDefault="00EA14BB" w:rsidP="002351D6">
      <w:pPr>
        <w:pStyle w:val="ListParagraph"/>
        <w:numPr>
          <w:ilvl w:val="0"/>
          <w:numId w:val="32"/>
        </w:numPr>
        <w:spacing w:after="0"/>
        <w:rPr>
          <w:color w:val="000000" w:themeColor="text1"/>
        </w:rPr>
      </w:pPr>
      <w:r w:rsidRPr="00A179B5">
        <w:rPr>
          <w:color w:val="000000" w:themeColor="text1"/>
        </w:rPr>
        <w:t>The results of racial discrimination in the education system are manifest in poorer outcomes for Black</w:t>
      </w:r>
      <w:r w:rsidR="00E6423C">
        <w:rPr>
          <w:color w:val="000000" w:themeColor="text1"/>
        </w:rPr>
        <w:t>,</w:t>
      </w:r>
      <w:r w:rsidRPr="00A179B5">
        <w:rPr>
          <w:color w:val="000000" w:themeColor="text1"/>
        </w:rPr>
        <w:t xml:space="preserve"> Indigenous</w:t>
      </w:r>
      <w:r w:rsidR="00E6423C">
        <w:rPr>
          <w:color w:val="000000" w:themeColor="text1"/>
        </w:rPr>
        <w:t xml:space="preserve"> and other ethno-racially specific</w:t>
      </w:r>
      <w:r w:rsidRPr="00A179B5">
        <w:rPr>
          <w:color w:val="000000" w:themeColor="text1"/>
        </w:rPr>
        <w:t xml:space="preserve"> students. TDSB data from 2015</w:t>
      </w:r>
      <w:r w:rsidR="00916412" w:rsidRPr="00A179B5">
        <w:rPr>
          <w:color w:val="000000" w:themeColor="text1"/>
        </w:rPr>
        <w:t xml:space="preserve"> show</w:t>
      </w:r>
      <w:r w:rsidRPr="00A179B5">
        <w:rPr>
          <w:color w:val="000000" w:themeColor="text1"/>
        </w:rPr>
        <w:t xml:space="preserve"> a 69% high school graduation rate for Black students</w:t>
      </w:r>
      <w:r w:rsidR="00E22894" w:rsidRPr="00A179B5">
        <w:rPr>
          <w:color w:val="000000" w:themeColor="text1"/>
        </w:rPr>
        <w:t xml:space="preserve"> and</w:t>
      </w:r>
      <w:r w:rsidR="00C5408B" w:rsidRPr="00A179B5">
        <w:rPr>
          <w:color w:val="000000" w:themeColor="text1"/>
        </w:rPr>
        <w:t xml:space="preserve"> 50% for Indigenous students</w:t>
      </w:r>
      <w:r w:rsidRPr="00A179B5">
        <w:rPr>
          <w:color w:val="000000" w:themeColor="text1"/>
        </w:rPr>
        <w:t xml:space="preserve">, versus 84% for White students. </w:t>
      </w:r>
      <w:r w:rsidR="009A6B55" w:rsidRPr="00A179B5">
        <w:rPr>
          <w:color w:val="000000" w:themeColor="text1"/>
        </w:rPr>
        <w:t xml:space="preserve">25% of Black students </w:t>
      </w:r>
      <w:r w:rsidR="00C5408B" w:rsidRPr="00A179B5">
        <w:rPr>
          <w:color w:val="000000" w:themeColor="text1"/>
        </w:rPr>
        <w:t xml:space="preserve">and 26% of Indigenous students </w:t>
      </w:r>
      <w:r w:rsidR="009A6B55" w:rsidRPr="00A179B5">
        <w:rPr>
          <w:color w:val="000000" w:themeColor="text1"/>
        </w:rPr>
        <w:t>– versus 47% of White students – applied to and were accepted by an Ontario university.</w:t>
      </w:r>
      <w:r w:rsidR="009A6B55" w:rsidRPr="00A179B5">
        <w:rPr>
          <w:rStyle w:val="FootnoteReference"/>
          <w:color w:val="000000" w:themeColor="text1"/>
        </w:rPr>
        <w:footnoteReference w:id="148"/>
      </w:r>
    </w:p>
    <w:p w14:paraId="344F1586" w14:textId="77777777" w:rsidR="002351D6" w:rsidRPr="002351D6" w:rsidRDefault="002351D6" w:rsidP="002351D6">
      <w:pPr>
        <w:pStyle w:val="ListParagraph"/>
        <w:rPr>
          <w:color w:val="000000" w:themeColor="text1"/>
        </w:rPr>
      </w:pPr>
    </w:p>
    <w:p w14:paraId="58F97DD6" w14:textId="79FB42A7" w:rsidR="002351D6" w:rsidRPr="00C34653" w:rsidRDefault="002351D6" w:rsidP="002351D6">
      <w:pPr>
        <w:pStyle w:val="ListParagraph"/>
        <w:spacing w:after="0"/>
        <w:ind w:left="0"/>
        <w:rPr>
          <w:color w:val="000000" w:themeColor="text1"/>
          <w:lang w:val="fr-CA"/>
        </w:rPr>
      </w:pPr>
      <w:r w:rsidRPr="00C34653">
        <w:rPr>
          <w:b/>
          <w:i/>
          <w:color w:val="000000" w:themeColor="text1"/>
          <w:lang w:val="fr-CA"/>
        </w:rPr>
        <w:t xml:space="preserve">Relevant Articles: </w:t>
      </w:r>
      <w:r w:rsidRPr="00C34653">
        <w:rPr>
          <w:color w:val="000000" w:themeColor="text1"/>
          <w:lang w:val="fr-CA"/>
        </w:rPr>
        <w:t>5(b), 5(e)(v)</w:t>
      </w:r>
      <w:r w:rsidR="000E299B" w:rsidRPr="00C34653">
        <w:rPr>
          <w:color w:val="000000" w:themeColor="text1"/>
          <w:lang w:val="fr-CA"/>
        </w:rPr>
        <w:t>, 7</w:t>
      </w:r>
    </w:p>
    <w:p w14:paraId="765D5182" w14:textId="3738ED8A" w:rsidR="002351D6" w:rsidRPr="00C34653" w:rsidRDefault="002351D6" w:rsidP="002351D6">
      <w:pPr>
        <w:pStyle w:val="ListParagraph"/>
        <w:spacing w:after="0"/>
        <w:ind w:left="0"/>
        <w:rPr>
          <w:color w:val="000000" w:themeColor="text1"/>
          <w:lang w:val="fr-CA"/>
        </w:rPr>
      </w:pPr>
    </w:p>
    <w:p w14:paraId="2CFA7C0E" w14:textId="2075F9FB" w:rsidR="004D4AD2" w:rsidRDefault="002351D6" w:rsidP="004D4AD2">
      <w:pPr>
        <w:pStyle w:val="ListParagraph"/>
        <w:spacing w:after="0"/>
        <w:ind w:left="0"/>
        <w:rPr>
          <w:color w:val="000000" w:themeColor="text1"/>
        </w:rPr>
      </w:pPr>
      <w:r>
        <w:rPr>
          <w:b/>
          <w:i/>
          <w:color w:val="000000" w:themeColor="text1"/>
        </w:rPr>
        <w:t xml:space="preserve">Recommendations: </w:t>
      </w:r>
      <w:r>
        <w:rPr>
          <w:color w:val="000000" w:themeColor="text1"/>
        </w:rPr>
        <w:t>We ask that the Committee recommend that: 1) the Ontario Ministry of Education apply a</w:t>
      </w:r>
      <w:r w:rsidR="00E6423C">
        <w:rPr>
          <w:color w:val="000000" w:themeColor="text1"/>
        </w:rPr>
        <w:t xml:space="preserve"> consistent and comprehensive</w:t>
      </w:r>
      <w:r>
        <w:rPr>
          <w:color w:val="000000" w:themeColor="text1"/>
        </w:rPr>
        <w:t xml:space="preserve"> anti-colonial and anti-racism lens to curriculum development; 2) all Ontario school boards </w:t>
      </w:r>
      <w:r w:rsidR="000B369B">
        <w:rPr>
          <w:color w:val="000000" w:themeColor="text1"/>
        </w:rPr>
        <w:t xml:space="preserve">be mandated to </w:t>
      </w:r>
      <w:r>
        <w:rPr>
          <w:color w:val="000000" w:themeColor="text1"/>
        </w:rPr>
        <w:t xml:space="preserve">collect and publish </w:t>
      </w:r>
      <w:r w:rsidR="00E6423C">
        <w:rPr>
          <w:color w:val="000000" w:themeColor="text1"/>
        </w:rPr>
        <w:t xml:space="preserve">ethno-racially </w:t>
      </w:r>
      <w:r>
        <w:rPr>
          <w:color w:val="000000" w:themeColor="text1"/>
        </w:rPr>
        <w:t xml:space="preserve">disaggregated data on school suspensions, expulsions, programs of study, and </w:t>
      </w:r>
      <w:r w:rsidR="00E6423C">
        <w:rPr>
          <w:color w:val="000000" w:themeColor="text1"/>
        </w:rPr>
        <w:t xml:space="preserve">learning </w:t>
      </w:r>
      <w:r>
        <w:rPr>
          <w:color w:val="000000" w:themeColor="text1"/>
        </w:rPr>
        <w:t xml:space="preserve">outcomes, and be </w:t>
      </w:r>
      <w:r w:rsidR="00E6423C">
        <w:rPr>
          <w:color w:val="000000" w:themeColor="text1"/>
        </w:rPr>
        <w:t xml:space="preserve">made </w:t>
      </w:r>
      <w:r>
        <w:rPr>
          <w:color w:val="000000" w:themeColor="text1"/>
        </w:rPr>
        <w:t>accountable for eliminating racial disparities; and 3) Ontario end the regular presence of polic</w:t>
      </w:r>
      <w:r w:rsidR="00E6423C">
        <w:rPr>
          <w:color w:val="000000" w:themeColor="text1"/>
        </w:rPr>
        <w:t>e or policing</w:t>
      </w:r>
      <w:r>
        <w:rPr>
          <w:color w:val="000000" w:themeColor="text1"/>
        </w:rPr>
        <w:t xml:space="preserve"> in schools</w:t>
      </w:r>
      <w:r w:rsidR="00340EB5">
        <w:rPr>
          <w:color w:val="000000" w:themeColor="text1"/>
        </w:rPr>
        <w:t>.</w:t>
      </w:r>
    </w:p>
    <w:p w14:paraId="6903E44E" w14:textId="77777777" w:rsidR="004D4AD2" w:rsidRDefault="004D4AD2" w:rsidP="004D4AD2">
      <w:pPr>
        <w:pStyle w:val="ListParagraph"/>
        <w:spacing w:after="0"/>
        <w:ind w:left="0"/>
        <w:rPr>
          <w:b/>
          <w:color w:val="000000" w:themeColor="text1"/>
          <w:u w:val="single"/>
        </w:rPr>
      </w:pPr>
    </w:p>
    <w:p w14:paraId="0772016C" w14:textId="77777777" w:rsidR="00FE0CA9" w:rsidRPr="00103D0E" w:rsidRDefault="002351D6" w:rsidP="00B90C2E">
      <w:pPr>
        <w:pStyle w:val="Heading1"/>
        <w:rPr>
          <w:rFonts w:ascii="Times New Roman" w:hAnsi="Times New Roman" w:cs="Times New Roman"/>
          <w:b/>
          <w:color w:val="000000" w:themeColor="text1"/>
          <w:sz w:val="24"/>
          <w:szCs w:val="24"/>
          <w:u w:val="single"/>
        </w:rPr>
      </w:pPr>
      <w:r w:rsidRPr="00103D0E">
        <w:rPr>
          <w:rFonts w:ascii="Times New Roman" w:hAnsi="Times New Roman" w:cs="Times New Roman"/>
          <w:b/>
          <w:color w:val="000000" w:themeColor="text1"/>
          <w:sz w:val="24"/>
          <w:szCs w:val="24"/>
          <w:u w:val="single"/>
        </w:rPr>
        <w:t xml:space="preserve">Issue Fourteen: Racial Discrimination in </w:t>
      </w:r>
      <w:r w:rsidR="00FE0CA9" w:rsidRPr="00103D0E">
        <w:rPr>
          <w:rFonts w:ascii="Times New Roman" w:hAnsi="Times New Roman" w:cs="Times New Roman"/>
          <w:b/>
          <w:color w:val="000000" w:themeColor="text1"/>
          <w:sz w:val="24"/>
          <w:szCs w:val="24"/>
          <w:u w:val="single"/>
        </w:rPr>
        <w:t>Health Care</w:t>
      </w:r>
    </w:p>
    <w:p w14:paraId="3BAD5225" w14:textId="77777777" w:rsidR="00C048C5" w:rsidRPr="002351D6" w:rsidRDefault="00C048C5" w:rsidP="00C048C5">
      <w:pPr>
        <w:spacing w:after="0"/>
        <w:rPr>
          <w:b/>
          <w:color w:val="000000" w:themeColor="text1"/>
        </w:rPr>
      </w:pPr>
    </w:p>
    <w:p w14:paraId="03351AFB" w14:textId="7C3191FE" w:rsidR="00732905" w:rsidRDefault="0020656E" w:rsidP="002351D6">
      <w:pPr>
        <w:pStyle w:val="ListParagraph"/>
        <w:numPr>
          <w:ilvl w:val="0"/>
          <w:numId w:val="33"/>
        </w:numPr>
        <w:rPr>
          <w:color w:val="000000" w:themeColor="text1"/>
        </w:rPr>
      </w:pPr>
      <w:r w:rsidRPr="00A179B5">
        <w:rPr>
          <w:color w:val="000000" w:themeColor="text1"/>
        </w:rPr>
        <w:t>S</w:t>
      </w:r>
      <w:r w:rsidR="00A82C89" w:rsidRPr="00A179B5">
        <w:rPr>
          <w:color w:val="000000" w:themeColor="text1"/>
        </w:rPr>
        <w:t>tudi</w:t>
      </w:r>
      <w:r w:rsidR="00F7389F" w:rsidRPr="00A179B5">
        <w:rPr>
          <w:color w:val="000000" w:themeColor="text1"/>
        </w:rPr>
        <w:t>es suggest</w:t>
      </w:r>
      <w:r w:rsidR="000F4404" w:rsidRPr="00A179B5">
        <w:rPr>
          <w:color w:val="000000" w:themeColor="text1"/>
        </w:rPr>
        <w:t xml:space="preserve"> that a number of factors negatively affect the health of</w:t>
      </w:r>
      <w:r w:rsidR="00953298" w:rsidRPr="00A179B5">
        <w:rPr>
          <w:color w:val="000000" w:themeColor="text1"/>
        </w:rPr>
        <w:t xml:space="preserve"> Indigenous</w:t>
      </w:r>
      <w:r w:rsidR="00BE3D81">
        <w:rPr>
          <w:color w:val="000000" w:themeColor="text1"/>
        </w:rPr>
        <w:t xml:space="preserve"> </w:t>
      </w:r>
      <w:r w:rsidR="004614D0">
        <w:rPr>
          <w:color w:val="000000" w:themeColor="text1"/>
        </w:rPr>
        <w:t>P</w:t>
      </w:r>
      <w:r w:rsidR="00BE3D81">
        <w:rPr>
          <w:color w:val="000000" w:themeColor="text1"/>
        </w:rPr>
        <w:t>eople</w:t>
      </w:r>
      <w:r w:rsidR="00953298" w:rsidRPr="00A179B5">
        <w:rPr>
          <w:color w:val="000000" w:themeColor="text1"/>
        </w:rPr>
        <w:t xml:space="preserve"> and</w:t>
      </w:r>
      <w:r w:rsidR="00DD7347">
        <w:rPr>
          <w:color w:val="000000" w:themeColor="text1"/>
        </w:rPr>
        <w:t xml:space="preserve"> </w:t>
      </w:r>
      <w:r w:rsidR="00C54039" w:rsidRPr="00A179B5">
        <w:rPr>
          <w:color w:val="000000" w:themeColor="text1"/>
        </w:rPr>
        <w:t>people</w:t>
      </w:r>
      <w:r w:rsidR="00BE3D81">
        <w:rPr>
          <w:color w:val="000000" w:themeColor="text1"/>
        </w:rPr>
        <w:t xml:space="preserve"> of colour</w:t>
      </w:r>
      <w:r w:rsidRPr="00A179B5">
        <w:rPr>
          <w:color w:val="000000" w:themeColor="text1"/>
        </w:rPr>
        <w:t xml:space="preserve"> in Canada</w:t>
      </w:r>
      <w:r w:rsidR="000F4404" w:rsidRPr="00A179B5">
        <w:rPr>
          <w:color w:val="000000" w:themeColor="text1"/>
        </w:rPr>
        <w:t>, including</w:t>
      </w:r>
      <w:r w:rsidR="00F7389F" w:rsidRPr="00A179B5">
        <w:rPr>
          <w:color w:val="000000" w:themeColor="text1"/>
        </w:rPr>
        <w:t xml:space="preserve">: the psychological stress of living in a racist environment; unequal economic opportunities; poor housing; </w:t>
      </w:r>
      <w:r w:rsidR="00C877C1" w:rsidRPr="00A179B5">
        <w:rPr>
          <w:color w:val="000000" w:themeColor="text1"/>
        </w:rPr>
        <w:t xml:space="preserve">lack of food security; </w:t>
      </w:r>
      <w:r w:rsidR="00F7389F" w:rsidRPr="00A179B5">
        <w:rPr>
          <w:color w:val="000000" w:themeColor="text1"/>
        </w:rPr>
        <w:t>inequitable access to education and other social reso</w:t>
      </w:r>
      <w:r w:rsidR="00194577" w:rsidRPr="00A179B5">
        <w:rPr>
          <w:color w:val="000000" w:themeColor="text1"/>
        </w:rPr>
        <w:t>urces;</w:t>
      </w:r>
      <w:r w:rsidR="00F7389F" w:rsidRPr="00A179B5">
        <w:rPr>
          <w:color w:val="000000" w:themeColor="text1"/>
        </w:rPr>
        <w:t xml:space="preserve"> </w:t>
      </w:r>
      <w:r w:rsidR="004614D0">
        <w:rPr>
          <w:color w:val="000000" w:themeColor="text1"/>
        </w:rPr>
        <w:t xml:space="preserve">disproportionate </w:t>
      </w:r>
      <w:r w:rsidR="00F7389F" w:rsidRPr="00A179B5">
        <w:rPr>
          <w:color w:val="000000" w:themeColor="text1"/>
        </w:rPr>
        <w:t>exposure to environmental toxins; employment in dangerous and precarious work; mistrust of the health-care system; and under-utilization of screening programs.</w:t>
      </w:r>
      <w:r w:rsidR="00F7389F" w:rsidRPr="00A179B5">
        <w:rPr>
          <w:rStyle w:val="FootnoteReference"/>
          <w:color w:val="000000" w:themeColor="text1"/>
        </w:rPr>
        <w:footnoteReference w:id="149"/>
      </w:r>
      <w:r w:rsidR="00953298" w:rsidRPr="00A179B5">
        <w:rPr>
          <w:color w:val="000000" w:themeColor="text1"/>
        </w:rPr>
        <w:t xml:space="preserve"> </w:t>
      </w:r>
    </w:p>
    <w:p w14:paraId="2758B1E1" w14:textId="77777777" w:rsidR="00340EB5" w:rsidRDefault="00340EB5" w:rsidP="00340EB5">
      <w:pPr>
        <w:pStyle w:val="ListParagraph"/>
        <w:ind w:left="0"/>
        <w:rPr>
          <w:color w:val="000000" w:themeColor="text1"/>
        </w:rPr>
      </w:pPr>
    </w:p>
    <w:p w14:paraId="10ACBC0A" w14:textId="05EBBF1F" w:rsidR="00F7389F" w:rsidRPr="00A179B5" w:rsidRDefault="0020656E" w:rsidP="002351D6">
      <w:pPr>
        <w:pStyle w:val="ListParagraph"/>
        <w:numPr>
          <w:ilvl w:val="0"/>
          <w:numId w:val="33"/>
        </w:numPr>
        <w:rPr>
          <w:color w:val="000000" w:themeColor="text1"/>
        </w:rPr>
      </w:pPr>
      <w:r w:rsidRPr="00A179B5">
        <w:rPr>
          <w:color w:val="000000" w:themeColor="text1"/>
        </w:rPr>
        <w:t xml:space="preserve">However, </w:t>
      </w:r>
      <w:r w:rsidR="004614D0">
        <w:rPr>
          <w:color w:val="000000" w:themeColor="text1"/>
        </w:rPr>
        <w:t xml:space="preserve">ethno-racially </w:t>
      </w:r>
      <w:r w:rsidR="001F22C8">
        <w:rPr>
          <w:color w:val="000000" w:themeColor="text1"/>
        </w:rPr>
        <w:t>disaggregated health data are</w:t>
      </w:r>
      <w:r w:rsidRPr="00A179B5">
        <w:rPr>
          <w:color w:val="000000" w:themeColor="text1"/>
        </w:rPr>
        <w:t xml:space="preserve"> not presently collected and analyzed across Ontario, making racial disparities in health </w:t>
      </w:r>
      <w:r w:rsidR="004614D0">
        <w:rPr>
          <w:color w:val="000000" w:themeColor="text1"/>
        </w:rPr>
        <w:t xml:space="preserve">and well-being </w:t>
      </w:r>
      <w:r w:rsidR="00EC276D">
        <w:rPr>
          <w:color w:val="000000" w:themeColor="text1"/>
        </w:rPr>
        <w:t xml:space="preserve">very </w:t>
      </w:r>
      <w:r w:rsidRPr="00A179B5">
        <w:rPr>
          <w:color w:val="000000" w:themeColor="text1"/>
        </w:rPr>
        <w:t>difficult to identify and ameliorate.</w:t>
      </w:r>
      <w:r w:rsidR="00DD7347">
        <w:rPr>
          <w:color w:val="000000" w:themeColor="text1"/>
        </w:rPr>
        <w:t xml:space="preserve"> Furthermore, Ontario’s </w:t>
      </w:r>
      <w:r w:rsidR="00DD7347">
        <w:rPr>
          <w:i/>
          <w:color w:val="000000" w:themeColor="text1"/>
        </w:rPr>
        <w:t>Anti-Racism Act</w:t>
      </w:r>
      <w:r w:rsidR="00DD7347">
        <w:rPr>
          <w:color w:val="000000" w:themeColor="text1"/>
        </w:rPr>
        <w:t xml:space="preserve">, </w:t>
      </w:r>
      <w:r w:rsidR="00DD7347">
        <w:rPr>
          <w:i/>
          <w:color w:val="000000" w:themeColor="text1"/>
        </w:rPr>
        <w:t>2017</w:t>
      </w:r>
      <w:r w:rsidR="00DD7347">
        <w:rPr>
          <w:color w:val="000000" w:themeColor="text1"/>
        </w:rPr>
        <w:t xml:space="preserve">, which enables the collection of </w:t>
      </w:r>
      <w:r w:rsidR="00EC276D">
        <w:rPr>
          <w:color w:val="000000" w:themeColor="text1"/>
        </w:rPr>
        <w:t>ethno-racially</w:t>
      </w:r>
      <w:r w:rsidR="00DD7347">
        <w:rPr>
          <w:color w:val="000000" w:themeColor="text1"/>
        </w:rPr>
        <w:t xml:space="preserve"> disaggregated data among public sector organizations in Ontario, </w:t>
      </w:r>
      <w:r w:rsidR="00EC276D">
        <w:rPr>
          <w:color w:val="000000" w:themeColor="text1"/>
        </w:rPr>
        <w:t xml:space="preserve">problematically yet </w:t>
      </w:r>
      <w:r w:rsidR="00DD7347">
        <w:rPr>
          <w:color w:val="000000" w:themeColor="text1"/>
        </w:rPr>
        <w:t xml:space="preserve">explicitly </w:t>
      </w:r>
      <w:r w:rsidR="00EC276D">
        <w:rPr>
          <w:color w:val="000000" w:themeColor="text1"/>
        </w:rPr>
        <w:t>exempts</w:t>
      </w:r>
      <w:r w:rsidR="008A0BAF">
        <w:rPr>
          <w:color w:val="000000" w:themeColor="text1"/>
        </w:rPr>
        <w:t xml:space="preserve"> </w:t>
      </w:r>
      <w:r w:rsidR="00EC276D">
        <w:rPr>
          <w:color w:val="000000" w:themeColor="text1"/>
        </w:rPr>
        <w:t xml:space="preserve">the </w:t>
      </w:r>
      <w:r w:rsidR="008A0BAF">
        <w:rPr>
          <w:color w:val="000000" w:themeColor="text1"/>
        </w:rPr>
        <w:t xml:space="preserve">health </w:t>
      </w:r>
      <w:r w:rsidR="00EC276D">
        <w:rPr>
          <w:color w:val="000000" w:themeColor="text1"/>
        </w:rPr>
        <w:t>sector</w:t>
      </w:r>
      <w:r w:rsidR="00DD7347">
        <w:rPr>
          <w:color w:val="000000" w:themeColor="text1"/>
        </w:rPr>
        <w:t xml:space="preserve"> from</w:t>
      </w:r>
      <w:r w:rsidR="008A0BAF">
        <w:rPr>
          <w:color w:val="000000" w:themeColor="text1"/>
        </w:rPr>
        <w:t xml:space="preserve"> its</w:t>
      </w:r>
      <w:r w:rsidR="00DD7347">
        <w:rPr>
          <w:color w:val="000000" w:themeColor="text1"/>
        </w:rPr>
        <w:t xml:space="preserve"> </w:t>
      </w:r>
      <w:r w:rsidR="00EC276D">
        <w:rPr>
          <w:color w:val="000000" w:themeColor="text1"/>
        </w:rPr>
        <w:t xml:space="preserve">priority </w:t>
      </w:r>
      <w:r w:rsidR="00DD7347">
        <w:rPr>
          <w:color w:val="000000" w:themeColor="text1"/>
        </w:rPr>
        <w:t>data collection provisions.</w:t>
      </w:r>
      <w:r w:rsidR="00DD7347">
        <w:rPr>
          <w:rStyle w:val="FootnoteReference"/>
          <w:color w:val="000000" w:themeColor="text1"/>
        </w:rPr>
        <w:footnoteReference w:id="150"/>
      </w:r>
    </w:p>
    <w:p w14:paraId="4DB6980F" w14:textId="77777777" w:rsidR="0057019A" w:rsidRPr="00A179B5" w:rsidRDefault="0057019A" w:rsidP="0057019A">
      <w:pPr>
        <w:pStyle w:val="ListParagraph"/>
        <w:ind w:left="0"/>
        <w:rPr>
          <w:color w:val="000000" w:themeColor="text1"/>
        </w:rPr>
      </w:pPr>
    </w:p>
    <w:p w14:paraId="70F45BC7" w14:textId="3DCD08E5" w:rsidR="0057019A" w:rsidRPr="00A179B5" w:rsidRDefault="0057019A" w:rsidP="002351D6">
      <w:pPr>
        <w:pStyle w:val="ListParagraph"/>
        <w:numPr>
          <w:ilvl w:val="0"/>
          <w:numId w:val="33"/>
        </w:numPr>
        <w:rPr>
          <w:color w:val="000000" w:themeColor="text1"/>
        </w:rPr>
      </w:pPr>
      <w:r w:rsidRPr="00A179B5">
        <w:rPr>
          <w:color w:val="000000" w:themeColor="text1"/>
        </w:rPr>
        <w:t xml:space="preserve">In Ontario, Quebec, and British Columbia, a three-month waiting period for provincial health plans bars new </w:t>
      </w:r>
      <w:r w:rsidR="00BE3D81">
        <w:rPr>
          <w:color w:val="000000" w:themeColor="text1"/>
        </w:rPr>
        <w:t>immigrant</w:t>
      </w:r>
      <w:r w:rsidRPr="00A179B5">
        <w:rPr>
          <w:color w:val="000000" w:themeColor="text1"/>
        </w:rPr>
        <w:t>s</w:t>
      </w:r>
      <w:r w:rsidR="00BE3D81">
        <w:rPr>
          <w:color w:val="000000" w:themeColor="text1"/>
        </w:rPr>
        <w:t xml:space="preserve">, </w:t>
      </w:r>
      <w:r w:rsidR="00EC276D">
        <w:rPr>
          <w:color w:val="000000" w:themeColor="text1"/>
        </w:rPr>
        <w:t>the vast majority</w:t>
      </w:r>
      <w:r w:rsidR="00BE3D81">
        <w:rPr>
          <w:color w:val="000000" w:themeColor="text1"/>
        </w:rPr>
        <w:t xml:space="preserve"> of whom </w:t>
      </w:r>
      <w:r w:rsidR="005C1E3A">
        <w:rPr>
          <w:color w:val="000000" w:themeColor="text1"/>
        </w:rPr>
        <w:t xml:space="preserve">are </w:t>
      </w:r>
      <w:r w:rsidR="00BE3D81">
        <w:rPr>
          <w:color w:val="000000" w:themeColor="text1"/>
        </w:rPr>
        <w:t>racialized,</w:t>
      </w:r>
      <w:r w:rsidRPr="00A179B5">
        <w:rPr>
          <w:color w:val="000000" w:themeColor="text1"/>
        </w:rPr>
        <w:t xml:space="preserve"> from access</w:t>
      </w:r>
      <w:r w:rsidR="00BE3D81">
        <w:rPr>
          <w:color w:val="000000" w:themeColor="text1"/>
        </w:rPr>
        <w:t>ing healthcare</w:t>
      </w:r>
      <w:r w:rsidR="00DD7347">
        <w:rPr>
          <w:color w:val="000000" w:themeColor="text1"/>
        </w:rPr>
        <w:t xml:space="preserve">, </w:t>
      </w:r>
      <w:r w:rsidR="00EA61AF">
        <w:rPr>
          <w:color w:val="000000" w:themeColor="text1"/>
        </w:rPr>
        <w:t>even if they have</w:t>
      </w:r>
      <w:r w:rsidR="00DD7347">
        <w:rPr>
          <w:color w:val="000000" w:themeColor="text1"/>
        </w:rPr>
        <w:t xml:space="preserve"> already acquir</w:t>
      </w:r>
      <w:r w:rsidR="00EA61AF">
        <w:rPr>
          <w:color w:val="000000" w:themeColor="text1"/>
        </w:rPr>
        <w:t>ed</w:t>
      </w:r>
      <w:r w:rsidR="00DD7347">
        <w:rPr>
          <w:color w:val="000000" w:themeColor="text1"/>
        </w:rPr>
        <w:t xml:space="preserve"> permanent resident status</w:t>
      </w:r>
      <w:r w:rsidRPr="00A179B5">
        <w:rPr>
          <w:color w:val="000000" w:themeColor="text1"/>
        </w:rPr>
        <w:t>.</w:t>
      </w:r>
      <w:r w:rsidRPr="00A179B5">
        <w:rPr>
          <w:rStyle w:val="FootnoteReference"/>
          <w:color w:val="000000" w:themeColor="text1"/>
        </w:rPr>
        <w:footnoteReference w:id="151"/>
      </w:r>
    </w:p>
    <w:p w14:paraId="6971C372" w14:textId="77777777" w:rsidR="00F7389F" w:rsidRPr="00A179B5" w:rsidRDefault="00F7389F" w:rsidP="00F7389F">
      <w:pPr>
        <w:pStyle w:val="ListParagraph"/>
        <w:ind w:left="0"/>
        <w:rPr>
          <w:color w:val="000000" w:themeColor="text1"/>
        </w:rPr>
      </w:pPr>
    </w:p>
    <w:p w14:paraId="4C63EAD1" w14:textId="24860D6B" w:rsidR="00A82C89" w:rsidRDefault="00F7389F" w:rsidP="002351D6">
      <w:pPr>
        <w:pStyle w:val="ListParagraph"/>
        <w:numPr>
          <w:ilvl w:val="0"/>
          <w:numId w:val="33"/>
        </w:numPr>
        <w:rPr>
          <w:color w:val="000000" w:themeColor="text1"/>
        </w:rPr>
      </w:pPr>
      <w:r w:rsidRPr="00A179B5">
        <w:rPr>
          <w:color w:val="000000" w:themeColor="text1"/>
        </w:rPr>
        <w:t>Indigenous peoples experience the worst health outcomes of any population group in Canada.</w:t>
      </w:r>
      <w:r w:rsidR="00C54039" w:rsidRPr="00A179B5">
        <w:rPr>
          <w:color w:val="000000" w:themeColor="text1"/>
        </w:rPr>
        <w:t xml:space="preserve"> Indigenous women experience higher rates of hypertension, heart disease, diabetes, cervical and gallbladder cancer, HIV/AIDS, substance abuse, mental illness, and suicide.</w:t>
      </w:r>
      <w:r w:rsidR="00C54039" w:rsidRPr="00A179B5">
        <w:rPr>
          <w:rStyle w:val="FootnoteReference"/>
          <w:color w:val="000000" w:themeColor="text1"/>
        </w:rPr>
        <w:footnoteReference w:id="152"/>
      </w:r>
      <w:r w:rsidR="00194577" w:rsidRPr="00A179B5">
        <w:rPr>
          <w:color w:val="000000" w:themeColor="text1"/>
        </w:rPr>
        <w:t xml:space="preserve"> A </w:t>
      </w:r>
      <w:r w:rsidRPr="00A179B5">
        <w:rPr>
          <w:color w:val="000000" w:themeColor="text1"/>
        </w:rPr>
        <w:t>2014 study found that Ind</w:t>
      </w:r>
      <w:r w:rsidR="00C36D04">
        <w:rPr>
          <w:color w:val="000000" w:themeColor="text1"/>
        </w:rPr>
        <w:t>igenous women may be deterred from</w:t>
      </w:r>
      <w:r w:rsidRPr="00A179B5">
        <w:rPr>
          <w:color w:val="000000" w:themeColor="text1"/>
        </w:rPr>
        <w:t xml:space="preserve"> seeking health care for themselves, because</w:t>
      </w:r>
      <w:r w:rsidR="001A4B25">
        <w:rPr>
          <w:color w:val="000000" w:themeColor="text1"/>
        </w:rPr>
        <w:t xml:space="preserve"> they fear</w:t>
      </w:r>
      <w:r w:rsidRPr="00A179B5">
        <w:rPr>
          <w:color w:val="000000" w:themeColor="text1"/>
        </w:rPr>
        <w:t xml:space="preserve"> apprehension of their children by child welfare services.</w:t>
      </w:r>
      <w:r w:rsidRPr="00A179B5">
        <w:rPr>
          <w:rStyle w:val="FootnoteReference"/>
          <w:color w:val="000000" w:themeColor="text1"/>
        </w:rPr>
        <w:footnoteReference w:id="153"/>
      </w:r>
    </w:p>
    <w:p w14:paraId="30343E2D" w14:textId="77777777" w:rsidR="00340EB5" w:rsidRPr="00340EB5" w:rsidRDefault="00340EB5" w:rsidP="00340EB5">
      <w:pPr>
        <w:pStyle w:val="ListParagraph"/>
        <w:rPr>
          <w:color w:val="000000" w:themeColor="text1"/>
        </w:rPr>
      </w:pPr>
    </w:p>
    <w:p w14:paraId="5F420D8D" w14:textId="213C0350" w:rsidR="00340EB5" w:rsidRPr="00A179B5" w:rsidRDefault="00340EB5" w:rsidP="002351D6">
      <w:pPr>
        <w:pStyle w:val="ListParagraph"/>
        <w:numPr>
          <w:ilvl w:val="0"/>
          <w:numId w:val="33"/>
        </w:numPr>
        <w:rPr>
          <w:color w:val="000000" w:themeColor="text1"/>
        </w:rPr>
      </w:pPr>
      <w:r w:rsidRPr="00A179B5">
        <w:rPr>
          <w:color w:val="000000" w:themeColor="text1"/>
        </w:rPr>
        <w:t>Federal-provincial jurisdictional disputes deprive Indigenous children o</w:t>
      </w:r>
      <w:r w:rsidR="0006018D">
        <w:rPr>
          <w:color w:val="000000" w:themeColor="text1"/>
        </w:rPr>
        <w:t>f funding for health services. W</w:t>
      </w:r>
      <w:r w:rsidRPr="00A179B5">
        <w:rPr>
          <w:color w:val="000000" w:themeColor="text1"/>
        </w:rPr>
        <w:t>hile Jordan’s Principle is meant to ensure that the government of first contact pays for the service</w:t>
      </w:r>
      <w:r>
        <w:rPr>
          <w:color w:val="000000" w:themeColor="text1"/>
        </w:rPr>
        <w:t xml:space="preserve"> without delay</w:t>
      </w:r>
      <w:r w:rsidRPr="00A179B5">
        <w:rPr>
          <w:color w:val="000000" w:themeColor="text1"/>
        </w:rPr>
        <w:t>, the Principle has been restrictively applied by government</w:t>
      </w:r>
      <w:r w:rsidR="00EC276D">
        <w:rPr>
          <w:color w:val="000000" w:themeColor="text1"/>
        </w:rPr>
        <w:t>s</w:t>
      </w:r>
      <w:r w:rsidRPr="00A179B5">
        <w:rPr>
          <w:color w:val="000000" w:themeColor="text1"/>
        </w:rPr>
        <w:t xml:space="preserve"> in practice, excluding many Indigenous children with health needs from its ambit</w:t>
      </w:r>
      <w:r w:rsidR="008537C9">
        <w:rPr>
          <w:color w:val="000000" w:themeColor="text1"/>
        </w:rPr>
        <w:t xml:space="preserve"> (see section on Canada’s </w:t>
      </w:r>
      <w:r w:rsidR="00EC276D">
        <w:rPr>
          <w:color w:val="000000" w:themeColor="text1"/>
        </w:rPr>
        <w:t xml:space="preserve">failing </w:t>
      </w:r>
      <w:r w:rsidR="00EC276D" w:rsidRPr="0021026C">
        <w:rPr>
          <w:color w:val="000000" w:themeColor="text1"/>
        </w:rPr>
        <w:t>Treaty-Based Nation-to-Nation Relationship</w:t>
      </w:r>
      <w:r w:rsidR="008537C9">
        <w:rPr>
          <w:color w:val="000000" w:themeColor="text1"/>
        </w:rPr>
        <w:t xml:space="preserve"> with Indigenous </w:t>
      </w:r>
      <w:r w:rsidR="00EC276D">
        <w:rPr>
          <w:color w:val="000000" w:themeColor="text1"/>
        </w:rPr>
        <w:t>People</w:t>
      </w:r>
      <w:r w:rsidR="008537C9">
        <w:rPr>
          <w:color w:val="000000" w:themeColor="text1"/>
        </w:rPr>
        <w:t>s above)</w:t>
      </w:r>
      <w:r w:rsidRPr="00A179B5">
        <w:rPr>
          <w:color w:val="000000" w:themeColor="text1"/>
        </w:rPr>
        <w:t>.</w:t>
      </w:r>
    </w:p>
    <w:p w14:paraId="040EC5D3" w14:textId="77777777" w:rsidR="00A82C89" w:rsidRPr="00A179B5" w:rsidRDefault="00A82C89" w:rsidP="00A82C89">
      <w:pPr>
        <w:pStyle w:val="ListParagraph"/>
        <w:ind w:left="0"/>
        <w:rPr>
          <w:color w:val="000000" w:themeColor="text1"/>
        </w:rPr>
      </w:pPr>
    </w:p>
    <w:p w14:paraId="45C7DCD6" w14:textId="426355BA" w:rsidR="002351D6" w:rsidRDefault="00A82C89" w:rsidP="002351D6">
      <w:pPr>
        <w:pStyle w:val="ListParagraph"/>
        <w:numPr>
          <w:ilvl w:val="0"/>
          <w:numId w:val="33"/>
        </w:numPr>
        <w:rPr>
          <w:color w:val="000000" w:themeColor="text1"/>
        </w:rPr>
      </w:pPr>
      <w:r w:rsidRPr="00A179B5">
        <w:rPr>
          <w:color w:val="000000" w:themeColor="text1"/>
        </w:rPr>
        <w:t xml:space="preserve">Indigenous </w:t>
      </w:r>
      <w:r w:rsidR="00EC276D">
        <w:rPr>
          <w:color w:val="000000" w:themeColor="text1"/>
        </w:rPr>
        <w:t>P</w:t>
      </w:r>
      <w:r w:rsidR="00082B04">
        <w:rPr>
          <w:color w:val="000000" w:themeColor="text1"/>
        </w:rPr>
        <w:t xml:space="preserve">eople </w:t>
      </w:r>
      <w:r w:rsidRPr="00A179B5">
        <w:rPr>
          <w:color w:val="000000" w:themeColor="text1"/>
        </w:rPr>
        <w:t>and</w:t>
      </w:r>
      <w:r w:rsidR="001D103B">
        <w:rPr>
          <w:color w:val="000000" w:themeColor="text1"/>
        </w:rPr>
        <w:t xml:space="preserve"> </w:t>
      </w:r>
      <w:r w:rsidR="00953298" w:rsidRPr="00A179B5">
        <w:rPr>
          <w:color w:val="000000" w:themeColor="text1"/>
        </w:rPr>
        <w:t>people</w:t>
      </w:r>
      <w:r w:rsidR="00082B04">
        <w:rPr>
          <w:color w:val="000000" w:themeColor="text1"/>
        </w:rPr>
        <w:t xml:space="preserve"> of colour</w:t>
      </w:r>
      <w:r w:rsidR="00953298" w:rsidRPr="00A179B5">
        <w:rPr>
          <w:color w:val="000000" w:themeColor="text1"/>
        </w:rPr>
        <w:t xml:space="preserve"> report </w:t>
      </w:r>
      <w:r w:rsidR="0057019A" w:rsidRPr="00A179B5">
        <w:rPr>
          <w:color w:val="000000" w:themeColor="text1"/>
        </w:rPr>
        <w:t xml:space="preserve">being subjected to </w:t>
      </w:r>
      <w:r w:rsidR="00953298" w:rsidRPr="00A179B5">
        <w:rPr>
          <w:color w:val="000000" w:themeColor="text1"/>
        </w:rPr>
        <w:t>rude, disrespectful,</w:t>
      </w:r>
      <w:r w:rsidRPr="00A179B5">
        <w:rPr>
          <w:color w:val="000000" w:themeColor="text1"/>
        </w:rPr>
        <w:t xml:space="preserve"> harsh</w:t>
      </w:r>
      <w:r w:rsidR="00953298" w:rsidRPr="00A179B5">
        <w:rPr>
          <w:color w:val="000000" w:themeColor="text1"/>
        </w:rPr>
        <w:t>, or dismissive</w:t>
      </w:r>
      <w:r w:rsidRPr="00A179B5">
        <w:rPr>
          <w:color w:val="000000" w:themeColor="text1"/>
        </w:rPr>
        <w:t xml:space="preserve"> treatment by health care staff</w:t>
      </w:r>
      <w:r w:rsidR="00953298" w:rsidRPr="00A179B5">
        <w:rPr>
          <w:color w:val="000000" w:themeColor="text1"/>
        </w:rPr>
        <w:t>, due to racially discriminatory stereotypes. According to the OHRC’s</w:t>
      </w:r>
      <w:r w:rsidR="008757CF" w:rsidRPr="00A179B5">
        <w:rPr>
          <w:color w:val="000000" w:themeColor="text1"/>
        </w:rPr>
        <w:t xml:space="preserve"> 2017</w:t>
      </w:r>
      <w:r w:rsidR="00953298" w:rsidRPr="00A179B5">
        <w:rPr>
          <w:color w:val="000000" w:themeColor="text1"/>
        </w:rPr>
        <w:t xml:space="preserve"> report, </w:t>
      </w:r>
      <w:r w:rsidR="00953298" w:rsidRPr="00A179B5">
        <w:rPr>
          <w:i/>
          <w:color w:val="000000" w:themeColor="text1"/>
        </w:rPr>
        <w:t>Under Suspicion</w:t>
      </w:r>
      <w:r w:rsidR="00953298" w:rsidRPr="00A179B5">
        <w:rPr>
          <w:color w:val="000000" w:themeColor="text1"/>
        </w:rPr>
        <w:t xml:space="preserve">, health workers often do not treat Indigenous </w:t>
      </w:r>
      <w:r w:rsidR="00EC276D">
        <w:rPr>
          <w:color w:val="000000" w:themeColor="text1"/>
        </w:rPr>
        <w:t>P</w:t>
      </w:r>
      <w:r w:rsidR="00953298" w:rsidRPr="00A179B5">
        <w:rPr>
          <w:color w:val="000000" w:themeColor="text1"/>
        </w:rPr>
        <w:t>eoples’ symptoms seriously because of assumptions that they are drunk or high.</w:t>
      </w:r>
      <w:r w:rsidR="00953298" w:rsidRPr="00A179B5">
        <w:rPr>
          <w:rStyle w:val="FootnoteReference"/>
          <w:color w:val="000000" w:themeColor="text1"/>
        </w:rPr>
        <w:footnoteReference w:id="154"/>
      </w:r>
      <w:r w:rsidR="00953298" w:rsidRPr="00A179B5">
        <w:rPr>
          <w:color w:val="000000" w:themeColor="text1"/>
        </w:rPr>
        <w:t xml:space="preserve"> </w:t>
      </w:r>
      <w:r w:rsidR="00082B04">
        <w:rPr>
          <w:color w:val="000000" w:themeColor="text1"/>
        </w:rPr>
        <w:t>Similarly,</w:t>
      </w:r>
      <w:r w:rsidR="00953298" w:rsidRPr="00A179B5">
        <w:rPr>
          <w:color w:val="000000" w:themeColor="text1"/>
        </w:rPr>
        <w:t xml:space="preserve"> Black patients’ symptoms of sickle cell anemia are frequently dismissed as pain related to drug habits.</w:t>
      </w:r>
      <w:r w:rsidR="0057019A" w:rsidRPr="00A179B5">
        <w:rPr>
          <w:color w:val="000000" w:themeColor="text1"/>
        </w:rPr>
        <w:t xml:space="preserve"> </w:t>
      </w:r>
    </w:p>
    <w:p w14:paraId="72A18206" w14:textId="77777777" w:rsidR="00255697" w:rsidRPr="00103D0E" w:rsidRDefault="00255697" w:rsidP="00103D0E">
      <w:pPr>
        <w:pStyle w:val="ListParagraph"/>
        <w:rPr>
          <w:color w:val="000000" w:themeColor="text1"/>
        </w:rPr>
      </w:pPr>
    </w:p>
    <w:p w14:paraId="1F6FC587" w14:textId="0DEFDD96" w:rsidR="002351D6" w:rsidRDefault="00255697" w:rsidP="002351D6">
      <w:pPr>
        <w:pStyle w:val="ListParagraph"/>
        <w:rPr>
          <w:color w:val="000000" w:themeColor="text1"/>
        </w:rPr>
      </w:pPr>
      <w:r w:rsidRPr="0021026C">
        <w:rPr>
          <w:color w:val="000000" w:themeColor="text1"/>
        </w:rPr>
        <w:t xml:space="preserve">As stated in the Comments of </w:t>
      </w:r>
      <w:r w:rsidR="00EC276D" w:rsidRPr="0021026C">
        <w:rPr>
          <w:color w:val="000000" w:themeColor="text1"/>
        </w:rPr>
        <w:t xml:space="preserve">the </w:t>
      </w:r>
      <w:r w:rsidRPr="0021026C">
        <w:rPr>
          <w:color w:val="000000" w:themeColor="text1"/>
        </w:rPr>
        <w:t>Wellesley Institute to this Committee, the discrimination that racialized persons experience has adverse health consequences.</w:t>
      </w:r>
      <w:r w:rsidR="00535311" w:rsidRPr="0021026C">
        <w:rPr>
          <w:color w:val="000000" w:themeColor="text1"/>
        </w:rPr>
        <w:t xml:space="preserve">  Immigrants and communities of colour, particularly women, are more likely to work as manual labourers and are more likely to report their working conditions as having a negative impact on their mental, physical or emotional health.</w:t>
      </w:r>
      <w:r w:rsidR="00535311" w:rsidRPr="0021026C">
        <w:rPr>
          <w:rStyle w:val="FootnoteReference"/>
          <w:color w:val="000000" w:themeColor="text1"/>
        </w:rPr>
        <w:footnoteReference w:id="155"/>
      </w:r>
    </w:p>
    <w:p w14:paraId="328FF1C5" w14:textId="77777777" w:rsidR="007A628B" w:rsidRPr="00535311" w:rsidRDefault="007A628B" w:rsidP="002351D6">
      <w:pPr>
        <w:pStyle w:val="ListParagraph"/>
        <w:rPr>
          <w:color w:val="000000" w:themeColor="text1"/>
        </w:rPr>
      </w:pPr>
    </w:p>
    <w:p w14:paraId="1DF97FF8" w14:textId="72FE8C64" w:rsidR="00C048C5" w:rsidRDefault="00C048C5" w:rsidP="00EF539C">
      <w:pPr>
        <w:rPr>
          <w:color w:val="000000" w:themeColor="text1"/>
        </w:rPr>
      </w:pPr>
      <w:r w:rsidRPr="00A179B5">
        <w:rPr>
          <w:b/>
          <w:i/>
          <w:color w:val="000000" w:themeColor="text1"/>
        </w:rPr>
        <w:t>Recommendations</w:t>
      </w:r>
      <w:r w:rsidR="00C1169D">
        <w:rPr>
          <w:b/>
          <w:i/>
          <w:color w:val="000000" w:themeColor="text1"/>
        </w:rPr>
        <w:t xml:space="preserve">: </w:t>
      </w:r>
      <w:r w:rsidR="00C1169D">
        <w:rPr>
          <w:color w:val="000000" w:themeColor="text1"/>
        </w:rPr>
        <w:t xml:space="preserve">We ask that the Committee </w:t>
      </w:r>
      <w:r w:rsidR="004D7669">
        <w:rPr>
          <w:color w:val="000000" w:themeColor="text1"/>
        </w:rPr>
        <w:t xml:space="preserve">recommend that: </w:t>
      </w:r>
      <w:r w:rsidR="002351D6">
        <w:rPr>
          <w:color w:val="000000" w:themeColor="text1"/>
        </w:rPr>
        <w:t>1</w:t>
      </w:r>
      <w:r w:rsidR="001F22C8">
        <w:rPr>
          <w:color w:val="000000" w:themeColor="text1"/>
        </w:rPr>
        <w:t xml:space="preserve">) Ontario’s Anti-Racism Directorate collect and analyze </w:t>
      </w:r>
      <w:r w:rsidR="00EC276D">
        <w:rPr>
          <w:color w:val="000000" w:themeColor="text1"/>
        </w:rPr>
        <w:t xml:space="preserve">ethno-racially </w:t>
      </w:r>
      <w:r w:rsidR="001F22C8">
        <w:rPr>
          <w:color w:val="000000" w:themeColor="text1"/>
        </w:rPr>
        <w:t>disaggregated data on health outcomes and experien</w:t>
      </w:r>
      <w:r w:rsidR="002351D6">
        <w:rPr>
          <w:color w:val="000000" w:themeColor="text1"/>
        </w:rPr>
        <w:t xml:space="preserve">ces </w:t>
      </w:r>
      <w:r w:rsidR="00EC276D">
        <w:rPr>
          <w:color w:val="000000" w:themeColor="text1"/>
        </w:rPr>
        <w:t>across</w:t>
      </w:r>
      <w:r w:rsidR="002351D6">
        <w:rPr>
          <w:color w:val="000000" w:themeColor="text1"/>
        </w:rPr>
        <w:t xml:space="preserve"> the health care system; 2</w:t>
      </w:r>
      <w:r w:rsidR="001F22C8">
        <w:rPr>
          <w:color w:val="000000" w:themeColor="text1"/>
        </w:rPr>
        <w:t xml:space="preserve">) provincial governments remove waiting periods </w:t>
      </w:r>
      <w:r w:rsidR="00EC276D">
        <w:rPr>
          <w:color w:val="000000" w:themeColor="text1"/>
        </w:rPr>
        <w:t>for health coverage to enable all Ontarians</w:t>
      </w:r>
      <w:r w:rsidR="001F22C8">
        <w:rPr>
          <w:color w:val="000000" w:themeColor="text1"/>
        </w:rPr>
        <w:t xml:space="preserve"> </w:t>
      </w:r>
      <w:r w:rsidR="00EC276D">
        <w:rPr>
          <w:color w:val="000000" w:themeColor="text1"/>
        </w:rPr>
        <w:t xml:space="preserve">equitable </w:t>
      </w:r>
      <w:r w:rsidR="001F22C8">
        <w:rPr>
          <w:color w:val="000000" w:themeColor="text1"/>
        </w:rPr>
        <w:t>access to health care;</w:t>
      </w:r>
      <w:r w:rsidR="004124EB">
        <w:rPr>
          <w:color w:val="000000" w:themeColor="text1"/>
        </w:rPr>
        <w:t xml:space="preserve"> and</w:t>
      </w:r>
      <w:r w:rsidR="002351D6">
        <w:rPr>
          <w:color w:val="000000" w:themeColor="text1"/>
        </w:rPr>
        <w:t xml:space="preserve"> 3</w:t>
      </w:r>
      <w:r w:rsidR="001F22C8">
        <w:rPr>
          <w:color w:val="000000" w:themeColor="text1"/>
        </w:rPr>
        <w:t xml:space="preserve">) Canada fully and expansively </w:t>
      </w:r>
      <w:proofErr w:type="gramStart"/>
      <w:r w:rsidR="001F22C8">
        <w:rPr>
          <w:color w:val="000000" w:themeColor="text1"/>
        </w:rPr>
        <w:t>implement</w:t>
      </w:r>
      <w:proofErr w:type="gramEnd"/>
      <w:r w:rsidR="001F22C8">
        <w:rPr>
          <w:color w:val="000000" w:themeColor="text1"/>
        </w:rPr>
        <w:t xml:space="preserve"> Jordan’s Principle. </w:t>
      </w:r>
      <w:r w:rsidR="004D7669">
        <w:rPr>
          <w:color w:val="000000" w:themeColor="text1"/>
        </w:rPr>
        <w:t xml:space="preserve"> </w:t>
      </w:r>
    </w:p>
    <w:p w14:paraId="26FFCC81" w14:textId="77777777" w:rsidR="00EB749D" w:rsidRDefault="00EB749D" w:rsidP="00EF539C">
      <w:pPr>
        <w:rPr>
          <w:color w:val="000000" w:themeColor="text1"/>
        </w:rPr>
      </w:pPr>
    </w:p>
    <w:p w14:paraId="4C75AE5D" w14:textId="6E34ADF8" w:rsidR="00EB749D" w:rsidRPr="00E856EA" w:rsidRDefault="00E856EA" w:rsidP="00EF539C">
      <w:pPr>
        <w:rPr>
          <w:b/>
          <w:color w:val="000000" w:themeColor="text1"/>
          <w:u w:val="single"/>
        </w:rPr>
      </w:pPr>
      <w:r w:rsidRPr="00E856EA">
        <w:rPr>
          <w:b/>
          <w:color w:val="000000" w:themeColor="text1"/>
          <w:u w:val="single"/>
        </w:rPr>
        <w:t xml:space="preserve">Issue Fifteen: </w:t>
      </w:r>
      <w:r>
        <w:rPr>
          <w:b/>
          <w:color w:val="000000" w:themeColor="text1"/>
          <w:u w:val="single"/>
        </w:rPr>
        <w:t xml:space="preserve">WCAR and Canada’s Action Plan </w:t>
      </w:r>
      <w:proofErr w:type="gramStart"/>
      <w:r>
        <w:rPr>
          <w:b/>
          <w:color w:val="000000" w:themeColor="text1"/>
          <w:u w:val="single"/>
        </w:rPr>
        <w:t>Against</w:t>
      </w:r>
      <w:proofErr w:type="gramEnd"/>
      <w:r>
        <w:rPr>
          <w:b/>
          <w:color w:val="000000" w:themeColor="text1"/>
          <w:u w:val="single"/>
        </w:rPr>
        <w:t xml:space="preserve"> Racism</w:t>
      </w:r>
    </w:p>
    <w:p w14:paraId="3E553A25" w14:textId="449DFAB8" w:rsidR="00EB749D" w:rsidRDefault="00EB749D" w:rsidP="00EF539C">
      <w:r>
        <w:t>In light of the persistent and systemic nature of racism in Canada, we need all orders of Government in Canada to commit to combat racism in all its form.   The Federa</w:t>
      </w:r>
      <w:r w:rsidR="004D4AD2">
        <w:t xml:space="preserve">l Government must take the leadership role by </w:t>
      </w:r>
      <w:r w:rsidR="007E418E">
        <w:t>working on and delivering on its</w:t>
      </w:r>
      <w:r w:rsidR="004D4AD2">
        <w:t xml:space="preserve"> WCAR Program of Action related commitments - including a restored, enhanced and more robust Canada Action Plan </w:t>
      </w:r>
      <w:proofErr w:type="gramStart"/>
      <w:r w:rsidR="004D4AD2">
        <w:t>Against</w:t>
      </w:r>
      <w:proofErr w:type="gramEnd"/>
      <w:r w:rsidR="004D4AD2">
        <w:t xml:space="preserve"> Racism (CAPAR).   T</w:t>
      </w:r>
      <w:r w:rsidR="007E418E">
        <w:t>oward this end t</w:t>
      </w:r>
      <w:r w:rsidR="004D4AD2">
        <w:t>he Government must meanin</w:t>
      </w:r>
      <w:r w:rsidR="007E418E">
        <w:t>gfully engage with</w:t>
      </w:r>
      <w:r w:rsidR="004D4AD2">
        <w:t xml:space="preserve"> civil society, and in particular </w:t>
      </w:r>
      <w:r w:rsidR="007E418E">
        <w:t>actively consult with Indigenous P</w:t>
      </w:r>
      <w:r w:rsidR="004D4AD2">
        <w:t>eoples, peoples of colour and non-governmental organizations working to advance racial justice and racial equality</w:t>
      </w:r>
      <w:r w:rsidR="007E418E">
        <w:t xml:space="preserve"> in Canada</w:t>
      </w:r>
      <w:r w:rsidR="004D4AD2">
        <w:t xml:space="preserve"> in its development of a renewed CAPAR.</w:t>
      </w:r>
    </w:p>
    <w:p w14:paraId="0D88A25E" w14:textId="56524EC8" w:rsidR="004D4AD2" w:rsidRPr="00C1169D" w:rsidRDefault="004D4AD2" w:rsidP="00EF539C">
      <w:pPr>
        <w:rPr>
          <w:color w:val="000000" w:themeColor="text1"/>
        </w:rPr>
      </w:pPr>
      <w:r w:rsidRPr="00A179B5">
        <w:rPr>
          <w:b/>
          <w:i/>
          <w:color w:val="000000" w:themeColor="text1"/>
        </w:rPr>
        <w:t>Recommendations</w:t>
      </w:r>
      <w:r>
        <w:rPr>
          <w:b/>
          <w:i/>
          <w:color w:val="000000" w:themeColor="text1"/>
        </w:rPr>
        <w:t xml:space="preserve">: </w:t>
      </w:r>
      <w:r>
        <w:rPr>
          <w:color w:val="000000" w:themeColor="text1"/>
        </w:rPr>
        <w:t>We ask that the Committee recommend that the Federal Gover</w:t>
      </w:r>
      <w:r w:rsidR="007E418E">
        <w:rPr>
          <w:color w:val="000000" w:themeColor="text1"/>
        </w:rPr>
        <w:t>nment renew its commitments under the</w:t>
      </w:r>
      <w:r>
        <w:rPr>
          <w:color w:val="000000" w:themeColor="text1"/>
        </w:rPr>
        <w:t xml:space="preserve"> WCAR Program of Action and to work with civil society to create an enhanced and more robust </w:t>
      </w:r>
      <w:r w:rsidRPr="004D4AD2">
        <w:rPr>
          <w:color w:val="000000" w:themeColor="text1"/>
        </w:rPr>
        <w:t xml:space="preserve">Canada Action Plan </w:t>
      </w:r>
      <w:proofErr w:type="gramStart"/>
      <w:r w:rsidRPr="004D4AD2">
        <w:rPr>
          <w:color w:val="000000" w:themeColor="text1"/>
        </w:rPr>
        <w:t>Against</w:t>
      </w:r>
      <w:proofErr w:type="gramEnd"/>
      <w:r w:rsidRPr="004D4AD2">
        <w:rPr>
          <w:color w:val="000000" w:themeColor="text1"/>
        </w:rPr>
        <w:t xml:space="preserve"> Racism (CAPAR).</w:t>
      </w:r>
      <w:r>
        <w:rPr>
          <w:color w:val="000000" w:themeColor="text1"/>
        </w:rPr>
        <w:t xml:space="preserve">   </w:t>
      </w:r>
    </w:p>
    <w:sectPr w:rsidR="004D4AD2" w:rsidRPr="00C1169D" w:rsidSect="0015797F">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541238" w14:textId="77777777" w:rsidR="00963672" w:rsidRDefault="00963672" w:rsidP="0082171B">
      <w:pPr>
        <w:spacing w:after="0" w:line="240" w:lineRule="auto"/>
      </w:pPr>
      <w:r>
        <w:separator/>
      </w:r>
    </w:p>
  </w:endnote>
  <w:endnote w:type="continuationSeparator" w:id="0">
    <w:p w14:paraId="199D0630" w14:textId="77777777" w:rsidR="00963672" w:rsidRDefault="00963672" w:rsidP="00821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0000000000000000000"/>
    <w:charset w:val="86"/>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DengXian">
    <w:altName w:val="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9386444"/>
      <w:docPartObj>
        <w:docPartGallery w:val="Page Numbers (Bottom of Page)"/>
        <w:docPartUnique/>
      </w:docPartObj>
    </w:sdtPr>
    <w:sdtEndPr>
      <w:rPr>
        <w:noProof/>
      </w:rPr>
    </w:sdtEndPr>
    <w:sdtContent>
      <w:p w14:paraId="24A0D504" w14:textId="278BAA12" w:rsidR="00762DFB" w:rsidRDefault="00762DFB">
        <w:pPr>
          <w:pStyle w:val="Footer"/>
          <w:jc w:val="right"/>
        </w:pPr>
        <w:r>
          <w:fldChar w:fldCharType="begin"/>
        </w:r>
        <w:r>
          <w:instrText xml:space="preserve"> PAGE   \* MERGEFORMAT </w:instrText>
        </w:r>
        <w:r>
          <w:fldChar w:fldCharType="separate"/>
        </w:r>
        <w:r w:rsidR="00327120">
          <w:rPr>
            <w:noProof/>
          </w:rPr>
          <w:t>1</w:t>
        </w:r>
        <w:r>
          <w:rPr>
            <w:noProof/>
          </w:rPr>
          <w:fldChar w:fldCharType="end"/>
        </w:r>
      </w:p>
    </w:sdtContent>
  </w:sdt>
  <w:p w14:paraId="4918C348" w14:textId="77777777" w:rsidR="00762DFB" w:rsidRDefault="00762D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DA5F98" w14:textId="77777777" w:rsidR="00963672" w:rsidRDefault="00963672" w:rsidP="0082171B">
      <w:pPr>
        <w:spacing w:after="0" w:line="240" w:lineRule="auto"/>
      </w:pPr>
      <w:r>
        <w:separator/>
      </w:r>
    </w:p>
  </w:footnote>
  <w:footnote w:type="continuationSeparator" w:id="0">
    <w:p w14:paraId="5CA4317A" w14:textId="77777777" w:rsidR="00963672" w:rsidRDefault="00963672" w:rsidP="0082171B">
      <w:pPr>
        <w:spacing w:after="0" w:line="240" w:lineRule="auto"/>
      </w:pPr>
      <w:r>
        <w:continuationSeparator/>
      </w:r>
    </w:p>
  </w:footnote>
  <w:footnote w:id="1">
    <w:p w14:paraId="1C166704" w14:textId="77777777" w:rsidR="00762DFB" w:rsidRPr="005C1E3A" w:rsidRDefault="00762DFB">
      <w:pPr>
        <w:pStyle w:val="FootnoteText"/>
        <w:rPr>
          <w:szCs w:val="22"/>
        </w:rPr>
      </w:pPr>
      <w:r w:rsidRPr="005C1E3A">
        <w:rPr>
          <w:rStyle w:val="FootnoteReference"/>
          <w:szCs w:val="22"/>
        </w:rPr>
        <w:footnoteRef/>
      </w:r>
      <w:r w:rsidRPr="005C1E3A">
        <w:rPr>
          <w:szCs w:val="22"/>
        </w:rPr>
        <w:t xml:space="preserve"> Statistics Canada, “2016 Census of Population Questions, Long Form (National Household Survey),” online: &lt; http://www12.statcan.gc.ca/nhs-enm/2016/ref/questionnaires/questions-eng.cfm&gt;.</w:t>
      </w:r>
    </w:p>
  </w:footnote>
  <w:footnote w:id="2">
    <w:p w14:paraId="032C7CDC" w14:textId="32C9CCF1" w:rsidR="00762DFB" w:rsidRPr="00A868FD" w:rsidRDefault="00762DFB">
      <w:pPr>
        <w:pStyle w:val="FootnoteText"/>
      </w:pPr>
      <w:r>
        <w:rPr>
          <w:rStyle w:val="FootnoteReference"/>
        </w:rPr>
        <w:footnoteRef/>
      </w:r>
      <w:r>
        <w:t xml:space="preserve"> Include the Canada Child Tax Benefit, Old Age Security, Guaranteed Income Supplement</w:t>
      </w:r>
    </w:p>
  </w:footnote>
  <w:footnote w:id="3">
    <w:p w14:paraId="3BE06FF3" w14:textId="6C790785" w:rsidR="00762DFB" w:rsidRDefault="00762DFB">
      <w:pPr>
        <w:pStyle w:val="FootnoteText"/>
      </w:pPr>
      <w:r>
        <w:rPr>
          <w:rStyle w:val="FootnoteReference"/>
        </w:rPr>
        <w:footnoteRef/>
      </w:r>
      <w:r>
        <w:t xml:space="preserve"> </w:t>
      </w:r>
      <w:proofErr w:type="gramStart"/>
      <w:r w:rsidRPr="00C77C74">
        <w:t>“Towards a poverty reduction strategy – A backgrounder on poverty reduction in Canada”.</w:t>
      </w:r>
      <w:proofErr w:type="gramEnd"/>
      <w:r w:rsidRPr="00C77C74">
        <w:t xml:space="preserve"> Employment and Social Development Canada, February 2017. Government of Canada, “Poverty Reduction Strategy,” https://www.canada.ca/en/employment-social-development/programs/poverty-reduction/backgrounder.html</w:t>
      </w:r>
    </w:p>
  </w:footnote>
  <w:footnote w:id="4">
    <w:p w14:paraId="227ACB7D" w14:textId="2A5CDAA1" w:rsidR="00762DFB" w:rsidRPr="005C1E3A" w:rsidRDefault="00762DFB" w:rsidP="00332EAD">
      <w:pPr>
        <w:pStyle w:val="FootnoteText"/>
        <w:rPr>
          <w:szCs w:val="22"/>
        </w:rPr>
      </w:pPr>
      <w:r w:rsidRPr="005C1E3A">
        <w:rPr>
          <w:rStyle w:val="FootnoteReference"/>
          <w:szCs w:val="22"/>
        </w:rPr>
        <w:footnoteRef/>
      </w:r>
      <w:r w:rsidRPr="005C1E3A">
        <w:rPr>
          <w:szCs w:val="22"/>
        </w:rPr>
        <w:t xml:space="preserve"> Government of Ontario, “Anti-Racism Directorate,” </w:t>
      </w:r>
      <w:proofErr w:type="gramStart"/>
      <w:r w:rsidRPr="005C1E3A">
        <w:rPr>
          <w:szCs w:val="22"/>
        </w:rPr>
        <w:t>online :</w:t>
      </w:r>
      <w:proofErr w:type="gramEnd"/>
      <w:r w:rsidRPr="005C1E3A">
        <w:rPr>
          <w:szCs w:val="22"/>
        </w:rPr>
        <w:t xml:space="preserve"> &lt;https://www.ontario.ca/page/anti-racism-directorate&gt;.</w:t>
      </w:r>
    </w:p>
  </w:footnote>
  <w:footnote w:id="5">
    <w:p w14:paraId="5BDD3561" w14:textId="77777777" w:rsidR="00762DFB" w:rsidRPr="005C1E3A" w:rsidRDefault="00762DFB" w:rsidP="00332EAD">
      <w:pPr>
        <w:pStyle w:val="FootnoteText"/>
        <w:rPr>
          <w:szCs w:val="22"/>
        </w:rPr>
      </w:pPr>
      <w:r w:rsidRPr="005C1E3A">
        <w:rPr>
          <w:rStyle w:val="FootnoteReference"/>
          <w:szCs w:val="22"/>
        </w:rPr>
        <w:footnoteRef/>
      </w:r>
      <w:r w:rsidRPr="005C1E3A">
        <w:rPr>
          <w:szCs w:val="22"/>
        </w:rPr>
        <w:t xml:space="preserve"> Bill 114, </w:t>
      </w:r>
      <w:r w:rsidRPr="005C1E3A">
        <w:rPr>
          <w:i/>
          <w:szCs w:val="22"/>
        </w:rPr>
        <w:t>Anti-Racism Act, 2017</w:t>
      </w:r>
      <w:r w:rsidRPr="005C1E3A">
        <w:rPr>
          <w:szCs w:val="22"/>
        </w:rPr>
        <w:t>, online: &lt;http://ontla.on.ca/web/bills/bills_detail.do?locale=en&amp;Intranet=&amp;BillID=4694&gt;, article 6(7).</w:t>
      </w:r>
    </w:p>
  </w:footnote>
  <w:footnote w:id="6">
    <w:p w14:paraId="5055A234" w14:textId="22B07A6B"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Sheila Block, Grace-Edward Galabuzi, and Alexandra Weiss, “The Colour Coded Labour Market </w:t>
      </w:r>
      <w:proofErr w:type="gramStart"/>
      <w:r w:rsidRPr="00FC1AD2">
        <w:rPr>
          <w:szCs w:val="22"/>
        </w:rPr>
        <w:t>By</w:t>
      </w:r>
      <w:proofErr w:type="gramEnd"/>
      <w:r w:rsidRPr="00FC1AD2">
        <w:rPr>
          <w:szCs w:val="22"/>
        </w:rPr>
        <w:t xml:space="preserve"> the Numbers: A National Household Survey Analysis” (2014) </w:t>
      </w:r>
      <w:r w:rsidRPr="00FC1AD2">
        <w:rPr>
          <w:i/>
          <w:szCs w:val="22"/>
        </w:rPr>
        <w:t>Wellesley Institute</w:t>
      </w:r>
      <w:r w:rsidRPr="00FC1AD2">
        <w:rPr>
          <w:szCs w:val="22"/>
        </w:rPr>
        <w:t>, http://www.wellesleyinstitute.com/wp-content/uploads/2014/09/The-Colour-Coded-Labour-Market-By-The-Numbers.pdf.</w:t>
      </w:r>
    </w:p>
  </w:footnote>
  <w:footnote w:id="7">
    <w:p w14:paraId="003C882D" w14:textId="77777777" w:rsidR="00762DFB" w:rsidRPr="00FC1AD2" w:rsidRDefault="00762DFB">
      <w:pPr>
        <w:pStyle w:val="FootnoteText"/>
        <w:rPr>
          <w:szCs w:val="22"/>
        </w:rPr>
      </w:pPr>
      <w:r w:rsidRPr="00FC1AD2">
        <w:rPr>
          <w:rStyle w:val="FootnoteReference"/>
          <w:szCs w:val="22"/>
        </w:rPr>
        <w:footnoteRef/>
      </w:r>
      <w:r w:rsidRPr="00FC1AD2">
        <w:rPr>
          <w:szCs w:val="22"/>
        </w:rPr>
        <w:t xml:space="preserve"> Sheila Block, “Ontario’s Growing Gap: The Role of Race and Gender” (2010) </w:t>
      </w:r>
      <w:r w:rsidRPr="00FC1AD2">
        <w:rPr>
          <w:i/>
          <w:szCs w:val="22"/>
        </w:rPr>
        <w:t>Canadian Centre for Policy Alternatives</w:t>
      </w:r>
      <w:r w:rsidRPr="00FC1AD2">
        <w:rPr>
          <w:szCs w:val="22"/>
        </w:rPr>
        <w:t>, http://ywcacanada.ca/data/research_docs/00000140.pdf.</w:t>
      </w:r>
    </w:p>
  </w:footnote>
  <w:footnote w:id="8">
    <w:p w14:paraId="2D40CD50"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Canadian Human Rights Commission, “Report on the Equality Rights of Aboriginal People” (2013), http://www.chrc-ccdp.gc.ca/sites/default/files/equality_aboriginal_report.pdf.</w:t>
      </w:r>
    </w:p>
  </w:footnote>
  <w:footnote w:id="9">
    <w:p w14:paraId="2A113AED" w14:textId="3E41A8E0"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David Macdonald and Daniel Wilson, “Shameful Neglect: Indigenous Child Poverty in Canada” (2016) </w:t>
      </w:r>
      <w:r w:rsidRPr="00FC1AD2">
        <w:rPr>
          <w:i/>
          <w:szCs w:val="22"/>
        </w:rPr>
        <w:t>Canadian Centre for Policy Alternatives</w:t>
      </w:r>
      <w:r w:rsidRPr="00FC1AD2">
        <w:rPr>
          <w:szCs w:val="22"/>
        </w:rPr>
        <w:t>, https://www.policyalternatives.ca/publications/reports/shameful-neglect.</w:t>
      </w:r>
    </w:p>
  </w:footnote>
  <w:footnote w:id="10">
    <w:p w14:paraId="720E552F" w14:textId="6323AC43"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r>
        <w:rPr>
          <w:szCs w:val="22"/>
        </w:rPr>
        <w:t>Ibid.</w:t>
      </w:r>
    </w:p>
  </w:footnote>
  <w:footnote w:id="11">
    <w:p w14:paraId="2AE6EA08" w14:textId="5746312E"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David Macdonald and Daniel Wilson, “Shameful Neglect: Indigenous Child Poverty in Canada” (2016) </w:t>
      </w:r>
      <w:r w:rsidRPr="00FC1AD2">
        <w:rPr>
          <w:i/>
          <w:szCs w:val="22"/>
        </w:rPr>
        <w:t>Canadian Centre for Policy Alternatives</w:t>
      </w:r>
      <w:r w:rsidRPr="00FC1AD2">
        <w:rPr>
          <w:szCs w:val="22"/>
        </w:rPr>
        <w:t xml:space="preserve">, </w:t>
      </w:r>
      <w:r w:rsidRPr="001D103B">
        <w:rPr>
          <w:szCs w:val="22"/>
        </w:rPr>
        <w:t>https://www.policyalternatives.ca/publications/reports/shameful-neglect</w:t>
      </w:r>
      <w:r w:rsidRPr="00FC1AD2">
        <w:rPr>
          <w:szCs w:val="22"/>
        </w:rPr>
        <w:t>.</w:t>
      </w:r>
    </w:p>
  </w:footnote>
  <w:footnote w:id="12">
    <w:p w14:paraId="77ACF56B"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Centre for Equality Rights in Accommodation, “Sorry, It’s Rented: Measuring Discrimination in Toronto’s Rental Housing Market” (2009), http://www.equalityrights.org/cera/docs/CERAFinalReport.pdf.</w:t>
      </w:r>
    </w:p>
  </w:footnote>
  <w:footnote w:id="13">
    <w:p w14:paraId="414FF2C5" w14:textId="45FAE726" w:rsidR="00762DFB" w:rsidRPr="00FC1AD2" w:rsidRDefault="00762DFB" w:rsidP="006132CB">
      <w:pPr>
        <w:pStyle w:val="FootnoteText"/>
        <w:rPr>
          <w:szCs w:val="22"/>
        </w:rPr>
      </w:pPr>
      <w:r w:rsidRPr="0021026C">
        <w:rPr>
          <w:rStyle w:val="FootnoteReference"/>
          <w:szCs w:val="22"/>
        </w:rPr>
        <w:footnoteRef/>
      </w:r>
      <w:r w:rsidRPr="0021026C">
        <w:rPr>
          <w:szCs w:val="22"/>
        </w:rPr>
        <w:t xml:space="preserve"> Note 1, </w:t>
      </w:r>
      <w:r w:rsidRPr="0021026C">
        <w:rPr>
          <w:i/>
          <w:szCs w:val="22"/>
        </w:rPr>
        <w:t>supra</w:t>
      </w:r>
      <w:r w:rsidRPr="0021026C">
        <w:rPr>
          <w:szCs w:val="22"/>
        </w:rPr>
        <w:t xml:space="preserve"> </w:t>
      </w:r>
    </w:p>
  </w:footnote>
  <w:footnote w:id="14">
    <w:p w14:paraId="332154CC"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See, for example, Government of Ontario, “Poverty Reduction Strategy (Annual Report 2016),” https://www.ontario.ca/page/poverty-reduction-strategy-annual-report-2016.</w:t>
      </w:r>
    </w:p>
  </w:footnote>
  <w:footnote w:id="15">
    <w:p w14:paraId="1669D6C6" w14:textId="77777777" w:rsidR="00762DFB" w:rsidRPr="00FC1AD2" w:rsidRDefault="00762DFB" w:rsidP="003F50CD">
      <w:pPr>
        <w:spacing w:after="0"/>
        <w:rPr>
          <w:sz w:val="22"/>
          <w:szCs w:val="22"/>
        </w:rPr>
      </w:pPr>
      <w:r w:rsidRPr="00FC1AD2">
        <w:rPr>
          <w:rStyle w:val="FootnoteReference"/>
          <w:sz w:val="22"/>
          <w:szCs w:val="22"/>
        </w:rPr>
        <w:footnoteRef/>
      </w:r>
      <w:r w:rsidRPr="00FC1AD2">
        <w:rPr>
          <w:sz w:val="22"/>
          <w:szCs w:val="22"/>
        </w:rPr>
        <w:t xml:space="preserve"> </w:t>
      </w:r>
      <w:proofErr w:type="gramStart"/>
      <w:r w:rsidRPr="00FC1AD2">
        <w:rPr>
          <w:sz w:val="22"/>
          <w:szCs w:val="22"/>
        </w:rPr>
        <w:t xml:space="preserve">Sheila Block, “The Role of Race and Gender in Ontario’s Racialized Income Gap” (2010) </w:t>
      </w:r>
      <w:r w:rsidRPr="00FC1AD2">
        <w:rPr>
          <w:i/>
          <w:sz w:val="22"/>
          <w:szCs w:val="22"/>
        </w:rPr>
        <w:t>Canadian Centre for Policy Alternatives</w:t>
      </w:r>
      <w:r w:rsidRPr="00FC1AD2">
        <w:rPr>
          <w:sz w:val="22"/>
          <w:szCs w:val="22"/>
        </w:rPr>
        <w:t xml:space="preserve">, </w:t>
      </w:r>
      <w:r w:rsidRPr="001D103B">
        <w:rPr>
          <w:sz w:val="22"/>
          <w:szCs w:val="22"/>
        </w:rPr>
        <w:t>https://www.policyalternatives.ca/publications/reports/role-race-and-gender-ontarios-growing-gap</w:t>
      </w:r>
      <w:r w:rsidRPr="00FC1AD2">
        <w:rPr>
          <w:sz w:val="22"/>
          <w:szCs w:val="22"/>
        </w:rPr>
        <w:t>.</w:t>
      </w:r>
      <w:proofErr w:type="gramEnd"/>
    </w:p>
  </w:footnote>
  <w:footnote w:id="16">
    <w:p w14:paraId="548FD6E9" w14:textId="64601CEC"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Oxfam and the Canadian Centre for Policy Alternatives, “Making Women Count: The Unequal Economics of Women’s Work” (2016), </w:t>
      </w:r>
      <w:r w:rsidRPr="001D103B">
        <w:rPr>
          <w:szCs w:val="22"/>
        </w:rPr>
        <w:t>https://www.oxfam.ca/sites/default/files/making-women-count-report-2016.pdf</w:t>
      </w:r>
      <w:r w:rsidRPr="00FC1AD2">
        <w:rPr>
          <w:szCs w:val="22"/>
        </w:rPr>
        <w:t>.</w:t>
      </w:r>
    </w:p>
  </w:footnote>
  <w:footnote w:id="17">
    <w:p w14:paraId="5389F4B1" w14:textId="1D0FC4B4"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Oxfam and the Canadian Centre for Policy Alternatives, “Making Women Count: The Unequal Economics of Women’s Work” (2016), </w:t>
      </w:r>
      <w:r w:rsidRPr="001D103B">
        <w:rPr>
          <w:szCs w:val="22"/>
        </w:rPr>
        <w:t>https://www.oxfam.ca/sites/default/files/making-women-count-report-2016.pdf</w:t>
      </w:r>
      <w:r w:rsidRPr="00FC1AD2">
        <w:rPr>
          <w:szCs w:val="22"/>
        </w:rPr>
        <w:t>.</w:t>
      </w:r>
    </w:p>
  </w:footnote>
  <w:footnote w:id="18">
    <w:p w14:paraId="6E7D0410" w14:textId="6E59B534"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bookmarkStart w:id="1" w:name="_Hlk483821418"/>
      <w:r w:rsidRPr="00FC1AD2">
        <w:rPr>
          <w:szCs w:val="22"/>
        </w:rPr>
        <w:t xml:space="preserve">Sheila Block, Grace-Edward Galabuzi, and Alexandra Weiss, “The Colour Coded Labour Market </w:t>
      </w:r>
      <w:proofErr w:type="gramStart"/>
      <w:r w:rsidRPr="00FC1AD2">
        <w:rPr>
          <w:szCs w:val="22"/>
        </w:rPr>
        <w:t>By</w:t>
      </w:r>
      <w:proofErr w:type="gramEnd"/>
      <w:r w:rsidRPr="00FC1AD2">
        <w:rPr>
          <w:szCs w:val="22"/>
        </w:rPr>
        <w:t xml:space="preserve"> the Numbers: A National Household Survey Analysis” (2014) </w:t>
      </w:r>
      <w:r w:rsidRPr="00FC1AD2">
        <w:rPr>
          <w:i/>
          <w:szCs w:val="22"/>
        </w:rPr>
        <w:t>Wellesley Institute</w:t>
      </w:r>
      <w:r w:rsidRPr="00FC1AD2">
        <w:rPr>
          <w:szCs w:val="22"/>
        </w:rPr>
        <w:t xml:space="preserve">, </w:t>
      </w:r>
      <w:r w:rsidRPr="001D103B">
        <w:rPr>
          <w:szCs w:val="22"/>
        </w:rPr>
        <w:t>http://www.wellesleyinstitute.com/wp-content/uploads/2014/09/The-Colour-Coded-Labour-Market-By-The-Numbers.pdf</w:t>
      </w:r>
      <w:r w:rsidRPr="00FC1AD2">
        <w:rPr>
          <w:szCs w:val="22"/>
        </w:rPr>
        <w:t>.</w:t>
      </w:r>
      <w:bookmarkEnd w:id="1"/>
    </w:p>
  </w:footnote>
  <w:footnote w:id="19">
    <w:p w14:paraId="4D11CAE1" w14:textId="3FBF3D20"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Rupa Bannerjee, Jeffrey G Reitz, and Phil Oreopoulos, “Do Large Employers Treat Racial Minorities More Fairly? A New Analysis of Canadian Field Experiment Data” (2017), </w:t>
      </w:r>
      <w:r w:rsidRPr="001D103B">
        <w:rPr>
          <w:szCs w:val="22"/>
        </w:rPr>
        <w:t>http://www.hireimmigrants.ca/wp-content/uploads/Final-Report-Which-employers-discriminate-Banerjee-Reitz-Oreopoulos-January-25-2017.pdf</w:t>
      </w:r>
      <w:r>
        <w:rPr>
          <w:szCs w:val="22"/>
        </w:rPr>
        <w:t>.</w:t>
      </w:r>
    </w:p>
  </w:footnote>
  <w:footnote w:id="20">
    <w:p w14:paraId="3EA0F753" w14:textId="77777777" w:rsidR="00762DFB" w:rsidRPr="00FC1AD2" w:rsidRDefault="00762DFB">
      <w:pPr>
        <w:pStyle w:val="FootnoteText"/>
        <w:rPr>
          <w:szCs w:val="22"/>
        </w:rPr>
      </w:pPr>
      <w:r w:rsidRPr="00FC1AD2">
        <w:rPr>
          <w:rStyle w:val="FootnoteReference"/>
          <w:szCs w:val="22"/>
        </w:rPr>
        <w:footnoteRef/>
      </w:r>
      <w:r w:rsidRPr="00FC1AD2">
        <w:rPr>
          <w:szCs w:val="22"/>
        </w:rPr>
        <w:t xml:space="preserve"> Public Service Alliance of Canada, “A Brief History of Employment Equity in Canada” (2013), http://psacunion.ca/brief-history-employment-equity-canada.</w:t>
      </w:r>
    </w:p>
  </w:footnote>
  <w:footnote w:id="21">
    <w:p w14:paraId="7F34BE9B" w14:textId="6E76FE3E" w:rsidR="00762DFB" w:rsidRPr="00FC1AD2" w:rsidRDefault="00762DFB">
      <w:pPr>
        <w:pStyle w:val="FootnoteText"/>
        <w:rPr>
          <w:szCs w:val="22"/>
        </w:rPr>
      </w:pPr>
      <w:r w:rsidRPr="00FC1AD2">
        <w:rPr>
          <w:rStyle w:val="FootnoteReference"/>
          <w:szCs w:val="22"/>
        </w:rPr>
        <w:footnoteRef/>
      </w:r>
      <w:r w:rsidRPr="00FC1AD2">
        <w:rPr>
          <w:szCs w:val="22"/>
        </w:rPr>
        <w:t xml:space="preserve"> Philip Kelly, Lualhati Marcelino, and Catherine Mulas, “Foreign Credential Recognition: Research Synthesis 2009-2013” (2015) </w:t>
      </w:r>
      <w:r w:rsidRPr="00FC1AD2">
        <w:rPr>
          <w:i/>
          <w:szCs w:val="22"/>
        </w:rPr>
        <w:t>CERIS</w:t>
      </w:r>
      <w:r w:rsidRPr="00FC1AD2">
        <w:rPr>
          <w:szCs w:val="22"/>
        </w:rPr>
        <w:t xml:space="preserve">, </w:t>
      </w:r>
      <w:r w:rsidRPr="001D103B">
        <w:rPr>
          <w:szCs w:val="22"/>
        </w:rPr>
        <w:t>http://ceris.ca/wp-content/uploads/2015/01/CERIS-Research-Synthesis-on-Foreign-Credential-Recognition.pdf</w:t>
      </w:r>
      <w:r w:rsidRPr="00FC1AD2">
        <w:rPr>
          <w:szCs w:val="22"/>
        </w:rPr>
        <w:t xml:space="preserve">; Bharathi Sethi, “‘No Canadian Experience?’ </w:t>
      </w:r>
      <w:proofErr w:type="gramStart"/>
      <w:r w:rsidRPr="00FC1AD2">
        <w:rPr>
          <w:szCs w:val="22"/>
        </w:rPr>
        <w:t xml:space="preserve">Barriers and Deskilling of Immigrant and Refugee Women in Grand Erie” (2014) </w:t>
      </w:r>
      <w:r w:rsidRPr="00FC1AD2">
        <w:rPr>
          <w:i/>
          <w:szCs w:val="22"/>
        </w:rPr>
        <w:t>CERIS</w:t>
      </w:r>
      <w:r w:rsidRPr="00FC1AD2">
        <w:rPr>
          <w:szCs w:val="22"/>
        </w:rPr>
        <w:t xml:space="preserve">, </w:t>
      </w:r>
      <w:r w:rsidRPr="001D103B">
        <w:rPr>
          <w:szCs w:val="22"/>
        </w:rPr>
        <w:t>http://ceris.ca/wp-content/uploads/2015/03/CERIS-Research-Summary-Sethi.pdf</w:t>
      </w:r>
      <w:r w:rsidRPr="00FC1AD2">
        <w:rPr>
          <w:szCs w:val="22"/>
        </w:rPr>
        <w:t>.</w:t>
      </w:r>
      <w:proofErr w:type="gramEnd"/>
    </w:p>
  </w:footnote>
  <w:footnote w:id="22">
    <w:p w14:paraId="51D4F615" w14:textId="58290D03"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John Howard Society of Ontario, “Help Wanted: Reducing Barriers for Ontario’s Youth with Police Records” (2014), </w:t>
      </w:r>
      <w:r w:rsidRPr="001D103B">
        <w:rPr>
          <w:szCs w:val="22"/>
        </w:rPr>
        <w:t>http://johnhoward.on.ca/wp-content/uploads/2014/07/johnhoward-ontario-help-wanted.pdf</w:t>
      </w:r>
      <w:r w:rsidRPr="00FC1AD2">
        <w:rPr>
          <w:szCs w:val="22"/>
        </w:rPr>
        <w:t>.</w:t>
      </w:r>
    </w:p>
  </w:footnote>
  <w:footnote w:id="23">
    <w:p w14:paraId="65303910" w14:textId="0F36009F"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The Poverty and Employment Precarity in Southern Ontario Research Group, “It’s More than Poverty: Employment Precarity and Household Wellbeing” (2013), </w:t>
      </w:r>
      <w:r w:rsidRPr="001D103B">
        <w:rPr>
          <w:szCs w:val="22"/>
        </w:rPr>
        <w:t>https://pepsouwt.files.wordpress.com/2013/02/its-more-than-poverty-feb-2013.pdf</w:t>
      </w:r>
      <w:r w:rsidRPr="00FC1AD2">
        <w:rPr>
          <w:rStyle w:val="Hyperlink"/>
          <w:szCs w:val="22"/>
        </w:rPr>
        <w:t xml:space="preserve">; </w:t>
      </w:r>
      <w:r w:rsidRPr="00FC1AD2">
        <w:rPr>
          <w:szCs w:val="22"/>
        </w:rPr>
        <w:t xml:space="preserve">The Poverty and Employment Precarity in Southern Ontario Research Group, “The Precarity Penalty: The Impact of Employment Precarity on Individuals, Households, and Communities – And What To Do About It” (2015), </w:t>
      </w:r>
      <w:r w:rsidRPr="001D103B">
        <w:rPr>
          <w:szCs w:val="22"/>
        </w:rPr>
        <w:t>https://pepsouwt.files.wordpress.com/2012/12/precarity-penalty-report_final-hires_trimmed.pdf</w:t>
      </w:r>
      <w:r w:rsidRPr="00FC1AD2">
        <w:rPr>
          <w:szCs w:val="22"/>
        </w:rPr>
        <w:t>.</w:t>
      </w:r>
    </w:p>
  </w:footnote>
  <w:footnote w:id="24">
    <w:p w14:paraId="0609F9AD" w14:textId="6F4B7026"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Access Alliance, “Like Wonder Women, Goddesses, and Robots: How Racialized Immigrant Women in Toronto are Impacted by and Respond to Employment Precarity,” (2014), </w:t>
      </w:r>
      <w:r w:rsidRPr="001D103B">
        <w:rPr>
          <w:szCs w:val="22"/>
        </w:rPr>
        <w:t>http://accessalliance.ca/wp-content/uploads/2015/03/Like-Wonder-Women-Goddess-and-Robots_final.pdf</w:t>
      </w:r>
      <w:r w:rsidRPr="00FC1AD2">
        <w:rPr>
          <w:szCs w:val="22"/>
        </w:rPr>
        <w:t>.</w:t>
      </w:r>
    </w:p>
  </w:footnote>
  <w:footnote w:id="25">
    <w:p w14:paraId="47BC13AD" w14:textId="695ECE15"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The Poverty and Employment Precarity in Southern Ontario Research Group, “It’s More than Poverty: Employment Precarity and Household Wellbeing” (2013), </w:t>
      </w:r>
      <w:r w:rsidRPr="001D103B">
        <w:rPr>
          <w:szCs w:val="22"/>
        </w:rPr>
        <w:t>https://pepsouwt.files.wordpress.com/2013/02/its-more-than-poverty-feb-2013.pdf</w:t>
      </w:r>
      <w:r w:rsidRPr="00FC1AD2">
        <w:rPr>
          <w:rStyle w:val="Hyperlink"/>
          <w:szCs w:val="22"/>
        </w:rPr>
        <w:t xml:space="preserve">; </w:t>
      </w:r>
      <w:r w:rsidRPr="00FC1AD2">
        <w:rPr>
          <w:szCs w:val="22"/>
        </w:rPr>
        <w:t xml:space="preserve">The Poverty and Employment Precarity in Southern Ontario Research Group, “The Precarity Penalty: The Impact of Employment Precarity on Individuals, Households, and Communities – And What To Do About It” (2015), </w:t>
      </w:r>
      <w:r w:rsidRPr="001D103B">
        <w:rPr>
          <w:szCs w:val="22"/>
        </w:rPr>
        <w:t>https://pepsouwt.files.wordpress.com/2012/12/precarity-penalty-report_final-hires_trimmed.pdf</w:t>
      </w:r>
      <w:r w:rsidRPr="00FC1AD2">
        <w:rPr>
          <w:rStyle w:val="Hyperlink"/>
          <w:szCs w:val="22"/>
        </w:rPr>
        <w:t>.</w:t>
      </w:r>
    </w:p>
  </w:footnote>
  <w:footnote w:id="26">
    <w:p w14:paraId="5D1BFA2F" w14:textId="22E52BB4" w:rsidR="00762DFB" w:rsidRDefault="00762DFB">
      <w:pPr>
        <w:pStyle w:val="FootnoteText"/>
      </w:pPr>
      <w:r>
        <w:rPr>
          <w:rStyle w:val="FootnoteReference"/>
        </w:rPr>
        <w:footnoteRef/>
      </w:r>
      <w:r>
        <w:t xml:space="preserve"> C Michael Mitchell and John C Murray, “The Changing Workplaces Review: An Agenda for Workplace Rights: Final Report” (May 2017), </w:t>
      </w:r>
      <w:r w:rsidRPr="009F5B11">
        <w:t>https://files.ontario.ca/books/mol_changing_workplace_report_eng_2_0.pdf</w:t>
      </w:r>
      <w:r>
        <w:t>.</w:t>
      </w:r>
    </w:p>
  </w:footnote>
  <w:footnote w:id="27">
    <w:p w14:paraId="10FE487E" w14:textId="584D06F3" w:rsidR="00762DFB" w:rsidRPr="00203B5A" w:rsidRDefault="00762DFB">
      <w:pPr>
        <w:pStyle w:val="FootnoteText"/>
      </w:pPr>
      <w:r>
        <w:rPr>
          <w:rStyle w:val="FootnoteReference"/>
        </w:rPr>
        <w:footnoteRef/>
      </w:r>
      <w:r>
        <w:t xml:space="preserve"> </w:t>
      </w:r>
      <w:r w:rsidRPr="00203B5A">
        <w:rPr>
          <w:color w:val="663333"/>
          <w:szCs w:val="22"/>
        </w:rPr>
        <w:t>Bill 148, Fair Workplaces, Better Jobs Act in June 2017</w:t>
      </w:r>
    </w:p>
  </w:footnote>
  <w:footnote w:id="28">
    <w:p w14:paraId="3FE2D274" w14:textId="4EB002D7" w:rsidR="00762DFB" w:rsidRDefault="00762DFB">
      <w:pPr>
        <w:pStyle w:val="FootnoteText"/>
      </w:pPr>
      <w:r>
        <w:rPr>
          <w:rStyle w:val="FootnoteReference"/>
        </w:rPr>
        <w:footnoteRef/>
      </w:r>
      <w:r>
        <w:t xml:space="preserve"> </w:t>
      </w:r>
      <w:proofErr w:type="gramStart"/>
      <w:r>
        <w:t xml:space="preserve">Ontario Ministry of Labour, “Proposed Changes to Ontario’s Employment and Labour Laws”, 30 May 2017, </w:t>
      </w:r>
      <w:r w:rsidRPr="002C1D73">
        <w:t>https://news.ontario.ca/mol/en/2017/05/proposed-changes-to-ontarios-employment-and-labour-laws.html</w:t>
      </w:r>
      <w:r>
        <w:t>.</w:t>
      </w:r>
      <w:proofErr w:type="gramEnd"/>
    </w:p>
  </w:footnote>
  <w:footnote w:id="29">
    <w:p w14:paraId="111BCAB2" w14:textId="722B9D7F" w:rsidR="00762DFB" w:rsidRPr="007E30C4" w:rsidRDefault="00762DFB">
      <w:pPr>
        <w:pStyle w:val="FootnoteText"/>
      </w:pPr>
      <w:r>
        <w:rPr>
          <w:rStyle w:val="FootnoteReference"/>
        </w:rPr>
        <w:footnoteRef/>
      </w:r>
      <w:r>
        <w:t xml:space="preserve"> </w:t>
      </w:r>
      <w:proofErr w:type="gramStart"/>
      <w:r>
        <w:t>Interviews with Black Ontario Public Service Employees Network members.</w:t>
      </w:r>
      <w:proofErr w:type="gramEnd"/>
      <w:r>
        <w:t xml:space="preserve"> 2017.</w:t>
      </w:r>
    </w:p>
  </w:footnote>
  <w:footnote w:id="30">
    <w:p w14:paraId="5C5C99C2" w14:textId="7518B9D4"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Fay Faraday, “Canada’s Choice: Decent Work or Entrenched Exploitation for Canada’s Migrant Workers?” </w:t>
      </w:r>
      <w:proofErr w:type="gramStart"/>
      <w:r w:rsidRPr="00FC1AD2">
        <w:rPr>
          <w:szCs w:val="22"/>
        </w:rPr>
        <w:t xml:space="preserve">(2016) </w:t>
      </w:r>
      <w:r w:rsidRPr="00FC1AD2">
        <w:rPr>
          <w:i/>
          <w:szCs w:val="22"/>
        </w:rPr>
        <w:t>Metcalf Foundation</w:t>
      </w:r>
      <w:r w:rsidRPr="00FC1AD2">
        <w:rPr>
          <w:szCs w:val="22"/>
        </w:rPr>
        <w:t xml:space="preserve">, </w:t>
      </w:r>
      <w:r w:rsidRPr="001D103B">
        <w:rPr>
          <w:szCs w:val="22"/>
        </w:rPr>
        <w:t>http://metcalffoundation.com/stories/publications/canadas-choice/</w:t>
      </w:r>
      <w:r w:rsidRPr="00FC1AD2">
        <w:rPr>
          <w:szCs w:val="22"/>
        </w:rPr>
        <w:t>.</w:t>
      </w:r>
      <w:proofErr w:type="gramEnd"/>
    </w:p>
  </w:footnote>
  <w:footnote w:id="31">
    <w:p w14:paraId="3EC4E6E7" w14:textId="0C71DE69"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proofErr w:type="gramStart"/>
      <w:r w:rsidRPr="00FC1AD2">
        <w:rPr>
          <w:szCs w:val="22"/>
        </w:rPr>
        <w:t xml:space="preserve">Gerardo Otero and Kerry Preibisch, “Citizenship and Precarious Labour in Canadian Agriculture” (2015) </w:t>
      </w:r>
      <w:r w:rsidRPr="00FC1AD2">
        <w:rPr>
          <w:i/>
          <w:szCs w:val="22"/>
        </w:rPr>
        <w:t>Canadian Centre for Policy Alternatives</w:t>
      </w:r>
      <w:r w:rsidRPr="00FC1AD2">
        <w:rPr>
          <w:szCs w:val="22"/>
        </w:rPr>
        <w:t xml:space="preserve">, </w:t>
      </w:r>
      <w:r w:rsidRPr="001D103B">
        <w:rPr>
          <w:szCs w:val="22"/>
        </w:rPr>
        <w:t>https://www.policyalternatives.ca/publications/reports/citizenship-and-precarious-labour-canadian-agriculture</w:t>
      </w:r>
      <w:r w:rsidRPr="00FC1AD2">
        <w:rPr>
          <w:szCs w:val="22"/>
        </w:rPr>
        <w:t>.</w:t>
      </w:r>
      <w:proofErr w:type="gramEnd"/>
    </w:p>
  </w:footnote>
  <w:footnote w:id="32">
    <w:p w14:paraId="22DB09F5"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proofErr w:type="gramStart"/>
      <w:r w:rsidRPr="00FC1AD2">
        <w:rPr>
          <w:szCs w:val="22"/>
        </w:rPr>
        <w:t>Justicia for Migrant Workers, “Submission to the Standing Committee on the Review of the Temporary Foreign Worker Program,” http://www.ourcommons.ca/Content/Committee/421/HUMA/Brief/BR8361852/br-external/JusticiaforMigrantWorkers-e.pdf.</w:t>
      </w:r>
      <w:proofErr w:type="gramEnd"/>
    </w:p>
  </w:footnote>
  <w:footnote w:id="33">
    <w:p w14:paraId="70E42CBE" w14:textId="7E01722B"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Fay Faraday, “Canada’s Choice: Decent Work or Entrenched Exploitation for Canada’s Migrant Workers?” </w:t>
      </w:r>
      <w:proofErr w:type="gramStart"/>
      <w:r w:rsidRPr="00FC1AD2">
        <w:rPr>
          <w:szCs w:val="22"/>
        </w:rPr>
        <w:t xml:space="preserve">(2016) </w:t>
      </w:r>
      <w:r w:rsidRPr="00FC1AD2">
        <w:rPr>
          <w:i/>
          <w:szCs w:val="22"/>
        </w:rPr>
        <w:t>Metcalf Foundation</w:t>
      </w:r>
      <w:r w:rsidRPr="00FC1AD2">
        <w:rPr>
          <w:szCs w:val="22"/>
        </w:rPr>
        <w:t xml:space="preserve">, </w:t>
      </w:r>
      <w:r w:rsidRPr="001D103B">
        <w:rPr>
          <w:szCs w:val="22"/>
        </w:rPr>
        <w:t>http://metcalffoundation.com/stories/publications/canadas-choice/</w:t>
      </w:r>
      <w:r w:rsidRPr="00FC1AD2">
        <w:rPr>
          <w:szCs w:val="22"/>
        </w:rPr>
        <w:t>.</w:t>
      </w:r>
      <w:proofErr w:type="gramEnd"/>
    </w:p>
  </w:footnote>
  <w:footnote w:id="34">
    <w:p w14:paraId="7C95645D" w14:textId="2AD10F30" w:rsidR="00762DFB" w:rsidRPr="001D103B" w:rsidRDefault="00762DFB">
      <w:pPr>
        <w:pStyle w:val="FootnoteText"/>
        <w:rPr>
          <w:szCs w:val="22"/>
        </w:rPr>
      </w:pPr>
      <w:r w:rsidRPr="001D103B">
        <w:rPr>
          <w:rStyle w:val="FootnoteReference"/>
          <w:szCs w:val="22"/>
        </w:rPr>
        <w:footnoteRef/>
      </w:r>
      <w:r w:rsidRPr="001D103B">
        <w:rPr>
          <w:szCs w:val="22"/>
        </w:rPr>
        <w:t xml:space="preserve"> </w:t>
      </w:r>
      <w:bookmarkStart w:id="2" w:name="_Hlk483839169"/>
      <w:r w:rsidRPr="001D103B">
        <w:t xml:space="preserve">Edward A Koning and Keith G Banting, “Inequality </w:t>
      </w:r>
      <w:proofErr w:type="gramStart"/>
      <w:r w:rsidRPr="001D103B">
        <w:t>Below</w:t>
      </w:r>
      <w:proofErr w:type="gramEnd"/>
      <w:r w:rsidRPr="001D103B">
        <w:t xml:space="preserve"> the Surface: Reviewing Immigrants’ Access to and Utilization of Five Canadian Welfare Programs” (2013) 39:4 </w:t>
      </w:r>
      <w:r w:rsidRPr="001D103B">
        <w:rPr>
          <w:i/>
        </w:rPr>
        <w:t xml:space="preserve">Canadian Public Policy </w:t>
      </w:r>
      <w:r w:rsidRPr="001D103B">
        <w:t>234.</w:t>
      </w:r>
      <w:bookmarkEnd w:id="2"/>
    </w:p>
  </w:footnote>
  <w:footnote w:id="35">
    <w:p w14:paraId="6E8BB1D2" w14:textId="6E622B64" w:rsidR="00762DFB" w:rsidRPr="00642FD7" w:rsidRDefault="00762DFB">
      <w:pPr>
        <w:pStyle w:val="FootnoteText"/>
      </w:pPr>
      <w:r>
        <w:rPr>
          <w:rStyle w:val="FootnoteReference"/>
        </w:rPr>
        <w:footnoteRef/>
      </w:r>
      <w:r>
        <w:t xml:space="preserve"> Rosa Marchitelli. “</w:t>
      </w:r>
      <w:r w:rsidRPr="00E37324">
        <w:rPr>
          <w:rFonts w:eastAsia="Times New Roman"/>
          <w:color w:val="000000"/>
          <w:kern w:val="36"/>
          <w:szCs w:val="22"/>
          <w:lang w:eastAsia="en-CA"/>
        </w:rPr>
        <w:t>Migrant worker program called 'worse than slavery' after injured participants sent home without treatment</w:t>
      </w:r>
      <w:r>
        <w:rPr>
          <w:rFonts w:eastAsia="Times New Roman"/>
          <w:color w:val="000000"/>
          <w:kern w:val="36"/>
          <w:szCs w:val="22"/>
          <w:lang w:eastAsia="en-CA"/>
        </w:rPr>
        <w:t xml:space="preserve">”. CBC News. May 16, 2016. </w:t>
      </w:r>
      <w:r w:rsidRPr="00642FD7">
        <w:rPr>
          <w:rFonts w:eastAsia="Times New Roman"/>
          <w:color w:val="000000"/>
          <w:kern w:val="36"/>
          <w:szCs w:val="22"/>
          <w:lang w:eastAsia="en-CA"/>
        </w:rPr>
        <w:t>http://www.cbc.ca/news/canada/jamaican-farm-worker-sent-home-in-a-casket-1.3577643</w:t>
      </w:r>
    </w:p>
  </w:footnote>
  <w:footnote w:id="36">
    <w:p w14:paraId="0A3840FE"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Fannie Sunshine, “Changes to Parent and Grandparent Program Not Enough” </w:t>
      </w:r>
      <w:r w:rsidRPr="00FC1AD2">
        <w:rPr>
          <w:i/>
          <w:szCs w:val="22"/>
        </w:rPr>
        <w:t>InsideToronto.com</w:t>
      </w:r>
      <w:r w:rsidRPr="00FC1AD2">
        <w:rPr>
          <w:szCs w:val="22"/>
        </w:rPr>
        <w:t xml:space="preserve"> 20 December 2016.</w:t>
      </w:r>
    </w:p>
  </w:footnote>
  <w:footnote w:id="37">
    <w:p w14:paraId="2B2217D5"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Jacklyn Neborak, “Family Reunification? A Critical Analysis of Citizenship and Immigration Canada’s 2013 Reforms to the Family Class,” </w:t>
      </w:r>
      <w:r w:rsidRPr="00FC1AD2">
        <w:rPr>
          <w:i/>
          <w:szCs w:val="22"/>
        </w:rPr>
        <w:t xml:space="preserve">Ryerson Centre form Immigration and Settlement Working Paper No 2013/8 </w:t>
      </w:r>
      <w:r w:rsidRPr="00FC1AD2">
        <w:rPr>
          <w:szCs w:val="22"/>
        </w:rPr>
        <w:t>(2013).</w:t>
      </w:r>
    </w:p>
  </w:footnote>
  <w:footnote w:id="38">
    <w:p w14:paraId="4E451952"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Kathleen Harris, “Liberals ‘Doubly Committed’ to Tackling Marriage Fraud While Ending 2-Year Spousal Residency Rule” </w:t>
      </w:r>
      <w:r w:rsidRPr="00FC1AD2">
        <w:rPr>
          <w:i/>
          <w:szCs w:val="22"/>
        </w:rPr>
        <w:t>CBC News</w:t>
      </w:r>
      <w:r w:rsidRPr="00FC1AD2">
        <w:rPr>
          <w:szCs w:val="22"/>
        </w:rPr>
        <w:t>, 28 April 2017, http://www.cbc.ca/news/politics/liberal-immigration-marriage-fraud-1.4090694.</w:t>
      </w:r>
    </w:p>
  </w:footnote>
  <w:footnote w:id="39">
    <w:p w14:paraId="4BE944B1"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Nicholas Keung, “Immigration Guide for Detecting Marriage Fraud Called ‘Racist and Offensive,’” </w:t>
      </w:r>
      <w:r w:rsidRPr="00FC1AD2">
        <w:rPr>
          <w:i/>
          <w:szCs w:val="22"/>
        </w:rPr>
        <w:t xml:space="preserve">Toronto Star </w:t>
      </w:r>
      <w:r w:rsidRPr="00FC1AD2">
        <w:rPr>
          <w:szCs w:val="22"/>
        </w:rPr>
        <w:t>(19 May 2015), online: &lt;https://www.thestar.com/news/immigration/2015/05/19/immigration-guide-for-detecting-marriage-fraud-called-racist-and-offensive.html&gt;.</w:t>
      </w:r>
    </w:p>
  </w:footnote>
  <w:footnote w:id="40">
    <w:p w14:paraId="4EFD1557" w14:textId="41E4A36E"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proofErr w:type="gramStart"/>
      <w:r w:rsidRPr="00FC1AD2">
        <w:rPr>
          <w:szCs w:val="22"/>
        </w:rPr>
        <w:t>Government of Canada, “Canada-US Safe Third Country Agreement,” http://www.cic.gc.ca/english/department/laws-policy/menu-safethird.asp.</w:t>
      </w:r>
      <w:proofErr w:type="gramEnd"/>
    </w:p>
  </w:footnote>
  <w:footnote w:id="41">
    <w:p w14:paraId="5E2878AE" w14:textId="6134D466"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proofErr w:type="gramStart"/>
      <w:r w:rsidRPr="00FC1AD2">
        <w:rPr>
          <w:szCs w:val="22"/>
        </w:rPr>
        <w:t xml:space="preserve">Nicole Thompson, “Lawyers Urge Ottawa to Make Changes to Safe Third Country Agreement” </w:t>
      </w:r>
      <w:r w:rsidRPr="00FC1AD2">
        <w:rPr>
          <w:i/>
          <w:szCs w:val="22"/>
        </w:rPr>
        <w:t>Globe and Mail</w:t>
      </w:r>
      <w:r w:rsidRPr="00FC1AD2">
        <w:rPr>
          <w:szCs w:val="22"/>
        </w:rPr>
        <w:t>, 12 February 2017, https://www.theglobeandmail.com/news/politics/lawyers-urge-canada-to-make-changes-to-safe-third-country-agreement/article33994208/.</w:t>
      </w:r>
      <w:proofErr w:type="gramEnd"/>
    </w:p>
  </w:footnote>
  <w:footnote w:id="42">
    <w:p w14:paraId="51AA8F64" w14:textId="2163F12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proofErr w:type="gramStart"/>
      <w:r w:rsidRPr="00FC1AD2">
        <w:rPr>
          <w:szCs w:val="22"/>
        </w:rPr>
        <w:t>Amnesty International, “Canada Must Strip USA of “Safe Third Country” Designation for Refugee Claimants” 30 January 2017, http://www.amnesty.ca/news/amnesty-international-canada-must-strip-usa-%E2%80%9Csafe-third-country%E2%80%9D-designation-refugee-claimants.</w:t>
      </w:r>
      <w:proofErr w:type="gramEnd"/>
    </w:p>
  </w:footnote>
  <w:footnote w:id="43">
    <w:p w14:paraId="5099B1FE" w14:textId="46F861A2"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Carl Meyers, “Canada is Sharing Info on Asylum Seekers with the Trump Administration” 10 March 2017, http://ccrweb.ca/en/canada-sharing-info-asylum-seekers-trump-administration.</w:t>
      </w:r>
    </w:p>
  </w:footnote>
  <w:footnote w:id="44">
    <w:p w14:paraId="5AE7423B" w14:textId="6903975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proofErr w:type="gramStart"/>
      <w:r w:rsidRPr="00FC1AD2">
        <w:rPr>
          <w:szCs w:val="22"/>
        </w:rPr>
        <w:t>Government of Canada, “Designated Countries of Origin,” http://www.cic.gc.ca/english/refugees/reform-safe.asp.</w:t>
      </w:r>
      <w:proofErr w:type="gramEnd"/>
    </w:p>
  </w:footnote>
  <w:footnote w:id="45">
    <w:p w14:paraId="17669A19" w14:textId="622CD361" w:rsidR="00762DFB" w:rsidRPr="00FC1AD2" w:rsidRDefault="00762DFB">
      <w:pPr>
        <w:pStyle w:val="FootnoteText"/>
        <w:rPr>
          <w:szCs w:val="22"/>
        </w:rPr>
      </w:pPr>
      <w:r w:rsidRPr="00FC1AD2">
        <w:rPr>
          <w:rStyle w:val="FootnoteReference"/>
          <w:szCs w:val="22"/>
        </w:rPr>
        <w:footnoteRef/>
      </w:r>
      <w:r w:rsidRPr="00FC1AD2">
        <w:rPr>
          <w:szCs w:val="22"/>
        </w:rPr>
        <w:t xml:space="preserve"> Idil Atak, Graham Hudson, and Delphine Nakache, “‘Making Canada’s Refugee System Faster and Fairer’: Reviewing the Stated Goals and Unintended Consequences of the 2012 Reform” (2017) </w:t>
      </w:r>
      <w:r w:rsidRPr="00FC1AD2">
        <w:rPr>
          <w:i/>
          <w:szCs w:val="22"/>
        </w:rPr>
        <w:t>Canadian Association for Refugee and Forced Migration Studies</w:t>
      </w:r>
      <w:r w:rsidRPr="00FC1AD2">
        <w:rPr>
          <w:szCs w:val="22"/>
        </w:rPr>
        <w:t>, http://carfms.org/wp-content/uploads/2017/05/CARFMS-WPS-No11-Idil-Atak.pdf.</w:t>
      </w:r>
    </w:p>
  </w:footnote>
  <w:footnote w:id="46">
    <w:p w14:paraId="3DEF51F0"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proofErr w:type="gramStart"/>
      <w:r w:rsidRPr="00FC1AD2">
        <w:rPr>
          <w:szCs w:val="22"/>
        </w:rPr>
        <w:t>Envisioning Global LGBT Human Rights, “Is Canada a Safe Haven?”</w:t>
      </w:r>
      <w:proofErr w:type="gramEnd"/>
      <w:r w:rsidRPr="00FC1AD2">
        <w:rPr>
          <w:szCs w:val="22"/>
        </w:rPr>
        <w:t xml:space="preserve"> (September 2015), online: &lt;https://www.dropbox.com/s/nn9qork9zqi2da1/Is%20Canada%20A%20Safe%20Haven%20-%20Report%202015.pdf?dl=0&gt;; DAB Murray, “‘Authentic’ LGBT Refugee Claimants and Homonationalism in the Canadian Refugee System” (2014) 56:1 </w:t>
      </w:r>
      <w:r w:rsidRPr="00FC1AD2">
        <w:rPr>
          <w:i/>
          <w:szCs w:val="22"/>
        </w:rPr>
        <w:t>Anthropologica</w:t>
      </w:r>
      <w:r w:rsidRPr="00FC1AD2">
        <w:rPr>
          <w:szCs w:val="22"/>
        </w:rPr>
        <w:t>.</w:t>
      </w:r>
    </w:p>
  </w:footnote>
  <w:footnote w:id="47">
    <w:p w14:paraId="7672A785" w14:textId="4ABA6D0C"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Immigration and Refugee Board of Canada, “Chairperson’s Guideline 9: Proceedings </w:t>
      </w:r>
      <w:proofErr w:type="gramStart"/>
      <w:r w:rsidRPr="00FC1AD2">
        <w:rPr>
          <w:szCs w:val="22"/>
        </w:rPr>
        <w:t>Before</w:t>
      </w:r>
      <w:proofErr w:type="gramEnd"/>
      <w:r w:rsidRPr="00FC1AD2">
        <w:rPr>
          <w:szCs w:val="22"/>
        </w:rPr>
        <w:t xml:space="preserve"> the IRB Involving Sexual Orientation and Gender Identity and Expression” 1 May 2017, http://www.irb-cisr.gc.ca/Eng/BoaCom/references/pol/GuiDir/Pages/GuideDir09.aspx.</w:t>
      </w:r>
    </w:p>
  </w:footnote>
  <w:footnote w:id="48">
    <w:p w14:paraId="27917F38" w14:textId="7CBB112A"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proofErr w:type="gramStart"/>
      <w:r w:rsidRPr="00FC1AD2">
        <w:rPr>
          <w:szCs w:val="22"/>
        </w:rPr>
        <w:t>Immigration and Refugee Board of Canada, “Policy on the Use of Chairperson’s Guidelines” 27 October 2003, http://www.irb-cisr.gc.ca/Eng/BoaCom/references/pol/pol/Pages/PolGuideDir.aspx.</w:t>
      </w:r>
      <w:proofErr w:type="gramEnd"/>
    </w:p>
  </w:footnote>
  <w:footnote w:id="49">
    <w:p w14:paraId="13CA6262" w14:textId="29226766"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Canadian Border Services Agency, “Detention Statistics” last modified 23 May 2017, http://www.cbsa-asfc.gc.ca/security-securite/detent-stat-eng.html.</w:t>
      </w:r>
    </w:p>
  </w:footnote>
  <w:footnote w:id="50">
    <w:p w14:paraId="562D17AD" w14:textId="3D1C5172"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w:t>
      </w:r>
      <w:proofErr w:type="gramStart"/>
      <w:r w:rsidRPr="00FC1AD2">
        <w:rPr>
          <w:szCs w:val="22"/>
        </w:rPr>
        <w:t>Never Home, “Legislating Discrimination in Canadian Immigration” (2015), http://www.neverhome.ca/detention/.</w:t>
      </w:r>
      <w:proofErr w:type="gramEnd"/>
    </w:p>
  </w:footnote>
  <w:footnote w:id="51">
    <w:p w14:paraId="578FDCC3" w14:textId="77777777"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Brendan Kennedy, “Jailed Seven Years by Canada, Kashif Ali Now Walks Free,” </w:t>
      </w:r>
      <w:r w:rsidRPr="00FC1AD2">
        <w:rPr>
          <w:i/>
          <w:szCs w:val="22"/>
        </w:rPr>
        <w:t xml:space="preserve">Toronto Star </w:t>
      </w:r>
      <w:r w:rsidRPr="00FC1AD2">
        <w:rPr>
          <w:szCs w:val="22"/>
        </w:rPr>
        <w:t>(28 April 2017), online: &lt;https://www.thestar.com/news/canada/2017/04/28/jailed-seven-years-by-canada-kashif-ali-now-walks-free.html&gt;.</w:t>
      </w:r>
    </w:p>
  </w:footnote>
  <w:footnote w:id="52">
    <w:p w14:paraId="2618E358" w14:textId="23D7C17B" w:rsidR="00762DFB" w:rsidRPr="00150D54" w:rsidRDefault="00762DFB">
      <w:pPr>
        <w:pStyle w:val="FootnoteText"/>
      </w:pPr>
      <w:r>
        <w:rPr>
          <w:rStyle w:val="FootnoteReference"/>
        </w:rPr>
        <w:footnoteRef/>
      </w:r>
      <w:r>
        <w:t xml:space="preserve"> Brendan Kennedy, “I can’t tell them what I don’t know,” </w:t>
      </w:r>
      <w:r>
        <w:rPr>
          <w:i/>
        </w:rPr>
        <w:t xml:space="preserve">Toronto Star </w:t>
      </w:r>
      <w:r>
        <w:t>(17 March 2017), online: &lt;</w:t>
      </w:r>
      <w:r w:rsidRPr="00150D54">
        <w:t>http://projects.thestar.com/caged-by-canada-immigration-detention/part-2/</w:t>
      </w:r>
      <w:r>
        <w:t>&gt;.</w:t>
      </w:r>
    </w:p>
  </w:footnote>
  <w:footnote w:id="53">
    <w:p w14:paraId="526CA005" w14:textId="09492C4D"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Syed Hussan, “Indefinite, Arbitrary and Unfair: The Truth </w:t>
      </w:r>
      <w:proofErr w:type="gramStart"/>
      <w:r w:rsidRPr="00FC1AD2">
        <w:rPr>
          <w:szCs w:val="22"/>
        </w:rPr>
        <w:t>About</w:t>
      </w:r>
      <w:proofErr w:type="gramEnd"/>
      <w:r w:rsidRPr="00FC1AD2">
        <w:rPr>
          <w:szCs w:val="22"/>
        </w:rPr>
        <w:t xml:space="preserve"> Immigration Detention in Canada” (2014) </w:t>
      </w:r>
      <w:r w:rsidRPr="00FC1AD2">
        <w:rPr>
          <w:i/>
          <w:szCs w:val="22"/>
        </w:rPr>
        <w:t>End Immigration Detention Network</w:t>
      </w:r>
      <w:r w:rsidRPr="00FC1AD2">
        <w:rPr>
          <w:szCs w:val="22"/>
        </w:rPr>
        <w:t>.</w:t>
      </w:r>
    </w:p>
  </w:footnote>
  <w:footnote w:id="54">
    <w:p w14:paraId="2C43B84F" w14:textId="5508F31D"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International Human Rights Program, University of Toronto, “We Have No Rights: Arbitrary Imprisonment and Cruel Treatment of Migrants with Mental Health Issues in Canada” (2015), </w:t>
      </w:r>
      <w:r w:rsidRPr="001D103B">
        <w:rPr>
          <w:szCs w:val="22"/>
        </w:rPr>
        <w:t>http://ihrp.law.utoronto.ca/utfl_file/count/PUBLICATIONS/IHRP%20We%20Have%20No%20Rights%20Report%20web%20170615.pdf</w:t>
      </w:r>
      <w:r w:rsidRPr="00FC1AD2">
        <w:rPr>
          <w:szCs w:val="22"/>
        </w:rPr>
        <w:t>.</w:t>
      </w:r>
    </w:p>
  </w:footnote>
  <w:footnote w:id="55">
    <w:p w14:paraId="3D027608" w14:textId="709E250A"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International Human Rights Program, University of Toronto, “We Have No Rights: Arbitrary Imprisonment and Cruel Treatment of Migrants with Mental Health Issues in Canada” (2015), </w:t>
      </w:r>
      <w:r w:rsidRPr="001D103B">
        <w:rPr>
          <w:szCs w:val="22"/>
        </w:rPr>
        <w:t>http://ihrp.law.utoronto.ca/utfl_file/count/PUBLICATIONS/IHRP%20We%20Have%20No%20Rights%20Report%20web%20170615.pdf</w:t>
      </w:r>
      <w:r w:rsidRPr="00FC1AD2">
        <w:rPr>
          <w:szCs w:val="22"/>
        </w:rPr>
        <w:t>.</w:t>
      </w:r>
    </w:p>
  </w:footnote>
  <w:footnote w:id="56">
    <w:p w14:paraId="2276E7C0" w14:textId="190DA3D5" w:rsidR="00762DFB" w:rsidRPr="00FC1AD2" w:rsidRDefault="00762DFB" w:rsidP="006132CB">
      <w:pPr>
        <w:pStyle w:val="FootnoteText"/>
        <w:rPr>
          <w:szCs w:val="22"/>
        </w:rPr>
      </w:pPr>
      <w:r w:rsidRPr="00FC1AD2">
        <w:rPr>
          <w:rStyle w:val="FootnoteReference"/>
          <w:szCs w:val="22"/>
        </w:rPr>
        <w:footnoteRef/>
      </w:r>
      <w:r w:rsidRPr="00FC1AD2">
        <w:rPr>
          <w:szCs w:val="22"/>
        </w:rPr>
        <w:t xml:space="preserve"> Muriel Draaisma, “Federal Government Reviewing Immigration Detention Process </w:t>
      </w:r>
      <w:proofErr w:type="gramStart"/>
      <w:r w:rsidRPr="00FC1AD2">
        <w:rPr>
          <w:szCs w:val="22"/>
        </w:rPr>
        <w:t>After</w:t>
      </w:r>
      <w:proofErr w:type="gramEnd"/>
      <w:r w:rsidRPr="00FC1AD2">
        <w:rPr>
          <w:szCs w:val="22"/>
        </w:rPr>
        <w:t xml:space="preserve"> String of Deaths” CBC News, 16 May 2016, http://www.cbc.ca/news/canada/toronto/public-safety-immigration-detention-1.3584700.</w:t>
      </w:r>
    </w:p>
  </w:footnote>
  <w:footnote w:id="57">
    <w:p w14:paraId="55025436" w14:textId="4C022EE7" w:rsidR="00762DFB" w:rsidRPr="005C1E3A"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University of Toronto International Human Rights Program, “Invisible Citizens: Canadian Children in Immigration Detention” (2017), </w:t>
      </w:r>
      <w:r w:rsidRPr="001D103B">
        <w:rPr>
          <w:szCs w:val="22"/>
        </w:rPr>
        <w:t>http://ihrp.law.utoronto.ca/utfl_file/count/PUBLICATIONS/Report-InvisibleCitizens.pdf</w:t>
      </w:r>
      <w:r w:rsidRPr="00FC1AD2">
        <w:rPr>
          <w:szCs w:val="22"/>
        </w:rPr>
        <w:t>.</w:t>
      </w:r>
    </w:p>
  </w:footnote>
  <w:footnote w:id="58">
    <w:p w14:paraId="55658138" w14:textId="02CEA76F"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Canadian Association of Refugee Lawyers, “Designated Foreign Nationals Regime” http://www.carl-acaadr.ca/our-work/issues/DFNR.</w:t>
      </w:r>
      <w:proofErr w:type="gramEnd"/>
    </w:p>
  </w:footnote>
  <w:footnote w:id="59">
    <w:p w14:paraId="321B26DF" w14:textId="7BE46452" w:rsidR="00762DFB" w:rsidRPr="005C1E3A"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University of Toronto International Human Rights Program, “Invisible Citizens: Canadian Children in Immigration Detention” (2017), </w:t>
      </w:r>
      <w:r w:rsidRPr="001D103B">
        <w:rPr>
          <w:szCs w:val="22"/>
        </w:rPr>
        <w:t>http://ihrp.law.utoronto.ca/utfl_file/count/PUBLICATIONS/Report-InvisibleCitizens.pdf</w:t>
      </w:r>
      <w:r w:rsidRPr="00FC1AD2">
        <w:rPr>
          <w:szCs w:val="22"/>
        </w:rPr>
        <w:t>.</w:t>
      </w:r>
    </w:p>
  </w:footnote>
  <w:footnote w:id="60">
    <w:p w14:paraId="56AF1792" w14:textId="77777777"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Canadian Human Rights Commission, “Human Rights Accountability in National Security Practices: A Special Report to Parliament,” (November 2011),</w:t>
      </w:r>
      <w:r w:rsidRPr="00FC1AD2">
        <w:rPr>
          <w:szCs w:val="22"/>
        </w:rPr>
        <w:t xml:space="preserve"> online: &lt;http://www.chrc-ccdp.gc.ca/sites/default/files/chrc-specialreport-28112011.pdf&gt;.</w:t>
      </w:r>
    </w:p>
  </w:footnote>
  <w:footnote w:id="61">
    <w:p w14:paraId="16281EB9" w14:textId="0CAC45EF"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See, for example, </w:t>
      </w:r>
      <w:bookmarkStart w:id="3" w:name="_Hlk483554881"/>
      <w:r w:rsidRPr="00FC1AD2">
        <w:rPr>
          <w:szCs w:val="22"/>
        </w:rPr>
        <w:t>Public Safety Canada, “Building Resilience Against Terrorism: Canada’s Counter-Terrorism Strategy,” (2012), http://www.publicsafety.gc.ca/cnt/rsrcs/pblctns/rslnc-gnst-trrrsm/index-en.aspx</w:t>
      </w:r>
      <w:bookmarkEnd w:id="3"/>
      <w:r w:rsidRPr="00FC1AD2">
        <w:rPr>
          <w:szCs w:val="22"/>
        </w:rPr>
        <w:t xml:space="preserve">; </w:t>
      </w:r>
      <w:bookmarkStart w:id="4" w:name="_Hlk483554961"/>
      <w:r w:rsidRPr="00FC1AD2">
        <w:rPr>
          <w:szCs w:val="22"/>
        </w:rPr>
        <w:t>Public Safety Canada, “2013 Public Report on the Terrorist Threat to Canada,” (2013), http://www.publicsafety.gc.ca/cnt/rsrcs/pblctns/trrrst-thrt-cnd/index-en.aspx</w:t>
      </w:r>
      <w:bookmarkEnd w:id="4"/>
      <w:r w:rsidRPr="00FC1AD2">
        <w:rPr>
          <w:szCs w:val="22"/>
        </w:rPr>
        <w:t xml:space="preserve">; </w:t>
      </w:r>
      <w:bookmarkStart w:id="5" w:name="_Hlk483554993"/>
      <w:r w:rsidRPr="00FC1AD2">
        <w:rPr>
          <w:szCs w:val="22"/>
        </w:rPr>
        <w:t>Public Safety Canada, “2014 Public Report on the Terrorist Threat to Canada,” (2014), http://www.publicsafety.gc.ca/cnt/rsrcs/pblctns/2014-pblc-rpr-trrrst-thrt/index-en.aspx</w:t>
      </w:r>
      <w:bookmarkEnd w:id="5"/>
      <w:r w:rsidRPr="00FC1AD2">
        <w:rPr>
          <w:szCs w:val="22"/>
        </w:rPr>
        <w:t xml:space="preserve">; </w:t>
      </w:r>
      <w:bookmarkStart w:id="6" w:name="_Hlk483555016"/>
      <w:r w:rsidRPr="00FC1AD2">
        <w:rPr>
          <w:szCs w:val="22"/>
        </w:rPr>
        <w:t>Public Safety Canada, “2016 Public Report on the Terrorist Threat to Canada,” (2016), https://www.publicsafety.gc.ca/cnt/rsrcs/pblctns/2016-pblc-rpr-trrrst-thrt/index-en.aspx.</w:t>
      </w:r>
      <w:bookmarkEnd w:id="6"/>
    </w:p>
  </w:footnote>
  <w:footnote w:id="62">
    <w:p w14:paraId="1C2F5B27" w14:textId="01890A8E"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Barbara Perry and Ryan Scrivens, “Uneasy Alliances: A Look at the Right-Wing Extremist Movement in Canada” (2016) 39:9 </w:t>
      </w:r>
      <w:r w:rsidRPr="00FC1AD2">
        <w:rPr>
          <w:i/>
          <w:szCs w:val="22"/>
        </w:rPr>
        <w:t xml:space="preserve">Studies in Conflict and Terrorism </w:t>
      </w:r>
      <w:r w:rsidRPr="00FC1AD2">
        <w:rPr>
          <w:szCs w:val="22"/>
        </w:rPr>
        <w:t>819.</w:t>
      </w:r>
    </w:p>
  </w:footnote>
  <w:footnote w:id="63">
    <w:p w14:paraId="5FC8A6A1" w14:textId="38CD83AF"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Ontario Human Rights Commission, “Under Suspicion: Research and Consultation Report on Racial Profiling in Ontario” (2017), http://ohrc.on.ca/en/under-suspicion-research-and-consultation-report-racial-profiling-ontario</w:t>
      </w:r>
      <w:r w:rsidRPr="005C1E3A">
        <w:rPr>
          <w:szCs w:val="22"/>
        </w:rPr>
        <w:t xml:space="preserve">; </w:t>
      </w:r>
      <w:r w:rsidRPr="00FC1AD2">
        <w:rPr>
          <w:szCs w:val="22"/>
        </w:rPr>
        <w:t xml:space="preserve">Baljit Nagra and Paula Maurutto, “Crossing Borders and Managing Racialized Identities: Experiences of Security and Surveillance </w:t>
      </w:r>
      <w:proofErr w:type="gramStart"/>
      <w:r w:rsidRPr="00FC1AD2">
        <w:rPr>
          <w:szCs w:val="22"/>
        </w:rPr>
        <w:t>Among</w:t>
      </w:r>
      <w:proofErr w:type="gramEnd"/>
      <w:r w:rsidRPr="00FC1AD2">
        <w:rPr>
          <w:szCs w:val="22"/>
        </w:rPr>
        <w:t xml:space="preserve"> Young Canadian Muslims” (2016) 41:2 </w:t>
      </w:r>
      <w:r w:rsidRPr="00FC1AD2">
        <w:rPr>
          <w:i/>
          <w:szCs w:val="22"/>
        </w:rPr>
        <w:t>Canadian Journal of Sociology</w:t>
      </w:r>
      <w:r w:rsidRPr="00FC1AD2">
        <w:rPr>
          <w:szCs w:val="22"/>
        </w:rPr>
        <w:t xml:space="preserve"> 165.</w:t>
      </w:r>
    </w:p>
  </w:footnote>
  <w:footnote w:id="64">
    <w:p w14:paraId="2FAD68EC" w14:textId="7C4D415C" w:rsidR="00762DFB" w:rsidRPr="005C1E3A" w:rsidRDefault="00762DFB" w:rsidP="001D103B">
      <w:pPr>
        <w:tabs>
          <w:tab w:val="left" w:pos="7797"/>
        </w:tabs>
        <w:spacing w:after="0"/>
        <w:rPr>
          <w:szCs w:val="22"/>
        </w:rPr>
      </w:pPr>
      <w:r w:rsidRPr="00FC1AD2">
        <w:rPr>
          <w:rStyle w:val="FootnoteReference"/>
          <w:sz w:val="22"/>
          <w:szCs w:val="22"/>
        </w:rPr>
        <w:footnoteRef/>
      </w:r>
      <w:r w:rsidRPr="00FC1AD2">
        <w:rPr>
          <w:sz w:val="22"/>
          <w:szCs w:val="22"/>
        </w:rPr>
        <w:t xml:space="preserve"> International Civil Liberties Monitoring Group, “Report of the Information Clearinghouse on Border Controls and Infringements to Travellers’ Rights” (2014), </w:t>
      </w:r>
      <w:r w:rsidRPr="001D103B">
        <w:rPr>
          <w:sz w:val="22"/>
          <w:szCs w:val="22"/>
        </w:rPr>
        <w:t>http://iclmg.ca/wp-content/uploads/sites/37/2014/03/R-Clearinghouse-border-controls.pdf</w:t>
      </w:r>
      <w:r w:rsidRPr="00FC1AD2">
        <w:rPr>
          <w:sz w:val="22"/>
          <w:szCs w:val="22"/>
        </w:rPr>
        <w:t xml:space="preserve">. </w:t>
      </w:r>
    </w:p>
  </w:footnote>
  <w:footnote w:id="65">
    <w:p w14:paraId="2A9EF7EF" w14:textId="09167C89"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Ontario Human Rights Commission, “Under Suspicion: Research and Consultation Report on Racial Profiling in Ontario” (2017), http://ohrc.on.ca/en/under-suspicion-research-and-consultation-report-racial-profiling-ontario.</w:t>
      </w:r>
    </w:p>
  </w:footnote>
  <w:footnote w:id="66">
    <w:p w14:paraId="2F9A4944" w14:textId="4F2DCA3D"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Aurangzeb Qureshi, “This Bill Will Make it Even Riskier for Muslims to Cross the Border to the US” </w:t>
      </w:r>
      <w:r w:rsidRPr="00FC1AD2">
        <w:rPr>
          <w:i/>
          <w:szCs w:val="22"/>
        </w:rPr>
        <w:t>CBC News</w:t>
      </w:r>
      <w:r w:rsidRPr="00FC1AD2">
        <w:rPr>
          <w:szCs w:val="22"/>
        </w:rPr>
        <w:t>, 8 March 2017, http://www.cbc.ca/news/opinion/bill-c-23-1.4014113.</w:t>
      </w:r>
    </w:p>
  </w:footnote>
  <w:footnote w:id="67">
    <w:p w14:paraId="44C14B12" w14:textId="31F25D6A"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Sean Craig, “RCMP Tracked 89 Indigenous Activists Considered ‘Threats’ for Participating in Protests” </w:t>
      </w:r>
      <w:r w:rsidRPr="00FC1AD2">
        <w:rPr>
          <w:i/>
          <w:szCs w:val="22"/>
        </w:rPr>
        <w:t>National Post</w:t>
      </w:r>
      <w:r w:rsidRPr="00FC1AD2">
        <w:rPr>
          <w:szCs w:val="22"/>
        </w:rPr>
        <w:t>, 13 November 2016, http://news.nationalpost.com/news/canada/rcmp-tracked-89-indigenous-activists-considered-threats-for-participating-in-protests.</w:t>
      </w:r>
    </w:p>
  </w:footnote>
  <w:footnote w:id="68">
    <w:p w14:paraId="661BDDD8" w14:textId="6D9B3C06"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Audrey Macklin, “The Canadian Security Certificate Regime” (2009) </w:t>
      </w:r>
      <w:r w:rsidRPr="00FC1AD2">
        <w:rPr>
          <w:i/>
          <w:szCs w:val="22"/>
        </w:rPr>
        <w:t>Centre for European Policy Studies</w:t>
      </w:r>
      <w:r w:rsidRPr="00FC1AD2">
        <w:rPr>
          <w:szCs w:val="22"/>
        </w:rPr>
        <w:t>, http://aei.pitt.edu/10757/1/1819.pdf.</w:t>
      </w:r>
    </w:p>
  </w:footnote>
  <w:footnote w:id="69">
    <w:p w14:paraId="4B8B9353" w14:textId="2A7ED3E1" w:rsidR="00762DFB" w:rsidRPr="00FC1AD2" w:rsidRDefault="00762DFB">
      <w:pPr>
        <w:pStyle w:val="FootnoteText"/>
        <w:rPr>
          <w:szCs w:val="22"/>
        </w:rPr>
      </w:pPr>
      <w:r w:rsidRPr="005C1E3A">
        <w:rPr>
          <w:rStyle w:val="FootnoteReference"/>
          <w:szCs w:val="22"/>
        </w:rPr>
        <w:footnoteRef/>
      </w:r>
      <w:r w:rsidRPr="005C1E3A">
        <w:rPr>
          <w:szCs w:val="22"/>
        </w:rPr>
        <w:t xml:space="preserve"> Andrew Duffy, “Government Launches Deportation Proceedings </w:t>
      </w:r>
      <w:proofErr w:type="gramStart"/>
      <w:r w:rsidRPr="005C1E3A">
        <w:rPr>
          <w:szCs w:val="22"/>
        </w:rPr>
        <w:t>Against</w:t>
      </w:r>
      <w:proofErr w:type="gramEnd"/>
      <w:r w:rsidRPr="005C1E3A">
        <w:rPr>
          <w:szCs w:val="22"/>
        </w:rPr>
        <w:t xml:space="preserve"> Harkat</w:t>
      </w:r>
      <w:r w:rsidRPr="00FC1AD2">
        <w:rPr>
          <w:szCs w:val="22"/>
        </w:rPr>
        <w:t xml:space="preserve">” </w:t>
      </w:r>
      <w:r w:rsidRPr="00FC1AD2">
        <w:rPr>
          <w:i/>
          <w:szCs w:val="22"/>
        </w:rPr>
        <w:t>Ottawa Citizen</w:t>
      </w:r>
      <w:r w:rsidRPr="00FC1AD2">
        <w:rPr>
          <w:szCs w:val="22"/>
        </w:rPr>
        <w:t>, 18 September 2015, http://ottawacitizen.com/uncategorized/government-moves-to-deport-harkat</w:t>
      </w:r>
      <w:r w:rsidRPr="005C1E3A">
        <w:rPr>
          <w:szCs w:val="22"/>
        </w:rPr>
        <w:t xml:space="preserve">; Matthew Behrens, </w:t>
      </w:r>
      <w:r w:rsidRPr="00FC1AD2">
        <w:rPr>
          <w:szCs w:val="22"/>
        </w:rPr>
        <w:t xml:space="preserve">“Trudeau’s Torture Policies No Different Than Trump’s” </w:t>
      </w:r>
      <w:r w:rsidRPr="00FC1AD2">
        <w:rPr>
          <w:i/>
          <w:szCs w:val="22"/>
        </w:rPr>
        <w:t xml:space="preserve">Rabble, </w:t>
      </w:r>
      <w:r w:rsidRPr="00FC1AD2">
        <w:rPr>
          <w:szCs w:val="22"/>
        </w:rPr>
        <w:t>24 February 2017, http://rabble.ca/columnists/2017-02-24t000000/trudeaus-torture-policies-no-different-trumps.</w:t>
      </w:r>
    </w:p>
  </w:footnote>
  <w:footnote w:id="70">
    <w:p w14:paraId="55C4F87E" w14:textId="1FCDA8C5"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British Columbia Civil Liberties Association, “8 Things You Need to Know About Bill C-51” 11 March 2015, https://bccla.org/2015/03/8-things-you-need-to-know-about-bill-c-51/</w:t>
      </w:r>
      <w:r w:rsidRPr="005C1E3A">
        <w:rPr>
          <w:szCs w:val="22"/>
        </w:rPr>
        <w:t>;</w:t>
      </w:r>
      <w:r w:rsidRPr="00FC1AD2">
        <w:rPr>
          <w:szCs w:val="22"/>
        </w:rPr>
        <w:t xml:space="preserve"> Canadian Civil Liberties Association and Canadian Journalists for Free Expression, Challenge to Bill C-51 in Ontario Superior Court, https://ccla.org/cclanewsite/wp-content/uploads/2015/08/Issued-Notice-of-Application-Bill-C-51-C1383715xA0E3A.pdf.</w:t>
      </w:r>
    </w:p>
  </w:footnote>
  <w:footnote w:id="71">
    <w:p w14:paraId="202A6B38" w14:textId="7B3CA15D"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Frank Iacoubucci, “Internal Inquiry into the Actions of Canadian Officials in Relation to Abdullah Almalki, Ahmad Abou-Elmaati and Muayyed Nureddin” (2008), http://epe.lac-bac.gc.ca/100/206/301/pco-bcp/commissions/internal_inquiry/2010-03-09/www.iacobucciinquiry.ca/pdfs/documents/final-report-copy-en.pdf</w:t>
      </w:r>
      <w:r w:rsidRPr="005C1E3A">
        <w:rPr>
          <w:szCs w:val="22"/>
        </w:rPr>
        <w:t xml:space="preserve">; </w:t>
      </w:r>
      <w:r w:rsidRPr="00FC1AD2">
        <w:rPr>
          <w:szCs w:val="22"/>
        </w:rPr>
        <w:t>Dennis O’Connor, “Report of the Events Relating to Maher Arar” (2006), http://www.sirc-csars.gc.ca/pdfs/cm_arar_bgv1-eng.pdf.</w:t>
      </w:r>
    </w:p>
  </w:footnote>
  <w:footnote w:id="72">
    <w:p w14:paraId="165FFAA5" w14:textId="0D098354" w:rsidR="00762DFB" w:rsidRPr="00FC1AD2" w:rsidRDefault="00762DFB" w:rsidP="006132CB">
      <w:pPr>
        <w:pStyle w:val="FootnoteText"/>
        <w:rPr>
          <w:szCs w:val="22"/>
        </w:rPr>
      </w:pPr>
      <w:r w:rsidRPr="005C1E3A">
        <w:rPr>
          <w:rStyle w:val="FootnoteReference"/>
          <w:szCs w:val="22"/>
        </w:rPr>
        <w:footnoteRef/>
      </w:r>
      <w:r w:rsidRPr="005C1E3A">
        <w:rPr>
          <w:szCs w:val="22"/>
        </w:rPr>
        <w:t xml:space="preserve"> </w:t>
      </w:r>
      <w:r w:rsidRPr="00FC1AD2">
        <w:rPr>
          <w:szCs w:val="22"/>
        </w:rPr>
        <w:t>Public Safety Canada, “Ministerial Direction on Information Sharing with Foreign Entities” (2011), http://iclmg.ca/wp-content/uploads/sites/37/2014/04/Vic-Toews-Torture-memos.pdf.</w:t>
      </w:r>
    </w:p>
  </w:footnote>
  <w:footnote w:id="73">
    <w:p w14:paraId="791B7A2D" w14:textId="5659D0B0" w:rsidR="00762DFB" w:rsidRPr="00FC1AD2" w:rsidRDefault="00762DFB" w:rsidP="00ED0EE6">
      <w:pPr>
        <w:pStyle w:val="FootnoteText"/>
        <w:rPr>
          <w:szCs w:val="22"/>
        </w:rPr>
      </w:pPr>
      <w:r w:rsidRPr="005C1E3A">
        <w:rPr>
          <w:rStyle w:val="FootnoteReference"/>
          <w:szCs w:val="22"/>
        </w:rPr>
        <w:footnoteRef/>
      </w:r>
      <w:r w:rsidRPr="005C1E3A">
        <w:rPr>
          <w:szCs w:val="22"/>
        </w:rPr>
        <w:t xml:space="preserve"> James Anaya, “The Situation of Indigenous Peoples in Canada” (2014)</w:t>
      </w:r>
      <w:proofErr w:type="gramStart"/>
      <w:r>
        <w:rPr>
          <w:szCs w:val="22"/>
        </w:rPr>
        <w:t>,</w:t>
      </w:r>
      <w:r w:rsidRPr="00FC1AD2">
        <w:rPr>
          <w:szCs w:val="22"/>
        </w:rPr>
        <w:t>http</w:t>
      </w:r>
      <w:proofErr w:type="gramEnd"/>
      <w:r w:rsidRPr="00FC1AD2">
        <w:rPr>
          <w:szCs w:val="22"/>
        </w:rPr>
        <w:t>://www.ohchr.org/Documents/Issues/IPeoples/SR/A.HRC.27.52.Add.2-MissionCanada_AUV.pdf.</w:t>
      </w:r>
    </w:p>
  </w:footnote>
  <w:footnote w:id="74">
    <w:p w14:paraId="2E2B180B" w14:textId="6134CE4F"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James Anaya, “The Situation of Indigenous Peoples in Canada” (2014), http://www.ohchr.org/Documents/Issues/IPeoples/SR/A.HRC.27.52.Add.2-MissionCanada_AUV.pdf.</w:t>
      </w:r>
    </w:p>
  </w:footnote>
  <w:footnote w:id="75">
    <w:p w14:paraId="46463609" w14:textId="3BD1066D" w:rsidR="00762DFB" w:rsidRPr="00FC1AD2" w:rsidRDefault="00762DFB">
      <w:pPr>
        <w:pStyle w:val="FootnoteText"/>
        <w:rPr>
          <w:szCs w:val="22"/>
        </w:rPr>
      </w:pPr>
      <w:r w:rsidRPr="005C1E3A">
        <w:rPr>
          <w:rStyle w:val="FootnoteReference"/>
          <w:szCs w:val="22"/>
        </w:rPr>
        <w:footnoteRef/>
      </w:r>
      <w:r w:rsidRPr="005C1E3A">
        <w:rPr>
          <w:szCs w:val="22"/>
        </w:rPr>
        <w:t xml:space="preserve"> Ontario Human</w:t>
      </w:r>
      <w:r w:rsidRPr="00FC1AD2">
        <w:rPr>
          <w:szCs w:val="22"/>
        </w:rPr>
        <w:t xml:space="preserve"> Rights Commission, </w:t>
      </w:r>
      <w:r w:rsidRPr="00FC1AD2">
        <w:rPr>
          <w:i/>
          <w:szCs w:val="22"/>
        </w:rPr>
        <w:t xml:space="preserve">Under Suspicion: Research and Consultation Report on Racial Profiling in Ontario </w:t>
      </w:r>
      <w:r w:rsidRPr="00FC1AD2">
        <w:rPr>
          <w:szCs w:val="22"/>
        </w:rPr>
        <w:t>(2017)</w:t>
      </w:r>
      <w:proofErr w:type="gramStart"/>
      <w:r w:rsidRPr="00FC1AD2">
        <w:rPr>
          <w:szCs w:val="22"/>
        </w:rPr>
        <w:t>,http</w:t>
      </w:r>
      <w:proofErr w:type="gramEnd"/>
      <w:r w:rsidRPr="00FC1AD2">
        <w:rPr>
          <w:szCs w:val="22"/>
        </w:rPr>
        <w:t>://ohrc.on.ca/en/under-suspicion-research-and-consultation-report-racial-profiling-ontario#overlay-context=en/user.</w:t>
      </w:r>
    </w:p>
  </w:footnote>
  <w:footnote w:id="76">
    <w:p w14:paraId="0E93E185" w14:textId="79B21015" w:rsidR="00762DFB" w:rsidRPr="00FC1AD2" w:rsidRDefault="00762DFB">
      <w:pPr>
        <w:pStyle w:val="FootnoteText"/>
        <w:rPr>
          <w:szCs w:val="22"/>
        </w:rPr>
      </w:pPr>
      <w:r w:rsidRPr="005C1E3A">
        <w:rPr>
          <w:rStyle w:val="FootnoteReference"/>
          <w:szCs w:val="22"/>
        </w:rPr>
        <w:footnoteRef/>
      </w:r>
      <w:r w:rsidRPr="005C1E3A">
        <w:rPr>
          <w:szCs w:val="22"/>
        </w:rPr>
        <w:t xml:space="preserve"> Gloria Galloway</w:t>
      </w:r>
      <w:r w:rsidRPr="00FC1AD2">
        <w:rPr>
          <w:szCs w:val="22"/>
        </w:rPr>
        <w:t xml:space="preserve">, “Ottawa Drops Objections to UN Resolution on Indigenous Consent,” </w:t>
      </w:r>
      <w:r w:rsidRPr="00FC1AD2">
        <w:rPr>
          <w:i/>
          <w:szCs w:val="22"/>
        </w:rPr>
        <w:t>Globe and Mail</w:t>
      </w:r>
      <w:proofErr w:type="gramStart"/>
      <w:r w:rsidRPr="00FC1AD2">
        <w:rPr>
          <w:szCs w:val="22"/>
        </w:rPr>
        <w:t>,24</w:t>
      </w:r>
      <w:proofErr w:type="gramEnd"/>
      <w:r w:rsidRPr="00FC1AD2">
        <w:rPr>
          <w:szCs w:val="22"/>
        </w:rPr>
        <w:t xml:space="preserve"> April 2017,http://www.theglobeandmail.com/news/politics/ottawa-drops-objections-to-un-resolution-on-indigenous-consent/article34802902.</w:t>
      </w:r>
    </w:p>
  </w:footnote>
  <w:footnote w:id="77">
    <w:p w14:paraId="13F815C1" w14:textId="1707BCC0" w:rsidR="00762DFB" w:rsidRPr="00FC1AD2" w:rsidRDefault="00762DFB">
      <w:pPr>
        <w:pStyle w:val="FootnoteText"/>
        <w:rPr>
          <w:szCs w:val="22"/>
        </w:rPr>
      </w:pPr>
      <w:r w:rsidRPr="005C1E3A">
        <w:rPr>
          <w:rStyle w:val="FootnoteReference"/>
          <w:szCs w:val="22"/>
        </w:rPr>
        <w:footnoteRef/>
      </w:r>
      <w:r w:rsidRPr="005C1E3A">
        <w:rPr>
          <w:szCs w:val="22"/>
        </w:rPr>
        <w:t xml:space="preserve"> J</w:t>
      </w:r>
      <w:r w:rsidRPr="00FC1AD2">
        <w:rPr>
          <w:szCs w:val="22"/>
        </w:rPr>
        <w:t xml:space="preserve">ames Wilt, “Cant’ Stop, Won’t Stop: 500 Days of Trudeau’s Broken Promises” </w:t>
      </w:r>
      <w:r w:rsidRPr="00FC1AD2">
        <w:rPr>
          <w:i/>
          <w:szCs w:val="22"/>
        </w:rPr>
        <w:t>Desmog Canada</w:t>
      </w:r>
      <w:r w:rsidRPr="00FC1AD2">
        <w:rPr>
          <w:szCs w:val="22"/>
        </w:rPr>
        <w:t>, 10 February 2017, https://www.desmog.ca/2017/02/10/can-t-stop-won-t-stop-500-days-trudeau-s-broken-promises</w:t>
      </w:r>
      <w:r w:rsidRPr="005C1E3A">
        <w:rPr>
          <w:szCs w:val="22"/>
        </w:rPr>
        <w:t>;</w:t>
      </w:r>
      <w:r w:rsidRPr="00FC1AD2">
        <w:rPr>
          <w:szCs w:val="22"/>
        </w:rPr>
        <w:t xml:space="preserve"> Amnesty International, “The Point of No Return: The Human Rights of Indigenous Peoples Threatened by the Site C Dam” (2016), https://www.amnesty.ca/sites/amnesty/files/Canada%20Site%20C%20Report.pdf; James Anaya, “The Situation of Indigenous Peoples in Canada” (2014), http://www.ohchr.org/Documents/Issues/IPeoples/SR/A.HRC.27.52.Add.2-MissionCanada_AUV.pdf.</w:t>
      </w:r>
    </w:p>
  </w:footnote>
  <w:footnote w:id="78">
    <w:p w14:paraId="707595E1" w14:textId="77777777" w:rsidR="00762DFB" w:rsidRPr="00FC1AD2" w:rsidRDefault="00762DFB">
      <w:pPr>
        <w:pStyle w:val="FootnoteText"/>
        <w:rPr>
          <w:color w:val="000000" w:themeColor="text1"/>
          <w:szCs w:val="22"/>
        </w:rPr>
      </w:pPr>
      <w:r w:rsidRPr="005C1E3A">
        <w:rPr>
          <w:rStyle w:val="FootnoteReference"/>
          <w:szCs w:val="22"/>
        </w:rPr>
        <w:footnoteRef/>
      </w:r>
      <w:r w:rsidRPr="005C1E3A">
        <w:rPr>
          <w:szCs w:val="22"/>
        </w:rPr>
        <w:t xml:space="preserve"> </w:t>
      </w:r>
      <w:r w:rsidRPr="00FC1AD2">
        <w:rPr>
          <w:color w:val="000000" w:themeColor="text1"/>
          <w:szCs w:val="22"/>
        </w:rPr>
        <w:t>Human Rights Watch, “Make it Safe: Canada’s Obligation to End the First Nations Water Crisis” (2016), online: &lt;https://www.hrw.org/report/2016/06/07/make-it-safe/canadas-obligation-end-first-nations-water-crisis</w:t>
      </w:r>
      <w:r w:rsidRPr="00FC1AD2">
        <w:rPr>
          <w:rStyle w:val="Hyperlink"/>
          <w:color w:val="000000" w:themeColor="text1"/>
          <w:szCs w:val="22"/>
        </w:rPr>
        <w:t>&gt;</w:t>
      </w:r>
      <w:r w:rsidRPr="00FC1AD2">
        <w:rPr>
          <w:color w:val="000000" w:themeColor="text1"/>
          <w:szCs w:val="22"/>
        </w:rPr>
        <w:t>.</w:t>
      </w:r>
    </w:p>
  </w:footnote>
  <w:footnote w:id="79">
    <w:p w14:paraId="07FDB25B" w14:textId="77777777" w:rsidR="00762DFB" w:rsidRPr="00FC1AD2" w:rsidRDefault="00762DFB" w:rsidP="008D7C74">
      <w:pPr>
        <w:pStyle w:val="FootnoteText"/>
        <w:rPr>
          <w:szCs w:val="22"/>
        </w:rPr>
      </w:pPr>
      <w:r w:rsidRPr="005C1E3A">
        <w:rPr>
          <w:rStyle w:val="FootnoteReference"/>
          <w:szCs w:val="22"/>
        </w:rPr>
        <w:footnoteRef/>
      </w:r>
      <w:r w:rsidRPr="005C1E3A">
        <w:rPr>
          <w:szCs w:val="22"/>
        </w:rPr>
        <w:t xml:space="preserve"> “Indigenous Housing Crisis Takes a Terrible Toll: Editorial,” </w:t>
      </w:r>
      <w:r w:rsidRPr="00FC1AD2">
        <w:rPr>
          <w:i/>
          <w:szCs w:val="22"/>
        </w:rPr>
        <w:t>Toronto Star</w:t>
      </w:r>
      <w:proofErr w:type="gramStart"/>
      <w:r w:rsidRPr="00FC1AD2">
        <w:rPr>
          <w:szCs w:val="22"/>
        </w:rPr>
        <w:t>,19</w:t>
      </w:r>
      <w:proofErr w:type="gramEnd"/>
      <w:r w:rsidRPr="00FC1AD2">
        <w:rPr>
          <w:szCs w:val="22"/>
        </w:rPr>
        <w:t xml:space="preserve"> December 2016,https://www.thestar.com/opinion/editorials/2016/12/19/indigenous-housing-crisis-takes-a-terrible-toll-editorial.html.</w:t>
      </w:r>
    </w:p>
  </w:footnote>
  <w:footnote w:id="80">
    <w:p w14:paraId="526BADD1" w14:textId="77777777" w:rsidR="00762DFB" w:rsidRPr="00FC1AD2" w:rsidRDefault="00762DFB" w:rsidP="008D7C74">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 xml:space="preserve">“Indigenous Housing Crisis Takes a Terrible Toll: Editorial,” </w:t>
      </w:r>
      <w:r w:rsidRPr="00FC1AD2">
        <w:rPr>
          <w:i/>
          <w:szCs w:val="22"/>
        </w:rPr>
        <w:t xml:space="preserve">Toronto Star, </w:t>
      </w:r>
      <w:r w:rsidRPr="00FC1AD2">
        <w:rPr>
          <w:szCs w:val="22"/>
        </w:rPr>
        <w:t>19 December 2016, https://www.thestar.com/opinion/editorials/2016/12/19/indigenous-housing-crisis-takes-a-terrible-toll-editorial.html.</w:t>
      </w:r>
      <w:proofErr w:type="gramEnd"/>
    </w:p>
  </w:footnote>
  <w:footnote w:id="81">
    <w:p w14:paraId="4DFC4BAA" w14:textId="6CE6D74F" w:rsidR="00762DFB" w:rsidRPr="005C1E3A"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Canadian Human Rights Tribunal, </w:t>
      </w:r>
      <w:r w:rsidRPr="00FC1AD2">
        <w:rPr>
          <w:i/>
          <w:iCs/>
          <w:szCs w:val="22"/>
        </w:rPr>
        <w:t>First Nations Child and Famil</w:t>
      </w:r>
      <w:r w:rsidRPr="005C1E3A">
        <w:rPr>
          <w:i/>
          <w:iCs/>
          <w:szCs w:val="22"/>
        </w:rPr>
        <w:t xml:space="preserve">y </w:t>
      </w:r>
      <w:r w:rsidRPr="00FC1AD2">
        <w:rPr>
          <w:i/>
          <w:iCs/>
          <w:szCs w:val="22"/>
        </w:rPr>
        <w:t xml:space="preserve">Caring Society of Canada et al v Attorney General of Canada (for the Minister of Indian and Northern Affairs Canada) </w:t>
      </w:r>
      <w:r w:rsidRPr="00FC1AD2">
        <w:rPr>
          <w:szCs w:val="22"/>
        </w:rPr>
        <w:t>2016 CHRT 11.</w:t>
      </w:r>
    </w:p>
  </w:footnote>
  <w:footnote w:id="82">
    <w:p w14:paraId="62EF9F08" w14:textId="7D083AF2" w:rsidR="00762DFB" w:rsidRPr="00FC1AD2" w:rsidRDefault="00762DFB">
      <w:pPr>
        <w:pStyle w:val="FootnoteText"/>
        <w:rPr>
          <w:szCs w:val="22"/>
        </w:rPr>
      </w:pPr>
      <w:r w:rsidRPr="005C1E3A">
        <w:rPr>
          <w:rStyle w:val="FootnoteReference"/>
          <w:szCs w:val="22"/>
        </w:rPr>
        <w:footnoteRef/>
      </w:r>
      <w:r w:rsidRPr="005C1E3A">
        <w:rPr>
          <w:szCs w:val="22"/>
        </w:rPr>
        <w:t xml:space="preserve"> First Nations Child and Family Caring Society of Canada, “Information Sheet: Implementing the CHRT Remedies: Canada’s Failu</w:t>
      </w:r>
      <w:r w:rsidRPr="00FC1AD2">
        <w:rPr>
          <w:szCs w:val="22"/>
        </w:rPr>
        <w:t>re to Comply,” 16 November 2016,https://fncaringsociety.com/sites/default/files/CHRT%20remedy%20sheet%20Nov%2014%202016.pdf.</w:t>
      </w:r>
    </w:p>
  </w:footnote>
  <w:footnote w:id="83">
    <w:p w14:paraId="1DB4F3CA" w14:textId="11FB2EBC"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Canadian Human Rights Tribunal, </w:t>
      </w:r>
      <w:r w:rsidRPr="00FC1AD2">
        <w:rPr>
          <w:i/>
          <w:szCs w:val="22"/>
        </w:rPr>
        <w:t xml:space="preserve">First Nations Child and Family Caring Society of Canada et al v </w:t>
      </w:r>
      <w:r w:rsidRPr="00FC1AD2">
        <w:rPr>
          <w:i/>
          <w:iCs/>
          <w:szCs w:val="22"/>
        </w:rPr>
        <w:t xml:space="preserve">Attorney General of Canada (for the Minister of Indian and Northern Affairs Canada) </w:t>
      </w:r>
      <w:r w:rsidRPr="00FC1AD2">
        <w:rPr>
          <w:iCs/>
          <w:szCs w:val="22"/>
        </w:rPr>
        <w:t xml:space="preserve">2017 CHRT 14; </w:t>
      </w:r>
    </w:p>
  </w:footnote>
  <w:footnote w:id="84">
    <w:p w14:paraId="41F945DA" w14:textId="6FE4905A" w:rsidR="00762DFB" w:rsidRPr="005C1E3A" w:rsidRDefault="00762DFB">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 xml:space="preserve">Truth and Reconciliation Commission of Canada, “Honouring the Truth, Reconciling for the Future” (2015), </w:t>
      </w:r>
      <w:r w:rsidRPr="001D103B">
        <w:rPr>
          <w:szCs w:val="22"/>
        </w:rPr>
        <w:t>http://www.trc.ca/websites/trcinstitution/index.php?p=890</w:t>
      </w:r>
      <w:r w:rsidRPr="00FC1AD2">
        <w:rPr>
          <w:szCs w:val="22"/>
        </w:rPr>
        <w:t>.</w:t>
      </w:r>
      <w:proofErr w:type="gramEnd"/>
    </w:p>
  </w:footnote>
  <w:footnote w:id="85">
    <w:p w14:paraId="12F9A240" w14:textId="3FCA463B" w:rsidR="00762DFB" w:rsidRPr="00FC1AD2" w:rsidRDefault="00762DFB" w:rsidP="00FC1AD2">
      <w:pPr>
        <w:pStyle w:val="FootnoteText"/>
        <w:tabs>
          <w:tab w:val="left" w:pos="1560"/>
        </w:tabs>
        <w:rPr>
          <w:szCs w:val="22"/>
        </w:rPr>
      </w:pPr>
      <w:r w:rsidRPr="005C1E3A">
        <w:rPr>
          <w:rStyle w:val="FootnoteReference"/>
          <w:szCs w:val="22"/>
        </w:rPr>
        <w:footnoteRef/>
      </w:r>
      <w:proofErr w:type="gramStart"/>
      <w:r w:rsidRPr="00FC1AD2">
        <w:rPr>
          <w:szCs w:val="22"/>
        </w:rPr>
        <w:t>Royal Canadian Mounted Police, “Missing and Murdered Indigenous Women and Girls,” http://www.rcmp-grc.gc.ca/aboriginal-autochtone/mmaw-fada-eng.htm.</w:t>
      </w:r>
      <w:proofErr w:type="gramEnd"/>
    </w:p>
  </w:footnote>
  <w:footnote w:id="86">
    <w:p w14:paraId="0DD233DD" w14:textId="534F1ED1"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John Paul Tasker, “Confusion Reigns </w:t>
      </w:r>
      <w:proofErr w:type="gramStart"/>
      <w:r w:rsidRPr="00FC1AD2">
        <w:rPr>
          <w:szCs w:val="22"/>
        </w:rPr>
        <w:t>Over</w:t>
      </w:r>
      <w:proofErr w:type="gramEnd"/>
      <w:r w:rsidRPr="00FC1AD2">
        <w:rPr>
          <w:szCs w:val="22"/>
        </w:rPr>
        <w:t xml:space="preserve"> Number of Missing, Murdered Indigenous Women” </w:t>
      </w:r>
      <w:r w:rsidRPr="00FC1AD2">
        <w:rPr>
          <w:i/>
          <w:szCs w:val="22"/>
        </w:rPr>
        <w:t>CBC News</w:t>
      </w:r>
      <w:r w:rsidRPr="00FC1AD2">
        <w:rPr>
          <w:szCs w:val="22"/>
        </w:rPr>
        <w:t>, 16 February 2016, http://www.cbc.ca/news/politics/mmiw-4000-hajdu-1.3450237.</w:t>
      </w:r>
    </w:p>
  </w:footnote>
  <w:footnote w:id="87">
    <w:p w14:paraId="541C6B1E" w14:textId="2A6B3AFB"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Amnesty International, “Statement on Terms of Reference for the National Inquiry into Missing and Murdered Indigenous Women and Girls in Canada” 20 July 2016, http://www.amnesty.ca/news/statement-terms-reference-national-inquiry-missing-and-murdered-indigenous-women-and-girls;</w:t>
      </w:r>
    </w:p>
  </w:footnote>
  <w:footnote w:id="88">
    <w:p w14:paraId="1A667CB1" w14:textId="0CDADDCF" w:rsidR="00762DFB" w:rsidRPr="00FC1AD2" w:rsidRDefault="00762DFB">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Native Women’s Association of Canada, “Inquiry Report Card” (May 2017), https://www.nwac.ca/wp-content/uploads/2017/05/NWAC-Inquiry-Report-Card-May-2017-Final.pdf.</w:t>
      </w:r>
      <w:proofErr w:type="gramEnd"/>
    </w:p>
  </w:footnote>
  <w:footnote w:id="89">
    <w:p w14:paraId="5F7E8C31" w14:textId="0C6A428C"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 xml:space="preserve">Metropolitan Action Committee on Violence </w:t>
      </w:r>
      <w:proofErr w:type="gramStart"/>
      <w:r w:rsidRPr="00FC1AD2">
        <w:rPr>
          <w:szCs w:val="22"/>
        </w:rPr>
        <w:t>Against</w:t>
      </w:r>
      <w:proofErr w:type="gramEnd"/>
      <w:r w:rsidRPr="00FC1AD2">
        <w:rPr>
          <w:szCs w:val="22"/>
        </w:rPr>
        <w:t xml:space="preserve"> Women and Children (METRAC), “Statement on Bill S-7” (2014), http://owjn.org/wp-content/uploads/2016/12/Statement-on-Bill-S-7-Zero-Tolerance-for-Barbaric-Cultural-Practices-Act.pdf.</w:t>
      </w:r>
    </w:p>
  </w:footnote>
  <w:footnote w:id="90">
    <w:p w14:paraId="14D51117" w14:textId="1EAD877A"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South Asian Legal Clinic of Ontario, “Perpetuating Myths, Denying Justice: ‘Zero Tolerance for Barbaric Cultural Practices Act” (2014), http://www.salc.on.ca/FINALBILLS7STATEMENT%20updated%20nov%2018.pdf.</w:t>
      </w:r>
    </w:p>
  </w:footnote>
  <w:footnote w:id="91">
    <w:p w14:paraId="2E315D9D" w14:textId="4E182863" w:rsidR="00762DFB" w:rsidRPr="00FC1AD2" w:rsidRDefault="00762DFB" w:rsidP="00196943">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 xml:space="preserve">Michael Woods, “Hate Speech No Longer Part of Canada’s Human Rights Act” </w:t>
      </w:r>
      <w:r w:rsidRPr="00FC1AD2">
        <w:rPr>
          <w:i/>
          <w:szCs w:val="22"/>
        </w:rPr>
        <w:t>National Post</w:t>
      </w:r>
      <w:r w:rsidRPr="00FC1AD2">
        <w:rPr>
          <w:szCs w:val="22"/>
        </w:rPr>
        <w:t>, 27 June 2013, http://news.nationalpost.com/news/canada/canadian-politics/hate-speech-no-longer-part-of-canadas-human-rights-act.</w:t>
      </w:r>
      <w:proofErr w:type="gramEnd"/>
    </w:p>
  </w:footnote>
  <w:footnote w:id="92">
    <w:p w14:paraId="36E10922" w14:textId="66FCAE81" w:rsidR="00762DFB" w:rsidRPr="00FC1AD2" w:rsidRDefault="00762DFB" w:rsidP="00196943">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Statistics Canada, “Police-Reported Data on Hate Crime and Cybercrime, 2014,” http://www.statcan.gc.ca/daily-quotidien/160412/dq160412b-cansim-eng.htm.</w:t>
      </w:r>
      <w:proofErr w:type="gramEnd"/>
    </w:p>
  </w:footnote>
  <w:footnote w:id="93">
    <w:p w14:paraId="218705E2" w14:textId="6F2E0F04" w:rsidR="00762DFB" w:rsidRPr="00B768FF" w:rsidRDefault="00762DFB">
      <w:pPr>
        <w:pStyle w:val="FootnoteText"/>
      </w:pPr>
      <w:r>
        <w:rPr>
          <w:rStyle w:val="FootnoteReference"/>
        </w:rPr>
        <w:footnoteRef/>
      </w:r>
      <w:r>
        <w:t xml:space="preserve"> Statistics Canada, “Police reported hate crime in Canada, 2015”. June 2017. </w:t>
      </w:r>
      <w:r w:rsidRPr="00B768FF">
        <w:t>http://www.statcan.gc.ca/pub/85-002-x/2017001/article/14832-eng.htm</w:t>
      </w:r>
    </w:p>
  </w:footnote>
  <w:footnote w:id="94">
    <w:p w14:paraId="08760B88" w14:textId="463A5D64" w:rsidR="00762DFB" w:rsidRPr="00FC1AD2" w:rsidRDefault="00762DFB" w:rsidP="00196943">
      <w:pPr>
        <w:pStyle w:val="FootnoteText"/>
        <w:rPr>
          <w:szCs w:val="22"/>
        </w:rPr>
      </w:pPr>
      <w:r w:rsidRPr="005C1E3A">
        <w:rPr>
          <w:rStyle w:val="FootnoteReference"/>
          <w:szCs w:val="22"/>
        </w:rPr>
        <w:footnoteRef/>
      </w:r>
      <w:r w:rsidRPr="005C1E3A">
        <w:rPr>
          <w:szCs w:val="22"/>
        </w:rPr>
        <w:t xml:space="preserve"> </w:t>
      </w:r>
      <w:r w:rsidRPr="00FC1AD2">
        <w:rPr>
          <w:szCs w:val="22"/>
        </w:rPr>
        <w:t>Hate Crimes Community Working Group, “Addressing Hate Crime in Ontario” (2005), https://www.attorneygeneral.jus.gov.on.ca/english/about/pubs/hatecrimes/HCCWG_full.pdf.</w:t>
      </w:r>
    </w:p>
  </w:footnote>
  <w:footnote w:id="95">
    <w:p w14:paraId="2C162807" w14:textId="5E93F2C6"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Ontario Human Rights Commission, “Under Suspicion: Research and Consultation Report on Racial Profiling in Ontario” (2017), http://ohrc.on.ca/en/under-suspicion-research-and-consultation-report-racial-profiling-ontario.</w:t>
      </w:r>
    </w:p>
  </w:footnote>
  <w:footnote w:id="96">
    <w:p w14:paraId="690A7114"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Lorne Foster, Les Jacobs, and Bobby S</w:t>
      </w:r>
      <w:r w:rsidRPr="00FC1AD2">
        <w:rPr>
          <w:szCs w:val="22"/>
        </w:rPr>
        <w:t>iu, “Race Data and Traffic Stops in Ottawa, 2013-2015: A Report on Ottawa and the Police Districts” (October 2016), online: &lt;https://www.ottawapolice.ca/en/about-us/resources/.TSRDCP_York_Research_Report.pdf&gt;.</w:t>
      </w:r>
    </w:p>
  </w:footnote>
  <w:footnote w:id="97">
    <w:p w14:paraId="50A0F29E"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“Statement to the Media by the United Nation</w:t>
      </w:r>
      <w:r w:rsidRPr="00FC1AD2">
        <w:rPr>
          <w:szCs w:val="22"/>
        </w:rPr>
        <w:t>s’ Working Group of Experts on People of African Descent, on the Conclusion of its Official Visit to Canada, 17-21 October 2016,” online: &lt; http://www.ohchr.org/EN/NewsEvents/Pages/DisplayNews.aspx?NewsID=20732&amp;LangID=E&gt;.</w:t>
      </w:r>
    </w:p>
  </w:footnote>
  <w:footnote w:id="98">
    <w:p w14:paraId="498875E2"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Jim Rankin, Patty Winsa, Andrew </w:t>
      </w:r>
      <w:r w:rsidRPr="00FC1AD2">
        <w:rPr>
          <w:szCs w:val="22"/>
        </w:rPr>
        <w:t xml:space="preserve">Bailey, and Hidy Ng, “Carding Drops but Proportion of Blacks Stopped by Toronto Police Rises” </w:t>
      </w:r>
      <w:r w:rsidRPr="00FC1AD2">
        <w:rPr>
          <w:i/>
          <w:szCs w:val="22"/>
        </w:rPr>
        <w:t xml:space="preserve">Toronto Star </w:t>
      </w:r>
      <w:r w:rsidRPr="00FC1AD2">
        <w:rPr>
          <w:szCs w:val="22"/>
        </w:rPr>
        <w:t>(26 July 2014), online: &lt; https://www.thestar.com/news/insight/2014/07/26/carding_drops_but_proportion_of_blacks_stopped_by_toronto_police_rises.html&gt;.</w:t>
      </w:r>
    </w:p>
  </w:footnote>
  <w:footnote w:id="99">
    <w:p w14:paraId="131F3AD1" w14:textId="7466E07A"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i/>
          <w:szCs w:val="22"/>
        </w:rPr>
        <w:t>O Reg 58/16: Collection of Identifying Information in Certain Circumstances – Prohibition and Duties</w:t>
      </w:r>
      <w:r w:rsidRPr="00FC1AD2">
        <w:rPr>
          <w:szCs w:val="22"/>
        </w:rPr>
        <w:t xml:space="preserve"> (2017).</w:t>
      </w:r>
    </w:p>
  </w:footnote>
  <w:footnote w:id="100">
    <w:p w14:paraId="302023FE"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i/>
          <w:szCs w:val="22"/>
        </w:rPr>
        <w:t>O Reg 58/16: Collection of Identifying Information in Certain Circumstances – Prohibition and Duties</w:t>
      </w:r>
      <w:r w:rsidRPr="00FC1AD2">
        <w:rPr>
          <w:szCs w:val="22"/>
        </w:rPr>
        <w:t xml:space="preserve"> (2017), s 1(2).</w:t>
      </w:r>
    </w:p>
  </w:footnote>
  <w:footnote w:id="101">
    <w:p w14:paraId="275C7561"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Jim Rankin and Wendy Gillis, “Ontario Police Forces Share Carding Data with Mounties, CSIS” </w:t>
      </w:r>
      <w:r w:rsidRPr="00FC1AD2">
        <w:rPr>
          <w:i/>
          <w:szCs w:val="22"/>
        </w:rPr>
        <w:t xml:space="preserve">Toronto Star </w:t>
      </w:r>
      <w:r w:rsidRPr="00FC1AD2">
        <w:rPr>
          <w:szCs w:val="22"/>
        </w:rPr>
        <w:t>(23 April 2017), online: &lt; https://www.thestar.com/news/canada/2017/04/23/ontario-police-forces-share-carding-data-with-mounties-csis.html&gt;.</w:t>
      </w:r>
    </w:p>
  </w:footnote>
  <w:footnote w:id="102">
    <w:p w14:paraId="210FCAAE" w14:textId="3C5F55C0"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Ontario Human Rights Commission, “Under Suspicion: Research and Consultation Report on Racial Profiling in Ontario” (2017), http://ohrc.on.ca/en/under-suspicion-research-and-consultation-report-racial-profiling-ontario.</w:t>
      </w:r>
    </w:p>
  </w:footnote>
  <w:footnote w:id="103">
    <w:p w14:paraId="0E5F2BA5" w14:textId="7C0E8C5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 xml:space="preserve">Scot Wortley and Akwasi Owusu-Bempah, “Crime and Justice: The Experiences of Black Canadians” in B Perry, ed. </w:t>
      </w:r>
      <w:r w:rsidRPr="00FC1AD2">
        <w:rPr>
          <w:i/>
          <w:szCs w:val="22"/>
        </w:rPr>
        <w:t>Diversity, Crime, and Justice in Canada</w:t>
      </w:r>
      <w:r w:rsidRPr="00FC1AD2">
        <w:rPr>
          <w:szCs w:val="22"/>
        </w:rPr>
        <w:t xml:space="preserve"> (Oxford University Press, 2011).</w:t>
      </w:r>
    </w:p>
  </w:footnote>
  <w:footnote w:id="104">
    <w:p w14:paraId="741A1B66" w14:textId="441D539B" w:rsidR="00762DFB" w:rsidRPr="005C1E3A"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 xml:space="preserve">No One is Illegal – Toronto, “Often Asking, Always Telling: The Toronto Police Service and the Sanctuary City Policy” (2015), </w:t>
      </w:r>
      <w:r w:rsidRPr="001D103B">
        <w:rPr>
          <w:szCs w:val="22"/>
        </w:rPr>
        <w:t>http://rabble.ca/sites/rabble/files/often_asking_always_telling_-_kedits_dec_1.pdf</w:t>
      </w:r>
      <w:r w:rsidRPr="00FC1AD2">
        <w:rPr>
          <w:szCs w:val="22"/>
        </w:rPr>
        <w:t>.</w:t>
      </w:r>
    </w:p>
  </w:footnote>
  <w:footnote w:id="105">
    <w:p w14:paraId="61345951" w14:textId="5F74231E" w:rsidR="00762DFB" w:rsidRPr="00FC1AD2" w:rsidRDefault="00762DFB">
      <w:pPr>
        <w:pStyle w:val="FootnoteText"/>
        <w:rPr>
          <w:i/>
          <w:szCs w:val="22"/>
        </w:rPr>
      </w:pPr>
      <w:r w:rsidRPr="005C1E3A">
        <w:rPr>
          <w:rStyle w:val="FootnoteReference"/>
          <w:szCs w:val="22"/>
        </w:rPr>
        <w:footnoteRef/>
      </w:r>
      <w:r w:rsidRPr="005C1E3A">
        <w:rPr>
          <w:szCs w:val="22"/>
        </w:rPr>
        <w:t xml:space="preserve"> </w:t>
      </w:r>
      <w:r w:rsidRPr="00FC1AD2">
        <w:rPr>
          <w:szCs w:val="22"/>
        </w:rPr>
        <w:t xml:space="preserve">Gerry McNeilly, “Casting the Net: A Review of Ontario Provincial Police Practices for DNA Canvasses” (July 2016), </w:t>
      </w:r>
      <w:r w:rsidRPr="00FC1AD2">
        <w:rPr>
          <w:i/>
          <w:szCs w:val="22"/>
        </w:rPr>
        <w:t>Office of the Independent Police Review Director</w:t>
      </w:r>
      <w:r w:rsidRPr="00FC1AD2">
        <w:rPr>
          <w:szCs w:val="22"/>
        </w:rPr>
        <w:t>, http://www.oiprd.on.ca/EN/PDFs/OIPRD_Casting_The_Net_Systemic_Review_Report.pdf.</w:t>
      </w:r>
    </w:p>
  </w:footnote>
  <w:footnote w:id="106">
    <w:p w14:paraId="3B4B062B" w14:textId="3C1A8F75"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Michael Tulloch, “Report of the Independent Police Oversight Review” (2017), https://www.attorneygeneral.jus.gov.on.ca/english/about/pubs/police_oversight_review/.</w:t>
      </w:r>
    </w:p>
  </w:footnote>
  <w:footnote w:id="107">
    <w:p w14:paraId="483879FC" w14:textId="5E55485A"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w:t>
      </w:r>
      <w:proofErr w:type="gramStart"/>
      <w:r w:rsidRPr="00FC1AD2">
        <w:rPr>
          <w:szCs w:val="22"/>
        </w:rPr>
        <w:t>Heavily-Redacted SIU Report Into</w:t>
      </w:r>
      <w:proofErr w:type="gramEnd"/>
      <w:r w:rsidRPr="00FC1AD2">
        <w:rPr>
          <w:szCs w:val="22"/>
        </w:rPr>
        <w:t xml:space="preserve"> Andrew Loku’s Death Released” </w:t>
      </w:r>
      <w:r w:rsidRPr="00FC1AD2">
        <w:rPr>
          <w:i/>
          <w:szCs w:val="22"/>
        </w:rPr>
        <w:t>CityNews</w:t>
      </w:r>
      <w:r w:rsidRPr="00FC1AD2">
        <w:rPr>
          <w:szCs w:val="22"/>
        </w:rPr>
        <w:t>, 29 April 2016, http://www.citynews.ca/2016/04/29/heavily-redacted-siu-report-into-andrew-lokus-death-released/.</w:t>
      </w:r>
    </w:p>
  </w:footnote>
  <w:footnote w:id="108">
    <w:p w14:paraId="39AC94A2" w14:textId="18733E21"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Michael Tulloch, “Report of the Independent Police Oversight Review” (2017), https://www.attorneygeneral.jus.gov.on.ca/english/about/pubs/police_oversight_review/.</w:t>
      </w:r>
    </w:p>
  </w:footnote>
  <w:footnote w:id="109">
    <w:p w14:paraId="6757D273" w14:textId="77777777" w:rsidR="00762DFB" w:rsidRPr="00FC1AD2" w:rsidRDefault="00762DFB" w:rsidP="0060658E">
      <w:pPr>
        <w:pStyle w:val="FootnoteText"/>
        <w:rPr>
          <w:szCs w:val="22"/>
        </w:rPr>
      </w:pPr>
      <w:r w:rsidRPr="005C1E3A">
        <w:rPr>
          <w:rStyle w:val="FootnoteReference"/>
          <w:szCs w:val="22"/>
        </w:rPr>
        <w:footnoteRef/>
      </w:r>
      <w:r w:rsidRPr="005C1E3A">
        <w:rPr>
          <w:szCs w:val="22"/>
        </w:rPr>
        <w:t xml:space="preserve"> </w:t>
      </w:r>
      <w:proofErr w:type="gramStart"/>
      <w:r w:rsidRPr="005C1E3A">
        <w:rPr>
          <w:szCs w:val="22"/>
        </w:rPr>
        <w:t>Legal Aid Ontario, “A Legal Aid Strategy for Bail,” (2016),</w:t>
      </w:r>
      <w:r w:rsidRPr="00FC1AD2">
        <w:rPr>
          <w:szCs w:val="22"/>
        </w:rPr>
        <w:t xml:space="preserve"> http://www.legalaid.on.ca/en/publications/paper-legal-aid-strategy-for-bail-2016-11.asp.</w:t>
      </w:r>
      <w:proofErr w:type="gramEnd"/>
      <w:r w:rsidRPr="00FC1AD2">
        <w:rPr>
          <w:szCs w:val="22"/>
        </w:rPr>
        <w:t xml:space="preserve"> </w:t>
      </w:r>
    </w:p>
  </w:footnote>
  <w:footnote w:id="110">
    <w:p w14:paraId="31D6E398" w14:textId="3029FC86"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“Report of the Commission on Systemic Racism in the Ontario Criminal Justice System” (Toronto: Queen’s Printer for Ontario, 1995).</w:t>
      </w:r>
      <w:proofErr w:type="gramEnd"/>
    </w:p>
  </w:footnote>
  <w:footnote w:id="111">
    <w:p w14:paraId="1BE605ED" w14:textId="5833B5A4"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Legal Aid Ontario, “A Legal Aid Strategy for Bail,” (2016), http://www.legalaid.on.ca/en/publications/paper-legal-aid-strategy-for-bail-2016-11.asp.</w:t>
      </w:r>
      <w:proofErr w:type="gramEnd"/>
    </w:p>
  </w:footnote>
  <w:footnote w:id="112">
    <w:p w14:paraId="627E286B" w14:textId="2E8083E5"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Canadian Civil Liberties Association, “Set Up to Fail: Bail and the Revolving Door of Pre-Trial Detention” (July 2014), https://ccla.org/dev/v5/_doc/CCLA_set_up_to_fail.pdf.</w:t>
      </w:r>
    </w:p>
  </w:footnote>
  <w:footnote w:id="113">
    <w:p w14:paraId="1CE16A1D"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color w:val="000000"/>
          <w:szCs w:val="22"/>
        </w:rPr>
        <w:t>As Justice Iacobucci noted in</w:t>
      </w:r>
      <w:r w:rsidRPr="00FC1AD2">
        <w:rPr>
          <w:rStyle w:val="apple-converted-space"/>
          <w:color w:val="000000"/>
          <w:szCs w:val="22"/>
        </w:rPr>
        <w:t> </w:t>
      </w:r>
      <w:r w:rsidRPr="00FC1AD2">
        <w:rPr>
          <w:rStyle w:val="Emphasis"/>
          <w:color w:val="000000"/>
          <w:szCs w:val="22"/>
        </w:rPr>
        <w:t>R. v. Hall</w:t>
      </w:r>
      <w:r w:rsidRPr="00FC1AD2">
        <w:rPr>
          <w:color w:val="000000"/>
          <w:szCs w:val="22"/>
        </w:rPr>
        <w:t>, when an accused is denied access to bail he or she is “…rendered more likely to plead guilty, and, as a result, to waive the various safeguards against unjust conviction that the system provides”.</w:t>
      </w:r>
    </w:p>
  </w:footnote>
  <w:footnote w:id="114">
    <w:p w14:paraId="0EB09AD4" w14:textId="35F80160"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Legal Aid Ontario, “A Legal Aid Strategy for Bail,” (2016), http://www.legalaid.on.ca/en/publications/paper-legal-aid-strategy-for-bail-2016-11.asp.</w:t>
      </w:r>
      <w:proofErr w:type="gramEnd"/>
    </w:p>
  </w:footnote>
  <w:footnote w:id="115">
    <w:p w14:paraId="283064A6" w14:textId="272273D5"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 xml:space="preserve">Andrew Griffith, “Diversity </w:t>
      </w:r>
      <w:proofErr w:type="gramStart"/>
      <w:r w:rsidRPr="00FC1AD2">
        <w:rPr>
          <w:szCs w:val="22"/>
        </w:rPr>
        <w:t>Among</w:t>
      </w:r>
      <w:proofErr w:type="gramEnd"/>
      <w:r w:rsidRPr="00FC1AD2">
        <w:rPr>
          <w:szCs w:val="22"/>
        </w:rPr>
        <w:t xml:space="preserve"> Federal and Provincial Judges” </w:t>
      </w:r>
      <w:r w:rsidRPr="00FC1AD2">
        <w:rPr>
          <w:i/>
          <w:szCs w:val="22"/>
        </w:rPr>
        <w:t>Policy Options</w:t>
      </w:r>
      <w:r w:rsidRPr="00FC1AD2">
        <w:rPr>
          <w:szCs w:val="22"/>
        </w:rPr>
        <w:t>, 4 May 2016, http://policyoptions.irpp.org/2016/05/04/diversity-among-federal-provincial-judges/.</w:t>
      </w:r>
    </w:p>
  </w:footnote>
  <w:footnote w:id="116">
    <w:p w14:paraId="6391FF88" w14:textId="11D21794"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 xml:space="preserve">Akwasi Owusu-Bempah and Scot Wortley, “Race, Crime, and Criminal Justice in Canada” in </w:t>
      </w:r>
      <w:proofErr w:type="gramStart"/>
      <w:r w:rsidRPr="00FC1AD2">
        <w:rPr>
          <w:i/>
          <w:szCs w:val="22"/>
        </w:rPr>
        <w:t>The</w:t>
      </w:r>
      <w:proofErr w:type="gramEnd"/>
      <w:r w:rsidRPr="00FC1AD2">
        <w:rPr>
          <w:i/>
          <w:szCs w:val="22"/>
        </w:rPr>
        <w:t xml:space="preserve"> Oxford Handbook of Ethnicity, Crime and Immigration</w:t>
      </w:r>
      <w:r w:rsidRPr="00FC1AD2">
        <w:rPr>
          <w:szCs w:val="22"/>
        </w:rPr>
        <w:t xml:space="preserve"> (2014).</w:t>
      </w:r>
    </w:p>
  </w:footnote>
  <w:footnote w:id="117">
    <w:p w14:paraId="7304EC54"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5C1E3A">
        <w:rPr>
          <w:szCs w:val="22"/>
        </w:rPr>
        <w:t xml:space="preserve">Office of the Correctional Investigator, “Annual Report of the Office of the Correctional Investigator” (2016), </w:t>
      </w:r>
      <w:r w:rsidRPr="00FC1AD2">
        <w:rPr>
          <w:szCs w:val="22"/>
        </w:rPr>
        <w:t>&lt;http://www.oci-bec.gc.ca/cnt/rpt/annrpt/annrpt20152016-eng.aspx&gt;.</w:t>
      </w:r>
      <w:proofErr w:type="gramEnd"/>
    </w:p>
  </w:footnote>
  <w:footnote w:id="118">
    <w:p w14:paraId="1EEB503F" w14:textId="3B4125FB"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Office of the Correctional Investigator, “Annual Report of the Office of the Correctional Investigator” (2016), &lt;http://www.oci-bec.gc.ca/cnt/rpt/annrpt/annrpt20152016-eng.aspx&gt;.</w:t>
      </w:r>
      <w:proofErr w:type="gramEnd"/>
    </w:p>
  </w:footnote>
  <w:footnote w:id="119">
    <w:p w14:paraId="447252EF"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Office </w:t>
      </w:r>
      <w:r w:rsidRPr="00FC1AD2">
        <w:rPr>
          <w:szCs w:val="22"/>
        </w:rPr>
        <w:t>of the Correctional Investigator, “A Case Study of Diversity in Corrections: The Black Inmate Experience in Federal Penitentiaries” (2014), online: &lt;http://www.oci-bec.gc.ca/cnt/rpt/oth-aut/oth-aut20131126-eng.aspx&gt;.</w:t>
      </w:r>
    </w:p>
  </w:footnote>
  <w:footnote w:id="120">
    <w:p w14:paraId="70E470B0" w14:textId="4B8D4765"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Office of the Correctional Investigator, “Annual Report of the Office of the Correctional Investigator” (2012-2013), http://www.oci-bec.gc.ca/cnt/rpt/annrpt/annrpt20122013-eng.aspx.</w:t>
      </w:r>
      <w:proofErr w:type="gramEnd"/>
    </w:p>
  </w:footnote>
  <w:footnote w:id="121">
    <w:p w14:paraId="06C4164A" w14:textId="4989E676"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 xml:space="preserve">Akwasi Owusu-Bempah and Scot Wortley, “Race, Crime, and Criminal Justice in Canada” in </w:t>
      </w:r>
      <w:proofErr w:type="gramStart"/>
      <w:r w:rsidRPr="00FC1AD2">
        <w:rPr>
          <w:i/>
          <w:szCs w:val="22"/>
        </w:rPr>
        <w:t>The</w:t>
      </w:r>
      <w:proofErr w:type="gramEnd"/>
      <w:r w:rsidRPr="00FC1AD2">
        <w:rPr>
          <w:i/>
          <w:szCs w:val="22"/>
        </w:rPr>
        <w:t xml:space="preserve"> Oxford Handbook of Ethnicity, Crime and Immigration</w:t>
      </w:r>
      <w:r w:rsidRPr="00FC1AD2">
        <w:rPr>
          <w:szCs w:val="22"/>
        </w:rPr>
        <w:t xml:space="preserve"> (2014).</w:t>
      </w:r>
    </w:p>
  </w:footnote>
  <w:footnote w:id="122">
    <w:p w14:paraId="2B97BC39" w14:textId="75839D12" w:rsidR="00762DFB" w:rsidRPr="00FC1AD2" w:rsidRDefault="00762DFB" w:rsidP="00F9327E">
      <w:pPr>
        <w:pStyle w:val="FootnoteText"/>
        <w:rPr>
          <w:szCs w:val="22"/>
        </w:rPr>
      </w:pPr>
      <w:r w:rsidRPr="005C1E3A">
        <w:rPr>
          <w:rStyle w:val="FootnoteReference"/>
          <w:szCs w:val="22"/>
        </w:rPr>
        <w:footnoteRef/>
      </w:r>
      <w:r w:rsidRPr="005C1E3A">
        <w:rPr>
          <w:szCs w:val="22"/>
        </w:rPr>
        <w:t xml:space="preserve">Office </w:t>
      </w:r>
      <w:r w:rsidRPr="00FC1AD2">
        <w:rPr>
          <w:szCs w:val="22"/>
        </w:rPr>
        <w:t>of the Correctional Investigator, “A Case Study of Diversity in Corrections: The Black Inmate Experience in Federal Penitentiaries” (2014), online: &lt;http://www.oci-bec.gc.ca/cnt/rpt/oth-aut/oth-aut20131126-eng.aspx&gt;.</w:t>
      </w:r>
    </w:p>
  </w:footnote>
  <w:footnote w:id="123">
    <w:p w14:paraId="771C980B"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5C1E3A">
        <w:rPr>
          <w:szCs w:val="22"/>
        </w:rPr>
        <w:t xml:space="preserve">Office of the </w:t>
      </w:r>
      <w:r w:rsidRPr="00FC1AD2">
        <w:rPr>
          <w:szCs w:val="22"/>
        </w:rPr>
        <w:t>Correctional Investigator, “Annual Report of the Office of the Correctional Investigator” (2016), &lt;http://www.oci-bec.gc.ca/cnt/rpt/annrpt/annrpt20152016-eng.aspx&gt;.</w:t>
      </w:r>
      <w:proofErr w:type="gramEnd"/>
    </w:p>
  </w:footnote>
  <w:footnote w:id="124">
    <w:p w14:paraId="223544A0" w14:textId="7DFCBE1B"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“Statement to the Media by the United Nations’ Working Group of Experts on People of African Descent, on the Conclusion of its Official Visit to Canada, 17-21 October 2016” 21 October 2016, http://www.ohchr.org/EN/NewsEvents/Pages/DisplayNews.aspx?NewsID=20732&amp;LangID=E.</w:t>
      </w:r>
    </w:p>
  </w:footnote>
  <w:footnote w:id="125">
    <w:p w14:paraId="70967BE6" w14:textId="6215C9DA"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Independent Review of Ontario Corrections, “Segregation in Ontario” (March 2017), https://www.mcscs.jus.gov.on.ca/sites/default/files/content/mcscs/docs/IROC%20Segregation%20Report%20ENGLISH%20FINAL_0.pdf.</w:t>
      </w:r>
      <w:proofErr w:type="gramEnd"/>
    </w:p>
  </w:footnote>
  <w:footnote w:id="126">
    <w:p w14:paraId="581C1539" w14:textId="5296BA9A"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Independent Review of Ontario Corrections, “Segregation in Ontario” (March 2017), https://www.mcscs.jus.gov.on.ca/sites/default/files/content/mcscs/docs/IROC%20Segregation%20Report%20ENGLISH%20FINAL_0.pdf.</w:t>
      </w:r>
      <w:proofErr w:type="gramEnd"/>
    </w:p>
  </w:footnote>
  <w:footnote w:id="127">
    <w:p w14:paraId="4867107C" w14:textId="5599A5EC"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Independent Review of Ontario Corrections, “Segregation in Ontario” (March 2017), https://www.mcscs.jus.gov.on.ca/sites/default/files/content/mcscs/docs/IROC%20Segregation%20Report%20ENGLISH%20FINAL_0.pdf.</w:t>
      </w:r>
      <w:proofErr w:type="gramEnd"/>
    </w:p>
  </w:footnote>
  <w:footnote w:id="128">
    <w:p w14:paraId="34F04AA7" w14:textId="6CFAB33F"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Independent Review of Ontario Corrections, “Segregation in Ontario” (March 2017), https://www.mcscs.jus.gov.on.ca/sites/default/files/content/mcscs/docs/IROC%20Segregation%20Report%20ENGLISH%20FINAL_0.pdf.</w:t>
      </w:r>
      <w:proofErr w:type="gramEnd"/>
    </w:p>
  </w:footnote>
  <w:footnote w:id="129">
    <w:p w14:paraId="016CA7D6" w14:textId="5963A74A"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proofErr w:type="gramStart"/>
      <w:r w:rsidRPr="00FC1AD2">
        <w:rPr>
          <w:szCs w:val="22"/>
        </w:rPr>
        <w:t>Independent Review of Ontario Corrections, “Segregation in Ontario” (March 2017), https://www.mcscs.jus.gov.on.ca/sites/default/files/content/mcscs/docs/IROC%20Segregation%20Report%20ENGLISH%20FINAL_0.pdf.</w:t>
      </w:r>
      <w:proofErr w:type="gramEnd"/>
    </w:p>
  </w:footnote>
  <w:footnote w:id="130">
    <w:p w14:paraId="406F74F0" w14:textId="6286340D" w:rsidR="00762DFB" w:rsidRPr="005C1E3A"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 xml:space="preserve">“One Vision One Voice: Changing the Ontario Child Welfare System to Better Serve African Canadians, Part 1” (2016), </w:t>
      </w:r>
      <w:r w:rsidRPr="001D103B">
        <w:rPr>
          <w:szCs w:val="22"/>
        </w:rPr>
        <w:t>http://www.oacas.org/wp-content/uploads/2016/09/One-Vision-One-Voice-Part-1_digital_english.pdf</w:t>
      </w:r>
      <w:r w:rsidRPr="00FC1AD2">
        <w:rPr>
          <w:szCs w:val="22"/>
        </w:rPr>
        <w:t>.</w:t>
      </w:r>
    </w:p>
  </w:footnote>
  <w:footnote w:id="131">
    <w:p w14:paraId="0EE5FDDF" w14:textId="522C07FA"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 xml:space="preserve">Annie Turner, “Living Arrangements of Aboriginal Children Aged 14 and </w:t>
      </w:r>
      <w:proofErr w:type="gramStart"/>
      <w:r w:rsidRPr="00FC1AD2">
        <w:rPr>
          <w:szCs w:val="22"/>
        </w:rPr>
        <w:t>Under</w:t>
      </w:r>
      <w:proofErr w:type="gramEnd"/>
      <w:r w:rsidRPr="00FC1AD2">
        <w:rPr>
          <w:szCs w:val="22"/>
        </w:rPr>
        <w:t xml:space="preserve">” (2016) </w:t>
      </w:r>
      <w:r w:rsidRPr="00FC1AD2">
        <w:rPr>
          <w:i/>
          <w:szCs w:val="22"/>
        </w:rPr>
        <w:t>Insights on Canadian Society</w:t>
      </w:r>
      <w:r w:rsidRPr="00FC1AD2">
        <w:rPr>
          <w:szCs w:val="22"/>
        </w:rPr>
        <w:t>, http://www.statcan.gc.ca/pub/75-006-x/2016001/article/14547-eng.htm.</w:t>
      </w:r>
    </w:p>
  </w:footnote>
  <w:footnote w:id="132">
    <w:p w14:paraId="28491B6C" w14:textId="2865A9C3" w:rsidR="00762DFB" w:rsidRPr="00FC1AD2" w:rsidRDefault="00762DFB" w:rsidP="00FC1AD2">
      <w:pPr>
        <w:spacing w:after="0"/>
        <w:rPr>
          <w:sz w:val="22"/>
          <w:szCs w:val="22"/>
        </w:rPr>
      </w:pPr>
      <w:r w:rsidRPr="00FC1AD2">
        <w:rPr>
          <w:rStyle w:val="FootnoteReference"/>
          <w:sz w:val="22"/>
          <w:szCs w:val="22"/>
        </w:rPr>
        <w:footnoteRef/>
      </w:r>
      <w:r w:rsidRPr="00FC1AD2">
        <w:rPr>
          <w:sz w:val="22"/>
          <w:szCs w:val="22"/>
        </w:rPr>
        <w:t xml:space="preserve"> Committee on the Rights of the Child, “Concluding Observations on the Combined Third and Fourth Periodic Report of Canada, Adopted by the Committee at its Sixty-First Session” CCR/C/CAN/CO/3-4 (2012), </w:t>
      </w:r>
      <w:r w:rsidRPr="001D103B">
        <w:rPr>
          <w:sz w:val="22"/>
          <w:szCs w:val="22"/>
        </w:rPr>
        <w:t>http://docstore.ohchr.org/SelfServices/FilesHandler.ashx?enc=6QkG1d%2fPPRiCAqhKb7yhsh8%2fU426pHwccUxzN5kmnhLtdnrWm1hJzGwfirOtSF7im%2btj4%2bJ5n5CPlpIDWXA35DpHXskxTdDvCoa0RW9yOJTACORyOJ17Auf%2bpplgz6CB</w:t>
      </w:r>
      <w:r w:rsidRPr="00FC1AD2">
        <w:rPr>
          <w:sz w:val="22"/>
          <w:szCs w:val="22"/>
        </w:rPr>
        <w:t xml:space="preserve">. </w:t>
      </w:r>
    </w:p>
  </w:footnote>
  <w:footnote w:id="133">
    <w:p w14:paraId="17ADB5AF" w14:textId="2D7BFAE5"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 xml:space="preserve">“One Vision One Voice: Changing the Ontario Child Welfare System to Better Serve African Canadians, Part 1” (2016), </w:t>
      </w:r>
      <w:r w:rsidRPr="001D103B">
        <w:rPr>
          <w:szCs w:val="22"/>
        </w:rPr>
        <w:t>http://www.oacas.org/wp-content/uploads/2016/09/One-Vision-One-Voice-Part-1_digital_english.pdf</w:t>
      </w:r>
      <w:r w:rsidRPr="005C1E3A">
        <w:rPr>
          <w:szCs w:val="22"/>
        </w:rPr>
        <w:t>.</w:t>
      </w:r>
    </w:p>
  </w:footnote>
  <w:footnote w:id="134">
    <w:p w14:paraId="22C65EFB" w14:textId="7113764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Ontario Human Rights Commission, “Under Suspicion: Research and Consultation Report on Racial Profiling in Ontario” (2017), http://ohrc.on.ca/en/under-suspicion-research-and-consultation-report-racial-profiling-ontario.</w:t>
      </w:r>
    </w:p>
  </w:footnote>
  <w:footnote w:id="135">
    <w:p w14:paraId="2F367F0D" w14:textId="77777777" w:rsidR="00762DFB" w:rsidRPr="00FC1AD2" w:rsidRDefault="00762DFB" w:rsidP="00F9327E">
      <w:pPr>
        <w:pStyle w:val="FootnoteText"/>
        <w:rPr>
          <w:szCs w:val="22"/>
        </w:rPr>
      </w:pPr>
      <w:r w:rsidRPr="005C1E3A">
        <w:rPr>
          <w:rStyle w:val="FootnoteReference"/>
          <w:color w:val="000000" w:themeColor="text1"/>
          <w:szCs w:val="22"/>
        </w:rPr>
        <w:footnoteRef/>
      </w:r>
      <w:r w:rsidRPr="005C1E3A">
        <w:rPr>
          <w:color w:val="000000" w:themeColor="text1"/>
          <w:szCs w:val="22"/>
        </w:rPr>
        <w:t xml:space="preserve"> Assembly of First Nations, “Kiskisik Awasisak: Rem</w:t>
      </w:r>
      <w:r w:rsidRPr="00FC1AD2">
        <w:rPr>
          <w:color w:val="000000" w:themeColor="text1"/>
          <w:szCs w:val="22"/>
        </w:rPr>
        <w:t xml:space="preserve">ember the Children – Understanding the Overrepresentation of First Nations Children in the Child Welfare System” (2011); Michael Potvin, Tara Black and Barbara Fallon, “The Intersection of Child Welfare Investigations and Public Housing in Ontario” (2016), </w:t>
      </w:r>
      <w:r w:rsidRPr="00FC1AD2">
        <w:rPr>
          <w:i/>
          <w:color w:val="000000" w:themeColor="text1"/>
          <w:szCs w:val="22"/>
        </w:rPr>
        <w:t>Canadian Child Welfare Research Portal Information Sheet #177E</w:t>
      </w:r>
      <w:r w:rsidRPr="00FC1AD2">
        <w:rPr>
          <w:color w:val="000000" w:themeColor="text1"/>
          <w:szCs w:val="22"/>
        </w:rPr>
        <w:t xml:space="preserve">, online: </w:t>
      </w:r>
      <w:r w:rsidRPr="00FC1AD2">
        <w:rPr>
          <w:color w:val="444444"/>
          <w:szCs w:val="22"/>
        </w:rPr>
        <w:t>&lt;</w:t>
      </w:r>
      <w:r w:rsidRPr="00FC1AD2">
        <w:rPr>
          <w:szCs w:val="22"/>
        </w:rPr>
        <w:t>http://cwrp.ca/sites/default/files/publications/en/177e_0.pdf</w:t>
      </w:r>
      <w:r w:rsidRPr="00FC1AD2">
        <w:rPr>
          <w:rStyle w:val="Hyperlink"/>
          <w:szCs w:val="22"/>
        </w:rPr>
        <w:t>&gt;</w:t>
      </w:r>
      <w:r w:rsidRPr="00FC1AD2">
        <w:rPr>
          <w:color w:val="444444"/>
          <w:szCs w:val="22"/>
        </w:rPr>
        <w:t>.</w:t>
      </w:r>
    </w:p>
  </w:footnote>
  <w:footnote w:id="136">
    <w:p w14:paraId="58B4F495"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Commission to Promote Sustainable Child Welfare, </w:t>
      </w:r>
      <w:proofErr w:type="gramStart"/>
      <w:r w:rsidRPr="00FC1AD2">
        <w:rPr>
          <w:i/>
          <w:szCs w:val="22"/>
        </w:rPr>
        <w:t>A</w:t>
      </w:r>
      <w:proofErr w:type="gramEnd"/>
      <w:r w:rsidRPr="00FC1AD2">
        <w:rPr>
          <w:i/>
          <w:szCs w:val="22"/>
        </w:rPr>
        <w:t xml:space="preserve"> New Approach to Funding Child Welfare in Ontario </w:t>
      </w:r>
      <w:r w:rsidRPr="00FC1AD2">
        <w:rPr>
          <w:szCs w:val="22"/>
        </w:rPr>
        <w:t>(2011).</w:t>
      </w:r>
    </w:p>
  </w:footnote>
  <w:footnote w:id="137">
    <w:p w14:paraId="3117D052" w14:textId="02C43569"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 xml:space="preserve">Committee on the Rights of the Child, “Concluding Observations on the Combined Third and Fourth Periodic Report of Canada, Adopted by the Committee at its Sixty-First Session” CCR/C/CAN/CO/3-4 (2012), </w:t>
      </w:r>
      <w:r w:rsidRPr="001D103B">
        <w:rPr>
          <w:szCs w:val="22"/>
        </w:rPr>
        <w:t>http://docstore.ohchr.org/SelfServices/FilesHandler.ashx?enc=6QkG1d%2fPPRiCAqhKb7yhsh8%2fU426pHwccUxzN5kmnhLtdnrWm1hJzGwfirOtSF7im%2btj4%2bJ5n5CPlpIDWXA35DpHXskxTdDvCoa0RW9yOJTACORyOJ17Auf%2bpplgz6CB</w:t>
      </w:r>
      <w:r w:rsidRPr="005C1E3A">
        <w:rPr>
          <w:rStyle w:val="Hyperlink"/>
          <w:szCs w:val="22"/>
        </w:rPr>
        <w:t>.</w:t>
      </w:r>
    </w:p>
  </w:footnote>
  <w:footnote w:id="138">
    <w:p w14:paraId="799FAB9C" w14:textId="55D6EEA6"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w:t>
      </w:r>
      <w:r w:rsidRPr="00FC1AD2">
        <w:rPr>
          <w:szCs w:val="22"/>
        </w:rPr>
        <w:t>Ontario Human Rights Commission, “Under Suspicion: Research and Consultation Report on Racial Profiling in Ontario” (2017), http://ohrc.on.ca/en/under-suspicion-research-and-consultation-report-racial-profiling-ontario.</w:t>
      </w:r>
    </w:p>
  </w:footnote>
  <w:footnote w:id="139">
    <w:p w14:paraId="7D8766FF" w14:textId="77777777" w:rsidR="00762DFB" w:rsidRPr="00FC1AD2" w:rsidRDefault="00762DFB" w:rsidP="00F9327E">
      <w:pPr>
        <w:spacing w:after="0"/>
        <w:rPr>
          <w:sz w:val="22"/>
          <w:szCs w:val="22"/>
        </w:rPr>
      </w:pPr>
      <w:r w:rsidRPr="005C1E3A">
        <w:rPr>
          <w:rStyle w:val="FootnoteReference"/>
          <w:sz w:val="22"/>
          <w:szCs w:val="22"/>
        </w:rPr>
        <w:footnoteRef/>
      </w:r>
      <w:r w:rsidRPr="005C1E3A">
        <w:rPr>
          <w:sz w:val="22"/>
          <w:szCs w:val="22"/>
        </w:rPr>
        <w:t xml:space="preserve"> </w:t>
      </w:r>
      <w:r w:rsidRPr="00FC1AD2">
        <w:rPr>
          <w:sz w:val="22"/>
          <w:szCs w:val="22"/>
        </w:rPr>
        <w:t xml:space="preserve">Kike Ojo, </w:t>
      </w:r>
      <w:r w:rsidRPr="00FC1AD2">
        <w:rPr>
          <w:i/>
          <w:sz w:val="22"/>
          <w:szCs w:val="22"/>
        </w:rPr>
        <w:t>One Vision One Voice: Changing the Ontario Child Welfare System to Better Serve African Canadians</w:t>
      </w:r>
      <w:r w:rsidRPr="00FC1AD2">
        <w:rPr>
          <w:sz w:val="22"/>
          <w:szCs w:val="22"/>
        </w:rPr>
        <w:t>, Part 1, (2016) online: &lt;http://www.oacas.org/wp-content/uploads/2016/09/One-Vision-One-Voice-Part-1_digital_english.pdf</w:t>
      </w:r>
      <w:r w:rsidRPr="00FC1AD2">
        <w:rPr>
          <w:rStyle w:val="Hyperlink"/>
          <w:color w:val="000000" w:themeColor="text1"/>
          <w:sz w:val="22"/>
          <w:szCs w:val="22"/>
          <w:u w:val="none"/>
        </w:rPr>
        <w:t>&gt;</w:t>
      </w:r>
      <w:r w:rsidRPr="00FC1AD2">
        <w:rPr>
          <w:sz w:val="22"/>
          <w:szCs w:val="22"/>
        </w:rPr>
        <w:t xml:space="preserve">. </w:t>
      </w:r>
    </w:p>
  </w:footnote>
  <w:footnote w:id="140">
    <w:p w14:paraId="4E87310F"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Truth and Reconciliati</w:t>
      </w:r>
      <w:r w:rsidRPr="00FC1AD2">
        <w:rPr>
          <w:szCs w:val="22"/>
        </w:rPr>
        <w:t>on Commission of Canada, “Honouring the Truth, Reconciling for the Future” (2015), online: &lt;http://www.trc.ca/websites/trcinstitution/index.php?p=890&gt;.</w:t>
      </w:r>
    </w:p>
  </w:footnote>
  <w:footnote w:id="141">
    <w:p w14:paraId="3371DFFF" w14:textId="77777777" w:rsidR="00762DFB" w:rsidRPr="00FC1AD2" w:rsidRDefault="00762DFB" w:rsidP="00F9327E">
      <w:pPr>
        <w:pStyle w:val="FootnoteText"/>
        <w:rPr>
          <w:szCs w:val="22"/>
        </w:rPr>
      </w:pPr>
      <w:r w:rsidRPr="005C1E3A">
        <w:rPr>
          <w:rStyle w:val="FootnoteReference"/>
          <w:szCs w:val="22"/>
        </w:rPr>
        <w:footnoteRef/>
      </w:r>
      <w:r w:rsidRPr="005C1E3A">
        <w:rPr>
          <w:szCs w:val="22"/>
        </w:rPr>
        <w:t xml:space="preserve"> Truth and Reconciliation Commission of Canada, “Honouring the Truth, Reconciling for the Future” (2015</w:t>
      </w:r>
      <w:r w:rsidRPr="00FC1AD2">
        <w:rPr>
          <w:szCs w:val="22"/>
        </w:rPr>
        <w:t xml:space="preserve">), online: &lt;http://www.trc.ca/websites/trcinstitution/index.php?p=890&gt;; Jody Porter, “Ontario First Nations Call for Mandatory Inquests When Children Die in Child Welfare System,” </w:t>
      </w:r>
      <w:r w:rsidRPr="00FC1AD2">
        <w:rPr>
          <w:i/>
          <w:szCs w:val="22"/>
        </w:rPr>
        <w:t xml:space="preserve">CBC News </w:t>
      </w:r>
      <w:r w:rsidRPr="00FC1AD2">
        <w:rPr>
          <w:szCs w:val="22"/>
        </w:rPr>
        <w:t>4 May 2017, online: &lt; http://www.cbc.ca/news/canada/thunder-bay/deaths-in-care-1.4097851&gt;.</w:t>
      </w:r>
    </w:p>
  </w:footnote>
  <w:footnote w:id="142">
    <w:p w14:paraId="32AB016B" w14:textId="32FFCD3B"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Carl James, “Towards Race Equity in Education: The Schooling of Black Students in the Greater Toronto Area” (April 2017), http://edu.yorku.ca/files/2017/04/Towards-Race-Equity-in-Education-April-2017.pdf.</w:t>
      </w:r>
    </w:p>
  </w:footnote>
  <w:footnote w:id="143">
    <w:p w14:paraId="25726C1E" w14:textId="4122441C"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Carl James, “Towards Race Equity in Education: The Schooling of Black Students in the Greater Toronto Area” (April 2017), http://edu.yorku.ca/files/2017/04/Towards-Race-Equity-in-Education-April-2017.pdf</w:t>
      </w:r>
      <w:r w:rsidRPr="005C1E3A">
        <w:rPr>
          <w:szCs w:val="22"/>
        </w:rPr>
        <w:t xml:space="preserve">; </w:t>
      </w:r>
      <w:r w:rsidRPr="00FC1AD2">
        <w:rPr>
          <w:szCs w:val="22"/>
        </w:rPr>
        <w:t>Research &amp; Information Services, Toronto District School Board, “Toronto District School Board’s Student Group Overviews: Aboriginal Heritage, Afghan, Portuguese-Speaking, Somali-Speaking, and Spanish-Speaking Students” (August 2015), http://www.tdsb.on.ca/Portals/research/docs/reports/TDSB%20StudentGroupOverviews.pdf.</w:t>
      </w:r>
    </w:p>
  </w:footnote>
  <w:footnote w:id="144">
    <w:p w14:paraId="31AA8B5F" w14:textId="2E6AF5B6"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Ontario Human Rights Commission, “Under Suspicion: Research and Consultation Report on Racial Profiling in Ontario” (2017), http://ohrc.on.ca/en/under-suspicion-research-and-consultation-report-racial-profiling-ontario.</w:t>
      </w:r>
    </w:p>
  </w:footnote>
  <w:footnote w:id="145">
    <w:p w14:paraId="163429F0" w14:textId="31BFF32D" w:rsidR="00762DFB" w:rsidRPr="00FC1AD2" w:rsidRDefault="00762DFB">
      <w:pPr>
        <w:pStyle w:val="FootnoteText"/>
        <w:rPr>
          <w:szCs w:val="22"/>
        </w:rPr>
      </w:pPr>
      <w:r w:rsidRPr="005C1E3A">
        <w:rPr>
          <w:rStyle w:val="FootnoteReference"/>
          <w:szCs w:val="22"/>
        </w:rPr>
        <w:footnoteRef/>
      </w:r>
      <w:r w:rsidRPr="005C1E3A">
        <w:rPr>
          <w:szCs w:val="22"/>
        </w:rPr>
        <w:t xml:space="preserve"> </w:t>
      </w:r>
      <w:r w:rsidRPr="00FC1AD2">
        <w:rPr>
          <w:szCs w:val="22"/>
        </w:rPr>
        <w:t>Research &amp; Information Services, Toronto District School Board, “Expulsion Decision-Making Process and Expelled Students’ Transition Experience in the Toronto District School Boards’ Caring and Safe School Programs and their Graduation Outcomes” (April 2017), http://www.tdsb.on.ca/Portals/research/docs/reports/Student%20Expulsion%20Rpt%2030Mar17.pdf</w:t>
      </w:r>
      <w:r w:rsidRPr="005C1E3A">
        <w:rPr>
          <w:szCs w:val="22"/>
        </w:rPr>
        <w:t xml:space="preserve">; </w:t>
      </w:r>
      <w:r w:rsidRPr="00FC1AD2">
        <w:rPr>
          <w:szCs w:val="22"/>
        </w:rPr>
        <w:t xml:space="preserve">Carl James, “Towards Race Equity in Education: The Schooling of Black Students in the Greater Toronto Area” (April 2017), http://edu.yorku.ca/files/2017/04/Towards-Race-Equity-in-Education-April-2017.pdf. </w:t>
      </w:r>
    </w:p>
  </w:footnote>
  <w:footnote w:id="146">
    <w:p w14:paraId="6A39A1F2" w14:textId="7915AB2C" w:rsidR="00762DFB" w:rsidRPr="005C1E3A" w:rsidRDefault="00762DFB">
      <w:pPr>
        <w:pStyle w:val="FootnoteText"/>
        <w:rPr>
          <w:szCs w:val="22"/>
        </w:rPr>
      </w:pPr>
      <w:r w:rsidRPr="005C1E3A">
        <w:rPr>
          <w:rStyle w:val="FootnoteReference"/>
          <w:szCs w:val="22"/>
        </w:rPr>
        <w:footnoteRef/>
      </w:r>
      <w:r w:rsidRPr="005C1E3A">
        <w:rPr>
          <w:szCs w:val="22"/>
        </w:rPr>
        <w:t xml:space="preserve"> Ontario Human Rights Commission, </w:t>
      </w:r>
      <w:r w:rsidRPr="00FC1AD2">
        <w:rPr>
          <w:szCs w:val="22"/>
        </w:rPr>
        <w:t>“Under Suspicion: Research and Consultation Report on Racial Profiling in Ontario” (2017), http://ohrc.on.ca/en/under-suspicion-research-and-consultation-report-racial-profiling-ontario</w:t>
      </w:r>
      <w:r w:rsidRPr="005C1E3A">
        <w:rPr>
          <w:szCs w:val="22"/>
        </w:rPr>
        <w:t>.</w:t>
      </w:r>
    </w:p>
  </w:footnote>
  <w:footnote w:id="147">
    <w:p w14:paraId="40069EE0" w14:textId="20A9008F" w:rsidR="00762DFB" w:rsidRPr="00FC1AD2" w:rsidRDefault="00762DFB">
      <w:pPr>
        <w:pStyle w:val="FootnoteText"/>
        <w:rPr>
          <w:szCs w:val="22"/>
        </w:rPr>
      </w:pPr>
      <w:r w:rsidRPr="005C1E3A">
        <w:rPr>
          <w:rStyle w:val="FootnoteReference"/>
          <w:szCs w:val="22"/>
        </w:rPr>
        <w:footnoteRef/>
      </w:r>
      <w:r w:rsidRPr="005C1E3A">
        <w:rPr>
          <w:szCs w:val="22"/>
        </w:rPr>
        <w:t xml:space="preserve"> </w:t>
      </w:r>
      <w:bookmarkStart w:id="7" w:name="_Hlk483556800"/>
      <w:proofErr w:type="gramStart"/>
      <w:r w:rsidRPr="005C1E3A">
        <w:rPr>
          <w:szCs w:val="22"/>
        </w:rPr>
        <w:t xml:space="preserve">Shanifa Nasser, “Toronto Lifts Curtain on Extremism Prevention Plan Quietly Operating for More than 2 Years,” </w:t>
      </w:r>
      <w:r w:rsidRPr="00FC1AD2">
        <w:rPr>
          <w:i/>
          <w:szCs w:val="22"/>
        </w:rPr>
        <w:t>CBC</w:t>
      </w:r>
      <w:r w:rsidRPr="00FC1AD2">
        <w:rPr>
          <w:szCs w:val="22"/>
        </w:rPr>
        <w:t>, 26 November 2016, http://www.cbc.ca/news/canada/toronto/toronto-police-deradicalization-program-1.3867442.</w:t>
      </w:r>
      <w:bookmarkEnd w:id="7"/>
      <w:proofErr w:type="gramEnd"/>
    </w:p>
  </w:footnote>
  <w:footnote w:id="148">
    <w:p w14:paraId="5909C8AC" w14:textId="20626DB1" w:rsidR="00762DFB" w:rsidRPr="00FC1AD2" w:rsidRDefault="00762DFB">
      <w:pPr>
        <w:pStyle w:val="FootnoteText"/>
        <w:rPr>
          <w:szCs w:val="22"/>
        </w:rPr>
      </w:pPr>
      <w:r w:rsidRPr="005C1E3A">
        <w:rPr>
          <w:rStyle w:val="FootnoteReference"/>
          <w:szCs w:val="22"/>
        </w:rPr>
        <w:footnoteRef/>
      </w:r>
      <w:r w:rsidRPr="005C1E3A">
        <w:rPr>
          <w:szCs w:val="22"/>
        </w:rPr>
        <w:t xml:space="preserve"> Carl James, </w:t>
      </w:r>
      <w:r w:rsidRPr="00FC1AD2">
        <w:rPr>
          <w:szCs w:val="22"/>
        </w:rPr>
        <w:t>“Towards Race Equity in Education: The Schooling of Black Students in the Greater Toronto Area” (April 2017), http://edu.yorku.ca/files/2017/04/Towards-Race-Equity-in-Education-April-2017.pdf; Research &amp; Information Services, Toronto District School Board, “Toronto District School Board’s Student Group Overviews: Aboriginal Heritage, Afghan, Portuguese-Speaking, Somali-Speaking, and Spanish-Speaking Students” (August 2015), http://www.tdsb.on.ca/Portals/research/docs/reports/TDSB%20StudentGroupOverviews.pdf.</w:t>
      </w:r>
    </w:p>
  </w:footnote>
  <w:footnote w:id="149">
    <w:p w14:paraId="67644B65" w14:textId="77777777" w:rsidR="00762DFB" w:rsidRPr="00FC1AD2" w:rsidRDefault="00762DFB">
      <w:pPr>
        <w:pStyle w:val="FootnoteText"/>
        <w:rPr>
          <w:szCs w:val="22"/>
        </w:rPr>
      </w:pPr>
      <w:r w:rsidRPr="005C1E3A">
        <w:rPr>
          <w:rStyle w:val="FootnoteReference"/>
          <w:szCs w:val="22"/>
        </w:rPr>
        <w:footnoteRef/>
      </w:r>
      <w:r w:rsidRPr="005C1E3A">
        <w:rPr>
          <w:szCs w:val="22"/>
        </w:rPr>
        <w:t xml:space="preserve"> Sheryl Nestel, “Colour Coded Health Care: The Impact of Race and Racism on Canadians’ Health” (2012) </w:t>
      </w:r>
      <w:r w:rsidRPr="005C1E3A">
        <w:rPr>
          <w:i/>
          <w:szCs w:val="22"/>
        </w:rPr>
        <w:t>Wellesley Institute</w:t>
      </w:r>
      <w:r w:rsidRPr="00FC1AD2">
        <w:rPr>
          <w:szCs w:val="22"/>
        </w:rPr>
        <w:t>, &lt;http://www.wellesleyinstitute.com/wp-content/uploads/2012/02/Colour-Coded-Health-Care-Sheryl-Nestel.pdf&gt;.</w:t>
      </w:r>
    </w:p>
  </w:footnote>
  <w:footnote w:id="150">
    <w:p w14:paraId="39FAF296" w14:textId="127ABA2F" w:rsidR="00762DFB" w:rsidRPr="00894416" w:rsidRDefault="00762DFB">
      <w:pPr>
        <w:pStyle w:val="FootnoteText"/>
      </w:pPr>
      <w:r>
        <w:rPr>
          <w:rStyle w:val="FootnoteReference"/>
        </w:rPr>
        <w:footnoteRef/>
      </w:r>
      <w:r>
        <w:t xml:space="preserve"> </w:t>
      </w:r>
      <w:proofErr w:type="gramStart"/>
      <w:r>
        <w:rPr>
          <w:i/>
        </w:rPr>
        <w:t>Anti-Racism Act, 2017</w:t>
      </w:r>
      <w:r>
        <w:t>, S.O. 2017 C.15 at s. 6(7).</w:t>
      </w:r>
      <w:proofErr w:type="gramEnd"/>
    </w:p>
  </w:footnote>
  <w:footnote w:id="151">
    <w:p w14:paraId="0DAD4486" w14:textId="6F920DB7" w:rsidR="00762DFB" w:rsidRPr="005C1E3A" w:rsidRDefault="00762DFB" w:rsidP="0057019A">
      <w:pPr>
        <w:pStyle w:val="FootnoteText"/>
        <w:rPr>
          <w:szCs w:val="22"/>
        </w:rPr>
      </w:pPr>
      <w:r w:rsidRPr="005C1E3A">
        <w:rPr>
          <w:rStyle w:val="FootnoteReference"/>
          <w:szCs w:val="22"/>
        </w:rPr>
        <w:footnoteRef/>
      </w:r>
      <w:r w:rsidRPr="005C1E3A">
        <w:rPr>
          <w:szCs w:val="22"/>
        </w:rPr>
        <w:t xml:space="preserve"> </w:t>
      </w:r>
      <w:r w:rsidRPr="00FC1AD2">
        <w:rPr>
          <w:szCs w:val="22"/>
        </w:rPr>
        <w:t xml:space="preserve">Edward A Koning and Keith G Banting, “Inequality </w:t>
      </w:r>
      <w:proofErr w:type="gramStart"/>
      <w:r w:rsidRPr="00FC1AD2">
        <w:rPr>
          <w:szCs w:val="22"/>
        </w:rPr>
        <w:t>Below</w:t>
      </w:r>
      <w:proofErr w:type="gramEnd"/>
      <w:r w:rsidRPr="00FC1AD2">
        <w:rPr>
          <w:szCs w:val="22"/>
        </w:rPr>
        <w:t xml:space="preserve"> the Surface: Reviewing Immigrants’ Access to and Utilization of Five Canadian Welfare Programs” (2013) 39:4 </w:t>
      </w:r>
      <w:r w:rsidRPr="00FC1AD2">
        <w:rPr>
          <w:i/>
          <w:szCs w:val="22"/>
        </w:rPr>
        <w:t xml:space="preserve">Canadian Public Policy </w:t>
      </w:r>
      <w:r w:rsidRPr="00FC1AD2">
        <w:rPr>
          <w:szCs w:val="22"/>
        </w:rPr>
        <w:t>234.</w:t>
      </w:r>
    </w:p>
  </w:footnote>
  <w:footnote w:id="152">
    <w:p w14:paraId="3B455589" w14:textId="44F1FC84" w:rsidR="00762DFB" w:rsidRPr="00FC1AD2" w:rsidRDefault="00762DFB">
      <w:pPr>
        <w:pStyle w:val="FootnoteText"/>
        <w:rPr>
          <w:szCs w:val="22"/>
        </w:rPr>
      </w:pPr>
      <w:r w:rsidRPr="005C1E3A">
        <w:rPr>
          <w:rStyle w:val="FootnoteReference"/>
          <w:szCs w:val="22"/>
        </w:rPr>
        <w:footnoteRef/>
      </w:r>
      <w:r w:rsidRPr="005C1E3A">
        <w:rPr>
          <w:szCs w:val="22"/>
        </w:rPr>
        <w:t xml:space="preserve"> Billie Allan and Janet Smylie, “First Peoples, Second Class Treatment: The Role of Racism in the Health and Well-Being of Indigenous Peoples in </w:t>
      </w:r>
      <w:r w:rsidRPr="00FC1AD2">
        <w:rPr>
          <w:szCs w:val="22"/>
        </w:rPr>
        <w:t xml:space="preserve">Canada” (2015) </w:t>
      </w:r>
      <w:r w:rsidRPr="00FC1AD2">
        <w:rPr>
          <w:i/>
          <w:szCs w:val="22"/>
        </w:rPr>
        <w:t>Wellesley Institute</w:t>
      </w:r>
      <w:r w:rsidRPr="00FC1AD2">
        <w:rPr>
          <w:szCs w:val="22"/>
        </w:rPr>
        <w:t>, &lt;http://ywcacanada.ca/data/research_docs/00000325.pdf&gt;.</w:t>
      </w:r>
    </w:p>
  </w:footnote>
  <w:footnote w:id="153">
    <w:p w14:paraId="6DEF3D96" w14:textId="3359B9B0" w:rsidR="00762DFB" w:rsidRPr="005C1E3A" w:rsidRDefault="00762DFB">
      <w:pPr>
        <w:pStyle w:val="FootnoteText"/>
        <w:rPr>
          <w:szCs w:val="22"/>
        </w:rPr>
      </w:pPr>
      <w:r w:rsidRPr="005C1E3A">
        <w:rPr>
          <w:rStyle w:val="FootnoteReference"/>
          <w:szCs w:val="22"/>
        </w:rPr>
        <w:footnoteRef/>
      </w:r>
      <w:r w:rsidRPr="005C1E3A">
        <w:rPr>
          <w:szCs w:val="22"/>
        </w:rPr>
        <w:t xml:space="preserve"> </w:t>
      </w:r>
      <w:r>
        <w:rPr>
          <w:szCs w:val="22"/>
        </w:rPr>
        <w:t xml:space="preserve">Jacqueline Denison, Colleen Varcoe, and Annette J Browne, “Aboriginal Women’s Experiences of Accessing Health Care When State Apprehension of Children is Being Threatened” (2014) 70:5 </w:t>
      </w:r>
      <w:r>
        <w:rPr>
          <w:i/>
          <w:szCs w:val="22"/>
        </w:rPr>
        <w:t xml:space="preserve">Journal of Advanced Nursing </w:t>
      </w:r>
      <w:r>
        <w:rPr>
          <w:szCs w:val="22"/>
        </w:rPr>
        <w:t>1105.</w:t>
      </w:r>
    </w:p>
  </w:footnote>
  <w:footnote w:id="154">
    <w:p w14:paraId="41814AEF" w14:textId="3F5DF14D" w:rsidR="00762DFB" w:rsidRPr="00FC1AD2" w:rsidRDefault="00762DFB">
      <w:pPr>
        <w:pStyle w:val="FootnoteText"/>
        <w:rPr>
          <w:szCs w:val="22"/>
        </w:rPr>
      </w:pPr>
      <w:r w:rsidRPr="005C1E3A">
        <w:rPr>
          <w:rStyle w:val="FootnoteReference"/>
          <w:szCs w:val="22"/>
        </w:rPr>
        <w:footnoteRef/>
      </w:r>
      <w:r w:rsidRPr="005C1E3A">
        <w:rPr>
          <w:szCs w:val="22"/>
        </w:rPr>
        <w:t xml:space="preserve"> Ontario Human Rights Commission, “Under Suspicion: Research and Consultation Report on Racial Profiling in Ontario</w:t>
      </w:r>
      <w:r w:rsidRPr="00FC1AD2">
        <w:rPr>
          <w:szCs w:val="22"/>
        </w:rPr>
        <w:t>” (2017), http://ohrc.on.ca/en/under-suspicion-research-and-consultation-report-racial-profiling-ontario.</w:t>
      </w:r>
    </w:p>
  </w:footnote>
  <w:footnote w:id="155">
    <w:p w14:paraId="2A2DFB52" w14:textId="6798F436" w:rsidR="00762DFB" w:rsidRDefault="00762DFB">
      <w:pPr>
        <w:pStyle w:val="FootnoteText"/>
      </w:pPr>
      <w:r>
        <w:rPr>
          <w:rStyle w:val="FootnoteReference"/>
        </w:rPr>
        <w:footnoteRef/>
      </w:r>
      <w:r>
        <w:t xml:space="preserve"> Wellesley Institute, “Comments on Racism, Health and Access to Health Services, Convention on the Elimination of All Forms of Racial Discrimination: Canada’s 21</w:t>
      </w:r>
      <w:r w:rsidRPr="00103D0E">
        <w:rPr>
          <w:vertAlign w:val="superscript"/>
        </w:rPr>
        <w:t>st</w:t>
      </w:r>
      <w:r>
        <w:t xml:space="preserve"> – 23</w:t>
      </w:r>
      <w:r w:rsidRPr="00103D0E">
        <w:rPr>
          <w:vertAlign w:val="superscript"/>
        </w:rPr>
        <w:t>rd</w:t>
      </w:r>
      <w:r>
        <w:t xml:space="preserve"> Periodic Reports”, June 6,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EDE"/>
    <w:multiLevelType w:val="hybridMultilevel"/>
    <w:tmpl w:val="A558BE8A"/>
    <w:lvl w:ilvl="0" w:tplc="1009000F">
      <w:start w:val="1"/>
      <w:numFmt w:val="decimal"/>
      <w:lvlText w:val="%1."/>
      <w:lvlJc w:val="left"/>
      <w:pPr>
        <w:tabs>
          <w:tab w:val="num" w:pos="720"/>
        </w:tabs>
        <w:ind w:left="720" w:hanging="360"/>
      </w:pPr>
      <w:rPr>
        <w:rFont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nsid w:val="01D864B1"/>
    <w:multiLevelType w:val="hybridMultilevel"/>
    <w:tmpl w:val="DDE2CF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24F45DC"/>
    <w:multiLevelType w:val="hybridMultilevel"/>
    <w:tmpl w:val="76AC0B3A"/>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5B50C7"/>
    <w:multiLevelType w:val="hybridMultilevel"/>
    <w:tmpl w:val="21726C4E"/>
    <w:lvl w:ilvl="0" w:tplc="C81436BC">
      <w:start w:val="1"/>
      <w:numFmt w:val="decimal"/>
      <w:lvlText w:val="%1."/>
      <w:lvlJc w:val="left"/>
      <w:pPr>
        <w:tabs>
          <w:tab w:val="num" w:pos="567"/>
        </w:tabs>
        <w:ind w:left="0" w:firstLine="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BF32BBA"/>
    <w:multiLevelType w:val="hybridMultilevel"/>
    <w:tmpl w:val="7ABABD48"/>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C4328F9"/>
    <w:multiLevelType w:val="hybridMultilevel"/>
    <w:tmpl w:val="288619A2"/>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88724C0"/>
    <w:multiLevelType w:val="hybridMultilevel"/>
    <w:tmpl w:val="14541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11312A5"/>
    <w:multiLevelType w:val="hybridMultilevel"/>
    <w:tmpl w:val="06C28AFE"/>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1C06F3B"/>
    <w:multiLevelType w:val="hybridMultilevel"/>
    <w:tmpl w:val="F7C2821C"/>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3EB24FA"/>
    <w:multiLevelType w:val="hybridMultilevel"/>
    <w:tmpl w:val="822A18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40C09CC"/>
    <w:multiLevelType w:val="hybridMultilevel"/>
    <w:tmpl w:val="1B1A13F4"/>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47669B1"/>
    <w:multiLevelType w:val="hybridMultilevel"/>
    <w:tmpl w:val="0A827A4A"/>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66A7BAC"/>
    <w:multiLevelType w:val="hybridMultilevel"/>
    <w:tmpl w:val="DC7C1B76"/>
    <w:lvl w:ilvl="0" w:tplc="389AF046">
      <w:start w:val="1"/>
      <w:numFmt w:val="decimal"/>
      <w:lvlText w:val="%1."/>
      <w:lvlJc w:val="left"/>
      <w:pPr>
        <w:tabs>
          <w:tab w:val="num" w:pos="510"/>
        </w:tabs>
        <w:ind w:left="567" w:hanging="567"/>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D7E6D18"/>
    <w:multiLevelType w:val="hybridMultilevel"/>
    <w:tmpl w:val="254A119A"/>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2856440"/>
    <w:multiLevelType w:val="hybridMultilevel"/>
    <w:tmpl w:val="A50C44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C152104"/>
    <w:multiLevelType w:val="hybridMultilevel"/>
    <w:tmpl w:val="8D825E3C"/>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C080257"/>
    <w:multiLevelType w:val="hybridMultilevel"/>
    <w:tmpl w:val="CFBA8E8A"/>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C552158"/>
    <w:multiLevelType w:val="hybridMultilevel"/>
    <w:tmpl w:val="E832628A"/>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FA64AB7"/>
    <w:multiLevelType w:val="hybridMultilevel"/>
    <w:tmpl w:val="1A00EE5E"/>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6A53FC7"/>
    <w:multiLevelType w:val="hybridMultilevel"/>
    <w:tmpl w:val="F0AA2E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9943A07"/>
    <w:multiLevelType w:val="hybridMultilevel"/>
    <w:tmpl w:val="DB444CC0"/>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C3776AB"/>
    <w:multiLevelType w:val="hybridMultilevel"/>
    <w:tmpl w:val="A38A8BEC"/>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CC967CC"/>
    <w:multiLevelType w:val="hybridMultilevel"/>
    <w:tmpl w:val="78E0B66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nsid w:val="5F9D5A25"/>
    <w:multiLevelType w:val="hybridMultilevel"/>
    <w:tmpl w:val="4B683E62"/>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1E12D76"/>
    <w:multiLevelType w:val="hybridMultilevel"/>
    <w:tmpl w:val="672458E4"/>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34F2AB3"/>
    <w:multiLevelType w:val="hybridMultilevel"/>
    <w:tmpl w:val="C57847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7B6118D"/>
    <w:multiLevelType w:val="hybridMultilevel"/>
    <w:tmpl w:val="D3E69AEA"/>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69FF3323"/>
    <w:multiLevelType w:val="hybridMultilevel"/>
    <w:tmpl w:val="10A6F03A"/>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B5560FA"/>
    <w:multiLevelType w:val="hybridMultilevel"/>
    <w:tmpl w:val="31A63974"/>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DA516B7"/>
    <w:multiLevelType w:val="hybridMultilevel"/>
    <w:tmpl w:val="4C90B422"/>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E382BAA"/>
    <w:multiLevelType w:val="hybridMultilevel"/>
    <w:tmpl w:val="88CC5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EED4EE4"/>
    <w:multiLevelType w:val="hybridMultilevel"/>
    <w:tmpl w:val="6E485424"/>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79075A0D"/>
    <w:multiLevelType w:val="hybridMultilevel"/>
    <w:tmpl w:val="F2BA6DF8"/>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7BFD5B87"/>
    <w:multiLevelType w:val="hybridMultilevel"/>
    <w:tmpl w:val="39002F42"/>
    <w:lvl w:ilvl="0" w:tplc="10090001">
      <w:start w:val="1"/>
      <w:numFmt w:val="bullet"/>
      <w:lvlText w:val=""/>
      <w:lvlJc w:val="left"/>
      <w:pPr>
        <w:tabs>
          <w:tab w:val="num" w:pos="567"/>
        </w:tabs>
        <w:ind w:left="0" w:firstLine="0"/>
      </w:pPr>
      <w:rPr>
        <w:rFonts w:ascii="Symbol" w:hAnsi="Symbol"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2"/>
  </w:num>
  <w:num w:numId="3">
    <w:abstractNumId w:val="12"/>
  </w:num>
  <w:num w:numId="4">
    <w:abstractNumId w:val="14"/>
  </w:num>
  <w:num w:numId="5">
    <w:abstractNumId w:val="19"/>
  </w:num>
  <w:num w:numId="6">
    <w:abstractNumId w:val="3"/>
  </w:num>
  <w:num w:numId="7">
    <w:abstractNumId w:val="9"/>
  </w:num>
  <w:num w:numId="8">
    <w:abstractNumId w:val="25"/>
  </w:num>
  <w:num w:numId="9">
    <w:abstractNumId w:val="30"/>
  </w:num>
  <w:num w:numId="10">
    <w:abstractNumId w:val="21"/>
  </w:num>
  <w:num w:numId="11">
    <w:abstractNumId w:val="5"/>
  </w:num>
  <w:num w:numId="12">
    <w:abstractNumId w:val="17"/>
  </w:num>
  <w:num w:numId="13">
    <w:abstractNumId w:val="18"/>
  </w:num>
  <w:num w:numId="14">
    <w:abstractNumId w:val="10"/>
  </w:num>
  <w:num w:numId="15">
    <w:abstractNumId w:val="31"/>
  </w:num>
  <w:num w:numId="16">
    <w:abstractNumId w:val="13"/>
  </w:num>
  <w:num w:numId="17">
    <w:abstractNumId w:val="8"/>
  </w:num>
  <w:num w:numId="18">
    <w:abstractNumId w:val="2"/>
  </w:num>
  <w:num w:numId="19">
    <w:abstractNumId w:val="27"/>
  </w:num>
  <w:num w:numId="20">
    <w:abstractNumId w:val="15"/>
  </w:num>
  <w:num w:numId="21">
    <w:abstractNumId w:val="28"/>
  </w:num>
  <w:num w:numId="22">
    <w:abstractNumId w:val="11"/>
  </w:num>
  <w:num w:numId="23">
    <w:abstractNumId w:val="7"/>
  </w:num>
  <w:num w:numId="24">
    <w:abstractNumId w:val="23"/>
  </w:num>
  <w:num w:numId="25">
    <w:abstractNumId w:val="33"/>
  </w:num>
  <w:num w:numId="26">
    <w:abstractNumId w:val="29"/>
  </w:num>
  <w:num w:numId="27">
    <w:abstractNumId w:val="26"/>
  </w:num>
  <w:num w:numId="28">
    <w:abstractNumId w:val="6"/>
  </w:num>
  <w:num w:numId="29">
    <w:abstractNumId w:val="32"/>
  </w:num>
  <w:num w:numId="30">
    <w:abstractNumId w:val="4"/>
  </w:num>
  <w:num w:numId="31">
    <w:abstractNumId w:val="16"/>
  </w:num>
  <w:num w:numId="32">
    <w:abstractNumId w:val="20"/>
  </w:num>
  <w:num w:numId="33">
    <w:abstractNumId w:val="24"/>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CA9"/>
    <w:rsid w:val="00015C7A"/>
    <w:rsid w:val="000237AC"/>
    <w:rsid w:val="00041F03"/>
    <w:rsid w:val="000501F4"/>
    <w:rsid w:val="0006018D"/>
    <w:rsid w:val="00062204"/>
    <w:rsid w:val="00071E4C"/>
    <w:rsid w:val="00072C41"/>
    <w:rsid w:val="00075D8B"/>
    <w:rsid w:val="00082B04"/>
    <w:rsid w:val="00090E84"/>
    <w:rsid w:val="00092618"/>
    <w:rsid w:val="00092AD3"/>
    <w:rsid w:val="00093B25"/>
    <w:rsid w:val="00093BB5"/>
    <w:rsid w:val="00094CB8"/>
    <w:rsid w:val="00097FE2"/>
    <w:rsid w:val="000A15FC"/>
    <w:rsid w:val="000B2B0F"/>
    <w:rsid w:val="000B369B"/>
    <w:rsid w:val="000B7593"/>
    <w:rsid w:val="000C003E"/>
    <w:rsid w:val="000C0296"/>
    <w:rsid w:val="000D35B4"/>
    <w:rsid w:val="000D4758"/>
    <w:rsid w:val="000D662C"/>
    <w:rsid w:val="000E074F"/>
    <w:rsid w:val="000E1799"/>
    <w:rsid w:val="000E299B"/>
    <w:rsid w:val="000E2D77"/>
    <w:rsid w:val="000F14FE"/>
    <w:rsid w:val="000F4404"/>
    <w:rsid w:val="000F65C6"/>
    <w:rsid w:val="00101DDC"/>
    <w:rsid w:val="00103D0E"/>
    <w:rsid w:val="001048E4"/>
    <w:rsid w:val="00110F7E"/>
    <w:rsid w:val="00111CE3"/>
    <w:rsid w:val="0011667E"/>
    <w:rsid w:val="00120196"/>
    <w:rsid w:val="00123FF5"/>
    <w:rsid w:val="00126748"/>
    <w:rsid w:val="00130444"/>
    <w:rsid w:val="00134E6F"/>
    <w:rsid w:val="00150D54"/>
    <w:rsid w:val="00154F83"/>
    <w:rsid w:val="00155EDE"/>
    <w:rsid w:val="0015797F"/>
    <w:rsid w:val="001645EF"/>
    <w:rsid w:val="00164691"/>
    <w:rsid w:val="001700C2"/>
    <w:rsid w:val="001754AA"/>
    <w:rsid w:val="00176EC4"/>
    <w:rsid w:val="00177360"/>
    <w:rsid w:val="00183D8F"/>
    <w:rsid w:val="001848A6"/>
    <w:rsid w:val="00187854"/>
    <w:rsid w:val="001901AE"/>
    <w:rsid w:val="00190A1C"/>
    <w:rsid w:val="001917FB"/>
    <w:rsid w:val="00194577"/>
    <w:rsid w:val="00196943"/>
    <w:rsid w:val="00196E7A"/>
    <w:rsid w:val="001A2D52"/>
    <w:rsid w:val="001A4B25"/>
    <w:rsid w:val="001B343D"/>
    <w:rsid w:val="001B5887"/>
    <w:rsid w:val="001C1409"/>
    <w:rsid w:val="001C45A1"/>
    <w:rsid w:val="001D103B"/>
    <w:rsid w:val="001D4E32"/>
    <w:rsid w:val="001D5898"/>
    <w:rsid w:val="001E7C31"/>
    <w:rsid w:val="001F22C8"/>
    <w:rsid w:val="001F50B7"/>
    <w:rsid w:val="001F548D"/>
    <w:rsid w:val="001F559E"/>
    <w:rsid w:val="001F6CDC"/>
    <w:rsid w:val="001F7FA2"/>
    <w:rsid w:val="002036E8"/>
    <w:rsid w:val="00203B5A"/>
    <w:rsid w:val="0020656E"/>
    <w:rsid w:val="0021026C"/>
    <w:rsid w:val="002116EF"/>
    <w:rsid w:val="00211D1D"/>
    <w:rsid w:val="00212BDE"/>
    <w:rsid w:val="002153BE"/>
    <w:rsid w:val="0021656C"/>
    <w:rsid w:val="002209D2"/>
    <w:rsid w:val="0022537F"/>
    <w:rsid w:val="00230D48"/>
    <w:rsid w:val="00233413"/>
    <w:rsid w:val="00233752"/>
    <w:rsid w:val="002351D6"/>
    <w:rsid w:val="0023716C"/>
    <w:rsid w:val="002420A9"/>
    <w:rsid w:val="00244822"/>
    <w:rsid w:val="00244BC2"/>
    <w:rsid w:val="002450FC"/>
    <w:rsid w:val="0025062E"/>
    <w:rsid w:val="00255697"/>
    <w:rsid w:val="00263C6E"/>
    <w:rsid w:val="00265B75"/>
    <w:rsid w:val="00270D9B"/>
    <w:rsid w:val="002741FC"/>
    <w:rsid w:val="0028413E"/>
    <w:rsid w:val="00285A29"/>
    <w:rsid w:val="0028621A"/>
    <w:rsid w:val="00291FF2"/>
    <w:rsid w:val="002943CB"/>
    <w:rsid w:val="002A0FB8"/>
    <w:rsid w:val="002A19CB"/>
    <w:rsid w:val="002A1CD7"/>
    <w:rsid w:val="002A305B"/>
    <w:rsid w:val="002A32AC"/>
    <w:rsid w:val="002A6447"/>
    <w:rsid w:val="002B0D4D"/>
    <w:rsid w:val="002B7120"/>
    <w:rsid w:val="002B781C"/>
    <w:rsid w:val="002C01CD"/>
    <w:rsid w:val="002C1D73"/>
    <w:rsid w:val="002C5C5F"/>
    <w:rsid w:val="002D0EFF"/>
    <w:rsid w:val="002D7D03"/>
    <w:rsid w:val="002F1725"/>
    <w:rsid w:val="00300A16"/>
    <w:rsid w:val="0030404A"/>
    <w:rsid w:val="0031112A"/>
    <w:rsid w:val="00311333"/>
    <w:rsid w:val="00327120"/>
    <w:rsid w:val="00327991"/>
    <w:rsid w:val="00330FBE"/>
    <w:rsid w:val="00331FD0"/>
    <w:rsid w:val="00332EAD"/>
    <w:rsid w:val="00340EB5"/>
    <w:rsid w:val="0034531E"/>
    <w:rsid w:val="00346248"/>
    <w:rsid w:val="00347574"/>
    <w:rsid w:val="00351DF6"/>
    <w:rsid w:val="003549A2"/>
    <w:rsid w:val="00364AB5"/>
    <w:rsid w:val="00367B36"/>
    <w:rsid w:val="003765EA"/>
    <w:rsid w:val="00384E5A"/>
    <w:rsid w:val="003A2A58"/>
    <w:rsid w:val="003B28CC"/>
    <w:rsid w:val="003B490E"/>
    <w:rsid w:val="003B6D17"/>
    <w:rsid w:val="003B7A34"/>
    <w:rsid w:val="003C1CBC"/>
    <w:rsid w:val="003C59AF"/>
    <w:rsid w:val="003E181B"/>
    <w:rsid w:val="003E2D93"/>
    <w:rsid w:val="003E4C57"/>
    <w:rsid w:val="003E5008"/>
    <w:rsid w:val="003E58BC"/>
    <w:rsid w:val="003E69F2"/>
    <w:rsid w:val="003F0502"/>
    <w:rsid w:val="003F0ACF"/>
    <w:rsid w:val="003F3B14"/>
    <w:rsid w:val="003F4CBF"/>
    <w:rsid w:val="003F50CD"/>
    <w:rsid w:val="0040084E"/>
    <w:rsid w:val="00403955"/>
    <w:rsid w:val="00410C2A"/>
    <w:rsid w:val="00411512"/>
    <w:rsid w:val="00411925"/>
    <w:rsid w:val="004124EB"/>
    <w:rsid w:val="00412F3B"/>
    <w:rsid w:val="004144C3"/>
    <w:rsid w:val="0042040E"/>
    <w:rsid w:val="00426632"/>
    <w:rsid w:val="00427B88"/>
    <w:rsid w:val="0043400A"/>
    <w:rsid w:val="00434BFD"/>
    <w:rsid w:val="00440A07"/>
    <w:rsid w:val="00450BB1"/>
    <w:rsid w:val="004614D0"/>
    <w:rsid w:val="00463B35"/>
    <w:rsid w:val="00464A36"/>
    <w:rsid w:val="00472910"/>
    <w:rsid w:val="00472EDA"/>
    <w:rsid w:val="00477F33"/>
    <w:rsid w:val="004800A7"/>
    <w:rsid w:val="00480121"/>
    <w:rsid w:val="00480889"/>
    <w:rsid w:val="00481A12"/>
    <w:rsid w:val="0048740D"/>
    <w:rsid w:val="004874D5"/>
    <w:rsid w:val="0049093C"/>
    <w:rsid w:val="004911F4"/>
    <w:rsid w:val="0049574D"/>
    <w:rsid w:val="00495D2B"/>
    <w:rsid w:val="004A3278"/>
    <w:rsid w:val="004A52D1"/>
    <w:rsid w:val="004C071E"/>
    <w:rsid w:val="004C3A24"/>
    <w:rsid w:val="004C757F"/>
    <w:rsid w:val="004D1E54"/>
    <w:rsid w:val="004D3A37"/>
    <w:rsid w:val="004D4AD2"/>
    <w:rsid w:val="004D4CB2"/>
    <w:rsid w:val="004D6A92"/>
    <w:rsid w:val="004D7669"/>
    <w:rsid w:val="004E058E"/>
    <w:rsid w:val="004F3882"/>
    <w:rsid w:val="004F4D00"/>
    <w:rsid w:val="004F56C9"/>
    <w:rsid w:val="004F68E1"/>
    <w:rsid w:val="00513D2A"/>
    <w:rsid w:val="00514AA3"/>
    <w:rsid w:val="005175CE"/>
    <w:rsid w:val="005221B0"/>
    <w:rsid w:val="00527023"/>
    <w:rsid w:val="005346D4"/>
    <w:rsid w:val="00535311"/>
    <w:rsid w:val="005378E8"/>
    <w:rsid w:val="005401E9"/>
    <w:rsid w:val="005417C7"/>
    <w:rsid w:val="005442ED"/>
    <w:rsid w:val="005476FF"/>
    <w:rsid w:val="00553EA0"/>
    <w:rsid w:val="00555093"/>
    <w:rsid w:val="005567D5"/>
    <w:rsid w:val="00561712"/>
    <w:rsid w:val="00562B56"/>
    <w:rsid w:val="005675F9"/>
    <w:rsid w:val="0057019A"/>
    <w:rsid w:val="00572700"/>
    <w:rsid w:val="0057464E"/>
    <w:rsid w:val="00574677"/>
    <w:rsid w:val="0057643A"/>
    <w:rsid w:val="0058105C"/>
    <w:rsid w:val="005837D8"/>
    <w:rsid w:val="00584674"/>
    <w:rsid w:val="00584E29"/>
    <w:rsid w:val="005908DD"/>
    <w:rsid w:val="005910B4"/>
    <w:rsid w:val="00597C53"/>
    <w:rsid w:val="00597F3F"/>
    <w:rsid w:val="005A0B78"/>
    <w:rsid w:val="005A2BF2"/>
    <w:rsid w:val="005A74A2"/>
    <w:rsid w:val="005B640F"/>
    <w:rsid w:val="005B6A51"/>
    <w:rsid w:val="005C13BA"/>
    <w:rsid w:val="005C1E3A"/>
    <w:rsid w:val="005C1ED8"/>
    <w:rsid w:val="005C2DFC"/>
    <w:rsid w:val="005C51D5"/>
    <w:rsid w:val="005D0464"/>
    <w:rsid w:val="005D2730"/>
    <w:rsid w:val="005D65D6"/>
    <w:rsid w:val="005F15A6"/>
    <w:rsid w:val="005F24D0"/>
    <w:rsid w:val="005F2525"/>
    <w:rsid w:val="005F4964"/>
    <w:rsid w:val="005F6F8C"/>
    <w:rsid w:val="005F7403"/>
    <w:rsid w:val="0060658E"/>
    <w:rsid w:val="00611897"/>
    <w:rsid w:val="00611F88"/>
    <w:rsid w:val="006122BE"/>
    <w:rsid w:val="006132CB"/>
    <w:rsid w:val="00615CD7"/>
    <w:rsid w:val="006225E8"/>
    <w:rsid w:val="00622A13"/>
    <w:rsid w:val="00627EBE"/>
    <w:rsid w:val="006303BF"/>
    <w:rsid w:val="00630635"/>
    <w:rsid w:val="006401F6"/>
    <w:rsid w:val="006406D5"/>
    <w:rsid w:val="006418E5"/>
    <w:rsid w:val="00642E10"/>
    <w:rsid w:val="00642FD7"/>
    <w:rsid w:val="00646EA8"/>
    <w:rsid w:val="00650054"/>
    <w:rsid w:val="006544A4"/>
    <w:rsid w:val="00657B0F"/>
    <w:rsid w:val="00660E48"/>
    <w:rsid w:val="00664EF0"/>
    <w:rsid w:val="00665120"/>
    <w:rsid w:val="00671D81"/>
    <w:rsid w:val="00675BF8"/>
    <w:rsid w:val="0068329B"/>
    <w:rsid w:val="006861F9"/>
    <w:rsid w:val="006A6AC0"/>
    <w:rsid w:val="006C0568"/>
    <w:rsid w:val="006C4E31"/>
    <w:rsid w:val="006C7CD2"/>
    <w:rsid w:val="006C7F44"/>
    <w:rsid w:val="006E4B52"/>
    <w:rsid w:val="006E5F47"/>
    <w:rsid w:val="006F084F"/>
    <w:rsid w:val="006F0CAB"/>
    <w:rsid w:val="006F17A2"/>
    <w:rsid w:val="006F2394"/>
    <w:rsid w:val="006F7566"/>
    <w:rsid w:val="0070263A"/>
    <w:rsid w:val="00703505"/>
    <w:rsid w:val="00705C52"/>
    <w:rsid w:val="00707FE4"/>
    <w:rsid w:val="00722154"/>
    <w:rsid w:val="00723753"/>
    <w:rsid w:val="00732905"/>
    <w:rsid w:val="00734651"/>
    <w:rsid w:val="0073488A"/>
    <w:rsid w:val="00736B49"/>
    <w:rsid w:val="00745B12"/>
    <w:rsid w:val="00750102"/>
    <w:rsid w:val="0076297B"/>
    <w:rsid w:val="00762DFB"/>
    <w:rsid w:val="007652E4"/>
    <w:rsid w:val="00766541"/>
    <w:rsid w:val="00771022"/>
    <w:rsid w:val="00781AC2"/>
    <w:rsid w:val="007851F5"/>
    <w:rsid w:val="00787B42"/>
    <w:rsid w:val="00796DCF"/>
    <w:rsid w:val="007A628B"/>
    <w:rsid w:val="007A79B2"/>
    <w:rsid w:val="007A7A14"/>
    <w:rsid w:val="007B0B00"/>
    <w:rsid w:val="007B0C04"/>
    <w:rsid w:val="007B2832"/>
    <w:rsid w:val="007B6C06"/>
    <w:rsid w:val="007B6C76"/>
    <w:rsid w:val="007B7AAB"/>
    <w:rsid w:val="007C1D6D"/>
    <w:rsid w:val="007D1538"/>
    <w:rsid w:val="007D644B"/>
    <w:rsid w:val="007E30C4"/>
    <w:rsid w:val="007E35AB"/>
    <w:rsid w:val="007E418E"/>
    <w:rsid w:val="007E4AC9"/>
    <w:rsid w:val="007F427C"/>
    <w:rsid w:val="007F6B64"/>
    <w:rsid w:val="007F7240"/>
    <w:rsid w:val="00802A92"/>
    <w:rsid w:val="00812278"/>
    <w:rsid w:val="008137F0"/>
    <w:rsid w:val="00815271"/>
    <w:rsid w:val="008203FB"/>
    <w:rsid w:val="0082171B"/>
    <w:rsid w:val="00823BD8"/>
    <w:rsid w:val="00827736"/>
    <w:rsid w:val="00830E4F"/>
    <w:rsid w:val="00834206"/>
    <w:rsid w:val="00835796"/>
    <w:rsid w:val="00836AA3"/>
    <w:rsid w:val="00836E31"/>
    <w:rsid w:val="00852C29"/>
    <w:rsid w:val="008532BF"/>
    <w:rsid w:val="008537C9"/>
    <w:rsid w:val="008577EC"/>
    <w:rsid w:val="00860876"/>
    <w:rsid w:val="008654FF"/>
    <w:rsid w:val="0086575D"/>
    <w:rsid w:val="00871DA7"/>
    <w:rsid w:val="0087355B"/>
    <w:rsid w:val="00874753"/>
    <w:rsid w:val="008757CF"/>
    <w:rsid w:val="0088519C"/>
    <w:rsid w:val="00893AD3"/>
    <w:rsid w:val="00894416"/>
    <w:rsid w:val="00894AF3"/>
    <w:rsid w:val="008956EC"/>
    <w:rsid w:val="00897F1A"/>
    <w:rsid w:val="008A0BAF"/>
    <w:rsid w:val="008A226D"/>
    <w:rsid w:val="008A2EBC"/>
    <w:rsid w:val="008A3B2B"/>
    <w:rsid w:val="008A5E7A"/>
    <w:rsid w:val="008B18FB"/>
    <w:rsid w:val="008C0182"/>
    <w:rsid w:val="008C2F12"/>
    <w:rsid w:val="008C54F0"/>
    <w:rsid w:val="008C7614"/>
    <w:rsid w:val="008D3017"/>
    <w:rsid w:val="008D48E0"/>
    <w:rsid w:val="008D6AEB"/>
    <w:rsid w:val="008D7C74"/>
    <w:rsid w:val="008E15AF"/>
    <w:rsid w:val="008E4B42"/>
    <w:rsid w:val="008E7495"/>
    <w:rsid w:val="008F401C"/>
    <w:rsid w:val="0090118C"/>
    <w:rsid w:val="00913C7F"/>
    <w:rsid w:val="00915847"/>
    <w:rsid w:val="00916412"/>
    <w:rsid w:val="00917CD8"/>
    <w:rsid w:val="00933E17"/>
    <w:rsid w:val="009377AC"/>
    <w:rsid w:val="00942AE8"/>
    <w:rsid w:val="00944BC5"/>
    <w:rsid w:val="00953298"/>
    <w:rsid w:val="009549BC"/>
    <w:rsid w:val="00955D1A"/>
    <w:rsid w:val="00962F82"/>
    <w:rsid w:val="00963672"/>
    <w:rsid w:val="009724C1"/>
    <w:rsid w:val="009753C1"/>
    <w:rsid w:val="00981B30"/>
    <w:rsid w:val="0098584D"/>
    <w:rsid w:val="009A0CC1"/>
    <w:rsid w:val="009A6B55"/>
    <w:rsid w:val="009B2095"/>
    <w:rsid w:val="009B448C"/>
    <w:rsid w:val="009C0445"/>
    <w:rsid w:val="009C0C36"/>
    <w:rsid w:val="009D32F5"/>
    <w:rsid w:val="009D7FB1"/>
    <w:rsid w:val="009E3A67"/>
    <w:rsid w:val="009F1CC2"/>
    <w:rsid w:val="009F23E2"/>
    <w:rsid w:val="009F2CDB"/>
    <w:rsid w:val="009F5B11"/>
    <w:rsid w:val="00A175A5"/>
    <w:rsid w:val="00A179B5"/>
    <w:rsid w:val="00A32D1C"/>
    <w:rsid w:val="00A424BF"/>
    <w:rsid w:val="00A46274"/>
    <w:rsid w:val="00A501F7"/>
    <w:rsid w:val="00A50403"/>
    <w:rsid w:val="00A647EA"/>
    <w:rsid w:val="00A67696"/>
    <w:rsid w:val="00A82C89"/>
    <w:rsid w:val="00A868FD"/>
    <w:rsid w:val="00A87E59"/>
    <w:rsid w:val="00A95A62"/>
    <w:rsid w:val="00AA28E5"/>
    <w:rsid w:val="00AB1B56"/>
    <w:rsid w:val="00AC0A30"/>
    <w:rsid w:val="00AC25F8"/>
    <w:rsid w:val="00AC45F0"/>
    <w:rsid w:val="00AC52C0"/>
    <w:rsid w:val="00AC5C1C"/>
    <w:rsid w:val="00AD1E7A"/>
    <w:rsid w:val="00AD48E3"/>
    <w:rsid w:val="00AE0C31"/>
    <w:rsid w:val="00AE7AF7"/>
    <w:rsid w:val="00AF33F9"/>
    <w:rsid w:val="00AF5566"/>
    <w:rsid w:val="00AF5D3E"/>
    <w:rsid w:val="00AF76F7"/>
    <w:rsid w:val="00B02748"/>
    <w:rsid w:val="00B0354C"/>
    <w:rsid w:val="00B05AAD"/>
    <w:rsid w:val="00B106C3"/>
    <w:rsid w:val="00B1113B"/>
    <w:rsid w:val="00B15ED9"/>
    <w:rsid w:val="00B16D6C"/>
    <w:rsid w:val="00B31DCE"/>
    <w:rsid w:val="00B37D51"/>
    <w:rsid w:val="00B41A0E"/>
    <w:rsid w:val="00B42D83"/>
    <w:rsid w:val="00B50034"/>
    <w:rsid w:val="00B52F68"/>
    <w:rsid w:val="00B53B07"/>
    <w:rsid w:val="00B56816"/>
    <w:rsid w:val="00B63FC7"/>
    <w:rsid w:val="00B67699"/>
    <w:rsid w:val="00B768FF"/>
    <w:rsid w:val="00B90785"/>
    <w:rsid w:val="00B90C2E"/>
    <w:rsid w:val="00BA2DEB"/>
    <w:rsid w:val="00BA3D0C"/>
    <w:rsid w:val="00BA5CD5"/>
    <w:rsid w:val="00BC0D90"/>
    <w:rsid w:val="00BC0E4A"/>
    <w:rsid w:val="00BC14A1"/>
    <w:rsid w:val="00BC5279"/>
    <w:rsid w:val="00BC732D"/>
    <w:rsid w:val="00BD3DBF"/>
    <w:rsid w:val="00BD72C8"/>
    <w:rsid w:val="00BE1C63"/>
    <w:rsid w:val="00BE208F"/>
    <w:rsid w:val="00BE3D81"/>
    <w:rsid w:val="00BF0400"/>
    <w:rsid w:val="00BF42BD"/>
    <w:rsid w:val="00BF7DF9"/>
    <w:rsid w:val="00C01DF6"/>
    <w:rsid w:val="00C048C5"/>
    <w:rsid w:val="00C048C9"/>
    <w:rsid w:val="00C04E80"/>
    <w:rsid w:val="00C1169D"/>
    <w:rsid w:val="00C13401"/>
    <w:rsid w:val="00C159FB"/>
    <w:rsid w:val="00C17AE8"/>
    <w:rsid w:val="00C25E2B"/>
    <w:rsid w:val="00C311DF"/>
    <w:rsid w:val="00C31EF3"/>
    <w:rsid w:val="00C33650"/>
    <w:rsid w:val="00C34653"/>
    <w:rsid w:val="00C34B28"/>
    <w:rsid w:val="00C3556F"/>
    <w:rsid w:val="00C35BBC"/>
    <w:rsid w:val="00C36D04"/>
    <w:rsid w:val="00C4035A"/>
    <w:rsid w:val="00C45736"/>
    <w:rsid w:val="00C54039"/>
    <w:rsid w:val="00C5408B"/>
    <w:rsid w:val="00C60EE5"/>
    <w:rsid w:val="00C700BE"/>
    <w:rsid w:val="00C733E7"/>
    <w:rsid w:val="00C77C74"/>
    <w:rsid w:val="00C82CD9"/>
    <w:rsid w:val="00C85342"/>
    <w:rsid w:val="00C877C1"/>
    <w:rsid w:val="00C92C17"/>
    <w:rsid w:val="00CA4574"/>
    <w:rsid w:val="00CA47D6"/>
    <w:rsid w:val="00CA6319"/>
    <w:rsid w:val="00CB5EFE"/>
    <w:rsid w:val="00CB7414"/>
    <w:rsid w:val="00CB7BBF"/>
    <w:rsid w:val="00CC0DC2"/>
    <w:rsid w:val="00CC1820"/>
    <w:rsid w:val="00CC4083"/>
    <w:rsid w:val="00CC5E22"/>
    <w:rsid w:val="00CC68B4"/>
    <w:rsid w:val="00CD2E60"/>
    <w:rsid w:val="00CD77CC"/>
    <w:rsid w:val="00CE5F30"/>
    <w:rsid w:val="00CF2DC1"/>
    <w:rsid w:val="00CF33B5"/>
    <w:rsid w:val="00D007AF"/>
    <w:rsid w:val="00D1247A"/>
    <w:rsid w:val="00D124C4"/>
    <w:rsid w:val="00D26928"/>
    <w:rsid w:val="00D273AF"/>
    <w:rsid w:val="00D27A47"/>
    <w:rsid w:val="00D328B8"/>
    <w:rsid w:val="00D35980"/>
    <w:rsid w:val="00D36E70"/>
    <w:rsid w:val="00D37FBD"/>
    <w:rsid w:val="00D716A3"/>
    <w:rsid w:val="00D7428B"/>
    <w:rsid w:val="00D91822"/>
    <w:rsid w:val="00D92707"/>
    <w:rsid w:val="00D92C98"/>
    <w:rsid w:val="00D93744"/>
    <w:rsid w:val="00D93D7E"/>
    <w:rsid w:val="00D95E71"/>
    <w:rsid w:val="00DA0DFF"/>
    <w:rsid w:val="00DA4600"/>
    <w:rsid w:val="00DA555F"/>
    <w:rsid w:val="00DB1B35"/>
    <w:rsid w:val="00DB4EE4"/>
    <w:rsid w:val="00DB5AB5"/>
    <w:rsid w:val="00DC2718"/>
    <w:rsid w:val="00DC59A9"/>
    <w:rsid w:val="00DC5A7B"/>
    <w:rsid w:val="00DC6E75"/>
    <w:rsid w:val="00DD7347"/>
    <w:rsid w:val="00DE0497"/>
    <w:rsid w:val="00DE4A24"/>
    <w:rsid w:val="00DE6A73"/>
    <w:rsid w:val="00DE6C4C"/>
    <w:rsid w:val="00DF4EF9"/>
    <w:rsid w:val="00DF5282"/>
    <w:rsid w:val="00E03584"/>
    <w:rsid w:val="00E14EAA"/>
    <w:rsid w:val="00E15207"/>
    <w:rsid w:val="00E2191B"/>
    <w:rsid w:val="00E22894"/>
    <w:rsid w:val="00E22E67"/>
    <w:rsid w:val="00E409B5"/>
    <w:rsid w:val="00E42818"/>
    <w:rsid w:val="00E4345F"/>
    <w:rsid w:val="00E45622"/>
    <w:rsid w:val="00E45632"/>
    <w:rsid w:val="00E56FC3"/>
    <w:rsid w:val="00E578BE"/>
    <w:rsid w:val="00E6074C"/>
    <w:rsid w:val="00E628CD"/>
    <w:rsid w:val="00E6423C"/>
    <w:rsid w:val="00E74353"/>
    <w:rsid w:val="00E76BA5"/>
    <w:rsid w:val="00E82A31"/>
    <w:rsid w:val="00E83B4E"/>
    <w:rsid w:val="00E856EA"/>
    <w:rsid w:val="00E87204"/>
    <w:rsid w:val="00E87FAB"/>
    <w:rsid w:val="00E928CA"/>
    <w:rsid w:val="00E93CE5"/>
    <w:rsid w:val="00EA14BB"/>
    <w:rsid w:val="00EA2279"/>
    <w:rsid w:val="00EA48AB"/>
    <w:rsid w:val="00EA61AF"/>
    <w:rsid w:val="00EB435B"/>
    <w:rsid w:val="00EB6A7F"/>
    <w:rsid w:val="00EB749D"/>
    <w:rsid w:val="00EC2592"/>
    <w:rsid w:val="00EC2720"/>
    <w:rsid w:val="00EC276D"/>
    <w:rsid w:val="00EC7BDB"/>
    <w:rsid w:val="00ED0EE6"/>
    <w:rsid w:val="00ED4912"/>
    <w:rsid w:val="00EE56FD"/>
    <w:rsid w:val="00EF1D65"/>
    <w:rsid w:val="00EF5195"/>
    <w:rsid w:val="00EF539C"/>
    <w:rsid w:val="00EF6754"/>
    <w:rsid w:val="00EF6BA5"/>
    <w:rsid w:val="00F11F54"/>
    <w:rsid w:val="00F123F1"/>
    <w:rsid w:val="00F12888"/>
    <w:rsid w:val="00F13B20"/>
    <w:rsid w:val="00F155C7"/>
    <w:rsid w:val="00F158ED"/>
    <w:rsid w:val="00F338E6"/>
    <w:rsid w:val="00F361F2"/>
    <w:rsid w:val="00F369D7"/>
    <w:rsid w:val="00F56081"/>
    <w:rsid w:val="00F62726"/>
    <w:rsid w:val="00F62BBF"/>
    <w:rsid w:val="00F63CBB"/>
    <w:rsid w:val="00F65B18"/>
    <w:rsid w:val="00F6614F"/>
    <w:rsid w:val="00F66FE7"/>
    <w:rsid w:val="00F67908"/>
    <w:rsid w:val="00F67A39"/>
    <w:rsid w:val="00F7389F"/>
    <w:rsid w:val="00F73B1A"/>
    <w:rsid w:val="00F76C4A"/>
    <w:rsid w:val="00F82BF0"/>
    <w:rsid w:val="00F838E5"/>
    <w:rsid w:val="00F84AE4"/>
    <w:rsid w:val="00F920DA"/>
    <w:rsid w:val="00F9327E"/>
    <w:rsid w:val="00F9608B"/>
    <w:rsid w:val="00F962F5"/>
    <w:rsid w:val="00F96687"/>
    <w:rsid w:val="00F97C97"/>
    <w:rsid w:val="00F97D8D"/>
    <w:rsid w:val="00FA0605"/>
    <w:rsid w:val="00FA0A6F"/>
    <w:rsid w:val="00FA40AC"/>
    <w:rsid w:val="00FA7E9B"/>
    <w:rsid w:val="00FB325E"/>
    <w:rsid w:val="00FB504D"/>
    <w:rsid w:val="00FC01AA"/>
    <w:rsid w:val="00FC178C"/>
    <w:rsid w:val="00FC1AD2"/>
    <w:rsid w:val="00FC37A9"/>
    <w:rsid w:val="00FC58A8"/>
    <w:rsid w:val="00FE0CA9"/>
    <w:rsid w:val="00FE45F9"/>
    <w:rsid w:val="00FF0C6C"/>
    <w:rsid w:val="00FF2CE6"/>
    <w:rsid w:val="00FF563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18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97F"/>
  </w:style>
  <w:style w:type="paragraph" w:styleId="Heading1">
    <w:name w:val="heading 1"/>
    <w:basedOn w:val="Normal"/>
    <w:next w:val="Normal"/>
    <w:link w:val="Heading1Char"/>
    <w:uiPriority w:val="9"/>
    <w:qFormat/>
    <w:rsid w:val="00B90C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27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C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7270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87854"/>
    <w:pPr>
      <w:ind w:left="720"/>
      <w:contextualSpacing/>
    </w:pPr>
  </w:style>
  <w:style w:type="paragraph" w:styleId="FootnoteText">
    <w:name w:val="footnote text"/>
    <w:basedOn w:val="Normal"/>
    <w:link w:val="FootnoteTextChar"/>
    <w:uiPriority w:val="99"/>
    <w:unhideWhenUsed/>
    <w:rsid w:val="00ED0EE6"/>
    <w:pPr>
      <w:spacing w:after="0" w:line="240" w:lineRule="auto"/>
    </w:pPr>
    <w:rPr>
      <w:sz w:val="22"/>
      <w:szCs w:val="20"/>
    </w:rPr>
  </w:style>
  <w:style w:type="character" w:customStyle="1" w:styleId="FootnoteTextChar">
    <w:name w:val="Footnote Text Char"/>
    <w:basedOn w:val="DefaultParagraphFont"/>
    <w:link w:val="FootnoteText"/>
    <w:uiPriority w:val="99"/>
    <w:rsid w:val="00ED0EE6"/>
    <w:rPr>
      <w:sz w:val="22"/>
      <w:szCs w:val="20"/>
    </w:rPr>
  </w:style>
  <w:style w:type="character" w:styleId="FootnoteReference">
    <w:name w:val="footnote reference"/>
    <w:basedOn w:val="DefaultParagraphFont"/>
    <w:uiPriority w:val="99"/>
    <w:semiHidden/>
    <w:unhideWhenUsed/>
    <w:rsid w:val="0082171B"/>
    <w:rPr>
      <w:vertAlign w:val="superscript"/>
    </w:rPr>
  </w:style>
  <w:style w:type="character" w:styleId="Hyperlink">
    <w:name w:val="Hyperlink"/>
    <w:basedOn w:val="DefaultParagraphFont"/>
    <w:uiPriority w:val="99"/>
    <w:unhideWhenUsed/>
    <w:rsid w:val="00BA2DEB"/>
    <w:rPr>
      <w:color w:val="0563C1" w:themeColor="hyperlink"/>
      <w:u w:val="single"/>
    </w:rPr>
  </w:style>
  <w:style w:type="character" w:customStyle="1" w:styleId="Mention1">
    <w:name w:val="Mention1"/>
    <w:basedOn w:val="DefaultParagraphFont"/>
    <w:uiPriority w:val="99"/>
    <w:semiHidden/>
    <w:unhideWhenUsed/>
    <w:rsid w:val="00BA2DEB"/>
    <w:rPr>
      <w:color w:val="2B579A"/>
      <w:shd w:val="clear" w:color="auto" w:fill="E6E6E6"/>
    </w:rPr>
  </w:style>
  <w:style w:type="character" w:customStyle="1" w:styleId="apple-converted-space">
    <w:name w:val="apple-converted-space"/>
    <w:basedOn w:val="DefaultParagraphFont"/>
    <w:rsid w:val="00BC0D90"/>
  </w:style>
  <w:style w:type="character" w:styleId="Emphasis">
    <w:name w:val="Emphasis"/>
    <w:basedOn w:val="DefaultParagraphFont"/>
    <w:uiPriority w:val="20"/>
    <w:qFormat/>
    <w:rsid w:val="00BC0D90"/>
    <w:rPr>
      <w:i/>
      <w:iCs/>
    </w:rPr>
  </w:style>
  <w:style w:type="paragraph" w:styleId="Header">
    <w:name w:val="header"/>
    <w:basedOn w:val="Normal"/>
    <w:link w:val="HeaderChar"/>
    <w:uiPriority w:val="99"/>
    <w:unhideWhenUsed/>
    <w:rsid w:val="0051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3D2A"/>
  </w:style>
  <w:style w:type="paragraph" w:styleId="Footer">
    <w:name w:val="footer"/>
    <w:basedOn w:val="Normal"/>
    <w:link w:val="FooterChar"/>
    <w:uiPriority w:val="99"/>
    <w:unhideWhenUsed/>
    <w:rsid w:val="00513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3D2A"/>
  </w:style>
  <w:style w:type="paragraph" w:styleId="PlainText">
    <w:name w:val="Plain Text"/>
    <w:basedOn w:val="Normal"/>
    <w:link w:val="PlainTextChar"/>
    <w:uiPriority w:val="99"/>
    <w:unhideWhenUsed/>
    <w:rsid w:val="00527023"/>
    <w:pPr>
      <w:spacing w:after="0" w:line="240" w:lineRule="auto"/>
    </w:pPr>
    <w:rPr>
      <w:rFonts w:ascii="Calibri" w:eastAsia="Times New Roman" w:hAnsi="Calibri"/>
      <w:sz w:val="22"/>
      <w:szCs w:val="21"/>
      <w:lang w:eastAsia="zh-CN"/>
    </w:rPr>
  </w:style>
  <w:style w:type="character" w:customStyle="1" w:styleId="PlainTextChar">
    <w:name w:val="Plain Text Char"/>
    <w:basedOn w:val="DefaultParagraphFont"/>
    <w:link w:val="PlainText"/>
    <w:uiPriority w:val="99"/>
    <w:rsid w:val="00527023"/>
    <w:rPr>
      <w:rFonts w:ascii="Calibri" w:eastAsia="Times New Roman" w:hAnsi="Calibri"/>
      <w:sz w:val="22"/>
      <w:szCs w:val="21"/>
      <w:lang w:eastAsia="zh-CN"/>
    </w:rPr>
  </w:style>
  <w:style w:type="character" w:styleId="CommentReference">
    <w:name w:val="annotation reference"/>
    <w:basedOn w:val="DefaultParagraphFont"/>
    <w:uiPriority w:val="99"/>
    <w:semiHidden/>
    <w:unhideWhenUsed/>
    <w:rsid w:val="00527023"/>
    <w:rPr>
      <w:sz w:val="16"/>
      <w:szCs w:val="16"/>
    </w:rPr>
  </w:style>
  <w:style w:type="paragraph" w:styleId="CommentText">
    <w:name w:val="annotation text"/>
    <w:basedOn w:val="Normal"/>
    <w:link w:val="CommentTextChar"/>
    <w:uiPriority w:val="99"/>
    <w:semiHidden/>
    <w:unhideWhenUsed/>
    <w:rsid w:val="00527023"/>
    <w:pPr>
      <w:spacing w:line="240" w:lineRule="auto"/>
    </w:pPr>
    <w:rPr>
      <w:sz w:val="20"/>
      <w:szCs w:val="20"/>
    </w:rPr>
  </w:style>
  <w:style w:type="character" w:customStyle="1" w:styleId="CommentTextChar">
    <w:name w:val="Comment Text Char"/>
    <w:basedOn w:val="DefaultParagraphFont"/>
    <w:link w:val="CommentText"/>
    <w:uiPriority w:val="99"/>
    <w:semiHidden/>
    <w:rsid w:val="00527023"/>
    <w:rPr>
      <w:sz w:val="20"/>
      <w:szCs w:val="20"/>
    </w:rPr>
  </w:style>
  <w:style w:type="paragraph" w:styleId="CommentSubject">
    <w:name w:val="annotation subject"/>
    <w:basedOn w:val="CommentText"/>
    <w:next w:val="CommentText"/>
    <w:link w:val="CommentSubjectChar"/>
    <w:uiPriority w:val="99"/>
    <w:semiHidden/>
    <w:unhideWhenUsed/>
    <w:rsid w:val="00527023"/>
    <w:rPr>
      <w:b/>
      <w:bCs/>
    </w:rPr>
  </w:style>
  <w:style w:type="character" w:customStyle="1" w:styleId="CommentSubjectChar">
    <w:name w:val="Comment Subject Char"/>
    <w:basedOn w:val="CommentTextChar"/>
    <w:link w:val="CommentSubject"/>
    <w:uiPriority w:val="99"/>
    <w:semiHidden/>
    <w:rsid w:val="00527023"/>
    <w:rPr>
      <w:b/>
      <w:bCs/>
      <w:sz w:val="20"/>
      <w:szCs w:val="20"/>
    </w:rPr>
  </w:style>
  <w:style w:type="paragraph" w:styleId="BalloonText">
    <w:name w:val="Balloon Text"/>
    <w:basedOn w:val="Normal"/>
    <w:link w:val="BalloonTextChar"/>
    <w:uiPriority w:val="99"/>
    <w:semiHidden/>
    <w:unhideWhenUsed/>
    <w:rsid w:val="00527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023"/>
    <w:rPr>
      <w:rFonts w:ascii="Tahoma" w:hAnsi="Tahoma" w:cs="Tahoma"/>
      <w:sz w:val="16"/>
      <w:szCs w:val="16"/>
    </w:rPr>
  </w:style>
  <w:style w:type="paragraph" w:styleId="NoSpacing">
    <w:name w:val="No Spacing"/>
    <w:uiPriority w:val="1"/>
    <w:qFormat/>
    <w:rsid w:val="003B7A34"/>
    <w:pPr>
      <w:spacing w:after="0" w:line="240" w:lineRule="auto"/>
    </w:pPr>
  </w:style>
  <w:style w:type="character" w:customStyle="1" w:styleId="Mention2">
    <w:name w:val="Mention2"/>
    <w:basedOn w:val="DefaultParagraphFont"/>
    <w:uiPriority w:val="99"/>
    <w:semiHidden/>
    <w:unhideWhenUsed/>
    <w:rsid w:val="00CD77CC"/>
    <w:rPr>
      <w:color w:val="2B579A"/>
      <w:shd w:val="clear" w:color="auto" w:fill="E6E6E6"/>
    </w:rPr>
  </w:style>
  <w:style w:type="table" w:styleId="TableGrid">
    <w:name w:val="Table Grid"/>
    <w:basedOn w:val="TableNormal"/>
    <w:uiPriority w:val="39"/>
    <w:unhideWhenUsed/>
    <w:rsid w:val="005D2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97F"/>
  </w:style>
  <w:style w:type="paragraph" w:styleId="Heading1">
    <w:name w:val="heading 1"/>
    <w:basedOn w:val="Normal"/>
    <w:next w:val="Normal"/>
    <w:link w:val="Heading1Char"/>
    <w:uiPriority w:val="9"/>
    <w:qFormat/>
    <w:rsid w:val="00B90C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27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C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7270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87854"/>
    <w:pPr>
      <w:ind w:left="720"/>
      <w:contextualSpacing/>
    </w:pPr>
  </w:style>
  <w:style w:type="paragraph" w:styleId="FootnoteText">
    <w:name w:val="footnote text"/>
    <w:basedOn w:val="Normal"/>
    <w:link w:val="FootnoteTextChar"/>
    <w:uiPriority w:val="99"/>
    <w:unhideWhenUsed/>
    <w:rsid w:val="00ED0EE6"/>
    <w:pPr>
      <w:spacing w:after="0" w:line="240" w:lineRule="auto"/>
    </w:pPr>
    <w:rPr>
      <w:sz w:val="22"/>
      <w:szCs w:val="20"/>
    </w:rPr>
  </w:style>
  <w:style w:type="character" w:customStyle="1" w:styleId="FootnoteTextChar">
    <w:name w:val="Footnote Text Char"/>
    <w:basedOn w:val="DefaultParagraphFont"/>
    <w:link w:val="FootnoteText"/>
    <w:uiPriority w:val="99"/>
    <w:rsid w:val="00ED0EE6"/>
    <w:rPr>
      <w:sz w:val="22"/>
      <w:szCs w:val="20"/>
    </w:rPr>
  </w:style>
  <w:style w:type="character" w:styleId="FootnoteReference">
    <w:name w:val="footnote reference"/>
    <w:basedOn w:val="DefaultParagraphFont"/>
    <w:uiPriority w:val="99"/>
    <w:semiHidden/>
    <w:unhideWhenUsed/>
    <w:rsid w:val="0082171B"/>
    <w:rPr>
      <w:vertAlign w:val="superscript"/>
    </w:rPr>
  </w:style>
  <w:style w:type="character" w:styleId="Hyperlink">
    <w:name w:val="Hyperlink"/>
    <w:basedOn w:val="DefaultParagraphFont"/>
    <w:uiPriority w:val="99"/>
    <w:unhideWhenUsed/>
    <w:rsid w:val="00BA2DEB"/>
    <w:rPr>
      <w:color w:val="0563C1" w:themeColor="hyperlink"/>
      <w:u w:val="single"/>
    </w:rPr>
  </w:style>
  <w:style w:type="character" w:customStyle="1" w:styleId="Mention1">
    <w:name w:val="Mention1"/>
    <w:basedOn w:val="DefaultParagraphFont"/>
    <w:uiPriority w:val="99"/>
    <w:semiHidden/>
    <w:unhideWhenUsed/>
    <w:rsid w:val="00BA2DEB"/>
    <w:rPr>
      <w:color w:val="2B579A"/>
      <w:shd w:val="clear" w:color="auto" w:fill="E6E6E6"/>
    </w:rPr>
  </w:style>
  <w:style w:type="character" w:customStyle="1" w:styleId="apple-converted-space">
    <w:name w:val="apple-converted-space"/>
    <w:basedOn w:val="DefaultParagraphFont"/>
    <w:rsid w:val="00BC0D90"/>
  </w:style>
  <w:style w:type="character" w:styleId="Emphasis">
    <w:name w:val="Emphasis"/>
    <w:basedOn w:val="DefaultParagraphFont"/>
    <w:uiPriority w:val="20"/>
    <w:qFormat/>
    <w:rsid w:val="00BC0D90"/>
    <w:rPr>
      <w:i/>
      <w:iCs/>
    </w:rPr>
  </w:style>
  <w:style w:type="paragraph" w:styleId="Header">
    <w:name w:val="header"/>
    <w:basedOn w:val="Normal"/>
    <w:link w:val="HeaderChar"/>
    <w:uiPriority w:val="99"/>
    <w:unhideWhenUsed/>
    <w:rsid w:val="0051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3D2A"/>
  </w:style>
  <w:style w:type="paragraph" w:styleId="Footer">
    <w:name w:val="footer"/>
    <w:basedOn w:val="Normal"/>
    <w:link w:val="FooterChar"/>
    <w:uiPriority w:val="99"/>
    <w:unhideWhenUsed/>
    <w:rsid w:val="00513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3D2A"/>
  </w:style>
  <w:style w:type="paragraph" w:styleId="PlainText">
    <w:name w:val="Plain Text"/>
    <w:basedOn w:val="Normal"/>
    <w:link w:val="PlainTextChar"/>
    <w:uiPriority w:val="99"/>
    <w:unhideWhenUsed/>
    <w:rsid w:val="00527023"/>
    <w:pPr>
      <w:spacing w:after="0" w:line="240" w:lineRule="auto"/>
    </w:pPr>
    <w:rPr>
      <w:rFonts w:ascii="Calibri" w:eastAsia="Times New Roman" w:hAnsi="Calibri"/>
      <w:sz w:val="22"/>
      <w:szCs w:val="21"/>
      <w:lang w:eastAsia="zh-CN"/>
    </w:rPr>
  </w:style>
  <w:style w:type="character" w:customStyle="1" w:styleId="PlainTextChar">
    <w:name w:val="Plain Text Char"/>
    <w:basedOn w:val="DefaultParagraphFont"/>
    <w:link w:val="PlainText"/>
    <w:uiPriority w:val="99"/>
    <w:rsid w:val="00527023"/>
    <w:rPr>
      <w:rFonts w:ascii="Calibri" w:eastAsia="Times New Roman" w:hAnsi="Calibri"/>
      <w:sz w:val="22"/>
      <w:szCs w:val="21"/>
      <w:lang w:eastAsia="zh-CN"/>
    </w:rPr>
  </w:style>
  <w:style w:type="character" w:styleId="CommentReference">
    <w:name w:val="annotation reference"/>
    <w:basedOn w:val="DefaultParagraphFont"/>
    <w:uiPriority w:val="99"/>
    <w:semiHidden/>
    <w:unhideWhenUsed/>
    <w:rsid w:val="00527023"/>
    <w:rPr>
      <w:sz w:val="16"/>
      <w:szCs w:val="16"/>
    </w:rPr>
  </w:style>
  <w:style w:type="paragraph" w:styleId="CommentText">
    <w:name w:val="annotation text"/>
    <w:basedOn w:val="Normal"/>
    <w:link w:val="CommentTextChar"/>
    <w:uiPriority w:val="99"/>
    <w:semiHidden/>
    <w:unhideWhenUsed/>
    <w:rsid w:val="00527023"/>
    <w:pPr>
      <w:spacing w:line="240" w:lineRule="auto"/>
    </w:pPr>
    <w:rPr>
      <w:sz w:val="20"/>
      <w:szCs w:val="20"/>
    </w:rPr>
  </w:style>
  <w:style w:type="character" w:customStyle="1" w:styleId="CommentTextChar">
    <w:name w:val="Comment Text Char"/>
    <w:basedOn w:val="DefaultParagraphFont"/>
    <w:link w:val="CommentText"/>
    <w:uiPriority w:val="99"/>
    <w:semiHidden/>
    <w:rsid w:val="00527023"/>
    <w:rPr>
      <w:sz w:val="20"/>
      <w:szCs w:val="20"/>
    </w:rPr>
  </w:style>
  <w:style w:type="paragraph" w:styleId="CommentSubject">
    <w:name w:val="annotation subject"/>
    <w:basedOn w:val="CommentText"/>
    <w:next w:val="CommentText"/>
    <w:link w:val="CommentSubjectChar"/>
    <w:uiPriority w:val="99"/>
    <w:semiHidden/>
    <w:unhideWhenUsed/>
    <w:rsid w:val="00527023"/>
    <w:rPr>
      <w:b/>
      <w:bCs/>
    </w:rPr>
  </w:style>
  <w:style w:type="character" w:customStyle="1" w:styleId="CommentSubjectChar">
    <w:name w:val="Comment Subject Char"/>
    <w:basedOn w:val="CommentTextChar"/>
    <w:link w:val="CommentSubject"/>
    <w:uiPriority w:val="99"/>
    <w:semiHidden/>
    <w:rsid w:val="00527023"/>
    <w:rPr>
      <w:b/>
      <w:bCs/>
      <w:sz w:val="20"/>
      <w:szCs w:val="20"/>
    </w:rPr>
  </w:style>
  <w:style w:type="paragraph" w:styleId="BalloonText">
    <w:name w:val="Balloon Text"/>
    <w:basedOn w:val="Normal"/>
    <w:link w:val="BalloonTextChar"/>
    <w:uiPriority w:val="99"/>
    <w:semiHidden/>
    <w:unhideWhenUsed/>
    <w:rsid w:val="00527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023"/>
    <w:rPr>
      <w:rFonts w:ascii="Tahoma" w:hAnsi="Tahoma" w:cs="Tahoma"/>
      <w:sz w:val="16"/>
      <w:szCs w:val="16"/>
    </w:rPr>
  </w:style>
  <w:style w:type="paragraph" w:styleId="NoSpacing">
    <w:name w:val="No Spacing"/>
    <w:uiPriority w:val="1"/>
    <w:qFormat/>
    <w:rsid w:val="003B7A34"/>
    <w:pPr>
      <w:spacing w:after="0" w:line="240" w:lineRule="auto"/>
    </w:pPr>
  </w:style>
  <w:style w:type="character" w:customStyle="1" w:styleId="Mention2">
    <w:name w:val="Mention2"/>
    <w:basedOn w:val="DefaultParagraphFont"/>
    <w:uiPriority w:val="99"/>
    <w:semiHidden/>
    <w:unhideWhenUsed/>
    <w:rsid w:val="00CD77CC"/>
    <w:rPr>
      <w:color w:val="2B579A"/>
      <w:shd w:val="clear" w:color="auto" w:fill="E6E6E6"/>
    </w:rPr>
  </w:style>
  <w:style w:type="table" w:styleId="TableGrid">
    <w:name w:val="Table Grid"/>
    <w:basedOn w:val="TableNormal"/>
    <w:uiPriority w:val="39"/>
    <w:unhideWhenUsed/>
    <w:rsid w:val="005D2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79360">
      <w:bodyDiv w:val="1"/>
      <w:marLeft w:val="0"/>
      <w:marRight w:val="0"/>
      <w:marTop w:val="0"/>
      <w:marBottom w:val="0"/>
      <w:divBdr>
        <w:top w:val="none" w:sz="0" w:space="0" w:color="auto"/>
        <w:left w:val="none" w:sz="0" w:space="0" w:color="auto"/>
        <w:bottom w:val="none" w:sz="0" w:space="0" w:color="auto"/>
        <w:right w:val="none" w:sz="0" w:space="0" w:color="auto"/>
      </w:divBdr>
    </w:div>
    <w:div w:id="185410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E9E179-737A-40CD-8AFF-DB33BAE243F9}"/>
</file>

<file path=customXml/itemProps2.xml><?xml version="1.0" encoding="utf-8"?>
<ds:datastoreItem xmlns:ds="http://schemas.openxmlformats.org/officeDocument/2006/customXml" ds:itemID="{9AED0773-CE57-4B0C-B8E1-439247D14128}"/>
</file>

<file path=customXml/itemProps3.xml><?xml version="1.0" encoding="utf-8"?>
<ds:datastoreItem xmlns:ds="http://schemas.openxmlformats.org/officeDocument/2006/customXml" ds:itemID="{52BCA3D1-4045-4EEB-B0AA-ABEC94D9EFCC}"/>
</file>

<file path=customXml/itemProps4.xml><?xml version="1.0" encoding="utf-8"?>
<ds:datastoreItem xmlns:ds="http://schemas.openxmlformats.org/officeDocument/2006/customXml" ds:itemID="{271B8285-C16E-434E-BD3E-397399708583}"/>
</file>

<file path=docProps/app.xml><?xml version="1.0" encoding="utf-8"?>
<Properties xmlns="http://schemas.openxmlformats.org/officeDocument/2006/extended-properties" xmlns:vt="http://schemas.openxmlformats.org/officeDocument/2006/docPropsVTypes">
  <Template>Normal.dotm</Template>
  <TotalTime>1</TotalTime>
  <Pages>36</Pages>
  <Words>11134</Words>
  <Characters>63465</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Legal Aid Ontario</Company>
  <LinksUpToDate>false</LinksUpToDate>
  <CharactersWithSpaces>74451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Kalpana Singh</cp:lastModifiedBy>
  <cp:revision>2</cp:revision>
  <cp:lastPrinted>2017-07-07T20:00:00Z</cp:lastPrinted>
  <dcterms:created xsi:type="dcterms:W3CDTF">2017-07-10T13:01:00Z</dcterms:created>
  <dcterms:modified xsi:type="dcterms:W3CDTF">2017-07-10T13:01:00Z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