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97E1B" w14:textId="0CCA105A" w:rsidR="0096606B" w:rsidRPr="00B60A47" w:rsidRDefault="00905FF4" w:rsidP="0096606B">
      <w:pPr>
        <w:rPr>
          <w:rFonts w:ascii="Arial" w:hAnsi="Arial" w:cs="Arial"/>
        </w:rPr>
      </w:pPr>
      <w:r w:rsidRPr="00B60A47">
        <w:rPr>
          <w:rFonts w:ascii="Arial" w:eastAsia="Calibri" w:hAnsi="Arial" w:cs="Arial"/>
          <w:noProof/>
          <w:kern w:val="0"/>
          <w:sz w:val="22"/>
          <w:szCs w:val="22"/>
          <w:lang w:eastAsia="es-MX"/>
          <w14:ligatures w14:val="none"/>
        </w:rPr>
        <mc:AlternateContent>
          <mc:Choice Requires="wps">
            <w:drawing>
              <wp:anchor distT="0" distB="0" distL="114300" distR="114300" simplePos="0" relativeHeight="251658240" behindDoc="0" locked="0" layoutInCell="1" allowOverlap="1" wp14:anchorId="116FCABD" wp14:editId="5828B71A">
                <wp:simplePos x="0" y="0"/>
                <wp:positionH relativeFrom="margin">
                  <wp:align>right</wp:align>
                </wp:positionH>
                <wp:positionV relativeFrom="paragraph">
                  <wp:posOffset>349885</wp:posOffset>
                </wp:positionV>
                <wp:extent cx="5594350" cy="1150620"/>
                <wp:effectExtent l="0" t="0" r="25400" b="11430"/>
                <wp:wrapSquare wrapText="bothSides"/>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94350" cy="1150620"/>
                        </a:xfrm>
                        <a:prstGeom prst="rect">
                          <a:avLst/>
                        </a:prstGeom>
                        <a:solidFill>
                          <a:srgbClr val="CCCCFF"/>
                        </a:solidFill>
                        <a:ln w="18288">
                          <a:solidFill>
                            <a:srgbClr val="4471C4"/>
                          </a:solidFill>
                          <a:prstDash val="solid"/>
                        </a:ln>
                      </wps:spPr>
                      <wps:txbx>
                        <w:txbxContent>
                          <w:p w14:paraId="23C465C6" w14:textId="3E54DC91" w:rsidR="0096606B" w:rsidRPr="00711E99" w:rsidRDefault="0096606B" w:rsidP="0096606B">
                            <w:pPr>
                              <w:spacing w:before="3" w:line="273" w:lineRule="auto"/>
                              <w:ind w:left="1418" w:right="1418"/>
                              <w:jc w:val="center"/>
                              <w:rPr>
                                <w:rFonts w:ascii="Arial" w:hAnsi="Arial" w:cs="Arial"/>
                                <w:b/>
                                <w:color w:val="000000"/>
                              </w:rPr>
                            </w:pPr>
                            <w:r w:rsidRPr="00711E99">
                              <w:rPr>
                                <w:rFonts w:ascii="Arial" w:hAnsi="Arial" w:cs="Arial"/>
                                <w:b/>
                                <w:color w:val="000000"/>
                              </w:rPr>
                              <w:t>ALERTA</w:t>
                            </w:r>
                            <w:r w:rsidRPr="00711E99">
                              <w:rPr>
                                <w:rFonts w:ascii="Arial" w:hAnsi="Arial" w:cs="Arial"/>
                                <w:b/>
                                <w:color w:val="000000"/>
                                <w:spacing w:val="-5"/>
                              </w:rPr>
                              <w:t xml:space="preserve"> </w:t>
                            </w:r>
                            <w:r w:rsidRPr="00711E99">
                              <w:rPr>
                                <w:rFonts w:ascii="Arial" w:hAnsi="Arial" w:cs="Arial"/>
                                <w:b/>
                                <w:color w:val="000000"/>
                              </w:rPr>
                              <w:t>DE</w:t>
                            </w:r>
                            <w:r w:rsidRPr="00711E99">
                              <w:rPr>
                                <w:rFonts w:ascii="Arial" w:hAnsi="Arial" w:cs="Arial"/>
                                <w:b/>
                                <w:color w:val="000000"/>
                                <w:spacing w:val="-8"/>
                              </w:rPr>
                              <w:t xml:space="preserve"> </w:t>
                            </w:r>
                            <w:r w:rsidRPr="00711E99">
                              <w:rPr>
                                <w:rFonts w:ascii="Arial" w:hAnsi="Arial" w:cs="Arial"/>
                                <w:b/>
                                <w:color w:val="000000"/>
                              </w:rPr>
                              <w:t>VIOLENCIA</w:t>
                            </w:r>
                            <w:r w:rsidRPr="00711E99">
                              <w:rPr>
                                <w:rFonts w:ascii="Arial" w:hAnsi="Arial" w:cs="Arial"/>
                                <w:b/>
                                <w:color w:val="000000"/>
                                <w:spacing w:val="-7"/>
                              </w:rPr>
                              <w:t xml:space="preserve"> </w:t>
                            </w:r>
                            <w:r w:rsidRPr="00711E99">
                              <w:rPr>
                                <w:rFonts w:ascii="Arial" w:hAnsi="Arial" w:cs="Arial"/>
                                <w:b/>
                                <w:color w:val="000000"/>
                              </w:rPr>
                              <w:t>DE</w:t>
                            </w:r>
                            <w:r w:rsidRPr="00711E99">
                              <w:rPr>
                                <w:rFonts w:ascii="Arial" w:hAnsi="Arial" w:cs="Arial"/>
                                <w:b/>
                                <w:color w:val="000000"/>
                                <w:spacing w:val="-5"/>
                              </w:rPr>
                              <w:t xml:space="preserve"> </w:t>
                            </w:r>
                            <w:r w:rsidRPr="00711E99">
                              <w:rPr>
                                <w:rFonts w:ascii="Arial" w:hAnsi="Arial" w:cs="Arial"/>
                                <w:b/>
                                <w:color w:val="000000"/>
                              </w:rPr>
                              <w:t>GÉNERO</w:t>
                            </w:r>
                            <w:r w:rsidRPr="00711E99">
                              <w:rPr>
                                <w:rFonts w:ascii="Arial" w:hAnsi="Arial" w:cs="Arial"/>
                                <w:b/>
                                <w:color w:val="000000"/>
                                <w:spacing w:val="-5"/>
                              </w:rPr>
                              <w:t xml:space="preserve"> </w:t>
                            </w:r>
                            <w:r w:rsidRPr="00711E99">
                              <w:rPr>
                                <w:rFonts w:ascii="Arial" w:hAnsi="Arial" w:cs="Arial"/>
                                <w:b/>
                                <w:color w:val="000000"/>
                              </w:rPr>
                              <w:t>CONTRA</w:t>
                            </w:r>
                            <w:r w:rsidRPr="00711E99">
                              <w:rPr>
                                <w:rFonts w:ascii="Arial" w:hAnsi="Arial" w:cs="Arial"/>
                                <w:b/>
                                <w:color w:val="000000"/>
                                <w:spacing w:val="-5"/>
                              </w:rPr>
                              <w:t xml:space="preserve"> </w:t>
                            </w:r>
                            <w:r w:rsidRPr="00711E99">
                              <w:rPr>
                                <w:rFonts w:ascii="Arial" w:hAnsi="Arial" w:cs="Arial"/>
                                <w:b/>
                                <w:color w:val="000000"/>
                              </w:rPr>
                              <w:t>LAS</w:t>
                            </w:r>
                            <w:r w:rsidRPr="00711E99">
                              <w:rPr>
                                <w:rFonts w:ascii="Arial" w:hAnsi="Arial" w:cs="Arial"/>
                                <w:b/>
                                <w:color w:val="000000"/>
                                <w:spacing w:val="-8"/>
                              </w:rPr>
                              <w:t xml:space="preserve"> </w:t>
                            </w:r>
                            <w:r w:rsidRPr="00711E99">
                              <w:rPr>
                                <w:rFonts w:ascii="Arial" w:hAnsi="Arial" w:cs="Arial"/>
                                <w:b/>
                                <w:color w:val="000000"/>
                              </w:rPr>
                              <w:t>MUJERES: NI ARMONIZACIÓN/ NI COORDINACIÓN.</w:t>
                            </w:r>
                          </w:p>
                          <w:p w14:paraId="40811D5E" w14:textId="18D639E9" w:rsidR="0096606B" w:rsidRPr="00711E99" w:rsidRDefault="0096606B" w:rsidP="0096606B">
                            <w:pPr>
                              <w:spacing w:before="2"/>
                              <w:ind w:left="66" w:right="66"/>
                              <w:jc w:val="center"/>
                              <w:rPr>
                                <w:rFonts w:ascii="Arial" w:hAnsi="Arial" w:cs="Arial"/>
                                <w:b/>
                                <w:color w:val="000000"/>
                              </w:rPr>
                            </w:pPr>
                            <w:r w:rsidRPr="00711E99">
                              <w:rPr>
                                <w:rFonts w:ascii="Arial" w:hAnsi="Arial" w:cs="Arial"/>
                                <w:b/>
                                <w:color w:val="000000"/>
                              </w:rPr>
                              <w:t>Informe</w:t>
                            </w:r>
                            <w:r w:rsidRPr="00711E99">
                              <w:rPr>
                                <w:rFonts w:ascii="Arial" w:hAnsi="Arial" w:cs="Arial"/>
                                <w:b/>
                                <w:color w:val="000000"/>
                                <w:spacing w:val="-4"/>
                              </w:rPr>
                              <w:t xml:space="preserve"> </w:t>
                            </w:r>
                            <w:r w:rsidRPr="00711E99">
                              <w:rPr>
                                <w:rFonts w:ascii="Arial" w:hAnsi="Arial" w:cs="Arial"/>
                                <w:b/>
                                <w:color w:val="000000"/>
                              </w:rPr>
                              <w:t>sombra</w:t>
                            </w:r>
                            <w:r w:rsidR="006C7316" w:rsidRPr="00711E99">
                              <w:rPr>
                                <w:rFonts w:ascii="Arial" w:hAnsi="Arial" w:cs="Arial"/>
                                <w:b/>
                                <w:color w:val="000000"/>
                                <w:spacing w:val="-6"/>
                              </w:rPr>
                              <w:t xml:space="preserve"> </w:t>
                            </w:r>
                            <w:r w:rsidR="006C7316">
                              <w:rPr>
                                <w:rFonts w:ascii="Arial" w:hAnsi="Arial" w:cs="Arial"/>
                                <w:b/>
                                <w:color w:val="000000"/>
                                <w:spacing w:val="-6"/>
                              </w:rPr>
                              <w:t>en</w:t>
                            </w:r>
                            <w:r w:rsidR="006C7316" w:rsidRPr="006C7316">
                              <w:rPr>
                                <w:rFonts w:ascii="Arial" w:hAnsi="Arial" w:cs="Arial"/>
                                <w:b/>
                                <w:color w:val="000000"/>
                                <w:spacing w:val="-6"/>
                              </w:rPr>
                              <w:t xml:space="preserve"> ocasión del X Informe de México ante la CEDAW</w:t>
                            </w:r>
                          </w:p>
                        </w:txbxContent>
                      </wps:txbx>
                      <wps:bodyPr wrap="square" lIns="0" tIns="0" rIns="0" bIns="0" rtlCol="0">
                        <a:noAutofit/>
                      </wps:bodyPr>
                    </wps:wsp>
                  </a:graphicData>
                </a:graphic>
              </wp:anchor>
            </w:drawing>
          </mc:Choice>
          <mc:Fallback>
            <w:pict>
              <v:shapetype w14:anchorId="116FCABD" id="_x0000_t202" coordsize="21600,21600" o:spt="202" path="m,l,21600r21600,l21600,xe">
                <v:stroke joinstyle="miter"/>
                <v:path gradientshapeok="t" o:connecttype="rect"/>
              </v:shapetype>
              <v:shape id="Textbox 5" o:spid="_x0000_s1026" type="#_x0000_t202" style="position:absolute;margin-left:389.3pt;margin-top:27.55pt;width:440.5pt;height:90.6pt;z-index:25165824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hvG6AEAANgDAAAOAAAAZHJzL2Uyb0RvYy54bWysU9uO0zAQfUfiHyy/07SlWUrUdAWtipBW&#10;gLTLBziO01g4HuNxm+zfM3bS7nJ7QeTBGcfHZ+acmWxuh86ws/KowZZ8MZtzpqyEWttjyb8+HF6t&#10;OcMgbC0MWFXyR4X8dvvyxaZ3hVpCC6ZWnhGJxaJ3JW9DcEWWoWxVJ3AGTlk6bMB3ItDWH7Pai57Y&#10;O5Mt5/ObrAdfOw9SIdLX/XjIt4m/aZQMn5sGVWCm5FRbSKtPaxXXbLsRxdEL12o5lSH+oYpOaEtJ&#10;r1R7EQQ7ef0bVaelB4QmzCR0GTSNlippIDWL+S9q7lvhVNJC5qC72oT/j1Z+On/xTNclzzmzoqMW&#10;PaghVDCwPJrTOywIc+8IFYb3MFCTk1B0dyC/IUGyZ5jxAhI6mjE0votvksnoIvn/ePWckjBJH/P8&#10;7ep1TkeSzhaLfH6zTF3Jnq47j+GDgo7FoOSemppKEOc7DLEAUVwgMRuC0fVBG5M2/ljtjGdnQQOw&#10;o+dwiLLoyk8wY1lP6dfL9XpU91eO1erNYrf6E0esYS+wHXMl+glm7OTSaEz0KwzVMNlbQf1I7vY0&#10;hCXH7yfhFWfmo6Uux4m9BP4SVJfAB7ODNNdRqYV3pwCNTo7EFCPvlJnGJ6meRj3O5/N9Qj39kNsf&#10;AAAA//8DAFBLAwQUAAYACAAAACEAGZ720d4AAAAHAQAADwAAAGRycy9kb3ducmV2LnhtbEyPzU7D&#10;MBCE70i8g7VI3KiTRm2jNE7FjzggISFSDnDbxtskIraj2G3M27Oc6HFnRjPflrtoBnGmyffOKkgX&#10;CQiyjdO9bRV87J/vchA+oNU4OEsKfsjDrrq+KrHQbrbvdK5DK7jE+gIVdCGMhZS+6cigX7iRLHtH&#10;NxkMfE6t1BPOXG4GuUyStTTYW17ocKTHjprv+mQUxL6mTcT9F36Gt5fsdW4eNk+5Urc38X4LIlAM&#10;/2H4w2d0qJjp4E5WezEo4EeCgtUqBcFunqcsHBQss3UGsirlJX/1CwAA//8DAFBLAQItABQABgAI&#10;AAAAIQC2gziS/gAAAOEBAAATAAAAAAAAAAAAAAAAAAAAAABbQ29udGVudF9UeXBlc10ueG1sUEsB&#10;Ai0AFAAGAAgAAAAhADj9If/WAAAAlAEAAAsAAAAAAAAAAAAAAAAALwEAAF9yZWxzLy5yZWxzUEsB&#10;Ai0AFAAGAAgAAAAhAFdGG8boAQAA2AMAAA4AAAAAAAAAAAAAAAAALgIAAGRycy9lMm9Eb2MueG1s&#10;UEsBAi0AFAAGAAgAAAAhABme9tHeAAAABwEAAA8AAAAAAAAAAAAAAAAAQgQAAGRycy9kb3ducmV2&#10;LnhtbFBLBQYAAAAABAAEAPMAAABNBQAAAAA=&#10;" fillcolor="#ccf" strokecolor="#4471c4" strokeweight="1.44pt">
                <v:path arrowok="t"/>
                <v:textbox inset="0,0,0,0">
                  <w:txbxContent>
                    <w:p w14:paraId="23C465C6" w14:textId="3E54DC91" w:rsidR="0096606B" w:rsidRPr="00711E99" w:rsidRDefault="0096606B" w:rsidP="0096606B">
                      <w:pPr>
                        <w:spacing w:before="3" w:line="273" w:lineRule="auto"/>
                        <w:ind w:left="1418" w:right="1418"/>
                        <w:jc w:val="center"/>
                        <w:rPr>
                          <w:rFonts w:ascii="Arial" w:hAnsi="Arial" w:cs="Arial"/>
                          <w:b/>
                          <w:color w:val="000000"/>
                        </w:rPr>
                      </w:pPr>
                      <w:r w:rsidRPr="00711E99">
                        <w:rPr>
                          <w:rFonts w:ascii="Arial" w:hAnsi="Arial" w:cs="Arial"/>
                          <w:b/>
                          <w:color w:val="000000"/>
                        </w:rPr>
                        <w:t>ALERTA</w:t>
                      </w:r>
                      <w:r w:rsidRPr="00711E99">
                        <w:rPr>
                          <w:rFonts w:ascii="Arial" w:hAnsi="Arial" w:cs="Arial"/>
                          <w:b/>
                          <w:color w:val="000000"/>
                          <w:spacing w:val="-5"/>
                        </w:rPr>
                        <w:t xml:space="preserve"> </w:t>
                      </w:r>
                      <w:r w:rsidRPr="00711E99">
                        <w:rPr>
                          <w:rFonts w:ascii="Arial" w:hAnsi="Arial" w:cs="Arial"/>
                          <w:b/>
                          <w:color w:val="000000"/>
                        </w:rPr>
                        <w:t>DE</w:t>
                      </w:r>
                      <w:r w:rsidRPr="00711E99">
                        <w:rPr>
                          <w:rFonts w:ascii="Arial" w:hAnsi="Arial" w:cs="Arial"/>
                          <w:b/>
                          <w:color w:val="000000"/>
                          <w:spacing w:val="-8"/>
                        </w:rPr>
                        <w:t xml:space="preserve"> </w:t>
                      </w:r>
                      <w:r w:rsidRPr="00711E99">
                        <w:rPr>
                          <w:rFonts w:ascii="Arial" w:hAnsi="Arial" w:cs="Arial"/>
                          <w:b/>
                          <w:color w:val="000000"/>
                        </w:rPr>
                        <w:t>VIOLENCIA</w:t>
                      </w:r>
                      <w:r w:rsidRPr="00711E99">
                        <w:rPr>
                          <w:rFonts w:ascii="Arial" w:hAnsi="Arial" w:cs="Arial"/>
                          <w:b/>
                          <w:color w:val="000000"/>
                          <w:spacing w:val="-7"/>
                        </w:rPr>
                        <w:t xml:space="preserve"> </w:t>
                      </w:r>
                      <w:r w:rsidRPr="00711E99">
                        <w:rPr>
                          <w:rFonts w:ascii="Arial" w:hAnsi="Arial" w:cs="Arial"/>
                          <w:b/>
                          <w:color w:val="000000"/>
                        </w:rPr>
                        <w:t>DE</w:t>
                      </w:r>
                      <w:r w:rsidRPr="00711E99">
                        <w:rPr>
                          <w:rFonts w:ascii="Arial" w:hAnsi="Arial" w:cs="Arial"/>
                          <w:b/>
                          <w:color w:val="000000"/>
                          <w:spacing w:val="-5"/>
                        </w:rPr>
                        <w:t xml:space="preserve"> </w:t>
                      </w:r>
                      <w:r w:rsidRPr="00711E99">
                        <w:rPr>
                          <w:rFonts w:ascii="Arial" w:hAnsi="Arial" w:cs="Arial"/>
                          <w:b/>
                          <w:color w:val="000000"/>
                        </w:rPr>
                        <w:t>GÉNERO</w:t>
                      </w:r>
                      <w:r w:rsidRPr="00711E99">
                        <w:rPr>
                          <w:rFonts w:ascii="Arial" w:hAnsi="Arial" w:cs="Arial"/>
                          <w:b/>
                          <w:color w:val="000000"/>
                          <w:spacing w:val="-5"/>
                        </w:rPr>
                        <w:t xml:space="preserve"> </w:t>
                      </w:r>
                      <w:r w:rsidRPr="00711E99">
                        <w:rPr>
                          <w:rFonts w:ascii="Arial" w:hAnsi="Arial" w:cs="Arial"/>
                          <w:b/>
                          <w:color w:val="000000"/>
                        </w:rPr>
                        <w:t>CONTRA</w:t>
                      </w:r>
                      <w:r w:rsidRPr="00711E99">
                        <w:rPr>
                          <w:rFonts w:ascii="Arial" w:hAnsi="Arial" w:cs="Arial"/>
                          <w:b/>
                          <w:color w:val="000000"/>
                          <w:spacing w:val="-5"/>
                        </w:rPr>
                        <w:t xml:space="preserve"> </w:t>
                      </w:r>
                      <w:r w:rsidRPr="00711E99">
                        <w:rPr>
                          <w:rFonts w:ascii="Arial" w:hAnsi="Arial" w:cs="Arial"/>
                          <w:b/>
                          <w:color w:val="000000"/>
                        </w:rPr>
                        <w:t>LAS</w:t>
                      </w:r>
                      <w:r w:rsidRPr="00711E99">
                        <w:rPr>
                          <w:rFonts w:ascii="Arial" w:hAnsi="Arial" w:cs="Arial"/>
                          <w:b/>
                          <w:color w:val="000000"/>
                          <w:spacing w:val="-8"/>
                        </w:rPr>
                        <w:t xml:space="preserve"> </w:t>
                      </w:r>
                      <w:r w:rsidRPr="00711E99">
                        <w:rPr>
                          <w:rFonts w:ascii="Arial" w:hAnsi="Arial" w:cs="Arial"/>
                          <w:b/>
                          <w:color w:val="000000"/>
                        </w:rPr>
                        <w:t>MUJERES: NI ARMONIZACIÓN/ NI COORDINACIÓN.</w:t>
                      </w:r>
                    </w:p>
                    <w:p w14:paraId="40811D5E" w14:textId="18D639E9" w:rsidR="0096606B" w:rsidRPr="00711E99" w:rsidRDefault="0096606B" w:rsidP="0096606B">
                      <w:pPr>
                        <w:spacing w:before="2"/>
                        <w:ind w:left="66" w:right="66"/>
                        <w:jc w:val="center"/>
                        <w:rPr>
                          <w:rFonts w:ascii="Arial" w:hAnsi="Arial" w:cs="Arial"/>
                          <w:b/>
                          <w:color w:val="000000"/>
                        </w:rPr>
                      </w:pPr>
                      <w:r w:rsidRPr="00711E99">
                        <w:rPr>
                          <w:rFonts w:ascii="Arial" w:hAnsi="Arial" w:cs="Arial"/>
                          <w:b/>
                          <w:color w:val="000000"/>
                        </w:rPr>
                        <w:t>Informe</w:t>
                      </w:r>
                      <w:r w:rsidRPr="00711E99">
                        <w:rPr>
                          <w:rFonts w:ascii="Arial" w:hAnsi="Arial" w:cs="Arial"/>
                          <w:b/>
                          <w:color w:val="000000"/>
                          <w:spacing w:val="-4"/>
                        </w:rPr>
                        <w:t xml:space="preserve"> </w:t>
                      </w:r>
                      <w:r w:rsidRPr="00711E99">
                        <w:rPr>
                          <w:rFonts w:ascii="Arial" w:hAnsi="Arial" w:cs="Arial"/>
                          <w:b/>
                          <w:color w:val="000000"/>
                        </w:rPr>
                        <w:t>sombra</w:t>
                      </w:r>
                      <w:r w:rsidR="006C7316" w:rsidRPr="00711E99">
                        <w:rPr>
                          <w:rFonts w:ascii="Arial" w:hAnsi="Arial" w:cs="Arial"/>
                          <w:b/>
                          <w:color w:val="000000"/>
                          <w:spacing w:val="-6"/>
                        </w:rPr>
                        <w:t xml:space="preserve"> </w:t>
                      </w:r>
                      <w:r w:rsidR="006C7316">
                        <w:rPr>
                          <w:rFonts w:ascii="Arial" w:hAnsi="Arial" w:cs="Arial"/>
                          <w:b/>
                          <w:color w:val="000000"/>
                          <w:spacing w:val="-6"/>
                        </w:rPr>
                        <w:t>en</w:t>
                      </w:r>
                      <w:r w:rsidR="006C7316" w:rsidRPr="006C7316">
                        <w:rPr>
                          <w:rFonts w:ascii="Arial" w:hAnsi="Arial" w:cs="Arial"/>
                          <w:b/>
                          <w:color w:val="000000"/>
                          <w:spacing w:val="-6"/>
                        </w:rPr>
                        <w:t xml:space="preserve"> ocasión del X Informe de México ante la CEDAW</w:t>
                      </w:r>
                    </w:p>
                  </w:txbxContent>
                </v:textbox>
                <w10:wrap type="square" anchorx="margin"/>
              </v:shape>
            </w:pict>
          </mc:Fallback>
        </mc:AlternateContent>
      </w:r>
    </w:p>
    <w:p w14:paraId="52538988" w14:textId="79B41657" w:rsidR="00C95B80" w:rsidRPr="00B60A47" w:rsidRDefault="00C95B80" w:rsidP="0096606B">
      <w:pPr>
        <w:rPr>
          <w:rFonts w:ascii="Arial" w:hAnsi="Arial" w:cs="Arial"/>
        </w:rPr>
      </w:pPr>
    </w:p>
    <w:p w14:paraId="45BF7767" w14:textId="77777777" w:rsidR="006C7316" w:rsidRPr="00B60A47" w:rsidRDefault="006C7316" w:rsidP="006C7316">
      <w:pPr>
        <w:spacing w:after="0"/>
        <w:jc w:val="center"/>
        <w:rPr>
          <w:rFonts w:ascii="Arial" w:hAnsi="Arial" w:cs="Arial"/>
          <w:b/>
        </w:rPr>
      </w:pPr>
      <w:r w:rsidRPr="00B60A47">
        <w:rPr>
          <w:rFonts w:ascii="Arial" w:hAnsi="Arial" w:cs="Arial"/>
          <w:b/>
        </w:rPr>
        <w:t>Este documento puede ser publicado en la página web del ACNUDH</w:t>
      </w:r>
    </w:p>
    <w:p w14:paraId="630FB9B7" w14:textId="1F9FA760" w:rsidR="00C95B80" w:rsidRPr="00B60A47" w:rsidRDefault="006C7316" w:rsidP="006C7316">
      <w:pPr>
        <w:spacing w:after="0"/>
        <w:jc w:val="center"/>
        <w:rPr>
          <w:rFonts w:ascii="Arial" w:hAnsi="Arial" w:cs="Arial"/>
          <w:b/>
        </w:rPr>
      </w:pPr>
      <w:r w:rsidRPr="00B60A47">
        <w:rPr>
          <w:rFonts w:ascii="Arial" w:hAnsi="Arial" w:cs="Arial"/>
          <w:b/>
        </w:rPr>
        <w:t>relativa a la CEDAW con fines de divulgación pública</w:t>
      </w:r>
    </w:p>
    <w:p w14:paraId="4AE4E11F" w14:textId="499D3488" w:rsidR="006C7316" w:rsidRPr="00B60A47" w:rsidRDefault="006C7316" w:rsidP="006C7316">
      <w:pPr>
        <w:spacing w:after="0"/>
        <w:jc w:val="center"/>
        <w:rPr>
          <w:rFonts w:ascii="Arial" w:hAnsi="Arial" w:cs="Arial"/>
          <w:b/>
        </w:rPr>
      </w:pPr>
    </w:p>
    <w:p w14:paraId="2EF5302E" w14:textId="77777777" w:rsidR="006C7316" w:rsidRPr="00B60A47" w:rsidRDefault="006C7316" w:rsidP="006C7316">
      <w:pPr>
        <w:spacing w:after="0"/>
        <w:jc w:val="center"/>
        <w:rPr>
          <w:rFonts w:ascii="Arial" w:hAnsi="Arial" w:cs="Arial"/>
          <w:b/>
        </w:rPr>
      </w:pPr>
    </w:p>
    <w:p w14:paraId="3135A390" w14:textId="43E9E603" w:rsidR="006C7316" w:rsidRPr="00B60A47" w:rsidRDefault="006C7316" w:rsidP="006C7316">
      <w:pPr>
        <w:spacing w:line="240" w:lineRule="auto"/>
        <w:jc w:val="both"/>
        <w:rPr>
          <w:rFonts w:ascii="Arial" w:eastAsia="Times New Roman" w:hAnsi="Arial" w:cs="Arial"/>
        </w:rPr>
      </w:pPr>
      <w:r w:rsidRPr="00B60A47">
        <w:rPr>
          <w:rFonts w:ascii="Arial" w:eastAsia="Times New Roman" w:hAnsi="Arial" w:cs="Arial"/>
          <w:color w:val="000000"/>
        </w:rPr>
        <w:t>El presente informe lo envía la</w:t>
      </w:r>
      <w:r w:rsidR="002D2E6B">
        <w:rPr>
          <w:rFonts w:ascii="Arial" w:eastAsia="Times New Roman" w:hAnsi="Arial" w:cs="Arial"/>
          <w:color w:val="000000"/>
        </w:rPr>
        <w:t xml:space="preserve"> </w:t>
      </w:r>
      <w:r w:rsidR="002D2E6B" w:rsidRPr="002D2E6B">
        <w:rPr>
          <w:rFonts w:ascii="Arial" w:eastAsia="Times New Roman" w:hAnsi="Arial" w:cs="Arial"/>
          <w:color w:val="000000"/>
        </w:rPr>
        <w:t>asociación guerrerense contra la violencia hacia las mujeres</w:t>
      </w:r>
      <w:r w:rsidR="002D2E6B">
        <w:rPr>
          <w:rFonts w:ascii="Arial" w:eastAsia="Times New Roman" w:hAnsi="Arial" w:cs="Arial"/>
          <w:color w:val="000000"/>
        </w:rPr>
        <w:t xml:space="preserve"> (AGCVIM) en coalición con la</w:t>
      </w:r>
      <w:r w:rsidRPr="00B60A47">
        <w:rPr>
          <w:rFonts w:ascii="Arial" w:eastAsia="Times New Roman" w:hAnsi="Arial" w:cs="Arial"/>
          <w:color w:val="000000"/>
        </w:rPr>
        <w:t xml:space="preserve"> Red Nacional de </w:t>
      </w:r>
      <w:proofErr w:type="spellStart"/>
      <w:r w:rsidRPr="00B60A47">
        <w:rPr>
          <w:rFonts w:ascii="Arial" w:eastAsia="Times New Roman" w:hAnsi="Arial" w:cs="Arial"/>
          <w:color w:val="000000"/>
        </w:rPr>
        <w:t>Alertistas</w:t>
      </w:r>
      <w:proofErr w:type="spellEnd"/>
      <w:r w:rsidR="002D2E6B">
        <w:rPr>
          <w:rFonts w:ascii="Arial" w:eastAsia="Times New Roman" w:hAnsi="Arial" w:cs="Arial"/>
          <w:color w:val="000000"/>
        </w:rPr>
        <w:t xml:space="preserve"> (RNA),</w:t>
      </w:r>
      <w:r w:rsidR="00B2108A">
        <w:rPr>
          <w:rFonts w:ascii="Arial" w:eastAsia="Times New Roman" w:hAnsi="Arial" w:cs="Arial"/>
          <w:color w:val="000000"/>
        </w:rPr>
        <w:t xml:space="preserve"> Red Feminista Sonor</w:t>
      </w:r>
      <w:r w:rsidR="002D2E6B">
        <w:rPr>
          <w:rFonts w:ascii="Arial" w:eastAsia="Times New Roman" w:hAnsi="Arial" w:cs="Arial"/>
          <w:color w:val="000000"/>
        </w:rPr>
        <w:t>ense y</w:t>
      </w:r>
      <w:r w:rsidRPr="00B60A47">
        <w:rPr>
          <w:rFonts w:ascii="Arial" w:eastAsia="Times New Roman" w:hAnsi="Arial" w:cs="Arial"/>
          <w:color w:val="000000"/>
        </w:rPr>
        <w:t xml:space="preserve"> la Cátedra UNESCO de Derechos Humanos de la UNAM</w:t>
      </w:r>
      <w:r w:rsidR="002D2E6B">
        <w:rPr>
          <w:rFonts w:ascii="Arial" w:eastAsia="Times New Roman" w:hAnsi="Arial" w:cs="Arial"/>
          <w:color w:val="000000"/>
        </w:rPr>
        <w:t xml:space="preserve"> (CUDH-UNAM) Y</w:t>
      </w:r>
      <w:r w:rsidRPr="00B60A47">
        <w:rPr>
          <w:rFonts w:ascii="Arial" w:eastAsia="Times New Roman" w:hAnsi="Arial" w:cs="Arial"/>
          <w:color w:val="000000"/>
        </w:rPr>
        <w:t xml:space="preserve"> la Federación Mexicana de Universitarias FEMU AC. </w:t>
      </w:r>
    </w:p>
    <w:p w14:paraId="5D0E9D22" w14:textId="77777777" w:rsidR="006C7316" w:rsidRPr="00B60A47" w:rsidRDefault="006C7316" w:rsidP="006C7316">
      <w:pPr>
        <w:spacing w:line="360" w:lineRule="auto"/>
        <w:jc w:val="both"/>
        <w:rPr>
          <w:rFonts w:ascii="Arial" w:hAnsi="Arial" w:cs="Arial"/>
          <w:b/>
        </w:rPr>
      </w:pPr>
    </w:p>
    <w:p w14:paraId="71D08BC0" w14:textId="369068BB" w:rsidR="006C7316" w:rsidRPr="00B60A47" w:rsidRDefault="006C7316" w:rsidP="002D2E6B">
      <w:pPr>
        <w:spacing w:after="0" w:line="240" w:lineRule="auto"/>
        <w:jc w:val="both"/>
        <w:rPr>
          <w:rFonts w:ascii="Arial" w:hAnsi="Arial" w:cs="Arial"/>
          <w:b/>
        </w:rPr>
      </w:pPr>
      <w:r w:rsidRPr="00B60A47">
        <w:rPr>
          <w:rFonts w:ascii="Arial" w:hAnsi="Arial" w:cs="Arial"/>
          <w:b/>
        </w:rPr>
        <w:t>Coordinación:</w:t>
      </w:r>
    </w:p>
    <w:p w14:paraId="688E26AE" w14:textId="77777777" w:rsidR="006C7316" w:rsidRPr="00B60A47" w:rsidRDefault="006C7316" w:rsidP="002D2E6B">
      <w:pPr>
        <w:spacing w:after="0" w:line="240" w:lineRule="auto"/>
        <w:jc w:val="both"/>
        <w:rPr>
          <w:rFonts w:ascii="Arial" w:hAnsi="Arial" w:cs="Arial"/>
          <w:b/>
        </w:rPr>
      </w:pPr>
      <w:r w:rsidRPr="00B60A47">
        <w:rPr>
          <w:rFonts w:ascii="Arial" w:hAnsi="Arial" w:cs="Arial"/>
        </w:rPr>
        <w:t xml:space="preserve">Dra. Gloria Ramírez Hernández. </w:t>
      </w:r>
      <w:r w:rsidRPr="00B60A47">
        <w:rPr>
          <w:rFonts w:ascii="Arial" w:hAnsi="Arial" w:cs="Arial"/>
          <w:b/>
        </w:rPr>
        <w:t xml:space="preserve">Cátedra UNESCO de Derechos Humanos de la UNAM/ Federación Mexicana de Universitarias A.C. </w:t>
      </w:r>
    </w:p>
    <w:p w14:paraId="2560987F" w14:textId="77777777" w:rsidR="006C7316" w:rsidRPr="00B60A47" w:rsidRDefault="006C7316" w:rsidP="002D2E6B">
      <w:pPr>
        <w:spacing w:after="0" w:line="240" w:lineRule="auto"/>
        <w:jc w:val="both"/>
        <w:rPr>
          <w:rFonts w:ascii="Arial" w:hAnsi="Arial" w:cs="Arial"/>
          <w:b/>
        </w:rPr>
      </w:pPr>
      <w:r w:rsidRPr="00B60A47">
        <w:rPr>
          <w:rFonts w:ascii="Arial" w:hAnsi="Arial" w:cs="Arial"/>
        </w:rPr>
        <w:t xml:space="preserve">Lic. Marina Reyna Aguilar, Lic. Leticia Burgos Ochoa y Lic. Evangelina Flores Ceceña. </w:t>
      </w:r>
      <w:r w:rsidRPr="00B60A47">
        <w:rPr>
          <w:rFonts w:ascii="Arial" w:hAnsi="Arial" w:cs="Arial"/>
          <w:b/>
        </w:rPr>
        <w:t xml:space="preserve">Red Nacional de </w:t>
      </w:r>
      <w:proofErr w:type="spellStart"/>
      <w:r w:rsidRPr="00B60A47">
        <w:rPr>
          <w:rFonts w:ascii="Arial" w:hAnsi="Arial" w:cs="Arial"/>
          <w:b/>
        </w:rPr>
        <w:t>Alertistas</w:t>
      </w:r>
      <w:proofErr w:type="spellEnd"/>
    </w:p>
    <w:p w14:paraId="05C70C58" w14:textId="77777777" w:rsidR="006C7316" w:rsidRPr="00B60A47" w:rsidRDefault="006C7316" w:rsidP="006C7316">
      <w:pPr>
        <w:spacing w:line="360" w:lineRule="auto"/>
        <w:jc w:val="both"/>
        <w:rPr>
          <w:rFonts w:ascii="Arial" w:hAnsi="Arial" w:cs="Arial"/>
        </w:rPr>
      </w:pPr>
    </w:p>
    <w:p w14:paraId="40313508" w14:textId="0665EB67" w:rsidR="006C7316" w:rsidRPr="00B60A47" w:rsidRDefault="006C7316" w:rsidP="002D2E6B">
      <w:pPr>
        <w:spacing w:after="0" w:line="240" w:lineRule="auto"/>
        <w:jc w:val="both"/>
        <w:rPr>
          <w:rFonts w:ascii="Arial" w:hAnsi="Arial" w:cs="Arial"/>
          <w:b/>
        </w:rPr>
      </w:pPr>
      <w:r w:rsidRPr="00B60A47">
        <w:rPr>
          <w:rFonts w:ascii="Arial" w:hAnsi="Arial" w:cs="Arial"/>
          <w:b/>
        </w:rPr>
        <w:t xml:space="preserve">Con la participación de: </w:t>
      </w:r>
    </w:p>
    <w:p w14:paraId="3ACC3C10" w14:textId="15F98510" w:rsidR="006C7316" w:rsidRPr="00B60A47" w:rsidRDefault="006C7316" w:rsidP="002D2E6B">
      <w:pPr>
        <w:spacing w:after="0" w:line="240" w:lineRule="auto"/>
        <w:jc w:val="both"/>
        <w:rPr>
          <w:rFonts w:ascii="Arial" w:hAnsi="Arial" w:cs="Arial"/>
        </w:rPr>
      </w:pPr>
      <w:r w:rsidRPr="00B60A47">
        <w:rPr>
          <w:rFonts w:ascii="Arial" w:hAnsi="Arial" w:cs="Arial"/>
        </w:rPr>
        <w:t>Azucena Enríquez</w:t>
      </w:r>
      <w:r w:rsidR="00B75D61">
        <w:rPr>
          <w:rFonts w:ascii="Arial" w:hAnsi="Arial" w:cs="Arial"/>
        </w:rPr>
        <w:t xml:space="preserve"> García</w:t>
      </w:r>
      <w:r w:rsidRPr="00B60A47">
        <w:rPr>
          <w:rFonts w:ascii="Arial" w:hAnsi="Arial" w:cs="Arial"/>
        </w:rPr>
        <w:t>, Secretaria académica de la CUDH-UNAM</w:t>
      </w:r>
    </w:p>
    <w:p w14:paraId="48290894" w14:textId="43272715" w:rsidR="006C7316" w:rsidRPr="00B60A47" w:rsidRDefault="006C7316" w:rsidP="002D2E6B">
      <w:pPr>
        <w:spacing w:after="0" w:line="240" w:lineRule="auto"/>
        <w:jc w:val="both"/>
        <w:rPr>
          <w:rFonts w:ascii="Arial" w:hAnsi="Arial" w:cs="Arial"/>
          <w:b/>
        </w:rPr>
      </w:pPr>
      <w:r w:rsidRPr="00B60A47">
        <w:rPr>
          <w:rFonts w:ascii="Arial" w:hAnsi="Arial" w:cs="Arial"/>
        </w:rPr>
        <w:t xml:space="preserve">Jessica </w:t>
      </w:r>
      <w:r w:rsidR="00B60A47" w:rsidRPr="00B60A47">
        <w:rPr>
          <w:rFonts w:ascii="Arial" w:hAnsi="Arial" w:cs="Arial"/>
        </w:rPr>
        <w:t xml:space="preserve">Hernández </w:t>
      </w:r>
      <w:r w:rsidRPr="00B60A47">
        <w:rPr>
          <w:rFonts w:ascii="Arial" w:hAnsi="Arial" w:cs="Arial"/>
        </w:rPr>
        <w:t xml:space="preserve">Narcizo y </w:t>
      </w:r>
      <w:r w:rsidR="00B60A47" w:rsidRPr="00B60A47">
        <w:rPr>
          <w:rFonts w:ascii="Arial" w:hAnsi="Arial" w:cs="Arial"/>
        </w:rPr>
        <w:t>Valeria Fernanda Dorantes</w:t>
      </w:r>
      <w:r w:rsidR="00077209">
        <w:rPr>
          <w:rFonts w:ascii="Arial" w:hAnsi="Arial" w:cs="Arial"/>
        </w:rPr>
        <w:t xml:space="preserve"> Romero</w:t>
      </w:r>
      <w:r w:rsidR="00B60A47" w:rsidRPr="00B60A47">
        <w:rPr>
          <w:rFonts w:ascii="Arial" w:hAnsi="Arial" w:cs="Arial"/>
        </w:rPr>
        <w:t xml:space="preserve">, </w:t>
      </w:r>
      <w:r w:rsidRPr="00B60A47">
        <w:rPr>
          <w:rFonts w:ascii="Arial" w:hAnsi="Arial" w:cs="Arial"/>
        </w:rPr>
        <w:t>becarias de la CUDH-UNAM</w:t>
      </w:r>
    </w:p>
    <w:p w14:paraId="304CD8F5" w14:textId="6C691D3E" w:rsidR="00B60A47" w:rsidRDefault="00B60A47" w:rsidP="0096606B">
      <w:pPr>
        <w:rPr>
          <w:rFonts w:ascii="Arial" w:hAnsi="Arial" w:cs="Arial"/>
        </w:rPr>
      </w:pPr>
    </w:p>
    <w:p w14:paraId="1793B741" w14:textId="77777777" w:rsidR="002D2E6B" w:rsidRPr="00B60A47" w:rsidRDefault="002D2E6B" w:rsidP="0096606B">
      <w:pPr>
        <w:rPr>
          <w:rFonts w:ascii="Arial" w:hAnsi="Arial" w:cs="Arial"/>
        </w:rPr>
      </w:pPr>
    </w:p>
    <w:p w14:paraId="6148D78D" w14:textId="77777777" w:rsidR="00B60A47" w:rsidRPr="00B60A47" w:rsidRDefault="00B60A47" w:rsidP="00B60A47">
      <w:pPr>
        <w:pBdr>
          <w:top w:val="nil"/>
          <w:left w:val="nil"/>
          <w:bottom w:val="nil"/>
          <w:right w:val="nil"/>
          <w:between w:val="nil"/>
        </w:pBdr>
        <w:spacing w:after="0"/>
        <w:rPr>
          <w:rFonts w:ascii="Arial" w:eastAsia="Arial" w:hAnsi="Arial" w:cs="Arial"/>
        </w:rPr>
      </w:pPr>
      <w:r w:rsidRPr="00B60A47">
        <w:rPr>
          <w:rFonts w:ascii="Arial" w:eastAsia="Arial" w:hAnsi="Arial" w:cs="Arial"/>
        </w:rPr>
        <w:t xml:space="preserve">Contacto: </w:t>
      </w:r>
    </w:p>
    <w:p w14:paraId="49E03C0C" w14:textId="119FA2E2" w:rsidR="00C95B80" w:rsidRPr="00B60A47" w:rsidRDefault="00B819A1" w:rsidP="00B60A47">
      <w:pPr>
        <w:spacing w:after="0"/>
        <w:rPr>
          <w:rFonts w:ascii="Arial" w:eastAsia="Arial" w:hAnsi="Arial" w:cs="Arial"/>
          <w:u w:val="single"/>
        </w:rPr>
      </w:pPr>
      <w:hyperlink r:id="rId8">
        <w:r w:rsidR="00B60A47" w:rsidRPr="00B60A47">
          <w:rPr>
            <w:rFonts w:ascii="Arial" w:eastAsia="Arial" w:hAnsi="Arial" w:cs="Arial"/>
            <w:u w:val="single"/>
          </w:rPr>
          <w:t>cedawciudadanas@gmail.com</w:t>
        </w:r>
      </w:hyperlink>
    </w:p>
    <w:p w14:paraId="238AC41D" w14:textId="55FD6F90" w:rsidR="00B60A47" w:rsidRPr="00B60A47" w:rsidRDefault="00B60A47" w:rsidP="00B60A47">
      <w:pPr>
        <w:spacing w:after="0"/>
        <w:rPr>
          <w:rFonts w:ascii="Arial" w:hAnsi="Arial" w:cs="Arial"/>
        </w:rPr>
      </w:pPr>
      <w:r w:rsidRPr="00B60A47">
        <w:rPr>
          <w:rFonts w:ascii="Arial" w:eastAsia="Arial" w:hAnsi="Arial" w:cs="Arial"/>
          <w:u w:val="single"/>
        </w:rPr>
        <w:t>secretario.cuudh@politicas.unam.mx</w:t>
      </w:r>
    </w:p>
    <w:p w14:paraId="6CBC47D4" w14:textId="18EA0977" w:rsidR="00C95B80" w:rsidRDefault="00C95B80" w:rsidP="0096606B">
      <w:pPr>
        <w:rPr>
          <w:rFonts w:ascii="Arial" w:hAnsi="Arial" w:cs="Arial"/>
        </w:rPr>
      </w:pPr>
    </w:p>
    <w:p w14:paraId="6579CD54" w14:textId="77777777" w:rsidR="002D2E6B" w:rsidRPr="00B60A47" w:rsidRDefault="002D2E6B" w:rsidP="0096606B">
      <w:pPr>
        <w:rPr>
          <w:rFonts w:ascii="Arial" w:hAnsi="Arial" w:cs="Arial"/>
        </w:rPr>
      </w:pPr>
    </w:p>
    <w:p w14:paraId="04086F6E" w14:textId="414346BB" w:rsidR="006C7316" w:rsidRPr="005E6B61" w:rsidRDefault="006C7316" w:rsidP="005E6B61">
      <w:pPr>
        <w:jc w:val="center"/>
        <w:rPr>
          <w:rFonts w:ascii="Arial" w:hAnsi="Arial" w:cs="Arial"/>
          <w:sz w:val="22"/>
          <w:szCs w:val="22"/>
        </w:rPr>
      </w:pPr>
      <w:r w:rsidRPr="005E6B61">
        <w:rPr>
          <w:rFonts w:ascii="Arial" w:hAnsi="Arial" w:cs="Arial"/>
          <w:sz w:val="22"/>
          <w:szCs w:val="22"/>
        </w:rPr>
        <w:t>Con apoyo del Proyecto PAPIIT IN302023 “25 años de informes ante la CEDAW en México. Balance, evaluación, resultados y avances”</w:t>
      </w:r>
    </w:p>
    <w:p w14:paraId="20323F3B" w14:textId="77777777" w:rsidR="00905FF4" w:rsidRPr="00B60A47" w:rsidRDefault="00905FF4" w:rsidP="00905FF4">
      <w:pPr>
        <w:spacing w:before="3" w:line="273" w:lineRule="auto"/>
        <w:ind w:left="1418" w:right="1418"/>
        <w:jc w:val="center"/>
        <w:rPr>
          <w:rFonts w:ascii="Arial" w:hAnsi="Arial" w:cs="Arial"/>
          <w:b/>
          <w:color w:val="000000"/>
        </w:rPr>
      </w:pPr>
    </w:p>
    <w:tbl>
      <w:tblPr>
        <w:tblW w:w="9444" w:type="dxa"/>
        <w:tblInd w:w="-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44"/>
      </w:tblGrid>
      <w:tr w:rsidR="00905FF4" w:rsidRPr="00B60A47" w14:paraId="4263B44E" w14:textId="77777777" w:rsidTr="006C7316">
        <w:trPr>
          <w:trHeight w:val="1865"/>
        </w:trPr>
        <w:tc>
          <w:tcPr>
            <w:tcW w:w="9444" w:type="dxa"/>
            <w:tcBorders>
              <w:top w:val="single" w:sz="12" w:space="0" w:color="215E99" w:themeColor="text2" w:themeTint="BF"/>
              <w:left w:val="single" w:sz="12" w:space="0" w:color="215E99" w:themeColor="text2" w:themeTint="BF"/>
              <w:bottom w:val="single" w:sz="12" w:space="0" w:color="215E99" w:themeColor="text2" w:themeTint="BF"/>
              <w:right w:val="single" w:sz="12" w:space="0" w:color="215E99" w:themeColor="text2" w:themeTint="BF"/>
            </w:tcBorders>
            <w:shd w:val="clear" w:color="auto" w:fill="CCCCFF"/>
          </w:tcPr>
          <w:p w14:paraId="0E01EA1E" w14:textId="77777777" w:rsidR="00905FF4" w:rsidRPr="00B60A47" w:rsidRDefault="00905FF4" w:rsidP="00905FF4">
            <w:pPr>
              <w:spacing w:before="3" w:line="273" w:lineRule="auto"/>
              <w:ind w:left="1418" w:right="1418"/>
              <w:jc w:val="center"/>
              <w:rPr>
                <w:rFonts w:ascii="Arial" w:hAnsi="Arial" w:cs="Arial"/>
                <w:b/>
                <w:color w:val="000000"/>
              </w:rPr>
            </w:pPr>
            <w:r w:rsidRPr="00B60A47">
              <w:rPr>
                <w:rFonts w:ascii="Arial" w:hAnsi="Arial" w:cs="Arial"/>
                <w:b/>
                <w:color w:val="000000"/>
              </w:rPr>
              <w:t>ALERTA</w:t>
            </w:r>
            <w:r w:rsidRPr="00B60A47">
              <w:rPr>
                <w:rFonts w:ascii="Arial" w:hAnsi="Arial" w:cs="Arial"/>
                <w:b/>
                <w:color w:val="000000"/>
                <w:spacing w:val="-5"/>
              </w:rPr>
              <w:t xml:space="preserve"> </w:t>
            </w:r>
            <w:r w:rsidRPr="00B60A47">
              <w:rPr>
                <w:rFonts w:ascii="Arial" w:hAnsi="Arial" w:cs="Arial"/>
                <w:b/>
                <w:color w:val="000000"/>
              </w:rPr>
              <w:t>DE</w:t>
            </w:r>
            <w:r w:rsidRPr="00B60A47">
              <w:rPr>
                <w:rFonts w:ascii="Arial" w:hAnsi="Arial" w:cs="Arial"/>
                <w:b/>
                <w:color w:val="000000"/>
                <w:spacing w:val="-8"/>
              </w:rPr>
              <w:t xml:space="preserve"> </w:t>
            </w:r>
            <w:r w:rsidRPr="00B60A47">
              <w:rPr>
                <w:rFonts w:ascii="Arial" w:hAnsi="Arial" w:cs="Arial"/>
                <w:b/>
                <w:color w:val="000000"/>
              </w:rPr>
              <w:t>VIOLENCIA</w:t>
            </w:r>
            <w:r w:rsidRPr="00B60A47">
              <w:rPr>
                <w:rFonts w:ascii="Arial" w:hAnsi="Arial" w:cs="Arial"/>
                <w:b/>
                <w:color w:val="000000"/>
                <w:spacing w:val="-7"/>
              </w:rPr>
              <w:t xml:space="preserve"> </w:t>
            </w:r>
            <w:r w:rsidRPr="00B60A47">
              <w:rPr>
                <w:rFonts w:ascii="Arial" w:hAnsi="Arial" w:cs="Arial"/>
                <w:b/>
                <w:color w:val="000000"/>
              </w:rPr>
              <w:t>DE</w:t>
            </w:r>
            <w:r w:rsidRPr="00B60A47">
              <w:rPr>
                <w:rFonts w:ascii="Arial" w:hAnsi="Arial" w:cs="Arial"/>
                <w:b/>
                <w:color w:val="000000"/>
                <w:spacing w:val="-5"/>
              </w:rPr>
              <w:t xml:space="preserve"> </w:t>
            </w:r>
            <w:r w:rsidRPr="00B60A47">
              <w:rPr>
                <w:rFonts w:ascii="Arial" w:hAnsi="Arial" w:cs="Arial"/>
                <w:b/>
                <w:color w:val="000000"/>
              </w:rPr>
              <w:t>GÉNERO</w:t>
            </w:r>
            <w:r w:rsidRPr="00B60A47">
              <w:rPr>
                <w:rFonts w:ascii="Arial" w:hAnsi="Arial" w:cs="Arial"/>
                <w:b/>
                <w:color w:val="000000"/>
                <w:spacing w:val="-5"/>
              </w:rPr>
              <w:t xml:space="preserve"> </w:t>
            </w:r>
            <w:r w:rsidRPr="00B60A47">
              <w:rPr>
                <w:rFonts w:ascii="Arial" w:hAnsi="Arial" w:cs="Arial"/>
                <w:b/>
                <w:color w:val="000000"/>
              </w:rPr>
              <w:t>CONTRA</w:t>
            </w:r>
            <w:r w:rsidRPr="00B60A47">
              <w:rPr>
                <w:rFonts w:ascii="Arial" w:hAnsi="Arial" w:cs="Arial"/>
                <w:b/>
                <w:color w:val="000000"/>
                <w:spacing w:val="-5"/>
              </w:rPr>
              <w:t xml:space="preserve"> </w:t>
            </w:r>
            <w:r w:rsidRPr="00B60A47">
              <w:rPr>
                <w:rFonts w:ascii="Arial" w:hAnsi="Arial" w:cs="Arial"/>
                <w:b/>
                <w:color w:val="000000"/>
              </w:rPr>
              <w:t>LAS</w:t>
            </w:r>
            <w:r w:rsidRPr="00B60A47">
              <w:rPr>
                <w:rFonts w:ascii="Arial" w:hAnsi="Arial" w:cs="Arial"/>
                <w:b/>
                <w:color w:val="000000"/>
                <w:spacing w:val="-8"/>
              </w:rPr>
              <w:t xml:space="preserve"> </w:t>
            </w:r>
            <w:r w:rsidRPr="00B60A47">
              <w:rPr>
                <w:rFonts w:ascii="Arial" w:hAnsi="Arial" w:cs="Arial"/>
                <w:b/>
                <w:color w:val="000000"/>
              </w:rPr>
              <w:t>MUJERES: NI ARMONIZACIÓN/ NI COORDINACIÓN.</w:t>
            </w:r>
          </w:p>
          <w:p w14:paraId="10CDCDFA" w14:textId="590BBDBE" w:rsidR="00905FF4" w:rsidRPr="00B60A47" w:rsidRDefault="00905FF4" w:rsidP="006C7316">
            <w:pPr>
              <w:spacing w:before="3" w:line="273" w:lineRule="auto"/>
              <w:ind w:left="1418" w:right="1418"/>
              <w:jc w:val="center"/>
              <w:rPr>
                <w:rFonts w:ascii="Arial" w:hAnsi="Arial" w:cs="Arial"/>
                <w:b/>
                <w:color w:val="000000"/>
              </w:rPr>
            </w:pPr>
            <w:r w:rsidRPr="00B60A47">
              <w:rPr>
                <w:rFonts w:ascii="Arial" w:hAnsi="Arial" w:cs="Arial"/>
                <w:b/>
                <w:color w:val="000000"/>
              </w:rPr>
              <w:t>Informe</w:t>
            </w:r>
            <w:r w:rsidRPr="00B60A47">
              <w:rPr>
                <w:rFonts w:ascii="Arial" w:hAnsi="Arial" w:cs="Arial"/>
                <w:b/>
                <w:color w:val="000000"/>
                <w:spacing w:val="-4"/>
              </w:rPr>
              <w:t xml:space="preserve"> </w:t>
            </w:r>
            <w:r w:rsidRPr="00B60A47">
              <w:rPr>
                <w:rFonts w:ascii="Arial" w:hAnsi="Arial" w:cs="Arial"/>
                <w:b/>
                <w:color w:val="000000"/>
              </w:rPr>
              <w:t>sombra</w:t>
            </w:r>
            <w:r w:rsidRPr="00B60A47">
              <w:rPr>
                <w:rFonts w:ascii="Arial" w:hAnsi="Arial" w:cs="Arial"/>
                <w:b/>
                <w:color w:val="000000"/>
                <w:spacing w:val="-6"/>
              </w:rPr>
              <w:t xml:space="preserve"> </w:t>
            </w:r>
            <w:r w:rsidR="006C7316" w:rsidRPr="00B60A47">
              <w:rPr>
                <w:rFonts w:ascii="Arial" w:hAnsi="Arial" w:cs="Arial"/>
                <w:b/>
                <w:color w:val="000000"/>
                <w:spacing w:val="-6"/>
              </w:rPr>
              <w:t>en ocasión del X Informe de México ante la CEDAW</w:t>
            </w:r>
          </w:p>
        </w:tc>
      </w:tr>
    </w:tbl>
    <w:p w14:paraId="3AA2A8C5" w14:textId="0C428E8C" w:rsidR="00905FF4" w:rsidRDefault="00905FF4" w:rsidP="00FF2E4F">
      <w:pPr>
        <w:spacing w:line="360" w:lineRule="auto"/>
        <w:jc w:val="both"/>
        <w:rPr>
          <w:rFonts w:ascii="Arial" w:hAnsi="Arial" w:cs="Arial"/>
          <w:highlight w:val="yellow"/>
        </w:rPr>
      </w:pPr>
    </w:p>
    <w:p w14:paraId="6BDD1E77" w14:textId="5BAA8829" w:rsidR="0096606B" w:rsidRPr="00D46A5D" w:rsidRDefault="00FF2E4F" w:rsidP="00FF2E4F">
      <w:pPr>
        <w:spacing w:line="360" w:lineRule="auto"/>
        <w:jc w:val="both"/>
        <w:rPr>
          <w:rFonts w:ascii="Arial" w:hAnsi="Arial" w:cs="Arial"/>
        </w:rPr>
      </w:pPr>
      <w:r w:rsidRPr="00D46A5D">
        <w:rPr>
          <w:rFonts w:ascii="Arial" w:hAnsi="Arial" w:cs="Arial"/>
        </w:rPr>
        <w:t>R</w:t>
      </w:r>
      <w:r w:rsidR="0096606B" w:rsidRPr="00D46A5D">
        <w:rPr>
          <w:rFonts w:ascii="Arial" w:hAnsi="Arial" w:cs="Arial"/>
        </w:rPr>
        <w:t>ecomendación 24 inciso e) al Noveno informe Periódico de México sobre violencia de género contra las mujeres.</w:t>
      </w:r>
    </w:p>
    <w:p w14:paraId="1CE6BE48" w14:textId="77777777" w:rsidR="0096606B" w:rsidRPr="00D46A5D" w:rsidRDefault="0096606B" w:rsidP="00FF2E4F">
      <w:pPr>
        <w:spacing w:line="360" w:lineRule="auto"/>
        <w:ind w:left="567"/>
        <w:jc w:val="both"/>
        <w:rPr>
          <w:rFonts w:ascii="Arial" w:hAnsi="Arial" w:cs="Arial"/>
        </w:rPr>
      </w:pPr>
      <w:r w:rsidRPr="00D46A5D">
        <w:rPr>
          <w:rFonts w:ascii="Arial" w:hAnsi="Arial" w:cs="Arial"/>
        </w:rPr>
        <w:t>24. El Comité recuerda su recomendación general núm. 35 (2017) sobre la violencia por razón de género contra la mujer, por la que se actualiza la recomendación general núm. 19, y reitera su recomendación al Estado parte de que:</w:t>
      </w:r>
    </w:p>
    <w:p w14:paraId="5B1E9E28" w14:textId="707F6CAE" w:rsidR="0096606B" w:rsidRPr="00D46A5D" w:rsidRDefault="00711E99" w:rsidP="00FF2E4F">
      <w:pPr>
        <w:spacing w:line="360" w:lineRule="auto"/>
        <w:ind w:left="567"/>
        <w:jc w:val="both"/>
        <w:rPr>
          <w:rFonts w:ascii="Arial" w:hAnsi="Arial" w:cs="Arial"/>
        </w:rPr>
      </w:pPr>
      <w:r w:rsidRPr="00D46A5D">
        <w:rPr>
          <w:rFonts w:ascii="Arial" w:hAnsi="Arial" w:cs="Arial"/>
        </w:rPr>
        <w:t>e</w:t>
      </w:r>
      <w:r w:rsidR="0096606B" w:rsidRPr="00D46A5D">
        <w:rPr>
          <w:rFonts w:ascii="Arial" w:hAnsi="Arial" w:cs="Arial"/>
        </w:rPr>
        <w:t>) Evalúe la repercusión del mecanismo de alerta de violencia de género, a fin de garantizar una utilización amplia y armonizada y la coordinación en los planos federal, estatal y municipal, y vele por la participación de organizaciones no gubernamentales, expertos del mundo académico y defensores de la perspectiva de género y los derechos humanos, así como mujeres víctimas de la violencia;</w:t>
      </w:r>
    </w:p>
    <w:p w14:paraId="0A9D39BF" w14:textId="2EAC4E05" w:rsidR="0096606B" w:rsidRPr="00B60A47" w:rsidRDefault="0096606B" w:rsidP="006E1CB9">
      <w:pPr>
        <w:spacing w:line="360" w:lineRule="auto"/>
        <w:jc w:val="both"/>
        <w:rPr>
          <w:rFonts w:ascii="Arial" w:hAnsi="Arial" w:cs="Arial"/>
        </w:rPr>
      </w:pPr>
      <w:r w:rsidRPr="00D46A5D">
        <w:rPr>
          <w:rFonts w:ascii="Arial" w:hAnsi="Arial" w:cs="Arial"/>
        </w:rPr>
        <w:t>La siguiente información responde a la evaluación de la repercusión del mecanismo de Alerta de Violencia de Género contra las Mujeres (AVGM), a fin de garantizar una utilización amplia y armonizada y la coordinación en lo federal, estatal y municipal.</w:t>
      </w:r>
      <w:r w:rsidRPr="00B60A47">
        <w:rPr>
          <w:rFonts w:ascii="Arial" w:hAnsi="Arial" w:cs="Arial"/>
        </w:rPr>
        <w:t xml:space="preserve"> </w:t>
      </w:r>
    </w:p>
    <w:p w14:paraId="77146DBB" w14:textId="49688AF5" w:rsidR="0096606B" w:rsidRPr="00B60A47" w:rsidRDefault="0096606B" w:rsidP="0096606B">
      <w:pPr>
        <w:spacing w:line="360" w:lineRule="auto"/>
        <w:jc w:val="both"/>
        <w:rPr>
          <w:rFonts w:ascii="Arial" w:hAnsi="Arial" w:cs="Arial"/>
          <w:b/>
          <w:bCs/>
        </w:rPr>
      </w:pPr>
      <w:r w:rsidRPr="00B60A47">
        <w:rPr>
          <w:rFonts w:ascii="Arial" w:hAnsi="Arial" w:cs="Arial"/>
          <w:b/>
          <w:bCs/>
        </w:rPr>
        <w:t>Panorama general de solicitudes AVGM (2013–2024)</w:t>
      </w:r>
    </w:p>
    <w:p w14:paraId="7C2AD327" w14:textId="4FD81ACD" w:rsidR="003348EF" w:rsidRPr="00B60A47" w:rsidRDefault="00DF6976" w:rsidP="0096606B">
      <w:pPr>
        <w:spacing w:line="360" w:lineRule="auto"/>
        <w:jc w:val="both"/>
        <w:rPr>
          <w:rFonts w:ascii="Arial" w:hAnsi="Arial" w:cs="Arial"/>
        </w:rPr>
      </w:pPr>
      <w:r w:rsidRPr="00B60A47">
        <w:rPr>
          <w:rFonts w:ascii="Arial" w:hAnsi="Arial" w:cs="Arial"/>
        </w:rPr>
        <w:t>En este marco, se han presentado de 2013 a 202</w:t>
      </w:r>
      <w:r w:rsidR="007E7AEB" w:rsidRPr="00B60A47">
        <w:rPr>
          <w:rFonts w:ascii="Arial" w:hAnsi="Arial" w:cs="Arial"/>
        </w:rPr>
        <w:t>5</w:t>
      </w:r>
      <w:r w:rsidRPr="00B60A47">
        <w:rPr>
          <w:rFonts w:ascii="Arial" w:hAnsi="Arial" w:cs="Arial"/>
        </w:rPr>
        <w:t xml:space="preserve"> un total de 56 solicitudes de AVGM y se han admitido 41 solicitudes de alerta de las cuales se han emitido 26 declaratorias de alerta de género, para 24</w:t>
      </w:r>
      <w:r w:rsidR="00B80E86" w:rsidRPr="00B60A47">
        <w:rPr>
          <w:rFonts w:ascii="Arial" w:hAnsi="Arial" w:cs="Arial"/>
        </w:rPr>
        <w:t xml:space="preserve"> estados</w:t>
      </w:r>
      <w:r w:rsidRPr="00B60A47">
        <w:rPr>
          <w:rFonts w:ascii="Arial" w:hAnsi="Arial" w:cs="Arial"/>
        </w:rPr>
        <w:t xml:space="preserve">: dos en el Estado de México (una por violencia feminicida y otra por Desaparición), Nuevo León, Morelos, Nayarit, Chiapas, Michoacán, dos en Veracruz (una por violencia feminicida y otra por agravio comparado), Sinaloa, Colima, San Luis Potosí, dos en Guerrero (una por </w:t>
      </w:r>
      <w:r w:rsidRPr="00B60A47">
        <w:rPr>
          <w:rFonts w:ascii="Arial" w:hAnsi="Arial" w:cs="Arial"/>
        </w:rPr>
        <w:lastRenderedPageBreak/>
        <w:t>violencia feminicida y otra por agravio comparado), Quintana Roo, Zacatecas, Oaxaca, Campeche, Durango, Jalisco, Puebla, Chihuahua, Sonora, Tlaxcala, Baja California  Estado de México (por desaparición) y Ciudad de México (Declarada por Gobierno Local)</w:t>
      </w:r>
      <w:r w:rsidR="00EB09FC" w:rsidRPr="00B60A47">
        <w:rPr>
          <w:rStyle w:val="Refdenotaalpie"/>
          <w:rFonts w:ascii="Arial" w:hAnsi="Arial" w:cs="Arial"/>
        </w:rPr>
        <w:footnoteReference w:id="1"/>
      </w:r>
      <w:r w:rsidR="00960D93" w:rsidRPr="00B60A47">
        <w:rPr>
          <w:rFonts w:ascii="Arial" w:hAnsi="Arial" w:cs="Arial"/>
        </w:rPr>
        <w:t>, actualmente hay un total de 32 procedimientos activos en 25 entidades federativas</w:t>
      </w:r>
      <w:r w:rsidR="00422F2B" w:rsidRPr="00B60A47">
        <w:rPr>
          <w:rFonts w:ascii="Arial" w:hAnsi="Arial" w:cs="Arial"/>
        </w:rPr>
        <w:t>.</w:t>
      </w:r>
      <w:r w:rsidR="00367C80" w:rsidRPr="00B60A47">
        <w:rPr>
          <w:rStyle w:val="Refdenotaalpie"/>
          <w:rFonts w:ascii="Arial" w:hAnsi="Arial" w:cs="Arial"/>
        </w:rPr>
        <w:footnoteReference w:id="2"/>
      </w:r>
    </w:p>
    <w:p w14:paraId="5E4B2274" w14:textId="28F64CDE" w:rsidR="0096606B" w:rsidRPr="00B60A47" w:rsidRDefault="0096606B" w:rsidP="0096606B">
      <w:pPr>
        <w:spacing w:line="360" w:lineRule="auto"/>
        <w:jc w:val="both"/>
        <w:rPr>
          <w:rFonts w:ascii="Arial" w:hAnsi="Arial" w:cs="Arial"/>
        </w:rPr>
      </w:pPr>
      <w:r w:rsidRPr="00B60A47">
        <w:rPr>
          <w:rFonts w:ascii="Arial" w:hAnsi="Arial" w:cs="Arial"/>
        </w:rPr>
        <w:t xml:space="preserve">En contraste en 10 estados se determinó la improcedencia de la declaratoria de </w:t>
      </w:r>
      <w:r w:rsidR="00BA767F" w:rsidRPr="00B60A47">
        <w:rPr>
          <w:rFonts w:ascii="Arial" w:hAnsi="Arial" w:cs="Arial"/>
        </w:rPr>
        <w:t>Alerta de Violencia de Género contra las Mujeres</w:t>
      </w:r>
      <w:r w:rsidRPr="00B60A47">
        <w:rPr>
          <w:rFonts w:ascii="Arial" w:hAnsi="Arial" w:cs="Arial"/>
        </w:rPr>
        <w:t>, siendo en Tabasco denegada por segunda ocasión: Guanajuato (30 de julio 2015), Baja California (19 de mayo de 2016), Querétaro (9 de febrero de 2017), Puebla (7 de julio de 2017), Tlaxcala(4 de agosto de 2017), Tabasco (4 de agosto de 2017), Sonora (4 de agosto de 2017), Yucatán (9 de agosto de 2018), Coahuila (29 de noviembre de 2018), Ciudad de México (7 de junio de 2019) y Tabasco (2 de marzo de 2023)</w:t>
      </w:r>
    </w:p>
    <w:p w14:paraId="553D7F5B" w14:textId="2AD80392" w:rsidR="0096606B" w:rsidRPr="00B60A47" w:rsidRDefault="0096606B" w:rsidP="0096606B">
      <w:pPr>
        <w:spacing w:line="360" w:lineRule="auto"/>
        <w:jc w:val="both"/>
        <w:rPr>
          <w:rFonts w:ascii="Arial" w:hAnsi="Arial" w:cs="Arial"/>
        </w:rPr>
      </w:pPr>
      <w:r w:rsidRPr="00B60A47">
        <w:rPr>
          <w:rFonts w:ascii="Arial" w:hAnsi="Arial" w:cs="Arial"/>
        </w:rPr>
        <w:t>El caso de la Ciudad de México es particular, ya que, el día 7 de junio de 2019 la SEGOB a través de la CONAVIM emitió la improcedencia de la AVGM. No obstante, la Jefa de Gobierno de la Ciudad de México, declaró la AVGM el día 21 de noviembre de 2019</w:t>
      </w:r>
      <w:r w:rsidR="00A124AC" w:rsidRPr="00B60A47">
        <w:rPr>
          <w:rFonts w:ascii="Arial" w:hAnsi="Arial" w:cs="Arial"/>
        </w:rPr>
        <w:t xml:space="preserve"> y publicada el 25 de noviembre del mismo año en la Gaceta Oficial de ese Gobierno, </w:t>
      </w:r>
      <w:r w:rsidRPr="00B60A47">
        <w:rPr>
          <w:rFonts w:ascii="Arial" w:hAnsi="Arial" w:cs="Arial"/>
        </w:rPr>
        <w:t>siendo ésta una decisión por parte del ejecutivo de la CDMX, no existe hasta el momento alguna resolución emitida por la SEGOB.</w:t>
      </w:r>
    </w:p>
    <w:p w14:paraId="39261291" w14:textId="52F57975" w:rsidR="00B12E8E" w:rsidRPr="00B60A47" w:rsidRDefault="00B80E86" w:rsidP="00622282">
      <w:pPr>
        <w:spacing w:line="360" w:lineRule="auto"/>
        <w:jc w:val="both"/>
        <w:rPr>
          <w:rFonts w:ascii="Arial" w:hAnsi="Arial" w:cs="Arial"/>
        </w:rPr>
      </w:pPr>
      <w:r w:rsidRPr="00B60A47">
        <w:rPr>
          <w:rFonts w:ascii="Arial" w:hAnsi="Arial" w:cs="Arial"/>
        </w:rPr>
        <w:t xml:space="preserve">Es importante mencionar que, cinco </w:t>
      </w:r>
      <w:r w:rsidR="0096606B" w:rsidRPr="00B60A47">
        <w:rPr>
          <w:rFonts w:ascii="Arial" w:hAnsi="Arial" w:cs="Arial"/>
        </w:rPr>
        <w:t xml:space="preserve">Estados se encuentran en alguna etapa del proceso de AVGM, Sonora (segunda solicitud violencia feminicida), Chihuahua (violencia feminicida), Ciudad de México (con la segunda solicitud por violencia feminicida), Tlaxcala (violencia feminicida) y Baja California (segunda solicitud violencia feminicida). </w:t>
      </w:r>
      <w:r w:rsidR="00622282" w:rsidRPr="00B60A47">
        <w:rPr>
          <w:rFonts w:ascii="Arial" w:hAnsi="Arial" w:cs="Arial"/>
        </w:rPr>
        <w:t>En proceso de determinación para la declaratoria de Alerta</w:t>
      </w:r>
      <w:r w:rsidRPr="00B60A47">
        <w:rPr>
          <w:rFonts w:ascii="Arial" w:hAnsi="Arial" w:cs="Arial"/>
        </w:rPr>
        <w:t xml:space="preserve"> hay cuatro</w:t>
      </w:r>
      <w:r w:rsidR="00622282" w:rsidRPr="00B60A47">
        <w:rPr>
          <w:rFonts w:ascii="Arial" w:hAnsi="Arial" w:cs="Arial"/>
        </w:rPr>
        <w:t xml:space="preserve"> entidades, </w:t>
      </w:r>
      <w:r w:rsidR="0068490D" w:rsidRPr="00B60A47">
        <w:rPr>
          <w:rFonts w:ascii="Arial" w:hAnsi="Arial" w:cs="Arial"/>
        </w:rPr>
        <w:t>Puebla (desaparición), Veracruz (desaparición), Sonora (AC) y Coahuila (VF).</w:t>
      </w:r>
    </w:p>
    <w:p w14:paraId="7B4FBD89" w14:textId="09040EAC" w:rsidR="0096606B" w:rsidRPr="00B60A47" w:rsidRDefault="0068490D" w:rsidP="0096606B">
      <w:pPr>
        <w:spacing w:line="360" w:lineRule="auto"/>
        <w:jc w:val="both"/>
        <w:rPr>
          <w:rFonts w:ascii="Arial" w:hAnsi="Arial" w:cs="Arial"/>
        </w:rPr>
      </w:pPr>
      <w:r w:rsidRPr="00B60A47">
        <w:rPr>
          <w:rFonts w:ascii="Arial" w:hAnsi="Arial" w:cs="Arial"/>
        </w:rPr>
        <w:lastRenderedPageBreak/>
        <w:t>En cuanto a la</w:t>
      </w:r>
      <w:r w:rsidR="00BA4C78" w:rsidRPr="00B60A47">
        <w:rPr>
          <w:rFonts w:ascii="Arial" w:hAnsi="Arial" w:cs="Arial"/>
        </w:rPr>
        <w:t>s</w:t>
      </w:r>
      <w:r w:rsidRPr="00B60A47">
        <w:rPr>
          <w:rFonts w:ascii="Arial" w:hAnsi="Arial" w:cs="Arial"/>
        </w:rPr>
        <w:t xml:space="preserve"> </w:t>
      </w:r>
      <w:r w:rsidR="00BA4C78" w:rsidRPr="00B60A47">
        <w:rPr>
          <w:rFonts w:ascii="Arial" w:hAnsi="Arial" w:cs="Arial"/>
        </w:rPr>
        <w:t>s</w:t>
      </w:r>
      <w:r w:rsidRPr="00B60A47">
        <w:rPr>
          <w:rFonts w:ascii="Arial" w:hAnsi="Arial" w:cs="Arial"/>
        </w:rPr>
        <w:t>olicitud</w:t>
      </w:r>
      <w:r w:rsidR="00BA4C78" w:rsidRPr="00B60A47">
        <w:rPr>
          <w:rFonts w:ascii="Arial" w:hAnsi="Arial" w:cs="Arial"/>
        </w:rPr>
        <w:t>es</w:t>
      </w:r>
      <w:r w:rsidRPr="00B60A47">
        <w:rPr>
          <w:rFonts w:ascii="Arial" w:hAnsi="Arial" w:cs="Arial"/>
        </w:rPr>
        <w:t xml:space="preserve"> de ampliación de la AVGM</w:t>
      </w:r>
      <w:r w:rsidR="00BA4C78" w:rsidRPr="00B60A47">
        <w:rPr>
          <w:rFonts w:ascii="Arial" w:hAnsi="Arial" w:cs="Arial"/>
        </w:rPr>
        <w:t>, solo</w:t>
      </w:r>
      <w:r w:rsidR="00651DEB" w:rsidRPr="00B60A47">
        <w:rPr>
          <w:rFonts w:ascii="Arial" w:hAnsi="Arial" w:cs="Arial"/>
        </w:rPr>
        <w:t xml:space="preserve"> hay un procedimiento, que es el caso de Nuevo L</w:t>
      </w:r>
      <w:r w:rsidR="00BA4C78" w:rsidRPr="00B60A47">
        <w:rPr>
          <w:rFonts w:ascii="Arial" w:hAnsi="Arial" w:cs="Arial"/>
        </w:rPr>
        <w:t xml:space="preserve">eón. </w:t>
      </w:r>
      <w:r w:rsidR="00C65BE4" w:rsidRPr="00B60A47">
        <w:rPr>
          <w:rFonts w:ascii="Arial" w:hAnsi="Arial" w:cs="Arial"/>
        </w:rPr>
        <w:t>Acerca de los</w:t>
      </w:r>
      <w:r w:rsidR="0096606B" w:rsidRPr="00B60A47">
        <w:rPr>
          <w:rFonts w:ascii="Arial" w:hAnsi="Arial" w:cs="Arial"/>
        </w:rPr>
        <w:t xml:space="preserve"> Estados </w:t>
      </w:r>
      <w:r w:rsidR="00C65BE4" w:rsidRPr="00B60A47">
        <w:rPr>
          <w:rFonts w:ascii="Arial" w:hAnsi="Arial" w:cs="Arial"/>
        </w:rPr>
        <w:t xml:space="preserve">que </w:t>
      </w:r>
      <w:r w:rsidR="0096606B" w:rsidRPr="00B60A47">
        <w:rPr>
          <w:rFonts w:ascii="Arial" w:hAnsi="Arial" w:cs="Arial"/>
        </w:rPr>
        <w:t>no han tenido algún proceso activo de solicitud de AVGM: Aguascalientes, Hidalgo, Tamaulipas y Baja California Sur</w:t>
      </w:r>
      <w:r w:rsidR="00A655A9" w:rsidRPr="00B60A47">
        <w:rPr>
          <w:rFonts w:ascii="Arial" w:hAnsi="Arial" w:cs="Arial"/>
        </w:rPr>
        <w:t xml:space="preserve">. </w:t>
      </w:r>
    </w:p>
    <w:p w14:paraId="24C22471" w14:textId="4154A395" w:rsidR="0096606B" w:rsidRPr="00B60A47" w:rsidRDefault="0096606B" w:rsidP="0096606B">
      <w:pPr>
        <w:spacing w:line="360" w:lineRule="auto"/>
        <w:jc w:val="both"/>
        <w:rPr>
          <w:rFonts w:ascii="Arial" w:hAnsi="Arial" w:cs="Arial"/>
          <w:b/>
          <w:bCs/>
        </w:rPr>
      </w:pPr>
      <w:r w:rsidRPr="00B60A47">
        <w:rPr>
          <w:rFonts w:ascii="Arial" w:hAnsi="Arial" w:cs="Arial"/>
          <w:b/>
          <w:bCs/>
        </w:rPr>
        <w:t>Notificación de las alertas declaradas y seguimiento institucional</w:t>
      </w:r>
    </w:p>
    <w:p w14:paraId="6CE111F0" w14:textId="3100EBFF" w:rsidR="0096606B" w:rsidRPr="00B60A47" w:rsidRDefault="0096606B" w:rsidP="0096606B">
      <w:pPr>
        <w:spacing w:line="360" w:lineRule="auto"/>
        <w:jc w:val="both"/>
        <w:rPr>
          <w:rFonts w:ascii="Arial" w:hAnsi="Arial" w:cs="Arial"/>
        </w:rPr>
      </w:pPr>
      <w:r w:rsidRPr="00B60A47">
        <w:rPr>
          <w:rFonts w:ascii="Arial" w:hAnsi="Arial" w:cs="Arial"/>
        </w:rPr>
        <w:t xml:space="preserve">La Ley General de Acceso de las Mujeres a una Vida Libre de Violencia, en su artículo 25° establece que corresponderá al gobierno federal a través de la Secretaría de Gobernación declarar la alerta de violencia de género y notificará la declaratoria al Poder Ejecutivo </w:t>
      </w:r>
      <w:r w:rsidR="004126A1" w:rsidRPr="00B60A47">
        <w:rPr>
          <w:rFonts w:ascii="Arial" w:hAnsi="Arial" w:cs="Arial"/>
        </w:rPr>
        <w:t>legislativo y Judicial, así como a las instancias de procuración de justicia de las demarcaciones territoriales de la CDMX o de los municipios de la entidad federativa cuando en que se emita la solicitud de alerta de violencia de género contra las mujeres. en un territorio determinado. Además de hacer del conocimiento público el motivo de la alerta de violencia de género contra las mujeres, y la zona territorial que abarcan las medidas a implementar como lo dice la ley su artículo 23° fracción V. apartado A.</w:t>
      </w:r>
    </w:p>
    <w:p w14:paraId="14D8CD41" w14:textId="1BF045A4" w:rsidR="0096606B" w:rsidRPr="00B60A47" w:rsidRDefault="0096606B" w:rsidP="0096606B">
      <w:pPr>
        <w:spacing w:line="360" w:lineRule="auto"/>
        <w:jc w:val="both"/>
        <w:rPr>
          <w:rFonts w:ascii="Arial" w:hAnsi="Arial" w:cs="Arial"/>
        </w:rPr>
      </w:pPr>
      <w:r w:rsidRPr="00B60A47">
        <w:rPr>
          <w:rFonts w:ascii="Arial" w:hAnsi="Arial" w:cs="Arial"/>
        </w:rPr>
        <w:t>De acuerdo con esta investigación, en las entidades de Campeche, Guerrero, Nayarit, Quintana Roo, San Luis Potosí, Sinaloa y, Zacatecas si se le notifico de la declaratoria de la Alerta al ejecutivo del Estado como lo marca la Ley General de Acceso de las Mujeres a</w:t>
      </w:r>
      <w:r w:rsidR="00BA4995" w:rsidRPr="00B60A47">
        <w:rPr>
          <w:rFonts w:ascii="Arial" w:hAnsi="Arial" w:cs="Arial"/>
        </w:rPr>
        <w:t xml:space="preserve"> </w:t>
      </w:r>
      <w:r w:rsidRPr="00B60A47">
        <w:rPr>
          <w:rFonts w:ascii="Arial" w:hAnsi="Arial" w:cs="Arial"/>
        </w:rPr>
        <w:t>una Vida Libre de Violencia, sin embargo, esta notificación no llego a los municipios alertados más que en el caso de Colima, donde si se les notifico de la declaratoria a los cinco municipios para los que se solicitó la alerta de violencia de género.</w:t>
      </w:r>
    </w:p>
    <w:p w14:paraId="436058B9" w14:textId="583B8D6B" w:rsidR="0096606B" w:rsidRPr="00B60A47" w:rsidRDefault="0096606B" w:rsidP="0096606B">
      <w:pPr>
        <w:spacing w:line="360" w:lineRule="auto"/>
        <w:jc w:val="both"/>
        <w:rPr>
          <w:rFonts w:ascii="Arial" w:hAnsi="Arial" w:cs="Arial"/>
        </w:rPr>
      </w:pPr>
      <w:r w:rsidRPr="00B60A47">
        <w:rPr>
          <w:rFonts w:ascii="Arial" w:hAnsi="Arial" w:cs="Arial"/>
        </w:rPr>
        <w:t>Por otra parte, la declaratoria de la Ciudad de México se dio a conocer en la gaceta oficial de la CDMX sin notificarle previamente a las organizaciones solicitantes. Cabe mencionar que el caso de la Ciudad de México es particular, ya que, el día 7 de junio de 2019 la SEGOB a través de la CONAVIM emitió la improcedencia de la AVGM. No obstante, la Jefa de Gobierno de la Ciudad de México, declaró la AVGM el día 21 de noviembre de 2019, siendo ésta una decisión por parte del ejecutivo de la CDMX, no</w:t>
      </w:r>
      <w:r w:rsidR="001529BD" w:rsidRPr="00B60A47">
        <w:rPr>
          <w:rFonts w:ascii="Arial" w:hAnsi="Arial" w:cs="Arial"/>
        </w:rPr>
        <w:t xml:space="preserve"> </w:t>
      </w:r>
      <w:r w:rsidRPr="00B60A47">
        <w:rPr>
          <w:rFonts w:ascii="Arial" w:hAnsi="Arial" w:cs="Arial"/>
        </w:rPr>
        <w:t>existe hasta el momento alguna resolución emitida por la SEGOB.</w:t>
      </w:r>
    </w:p>
    <w:p w14:paraId="2DDC414D" w14:textId="0001A6C9" w:rsidR="0096606B" w:rsidRPr="00B60A47" w:rsidRDefault="0096606B" w:rsidP="0096606B">
      <w:pPr>
        <w:spacing w:line="360" w:lineRule="auto"/>
        <w:jc w:val="both"/>
        <w:rPr>
          <w:rFonts w:ascii="Arial" w:hAnsi="Arial" w:cs="Arial"/>
          <w:b/>
          <w:bCs/>
        </w:rPr>
      </w:pPr>
      <w:r w:rsidRPr="00B60A47">
        <w:rPr>
          <w:rFonts w:ascii="Arial" w:hAnsi="Arial" w:cs="Arial"/>
          <w:b/>
          <w:bCs/>
        </w:rPr>
        <w:lastRenderedPageBreak/>
        <w:t>Proceso y seguimien</w:t>
      </w:r>
      <w:r w:rsidR="00FF2E4F" w:rsidRPr="00B60A47">
        <w:rPr>
          <w:rFonts w:ascii="Arial" w:hAnsi="Arial" w:cs="Arial"/>
          <w:b/>
          <w:bCs/>
        </w:rPr>
        <w:t>to de las solicitudes de alerta</w:t>
      </w:r>
    </w:p>
    <w:p w14:paraId="45635EF9" w14:textId="77777777" w:rsidR="00AD4C88" w:rsidRPr="00B60A47" w:rsidRDefault="0096606B" w:rsidP="00AD4C88">
      <w:pPr>
        <w:spacing w:line="360" w:lineRule="auto"/>
        <w:jc w:val="both"/>
        <w:rPr>
          <w:rFonts w:ascii="Arial" w:hAnsi="Arial" w:cs="Arial"/>
        </w:rPr>
      </w:pPr>
      <w:r w:rsidRPr="00B60A47">
        <w:rPr>
          <w:rFonts w:ascii="Arial" w:hAnsi="Arial" w:cs="Arial"/>
        </w:rPr>
        <w:t xml:space="preserve">De acuerdo a la LGAMVLV admitida la solicitud, </w:t>
      </w:r>
      <w:r w:rsidR="00F5612E" w:rsidRPr="00B60A47">
        <w:rPr>
          <w:rFonts w:ascii="Arial" w:hAnsi="Arial" w:cs="Arial"/>
        </w:rPr>
        <w:t xml:space="preserve">se conformará un Grupo Interinstitucional y Multidisciplinario (GIM), integrado por la Comisión Nacional para Prevenir y Erradicar la Violencia contra las Mujeres, el Instituto Nacional de las Mujeres, el Mecanismo para el adelanto de las mujeres de la entidad federativa sobre la cual se presenta la solicitud de Alerta de Violencia contra las Mujeres, la Comisión Nacional de los Derechos Humanos, las organizaciones de la sociedad civil, incluidas las solicitantes, así como personas e instituciones que se consideren especialistas en derechos humanos de las mujeres. El GIM tendrá como objetivo fundamental, analizar, valorar y emitir recomendaciones que mejores la implementación de acciones que se generen con motivo de la Alerta, a través de las acciones señaladas en el artículo 24 </w:t>
      </w:r>
      <w:proofErr w:type="spellStart"/>
      <w:r w:rsidR="00F5612E" w:rsidRPr="00B60A47">
        <w:rPr>
          <w:rFonts w:ascii="Arial" w:hAnsi="Arial" w:cs="Arial"/>
        </w:rPr>
        <w:t>Quáter</w:t>
      </w:r>
      <w:proofErr w:type="spellEnd"/>
      <w:r w:rsidR="00F5612E" w:rsidRPr="00B60A47">
        <w:rPr>
          <w:rStyle w:val="Refdenotaalpie"/>
          <w:rFonts w:ascii="Arial" w:hAnsi="Arial" w:cs="Arial"/>
        </w:rPr>
        <w:footnoteReference w:id="3"/>
      </w:r>
    </w:p>
    <w:p w14:paraId="75C1EEE7" w14:textId="103F5D69" w:rsidR="0096606B" w:rsidRPr="00B60A47" w:rsidRDefault="00AD4C88" w:rsidP="00AD4C88">
      <w:pPr>
        <w:spacing w:line="360" w:lineRule="auto"/>
        <w:jc w:val="both"/>
        <w:rPr>
          <w:rFonts w:ascii="Arial" w:hAnsi="Arial" w:cs="Arial"/>
        </w:rPr>
      </w:pPr>
      <w:r w:rsidRPr="00B60A47">
        <w:rPr>
          <w:rFonts w:ascii="Arial" w:hAnsi="Arial" w:cs="Arial"/>
        </w:rPr>
        <w:t>El GIM tendrá 30 días naturales para realizar un análisis sobre los hechos de violencia señalados en la solicitud; cuando del análisis se desprenda la procedencia de la Alerta, se deberán elaborar conclusiones que incluyan propuestas de acciones y medidas preventivas, correctivas, de atención, de seguridad, de procuración e impartición de justicia y de reparación del daño. Y en su caso las propuestas de adecuación legislativas y normativas necesarias. En caso de considerar la improcedencia de la Alerta, se presentarán por escrito los argumentos que sustenten dicha determinación. El tiempo entre la admisión de la solicitud de la Alerta y la declaratoria no podrá exceder los 45 días naturales.</w:t>
      </w:r>
      <w:r w:rsidRPr="00B60A47">
        <w:rPr>
          <w:rStyle w:val="Refdenotaalpie"/>
          <w:rFonts w:ascii="Arial" w:hAnsi="Arial" w:cs="Arial"/>
        </w:rPr>
        <w:footnoteReference w:id="4"/>
      </w:r>
    </w:p>
    <w:p w14:paraId="3D33E465" w14:textId="7FAD284B" w:rsidR="0096606B" w:rsidRPr="00B60A47" w:rsidRDefault="0096606B" w:rsidP="0096606B">
      <w:pPr>
        <w:spacing w:line="360" w:lineRule="auto"/>
        <w:jc w:val="both"/>
        <w:rPr>
          <w:rFonts w:ascii="Arial" w:hAnsi="Arial" w:cs="Arial"/>
        </w:rPr>
      </w:pPr>
      <w:r w:rsidRPr="00B60A47">
        <w:rPr>
          <w:rFonts w:ascii="Arial" w:hAnsi="Arial" w:cs="Arial"/>
        </w:rPr>
        <w:t>Cabe mencionar que actualmente no existe dentro de la Ley General de Acceso a las Mujeres a una Vida Libre de Violencia o en su reglamento algún plazo establecido para dar</w:t>
      </w:r>
      <w:r w:rsidR="001529BD" w:rsidRPr="00B60A47">
        <w:rPr>
          <w:rFonts w:ascii="Arial" w:hAnsi="Arial" w:cs="Arial"/>
        </w:rPr>
        <w:t xml:space="preserve"> </w:t>
      </w:r>
      <w:r w:rsidRPr="00B60A47">
        <w:rPr>
          <w:rFonts w:ascii="Arial" w:hAnsi="Arial" w:cs="Arial"/>
        </w:rPr>
        <w:t>cumplimiento a la solicitud de AVGM.</w:t>
      </w:r>
    </w:p>
    <w:p w14:paraId="13082010" w14:textId="6C11122C" w:rsidR="0096606B" w:rsidRPr="00B60A47" w:rsidRDefault="0096606B" w:rsidP="0096606B">
      <w:pPr>
        <w:spacing w:line="360" w:lineRule="auto"/>
        <w:jc w:val="both"/>
        <w:rPr>
          <w:rFonts w:ascii="Arial" w:hAnsi="Arial" w:cs="Arial"/>
          <w:b/>
          <w:bCs/>
        </w:rPr>
      </w:pPr>
      <w:r w:rsidRPr="00B60A47">
        <w:rPr>
          <w:rFonts w:ascii="Arial" w:hAnsi="Arial" w:cs="Arial"/>
          <w:b/>
          <w:bCs/>
        </w:rPr>
        <w:t>Participación de la sociedad civil</w:t>
      </w:r>
    </w:p>
    <w:p w14:paraId="12280137" w14:textId="2D567ACB" w:rsidR="0096606B" w:rsidRPr="00D46A5D" w:rsidRDefault="0096606B" w:rsidP="0096606B">
      <w:pPr>
        <w:spacing w:line="360" w:lineRule="auto"/>
        <w:jc w:val="both"/>
        <w:rPr>
          <w:rFonts w:ascii="Arial" w:hAnsi="Arial" w:cs="Arial"/>
        </w:rPr>
      </w:pPr>
      <w:r w:rsidRPr="00B60A47">
        <w:rPr>
          <w:rFonts w:ascii="Arial" w:hAnsi="Arial" w:cs="Arial"/>
        </w:rPr>
        <w:lastRenderedPageBreak/>
        <w:t xml:space="preserve">Las ONG’S han funcionado como un factor de presión en la activación de la AVGM, </w:t>
      </w:r>
      <w:r w:rsidR="00BE3B16" w:rsidRPr="00B60A47">
        <w:rPr>
          <w:rFonts w:ascii="Arial" w:hAnsi="Arial" w:cs="Arial"/>
        </w:rPr>
        <w:t xml:space="preserve">incluso interponiendo amparos. </w:t>
      </w:r>
      <w:r w:rsidRPr="00B60A47">
        <w:rPr>
          <w:rFonts w:ascii="Arial" w:hAnsi="Arial" w:cs="Arial"/>
        </w:rPr>
        <w:t xml:space="preserve">las organizaciones en cuyos Estados fue negada la declaratoria de AVGM han fungido como medios de monitoreo, seguimiento y evaluación de las medidas, tanto de las conclusiones que contienen los informes elaborados por los grupos de trabajo. Su importancia radica en el papel que desempeñan en la elaboración de distintas metodologías para evaluar el cumplimiento, reflejan muchas veces el trabajo que tendrían que hacer los </w:t>
      </w:r>
      <w:r w:rsidRPr="00D46A5D">
        <w:rPr>
          <w:rFonts w:ascii="Arial" w:hAnsi="Arial" w:cs="Arial"/>
        </w:rPr>
        <w:t>gobiernos, tanto municipales como los estatales.</w:t>
      </w:r>
    </w:p>
    <w:p w14:paraId="2938CC77" w14:textId="4634EC2C" w:rsidR="0096606B" w:rsidRPr="00D46A5D" w:rsidRDefault="0096606B" w:rsidP="0096606B">
      <w:pPr>
        <w:spacing w:line="360" w:lineRule="auto"/>
        <w:jc w:val="both"/>
        <w:rPr>
          <w:rFonts w:ascii="Arial" w:hAnsi="Arial" w:cs="Arial"/>
        </w:rPr>
      </w:pPr>
      <w:r w:rsidRPr="00D46A5D">
        <w:rPr>
          <w:rFonts w:ascii="Arial" w:hAnsi="Arial" w:cs="Arial"/>
        </w:rPr>
        <w:t>Por otra parte, la falta de información sobre los estados donde se declaró improcedente la alerta no permite tener un panorama completo de la situación que guarda la violencia feminicida en esas entidades. Tal es el caso de Guanajuato y Querétaro que han visto un aumento en las cifras de feminicidio, sin embargo, no hay seguimiento institucional a las recomendaciones del grupo de trabajo.</w:t>
      </w:r>
    </w:p>
    <w:p w14:paraId="0B16494B" w14:textId="0422CD91" w:rsidR="0096606B" w:rsidRPr="00B60A47" w:rsidRDefault="0096606B" w:rsidP="0096606B">
      <w:pPr>
        <w:spacing w:line="360" w:lineRule="auto"/>
        <w:jc w:val="both"/>
        <w:rPr>
          <w:rFonts w:ascii="Arial" w:hAnsi="Arial" w:cs="Arial"/>
          <w:b/>
          <w:bCs/>
        </w:rPr>
      </w:pPr>
      <w:r w:rsidRPr="00D46A5D">
        <w:rPr>
          <w:rFonts w:ascii="Arial" w:hAnsi="Arial" w:cs="Arial"/>
          <w:b/>
          <w:bCs/>
        </w:rPr>
        <w:t>Armonización y Coordinación de la AVGM</w:t>
      </w:r>
    </w:p>
    <w:p w14:paraId="0676092C" w14:textId="3C4BF0FA" w:rsidR="00DF0C94" w:rsidRPr="00B60A47" w:rsidRDefault="0096606B" w:rsidP="00DF0C94">
      <w:pPr>
        <w:spacing w:line="360" w:lineRule="auto"/>
        <w:jc w:val="both"/>
        <w:rPr>
          <w:rFonts w:ascii="Arial" w:hAnsi="Arial" w:cs="Arial"/>
        </w:rPr>
      </w:pPr>
      <w:r w:rsidRPr="00B60A47">
        <w:rPr>
          <w:rFonts w:ascii="Arial" w:hAnsi="Arial" w:cs="Arial"/>
        </w:rPr>
        <w:t xml:space="preserve">En el Informe que entrego el Estado Mexicano al Comité CEDAW </w:t>
      </w:r>
      <w:r w:rsidR="00F107C0" w:rsidRPr="00B60A47">
        <w:rPr>
          <w:rFonts w:ascii="Arial" w:hAnsi="Arial" w:cs="Arial"/>
        </w:rPr>
        <w:t>el 5 de noviembre de 2024</w:t>
      </w:r>
      <w:r w:rsidR="00F107C0" w:rsidRPr="00B60A47">
        <w:rPr>
          <w:rStyle w:val="Refdenotaalpie"/>
          <w:rFonts w:ascii="Arial" w:hAnsi="Arial" w:cs="Arial"/>
        </w:rPr>
        <w:footnoteReference w:id="5"/>
      </w:r>
      <w:r w:rsidR="00F107C0" w:rsidRPr="00B60A47">
        <w:rPr>
          <w:rFonts w:ascii="Arial" w:hAnsi="Arial" w:cs="Arial"/>
        </w:rPr>
        <w:t xml:space="preserve"> </w:t>
      </w:r>
      <w:r w:rsidRPr="00B60A47">
        <w:rPr>
          <w:rFonts w:ascii="Arial" w:hAnsi="Arial" w:cs="Arial"/>
        </w:rPr>
        <w:t>menciona que para garantizar la actuación coordinada de los tres niveles de gobierno en la implementación de las medidas de AVGM</w:t>
      </w:r>
      <w:r w:rsidR="006139B7" w:rsidRPr="00B60A47">
        <w:rPr>
          <w:rFonts w:ascii="Arial" w:hAnsi="Arial" w:cs="Arial"/>
        </w:rPr>
        <w:t xml:space="preserve">. Sin </w:t>
      </w:r>
      <w:r w:rsidR="00DF0C94" w:rsidRPr="00B60A47">
        <w:rPr>
          <w:rFonts w:ascii="Arial" w:hAnsi="Arial" w:cs="Arial"/>
        </w:rPr>
        <w:t>embargo,</w:t>
      </w:r>
      <w:r w:rsidR="006139B7" w:rsidRPr="00B60A47">
        <w:rPr>
          <w:rFonts w:ascii="Arial" w:hAnsi="Arial" w:cs="Arial"/>
        </w:rPr>
        <w:t xml:space="preserve"> no mencionó avances en este aspecto</w:t>
      </w:r>
      <w:r w:rsidR="00DF0C94" w:rsidRPr="00B60A47">
        <w:rPr>
          <w:rFonts w:ascii="Arial" w:hAnsi="Arial" w:cs="Arial"/>
        </w:rPr>
        <w:t>.</w:t>
      </w:r>
      <w:r w:rsidR="006139B7" w:rsidRPr="00B60A47">
        <w:rPr>
          <w:rFonts w:ascii="Arial" w:hAnsi="Arial" w:cs="Arial"/>
        </w:rPr>
        <w:t xml:space="preserve"> </w:t>
      </w:r>
      <w:r w:rsidR="00FD73F1" w:rsidRPr="00B60A47">
        <w:rPr>
          <w:rFonts w:ascii="Arial" w:hAnsi="Arial" w:cs="Arial"/>
        </w:rPr>
        <w:t>Asimismo, añadió que l</w:t>
      </w:r>
      <w:r w:rsidR="00DF0C94" w:rsidRPr="00B60A47">
        <w:rPr>
          <w:rFonts w:ascii="Arial" w:hAnsi="Arial" w:cs="Arial"/>
        </w:rPr>
        <w:t>a LGAMVLV no solo define los distintos tipos y ámbitos de violencia, incluida la violencia feminicida, sino que también establece el procedimiento para activar las AVGM. En 2022, esta ley fue reformada para agilizar el proceso de declaratoria, con el fin de hacerlo más rápido y eficiente. Estas modificaciones buscan evitar demoras burocráticas que, en el pasado, han limitado su efectividad.</w:t>
      </w:r>
      <w:r w:rsidR="00343253" w:rsidRPr="00B60A47">
        <w:rPr>
          <w:rFonts w:ascii="Arial" w:hAnsi="Arial" w:cs="Arial"/>
        </w:rPr>
        <w:t xml:space="preserve"> Las reformas de 2022, dirigidas a agilizar su activación, responden a críticas previas sobre la lentitud del proceso. No obstante, su eficacia real depende de factores como la coordinación entre gobiernos, y la participación efectiva de la sociedad civil.</w:t>
      </w:r>
    </w:p>
    <w:p w14:paraId="2ACFB367" w14:textId="06001CEB" w:rsidR="006700FD" w:rsidRPr="00B60A47" w:rsidRDefault="00DF0C94" w:rsidP="0096606B">
      <w:pPr>
        <w:spacing w:line="360" w:lineRule="auto"/>
        <w:jc w:val="both"/>
        <w:rPr>
          <w:rFonts w:ascii="Arial" w:hAnsi="Arial" w:cs="Arial"/>
        </w:rPr>
      </w:pPr>
      <w:r w:rsidRPr="00B60A47">
        <w:rPr>
          <w:rFonts w:ascii="Arial" w:hAnsi="Arial" w:cs="Arial"/>
        </w:rPr>
        <w:lastRenderedPageBreak/>
        <w:t>Como resultado de estas reformas, se han fortalecido los mecanismos de coordinación entre autoridades, incorporando además la participación de la sociedad civil y expertas en género en grupos de trabajo interinstitucionales y multidisciplinarios. Esto permite una respuesta más integral, combinando perspectivas técnicas, legales y sociales. Sin embargo, aunque el marco normativo ha avanzado, su implementación real sigue enfrentando desafíos en términos de recursos, voluntad política y evaluación de resultados.</w:t>
      </w:r>
    </w:p>
    <w:p w14:paraId="003ECC6C" w14:textId="4AA17DD7" w:rsidR="0022356B" w:rsidRPr="00D46A5D" w:rsidRDefault="0022356B" w:rsidP="0096606B">
      <w:pPr>
        <w:spacing w:line="360" w:lineRule="auto"/>
        <w:jc w:val="both"/>
        <w:rPr>
          <w:rFonts w:ascii="Arial" w:hAnsi="Arial" w:cs="Arial"/>
        </w:rPr>
      </w:pPr>
      <w:r w:rsidRPr="00D46A5D">
        <w:rPr>
          <w:rFonts w:ascii="Arial" w:hAnsi="Arial" w:cs="Arial"/>
        </w:rPr>
        <w:t>Respecto a este punto la mayoría de las peticionarias coinciden que la Alerta de Violencia de Género contra las Mujeres (AVGM) no garantiza ni la armonización ni la coordinación en los tres planos de gobierno, federal, estatal y municipal. Y ya que el gobierno estatal es el encargado de determinar las acciones que se ejecutan en cada municipio, esto representa una problemática pues se debería buscar una modificación de los lineamientos para el acceso a los subsidios para que los gobiernos municipales tengan acceso directo a los fondos financieros y que sean ellos quienes presenten proyectos y puedan atender la declaratoria de alerta de violencia de género a nivel local. Aunado a eso debería existir una armonización entre los Programas Estatales y municipales  y los informes presentados Estatales y municipales y desde luego sin dejar de lado a los mecanismos encargados de atender las violencias, es decir los Sistemas Estatales y Municipales de Prevención, Atención, Sanción y Erradicación de la Violencia contra las Mujeres, quienes también tienen que elaborar Programas Estatales y Municipales para Prevenir, Atender, Sancionar y Erradicar la Violencia contra las Mujeres, con las medidas de la Declaratoria de AVGM, sin embargo, en la práctica no se observa la ejecución de los mismos.</w:t>
      </w:r>
    </w:p>
    <w:p w14:paraId="0DAB8862" w14:textId="7E86462B" w:rsidR="0096606B" w:rsidRPr="00B60A47" w:rsidRDefault="0096606B" w:rsidP="0096606B">
      <w:pPr>
        <w:spacing w:line="360" w:lineRule="auto"/>
        <w:jc w:val="both"/>
        <w:rPr>
          <w:rFonts w:ascii="Arial" w:hAnsi="Arial" w:cs="Arial"/>
        </w:rPr>
      </w:pPr>
      <w:r w:rsidRPr="00D46A5D">
        <w:rPr>
          <w:rFonts w:ascii="Arial" w:hAnsi="Arial" w:cs="Arial"/>
        </w:rPr>
        <w:t xml:space="preserve">En este sentido, no hay interacción o participación de parte de los municipios respecto de la coordinación de los tres niveles de gobierno, la federación, el gobierno estatal y el municipal, por lo cual es necesario un involucramiento activo de los tres poderes de gobierno, iniciativa privada, academia y sociedad civil que puedan garantizar políticas públicas con perspectiva de género, para el ejercicio pleno de los derechos humanos teniendo como eje la igualdad de mujeres y </w:t>
      </w:r>
      <w:r w:rsidRPr="00D46A5D">
        <w:rPr>
          <w:rFonts w:ascii="Arial" w:hAnsi="Arial" w:cs="Arial"/>
        </w:rPr>
        <w:lastRenderedPageBreak/>
        <w:t>hombres, para evaluar las mismas, en términos de su capacidad para enfrentar las injusticias sociales, económicas, culturales.</w:t>
      </w:r>
    </w:p>
    <w:p w14:paraId="129421E1" w14:textId="5B33D1AA" w:rsidR="00957619" w:rsidRPr="00B60A47" w:rsidRDefault="008E75F0" w:rsidP="00F57424">
      <w:pPr>
        <w:spacing w:line="360" w:lineRule="auto"/>
        <w:jc w:val="both"/>
        <w:rPr>
          <w:rFonts w:ascii="Arial" w:hAnsi="Arial" w:cs="Arial"/>
        </w:rPr>
      </w:pPr>
      <w:r w:rsidRPr="00B60A47">
        <w:rPr>
          <w:rFonts w:ascii="Arial" w:hAnsi="Arial" w:cs="Arial"/>
        </w:rPr>
        <w:t>En Colima, no existe una armonización efectiva de la AVGM entre los gobiernos federal, estatal y municipal, lo que genera falta de coordinación, especialmente con los municipios, primeros respondientes. Esto ha provocado un mal funcionamiento de los Sistemas Municipales, ya que las directoras de los Institutos de la Mujer carecen de presupuesto para aplicar las medidas de la AVGM. De los 10 institutos existentes, solo operan 4 o 5, y en Villa de Álvarez se eliminó temporalmente el instituto, aunque se reinstaló después. Actualmente, solo 4 municipios tienen recursos asignados para este fin. Además, la organización señala que, a diferencia de los poderes ejecutivo y legislativo, el judicial no mantiene una coordinación adecuada en la implementación de la AVGM.</w:t>
      </w:r>
    </w:p>
    <w:p w14:paraId="5A96F6C7" w14:textId="1011B687" w:rsidR="00112D3B" w:rsidRPr="00B60A47" w:rsidRDefault="00F57424" w:rsidP="00F57424">
      <w:pPr>
        <w:spacing w:line="360" w:lineRule="auto"/>
        <w:jc w:val="both"/>
        <w:rPr>
          <w:rFonts w:ascii="Arial" w:hAnsi="Arial" w:cs="Arial"/>
        </w:rPr>
      </w:pPr>
      <w:r w:rsidRPr="00B60A47">
        <w:rPr>
          <w:rFonts w:ascii="Arial" w:hAnsi="Arial" w:cs="Arial"/>
        </w:rPr>
        <w:t>En Durango, la Alerta de Violencia de Género contra las Mujeres (AVGM) no ha sido armonizada con las disposiciones nacionales, a pesar de haberse incorporado formalmente a la legislación estatal. Aunque ahora la ley local reconoce el mecanismo, no se han realizado reuniones con el gobierno estatal, su gabinete o los municipios para implementar las medidas correspondientes. Además, la falta de un Programa Integral concluido en el estado ha impedido alinear la AVGM con el Sistema Nacional de Prevención, Atención, Sanción y Erradicación de la Violencia contra las Mujeres. En cuanto a los programas municipales, la CONAVIM reportó que, de los 16 municipios con AVGM activa, solo Gómez Palacios presentó un plan para abordar la violencia de género, evidenciando una grave omisión por parte de las demás localidades.</w:t>
      </w:r>
    </w:p>
    <w:p w14:paraId="6629DE04" w14:textId="3F63013B" w:rsidR="0096606B" w:rsidRPr="00B60A47" w:rsidRDefault="009F3367" w:rsidP="0096606B">
      <w:pPr>
        <w:spacing w:line="360" w:lineRule="auto"/>
        <w:jc w:val="both"/>
        <w:rPr>
          <w:rFonts w:ascii="Arial" w:hAnsi="Arial" w:cs="Arial"/>
        </w:rPr>
      </w:pPr>
      <w:r w:rsidRPr="00B60A47">
        <w:rPr>
          <w:rFonts w:ascii="Arial" w:hAnsi="Arial" w:cs="Arial"/>
        </w:rPr>
        <w:t xml:space="preserve">Guerrero refiere que no existe una coordinación armonizada a nivel federal, estatal y municipal, ya que no hay programas municipales para el cumplimiento de la AVGM, sólo se cuenta con el Programa Estatal de Acciones Estratégicas para atender la declaratoria de Alerta de Violencia de Género contra las Mujeres por Violencia Feminicida 2022 y el Programa Estatal de Acciones Estratégicas para Atender la Declaratoria de Alerta de Violencia de Género contra las Mujeres por Agravio Comparado y Programa Integral para Prevenir, Atender, Sancionar y </w:t>
      </w:r>
      <w:r w:rsidRPr="00B60A47">
        <w:rPr>
          <w:rFonts w:ascii="Arial" w:hAnsi="Arial" w:cs="Arial"/>
        </w:rPr>
        <w:lastRenderedPageBreak/>
        <w:t>Erradicar la Violencia contra las Mujeres, además no solo hay un desconocimiento de los gobiernos municipales sobre los programas estatales para dar atención a la AVGM sino también los cambios de las administraciones municipales desfavorecen que haya un seguimiento puntual y continuidad,  y sistemas, tal es el caso del municipio de Ayutla, que, no sabían quienes presidían el mecanismo ordinario que debe funcionar para atender la Violencia contra las Mujeres en cada municipio denominado: Sistema Municipal para Prevenir Atender, Sancionar y Erradicar la cumplido ninguna medida de contra las Mujeres. A siete años de haberse declarado la AVGM no saben de dónde tomar recurso ni las acciones que se deben implementar no se ha atendido ninguna medida de las 21 de la AVGM por violencia feminicida. No se designan a nivel estatal recursos financieros para atenderlas y el poco recurso que se llega a programar no se transparenta ni se le da seguimiento para garantizar que es aplicado para lo cual se autorizó. No se ha sancionado a ningún servidor o servidora pública por el mal manejo de los recursos financieros y humanos. La CONAVIM ahora Secretaría de las Mujeres no da un acompañamiento ni a los estados ni a los municipios, lo mismo pasa con el gobierno estatal ya que, no logra coordinarse con los 9 municipios. Hay un periodo donde no se registró por parte de la CONAVIM el proceso evaluativo del GIM.</w:t>
      </w:r>
    </w:p>
    <w:p w14:paraId="536D97BB" w14:textId="7A8911F6" w:rsidR="0096606B" w:rsidRPr="00D46A5D" w:rsidRDefault="0096606B" w:rsidP="0096606B">
      <w:pPr>
        <w:spacing w:line="360" w:lineRule="auto"/>
        <w:jc w:val="both"/>
        <w:rPr>
          <w:rFonts w:ascii="Arial" w:hAnsi="Arial" w:cs="Arial"/>
        </w:rPr>
      </w:pPr>
      <w:r w:rsidRPr="00D46A5D">
        <w:rPr>
          <w:rFonts w:ascii="Arial" w:hAnsi="Arial" w:cs="Arial"/>
        </w:rPr>
        <w:t>Respecto a la armonización de la AVGM con los Sistemas y Programas Estatales y Municipales si existe, pero requieren actualización y encontrar un mecanismo que permita que las acciones y programas se mantengan con los cambios en el gobierno municipal. Así como incorporar nuevas medidas para involucrar a todas las dependencias a nivel estatal y municipal, existe una falta de coordinación para que las medidas sigan de un gobierno a otro, no hay de seguimiento en las actividades y de las responsabilidades de la AVGM, en el ámbito municipal.</w:t>
      </w:r>
    </w:p>
    <w:p w14:paraId="1E3950BC" w14:textId="303C38B1" w:rsidR="0096606B" w:rsidRPr="00D46A5D" w:rsidRDefault="0096606B" w:rsidP="0096606B">
      <w:pPr>
        <w:spacing w:line="360" w:lineRule="auto"/>
        <w:jc w:val="both"/>
        <w:rPr>
          <w:rFonts w:ascii="Arial" w:hAnsi="Arial" w:cs="Arial"/>
        </w:rPr>
      </w:pPr>
      <w:r w:rsidRPr="00D46A5D">
        <w:rPr>
          <w:rFonts w:ascii="Arial" w:hAnsi="Arial" w:cs="Arial"/>
        </w:rPr>
        <w:t xml:space="preserve">La armonización en los planos municipal, estatal y federal con la AVGM, en el estado de San Luis Potosí se ha dado solamente a partir del señalamiento de la Sociedad Civil, los municipios no realizan su trabajo respecto a la AVGM por lo que denota una falta de armonización con el Sistema Estatal. En el ámbito municipal se gestionó un comité para la implementación de las medidas, no obstante, el principal obstáculo </w:t>
      </w:r>
      <w:r w:rsidRPr="00D46A5D">
        <w:rPr>
          <w:rFonts w:ascii="Arial" w:hAnsi="Arial" w:cs="Arial"/>
        </w:rPr>
        <w:lastRenderedPageBreak/>
        <w:t xml:space="preserve">para el gobierno del </w:t>
      </w:r>
      <w:r w:rsidR="00584E73" w:rsidRPr="00D46A5D">
        <w:rPr>
          <w:rFonts w:ascii="Arial" w:hAnsi="Arial" w:cs="Arial"/>
        </w:rPr>
        <w:t>estado</w:t>
      </w:r>
      <w:r w:rsidRPr="00D46A5D">
        <w:rPr>
          <w:rFonts w:ascii="Arial" w:hAnsi="Arial" w:cs="Arial"/>
        </w:rPr>
        <w:t xml:space="preserve"> es la ausencia de coordinación ligada a la falta de voluntad política, por lo que no hay una estrategia municipal, para poder identificar las diferencias y poder armonizar las medidas de la AVGM. La presión de la demanda política o de la sociedad civil permite que en municipios como el caso de San Luis Potosí en donde hay mayor demanda. La coordinación entre los tres poderes de gobierno se ha dado en el Sistema Estatal sólo el poder legislativo acude como invitado, pero no incide. En el caso del Poder Judicial, se ha querido gestionar capacitaciones y formaciones por parte del Instituto de las Mujeres Estatal.</w:t>
      </w:r>
    </w:p>
    <w:p w14:paraId="3966C2E3" w14:textId="146FF182" w:rsidR="0096606B" w:rsidRPr="00D46A5D" w:rsidRDefault="0096606B" w:rsidP="0096606B">
      <w:pPr>
        <w:spacing w:line="360" w:lineRule="auto"/>
        <w:jc w:val="both"/>
        <w:rPr>
          <w:rFonts w:ascii="Arial" w:hAnsi="Arial" w:cs="Arial"/>
        </w:rPr>
      </w:pPr>
      <w:r w:rsidRPr="00D46A5D">
        <w:rPr>
          <w:rFonts w:ascii="Arial" w:hAnsi="Arial" w:cs="Arial"/>
        </w:rPr>
        <w:t>En el estado de Sinaloa la armonización que se da en el Sistema Estatal de Prevención, Atención, Sanción y Erradicación de la Violencia contra las Mujeres con las medidas de la AVGM, se expresa a través de reuniones, sin embargo, se acepta que no hay perspectiva de género en los programas, en los dos años que venían trabajando, las autoridades no sabían cuáles eran sus responsabilidades de acuerdo con las medidas de la declaratoria de la AVGM, en consecuencia no hay trabajo conjunto como sistema. Se quieren asociar acciones en el trabajo de la AVGM, pero éstas no se pueden relacionar, un ejemplo de ello, las Secretarias no conocen el decreto de la AVGM, aun cuando es un documento público. Por otra parte, existe una armonización en los sistemas y programas estatales y municipales con la AVGM, pero no se conoce, si se trabajó en un programa, aún no se publica.</w:t>
      </w:r>
    </w:p>
    <w:p w14:paraId="05BA07FC" w14:textId="63819E3F" w:rsidR="0096606B" w:rsidRPr="00D46A5D" w:rsidRDefault="0096606B" w:rsidP="0096606B">
      <w:pPr>
        <w:spacing w:line="360" w:lineRule="auto"/>
        <w:jc w:val="both"/>
        <w:rPr>
          <w:rFonts w:ascii="Arial" w:hAnsi="Arial" w:cs="Arial"/>
        </w:rPr>
      </w:pPr>
      <w:r w:rsidRPr="00D46A5D">
        <w:rPr>
          <w:rFonts w:ascii="Arial" w:hAnsi="Arial" w:cs="Arial"/>
        </w:rPr>
        <w:t>La organización solicitante del estado de Tlaxcala menciona que no existe armonización de la AVGM con los planos de gobierno, federal, estatal y municipal, un ejemplo de lo anterior es que actualmente empieza a funcionar el BANAVIM. Existe un avance significativo en el ámbito estatal, pero una grave omisión en lo local, ya que, en el municipio de Tlaxcala, es el único que tiene un avance significativo, existe un diagnóstico y un refugio. Respecto al Sistema Estatal y Municipal la armonización se da sólo en la formalidad, pero en la práctica es cuestionable.</w:t>
      </w:r>
    </w:p>
    <w:p w14:paraId="09D44B85" w14:textId="597CC082" w:rsidR="0096606B" w:rsidRPr="00D46A5D" w:rsidRDefault="0096606B" w:rsidP="0096606B">
      <w:pPr>
        <w:spacing w:line="360" w:lineRule="auto"/>
        <w:jc w:val="both"/>
        <w:rPr>
          <w:rFonts w:ascii="Arial" w:hAnsi="Arial" w:cs="Arial"/>
        </w:rPr>
      </w:pPr>
      <w:r w:rsidRPr="00D46A5D">
        <w:rPr>
          <w:rFonts w:ascii="Arial" w:hAnsi="Arial" w:cs="Arial"/>
        </w:rPr>
        <w:t xml:space="preserve">La organización de la sociedad civil del estado de Zacatecas, menciona que la armonización de la AVGM con los niveles de gobierno federal, estatal y municipal, se rige con la LGAMVLV y el reglamento a nivel federal, consecuencia de ellos es </w:t>
      </w:r>
      <w:r w:rsidRPr="00D46A5D">
        <w:rPr>
          <w:rFonts w:ascii="Arial" w:hAnsi="Arial" w:cs="Arial"/>
        </w:rPr>
        <w:lastRenderedPageBreak/>
        <w:t>que se han generado reformas dentro de este marco, por lo anterior, si existe una armonización y todavía están algunas reformas en proceso, como el caso de la reglamentación municipal que se encuentra está en proceso.</w:t>
      </w:r>
    </w:p>
    <w:p w14:paraId="34644FA7" w14:textId="7404E5D2" w:rsidR="0096606B" w:rsidRPr="00D46A5D" w:rsidRDefault="0096606B" w:rsidP="0096606B">
      <w:pPr>
        <w:spacing w:line="360" w:lineRule="auto"/>
        <w:jc w:val="both"/>
        <w:rPr>
          <w:rFonts w:ascii="Arial" w:hAnsi="Arial" w:cs="Arial"/>
        </w:rPr>
      </w:pPr>
      <w:r w:rsidRPr="00D46A5D">
        <w:rPr>
          <w:rFonts w:ascii="Arial" w:hAnsi="Arial" w:cs="Arial"/>
        </w:rPr>
        <w:t>Por otra parte, existe una armonización de la AVGM con el Sistema y el Programa Nacional Integral para Prevenir, Atender, Sancionar y Erradicar la Violencia contra las Mujeres, ya que el programa que se elaboró para atender la AVGM, tiene medidas urgente, y se vincula con el programa estatal. Este documento contempla que las medidas se relacionan con todos los demás mecanismos, hay un matriz de responsabilidades para saber qué institución debe responder, en el caso de la prevención se concentran distintas instituciones. Respecto de la armonización de la AVGM con los Sistemas y Programas Estatales y Municipales están incorporados los 58 municipios en las directoras de los Institutos Municipales de la Mujer, pero en el territorio no hay respaldo, ya que, sólo acu</w:t>
      </w:r>
      <w:r w:rsidR="00104D29" w:rsidRPr="00D46A5D">
        <w:rPr>
          <w:rFonts w:ascii="Arial" w:hAnsi="Arial" w:cs="Arial"/>
        </w:rPr>
        <w:t>erdan</w:t>
      </w:r>
      <w:r w:rsidRPr="00D46A5D">
        <w:rPr>
          <w:rFonts w:ascii="Arial" w:hAnsi="Arial" w:cs="Arial"/>
        </w:rPr>
        <w:t xml:space="preserve"> las reuniones. Sin embargo, no hay un respaldo estatal, ni un conocimiento, por otra parte,</w:t>
      </w:r>
      <w:r w:rsidR="00962BB6" w:rsidRPr="00D46A5D">
        <w:rPr>
          <w:rFonts w:ascii="Arial" w:hAnsi="Arial" w:cs="Arial"/>
        </w:rPr>
        <w:t xml:space="preserve"> </w:t>
      </w:r>
      <w:r w:rsidRPr="00D46A5D">
        <w:rPr>
          <w:rFonts w:ascii="Arial" w:hAnsi="Arial" w:cs="Arial"/>
        </w:rPr>
        <w:t>no siempre hay recursos en los municipios.</w:t>
      </w:r>
    </w:p>
    <w:p w14:paraId="7DB54B20" w14:textId="188348A7" w:rsidR="0096606B" w:rsidRPr="00B60A47" w:rsidRDefault="00853370" w:rsidP="0096606B">
      <w:pPr>
        <w:spacing w:line="360" w:lineRule="auto"/>
        <w:jc w:val="both"/>
        <w:rPr>
          <w:rFonts w:ascii="Arial" w:hAnsi="Arial" w:cs="Arial"/>
        </w:rPr>
      </w:pPr>
      <w:r w:rsidRPr="00B60A47">
        <w:rPr>
          <w:rFonts w:ascii="Arial" w:hAnsi="Arial" w:cs="Arial"/>
          <w:b/>
          <w:bCs/>
        </w:rPr>
        <w:t>S</w:t>
      </w:r>
      <w:r w:rsidR="001B0A41" w:rsidRPr="00B60A47">
        <w:rPr>
          <w:rFonts w:ascii="Arial" w:hAnsi="Arial" w:cs="Arial"/>
          <w:b/>
          <w:bCs/>
        </w:rPr>
        <w:t>eguimiento a</w:t>
      </w:r>
      <w:r w:rsidRPr="00B60A47">
        <w:rPr>
          <w:rFonts w:ascii="Arial" w:hAnsi="Arial" w:cs="Arial"/>
          <w:b/>
          <w:bCs/>
        </w:rPr>
        <w:t xml:space="preserve"> los informes de los grupos de trabajo</w:t>
      </w:r>
      <w:r w:rsidR="0096606B" w:rsidRPr="00B60A47">
        <w:rPr>
          <w:rFonts w:ascii="Arial" w:hAnsi="Arial" w:cs="Arial"/>
          <w:b/>
          <w:bCs/>
        </w:rPr>
        <w:t>.</w:t>
      </w:r>
    </w:p>
    <w:p w14:paraId="2CEAF659" w14:textId="79E49453" w:rsidR="0076554B" w:rsidRPr="00B60A47" w:rsidRDefault="0076554B" w:rsidP="0096606B">
      <w:pPr>
        <w:spacing w:line="360" w:lineRule="auto"/>
        <w:jc w:val="both"/>
        <w:rPr>
          <w:rFonts w:ascii="Arial" w:hAnsi="Arial" w:cs="Arial"/>
        </w:rPr>
      </w:pPr>
      <w:r w:rsidRPr="00B60A47">
        <w:rPr>
          <w:rFonts w:ascii="Arial" w:hAnsi="Arial" w:cs="Arial"/>
        </w:rPr>
        <w:t>Con base en una breve revisión de los informes de Chihuahua destacaron la precariedad en los servicios de procuración de justicia, como la Fiscalía Especializada en Atención a Mujeres Víctimas del Delito por Razones de Género (FEM) y los Centros de Atención a la Violencia contra las Mujeres (CAVIM), cuyas capacidades materiales y humanas son limitadas. También se señaló la falta de programas municipales específicos, consejos de prevención y actualización de datos sobre violencia. La violencia feminicida, familiar, comunitaria, laboral, institucional y docente, así como la desaparición de mujeres, fueron documentadas como problemáticas persistentes, agravadas por la presencia del crimen organizado, la impunidad y la discriminación hacia mujeres indígenas.</w:t>
      </w:r>
    </w:p>
    <w:p w14:paraId="390C4D83" w14:textId="5E61DFF9" w:rsidR="00A058C7" w:rsidRPr="00B60A47" w:rsidRDefault="00A058C7" w:rsidP="00A058C7">
      <w:pPr>
        <w:spacing w:line="360" w:lineRule="auto"/>
        <w:jc w:val="both"/>
        <w:rPr>
          <w:rFonts w:ascii="Arial" w:hAnsi="Arial" w:cs="Arial"/>
        </w:rPr>
      </w:pPr>
      <w:r w:rsidRPr="00B60A47">
        <w:rPr>
          <w:rFonts w:ascii="Arial" w:hAnsi="Arial" w:cs="Arial"/>
        </w:rPr>
        <w:t xml:space="preserve">En el informe de Colima se menciona la necesidad de establecer un semáforo de cumplimiento para evaluar los avances, una herramienta que permite visibilizar el grado de cumplimiento institucional respecto a las recomendaciones emitidas. Esta </w:t>
      </w:r>
      <w:r w:rsidRPr="00B60A47">
        <w:rPr>
          <w:rFonts w:ascii="Arial" w:hAnsi="Arial" w:cs="Arial"/>
        </w:rPr>
        <w:lastRenderedPageBreak/>
        <w:t>propuesta, recurrente en otras fichas metodológicas, tiene como finalidad facilitar el monitoreo ciudadano y técnico sobre los compromisos asumidos por las autoridades estatales.</w:t>
      </w:r>
    </w:p>
    <w:p w14:paraId="7402032B" w14:textId="0B21ACEF" w:rsidR="00A058C7" w:rsidRPr="00B60A47" w:rsidRDefault="00853370" w:rsidP="0096606B">
      <w:pPr>
        <w:spacing w:line="360" w:lineRule="auto"/>
        <w:jc w:val="both"/>
        <w:rPr>
          <w:rFonts w:ascii="Arial" w:hAnsi="Arial" w:cs="Arial"/>
        </w:rPr>
      </w:pPr>
      <w:r w:rsidRPr="00B60A47">
        <w:rPr>
          <w:rFonts w:ascii="Arial" w:hAnsi="Arial" w:cs="Arial"/>
        </w:rPr>
        <w:t>Los informes de Chihuahua destacaron la precariedad en los servicios de procuración de justicia, como la Fiscalía Especializada en Atención a Mujeres Víctimas del Delito por Razones de Género (FEM) y los Centros de Atención a la Violencia contra las Mujeres (CAVIM), cuyas capacidades materiales y humanas son limitadas. También se señaló la falta de programas municipales específicos, consejos de prevención y actualización de datos sobre violencia. La violencia feminicida, familiar, comunitaria, laboral, institucional y docente, así como la desaparición de mujeres, fueron documentadas como problemáticas persistentes, agravadas por la presencia del crimen organizado, la impunidad y la discriminación hacia mujeres indígenas.</w:t>
      </w:r>
    </w:p>
    <w:p w14:paraId="3841C6BC" w14:textId="66F98470" w:rsidR="00480575" w:rsidRPr="00B60A47" w:rsidRDefault="00480575" w:rsidP="0096606B">
      <w:pPr>
        <w:spacing w:line="360" w:lineRule="auto"/>
        <w:jc w:val="both"/>
        <w:rPr>
          <w:rFonts w:ascii="Arial" w:hAnsi="Arial" w:cs="Arial"/>
        </w:rPr>
      </w:pPr>
      <w:r w:rsidRPr="00B60A47">
        <w:rPr>
          <w:rFonts w:ascii="Arial" w:hAnsi="Arial" w:cs="Arial"/>
        </w:rPr>
        <w:t xml:space="preserve">El </w:t>
      </w:r>
      <w:r w:rsidR="009F6A8C" w:rsidRPr="00B60A47">
        <w:rPr>
          <w:rFonts w:ascii="Arial" w:hAnsi="Arial" w:cs="Arial"/>
        </w:rPr>
        <w:t>informe de Coahuila</w:t>
      </w:r>
      <w:r w:rsidRPr="00B60A47">
        <w:rPr>
          <w:rFonts w:ascii="Arial" w:hAnsi="Arial" w:cs="Arial"/>
        </w:rPr>
        <w:t xml:space="preserve"> reveló que Torreón presenta altos índices de maternidad infantil y adolescente, superiores al promedio nacional, y que el estado no ha fortalecido de forma suficiente las políticas públicas para su prevención. Además, se señaló la urgencia de crear un banco de datos estatal sobre violencia contra las mujeres que sea público y alimentado por diversas instituciones, y que permita generar estadísticas confiables y actualizadas.</w:t>
      </w:r>
    </w:p>
    <w:p w14:paraId="54EE40E5" w14:textId="12A3049D" w:rsidR="00C12879" w:rsidRPr="00B60A47" w:rsidRDefault="00C12879" w:rsidP="0096606B">
      <w:pPr>
        <w:spacing w:line="360" w:lineRule="auto"/>
        <w:jc w:val="both"/>
        <w:rPr>
          <w:rFonts w:ascii="Arial" w:hAnsi="Arial" w:cs="Arial"/>
        </w:rPr>
      </w:pPr>
      <w:r w:rsidRPr="00B60A47">
        <w:rPr>
          <w:rFonts w:ascii="Arial" w:hAnsi="Arial" w:cs="Arial"/>
        </w:rPr>
        <w:t>Con relación al</w:t>
      </w:r>
      <w:r w:rsidR="001F20E2" w:rsidRPr="00B60A47">
        <w:rPr>
          <w:rFonts w:ascii="Arial" w:hAnsi="Arial" w:cs="Arial"/>
        </w:rPr>
        <w:t xml:space="preserve"> informe del Estado de México la evaluación identificó diversas deficiencias estructurales e institucionales. Como primera medida, se urgió a las autoridades judiciales a garantizar investigaciones con debida diligencia, perspectiva de género y respeto a los derechos humanos. Asimismo, se señaló la necesidad de evitar prácticas como la conciliación entre víctimas y agresores, y de mantener a las víctimas informadas sobre sus casos de manera accesible y constante. Además, se propuso institucionalizar la capacitación especializada y continua para los agentes del Ministerio Público.</w:t>
      </w:r>
    </w:p>
    <w:p w14:paraId="78E5A5D6" w14:textId="740451F6" w:rsidR="001B0A41" w:rsidRPr="00B60A47" w:rsidRDefault="00A7022A" w:rsidP="0096606B">
      <w:pPr>
        <w:spacing w:line="360" w:lineRule="auto"/>
        <w:jc w:val="both"/>
        <w:rPr>
          <w:rFonts w:ascii="Arial" w:hAnsi="Arial" w:cs="Arial"/>
        </w:rPr>
      </w:pPr>
      <w:r w:rsidRPr="00B60A47">
        <w:rPr>
          <w:rFonts w:ascii="Arial" w:hAnsi="Arial" w:cs="Arial"/>
        </w:rPr>
        <w:t xml:space="preserve">Para el estado de Veracruz </w:t>
      </w:r>
      <w:r w:rsidR="003E3A25" w:rsidRPr="00B60A47">
        <w:rPr>
          <w:rFonts w:ascii="Arial" w:hAnsi="Arial" w:cs="Arial"/>
        </w:rPr>
        <w:t>e</w:t>
      </w:r>
      <w:r w:rsidRPr="00B60A47">
        <w:rPr>
          <w:rFonts w:ascii="Arial" w:hAnsi="Arial" w:cs="Arial"/>
        </w:rPr>
        <w:t xml:space="preserve">ntre las conclusiones del Grupo de Trabajo destaca la necesidad de fortalecer la procuración de justicia, asegurando investigaciones </w:t>
      </w:r>
      <w:r w:rsidRPr="00B60A47">
        <w:rPr>
          <w:rFonts w:ascii="Arial" w:hAnsi="Arial" w:cs="Arial"/>
        </w:rPr>
        <w:lastRenderedPageBreak/>
        <w:t>diligentes y con perspectiva de género en casos de feminicidio y homicidio doloso. Aunque el estado informó sobre la reapertura de algunos casos y la actualización de registros, persisten dudas sobre la efectividad y profundidad de las diligencias realizadas.</w:t>
      </w:r>
    </w:p>
    <w:p w14:paraId="52F146D2" w14:textId="77777777" w:rsidR="00E90DFB" w:rsidRPr="00B60A47" w:rsidRDefault="00E90DFB" w:rsidP="003811E7">
      <w:pPr>
        <w:rPr>
          <w:rFonts w:ascii="Arial" w:hAnsi="Arial" w:cs="Arial"/>
          <w:b/>
          <w:bCs/>
        </w:rPr>
      </w:pPr>
      <w:r w:rsidRPr="00B60A47">
        <w:rPr>
          <w:rFonts w:ascii="Arial" w:hAnsi="Arial" w:cs="Arial"/>
          <w:b/>
          <w:bCs/>
        </w:rPr>
        <w:t>Creación de la Secretaría de las Mujeres en México</w:t>
      </w:r>
    </w:p>
    <w:p w14:paraId="0D36D5DC" w14:textId="22926EAB" w:rsidR="00E90DFB" w:rsidRPr="00B60A47" w:rsidRDefault="00E90DFB" w:rsidP="00E90DFB">
      <w:pPr>
        <w:spacing w:line="360" w:lineRule="auto"/>
        <w:jc w:val="both"/>
        <w:rPr>
          <w:rFonts w:ascii="Arial" w:hAnsi="Arial" w:cs="Arial"/>
        </w:rPr>
      </w:pPr>
      <w:r w:rsidRPr="00B60A47">
        <w:rPr>
          <w:rFonts w:ascii="Arial" w:hAnsi="Arial" w:cs="Arial"/>
        </w:rPr>
        <w:t>La reciente creación de la Secretaría de las Mujeres, promovida por la presidenta fue aprobada por unanimidad el 26 noviembre de 2024 , sustituyó al Instituto Nacional de las Mujeres (</w:t>
      </w:r>
      <w:proofErr w:type="spellStart"/>
      <w:r w:rsidRPr="00B60A47">
        <w:rPr>
          <w:rFonts w:ascii="Arial" w:hAnsi="Arial" w:cs="Arial"/>
        </w:rPr>
        <w:t>Inmujeres</w:t>
      </w:r>
      <w:proofErr w:type="spellEnd"/>
      <w:r w:rsidRPr="00B60A47">
        <w:rPr>
          <w:rFonts w:ascii="Arial" w:hAnsi="Arial" w:cs="Arial"/>
        </w:rPr>
        <w:t xml:space="preserve">) y a la Comisión Nacional para Prevenir y Erradicar la Violencia contra las Mujeres (CONAVIM), consolidando funciones que anteriormente estaban limitadas por acciones institucionales y presupuestarias. El 1 enero </w:t>
      </w:r>
      <w:r w:rsidR="005C76A7" w:rsidRPr="00B60A47">
        <w:rPr>
          <w:rFonts w:ascii="Arial" w:hAnsi="Arial" w:cs="Arial"/>
        </w:rPr>
        <w:t xml:space="preserve">de 2025 </w:t>
      </w:r>
      <w:r w:rsidRPr="00B60A47">
        <w:rPr>
          <w:rFonts w:ascii="Arial" w:hAnsi="Arial" w:cs="Arial"/>
        </w:rPr>
        <w:t>dio inicio la Secretaría de las Mujeres, una institución creada para implementar la Política Nacional de Igualdad Sustantiva y garantizar los derechos de mujeres, adolescentes y niñas</w:t>
      </w:r>
      <w:r w:rsidR="008135A2" w:rsidRPr="00B60A47">
        <w:rPr>
          <w:rFonts w:ascii="Arial" w:hAnsi="Arial" w:cs="Arial"/>
        </w:rPr>
        <w:t xml:space="preserve"> </w:t>
      </w:r>
      <w:r w:rsidR="008135A2" w:rsidRPr="00B60A47">
        <w:rPr>
          <w:rStyle w:val="Refdenotaalpie"/>
          <w:rFonts w:ascii="Arial" w:hAnsi="Arial" w:cs="Arial"/>
        </w:rPr>
        <w:footnoteReference w:id="6"/>
      </w:r>
      <w:r w:rsidRPr="00B60A47">
        <w:rPr>
          <w:rFonts w:ascii="Arial" w:hAnsi="Arial" w:cs="Arial"/>
        </w:rPr>
        <w:t xml:space="preserve">, así mismo es importante mencionar que ha sido elevada la agenda de género al rango ministerial. La creación de la Secretaría implicó la extinción del </w:t>
      </w:r>
      <w:proofErr w:type="spellStart"/>
      <w:r w:rsidRPr="00B60A47">
        <w:rPr>
          <w:rFonts w:ascii="Arial" w:hAnsi="Arial" w:cs="Arial"/>
        </w:rPr>
        <w:t>Inmujeres</w:t>
      </w:r>
      <w:proofErr w:type="spellEnd"/>
      <w:r w:rsidRPr="00B60A47">
        <w:rPr>
          <w:rFonts w:ascii="Arial" w:hAnsi="Arial" w:cs="Arial"/>
        </w:rPr>
        <w:t xml:space="preserve"> y CONAVIM, transfiriendo sus funciones y recursos a la nueva entidad.</w:t>
      </w:r>
    </w:p>
    <w:p w14:paraId="0BB71E29" w14:textId="0D4D9C52" w:rsidR="00E90DFB" w:rsidRPr="00B60A47" w:rsidRDefault="00E90DFB" w:rsidP="00E90DFB">
      <w:pPr>
        <w:spacing w:line="360" w:lineRule="auto"/>
        <w:jc w:val="both"/>
        <w:rPr>
          <w:rFonts w:ascii="Arial" w:hAnsi="Arial" w:cs="Arial"/>
          <w:b/>
          <w:bCs/>
        </w:rPr>
      </w:pPr>
      <w:r w:rsidRPr="00B60A47">
        <w:rPr>
          <w:rFonts w:ascii="Arial" w:hAnsi="Arial" w:cs="Arial"/>
          <w:b/>
          <w:bCs/>
        </w:rPr>
        <w:t xml:space="preserve">Objetivos y dirección </w:t>
      </w:r>
      <w:r w:rsidR="005C76A7" w:rsidRPr="00B60A47">
        <w:rPr>
          <w:rFonts w:ascii="Arial" w:hAnsi="Arial" w:cs="Arial"/>
          <w:b/>
          <w:bCs/>
        </w:rPr>
        <w:t>de la Secretaría de las Mujeres</w:t>
      </w:r>
    </w:p>
    <w:p w14:paraId="0B0CB814" w14:textId="7572B39A" w:rsidR="00E90DFB" w:rsidRPr="00B60A47" w:rsidRDefault="00E90DFB" w:rsidP="00E90DFB">
      <w:pPr>
        <w:spacing w:line="360" w:lineRule="auto"/>
        <w:jc w:val="both"/>
        <w:rPr>
          <w:rFonts w:ascii="Arial" w:hAnsi="Arial" w:cs="Arial"/>
        </w:rPr>
      </w:pPr>
      <w:r w:rsidRPr="00B60A47">
        <w:rPr>
          <w:rFonts w:ascii="Arial" w:hAnsi="Arial" w:cs="Arial"/>
        </w:rPr>
        <w:t>Su mandato se centra en reducir la violencia de género, promover la igualdad sustantiva y transformar las estructuras patriarcales en las instituciones públicas. Entre sus prioridades se encuentran la creación de un sistema nacional de cuidados, la implementación de fiscalías especializadas en feminicidios y la promoción de la igualdad salarial.</w:t>
      </w:r>
    </w:p>
    <w:p w14:paraId="01FE9F0D" w14:textId="77777777" w:rsidR="00E90DFB" w:rsidRPr="00B60A47" w:rsidRDefault="00E90DFB" w:rsidP="00E90DFB">
      <w:pPr>
        <w:spacing w:line="360" w:lineRule="auto"/>
        <w:jc w:val="both"/>
        <w:rPr>
          <w:rFonts w:ascii="Arial" w:hAnsi="Arial" w:cs="Arial"/>
          <w:b/>
          <w:bCs/>
        </w:rPr>
      </w:pPr>
      <w:r w:rsidRPr="00B60A47">
        <w:rPr>
          <w:rFonts w:ascii="Arial" w:hAnsi="Arial" w:cs="Arial"/>
          <w:b/>
          <w:bCs/>
        </w:rPr>
        <w:t>Integración de CONAVIM</w:t>
      </w:r>
    </w:p>
    <w:p w14:paraId="6AB40202" w14:textId="433E41DD" w:rsidR="00296AC1" w:rsidRPr="00B60A47" w:rsidRDefault="002215CC" w:rsidP="002215CC">
      <w:pPr>
        <w:spacing w:line="360" w:lineRule="auto"/>
        <w:jc w:val="both"/>
        <w:rPr>
          <w:rFonts w:ascii="Arial" w:hAnsi="Arial" w:cs="Arial"/>
        </w:rPr>
      </w:pPr>
      <w:r w:rsidRPr="002215CC">
        <w:rPr>
          <w:rFonts w:ascii="Arial" w:hAnsi="Arial" w:cs="Arial"/>
        </w:rPr>
        <w:t xml:space="preserve">La CONAVIM, era un órgano desconcentrado de la Secretaría de Gobernación que se encargaba de diseñar la política nacional para promover la cultura de respeto a los derechos humanos de las mujeres y la erradicación de la violencia en su contra fue creada en 2009 como un órgano administrativo desconcentrado de la Secretaría </w:t>
      </w:r>
      <w:r w:rsidRPr="002215CC">
        <w:rPr>
          <w:rFonts w:ascii="Arial" w:hAnsi="Arial" w:cs="Arial"/>
        </w:rPr>
        <w:lastRenderedPageBreak/>
        <w:t>de Gobernación, tuvo un papel fundamental en el desarrollo de políticas públicas para prevenir y atender la violencia contra las mujeres en México, además de elaborar y dar seguimiento a al Programa Integral para Prevenir, Atender, Sancionar y Erradicar la Violencia contra las Mujeres, que conjuntaba las acciones del Gobierno de la República en materia de promoción de la igualdad y combate a la discriminación contra las mujeres y niñas</w:t>
      </w:r>
      <w:r w:rsidR="001B2E69" w:rsidRPr="00B60A47">
        <w:rPr>
          <w:rFonts w:ascii="Arial" w:hAnsi="Arial" w:cs="Arial"/>
        </w:rPr>
        <w:t>.</w:t>
      </w:r>
      <w:r w:rsidR="001B2E69" w:rsidRPr="00B60A47">
        <w:rPr>
          <w:rStyle w:val="Refdenotaalpie"/>
          <w:rFonts w:ascii="Arial" w:hAnsi="Arial" w:cs="Arial"/>
        </w:rPr>
        <w:footnoteReference w:id="7"/>
      </w:r>
      <w:r w:rsidR="00E90DFB" w:rsidRPr="00B60A47">
        <w:rPr>
          <w:rFonts w:ascii="Arial" w:hAnsi="Arial" w:cs="Arial"/>
        </w:rPr>
        <w:t xml:space="preserve"> </w:t>
      </w:r>
    </w:p>
    <w:p w14:paraId="4969DA6D" w14:textId="23114B51" w:rsidR="00E90DFB" w:rsidRPr="00B60A47" w:rsidRDefault="00E90DFB" w:rsidP="00E90DFB">
      <w:pPr>
        <w:spacing w:line="360" w:lineRule="auto"/>
        <w:jc w:val="both"/>
        <w:rPr>
          <w:rFonts w:ascii="Arial" w:hAnsi="Arial" w:cs="Arial"/>
        </w:rPr>
      </w:pPr>
      <w:r w:rsidRPr="00B60A47">
        <w:rPr>
          <w:rFonts w:ascii="Arial" w:hAnsi="Arial" w:cs="Arial"/>
        </w:rPr>
        <w:t xml:space="preserve">La integración de CONAVIM en la nueva estructura ministerial de la Secretaría de las Mujeres busca fortalecer estas funciones críticas y otorgarles mayor presupuesto y capacidad operativa. Este cambio permitirá una coordinación más efectiva con el sistema de justicia y las instituciones de seguridad pública, asegurando que los mecanismos establecidos, como las Alertas de Violencia de Género y los protocolos de atención, se implementen de manera más eficiente y con un mayor impacto. La presidenta enfatizó en la presentación de esta reforma el 30 de octubre de 2024 que </w:t>
      </w:r>
      <w:r w:rsidR="002853BD" w:rsidRPr="00B60A47">
        <w:rPr>
          <w:rFonts w:ascii="Arial" w:hAnsi="Arial" w:cs="Arial"/>
        </w:rPr>
        <w:t>l</w:t>
      </w:r>
      <w:r w:rsidRPr="00B60A47">
        <w:rPr>
          <w:rFonts w:ascii="Arial" w:hAnsi="Arial" w:cs="Arial"/>
        </w:rPr>
        <w:t>a integración de CONAVIM a la Secretaría de las Mujeres no solo garantiza la continuidad de sus programas, sino que amplía su alcance y efectividad en la erradicación de la violencia de género</w:t>
      </w:r>
      <w:r w:rsidR="002853BD" w:rsidRPr="00B60A47">
        <w:rPr>
          <w:rStyle w:val="Refdenotaalpie"/>
          <w:rFonts w:ascii="Arial" w:hAnsi="Arial" w:cs="Arial"/>
        </w:rPr>
        <w:footnoteReference w:id="8"/>
      </w:r>
    </w:p>
    <w:p w14:paraId="3245589A" w14:textId="01DEDAF9" w:rsidR="00AF44E6" w:rsidRPr="00B60A47" w:rsidRDefault="00E90DFB" w:rsidP="00E90DFB">
      <w:pPr>
        <w:spacing w:line="360" w:lineRule="auto"/>
        <w:jc w:val="both"/>
        <w:rPr>
          <w:rFonts w:ascii="Arial" w:hAnsi="Arial" w:cs="Arial"/>
        </w:rPr>
      </w:pPr>
      <w:r w:rsidRPr="00B60A47">
        <w:rPr>
          <w:rFonts w:ascii="Arial" w:hAnsi="Arial" w:cs="Arial"/>
        </w:rPr>
        <w:t xml:space="preserve">Además de asumir las funciones de CONAVIM, la Secretaría de las Mujeres también absorberá las responsabilidades del </w:t>
      </w:r>
      <w:proofErr w:type="spellStart"/>
      <w:r w:rsidRPr="00B60A47">
        <w:rPr>
          <w:rFonts w:ascii="Arial" w:hAnsi="Arial" w:cs="Arial"/>
        </w:rPr>
        <w:t>Inmujeres</w:t>
      </w:r>
      <w:proofErr w:type="spellEnd"/>
      <w:r w:rsidRPr="00B60A47">
        <w:rPr>
          <w:rFonts w:ascii="Arial" w:hAnsi="Arial" w:cs="Arial"/>
        </w:rPr>
        <w:t>, fortaleciendo así la capacidad del Estado para diseñar e implementar políticas públicas con enfoque de género y derechos humanos. Entre sus nuevas atribuciones destacan la creación de un sistema nacional de cuidados, la promoción de la salud integral y los derechos sexuales y reproductivos, así como la capacitación del personal público para garantizar la transversalización de la perspectiva de género en los tres niveles de gobierno.</w:t>
      </w:r>
    </w:p>
    <w:p w14:paraId="11BBBF0F" w14:textId="616D1ED9" w:rsidR="00E90DFB" w:rsidRPr="00B60A47" w:rsidRDefault="00E90DFB" w:rsidP="00E90DFB">
      <w:pPr>
        <w:spacing w:line="360" w:lineRule="auto"/>
        <w:jc w:val="both"/>
        <w:rPr>
          <w:rFonts w:ascii="Arial" w:hAnsi="Arial" w:cs="Arial"/>
          <w:b/>
          <w:bCs/>
        </w:rPr>
      </w:pPr>
      <w:r w:rsidRPr="00B60A47">
        <w:rPr>
          <w:rFonts w:ascii="Arial" w:hAnsi="Arial" w:cs="Arial"/>
          <w:b/>
          <w:bCs/>
        </w:rPr>
        <w:t>Sobre la Alerta de Violencia contra las Mujeres</w:t>
      </w:r>
    </w:p>
    <w:p w14:paraId="6A9D6CC7" w14:textId="5775E6BB" w:rsidR="00E90DFB" w:rsidRPr="00B60A47" w:rsidRDefault="00651360" w:rsidP="00E90DFB">
      <w:pPr>
        <w:spacing w:line="360" w:lineRule="auto"/>
        <w:jc w:val="both"/>
        <w:rPr>
          <w:rFonts w:ascii="Arial" w:hAnsi="Arial" w:cs="Arial"/>
        </w:rPr>
      </w:pPr>
      <w:r w:rsidRPr="00B60A47">
        <w:rPr>
          <w:rFonts w:ascii="Arial" w:hAnsi="Arial" w:cs="Arial"/>
        </w:rPr>
        <w:lastRenderedPageBreak/>
        <w:t xml:space="preserve">La creación de la Secretaría de las Mujeres en 2024 generó cambios estructurales en el mecanismo de Alertas de Violencia de Género contra las Mujeres (AVGM). </w:t>
      </w:r>
      <w:r w:rsidR="00E90DFB" w:rsidRPr="00B60A47">
        <w:rPr>
          <w:rFonts w:ascii="Arial" w:hAnsi="Arial" w:cs="Arial"/>
        </w:rPr>
        <w:t>La Secretaría de las Mujeres asumió la responsabilidad de gestionar las Alertas de Violencia de Género contra las Mujeres (AVGM), mecanismo fundamental para atender y erradicar la violencia feminicida en el país.</w:t>
      </w:r>
    </w:p>
    <w:p w14:paraId="40178EEF" w14:textId="4FEA201F" w:rsidR="007577F9" w:rsidRPr="00B60A47" w:rsidRDefault="007577F9" w:rsidP="007577F9">
      <w:pPr>
        <w:spacing w:line="360" w:lineRule="auto"/>
        <w:jc w:val="both"/>
        <w:rPr>
          <w:rFonts w:ascii="Arial" w:hAnsi="Arial" w:cs="Arial"/>
        </w:rPr>
      </w:pPr>
      <w:r w:rsidRPr="00B60A47">
        <w:rPr>
          <w:rFonts w:ascii="Arial" w:hAnsi="Arial" w:cs="Arial"/>
        </w:rPr>
        <w:t xml:space="preserve">Uno de los cambios es la Desaparición del rol de CONAVIM como órgano rector (antes </w:t>
      </w:r>
      <w:r w:rsidR="008738E9" w:rsidRPr="00B60A47">
        <w:rPr>
          <w:rFonts w:ascii="Arial" w:hAnsi="Arial" w:cs="Arial"/>
        </w:rPr>
        <w:t>bajo SEGOB</w:t>
      </w:r>
      <w:r w:rsidRPr="00B60A47">
        <w:rPr>
          <w:rFonts w:ascii="Arial" w:hAnsi="Arial" w:cs="Arial"/>
        </w:rPr>
        <w:t>), eliminando su capacidad de coordinación interinstitucional y fiscalización. Nueva estructura: Las AVGM quedaron bajo la Dirección General de Políticas de Acceso a una Vida Libre de Violencias</w:t>
      </w:r>
      <w:r w:rsidR="00047E89" w:rsidRPr="00B60A47">
        <w:rPr>
          <w:rFonts w:ascii="Arial" w:hAnsi="Arial" w:cs="Arial"/>
        </w:rPr>
        <w:t xml:space="preserve"> </w:t>
      </w:r>
      <w:r w:rsidRPr="00B60A47">
        <w:rPr>
          <w:rFonts w:ascii="Arial" w:hAnsi="Arial" w:cs="Arial"/>
        </w:rPr>
        <w:t>(Art. 15 del Reglamento Interior de la Secretaría, DOF 15/11/2024).</w:t>
      </w:r>
    </w:p>
    <w:p w14:paraId="3462EF53" w14:textId="77777777" w:rsidR="00E90DFB" w:rsidRPr="00B60A47" w:rsidRDefault="00E90DFB" w:rsidP="00E90DFB">
      <w:pPr>
        <w:spacing w:line="360" w:lineRule="auto"/>
        <w:jc w:val="both"/>
        <w:rPr>
          <w:rFonts w:ascii="Arial" w:hAnsi="Arial" w:cs="Arial"/>
        </w:rPr>
      </w:pPr>
      <w:r w:rsidRPr="00B60A47">
        <w:rPr>
          <w:rFonts w:ascii="Arial" w:hAnsi="Arial" w:cs="Arial"/>
        </w:rPr>
        <w:t>La continuidad y eficacia de las AVGM dependen de la capacidad de la nueva Secretaría para coordinar acciones con otras dependencias y niveles de gobierno, así como de la asignación adecuada de recursos para su implementación.</w:t>
      </w:r>
    </w:p>
    <w:p w14:paraId="5284259B" w14:textId="0EDBCF3F" w:rsidR="00E90DFB" w:rsidRPr="00B60A47" w:rsidRDefault="00E90DFB" w:rsidP="00E90DFB">
      <w:pPr>
        <w:spacing w:line="360" w:lineRule="auto"/>
        <w:jc w:val="both"/>
        <w:rPr>
          <w:rFonts w:ascii="Arial" w:hAnsi="Arial" w:cs="Arial"/>
        </w:rPr>
      </w:pPr>
      <w:r w:rsidRPr="00B60A47">
        <w:rPr>
          <w:rFonts w:ascii="Arial" w:hAnsi="Arial" w:cs="Arial"/>
        </w:rPr>
        <w:t>No obstante, es crucial abordar los retos asociados a la reestructuración administrativa y garantizar que los mecanismos existentes, como las AVGM, continúen funcionando de manera efectiva en la protección y promoción de los derechos de las mujeres</w:t>
      </w:r>
      <w:r w:rsidR="001E5134" w:rsidRPr="00B60A47">
        <w:rPr>
          <w:rFonts w:ascii="Arial" w:hAnsi="Arial" w:cs="Arial"/>
        </w:rPr>
        <w:t xml:space="preserve"> es </w:t>
      </w:r>
      <w:r w:rsidR="00B04CBE" w:rsidRPr="00B60A47">
        <w:rPr>
          <w:rFonts w:ascii="Arial" w:hAnsi="Arial" w:cs="Arial"/>
        </w:rPr>
        <w:t>necesario</w:t>
      </w:r>
      <w:r w:rsidR="001E5134" w:rsidRPr="00B60A47">
        <w:rPr>
          <w:rFonts w:ascii="Arial" w:hAnsi="Arial" w:cs="Arial"/>
        </w:rPr>
        <w:t xml:space="preserve"> </w:t>
      </w:r>
      <w:r w:rsidR="00B04CBE" w:rsidRPr="00B60A47">
        <w:rPr>
          <w:rFonts w:ascii="Arial" w:hAnsi="Arial" w:cs="Arial"/>
        </w:rPr>
        <w:t>reformar la LGAMVLV.</w:t>
      </w:r>
    </w:p>
    <w:p w14:paraId="32A39F13" w14:textId="29FC141E" w:rsidR="00E90DFB" w:rsidRPr="00B60A47" w:rsidRDefault="009D3E60" w:rsidP="00E90DFB">
      <w:pPr>
        <w:jc w:val="both"/>
        <w:rPr>
          <w:rFonts w:ascii="Arial" w:hAnsi="Arial" w:cs="Arial"/>
          <w:b/>
          <w:bCs/>
        </w:rPr>
      </w:pPr>
      <w:r w:rsidRPr="00B60A47">
        <w:rPr>
          <w:rFonts w:ascii="Arial" w:hAnsi="Arial" w:cs="Arial"/>
          <w:b/>
          <w:bCs/>
        </w:rPr>
        <w:t>Críticas</w:t>
      </w:r>
      <w:r w:rsidR="00E90DFB" w:rsidRPr="00B60A47">
        <w:rPr>
          <w:rFonts w:ascii="Arial" w:hAnsi="Arial" w:cs="Arial"/>
          <w:b/>
          <w:bCs/>
        </w:rPr>
        <w:t xml:space="preserve"> a la creación de la Secretaría de las mujeres</w:t>
      </w:r>
    </w:p>
    <w:p w14:paraId="720A43E0" w14:textId="33B14A96" w:rsidR="00E90DFB" w:rsidRPr="00B60A47" w:rsidRDefault="00E90DFB" w:rsidP="00E90DFB">
      <w:pPr>
        <w:spacing w:line="360" w:lineRule="auto"/>
        <w:jc w:val="both"/>
        <w:rPr>
          <w:rFonts w:ascii="Arial" w:hAnsi="Arial" w:cs="Arial"/>
        </w:rPr>
      </w:pPr>
      <w:r w:rsidRPr="00B60A47">
        <w:rPr>
          <w:rFonts w:ascii="Arial" w:hAnsi="Arial" w:cs="Arial"/>
        </w:rPr>
        <w:t>La transición de la Comisión Nacional para Prevenir y Erradicar la Violencia contra las Mujeres (</w:t>
      </w:r>
      <w:r w:rsidR="00ED038F" w:rsidRPr="00B60A47">
        <w:rPr>
          <w:rFonts w:ascii="Arial" w:hAnsi="Arial" w:cs="Arial"/>
        </w:rPr>
        <w:t xml:space="preserve">CONAVIM) </w:t>
      </w:r>
      <w:r w:rsidRPr="00B60A47">
        <w:rPr>
          <w:rFonts w:ascii="Arial" w:hAnsi="Arial" w:cs="Arial"/>
        </w:rPr>
        <w:t>y el Instituto Nacional de las Mujeres (</w:t>
      </w:r>
      <w:proofErr w:type="spellStart"/>
      <w:r w:rsidRPr="00B60A47">
        <w:rPr>
          <w:rFonts w:ascii="Arial" w:hAnsi="Arial" w:cs="Arial"/>
        </w:rPr>
        <w:t>Inmujeres</w:t>
      </w:r>
      <w:proofErr w:type="spellEnd"/>
      <w:r w:rsidRPr="00B60A47">
        <w:rPr>
          <w:rFonts w:ascii="Arial" w:hAnsi="Arial" w:cs="Arial"/>
        </w:rPr>
        <w:t>) hacia la nueva secretaría ha dejado a numerosas empleadas en una situación de incertidumbre laboral “la creación de la Secretaría de las Mujeres (</w:t>
      </w:r>
      <w:proofErr w:type="spellStart"/>
      <w:r w:rsidRPr="00B60A47">
        <w:rPr>
          <w:rFonts w:ascii="Arial" w:hAnsi="Arial" w:cs="Arial"/>
        </w:rPr>
        <w:t>Semujeres</w:t>
      </w:r>
      <w:proofErr w:type="spellEnd"/>
      <w:r w:rsidRPr="00B60A47">
        <w:rPr>
          <w:rFonts w:ascii="Arial" w:hAnsi="Arial" w:cs="Arial"/>
        </w:rPr>
        <w:t xml:space="preserve">) tiene a un grupo de trabajadoras de la extinta </w:t>
      </w:r>
      <w:r w:rsidR="00ED038F" w:rsidRPr="00B60A47">
        <w:rPr>
          <w:rFonts w:ascii="Arial" w:hAnsi="Arial" w:cs="Arial"/>
        </w:rPr>
        <w:t>CONAVIM</w:t>
      </w:r>
      <w:r w:rsidRPr="00B60A47">
        <w:rPr>
          <w:rFonts w:ascii="Arial" w:hAnsi="Arial" w:cs="Arial"/>
        </w:rPr>
        <w:t xml:space="preserve"> en “el limbo laboral”: sin definición de sus plazas, sin sueldo, sin certidumbre de sus prestaciones y, peor aún, víctimas de violencia institucional, económica y sicológica hacia ellas y sus </w:t>
      </w:r>
      <w:r w:rsidRPr="00B60A47">
        <w:rPr>
          <w:rFonts w:ascii="Arial" w:hAnsi="Arial" w:cs="Arial"/>
        </w:rPr>
        <w:lastRenderedPageBreak/>
        <w:t>hijos</w:t>
      </w:r>
      <w:r w:rsidR="006C5F92" w:rsidRPr="00B60A47">
        <w:rPr>
          <w:rStyle w:val="Refdenotaalpie"/>
          <w:rFonts w:ascii="Arial" w:hAnsi="Arial" w:cs="Arial"/>
        </w:rPr>
        <w:footnoteReference w:id="9"/>
      </w:r>
      <w:r w:rsidRPr="00B60A47">
        <w:rPr>
          <w:rFonts w:ascii="Arial" w:hAnsi="Arial" w:cs="Arial"/>
        </w:rPr>
        <w:t>. Algunas han sido despedidas o recontratadas con condiciones menos favorables, perdiendo antigüedad y derechos adquiridos.</w:t>
      </w:r>
    </w:p>
    <w:p w14:paraId="7F89628A" w14:textId="676D13C0" w:rsidR="00E90DFB" w:rsidRPr="00B60A47" w:rsidRDefault="00E90DFB" w:rsidP="00E90DFB">
      <w:pPr>
        <w:spacing w:line="360" w:lineRule="auto"/>
        <w:jc w:val="both"/>
        <w:rPr>
          <w:rFonts w:ascii="Arial" w:hAnsi="Arial" w:cs="Arial"/>
        </w:rPr>
      </w:pPr>
      <w:r w:rsidRPr="00B60A47">
        <w:rPr>
          <w:rFonts w:ascii="Arial" w:hAnsi="Arial" w:cs="Arial"/>
        </w:rPr>
        <w:t>Aunque la Secretaría de las Mujeres tiene un presupuesto de 2 mil 93 millones de pesos, tendrá a su cargo más de 15 funciones, entre ellas, prevenir, atender y erradicar la violencia feminicida, física, sicológica y de género que la mitad de la población vive</w:t>
      </w:r>
      <w:r w:rsidR="001A0DDB" w:rsidRPr="00B60A47">
        <w:rPr>
          <w:rStyle w:val="Refdenotaalpie"/>
          <w:rFonts w:ascii="Arial" w:hAnsi="Arial" w:cs="Arial"/>
        </w:rPr>
        <w:footnoteReference w:id="10"/>
      </w:r>
      <w:r w:rsidR="001A0DDB" w:rsidRPr="00B60A47">
        <w:rPr>
          <w:rFonts w:ascii="Arial" w:hAnsi="Arial" w:cs="Arial"/>
        </w:rPr>
        <w:t xml:space="preserve">, </w:t>
      </w:r>
      <w:r w:rsidRPr="00B60A47">
        <w:rPr>
          <w:rFonts w:ascii="Arial" w:hAnsi="Arial" w:cs="Arial"/>
        </w:rPr>
        <w:t xml:space="preserve">esta cifra es inferior en comparación con la suma de los presupuestos que anteriormente manejaban </w:t>
      </w:r>
      <w:r w:rsidR="002215CC" w:rsidRPr="00B60A47">
        <w:rPr>
          <w:rFonts w:ascii="Arial" w:hAnsi="Arial" w:cs="Arial"/>
        </w:rPr>
        <w:t xml:space="preserve">CONAVIM </w:t>
      </w:r>
      <w:r w:rsidRPr="00B60A47">
        <w:rPr>
          <w:rFonts w:ascii="Arial" w:hAnsi="Arial" w:cs="Arial"/>
        </w:rPr>
        <w:t xml:space="preserve">e </w:t>
      </w:r>
      <w:proofErr w:type="spellStart"/>
      <w:r w:rsidRPr="00B60A47">
        <w:rPr>
          <w:rFonts w:ascii="Arial" w:hAnsi="Arial" w:cs="Arial"/>
        </w:rPr>
        <w:t>Inmujeres</w:t>
      </w:r>
      <w:proofErr w:type="spellEnd"/>
      <w:r w:rsidRPr="00B60A47">
        <w:rPr>
          <w:rFonts w:ascii="Arial" w:hAnsi="Arial" w:cs="Arial"/>
        </w:rPr>
        <w:t>. Además, se ha señalado que la distribución de estos recursos carece de claridad, y que la secretaría enfrenta el desafío de asumir múltiples funciones sin una estructura administrativa definida ni personal suficiente para su implementación efectiva .</w:t>
      </w:r>
    </w:p>
    <w:p w14:paraId="5041A6E1" w14:textId="77777777" w:rsidR="00996AE7" w:rsidRPr="00B60A47" w:rsidRDefault="00F950B1" w:rsidP="00996AE7">
      <w:pPr>
        <w:spacing w:line="360" w:lineRule="auto"/>
        <w:jc w:val="both"/>
        <w:rPr>
          <w:rFonts w:ascii="Arial" w:hAnsi="Arial" w:cs="Arial"/>
        </w:rPr>
      </w:pPr>
      <w:r w:rsidRPr="00B60A47">
        <w:rPr>
          <w:rFonts w:ascii="Arial" w:hAnsi="Arial" w:cs="Arial"/>
        </w:rPr>
        <w:t xml:space="preserve">A este respecto la Red Feministas Sonorense menciona que </w:t>
      </w:r>
      <w:r w:rsidR="00996AE7" w:rsidRPr="00B60A47">
        <w:rPr>
          <w:rFonts w:ascii="Arial" w:hAnsi="Arial" w:cs="Arial"/>
        </w:rPr>
        <w:t>Las reformas recientes refuerzan el papel de la CONAVIM (bajo la Secretaría de Gobernación) como ente rector en la implementación de la AVGM, fortaleciendo el Sistema Nacional de Prevención, Atención, Sanción y Erradicación de la Violencia contra las Mujeres (SNPASEVM) y mejorando la coordinación entre órdenes de gobierno. Además, agilizan el procedimiento de emisión de la AVGM, asegurando mayor rapidez y estableciendo la debida diligencia como principio.</w:t>
      </w:r>
    </w:p>
    <w:p w14:paraId="01ABE6C6" w14:textId="77777777" w:rsidR="00996AE7" w:rsidRPr="00B60A47" w:rsidRDefault="00996AE7" w:rsidP="00996AE7">
      <w:pPr>
        <w:spacing w:line="360" w:lineRule="auto"/>
        <w:jc w:val="both"/>
        <w:rPr>
          <w:rFonts w:ascii="Arial" w:hAnsi="Arial" w:cs="Arial"/>
        </w:rPr>
      </w:pPr>
      <w:r w:rsidRPr="00B60A47">
        <w:rPr>
          <w:rFonts w:ascii="Arial" w:hAnsi="Arial" w:cs="Arial"/>
        </w:rPr>
        <w:t>Sin embargo, con la creación de la Secretaría de las Mujeres, desaparecen las atribuciones que tenía Gobernación (a través de la CONAVIM) en materia de AVGM. Ahora, la Dirección General de Políticas de Acceso a una Vida Libre de Violencias asume funciones como diseñar políticas contra la violencia feminicida, coordinar medidas preventivas y de reparación, y supervisar el cumplimiento de las AVGM.</w:t>
      </w:r>
    </w:p>
    <w:p w14:paraId="48FBFE85" w14:textId="5BD318B4" w:rsidR="00F950B1" w:rsidRPr="00B60A47" w:rsidRDefault="00996AE7" w:rsidP="00E90DFB">
      <w:pPr>
        <w:spacing w:line="360" w:lineRule="auto"/>
        <w:jc w:val="both"/>
        <w:rPr>
          <w:rFonts w:ascii="Arial" w:hAnsi="Arial" w:cs="Arial"/>
        </w:rPr>
      </w:pPr>
      <w:r w:rsidRPr="00B60A47">
        <w:rPr>
          <w:rFonts w:ascii="Arial" w:hAnsi="Arial" w:cs="Arial"/>
        </w:rPr>
        <w:t xml:space="preserve">No obstante, esta reestructura vulnera el enfoque garantista de la LGAMVLV, al debilitar objetivos clave como la protección de la vida, integridad y acceso a justicia para mujeres, niñas y adolescentes. Además, omite disposiciones </w:t>
      </w:r>
      <w:r w:rsidRPr="00B60A47">
        <w:rPr>
          <w:rFonts w:ascii="Arial" w:hAnsi="Arial" w:cs="Arial"/>
        </w:rPr>
        <w:lastRenderedPageBreak/>
        <w:t>presupuestarias específicas para implementar las AVGM, lo que limita su efectividad. Pese a avances en agilizar el mecanismo, persisten riesgos de retroceso en derechos humanos y desvinculación con principios constitucionales como igualdad sustantiva y perspectiva de género.</w:t>
      </w:r>
    </w:p>
    <w:p w14:paraId="7A428478" w14:textId="6E7B362F" w:rsidR="00CA0A2B" w:rsidRPr="00B60A47" w:rsidRDefault="00CA0A2B" w:rsidP="00CA0A2B">
      <w:pPr>
        <w:spacing w:line="360" w:lineRule="auto"/>
        <w:jc w:val="both"/>
        <w:rPr>
          <w:rFonts w:ascii="Arial" w:hAnsi="Arial" w:cs="Arial"/>
        </w:rPr>
      </w:pPr>
      <w:r w:rsidRPr="00B60A47">
        <w:rPr>
          <w:rFonts w:ascii="Arial" w:hAnsi="Arial" w:cs="Arial"/>
        </w:rPr>
        <w:t>A este respecto Asociación Guerrerense contra la Violencia hacia las Mujeres, A.C., integrante de la Red Estatal de Mujeres Guerrerenses por una Vida Libre de Violencia, menciona que la desaparición de la Comisión para Prevenir y Erradicar la Violencia contra las Mujeres (CONAVIM), creada el 1º. De junio de 2009, con el objeto de coordinar como instancia directa de la Secretaría de Gobernación, las acciones encaminadas a la prevención y erradicación de la Violencia contra las mujeres en el país. Además, la Secretaría de Gobernación a través de la CONAVIM era responsable de Declarar la Alerta de Violencia de Género contra la</w:t>
      </w:r>
      <w:r w:rsidR="00FF2E4F" w:rsidRPr="00B60A47">
        <w:rPr>
          <w:rFonts w:ascii="Arial" w:hAnsi="Arial" w:cs="Arial"/>
        </w:rPr>
        <w:t xml:space="preserve">s Mujeres. Con su desaparición hay </w:t>
      </w:r>
      <w:r w:rsidRPr="00B60A47">
        <w:rPr>
          <w:rFonts w:ascii="Arial" w:hAnsi="Arial" w:cs="Arial"/>
        </w:rPr>
        <w:t xml:space="preserve">incertidumbre y complicaciones vinculadas con la lucha contra la violencia de feminicida en México. La CONAVIM era responsable de coordinar la Alerta de Violencia de Género contra las mujeres, un mecanismo de emergencia diseñado para enfrentar la violencia feminicida y el agravio comparado. </w:t>
      </w:r>
    </w:p>
    <w:p w14:paraId="5FF7DF27" w14:textId="2329EE14" w:rsidR="00CA0A2B" w:rsidRPr="00B60A47" w:rsidRDefault="00CA0A2B" w:rsidP="00CA0A2B">
      <w:pPr>
        <w:spacing w:line="360" w:lineRule="auto"/>
        <w:jc w:val="both"/>
        <w:rPr>
          <w:rFonts w:ascii="Arial" w:hAnsi="Arial" w:cs="Arial"/>
        </w:rPr>
      </w:pPr>
      <w:r w:rsidRPr="00B60A47">
        <w:rPr>
          <w:rFonts w:ascii="Arial" w:hAnsi="Arial" w:cs="Arial"/>
        </w:rPr>
        <w:t>De este modo, que se haya tomado la decisión de que la Secretaría de las Mujeres absorbiera la extinta CONAVIM, sin claridad para garantizar la continuidad y efectividad de las Políticas y Programas destinados a prevenir y erradicar la violencia contra las mujeres. Con la desaparición de CONAVIM se obstruye a las mujeres a acceder a una vida libre de violencia, también la falta de claridad de las atribuciones y funciones de la Secretaría de las mujeres respecto a la política nacional de prevención y erradicación de la violencia contra las mujeres en el país. Falta de claridad en las atribuciones y funciones de la Secretaría de las mujeres respecto a la política nacional de prevención y erradicación de la violencia contra las mujeres en el país, sin dejar de lado los programas y acciones que operaba la CONAVIM. Adicionalmente hay un retroceso de los derechos humanos de las mujeres en México al desaparecer la CONAVIM como:</w:t>
      </w:r>
    </w:p>
    <w:p w14:paraId="57716DF6" w14:textId="7D206CB9" w:rsidR="00CA0A2B" w:rsidRPr="00B60A47" w:rsidRDefault="00CA0A2B" w:rsidP="00CA0A2B">
      <w:pPr>
        <w:pStyle w:val="Prrafodelista"/>
        <w:numPr>
          <w:ilvl w:val="0"/>
          <w:numId w:val="10"/>
        </w:numPr>
        <w:spacing w:line="360" w:lineRule="auto"/>
        <w:jc w:val="both"/>
        <w:rPr>
          <w:rFonts w:ascii="Arial" w:hAnsi="Arial" w:cs="Arial"/>
        </w:rPr>
      </w:pPr>
      <w:r w:rsidRPr="00B60A47">
        <w:rPr>
          <w:rFonts w:ascii="Arial" w:hAnsi="Arial" w:cs="Arial"/>
        </w:rPr>
        <w:t>Disminución de la atención especializada frente a la violencia contra las mujeres</w:t>
      </w:r>
    </w:p>
    <w:p w14:paraId="35946603" w14:textId="4338D560" w:rsidR="00CA0A2B" w:rsidRPr="00B60A47" w:rsidRDefault="00CA0A2B" w:rsidP="00CA0A2B">
      <w:pPr>
        <w:pStyle w:val="Prrafodelista"/>
        <w:numPr>
          <w:ilvl w:val="0"/>
          <w:numId w:val="10"/>
        </w:numPr>
        <w:spacing w:line="360" w:lineRule="auto"/>
        <w:jc w:val="both"/>
        <w:rPr>
          <w:rFonts w:ascii="Arial" w:hAnsi="Arial" w:cs="Arial"/>
        </w:rPr>
      </w:pPr>
      <w:r w:rsidRPr="00B60A47">
        <w:rPr>
          <w:rFonts w:ascii="Arial" w:hAnsi="Arial" w:cs="Arial"/>
        </w:rPr>
        <w:lastRenderedPageBreak/>
        <w:t>Pérdida de autonomía.</w:t>
      </w:r>
    </w:p>
    <w:p w14:paraId="7FB3B280" w14:textId="5BC20B19" w:rsidR="00CA0A2B" w:rsidRPr="00B60A47" w:rsidRDefault="00CA0A2B" w:rsidP="00CA0A2B">
      <w:pPr>
        <w:pStyle w:val="Prrafodelista"/>
        <w:numPr>
          <w:ilvl w:val="0"/>
          <w:numId w:val="10"/>
        </w:numPr>
        <w:spacing w:line="360" w:lineRule="auto"/>
        <w:jc w:val="both"/>
        <w:rPr>
          <w:rFonts w:ascii="Arial" w:hAnsi="Arial" w:cs="Arial"/>
        </w:rPr>
      </w:pPr>
      <w:r w:rsidRPr="00B60A47">
        <w:rPr>
          <w:rFonts w:ascii="Arial" w:hAnsi="Arial" w:cs="Arial"/>
        </w:rPr>
        <w:t>Afectación en la implementación de políticas y programas destinados a prevenir y erradicar la violencia contra las mujeres.</w:t>
      </w:r>
    </w:p>
    <w:p w14:paraId="67131F45" w14:textId="7805ADCE" w:rsidR="00CA0A2B" w:rsidRPr="00B60A47" w:rsidRDefault="00CA0A2B" w:rsidP="00CA0A2B">
      <w:pPr>
        <w:spacing w:line="360" w:lineRule="auto"/>
        <w:jc w:val="both"/>
        <w:rPr>
          <w:rFonts w:ascii="Arial" w:hAnsi="Arial" w:cs="Arial"/>
        </w:rPr>
      </w:pPr>
      <w:r w:rsidRPr="00B60A47">
        <w:rPr>
          <w:rFonts w:ascii="Arial" w:hAnsi="Arial" w:cs="Arial"/>
        </w:rPr>
        <w:t>Finalmente, la Asociación Guerrerense contra la Violencia hacia las Mujeres, A.C. menciona que no se consideró una reforma a la Ley General de Acceso a una Vida Libre de Violencia ni a su reglamento al momento de tomar la decisión de desaparecer la CONAVIM y que esta fuese absorbida por la recién creada Secretaría de las Mujeres. Además, no se consideró explícitamente en el decreto de creación de la Secretaría de las Mujeres del Estado Mexicano, de fecha 13 de noviembre de 2024, las funciones de la CONAVIM , lo que implica una grave falta y retroceso de los derechos humanos.</w:t>
      </w:r>
    </w:p>
    <w:p w14:paraId="044F42CA" w14:textId="4B4B3BA8" w:rsidR="009271FA" w:rsidRPr="00B60A47" w:rsidRDefault="00D64F6D" w:rsidP="00E90DFB">
      <w:pPr>
        <w:spacing w:line="360" w:lineRule="auto"/>
        <w:jc w:val="both"/>
        <w:rPr>
          <w:rFonts w:ascii="Arial" w:hAnsi="Arial" w:cs="Arial"/>
          <w:b/>
          <w:bCs/>
        </w:rPr>
      </w:pPr>
      <w:r w:rsidRPr="00B60A47">
        <w:rPr>
          <w:rFonts w:ascii="Arial" w:hAnsi="Arial" w:cs="Arial"/>
          <w:b/>
          <w:bCs/>
        </w:rPr>
        <w:t>Recomendaciones</w:t>
      </w:r>
      <w:r w:rsidR="009271FA" w:rsidRPr="00B60A47">
        <w:rPr>
          <w:rFonts w:ascii="Arial" w:hAnsi="Arial" w:cs="Arial"/>
          <w:b/>
          <w:bCs/>
        </w:rPr>
        <w:t>:</w:t>
      </w:r>
    </w:p>
    <w:p w14:paraId="04D04C92" w14:textId="5B3E7BF7" w:rsidR="006B1BD7" w:rsidRPr="00B60A47" w:rsidRDefault="00303DB4" w:rsidP="006B1BD7">
      <w:pPr>
        <w:pStyle w:val="Prrafodelista"/>
        <w:numPr>
          <w:ilvl w:val="0"/>
          <w:numId w:val="8"/>
        </w:numPr>
        <w:spacing w:line="360" w:lineRule="auto"/>
        <w:jc w:val="both"/>
        <w:rPr>
          <w:rFonts w:ascii="Arial" w:hAnsi="Arial" w:cs="Arial"/>
        </w:rPr>
      </w:pPr>
      <w:r w:rsidRPr="00B60A47">
        <w:rPr>
          <w:rFonts w:ascii="Arial" w:hAnsi="Arial" w:cs="Arial"/>
        </w:rPr>
        <w:t>Recomendar que sean</w:t>
      </w:r>
      <w:r w:rsidR="006B1BD7" w:rsidRPr="00B60A47">
        <w:rPr>
          <w:rFonts w:ascii="Arial" w:hAnsi="Arial" w:cs="Arial"/>
        </w:rPr>
        <w:t xml:space="preserve"> públicos los criterios técnicos, jurídicos y políticos que fundamentaron la desaparición de la CONAVIM y su absorción por la Secretaría de las Mujeres, con el fin de transparentar el proceso y permitir su evaluación.</w:t>
      </w:r>
    </w:p>
    <w:p w14:paraId="46163ED3" w14:textId="486127C0" w:rsidR="006B1BD7" w:rsidRPr="00B60A47" w:rsidRDefault="00120193" w:rsidP="006B1BD7">
      <w:pPr>
        <w:pStyle w:val="Prrafodelista"/>
        <w:numPr>
          <w:ilvl w:val="0"/>
          <w:numId w:val="8"/>
        </w:numPr>
        <w:spacing w:line="360" w:lineRule="auto"/>
        <w:jc w:val="both"/>
        <w:rPr>
          <w:rFonts w:ascii="Arial" w:hAnsi="Arial" w:cs="Arial"/>
        </w:rPr>
      </w:pPr>
      <w:r w:rsidRPr="00B60A47">
        <w:rPr>
          <w:rFonts w:ascii="Arial" w:hAnsi="Arial" w:cs="Arial"/>
        </w:rPr>
        <w:t>Garantizar</w:t>
      </w:r>
      <w:r w:rsidR="006B1BD7" w:rsidRPr="00B60A47">
        <w:rPr>
          <w:rFonts w:ascii="Arial" w:hAnsi="Arial" w:cs="Arial"/>
        </w:rPr>
        <w:t xml:space="preserve"> que la Secretaría de las Mujeres cuente con capacidades institucionales, técnicas y presupuestales suficientes para asumir de forma especializada las funciones que desempeñaba la CONAVIM, especialmente en la implementación de la Alerta de Violencia de Género contra las Mujeres.</w:t>
      </w:r>
    </w:p>
    <w:p w14:paraId="5E7510EC" w14:textId="58E6A754" w:rsidR="006B1BD7" w:rsidRPr="00B60A47" w:rsidRDefault="008B459E" w:rsidP="006B1BD7">
      <w:pPr>
        <w:pStyle w:val="Prrafodelista"/>
        <w:numPr>
          <w:ilvl w:val="0"/>
          <w:numId w:val="8"/>
        </w:numPr>
        <w:spacing w:line="360" w:lineRule="auto"/>
        <w:jc w:val="both"/>
        <w:rPr>
          <w:rFonts w:ascii="Arial" w:hAnsi="Arial" w:cs="Arial"/>
        </w:rPr>
      </w:pPr>
      <w:r w:rsidRPr="00B60A47">
        <w:rPr>
          <w:rFonts w:ascii="Arial" w:hAnsi="Arial" w:cs="Arial"/>
        </w:rPr>
        <w:t>Establecer</w:t>
      </w:r>
      <w:r w:rsidR="006B1BD7" w:rsidRPr="00B60A47">
        <w:rPr>
          <w:rFonts w:ascii="Arial" w:hAnsi="Arial" w:cs="Arial"/>
        </w:rPr>
        <w:t xml:space="preserve"> mecanismos claros de seguimiento, evaluación y rendición de cuentas que aseguren la continuidad, efectividad y mejora de las políticas y programas para prevenir, atender, sancionar y erradicar la violencia de género.</w:t>
      </w:r>
    </w:p>
    <w:p w14:paraId="4C1719A1" w14:textId="17458BA5" w:rsidR="006B1BD7" w:rsidRPr="00B60A47" w:rsidRDefault="00001E99" w:rsidP="006B1BD7">
      <w:pPr>
        <w:pStyle w:val="Prrafodelista"/>
        <w:numPr>
          <w:ilvl w:val="0"/>
          <w:numId w:val="8"/>
        </w:numPr>
        <w:spacing w:line="360" w:lineRule="auto"/>
        <w:jc w:val="both"/>
        <w:rPr>
          <w:rFonts w:ascii="Arial" w:hAnsi="Arial" w:cs="Arial"/>
        </w:rPr>
      </w:pPr>
      <w:r w:rsidRPr="00B60A47">
        <w:rPr>
          <w:rFonts w:ascii="Arial" w:hAnsi="Arial" w:cs="Arial"/>
        </w:rPr>
        <w:t>Dictaminar que</w:t>
      </w:r>
      <w:r w:rsidR="006B1BD7" w:rsidRPr="00B60A47">
        <w:rPr>
          <w:rFonts w:ascii="Arial" w:hAnsi="Arial" w:cs="Arial"/>
        </w:rPr>
        <w:t xml:space="preserve"> el Estado Mexicano adopte medidas específicas para garantizar que la reestructuración institucional no represente un retroceso en el acceso de las mujeres a una vida libre de violencia, asegurando la progresividad de los derechos humanos.</w:t>
      </w:r>
    </w:p>
    <w:p w14:paraId="2D3F24E8" w14:textId="120E67D4" w:rsidR="006B1BD7" w:rsidRPr="00B60A47" w:rsidRDefault="00DA58B1" w:rsidP="006B1BD7">
      <w:pPr>
        <w:pStyle w:val="Prrafodelista"/>
        <w:numPr>
          <w:ilvl w:val="0"/>
          <w:numId w:val="8"/>
        </w:numPr>
        <w:spacing w:line="360" w:lineRule="auto"/>
        <w:jc w:val="both"/>
        <w:rPr>
          <w:rFonts w:ascii="Arial" w:hAnsi="Arial" w:cs="Arial"/>
        </w:rPr>
      </w:pPr>
      <w:r w:rsidRPr="00B60A47">
        <w:rPr>
          <w:rFonts w:ascii="Arial" w:hAnsi="Arial" w:cs="Arial"/>
        </w:rPr>
        <w:t>Solicitar q</w:t>
      </w:r>
      <w:r w:rsidR="006B1BD7" w:rsidRPr="00B60A47">
        <w:rPr>
          <w:rFonts w:ascii="Arial" w:hAnsi="Arial" w:cs="Arial"/>
        </w:rPr>
        <w:t>ue se analice y, en su caso, se reforme la Ley General de Acceso de las Mujeres a una Vida Libre de Violencia y su reglamento, a fin de reflejar adecuadamente los cambios institucionales y evitar vacíos normativos.</w:t>
      </w:r>
    </w:p>
    <w:p w14:paraId="6A77B5F0" w14:textId="12F7C870" w:rsidR="006B1BD7" w:rsidRPr="00B60A47" w:rsidRDefault="00DA58B1" w:rsidP="00DA58B1">
      <w:pPr>
        <w:pStyle w:val="Prrafodelista"/>
        <w:numPr>
          <w:ilvl w:val="0"/>
          <w:numId w:val="8"/>
        </w:numPr>
        <w:spacing w:line="360" w:lineRule="auto"/>
        <w:jc w:val="both"/>
        <w:rPr>
          <w:rFonts w:ascii="Arial" w:hAnsi="Arial" w:cs="Arial"/>
        </w:rPr>
      </w:pPr>
      <w:r w:rsidRPr="00B60A47">
        <w:rPr>
          <w:rFonts w:ascii="Arial" w:hAnsi="Arial" w:cs="Arial"/>
        </w:rPr>
        <w:lastRenderedPageBreak/>
        <w:t>Definir</w:t>
      </w:r>
      <w:r w:rsidR="006B1BD7" w:rsidRPr="00B60A47">
        <w:rPr>
          <w:rFonts w:ascii="Arial" w:hAnsi="Arial" w:cs="Arial"/>
        </w:rPr>
        <w:t xml:space="preserve"> y difun</w:t>
      </w:r>
      <w:r w:rsidRPr="00B60A47">
        <w:rPr>
          <w:rFonts w:ascii="Arial" w:hAnsi="Arial" w:cs="Arial"/>
        </w:rPr>
        <w:t>dir</w:t>
      </w:r>
      <w:r w:rsidR="006B1BD7" w:rsidRPr="00B60A47">
        <w:rPr>
          <w:rFonts w:ascii="Arial" w:hAnsi="Arial" w:cs="Arial"/>
        </w:rPr>
        <w:t xml:space="preserve"> con claridad las atribuciones específicas de la Secretaría de las Mujeres en su nueva estructura, asegurando que no haya pérdida de funciones clave que antes desempeñaba la CONAVIM.</w:t>
      </w:r>
    </w:p>
    <w:p w14:paraId="027CA9C7" w14:textId="2968619E" w:rsidR="00410C11" w:rsidRPr="00B60A47" w:rsidRDefault="00BB1B86" w:rsidP="00BB1B86">
      <w:pPr>
        <w:pStyle w:val="Prrafodelista"/>
        <w:numPr>
          <w:ilvl w:val="0"/>
          <w:numId w:val="8"/>
        </w:numPr>
        <w:spacing w:line="360" w:lineRule="auto"/>
        <w:jc w:val="both"/>
        <w:rPr>
          <w:rFonts w:ascii="Arial" w:hAnsi="Arial" w:cs="Arial"/>
        </w:rPr>
      </w:pPr>
      <w:r w:rsidRPr="00B60A47">
        <w:rPr>
          <w:rFonts w:ascii="Arial" w:hAnsi="Arial" w:cs="Arial"/>
        </w:rPr>
        <w:t>Hacer solicitud de que</w:t>
      </w:r>
      <w:r w:rsidR="00410C11" w:rsidRPr="00B60A47">
        <w:rPr>
          <w:rFonts w:ascii="Arial" w:hAnsi="Arial" w:cs="Arial"/>
        </w:rPr>
        <w:t xml:space="preserve"> </w:t>
      </w:r>
      <w:r w:rsidRPr="00B60A47">
        <w:rPr>
          <w:rFonts w:ascii="Arial" w:hAnsi="Arial" w:cs="Arial"/>
        </w:rPr>
        <w:t>e</w:t>
      </w:r>
      <w:r w:rsidR="00410C11" w:rsidRPr="00B60A47">
        <w:rPr>
          <w:rFonts w:ascii="Arial" w:hAnsi="Arial" w:cs="Arial"/>
        </w:rPr>
        <w:t>l Estado Mexicano, presente en el nuevo ordenamiento legal para atender las AVGM, los avances y términos que en materia de legislación se reporta en su Informe con respecto a la incorporación de sociedad civil y Organismos promoventes de las AVGM, toda vez que, se extinguen, al pasar a la Secretaría de las Mujeres la responsabilidad de la atención a las AVGM en el país. </w:t>
      </w:r>
    </w:p>
    <w:p w14:paraId="70787404" w14:textId="77777777" w:rsidR="008738E9" w:rsidRPr="00B60A47" w:rsidRDefault="00BB1B86" w:rsidP="008738E9">
      <w:pPr>
        <w:pStyle w:val="Prrafodelista"/>
        <w:numPr>
          <w:ilvl w:val="0"/>
          <w:numId w:val="8"/>
        </w:numPr>
        <w:spacing w:line="360" w:lineRule="auto"/>
        <w:jc w:val="both"/>
        <w:rPr>
          <w:rFonts w:ascii="Arial" w:hAnsi="Arial" w:cs="Arial"/>
        </w:rPr>
      </w:pPr>
      <w:r w:rsidRPr="00B60A47">
        <w:rPr>
          <w:rFonts w:ascii="Arial" w:hAnsi="Arial" w:cs="Arial"/>
        </w:rPr>
        <w:t>Recomendar</w:t>
      </w:r>
      <w:r w:rsidR="00410C11" w:rsidRPr="00B60A47">
        <w:rPr>
          <w:rFonts w:ascii="Arial" w:hAnsi="Arial" w:cs="Arial"/>
        </w:rPr>
        <w:t xml:space="preserve"> al Estado Mexicano una revisión de la coherencia jurídica entre la norma Constitucional del derecho al acceso de las mujeres, las adolescentes y las niñas a una vida libre de violencia y las disposiciones del mecanismo de la AVGM derivada de la LGAMVLV, con respecto al estatuto del decreto que crea la Secretaría de las Mujeres que se le otorgan atribuciones para atender las AVGM. Toda vez que, se advierte una inconsistencia jurídica que pone en riesgo los logros alcanzados en materia de políticas de Estado para atender las AVGM en el país, al eliminar la competencia de la Secretaría de Gobernación que la Ley LGAMVLV le otorga y se venía operando, a través de la CONAVIM, ente extinguida, al crearse la Secretaría de las Mujeres. </w:t>
      </w:r>
    </w:p>
    <w:p w14:paraId="2C038A9F" w14:textId="20261821" w:rsidR="006B1BD7" w:rsidRPr="00B60A47" w:rsidRDefault="00836F58" w:rsidP="008738E9">
      <w:pPr>
        <w:pStyle w:val="Prrafodelista"/>
        <w:numPr>
          <w:ilvl w:val="0"/>
          <w:numId w:val="8"/>
        </w:numPr>
        <w:spacing w:line="360" w:lineRule="auto"/>
        <w:jc w:val="both"/>
        <w:rPr>
          <w:rFonts w:ascii="Arial" w:hAnsi="Arial" w:cs="Arial"/>
        </w:rPr>
      </w:pPr>
      <w:r w:rsidRPr="00B60A47">
        <w:rPr>
          <w:rFonts w:ascii="Arial" w:hAnsi="Arial" w:cs="Arial"/>
        </w:rPr>
        <w:t>Procurar</w:t>
      </w:r>
      <w:r w:rsidR="00410C11" w:rsidRPr="00B60A47">
        <w:rPr>
          <w:rFonts w:ascii="Arial" w:hAnsi="Arial" w:cs="Arial"/>
        </w:rPr>
        <w:t xml:space="preserve"> la atención y cumplimiento las disposiciones del mecanismo  AVGM de la LGAMVLV, que ahora tiene a cargo la Secretaría de las Mujeres, se atienda el carácter vinculante y garantista que, se deriva de las reformas y adiciones recientes a la Constitución Políticas Federal que, se eleva a rango de derecho fundamental el acceso a una vida libre de violencia, la perspectiva de Género, la igualdad sustantiva y se fortalece el principio de la debida diligencia en el acceso a la justicia de las mujeres, las adolescentes y las niñas. </w:t>
      </w:r>
    </w:p>
    <w:sectPr w:rsidR="006B1BD7" w:rsidRPr="00B60A47">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20D04" w14:textId="77777777" w:rsidR="00CD424C" w:rsidRDefault="00CD424C" w:rsidP="00EB09FC">
      <w:pPr>
        <w:spacing w:after="0" w:line="240" w:lineRule="auto"/>
      </w:pPr>
      <w:r>
        <w:separator/>
      </w:r>
    </w:p>
  </w:endnote>
  <w:endnote w:type="continuationSeparator" w:id="0">
    <w:p w14:paraId="4118F954" w14:textId="77777777" w:rsidR="00CD424C" w:rsidRDefault="00CD424C" w:rsidP="00EB0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ptos">
    <w:altName w:val="Times New Roman"/>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Times New Roman"/>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EA2E8" w14:textId="77777777" w:rsidR="00CD424C" w:rsidRDefault="00CD424C" w:rsidP="00EB09FC">
      <w:pPr>
        <w:spacing w:after="0" w:line="240" w:lineRule="auto"/>
      </w:pPr>
      <w:r>
        <w:separator/>
      </w:r>
    </w:p>
  </w:footnote>
  <w:footnote w:type="continuationSeparator" w:id="0">
    <w:p w14:paraId="42C48E6B" w14:textId="77777777" w:rsidR="00CD424C" w:rsidRDefault="00CD424C" w:rsidP="00EB09FC">
      <w:pPr>
        <w:spacing w:after="0" w:line="240" w:lineRule="auto"/>
      </w:pPr>
      <w:r>
        <w:continuationSeparator/>
      </w:r>
    </w:p>
  </w:footnote>
  <w:footnote w:id="1">
    <w:p w14:paraId="6B22C258" w14:textId="68A55AA7" w:rsidR="00EB09FC" w:rsidRPr="00EB09FC" w:rsidRDefault="00EB09FC" w:rsidP="00FC3993">
      <w:pPr>
        <w:pStyle w:val="Textonotapie"/>
        <w:tabs>
          <w:tab w:val="left" w:pos="861"/>
        </w:tabs>
        <w:rPr>
          <w:lang w:val="es-ES"/>
        </w:rPr>
      </w:pPr>
      <w:r>
        <w:rPr>
          <w:rStyle w:val="Refdenotaalpie"/>
        </w:rPr>
        <w:footnoteRef/>
      </w:r>
      <w:r>
        <w:t xml:space="preserve"> </w:t>
      </w:r>
      <w:r w:rsidR="00FC3993" w:rsidRPr="00FC3993">
        <w:t>Seguimiento de la CUDH-UNAM a través de la página oficial de la Comisión Nacional para Prevenir y Erradicar la Violencia contra las Mujeres. URL:</w:t>
      </w:r>
      <w:r w:rsidR="008325D0" w:rsidRPr="008325D0">
        <w:rPr>
          <w:sz w:val="24"/>
          <w:szCs w:val="24"/>
        </w:rPr>
        <w:t xml:space="preserve"> </w:t>
      </w:r>
      <w:hyperlink r:id="rId1" w:history="1">
        <w:r w:rsidR="008325D0" w:rsidRPr="008325D0">
          <w:rPr>
            <w:rStyle w:val="Hipervnculo"/>
          </w:rPr>
          <w:t>Documentos | Archivo | Comisión Nacional para Prevenir y Erradicar la Violencia Contra las Mujeres | Gobierno | gob.mx</w:t>
        </w:r>
      </w:hyperlink>
    </w:p>
  </w:footnote>
  <w:footnote w:id="2">
    <w:p w14:paraId="21A81DE9" w14:textId="75C48BA5" w:rsidR="00367C80" w:rsidRPr="00367C80" w:rsidRDefault="00367C80">
      <w:pPr>
        <w:pStyle w:val="Textonotapie"/>
        <w:rPr>
          <w:lang w:val="es-ES"/>
        </w:rPr>
      </w:pPr>
      <w:r>
        <w:rPr>
          <w:rStyle w:val="Refdenotaalpie"/>
        </w:rPr>
        <w:footnoteRef/>
      </w:r>
      <w:r>
        <w:t xml:space="preserve"> </w:t>
      </w:r>
      <w:r>
        <w:rPr>
          <w:lang w:val="es-ES"/>
        </w:rPr>
        <w:t xml:space="preserve">Informe sobre la participación de la CNDH en los procedimientos de la Alerta de Violencia de Género contra las mujeres. URL: </w:t>
      </w:r>
      <w:hyperlink r:id="rId2" w:history="1">
        <w:r w:rsidR="00664FCE" w:rsidRPr="00664FCE">
          <w:rPr>
            <w:rStyle w:val="Hipervnculo"/>
          </w:rPr>
          <w:t>Informe_CNDH_AVG_contra_Mujeres_4oTrim.pdf</w:t>
        </w:r>
      </w:hyperlink>
    </w:p>
  </w:footnote>
  <w:footnote w:id="3">
    <w:p w14:paraId="6D056E29" w14:textId="5F34DB20" w:rsidR="00F5612E" w:rsidRDefault="00F5612E">
      <w:pPr>
        <w:pStyle w:val="Textonotapie"/>
      </w:pPr>
      <w:r>
        <w:rPr>
          <w:rStyle w:val="Refdenotaalpie"/>
        </w:rPr>
        <w:footnoteRef/>
      </w:r>
      <w:r>
        <w:t xml:space="preserve"> </w:t>
      </w:r>
      <w:r w:rsidR="00F66AC3">
        <w:t>Gobierno de México. (2022)</w:t>
      </w:r>
      <w:r w:rsidR="00AD4C88" w:rsidRPr="00AD4C88">
        <w:t xml:space="preserve"> Publicado en el Diario Oficial de la Federación el 29 de abril de 2022. </w:t>
      </w:r>
      <w:hyperlink r:id="rId3" w:history="1">
        <w:r w:rsidR="00AD4C88" w:rsidRPr="0010655A">
          <w:rPr>
            <w:rStyle w:val="Hipervnculo"/>
          </w:rPr>
          <w:t>file:///D:/LEYES/DOF%2029042022-REFORMAS%20LGAMVLV%20%20AVGM.pdf</w:t>
        </w:r>
      </w:hyperlink>
      <w:r w:rsidR="00AD4C88">
        <w:t xml:space="preserve"> </w:t>
      </w:r>
    </w:p>
    <w:p w14:paraId="5CE8D061" w14:textId="77777777" w:rsidR="00AD4C88" w:rsidRPr="00F5612E" w:rsidRDefault="00AD4C88">
      <w:pPr>
        <w:pStyle w:val="Textonotapie"/>
        <w:rPr>
          <w:lang w:val="es-ES"/>
        </w:rPr>
      </w:pPr>
    </w:p>
  </w:footnote>
  <w:footnote w:id="4">
    <w:p w14:paraId="69EF4EA6" w14:textId="3D6B9435" w:rsidR="00AD4C88" w:rsidRPr="00AD4C88" w:rsidRDefault="00AD4C88">
      <w:pPr>
        <w:pStyle w:val="Textonotapie"/>
        <w:rPr>
          <w:lang w:val="es-ES"/>
        </w:rPr>
      </w:pPr>
      <w:r>
        <w:rPr>
          <w:rStyle w:val="Refdenotaalpie"/>
        </w:rPr>
        <w:footnoteRef/>
      </w:r>
      <w:r>
        <w:t xml:space="preserve"> </w:t>
      </w:r>
      <w:r w:rsidR="00F66AC3">
        <w:t xml:space="preserve">Gobierno de México. (2022) </w:t>
      </w:r>
      <w:r w:rsidR="00F66AC3" w:rsidRPr="00F66AC3">
        <w:t xml:space="preserve">(Publicado en el Diario Oficial de la Federación el 29 de abril de 2022 . </w:t>
      </w:r>
      <w:hyperlink r:id="rId4" w:history="1">
        <w:r w:rsidR="00F66AC3" w:rsidRPr="0010655A">
          <w:rPr>
            <w:rStyle w:val="Hipervnculo"/>
          </w:rPr>
          <w:t>file:///D:/LEYES/DOF%2029042022-REFORMAS%20LGAMVLV%20%20AVGM.pdf</w:t>
        </w:r>
      </w:hyperlink>
      <w:r w:rsidR="00F66AC3">
        <w:t xml:space="preserve"> </w:t>
      </w:r>
    </w:p>
  </w:footnote>
  <w:footnote w:id="5">
    <w:p w14:paraId="3E399366" w14:textId="5839D50B" w:rsidR="00F107C0" w:rsidRPr="00F107C0" w:rsidRDefault="00F107C0">
      <w:pPr>
        <w:pStyle w:val="Textonotapie"/>
        <w:rPr>
          <w:lang w:val="es-ES"/>
        </w:rPr>
      </w:pPr>
      <w:r>
        <w:rPr>
          <w:rStyle w:val="Refdenotaalpie"/>
        </w:rPr>
        <w:footnoteRef/>
      </w:r>
      <w:r>
        <w:t xml:space="preserve"> </w:t>
      </w:r>
      <w:r w:rsidR="003B1EFB">
        <w:rPr>
          <w:lang w:val="es-ES"/>
        </w:rPr>
        <w:t xml:space="preserve">(2024). </w:t>
      </w:r>
      <w:r w:rsidR="003B1EFB" w:rsidRPr="003B1EFB">
        <w:t>Décimo informe periódico que México debía presentar en 2024 en virtud del artículo 18 de la Convención</w:t>
      </w:r>
      <w:r w:rsidR="003B1EFB">
        <w:t xml:space="preserve">. Recuperado de </w:t>
      </w:r>
      <w:hyperlink r:id="rId5" w:history="1">
        <w:r w:rsidR="0077307F" w:rsidRPr="0077307F">
          <w:rPr>
            <w:rStyle w:val="Hipervnculo"/>
          </w:rPr>
          <w:t>tbinternet.ohchr.org/_layouts/15/treatybodyexternal/Download.aspx?symbolno=CEDAW%2FC%2FMEX%2F10&amp;Lang=es</w:t>
        </w:r>
      </w:hyperlink>
    </w:p>
  </w:footnote>
  <w:footnote w:id="6">
    <w:p w14:paraId="379E529C" w14:textId="4E981A8A" w:rsidR="008135A2" w:rsidRPr="008135A2" w:rsidRDefault="008135A2" w:rsidP="001B2E69">
      <w:pPr>
        <w:pStyle w:val="Textonotapie"/>
        <w:jc w:val="both"/>
      </w:pPr>
      <w:r>
        <w:rPr>
          <w:rStyle w:val="Refdenotaalpie"/>
        </w:rPr>
        <w:footnoteRef/>
      </w:r>
      <w:r>
        <w:t xml:space="preserve"> </w:t>
      </w:r>
      <w:r w:rsidRPr="008135A2">
        <w:t xml:space="preserve">Rojas, S. (2025). ¿Cómo funcionará la recién creada Secretaría de las </w:t>
      </w:r>
      <w:proofErr w:type="gramStart"/>
      <w:r w:rsidRPr="008135A2">
        <w:t>Mujeres?.</w:t>
      </w:r>
      <w:proofErr w:type="gramEnd"/>
      <w:r w:rsidRPr="008135A2">
        <w:t xml:space="preserve"> Recuperado de </w:t>
      </w:r>
      <w:hyperlink r:id="rId6" w:history="1">
        <w:r w:rsidRPr="008135A2">
          <w:rPr>
            <w:rStyle w:val="Hipervnculo"/>
          </w:rPr>
          <w:t>https://lacaderadeeva.com/actualidad/que-hace-la-secretaria-de-las-mujeres/11760</w:t>
        </w:r>
      </w:hyperlink>
      <w:r w:rsidRPr="008135A2">
        <w:t xml:space="preserve"> </w:t>
      </w:r>
    </w:p>
  </w:footnote>
  <w:footnote w:id="7">
    <w:p w14:paraId="0415BF75" w14:textId="77777777" w:rsidR="001B2E69" w:rsidRPr="001B2E69" w:rsidRDefault="001B2E69" w:rsidP="001B2E69">
      <w:pPr>
        <w:pStyle w:val="Textonotapie"/>
        <w:jc w:val="both"/>
      </w:pPr>
      <w:r>
        <w:rPr>
          <w:rStyle w:val="Refdenotaalpie"/>
        </w:rPr>
        <w:footnoteRef/>
      </w:r>
      <w:r>
        <w:t xml:space="preserve"> </w:t>
      </w:r>
      <w:r w:rsidRPr="001B2E69">
        <w:t xml:space="preserve">Gobierno de México. (2025). CONAVIM. ¿Qué hacemos? Recuperado de </w:t>
      </w:r>
      <w:hyperlink r:id="rId7" w:history="1">
        <w:r w:rsidRPr="001B2E69">
          <w:rPr>
            <w:rStyle w:val="Hipervnculo"/>
          </w:rPr>
          <w:t>https://www.gob.mx/conavim/que-hacemos</w:t>
        </w:r>
      </w:hyperlink>
      <w:r w:rsidRPr="001B2E69">
        <w:t xml:space="preserve"> </w:t>
      </w:r>
    </w:p>
    <w:p w14:paraId="67BBEAA8" w14:textId="515E8FC5" w:rsidR="001B2E69" w:rsidRPr="001B2E69" w:rsidRDefault="001B2E69">
      <w:pPr>
        <w:pStyle w:val="Textonotapie"/>
      </w:pPr>
    </w:p>
  </w:footnote>
  <w:footnote w:id="8">
    <w:p w14:paraId="278B9F1A" w14:textId="2D8239DF" w:rsidR="002853BD" w:rsidRPr="002853BD" w:rsidRDefault="002853BD" w:rsidP="00E43ED2">
      <w:pPr>
        <w:pStyle w:val="Textonotapie"/>
        <w:jc w:val="both"/>
        <w:rPr>
          <w:lang w:val="es-ES"/>
        </w:rPr>
      </w:pPr>
      <w:r>
        <w:rPr>
          <w:rStyle w:val="Refdenotaalpie"/>
        </w:rPr>
        <w:footnoteRef/>
      </w:r>
      <w:r>
        <w:t xml:space="preserve"> </w:t>
      </w:r>
      <w:r w:rsidR="00E43ED2" w:rsidRPr="00E43ED2">
        <w:t xml:space="preserve">Vázquez, O. (2024). Titular de la nueva Secretaría de las Mujeres en el gobierno de Claudia Sheinbaum. Recuperado de </w:t>
      </w:r>
      <w:hyperlink r:id="rId8" w:history="1">
        <w:r w:rsidR="00E43ED2" w:rsidRPr="00E43ED2">
          <w:rPr>
            <w:rStyle w:val="Hipervnculo"/>
          </w:rPr>
          <w:t>https://www.infobae.com/mexico/2024/08/19/quien-es-citlalli-hernandez-mora-titular-de-la-nueva-secretaria-de-las-mujeres-en-el-gobierno-de-claudia-sheinbaum/</w:t>
        </w:r>
      </w:hyperlink>
    </w:p>
  </w:footnote>
  <w:footnote w:id="9">
    <w:p w14:paraId="33873B6D" w14:textId="44B060B3" w:rsidR="006C5F92" w:rsidRPr="006C5F92" w:rsidRDefault="006C5F92" w:rsidP="001A0DDB">
      <w:pPr>
        <w:pStyle w:val="Textonotapie"/>
        <w:jc w:val="both"/>
      </w:pPr>
      <w:r>
        <w:rPr>
          <w:rStyle w:val="Refdenotaalpie"/>
        </w:rPr>
        <w:footnoteRef/>
      </w:r>
      <w:r>
        <w:t xml:space="preserve"> </w:t>
      </w:r>
      <w:r w:rsidRPr="006C5F92">
        <w:t xml:space="preserve">Proceso. (2025). La nueva Secretaría de las Mujeres y </w:t>
      </w:r>
      <w:proofErr w:type="spellStart"/>
      <w:r w:rsidRPr="006C5F92">
        <w:t>Segob</w:t>
      </w:r>
      <w:proofErr w:type="spellEnd"/>
      <w:r w:rsidRPr="006C5F92">
        <w:t xml:space="preserve"> dejan en el abandono a trabajadoras federales. Recuperado: </w:t>
      </w:r>
      <w:hyperlink r:id="rId9" w:history="1">
        <w:r w:rsidRPr="006C5F92">
          <w:rPr>
            <w:rStyle w:val="Hipervnculo"/>
          </w:rPr>
          <w:t>https://www.proceso.com.mx/nacional/2025/1/27/la-nueva-secretaria-de-las-mujeres-segob-dejan-en-el-abandono-trabajadoras-federales-344370.html</w:t>
        </w:r>
      </w:hyperlink>
      <w:r w:rsidRPr="006C5F92">
        <w:t xml:space="preserve"> </w:t>
      </w:r>
    </w:p>
  </w:footnote>
  <w:footnote w:id="10">
    <w:p w14:paraId="6C81311B" w14:textId="057B0CB4" w:rsidR="001A0DDB" w:rsidRPr="001A0DDB" w:rsidRDefault="001A0DDB" w:rsidP="001A0DDB">
      <w:pPr>
        <w:pStyle w:val="Textonotapie"/>
        <w:jc w:val="both"/>
        <w:rPr>
          <w:lang w:val="es-ES"/>
        </w:rPr>
      </w:pPr>
      <w:r>
        <w:rPr>
          <w:rStyle w:val="Refdenotaalpie"/>
        </w:rPr>
        <w:footnoteRef/>
      </w:r>
      <w:r>
        <w:t xml:space="preserve"> </w:t>
      </w:r>
      <w:r w:rsidRPr="001A0DDB">
        <w:t xml:space="preserve">El Diario de Coahuila. (2025). Inicia con bajo presupuesto Secretaría de las Mujeres. Recuperado de </w:t>
      </w:r>
      <w:hyperlink r:id="rId10" w:history="1">
        <w:r w:rsidRPr="001A0DDB">
          <w:rPr>
            <w:rStyle w:val="Hipervnculo"/>
          </w:rPr>
          <w:t>https://eldiariodecoahuila.com.mx/2025/01/03/inicia-con-bajo-presupuesto-secretaria-de-las-mujeres/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7AF13" w14:textId="24B869AC" w:rsidR="002215CC" w:rsidRDefault="0064635E">
    <w:pPr>
      <w:pStyle w:val="Encabezado"/>
    </w:pPr>
    <w:r>
      <w:rPr>
        <w:noProof/>
        <w:lang w:eastAsia="es-MX"/>
      </w:rPr>
      <w:drawing>
        <wp:anchor distT="0" distB="0" distL="114300" distR="114300" simplePos="0" relativeHeight="251665408" behindDoc="0" locked="0" layoutInCell="1" allowOverlap="1" wp14:anchorId="3647EFAF" wp14:editId="545CAE55">
          <wp:simplePos x="0" y="0"/>
          <wp:positionH relativeFrom="column">
            <wp:posOffset>1859280</wp:posOffset>
          </wp:positionH>
          <wp:positionV relativeFrom="paragraph">
            <wp:posOffset>-208280</wp:posOffset>
          </wp:positionV>
          <wp:extent cx="849086" cy="538268"/>
          <wp:effectExtent l="0" t="0" r="8255" b="0"/>
          <wp:wrapNone/>
          <wp:docPr id="4" name="Imagen 1" descr="Red Feminista Sonor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d Feminista Sonorense"/>
                  <pic:cNvPicPr>
                    <a:picLocks noChangeAspect="1" noChangeArrowheads="1"/>
                  </pic:cNvPicPr>
                </pic:nvPicPr>
                <pic:blipFill rotWithShape="1">
                  <a:blip r:embed="rId1">
                    <a:extLst>
                      <a:ext uri="{28A0092B-C50C-407E-A947-70E740481C1C}">
                        <a14:useLocalDpi xmlns:a14="http://schemas.microsoft.com/office/drawing/2010/main" val="0"/>
                      </a:ext>
                    </a:extLst>
                  </a:blip>
                  <a:srcRect l="10153" t="23352" r="6581" b="23846"/>
                  <a:stretch/>
                </pic:blipFill>
                <pic:spPr bwMode="auto">
                  <a:xfrm>
                    <a:off x="0" y="0"/>
                    <a:ext cx="849086" cy="53826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sz w:val="20"/>
        <w:szCs w:val="20"/>
        <w:lang w:eastAsia="es-MX"/>
      </w:rPr>
      <w:drawing>
        <wp:anchor distT="0" distB="0" distL="114300" distR="114300" simplePos="0" relativeHeight="251660288" behindDoc="0" locked="0" layoutInCell="1" allowOverlap="1" wp14:anchorId="22794E6B" wp14:editId="4961F381">
          <wp:simplePos x="0" y="0"/>
          <wp:positionH relativeFrom="margin">
            <wp:posOffset>817245</wp:posOffset>
          </wp:positionH>
          <wp:positionV relativeFrom="paragraph">
            <wp:posOffset>-296545</wp:posOffset>
          </wp:positionV>
          <wp:extent cx="663351" cy="655320"/>
          <wp:effectExtent l="0" t="0" r="381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RNA-Transparente (1) (2).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63351" cy="655320"/>
                  </a:xfrm>
                  <a:prstGeom prst="rect">
                    <a:avLst/>
                  </a:prstGeom>
                </pic:spPr>
              </pic:pic>
            </a:graphicData>
          </a:graphic>
          <wp14:sizeRelH relativeFrom="margin">
            <wp14:pctWidth>0</wp14:pctWidth>
          </wp14:sizeRelH>
          <wp14:sizeRelV relativeFrom="margin">
            <wp14:pctHeight>0</wp14:pctHeight>
          </wp14:sizeRelV>
        </wp:anchor>
      </w:drawing>
    </w:r>
    <w:r>
      <w:rPr>
        <w:noProof/>
        <w:sz w:val="20"/>
        <w:szCs w:val="20"/>
        <w:lang w:eastAsia="es-MX"/>
      </w:rPr>
      <w:drawing>
        <wp:anchor distT="0" distB="0" distL="0" distR="0" simplePos="0" relativeHeight="251659264" behindDoc="1" locked="0" layoutInCell="1" hidden="0" allowOverlap="1" wp14:anchorId="06C17B71" wp14:editId="51D88C92">
          <wp:simplePos x="0" y="0"/>
          <wp:positionH relativeFrom="page">
            <wp:posOffset>4402455</wp:posOffset>
          </wp:positionH>
          <wp:positionV relativeFrom="page">
            <wp:posOffset>235585</wp:posOffset>
          </wp:positionV>
          <wp:extent cx="1611041" cy="507919"/>
          <wp:effectExtent l="0" t="0" r="0" b="6985"/>
          <wp:wrapNone/>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1611041" cy="507919"/>
                  </a:xfrm>
                  <a:prstGeom prst="rect">
                    <a:avLst/>
                  </a:prstGeom>
                  <a:ln/>
                </pic:spPr>
              </pic:pic>
            </a:graphicData>
          </a:graphic>
        </wp:anchor>
      </w:drawing>
    </w:r>
    <w:r>
      <w:rPr>
        <w:noProof/>
        <w:sz w:val="20"/>
        <w:szCs w:val="20"/>
        <w:lang w:eastAsia="es-MX"/>
      </w:rPr>
      <w:drawing>
        <wp:anchor distT="0" distB="0" distL="114300" distR="114300" simplePos="0" relativeHeight="251661312" behindDoc="0" locked="0" layoutInCell="1" allowOverlap="1" wp14:anchorId="66BBE2A3" wp14:editId="74F49192">
          <wp:simplePos x="0" y="0"/>
          <wp:positionH relativeFrom="margin">
            <wp:posOffset>5358765</wp:posOffset>
          </wp:positionH>
          <wp:positionV relativeFrom="paragraph">
            <wp:posOffset>-389890</wp:posOffset>
          </wp:positionV>
          <wp:extent cx="838200" cy="83820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femu.png"/>
                  <pic:cNvPicPr/>
                </pic:nvPicPr>
                <pic:blipFill>
                  <a:blip r:embed="rId4">
                    <a:extLst>
                      <a:ext uri="{28A0092B-C50C-407E-A947-70E740481C1C}">
                        <a14:useLocalDpi xmlns:a14="http://schemas.microsoft.com/office/drawing/2010/main" val="0"/>
                      </a:ext>
                    </a:extLst>
                  </a:blip>
                  <a:stretch>
                    <a:fillRect/>
                  </a:stretch>
                </pic:blipFill>
                <pic:spPr>
                  <a:xfrm>
                    <a:off x="0" y="0"/>
                    <a:ext cx="838200" cy="8382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s-MX"/>
      </w:rPr>
      <w:drawing>
        <wp:anchor distT="0" distB="0" distL="114300" distR="114300" simplePos="0" relativeHeight="251663360" behindDoc="0" locked="0" layoutInCell="1" allowOverlap="1" wp14:anchorId="08A9FD70" wp14:editId="37FC55E3">
          <wp:simplePos x="0" y="0"/>
          <wp:positionH relativeFrom="margin">
            <wp:posOffset>-516255</wp:posOffset>
          </wp:positionH>
          <wp:positionV relativeFrom="paragraph">
            <wp:posOffset>-381000</wp:posOffset>
          </wp:positionV>
          <wp:extent cx="870857" cy="870857"/>
          <wp:effectExtent l="0" t="0" r="5715" b="5715"/>
          <wp:wrapNone/>
          <wp:docPr id="3" name="Imagen 3" descr="Asociación Guerrerense contra la Violencia hacia las Mujeres, 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ociación Guerrerense contra la Violencia hacia las Mujeres, A.C."/>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70857" cy="87085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B6F519" w14:textId="3FADA6F6" w:rsidR="002215CC" w:rsidRDefault="002215CC">
    <w:pPr>
      <w:pStyle w:val="Encabezado"/>
    </w:pPr>
  </w:p>
  <w:p w14:paraId="4047E591" w14:textId="412CB838" w:rsidR="008738E9" w:rsidRDefault="008738E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E26E4"/>
    <w:multiLevelType w:val="hybridMultilevel"/>
    <w:tmpl w:val="4572892E"/>
    <w:lvl w:ilvl="0" w:tplc="1F66D416">
      <w:numFmt w:val="bullet"/>
      <w:lvlText w:val="•"/>
      <w:lvlJc w:val="left"/>
      <w:pPr>
        <w:ind w:left="1068" w:hanging="708"/>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86F2B70"/>
    <w:multiLevelType w:val="hybridMultilevel"/>
    <w:tmpl w:val="58BEC382"/>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 w15:restartNumberingAfterBreak="0">
    <w:nsid w:val="0EE17C59"/>
    <w:multiLevelType w:val="multilevel"/>
    <w:tmpl w:val="4AB42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514EE6"/>
    <w:multiLevelType w:val="multilevel"/>
    <w:tmpl w:val="1194B6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B2000B"/>
    <w:multiLevelType w:val="hybridMultilevel"/>
    <w:tmpl w:val="86062B8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45E07326"/>
    <w:multiLevelType w:val="multilevel"/>
    <w:tmpl w:val="8708E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8372110"/>
    <w:multiLevelType w:val="hybridMultilevel"/>
    <w:tmpl w:val="4452691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4FFD5CAF"/>
    <w:multiLevelType w:val="hybridMultilevel"/>
    <w:tmpl w:val="D5B2AD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5DE55AC5"/>
    <w:multiLevelType w:val="hybridMultilevel"/>
    <w:tmpl w:val="119C024E"/>
    <w:lvl w:ilvl="0" w:tplc="1F66D416">
      <w:numFmt w:val="bullet"/>
      <w:lvlText w:val="•"/>
      <w:lvlJc w:val="left"/>
      <w:pPr>
        <w:ind w:left="1068" w:hanging="708"/>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7E585439"/>
    <w:multiLevelType w:val="multilevel"/>
    <w:tmpl w:val="BC8CBE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8"/>
  </w:num>
  <w:num w:numId="3">
    <w:abstractNumId w:val="0"/>
  </w:num>
  <w:num w:numId="4">
    <w:abstractNumId w:val="2"/>
  </w:num>
  <w:num w:numId="5">
    <w:abstractNumId w:val="3"/>
    <w:lvlOverride w:ilvl="0">
      <w:lvl w:ilvl="0">
        <w:numFmt w:val="decimal"/>
        <w:lvlText w:val="%1."/>
        <w:lvlJc w:val="left"/>
      </w:lvl>
    </w:lvlOverride>
  </w:num>
  <w:num w:numId="6">
    <w:abstractNumId w:val="9"/>
    <w:lvlOverride w:ilvl="0">
      <w:lvl w:ilvl="0">
        <w:numFmt w:val="decimal"/>
        <w:lvlText w:val="%1."/>
        <w:lvlJc w:val="left"/>
      </w:lvl>
    </w:lvlOverride>
  </w:num>
  <w:num w:numId="7">
    <w:abstractNumId w:val="4"/>
  </w:num>
  <w:num w:numId="8">
    <w:abstractNumId w:val="1"/>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606B"/>
    <w:rsid w:val="00001E99"/>
    <w:rsid w:val="000318C9"/>
    <w:rsid w:val="00044E2E"/>
    <w:rsid w:val="00047E89"/>
    <w:rsid w:val="00077209"/>
    <w:rsid w:val="000B7630"/>
    <w:rsid w:val="000D52A7"/>
    <w:rsid w:val="00104D29"/>
    <w:rsid w:val="00112D3B"/>
    <w:rsid w:val="00120193"/>
    <w:rsid w:val="00146334"/>
    <w:rsid w:val="001529BD"/>
    <w:rsid w:val="00176EEC"/>
    <w:rsid w:val="001A0DDB"/>
    <w:rsid w:val="001B0A41"/>
    <w:rsid w:val="001B2E69"/>
    <w:rsid w:val="001D6A25"/>
    <w:rsid w:val="001E5134"/>
    <w:rsid w:val="001F20E2"/>
    <w:rsid w:val="00204187"/>
    <w:rsid w:val="00205D72"/>
    <w:rsid w:val="002215CC"/>
    <w:rsid w:val="0022356B"/>
    <w:rsid w:val="00236C74"/>
    <w:rsid w:val="00255F33"/>
    <w:rsid w:val="002853BD"/>
    <w:rsid w:val="00296AC1"/>
    <w:rsid w:val="002D2E6B"/>
    <w:rsid w:val="00303DB4"/>
    <w:rsid w:val="00333D04"/>
    <w:rsid w:val="003348EF"/>
    <w:rsid w:val="00343253"/>
    <w:rsid w:val="00367C80"/>
    <w:rsid w:val="00372782"/>
    <w:rsid w:val="003811E7"/>
    <w:rsid w:val="00383EE6"/>
    <w:rsid w:val="003B1EFB"/>
    <w:rsid w:val="003E3A25"/>
    <w:rsid w:val="003F2C02"/>
    <w:rsid w:val="00407181"/>
    <w:rsid w:val="00410C11"/>
    <w:rsid w:val="004126A1"/>
    <w:rsid w:val="00422F2B"/>
    <w:rsid w:val="00447CBD"/>
    <w:rsid w:val="00463D80"/>
    <w:rsid w:val="00470904"/>
    <w:rsid w:val="0047675A"/>
    <w:rsid w:val="00480575"/>
    <w:rsid w:val="004B6542"/>
    <w:rsid w:val="00553569"/>
    <w:rsid w:val="005801B1"/>
    <w:rsid w:val="00584E73"/>
    <w:rsid w:val="005C76A7"/>
    <w:rsid w:val="005E33C3"/>
    <w:rsid w:val="005E46B1"/>
    <w:rsid w:val="005E6B61"/>
    <w:rsid w:val="005E774B"/>
    <w:rsid w:val="006139B7"/>
    <w:rsid w:val="00622282"/>
    <w:rsid w:val="00640FDC"/>
    <w:rsid w:val="0064635E"/>
    <w:rsid w:val="00651360"/>
    <w:rsid w:val="006518B9"/>
    <w:rsid w:val="00651DEB"/>
    <w:rsid w:val="00656E59"/>
    <w:rsid w:val="00664FCE"/>
    <w:rsid w:val="006700FD"/>
    <w:rsid w:val="0068490D"/>
    <w:rsid w:val="00686439"/>
    <w:rsid w:val="00696BD3"/>
    <w:rsid w:val="006B1BD7"/>
    <w:rsid w:val="006C5F92"/>
    <w:rsid w:val="006C7316"/>
    <w:rsid w:val="006D3C2B"/>
    <w:rsid w:val="006E1CB9"/>
    <w:rsid w:val="0070677D"/>
    <w:rsid w:val="00711E99"/>
    <w:rsid w:val="00727AFF"/>
    <w:rsid w:val="00731588"/>
    <w:rsid w:val="007577F9"/>
    <w:rsid w:val="0076554B"/>
    <w:rsid w:val="00770944"/>
    <w:rsid w:val="0077307F"/>
    <w:rsid w:val="00775872"/>
    <w:rsid w:val="007E7AEB"/>
    <w:rsid w:val="008135A2"/>
    <w:rsid w:val="008325D0"/>
    <w:rsid w:val="00836F58"/>
    <w:rsid w:val="00853370"/>
    <w:rsid w:val="00860894"/>
    <w:rsid w:val="008738E9"/>
    <w:rsid w:val="008A5F8E"/>
    <w:rsid w:val="008B459E"/>
    <w:rsid w:val="008E75F0"/>
    <w:rsid w:val="00905FF4"/>
    <w:rsid w:val="009134F1"/>
    <w:rsid w:val="009271FA"/>
    <w:rsid w:val="0094121B"/>
    <w:rsid w:val="00950BE8"/>
    <w:rsid w:val="00957619"/>
    <w:rsid w:val="00960D93"/>
    <w:rsid w:val="00962BB6"/>
    <w:rsid w:val="0096606B"/>
    <w:rsid w:val="00977BB8"/>
    <w:rsid w:val="00996AE7"/>
    <w:rsid w:val="009A5812"/>
    <w:rsid w:val="009D3E60"/>
    <w:rsid w:val="009F3367"/>
    <w:rsid w:val="009F6A8C"/>
    <w:rsid w:val="00A058C7"/>
    <w:rsid w:val="00A070F9"/>
    <w:rsid w:val="00A124AC"/>
    <w:rsid w:val="00A429C0"/>
    <w:rsid w:val="00A434CD"/>
    <w:rsid w:val="00A51706"/>
    <w:rsid w:val="00A655A9"/>
    <w:rsid w:val="00A7022A"/>
    <w:rsid w:val="00A94603"/>
    <w:rsid w:val="00AB2D0E"/>
    <w:rsid w:val="00AD4C88"/>
    <w:rsid w:val="00AF44E6"/>
    <w:rsid w:val="00B04CBE"/>
    <w:rsid w:val="00B12E8E"/>
    <w:rsid w:val="00B2108A"/>
    <w:rsid w:val="00B33099"/>
    <w:rsid w:val="00B60A47"/>
    <w:rsid w:val="00B75D61"/>
    <w:rsid w:val="00B80E86"/>
    <w:rsid w:val="00B819A1"/>
    <w:rsid w:val="00BA4995"/>
    <w:rsid w:val="00BA4C78"/>
    <w:rsid w:val="00BA767F"/>
    <w:rsid w:val="00BB1B86"/>
    <w:rsid w:val="00BE3B16"/>
    <w:rsid w:val="00C12879"/>
    <w:rsid w:val="00C235EC"/>
    <w:rsid w:val="00C3034D"/>
    <w:rsid w:val="00C45FF8"/>
    <w:rsid w:val="00C65BE4"/>
    <w:rsid w:val="00C95B80"/>
    <w:rsid w:val="00CA0A2B"/>
    <w:rsid w:val="00CB323B"/>
    <w:rsid w:val="00CD424C"/>
    <w:rsid w:val="00CE3A32"/>
    <w:rsid w:val="00D074E3"/>
    <w:rsid w:val="00D46A5D"/>
    <w:rsid w:val="00D64F6D"/>
    <w:rsid w:val="00D8550D"/>
    <w:rsid w:val="00DA58B1"/>
    <w:rsid w:val="00DE472E"/>
    <w:rsid w:val="00DF0C94"/>
    <w:rsid w:val="00DF6976"/>
    <w:rsid w:val="00E41488"/>
    <w:rsid w:val="00E43ED2"/>
    <w:rsid w:val="00E90DFB"/>
    <w:rsid w:val="00EB09FC"/>
    <w:rsid w:val="00ED038F"/>
    <w:rsid w:val="00ED515D"/>
    <w:rsid w:val="00F107C0"/>
    <w:rsid w:val="00F5612E"/>
    <w:rsid w:val="00F57424"/>
    <w:rsid w:val="00F66AC3"/>
    <w:rsid w:val="00F74F13"/>
    <w:rsid w:val="00F80C31"/>
    <w:rsid w:val="00F950B1"/>
    <w:rsid w:val="00FC3993"/>
    <w:rsid w:val="00FC3DE6"/>
    <w:rsid w:val="00FD0FEC"/>
    <w:rsid w:val="00FD73F1"/>
    <w:rsid w:val="00FE1B05"/>
    <w:rsid w:val="00FF2E4F"/>
    <w:rsid w:val="00FF432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60038BA"/>
  <w15:chartTrackingRefBased/>
  <w15:docId w15:val="{8E00F601-FEA4-428B-AF2F-9874F29A1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660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660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6606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6606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6606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6606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6606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6606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6606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6606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6606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6606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6606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6606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6606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6606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6606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6606B"/>
    <w:rPr>
      <w:rFonts w:eastAsiaTheme="majorEastAsia" w:cstheme="majorBidi"/>
      <w:color w:val="272727" w:themeColor="text1" w:themeTint="D8"/>
    </w:rPr>
  </w:style>
  <w:style w:type="paragraph" w:styleId="Ttulo">
    <w:name w:val="Title"/>
    <w:basedOn w:val="Normal"/>
    <w:next w:val="Normal"/>
    <w:link w:val="TtuloCar"/>
    <w:uiPriority w:val="10"/>
    <w:qFormat/>
    <w:rsid w:val="009660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6606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6606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6606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6606B"/>
    <w:pPr>
      <w:spacing w:before="160"/>
      <w:jc w:val="center"/>
    </w:pPr>
    <w:rPr>
      <w:i/>
      <w:iCs/>
      <w:color w:val="404040" w:themeColor="text1" w:themeTint="BF"/>
    </w:rPr>
  </w:style>
  <w:style w:type="character" w:customStyle="1" w:styleId="CitaCar">
    <w:name w:val="Cita Car"/>
    <w:basedOn w:val="Fuentedeprrafopredeter"/>
    <w:link w:val="Cita"/>
    <w:uiPriority w:val="29"/>
    <w:rsid w:val="0096606B"/>
    <w:rPr>
      <w:i/>
      <w:iCs/>
      <w:color w:val="404040" w:themeColor="text1" w:themeTint="BF"/>
    </w:rPr>
  </w:style>
  <w:style w:type="paragraph" w:styleId="Prrafodelista">
    <w:name w:val="List Paragraph"/>
    <w:basedOn w:val="Normal"/>
    <w:uiPriority w:val="34"/>
    <w:qFormat/>
    <w:rsid w:val="0096606B"/>
    <w:pPr>
      <w:ind w:left="720"/>
      <w:contextualSpacing/>
    </w:pPr>
  </w:style>
  <w:style w:type="character" w:styleId="nfasisintenso">
    <w:name w:val="Intense Emphasis"/>
    <w:basedOn w:val="Fuentedeprrafopredeter"/>
    <w:uiPriority w:val="21"/>
    <w:qFormat/>
    <w:rsid w:val="0096606B"/>
    <w:rPr>
      <w:i/>
      <w:iCs/>
      <w:color w:val="0F4761" w:themeColor="accent1" w:themeShade="BF"/>
    </w:rPr>
  </w:style>
  <w:style w:type="paragraph" w:styleId="Citadestacada">
    <w:name w:val="Intense Quote"/>
    <w:basedOn w:val="Normal"/>
    <w:next w:val="Normal"/>
    <w:link w:val="CitadestacadaCar"/>
    <w:uiPriority w:val="30"/>
    <w:qFormat/>
    <w:rsid w:val="009660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6606B"/>
    <w:rPr>
      <w:i/>
      <w:iCs/>
      <w:color w:val="0F4761" w:themeColor="accent1" w:themeShade="BF"/>
    </w:rPr>
  </w:style>
  <w:style w:type="character" w:styleId="Referenciaintensa">
    <w:name w:val="Intense Reference"/>
    <w:basedOn w:val="Fuentedeprrafopredeter"/>
    <w:uiPriority w:val="32"/>
    <w:qFormat/>
    <w:rsid w:val="0096606B"/>
    <w:rPr>
      <w:b/>
      <w:bCs/>
      <w:smallCaps/>
      <w:color w:val="0F4761" w:themeColor="accent1" w:themeShade="BF"/>
      <w:spacing w:val="5"/>
    </w:rPr>
  </w:style>
  <w:style w:type="character" w:styleId="Hipervnculo">
    <w:name w:val="Hyperlink"/>
    <w:basedOn w:val="Fuentedeprrafopredeter"/>
    <w:uiPriority w:val="99"/>
    <w:unhideWhenUsed/>
    <w:rsid w:val="00E90DFB"/>
    <w:rPr>
      <w:color w:val="467886" w:themeColor="hyperlink"/>
      <w:u w:val="single"/>
    </w:rPr>
  </w:style>
  <w:style w:type="paragraph" w:styleId="Textonotapie">
    <w:name w:val="footnote text"/>
    <w:basedOn w:val="Normal"/>
    <w:link w:val="TextonotapieCar"/>
    <w:uiPriority w:val="99"/>
    <w:semiHidden/>
    <w:unhideWhenUsed/>
    <w:rsid w:val="00EB09F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B09FC"/>
    <w:rPr>
      <w:sz w:val="20"/>
      <w:szCs w:val="20"/>
    </w:rPr>
  </w:style>
  <w:style w:type="character" w:styleId="Refdenotaalpie">
    <w:name w:val="footnote reference"/>
    <w:basedOn w:val="Fuentedeprrafopredeter"/>
    <w:uiPriority w:val="99"/>
    <w:semiHidden/>
    <w:unhideWhenUsed/>
    <w:rsid w:val="00EB09FC"/>
    <w:rPr>
      <w:vertAlign w:val="superscript"/>
    </w:rPr>
  </w:style>
  <w:style w:type="character" w:customStyle="1" w:styleId="Mencinsinresolver1">
    <w:name w:val="Mención sin resolver1"/>
    <w:basedOn w:val="Fuentedeprrafopredeter"/>
    <w:uiPriority w:val="99"/>
    <w:semiHidden/>
    <w:unhideWhenUsed/>
    <w:rsid w:val="008325D0"/>
    <w:rPr>
      <w:color w:val="605E5C"/>
      <w:shd w:val="clear" w:color="auto" w:fill="E1DFDD"/>
    </w:rPr>
  </w:style>
  <w:style w:type="paragraph" w:styleId="Encabezado">
    <w:name w:val="header"/>
    <w:basedOn w:val="Normal"/>
    <w:link w:val="EncabezadoCar"/>
    <w:uiPriority w:val="99"/>
    <w:unhideWhenUsed/>
    <w:rsid w:val="008738E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738E9"/>
  </w:style>
  <w:style w:type="paragraph" w:styleId="Piedepgina">
    <w:name w:val="footer"/>
    <w:basedOn w:val="Normal"/>
    <w:link w:val="PiedepginaCar"/>
    <w:uiPriority w:val="99"/>
    <w:unhideWhenUsed/>
    <w:rsid w:val="008738E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73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366549">
      <w:bodyDiv w:val="1"/>
      <w:marLeft w:val="0"/>
      <w:marRight w:val="0"/>
      <w:marTop w:val="0"/>
      <w:marBottom w:val="0"/>
      <w:divBdr>
        <w:top w:val="none" w:sz="0" w:space="0" w:color="auto"/>
        <w:left w:val="none" w:sz="0" w:space="0" w:color="auto"/>
        <w:bottom w:val="none" w:sz="0" w:space="0" w:color="auto"/>
        <w:right w:val="none" w:sz="0" w:space="0" w:color="auto"/>
      </w:divBdr>
    </w:div>
    <w:div w:id="301428287">
      <w:bodyDiv w:val="1"/>
      <w:marLeft w:val="0"/>
      <w:marRight w:val="0"/>
      <w:marTop w:val="0"/>
      <w:marBottom w:val="0"/>
      <w:divBdr>
        <w:top w:val="none" w:sz="0" w:space="0" w:color="auto"/>
        <w:left w:val="none" w:sz="0" w:space="0" w:color="auto"/>
        <w:bottom w:val="none" w:sz="0" w:space="0" w:color="auto"/>
        <w:right w:val="none" w:sz="0" w:space="0" w:color="auto"/>
      </w:divBdr>
    </w:div>
    <w:div w:id="818351552">
      <w:bodyDiv w:val="1"/>
      <w:marLeft w:val="0"/>
      <w:marRight w:val="0"/>
      <w:marTop w:val="0"/>
      <w:marBottom w:val="0"/>
      <w:divBdr>
        <w:top w:val="none" w:sz="0" w:space="0" w:color="auto"/>
        <w:left w:val="none" w:sz="0" w:space="0" w:color="auto"/>
        <w:bottom w:val="none" w:sz="0" w:space="0" w:color="auto"/>
        <w:right w:val="none" w:sz="0" w:space="0" w:color="auto"/>
      </w:divBdr>
    </w:div>
    <w:div w:id="1074816596">
      <w:bodyDiv w:val="1"/>
      <w:marLeft w:val="0"/>
      <w:marRight w:val="0"/>
      <w:marTop w:val="0"/>
      <w:marBottom w:val="0"/>
      <w:divBdr>
        <w:top w:val="none" w:sz="0" w:space="0" w:color="auto"/>
        <w:left w:val="none" w:sz="0" w:space="0" w:color="auto"/>
        <w:bottom w:val="none" w:sz="0" w:space="0" w:color="auto"/>
        <w:right w:val="none" w:sz="0" w:space="0" w:color="auto"/>
      </w:divBdr>
    </w:div>
    <w:div w:id="1150943598">
      <w:bodyDiv w:val="1"/>
      <w:marLeft w:val="0"/>
      <w:marRight w:val="0"/>
      <w:marTop w:val="0"/>
      <w:marBottom w:val="0"/>
      <w:divBdr>
        <w:top w:val="none" w:sz="0" w:space="0" w:color="auto"/>
        <w:left w:val="none" w:sz="0" w:space="0" w:color="auto"/>
        <w:bottom w:val="none" w:sz="0" w:space="0" w:color="auto"/>
        <w:right w:val="none" w:sz="0" w:space="0" w:color="auto"/>
      </w:divBdr>
    </w:div>
    <w:div w:id="204875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ciudadanas@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infobae.com/mexico/2024/08/19/quien-es-citlalli-hernandez-mora-titular-de-la-nueva-secretaria-de-las-mujeres-en-el-gobierno-de-claudia-sheinbaum/" TargetMode="External"/><Relationship Id="rId3" Type="http://schemas.openxmlformats.org/officeDocument/2006/relationships/hyperlink" Target="file:///D:/LEYES/DOF%2029042022-REFORMAS%20LGAMVLV%20%20AVGM.pdf" TargetMode="External"/><Relationship Id="rId7" Type="http://schemas.openxmlformats.org/officeDocument/2006/relationships/hyperlink" Target="https://www.gob.mx/conavim/que-hacemos" TargetMode="External"/><Relationship Id="rId2" Type="http://schemas.openxmlformats.org/officeDocument/2006/relationships/hyperlink" Target="https://igualdaddegenero.cndh.org.mx/doc/Seguimiento/Informe_CNDH_AVG_contra_Mujeres_4oTrim.pdf" TargetMode="External"/><Relationship Id="rId1" Type="http://schemas.openxmlformats.org/officeDocument/2006/relationships/hyperlink" Target="https://www.gob.mx/conavim/archivo/documentos?utf8=%E2%9C%93&amp;idiom=es&amp;style=th&amp;order=DESC&amp;filter_id=&amp;filter_origin=archive&amp;tags=&amp;category=390" TargetMode="External"/><Relationship Id="rId6" Type="http://schemas.openxmlformats.org/officeDocument/2006/relationships/hyperlink" Target="https://lacaderadeeva.com/actualidad/que-hace-la-secretaria-de-las-mujeres/11760" TargetMode="External"/><Relationship Id="rId5" Type="http://schemas.openxmlformats.org/officeDocument/2006/relationships/hyperlink" Target="https://tbinternet.ohchr.org/_layouts/15/treatybodyexternal/Download.aspx?symbolno=CEDAW%2FC%2FMEX%2F10&amp;Lang=es" TargetMode="External"/><Relationship Id="rId10" Type="http://schemas.openxmlformats.org/officeDocument/2006/relationships/hyperlink" Target="https://eldiariodecoahuila.com.mx/2025/01/03/inicia-con-bajo-presupuesto-secretaria-de-las-mujeres/" TargetMode="External"/><Relationship Id="rId4" Type="http://schemas.openxmlformats.org/officeDocument/2006/relationships/hyperlink" Target="file:///D:/LEYES/DOF%2029042022-REFORMAS%20LGAMVLV%20%20AVGM.pdf" TargetMode="External"/><Relationship Id="rId9" Type="http://schemas.openxmlformats.org/officeDocument/2006/relationships/hyperlink" Target="https://www.proceso.com.mx/nacional/2025/1/27/la-nueva-secretaria-de-las-mujeres-segob-dejan-en-el-abandono-trabajadoras-federales-344370.htm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3D756F-CAEE-4675-B509-22A77B908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19</Pages>
  <Words>5808</Words>
  <Characters>31946</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Hernández</dc:creator>
  <cp:keywords/>
  <dc:description/>
  <cp:lastModifiedBy>HP</cp:lastModifiedBy>
  <cp:revision>2</cp:revision>
  <cp:lastPrinted>2025-05-17T20:53:00Z</cp:lastPrinted>
  <dcterms:created xsi:type="dcterms:W3CDTF">2025-05-18T04:16:00Z</dcterms:created>
  <dcterms:modified xsi:type="dcterms:W3CDTF">2025-05-18T04:16:00Z</dcterms:modified>
</cp:coreProperties>
</file>