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D74C8" w14:textId="77777777" w:rsidR="003B56CA" w:rsidRDefault="003B56CA" w:rsidP="40B962A2">
      <w:pPr>
        <w:pStyle w:val="TitlePageHeading"/>
        <w:tabs>
          <w:tab w:val="left" w:pos="5370"/>
        </w:tabs>
      </w:pPr>
      <w:bookmarkStart w:id="0" w:name="_Hlk204260188"/>
    </w:p>
    <w:p w14:paraId="6B6881EB" w14:textId="77777777" w:rsidR="006B03E8" w:rsidRDefault="008D0C78" w:rsidP="40B962A2">
      <w:pPr>
        <w:pStyle w:val="TitlePageHeading"/>
        <w:tabs>
          <w:tab w:val="left" w:pos="5370"/>
        </w:tabs>
      </w:pPr>
      <w:r>
        <w:t>Iraq</w:t>
      </w:r>
      <w:r w:rsidR="0061441D">
        <w:t>’s</w:t>
      </w:r>
      <w:r w:rsidR="5EE94364">
        <w:t xml:space="preserve"> </w:t>
      </w:r>
      <w:r w:rsidR="004B1E4E">
        <w:t>Compliance with</w:t>
      </w:r>
      <w:r w:rsidR="006B03E8">
        <w:t xml:space="preserve"> the</w:t>
      </w:r>
      <w:r w:rsidR="3A66F4F4">
        <w:t xml:space="preserve"> </w:t>
      </w:r>
      <w:r>
        <w:t xml:space="preserve">Convention on the Elimination of All Forms of </w:t>
      </w:r>
    </w:p>
    <w:p w14:paraId="43F13231" w14:textId="394FE3E6" w:rsidR="004B1E4E" w:rsidRDefault="008D0C78" w:rsidP="40B962A2">
      <w:pPr>
        <w:pStyle w:val="TitlePageHeading"/>
        <w:tabs>
          <w:tab w:val="left" w:pos="5370"/>
        </w:tabs>
      </w:pPr>
      <w:r>
        <w:t xml:space="preserve">Discrimination </w:t>
      </w:r>
      <w:r w:rsidR="00273403">
        <w:t>A</w:t>
      </w:r>
      <w:r>
        <w:t>gainst Women</w:t>
      </w:r>
      <w:r w:rsidR="00E114C5">
        <w:t xml:space="preserve">: </w:t>
      </w:r>
    </w:p>
    <w:p w14:paraId="09E2FD92" w14:textId="12A820E6" w:rsidR="002974D7" w:rsidRDefault="002974D7" w:rsidP="40B962A2">
      <w:pPr>
        <w:pStyle w:val="TitlePageHeading"/>
        <w:tabs>
          <w:tab w:val="left" w:pos="5370"/>
        </w:tabs>
      </w:pPr>
      <w:r>
        <w:t>The Death Penalty</w:t>
      </w:r>
    </w:p>
    <w:p w14:paraId="5DC74E00" w14:textId="0D86E8FA" w:rsidR="00550A8F" w:rsidRPr="00550A8F" w:rsidRDefault="00550A8F" w:rsidP="00550A8F">
      <w:pPr>
        <w:pStyle w:val="TitlePageHeading"/>
      </w:pPr>
    </w:p>
    <w:p w14:paraId="26D24DDC" w14:textId="7BEA484F"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6F550543" w14:textId="37EEC6A8" w:rsidR="00927F45" w:rsidRPr="00927F45" w:rsidRDefault="004B1E4E" w:rsidP="00927F45">
      <w:pPr>
        <w:pStyle w:val="TitlePageSubheading"/>
      </w:pPr>
      <w:r>
        <w:t>a non-governmental organization in special consultative status with ECOSOC</w:t>
      </w:r>
      <w:r w:rsidR="00624A10">
        <w:t xml:space="preserve"> since 1996</w:t>
      </w:r>
      <w:r w:rsidR="00550A8F">
        <w:t xml:space="preserve"> </w:t>
      </w:r>
    </w:p>
    <w:p w14:paraId="044F9EC5" w14:textId="0EC67A78" w:rsidR="002974D7" w:rsidRDefault="002974D7" w:rsidP="0031166B">
      <w:pPr>
        <w:pStyle w:val="TitlePageSubheading"/>
        <w:rPr>
          <w:b/>
          <w:bCs/>
        </w:rPr>
      </w:pPr>
      <w:r>
        <w:rPr>
          <w:b/>
          <w:bCs/>
        </w:rPr>
        <w:t>The World Coalition Against the Death Penalty</w:t>
      </w:r>
    </w:p>
    <w:p w14:paraId="223AFAED" w14:textId="188D904A" w:rsidR="00A12EC3" w:rsidRDefault="00A12EC3" w:rsidP="0031166B">
      <w:pPr>
        <w:pStyle w:val="TitlePageSubheading"/>
        <w:rPr>
          <w:b/>
          <w:bCs/>
        </w:rPr>
      </w:pPr>
      <w:r>
        <w:rPr>
          <w:b/>
          <w:bCs/>
        </w:rPr>
        <w:t>The Cornell Center on the Death Penalty Worldwide</w:t>
      </w:r>
    </w:p>
    <w:p w14:paraId="16D64DE9" w14:textId="078A37B5" w:rsidR="002974D7" w:rsidRDefault="00927F45" w:rsidP="0031166B">
      <w:pPr>
        <w:pStyle w:val="TitlePageSubheading"/>
      </w:pPr>
      <w:r>
        <w:t xml:space="preserve">and </w:t>
      </w:r>
    </w:p>
    <w:p w14:paraId="3107F9E9" w14:textId="1A0B209C" w:rsidR="00927F45" w:rsidRDefault="00927F45" w:rsidP="0031166B">
      <w:pPr>
        <w:pStyle w:val="TitlePageSubheading"/>
      </w:pPr>
      <w:r w:rsidRPr="00C15CA1">
        <w:rPr>
          <w:b/>
          <w:bCs/>
          <w:color w:val="000000" w:themeColor="text1"/>
        </w:rPr>
        <w:t>Abolition Death Penalty of Iraq Organization</w:t>
      </w:r>
    </w:p>
    <w:p w14:paraId="4731D809" w14:textId="42341CD3" w:rsidR="00927F45" w:rsidRPr="002974D7" w:rsidRDefault="00927F45" w:rsidP="0031166B">
      <w:pPr>
        <w:pStyle w:val="TitlePageSubheading"/>
      </w:pPr>
    </w:p>
    <w:p w14:paraId="5D40D290" w14:textId="77777777" w:rsidR="006B03E8" w:rsidRDefault="004B1E4E" w:rsidP="0031166B">
      <w:pPr>
        <w:pStyle w:val="TitlePageSubheading"/>
      </w:pPr>
      <w:r w:rsidRPr="00CA5CC2">
        <w:t>for the</w:t>
      </w:r>
      <w:r w:rsidR="00EE3828">
        <w:t xml:space="preserve"> </w:t>
      </w:r>
      <w:r w:rsidR="008D0C78">
        <w:t>92</w:t>
      </w:r>
      <w:r w:rsidR="008D0C78" w:rsidRPr="00BD3586">
        <w:t>nd</w:t>
      </w:r>
      <w:r w:rsidR="008D0C78">
        <w:t xml:space="preserve"> </w:t>
      </w:r>
      <w:r w:rsidRPr="00CA5CC2">
        <w:t xml:space="preserve">Session of the </w:t>
      </w:r>
      <w:r w:rsidR="008D0C78" w:rsidRPr="00D031C1">
        <w:t xml:space="preserve">Convention on the Elimination of All Forms of Discrimination </w:t>
      </w:r>
    </w:p>
    <w:p w14:paraId="24E688AE" w14:textId="54479CCC" w:rsidR="004B1E4E" w:rsidRPr="00D031C1" w:rsidRDefault="006B03E8" w:rsidP="0031166B">
      <w:pPr>
        <w:pStyle w:val="TitlePageSubheading"/>
      </w:pPr>
      <w:r>
        <w:t>A</w:t>
      </w:r>
      <w:r w:rsidR="008D0C78" w:rsidRPr="00D031C1">
        <w:t>gainst Women</w:t>
      </w:r>
    </w:p>
    <w:p w14:paraId="4E22A074" w14:textId="78DA2858" w:rsidR="005933C7" w:rsidRDefault="00F3521F" w:rsidP="0031166B">
      <w:pPr>
        <w:pStyle w:val="TitlePageSubheading"/>
      </w:pPr>
      <w:r w:rsidRPr="00F3521F">
        <w:t>2</w:t>
      </w:r>
      <w:r w:rsidR="006B03E8" w:rsidRPr="006B03E8">
        <w:t>–</w:t>
      </w:r>
      <w:r w:rsidRPr="00F3521F">
        <w:t>20 February 2026</w:t>
      </w:r>
    </w:p>
    <w:p w14:paraId="7C6408C8" w14:textId="77777777" w:rsidR="00F3521F" w:rsidRPr="00D031C1" w:rsidRDefault="00F3521F" w:rsidP="0031166B">
      <w:pPr>
        <w:pStyle w:val="TitlePageSubheading"/>
      </w:pPr>
    </w:p>
    <w:p w14:paraId="4EBFAEDD" w14:textId="62AB489F" w:rsidR="004B1E4E" w:rsidRDefault="00F3521F" w:rsidP="40B962A2">
      <w:pPr>
        <w:pStyle w:val="TitlePageSubheading"/>
      </w:pPr>
      <w:r w:rsidRPr="00F3521F">
        <w:t>Submitted</w:t>
      </w:r>
      <w:r w:rsidR="006B03E8">
        <w:t xml:space="preserve"> </w:t>
      </w:r>
      <w:r w:rsidR="00251186">
        <w:t>5</w:t>
      </w:r>
      <w:r w:rsidRPr="00F3521F">
        <w:t xml:space="preserve"> January 2026</w:t>
      </w:r>
    </w:p>
    <w:p w14:paraId="3A3CE8A4" w14:textId="77777777" w:rsidR="00F3521F" w:rsidRPr="004B1E4E" w:rsidRDefault="00F3521F" w:rsidP="40B962A2">
      <w:pPr>
        <w:pStyle w:val="TitlePageSubheading"/>
      </w:pPr>
    </w:p>
    <w:p w14:paraId="00756CF9" w14:textId="475A9E6E" w:rsidR="004B1E4E" w:rsidRDefault="56F42F0B" w:rsidP="008C19BE">
      <w:pPr>
        <w:widowControl w:val="0"/>
        <w:spacing w:after="240"/>
        <w:jc w:val="both"/>
        <w:rPr>
          <w:color w:val="000000" w:themeColor="text1"/>
        </w:rPr>
      </w:pPr>
      <w:r w:rsidRPr="40B962A2">
        <w:rPr>
          <w:rStyle w:val="BoilerplateTitleChar0"/>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40B962A2">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E6875C4" w14:textId="77777777" w:rsidR="003B56CA" w:rsidRDefault="00C15CA1" w:rsidP="003B56CA">
      <w:pPr>
        <w:widowControl w:val="0"/>
        <w:spacing w:after="240"/>
        <w:jc w:val="both"/>
        <w:rPr>
          <w:color w:val="000000" w:themeColor="text1"/>
        </w:rPr>
      </w:pPr>
      <w:r w:rsidRPr="00C15CA1">
        <w:rPr>
          <w:b/>
          <w:bCs/>
          <w:color w:val="000000" w:themeColor="text1"/>
        </w:rPr>
        <w:t>Abolition Death Penalty of Iraq Organization</w:t>
      </w:r>
      <w:r w:rsidR="003B56CA">
        <w:rPr>
          <w:color w:val="000000" w:themeColor="text1"/>
        </w:rPr>
        <w:t xml:space="preserve"> </w:t>
      </w:r>
      <w:r w:rsidR="003B56CA" w:rsidRPr="003B56CA">
        <w:rPr>
          <w:color w:val="000000" w:themeColor="text1"/>
        </w:rPr>
        <w:t>is a non-governmental organization that has bee</w:t>
      </w:r>
      <w:r w:rsidR="003B56CA">
        <w:rPr>
          <w:color w:val="000000" w:themeColor="text1"/>
        </w:rPr>
        <w:t xml:space="preserve">n </w:t>
      </w:r>
      <w:r w:rsidR="003B56CA" w:rsidRPr="003B56CA">
        <w:rPr>
          <w:color w:val="000000" w:themeColor="text1"/>
        </w:rPr>
        <w:t>fighting since 2010 to abolish the death penalty in law and application in Iraq. It struggles to stop</w:t>
      </w:r>
      <w:r w:rsidR="003B56CA">
        <w:rPr>
          <w:color w:val="000000" w:themeColor="text1"/>
        </w:rPr>
        <w:t xml:space="preserve"> </w:t>
      </w:r>
      <w:r w:rsidR="003B56CA" w:rsidRPr="003B56CA">
        <w:rPr>
          <w:color w:val="000000" w:themeColor="text1"/>
        </w:rPr>
        <w:t>torture and use international and humanitarian standards in the judiciary and courts. It is a member</w:t>
      </w:r>
      <w:r w:rsidR="003B56CA">
        <w:rPr>
          <w:color w:val="000000" w:themeColor="text1"/>
        </w:rPr>
        <w:t xml:space="preserve"> </w:t>
      </w:r>
      <w:r w:rsidR="003B56CA" w:rsidRPr="003B56CA">
        <w:rPr>
          <w:color w:val="000000" w:themeColor="text1"/>
        </w:rPr>
        <w:t>of the World Coalition Against the Death Penalty at the global level for a world free of the death</w:t>
      </w:r>
      <w:r w:rsidR="003B56CA">
        <w:rPr>
          <w:color w:val="000000" w:themeColor="text1"/>
        </w:rPr>
        <w:t xml:space="preserve"> </w:t>
      </w:r>
      <w:r w:rsidR="003B56CA" w:rsidRPr="003B56CA">
        <w:rPr>
          <w:color w:val="000000" w:themeColor="text1"/>
        </w:rPr>
        <w:t>penalty. In Iraq, it conducts field visits to prisons, organizes educational seminars and organizes</w:t>
      </w:r>
      <w:r w:rsidR="003B56CA">
        <w:rPr>
          <w:color w:val="000000" w:themeColor="text1"/>
        </w:rPr>
        <w:t xml:space="preserve"> </w:t>
      </w:r>
      <w:r w:rsidR="003B56CA" w:rsidRPr="003B56CA">
        <w:rPr>
          <w:color w:val="000000" w:themeColor="text1"/>
        </w:rPr>
        <w:t>demonstrations against executions and violations of the rights of detainees, and contacts anti</w:t>
      </w:r>
      <w:r w:rsidR="003B56CA">
        <w:rPr>
          <w:color w:val="000000" w:themeColor="text1"/>
        </w:rPr>
        <w:t>-</w:t>
      </w:r>
      <w:r w:rsidR="003B56CA" w:rsidRPr="003B56CA">
        <w:rPr>
          <w:color w:val="000000" w:themeColor="text1"/>
        </w:rPr>
        <w:t>execution organizations and figures, judges, lawyers, parliamentarians, and activists against the</w:t>
      </w:r>
      <w:r w:rsidR="003B56CA">
        <w:rPr>
          <w:color w:val="000000" w:themeColor="text1"/>
        </w:rPr>
        <w:t xml:space="preserve"> </w:t>
      </w:r>
      <w:r w:rsidR="003B56CA" w:rsidRPr="003B56CA">
        <w:rPr>
          <w:color w:val="000000" w:themeColor="text1"/>
        </w:rPr>
        <w:t>death penalty to build a broad front to end the death penalty</w:t>
      </w:r>
      <w:r w:rsidR="003B56CA">
        <w:rPr>
          <w:color w:val="000000" w:themeColor="text1"/>
        </w:rPr>
        <w:t>.</w:t>
      </w:r>
    </w:p>
    <w:p w14:paraId="4A527428" w14:textId="11ECA451" w:rsidR="008C510C" w:rsidRDefault="008C510C" w:rsidP="003B56CA">
      <w:pPr>
        <w:widowControl w:val="0"/>
        <w:spacing w:after="240"/>
        <w:jc w:val="both"/>
        <w:rPr>
          <w:rFonts w:eastAsia="TimesNewRomanPSMT"/>
        </w:rPr>
      </w:pPr>
      <w:r w:rsidRPr="00845DA2">
        <w:rPr>
          <w:b/>
          <w:bCs/>
        </w:rPr>
        <w:t xml:space="preserve">The World Coalition Against the Death Penalty </w:t>
      </w:r>
      <w:r w:rsidRPr="00845DA2">
        <w:rPr>
          <w:rFonts w:eastAsia="TimesNewRomanPSMT"/>
        </w:rPr>
        <w:t xml:space="preserve">is a </w:t>
      </w:r>
      <w:r w:rsidR="00910FE2">
        <w:rPr>
          <w:rFonts w:eastAsia="TimesNewRomanPSMT"/>
        </w:rPr>
        <w:t>membership</w:t>
      </w:r>
      <w:r w:rsidRPr="00845DA2">
        <w:rPr>
          <w:rFonts w:eastAsia="TimesNewRomanPSMT"/>
        </w:rPr>
        <w:t xml:space="preserve">-based </w:t>
      </w:r>
      <w:r w:rsidR="00910FE2">
        <w:rPr>
          <w:rFonts w:eastAsia="TimesNewRomanPSMT"/>
        </w:rPr>
        <w:t xml:space="preserve">global network </w:t>
      </w:r>
      <w:r w:rsidRPr="00845DA2">
        <w:rPr>
          <w:rFonts w:eastAsia="TimesNewRomanPSMT"/>
        </w:rPr>
        <w:t>committed to strengthen</w:t>
      </w:r>
      <w:r w:rsidR="009C003D">
        <w:rPr>
          <w:rFonts w:eastAsia="TimesNewRomanPSMT"/>
        </w:rPr>
        <w:t>ing</w:t>
      </w:r>
      <w:r w:rsidRPr="00845DA2">
        <w:rPr>
          <w:rFonts w:eastAsia="TimesNewRomanPSMT"/>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w:t>
      </w:r>
      <w:r w:rsidRPr="00845DA2">
        <w:rPr>
          <w:rFonts w:eastAsia="TimesNewRomanPSMT"/>
        </w:rPr>
        <w:lastRenderedPageBreak/>
        <w:t>executions in those countries where the death penalty is in force. In some countries, it is seeking to obtain a reduction in the use of capital punishment as a first step towards abolition.</w:t>
      </w:r>
    </w:p>
    <w:p w14:paraId="49342816" w14:textId="45230395" w:rsidR="00D24516" w:rsidRPr="009E0B95" w:rsidRDefault="0023388A" w:rsidP="009E0B95">
      <w:pPr>
        <w:widowControl w:val="0"/>
        <w:spacing w:after="240"/>
        <w:jc w:val="both"/>
        <w:rPr>
          <w:rFonts w:eastAsia="TimesNewRomanPSMT"/>
        </w:rPr>
      </w:pPr>
      <w:r w:rsidRPr="009E0B95">
        <w:rPr>
          <w:rFonts w:eastAsia="TimesNewRomanPSMT"/>
          <w:b/>
          <w:bCs/>
        </w:rPr>
        <w:t>Cornell Center on the Death Penalty Worldwide</w:t>
      </w:r>
      <w:r w:rsidRPr="009E0B95">
        <w:rPr>
          <w:rFonts w:eastAsia="TimesNewRomanPSMT"/>
        </w:rPr>
        <w:t xml:space="preserve"> (CCDPW) provides transparent data on death penalty laws and practices around the world, publishes reports and manuals on issues of practical relevance to lawyers, judges, advocates and policymakers, trains lawyers in best practices, and engages in targeted advocacy and litigation. The Center has gained a reputation for providing comparative legal analysis of the application of the death penalty, as well as for its one-of-a-kind </w:t>
      </w:r>
      <w:proofErr w:type="spellStart"/>
      <w:r w:rsidRPr="009E0B95">
        <w:rPr>
          <w:rFonts w:eastAsia="TimesNewRomanPSMT"/>
        </w:rPr>
        <w:t>Makwanyane</w:t>
      </w:r>
      <w:proofErr w:type="spellEnd"/>
      <w:r w:rsidRPr="009E0B95">
        <w:rPr>
          <w:rFonts w:eastAsia="TimesNewRomanPSMT"/>
        </w:rPr>
        <w:t xml:space="preserve"> Institute for capital defenders. Our Alice Project, which is the first global project to focus on women facing capital punishment, examines the role of gender in death penalty cases. By representing women before national and international tribunals, organizing trainings for defense lawyers and advocates, and through data collection and analysis, we are exposing the connection between gender-based discrimination and capital sentencing. Center staff and associated faculty continue to defend persons facing the death penalty around the world, with a combined caseload of dozens of death row prisoners. Students play a major role in our advocacy efforts through Professor Babcock’s International Human Rights Clinic. Generations of Cornell undergraduates and law students have contributed to our research, training, and individual case representation.</w:t>
      </w:r>
    </w:p>
    <w:p w14:paraId="6D55D554" w14:textId="4183A60D" w:rsidR="004B1E4E" w:rsidRPr="004B1E4E" w:rsidRDefault="004B1E4E" w:rsidP="008D0C78">
      <w:pPr>
        <w:pStyle w:val="ExecutiveSummary"/>
        <w:jc w:val="left"/>
      </w:pPr>
    </w:p>
    <w:p w14:paraId="407A2ACA" w14:textId="77777777" w:rsidR="00BD3586" w:rsidRDefault="00BD3586">
      <w:pPr>
        <w:rPr>
          <w:b/>
          <w:caps/>
        </w:rPr>
      </w:pPr>
      <w:r>
        <w:br w:type="page"/>
      </w:r>
    </w:p>
    <w:p w14:paraId="1FC77D31" w14:textId="7A30E2CF" w:rsidR="004B1E4E" w:rsidRPr="004B1E4E" w:rsidRDefault="004B1E4E" w:rsidP="008C19BE">
      <w:pPr>
        <w:pStyle w:val="ExecutiveSummary"/>
        <w:spacing w:after="240"/>
      </w:pPr>
      <w:r>
        <w:lastRenderedPageBreak/>
        <w:t>Executive Summary</w:t>
      </w:r>
    </w:p>
    <w:p w14:paraId="6CD9AC33" w14:textId="357D33F3" w:rsidR="004B1E4E" w:rsidRDefault="0033274D" w:rsidP="004F237D">
      <w:pPr>
        <w:pStyle w:val="Paragraph"/>
      </w:pPr>
      <w:r>
        <w:t xml:space="preserve">This report </w:t>
      </w:r>
      <w:r w:rsidR="00997061">
        <w:t>addresses the Republic of Iraq’s compliance with its human rights obligations under the Convention on the Elimination of All Forms of Discrimination against Women</w:t>
      </w:r>
      <w:r w:rsidR="00432F1A">
        <w:t xml:space="preserve">, </w:t>
      </w:r>
      <w:r w:rsidR="003E7F6A">
        <w:t>especially</w:t>
      </w:r>
      <w:r w:rsidR="003D48F7">
        <w:t xml:space="preserve"> regarding</w:t>
      </w:r>
      <w:r w:rsidR="00432F1A">
        <w:t xml:space="preserve"> its use of the death </w:t>
      </w:r>
      <w:r w:rsidR="003E7F6A">
        <w:t>penalty</w:t>
      </w:r>
      <w:r w:rsidR="002B007A">
        <w:t>.</w:t>
      </w:r>
      <w:r w:rsidR="004F237D" w:rsidRPr="004F237D">
        <w:t xml:space="preserve"> This report supplements the report that the authors submitted in</w:t>
      </w:r>
      <w:r w:rsidR="004F237D">
        <w:t xml:space="preserve"> January 2025 at the list of issues stage</w:t>
      </w:r>
      <w:r w:rsidR="00051D8F">
        <w:rPr>
          <w:rStyle w:val="FootnoteReference"/>
        </w:rPr>
        <w:footnoteReference w:id="2"/>
      </w:r>
      <w:r w:rsidR="004F237D">
        <w:t xml:space="preserve"> and provides relevant updates</w:t>
      </w:r>
      <w:r w:rsidR="004A31A4" w:rsidRPr="004A31A4">
        <w:t xml:space="preserve">. </w:t>
      </w:r>
    </w:p>
    <w:p w14:paraId="00DEF576" w14:textId="08BE5E4C" w:rsidR="001F4274" w:rsidRDefault="006A235F" w:rsidP="001F4274">
      <w:pPr>
        <w:pStyle w:val="Paragraph"/>
      </w:pPr>
      <w:r>
        <w:t>Iraq</w:t>
      </w:r>
      <w:r w:rsidR="00D51B68">
        <w:t xml:space="preserve"> continues to </w:t>
      </w:r>
      <w:r w:rsidR="0004143C">
        <w:t>carry out executions at a high rate</w:t>
      </w:r>
      <w:r w:rsidR="006461C8">
        <w:t>, and in 2024</w:t>
      </w:r>
      <w:r w:rsidR="00BA7400">
        <w:t xml:space="preserve"> Iraq carried out</w:t>
      </w:r>
      <w:r w:rsidR="002931F9">
        <w:t xml:space="preserve"> the</w:t>
      </w:r>
      <w:r w:rsidR="0093212B">
        <w:t xml:space="preserve"> fourth-</w:t>
      </w:r>
      <w:r w:rsidR="00BA7400">
        <w:t xml:space="preserve">greatest </w:t>
      </w:r>
      <w:r w:rsidR="0093212B">
        <w:t>number</w:t>
      </w:r>
      <w:r w:rsidR="002931F9">
        <w:t xml:space="preserve"> </w:t>
      </w:r>
      <w:r w:rsidR="00364C22">
        <w:t xml:space="preserve">of executions </w:t>
      </w:r>
      <w:r w:rsidR="002931F9">
        <w:t>worldwide</w:t>
      </w:r>
      <w:r w:rsidR="0004143C">
        <w:t>,</w:t>
      </w:r>
      <w:r w:rsidR="00D51B68">
        <w:rPr>
          <w:rStyle w:val="FootnoteReference"/>
        </w:rPr>
        <w:footnoteReference w:id="3"/>
      </w:r>
      <w:r w:rsidR="0004143C">
        <w:t xml:space="preserve"> which represents an increase</w:t>
      </w:r>
      <w:r w:rsidR="00A8582B">
        <w:t xml:space="preserve"> from 2023 (when it had the sixth-highest number of executions worldwide).</w:t>
      </w:r>
      <w:r w:rsidR="00A8582B">
        <w:rPr>
          <w:rStyle w:val="FootnoteReference"/>
        </w:rPr>
        <w:footnoteReference w:id="4"/>
      </w:r>
      <w:r w:rsidR="00B728D7">
        <w:t xml:space="preserve"> </w:t>
      </w:r>
      <w:r w:rsidR="009A4F2C">
        <w:t xml:space="preserve">In 2024, Iraq executed at least </w:t>
      </w:r>
      <w:r w:rsidR="00B92AB9">
        <w:t>63 people</w:t>
      </w:r>
      <w:r w:rsidR="008518DE">
        <w:t xml:space="preserve">—quadruple </w:t>
      </w:r>
      <w:r w:rsidR="007F788F">
        <w:t>the number of</w:t>
      </w:r>
      <w:r w:rsidR="00DC17E4">
        <w:t xml:space="preserve"> executions </w:t>
      </w:r>
      <w:r w:rsidR="007F788F">
        <w:t>in</w:t>
      </w:r>
      <w:r w:rsidR="00DC17E4">
        <w:t xml:space="preserve"> 2023</w:t>
      </w:r>
      <w:r w:rsidR="007F788F">
        <w:t xml:space="preserve"> (16)</w:t>
      </w:r>
      <w:r w:rsidR="00CD1D08">
        <w:t xml:space="preserve"> and</w:t>
      </w:r>
      <w:r w:rsidR="007F788F">
        <w:t xml:space="preserve"> </w:t>
      </w:r>
      <w:r w:rsidR="00CD1D08">
        <w:t xml:space="preserve">the </w:t>
      </w:r>
      <w:r w:rsidR="00327AA7">
        <w:t>greatest</w:t>
      </w:r>
      <w:r w:rsidR="00351FE8">
        <w:t xml:space="preserve"> number</w:t>
      </w:r>
      <w:r w:rsidR="007F788F">
        <w:t xml:space="preserve"> of </w:t>
      </w:r>
      <w:r w:rsidR="00327AA7">
        <w:t xml:space="preserve">recorded </w:t>
      </w:r>
      <w:r w:rsidR="007F788F">
        <w:t>executions annually</w:t>
      </w:r>
      <w:r w:rsidR="00AD23DA">
        <w:t xml:space="preserve"> </w:t>
      </w:r>
      <w:r w:rsidR="00364C22">
        <w:t>s</w:t>
      </w:r>
      <w:r w:rsidR="00CD1D08">
        <w:t>ince 2019</w:t>
      </w:r>
      <w:r w:rsidR="00DC17E4">
        <w:t>.</w:t>
      </w:r>
      <w:r w:rsidR="00DC17E4">
        <w:rPr>
          <w:rStyle w:val="FootnoteReference"/>
        </w:rPr>
        <w:footnoteReference w:id="5"/>
      </w:r>
      <w:r w:rsidR="004F21DA">
        <w:t xml:space="preserve"> </w:t>
      </w:r>
      <w:r w:rsidR="00A1275B">
        <w:t xml:space="preserve">In </w:t>
      </w:r>
      <w:r w:rsidR="00061716">
        <w:t xml:space="preserve">2024, </w:t>
      </w:r>
      <w:r w:rsidR="00A1275B">
        <w:t>Iraqi courts</w:t>
      </w:r>
      <w:r w:rsidR="00D031C2">
        <w:t xml:space="preserve"> </w:t>
      </w:r>
      <w:r w:rsidR="00A1275B">
        <w:t xml:space="preserve">sentenced </w:t>
      </w:r>
      <w:r w:rsidR="00D97090">
        <w:t>at least 200 people to death</w:t>
      </w:r>
      <w:r w:rsidR="00293003">
        <w:t xml:space="preserve"> and </w:t>
      </w:r>
      <w:r w:rsidR="00840F0F">
        <w:t xml:space="preserve">at year-end </w:t>
      </w:r>
      <w:r w:rsidR="00293003">
        <w:t>authorities held at least 8,000 people under sentence of death.</w:t>
      </w:r>
      <w:r w:rsidR="00293003">
        <w:rPr>
          <w:rStyle w:val="FootnoteReference"/>
        </w:rPr>
        <w:footnoteReference w:id="6"/>
      </w:r>
      <w:r w:rsidR="00A17782" w:rsidRPr="00A17782">
        <w:t xml:space="preserve"> </w:t>
      </w:r>
      <w:r w:rsidR="009E3E6B">
        <w:t xml:space="preserve">As of the end of 2024, </w:t>
      </w:r>
      <w:r w:rsidR="00D031C2" w:rsidRPr="00D031C2">
        <w:t xml:space="preserve">the Kurdistan Region </w:t>
      </w:r>
      <w:r w:rsidR="00195FFB">
        <w:t>held 22 women under sentence of death</w:t>
      </w:r>
      <w:r w:rsidR="00A17782" w:rsidRPr="00A17782">
        <w:t xml:space="preserve">, </w:t>
      </w:r>
      <w:r w:rsidR="00195FFB">
        <w:t>but the overall total number of women under sentence of death remains unknown</w:t>
      </w:r>
      <w:r w:rsidR="00A17782" w:rsidRPr="00A17782">
        <w:t>.</w:t>
      </w:r>
      <w:r w:rsidR="00A17782" w:rsidRPr="00A17782">
        <w:rPr>
          <w:vertAlign w:val="superscript"/>
        </w:rPr>
        <w:footnoteReference w:id="7"/>
      </w:r>
    </w:p>
    <w:p w14:paraId="1548ACCC" w14:textId="4081DE5D" w:rsidR="007A0E44" w:rsidRDefault="0002709F" w:rsidP="00423925">
      <w:pPr>
        <w:pStyle w:val="Paragraph"/>
      </w:pPr>
      <w:r w:rsidRPr="00423925">
        <w:t xml:space="preserve">Iraq </w:t>
      </w:r>
      <w:r w:rsidR="00DB1F2E">
        <w:t xml:space="preserve">asserts that it authorizes </w:t>
      </w:r>
      <w:r w:rsidRPr="00423925">
        <w:t>the death penalty only for the “most serious” crimes</w:t>
      </w:r>
      <w:r w:rsidR="00AD23DA">
        <w:t>,</w:t>
      </w:r>
      <w:r w:rsidR="00082D64" w:rsidRPr="00423925">
        <w:rPr>
          <w:rStyle w:val="FootnoteReference"/>
        </w:rPr>
        <w:footnoteReference w:id="8"/>
      </w:r>
      <w:r w:rsidRPr="00423925">
        <w:t xml:space="preserve"> </w:t>
      </w:r>
      <w:r w:rsidR="00DB1F2E">
        <w:t xml:space="preserve">but of </w:t>
      </w:r>
      <w:r w:rsidR="00423925" w:rsidRPr="00423925">
        <w:t xml:space="preserve">181 </w:t>
      </w:r>
      <w:r w:rsidR="00423925">
        <w:t>new</w:t>
      </w:r>
      <w:r w:rsidR="00423925" w:rsidRPr="00423925">
        <w:t xml:space="preserve"> death sentences, 40 were for </w:t>
      </w:r>
      <w:r w:rsidR="00645920">
        <w:t xml:space="preserve">broadly defined </w:t>
      </w:r>
      <w:r w:rsidR="00423925" w:rsidRPr="00423925">
        <w:t>terrorism-related offenses</w:t>
      </w:r>
      <w:r w:rsidR="00E91798">
        <w:t>,</w:t>
      </w:r>
      <w:r w:rsidR="00F67CBB">
        <w:rPr>
          <w:rStyle w:val="FootnoteReference"/>
        </w:rPr>
        <w:footnoteReference w:id="9"/>
      </w:r>
      <w:r w:rsidR="00423925" w:rsidRPr="00423925">
        <w:t xml:space="preserve"> 122 were for drug-related offenses, </w:t>
      </w:r>
      <w:r w:rsidR="00E91798">
        <w:t xml:space="preserve">and </w:t>
      </w:r>
      <w:r w:rsidR="00423925" w:rsidRPr="00423925">
        <w:t>only 19 were for murder.</w:t>
      </w:r>
      <w:r w:rsidR="00D57A91" w:rsidRPr="00423925">
        <w:rPr>
          <w:rStyle w:val="FootnoteReference"/>
        </w:rPr>
        <w:footnoteReference w:id="10"/>
      </w:r>
      <w:r w:rsidR="00A920BF">
        <w:t xml:space="preserve"> </w:t>
      </w:r>
      <w:r w:rsidR="00D8760C">
        <w:t xml:space="preserve">All of the 63 </w:t>
      </w:r>
      <w:r w:rsidR="004E78EE">
        <w:t xml:space="preserve">reported </w:t>
      </w:r>
      <w:r w:rsidR="00D8760C">
        <w:t>executions in 2024 were for terroris</w:t>
      </w:r>
      <w:r w:rsidR="004E78EE">
        <w:t>m</w:t>
      </w:r>
      <w:r w:rsidR="00D8760C">
        <w:t xml:space="preserve">-related </w:t>
      </w:r>
      <w:r w:rsidR="004E78EE">
        <w:t>offenses</w:t>
      </w:r>
      <w:r w:rsidR="00D8760C">
        <w:t>.</w:t>
      </w:r>
      <w:r w:rsidR="00D8760C">
        <w:rPr>
          <w:rStyle w:val="FootnoteReference"/>
        </w:rPr>
        <w:footnoteReference w:id="11"/>
      </w:r>
    </w:p>
    <w:p w14:paraId="53F494F8" w14:textId="6E7DA6B2" w:rsidR="001F4274" w:rsidRDefault="003320BA" w:rsidP="00B3702A">
      <w:pPr>
        <w:pStyle w:val="Paragraph"/>
      </w:pPr>
      <w:r>
        <w:lastRenderedPageBreak/>
        <w:t>Iraq is one of six countries known to have executed at least one woman in 2024, and one of nine countries known to have sentenced women to death in 2024.</w:t>
      </w:r>
      <w:r>
        <w:rPr>
          <w:rStyle w:val="FootnoteReference"/>
        </w:rPr>
        <w:footnoteReference w:id="12"/>
      </w:r>
      <w:r>
        <w:t xml:space="preserve"> </w:t>
      </w:r>
    </w:p>
    <w:p w14:paraId="0316D94B" w14:textId="77777777" w:rsidR="007A0E44" w:rsidRDefault="006357EE" w:rsidP="007A0E44">
      <w:pPr>
        <w:pStyle w:val="SectionSummary"/>
        <w:spacing w:after="0"/>
      </w:pPr>
      <w:r>
        <w:t>Iraq</w:t>
      </w:r>
      <w:r w:rsidR="008F2F99" w:rsidRPr="008F2F99">
        <w:t xml:space="preserve"> fails to uphold its obligations under the </w:t>
      </w:r>
      <w:r>
        <w:t xml:space="preserve">Convention on the Elimination of All </w:t>
      </w:r>
    </w:p>
    <w:p w14:paraId="75B00959" w14:textId="32949C66" w:rsidR="008F2F99" w:rsidRDefault="006357EE" w:rsidP="007A0E44">
      <w:pPr>
        <w:pStyle w:val="SectionSummary"/>
        <w:spacing w:before="0"/>
      </w:pPr>
      <w:r>
        <w:t xml:space="preserve">Forms of Discrimination </w:t>
      </w:r>
      <w:r w:rsidR="007A0E44">
        <w:t>A</w:t>
      </w:r>
      <w:r>
        <w:t>gainst Women</w:t>
      </w:r>
    </w:p>
    <w:p w14:paraId="1221B185" w14:textId="43F74E7B" w:rsidR="007157D3" w:rsidRPr="00B47660" w:rsidRDefault="007157D3" w:rsidP="007157D3">
      <w:pPr>
        <w:pStyle w:val="SectionHeading"/>
        <w:rPr>
          <w:rFonts w:cs="Times New Roman"/>
          <w:szCs w:val="24"/>
        </w:rPr>
      </w:pPr>
      <w:r>
        <w:rPr>
          <w:rFonts w:cs="Times New Roman"/>
          <w:szCs w:val="24"/>
        </w:rPr>
        <w:t>Authorities sentence women to death and execute them for crimes that are not the “most serious” under international law</w:t>
      </w:r>
      <w:r w:rsidR="00CB554D">
        <w:rPr>
          <w:rFonts w:cs="Times New Roman"/>
          <w:szCs w:val="24"/>
        </w:rPr>
        <w:t xml:space="preserve"> (List of Issues para. 6(a))</w:t>
      </w:r>
      <w:r>
        <w:rPr>
          <w:rFonts w:cs="Times New Roman"/>
          <w:szCs w:val="24"/>
        </w:rPr>
        <w:t>.</w:t>
      </w:r>
    </w:p>
    <w:p w14:paraId="3BB44617" w14:textId="2FE170CF" w:rsidR="00CB554D" w:rsidRDefault="00CB554D" w:rsidP="0023391E">
      <w:pPr>
        <w:pStyle w:val="Paragraph"/>
      </w:pPr>
      <w:r>
        <w:t xml:space="preserve">The Committee </w:t>
      </w:r>
      <w:r w:rsidR="00C10770">
        <w:t xml:space="preserve">in its List of Issues </w:t>
      </w:r>
      <w:r>
        <w:t>requested information about “[t]</w:t>
      </w:r>
      <w:proofErr w:type="gramStart"/>
      <w:r>
        <w:t>he</w:t>
      </w:r>
      <w:proofErr w:type="gramEnd"/>
      <w:r>
        <w:t xml:space="preserve"> number of cases in which women have been sentenced to death and the number of women executed in the past four years, including in the Kurdistan Region, with data disaggregated by age and type of offence charged.”</w:t>
      </w:r>
      <w:r w:rsidR="005F4E7C">
        <w:rPr>
          <w:rStyle w:val="FootnoteReference"/>
        </w:rPr>
        <w:footnoteReference w:id="13"/>
      </w:r>
    </w:p>
    <w:p w14:paraId="677949D3" w14:textId="43C76DCD" w:rsidR="005221D6" w:rsidRDefault="004E08AC" w:rsidP="0023391E">
      <w:pPr>
        <w:pStyle w:val="Paragraph"/>
      </w:pPr>
      <w:r>
        <w:t>As detailed in the coauthors’ report at the List of Issues stage, authorities sentence women to death for drug-related offenses and vaguely defined terrorism crimes, among other offenses.</w:t>
      </w:r>
      <w:r w:rsidR="004046D3">
        <w:rPr>
          <w:rStyle w:val="FootnoteReference"/>
        </w:rPr>
        <w:footnoteReference w:id="14"/>
      </w:r>
      <w:r w:rsidR="005F52DB">
        <w:t xml:space="preserve"> The absence of data about women sentenced to death and executed, as well as general </w:t>
      </w:r>
      <w:r w:rsidR="00D63A73">
        <w:t>crime-related data disaggregated by gender and offense, hinders a detailed analysis of gender bias at work in capital cases</w:t>
      </w:r>
      <w:r w:rsidR="001D7DA9">
        <w:t>.</w:t>
      </w:r>
    </w:p>
    <w:p w14:paraId="75468232" w14:textId="6C8E4CC5" w:rsidR="00467FB6" w:rsidRDefault="00467FB6" w:rsidP="0023391E">
      <w:pPr>
        <w:pStyle w:val="Paragraph"/>
      </w:pPr>
      <w:r>
        <w:t xml:space="preserve">The Abolition Death Penalty of Iraq Organization has obtained information about several </w:t>
      </w:r>
      <w:r w:rsidR="003D6A4A">
        <w:t>people sentenced to death for offenses they committed when they were under the age of 18, although it is unclear whether any of these offenders was a girl</w:t>
      </w:r>
      <w:r w:rsidR="00E00EE6">
        <w:t xml:space="preserve"> at the time of the offense</w:t>
      </w:r>
      <w:r w:rsidR="003D6A4A">
        <w:t xml:space="preserve">. </w:t>
      </w:r>
    </w:p>
    <w:p w14:paraId="7E4FBC1C" w14:textId="564A3BDA" w:rsidR="00EA0EEB" w:rsidRDefault="00EA0EEB" w:rsidP="00EF1564">
      <w:pPr>
        <w:pStyle w:val="Paragraph"/>
      </w:pPr>
      <w:r w:rsidRPr="006E0467">
        <w:rPr>
          <w:b/>
          <w:bCs/>
        </w:rPr>
        <w:t>Suggested recommendations</w:t>
      </w:r>
      <w:r w:rsidR="00524166" w:rsidRPr="006E0467">
        <w:rPr>
          <w:b/>
          <w:bCs/>
        </w:rPr>
        <w:t xml:space="preserve"> </w:t>
      </w:r>
      <w:r w:rsidR="00524166" w:rsidRPr="0070771A">
        <w:t xml:space="preserve">relating to </w:t>
      </w:r>
      <w:r w:rsidR="00EA0B30">
        <w:t>the scope of death penalty offenses</w:t>
      </w:r>
      <w:r w:rsidR="00C226DA">
        <w:t xml:space="preserve"> and disaggregated data about death penalty practices</w:t>
      </w:r>
      <w:r w:rsidR="00EA0B30">
        <w:t>:</w:t>
      </w:r>
    </w:p>
    <w:p w14:paraId="33A63C31" w14:textId="0659BF6E" w:rsidR="00EA0B30" w:rsidRDefault="00704D96" w:rsidP="00EA0B30">
      <w:pPr>
        <w:pStyle w:val="Paragraph"/>
        <w:numPr>
          <w:ilvl w:val="0"/>
          <w:numId w:val="13"/>
        </w:numPr>
      </w:pPr>
      <w:r>
        <w:t>Abolish the death penalty and in the interim i</w:t>
      </w:r>
      <w:r w:rsidR="003055C6">
        <w:t>mpose a formal, state-wide moratorium on executions</w:t>
      </w:r>
      <w:r w:rsidR="00CB3DFD">
        <w:t>.</w:t>
      </w:r>
    </w:p>
    <w:p w14:paraId="5BC22CB9" w14:textId="4A647702" w:rsidR="00CB3DFD" w:rsidRDefault="00CB3DFD" w:rsidP="00CB3DFD">
      <w:pPr>
        <w:pStyle w:val="Paragraph"/>
        <w:numPr>
          <w:ilvl w:val="0"/>
          <w:numId w:val="13"/>
        </w:numPr>
      </w:pPr>
      <w:r>
        <w:t xml:space="preserve">Amend the Penal Code and other laws to </w:t>
      </w:r>
      <w:r w:rsidR="00463AF1">
        <w:t xml:space="preserve">limit </w:t>
      </w:r>
      <w:r>
        <w:t>the death penalty</w:t>
      </w:r>
      <w:r w:rsidR="007A486F">
        <w:t xml:space="preserve"> </w:t>
      </w:r>
      <w:r w:rsidR="00463AF1">
        <w:t xml:space="preserve">to </w:t>
      </w:r>
      <w:r w:rsidR="007A486F">
        <w:t xml:space="preserve">crimes </w:t>
      </w:r>
      <w:r w:rsidR="00463AF1">
        <w:t xml:space="preserve">that are </w:t>
      </w:r>
      <w:r w:rsidR="007A486F">
        <w:t>“the most serious”</w:t>
      </w:r>
      <w:r w:rsidR="00463AF1">
        <w:t xml:space="preserve"> under international human rights standards.</w:t>
      </w:r>
    </w:p>
    <w:p w14:paraId="1D982702" w14:textId="12E3AAEB" w:rsidR="00E976A9" w:rsidRDefault="00E976A9" w:rsidP="00CB3DFD">
      <w:pPr>
        <w:pStyle w:val="Paragraph"/>
        <w:numPr>
          <w:ilvl w:val="0"/>
          <w:numId w:val="13"/>
        </w:numPr>
      </w:pPr>
      <w:r>
        <w:t>Commute the death sentences of any women sentenced to death for an offense that did not entail the woman committing an intentional killing</w:t>
      </w:r>
      <w:r w:rsidR="00D83644">
        <w:t>.</w:t>
      </w:r>
    </w:p>
    <w:p w14:paraId="18D4CBC9" w14:textId="03082D2F" w:rsidR="003055C6" w:rsidRDefault="00704D96" w:rsidP="00EA0B30">
      <w:pPr>
        <w:pStyle w:val="Paragraph"/>
        <w:numPr>
          <w:ilvl w:val="0"/>
          <w:numId w:val="13"/>
        </w:numPr>
      </w:pPr>
      <w:r>
        <w:t xml:space="preserve">On an annual basis, publish comprehensive data about all people </w:t>
      </w:r>
      <w:r w:rsidR="007B2C28">
        <w:t>sentenced to death, under sentence of death, and executed, disaggregated by sex/gender,</w:t>
      </w:r>
      <w:r w:rsidR="007F4880">
        <w:t xml:space="preserve"> </w:t>
      </w:r>
      <w:r w:rsidR="00914321">
        <w:t xml:space="preserve">date </w:t>
      </w:r>
      <w:r w:rsidR="00012D7F">
        <w:t xml:space="preserve">of birth, </w:t>
      </w:r>
      <w:r w:rsidR="007F4880">
        <w:t>nationality,</w:t>
      </w:r>
      <w:r w:rsidR="00012D7F">
        <w:t xml:space="preserve"> </w:t>
      </w:r>
      <w:r w:rsidR="00914321">
        <w:t xml:space="preserve">date of alleged offense, </w:t>
      </w:r>
      <w:r w:rsidR="00012D7F">
        <w:t>occupation at the time of arrest, crime of conviction, relationship to any victims or codefendants</w:t>
      </w:r>
      <w:r w:rsidR="00B75A63">
        <w:t>, age of any dependent children, and status of the case</w:t>
      </w:r>
      <w:r w:rsidR="00B81BD1">
        <w:t>.</w:t>
      </w:r>
    </w:p>
    <w:p w14:paraId="152281AA" w14:textId="42C373E1" w:rsidR="00D2581C" w:rsidRPr="00B47660" w:rsidRDefault="00D42B7B" w:rsidP="00D2581C">
      <w:pPr>
        <w:pStyle w:val="SectionHeading"/>
        <w:keepNext/>
        <w:rPr>
          <w:rFonts w:cs="Times New Roman"/>
          <w:szCs w:val="24"/>
        </w:rPr>
      </w:pPr>
      <w:r>
        <w:rPr>
          <w:rFonts w:eastAsia="Times New Roman" w:cs="Times New Roman"/>
          <w:szCs w:val="24"/>
        </w:rPr>
        <w:lastRenderedPageBreak/>
        <w:t>The criminal legal system lacks</w:t>
      </w:r>
      <w:r w:rsidR="008D1926">
        <w:rPr>
          <w:rFonts w:eastAsia="Times New Roman" w:cs="Times New Roman"/>
          <w:szCs w:val="24"/>
        </w:rPr>
        <w:t xml:space="preserve"> gender-responsive procedures and legal provisions condone gender-based violence</w:t>
      </w:r>
      <w:r w:rsidR="00D2581C" w:rsidRPr="00B47660">
        <w:rPr>
          <w:rFonts w:cs="Times New Roman"/>
          <w:szCs w:val="24"/>
        </w:rPr>
        <w:t xml:space="preserve"> (</w:t>
      </w:r>
      <w:r w:rsidR="00C10770">
        <w:rPr>
          <w:rFonts w:cs="Times New Roman"/>
          <w:bCs/>
          <w:szCs w:val="24"/>
        </w:rPr>
        <w:t>List of Issues para. 5</w:t>
      </w:r>
      <w:r w:rsidR="00986C68">
        <w:rPr>
          <w:rFonts w:cs="Times New Roman"/>
          <w:bCs/>
          <w:szCs w:val="24"/>
        </w:rPr>
        <w:t>(a)-(b)</w:t>
      </w:r>
      <w:r w:rsidR="00A85778">
        <w:rPr>
          <w:rFonts w:cs="Times New Roman"/>
          <w:bCs/>
          <w:szCs w:val="24"/>
        </w:rPr>
        <w:t>, 1</w:t>
      </w:r>
      <w:r w:rsidR="007A608B">
        <w:rPr>
          <w:rFonts w:cs="Times New Roman"/>
          <w:bCs/>
          <w:szCs w:val="24"/>
        </w:rPr>
        <w:t>0</w:t>
      </w:r>
      <w:r w:rsidR="00D2581C" w:rsidRPr="00B47660">
        <w:rPr>
          <w:rFonts w:cs="Times New Roman"/>
          <w:bCs/>
          <w:szCs w:val="24"/>
        </w:rPr>
        <w:t>)</w:t>
      </w:r>
      <w:r w:rsidR="00D2581C">
        <w:rPr>
          <w:rFonts w:cs="Times New Roman"/>
          <w:bCs/>
          <w:szCs w:val="24"/>
        </w:rPr>
        <w:t>.</w:t>
      </w:r>
    </w:p>
    <w:p w14:paraId="2580DF14" w14:textId="5B1A2004" w:rsidR="00C10770" w:rsidRDefault="00C10770" w:rsidP="00DE2873">
      <w:pPr>
        <w:pStyle w:val="Paragraph"/>
      </w:pPr>
      <w:bookmarkStart w:id="5" w:name="_Hlk201743922"/>
      <w:r>
        <w:t>The Committee in its List of Issues requested information about “measures taken to strengthen the capacity of judges, prosecutors, police officers, corrections officers, other law enforcement officials and lawyers in relation to gender-responsive procedures and women’s rights and to address victim-blaming beliefs and judicial gender bias.”</w:t>
      </w:r>
      <w:r>
        <w:rPr>
          <w:rStyle w:val="FootnoteReference"/>
        </w:rPr>
        <w:footnoteReference w:id="15"/>
      </w:r>
      <w:r>
        <w:t xml:space="preserve"> The Committee also requested information about the number of women serving in those various positions</w:t>
      </w:r>
      <w:r w:rsidR="00986C68">
        <w:t>.</w:t>
      </w:r>
      <w:r w:rsidR="00986C68">
        <w:rPr>
          <w:rStyle w:val="FootnoteReference"/>
        </w:rPr>
        <w:footnoteReference w:id="16"/>
      </w:r>
    </w:p>
    <w:p w14:paraId="6915DE15" w14:textId="296F1A94" w:rsidR="007F4771" w:rsidRDefault="007F4771" w:rsidP="00DE2873">
      <w:pPr>
        <w:pStyle w:val="Paragraph"/>
      </w:pPr>
      <w:r>
        <w:t>As detailed in the coauthors’ List of Issues report,</w:t>
      </w:r>
      <w:r w:rsidR="008D4B51">
        <w:t xml:space="preserve"> discriminatory attitudes of police and other government officials create barriers for women to access justice</w:t>
      </w:r>
      <w:r w:rsidR="00E164E9">
        <w:t>.</w:t>
      </w:r>
      <w:r w:rsidR="002D455E">
        <w:t xml:space="preserve"> Stigma </w:t>
      </w:r>
      <w:proofErr w:type="gramStart"/>
      <w:r w:rsidR="002D455E">
        <w:t>surrounding</w:t>
      </w:r>
      <w:proofErr w:type="gramEnd"/>
      <w:r w:rsidR="002D455E">
        <w:t xml:space="preserve"> </w:t>
      </w:r>
      <w:r w:rsidR="00E6078F">
        <w:t>seeking external support or pursuing legal measures against a family member further discourages reporting.</w:t>
      </w:r>
      <w:r w:rsidR="00E164E9">
        <w:t xml:space="preserve"> In th</w:t>
      </w:r>
      <w:r w:rsidR="00E6078F">
        <w:t>is</w:t>
      </w:r>
      <w:r w:rsidR="00E164E9">
        <w:t xml:space="preserve"> context of impunity for perpetrators of gender-based violence and the absence of any viable means for survivors to escape prolonged abuse, women are at heightened risk of coming into conflict with the law, and </w:t>
      </w:r>
      <w:r w:rsidR="007A6F49">
        <w:t>if they do kill their abusers, they are at risk of being sentenced to death.</w:t>
      </w:r>
      <w:r w:rsidR="007A6F49">
        <w:rPr>
          <w:rStyle w:val="FootnoteReference"/>
        </w:rPr>
        <w:footnoteReference w:id="17"/>
      </w:r>
    </w:p>
    <w:p w14:paraId="50FAA0F5" w14:textId="39FEE846" w:rsidR="00DA09D9" w:rsidRDefault="00DA09D9" w:rsidP="00A04558">
      <w:pPr>
        <w:pStyle w:val="Paragraph"/>
      </w:pPr>
      <w:r>
        <w:t>Since 2003, the number of women in Iraq’s judiciary has increased from 6 to 110, but the judiciary is still male-dominated.</w:t>
      </w:r>
      <w:r>
        <w:rPr>
          <w:rStyle w:val="FootnoteReference"/>
        </w:rPr>
        <w:footnoteReference w:id="18"/>
      </w:r>
      <w:r>
        <w:t xml:space="preserve"> As noted in the coauthors’ report</w:t>
      </w:r>
      <w:r w:rsidR="00457570">
        <w:t xml:space="preserve"> at the List of Issues stage</w:t>
      </w:r>
      <w:r>
        <w:t xml:space="preserve">, despite the increase in </w:t>
      </w:r>
      <w:r w:rsidR="00457570">
        <w:t xml:space="preserve">women’s </w:t>
      </w:r>
      <w:r>
        <w:t xml:space="preserve">political and judicial participation, women accused of crimes continue to face discrimination in the legal system, which can translate to harsher sentences than those handed down to </w:t>
      </w:r>
      <w:r w:rsidRPr="00072818">
        <w:t>their male counterparts</w:t>
      </w:r>
      <w:r>
        <w:t>, including the death penalty.</w:t>
      </w:r>
      <w:r w:rsidR="00E533A6">
        <w:rPr>
          <w:rStyle w:val="FootnoteReference"/>
        </w:rPr>
        <w:footnoteReference w:id="19"/>
      </w:r>
      <w:r>
        <w:t xml:space="preserve"> </w:t>
      </w:r>
    </w:p>
    <w:p w14:paraId="42FE1413" w14:textId="2E71C143" w:rsidR="007A608B" w:rsidRDefault="007A608B" w:rsidP="00DE2873">
      <w:pPr>
        <w:pStyle w:val="Paragraph"/>
      </w:pPr>
      <w:r>
        <w:t>The Committee also requested comprehensive disaggregated data about</w:t>
      </w:r>
      <w:r w:rsidR="00541FD7">
        <w:t xml:space="preserve"> “court cases in which articles 128, 130 and 131 of the Penal Code, in relation to the </w:t>
      </w:r>
      <w:proofErr w:type="spellStart"/>
      <w:r w:rsidR="00541FD7">
        <w:t>defence</w:t>
      </w:r>
      <w:proofErr w:type="spellEnd"/>
      <w:r w:rsidR="00541FD7">
        <w:t xml:space="preserve"> of “</w:t>
      </w:r>
      <w:proofErr w:type="spellStart"/>
      <w:r w:rsidR="00541FD7">
        <w:t>honour</w:t>
      </w:r>
      <w:proofErr w:type="spellEnd"/>
      <w:r w:rsidR="00541FD7">
        <w:t>” as a mitigating circumstance . . . have been in</w:t>
      </w:r>
      <w:r w:rsidR="00425D03">
        <w:t>voked,” as well as any “studies conducted to assess the extent of underreporting of relevant cases and the impact of those legal provisions on women and girls.”</w:t>
      </w:r>
      <w:r w:rsidR="00425D03">
        <w:rPr>
          <w:rStyle w:val="FootnoteReference"/>
        </w:rPr>
        <w:footnoteReference w:id="20"/>
      </w:r>
    </w:p>
    <w:p w14:paraId="522A7F4B" w14:textId="03E62C20" w:rsidR="00BA21E9" w:rsidRDefault="00BA21E9" w:rsidP="00DE2873">
      <w:pPr>
        <w:pStyle w:val="Paragraph"/>
      </w:pPr>
      <w:r>
        <w:t>As described in greater detail in the coauthors’ List of Issues report, the Penal Code authorizes judicial mitigation</w:t>
      </w:r>
      <w:r w:rsidR="00180794">
        <w:t xml:space="preserve"> under certain circumstances when husbands kill their wives, </w:t>
      </w:r>
      <w:r w:rsidR="00180794">
        <w:lastRenderedPageBreak/>
        <w:t>but there is no similar provision when wives kill their husbands, and several hundred women and girls are killed every hear in “honor” crimes.</w:t>
      </w:r>
      <w:r w:rsidR="002A76D8">
        <w:rPr>
          <w:rStyle w:val="FootnoteReference"/>
        </w:rPr>
        <w:footnoteReference w:id="21"/>
      </w:r>
    </w:p>
    <w:p w14:paraId="3C378D0E" w14:textId="71FEDDB0" w:rsidR="00EF1564" w:rsidRDefault="00EA0EEB" w:rsidP="00EF1564">
      <w:pPr>
        <w:pStyle w:val="Paragraph"/>
      </w:pPr>
      <w:r w:rsidRPr="006E0467">
        <w:rPr>
          <w:b/>
          <w:bCs/>
        </w:rPr>
        <w:t>Suggested recommendations</w:t>
      </w:r>
      <w:r w:rsidR="00524166" w:rsidRPr="006E0467">
        <w:rPr>
          <w:b/>
          <w:bCs/>
        </w:rPr>
        <w:t xml:space="preserve"> </w:t>
      </w:r>
      <w:r w:rsidR="00524166" w:rsidRPr="0070771A">
        <w:t xml:space="preserve">relating to </w:t>
      </w:r>
      <w:bookmarkEnd w:id="5"/>
      <w:r w:rsidR="00B21041">
        <w:t>gender-responsive procedures in the criminal legal system, “honor” mitigation,</w:t>
      </w:r>
      <w:r w:rsidR="00D9359F">
        <w:t xml:space="preserve"> and access to justice:</w:t>
      </w:r>
    </w:p>
    <w:p w14:paraId="4AECB4B3" w14:textId="7D75DF0D" w:rsidR="007A486F" w:rsidRDefault="000A2C4A" w:rsidP="007A486F">
      <w:pPr>
        <w:pStyle w:val="Paragraph"/>
        <w:numPr>
          <w:ilvl w:val="0"/>
          <w:numId w:val="13"/>
        </w:numPr>
      </w:pPr>
      <w:r>
        <w:t xml:space="preserve">Amend the Penal Code to add gender-specific </w:t>
      </w:r>
      <w:r w:rsidR="0082161C">
        <w:t xml:space="preserve">defenses and gender-specific </w:t>
      </w:r>
      <w:r>
        <w:t>mitigation</w:t>
      </w:r>
      <w:r w:rsidR="0082161C">
        <w:t>, particularly in the context of women charged with killing or harming their abusers</w:t>
      </w:r>
      <w:r w:rsidR="00AD3753">
        <w:t>, and to eliminate provisions authorizing “</w:t>
      </w:r>
      <w:proofErr w:type="spellStart"/>
      <w:r w:rsidR="00AD3753">
        <w:t>honour</w:t>
      </w:r>
      <w:proofErr w:type="spellEnd"/>
      <w:r w:rsidR="00AD3753">
        <w:t>” as a mitigating circumstance</w:t>
      </w:r>
      <w:r w:rsidR="0082161C">
        <w:t>.</w:t>
      </w:r>
    </w:p>
    <w:p w14:paraId="5C5A4A3A" w14:textId="294E8346" w:rsidR="00ED26E7" w:rsidRDefault="00ED26E7" w:rsidP="007A486F">
      <w:pPr>
        <w:pStyle w:val="Paragraph"/>
        <w:numPr>
          <w:ilvl w:val="0"/>
          <w:numId w:val="13"/>
        </w:numPr>
      </w:pPr>
      <w:r>
        <w:t>In collaboration with civil society organizations, undertake comprehensive training for all judges and other judicial officers presiding over capital criminal proceedings to educate them about the importance of considering gender-specific defenses and gender-specific mitigation.</w:t>
      </w:r>
    </w:p>
    <w:p w14:paraId="6631E83F" w14:textId="58B21E96" w:rsidR="003C732A" w:rsidRDefault="002755F5" w:rsidP="007B18CA">
      <w:pPr>
        <w:pStyle w:val="SectionHeading"/>
        <w:keepNext/>
        <w:jc w:val="both"/>
        <w:rPr>
          <w:rFonts w:cs="Times New Roman"/>
          <w:szCs w:val="24"/>
        </w:rPr>
      </w:pPr>
      <w:r>
        <w:rPr>
          <w:rFonts w:cs="Times New Roman"/>
          <w:szCs w:val="24"/>
        </w:rPr>
        <w:t>The criminal legal system fails to provide adequate legal representation to w</w:t>
      </w:r>
      <w:r w:rsidR="003C732A">
        <w:rPr>
          <w:rFonts w:cs="Times New Roman"/>
          <w:szCs w:val="24"/>
        </w:rPr>
        <w:t>omen and girls in conflict with the law</w:t>
      </w:r>
      <w:r>
        <w:rPr>
          <w:rFonts w:cs="Times New Roman"/>
          <w:szCs w:val="24"/>
        </w:rPr>
        <w:t xml:space="preserve"> (List of Issues para. 5(c)).</w:t>
      </w:r>
    </w:p>
    <w:p w14:paraId="3CE20F7B" w14:textId="4EB57BE3" w:rsidR="002755F5" w:rsidRDefault="00AD7EFA" w:rsidP="00AD7EFA">
      <w:pPr>
        <w:pStyle w:val="Paragraph"/>
      </w:pPr>
      <w:r>
        <w:t xml:space="preserve">The Committee in its List of Issues requested information about the draft law on legal aid, including </w:t>
      </w:r>
      <w:r w:rsidR="00100CDB">
        <w:t>for women and girls who are victims of domestic and sexual violence, as well as “specific measures taken to institutionalize and strengthen access to quality legal aid services for women and girls.”</w:t>
      </w:r>
      <w:r w:rsidR="009274E8">
        <w:rPr>
          <w:rStyle w:val="FootnoteReference"/>
        </w:rPr>
        <w:footnoteReference w:id="22"/>
      </w:r>
    </w:p>
    <w:p w14:paraId="1D7C6046" w14:textId="51CCE63B" w:rsidR="00B128A7" w:rsidRDefault="00B128A7" w:rsidP="00AD7EFA">
      <w:pPr>
        <w:pStyle w:val="Paragraph"/>
      </w:pPr>
      <w:r>
        <w:t>As discussed in the coauthors’ report at the List of Issues stage,</w:t>
      </w:r>
      <w:r w:rsidR="00961A34">
        <w:t xml:space="preserve"> in 2024 authorities at Nasiriyah Central Prison carried out a mass execution of 21 people, including one woman.</w:t>
      </w:r>
      <w:r w:rsidR="002B1228">
        <w:rPr>
          <w:rStyle w:val="FootnoteReference"/>
        </w:rPr>
        <w:footnoteReference w:id="23"/>
      </w:r>
      <w:r w:rsidR="00A81639">
        <w:t xml:space="preserve"> </w:t>
      </w:r>
      <w:r w:rsidR="00251159">
        <w:t>Authorities accused the woman of being part of the Islamic State and of being a part of a group of people who killed a person during an anti-government demonstration in 2019.</w:t>
      </w:r>
      <w:r w:rsidR="00251159">
        <w:rPr>
          <w:rStyle w:val="FootnoteReference"/>
        </w:rPr>
        <w:footnoteReference w:id="24"/>
      </w:r>
      <w:r w:rsidR="00251159">
        <w:t xml:space="preserve"> </w:t>
      </w:r>
      <w:r w:rsidR="006B7674">
        <w:t>As set forth in the coauthors’ report,</w:t>
      </w:r>
      <w:r w:rsidR="008D4539">
        <w:t xml:space="preserve"> available information suggests that the case arose as a government backlash against the events of the October 2019 uprising.</w:t>
      </w:r>
      <w:r w:rsidR="008D4539">
        <w:rPr>
          <w:rStyle w:val="FootnoteReference"/>
        </w:rPr>
        <w:footnoteReference w:id="25"/>
      </w:r>
      <w:r w:rsidR="008D4539">
        <w:t xml:space="preserve"> </w:t>
      </w:r>
      <w:r w:rsidR="00A81639">
        <w:t xml:space="preserve">Mass executions </w:t>
      </w:r>
      <w:r w:rsidR="008971D5">
        <w:t xml:space="preserve">also </w:t>
      </w:r>
      <w:r w:rsidR="00A81639">
        <w:t xml:space="preserve">underscore additional human rights concerns because in many cases </w:t>
      </w:r>
      <w:r w:rsidR="00055168">
        <w:t xml:space="preserve">authorities </w:t>
      </w:r>
      <w:r w:rsidR="008418ED">
        <w:t>obtained those death sentences after unfair trials in which the prosecution relied on evidence extracted through torture</w:t>
      </w:r>
      <w:r w:rsidR="008971D5">
        <w:t xml:space="preserve">, and authorities failed to notify the defendants’ </w:t>
      </w:r>
      <w:r w:rsidR="008971D5">
        <w:lastRenderedPageBreak/>
        <w:t>family or legal counsel prior to the execution</w:t>
      </w:r>
      <w:r w:rsidR="008418ED">
        <w:t>.</w:t>
      </w:r>
      <w:r w:rsidR="008418ED">
        <w:rPr>
          <w:rStyle w:val="FootnoteReference"/>
        </w:rPr>
        <w:footnoteReference w:id="26"/>
      </w:r>
      <w:r w:rsidR="00F81137">
        <w:t xml:space="preserve"> </w:t>
      </w:r>
      <w:r w:rsidR="006045D2">
        <w:t>It is unclear whether the woman</w:t>
      </w:r>
      <w:r w:rsidR="009C39A7">
        <w:t xml:space="preserve"> who was part of the mass execution received adequate legal representation or whether authorities secured her conviction based primarily on guilt by association.</w:t>
      </w:r>
    </w:p>
    <w:p w14:paraId="27B61E4D" w14:textId="5EED0D0C" w:rsidR="006143D3" w:rsidRDefault="006143D3" w:rsidP="006143D3">
      <w:pPr>
        <w:pStyle w:val="Paragraph"/>
      </w:pPr>
      <w:r w:rsidRPr="006E0467">
        <w:rPr>
          <w:b/>
          <w:bCs/>
        </w:rPr>
        <w:t xml:space="preserve">Suggested recommendations </w:t>
      </w:r>
      <w:r w:rsidRPr="0070771A">
        <w:t xml:space="preserve">relating to </w:t>
      </w:r>
      <w:r>
        <w:t>gender-responsive procedures in the criminal legal system, “honor” mitigation, and access to justice:</w:t>
      </w:r>
    </w:p>
    <w:p w14:paraId="12E77B26" w14:textId="716F26F4" w:rsidR="0085100D" w:rsidRDefault="0085100D" w:rsidP="00855CD9">
      <w:pPr>
        <w:pStyle w:val="Paragraph"/>
        <w:numPr>
          <w:ilvl w:val="0"/>
          <w:numId w:val="13"/>
        </w:numPr>
      </w:pPr>
      <w:r>
        <w:t xml:space="preserve">Ensure that every woman charged with a capital crime has access to qualified legal counsel with prior experience in capital </w:t>
      </w:r>
      <w:proofErr w:type="gramStart"/>
      <w:r>
        <w:t>cases, and</w:t>
      </w:r>
      <w:proofErr w:type="gramEnd"/>
      <w:r>
        <w:t xml:space="preserve"> ensure that legal counsel receive adequate compensation</w:t>
      </w:r>
      <w:r w:rsidR="005C0261">
        <w:t xml:space="preserve"> as well as sufficient funding to </w:t>
      </w:r>
      <w:proofErr w:type="gramStart"/>
      <w:r w:rsidR="005C0261">
        <w:t>conduct an investigation</w:t>
      </w:r>
      <w:proofErr w:type="gramEnd"/>
      <w:r w:rsidR="005C0261">
        <w:t xml:space="preserve"> and hire defense experts as needed.</w:t>
      </w:r>
    </w:p>
    <w:p w14:paraId="7B31BAE3" w14:textId="788B4BCA" w:rsidR="00DE5CFF" w:rsidRDefault="00DE5CFF" w:rsidP="00855CD9">
      <w:pPr>
        <w:pStyle w:val="Paragraph"/>
        <w:numPr>
          <w:ilvl w:val="0"/>
          <w:numId w:val="13"/>
        </w:numPr>
      </w:pPr>
      <w:r>
        <w:t>In collaboration with civil society organizations, ensure that training for public defenders and other attorneys providing legal aid to defendants in criminal proceedings includes strategies for presenting gender-specific defenses and gender-specific mitigation in capital trials, encompassing trauma, gender-based violence, economic pressures, and family caretaking responsibilities.</w:t>
      </w:r>
    </w:p>
    <w:p w14:paraId="16FC312C" w14:textId="46F0355C" w:rsidR="00855CD9" w:rsidRDefault="006314C1" w:rsidP="00855CD9">
      <w:pPr>
        <w:pStyle w:val="Paragraph"/>
        <w:numPr>
          <w:ilvl w:val="0"/>
          <w:numId w:val="13"/>
        </w:numPr>
      </w:pPr>
      <w:r>
        <w:t xml:space="preserve">Provide timely notification of </w:t>
      </w:r>
      <w:r w:rsidR="00016EF3">
        <w:t xml:space="preserve">forthcoming </w:t>
      </w:r>
      <w:r>
        <w:t>execution</w:t>
      </w:r>
      <w:r w:rsidR="00016EF3">
        <w:t>s</w:t>
      </w:r>
      <w:r>
        <w:t xml:space="preserve"> to defendants, their family, and legal counsel</w:t>
      </w:r>
      <w:r w:rsidR="00016EF3">
        <w:t>.</w:t>
      </w:r>
    </w:p>
    <w:p w14:paraId="483E78E3" w14:textId="7C908429" w:rsidR="007A1B70" w:rsidRDefault="007A1B70" w:rsidP="00855CD9">
      <w:pPr>
        <w:pStyle w:val="Paragraph"/>
        <w:numPr>
          <w:ilvl w:val="0"/>
          <w:numId w:val="13"/>
        </w:numPr>
      </w:pPr>
      <w:r>
        <w:t xml:space="preserve">Ensure that women do not face </w:t>
      </w:r>
      <w:r w:rsidR="009737AE">
        <w:t xml:space="preserve">death penalty </w:t>
      </w:r>
      <w:r>
        <w:t xml:space="preserve">charges for terrorism-related offenses arising solely out </w:t>
      </w:r>
      <w:r w:rsidR="00524448">
        <w:t xml:space="preserve">conduct that </w:t>
      </w:r>
      <w:r w:rsidR="00FD7327">
        <w:t xml:space="preserve">is </w:t>
      </w:r>
      <w:r w:rsidR="001D2AF7">
        <w:t xml:space="preserve">a regular part </w:t>
      </w:r>
      <w:r>
        <w:t>of their familial relationships with people accused of being members of the Islamic State/Da’esh</w:t>
      </w:r>
      <w:r w:rsidR="00F265B0">
        <w:t>, such as providing meals or sharing a home</w:t>
      </w:r>
      <w:r>
        <w:t>.</w:t>
      </w:r>
    </w:p>
    <w:p w14:paraId="13B4C95A" w14:textId="02E0D7EF" w:rsidR="00131F68" w:rsidRDefault="00131F68" w:rsidP="00855CD9">
      <w:pPr>
        <w:pStyle w:val="Paragraph"/>
        <w:numPr>
          <w:ilvl w:val="0"/>
          <w:numId w:val="13"/>
        </w:numPr>
      </w:pPr>
      <w:r>
        <w:t>Prohibit courts from considering evidence obtained through torture</w:t>
      </w:r>
      <w:r w:rsidR="00C42D12">
        <w:t xml:space="preserve"> except as authorized under the Convention Against Torture.</w:t>
      </w:r>
    </w:p>
    <w:p w14:paraId="1A676A22" w14:textId="598ECF3C" w:rsidR="0036565E" w:rsidRPr="0036565E" w:rsidRDefault="0036565E" w:rsidP="0036565E">
      <w:pPr>
        <w:pStyle w:val="SectionHeading"/>
        <w:keepNext/>
        <w:jc w:val="both"/>
        <w:rPr>
          <w:rFonts w:cs="Times New Roman"/>
          <w:szCs w:val="24"/>
        </w:rPr>
      </w:pPr>
      <w:r w:rsidRPr="0036565E">
        <w:rPr>
          <w:rFonts w:cs="Times New Roman"/>
          <w:szCs w:val="24"/>
        </w:rPr>
        <w:t>Detention conditions (List of Issues para. 18).</w:t>
      </w:r>
    </w:p>
    <w:p w14:paraId="2902E1A5" w14:textId="3BB82B37" w:rsidR="0002570D" w:rsidRDefault="0036565E" w:rsidP="00F01CB9">
      <w:pPr>
        <w:pStyle w:val="Paragraph"/>
      </w:pPr>
      <w:r>
        <w:t xml:space="preserve">The Committee requested information </w:t>
      </w:r>
      <w:r w:rsidR="0009244E">
        <w:t>on measures taken to “improve the situation of women in detention.”</w:t>
      </w:r>
      <w:r w:rsidR="0009244E">
        <w:rPr>
          <w:rStyle w:val="FootnoteReference"/>
        </w:rPr>
        <w:footnoteReference w:id="27"/>
      </w:r>
      <w:r w:rsidR="00EC2EEE">
        <w:t xml:space="preserve"> </w:t>
      </w:r>
      <w:r w:rsidR="008B7457">
        <w:t xml:space="preserve">The Abolition Death Penalty of Iraq Organization has received information about </w:t>
      </w:r>
      <w:proofErr w:type="spellStart"/>
      <w:r w:rsidR="008B7457">
        <w:t>Tafsirat</w:t>
      </w:r>
      <w:proofErr w:type="spellEnd"/>
      <w:r w:rsidR="008B7457">
        <w:t xml:space="preserve"> </w:t>
      </w:r>
      <w:r w:rsidR="00F06FE9">
        <w:t>D</w:t>
      </w:r>
      <w:r w:rsidR="008B7457">
        <w:t>etention Centre</w:t>
      </w:r>
      <w:r w:rsidR="00F06FE9">
        <w:t>, which holds women who are charged with offenses such as drug trafficking and prostitution</w:t>
      </w:r>
      <w:r w:rsidR="00A85C55">
        <w:t xml:space="preserve"> until authorities question them</w:t>
      </w:r>
      <w:r w:rsidR="00F06FE9">
        <w:t>.</w:t>
      </w:r>
      <w:r w:rsidR="00E541B3">
        <w:t xml:space="preserve"> A person who visited women </w:t>
      </w:r>
      <w:r w:rsidR="00CF1A33">
        <w:t>in</w:t>
      </w:r>
      <w:r w:rsidR="00E541B3">
        <w:t xml:space="preserve"> </w:t>
      </w:r>
      <w:proofErr w:type="spellStart"/>
      <w:r w:rsidR="00E541B3">
        <w:t>Tafsirat</w:t>
      </w:r>
      <w:proofErr w:type="spellEnd"/>
      <w:r w:rsidR="00E541B3">
        <w:t xml:space="preserve"> reported that </w:t>
      </w:r>
      <w:r w:rsidR="00CF1A33">
        <w:t>conditions are overcrowded</w:t>
      </w:r>
      <w:r w:rsidR="00416B9A">
        <w:t>, particularly after authorities conduct sweeps to arrest women involved with sex work and begging</w:t>
      </w:r>
      <w:r w:rsidR="002A7CCF">
        <w:t>.</w:t>
      </w:r>
      <w:r w:rsidR="005B1541">
        <w:rPr>
          <w:rStyle w:val="FootnoteReference"/>
        </w:rPr>
        <w:footnoteReference w:id="28"/>
      </w:r>
      <w:r w:rsidR="002A7CCF">
        <w:t xml:space="preserve"> The Abolition Death Penalty of Iraq</w:t>
      </w:r>
      <w:r w:rsidR="00A85C55">
        <w:t xml:space="preserve"> has not been able to obtain information about detention conditions for women who are sentenced to death.</w:t>
      </w:r>
    </w:p>
    <w:p w14:paraId="2DC5FC7C" w14:textId="47118910" w:rsidR="00C42D12" w:rsidRDefault="00C42D12" w:rsidP="009E0B95">
      <w:pPr>
        <w:pStyle w:val="Paragraph"/>
        <w:keepNext/>
      </w:pPr>
      <w:r w:rsidRPr="006E0467">
        <w:rPr>
          <w:b/>
          <w:bCs/>
        </w:rPr>
        <w:lastRenderedPageBreak/>
        <w:t xml:space="preserve">Suggested recommendations </w:t>
      </w:r>
      <w:r w:rsidRPr="0070771A">
        <w:t xml:space="preserve">relating to </w:t>
      </w:r>
      <w:r>
        <w:t>detention conditions:</w:t>
      </w:r>
    </w:p>
    <w:p w14:paraId="677E4EC6" w14:textId="7665F190" w:rsidR="00DD5FF9" w:rsidRDefault="005B1541" w:rsidP="00C42D12">
      <w:pPr>
        <w:pStyle w:val="Paragraph"/>
        <w:numPr>
          <w:ilvl w:val="0"/>
          <w:numId w:val="13"/>
        </w:numPr>
      </w:pPr>
      <w:r>
        <w:t>Take concrete measures to reduce the use of pretrial detention</w:t>
      </w:r>
      <w:r w:rsidR="00416B9A">
        <w:t xml:space="preserve"> for women in conflict with the law</w:t>
      </w:r>
      <w:r w:rsidR="00645D16">
        <w:t>.</w:t>
      </w:r>
    </w:p>
    <w:p w14:paraId="57FBF103" w14:textId="012B83E6" w:rsidR="00C42D12" w:rsidRDefault="00416B9A" w:rsidP="00C42D12">
      <w:pPr>
        <w:pStyle w:val="Paragraph"/>
        <w:numPr>
          <w:ilvl w:val="0"/>
          <w:numId w:val="13"/>
        </w:numPr>
      </w:pPr>
      <w:r>
        <w:t xml:space="preserve">Take urgent measures to </w:t>
      </w:r>
      <w:r w:rsidR="005B1541">
        <w:t xml:space="preserve">alleviate overcrowding in </w:t>
      </w:r>
      <w:r w:rsidR="00DD5FF9">
        <w:t>facilities that detain women in conflict with the law.</w:t>
      </w:r>
    </w:p>
    <w:p w14:paraId="68BC1858" w14:textId="0E8D1FA9" w:rsidR="00091107" w:rsidRPr="003D262F" w:rsidRDefault="00091107" w:rsidP="003D262F">
      <w:pPr>
        <w:pStyle w:val="SectionHeading"/>
        <w:keepNext/>
        <w:jc w:val="both"/>
        <w:rPr>
          <w:rFonts w:cs="Times New Roman"/>
          <w:szCs w:val="24"/>
        </w:rPr>
      </w:pPr>
      <w:r w:rsidRPr="003D262F">
        <w:rPr>
          <w:rFonts w:cs="Times New Roman"/>
          <w:szCs w:val="24"/>
        </w:rPr>
        <w:t>Child marriage</w:t>
      </w:r>
      <w:r w:rsidR="000F5A63">
        <w:rPr>
          <w:rFonts w:cs="Times New Roman"/>
          <w:szCs w:val="24"/>
        </w:rPr>
        <w:t xml:space="preserve"> places girls </w:t>
      </w:r>
      <w:r w:rsidR="00756883">
        <w:rPr>
          <w:rFonts w:cs="Times New Roman"/>
          <w:szCs w:val="24"/>
        </w:rPr>
        <w:t xml:space="preserve">and women </w:t>
      </w:r>
      <w:r w:rsidR="000F5A63">
        <w:rPr>
          <w:rFonts w:cs="Times New Roman"/>
          <w:szCs w:val="24"/>
        </w:rPr>
        <w:t>at risk of being sentenced to death</w:t>
      </w:r>
      <w:r w:rsidRPr="003D262F">
        <w:rPr>
          <w:rFonts w:cs="Times New Roman"/>
          <w:szCs w:val="24"/>
        </w:rPr>
        <w:t xml:space="preserve"> (List of Issues para. 21).</w:t>
      </w:r>
    </w:p>
    <w:p w14:paraId="5D4E9505" w14:textId="7865EA3A" w:rsidR="00091107" w:rsidRDefault="00091107" w:rsidP="00AD7EFA">
      <w:pPr>
        <w:pStyle w:val="Paragraph"/>
      </w:pPr>
      <w:r>
        <w:t>The Committee requested information on measures taken to prohibit child marriage and to address its prevalence</w:t>
      </w:r>
      <w:r w:rsidR="003D262F">
        <w:t>.</w:t>
      </w:r>
      <w:r w:rsidR="003D262F">
        <w:rPr>
          <w:rStyle w:val="FootnoteReference"/>
        </w:rPr>
        <w:footnoteReference w:id="29"/>
      </w:r>
    </w:p>
    <w:p w14:paraId="6C3329D3" w14:textId="0DCDACDF" w:rsidR="005A0A99" w:rsidRDefault="005A0A99" w:rsidP="00AD7EFA">
      <w:pPr>
        <w:pStyle w:val="Paragraph"/>
      </w:pPr>
      <w:r>
        <w:t xml:space="preserve">On </w:t>
      </w:r>
      <w:r w:rsidR="00D66D3C">
        <w:t xml:space="preserve">17 </w:t>
      </w:r>
      <w:r>
        <w:t xml:space="preserve">February 2025, </w:t>
      </w:r>
      <w:r w:rsidR="00D66D3C">
        <w:t>an</w:t>
      </w:r>
      <w:r>
        <w:t xml:space="preserve"> amendment to Iraq’s Personal Status Law went into effect.</w:t>
      </w:r>
      <w:r>
        <w:rPr>
          <w:rStyle w:val="FootnoteReference"/>
        </w:rPr>
        <w:footnoteReference w:id="30"/>
      </w:r>
      <w:r>
        <w:t xml:space="preserve"> Under the amended law, an Iraqi couple </w:t>
      </w:r>
      <w:r w:rsidR="002C6436">
        <w:t xml:space="preserve">entering into a marriage contract </w:t>
      </w:r>
      <w:r>
        <w:t xml:space="preserve">may choose whether Iraq’s Personal Status Law or the </w:t>
      </w:r>
      <w:r w:rsidR="002C6436">
        <w:t xml:space="preserve">Shia </w:t>
      </w:r>
      <w:proofErr w:type="spellStart"/>
      <w:r w:rsidRPr="00C7454E">
        <w:t>Ja’afari</w:t>
      </w:r>
      <w:proofErr w:type="spellEnd"/>
      <w:r w:rsidRPr="00C7454E">
        <w:t xml:space="preserve"> Personal Status Code</w:t>
      </w:r>
      <w:r>
        <w:t xml:space="preserve"> will govern their marriage, divorce, child custody and inheritance.</w:t>
      </w:r>
      <w:r>
        <w:rPr>
          <w:rStyle w:val="FootnoteReference"/>
        </w:rPr>
        <w:footnoteReference w:id="31"/>
      </w:r>
      <w:r>
        <w:t xml:space="preserve"> </w:t>
      </w:r>
      <w:r w:rsidR="00D149EC">
        <w:t xml:space="preserve">Under either legal regime, </w:t>
      </w:r>
      <w:r>
        <w:t xml:space="preserve">the legal age of marriage is 18, </w:t>
      </w:r>
      <w:r w:rsidR="00D149EC">
        <w:t xml:space="preserve">or </w:t>
      </w:r>
      <w:r>
        <w:t>15 with a judge’s permission</w:t>
      </w:r>
      <w:r w:rsidR="00D149EC">
        <w:t>.</w:t>
      </w:r>
      <w:r>
        <w:rPr>
          <w:rStyle w:val="FootnoteReference"/>
        </w:rPr>
        <w:footnoteReference w:id="32"/>
      </w:r>
      <w:r w:rsidR="0059526D">
        <w:t xml:space="preserve"> The amendment, however, legalizes unregistered marriage</w:t>
      </w:r>
      <w:r w:rsidR="00AE1360">
        <w:t>s</w:t>
      </w:r>
      <w:r w:rsidR="0059526D">
        <w:t>, which according to Human Rights Wach “function as loopholes</w:t>
      </w:r>
      <w:r w:rsidR="00AE1360">
        <w:t xml:space="preserve"> enabling child marriage in Iraq,” citing evidence from the UN Assistance Mission in Iraq that “22 percent of unregistered marriages involved girls under the age of 14.”</w:t>
      </w:r>
      <w:r w:rsidR="0099701D">
        <w:rPr>
          <w:rStyle w:val="FootnoteReference"/>
        </w:rPr>
        <w:footnoteReference w:id="33"/>
      </w:r>
    </w:p>
    <w:p w14:paraId="501EFE6D" w14:textId="6FC6ECBB" w:rsidR="00FA6FAE" w:rsidRDefault="007A55DA" w:rsidP="00AD7EFA">
      <w:pPr>
        <w:pStyle w:val="Paragraph"/>
      </w:pPr>
      <w:r>
        <w:t>According a groundbreaking study by the Cornell Center on the Death Penalty Worldwide, o</w:t>
      </w:r>
      <w:r w:rsidR="00156500">
        <w:t>n a global scale, child marriage increases the risk that a woman will be sentenced to death.</w:t>
      </w:r>
      <w:r w:rsidR="00156500">
        <w:rPr>
          <w:rStyle w:val="FootnoteReference"/>
        </w:rPr>
        <w:footnoteReference w:id="34"/>
      </w:r>
      <w:r w:rsidR="00180A6C">
        <w:t xml:space="preserve"> </w:t>
      </w:r>
      <w:r w:rsidR="00A259A6">
        <w:t xml:space="preserve">With </w:t>
      </w:r>
      <w:r w:rsidR="00180A6C">
        <w:t>lack of protections against domestic violence</w:t>
      </w:r>
      <w:r w:rsidR="00A259A6">
        <w:t>, including marital rape,</w:t>
      </w:r>
      <w:r w:rsidR="008641CA">
        <w:t xml:space="preserve"> lack of support for victims,</w:t>
      </w:r>
      <w:r w:rsidR="00180A6C">
        <w:t xml:space="preserve"> and </w:t>
      </w:r>
      <w:r w:rsidR="00A259A6">
        <w:t xml:space="preserve">societal </w:t>
      </w:r>
      <w:r w:rsidR="00180A6C">
        <w:t xml:space="preserve">stigma against women who seek protection from </w:t>
      </w:r>
      <w:r w:rsidR="005D0DEC">
        <w:t xml:space="preserve">domestic </w:t>
      </w:r>
      <w:r w:rsidR="00180A6C">
        <w:t>violence</w:t>
      </w:r>
      <w:r w:rsidR="008154C8">
        <w:t>, Iraq</w:t>
      </w:r>
      <w:r w:rsidR="00435345">
        <w:t xml:space="preserve"> creates </w:t>
      </w:r>
      <w:r w:rsidR="00A259A6">
        <w:t xml:space="preserve">conditions in which </w:t>
      </w:r>
      <w:r w:rsidR="008154C8">
        <w:t xml:space="preserve">women and girls who were subjected to child </w:t>
      </w:r>
      <w:r w:rsidR="008154C8">
        <w:lastRenderedPageBreak/>
        <w:t>marriage may be at particular risk for coming into conflict with the law for killing their abu</w:t>
      </w:r>
      <w:r>
        <w:t>sers.</w:t>
      </w:r>
    </w:p>
    <w:p w14:paraId="5424C542" w14:textId="466A9B67" w:rsidR="00841079" w:rsidRDefault="007B18CA" w:rsidP="007B18CA">
      <w:pPr>
        <w:pStyle w:val="Paragraph"/>
      </w:pPr>
      <w:bookmarkStart w:id="6" w:name="_Hlk201744002"/>
      <w:r w:rsidRPr="00EF1564">
        <w:rPr>
          <w:b/>
          <w:bCs/>
        </w:rPr>
        <w:t>Suggested recommendations</w:t>
      </w:r>
      <w:r>
        <w:t xml:space="preserve"> relating to </w:t>
      </w:r>
      <w:r w:rsidR="001B36FD">
        <w:t>child marriage</w:t>
      </w:r>
      <w:r w:rsidR="009A0B2B">
        <w:t>:</w:t>
      </w:r>
    </w:p>
    <w:p w14:paraId="35D7EFF1" w14:textId="642BBDD9" w:rsidR="00AD5E8A" w:rsidRDefault="00D17577" w:rsidP="00AD5E8A">
      <w:pPr>
        <w:pStyle w:val="Paragraph"/>
        <w:numPr>
          <w:ilvl w:val="0"/>
          <w:numId w:val="16"/>
        </w:numPr>
      </w:pPr>
      <w:r>
        <w:t xml:space="preserve">Repeal </w:t>
      </w:r>
      <w:r w:rsidR="005D0DEC">
        <w:t xml:space="preserve">the 2025 amendment to the </w:t>
      </w:r>
      <w:r>
        <w:t xml:space="preserve">Personal Status Law </w:t>
      </w:r>
      <w:r w:rsidR="005D0DEC">
        <w:t xml:space="preserve">that legalizes unregistered </w:t>
      </w:r>
      <w:proofErr w:type="gramStart"/>
      <w:r w:rsidR="005D0DEC">
        <w:t>marriages</w:t>
      </w:r>
      <w:r w:rsidR="00813F6E">
        <w:t>, and</w:t>
      </w:r>
      <w:proofErr w:type="gramEnd"/>
      <w:r w:rsidR="00813F6E">
        <w:t xml:space="preserve"> take further action to close that and other loopholes that enable child marriage.</w:t>
      </w:r>
    </w:p>
    <w:p w14:paraId="3E4AA44D" w14:textId="14F5A67E" w:rsidR="00F51AFD" w:rsidRDefault="00B81164" w:rsidP="00D45745">
      <w:pPr>
        <w:pStyle w:val="Paragraph"/>
        <w:numPr>
          <w:ilvl w:val="0"/>
          <w:numId w:val="16"/>
        </w:numPr>
      </w:pPr>
      <w:r>
        <w:t xml:space="preserve">Eliminate provisions authorizing </w:t>
      </w:r>
      <w:r w:rsidR="00695169">
        <w:t xml:space="preserve">girls under the age of 18 to </w:t>
      </w:r>
      <w:proofErr w:type="gramStart"/>
      <w:r w:rsidR="00695169">
        <w:t>marry with</w:t>
      </w:r>
      <w:proofErr w:type="gramEnd"/>
      <w:r w:rsidR="00695169">
        <w:t xml:space="preserve"> a judge’s permission.</w:t>
      </w:r>
      <w:bookmarkEnd w:id="0"/>
      <w:bookmarkEnd w:id="6"/>
    </w:p>
    <w:p w14:paraId="1647EA63" w14:textId="250F06E0" w:rsidR="00D45745" w:rsidRPr="00E114C5" w:rsidRDefault="00D45745" w:rsidP="00D45745">
      <w:pPr>
        <w:pStyle w:val="Paragraph"/>
        <w:numPr>
          <w:ilvl w:val="0"/>
          <w:numId w:val="16"/>
        </w:numPr>
      </w:pPr>
      <w:r>
        <w:t xml:space="preserve">Examine existing laws and policies to combat domestic violence with a view to strengthening protections and outreach for women and girls who </w:t>
      </w:r>
      <w:r w:rsidR="00EB7380">
        <w:t>experienced child marriage.</w:t>
      </w:r>
    </w:p>
    <w:sectPr w:rsidR="00D45745"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4F5BC" w14:textId="77777777" w:rsidR="00960CDE" w:rsidRDefault="00960CDE">
      <w:r>
        <w:separator/>
      </w:r>
    </w:p>
  </w:endnote>
  <w:endnote w:type="continuationSeparator" w:id="0">
    <w:p w14:paraId="51A2040D" w14:textId="77777777" w:rsidR="00960CDE" w:rsidRDefault="00960CDE">
      <w:r>
        <w:continuationSeparator/>
      </w:r>
    </w:p>
  </w:endnote>
  <w:endnote w:type="continuationNotice" w:id="1">
    <w:p w14:paraId="5404B9B3" w14:textId="77777777" w:rsidR="00960CDE" w:rsidRDefault="00960C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8AD2E"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22E1D" w14:textId="77777777" w:rsidR="00960CDE" w:rsidRDefault="00960CDE">
      <w:r>
        <w:separator/>
      </w:r>
    </w:p>
  </w:footnote>
  <w:footnote w:type="continuationSeparator" w:id="0">
    <w:p w14:paraId="2FC0956F" w14:textId="77777777" w:rsidR="00960CDE" w:rsidRDefault="00960CDE">
      <w:r>
        <w:continuationSeparator/>
      </w:r>
    </w:p>
  </w:footnote>
  <w:footnote w:type="continuationNotice" w:id="1">
    <w:p w14:paraId="2CDD00A1" w14:textId="77777777" w:rsidR="00960CDE" w:rsidRDefault="00960CDE"/>
  </w:footnote>
  <w:footnote w:id="2">
    <w:p w14:paraId="4165FE3C" w14:textId="77777777" w:rsidR="00051D8F" w:rsidRPr="005B1541" w:rsidRDefault="00051D8F" w:rsidP="005F52DB">
      <w:pPr>
        <w:pStyle w:val="FootnoteText"/>
        <w:rPr>
          <w:sz w:val="20"/>
          <w:szCs w:val="20"/>
        </w:rPr>
      </w:pPr>
      <w:bookmarkStart w:id="1" w:name="_Hlk201755873"/>
      <w:r w:rsidRPr="005B1541">
        <w:rPr>
          <w:rStyle w:val="FootnoteReference"/>
          <w:sz w:val="20"/>
          <w:szCs w:val="20"/>
        </w:rPr>
        <w:footnoteRef/>
      </w:r>
      <w:r w:rsidRPr="005B1541">
        <w:rPr>
          <w:sz w:val="20"/>
          <w:szCs w:val="20"/>
        </w:rPr>
        <w:t xml:space="preserve"> </w:t>
      </w:r>
      <w:bookmarkStart w:id="2" w:name="_Hlk205384675"/>
      <w:bookmarkStart w:id="3" w:name="_Hlk201747917"/>
      <w:r w:rsidRPr="005B1541">
        <w:rPr>
          <w:sz w:val="20"/>
          <w:szCs w:val="20"/>
        </w:rPr>
        <w:t>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bookmarkStart w:id="4" w:name="_Hlk201743392"/>
      <w:r w:rsidRPr="005B1541">
        <w:rPr>
          <w:sz w:val="20"/>
          <w:szCs w:val="20"/>
        </w:rPr>
        <w:t>, (January 6, 2025), available at https://www.theadvocatesforhumanrights.org/International_Submissions/A/Index?id=548.</w:t>
      </w:r>
      <w:bookmarkEnd w:id="2"/>
      <w:r w:rsidRPr="005B1541">
        <w:rPr>
          <w:sz w:val="20"/>
          <w:szCs w:val="20"/>
        </w:rPr>
        <w:t xml:space="preserve">  </w:t>
      </w:r>
      <w:bookmarkEnd w:id="1"/>
      <w:bookmarkEnd w:id="3"/>
      <w:bookmarkEnd w:id="4"/>
    </w:p>
  </w:footnote>
  <w:footnote w:id="3">
    <w:p w14:paraId="122A5268" w14:textId="1AA7FFC0" w:rsidR="00D51B68" w:rsidRPr="005B1541" w:rsidRDefault="00D51B68" w:rsidP="005F52DB">
      <w:pPr>
        <w:pStyle w:val="FootnoteText"/>
        <w:rPr>
          <w:sz w:val="20"/>
          <w:szCs w:val="20"/>
        </w:rPr>
      </w:pPr>
      <w:r w:rsidRPr="005B1541">
        <w:rPr>
          <w:rStyle w:val="FootnoteReference"/>
          <w:sz w:val="20"/>
          <w:szCs w:val="20"/>
        </w:rPr>
        <w:footnoteRef/>
      </w:r>
      <w:r w:rsidRPr="005B1541">
        <w:rPr>
          <w:sz w:val="20"/>
          <w:szCs w:val="20"/>
        </w:rPr>
        <w:t xml:space="preserve"> </w:t>
      </w:r>
      <w:r w:rsidR="00372956" w:rsidRPr="005B1541">
        <w:rPr>
          <w:sz w:val="20"/>
          <w:szCs w:val="20"/>
        </w:rPr>
        <w:t xml:space="preserve">Amnesty International Global Report, </w:t>
      </w:r>
      <w:r w:rsidR="00372956" w:rsidRPr="005B1541">
        <w:rPr>
          <w:i/>
          <w:sz w:val="20"/>
          <w:szCs w:val="20"/>
        </w:rPr>
        <w:t>Death Sentences and Executions 2024</w:t>
      </w:r>
      <w:r w:rsidR="00372956" w:rsidRPr="005B1541">
        <w:rPr>
          <w:sz w:val="20"/>
          <w:szCs w:val="20"/>
        </w:rPr>
        <w:t xml:space="preserve">, at </w:t>
      </w:r>
      <w:r w:rsidR="00732394" w:rsidRPr="005B1541">
        <w:rPr>
          <w:sz w:val="20"/>
          <w:szCs w:val="20"/>
        </w:rPr>
        <w:t>4,5</w:t>
      </w:r>
      <w:r w:rsidR="00372956" w:rsidRPr="005B1541">
        <w:rPr>
          <w:sz w:val="20"/>
          <w:szCs w:val="20"/>
        </w:rPr>
        <w:t xml:space="preserve"> (</w:t>
      </w:r>
      <w:r w:rsidR="00732394" w:rsidRPr="005B1541">
        <w:rPr>
          <w:sz w:val="20"/>
          <w:szCs w:val="20"/>
        </w:rPr>
        <w:t>April 2025)</w:t>
      </w:r>
      <w:r w:rsidR="00372956" w:rsidRPr="005B1541">
        <w:rPr>
          <w:sz w:val="20"/>
          <w:szCs w:val="20"/>
        </w:rPr>
        <w:t xml:space="preserve">. Available online at </w:t>
      </w:r>
      <w:r w:rsidR="00732394" w:rsidRPr="005B1541">
        <w:rPr>
          <w:sz w:val="20"/>
          <w:szCs w:val="20"/>
        </w:rPr>
        <w:t>https://www.amnesty.org/en/documents/act50/8976/2025/en/.</w:t>
      </w:r>
    </w:p>
  </w:footnote>
  <w:footnote w:id="4">
    <w:p w14:paraId="1AF54DED" w14:textId="1A031562" w:rsidR="00A8582B" w:rsidRPr="005B1541" w:rsidRDefault="00A8582B" w:rsidP="005F52DB">
      <w:pPr>
        <w:pStyle w:val="FootnoteText"/>
        <w:rPr>
          <w:sz w:val="20"/>
          <w:szCs w:val="20"/>
        </w:rPr>
      </w:pPr>
      <w:r w:rsidRPr="005B1541">
        <w:rPr>
          <w:rStyle w:val="FootnoteReference"/>
          <w:sz w:val="20"/>
          <w:szCs w:val="20"/>
        </w:rPr>
        <w:footnoteRef/>
      </w:r>
      <w:r w:rsidRPr="005B1541">
        <w:rPr>
          <w:sz w:val="20"/>
          <w:szCs w:val="20"/>
        </w:rPr>
        <w:t xml:space="preserve"> </w:t>
      </w:r>
      <w:r w:rsidR="005C0261" w:rsidRPr="005B1541">
        <w:rPr>
          <w:sz w:val="20"/>
          <w:szCs w:val="20"/>
        </w:rPr>
        <w:t>The Advocates for Human Rights et al.</w:t>
      </w:r>
      <w:r w:rsidR="005C0261" w:rsidRPr="005B1541">
        <w:rPr>
          <w:i/>
          <w:iCs/>
          <w:sz w:val="20"/>
          <w:szCs w:val="20"/>
        </w:rPr>
        <w:t>, The Republic of Iraq’s Compliance with the Convention on the Elimination of All Forms of Discrimination against Women: Suggested List of Issues Relating to the Death Penalty</w:t>
      </w:r>
      <w:r w:rsidR="005C0261" w:rsidRPr="005B1541">
        <w:rPr>
          <w:sz w:val="20"/>
          <w:szCs w:val="20"/>
        </w:rPr>
        <w:t xml:space="preserve">, (January 6, 2025), available at https://www.theadvocatesforhumanrights.org/International_Submissions/A/Index?id=548. </w:t>
      </w:r>
    </w:p>
  </w:footnote>
  <w:footnote w:id="5">
    <w:p w14:paraId="2451E508" w14:textId="0DE1E3E1" w:rsidR="00DC17E4" w:rsidRPr="005B1541" w:rsidRDefault="00DC17E4" w:rsidP="005F52DB">
      <w:pPr>
        <w:pStyle w:val="FootnoteText"/>
        <w:rPr>
          <w:sz w:val="20"/>
          <w:szCs w:val="20"/>
        </w:rPr>
      </w:pPr>
      <w:r w:rsidRPr="005B1541">
        <w:rPr>
          <w:rStyle w:val="FootnoteReference"/>
          <w:sz w:val="20"/>
          <w:szCs w:val="20"/>
        </w:rPr>
        <w:footnoteRef/>
      </w:r>
      <w:r w:rsidRPr="005B1541">
        <w:rPr>
          <w:sz w:val="20"/>
          <w:szCs w:val="20"/>
        </w:rPr>
        <w:t xml:space="preserve"> Amnesty International Global Report, </w:t>
      </w:r>
      <w:r w:rsidRPr="005B1541">
        <w:rPr>
          <w:i/>
          <w:sz w:val="20"/>
          <w:szCs w:val="20"/>
        </w:rPr>
        <w:t>Death Sentences and Executions 2024</w:t>
      </w:r>
      <w:r w:rsidRPr="005B1541">
        <w:rPr>
          <w:sz w:val="20"/>
          <w:szCs w:val="20"/>
        </w:rPr>
        <w:t xml:space="preserve">, at 10 (April 2025). Available online at https://www.amnesty.org/en/documents/act50/8976/2025/en/; </w:t>
      </w:r>
      <w:r w:rsidR="00E1528C" w:rsidRPr="005B1541">
        <w:rPr>
          <w:sz w:val="20"/>
          <w:szCs w:val="20"/>
        </w:rPr>
        <w:t>Amnesty International Global Report, Death Sentences and Executions 2023, at 29 (May 2024). Available online at https://www.amnestyusa.org/wp-content/uploads/2024/05/Amnesty-International-Global-Report-Death-Sentences-and-Executions-2023.pdf.</w:t>
      </w:r>
      <w:r w:rsidR="007E5F89" w:rsidRPr="005B1541">
        <w:rPr>
          <w:sz w:val="20"/>
          <w:szCs w:val="20"/>
        </w:rPr>
        <w:t xml:space="preserve"> </w:t>
      </w:r>
    </w:p>
  </w:footnote>
  <w:footnote w:id="6">
    <w:p w14:paraId="5D31528A" w14:textId="7B6E3383" w:rsidR="00293003" w:rsidRPr="005B1541" w:rsidRDefault="00293003" w:rsidP="005F52DB">
      <w:pPr>
        <w:pStyle w:val="FootnoteText"/>
        <w:rPr>
          <w:sz w:val="20"/>
          <w:szCs w:val="20"/>
        </w:rPr>
      </w:pPr>
      <w:r w:rsidRPr="005B1541">
        <w:rPr>
          <w:rStyle w:val="FootnoteReference"/>
          <w:sz w:val="20"/>
          <w:szCs w:val="20"/>
        </w:rPr>
        <w:footnoteRef/>
      </w:r>
      <w:r w:rsidRPr="005B1541">
        <w:rPr>
          <w:sz w:val="20"/>
          <w:szCs w:val="20"/>
        </w:rPr>
        <w:t xml:space="preserve"> Amnesty International Global Report, </w:t>
      </w:r>
      <w:r w:rsidRPr="005B1541">
        <w:rPr>
          <w:i/>
          <w:sz w:val="20"/>
          <w:szCs w:val="20"/>
        </w:rPr>
        <w:t>Death Sentences and Executions 2024</w:t>
      </w:r>
      <w:r w:rsidRPr="005B1541">
        <w:rPr>
          <w:sz w:val="20"/>
          <w:szCs w:val="20"/>
        </w:rPr>
        <w:t>, at 29 (April 2025). Available online at https://www.amnesty.org/en/documents/act50/8976/2025/en/.</w:t>
      </w:r>
    </w:p>
  </w:footnote>
  <w:footnote w:id="7">
    <w:p w14:paraId="7ED546C6" w14:textId="77777777" w:rsidR="00A17782" w:rsidRPr="005B1541" w:rsidRDefault="00A17782" w:rsidP="005F52DB">
      <w:pPr>
        <w:pStyle w:val="FootnoteText"/>
        <w:rPr>
          <w:sz w:val="20"/>
          <w:szCs w:val="20"/>
        </w:rPr>
      </w:pPr>
      <w:r w:rsidRPr="005B1541">
        <w:rPr>
          <w:rStyle w:val="FootnoteReference"/>
          <w:sz w:val="20"/>
          <w:szCs w:val="20"/>
        </w:rPr>
        <w:footnoteRef/>
      </w:r>
      <w:r w:rsidRPr="005B1541">
        <w:rPr>
          <w:sz w:val="20"/>
          <w:szCs w:val="20"/>
        </w:rPr>
        <w:t xml:space="preserve"> Amnesty International Global Report, </w:t>
      </w:r>
      <w:r w:rsidRPr="005B1541">
        <w:rPr>
          <w:i/>
          <w:sz w:val="20"/>
          <w:szCs w:val="20"/>
        </w:rPr>
        <w:t>Death Sentences and Executions 2024</w:t>
      </w:r>
      <w:r w:rsidRPr="005B1541">
        <w:rPr>
          <w:sz w:val="20"/>
          <w:szCs w:val="20"/>
        </w:rPr>
        <w:t>, at 32 (April 2025). Available online at https://www.amnesty.org/en/documents/act50/8976/2025/en/.</w:t>
      </w:r>
    </w:p>
  </w:footnote>
  <w:footnote w:id="8">
    <w:p w14:paraId="2E67DF2E" w14:textId="19418115" w:rsidR="00082D64" w:rsidRPr="005B1541" w:rsidRDefault="00082D64" w:rsidP="005F52DB">
      <w:pPr>
        <w:pStyle w:val="FootnoteText"/>
        <w:rPr>
          <w:i/>
          <w:iCs/>
          <w:sz w:val="20"/>
          <w:szCs w:val="20"/>
        </w:rPr>
      </w:pPr>
      <w:r w:rsidRPr="005B1541">
        <w:rPr>
          <w:rStyle w:val="FootnoteReference"/>
          <w:sz w:val="20"/>
          <w:szCs w:val="20"/>
        </w:rPr>
        <w:footnoteRef/>
      </w:r>
      <w:r w:rsidRPr="005B1541">
        <w:rPr>
          <w:sz w:val="20"/>
          <w:szCs w:val="20"/>
        </w:rPr>
        <w:t xml:space="preserve"> </w:t>
      </w:r>
      <w:r w:rsidR="005C0261" w:rsidRPr="005B1541">
        <w:rPr>
          <w:sz w:val="20"/>
          <w:szCs w:val="20"/>
        </w:rPr>
        <w:t>The Advocates for Human Rights et al.</w:t>
      </w:r>
      <w:r w:rsidR="005C0261" w:rsidRPr="005B1541">
        <w:rPr>
          <w:i/>
          <w:iCs/>
          <w:sz w:val="20"/>
          <w:szCs w:val="20"/>
        </w:rPr>
        <w:t>, The Republic of Iraq’s Compliance with the Convention on the Elimination of All Forms of Discrimination against Women: Suggested List of Issues Relating to the Death Penalty</w:t>
      </w:r>
      <w:r w:rsidR="005C0261" w:rsidRPr="005B1541">
        <w:rPr>
          <w:sz w:val="20"/>
          <w:szCs w:val="20"/>
        </w:rPr>
        <w:t xml:space="preserve">, (January 6, 2025), available at https://www.theadvocatesforhumanrights.org/International_Submissions/A/Index?id=548. </w:t>
      </w:r>
    </w:p>
  </w:footnote>
  <w:footnote w:id="9">
    <w:p w14:paraId="1F9A65C0" w14:textId="1795E33D" w:rsidR="00F67CBB" w:rsidRPr="005B1541" w:rsidRDefault="00F67CBB" w:rsidP="005F52DB">
      <w:pPr>
        <w:pStyle w:val="FootnoteText"/>
        <w:rPr>
          <w:sz w:val="20"/>
          <w:szCs w:val="20"/>
        </w:rPr>
      </w:pPr>
      <w:r w:rsidRPr="005B1541">
        <w:rPr>
          <w:rStyle w:val="FootnoteReference"/>
          <w:sz w:val="20"/>
          <w:szCs w:val="20"/>
        </w:rPr>
        <w:footnoteRef/>
      </w:r>
      <w:r w:rsidRPr="005B1541">
        <w:rPr>
          <w:sz w:val="20"/>
          <w:szCs w:val="20"/>
        </w:rPr>
        <w:t xml:space="preserve"> Amnesty International Global Report, </w:t>
      </w:r>
      <w:r w:rsidRPr="005B1541">
        <w:rPr>
          <w:i/>
          <w:sz w:val="20"/>
          <w:szCs w:val="20"/>
        </w:rPr>
        <w:t>Death Sentences and Executions 2024</w:t>
      </w:r>
      <w:r w:rsidRPr="005B1541">
        <w:rPr>
          <w:sz w:val="20"/>
          <w:szCs w:val="20"/>
        </w:rPr>
        <w:t>, at 7 (April 2025). Available online at https://www.amnesty.org/en/documents/act50/8976/2025/en/.</w:t>
      </w:r>
    </w:p>
  </w:footnote>
  <w:footnote w:id="10">
    <w:p w14:paraId="37EB3594" w14:textId="59F14093" w:rsidR="00D57A91" w:rsidRPr="005B1541" w:rsidRDefault="00D57A91" w:rsidP="005F52DB">
      <w:pPr>
        <w:pStyle w:val="FootnoteText"/>
        <w:rPr>
          <w:sz w:val="20"/>
          <w:szCs w:val="20"/>
        </w:rPr>
      </w:pPr>
      <w:r w:rsidRPr="005B1541">
        <w:rPr>
          <w:rStyle w:val="FootnoteReference"/>
          <w:sz w:val="20"/>
          <w:szCs w:val="20"/>
        </w:rPr>
        <w:footnoteRef/>
      </w:r>
      <w:r w:rsidRPr="005B1541">
        <w:rPr>
          <w:sz w:val="20"/>
          <w:szCs w:val="20"/>
        </w:rPr>
        <w:t xml:space="preserve"> Amnesty International Global Report, </w:t>
      </w:r>
      <w:r w:rsidRPr="005B1541">
        <w:rPr>
          <w:i/>
          <w:sz w:val="20"/>
          <w:szCs w:val="20"/>
        </w:rPr>
        <w:t>Death Sentences and Executions 2024</w:t>
      </w:r>
      <w:r w:rsidRPr="005B1541">
        <w:rPr>
          <w:sz w:val="20"/>
          <w:szCs w:val="20"/>
        </w:rPr>
        <w:t xml:space="preserve">, at 32 (April 2025). Available online at </w:t>
      </w:r>
      <w:r w:rsidR="006F5280" w:rsidRPr="005B1541">
        <w:rPr>
          <w:sz w:val="20"/>
          <w:szCs w:val="20"/>
        </w:rPr>
        <w:t>https://www.amnesty.org/en/documents/act50/8976/2025/en/</w:t>
      </w:r>
      <w:r w:rsidRPr="005B1541">
        <w:rPr>
          <w:sz w:val="20"/>
          <w:szCs w:val="20"/>
        </w:rPr>
        <w:t>.</w:t>
      </w:r>
      <w:r w:rsidR="006F5280" w:rsidRPr="005B1541">
        <w:rPr>
          <w:sz w:val="20"/>
          <w:szCs w:val="20"/>
        </w:rPr>
        <w:t xml:space="preserve"> </w:t>
      </w:r>
    </w:p>
  </w:footnote>
  <w:footnote w:id="11">
    <w:p w14:paraId="3A7FEFEA" w14:textId="1E8E1C4D" w:rsidR="00D8760C" w:rsidRPr="005B1541" w:rsidRDefault="00D8760C" w:rsidP="005F52DB">
      <w:pPr>
        <w:pStyle w:val="FootnoteText"/>
        <w:rPr>
          <w:sz w:val="20"/>
          <w:szCs w:val="20"/>
        </w:rPr>
      </w:pPr>
      <w:r w:rsidRPr="005B1541">
        <w:rPr>
          <w:rStyle w:val="FootnoteReference"/>
          <w:sz w:val="20"/>
          <w:szCs w:val="20"/>
        </w:rPr>
        <w:footnoteRef/>
      </w:r>
      <w:r w:rsidRPr="005B1541">
        <w:rPr>
          <w:sz w:val="20"/>
          <w:szCs w:val="20"/>
        </w:rPr>
        <w:t xml:space="preserve"> Amnesty International Global Report, </w:t>
      </w:r>
      <w:r w:rsidRPr="005B1541">
        <w:rPr>
          <w:i/>
          <w:sz w:val="20"/>
          <w:szCs w:val="20"/>
        </w:rPr>
        <w:t>Death Sentences and Executions 2024</w:t>
      </w:r>
      <w:r w:rsidRPr="005B1541">
        <w:rPr>
          <w:sz w:val="20"/>
          <w:szCs w:val="20"/>
        </w:rPr>
        <w:t>, at 10 (April 2025). Available online at https://www.amnesty.org/en/documents/act50/8976/2025/en/.</w:t>
      </w:r>
    </w:p>
  </w:footnote>
  <w:footnote w:id="12">
    <w:p w14:paraId="4DBCBD10" w14:textId="332CFDA6" w:rsidR="003320BA" w:rsidRPr="005B1541" w:rsidRDefault="003320BA" w:rsidP="005F52DB">
      <w:pPr>
        <w:pStyle w:val="FootnoteText"/>
        <w:rPr>
          <w:sz w:val="20"/>
          <w:szCs w:val="20"/>
        </w:rPr>
      </w:pPr>
      <w:r w:rsidRPr="005B1541">
        <w:rPr>
          <w:rStyle w:val="FootnoteReference"/>
          <w:sz w:val="20"/>
          <w:szCs w:val="20"/>
        </w:rPr>
        <w:footnoteRef/>
      </w:r>
      <w:r w:rsidRPr="005B1541">
        <w:rPr>
          <w:sz w:val="20"/>
          <w:szCs w:val="20"/>
        </w:rPr>
        <w:t xml:space="preserve"> Amnesty International Global Report, </w:t>
      </w:r>
      <w:r w:rsidRPr="005B1541">
        <w:rPr>
          <w:i/>
          <w:sz w:val="20"/>
          <w:szCs w:val="20"/>
        </w:rPr>
        <w:t>Death Sentences and Executions 2024</w:t>
      </w:r>
      <w:r w:rsidRPr="005B1541">
        <w:rPr>
          <w:sz w:val="20"/>
          <w:szCs w:val="20"/>
        </w:rPr>
        <w:t>, at 10 and 12 (April 2025). Available online at https://www.amnesty.org/en/documents/act50/8976/2025/en/.</w:t>
      </w:r>
    </w:p>
  </w:footnote>
  <w:footnote w:id="13">
    <w:p w14:paraId="607685B1" w14:textId="2EDDEBA8" w:rsidR="005F4E7C" w:rsidRPr="005B1541" w:rsidRDefault="005F4E7C" w:rsidP="005F52DB">
      <w:pPr>
        <w:pStyle w:val="FootnoteText"/>
        <w:rPr>
          <w:sz w:val="20"/>
          <w:szCs w:val="20"/>
        </w:rPr>
      </w:pPr>
      <w:r w:rsidRPr="005B1541">
        <w:rPr>
          <w:rStyle w:val="FootnoteReference"/>
          <w:sz w:val="20"/>
          <w:szCs w:val="20"/>
        </w:rPr>
        <w:footnoteRef/>
      </w:r>
      <w:r w:rsidRPr="005B1541">
        <w:rPr>
          <w:sz w:val="20"/>
          <w:szCs w:val="20"/>
        </w:rPr>
        <w:t xml:space="preserve"> </w:t>
      </w:r>
      <w:r w:rsidR="00313D52" w:rsidRPr="005B1541">
        <w:rPr>
          <w:sz w:val="20"/>
          <w:szCs w:val="20"/>
        </w:rPr>
        <w:t xml:space="preserve">Committee on the Elimination of Discrimination Against Women, </w:t>
      </w:r>
      <w:r w:rsidR="00313D52" w:rsidRPr="005B1541">
        <w:rPr>
          <w:i/>
          <w:iCs/>
          <w:sz w:val="20"/>
          <w:szCs w:val="20"/>
        </w:rPr>
        <w:t xml:space="preserve">List of issues </w:t>
      </w:r>
      <w:r w:rsidR="00724D74" w:rsidRPr="005B1541">
        <w:rPr>
          <w:i/>
          <w:iCs/>
          <w:sz w:val="20"/>
          <w:szCs w:val="20"/>
        </w:rPr>
        <w:t>and questions in relation to the eighth periodic report of Iraq</w:t>
      </w:r>
      <w:r w:rsidR="00724D74" w:rsidRPr="005B1541">
        <w:rPr>
          <w:sz w:val="20"/>
          <w:szCs w:val="20"/>
        </w:rPr>
        <w:t>, (</w:t>
      </w:r>
      <w:r w:rsidR="00890730" w:rsidRPr="005B1541">
        <w:rPr>
          <w:sz w:val="20"/>
          <w:szCs w:val="20"/>
        </w:rPr>
        <w:t>3 Mar. 2025</w:t>
      </w:r>
      <w:r w:rsidR="00724D74" w:rsidRPr="005B1541">
        <w:rPr>
          <w:sz w:val="20"/>
          <w:szCs w:val="20"/>
        </w:rPr>
        <w:t xml:space="preserve">), U.N. Doc. </w:t>
      </w:r>
      <w:r w:rsidR="00890730" w:rsidRPr="005B1541">
        <w:rPr>
          <w:sz w:val="20"/>
          <w:szCs w:val="20"/>
        </w:rPr>
        <w:t>CEDAW/C/IRQ/Q/8</w:t>
      </w:r>
      <w:r w:rsidR="00724D74" w:rsidRPr="005B1541">
        <w:rPr>
          <w:sz w:val="20"/>
          <w:szCs w:val="20"/>
        </w:rPr>
        <w:t>, ¶</w:t>
      </w:r>
      <w:r w:rsidR="00890730" w:rsidRPr="005B1541">
        <w:rPr>
          <w:sz w:val="20"/>
          <w:szCs w:val="20"/>
        </w:rPr>
        <w:t> 6(a).</w:t>
      </w:r>
    </w:p>
  </w:footnote>
  <w:footnote w:id="14">
    <w:p w14:paraId="435C5F6B" w14:textId="17D8C39D" w:rsidR="004046D3" w:rsidRPr="005B1541" w:rsidRDefault="004046D3" w:rsidP="005F52DB">
      <w:pPr>
        <w:pStyle w:val="FootnoteText"/>
        <w:rPr>
          <w:sz w:val="20"/>
          <w:szCs w:val="20"/>
        </w:rPr>
      </w:pPr>
      <w:r w:rsidRPr="005B1541">
        <w:rPr>
          <w:rStyle w:val="FootnoteReference"/>
          <w:sz w:val="20"/>
          <w:szCs w:val="20"/>
        </w:rPr>
        <w:footnoteRef/>
      </w:r>
      <w:r w:rsidRPr="005B1541">
        <w:rPr>
          <w:sz w:val="20"/>
          <w:szCs w:val="20"/>
        </w:rPr>
        <w:t xml:space="preserve"> 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r w:rsidRPr="005B1541">
        <w:rPr>
          <w:sz w:val="20"/>
          <w:szCs w:val="20"/>
        </w:rPr>
        <w:t>, (January 6, 2025), ¶¶ </w:t>
      </w:r>
      <w:r w:rsidR="005F52DB" w:rsidRPr="005B1541">
        <w:rPr>
          <w:sz w:val="20"/>
          <w:szCs w:val="20"/>
        </w:rPr>
        <w:t>9, 11</w:t>
      </w:r>
      <w:r w:rsidRPr="005B1541">
        <w:rPr>
          <w:sz w:val="20"/>
          <w:szCs w:val="20"/>
        </w:rPr>
        <w:t xml:space="preserve">, available at https://www.theadvocatesforhumanrights.org/International_Submissions/A/Index?id=548.  </w:t>
      </w:r>
    </w:p>
  </w:footnote>
  <w:footnote w:id="15">
    <w:p w14:paraId="6AE0F9E5" w14:textId="2D3F59ED" w:rsidR="00C10770" w:rsidRPr="005B1541" w:rsidRDefault="00C10770" w:rsidP="005F52DB">
      <w:pPr>
        <w:pStyle w:val="FootnoteText"/>
        <w:rPr>
          <w:sz w:val="20"/>
          <w:szCs w:val="20"/>
        </w:rPr>
      </w:pPr>
      <w:r w:rsidRPr="005B1541">
        <w:rPr>
          <w:rStyle w:val="FootnoteReference"/>
          <w:sz w:val="20"/>
          <w:szCs w:val="20"/>
        </w:rPr>
        <w:footnoteRef/>
      </w:r>
      <w:r w:rsidRPr="005B1541">
        <w:rPr>
          <w:sz w:val="20"/>
          <w:szCs w:val="20"/>
        </w:rPr>
        <w:t xml:space="preserve"> Committee on the Elimination of Discrimination Against Women, </w:t>
      </w:r>
      <w:r w:rsidRPr="005B1541">
        <w:rPr>
          <w:i/>
          <w:iCs/>
          <w:sz w:val="20"/>
          <w:szCs w:val="20"/>
        </w:rPr>
        <w:t>List of issues and questions in relation to the eighth periodic report of Iraq</w:t>
      </w:r>
      <w:r w:rsidRPr="005B1541">
        <w:rPr>
          <w:sz w:val="20"/>
          <w:szCs w:val="20"/>
        </w:rPr>
        <w:t>, (3 Mar. 2025), U.N. Doc. CEDAW/C/IRQ/Q/8, ¶ 5(a).</w:t>
      </w:r>
    </w:p>
  </w:footnote>
  <w:footnote w:id="16">
    <w:p w14:paraId="144B164B" w14:textId="1E5332E2" w:rsidR="00986C68" w:rsidRPr="009E0B95" w:rsidRDefault="00986C68" w:rsidP="005F52DB">
      <w:pPr>
        <w:pStyle w:val="FootnoteText"/>
        <w:rPr>
          <w:sz w:val="20"/>
          <w:szCs w:val="20"/>
        </w:rPr>
      </w:pPr>
      <w:r w:rsidRPr="009E0B95">
        <w:rPr>
          <w:rStyle w:val="FootnoteReference"/>
          <w:sz w:val="20"/>
          <w:szCs w:val="20"/>
        </w:rPr>
        <w:footnoteRef/>
      </w:r>
      <w:r w:rsidRPr="009E0B95">
        <w:rPr>
          <w:sz w:val="20"/>
          <w:szCs w:val="20"/>
        </w:rPr>
        <w:t xml:space="preserve"> </w:t>
      </w:r>
      <w:r w:rsidRPr="009E0B95">
        <w:rPr>
          <w:i/>
          <w:iCs/>
          <w:sz w:val="20"/>
          <w:szCs w:val="20"/>
        </w:rPr>
        <w:t>Id.</w:t>
      </w:r>
      <w:r w:rsidRPr="009E0B95">
        <w:rPr>
          <w:sz w:val="20"/>
          <w:szCs w:val="20"/>
        </w:rPr>
        <w:t xml:space="preserve"> </w:t>
      </w:r>
      <w:r w:rsidRPr="005B1541">
        <w:rPr>
          <w:sz w:val="20"/>
          <w:szCs w:val="20"/>
        </w:rPr>
        <w:t>¶ 5(b).</w:t>
      </w:r>
    </w:p>
  </w:footnote>
  <w:footnote w:id="17">
    <w:p w14:paraId="6D5B6A71" w14:textId="645D9033" w:rsidR="007A6F49" w:rsidRPr="005B1541" w:rsidRDefault="007A6F49" w:rsidP="007A6F49">
      <w:pPr>
        <w:pStyle w:val="FootnoteText"/>
        <w:rPr>
          <w:sz w:val="20"/>
          <w:szCs w:val="20"/>
        </w:rPr>
      </w:pPr>
      <w:r w:rsidRPr="005B1541">
        <w:rPr>
          <w:rStyle w:val="FootnoteReference"/>
          <w:sz w:val="20"/>
          <w:szCs w:val="20"/>
        </w:rPr>
        <w:footnoteRef/>
      </w:r>
      <w:r w:rsidRPr="005B1541">
        <w:rPr>
          <w:sz w:val="20"/>
          <w:szCs w:val="20"/>
        </w:rPr>
        <w:t xml:space="preserve"> 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r w:rsidRPr="005B1541">
        <w:rPr>
          <w:sz w:val="20"/>
          <w:szCs w:val="20"/>
        </w:rPr>
        <w:t>, (January 6, 2025), ¶¶ </w:t>
      </w:r>
      <w:r w:rsidR="001E028F" w:rsidRPr="005B1541">
        <w:rPr>
          <w:sz w:val="20"/>
          <w:szCs w:val="20"/>
        </w:rPr>
        <w:t>25-28</w:t>
      </w:r>
      <w:r w:rsidRPr="005B1541">
        <w:rPr>
          <w:sz w:val="20"/>
          <w:szCs w:val="20"/>
        </w:rPr>
        <w:t xml:space="preserve">, available at https://www.theadvocatesforhumanrights.org/International_Submissions/A/Index?id=548.  </w:t>
      </w:r>
    </w:p>
  </w:footnote>
  <w:footnote w:id="18">
    <w:p w14:paraId="39FDA588" w14:textId="77777777" w:rsidR="00DA09D9" w:rsidRPr="005B1541" w:rsidRDefault="00DA09D9" w:rsidP="00DA09D9">
      <w:pPr>
        <w:rPr>
          <w:sz w:val="20"/>
          <w:szCs w:val="20"/>
        </w:rPr>
      </w:pPr>
      <w:r w:rsidRPr="005B1541">
        <w:rPr>
          <w:rStyle w:val="FootnoteReference"/>
          <w:sz w:val="20"/>
          <w:szCs w:val="20"/>
        </w:rPr>
        <w:footnoteRef/>
      </w:r>
      <w:r w:rsidRPr="005B1541">
        <w:rPr>
          <w:sz w:val="20"/>
          <w:szCs w:val="20"/>
        </w:rPr>
        <w:t xml:space="preserve"> The Law Speaks Loudest When It Includes Us All – An Interview with Judge Taghreed Abdulmajeed Nasir, United Nations Development </w:t>
      </w:r>
      <w:proofErr w:type="spellStart"/>
      <w:r w:rsidRPr="005B1541">
        <w:rPr>
          <w:sz w:val="20"/>
          <w:szCs w:val="20"/>
        </w:rPr>
        <w:t>Programme</w:t>
      </w:r>
      <w:proofErr w:type="spellEnd"/>
      <w:r w:rsidRPr="005B1541">
        <w:rPr>
          <w:sz w:val="20"/>
          <w:szCs w:val="20"/>
        </w:rPr>
        <w:t>, March 10, 2025. Available online at: https://www.undp.org/iraq/blog/law-speaks-loudest-when-it-includes-us-all.</w:t>
      </w:r>
    </w:p>
  </w:footnote>
  <w:footnote w:id="19">
    <w:p w14:paraId="78CC1F84" w14:textId="159C703E" w:rsidR="00E533A6" w:rsidRPr="005B1541" w:rsidRDefault="00E533A6" w:rsidP="00E533A6">
      <w:pPr>
        <w:pStyle w:val="FootnoteText"/>
        <w:rPr>
          <w:sz w:val="20"/>
          <w:szCs w:val="20"/>
        </w:rPr>
      </w:pPr>
      <w:r w:rsidRPr="005B1541">
        <w:rPr>
          <w:rStyle w:val="FootnoteReference"/>
          <w:sz w:val="20"/>
          <w:szCs w:val="20"/>
        </w:rPr>
        <w:footnoteRef/>
      </w:r>
      <w:r w:rsidRPr="005B1541">
        <w:rPr>
          <w:sz w:val="20"/>
          <w:szCs w:val="20"/>
        </w:rPr>
        <w:t xml:space="preserve"> 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r w:rsidRPr="005B1541">
        <w:rPr>
          <w:sz w:val="20"/>
          <w:szCs w:val="20"/>
        </w:rPr>
        <w:t xml:space="preserve">, (January 6, 2025), </w:t>
      </w:r>
      <w:r w:rsidR="001C16FB" w:rsidRPr="005B1541">
        <w:rPr>
          <w:sz w:val="20"/>
          <w:szCs w:val="20"/>
        </w:rPr>
        <w:t>¶</w:t>
      </w:r>
      <w:r w:rsidRPr="005B1541">
        <w:rPr>
          <w:sz w:val="20"/>
          <w:szCs w:val="20"/>
        </w:rPr>
        <w:t>¶ </w:t>
      </w:r>
      <w:r w:rsidR="001C16FB" w:rsidRPr="005B1541">
        <w:rPr>
          <w:sz w:val="20"/>
          <w:szCs w:val="20"/>
        </w:rPr>
        <w:t>37-42</w:t>
      </w:r>
      <w:r w:rsidRPr="005B1541">
        <w:rPr>
          <w:sz w:val="20"/>
          <w:szCs w:val="20"/>
        </w:rPr>
        <w:t xml:space="preserve">, available at https://www.theadvocatesforhumanrights.org/International_Submissions/A/Index?id=548.  </w:t>
      </w:r>
    </w:p>
  </w:footnote>
  <w:footnote w:id="20">
    <w:p w14:paraId="7CEF843F" w14:textId="5F39E41B" w:rsidR="00425D03" w:rsidRPr="005B1541" w:rsidRDefault="00425D03" w:rsidP="005F52DB">
      <w:pPr>
        <w:pStyle w:val="FootnoteText"/>
        <w:rPr>
          <w:sz w:val="20"/>
          <w:szCs w:val="20"/>
        </w:rPr>
      </w:pPr>
      <w:r w:rsidRPr="005B1541">
        <w:rPr>
          <w:rStyle w:val="FootnoteReference"/>
          <w:sz w:val="20"/>
          <w:szCs w:val="20"/>
        </w:rPr>
        <w:footnoteRef/>
      </w:r>
      <w:r w:rsidRPr="005B1541">
        <w:rPr>
          <w:sz w:val="20"/>
          <w:szCs w:val="20"/>
        </w:rPr>
        <w:t xml:space="preserve"> Committee on the Elimination of Discrimination Against Women, </w:t>
      </w:r>
      <w:r w:rsidRPr="005B1541">
        <w:rPr>
          <w:i/>
          <w:iCs/>
          <w:sz w:val="20"/>
          <w:szCs w:val="20"/>
        </w:rPr>
        <w:t>List of issues and questions in relation to the eighth periodic report of Iraq</w:t>
      </w:r>
      <w:r w:rsidRPr="005B1541">
        <w:rPr>
          <w:sz w:val="20"/>
          <w:szCs w:val="20"/>
        </w:rPr>
        <w:t>, (3 Mar. 2025), U.N. Doc. CEDAW/C/IRQ/Q/8, ¶ 10.</w:t>
      </w:r>
    </w:p>
  </w:footnote>
  <w:footnote w:id="21">
    <w:p w14:paraId="5AFA3E4D" w14:textId="1F5E4F12" w:rsidR="002A76D8" w:rsidRPr="005B1541" w:rsidRDefault="002A76D8" w:rsidP="002A76D8">
      <w:pPr>
        <w:pStyle w:val="FootnoteText"/>
        <w:rPr>
          <w:sz w:val="20"/>
          <w:szCs w:val="20"/>
        </w:rPr>
      </w:pPr>
      <w:r w:rsidRPr="005B1541">
        <w:rPr>
          <w:rStyle w:val="FootnoteReference"/>
          <w:sz w:val="20"/>
          <w:szCs w:val="20"/>
        </w:rPr>
        <w:footnoteRef/>
      </w:r>
      <w:r w:rsidRPr="005B1541">
        <w:rPr>
          <w:sz w:val="20"/>
          <w:szCs w:val="20"/>
        </w:rPr>
        <w:t xml:space="preserve"> 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r w:rsidRPr="005B1541">
        <w:rPr>
          <w:sz w:val="20"/>
          <w:szCs w:val="20"/>
        </w:rPr>
        <w:t>, (January 6, 2025), ¶ </w:t>
      </w:r>
      <w:r w:rsidR="00216549" w:rsidRPr="005B1541">
        <w:rPr>
          <w:sz w:val="20"/>
          <w:szCs w:val="20"/>
        </w:rPr>
        <w:t>24</w:t>
      </w:r>
      <w:r w:rsidRPr="005B1541">
        <w:rPr>
          <w:sz w:val="20"/>
          <w:szCs w:val="20"/>
        </w:rPr>
        <w:t xml:space="preserve">, available at https://www.theadvocatesforhumanrights.org/International_Submissions/A/Index?id=548.  </w:t>
      </w:r>
    </w:p>
  </w:footnote>
  <w:footnote w:id="22">
    <w:p w14:paraId="4C917D08" w14:textId="7E3FF0EB" w:rsidR="009274E8" w:rsidRPr="005B1541" w:rsidRDefault="009274E8" w:rsidP="005F52DB">
      <w:pPr>
        <w:pStyle w:val="FootnoteText"/>
        <w:rPr>
          <w:sz w:val="20"/>
          <w:szCs w:val="20"/>
        </w:rPr>
      </w:pPr>
      <w:r w:rsidRPr="005B1541">
        <w:rPr>
          <w:rStyle w:val="FootnoteReference"/>
          <w:sz w:val="20"/>
          <w:szCs w:val="20"/>
        </w:rPr>
        <w:footnoteRef/>
      </w:r>
      <w:r w:rsidRPr="005B1541">
        <w:rPr>
          <w:sz w:val="20"/>
          <w:szCs w:val="20"/>
        </w:rPr>
        <w:t xml:space="preserve"> Committee on the Elimination of Discrimination Against Women, </w:t>
      </w:r>
      <w:r w:rsidRPr="005B1541">
        <w:rPr>
          <w:i/>
          <w:iCs/>
          <w:sz w:val="20"/>
          <w:szCs w:val="20"/>
        </w:rPr>
        <w:t>List of issues and questions in relation to the eighth periodic report of Iraq</w:t>
      </w:r>
      <w:r w:rsidRPr="005B1541">
        <w:rPr>
          <w:sz w:val="20"/>
          <w:szCs w:val="20"/>
        </w:rPr>
        <w:t>, (3 Mar. 2025), U.N. Doc. CEDAW/C/IRQ/Q/8, ¶ 5(c).</w:t>
      </w:r>
    </w:p>
  </w:footnote>
  <w:footnote w:id="23">
    <w:p w14:paraId="5410D164" w14:textId="108D8DC3" w:rsidR="002B1228" w:rsidRPr="005B1541" w:rsidRDefault="002B1228" w:rsidP="005F52DB">
      <w:pPr>
        <w:pStyle w:val="FootnoteText"/>
        <w:rPr>
          <w:sz w:val="20"/>
          <w:szCs w:val="20"/>
        </w:rPr>
      </w:pPr>
      <w:r w:rsidRPr="005B1541">
        <w:rPr>
          <w:rStyle w:val="FootnoteReference"/>
          <w:sz w:val="20"/>
          <w:szCs w:val="20"/>
        </w:rPr>
        <w:footnoteRef/>
      </w:r>
      <w:r w:rsidRPr="005B1541">
        <w:rPr>
          <w:sz w:val="20"/>
          <w:szCs w:val="20"/>
        </w:rPr>
        <w:t xml:space="preserve"> 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r w:rsidRPr="005B1541">
        <w:rPr>
          <w:sz w:val="20"/>
          <w:szCs w:val="20"/>
        </w:rPr>
        <w:t>, (January 6, 2025),</w:t>
      </w:r>
      <w:r w:rsidR="00E07001" w:rsidRPr="005B1541">
        <w:rPr>
          <w:sz w:val="20"/>
          <w:szCs w:val="20"/>
        </w:rPr>
        <w:t xml:space="preserve"> ¶ 4,</w:t>
      </w:r>
      <w:r w:rsidRPr="005B1541">
        <w:rPr>
          <w:sz w:val="20"/>
          <w:szCs w:val="20"/>
        </w:rPr>
        <w:t xml:space="preserve"> available at https://www.theadvocatesforhumanrights.org/International_Submissions/A/Index?id=548.  </w:t>
      </w:r>
    </w:p>
  </w:footnote>
  <w:footnote w:id="24">
    <w:p w14:paraId="5FB44B98" w14:textId="09034095" w:rsidR="00251159" w:rsidRPr="005B1541" w:rsidRDefault="00251159" w:rsidP="005F52DB">
      <w:pPr>
        <w:pStyle w:val="FootnoteText"/>
        <w:rPr>
          <w:sz w:val="20"/>
          <w:szCs w:val="20"/>
        </w:rPr>
      </w:pPr>
      <w:r w:rsidRPr="005B1541">
        <w:rPr>
          <w:rStyle w:val="FootnoteReference"/>
          <w:sz w:val="20"/>
          <w:szCs w:val="20"/>
        </w:rPr>
        <w:footnoteRef/>
      </w:r>
      <w:r w:rsidRPr="005B1541">
        <w:rPr>
          <w:sz w:val="20"/>
          <w:szCs w:val="20"/>
        </w:rPr>
        <w:t xml:space="preserve"> 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r w:rsidRPr="005B1541">
        <w:rPr>
          <w:sz w:val="20"/>
          <w:szCs w:val="20"/>
        </w:rPr>
        <w:t xml:space="preserve">, (January 6, 2025), ¶ 9, available at https://www.theadvocatesforhumanrights.org/International_Submissions/A/Index?id=548.  </w:t>
      </w:r>
    </w:p>
  </w:footnote>
  <w:footnote w:id="25">
    <w:p w14:paraId="62C44071" w14:textId="77777777" w:rsidR="008D4539" w:rsidRPr="005B1541" w:rsidRDefault="008D4539" w:rsidP="005F52DB">
      <w:pPr>
        <w:pStyle w:val="FootnoteText"/>
        <w:rPr>
          <w:sz w:val="20"/>
          <w:szCs w:val="20"/>
        </w:rPr>
      </w:pPr>
      <w:r w:rsidRPr="005B1541">
        <w:rPr>
          <w:rStyle w:val="FootnoteReference"/>
          <w:sz w:val="20"/>
          <w:szCs w:val="20"/>
        </w:rPr>
        <w:footnoteRef/>
      </w:r>
      <w:r w:rsidRPr="005B1541">
        <w:rPr>
          <w:sz w:val="20"/>
          <w:szCs w:val="20"/>
        </w:rPr>
        <w:t xml:space="preserve"> 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r w:rsidRPr="005B1541">
        <w:rPr>
          <w:sz w:val="20"/>
          <w:szCs w:val="20"/>
        </w:rPr>
        <w:t xml:space="preserve">, (January 6, 2025), ¶ 9, available at https://www.theadvocatesforhumanrights.org/International_Submissions/A/Index?id=548.  </w:t>
      </w:r>
    </w:p>
  </w:footnote>
  <w:footnote w:id="26">
    <w:p w14:paraId="5DDB2AF1" w14:textId="77777777" w:rsidR="008418ED" w:rsidRPr="005B1541" w:rsidRDefault="008418ED" w:rsidP="005F52DB">
      <w:pPr>
        <w:pStyle w:val="FootnoteText"/>
        <w:rPr>
          <w:sz w:val="20"/>
          <w:szCs w:val="20"/>
        </w:rPr>
      </w:pPr>
      <w:r w:rsidRPr="005B1541">
        <w:rPr>
          <w:rStyle w:val="FootnoteReference"/>
          <w:sz w:val="20"/>
          <w:szCs w:val="20"/>
        </w:rPr>
        <w:footnoteRef/>
      </w:r>
      <w:r w:rsidRPr="005B1541">
        <w:rPr>
          <w:sz w:val="20"/>
          <w:szCs w:val="20"/>
        </w:rPr>
        <w:t xml:space="preserve"> The Advocates for Human Rights et al.</w:t>
      </w:r>
      <w:r w:rsidRPr="005B1541">
        <w:rPr>
          <w:i/>
          <w:iCs/>
          <w:sz w:val="20"/>
          <w:szCs w:val="20"/>
        </w:rPr>
        <w:t>, The Republic of Iraq’s Compliance with the Convention on the Elimination of All Forms of Discrimination against Women: Suggested List of Issues Relating to the Death Penalty</w:t>
      </w:r>
      <w:r w:rsidRPr="005B1541">
        <w:rPr>
          <w:sz w:val="20"/>
          <w:szCs w:val="20"/>
        </w:rPr>
        <w:t xml:space="preserve">, (January 6, 2025), ¶ 4, available at https://www.theadvocatesforhumanrights.org/International_Submissions/A/Index?id=548.  </w:t>
      </w:r>
    </w:p>
  </w:footnote>
  <w:footnote w:id="27">
    <w:p w14:paraId="4ED145DB" w14:textId="33DD79CF" w:rsidR="0009244E" w:rsidRPr="005B1541" w:rsidRDefault="0009244E" w:rsidP="005F52DB">
      <w:pPr>
        <w:pStyle w:val="FootnoteText"/>
        <w:rPr>
          <w:sz w:val="20"/>
          <w:szCs w:val="20"/>
        </w:rPr>
      </w:pPr>
      <w:r w:rsidRPr="005B1541">
        <w:rPr>
          <w:rStyle w:val="FootnoteReference"/>
          <w:sz w:val="20"/>
          <w:szCs w:val="20"/>
        </w:rPr>
        <w:footnoteRef/>
      </w:r>
      <w:r w:rsidRPr="005B1541">
        <w:rPr>
          <w:sz w:val="20"/>
          <w:szCs w:val="20"/>
        </w:rPr>
        <w:t xml:space="preserve"> Committee on the Elimination of Discrimination Against Women, </w:t>
      </w:r>
      <w:r w:rsidRPr="005B1541">
        <w:rPr>
          <w:i/>
          <w:iCs/>
          <w:sz w:val="20"/>
          <w:szCs w:val="20"/>
        </w:rPr>
        <w:t>List of issues and questions in relation to the eighth periodic report of Iraq</w:t>
      </w:r>
      <w:r w:rsidRPr="005B1541">
        <w:rPr>
          <w:sz w:val="20"/>
          <w:szCs w:val="20"/>
        </w:rPr>
        <w:t>, (3 Mar. 2025), U.N. Doc. CEDAW/C/IRQ/Q/8, ¶ 18.</w:t>
      </w:r>
    </w:p>
  </w:footnote>
  <w:footnote w:id="28">
    <w:p w14:paraId="0AA3F908" w14:textId="2C744CE9" w:rsidR="005B1541" w:rsidRPr="009E0B95" w:rsidRDefault="005B1541">
      <w:pPr>
        <w:pStyle w:val="FootnoteText"/>
        <w:rPr>
          <w:sz w:val="20"/>
          <w:szCs w:val="20"/>
        </w:rPr>
      </w:pPr>
      <w:r w:rsidRPr="009E0B95">
        <w:rPr>
          <w:rStyle w:val="FootnoteReference"/>
          <w:sz w:val="20"/>
          <w:szCs w:val="20"/>
        </w:rPr>
        <w:footnoteRef/>
      </w:r>
      <w:r w:rsidRPr="009E0B95">
        <w:rPr>
          <w:sz w:val="20"/>
          <w:szCs w:val="20"/>
        </w:rPr>
        <w:t xml:space="preserve"> Abolition Death Penalty of Iraq Organization, email communication, 20 Dec. 2025, on file with The Advocates for Human Rights.</w:t>
      </w:r>
    </w:p>
  </w:footnote>
  <w:footnote w:id="29">
    <w:p w14:paraId="764E3602" w14:textId="5FA0B88F" w:rsidR="003D262F" w:rsidRPr="005B1541" w:rsidRDefault="003D262F" w:rsidP="005F52DB">
      <w:pPr>
        <w:pStyle w:val="FootnoteText"/>
        <w:rPr>
          <w:sz w:val="20"/>
          <w:szCs w:val="20"/>
        </w:rPr>
      </w:pPr>
      <w:r w:rsidRPr="005B1541">
        <w:rPr>
          <w:rStyle w:val="FootnoteReference"/>
          <w:sz w:val="20"/>
          <w:szCs w:val="20"/>
        </w:rPr>
        <w:footnoteRef/>
      </w:r>
      <w:r w:rsidRPr="005B1541">
        <w:rPr>
          <w:sz w:val="20"/>
          <w:szCs w:val="20"/>
        </w:rPr>
        <w:t xml:space="preserve"> Committee on the Elimination of Discrimination Against Women, </w:t>
      </w:r>
      <w:r w:rsidRPr="005B1541">
        <w:rPr>
          <w:i/>
          <w:iCs/>
          <w:sz w:val="20"/>
          <w:szCs w:val="20"/>
        </w:rPr>
        <w:t>List of issues and questions in relation to the eighth periodic report of Iraq</w:t>
      </w:r>
      <w:r w:rsidRPr="005B1541">
        <w:rPr>
          <w:sz w:val="20"/>
          <w:szCs w:val="20"/>
        </w:rPr>
        <w:t>, (3 Mar. 2025), U.N. Doc. CEDAW/C/IRQ/Q/8, ¶ 21.</w:t>
      </w:r>
    </w:p>
  </w:footnote>
  <w:footnote w:id="30">
    <w:p w14:paraId="69082895" w14:textId="77777777" w:rsidR="005A0A99" w:rsidRPr="005B1541" w:rsidRDefault="005A0A99" w:rsidP="005A0A99">
      <w:pPr>
        <w:pStyle w:val="FootnoteText"/>
        <w:rPr>
          <w:sz w:val="20"/>
          <w:szCs w:val="20"/>
        </w:rPr>
      </w:pPr>
      <w:r w:rsidRPr="005B1541">
        <w:rPr>
          <w:rStyle w:val="FootnoteReference"/>
          <w:sz w:val="20"/>
          <w:szCs w:val="20"/>
        </w:rPr>
        <w:footnoteRef/>
      </w:r>
      <w:r w:rsidRPr="005B1541">
        <w:rPr>
          <w:sz w:val="20"/>
          <w:szCs w:val="20"/>
        </w:rPr>
        <w:t xml:space="preserve"> </w:t>
      </w:r>
      <w:r w:rsidRPr="005B1541">
        <w:rPr>
          <w:i/>
          <w:iCs/>
          <w:sz w:val="20"/>
          <w:szCs w:val="20"/>
        </w:rPr>
        <w:t>Iraq: Personal Status Law Amendment Sets Back Women’s Rights</w:t>
      </w:r>
      <w:r w:rsidRPr="005B1541">
        <w:rPr>
          <w:sz w:val="20"/>
          <w:szCs w:val="20"/>
        </w:rPr>
        <w:t xml:space="preserve">, Human Rights Watch, Mar. 10, 2025. Available online at https://www.hrw.org/news/2025/03/10/iraq-personal-status-law-amendment-sets-back-womens-rights. </w:t>
      </w:r>
    </w:p>
  </w:footnote>
  <w:footnote w:id="31">
    <w:p w14:paraId="7909D8F5" w14:textId="77777777" w:rsidR="005A0A99" w:rsidRPr="005B1541" w:rsidRDefault="005A0A99" w:rsidP="005A0A99">
      <w:pPr>
        <w:pStyle w:val="FootnoteText"/>
        <w:rPr>
          <w:sz w:val="20"/>
          <w:szCs w:val="20"/>
        </w:rPr>
      </w:pPr>
      <w:r w:rsidRPr="005B1541">
        <w:rPr>
          <w:rStyle w:val="FootnoteReference"/>
          <w:sz w:val="20"/>
          <w:szCs w:val="20"/>
        </w:rPr>
        <w:footnoteRef/>
      </w:r>
      <w:r w:rsidRPr="005B1541">
        <w:rPr>
          <w:sz w:val="20"/>
          <w:szCs w:val="20"/>
        </w:rPr>
        <w:t xml:space="preserve"> </w:t>
      </w:r>
      <w:r w:rsidRPr="005B1541">
        <w:rPr>
          <w:i/>
          <w:iCs/>
          <w:sz w:val="20"/>
          <w:szCs w:val="20"/>
        </w:rPr>
        <w:t>Iraq: House of Representatives Approves Amendments to Law on Personal Status,</w:t>
      </w:r>
      <w:r w:rsidRPr="005B1541">
        <w:rPr>
          <w:sz w:val="20"/>
          <w:szCs w:val="20"/>
        </w:rPr>
        <w:t xml:space="preserve"> Library of Congress, Feb. 14, 2025. Available online at https://www.loc.gov/item/global-legal-monitor/2025-02-14/iraq-house-of-representatives-approves-amendments-to-law-on-personal-status/; Human Rights Watch, </w:t>
      </w:r>
      <w:r w:rsidRPr="005B1541">
        <w:rPr>
          <w:i/>
          <w:iCs/>
          <w:sz w:val="20"/>
          <w:szCs w:val="20"/>
        </w:rPr>
        <w:t>Iraq: New Personal Status Code Makes Women Second Class</w:t>
      </w:r>
      <w:r w:rsidRPr="005B1541">
        <w:rPr>
          <w:sz w:val="20"/>
          <w:szCs w:val="20"/>
        </w:rPr>
        <w:t>, (October 15, 2025). Available online at https://www.hrw.org/news/2025/10/15/iraq-new-personal-status-code-makes-women-second-class.</w:t>
      </w:r>
    </w:p>
  </w:footnote>
  <w:footnote w:id="32">
    <w:p w14:paraId="09D53761" w14:textId="77777777" w:rsidR="005A0A99" w:rsidRPr="005B1541" w:rsidRDefault="005A0A99" w:rsidP="005A0A99">
      <w:pPr>
        <w:pStyle w:val="FootnoteText"/>
        <w:rPr>
          <w:sz w:val="20"/>
          <w:szCs w:val="20"/>
        </w:rPr>
      </w:pPr>
      <w:r w:rsidRPr="005B1541">
        <w:rPr>
          <w:rStyle w:val="FootnoteReference"/>
          <w:sz w:val="20"/>
          <w:szCs w:val="20"/>
        </w:rPr>
        <w:footnoteRef/>
      </w:r>
      <w:r w:rsidRPr="005B1541">
        <w:rPr>
          <w:sz w:val="20"/>
          <w:szCs w:val="20"/>
        </w:rPr>
        <w:t xml:space="preserve"> </w:t>
      </w:r>
      <w:r w:rsidRPr="005B1541">
        <w:rPr>
          <w:i/>
          <w:iCs/>
          <w:sz w:val="20"/>
          <w:szCs w:val="20"/>
        </w:rPr>
        <w:t>Iraq: Personal Status Law Amendment Sets Back Women’s Rights</w:t>
      </w:r>
      <w:r w:rsidRPr="005B1541">
        <w:rPr>
          <w:sz w:val="20"/>
          <w:szCs w:val="20"/>
        </w:rPr>
        <w:t xml:space="preserve">, Human Rights Watch, Mar. 10, 2025. Available online at https://www.hrw.org/news/2025/03/10/iraq-personal-status-law-amendment-sets-back-womens-rights; </w:t>
      </w:r>
      <w:r w:rsidRPr="005B1541">
        <w:rPr>
          <w:i/>
          <w:iCs/>
          <w:sz w:val="20"/>
          <w:szCs w:val="20"/>
        </w:rPr>
        <w:t>Proposed Bill Amendment in Iraq Could Allow Girls as Young as 9 to Marry. What to Know</w:t>
      </w:r>
      <w:r w:rsidRPr="005B1541">
        <w:rPr>
          <w:sz w:val="20"/>
          <w:szCs w:val="20"/>
        </w:rPr>
        <w:t>, Anna Gordon, Time, Aug. 16, 2024. Available online at https://time.com/7011752/proposed-bill-amendment-iraq-could-allow-girls-as-young-as-nine-to-marry/.</w:t>
      </w:r>
    </w:p>
  </w:footnote>
  <w:footnote w:id="33">
    <w:p w14:paraId="1FBED6A3" w14:textId="77777777" w:rsidR="0099701D" w:rsidRPr="005B1541" w:rsidRDefault="0099701D" w:rsidP="0099701D">
      <w:pPr>
        <w:pStyle w:val="FootnoteText"/>
        <w:rPr>
          <w:sz w:val="20"/>
          <w:szCs w:val="20"/>
        </w:rPr>
      </w:pPr>
      <w:r w:rsidRPr="005B1541">
        <w:rPr>
          <w:rStyle w:val="FootnoteReference"/>
          <w:sz w:val="20"/>
          <w:szCs w:val="20"/>
        </w:rPr>
        <w:footnoteRef/>
      </w:r>
      <w:r w:rsidRPr="005B1541">
        <w:rPr>
          <w:sz w:val="20"/>
          <w:szCs w:val="20"/>
        </w:rPr>
        <w:t xml:space="preserve"> </w:t>
      </w:r>
      <w:r w:rsidRPr="005B1541">
        <w:rPr>
          <w:i/>
          <w:iCs/>
          <w:sz w:val="20"/>
          <w:szCs w:val="20"/>
        </w:rPr>
        <w:t>Iraq: Personal Status Law Amendment Sets Back Women’s Rights</w:t>
      </w:r>
      <w:r w:rsidRPr="005B1541">
        <w:rPr>
          <w:sz w:val="20"/>
          <w:szCs w:val="20"/>
        </w:rPr>
        <w:t xml:space="preserve">, Human Rights Watch, Mar. 10, 2025. Available online at https://www.hrw.org/news/2025/03/10/iraq-personal-status-law-amendment-sets-back-womens-rights; </w:t>
      </w:r>
      <w:r w:rsidRPr="005B1541">
        <w:rPr>
          <w:i/>
          <w:iCs/>
          <w:sz w:val="20"/>
          <w:szCs w:val="20"/>
        </w:rPr>
        <w:t>Proposed Bill Amendment in Iraq Could Allow Girls as Young as 9 to Marry. What to Know</w:t>
      </w:r>
      <w:r w:rsidRPr="005B1541">
        <w:rPr>
          <w:sz w:val="20"/>
          <w:szCs w:val="20"/>
        </w:rPr>
        <w:t>, Anna Gordon, Time, Aug. 16, 2024. Available online at https://time.com/7011752/proposed-bill-amendment-iraq-could-allow-girls-as-young-as-nine-to-marry/.</w:t>
      </w:r>
    </w:p>
  </w:footnote>
  <w:footnote w:id="34">
    <w:p w14:paraId="49F651DD" w14:textId="5778271B" w:rsidR="00156500" w:rsidRPr="009E0B95" w:rsidRDefault="00156500">
      <w:pPr>
        <w:pStyle w:val="FootnoteText"/>
        <w:rPr>
          <w:sz w:val="20"/>
          <w:szCs w:val="20"/>
        </w:rPr>
      </w:pPr>
      <w:r w:rsidRPr="009E0B95">
        <w:rPr>
          <w:rStyle w:val="FootnoteReference"/>
          <w:sz w:val="20"/>
          <w:szCs w:val="20"/>
        </w:rPr>
        <w:footnoteRef/>
      </w:r>
      <w:r w:rsidRPr="009E0B95">
        <w:rPr>
          <w:sz w:val="20"/>
          <w:szCs w:val="20"/>
        </w:rPr>
        <w:t xml:space="preserve"> </w:t>
      </w:r>
      <w:r w:rsidR="009B6617" w:rsidRPr="005B1541">
        <w:rPr>
          <w:sz w:val="20"/>
          <w:szCs w:val="20"/>
        </w:rPr>
        <w:t xml:space="preserve">Cornell Center on the Death Penalty Worldwide, </w:t>
      </w:r>
      <w:r w:rsidR="009B6617" w:rsidRPr="005B1541">
        <w:rPr>
          <w:i/>
          <w:iCs/>
          <w:sz w:val="20"/>
          <w:szCs w:val="20"/>
        </w:rPr>
        <w:t>Judged for More Than Her Crime: A Global Overview of Women Facing the Death Penalty</w:t>
      </w:r>
      <w:r w:rsidR="009B6617" w:rsidRPr="005B1541">
        <w:rPr>
          <w:sz w:val="20"/>
          <w:szCs w:val="20"/>
        </w:rPr>
        <w:t xml:space="preserve"> (Sept. 4, 2018), at 15. Available online at https://www.deathpenaltyworldwide.org/wp-content/uploads/2019/12/Judged-More-Than-Her-Crime.pdf.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3DD165AB" w:rsidR="00804604" w:rsidRDefault="00C618D9" w:rsidP="009E0B95">
    <w:pPr>
      <w:pStyle w:val="Header"/>
      <w:tabs>
        <w:tab w:val="clear" w:pos="4320"/>
        <w:tab w:val="clear" w:pos="8640"/>
        <w:tab w:val="left" w:pos="3675"/>
        <w:tab w:val="left" w:pos="5955"/>
      </w:tabs>
    </w:pPr>
    <w:r>
      <w:rPr>
        <w:noProof/>
      </w:rPr>
      <w:drawing>
        <wp:anchor distT="0" distB="0" distL="114300" distR="114300" simplePos="0" relativeHeight="251661313" behindDoc="0" locked="0" layoutInCell="1" allowOverlap="1" wp14:anchorId="3D13E2E4" wp14:editId="17067E1C">
          <wp:simplePos x="0" y="0"/>
          <wp:positionH relativeFrom="column">
            <wp:posOffset>2667000</wp:posOffset>
          </wp:positionH>
          <wp:positionV relativeFrom="paragraph">
            <wp:posOffset>-123825</wp:posOffset>
          </wp:positionV>
          <wp:extent cx="1876425" cy="661670"/>
          <wp:effectExtent l="0" t="0" r="9525" b="5080"/>
          <wp:wrapNone/>
          <wp:docPr id="1496871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661670"/>
                  </a:xfrm>
                  <a:prstGeom prst="rect">
                    <a:avLst/>
                  </a:prstGeom>
                  <a:noFill/>
                </pic:spPr>
              </pic:pic>
            </a:graphicData>
          </a:graphic>
        </wp:anchor>
      </w:drawing>
    </w:r>
    <w:r>
      <w:rPr>
        <w:noProof/>
      </w:rPr>
      <w:drawing>
        <wp:anchor distT="0" distB="0" distL="114300" distR="114300" simplePos="0" relativeHeight="251658240" behindDoc="0" locked="0" layoutInCell="1" allowOverlap="1" wp14:anchorId="0D691956" wp14:editId="578110A2">
          <wp:simplePos x="0" y="0"/>
          <wp:positionH relativeFrom="margin">
            <wp:posOffset>4574030</wp:posOffset>
          </wp:positionH>
          <wp:positionV relativeFrom="paragraph">
            <wp:posOffset>-228599</wp:posOffset>
          </wp:positionV>
          <wp:extent cx="1888999" cy="7239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94046" cy="725834"/>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lang w:val="en-029" w:eastAsia="en-029"/>
      </w:rPr>
      <w:drawing>
        <wp:anchor distT="0" distB="0" distL="114300" distR="114300" simplePos="0" relativeHeight="251660289" behindDoc="0" locked="0" layoutInCell="1" allowOverlap="1" wp14:anchorId="5D2C4AB8" wp14:editId="782125C5">
          <wp:simplePos x="0" y="0"/>
          <wp:positionH relativeFrom="column">
            <wp:posOffset>-114300</wp:posOffset>
          </wp:positionH>
          <wp:positionV relativeFrom="paragraph">
            <wp:posOffset>-219074</wp:posOffset>
          </wp:positionV>
          <wp:extent cx="1470064" cy="781050"/>
          <wp:effectExtent l="0" t="0" r="0" b="0"/>
          <wp:wrapNone/>
          <wp:docPr id="160248401" name="Picture 16024840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474400" cy="78335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5" behindDoc="0" locked="0" layoutInCell="1" allowOverlap="1" wp14:anchorId="09B1D57A" wp14:editId="055DB577">
          <wp:simplePos x="0" y="0"/>
          <wp:positionH relativeFrom="margin">
            <wp:posOffset>1209675</wp:posOffset>
          </wp:positionH>
          <wp:positionV relativeFrom="paragraph">
            <wp:posOffset>-342900</wp:posOffset>
          </wp:positionV>
          <wp:extent cx="1800225" cy="1135380"/>
          <wp:effectExtent l="0" t="0" r="9525" b="7620"/>
          <wp:wrapNone/>
          <wp:docPr id="1697349447" name="Picture 1" descr="A logo with a noos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49447" name="Picture 1" descr="A logo with a noose and tex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0225"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1D3D">
      <w:tab/>
    </w:r>
    <w:r>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C93FC7"/>
    <w:multiLevelType w:val="hybridMultilevel"/>
    <w:tmpl w:val="6B2AB8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144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683803"/>
    <w:multiLevelType w:val="hybridMultilevel"/>
    <w:tmpl w:val="34C6E8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9043AC1"/>
    <w:multiLevelType w:val="hybridMultilevel"/>
    <w:tmpl w:val="0C7EB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EF52F9C"/>
    <w:multiLevelType w:val="hybridMultilevel"/>
    <w:tmpl w:val="EDB28708"/>
    <w:lvl w:ilvl="0" w:tplc="2B8AD8F0">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652AF8"/>
    <w:multiLevelType w:val="hybridMultilevel"/>
    <w:tmpl w:val="3C6C45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C9302BE"/>
    <w:multiLevelType w:val="hybridMultilevel"/>
    <w:tmpl w:val="A11C5CAE"/>
    <w:lvl w:ilvl="0" w:tplc="FBDCD9EE">
      <w:start w:val="1"/>
      <w:numFmt w:val="decimal"/>
      <w:lvlText w:val="%1."/>
      <w:lvlJc w:val="left"/>
      <w:pPr>
        <w:ind w:left="720" w:hanging="360"/>
      </w:pPr>
    </w:lvl>
    <w:lvl w:ilvl="1" w:tplc="240E82FA">
      <w:start w:val="1"/>
      <w:numFmt w:val="decimal"/>
      <w:lvlText w:val="%2."/>
      <w:lvlJc w:val="left"/>
      <w:pPr>
        <w:ind w:left="720" w:hanging="360"/>
      </w:pPr>
    </w:lvl>
    <w:lvl w:ilvl="2" w:tplc="3EDAB89A">
      <w:start w:val="1"/>
      <w:numFmt w:val="decimal"/>
      <w:lvlText w:val="%3."/>
      <w:lvlJc w:val="left"/>
      <w:pPr>
        <w:ind w:left="720" w:hanging="360"/>
      </w:pPr>
    </w:lvl>
    <w:lvl w:ilvl="3" w:tplc="61D6D124">
      <w:start w:val="1"/>
      <w:numFmt w:val="decimal"/>
      <w:lvlText w:val="%4."/>
      <w:lvlJc w:val="left"/>
      <w:pPr>
        <w:ind w:left="720" w:hanging="360"/>
      </w:pPr>
    </w:lvl>
    <w:lvl w:ilvl="4" w:tplc="D666C5EE">
      <w:start w:val="1"/>
      <w:numFmt w:val="decimal"/>
      <w:lvlText w:val="%5."/>
      <w:lvlJc w:val="left"/>
      <w:pPr>
        <w:ind w:left="720" w:hanging="360"/>
      </w:pPr>
    </w:lvl>
    <w:lvl w:ilvl="5" w:tplc="E4508FD8">
      <w:start w:val="1"/>
      <w:numFmt w:val="decimal"/>
      <w:lvlText w:val="%6."/>
      <w:lvlJc w:val="left"/>
      <w:pPr>
        <w:ind w:left="720" w:hanging="360"/>
      </w:pPr>
    </w:lvl>
    <w:lvl w:ilvl="6" w:tplc="F09420D6">
      <w:start w:val="1"/>
      <w:numFmt w:val="decimal"/>
      <w:lvlText w:val="%7."/>
      <w:lvlJc w:val="left"/>
      <w:pPr>
        <w:ind w:left="720" w:hanging="360"/>
      </w:pPr>
    </w:lvl>
    <w:lvl w:ilvl="7" w:tplc="01D24858">
      <w:start w:val="1"/>
      <w:numFmt w:val="decimal"/>
      <w:lvlText w:val="%8."/>
      <w:lvlJc w:val="left"/>
      <w:pPr>
        <w:ind w:left="720" w:hanging="360"/>
      </w:pPr>
    </w:lvl>
    <w:lvl w:ilvl="8" w:tplc="CBFE5C04">
      <w:start w:val="1"/>
      <w:numFmt w:val="decimal"/>
      <w:lvlText w:val="%9."/>
      <w:lvlJc w:val="left"/>
      <w:pPr>
        <w:ind w:left="720" w:hanging="360"/>
      </w:pPr>
    </w:lvl>
  </w:abstractNum>
  <w:abstractNum w:abstractNumId="13" w15:restartNumberingAfterBreak="0">
    <w:nsid w:val="538733E7"/>
    <w:multiLevelType w:val="hybridMultilevel"/>
    <w:tmpl w:val="D298BF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582663B"/>
    <w:multiLevelType w:val="hybridMultilevel"/>
    <w:tmpl w:val="05CEEDCA"/>
    <w:lvl w:ilvl="0" w:tplc="23D4ECA4">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8"/>
  </w:num>
  <w:num w:numId="2" w16cid:durableId="2029719975">
    <w:abstractNumId w:val="7"/>
  </w:num>
  <w:num w:numId="3" w16cid:durableId="1539776804">
    <w:abstractNumId w:val="14"/>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0"/>
  </w:num>
  <w:num w:numId="6" w16cid:durableId="594171688">
    <w:abstractNumId w:val="0"/>
  </w:num>
  <w:num w:numId="7" w16cid:durableId="1938251912">
    <w:abstractNumId w:val="4"/>
  </w:num>
  <w:num w:numId="8" w16cid:durableId="1784962959">
    <w:abstractNumId w:val="16"/>
  </w:num>
  <w:num w:numId="9" w16cid:durableId="1023946614">
    <w:abstractNumId w:val="2"/>
  </w:num>
  <w:num w:numId="10" w16cid:durableId="191308430">
    <w:abstractNumId w:val="15"/>
  </w:num>
  <w:num w:numId="11" w16cid:durableId="508300332">
    <w:abstractNumId w:val="9"/>
  </w:num>
  <w:num w:numId="12" w16cid:durableId="546064727">
    <w:abstractNumId w:val="15"/>
    <w:lvlOverride w:ilvl="0">
      <w:startOverride w:val="1"/>
    </w:lvlOverride>
  </w:num>
  <w:num w:numId="13" w16cid:durableId="125979042">
    <w:abstractNumId w:val="1"/>
  </w:num>
  <w:num w:numId="14" w16cid:durableId="81998605">
    <w:abstractNumId w:val="6"/>
  </w:num>
  <w:num w:numId="15" w16cid:durableId="976497144">
    <w:abstractNumId w:val="13"/>
  </w:num>
  <w:num w:numId="16" w16cid:durableId="390466201">
    <w:abstractNumId w:val="11"/>
  </w:num>
  <w:num w:numId="17" w16cid:durableId="457382844">
    <w:abstractNumId w:val="5"/>
  </w:num>
  <w:num w:numId="18" w16cid:durableId="962811578">
    <w:abstractNumId w:val="12"/>
  </w:num>
  <w:num w:numId="19" w16cid:durableId="76438939">
    <w:abstractNumId w:val="4"/>
  </w:num>
  <w:num w:numId="20" w16cid:durableId="1242982697">
    <w:abstractNumId w:val="4"/>
  </w:num>
  <w:num w:numId="21" w16cid:durableId="235094691">
    <w:abstractNumId w:val="4"/>
  </w:num>
  <w:num w:numId="22" w16cid:durableId="492916282">
    <w:abstractNumId w:val="4"/>
  </w:num>
  <w:num w:numId="23" w16cid:durableId="1481270564">
    <w:abstractNumId w:val="15"/>
  </w:num>
  <w:num w:numId="24" w16cid:durableId="31809960">
    <w:abstractNumId w:val="15"/>
  </w:num>
  <w:num w:numId="25" w16cid:durableId="1389110143">
    <w:abstractNumId w:val="4"/>
  </w:num>
  <w:num w:numId="26" w16cid:durableId="147983580">
    <w:abstractNumId w:val="4"/>
  </w:num>
  <w:num w:numId="27" w16cid:durableId="2102024930">
    <w:abstractNumId w:val="4"/>
  </w:num>
  <w:num w:numId="28" w16cid:durableId="9983872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_Work10" w:val="0~ADMINISTRATION||1~7546307||2~7||3~2025 CEDAW Alternative Report for Iraq (Dechert Draft)||5~CMASLOWSKY||6~CMASLOWSKY||8~CORR||10~10/27/2025 5:24:23 PM||11~10/27/2025 2:30:56 PM||13~885628||14~False||17~public||18~CMASLOWSKY||19~CMASLOWSKY||21~True||22~True||24~v7. SN comments 11/09_x000a_v5. MB 10/26_x000a_v6. CM 10/27||25~380780||26~218980||53~58||54~9999||60~Advocates for Human Rights (The)||61~Reports on the Death Penalty in Iraq, India, Brunei, Vietnam||72~Pro Bono||73~Non-Earning||74~Maslowsky, Callie Mary||75~Maslowsky, Callie Mary||76~WORD 2007||77~Correspondence||80~Maslowsky, Callie Mary||82~docx||85~10/27/2025 5:24:24 PM||99~1/1/0001 5:00:00 AM||102~False||106~C:\Users\CMaslowsky\AppData\Roaming\iManage\Work\Recent\NA 218980 - Reports on the Death Penalty in Iraq_ India_ Brunei_ Vietnam\2025 CEDAW Alternative Report for Iraq (Dechert Draft)(7546307.7).docx||107~1/1/0001 5:00:00 AM||109~11/11/2025 2:51:03 AM||112~1/1/0001 12:00:00 AM||113~10/26/2025 10:38:00 PM||114~10/27/2025 5:24:19 PM||117~True||118~False||124~False||"/>
  </w:docVars>
  <w:rsids>
    <w:rsidRoot w:val="00DC41C9"/>
    <w:rsid w:val="000020A0"/>
    <w:rsid w:val="00010A84"/>
    <w:rsid w:val="00012D7F"/>
    <w:rsid w:val="00016EF3"/>
    <w:rsid w:val="00020381"/>
    <w:rsid w:val="000251A9"/>
    <w:rsid w:val="0002570D"/>
    <w:rsid w:val="0002709F"/>
    <w:rsid w:val="000303B5"/>
    <w:rsid w:val="00030F59"/>
    <w:rsid w:val="000342B6"/>
    <w:rsid w:val="0004143C"/>
    <w:rsid w:val="0004196F"/>
    <w:rsid w:val="00041B06"/>
    <w:rsid w:val="00044D52"/>
    <w:rsid w:val="00046377"/>
    <w:rsid w:val="00046487"/>
    <w:rsid w:val="00047CC1"/>
    <w:rsid w:val="00051D8F"/>
    <w:rsid w:val="00055168"/>
    <w:rsid w:val="000560C6"/>
    <w:rsid w:val="00056CF5"/>
    <w:rsid w:val="0005765E"/>
    <w:rsid w:val="00061716"/>
    <w:rsid w:val="00062949"/>
    <w:rsid w:val="00064D39"/>
    <w:rsid w:val="00072818"/>
    <w:rsid w:val="000734A4"/>
    <w:rsid w:val="0008238F"/>
    <w:rsid w:val="00082D64"/>
    <w:rsid w:val="00085935"/>
    <w:rsid w:val="000910FC"/>
    <w:rsid w:val="00091107"/>
    <w:rsid w:val="0009244E"/>
    <w:rsid w:val="0009644E"/>
    <w:rsid w:val="00096AFE"/>
    <w:rsid w:val="00097CF8"/>
    <w:rsid w:val="000A0583"/>
    <w:rsid w:val="000A1F17"/>
    <w:rsid w:val="000A2C4A"/>
    <w:rsid w:val="000A66B8"/>
    <w:rsid w:val="000B042D"/>
    <w:rsid w:val="000B4DB3"/>
    <w:rsid w:val="000C15B7"/>
    <w:rsid w:val="000C3E65"/>
    <w:rsid w:val="000C6340"/>
    <w:rsid w:val="000D0680"/>
    <w:rsid w:val="000D3BC3"/>
    <w:rsid w:val="000E1DDC"/>
    <w:rsid w:val="000E61A3"/>
    <w:rsid w:val="000E6508"/>
    <w:rsid w:val="000E7184"/>
    <w:rsid w:val="000F1E67"/>
    <w:rsid w:val="000F1E7F"/>
    <w:rsid w:val="000F2336"/>
    <w:rsid w:val="000F507D"/>
    <w:rsid w:val="000F56E0"/>
    <w:rsid w:val="000F5A63"/>
    <w:rsid w:val="001008D1"/>
    <w:rsid w:val="00100CDB"/>
    <w:rsid w:val="00111994"/>
    <w:rsid w:val="00113A1D"/>
    <w:rsid w:val="00120CB9"/>
    <w:rsid w:val="001215B4"/>
    <w:rsid w:val="00121DD1"/>
    <w:rsid w:val="001259B6"/>
    <w:rsid w:val="00131F68"/>
    <w:rsid w:val="00132054"/>
    <w:rsid w:val="001346AA"/>
    <w:rsid w:val="00136514"/>
    <w:rsid w:val="00137229"/>
    <w:rsid w:val="00137AB4"/>
    <w:rsid w:val="00143423"/>
    <w:rsid w:val="00144BAF"/>
    <w:rsid w:val="00147312"/>
    <w:rsid w:val="00147EA4"/>
    <w:rsid w:val="0015406F"/>
    <w:rsid w:val="00155261"/>
    <w:rsid w:val="00156500"/>
    <w:rsid w:val="001565F9"/>
    <w:rsid w:val="00160BDA"/>
    <w:rsid w:val="00180794"/>
    <w:rsid w:val="00180A6C"/>
    <w:rsid w:val="001812D2"/>
    <w:rsid w:val="00181B2A"/>
    <w:rsid w:val="00181EF5"/>
    <w:rsid w:val="001860AF"/>
    <w:rsid w:val="0018642B"/>
    <w:rsid w:val="00190ED5"/>
    <w:rsid w:val="001918B8"/>
    <w:rsid w:val="00195FFB"/>
    <w:rsid w:val="001962BE"/>
    <w:rsid w:val="001A2E6C"/>
    <w:rsid w:val="001A34F4"/>
    <w:rsid w:val="001A35E2"/>
    <w:rsid w:val="001A59C1"/>
    <w:rsid w:val="001A5ED5"/>
    <w:rsid w:val="001A700B"/>
    <w:rsid w:val="001A7AF4"/>
    <w:rsid w:val="001B1AC4"/>
    <w:rsid w:val="001B1F3A"/>
    <w:rsid w:val="001B27D7"/>
    <w:rsid w:val="001B36FD"/>
    <w:rsid w:val="001B46C2"/>
    <w:rsid w:val="001B62DC"/>
    <w:rsid w:val="001B799A"/>
    <w:rsid w:val="001C16FB"/>
    <w:rsid w:val="001C42EB"/>
    <w:rsid w:val="001D2AF7"/>
    <w:rsid w:val="001D3D4B"/>
    <w:rsid w:val="001D7DA9"/>
    <w:rsid w:val="001E028F"/>
    <w:rsid w:val="001E58F4"/>
    <w:rsid w:val="001E7C2D"/>
    <w:rsid w:val="001F0326"/>
    <w:rsid w:val="001F14FB"/>
    <w:rsid w:val="001F17A7"/>
    <w:rsid w:val="001F1AFE"/>
    <w:rsid w:val="001F38F2"/>
    <w:rsid w:val="001F4274"/>
    <w:rsid w:val="00211315"/>
    <w:rsid w:val="00216549"/>
    <w:rsid w:val="00220862"/>
    <w:rsid w:val="00220D48"/>
    <w:rsid w:val="00221D34"/>
    <w:rsid w:val="00223D52"/>
    <w:rsid w:val="00226242"/>
    <w:rsid w:val="00226D08"/>
    <w:rsid w:val="002272A3"/>
    <w:rsid w:val="002302AC"/>
    <w:rsid w:val="00232A2A"/>
    <w:rsid w:val="0023388A"/>
    <w:rsid w:val="0023391E"/>
    <w:rsid w:val="00234644"/>
    <w:rsid w:val="002362C5"/>
    <w:rsid w:val="00237C8C"/>
    <w:rsid w:val="0024081F"/>
    <w:rsid w:val="00242F64"/>
    <w:rsid w:val="002439A3"/>
    <w:rsid w:val="00243E14"/>
    <w:rsid w:val="002468AD"/>
    <w:rsid w:val="00251159"/>
    <w:rsid w:val="00251186"/>
    <w:rsid w:val="00251BD8"/>
    <w:rsid w:val="00255789"/>
    <w:rsid w:val="00262845"/>
    <w:rsid w:val="00266E01"/>
    <w:rsid w:val="00272519"/>
    <w:rsid w:val="002728D9"/>
    <w:rsid w:val="00273403"/>
    <w:rsid w:val="002734D9"/>
    <w:rsid w:val="00273933"/>
    <w:rsid w:val="002755F5"/>
    <w:rsid w:val="00282223"/>
    <w:rsid w:val="00291BE8"/>
    <w:rsid w:val="00293003"/>
    <w:rsid w:val="002931F9"/>
    <w:rsid w:val="002974D7"/>
    <w:rsid w:val="00297DB5"/>
    <w:rsid w:val="002A0797"/>
    <w:rsid w:val="002A4264"/>
    <w:rsid w:val="002A4838"/>
    <w:rsid w:val="002A76D8"/>
    <w:rsid w:val="002A7B55"/>
    <w:rsid w:val="002A7CCF"/>
    <w:rsid w:val="002B007A"/>
    <w:rsid w:val="002B1228"/>
    <w:rsid w:val="002B1275"/>
    <w:rsid w:val="002B2FF6"/>
    <w:rsid w:val="002B312E"/>
    <w:rsid w:val="002C198B"/>
    <w:rsid w:val="002C2203"/>
    <w:rsid w:val="002C3983"/>
    <w:rsid w:val="002C57BC"/>
    <w:rsid w:val="002C6436"/>
    <w:rsid w:val="002D1145"/>
    <w:rsid w:val="002D36C6"/>
    <w:rsid w:val="002D455E"/>
    <w:rsid w:val="002D610A"/>
    <w:rsid w:val="002E34EA"/>
    <w:rsid w:val="002E361F"/>
    <w:rsid w:val="002E46A1"/>
    <w:rsid w:val="002E7958"/>
    <w:rsid w:val="002F08EA"/>
    <w:rsid w:val="002F1131"/>
    <w:rsid w:val="002F3E08"/>
    <w:rsid w:val="002F5A08"/>
    <w:rsid w:val="002F63BC"/>
    <w:rsid w:val="002F6BC6"/>
    <w:rsid w:val="002F7A11"/>
    <w:rsid w:val="003055C6"/>
    <w:rsid w:val="0031166B"/>
    <w:rsid w:val="00313D52"/>
    <w:rsid w:val="00315C53"/>
    <w:rsid w:val="00320084"/>
    <w:rsid w:val="00322CB1"/>
    <w:rsid w:val="003244CB"/>
    <w:rsid w:val="003268D9"/>
    <w:rsid w:val="00327278"/>
    <w:rsid w:val="00327AA7"/>
    <w:rsid w:val="003320BA"/>
    <w:rsid w:val="0033274D"/>
    <w:rsid w:val="003369A6"/>
    <w:rsid w:val="00337B3B"/>
    <w:rsid w:val="00340484"/>
    <w:rsid w:val="00342BA9"/>
    <w:rsid w:val="00344140"/>
    <w:rsid w:val="00344556"/>
    <w:rsid w:val="00345B90"/>
    <w:rsid w:val="00351FE8"/>
    <w:rsid w:val="0035378E"/>
    <w:rsid w:val="00354218"/>
    <w:rsid w:val="0035424D"/>
    <w:rsid w:val="003553E9"/>
    <w:rsid w:val="003574EB"/>
    <w:rsid w:val="0035761C"/>
    <w:rsid w:val="0036004C"/>
    <w:rsid w:val="0036202F"/>
    <w:rsid w:val="0036239A"/>
    <w:rsid w:val="0036277D"/>
    <w:rsid w:val="00364C22"/>
    <w:rsid w:val="0036565E"/>
    <w:rsid w:val="003659D3"/>
    <w:rsid w:val="0037064A"/>
    <w:rsid w:val="00372956"/>
    <w:rsid w:val="00374FD8"/>
    <w:rsid w:val="00375E9D"/>
    <w:rsid w:val="003811CD"/>
    <w:rsid w:val="00381DB2"/>
    <w:rsid w:val="00390AC3"/>
    <w:rsid w:val="00392932"/>
    <w:rsid w:val="003937C6"/>
    <w:rsid w:val="00394BFB"/>
    <w:rsid w:val="0039787E"/>
    <w:rsid w:val="003A0BC2"/>
    <w:rsid w:val="003A11FB"/>
    <w:rsid w:val="003A1D3E"/>
    <w:rsid w:val="003A34AE"/>
    <w:rsid w:val="003A62B8"/>
    <w:rsid w:val="003A6F6D"/>
    <w:rsid w:val="003B4D20"/>
    <w:rsid w:val="003B56CA"/>
    <w:rsid w:val="003B7629"/>
    <w:rsid w:val="003C15E5"/>
    <w:rsid w:val="003C1E49"/>
    <w:rsid w:val="003C60FE"/>
    <w:rsid w:val="003C732A"/>
    <w:rsid w:val="003C7AFA"/>
    <w:rsid w:val="003D262F"/>
    <w:rsid w:val="003D48F7"/>
    <w:rsid w:val="003D608F"/>
    <w:rsid w:val="003D6378"/>
    <w:rsid w:val="003D6A4A"/>
    <w:rsid w:val="003E0935"/>
    <w:rsid w:val="003E1D74"/>
    <w:rsid w:val="003E6A6D"/>
    <w:rsid w:val="003E7F6A"/>
    <w:rsid w:val="003F1D3D"/>
    <w:rsid w:val="003F298F"/>
    <w:rsid w:val="003F670C"/>
    <w:rsid w:val="00403EE5"/>
    <w:rsid w:val="004046D3"/>
    <w:rsid w:val="004076CD"/>
    <w:rsid w:val="004106FF"/>
    <w:rsid w:val="00416B9A"/>
    <w:rsid w:val="00417CE5"/>
    <w:rsid w:val="00423925"/>
    <w:rsid w:val="00425CF9"/>
    <w:rsid w:val="00425D03"/>
    <w:rsid w:val="00430A63"/>
    <w:rsid w:val="004312FA"/>
    <w:rsid w:val="00432F1A"/>
    <w:rsid w:val="00435345"/>
    <w:rsid w:val="004428E8"/>
    <w:rsid w:val="00444EE2"/>
    <w:rsid w:val="004474B2"/>
    <w:rsid w:val="00450118"/>
    <w:rsid w:val="00450405"/>
    <w:rsid w:val="004523C2"/>
    <w:rsid w:val="00453314"/>
    <w:rsid w:val="004553A4"/>
    <w:rsid w:val="00456C82"/>
    <w:rsid w:val="00457314"/>
    <w:rsid w:val="00457570"/>
    <w:rsid w:val="00460B0B"/>
    <w:rsid w:val="004615E6"/>
    <w:rsid w:val="00462037"/>
    <w:rsid w:val="00463305"/>
    <w:rsid w:val="00463AF1"/>
    <w:rsid w:val="00464A1A"/>
    <w:rsid w:val="00465FB9"/>
    <w:rsid w:val="004664B2"/>
    <w:rsid w:val="00466DC0"/>
    <w:rsid w:val="00467FB6"/>
    <w:rsid w:val="00473942"/>
    <w:rsid w:val="00473B9A"/>
    <w:rsid w:val="00476CC4"/>
    <w:rsid w:val="004774DF"/>
    <w:rsid w:val="00484171"/>
    <w:rsid w:val="00484C41"/>
    <w:rsid w:val="004866AE"/>
    <w:rsid w:val="00493951"/>
    <w:rsid w:val="004944E0"/>
    <w:rsid w:val="004A17D9"/>
    <w:rsid w:val="004A31A4"/>
    <w:rsid w:val="004A3A8E"/>
    <w:rsid w:val="004A5B01"/>
    <w:rsid w:val="004A78FA"/>
    <w:rsid w:val="004A7D93"/>
    <w:rsid w:val="004A7FF9"/>
    <w:rsid w:val="004B0950"/>
    <w:rsid w:val="004B1E4E"/>
    <w:rsid w:val="004B245C"/>
    <w:rsid w:val="004B4CAF"/>
    <w:rsid w:val="004B73AF"/>
    <w:rsid w:val="004C0D9C"/>
    <w:rsid w:val="004C5974"/>
    <w:rsid w:val="004C6267"/>
    <w:rsid w:val="004D2568"/>
    <w:rsid w:val="004D3EE9"/>
    <w:rsid w:val="004D51DD"/>
    <w:rsid w:val="004E08AC"/>
    <w:rsid w:val="004E150B"/>
    <w:rsid w:val="004E2CD9"/>
    <w:rsid w:val="004E7176"/>
    <w:rsid w:val="004E783D"/>
    <w:rsid w:val="004E78EE"/>
    <w:rsid w:val="004F21DA"/>
    <w:rsid w:val="004F237D"/>
    <w:rsid w:val="004F2465"/>
    <w:rsid w:val="004F2845"/>
    <w:rsid w:val="004F34E5"/>
    <w:rsid w:val="004F4202"/>
    <w:rsid w:val="0050108F"/>
    <w:rsid w:val="005132BB"/>
    <w:rsid w:val="005145C2"/>
    <w:rsid w:val="00514929"/>
    <w:rsid w:val="0051494C"/>
    <w:rsid w:val="00520CC1"/>
    <w:rsid w:val="005221D6"/>
    <w:rsid w:val="00524166"/>
    <w:rsid w:val="00524448"/>
    <w:rsid w:val="00524C18"/>
    <w:rsid w:val="0052536C"/>
    <w:rsid w:val="005336C2"/>
    <w:rsid w:val="005346E6"/>
    <w:rsid w:val="00536FF8"/>
    <w:rsid w:val="005403E3"/>
    <w:rsid w:val="00541FD7"/>
    <w:rsid w:val="00543568"/>
    <w:rsid w:val="00544F66"/>
    <w:rsid w:val="00546254"/>
    <w:rsid w:val="00547BA0"/>
    <w:rsid w:val="00550A8F"/>
    <w:rsid w:val="0055461C"/>
    <w:rsid w:val="00556889"/>
    <w:rsid w:val="005601CA"/>
    <w:rsid w:val="00567571"/>
    <w:rsid w:val="00567887"/>
    <w:rsid w:val="00567FD1"/>
    <w:rsid w:val="00571EF6"/>
    <w:rsid w:val="0057446A"/>
    <w:rsid w:val="00584443"/>
    <w:rsid w:val="005933C7"/>
    <w:rsid w:val="005940DC"/>
    <w:rsid w:val="0059526D"/>
    <w:rsid w:val="0059754B"/>
    <w:rsid w:val="005A0A99"/>
    <w:rsid w:val="005A339B"/>
    <w:rsid w:val="005B0C1B"/>
    <w:rsid w:val="005B1541"/>
    <w:rsid w:val="005B2D86"/>
    <w:rsid w:val="005B3198"/>
    <w:rsid w:val="005B5FFB"/>
    <w:rsid w:val="005C0261"/>
    <w:rsid w:val="005C0309"/>
    <w:rsid w:val="005C183B"/>
    <w:rsid w:val="005C58B6"/>
    <w:rsid w:val="005C5BF7"/>
    <w:rsid w:val="005D0D19"/>
    <w:rsid w:val="005D0DEC"/>
    <w:rsid w:val="005D4EE6"/>
    <w:rsid w:val="005D5F82"/>
    <w:rsid w:val="005E1860"/>
    <w:rsid w:val="005E1C34"/>
    <w:rsid w:val="005E6F60"/>
    <w:rsid w:val="005F1DDF"/>
    <w:rsid w:val="005F2A19"/>
    <w:rsid w:val="005F4E7C"/>
    <w:rsid w:val="005F52DB"/>
    <w:rsid w:val="006045D2"/>
    <w:rsid w:val="00605041"/>
    <w:rsid w:val="0060568A"/>
    <w:rsid w:val="0060622C"/>
    <w:rsid w:val="00607BFF"/>
    <w:rsid w:val="0061394A"/>
    <w:rsid w:val="006143D3"/>
    <w:rsid w:val="0061441D"/>
    <w:rsid w:val="00616E8C"/>
    <w:rsid w:val="0061778F"/>
    <w:rsid w:val="00624A10"/>
    <w:rsid w:val="00625071"/>
    <w:rsid w:val="0062643C"/>
    <w:rsid w:val="00626C39"/>
    <w:rsid w:val="00630D93"/>
    <w:rsid w:val="006314C1"/>
    <w:rsid w:val="00632304"/>
    <w:rsid w:val="00632F2B"/>
    <w:rsid w:val="006347ED"/>
    <w:rsid w:val="006357EE"/>
    <w:rsid w:val="00637611"/>
    <w:rsid w:val="006421D7"/>
    <w:rsid w:val="00643D7A"/>
    <w:rsid w:val="00644CEA"/>
    <w:rsid w:val="00645920"/>
    <w:rsid w:val="00645D16"/>
    <w:rsid w:val="006461C8"/>
    <w:rsid w:val="0064677D"/>
    <w:rsid w:val="00646AAF"/>
    <w:rsid w:val="00646D29"/>
    <w:rsid w:val="00646DE9"/>
    <w:rsid w:val="00651979"/>
    <w:rsid w:val="00656CC4"/>
    <w:rsid w:val="00661E34"/>
    <w:rsid w:val="0066318F"/>
    <w:rsid w:val="006761A7"/>
    <w:rsid w:val="00681716"/>
    <w:rsid w:val="006835AA"/>
    <w:rsid w:val="006848F5"/>
    <w:rsid w:val="00685E55"/>
    <w:rsid w:val="006927DD"/>
    <w:rsid w:val="00694627"/>
    <w:rsid w:val="00695169"/>
    <w:rsid w:val="006A1E81"/>
    <w:rsid w:val="006A235F"/>
    <w:rsid w:val="006A635C"/>
    <w:rsid w:val="006A751E"/>
    <w:rsid w:val="006A7B5F"/>
    <w:rsid w:val="006B03E8"/>
    <w:rsid w:val="006B1369"/>
    <w:rsid w:val="006B495B"/>
    <w:rsid w:val="006B7674"/>
    <w:rsid w:val="006B7B89"/>
    <w:rsid w:val="006C359F"/>
    <w:rsid w:val="006D18EB"/>
    <w:rsid w:val="006D34DA"/>
    <w:rsid w:val="006D39C4"/>
    <w:rsid w:val="006D4856"/>
    <w:rsid w:val="006D4FD7"/>
    <w:rsid w:val="006D66B4"/>
    <w:rsid w:val="006E0467"/>
    <w:rsid w:val="006E6289"/>
    <w:rsid w:val="006E7D5B"/>
    <w:rsid w:val="006F5280"/>
    <w:rsid w:val="006F582F"/>
    <w:rsid w:val="006F784B"/>
    <w:rsid w:val="00704D96"/>
    <w:rsid w:val="007064C2"/>
    <w:rsid w:val="00706C0F"/>
    <w:rsid w:val="0070718E"/>
    <w:rsid w:val="0070771A"/>
    <w:rsid w:val="007143B8"/>
    <w:rsid w:val="0071492D"/>
    <w:rsid w:val="00715529"/>
    <w:rsid w:val="007157D3"/>
    <w:rsid w:val="00716FA6"/>
    <w:rsid w:val="007174BE"/>
    <w:rsid w:val="00717D6B"/>
    <w:rsid w:val="00717E02"/>
    <w:rsid w:val="0072241B"/>
    <w:rsid w:val="00724D74"/>
    <w:rsid w:val="0072587B"/>
    <w:rsid w:val="007308C4"/>
    <w:rsid w:val="007316AA"/>
    <w:rsid w:val="00732394"/>
    <w:rsid w:val="0073245D"/>
    <w:rsid w:val="00733D88"/>
    <w:rsid w:val="00741B9C"/>
    <w:rsid w:val="00743730"/>
    <w:rsid w:val="00747033"/>
    <w:rsid w:val="00747DBF"/>
    <w:rsid w:val="0075187F"/>
    <w:rsid w:val="00753D14"/>
    <w:rsid w:val="0075434E"/>
    <w:rsid w:val="00756592"/>
    <w:rsid w:val="00756883"/>
    <w:rsid w:val="00757977"/>
    <w:rsid w:val="00757A1C"/>
    <w:rsid w:val="00757A8F"/>
    <w:rsid w:val="007637D8"/>
    <w:rsid w:val="00765EBC"/>
    <w:rsid w:val="0077231B"/>
    <w:rsid w:val="007743DE"/>
    <w:rsid w:val="00774643"/>
    <w:rsid w:val="00780C6B"/>
    <w:rsid w:val="00781DE4"/>
    <w:rsid w:val="007838DE"/>
    <w:rsid w:val="00783FF3"/>
    <w:rsid w:val="007920C4"/>
    <w:rsid w:val="007920F0"/>
    <w:rsid w:val="007924B8"/>
    <w:rsid w:val="007A0E44"/>
    <w:rsid w:val="007A1439"/>
    <w:rsid w:val="007A1B70"/>
    <w:rsid w:val="007A23AF"/>
    <w:rsid w:val="007A278F"/>
    <w:rsid w:val="007A486F"/>
    <w:rsid w:val="007A55DA"/>
    <w:rsid w:val="007A608B"/>
    <w:rsid w:val="007A6AE9"/>
    <w:rsid w:val="007A6F49"/>
    <w:rsid w:val="007B18CA"/>
    <w:rsid w:val="007B2C28"/>
    <w:rsid w:val="007B2D14"/>
    <w:rsid w:val="007B46CD"/>
    <w:rsid w:val="007B6256"/>
    <w:rsid w:val="007C4387"/>
    <w:rsid w:val="007C4443"/>
    <w:rsid w:val="007C72E2"/>
    <w:rsid w:val="007C7CCE"/>
    <w:rsid w:val="007D18A7"/>
    <w:rsid w:val="007D2FB7"/>
    <w:rsid w:val="007D35D8"/>
    <w:rsid w:val="007D65C9"/>
    <w:rsid w:val="007E1D60"/>
    <w:rsid w:val="007E5F89"/>
    <w:rsid w:val="007E79C4"/>
    <w:rsid w:val="007F02FE"/>
    <w:rsid w:val="007F23A8"/>
    <w:rsid w:val="007F4771"/>
    <w:rsid w:val="007F4880"/>
    <w:rsid w:val="007F5928"/>
    <w:rsid w:val="007F705D"/>
    <w:rsid w:val="007F788F"/>
    <w:rsid w:val="0080028B"/>
    <w:rsid w:val="00803A24"/>
    <w:rsid w:val="00804604"/>
    <w:rsid w:val="0081221D"/>
    <w:rsid w:val="00812627"/>
    <w:rsid w:val="00813AE4"/>
    <w:rsid w:val="00813F6E"/>
    <w:rsid w:val="008154C8"/>
    <w:rsid w:val="00820FA9"/>
    <w:rsid w:val="0082161C"/>
    <w:rsid w:val="008222F4"/>
    <w:rsid w:val="00826961"/>
    <w:rsid w:val="0083498B"/>
    <w:rsid w:val="00836428"/>
    <w:rsid w:val="0083738E"/>
    <w:rsid w:val="00840F0F"/>
    <w:rsid w:val="00841079"/>
    <w:rsid w:val="008418ED"/>
    <w:rsid w:val="00841C89"/>
    <w:rsid w:val="008470FA"/>
    <w:rsid w:val="00847C78"/>
    <w:rsid w:val="008504A9"/>
    <w:rsid w:val="0085100D"/>
    <w:rsid w:val="008518DE"/>
    <w:rsid w:val="00852B97"/>
    <w:rsid w:val="008535E9"/>
    <w:rsid w:val="00855CD9"/>
    <w:rsid w:val="0085696E"/>
    <w:rsid w:val="008641CA"/>
    <w:rsid w:val="00870521"/>
    <w:rsid w:val="00870C57"/>
    <w:rsid w:val="00872485"/>
    <w:rsid w:val="00874798"/>
    <w:rsid w:val="0087642D"/>
    <w:rsid w:val="008806CE"/>
    <w:rsid w:val="008856D7"/>
    <w:rsid w:val="00885DC8"/>
    <w:rsid w:val="00890056"/>
    <w:rsid w:val="00890730"/>
    <w:rsid w:val="00893B47"/>
    <w:rsid w:val="00893BA2"/>
    <w:rsid w:val="0089443F"/>
    <w:rsid w:val="0089523C"/>
    <w:rsid w:val="008970B7"/>
    <w:rsid w:val="008971D5"/>
    <w:rsid w:val="008A2407"/>
    <w:rsid w:val="008B7457"/>
    <w:rsid w:val="008C19BE"/>
    <w:rsid w:val="008C1CFE"/>
    <w:rsid w:val="008C28A5"/>
    <w:rsid w:val="008C39B3"/>
    <w:rsid w:val="008C3B9B"/>
    <w:rsid w:val="008C510C"/>
    <w:rsid w:val="008C6DF7"/>
    <w:rsid w:val="008C7B1F"/>
    <w:rsid w:val="008C7B63"/>
    <w:rsid w:val="008D0C78"/>
    <w:rsid w:val="008D1926"/>
    <w:rsid w:val="008D4539"/>
    <w:rsid w:val="008D4B51"/>
    <w:rsid w:val="008D6762"/>
    <w:rsid w:val="008E0859"/>
    <w:rsid w:val="008E4554"/>
    <w:rsid w:val="008E4ACD"/>
    <w:rsid w:val="008E555E"/>
    <w:rsid w:val="008E70CF"/>
    <w:rsid w:val="008F0BDD"/>
    <w:rsid w:val="008F146B"/>
    <w:rsid w:val="008F2F99"/>
    <w:rsid w:val="008F3372"/>
    <w:rsid w:val="008F6084"/>
    <w:rsid w:val="008F6E18"/>
    <w:rsid w:val="00904CE2"/>
    <w:rsid w:val="0090577B"/>
    <w:rsid w:val="009057C8"/>
    <w:rsid w:val="00910FE2"/>
    <w:rsid w:val="00914321"/>
    <w:rsid w:val="009160D2"/>
    <w:rsid w:val="00922F57"/>
    <w:rsid w:val="00926476"/>
    <w:rsid w:val="009274E8"/>
    <w:rsid w:val="00927F45"/>
    <w:rsid w:val="009302F5"/>
    <w:rsid w:val="0093190B"/>
    <w:rsid w:val="0093193B"/>
    <w:rsid w:val="0093212B"/>
    <w:rsid w:val="00947170"/>
    <w:rsid w:val="0094779B"/>
    <w:rsid w:val="00947B3D"/>
    <w:rsid w:val="0095226D"/>
    <w:rsid w:val="00952E17"/>
    <w:rsid w:val="00956E94"/>
    <w:rsid w:val="00960864"/>
    <w:rsid w:val="00960CDE"/>
    <w:rsid w:val="00961A34"/>
    <w:rsid w:val="00962312"/>
    <w:rsid w:val="009627A1"/>
    <w:rsid w:val="00962EEA"/>
    <w:rsid w:val="00967ADC"/>
    <w:rsid w:val="009712FE"/>
    <w:rsid w:val="00972A50"/>
    <w:rsid w:val="009737AE"/>
    <w:rsid w:val="009778FD"/>
    <w:rsid w:val="0098369C"/>
    <w:rsid w:val="00984B06"/>
    <w:rsid w:val="00986C68"/>
    <w:rsid w:val="009875AD"/>
    <w:rsid w:val="009917C0"/>
    <w:rsid w:val="009924AF"/>
    <w:rsid w:val="00995552"/>
    <w:rsid w:val="0099701D"/>
    <w:rsid w:val="00997061"/>
    <w:rsid w:val="009A0B2B"/>
    <w:rsid w:val="009A182C"/>
    <w:rsid w:val="009A20E3"/>
    <w:rsid w:val="009A4F2C"/>
    <w:rsid w:val="009A7F71"/>
    <w:rsid w:val="009B51D7"/>
    <w:rsid w:val="009B6617"/>
    <w:rsid w:val="009C003D"/>
    <w:rsid w:val="009C2FC9"/>
    <w:rsid w:val="009C39A7"/>
    <w:rsid w:val="009C3E06"/>
    <w:rsid w:val="009C6C1B"/>
    <w:rsid w:val="009C6F17"/>
    <w:rsid w:val="009C77F2"/>
    <w:rsid w:val="009D3BEA"/>
    <w:rsid w:val="009D46C2"/>
    <w:rsid w:val="009D48A2"/>
    <w:rsid w:val="009D5161"/>
    <w:rsid w:val="009D717A"/>
    <w:rsid w:val="009E0B95"/>
    <w:rsid w:val="009E3E6B"/>
    <w:rsid w:val="009E4D16"/>
    <w:rsid w:val="009F04C6"/>
    <w:rsid w:val="009F12E2"/>
    <w:rsid w:val="009F14BA"/>
    <w:rsid w:val="009F1870"/>
    <w:rsid w:val="009F1F55"/>
    <w:rsid w:val="009F3358"/>
    <w:rsid w:val="009F478B"/>
    <w:rsid w:val="009F5D37"/>
    <w:rsid w:val="009F69C1"/>
    <w:rsid w:val="00A0495F"/>
    <w:rsid w:val="00A072F0"/>
    <w:rsid w:val="00A07C8D"/>
    <w:rsid w:val="00A1275B"/>
    <w:rsid w:val="00A12EC3"/>
    <w:rsid w:val="00A15210"/>
    <w:rsid w:val="00A15FF4"/>
    <w:rsid w:val="00A17782"/>
    <w:rsid w:val="00A24703"/>
    <w:rsid w:val="00A2546E"/>
    <w:rsid w:val="00A259A6"/>
    <w:rsid w:val="00A30E21"/>
    <w:rsid w:val="00A338E3"/>
    <w:rsid w:val="00A356D0"/>
    <w:rsid w:val="00A40EE1"/>
    <w:rsid w:val="00A423ED"/>
    <w:rsid w:val="00A47111"/>
    <w:rsid w:val="00A471C3"/>
    <w:rsid w:val="00A536F3"/>
    <w:rsid w:val="00A5589C"/>
    <w:rsid w:val="00A55FCD"/>
    <w:rsid w:val="00A5777E"/>
    <w:rsid w:val="00A60C58"/>
    <w:rsid w:val="00A61717"/>
    <w:rsid w:val="00A63905"/>
    <w:rsid w:val="00A63DA3"/>
    <w:rsid w:val="00A64219"/>
    <w:rsid w:val="00A72103"/>
    <w:rsid w:val="00A73FD2"/>
    <w:rsid w:val="00A747AA"/>
    <w:rsid w:val="00A74E9A"/>
    <w:rsid w:val="00A75C67"/>
    <w:rsid w:val="00A77011"/>
    <w:rsid w:val="00A77C0F"/>
    <w:rsid w:val="00A81639"/>
    <w:rsid w:val="00A81FD2"/>
    <w:rsid w:val="00A85778"/>
    <w:rsid w:val="00A8582B"/>
    <w:rsid w:val="00A85C55"/>
    <w:rsid w:val="00A87940"/>
    <w:rsid w:val="00A90D72"/>
    <w:rsid w:val="00A91D08"/>
    <w:rsid w:val="00A920BF"/>
    <w:rsid w:val="00A94972"/>
    <w:rsid w:val="00A94C86"/>
    <w:rsid w:val="00A95161"/>
    <w:rsid w:val="00A975D1"/>
    <w:rsid w:val="00AA11E5"/>
    <w:rsid w:val="00AA601A"/>
    <w:rsid w:val="00AA6318"/>
    <w:rsid w:val="00AA7FCB"/>
    <w:rsid w:val="00AB41BE"/>
    <w:rsid w:val="00AB54F8"/>
    <w:rsid w:val="00AB59AE"/>
    <w:rsid w:val="00AB5BD9"/>
    <w:rsid w:val="00AB5C0F"/>
    <w:rsid w:val="00AC040C"/>
    <w:rsid w:val="00AD0A92"/>
    <w:rsid w:val="00AD0AA1"/>
    <w:rsid w:val="00AD23DA"/>
    <w:rsid w:val="00AD3753"/>
    <w:rsid w:val="00AD376E"/>
    <w:rsid w:val="00AD5E8A"/>
    <w:rsid w:val="00AD7014"/>
    <w:rsid w:val="00AD7EFA"/>
    <w:rsid w:val="00AE07A3"/>
    <w:rsid w:val="00AE1360"/>
    <w:rsid w:val="00AE345C"/>
    <w:rsid w:val="00AE372A"/>
    <w:rsid w:val="00AE736E"/>
    <w:rsid w:val="00AF15F3"/>
    <w:rsid w:val="00AF4816"/>
    <w:rsid w:val="00AF5A53"/>
    <w:rsid w:val="00B01619"/>
    <w:rsid w:val="00B034D9"/>
    <w:rsid w:val="00B04041"/>
    <w:rsid w:val="00B128A7"/>
    <w:rsid w:val="00B14630"/>
    <w:rsid w:val="00B152E6"/>
    <w:rsid w:val="00B17A30"/>
    <w:rsid w:val="00B21041"/>
    <w:rsid w:val="00B275A9"/>
    <w:rsid w:val="00B36BB1"/>
    <w:rsid w:val="00B3702A"/>
    <w:rsid w:val="00B40DBF"/>
    <w:rsid w:val="00B44231"/>
    <w:rsid w:val="00B44431"/>
    <w:rsid w:val="00B457C4"/>
    <w:rsid w:val="00B5211A"/>
    <w:rsid w:val="00B54060"/>
    <w:rsid w:val="00B6337A"/>
    <w:rsid w:val="00B71178"/>
    <w:rsid w:val="00B728D7"/>
    <w:rsid w:val="00B73937"/>
    <w:rsid w:val="00B75A63"/>
    <w:rsid w:val="00B75DAC"/>
    <w:rsid w:val="00B81164"/>
    <w:rsid w:val="00B81BD1"/>
    <w:rsid w:val="00B8226F"/>
    <w:rsid w:val="00B837DC"/>
    <w:rsid w:val="00B8561F"/>
    <w:rsid w:val="00B8630A"/>
    <w:rsid w:val="00B874C9"/>
    <w:rsid w:val="00B914A2"/>
    <w:rsid w:val="00B92AB9"/>
    <w:rsid w:val="00B94B0F"/>
    <w:rsid w:val="00B9541E"/>
    <w:rsid w:val="00BA00D4"/>
    <w:rsid w:val="00BA1F66"/>
    <w:rsid w:val="00BA21E9"/>
    <w:rsid w:val="00BA295B"/>
    <w:rsid w:val="00BA4CDE"/>
    <w:rsid w:val="00BA5990"/>
    <w:rsid w:val="00BA64DC"/>
    <w:rsid w:val="00BA7400"/>
    <w:rsid w:val="00BB0488"/>
    <w:rsid w:val="00BB3ED5"/>
    <w:rsid w:val="00BB4AB9"/>
    <w:rsid w:val="00BB756E"/>
    <w:rsid w:val="00BC07C0"/>
    <w:rsid w:val="00BC22C5"/>
    <w:rsid w:val="00BC4538"/>
    <w:rsid w:val="00BC6FA7"/>
    <w:rsid w:val="00BD2249"/>
    <w:rsid w:val="00BD3586"/>
    <w:rsid w:val="00BD3CFF"/>
    <w:rsid w:val="00BD63AF"/>
    <w:rsid w:val="00BE59BD"/>
    <w:rsid w:val="00BE6DA9"/>
    <w:rsid w:val="00BF2F68"/>
    <w:rsid w:val="00BF6FAC"/>
    <w:rsid w:val="00C0174A"/>
    <w:rsid w:val="00C05D23"/>
    <w:rsid w:val="00C05D9B"/>
    <w:rsid w:val="00C07436"/>
    <w:rsid w:val="00C10770"/>
    <w:rsid w:val="00C135E9"/>
    <w:rsid w:val="00C1431B"/>
    <w:rsid w:val="00C15CA1"/>
    <w:rsid w:val="00C17550"/>
    <w:rsid w:val="00C17C59"/>
    <w:rsid w:val="00C214BA"/>
    <w:rsid w:val="00C226DA"/>
    <w:rsid w:val="00C23B19"/>
    <w:rsid w:val="00C23CAC"/>
    <w:rsid w:val="00C26130"/>
    <w:rsid w:val="00C26951"/>
    <w:rsid w:val="00C26B28"/>
    <w:rsid w:val="00C315B6"/>
    <w:rsid w:val="00C33C7B"/>
    <w:rsid w:val="00C35ABB"/>
    <w:rsid w:val="00C376F3"/>
    <w:rsid w:val="00C4132F"/>
    <w:rsid w:val="00C41C14"/>
    <w:rsid w:val="00C42D12"/>
    <w:rsid w:val="00C449FE"/>
    <w:rsid w:val="00C463D2"/>
    <w:rsid w:val="00C618D9"/>
    <w:rsid w:val="00C62A41"/>
    <w:rsid w:val="00C62A44"/>
    <w:rsid w:val="00C67ECA"/>
    <w:rsid w:val="00C71EE0"/>
    <w:rsid w:val="00C7325E"/>
    <w:rsid w:val="00C7454E"/>
    <w:rsid w:val="00C764D2"/>
    <w:rsid w:val="00C80A39"/>
    <w:rsid w:val="00C80EAE"/>
    <w:rsid w:val="00C81936"/>
    <w:rsid w:val="00C84C4C"/>
    <w:rsid w:val="00C96347"/>
    <w:rsid w:val="00C967AB"/>
    <w:rsid w:val="00C96C0B"/>
    <w:rsid w:val="00CA1402"/>
    <w:rsid w:val="00CA1702"/>
    <w:rsid w:val="00CA2C3D"/>
    <w:rsid w:val="00CA5CC2"/>
    <w:rsid w:val="00CA6489"/>
    <w:rsid w:val="00CA66CE"/>
    <w:rsid w:val="00CA7D78"/>
    <w:rsid w:val="00CB3DFD"/>
    <w:rsid w:val="00CB554D"/>
    <w:rsid w:val="00CB631F"/>
    <w:rsid w:val="00CC5314"/>
    <w:rsid w:val="00CC7B30"/>
    <w:rsid w:val="00CD1D08"/>
    <w:rsid w:val="00CD48AE"/>
    <w:rsid w:val="00CD7D37"/>
    <w:rsid w:val="00CE302A"/>
    <w:rsid w:val="00CF0D16"/>
    <w:rsid w:val="00CF1A33"/>
    <w:rsid w:val="00CF5003"/>
    <w:rsid w:val="00CF5099"/>
    <w:rsid w:val="00CF616B"/>
    <w:rsid w:val="00CF7F07"/>
    <w:rsid w:val="00CF7F92"/>
    <w:rsid w:val="00D0019C"/>
    <w:rsid w:val="00D00441"/>
    <w:rsid w:val="00D00EB0"/>
    <w:rsid w:val="00D031C1"/>
    <w:rsid w:val="00D031C2"/>
    <w:rsid w:val="00D0332C"/>
    <w:rsid w:val="00D0643D"/>
    <w:rsid w:val="00D149EC"/>
    <w:rsid w:val="00D15FD6"/>
    <w:rsid w:val="00D16119"/>
    <w:rsid w:val="00D17577"/>
    <w:rsid w:val="00D17F80"/>
    <w:rsid w:val="00D21B4E"/>
    <w:rsid w:val="00D23096"/>
    <w:rsid w:val="00D24516"/>
    <w:rsid w:val="00D2563C"/>
    <w:rsid w:val="00D2581C"/>
    <w:rsid w:val="00D2786A"/>
    <w:rsid w:val="00D27CF2"/>
    <w:rsid w:val="00D31110"/>
    <w:rsid w:val="00D3182B"/>
    <w:rsid w:val="00D31B0A"/>
    <w:rsid w:val="00D32B05"/>
    <w:rsid w:val="00D34D9B"/>
    <w:rsid w:val="00D37CD6"/>
    <w:rsid w:val="00D42B7B"/>
    <w:rsid w:val="00D443D5"/>
    <w:rsid w:val="00D45745"/>
    <w:rsid w:val="00D47401"/>
    <w:rsid w:val="00D47872"/>
    <w:rsid w:val="00D50652"/>
    <w:rsid w:val="00D514BB"/>
    <w:rsid w:val="00D51B68"/>
    <w:rsid w:val="00D52AD6"/>
    <w:rsid w:val="00D52BF1"/>
    <w:rsid w:val="00D555CD"/>
    <w:rsid w:val="00D57A91"/>
    <w:rsid w:val="00D63A73"/>
    <w:rsid w:val="00D66D3C"/>
    <w:rsid w:val="00D67BBA"/>
    <w:rsid w:val="00D7112E"/>
    <w:rsid w:val="00D7306F"/>
    <w:rsid w:val="00D751B2"/>
    <w:rsid w:val="00D82779"/>
    <w:rsid w:val="00D83644"/>
    <w:rsid w:val="00D84F01"/>
    <w:rsid w:val="00D85C42"/>
    <w:rsid w:val="00D86181"/>
    <w:rsid w:val="00D861C1"/>
    <w:rsid w:val="00D86901"/>
    <w:rsid w:val="00D8760C"/>
    <w:rsid w:val="00D90B5B"/>
    <w:rsid w:val="00D92835"/>
    <w:rsid w:val="00D9359F"/>
    <w:rsid w:val="00D94424"/>
    <w:rsid w:val="00D97090"/>
    <w:rsid w:val="00DA09D9"/>
    <w:rsid w:val="00DA3A84"/>
    <w:rsid w:val="00DA5786"/>
    <w:rsid w:val="00DA6133"/>
    <w:rsid w:val="00DA6DB6"/>
    <w:rsid w:val="00DB1F2E"/>
    <w:rsid w:val="00DB2F09"/>
    <w:rsid w:val="00DB52E2"/>
    <w:rsid w:val="00DB626B"/>
    <w:rsid w:val="00DB69E9"/>
    <w:rsid w:val="00DC0349"/>
    <w:rsid w:val="00DC17E4"/>
    <w:rsid w:val="00DC41C9"/>
    <w:rsid w:val="00DC5473"/>
    <w:rsid w:val="00DC625F"/>
    <w:rsid w:val="00DC6414"/>
    <w:rsid w:val="00DC6A3F"/>
    <w:rsid w:val="00DC6C5A"/>
    <w:rsid w:val="00DD1BCC"/>
    <w:rsid w:val="00DD2F76"/>
    <w:rsid w:val="00DD3996"/>
    <w:rsid w:val="00DD5FF9"/>
    <w:rsid w:val="00DE18B2"/>
    <w:rsid w:val="00DE2873"/>
    <w:rsid w:val="00DE3E4D"/>
    <w:rsid w:val="00DE5CFF"/>
    <w:rsid w:val="00DE6C5E"/>
    <w:rsid w:val="00DE6FE8"/>
    <w:rsid w:val="00DF5E4A"/>
    <w:rsid w:val="00DF751C"/>
    <w:rsid w:val="00E00EE6"/>
    <w:rsid w:val="00E01196"/>
    <w:rsid w:val="00E04332"/>
    <w:rsid w:val="00E07001"/>
    <w:rsid w:val="00E10C01"/>
    <w:rsid w:val="00E114C5"/>
    <w:rsid w:val="00E11867"/>
    <w:rsid w:val="00E1259B"/>
    <w:rsid w:val="00E13D93"/>
    <w:rsid w:val="00E1528C"/>
    <w:rsid w:val="00E15D77"/>
    <w:rsid w:val="00E162F5"/>
    <w:rsid w:val="00E164E9"/>
    <w:rsid w:val="00E1750C"/>
    <w:rsid w:val="00E17B20"/>
    <w:rsid w:val="00E20D88"/>
    <w:rsid w:val="00E24F8E"/>
    <w:rsid w:val="00E307F3"/>
    <w:rsid w:val="00E3230E"/>
    <w:rsid w:val="00E325C5"/>
    <w:rsid w:val="00E35775"/>
    <w:rsid w:val="00E423C0"/>
    <w:rsid w:val="00E42EAD"/>
    <w:rsid w:val="00E4530F"/>
    <w:rsid w:val="00E45329"/>
    <w:rsid w:val="00E533A6"/>
    <w:rsid w:val="00E541B3"/>
    <w:rsid w:val="00E55C3F"/>
    <w:rsid w:val="00E6078F"/>
    <w:rsid w:val="00E625EE"/>
    <w:rsid w:val="00E70114"/>
    <w:rsid w:val="00E7774E"/>
    <w:rsid w:val="00E77EA2"/>
    <w:rsid w:val="00E826D1"/>
    <w:rsid w:val="00E847E0"/>
    <w:rsid w:val="00E8494C"/>
    <w:rsid w:val="00E91798"/>
    <w:rsid w:val="00E934AA"/>
    <w:rsid w:val="00E95CF7"/>
    <w:rsid w:val="00E97572"/>
    <w:rsid w:val="00E976A9"/>
    <w:rsid w:val="00E97BCF"/>
    <w:rsid w:val="00EA0B30"/>
    <w:rsid w:val="00EA0EEB"/>
    <w:rsid w:val="00EA4711"/>
    <w:rsid w:val="00EA7EA0"/>
    <w:rsid w:val="00EB37BF"/>
    <w:rsid w:val="00EB59A7"/>
    <w:rsid w:val="00EB7380"/>
    <w:rsid w:val="00EC1C0D"/>
    <w:rsid w:val="00EC2EEE"/>
    <w:rsid w:val="00EC756F"/>
    <w:rsid w:val="00ED26E7"/>
    <w:rsid w:val="00ED2912"/>
    <w:rsid w:val="00ED2DCC"/>
    <w:rsid w:val="00ED71D2"/>
    <w:rsid w:val="00ED7C7A"/>
    <w:rsid w:val="00EE3828"/>
    <w:rsid w:val="00EE7CC5"/>
    <w:rsid w:val="00EF004D"/>
    <w:rsid w:val="00EF110C"/>
    <w:rsid w:val="00EF1564"/>
    <w:rsid w:val="00EF238E"/>
    <w:rsid w:val="00EF2BE5"/>
    <w:rsid w:val="00EF4293"/>
    <w:rsid w:val="00EF5989"/>
    <w:rsid w:val="00EF61E9"/>
    <w:rsid w:val="00F01CB9"/>
    <w:rsid w:val="00F042FA"/>
    <w:rsid w:val="00F06FE9"/>
    <w:rsid w:val="00F10973"/>
    <w:rsid w:val="00F1193A"/>
    <w:rsid w:val="00F11CC2"/>
    <w:rsid w:val="00F16374"/>
    <w:rsid w:val="00F17798"/>
    <w:rsid w:val="00F21D10"/>
    <w:rsid w:val="00F22813"/>
    <w:rsid w:val="00F23CD7"/>
    <w:rsid w:val="00F2442A"/>
    <w:rsid w:val="00F248BD"/>
    <w:rsid w:val="00F25D75"/>
    <w:rsid w:val="00F265B0"/>
    <w:rsid w:val="00F30B7A"/>
    <w:rsid w:val="00F3521F"/>
    <w:rsid w:val="00F37BE1"/>
    <w:rsid w:val="00F40119"/>
    <w:rsid w:val="00F4107A"/>
    <w:rsid w:val="00F42A21"/>
    <w:rsid w:val="00F44272"/>
    <w:rsid w:val="00F445E9"/>
    <w:rsid w:val="00F44F18"/>
    <w:rsid w:val="00F45165"/>
    <w:rsid w:val="00F51AFD"/>
    <w:rsid w:val="00F56B88"/>
    <w:rsid w:val="00F5788A"/>
    <w:rsid w:val="00F57B04"/>
    <w:rsid w:val="00F612FF"/>
    <w:rsid w:val="00F61AA9"/>
    <w:rsid w:val="00F6417D"/>
    <w:rsid w:val="00F6493F"/>
    <w:rsid w:val="00F64F6C"/>
    <w:rsid w:val="00F66C6A"/>
    <w:rsid w:val="00F67CBB"/>
    <w:rsid w:val="00F7064C"/>
    <w:rsid w:val="00F71ED4"/>
    <w:rsid w:val="00F75663"/>
    <w:rsid w:val="00F77E6C"/>
    <w:rsid w:val="00F81137"/>
    <w:rsid w:val="00F811E7"/>
    <w:rsid w:val="00F84354"/>
    <w:rsid w:val="00F9056C"/>
    <w:rsid w:val="00F92EF4"/>
    <w:rsid w:val="00F96F45"/>
    <w:rsid w:val="00FA2927"/>
    <w:rsid w:val="00FA449F"/>
    <w:rsid w:val="00FA6ACC"/>
    <w:rsid w:val="00FA6FAE"/>
    <w:rsid w:val="00FB03FB"/>
    <w:rsid w:val="00FB4891"/>
    <w:rsid w:val="00FC686F"/>
    <w:rsid w:val="00FC7FBE"/>
    <w:rsid w:val="00FD0EA2"/>
    <w:rsid w:val="00FD212D"/>
    <w:rsid w:val="00FD7327"/>
    <w:rsid w:val="00FE0378"/>
    <w:rsid w:val="00FE2347"/>
    <w:rsid w:val="00FE2C98"/>
    <w:rsid w:val="00FE3142"/>
    <w:rsid w:val="00FE6CEF"/>
    <w:rsid w:val="00FF5F54"/>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F1DD167E-78DC-49F7-9822-A9EBC8612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7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styleId="UnresolvedMention">
    <w:name w:val="Unresolved Mention"/>
    <w:basedOn w:val="DefaultParagraphFont"/>
    <w:uiPriority w:val="99"/>
    <w:semiHidden/>
    <w:unhideWhenUsed/>
    <w:rsid w:val="008D0C78"/>
    <w:rPr>
      <w:color w:val="605E5C"/>
      <w:shd w:val="clear" w:color="auto" w:fill="E1DFDD"/>
    </w:rPr>
  </w:style>
  <w:style w:type="character" w:styleId="FollowedHyperlink">
    <w:name w:val="FollowedHyperlink"/>
    <w:basedOn w:val="DefaultParagraphFont"/>
    <w:rsid w:val="00646AAF"/>
    <w:rPr>
      <w:color w:val="954F72" w:themeColor="followedHyperlink"/>
      <w:u w:val="single"/>
    </w:rPr>
  </w:style>
  <w:style w:type="paragraph" w:customStyle="1" w:styleId="FooterLeftAligned">
    <w:name w:val="Footer (Left Aligned)"/>
    <w:basedOn w:val="Normal"/>
    <w:qFormat/>
    <w:rsid w:val="00B034D9"/>
    <w:pPr>
      <w:spacing w:after="160" w:line="259" w:lineRule="auto"/>
    </w:pPr>
    <w:rPr>
      <w:rFonts w:eastAsiaTheme="minorHAnsi" w:cstheme="minorBidi"/>
      <w:kern w:val="2"/>
      <w:sz w:val="16"/>
      <w:szCs w:val="22"/>
      <w:lang w:eastAsia="en-US"/>
      <w14:ligatures w14:val="standardContextual"/>
    </w:rPr>
  </w:style>
  <w:style w:type="paragraph" w:styleId="Revision">
    <w:name w:val="Revision"/>
    <w:hidden/>
    <w:uiPriority w:val="99"/>
    <w:semiHidden/>
    <w:rsid w:val="00467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43453">
      <w:bodyDiv w:val="1"/>
      <w:marLeft w:val="0"/>
      <w:marRight w:val="0"/>
      <w:marTop w:val="0"/>
      <w:marBottom w:val="0"/>
      <w:divBdr>
        <w:top w:val="none" w:sz="0" w:space="0" w:color="auto"/>
        <w:left w:val="none" w:sz="0" w:space="0" w:color="auto"/>
        <w:bottom w:val="none" w:sz="0" w:space="0" w:color="auto"/>
        <w:right w:val="none" w:sz="0" w:space="0" w:color="auto"/>
      </w:divBdr>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962417813">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38716019">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42781152">
      <w:bodyDiv w:val="1"/>
      <w:marLeft w:val="0"/>
      <w:marRight w:val="0"/>
      <w:marTop w:val="0"/>
      <w:marBottom w:val="0"/>
      <w:divBdr>
        <w:top w:val="none" w:sz="0" w:space="0" w:color="auto"/>
        <w:left w:val="none" w:sz="0" w:space="0" w:color="auto"/>
        <w:bottom w:val="none" w:sz="0" w:space="0" w:color="auto"/>
        <w:right w:val="none" w:sz="0" w:space="0" w:color="auto"/>
      </w:divBdr>
    </w:div>
    <w:div w:id="2108379516">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C57E0687-D64E-4EE9-AEBC-F2417482F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FFDF9B8E-7D2B-4F60-B18B-AF0D4CF80536}">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2598</Words>
  <Characters>14478</Characters>
  <Application>Microsoft Office Word</Application>
  <DocSecurity>0</DocSecurity>
  <Lines>231</Lines>
  <Paragraphs>64</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dc:description/>
  <cp:lastModifiedBy>Amy Bergquist</cp:lastModifiedBy>
  <cp:revision>5</cp:revision>
  <cp:lastPrinted>2011-09-16T20:52:00Z</cp:lastPrinted>
  <dcterms:created xsi:type="dcterms:W3CDTF">2026-01-05T16:37:00Z</dcterms:created>
  <dcterms:modified xsi:type="dcterms:W3CDTF">2026-01-05T22:08:00Z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y fmtid="{D5CDD505-2E9C-101B-9397-08002B2CF9AE}" pid="11" name="DOCXDOCID">
    <vt:lpwstr>ADMINISTRATION.7546307.2</vt:lpwstr>
  </property>
  <property fmtid="{D5CDD505-2E9C-101B-9397-08002B2CF9AE}" pid="12" name="DocXFormat">
    <vt:lpwstr>Footer (Left Aligned)</vt:lpwstr>
  </property>
  <property fmtid="{D5CDD505-2E9C-101B-9397-08002B2CF9AE}" pid="13" name="DocXLocation">
    <vt:lpwstr>NoDocId</vt:lpwstr>
  </property>
</Properties>
</file>