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2E498232" w:rsidR="00C52645" w:rsidRPr="00174170" w:rsidRDefault="00000000">
      <w:pPr>
        <w:spacing w:before="240" w:after="200"/>
        <w:jc w:val="center"/>
        <w:rPr>
          <w:rFonts w:ascii="Garamond" w:eastAsia="Times New Roman" w:hAnsi="Garamond" w:cs="Times New Roman"/>
          <w:b/>
          <w:sz w:val="32"/>
          <w:szCs w:val="32"/>
        </w:rPr>
      </w:pPr>
      <w:r w:rsidRPr="00174170">
        <w:rPr>
          <w:rFonts w:ascii="Garamond" w:eastAsia="Times New Roman" w:hAnsi="Garamond" w:cs="Times New Roman"/>
          <w:b/>
          <w:sz w:val="32"/>
          <w:szCs w:val="32"/>
        </w:rPr>
        <w:t>COMITÉ DES DROITS ÉCONOMIQUES, SOCIAUX ET CULTURELS</w:t>
      </w:r>
    </w:p>
    <w:p w14:paraId="00000002" w14:textId="36E52B33" w:rsidR="00C52645" w:rsidRDefault="00000000">
      <w:pPr>
        <w:jc w:val="center"/>
        <w:rPr>
          <w:rFonts w:ascii="Garamond" w:eastAsia="Times New Roman" w:hAnsi="Garamond" w:cs="Times New Roman"/>
          <w:b/>
          <w:sz w:val="32"/>
          <w:szCs w:val="32"/>
        </w:rPr>
      </w:pPr>
      <w:r w:rsidRPr="00174170">
        <w:rPr>
          <w:rFonts w:ascii="Garamond" w:eastAsia="Times New Roman" w:hAnsi="Garamond" w:cs="Times New Roman"/>
          <w:b/>
          <w:sz w:val="32"/>
          <w:szCs w:val="32"/>
        </w:rPr>
        <w:t xml:space="preserve">Adoption de la liste des </w:t>
      </w:r>
      <w:r w:rsidR="00174170">
        <w:rPr>
          <w:rFonts w:ascii="Garamond" w:eastAsia="Times New Roman" w:hAnsi="Garamond" w:cs="Times New Roman"/>
          <w:b/>
          <w:sz w:val="32"/>
          <w:szCs w:val="32"/>
        </w:rPr>
        <w:t>points à traiter</w:t>
      </w:r>
    </w:p>
    <w:p w14:paraId="5D783F1A" w14:textId="77777777" w:rsidR="00174170" w:rsidRDefault="00174170">
      <w:pPr>
        <w:jc w:val="center"/>
        <w:rPr>
          <w:rFonts w:ascii="Garamond" w:eastAsia="Times New Roman" w:hAnsi="Garamond" w:cs="Times New Roman"/>
          <w:b/>
          <w:sz w:val="32"/>
          <w:szCs w:val="32"/>
        </w:rPr>
      </w:pPr>
    </w:p>
    <w:p w14:paraId="19032A38" w14:textId="77777777" w:rsidR="00174170" w:rsidRPr="00174170" w:rsidRDefault="00174170">
      <w:pPr>
        <w:jc w:val="center"/>
        <w:rPr>
          <w:rFonts w:ascii="Garamond" w:eastAsia="Times New Roman" w:hAnsi="Garamond" w:cs="Times New Roman"/>
          <w:b/>
          <w:sz w:val="32"/>
          <w:szCs w:val="32"/>
        </w:rPr>
      </w:pPr>
    </w:p>
    <w:p w14:paraId="00000003" w14:textId="77777777" w:rsidR="00C52645" w:rsidRPr="00174170" w:rsidRDefault="00000000">
      <w:pPr>
        <w:jc w:val="center"/>
        <w:rPr>
          <w:rFonts w:ascii="Garamond" w:eastAsia="Times New Roman" w:hAnsi="Garamond" w:cs="Times New Roman"/>
          <w:b/>
          <w:sz w:val="32"/>
          <w:szCs w:val="32"/>
        </w:rPr>
      </w:pPr>
      <w:r w:rsidRPr="00174170">
        <w:rPr>
          <w:rFonts w:ascii="Garamond" w:eastAsia="Times New Roman" w:hAnsi="Garamond" w:cs="Times New Roman"/>
          <w:b/>
          <w:sz w:val="32"/>
          <w:szCs w:val="32"/>
        </w:rPr>
        <w:t>TUNISIE</w:t>
      </w:r>
    </w:p>
    <w:p w14:paraId="00000004" w14:textId="77777777" w:rsidR="00C52645" w:rsidRPr="00174170" w:rsidRDefault="00C52645">
      <w:pPr>
        <w:jc w:val="center"/>
        <w:rPr>
          <w:rFonts w:ascii="Garamond" w:hAnsi="Garamond"/>
        </w:rPr>
      </w:pPr>
    </w:p>
    <w:p w14:paraId="00000005" w14:textId="77777777" w:rsidR="00C52645" w:rsidRPr="00174170" w:rsidRDefault="00C52645">
      <w:pPr>
        <w:jc w:val="center"/>
        <w:rPr>
          <w:rFonts w:ascii="Garamond" w:hAnsi="Garamond"/>
        </w:rPr>
      </w:pPr>
    </w:p>
    <w:p w14:paraId="00000007" w14:textId="27C9F29C" w:rsidR="00C52645" w:rsidRPr="00174170" w:rsidRDefault="00174170" w:rsidP="00174170">
      <w:pPr>
        <w:jc w:val="center"/>
        <w:rPr>
          <w:rFonts w:ascii="Garamond" w:eastAsia="Times New Roman" w:hAnsi="Garamond" w:cs="Times New Roman"/>
          <w:sz w:val="24"/>
          <w:szCs w:val="24"/>
        </w:rPr>
      </w:pPr>
      <w:r>
        <w:rPr>
          <w:rFonts w:ascii="Garamond" w:eastAsia="Times New Roman" w:hAnsi="Garamond" w:cs="Times New Roman"/>
          <w:sz w:val="24"/>
          <w:szCs w:val="24"/>
        </w:rPr>
        <w:t>78</w:t>
      </w:r>
      <w:r w:rsidRPr="00174170">
        <w:rPr>
          <w:rFonts w:ascii="Garamond" w:eastAsia="Times New Roman" w:hAnsi="Garamond" w:cs="Times New Roman"/>
          <w:sz w:val="24"/>
          <w:szCs w:val="24"/>
          <w:vertAlign w:val="superscript"/>
        </w:rPr>
        <w:t>ème</w:t>
      </w:r>
      <w:r>
        <w:rPr>
          <w:rFonts w:ascii="Garamond" w:eastAsia="Times New Roman" w:hAnsi="Garamond" w:cs="Times New Roman"/>
          <w:sz w:val="24"/>
          <w:szCs w:val="24"/>
        </w:rPr>
        <w:t xml:space="preserve"> session (septembre 2025)</w:t>
      </w:r>
    </w:p>
    <w:p w14:paraId="00000008" w14:textId="77777777" w:rsidR="00C52645" w:rsidRPr="00174170" w:rsidRDefault="00C52645">
      <w:pPr>
        <w:jc w:val="center"/>
        <w:rPr>
          <w:rFonts w:ascii="Garamond" w:hAnsi="Garamond"/>
        </w:rPr>
      </w:pPr>
    </w:p>
    <w:p w14:paraId="00000009" w14:textId="77777777" w:rsidR="00C52645" w:rsidRPr="00174170" w:rsidRDefault="00C52645">
      <w:pPr>
        <w:spacing w:before="240" w:after="240"/>
        <w:jc w:val="center"/>
        <w:rPr>
          <w:rFonts w:ascii="Garamond" w:eastAsia="Times New Roman" w:hAnsi="Garamond" w:cs="Times New Roman"/>
          <w:b/>
          <w:sz w:val="32"/>
          <w:szCs w:val="32"/>
        </w:rPr>
      </w:pPr>
    </w:p>
    <w:p w14:paraId="0000000A" w14:textId="77777777" w:rsidR="00C52645" w:rsidRPr="00174170" w:rsidRDefault="00C52645">
      <w:pPr>
        <w:spacing w:before="240" w:after="240"/>
        <w:jc w:val="center"/>
        <w:rPr>
          <w:rFonts w:ascii="Garamond" w:eastAsia="Times New Roman" w:hAnsi="Garamond" w:cs="Times New Roman"/>
          <w:b/>
          <w:sz w:val="32"/>
          <w:szCs w:val="32"/>
        </w:rPr>
      </w:pPr>
    </w:p>
    <w:p w14:paraId="0000000B" w14:textId="77777777" w:rsidR="00C52645" w:rsidRPr="00174170" w:rsidRDefault="00C52645">
      <w:pPr>
        <w:spacing w:before="240" w:after="240"/>
        <w:jc w:val="center"/>
        <w:rPr>
          <w:rFonts w:ascii="Garamond" w:eastAsia="Times New Roman" w:hAnsi="Garamond" w:cs="Times New Roman"/>
          <w:b/>
          <w:sz w:val="32"/>
          <w:szCs w:val="32"/>
        </w:rPr>
      </w:pPr>
    </w:p>
    <w:p w14:paraId="0000000C" w14:textId="7E33CF9D" w:rsidR="00C52645" w:rsidRPr="00174170" w:rsidRDefault="00174170">
      <w:pPr>
        <w:spacing w:before="240" w:after="240"/>
        <w:jc w:val="center"/>
        <w:rPr>
          <w:rFonts w:ascii="Garamond" w:eastAsia="Times New Roman" w:hAnsi="Garamond" w:cs="Times New Roman"/>
          <w:b/>
          <w:sz w:val="32"/>
          <w:szCs w:val="32"/>
        </w:rPr>
      </w:pPr>
      <w:r>
        <w:rPr>
          <w:rFonts w:ascii="Garamond" w:eastAsia="Times New Roman" w:hAnsi="Garamond" w:cs="Times New Roman"/>
          <w:b/>
          <w:sz w:val="32"/>
          <w:szCs w:val="32"/>
        </w:rPr>
        <w:t>Soumission</w:t>
      </w:r>
      <w:r w:rsidR="00000000" w:rsidRPr="00174170">
        <w:rPr>
          <w:rFonts w:ascii="Garamond" w:eastAsia="Times New Roman" w:hAnsi="Garamond" w:cs="Times New Roman"/>
          <w:b/>
          <w:sz w:val="32"/>
          <w:szCs w:val="32"/>
        </w:rPr>
        <w:t xml:space="preserve"> conjointe</w:t>
      </w:r>
      <w:r>
        <w:rPr>
          <w:rFonts w:ascii="Garamond" w:eastAsia="Times New Roman" w:hAnsi="Garamond" w:cs="Times New Roman"/>
          <w:b/>
          <w:sz w:val="32"/>
          <w:szCs w:val="32"/>
        </w:rPr>
        <w:t xml:space="preserve"> de</w:t>
      </w:r>
    </w:p>
    <w:p w14:paraId="50E808A6" w14:textId="77777777" w:rsidR="00174170" w:rsidRDefault="00174170">
      <w:pPr>
        <w:spacing w:before="240" w:after="240"/>
        <w:jc w:val="center"/>
        <w:rPr>
          <w:rFonts w:ascii="Garamond" w:eastAsia="Times New Roman" w:hAnsi="Garamond" w:cs="Times New Roman"/>
          <w:b/>
          <w:sz w:val="32"/>
          <w:szCs w:val="32"/>
        </w:rPr>
      </w:pPr>
      <w:r>
        <w:rPr>
          <w:rFonts w:ascii="Garamond" w:eastAsia="Times New Roman" w:hAnsi="Garamond" w:cs="Times New Roman"/>
          <w:b/>
          <w:sz w:val="32"/>
          <w:szCs w:val="32"/>
        </w:rPr>
        <w:t>ADALA FOR ALL</w:t>
      </w:r>
    </w:p>
    <w:p w14:paraId="14713C9D" w14:textId="77777777" w:rsidR="00174170" w:rsidRDefault="00174170">
      <w:pPr>
        <w:spacing w:before="240" w:after="240"/>
        <w:jc w:val="center"/>
        <w:rPr>
          <w:rFonts w:ascii="Garamond" w:eastAsia="Times New Roman" w:hAnsi="Garamond" w:cs="Times New Roman"/>
          <w:b/>
          <w:sz w:val="32"/>
          <w:szCs w:val="32"/>
        </w:rPr>
      </w:pPr>
      <w:r>
        <w:rPr>
          <w:rFonts w:ascii="Garamond" w:eastAsia="Times New Roman" w:hAnsi="Garamond" w:cs="Times New Roman"/>
          <w:b/>
          <w:sz w:val="32"/>
          <w:szCs w:val="32"/>
        </w:rPr>
        <w:t>AVOCATS SANS FRONTIÈRES</w:t>
      </w:r>
    </w:p>
    <w:p w14:paraId="00000010" w14:textId="2BBC3253" w:rsidR="00C52645" w:rsidRPr="00174170" w:rsidRDefault="00174170" w:rsidP="00174170">
      <w:pPr>
        <w:spacing w:before="240" w:after="240"/>
        <w:jc w:val="center"/>
        <w:rPr>
          <w:rFonts w:ascii="Garamond" w:eastAsia="Times New Roman" w:hAnsi="Garamond" w:cs="Times New Roman"/>
          <w:b/>
          <w:sz w:val="32"/>
          <w:szCs w:val="32"/>
        </w:rPr>
      </w:pPr>
      <w:r>
        <w:rPr>
          <w:rFonts w:ascii="Garamond" w:eastAsia="Times New Roman" w:hAnsi="Garamond" w:cs="Times New Roman"/>
          <w:b/>
          <w:sz w:val="32"/>
          <w:szCs w:val="32"/>
        </w:rPr>
        <w:t xml:space="preserve">MINORITY RIGHTS GROUP </w:t>
      </w:r>
    </w:p>
    <w:p w14:paraId="00000011" w14:textId="77777777" w:rsidR="00C52645" w:rsidRPr="00174170" w:rsidRDefault="00C52645">
      <w:pPr>
        <w:jc w:val="both"/>
        <w:rPr>
          <w:rFonts w:ascii="Garamond" w:hAnsi="Garamond"/>
        </w:rPr>
      </w:pPr>
    </w:p>
    <w:p w14:paraId="00000012" w14:textId="77777777" w:rsidR="00C52645" w:rsidRPr="00174170" w:rsidRDefault="00C52645">
      <w:pPr>
        <w:jc w:val="both"/>
        <w:rPr>
          <w:rFonts w:ascii="Garamond" w:hAnsi="Garamond"/>
        </w:rPr>
      </w:pPr>
    </w:p>
    <w:p w14:paraId="6103B5BB" w14:textId="7D430220" w:rsidR="00174170" w:rsidRDefault="00174170">
      <w:pPr>
        <w:jc w:val="both"/>
        <w:rPr>
          <w:rFonts w:ascii="Garamond" w:hAnsi="Garamond"/>
        </w:rPr>
      </w:pPr>
    </w:p>
    <w:p w14:paraId="63691885" w14:textId="77777777" w:rsidR="00174170" w:rsidRDefault="00174170">
      <w:pPr>
        <w:jc w:val="both"/>
        <w:rPr>
          <w:rFonts w:ascii="Garamond" w:hAnsi="Garamond"/>
        </w:rPr>
      </w:pPr>
    </w:p>
    <w:p w14:paraId="611AE25D" w14:textId="77777777" w:rsidR="00174170" w:rsidRDefault="00174170">
      <w:pPr>
        <w:jc w:val="both"/>
        <w:rPr>
          <w:rFonts w:ascii="Garamond" w:hAnsi="Garamond"/>
        </w:rPr>
      </w:pPr>
    </w:p>
    <w:p w14:paraId="25828214" w14:textId="77777777" w:rsidR="00174170" w:rsidRDefault="00174170">
      <w:pPr>
        <w:jc w:val="both"/>
        <w:rPr>
          <w:rFonts w:ascii="Garamond" w:hAnsi="Garamond"/>
        </w:rPr>
      </w:pPr>
    </w:p>
    <w:p w14:paraId="1463F107" w14:textId="77777777" w:rsidR="00174170" w:rsidRDefault="00174170">
      <w:pPr>
        <w:jc w:val="both"/>
        <w:rPr>
          <w:rFonts w:ascii="Garamond" w:hAnsi="Garamond"/>
        </w:rPr>
      </w:pPr>
    </w:p>
    <w:p w14:paraId="164A4F76" w14:textId="77777777" w:rsidR="00174170" w:rsidRDefault="00174170">
      <w:pPr>
        <w:jc w:val="both"/>
        <w:rPr>
          <w:rFonts w:ascii="Garamond" w:hAnsi="Garamond"/>
        </w:rPr>
      </w:pPr>
    </w:p>
    <w:p w14:paraId="48711F13" w14:textId="77777777" w:rsidR="00174170" w:rsidRDefault="00174170">
      <w:pPr>
        <w:jc w:val="both"/>
        <w:rPr>
          <w:rFonts w:ascii="Garamond" w:hAnsi="Garamond"/>
        </w:rPr>
      </w:pPr>
    </w:p>
    <w:p w14:paraId="4C8F8E14" w14:textId="77777777" w:rsidR="00174170" w:rsidRDefault="00174170">
      <w:pPr>
        <w:jc w:val="both"/>
        <w:rPr>
          <w:rFonts w:ascii="Garamond" w:hAnsi="Garamond"/>
        </w:rPr>
      </w:pPr>
    </w:p>
    <w:p w14:paraId="56D136BE" w14:textId="77777777" w:rsidR="00174170" w:rsidRDefault="00174170">
      <w:pPr>
        <w:jc w:val="both"/>
        <w:rPr>
          <w:rFonts w:ascii="Garamond" w:hAnsi="Garamond"/>
        </w:rPr>
      </w:pPr>
    </w:p>
    <w:p w14:paraId="0801D77B" w14:textId="77777777" w:rsidR="00174170" w:rsidRDefault="00174170">
      <w:pPr>
        <w:jc w:val="both"/>
        <w:rPr>
          <w:rFonts w:ascii="Garamond" w:hAnsi="Garamond"/>
        </w:rPr>
      </w:pPr>
    </w:p>
    <w:p w14:paraId="6F7E0F8A" w14:textId="77777777" w:rsidR="00174170" w:rsidRPr="00174170" w:rsidRDefault="00174170" w:rsidP="00174170">
      <w:pPr>
        <w:jc w:val="center"/>
        <w:rPr>
          <w:rFonts w:ascii="Garamond" w:eastAsia="Times New Roman" w:hAnsi="Garamond" w:cs="Times New Roman"/>
          <w:sz w:val="24"/>
          <w:szCs w:val="24"/>
        </w:rPr>
      </w:pPr>
      <w:r>
        <w:rPr>
          <w:rFonts w:ascii="Garamond" w:eastAsia="Times New Roman" w:hAnsi="Garamond" w:cs="Times New Roman"/>
          <w:sz w:val="24"/>
          <w:szCs w:val="24"/>
        </w:rPr>
        <w:t>78</w:t>
      </w:r>
      <w:r w:rsidRPr="00174170">
        <w:rPr>
          <w:rFonts w:ascii="Garamond" w:eastAsia="Times New Roman" w:hAnsi="Garamond" w:cs="Times New Roman"/>
          <w:sz w:val="24"/>
          <w:szCs w:val="24"/>
          <w:vertAlign w:val="superscript"/>
        </w:rPr>
        <w:t>ème</w:t>
      </w:r>
      <w:r>
        <w:rPr>
          <w:rFonts w:ascii="Garamond" w:eastAsia="Times New Roman" w:hAnsi="Garamond" w:cs="Times New Roman"/>
          <w:sz w:val="24"/>
          <w:szCs w:val="24"/>
        </w:rPr>
        <w:t xml:space="preserve"> session (septembre 2025)</w:t>
      </w:r>
    </w:p>
    <w:p w14:paraId="24B4A762" w14:textId="77777777" w:rsidR="00174170" w:rsidRDefault="00174170">
      <w:pPr>
        <w:jc w:val="both"/>
        <w:rPr>
          <w:rFonts w:ascii="Garamond" w:hAnsi="Garamond"/>
        </w:rPr>
      </w:pPr>
    </w:p>
    <w:p w14:paraId="54040B51" w14:textId="77777777" w:rsidR="00174170" w:rsidRDefault="00174170">
      <w:pPr>
        <w:jc w:val="both"/>
        <w:rPr>
          <w:rFonts w:ascii="Garamond" w:hAnsi="Garamond"/>
        </w:rPr>
      </w:pPr>
    </w:p>
    <w:p w14:paraId="7E8C2963" w14:textId="77777777" w:rsidR="00174170" w:rsidRDefault="00174170">
      <w:pPr>
        <w:jc w:val="both"/>
        <w:rPr>
          <w:rFonts w:ascii="Garamond" w:hAnsi="Garamond"/>
        </w:rPr>
      </w:pPr>
    </w:p>
    <w:p w14:paraId="0181E6C0" w14:textId="77777777" w:rsidR="00174170" w:rsidRPr="00174170" w:rsidRDefault="00174170">
      <w:pPr>
        <w:jc w:val="both"/>
        <w:rPr>
          <w:rFonts w:ascii="Garamond" w:hAnsi="Garamond"/>
        </w:rPr>
      </w:pPr>
    </w:p>
    <w:p w14:paraId="00000014" w14:textId="618B155B" w:rsidR="00C52645" w:rsidRPr="00174170" w:rsidRDefault="00174170" w:rsidP="00174170">
      <w:pPr>
        <w:ind w:left="720"/>
        <w:jc w:val="both"/>
        <w:rPr>
          <w:rFonts w:ascii="Garamond" w:eastAsia="Times New Roman" w:hAnsi="Garamond" w:cs="Times New Roman"/>
          <w:b/>
          <w:sz w:val="24"/>
          <w:szCs w:val="24"/>
        </w:rPr>
      </w:pPr>
      <w:r>
        <w:rPr>
          <w:rFonts w:ascii="Garamond" w:eastAsia="Times New Roman" w:hAnsi="Garamond" w:cs="Times New Roman"/>
          <w:b/>
          <w:sz w:val="24"/>
          <w:szCs w:val="24"/>
        </w:rPr>
        <w:lastRenderedPageBreak/>
        <w:t>ORGANISATIONS SOUMISSIONNAIRES</w:t>
      </w:r>
      <w:r w:rsidR="00000000" w:rsidRPr="00174170">
        <w:rPr>
          <w:rFonts w:ascii="Garamond" w:eastAsia="Times New Roman" w:hAnsi="Garamond" w:cs="Times New Roman"/>
          <w:b/>
          <w:sz w:val="24"/>
          <w:szCs w:val="24"/>
        </w:rPr>
        <w:t xml:space="preserve"> </w:t>
      </w:r>
    </w:p>
    <w:p w14:paraId="00000015" w14:textId="2D8B9023" w:rsidR="00C52645" w:rsidRPr="00174170" w:rsidRDefault="00000000">
      <w:pPr>
        <w:spacing w:before="240" w:after="240"/>
        <w:jc w:val="both"/>
        <w:rPr>
          <w:rFonts w:ascii="Garamond" w:eastAsia="Times New Roman" w:hAnsi="Garamond" w:cs="Times New Roman"/>
          <w:sz w:val="24"/>
          <w:szCs w:val="24"/>
        </w:rPr>
      </w:pPr>
      <w:proofErr w:type="spellStart"/>
      <w:r w:rsidRPr="00174170">
        <w:rPr>
          <w:rFonts w:ascii="Garamond" w:eastAsia="Times New Roman" w:hAnsi="Garamond" w:cs="Times New Roman"/>
          <w:b/>
          <w:sz w:val="24"/>
          <w:szCs w:val="24"/>
        </w:rPr>
        <w:t>Minority</w:t>
      </w:r>
      <w:proofErr w:type="spellEnd"/>
      <w:r w:rsidRPr="00174170">
        <w:rPr>
          <w:rFonts w:ascii="Garamond" w:eastAsia="Times New Roman" w:hAnsi="Garamond" w:cs="Times New Roman"/>
          <w:b/>
          <w:sz w:val="24"/>
          <w:szCs w:val="24"/>
        </w:rPr>
        <w:t xml:space="preserve"> </w:t>
      </w:r>
      <w:proofErr w:type="spellStart"/>
      <w:r w:rsidRPr="00174170">
        <w:rPr>
          <w:rFonts w:ascii="Garamond" w:eastAsia="Times New Roman" w:hAnsi="Garamond" w:cs="Times New Roman"/>
          <w:b/>
          <w:sz w:val="24"/>
          <w:szCs w:val="24"/>
        </w:rPr>
        <w:t>Rights</w:t>
      </w:r>
      <w:proofErr w:type="spellEnd"/>
      <w:r w:rsidRPr="00174170">
        <w:rPr>
          <w:rFonts w:ascii="Garamond" w:eastAsia="Times New Roman" w:hAnsi="Garamond" w:cs="Times New Roman"/>
          <w:b/>
          <w:sz w:val="24"/>
          <w:szCs w:val="24"/>
        </w:rPr>
        <w:t xml:space="preserve"> Group </w:t>
      </w:r>
      <w:r w:rsidRPr="00174170">
        <w:rPr>
          <w:rFonts w:ascii="Garamond" w:eastAsia="Times New Roman" w:hAnsi="Garamond" w:cs="Times New Roman"/>
          <w:sz w:val="24"/>
          <w:szCs w:val="24"/>
        </w:rPr>
        <w:t>(MRG) est une organisation non gouvernementale internationale qui s'efforce de garantir les droits des minorités ethniques, religieuses et linguistiques et des peuples autochtones dans le monde entier, et de promouvoir la coopération et la compréhension entre les communautés. MRG travaille avec plus de 150 organisations dans près de 50 pays. MRG a un statut consultatif auprès du Conseil économique et social des Nations Unies, un statut d'observateur auprès de la Commission africaine des droits de l'homme et des peuples, et est une organisation de la société civile enregistrée auprès de l'Organisation des États américains.</w:t>
      </w:r>
    </w:p>
    <w:p w14:paraId="00000016" w14:textId="77777777" w:rsidR="00C52645" w:rsidRPr="00174170" w:rsidRDefault="00000000">
      <w:pPr>
        <w:spacing w:before="240" w:after="240"/>
        <w:jc w:val="both"/>
        <w:rPr>
          <w:rFonts w:ascii="Garamond" w:eastAsia="Times New Roman" w:hAnsi="Garamond" w:cs="Times New Roman"/>
          <w:sz w:val="24"/>
          <w:szCs w:val="24"/>
        </w:rPr>
      </w:pPr>
      <w:proofErr w:type="spellStart"/>
      <w:r w:rsidRPr="00174170">
        <w:rPr>
          <w:rFonts w:ascii="Garamond" w:eastAsia="Times New Roman" w:hAnsi="Garamond" w:cs="Times New Roman"/>
          <w:b/>
          <w:sz w:val="24"/>
          <w:szCs w:val="24"/>
        </w:rPr>
        <w:t>Adala</w:t>
      </w:r>
      <w:proofErr w:type="spellEnd"/>
      <w:r w:rsidRPr="00174170">
        <w:rPr>
          <w:rFonts w:ascii="Garamond" w:eastAsia="Times New Roman" w:hAnsi="Garamond" w:cs="Times New Roman"/>
          <w:b/>
          <w:sz w:val="24"/>
          <w:szCs w:val="24"/>
        </w:rPr>
        <w:t xml:space="preserve"> pour tous </w:t>
      </w:r>
      <w:r w:rsidRPr="00174170">
        <w:rPr>
          <w:rFonts w:ascii="Garamond" w:eastAsia="Times New Roman" w:hAnsi="Garamond" w:cs="Times New Roman"/>
          <w:sz w:val="24"/>
          <w:szCs w:val="24"/>
        </w:rPr>
        <w:t>est une association à but non lucratif d'avocats et de juristes qui offre une aide juridique gratuite et volontaire aux victimes de violations des droits humains. L'association rassemble un réseau d'avocats et de juristes des deux côtés de la Méditerranée, avec des bureaux en France et aux Pays-Bas, mais ses efforts se concentrent principalement sur la Libye et les pays d'Afrique du Nord.</w:t>
      </w:r>
    </w:p>
    <w:p w14:paraId="00000017" w14:textId="77777777" w:rsidR="00C52645" w:rsidRDefault="00000000">
      <w:pPr>
        <w:spacing w:before="240" w:after="240"/>
        <w:jc w:val="both"/>
        <w:rPr>
          <w:rFonts w:ascii="Garamond" w:eastAsia="Times New Roman" w:hAnsi="Garamond" w:cs="Times New Roman"/>
          <w:sz w:val="24"/>
          <w:szCs w:val="24"/>
        </w:rPr>
      </w:pPr>
      <w:r w:rsidRPr="00174170">
        <w:rPr>
          <w:rFonts w:ascii="Garamond" w:eastAsia="Times New Roman" w:hAnsi="Garamond" w:cs="Times New Roman"/>
          <w:sz w:val="24"/>
          <w:szCs w:val="24"/>
        </w:rPr>
        <w:t xml:space="preserve">Créée en 1992 à Bruxelles, </w:t>
      </w:r>
      <w:r w:rsidRPr="00174170">
        <w:rPr>
          <w:rFonts w:ascii="Garamond" w:eastAsia="Times New Roman" w:hAnsi="Garamond" w:cs="Times New Roman"/>
          <w:b/>
          <w:sz w:val="24"/>
          <w:szCs w:val="24"/>
        </w:rPr>
        <w:t>Avocats Sans Frontières</w:t>
      </w:r>
      <w:r w:rsidRPr="00174170">
        <w:rPr>
          <w:rFonts w:ascii="Garamond" w:eastAsia="Times New Roman" w:hAnsi="Garamond" w:cs="Times New Roman"/>
          <w:sz w:val="24"/>
          <w:szCs w:val="24"/>
        </w:rPr>
        <w:t xml:space="preserve"> (ASF) est une organisation internationale non gouvernementale spécialisée dans la promotion de l’accès à la justice et la défense des droits humains. L’organisation lutte contre les injustices et promeut le principe d’État de droit fondé sur les droits humains. Son but principal est de contribuer au développement du pouvoir d’agir des populations, de renforcer les capacités des </w:t>
      </w:r>
      <w:proofErr w:type="spellStart"/>
      <w:r w:rsidRPr="00174170">
        <w:rPr>
          <w:rFonts w:ascii="Garamond" w:eastAsia="Times New Roman" w:hAnsi="Garamond" w:cs="Times New Roman"/>
          <w:sz w:val="24"/>
          <w:szCs w:val="24"/>
        </w:rPr>
        <w:t>acteur</w:t>
      </w:r>
      <w:r w:rsidRPr="00174170">
        <w:rPr>
          <w:rFonts w:ascii="MS Mincho" w:eastAsia="MS Mincho" w:hAnsi="MS Mincho" w:cs="MS Mincho" w:hint="eastAsia"/>
          <w:sz w:val="24"/>
          <w:szCs w:val="24"/>
        </w:rPr>
        <w:t>‧</w:t>
      </w:r>
      <w:r w:rsidRPr="00174170">
        <w:rPr>
          <w:rFonts w:ascii="Garamond" w:eastAsia="Times New Roman" w:hAnsi="Garamond" w:cs="Times New Roman"/>
          <w:sz w:val="24"/>
          <w:szCs w:val="24"/>
        </w:rPr>
        <w:t>rice</w:t>
      </w:r>
      <w:r w:rsidRPr="00174170">
        <w:rPr>
          <w:rFonts w:ascii="MS Mincho" w:eastAsia="MS Mincho" w:hAnsi="MS Mincho" w:cs="MS Mincho" w:hint="eastAsia"/>
          <w:sz w:val="24"/>
          <w:szCs w:val="24"/>
        </w:rPr>
        <w:t>‧</w:t>
      </w:r>
      <w:r w:rsidRPr="00174170">
        <w:rPr>
          <w:rFonts w:ascii="Garamond" w:eastAsia="Times New Roman" w:hAnsi="Garamond" w:cs="Times New Roman"/>
          <w:sz w:val="24"/>
          <w:szCs w:val="24"/>
        </w:rPr>
        <w:t>s</w:t>
      </w:r>
      <w:proofErr w:type="spellEnd"/>
      <w:r w:rsidRPr="00174170">
        <w:rPr>
          <w:rFonts w:ascii="Garamond" w:eastAsia="Times New Roman" w:hAnsi="Garamond" w:cs="Times New Roman"/>
          <w:sz w:val="24"/>
          <w:szCs w:val="24"/>
        </w:rPr>
        <w:t xml:space="preserve"> de l’accès à la justice pour mieux accompagner les justiciables et de promouvoir des réformes législatives pour un meilleur respect des droits humains.</w:t>
      </w:r>
    </w:p>
    <w:p w14:paraId="216EE3EF" w14:textId="77777777" w:rsidR="00174170" w:rsidRDefault="00174170">
      <w:pPr>
        <w:spacing w:before="240" w:after="240"/>
        <w:jc w:val="both"/>
        <w:rPr>
          <w:rFonts w:ascii="Garamond" w:eastAsia="Times New Roman" w:hAnsi="Garamond" w:cs="Times New Roman"/>
          <w:sz w:val="24"/>
          <w:szCs w:val="24"/>
        </w:rPr>
      </w:pPr>
    </w:p>
    <w:p w14:paraId="2A452728" w14:textId="77777777" w:rsidR="00174170" w:rsidRDefault="00174170">
      <w:pPr>
        <w:spacing w:before="240" w:after="240"/>
        <w:jc w:val="both"/>
        <w:rPr>
          <w:rFonts w:ascii="Garamond" w:eastAsia="Times New Roman" w:hAnsi="Garamond" w:cs="Times New Roman"/>
          <w:sz w:val="24"/>
          <w:szCs w:val="24"/>
        </w:rPr>
      </w:pPr>
    </w:p>
    <w:p w14:paraId="0EDBC195" w14:textId="77777777" w:rsidR="00174170" w:rsidRDefault="00174170">
      <w:pPr>
        <w:spacing w:before="240" w:after="240"/>
        <w:jc w:val="both"/>
        <w:rPr>
          <w:rFonts w:ascii="Garamond" w:eastAsia="Times New Roman" w:hAnsi="Garamond" w:cs="Times New Roman"/>
          <w:sz w:val="24"/>
          <w:szCs w:val="24"/>
        </w:rPr>
      </w:pPr>
    </w:p>
    <w:p w14:paraId="11D235C4" w14:textId="77777777" w:rsidR="00174170" w:rsidRDefault="00174170">
      <w:pPr>
        <w:spacing w:before="240" w:after="240"/>
        <w:jc w:val="both"/>
        <w:rPr>
          <w:rFonts w:ascii="Garamond" w:eastAsia="Times New Roman" w:hAnsi="Garamond" w:cs="Times New Roman"/>
          <w:sz w:val="24"/>
          <w:szCs w:val="24"/>
        </w:rPr>
      </w:pPr>
    </w:p>
    <w:p w14:paraId="752ACAA5" w14:textId="77777777" w:rsidR="00174170" w:rsidRDefault="00174170">
      <w:pPr>
        <w:spacing w:before="240" w:after="240"/>
        <w:jc w:val="both"/>
        <w:rPr>
          <w:rFonts w:ascii="Garamond" w:eastAsia="Times New Roman" w:hAnsi="Garamond" w:cs="Times New Roman"/>
          <w:sz w:val="24"/>
          <w:szCs w:val="24"/>
        </w:rPr>
      </w:pPr>
    </w:p>
    <w:p w14:paraId="598E5242" w14:textId="77777777" w:rsidR="00174170" w:rsidRDefault="00174170">
      <w:pPr>
        <w:spacing w:before="240" w:after="240"/>
        <w:jc w:val="both"/>
        <w:rPr>
          <w:rFonts w:ascii="Garamond" w:eastAsia="Times New Roman" w:hAnsi="Garamond" w:cs="Times New Roman"/>
          <w:sz w:val="24"/>
          <w:szCs w:val="24"/>
        </w:rPr>
      </w:pPr>
    </w:p>
    <w:p w14:paraId="661833D3" w14:textId="77777777" w:rsidR="00174170" w:rsidRDefault="00174170">
      <w:pPr>
        <w:spacing w:before="240" w:after="240"/>
        <w:jc w:val="both"/>
        <w:rPr>
          <w:rFonts w:ascii="Garamond" w:eastAsia="Times New Roman" w:hAnsi="Garamond" w:cs="Times New Roman"/>
          <w:sz w:val="24"/>
          <w:szCs w:val="24"/>
        </w:rPr>
      </w:pPr>
    </w:p>
    <w:p w14:paraId="2C1104A8" w14:textId="77777777" w:rsidR="00174170" w:rsidRDefault="00174170">
      <w:pPr>
        <w:spacing w:before="240" w:after="240"/>
        <w:jc w:val="both"/>
        <w:rPr>
          <w:rFonts w:ascii="Garamond" w:eastAsia="Times New Roman" w:hAnsi="Garamond" w:cs="Times New Roman"/>
          <w:sz w:val="24"/>
          <w:szCs w:val="24"/>
        </w:rPr>
      </w:pPr>
    </w:p>
    <w:p w14:paraId="40134720" w14:textId="77777777" w:rsidR="00174170" w:rsidRDefault="00174170">
      <w:pPr>
        <w:spacing w:before="240" w:after="240"/>
        <w:jc w:val="both"/>
        <w:rPr>
          <w:rFonts w:ascii="Garamond" w:eastAsia="Times New Roman" w:hAnsi="Garamond" w:cs="Times New Roman"/>
          <w:sz w:val="24"/>
          <w:szCs w:val="24"/>
        </w:rPr>
      </w:pPr>
    </w:p>
    <w:p w14:paraId="143FA3A3" w14:textId="77777777" w:rsidR="00174170" w:rsidRDefault="00174170">
      <w:pPr>
        <w:spacing w:before="240" w:after="240"/>
        <w:jc w:val="both"/>
        <w:rPr>
          <w:rFonts w:ascii="Garamond" w:eastAsia="Times New Roman" w:hAnsi="Garamond" w:cs="Times New Roman"/>
          <w:sz w:val="24"/>
          <w:szCs w:val="24"/>
        </w:rPr>
      </w:pPr>
    </w:p>
    <w:p w14:paraId="78981422" w14:textId="77777777" w:rsidR="00174170" w:rsidRDefault="00174170">
      <w:pPr>
        <w:spacing w:before="240" w:after="240"/>
        <w:jc w:val="both"/>
        <w:rPr>
          <w:rFonts w:ascii="Garamond" w:eastAsia="Times New Roman" w:hAnsi="Garamond" w:cs="Times New Roman"/>
          <w:sz w:val="24"/>
          <w:szCs w:val="24"/>
        </w:rPr>
      </w:pPr>
    </w:p>
    <w:p w14:paraId="022E683D" w14:textId="77777777" w:rsidR="00174170" w:rsidRPr="00174170" w:rsidRDefault="00174170">
      <w:pPr>
        <w:spacing w:before="240" w:after="240"/>
        <w:jc w:val="both"/>
        <w:rPr>
          <w:rFonts w:ascii="Garamond" w:eastAsia="Times New Roman" w:hAnsi="Garamond" w:cs="Times New Roman"/>
          <w:sz w:val="24"/>
          <w:szCs w:val="24"/>
        </w:rPr>
      </w:pPr>
    </w:p>
    <w:p w14:paraId="00000018" w14:textId="3BB159E6" w:rsidR="00C52645" w:rsidRPr="00174170" w:rsidRDefault="00174170">
      <w:pPr>
        <w:numPr>
          <w:ilvl w:val="0"/>
          <w:numId w:val="2"/>
        </w:numPr>
        <w:spacing w:before="240" w:after="240"/>
        <w:jc w:val="both"/>
        <w:rPr>
          <w:rFonts w:ascii="Garamond" w:eastAsia="Times New Roman" w:hAnsi="Garamond" w:cs="Times New Roman"/>
          <w:b/>
          <w:sz w:val="24"/>
          <w:szCs w:val="24"/>
        </w:rPr>
      </w:pPr>
      <w:r>
        <w:rPr>
          <w:rFonts w:ascii="Garamond" w:eastAsia="Times New Roman" w:hAnsi="Garamond" w:cs="Times New Roman"/>
          <w:b/>
          <w:sz w:val="24"/>
          <w:szCs w:val="24"/>
        </w:rPr>
        <w:lastRenderedPageBreak/>
        <w:t>INTRODUCTION</w:t>
      </w:r>
    </w:p>
    <w:p w14:paraId="00000019" w14:textId="601506C7" w:rsidR="00C52645" w:rsidRPr="00174170"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 xml:space="preserve">1. </w:t>
      </w:r>
      <w:r w:rsidR="00000000" w:rsidRPr="00174170">
        <w:rPr>
          <w:rFonts w:ascii="Garamond" w:eastAsia="Times New Roman" w:hAnsi="Garamond" w:cs="Times New Roman"/>
          <w:sz w:val="24"/>
          <w:szCs w:val="24"/>
        </w:rPr>
        <w:t xml:space="preserve">Le présent document porte sur la mise en œuvre par le gouvernement tunisien de ses obligations en vertu du Pacte international relatif aux droits économiques, sociaux et culturels (PIDESC). Il se concentre sur la situation des </w:t>
      </w:r>
      <w:proofErr w:type="gramStart"/>
      <w:r w:rsidR="00000000" w:rsidRPr="00174170">
        <w:rPr>
          <w:rFonts w:ascii="Garamond" w:eastAsia="Times New Roman" w:hAnsi="Garamond" w:cs="Times New Roman"/>
          <w:sz w:val="24"/>
          <w:szCs w:val="24"/>
        </w:rPr>
        <w:t>tunisiens</w:t>
      </w:r>
      <w:proofErr w:type="gramEnd"/>
      <w:r w:rsidR="00000000" w:rsidRPr="00174170">
        <w:rPr>
          <w:rFonts w:ascii="Garamond" w:eastAsia="Times New Roman" w:hAnsi="Garamond" w:cs="Times New Roman"/>
          <w:sz w:val="24"/>
          <w:szCs w:val="24"/>
        </w:rPr>
        <w:t xml:space="preserve"> noirs, des migrants subsahariens, des demandeurs d'asile et des réfugiés, des </w:t>
      </w:r>
      <w:r w:rsidR="00174170">
        <w:rPr>
          <w:rFonts w:ascii="Garamond" w:eastAsia="Times New Roman" w:hAnsi="Garamond" w:cs="Times New Roman"/>
          <w:sz w:val="24"/>
          <w:szCs w:val="24"/>
        </w:rPr>
        <w:t xml:space="preserve">personnes </w:t>
      </w:r>
      <w:r w:rsidR="00000000" w:rsidRPr="00174170">
        <w:rPr>
          <w:rFonts w:ascii="Garamond" w:eastAsia="Times New Roman" w:hAnsi="Garamond" w:cs="Times New Roman"/>
          <w:sz w:val="24"/>
          <w:szCs w:val="24"/>
        </w:rPr>
        <w:t xml:space="preserve">LGBTQI+, des personnes </w:t>
      </w:r>
      <w:r w:rsidR="00174170">
        <w:rPr>
          <w:rFonts w:ascii="Garamond" w:eastAsia="Times New Roman" w:hAnsi="Garamond" w:cs="Times New Roman"/>
          <w:sz w:val="24"/>
          <w:szCs w:val="24"/>
        </w:rPr>
        <w:t xml:space="preserve">en situation de </w:t>
      </w:r>
      <w:r w:rsidR="00000000" w:rsidRPr="00174170">
        <w:rPr>
          <w:rFonts w:ascii="Garamond" w:eastAsia="Times New Roman" w:hAnsi="Garamond" w:cs="Times New Roman"/>
          <w:sz w:val="24"/>
          <w:szCs w:val="24"/>
        </w:rPr>
        <w:t>handicap, des personnes vivant avec le VIH, et des Amazighs. Il est organisé par article, couvrant notamment les articles suivants :</w:t>
      </w:r>
    </w:p>
    <w:p w14:paraId="0000001A" w14:textId="77777777" w:rsidR="00C52645" w:rsidRPr="00174170" w:rsidRDefault="00000000">
      <w:pPr>
        <w:numPr>
          <w:ilvl w:val="0"/>
          <w:numId w:val="1"/>
        </w:numPr>
        <w:spacing w:before="240"/>
        <w:jc w:val="both"/>
        <w:rPr>
          <w:rFonts w:ascii="Garamond" w:eastAsia="Times New Roman" w:hAnsi="Garamond" w:cs="Times New Roman"/>
          <w:sz w:val="24"/>
          <w:szCs w:val="24"/>
        </w:rPr>
      </w:pPr>
      <w:r w:rsidRPr="00174170">
        <w:rPr>
          <w:rFonts w:ascii="Garamond" w:eastAsia="Times New Roman" w:hAnsi="Garamond" w:cs="Times New Roman"/>
          <w:sz w:val="24"/>
          <w:szCs w:val="24"/>
        </w:rPr>
        <w:t>Article 2.2 - Non-discrimination</w:t>
      </w:r>
    </w:p>
    <w:p w14:paraId="0000001B" w14:textId="77777777" w:rsidR="00C52645" w:rsidRPr="00174170" w:rsidRDefault="00000000">
      <w:pPr>
        <w:numPr>
          <w:ilvl w:val="0"/>
          <w:numId w:val="1"/>
        </w:numPr>
        <w:jc w:val="both"/>
        <w:rPr>
          <w:rFonts w:ascii="Garamond" w:eastAsia="Times New Roman" w:hAnsi="Garamond" w:cs="Times New Roman"/>
          <w:sz w:val="24"/>
          <w:szCs w:val="24"/>
        </w:rPr>
      </w:pPr>
      <w:r w:rsidRPr="00174170">
        <w:rPr>
          <w:rFonts w:ascii="Garamond" w:eastAsia="Times New Roman" w:hAnsi="Garamond" w:cs="Times New Roman"/>
          <w:sz w:val="24"/>
          <w:szCs w:val="24"/>
        </w:rPr>
        <w:t>Article 3 – Égalité des droits entre l'homme et la femme</w:t>
      </w:r>
    </w:p>
    <w:p w14:paraId="0000001C" w14:textId="77777777" w:rsidR="00C52645" w:rsidRPr="00174170" w:rsidRDefault="00000000">
      <w:pPr>
        <w:numPr>
          <w:ilvl w:val="0"/>
          <w:numId w:val="1"/>
        </w:numPr>
        <w:jc w:val="both"/>
        <w:rPr>
          <w:rFonts w:ascii="Garamond" w:eastAsia="Times New Roman" w:hAnsi="Garamond" w:cs="Times New Roman"/>
          <w:sz w:val="24"/>
          <w:szCs w:val="24"/>
        </w:rPr>
      </w:pPr>
      <w:r w:rsidRPr="00174170">
        <w:rPr>
          <w:rFonts w:ascii="Garamond" w:eastAsia="Times New Roman" w:hAnsi="Garamond" w:cs="Times New Roman"/>
          <w:sz w:val="24"/>
          <w:szCs w:val="24"/>
        </w:rPr>
        <w:t xml:space="preserve">Article 6 - Droit au travail </w:t>
      </w:r>
    </w:p>
    <w:p w14:paraId="0000001D" w14:textId="77777777" w:rsidR="00C52645" w:rsidRPr="00174170" w:rsidRDefault="00000000">
      <w:pPr>
        <w:numPr>
          <w:ilvl w:val="0"/>
          <w:numId w:val="1"/>
        </w:numPr>
        <w:jc w:val="both"/>
        <w:rPr>
          <w:rFonts w:ascii="Garamond" w:eastAsia="Times New Roman" w:hAnsi="Garamond" w:cs="Times New Roman"/>
          <w:sz w:val="24"/>
          <w:szCs w:val="24"/>
        </w:rPr>
      </w:pPr>
      <w:r w:rsidRPr="00174170">
        <w:rPr>
          <w:rFonts w:ascii="Garamond" w:eastAsia="Times New Roman" w:hAnsi="Garamond" w:cs="Times New Roman"/>
          <w:sz w:val="24"/>
          <w:szCs w:val="24"/>
        </w:rPr>
        <w:t>Article 7 - Droit à des conditions de travail justes et favorables</w:t>
      </w:r>
    </w:p>
    <w:p w14:paraId="0000001E" w14:textId="77777777" w:rsidR="00C52645" w:rsidRPr="00174170" w:rsidRDefault="00000000">
      <w:pPr>
        <w:numPr>
          <w:ilvl w:val="0"/>
          <w:numId w:val="1"/>
        </w:numPr>
        <w:jc w:val="both"/>
        <w:rPr>
          <w:rFonts w:ascii="Garamond" w:eastAsia="Times New Roman" w:hAnsi="Garamond" w:cs="Times New Roman"/>
          <w:sz w:val="24"/>
          <w:szCs w:val="24"/>
        </w:rPr>
      </w:pPr>
      <w:sdt>
        <w:sdtPr>
          <w:rPr>
            <w:rFonts w:ascii="Garamond" w:hAnsi="Garamond"/>
            <w:sz w:val="24"/>
            <w:szCs w:val="24"/>
          </w:rPr>
          <w:tag w:val="goog_rdk_0"/>
          <w:id w:val="-368386482"/>
        </w:sdtPr>
        <w:sdtContent>
          <w:r w:rsidRPr="00174170">
            <w:rPr>
              <w:rFonts w:ascii="Garamond" w:eastAsia="Gungsuh" w:hAnsi="Garamond" w:cs="Gungsuh"/>
              <w:sz w:val="24"/>
              <w:szCs w:val="24"/>
            </w:rPr>
            <w:t>Article 11 − Droit à un niveau de vie suffisant</w:t>
          </w:r>
        </w:sdtContent>
      </w:sdt>
    </w:p>
    <w:p w14:paraId="0000001F" w14:textId="77777777" w:rsidR="00C52645" w:rsidRPr="00174170" w:rsidRDefault="00000000">
      <w:pPr>
        <w:numPr>
          <w:ilvl w:val="0"/>
          <w:numId w:val="1"/>
        </w:numPr>
        <w:jc w:val="both"/>
        <w:rPr>
          <w:rFonts w:ascii="Garamond" w:eastAsia="Times New Roman" w:hAnsi="Garamond" w:cs="Times New Roman"/>
          <w:sz w:val="24"/>
          <w:szCs w:val="24"/>
        </w:rPr>
      </w:pPr>
      <w:r w:rsidRPr="00174170">
        <w:rPr>
          <w:rFonts w:ascii="Garamond" w:eastAsia="Times New Roman" w:hAnsi="Garamond" w:cs="Times New Roman"/>
          <w:sz w:val="24"/>
          <w:szCs w:val="24"/>
        </w:rPr>
        <w:t>Article 12 - Droit à la santé</w:t>
      </w:r>
    </w:p>
    <w:p w14:paraId="00000020" w14:textId="77777777" w:rsidR="00C52645" w:rsidRPr="00174170" w:rsidRDefault="00000000">
      <w:pPr>
        <w:numPr>
          <w:ilvl w:val="0"/>
          <w:numId w:val="1"/>
        </w:numPr>
        <w:jc w:val="both"/>
        <w:rPr>
          <w:rFonts w:ascii="Garamond" w:eastAsia="Times New Roman" w:hAnsi="Garamond" w:cs="Times New Roman"/>
          <w:sz w:val="24"/>
          <w:szCs w:val="24"/>
        </w:rPr>
      </w:pPr>
      <w:r w:rsidRPr="00174170">
        <w:rPr>
          <w:rFonts w:ascii="Garamond" w:eastAsia="Times New Roman" w:hAnsi="Garamond" w:cs="Times New Roman"/>
          <w:sz w:val="24"/>
          <w:szCs w:val="24"/>
        </w:rPr>
        <w:t>Article 13 – Droit à l’éducation</w:t>
      </w:r>
    </w:p>
    <w:p w14:paraId="00000021" w14:textId="4549340C" w:rsidR="00C52645" w:rsidRPr="00174170" w:rsidRDefault="00C52645" w:rsidP="00174170">
      <w:pPr>
        <w:ind w:left="360"/>
        <w:jc w:val="both"/>
        <w:rPr>
          <w:rFonts w:ascii="Garamond" w:eastAsia="Times New Roman" w:hAnsi="Garamond" w:cs="Times New Roman"/>
          <w:sz w:val="24"/>
          <w:szCs w:val="24"/>
        </w:rPr>
      </w:pPr>
    </w:p>
    <w:p w14:paraId="00000022" w14:textId="67F2489B" w:rsidR="00C52645" w:rsidRPr="00174170" w:rsidRDefault="00174170">
      <w:pPr>
        <w:numPr>
          <w:ilvl w:val="0"/>
          <w:numId w:val="2"/>
        </w:numPr>
        <w:spacing w:after="240"/>
        <w:jc w:val="both"/>
        <w:rPr>
          <w:rFonts w:ascii="Garamond" w:eastAsia="Times New Roman" w:hAnsi="Garamond" w:cs="Times New Roman"/>
          <w:b/>
          <w:sz w:val="24"/>
          <w:szCs w:val="24"/>
        </w:rPr>
      </w:pPr>
      <w:r>
        <w:rPr>
          <w:rFonts w:ascii="Garamond" w:eastAsia="Times New Roman" w:hAnsi="Garamond" w:cs="Times New Roman"/>
          <w:b/>
          <w:sz w:val="24"/>
          <w:szCs w:val="24"/>
        </w:rPr>
        <w:t>ARTICLE</w:t>
      </w:r>
      <w:r w:rsidR="00000000" w:rsidRPr="00174170">
        <w:rPr>
          <w:rFonts w:ascii="Garamond" w:eastAsia="Times New Roman" w:hAnsi="Garamond" w:cs="Times New Roman"/>
          <w:b/>
          <w:sz w:val="24"/>
          <w:szCs w:val="24"/>
        </w:rPr>
        <w:t xml:space="preserve"> 2.2 - </w:t>
      </w:r>
      <w:r>
        <w:rPr>
          <w:rFonts w:ascii="Garamond" w:eastAsia="Times New Roman" w:hAnsi="Garamond" w:cs="Times New Roman"/>
          <w:b/>
          <w:sz w:val="24"/>
          <w:szCs w:val="24"/>
        </w:rPr>
        <w:t>NON</w:t>
      </w:r>
      <w:r w:rsidR="00000000" w:rsidRPr="00174170">
        <w:rPr>
          <w:rFonts w:ascii="Garamond" w:eastAsia="Times New Roman" w:hAnsi="Garamond" w:cs="Times New Roman"/>
          <w:b/>
          <w:sz w:val="24"/>
          <w:szCs w:val="24"/>
        </w:rPr>
        <w:t>-</w:t>
      </w:r>
      <w:r>
        <w:rPr>
          <w:rFonts w:ascii="Garamond" w:eastAsia="Times New Roman" w:hAnsi="Garamond" w:cs="Times New Roman"/>
          <w:b/>
          <w:sz w:val="24"/>
          <w:szCs w:val="24"/>
        </w:rPr>
        <w:t>DISCRIMINATION</w:t>
      </w:r>
    </w:p>
    <w:p w14:paraId="00000023" w14:textId="61C0130D" w:rsidR="00C52645" w:rsidRPr="00174170"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2</w:t>
      </w:r>
      <w:r w:rsidR="00000000" w:rsidRPr="00174170">
        <w:rPr>
          <w:rFonts w:ascii="Garamond" w:eastAsia="Times New Roman" w:hAnsi="Garamond" w:cs="Times New Roman"/>
          <w:sz w:val="24"/>
          <w:szCs w:val="24"/>
        </w:rPr>
        <w:t xml:space="preserve">. D'un point de vue juridique, la Tunisie ne dispose toujours pas d'une loi anti-discrimination complète couvrant tous les motifs de discrimination. La Tunisie, historiquement influencée par diverses civilisations et cultures, a longtemps été marquée par des dynamiques sociales et raciales complexes. L'esclavage a été officiellement aboli en 1846, faisant de la Tunisie l'un des premiers pays au monde à interdire cette pratique. Cependant, la stigmatisation sociale qui y est associée a persisté. Les descendants d'anciens esclaves, aujourd'hui identifiés comme des Tunisiens noirs, continuent d'être victimes de discrimination et sont perçus comme une minorité distincte, économiquement et socialement. Les inégalités raciales restent particulièrement présentes dans des domaines tels que l'emploi, l'éducation et l'accès aux services publics. La loi organique n° 50-2018 criminalise toutes les formes de discrimination raciale et s'applique aux droits économiques, sociaux et culturels. Cette loi prévoyait la création d'une commission nationale de lutte contre la discrimination raciale, et le décret gouvernemental n° 203-2021 en précisait la composition et les attributions. Cependant, cette Commission n'a jamais été mise en place et aucun de ses membres n'a encore été nommé, ce qui limite l'application pratique de la loi et les progrès dans la lutte contre les discriminations. </w:t>
      </w:r>
    </w:p>
    <w:p w14:paraId="00000024" w14:textId="714B2C82" w:rsidR="00C52645" w:rsidRPr="00174170" w:rsidRDefault="00000000">
      <w:pPr>
        <w:spacing w:before="240" w:after="240"/>
        <w:jc w:val="both"/>
        <w:rPr>
          <w:rFonts w:ascii="Garamond" w:eastAsia="Times New Roman" w:hAnsi="Garamond" w:cs="Times New Roman"/>
          <w:sz w:val="24"/>
          <w:szCs w:val="24"/>
        </w:rPr>
      </w:pPr>
      <w:r w:rsidRPr="00174170">
        <w:rPr>
          <w:rFonts w:ascii="Garamond" w:eastAsia="Times New Roman" w:hAnsi="Garamond" w:cs="Times New Roman"/>
          <w:sz w:val="24"/>
          <w:szCs w:val="24"/>
        </w:rPr>
        <w:t>3.</w:t>
      </w:r>
      <w:r w:rsidR="006B3A36">
        <w:rPr>
          <w:rFonts w:ascii="Garamond" w:eastAsia="Times New Roman" w:hAnsi="Garamond" w:cs="Times New Roman"/>
          <w:sz w:val="24"/>
          <w:szCs w:val="24"/>
        </w:rPr>
        <w:t xml:space="preserve"> </w:t>
      </w:r>
      <w:r w:rsidRPr="00174170">
        <w:rPr>
          <w:rFonts w:ascii="Garamond" w:eastAsia="Times New Roman" w:hAnsi="Garamond" w:cs="Times New Roman"/>
          <w:sz w:val="24"/>
          <w:szCs w:val="24"/>
        </w:rPr>
        <w:t xml:space="preserve">En outre, les Tunisiens noirs et les migrants subsahariens sont confrontés à des défis croissants dans la réalisation de leurs droits socio-économiques depuis la déclaration du président Kais </w:t>
      </w:r>
      <w:proofErr w:type="spellStart"/>
      <w:r w:rsidRPr="00174170">
        <w:rPr>
          <w:rFonts w:ascii="Garamond" w:eastAsia="Times New Roman" w:hAnsi="Garamond" w:cs="Times New Roman"/>
          <w:sz w:val="24"/>
          <w:szCs w:val="24"/>
        </w:rPr>
        <w:t>Saied</w:t>
      </w:r>
      <w:proofErr w:type="spellEnd"/>
      <w:r w:rsidRPr="00174170">
        <w:rPr>
          <w:rFonts w:ascii="Garamond" w:eastAsia="Times New Roman" w:hAnsi="Garamond" w:cs="Times New Roman"/>
          <w:sz w:val="24"/>
          <w:szCs w:val="24"/>
        </w:rPr>
        <w:t xml:space="preserve"> en février 2023 appelant à mettre fin aux « </w:t>
      </w:r>
      <w:hyperlink r:id="rId8">
        <w:r w:rsidRPr="00174170">
          <w:rPr>
            <w:rFonts w:ascii="Garamond" w:eastAsia="Times New Roman" w:hAnsi="Garamond" w:cs="Times New Roman"/>
            <w:color w:val="1155CC"/>
            <w:sz w:val="24"/>
            <w:szCs w:val="24"/>
            <w:u w:val="single"/>
          </w:rPr>
          <w:t xml:space="preserve">hordes de migrants illégaux </w:t>
        </w:r>
      </w:hyperlink>
      <w:r w:rsidRPr="00174170">
        <w:rPr>
          <w:rFonts w:ascii="Garamond" w:eastAsia="Times New Roman" w:hAnsi="Garamond" w:cs="Times New Roman"/>
          <w:sz w:val="24"/>
          <w:szCs w:val="24"/>
        </w:rPr>
        <w:t>». Dans son discours, le président a qualifié les migrants subsahariens de source de « violence, de crimes et d'actes inacceptables » tout en faisant allusion aux thèses d'un soi-disant « </w:t>
      </w:r>
      <w:hyperlink r:id="rId9">
        <w:r w:rsidRPr="00174170">
          <w:rPr>
            <w:rFonts w:ascii="Garamond" w:eastAsia="Times New Roman" w:hAnsi="Garamond" w:cs="Times New Roman"/>
            <w:color w:val="1155CC"/>
            <w:sz w:val="24"/>
            <w:szCs w:val="24"/>
            <w:u w:val="single"/>
          </w:rPr>
          <w:t>grand remplacement</w:t>
        </w:r>
      </w:hyperlink>
      <w:r w:rsidRPr="00174170">
        <w:rPr>
          <w:rFonts w:ascii="Garamond" w:eastAsia="Times New Roman" w:hAnsi="Garamond" w:cs="Times New Roman"/>
          <w:sz w:val="24"/>
          <w:szCs w:val="24"/>
        </w:rPr>
        <w:t> »</w:t>
      </w:r>
      <w:r w:rsidRPr="00174170">
        <w:rPr>
          <w:rFonts w:ascii="Garamond" w:hAnsi="Garamond"/>
          <w:sz w:val="24"/>
          <w:szCs w:val="24"/>
        </w:rPr>
        <w:t xml:space="preserve"> </w:t>
      </w:r>
      <w:r w:rsidRPr="00174170">
        <w:rPr>
          <w:rFonts w:ascii="Garamond" w:eastAsia="Times New Roman" w:hAnsi="Garamond" w:cs="Times New Roman"/>
          <w:sz w:val="24"/>
          <w:szCs w:val="24"/>
        </w:rPr>
        <w:t xml:space="preserve">(une adaptation des théories racistes qui prétendent que les populations européennes blanches sont remplacées par des étrangers musulmans). Le discours a déclenché une recrudescence de la violence antinoire au niveau étatique et non étatique, avec des foules descendant dans la rue et attaquant des migrants noirs, des étudiants, des demandeurs d'asile et des policiers détenant et expulsant des dizaines de personnes, et a inauguré un changement de sécurité dans les politiques </w:t>
      </w:r>
      <w:r w:rsidRPr="00174170">
        <w:rPr>
          <w:rFonts w:ascii="Garamond" w:eastAsia="Times New Roman" w:hAnsi="Garamond" w:cs="Times New Roman"/>
          <w:sz w:val="24"/>
          <w:szCs w:val="24"/>
        </w:rPr>
        <w:lastRenderedPageBreak/>
        <w:t xml:space="preserve">migratoires en Tunisie. En conséquence, de nombreux migrants ont perdu leur logement et leur emploi, les propriétaires les expulsant et les employeurs les licenciant, également par crainte de répercussions et d'intimidations policières, d'attaques de résidents et de cambriolages. </w:t>
      </w:r>
      <w:hyperlink r:id="rId10">
        <w:r w:rsidRPr="00174170">
          <w:rPr>
            <w:rFonts w:ascii="Garamond" w:eastAsia="Times New Roman" w:hAnsi="Garamond" w:cs="Times New Roman"/>
            <w:color w:val="1155CC"/>
            <w:sz w:val="24"/>
            <w:szCs w:val="24"/>
            <w:u w:val="single"/>
          </w:rPr>
          <w:t>Des centaines de violations des droits humains</w:t>
        </w:r>
      </w:hyperlink>
      <w:r w:rsidRPr="00174170">
        <w:rPr>
          <w:rFonts w:ascii="Garamond" w:eastAsia="Times New Roman" w:hAnsi="Garamond" w:cs="Times New Roman"/>
          <w:sz w:val="24"/>
          <w:szCs w:val="24"/>
        </w:rPr>
        <w:t xml:space="preserve"> ont été signalées en 2023 et 2024. </w:t>
      </w:r>
      <w:hyperlink r:id="rId11">
        <w:r w:rsidRPr="00174170">
          <w:rPr>
            <w:rFonts w:ascii="Garamond" w:eastAsia="Times New Roman" w:hAnsi="Garamond" w:cs="Times New Roman"/>
            <w:color w:val="1155CC"/>
            <w:sz w:val="24"/>
            <w:szCs w:val="24"/>
            <w:u w:val="single"/>
          </w:rPr>
          <w:t>Des centaines de migrants</w:t>
        </w:r>
      </w:hyperlink>
      <w:r w:rsidRPr="00174170">
        <w:rPr>
          <w:rFonts w:ascii="Garamond" w:eastAsia="Times New Roman" w:hAnsi="Garamond" w:cs="Times New Roman"/>
          <w:sz w:val="24"/>
          <w:szCs w:val="24"/>
        </w:rPr>
        <w:t xml:space="preserve"> ont été arrêtés dans la rue ou à leur domicile et déplacés de force et/ou expulsés vers les frontières libyenne et algérienne, dans des zones désertiques, inaccessibles et militarisées. </w:t>
      </w:r>
      <w:hyperlink r:id="rId12">
        <w:r w:rsidRPr="00174170">
          <w:rPr>
            <w:rFonts w:ascii="Garamond" w:eastAsia="Times New Roman" w:hAnsi="Garamond" w:cs="Times New Roman"/>
            <w:color w:val="1155CC"/>
            <w:sz w:val="24"/>
            <w:szCs w:val="24"/>
            <w:u w:val="single"/>
          </w:rPr>
          <w:t xml:space="preserve">Parmi les autres pratiques </w:t>
        </w:r>
      </w:hyperlink>
      <w:r w:rsidRPr="00174170">
        <w:rPr>
          <w:rFonts w:ascii="Garamond" w:eastAsia="Times New Roman" w:hAnsi="Garamond" w:cs="Times New Roman"/>
          <w:sz w:val="24"/>
          <w:szCs w:val="24"/>
        </w:rPr>
        <w:t xml:space="preserve">figurent la violence lors d'opérations maritimes et d'opérations de recherche et de sauvetage en mer, l'usage excessif de la force, la torture et les mauvais traitements, les disparitions forcées, les séparations familiales, ainsi que les arrestations et détentions arbitraires. Ces conditions se sont durcies </w:t>
      </w:r>
      <w:hyperlink r:id="rId13">
        <w:r w:rsidRPr="00174170">
          <w:rPr>
            <w:rFonts w:ascii="Garamond" w:eastAsia="Times New Roman" w:hAnsi="Garamond" w:cs="Times New Roman"/>
            <w:color w:val="1155CC"/>
            <w:sz w:val="24"/>
            <w:szCs w:val="24"/>
            <w:u w:val="single"/>
          </w:rPr>
          <w:t>en 2024</w:t>
        </w:r>
      </w:hyperlink>
      <w:r w:rsidRPr="00174170">
        <w:rPr>
          <w:rFonts w:ascii="Garamond" w:eastAsia="Times New Roman" w:hAnsi="Garamond" w:cs="Times New Roman"/>
          <w:sz w:val="24"/>
          <w:szCs w:val="24"/>
        </w:rPr>
        <w:t xml:space="preserve">, lorsque plusieurs défenseurs des droits humains appartenant à ces minorités ou défendant ces minorités ont commencé à être emprisonnés dans un </w:t>
      </w:r>
      <w:hyperlink r:id="rId14">
        <w:r w:rsidRPr="00174170">
          <w:rPr>
            <w:rFonts w:ascii="Garamond" w:eastAsia="Times New Roman" w:hAnsi="Garamond" w:cs="Times New Roman"/>
            <w:color w:val="1155CC"/>
            <w:sz w:val="24"/>
            <w:szCs w:val="24"/>
            <w:u w:val="single"/>
          </w:rPr>
          <w:t>espace civil de plus en plus restreint</w:t>
        </w:r>
      </w:hyperlink>
      <w:r w:rsidRPr="00174170">
        <w:rPr>
          <w:rFonts w:ascii="Garamond" w:eastAsia="Times New Roman" w:hAnsi="Garamond" w:cs="Times New Roman"/>
          <w:sz w:val="24"/>
          <w:szCs w:val="24"/>
        </w:rPr>
        <w:t>. À plusieurs reprises au cours de l'année et demie écoulée, les organes de l'ONU, dont le Comité CERD, ont réagi à la situation en Tunisie, appelant les autorités tunisiennes à agir de toute urgence. Malgré plusieurs rappels, les autorités tunisiennes n'ont toujours pas réagi.</w:t>
      </w:r>
      <w:r w:rsidRPr="00174170">
        <w:rPr>
          <w:rFonts w:ascii="Garamond" w:eastAsia="Times New Roman" w:hAnsi="Garamond" w:cs="Times New Roman"/>
          <w:sz w:val="24"/>
          <w:szCs w:val="24"/>
          <w:vertAlign w:val="superscript"/>
        </w:rPr>
        <w:footnoteReference w:id="1"/>
      </w:r>
      <w:r w:rsidRPr="00174170">
        <w:rPr>
          <w:rFonts w:ascii="Garamond" w:eastAsia="Times New Roman" w:hAnsi="Garamond" w:cs="Times New Roman"/>
          <w:sz w:val="24"/>
          <w:szCs w:val="24"/>
        </w:rPr>
        <w:t xml:space="preserve"> Ce climat de répression et de violations des droits de l'homme ne permet pas une mise en œuvre substantielle des droits économiques, sociaux et culturels, conformément au principe de non-discrimination consacré à l'article 2.2, en particulier pour les groupes appartenant à des minorités et d'autres groupes minorisés/vulnérables. </w:t>
      </w:r>
    </w:p>
    <w:p w14:paraId="00000025" w14:textId="19675DF0" w:rsidR="00C52645" w:rsidRPr="00174170"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4.</w:t>
      </w:r>
      <w:r w:rsidR="00000000" w:rsidRPr="00174170">
        <w:rPr>
          <w:rFonts w:ascii="Garamond" w:eastAsia="Times New Roman" w:hAnsi="Garamond" w:cs="Times New Roman"/>
          <w:sz w:val="24"/>
          <w:szCs w:val="24"/>
        </w:rPr>
        <w:t xml:space="preserve"> En 2008, la Tunisie a ratifié la convention des Nations Unies relative aux Droits des personnes </w:t>
      </w:r>
      <w:r w:rsidR="00BE7916">
        <w:rPr>
          <w:rFonts w:ascii="Garamond" w:eastAsia="Times New Roman" w:hAnsi="Garamond" w:cs="Times New Roman"/>
          <w:sz w:val="24"/>
          <w:szCs w:val="24"/>
        </w:rPr>
        <w:t>handicapées</w:t>
      </w:r>
      <w:r w:rsidR="00000000" w:rsidRPr="00174170">
        <w:rPr>
          <w:rFonts w:ascii="Garamond" w:eastAsia="Times New Roman" w:hAnsi="Garamond" w:cs="Times New Roman"/>
          <w:sz w:val="24"/>
          <w:szCs w:val="24"/>
        </w:rPr>
        <w:t xml:space="preserve">, engageant les États signataires à adopter des lois ainsi que des mesures pour protéger les droits des personnes </w:t>
      </w:r>
      <w:r w:rsidR="00BE7916">
        <w:rPr>
          <w:rFonts w:ascii="Garamond" w:eastAsia="Times New Roman" w:hAnsi="Garamond" w:cs="Times New Roman"/>
          <w:sz w:val="24"/>
          <w:szCs w:val="24"/>
        </w:rPr>
        <w:t>en situation de handicap</w:t>
      </w:r>
      <w:r w:rsidR="00BE7916" w:rsidRPr="00174170">
        <w:rPr>
          <w:rFonts w:ascii="Garamond" w:eastAsia="Times New Roman" w:hAnsi="Garamond" w:cs="Times New Roman"/>
          <w:sz w:val="24"/>
          <w:szCs w:val="24"/>
        </w:rPr>
        <w:t xml:space="preserve"> </w:t>
      </w:r>
      <w:r w:rsidR="00000000" w:rsidRPr="00174170">
        <w:rPr>
          <w:rFonts w:ascii="Garamond" w:eastAsia="Times New Roman" w:hAnsi="Garamond" w:cs="Times New Roman"/>
          <w:sz w:val="24"/>
          <w:szCs w:val="24"/>
        </w:rPr>
        <w:t xml:space="preserve">et lutter contre la discrimination. La constitution de 2022 inclut une disposition dans son article 54 pour la protection des personnes </w:t>
      </w:r>
      <w:r w:rsidR="00BE7916">
        <w:rPr>
          <w:rFonts w:ascii="Garamond" w:eastAsia="Times New Roman" w:hAnsi="Garamond" w:cs="Times New Roman"/>
          <w:sz w:val="24"/>
          <w:szCs w:val="24"/>
        </w:rPr>
        <w:t>en situation de handicap</w:t>
      </w:r>
      <w:r w:rsidR="00BE7916" w:rsidRPr="00174170">
        <w:rPr>
          <w:rFonts w:ascii="Garamond" w:eastAsia="Times New Roman" w:hAnsi="Garamond" w:cs="Times New Roman"/>
          <w:sz w:val="24"/>
          <w:szCs w:val="24"/>
        </w:rPr>
        <w:t xml:space="preserve"> </w:t>
      </w:r>
      <w:r w:rsidR="00000000" w:rsidRPr="00174170">
        <w:rPr>
          <w:rFonts w:ascii="Garamond" w:eastAsia="Times New Roman" w:hAnsi="Garamond" w:cs="Times New Roman"/>
          <w:sz w:val="24"/>
          <w:szCs w:val="24"/>
        </w:rPr>
        <w:t xml:space="preserve">contre toute discrimination.  La loi n°2005-83 relative à la promotion et à la protection des droits des personnes </w:t>
      </w:r>
      <w:r w:rsidR="00BE7916">
        <w:rPr>
          <w:rFonts w:ascii="Garamond" w:eastAsia="Times New Roman" w:hAnsi="Garamond" w:cs="Times New Roman"/>
          <w:sz w:val="24"/>
          <w:szCs w:val="24"/>
        </w:rPr>
        <w:t>en situation de handicap</w:t>
      </w:r>
      <w:r w:rsidR="00BE7916" w:rsidRPr="00174170">
        <w:rPr>
          <w:rFonts w:ascii="Garamond" w:eastAsia="Times New Roman" w:hAnsi="Garamond" w:cs="Times New Roman"/>
          <w:sz w:val="24"/>
          <w:szCs w:val="24"/>
        </w:rPr>
        <w:t xml:space="preserve"> </w:t>
      </w:r>
      <w:r w:rsidR="00000000" w:rsidRPr="00174170">
        <w:rPr>
          <w:rFonts w:ascii="Garamond" w:eastAsia="Times New Roman" w:hAnsi="Garamond" w:cs="Times New Roman"/>
          <w:sz w:val="24"/>
          <w:szCs w:val="24"/>
        </w:rPr>
        <w:t>définit le handicap et la discrimination. Elle prévoit l’aménagement de l’environnement et la facilitation du déplacement et de la communication, pour l’État, les collectivités locales, les entreprises et les établissements publics et privés, en tant qu’obligation de moyens et non de résultats. La loi prévoit des dispositions spécifiques concernant les garanties d’accès et de prise en charge dans les secteurs de l’éducation, de la formation professionnelle, de l’emploi, de la santé et de la sécurité sociale.</w:t>
      </w:r>
      <w:r w:rsidR="00000000" w:rsidRPr="00174170">
        <w:rPr>
          <w:rFonts w:ascii="Garamond" w:hAnsi="Garamond"/>
          <w:sz w:val="24"/>
          <w:szCs w:val="24"/>
        </w:rPr>
        <w:t xml:space="preserve"> </w:t>
      </w:r>
      <w:r w:rsidR="00000000" w:rsidRPr="00174170">
        <w:rPr>
          <w:rFonts w:ascii="Garamond" w:eastAsia="Times New Roman" w:hAnsi="Garamond" w:cs="Times New Roman"/>
          <w:sz w:val="24"/>
          <w:szCs w:val="24"/>
        </w:rPr>
        <w:t xml:space="preserve">Cependant, des ONG représentant des personnes </w:t>
      </w:r>
      <w:r w:rsidR="00BE7916">
        <w:rPr>
          <w:rFonts w:ascii="Garamond" w:eastAsia="Times New Roman" w:hAnsi="Garamond" w:cs="Times New Roman"/>
          <w:sz w:val="24"/>
          <w:szCs w:val="24"/>
        </w:rPr>
        <w:t>en situation de handicap</w:t>
      </w:r>
      <w:r w:rsidR="00BE7916" w:rsidRPr="00174170">
        <w:rPr>
          <w:rFonts w:ascii="Garamond" w:eastAsia="Times New Roman" w:hAnsi="Garamond" w:cs="Times New Roman"/>
          <w:sz w:val="24"/>
          <w:szCs w:val="24"/>
        </w:rPr>
        <w:t xml:space="preserve"> </w:t>
      </w:r>
      <w:r w:rsidR="00000000" w:rsidRPr="00174170">
        <w:rPr>
          <w:rFonts w:ascii="Garamond" w:eastAsia="Times New Roman" w:hAnsi="Garamond" w:cs="Times New Roman"/>
          <w:sz w:val="24"/>
          <w:szCs w:val="24"/>
        </w:rPr>
        <w:t xml:space="preserve">et des experts internationaux, y compris le Comité des droits des personnes </w:t>
      </w:r>
      <w:r w:rsidR="00BE7916">
        <w:rPr>
          <w:rFonts w:ascii="Garamond" w:eastAsia="Times New Roman" w:hAnsi="Garamond" w:cs="Times New Roman"/>
          <w:sz w:val="24"/>
          <w:szCs w:val="24"/>
        </w:rPr>
        <w:t>en situation de handicap</w:t>
      </w:r>
      <w:r w:rsidR="00000000" w:rsidRPr="00174170">
        <w:rPr>
          <w:rFonts w:ascii="Garamond" w:eastAsia="Times New Roman" w:hAnsi="Garamond" w:cs="Times New Roman"/>
          <w:sz w:val="24"/>
          <w:szCs w:val="24"/>
        </w:rPr>
        <w:t xml:space="preserve">, ont demandé que cette disposition soit modifiée pour être plus inclusive et plus efficace. En plus, cette loi ne s’étend pas au secteur sécuritaire et de justice. Ainsi, et bien que la Loi n° 2016-5 du 16 février 2016, modifiant et complétant certaines dispositions du Code de procédure pénale, dispose que « les officiers de police judiciaire doivent informer le suspect dans la langue qu’il comprenne de la mesure prise à son encontre… », ASF a observé que des personnes ayant un handicap sensoriel (sourds) ne bénéficient pas de la présence d’interprètes en langue de signes lors de leur interpellation et leur garde à vue. Ce vice de procédure empêche les accusés de pouvoir se défendre correctement et entrave le procès équitable. </w:t>
      </w:r>
    </w:p>
    <w:p w14:paraId="51D0D16A" w14:textId="33065AEE" w:rsidR="00174170" w:rsidRDefault="006B3A36" w:rsidP="00174170">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5.</w:t>
      </w:r>
      <w:r w:rsidR="00000000" w:rsidRPr="00174170">
        <w:rPr>
          <w:rFonts w:ascii="Garamond" w:eastAsia="Times New Roman" w:hAnsi="Garamond" w:cs="Times New Roman"/>
          <w:sz w:val="24"/>
          <w:szCs w:val="24"/>
        </w:rPr>
        <w:t xml:space="preserve"> Selon l’article 1er de la loi n°92-71 du 27 juillet 1992, relative aux maladies transmissibles : « nul ne peut faire l’objet de mesures discriminatoire à l’occasion de la prévention ou du traitement d’une </w:t>
      </w:r>
      <w:r w:rsidR="00000000" w:rsidRPr="00174170">
        <w:rPr>
          <w:rFonts w:ascii="Garamond" w:eastAsia="Times New Roman" w:hAnsi="Garamond" w:cs="Times New Roman"/>
          <w:sz w:val="24"/>
          <w:szCs w:val="24"/>
        </w:rPr>
        <w:lastRenderedPageBreak/>
        <w:t>maladie transmissible ».  En réalité, les PVVIH, ainsi que les personnes les plus exposées (populations clés- PC) font face à des discriminations multiples, institutionnelles et sociales, venant entraver l’application de cette loi. Les articles du Code Pénal criminalisant l’homosexualité, le travail de sexe clandestin, ainsi que la consommation de drogues contribuent à décourager les PVVIH et les PC à se dépister, de peur des stigmatisations et des représailles.</w:t>
      </w:r>
      <w:r w:rsidR="00000000" w:rsidRPr="00174170">
        <w:rPr>
          <w:rFonts w:ascii="Garamond" w:hAnsi="Garamond"/>
          <w:sz w:val="24"/>
          <w:szCs w:val="24"/>
        </w:rPr>
        <w:t xml:space="preserve"> </w:t>
      </w:r>
      <w:r w:rsidR="00000000" w:rsidRPr="00174170">
        <w:rPr>
          <w:rFonts w:ascii="Garamond" w:eastAsia="Times New Roman" w:hAnsi="Garamond" w:cs="Times New Roman"/>
          <w:sz w:val="24"/>
          <w:szCs w:val="24"/>
        </w:rPr>
        <w:t xml:space="preserve">Cette pénalisation de l’homosexualité permet un climat de discrimination et de stigmatisation institutionnelles qui empêche l'obtention de tout droit socio-économique substantiel pour les personnes LGBTQI+. Par ailleurs, la loi n°92-71 prévoit une déclaration obligatoire des maladies transmissibles, faute de quoi, les professionnels de santé peuvent encourir des sanctions, prévues par la même loi. Cette obligation est d’autant plus dissuasive pour les PVVIH et les PC. Ainsi, la loi 92 tente d’instaurer un équilibre entre le principe de non-discrimination et le principe de protection de la santé publique. Ce dernier prime cependant sur le premier, en raison du caractère répressif de l’arsenal juridique à l’encontre des PVVIH et PC, ainsi que de l’inexistence de mécanismes clairs au sein de la loi 92 garantissant la non-discrimination.  Il est important de noter que la stigmatisation touche également les </w:t>
      </w:r>
      <w:proofErr w:type="spellStart"/>
      <w:r w:rsidR="00000000" w:rsidRPr="00174170">
        <w:rPr>
          <w:rFonts w:ascii="Garamond" w:eastAsia="Times New Roman" w:hAnsi="Garamond" w:cs="Times New Roman"/>
          <w:sz w:val="24"/>
          <w:szCs w:val="24"/>
        </w:rPr>
        <w:t>Educateur.trices</w:t>
      </w:r>
      <w:proofErr w:type="spellEnd"/>
      <w:r w:rsidR="00000000" w:rsidRPr="00174170">
        <w:rPr>
          <w:rFonts w:ascii="Garamond" w:eastAsia="Times New Roman" w:hAnsi="Garamond" w:cs="Times New Roman"/>
          <w:sz w:val="24"/>
          <w:szCs w:val="24"/>
        </w:rPr>
        <w:t xml:space="preserve"> pairs qui accompagnent les PVVIH et PC aux centres de dépistage, sensibilisent ces populations à leurs droits, à la prévention à la protection, et distribuent des moyens de préventions (seringues et préservatifs notamment). Ceci entrave la riposte communautaire au VIH et dissuade les efforts de la société civile à appuyer l’État dans sa lutte contre cette épidémie.</w:t>
      </w:r>
    </w:p>
    <w:p w14:paraId="0A5D967A" w14:textId="2A08DEE6" w:rsidR="006B3A36" w:rsidRPr="006B3A36" w:rsidRDefault="006B3A36" w:rsidP="006B3A36">
      <w:pPr>
        <w:pStyle w:val="Paragraphedeliste"/>
        <w:numPr>
          <w:ilvl w:val="0"/>
          <w:numId w:val="2"/>
        </w:numPr>
        <w:spacing w:before="240" w:after="240"/>
        <w:jc w:val="both"/>
        <w:rPr>
          <w:rFonts w:ascii="Garamond" w:eastAsia="Times New Roman" w:hAnsi="Garamond" w:cs="Times New Roman"/>
          <w:sz w:val="24"/>
          <w:szCs w:val="24"/>
        </w:rPr>
      </w:pPr>
      <w:r w:rsidRPr="006B3A36">
        <w:rPr>
          <w:rFonts w:ascii="Garamond" w:eastAsia="Times New Roman" w:hAnsi="Garamond" w:cs="Times New Roman"/>
          <w:b/>
          <w:bCs/>
          <w:sz w:val="24"/>
          <w:szCs w:val="24"/>
        </w:rPr>
        <w:t>ARTICLE</w:t>
      </w:r>
      <w:r w:rsidRPr="006B3A36">
        <w:rPr>
          <w:rFonts w:ascii="Garamond" w:eastAsia="Times New Roman" w:hAnsi="Garamond" w:cs="Times New Roman"/>
          <w:b/>
          <w:sz w:val="24"/>
          <w:szCs w:val="24"/>
        </w:rPr>
        <w:t xml:space="preserve"> 3 – ÉGALITÉ DES DROITS ENTRE HOMMES ET FEMMES </w:t>
      </w:r>
    </w:p>
    <w:p w14:paraId="3648BD5D" w14:textId="099B6D15" w:rsidR="006B3A36" w:rsidRPr="006B3A36" w:rsidRDefault="006B3A36" w:rsidP="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6.</w:t>
      </w:r>
      <w:r w:rsidRPr="006B3A36">
        <w:rPr>
          <w:rFonts w:ascii="Garamond" w:eastAsia="Times New Roman" w:hAnsi="Garamond" w:cs="Times New Roman"/>
          <w:sz w:val="24"/>
          <w:szCs w:val="24"/>
        </w:rPr>
        <w:t xml:space="preserve"> La précarité qui touche les personnes en déplacement en Tunisie est beaucoup plus prononcée pour les femmes. Les femmes migrantes d'origine subsaharienne sont souvent victimes d'abus de la part des forces de sécurité nationales tunisiennes. </w:t>
      </w:r>
      <w:sdt>
        <w:sdtPr>
          <w:tag w:val="goog_rdk_1"/>
          <w:id w:val="1159496987"/>
        </w:sdtPr>
        <w:sdtContent/>
      </w:sdt>
      <w:hyperlink r:id="rId15">
        <w:r w:rsidRPr="006B3A36">
          <w:rPr>
            <w:rFonts w:ascii="Garamond" w:eastAsia="Times New Roman" w:hAnsi="Garamond" w:cs="Times New Roman"/>
            <w:color w:val="1155CC"/>
            <w:sz w:val="24"/>
            <w:szCs w:val="24"/>
            <w:u w:val="single"/>
          </w:rPr>
          <w:t>Plusieurs cas</w:t>
        </w:r>
      </w:hyperlink>
      <w:r w:rsidRPr="006B3A36">
        <w:rPr>
          <w:rFonts w:ascii="Garamond" w:eastAsia="Times New Roman" w:hAnsi="Garamond" w:cs="Times New Roman"/>
          <w:sz w:val="24"/>
          <w:szCs w:val="24"/>
        </w:rPr>
        <w:t xml:space="preserve"> de violences sexuelles à l'encontre de femmes migrantes et de jeunes femmes ont été documentés par ASF, ainsi que des cas d'abandon de femmes dans des zones désertiques, y compris de femmes enceintes.</w:t>
      </w:r>
    </w:p>
    <w:p w14:paraId="00000029" w14:textId="23157CB3" w:rsidR="00C52645" w:rsidRPr="00174170" w:rsidRDefault="00174170" w:rsidP="00174170">
      <w:pPr>
        <w:pStyle w:val="Paragraphedeliste"/>
        <w:numPr>
          <w:ilvl w:val="0"/>
          <w:numId w:val="2"/>
        </w:numPr>
        <w:spacing w:before="240" w:after="240"/>
        <w:jc w:val="both"/>
        <w:rPr>
          <w:rFonts w:ascii="Garamond" w:eastAsia="Times New Roman" w:hAnsi="Garamond" w:cs="Times New Roman"/>
          <w:b/>
          <w:sz w:val="24"/>
          <w:szCs w:val="24"/>
        </w:rPr>
      </w:pPr>
      <w:r w:rsidRPr="00174170">
        <w:rPr>
          <w:rFonts w:ascii="Garamond" w:eastAsia="Times New Roman" w:hAnsi="Garamond" w:cs="Times New Roman"/>
          <w:b/>
          <w:sz w:val="24"/>
          <w:szCs w:val="24"/>
        </w:rPr>
        <w:t>ARTICLE</w:t>
      </w:r>
      <w:r w:rsidR="00000000" w:rsidRPr="00174170">
        <w:rPr>
          <w:rFonts w:ascii="Garamond" w:eastAsia="Times New Roman" w:hAnsi="Garamond" w:cs="Times New Roman"/>
          <w:b/>
          <w:sz w:val="24"/>
          <w:szCs w:val="24"/>
        </w:rPr>
        <w:t xml:space="preserve"> 6 </w:t>
      </w:r>
      <w:r w:rsidRPr="00174170">
        <w:rPr>
          <w:rFonts w:ascii="Garamond" w:eastAsia="Times New Roman" w:hAnsi="Garamond" w:cs="Times New Roman"/>
          <w:b/>
          <w:sz w:val="24"/>
          <w:szCs w:val="24"/>
        </w:rPr>
        <w:t>–</w:t>
      </w:r>
      <w:r w:rsidR="00000000" w:rsidRPr="00174170">
        <w:rPr>
          <w:rFonts w:ascii="Garamond" w:eastAsia="Times New Roman" w:hAnsi="Garamond" w:cs="Times New Roman"/>
          <w:b/>
          <w:sz w:val="24"/>
          <w:szCs w:val="24"/>
        </w:rPr>
        <w:t xml:space="preserve"> </w:t>
      </w:r>
      <w:r w:rsidRPr="00174170">
        <w:rPr>
          <w:rFonts w:ascii="Garamond" w:eastAsia="Times New Roman" w:hAnsi="Garamond" w:cs="Times New Roman"/>
          <w:b/>
          <w:sz w:val="24"/>
          <w:szCs w:val="24"/>
        </w:rPr>
        <w:t>DROIT AU TRAVAIL</w:t>
      </w:r>
    </w:p>
    <w:p w14:paraId="0000002A" w14:textId="4E5A6DCC" w:rsidR="00C52645" w:rsidRPr="00174170" w:rsidRDefault="006B3A36">
      <w:pPr>
        <w:spacing w:before="240" w:after="240"/>
        <w:jc w:val="both"/>
        <w:rPr>
          <w:rFonts w:ascii="Garamond" w:eastAsia="Times New Roman" w:hAnsi="Garamond" w:cs="Times New Roman"/>
          <w:color w:val="FF0000"/>
          <w:sz w:val="24"/>
          <w:szCs w:val="24"/>
        </w:rPr>
      </w:pPr>
      <w:r>
        <w:rPr>
          <w:rFonts w:ascii="Garamond" w:eastAsia="Times New Roman" w:hAnsi="Garamond" w:cs="Times New Roman"/>
          <w:sz w:val="24"/>
          <w:szCs w:val="24"/>
        </w:rPr>
        <w:t>7.</w:t>
      </w:r>
      <w:r w:rsidR="00000000" w:rsidRPr="00174170">
        <w:rPr>
          <w:rFonts w:ascii="Garamond" w:eastAsia="Times New Roman" w:hAnsi="Garamond" w:cs="Times New Roman"/>
          <w:sz w:val="24"/>
          <w:szCs w:val="24"/>
        </w:rPr>
        <w:t xml:space="preserve"> En Tunisie, bien qu'il n'y ait pas de lois ou d'articles explicites dans le Code du travail qui discriminent directement les Noirs, les pratiques discriminatoires restent omniprésentes. Le principe constitutionnel d'égalité et de non-discrimination est consacré à l'article 21 de la Constitution de 2014 et à l'article 23 de la Constitution de 2022. Ce principe garantit l'égalité des citoyens devant la loi sans distinction de race, de religion ou de sexe. Par ailleurs, la loi organique n° 50-2018 du 23 octobre 2018, destinée à éliminer toutes les formes de discrimination raciale, devrait s'appliquer au lieu de travail, mais est rarement sollicitée. En raison </w:t>
      </w:r>
      <w:hyperlink r:id="rId16">
        <w:r w:rsidR="00000000" w:rsidRPr="00174170">
          <w:rPr>
            <w:rFonts w:ascii="Garamond" w:eastAsia="Times New Roman" w:hAnsi="Garamond" w:cs="Times New Roman"/>
            <w:color w:val="1155CC"/>
            <w:sz w:val="24"/>
            <w:szCs w:val="24"/>
            <w:u w:val="single"/>
          </w:rPr>
          <w:t>de l'héritage de l'esclavage et du colonialisme,</w:t>
        </w:r>
      </w:hyperlink>
      <w:r w:rsidR="00000000" w:rsidRPr="00174170">
        <w:rPr>
          <w:rFonts w:ascii="Garamond" w:eastAsia="Times New Roman" w:hAnsi="Garamond" w:cs="Times New Roman"/>
          <w:sz w:val="24"/>
          <w:szCs w:val="24"/>
        </w:rPr>
        <w:t xml:space="preserve"> de nombreux citoyens noirs restent dans une situation d'immobilité sociale, relégués à des emplois subalternes ou, dans les cas les plus extrêmes, à la servitude et à l'exploitation économique. En 2020, MRG et ses partenaires avaient documenté 72 cas de discrimination sur le lieu de travail sur la base de la race et/ou de la nationalité </w:t>
      </w:r>
      <w:hyperlink r:id="rId17">
        <w:r w:rsidR="00000000" w:rsidRPr="00174170">
          <w:rPr>
            <w:rFonts w:ascii="Garamond" w:eastAsia="Times New Roman" w:hAnsi="Garamond" w:cs="Times New Roman"/>
            <w:color w:val="4A86E8"/>
            <w:sz w:val="24"/>
            <w:szCs w:val="24"/>
            <w:u w:val="single"/>
          </w:rPr>
          <w:t>(p.41),</w:t>
        </w:r>
      </w:hyperlink>
      <w:r w:rsidR="00000000" w:rsidRPr="00174170">
        <w:rPr>
          <w:rFonts w:ascii="Garamond" w:eastAsia="Times New Roman" w:hAnsi="Garamond" w:cs="Times New Roman"/>
          <w:sz w:val="24"/>
          <w:szCs w:val="24"/>
        </w:rPr>
        <w:t xml:space="preserve"> soit 25 % des cas collectés sur cette base pendant cette année.</w:t>
      </w:r>
      <w:r w:rsidR="00000000" w:rsidRPr="00174170">
        <w:rPr>
          <w:rFonts w:ascii="Garamond" w:eastAsia="Times New Roman" w:hAnsi="Garamond" w:cs="Times New Roman"/>
          <w:color w:val="FF0000"/>
          <w:sz w:val="24"/>
          <w:szCs w:val="24"/>
        </w:rPr>
        <w:t xml:space="preserve"> </w:t>
      </w:r>
      <w:r w:rsidR="00000000" w:rsidRPr="00174170">
        <w:rPr>
          <w:rFonts w:ascii="Garamond" w:eastAsia="Times New Roman" w:hAnsi="Garamond" w:cs="Times New Roman"/>
          <w:sz w:val="24"/>
          <w:szCs w:val="24"/>
        </w:rPr>
        <w:t xml:space="preserve">Une tendance observée concerne les difficultés rencontrées pour accéder aux postes élevés, où les diplômés noirs sont confrontés à des obstacles invisibles mais constants dans leur progression professionnelle et sont systématiquement exclus des postes pour lesquels ils étaient qualifiés, sans explication transparente de la part des employeurs. Ces pratiques, bien qu'informelles et non institutionnalisées, limitent </w:t>
      </w:r>
      <w:r w:rsidR="00000000" w:rsidRPr="00174170">
        <w:rPr>
          <w:rFonts w:ascii="Garamond" w:eastAsia="Times New Roman" w:hAnsi="Garamond" w:cs="Times New Roman"/>
          <w:sz w:val="24"/>
          <w:szCs w:val="24"/>
        </w:rPr>
        <w:lastRenderedPageBreak/>
        <w:t xml:space="preserve">considérablement la mobilité ascendante des Noirs dans de nombreux secteurs économiques. Ces obstacles limitent la capacité des citoyens noirs à participer pleinement aux affaires publiques de leur pays et à accéder à des postes publics de haut niveau. L'absence de dispositions spécifiques contre la discrimination raciale dans le Code du travail tunisien contribue au maintien de formes d'exclusion dans le processus de recrutement, d'accès aux postes à responsabilité et de promotion, malgré la loi de 2018 et les principes constitutionnels susvisés. En 2021, un exemple notable est celui de L.K., qui a été licencié après avoir signalé des propos racistes de la part de son supérieur. Lorsqu'il a intenté une action en justice avec l'aide de son avocat, l'entreprise privée pour laquelle il travaillait a distribué des questionnaires à ses collègues témoins. Ils ont été menacés afin de les dissuader de témoigner en sa faveur devant le tribunal. En conséquence, plusieurs collègues ont refusé de témoigner et, en l'absence de preuves et de témoignages suffisants, le tribunal a rejeté la plainte de L.K., illustrant les obstacles que le système judiciaire présente pour la protection des droits des travailleurs en matière de lutte contre la discrimination et le racisme. Les régions méridionales de la Tunisie continuent d'être marquées par des formes modernes de ségrégation professionnelle. Dans certaines régions, les familles noires sont traditionnellement confinées à des emplois manuels ou de service en fonction de leur nom de famille. MRG et son partenaire </w:t>
      </w:r>
      <w:proofErr w:type="spellStart"/>
      <w:r w:rsidR="00000000" w:rsidRPr="00174170">
        <w:rPr>
          <w:rFonts w:ascii="Garamond" w:eastAsia="Times New Roman" w:hAnsi="Garamond" w:cs="Times New Roman"/>
          <w:sz w:val="24"/>
          <w:szCs w:val="24"/>
        </w:rPr>
        <w:t>Mnemty</w:t>
      </w:r>
      <w:proofErr w:type="spellEnd"/>
      <w:r w:rsidR="00000000" w:rsidRPr="00174170">
        <w:rPr>
          <w:rFonts w:ascii="Garamond" w:eastAsia="Times New Roman" w:hAnsi="Garamond" w:cs="Times New Roman"/>
          <w:sz w:val="24"/>
          <w:szCs w:val="24"/>
        </w:rPr>
        <w:t xml:space="preserve"> ont documenté des cas montrant que les descendants d'esclaves noirs exercent toujours les mêmes occupations que celles attribuées à leurs ancêtres, comme jouer dans un groupe ou jardiner. Nous avons également noté que beaucoup portent encore les noms de leurs anciens maîtres, précédés du préfixe </w:t>
      </w:r>
      <w:hyperlink r:id="rId18">
        <w:r w:rsidR="00000000" w:rsidRPr="00174170">
          <w:rPr>
            <w:rFonts w:ascii="Garamond" w:eastAsia="Times New Roman" w:hAnsi="Garamond" w:cs="Times New Roman"/>
            <w:i/>
            <w:color w:val="1155CC"/>
            <w:sz w:val="24"/>
            <w:szCs w:val="24"/>
            <w:u w:val="single"/>
          </w:rPr>
          <w:t xml:space="preserve">Atig </w:t>
        </w:r>
      </w:hyperlink>
      <w:hyperlink r:id="rId19">
        <w:r w:rsidR="00000000" w:rsidRPr="00174170">
          <w:rPr>
            <w:rFonts w:ascii="Garamond" w:eastAsia="Times New Roman" w:hAnsi="Garamond" w:cs="Times New Roman"/>
            <w:color w:val="1155CC"/>
            <w:sz w:val="24"/>
            <w:szCs w:val="24"/>
            <w:u w:val="single"/>
          </w:rPr>
          <w:t>(en arabe, « affranchi par »).</w:t>
        </w:r>
      </w:hyperlink>
      <w:r w:rsidR="00000000" w:rsidRPr="00174170">
        <w:rPr>
          <w:rFonts w:ascii="Garamond" w:eastAsia="Times New Roman" w:hAnsi="Garamond" w:cs="Times New Roman"/>
          <w:sz w:val="24"/>
          <w:szCs w:val="24"/>
        </w:rPr>
        <w:t xml:space="preserve"> Entre 2020 et 2022, cinq familles ont bénéficié d'un soutien juridique de la part de MRG pour leur permettre d'accéder au système judiciaire afin de supprimer la référence à l'esclavage dans leur nom de famille. </w:t>
      </w:r>
    </w:p>
    <w:p w14:paraId="49F42BFC" w14:textId="02ACB74C" w:rsidR="00174170" w:rsidRDefault="006B3A36" w:rsidP="00174170">
      <w:pPr>
        <w:spacing w:before="240"/>
        <w:jc w:val="both"/>
        <w:rPr>
          <w:rFonts w:ascii="Garamond" w:eastAsia="Times New Roman" w:hAnsi="Garamond" w:cs="Times New Roman"/>
          <w:sz w:val="24"/>
          <w:szCs w:val="24"/>
        </w:rPr>
      </w:pPr>
      <w:r>
        <w:rPr>
          <w:rFonts w:ascii="Garamond" w:eastAsia="Times New Roman" w:hAnsi="Garamond" w:cs="Times New Roman"/>
          <w:sz w:val="24"/>
          <w:szCs w:val="24"/>
        </w:rPr>
        <w:t>8.</w:t>
      </w:r>
      <w:r w:rsidR="00000000" w:rsidRPr="00174170">
        <w:rPr>
          <w:rFonts w:ascii="Garamond" w:eastAsia="Times New Roman" w:hAnsi="Garamond" w:cs="Times New Roman"/>
          <w:sz w:val="24"/>
          <w:szCs w:val="24"/>
        </w:rPr>
        <w:t xml:space="preserve"> La Tunisie n'a pas encore ratifié la Convention internationale sur la protection des droits de tous les travailleurs migrants et des membres de leur famille, les Conventions de l'OIT n° 97 de 1949 et n° 143 de 1975 sur les travailleurs migrants et la Convention de l'OIT n° 189 sur les travailleurs domestiques. Ainsi, les conditions d'accès au travail des migrants en Tunisie sont régies principalement par la </w:t>
      </w:r>
      <w:hyperlink r:id="rId20" w:anchor=":~:text=durant%20les%20escales.-">
        <w:r w:rsidR="00000000" w:rsidRPr="00174170">
          <w:rPr>
            <w:rFonts w:ascii="Garamond" w:eastAsia="Times New Roman" w:hAnsi="Garamond" w:cs="Times New Roman"/>
            <w:color w:val="1155CC"/>
            <w:sz w:val="24"/>
            <w:szCs w:val="24"/>
            <w:u w:val="single"/>
          </w:rPr>
          <w:t>loi n° 68-7 du 8 mars 1968</w:t>
        </w:r>
      </w:hyperlink>
      <w:r w:rsidR="00000000" w:rsidRPr="00174170">
        <w:rPr>
          <w:rFonts w:ascii="Garamond" w:eastAsia="Times New Roman" w:hAnsi="Garamond" w:cs="Times New Roman"/>
          <w:sz w:val="24"/>
          <w:szCs w:val="24"/>
        </w:rPr>
        <w:t xml:space="preserve"> relative au statut des étrangers en Tunisie et le </w:t>
      </w:r>
      <w:hyperlink r:id="rId21">
        <w:r w:rsidR="00000000" w:rsidRPr="00174170">
          <w:rPr>
            <w:rFonts w:ascii="Garamond" w:eastAsia="Times New Roman" w:hAnsi="Garamond" w:cs="Times New Roman"/>
            <w:color w:val="1155CC"/>
            <w:sz w:val="24"/>
            <w:szCs w:val="24"/>
            <w:u w:val="single"/>
          </w:rPr>
          <w:t>Code du travail</w:t>
        </w:r>
      </w:hyperlink>
      <w:r w:rsidR="00000000" w:rsidRPr="00174170">
        <w:rPr>
          <w:rFonts w:ascii="Garamond" w:eastAsia="Times New Roman" w:hAnsi="Garamond" w:cs="Times New Roman"/>
          <w:sz w:val="24"/>
          <w:szCs w:val="24"/>
        </w:rPr>
        <w:t xml:space="preserve">, notamment le chapitre II (Emploi de la main-d'œuvre étrangère) et le chapitre III (Immigration de travailleurs en Tunisie). Pour exercer une activité salariée, le Code du travail exige un contrat de travail et un titre de séjour. Un titre de séjour n'est pas suffisant pour exercer une activité professionnelle : les étrangers ne peuvent pas être recrutés lorsqu'il existe des travailleurs tunisiens compétents dans les domaines concernés par le recrutement (clause de préférence nationale). Compte tenu des voies d'accès limitées à l'emploi, l'accès au marché du travail tunisien pour les ressortissants étrangers reste extrêmement difficile. En outre, </w:t>
      </w:r>
      <w:hyperlink r:id="rId22">
        <w:r w:rsidR="00000000" w:rsidRPr="00174170">
          <w:rPr>
            <w:rFonts w:ascii="Garamond" w:eastAsia="Times New Roman" w:hAnsi="Garamond" w:cs="Times New Roman"/>
            <w:color w:val="1155CC"/>
            <w:sz w:val="24"/>
            <w:szCs w:val="24"/>
            <w:u w:val="single"/>
          </w:rPr>
          <w:t>le système</w:t>
        </w:r>
      </w:hyperlink>
      <w:r w:rsidR="00000000" w:rsidRPr="00174170">
        <w:rPr>
          <w:rFonts w:ascii="Garamond" w:eastAsia="Times New Roman" w:hAnsi="Garamond" w:cs="Times New Roman"/>
          <w:sz w:val="24"/>
          <w:szCs w:val="24"/>
        </w:rPr>
        <w:t xml:space="preserve"> prévoit également des sanctions pénales telles que des sanctions pénales pour l'employeur (articles 265 et 266 du Code du travail). </w:t>
      </w:r>
    </w:p>
    <w:p w14:paraId="0000002C" w14:textId="06D28AAC" w:rsidR="00C52645" w:rsidRPr="00174170" w:rsidRDefault="00000000" w:rsidP="00174170">
      <w:pPr>
        <w:jc w:val="both"/>
        <w:rPr>
          <w:rFonts w:ascii="Garamond" w:eastAsia="Times New Roman" w:hAnsi="Garamond" w:cs="Times New Roman"/>
          <w:sz w:val="24"/>
          <w:szCs w:val="24"/>
        </w:rPr>
      </w:pPr>
      <w:r w:rsidRPr="00174170">
        <w:rPr>
          <w:rFonts w:ascii="Garamond" w:eastAsia="Times New Roman" w:hAnsi="Garamond" w:cs="Times New Roman"/>
          <w:sz w:val="24"/>
          <w:szCs w:val="24"/>
        </w:rPr>
        <w:br/>
      </w:r>
      <w:r w:rsidR="006B3A36">
        <w:rPr>
          <w:rFonts w:ascii="Garamond" w:eastAsia="Times New Roman" w:hAnsi="Garamond" w:cs="Times New Roman"/>
          <w:sz w:val="24"/>
          <w:szCs w:val="24"/>
        </w:rPr>
        <w:t>9.</w:t>
      </w:r>
      <w:r w:rsidRPr="00174170">
        <w:rPr>
          <w:rFonts w:ascii="Garamond" w:eastAsia="Times New Roman" w:hAnsi="Garamond" w:cs="Times New Roman"/>
          <w:sz w:val="24"/>
          <w:szCs w:val="24"/>
        </w:rPr>
        <w:t xml:space="preserve"> L'augmentation du discours public et les attaques racistes et xénophobes ont exacerbé les conditions des personnes noires, des citoyens et des migrants. Nous avons reçu des rapports faisant état de licenciements de Tunisiens noirs, les employeurs se sentant soutenus et protégés par le racisme institutionnel publiquement approuvé. Alors que la loi n°50-2018 était partiellement sollicitée les années précédentes par des personnes discriminées, les victimes de discrimination sont aujourd'hui désillusionnées par la justice, voire effrayées par les répercussions potentielles </w:t>
      </w:r>
      <w:r w:rsidRPr="00174170">
        <w:rPr>
          <w:rFonts w:ascii="Garamond" w:eastAsia="Times New Roman" w:hAnsi="Garamond" w:cs="Times New Roman"/>
          <w:sz w:val="24"/>
          <w:szCs w:val="24"/>
        </w:rPr>
        <w:lastRenderedPageBreak/>
        <w:t xml:space="preserve">qu'elles peuvent subir de la part de la police et des institutions publiques en cas de plainte (comme l’arrestation, le contrôle, la violence). </w:t>
      </w:r>
    </w:p>
    <w:p w14:paraId="0000002D" w14:textId="519F452C" w:rsidR="00C52645" w:rsidRPr="00174170"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10.</w:t>
      </w:r>
      <w:r w:rsidR="00000000" w:rsidRPr="00174170">
        <w:rPr>
          <w:rFonts w:ascii="Garamond" w:eastAsia="Times New Roman" w:hAnsi="Garamond" w:cs="Times New Roman"/>
          <w:sz w:val="24"/>
          <w:szCs w:val="24"/>
        </w:rPr>
        <w:t xml:space="preserve"> En ce qui concerne les personnes LGBTQ+, en 2020, MRG et ses partenaires avaient documenté 40 cas de discrimination sur le lieu de travail sur les 326 cas collectés sur la base de l'orientation sexuelle et/ou de l'identité de genre (</w:t>
      </w:r>
      <w:hyperlink r:id="rId23">
        <w:r w:rsidR="00000000" w:rsidRPr="00174170">
          <w:rPr>
            <w:rFonts w:ascii="Garamond" w:eastAsia="Times New Roman" w:hAnsi="Garamond" w:cs="Times New Roman"/>
            <w:color w:val="1155CC"/>
            <w:sz w:val="24"/>
            <w:szCs w:val="24"/>
            <w:u w:val="single"/>
          </w:rPr>
          <w:t>p.22</w:t>
        </w:r>
      </w:hyperlink>
      <w:r w:rsidR="00000000" w:rsidRPr="00174170">
        <w:rPr>
          <w:rFonts w:ascii="Garamond" w:eastAsia="Times New Roman" w:hAnsi="Garamond" w:cs="Times New Roman"/>
          <w:sz w:val="24"/>
          <w:szCs w:val="24"/>
        </w:rPr>
        <w:t xml:space="preserve">). Bien que la seule exception légale au secret professionnel concernant la séropositivité concerne la déclaration obligatoire par les professionnels de santé, des employeurs imposent parfois à leurs employés de déclarer leur statut en fournissant leur dossier médical. Cette imposition, qui n’est pas clairement prohibée par le droit tunisien, conduit à un environnement professionnel toxique pour la PVVIH, conduisant parfois à son licenciement ou même à sa démission de son emploi. </w:t>
      </w:r>
    </w:p>
    <w:p w14:paraId="0000002F" w14:textId="6133F308" w:rsidR="00C52645" w:rsidRPr="00174170"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11.</w:t>
      </w:r>
      <w:r w:rsidR="00000000" w:rsidRPr="00174170">
        <w:rPr>
          <w:rFonts w:ascii="Garamond" w:eastAsia="Times New Roman" w:hAnsi="Garamond" w:cs="Times New Roman"/>
          <w:sz w:val="24"/>
          <w:szCs w:val="24"/>
        </w:rPr>
        <w:t xml:space="preserve"> La loi n°2005-83, modifiée par la loi n°2016-41, impose aux employeurs de respecter un certain quota pour l’embauche de personnes </w:t>
      </w:r>
      <w:r w:rsidR="00BE7916">
        <w:rPr>
          <w:rFonts w:ascii="Garamond" w:eastAsia="Times New Roman" w:hAnsi="Garamond" w:cs="Times New Roman"/>
          <w:sz w:val="24"/>
          <w:szCs w:val="24"/>
        </w:rPr>
        <w:t>en situation de handicap</w:t>
      </w:r>
      <w:r w:rsidR="00BE7916" w:rsidRPr="00174170">
        <w:rPr>
          <w:rFonts w:ascii="Garamond" w:eastAsia="Times New Roman" w:hAnsi="Garamond" w:cs="Times New Roman"/>
          <w:sz w:val="24"/>
          <w:szCs w:val="24"/>
        </w:rPr>
        <w:t xml:space="preserve"> </w:t>
      </w:r>
      <w:r w:rsidR="00000000" w:rsidRPr="00174170">
        <w:rPr>
          <w:rFonts w:ascii="Garamond" w:eastAsia="Times New Roman" w:hAnsi="Garamond" w:cs="Times New Roman"/>
          <w:sz w:val="24"/>
          <w:szCs w:val="24"/>
        </w:rPr>
        <w:t>dans les secteurs public et privé. En revanche, il existe peu de statistiques officielles sur ce sujet. De plus, ce quota n’est ni accompagné d’un mécanisme de contrôle renforcé ni de mesures incitatives concrètes pour encourager sa mise en œuvre, ce qui diminue son efficacité.</w:t>
      </w:r>
    </w:p>
    <w:p w14:paraId="00000030" w14:textId="6E05E217" w:rsidR="00C52645" w:rsidRPr="00174170" w:rsidRDefault="00174170">
      <w:pPr>
        <w:numPr>
          <w:ilvl w:val="0"/>
          <w:numId w:val="3"/>
        </w:numPr>
        <w:spacing w:before="240" w:after="240"/>
        <w:jc w:val="both"/>
        <w:rPr>
          <w:rFonts w:ascii="Garamond" w:eastAsia="Times New Roman" w:hAnsi="Garamond" w:cs="Times New Roman"/>
          <w:b/>
          <w:sz w:val="24"/>
          <w:szCs w:val="24"/>
        </w:rPr>
      </w:pPr>
      <w:r>
        <w:rPr>
          <w:rFonts w:ascii="Garamond" w:eastAsia="Times New Roman" w:hAnsi="Garamond" w:cs="Times New Roman"/>
          <w:b/>
          <w:sz w:val="24"/>
          <w:szCs w:val="24"/>
        </w:rPr>
        <w:t>ARTICLE</w:t>
      </w:r>
      <w:r w:rsidR="00000000" w:rsidRPr="00174170">
        <w:rPr>
          <w:rFonts w:ascii="Garamond" w:eastAsia="Times New Roman" w:hAnsi="Garamond" w:cs="Times New Roman"/>
          <w:b/>
          <w:sz w:val="24"/>
          <w:szCs w:val="24"/>
        </w:rPr>
        <w:t xml:space="preserve"> 7 </w:t>
      </w:r>
      <w:r>
        <w:rPr>
          <w:rFonts w:ascii="Garamond" w:eastAsia="Times New Roman" w:hAnsi="Garamond" w:cs="Times New Roman"/>
          <w:b/>
          <w:sz w:val="24"/>
          <w:szCs w:val="24"/>
        </w:rPr>
        <w:t>–</w:t>
      </w:r>
      <w:r w:rsidR="00000000" w:rsidRPr="00174170">
        <w:rPr>
          <w:rFonts w:ascii="Garamond" w:eastAsia="Times New Roman" w:hAnsi="Garamond" w:cs="Times New Roman"/>
          <w:b/>
          <w:sz w:val="24"/>
          <w:szCs w:val="24"/>
        </w:rPr>
        <w:t xml:space="preserve"> </w:t>
      </w:r>
      <w:r>
        <w:rPr>
          <w:rFonts w:ascii="Garamond" w:eastAsia="Times New Roman" w:hAnsi="Garamond" w:cs="Times New Roman"/>
          <w:b/>
          <w:sz w:val="24"/>
          <w:szCs w:val="24"/>
        </w:rPr>
        <w:t>DROIT À DES CONDITIONS DE TRAVAIL JUSTES ET FAVORABLES</w:t>
      </w:r>
    </w:p>
    <w:p w14:paraId="024D293F" w14:textId="7BEC113B" w:rsidR="00BE7916"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12.</w:t>
      </w:r>
      <w:r w:rsidR="00000000" w:rsidRPr="00174170">
        <w:rPr>
          <w:rFonts w:ascii="Garamond" w:eastAsia="Times New Roman" w:hAnsi="Garamond" w:cs="Times New Roman"/>
          <w:sz w:val="24"/>
          <w:szCs w:val="24"/>
        </w:rPr>
        <w:t xml:space="preserve"> La Tunisie ne dispose pas de lois spécifiques protégeant les droits des travailleurs migrants noirs et présente une législation très </w:t>
      </w:r>
      <w:hyperlink r:id="rId24">
        <w:r w:rsidR="00000000" w:rsidRPr="00174170">
          <w:rPr>
            <w:rFonts w:ascii="Garamond" w:eastAsia="Times New Roman" w:hAnsi="Garamond" w:cs="Times New Roman"/>
            <w:color w:val="1155CC"/>
            <w:sz w:val="24"/>
            <w:szCs w:val="24"/>
            <w:u w:val="single"/>
          </w:rPr>
          <w:t>restrictive</w:t>
        </w:r>
      </w:hyperlink>
      <w:r w:rsidR="00000000" w:rsidRPr="00174170">
        <w:rPr>
          <w:rFonts w:ascii="Garamond" w:eastAsia="Times New Roman" w:hAnsi="Garamond" w:cs="Times New Roman"/>
          <w:sz w:val="24"/>
          <w:szCs w:val="24"/>
        </w:rPr>
        <w:t xml:space="preserve"> qui pousse une grande partie de la population migrante à travailler dans des emplois informels sans protection sociale. Cela les expose à des risques d'abus, notamment de traite des êtres humains, de criminalisation, de déplacements internes forcés et d'expulsions vers les zones frontalières avec la Libye et l'Algérie. Ainsi, les travailleurs migrants, en particulier ceux d'origine subsaharienne, sont souvent exposés à des conditions de travail inhumaines, sans cadre juridique adéquat pour les protéger. En raison de l'absence de lois appropriées, ces migrants sont fréquemment exploités dans des secteurs tels que la construction, l'agriculture ou les services domestiques. Bien qu'une loi de 2016 contre la traite des êtres humains existe (</w:t>
      </w:r>
      <w:hyperlink r:id="rId25">
        <w:r w:rsidR="00000000" w:rsidRPr="00174170">
          <w:rPr>
            <w:rFonts w:ascii="Garamond" w:eastAsia="Times New Roman" w:hAnsi="Garamond" w:cs="Times New Roman"/>
            <w:color w:val="1155CC"/>
            <w:sz w:val="24"/>
            <w:szCs w:val="24"/>
            <w:u w:val="single"/>
          </w:rPr>
          <w:t>loi 2016-61 du 3 août 2016 relative à la prévention et à la lutte contre la traite des êtres humains</w:t>
        </w:r>
      </w:hyperlink>
      <w:r w:rsidR="00000000" w:rsidRPr="00174170">
        <w:rPr>
          <w:rFonts w:ascii="Garamond" w:eastAsia="Times New Roman" w:hAnsi="Garamond" w:cs="Times New Roman"/>
          <w:sz w:val="24"/>
          <w:szCs w:val="24"/>
        </w:rPr>
        <w:t xml:space="preserve">), sa mise en œuvre est faible. Les migrants sont souvent à la merci de leurs employeurs, se retrouvant dans des situations de travail abusives, sans accès à des recours juridiques efficaces, comme dans le cas de I., un Sénégalais travaillant dans un champ à </w:t>
      </w:r>
      <w:proofErr w:type="spellStart"/>
      <w:r w:rsidR="00000000" w:rsidRPr="00174170">
        <w:rPr>
          <w:rFonts w:ascii="Garamond" w:eastAsia="Times New Roman" w:hAnsi="Garamond" w:cs="Times New Roman"/>
          <w:sz w:val="24"/>
          <w:szCs w:val="24"/>
        </w:rPr>
        <w:t>Tazarka</w:t>
      </w:r>
      <w:proofErr w:type="spellEnd"/>
      <w:r w:rsidR="00000000" w:rsidRPr="00174170">
        <w:rPr>
          <w:rFonts w:ascii="Garamond" w:eastAsia="Times New Roman" w:hAnsi="Garamond" w:cs="Times New Roman"/>
          <w:sz w:val="24"/>
          <w:szCs w:val="24"/>
        </w:rPr>
        <w:t xml:space="preserve"> qui a été agressé par son employeur et les fils de celui-ci lorsqu’il a réclamé son salaire. Son avocat a déclaré qu'il avait subi 27 % des dommages corporels, mais le tribunal ne lui a infligé qu'une amende de 3 000 dinars tunisiens (moins de 1 000 euros), ce qui reflète la faiblesse des protections juridiques dont bénéficient les travailleurs migrants. Les travailleurs sans papiers sont particulièrement vulnérables, travaillant souvent sans contrat formel ni droits sociaux, ce qui les expose à des abus. Les femmes migrantes en Tunisie sont souvent confrontées à une pression systémique et à des défis invisibles en raison de l'intersection de leur statut migratoire, de leur sexe et de leurs conditions socio-économiques précaires. Ils sont particulièrement vulnérables dans les secteurs non réglementés.</w:t>
      </w:r>
    </w:p>
    <w:p w14:paraId="1E11ADAC" w14:textId="77777777" w:rsidR="00BE7916" w:rsidRDefault="00BE7916">
      <w:pPr>
        <w:spacing w:before="240" w:after="240"/>
        <w:jc w:val="both"/>
        <w:rPr>
          <w:rFonts w:ascii="Garamond" w:eastAsia="Times New Roman" w:hAnsi="Garamond" w:cs="Times New Roman"/>
          <w:sz w:val="24"/>
          <w:szCs w:val="24"/>
        </w:rPr>
      </w:pPr>
    </w:p>
    <w:p w14:paraId="696AFCA8" w14:textId="77777777" w:rsidR="00BE7916" w:rsidRPr="00BE7916" w:rsidRDefault="00BE7916">
      <w:pPr>
        <w:spacing w:before="240" w:after="240"/>
        <w:jc w:val="both"/>
        <w:rPr>
          <w:rFonts w:ascii="Garamond" w:eastAsia="Times New Roman" w:hAnsi="Garamond" w:cs="Times New Roman"/>
          <w:sz w:val="24"/>
          <w:szCs w:val="24"/>
        </w:rPr>
      </w:pPr>
    </w:p>
    <w:p w14:paraId="00000032" w14:textId="4F349A1C" w:rsidR="00C52645" w:rsidRPr="00174170" w:rsidRDefault="00000000">
      <w:pPr>
        <w:numPr>
          <w:ilvl w:val="0"/>
          <w:numId w:val="3"/>
        </w:numPr>
        <w:spacing w:before="240" w:after="240"/>
        <w:jc w:val="both"/>
        <w:rPr>
          <w:rFonts w:ascii="Garamond" w:eastAsia="Times New Roman" w:hAnsi="Garamond" w:cs="Times New Roman"/>
          <w:b/>
          <w:sz w:val="24"/>
          <w:szCs w:val="24"/>
        </w:rPr>
      </w:pPr>
      <w:sdt>
        <w:sdtPr>
          <w:rPr>
            <w:rFonts w:ascii="Garamond" w:hAnsi="Garamond"/>
            <w:sz w:val="24"/>
            <w:szCs w:val="24"/>
          </w:rPr>
          <w:tag w:val="goog_rdk_2"/>
          <w:id w:val="1746149279"/>
        </w:sdtPr>
        <w:sdtContent>
          <w:r w:rsidR="00174170">
            <w:rPr>
              <w:rFonts w:ascii="Garamond" w:eastAsia="Gungsuh" w:hAnsi="Garamond" w:cs="Gungsuh"/>
              <w:b/>
              <w:sz w:val="24"/>
              <w:szCs w:val="24"/>
            </w:rPr>
            <w:t>ARTICLE</w:t>
          </w:r>
          <w:r w:rsidRPr="00174170">
            <w:rPr>
              <w:rFonts w:ascii="Garamond" w:eastAsia="Gungsuh" w:hAnsi="Garamond" w:cs="Gungsuh"/>
              <w:b/>
              <w:sz w:val="24"/>
              <w:szCs w:val="24"/>
            </w:rPr>
            <w:t xml:space="preserve"> 11 </w:t>
          </w:r>
          <w:r w:rsidR="00174170">
            <w:rPr>
              <w:rFonts w:ascii="Garamond" w:eastAsia="Gungsuh" w:hAnsi="Garamond" w:cs="Gungsuh"/>
              <w:b/>
              <w:sz w:val="24"/>
              <w:szCs w:val="24"/>
            </w:rPr>
            <w:t>–</w:t>
          </w:r>
          <w:r w:rsidRPr="00174170">
            <w:rPr>
              <w:rFonts w:ascii="Garamond" w:eastAsia="Gungsuh" w:hAnsi="Garamond" w:cs="Gungsuh"/>
              <w:b/>
              <w:sz w:val="24"/>
              <w:szCs w:val="24"/>
            </w:rPr>
            <w:t xml:space="preserve"> </w:t>
          </w:r>
          <w:r w:rsidR="00174170">
            <w:rPr>
              <w:rFonts w:ascii="Garamond" w:eastAsia="Gungsuh" w:hAnsi="Garamond" w:cs="Gungsuh"/>
              <w:b/>
              <w:sz w:val="24"/>
              <w:szCs w:val="24"/>
            </w:rPr>
            <w:t>DROIT À UN NIVEAU DE VIE SUFFISANT</w:t>
          </w:r>
        </w:sdtContent>
      </w:sdt>
    </w:p>
    <w:p w14:paraId="00000033" w14:textId="76AADE69" w:rsidR="00C52645" w:rsidRPr="00174170" w:rsidRDefault="006B3A36">
      <w:pPr>
        <w:spacing w:before="240" w:after="240"/>
        <w:jc w:val="both"/>
        <w:rPr>
          <w:rFonts w:ascii="Garamond" w:eastAsia="Times New Roman" w:hAnsi="Garamond" w:cs="Times New Roman"/>
          <w:sz w:val="24"/>
          <w:szCs w:val="24"/>
        </w:rPr>
      </w:pPr>
      <w:r>
        <w:rPr>
          <w:rFonts w:ascii="Garamond" w:hAnsi="Garamond"/>
          <w:sz w:val="24"/>
          <w:szCs w:val="24"/>
        </w:rPr>
        <w:t xml:space="preserve">13. </w:t>
      </w:r>
      <w:r w:rsidR="00000000" w:rsidRPr="00174170">
        <w:rPr>
          <w:rFonts w:ascii="Garamond" w:hAnsi="Garamond"/>
          <w:sz w:val="24"/>
          <w:szCs w:val="24"/>
        </w:rPr>
        <w:t xml:space="preserve"> </w:t>
      </w:r>
      <w:hyperlink r:id="rId26">
        <w:r w:rsidR="00000000" w:rsidRPr="00174170">
          <w:rPr>
            <w:rFonts w:ascii="Garamond" w:hAnsi="Garamond"/>
            <w:color w:val="1155CC"/>
            <w:sz w:val="24"/>
            <w:szCs w:val="24"/>
            <w:u w:val="single"/>
          </w:rPr>
          <w:t>Les agressions racistes</w:t>
        </w:r>
      </w:hyperlink>
      <w:r w:rsidR="00000000" w:rsidRPr="00174170">
        <w:rPr>
          <w:rFonts w:ascii="Garamond" w:eastAsia="Times New Roman" w:hAnsi="Garamond" w:cs="Times New Roman"/>
          <w:sz w:val="24"/>
          <w:szCs w:val="24"/>
        </w:rPr>
        <w:t xml:space="preserve"> se sont multipliées dans les mois qui ont suivi le discours présidentiel de février 2023. Des cas de harcèlement, d'agressions physiques et de discrimination dans l'accès au logement et à l'emploi ont été enregistrés dans plusieurs villes, dont Tunis, Sfax et Sousse. Human </w:t>
      </w:r>
      <w:proofErr w:type="spellStart"/>
      <w:r w:rsidR="00000000" w:rsidRPr="00174170">
        <w:rPr>
          <w:rFonts w:ascii="Garamond" w:eastAsia="Times New Roman" w:hAnsi="Garamond" w:cs="Times New Roman"/>
          <w:sz w:val="24"/>
          <w:szCs w:val="24"/>
        </w:rPr>
        <w:t>Rights</w:t>
      </w:r>
      <w:proofErr w:type="spellEnd"/>
      <w:r w:rsidR="00000000" w:rsidRPr="00174170">
        <w:rPr>
          <w:rFonts w:ascii="Garamond" w:eastAsia="Times New Roman" w:hAnsi="Garamond" w:cs="Times New Roman"/>
          <w:sz w:val="24"/>
          <w:szCs w:val="24"/>
        </w:rPr>
        <w:t xml:space="preserve"> Watch a observé une recrudescence des </w:t>
      </w:r>
      <w:hyperlink r:id="rId27">
        <w:r w:rsidR="00000000" w:rsidRPr="00174170">
          <w:rPr>
            <w:rFonts w:ascii="Garamond" w:eastAsia="Times New Roman" w:hAnsi="Garamond" w:cs="Times New Roman"/>
            <w:color w:val="1155CC"/>
            <w:sz w:val="24"/>
            <w:szCs w:val="24"/>
            <w:u w:val="single"/>
          </w:rPr>
          <w:t>attaques contre les migrants subsahariens</w:t>
        </w:r>
      </w:hyperlink>
      <w:r w:rsidR="00000000" w:rsidRPr="00174170">
        <w:rPr>
          <w:rFonts w:ascii="Garamond" w:eastAsia="Times New Roman" w:hAnsi="Garamond" w:cs="Times New Roman"/>
          <w:sz w:val="24"/>
          <w:szCs w:val="24"/>
        </w:rPr>
        <w:t>, ce qui a accru leur vulnérabilité. Ce climat de violence raciale vise à isoler et à intimider non seulement les migrants subsahariens, mais aussi les citoyens tunisiens noirs, contribuant ainsi à exacerber les divisions ethniques et culturelles au sein du pays. Les conditions de vie des migrants subsahariens en Tunisie sont alarmantes. Beaucoup vivent dans des logements précaires, souvent loin des services de base.</w:t>
      </w:r>
      <w:r w:rsidR="00BE7916">
        <w:rPr>
          <w:rFonts w:ascii="Garamond" w:eastAsia="Times New Roman" w:hAnsi="Garamond" w:cs="Times New Roman"/>
          <w:sz w:val="24"/>
          <w:szCs w:val="24"/>
        </w:rPr>
        <w:t xml:space="preserve"> </w:t>
      </w:r>
      <w:hyperlink r:id="rId28" w:anchor=":~:text=Une%20fois%20arriv%C3%A9es%20en%20Tunisie,personnes%20interrog%C3%A9es%20sont%20sans%20emploi.">
        <w:r w:rsidR="00000000" w:rsidRPr="00174170">
          <w:rPr>
            <w:rFonts w:ascii="Garamond" w:eastAsia="Times New Roman" w:hAnsi="Garamond" w:cs="Times New Roman"/>
            <w:color w:val="1155CC"/>
            <w:sz w:val="24"/>
            <w:szCs w:val="24"/>
            <w:u w:val="single"/>
          </w:rPr>
          <w:t xml:space="preserve">Des rapports </w:t>
        </w:r>
      </w:hyperlink>
      <w:r w:rsidR="00000000" w:rsidRPr="00174170">
        <w:rPr>
          <w:rFonts w:ascii="Garamond" w:eastAsia="Times New Roman" w:hAnsi="Garamond" w:cs="Times New Roman"/>
          <w:sz w:val="24"/>
          <w:szCs w:val="24"/>
        </w:rPr>
        <w:t xml:space="preserve">de plusieurs associations ont souligné que les migrants résident fréquemment dans des camps informels, exposés à des conditions insalubres et à des risques accrus d'abus. Par ailleurs, une </w:t>
      </w:r>
      <w:hyperlink r:id="rId29">
        <w:r w:rsidR="00000000" w:rsidRPr="00174170">
          <w:rPr>
            <w:rFonts w:ascii="Garamond" w:eastAsia="Times New Roman" w:hAnsi="Garamond" w:cs="Times New Roman"/>
            <w:color w:val="1155CC"/>
            <w:sz w:val="24"/>
            <w:szCs w:val="24"/>
            <w:u w:val="single"/>
          </w:rPr>
          <w:t xml:space="preserve">campagne </w:t>
        </w:r>
      </w:hyperlink>
      <w:r w:rsidR="00000000" w:rsidRPr="00174170">
        <w:rPr>
          <w:rFonts w:ascii="Garamond" w:eastAsia="Times New Roman" w:hAnsi="Garamond" w:cs="Times New Roman"/>
          <w:sz w:val="24"/>
          <w:szCs w:val="24"/>
        </w:rPr>
        <w:t>orchestrée par un parti nationaliste tunisien a vu le jour, dans le but d'expulser les Subsahariens de leurs habitations et d'abroger la loi n°50-2018 de lutte contre la discrimination raciale. Cette campagne a laissé de nombreux Subsahariens sans abri, car beaucoup d'entre eux n'ont pas pu trouver de propriétaires prêts à leur louer un logement en raison de la stigmatisation sociale.</w:t>
      </w:r>
    </w:p>
    <w:p w14:paraId="00000034" w14:textId="68998E1B" w:rsidR="00C52645" w:rsidRPr="00174170"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14.</w:t>
      </w:r>
      <w:r w:rsidR="00000000" w:rsidRPr="00174170">
        <w:rPr>
          <w:rFonts w:ascii="Garamond" w:eastAsia="Times New Roman" w:hAnsi="Garamond" w:cs="Times New Roman"/>
          <w:sz w:val="24"/>
          <w:szCs w:val="24"/>
        </w:rPr>
        <w:t xml:space="preserve"> Bien que la Tunisie soit signataire de la Convention de Genève de 1951 et de son Protocole de 1967, elle n'a pas encore adopté d'instruments internes pour la reconnaissance et la protection des réfugiés et des demandeurs d'asile. Alors que l'article 26 de la Constitution de 2022 garantit l'asile politique et le principe de non-refoulement, en l'absence de cadre juridique national organisant le droit et la procédure d'asile, c'est la représentation du Haut-Commissariat des Nations Unies pour les réfugiés (HCR) qui garantit l'application des dispositions de la Convention de Genève et veille à ce que les droits des réfugiés et des demandeurs d'asile soient protégés et appliqués. Le HCR a commencé ses opérations en Tunisie à la demande du gouvernement tunisien en 1957 et, </w:t>
      </w:r>
      <w:proofErr w:type="gramStart"/>
      <w:r w:rsidR="00000000" w:rsidRPr="00174170">
        <w:rPr>
          <w:rFonts w:ascii="Garamond" w:eastAsia="Times New Roman" w:hAnsi="Garamond" w:cs="Times New Roman"/>
          <w:sz w:val="24"/>
          <w:szCs w:val="24"/>
        </w:rPr>
        <w:t>suite à</w:t>
      </w:r>
      <w:proofErr w:type="gramEnd"/>
      <w:r w:rsidR="00000000" w:rsidRPr="00174170">
        <w:rPr>
          <w:rFonts w:ascii="Garamond" w:eastAsia="Times New Roman" w:hAnsi="Garamond" w:cs="Times New Roman"/>
          <w:sz w:val="24"/>
          <w:szCs w:val="24"/>
        </w:rPr>
        <w:t xml:space="preserve"> l'accord de coopération entre le gouvernement tunisien et le </w:t>
      </w:r>
      <w:hyperlink r:id="rId30">
        <w:r w:rsidR="00000000" w:rsidRPr="00174170">
          <w:rPr>
            <w:rFonts w:ascii="Garamond" w:eastAsia="Times New Roman" w:hAnsi="Garamond" w:cs="Times New Roman"/>
            <w:color w:val="1155CC"/>
            <w:sz w:val="24"/>
            <w:szCs w:val="24"/>
            <w:u w:val="single"/>
          </w:rPr>
          <w:t xml:space="preserve">HCR </w:t>
        </w:r>
      </w:hyperlink>
      <w:r w:rsidR="00000000" w:rsidRPr="00174170">
        <w:rPr>
          <w:rFonts w:ascii="Garamond" w:eastAsia="Times New Roman" w:hAnsi="Garamond" w:cs="Times New Roman"/>
          <w:sz w:val="24"/>
          <w:szCs w:val="24"/>
        </w:rPr>
        <w:t xml:space="preserve">le 18 juin 2011, le premier représentant du HCR en Tunisie a été accrédité le 15 septembre 2011. Le HCR reste la seule entité responsable de l'enregistrement et de la détermination du statut de réfugié en Tunisie et opère actuellement par l'intermédiaire d'un bureau national à Tunis et d'un bureau sur le terrain à </w:t>
      </w:r>
      <w:proofErr w:type="spellStart"/>
      <w:r w:rsidR="00000000" w:rsidRPr="00174170">
        <w:rPr>
          <w:rFonts w:ascii="Garamond" w:eastAsia="Times New Roman" w:hAnsi="Garamond" w:cs="Times New Roman"/>
          <w:sz w:val="24"/>
          <w:szCs w:val="24"/>
        </w:rPr>
        <w:t>Zarzis</w:t>
      </w:r>
      <w:proofErr w:type="spellEnd"/>
      <w:r w:rsidR="00000000" w:rsidRPr="00174170">
        <w:rPr>
          <w:rFonts w:ascii="Garamond" w:eastAsia="Times New Roman" w:hAnsi="Garamond" w:cs="Times New Roman"/>
          <w:sz w:val="24"/>
          <w:szCs w:val="24"/>
        </w:rPr>
        <w:t xml:space="preserve">. </w:t>
      </w:r>
      <w:sdt>
        <w:sdtPr>
          <w:rPr>
            <w:rFonts w:ascii="Garamond" w:hAnsi="Garamond"/>
            <w:sz w:val="24"/>
            <w:szCs w:val="24"/>
          </w:rPr>
          <w:tag w:val="goog_rdk_3"/>
          <w:id w:val="1701508223"/>
        </w:sdtPr>
        <w:sdtContent/>
      </w:sdt>
      <w:r w:rsidR="00000000" w:rsidRPr="00174170">
        <w:rPr>
          <w:rFonts w:ascii="Garamond" w:eastAsia="Times New Roman" w:hAnsi="Garamond" w:cs="Times New Roman"/>
          <w:sz w:val="24"/>
          <w:szCs w:val="24"/>
        </w:rPr>
        <w:t xml:space="preserve">En </w:t>
      </w:r>
      <w:hyperlink r:id="rId31">
        <w:r w:rsidR="00000000" w:rsidRPr="00174170">
          <w:rPr>
            <w:rFonts w:ascii="Garamond" w:eastAsia="Times New Roman" w:hAnsi="Garamond" w:cs="Times New Roman"/>
            <w:color w:val="1155CC"/>
            <w:sz w:val="24"/>
            <w:szCs w:val="24"/>
            <w:u w:val="single"/>
          </w:rPr>
          <w:t>avril 2024</w:t>
        </w:r>
      </w:hyperlink>
      <w:r w:rsidR="00000000" w:rsidRPr="00174170">
        <w:rPr>
          <w:rFonts w:ascii="Garamond" w:eastAsia="Times New Roman" w:hAnsi="Garamond" w:cs="Times New Roman"/>
          <w:sz w:val="24"/>
          <w:szCs w:val="24"/>
        </w:rPr>
        <w:t xml:space="preserve">, cinq refuges étaient gérés par des partenaires du HCR à Tunis et à Médenine. Au </w:t>
      </w:r>
      <w:hyperlink r:id="rId32">
        <w:r w:rsidR="00000000" w:rsidRPr="00174170">
          <w:rPr>
            <w:rFonts w:ascii="Garamond" w:eastAsia="Times New Roman" w:hAnsi="Garamond" w:cs="Times New Roman"/>
            <w:color w:val="1155CC"/>
            <w:sz w:val="24"/>
            <w:szCs w:val="24"/>
            <w:u w:val="single"/>
          </w:rPr>
          <w:t>31 octobre 2024</w:t>
        </w:r>
      </w:hyperlink>
      <w:r w:rsidR="00000000" w:rsidRPr="00174170">
        <w:rPr>
          <w:rFonts w:ascii="Garamond" w:eastAsia="Times New Roman" w:hAnsi="Garamond" w:cs="Times New Roman"/>
          <w:sz w:val="24"/>
          <w:szCs w:val="24"/>
        </w:rPr>
        <w:t xml:space="preserve">, 15 659 personnes étaient enregistrées auprès du HCR en Tunisie. </w:t>
      </w:r>
    </w:p>
    <w:p w14:paraId="00000035" w14:textId="405540CB" w:rsidR="00C52645" w:rsidRPr="00174170"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15.</w:t>
      </w:r>
      <w:r w:rsidR="00000000" w:rsidRPr="00174170">
        <w:rPr>
          <w:rFonts w:ascii="Garamond" w:eastAsia="Times New Roman" w:hAnsi="Garamond" w:cs="Times New Roman"/>
          <w:sz w:val="24"/>
          <w:szCs w:val="24"/>
        </w:rPr>
        <w:t xml:space="preserve"> Dès le mois de mai 2024, les mesures répressives adoptées par les autorités tunisiennes ont conduit à l'arrestation et à la poursuite de plusieurs associations et organisations non gouvernementales internationales et nationales œuvrant pour la défense des droits humains, et en particulier celles qui aident directement les personnes en déplacement en Tunisie. Il s'agit notamment du </w:t>
      </w:r>
      <w:hyperlink r:id="rId33">
        <w:r w:rsidR="00000000" w:rsidRPr="00174170">
          <w:rPr>
            <w:rFonts w:ascii="Garamond" w:eastAsia="Times New Roman" w:hAnsi="Garamond" w:cs="Times New Roman"/>
            <w:color w:val="1155CC"/>
            <w:sz w:val="24"/>
            <w:szCs w:val="24"/>
            <w:u w:val="single"/>
          </w:rPr>
          <w:t>Conseil tunisien pour les réfugiés</w:t>
        </w:r>
      </w:hyperlink>
      <w:r w:rsidR="00000000" w:rsidRPr="00174170">
        <w:rPr>
          <w:rFonts w:ascii="Garamond" w:eastAsia="Times New Roman" w:hAnsi="Garamond" w:cs="Times New Roman"/>
          <w:sz w:val="24"/>
          <w:szCs w:val="24"/>
        </w:rPr>
        <w:t xml:space="preserve"> (CTR), un partenaire du HCR pour la protection, l'assistance, l'éducation, la santé et l'hébergement des réfugiés. Par conséquent, l'aide aux migrants a considérablement diminué. Depuis mai 2024, les procédures de demande d'asile gérées par le HCR en Tunisie ont été suspendues à la demande des autorités tunisiennes, ce qui a également entraîné une réduction drastique du nombre de personnes enregistrées et donc protégées, d'un peu plus de 13%. Même avant la suspension des enregistrements, les éléments de preuve montraient que la carte de demandeur d'asile et de réfugié délivrée par le HCR ne garantissait pas un accès effectif aux services et aux droits, ni ne protégeait contre les risques d'arrestation et d'expulsion. </w:t>
      </w:r>
      <w:r w:rsidR="00000000" w:rsidRPr="00174170">
        <w:rPr>
          <w:rFonts w:ascii="Garamond" w:eastAsia="Times New Roman" w:hAnsi="Garamond" w:cs="Times New Roman"/>
          <w:sz w:val="24"/>
          <w:szCs w:val="24"/>
        </w:rPr>
        <w:lastRenderedPageBreak/>
        <w:t>Ces dernières années, l'accès à la protection a également été limité en raison de la longueur des procédures et des délais de traitement par le HCR, des difficultés d'accès au travail et aux projets de vie durable, et des retards dans l'obtention d'une aide financière. Les réfugiés en Tunisie n'ont jamais eu de droits spéciaux liés à leur statut. Ces facteurs ont exacerbé la vulnérabilité des réfugiés et des demandeurs d'asile. La situation est beaucoup plus critique pour les migrants qui n'ont pas de statut régulier. Depuis juillet 2023,</w:t>
      </w:r>
      <w:r w:rsidR="00000000" w:rsidRPr="00174170">
        <w:rPr>
          <w:rFonts w:ascii="Garamond" w:hAnsi="Garamond"/>
          <w:sz w:val="24"/>
          <w:szCs w:val="24"/>
        </w:rPr>
        <w:t xml:space="preserve"> </w:t>
      </w:r>
      <w:r w:rsidR="00000000" w:rsidRPr="00174170">
        <w:rPr>
          <w:rFonts w:ascii="Garamond" w:eastAsia="Times New Roman" w:hAnsi="Garamond" w:cs="Times New Roman"/>
          <w:sz w:val="24"/>
          <w:szCs w:val="24"/>
        </w:rPr>
        <w:t>les autorités tunisiennes continuent de soumettre les migrants, notamment ceux originaires des pays d’Afrique subsaharienne résidant et/ou transitant en Tunisie, à une série de violations des droits humains qui entravent toutes, en fin de compte, leur capacité à maintenir un niveau de vie adéquat. Il s’agit notamment d’arrestations et détentions, déplacements internes forcés et arbitraires et expulsions, violences, recours excessif à la force, torture et mauvais traitements, violences lors d'interceptions maritimes et d'opérations de recherche et de sauvetage en mer.</w:t>
      </w:r>
    </w:p>
    <w:p w14:paraId="00000036" w14:textId="2547F8AC" w:rsidR="00C52645" w:rsidRPr="00174170" w:rsidRDefault="00174170">
      <w:pPr>
        <w:numPr>
          <w:ilvl w:val="0"/>
          <w:numId w:val="3"/>
        </w:numPr>
        <w:spacing w:before="240" w:after="240"/>
        <w:jc w:val="both"/>
        <w:rPr>
          <w:rFonts w:ascii="Garamond" w:eastAsia="Times New Roman" w:hAnsi="Garamond" w:cs="Times New Roman"/>
          <w:b/>
          <w:sz w:val="24"/>
          <w:szCs w:val="24"/>
        </w:rPr>
      </w:pPr>
      <w:r>
        <w:rPr>
          <w:rFonts w:ascii="Garamond" w:eastAsia="Times New Roman" w:hAnsi="Garamond" w:cs="Times New Roman"/>
          <w:b/>
          <w:sz w:val="24"/>
          <w:szCs w:val="24"/>
        </w:rPr>
        <w:t>ARTICLE</w:t>
      </w:r>
      <w:r w:rsidR="00000000" w:rsidRPr="00174170">
        <w:rPr>
          <w:rFonts w:ascii="Garamond" w:eastAsia="Times New Roman" w:hAnsi="Garamond" w:cs="Times New Roman"/>
          <w:b/>
          <w:sz w:val="24"/>
          <w:szCs w:val="24"/>
        </w:rPr>
        <w:t xml:space="preserve"> 12 </w:t>
      </w:r>
      <w:r>
        <w:rPr>
          <w:rFonts w:ascii="Garamond" w:eastAsia="Times New Roman" w:hAnsi="Garamond" w:cs="Times New Roman"/>
          <w:b/>
          <w:sz w:val="24"/>
          <w:szCs w:val="24"/>
        </w:rPr>
        <w:t>–</w:t>
      </w:r>
      <w:r w:rsidR="00000000" w:rsidRPr="00174170">
        <w:rPr>
          <w:rFonts w:ascii="Garamond" w:eastAsia="Times New Roman" w:hAnsi="Garamond" w:cs="Times New Roman"/>
          <w:b/>
          <w:sz w:val="24"/>
          <w:szCs w:val="24"/>
        </w:rPr>
        <w:t xml:space="preserve"> </w:t>
      </w:r>
      <w:r>
        <w:rPr>
          <w:rFonts w:ascii="Garamond" w:eastAsia="Times New Roman" w:hAnsi="Garamond" w:cs="Times New Roman"/>
          <w:b/>
          <w:sz w:val="24"/>
          <w:szCs w:val="24"/>
        </w:rPr>
        <w:t>DROIT À LA SANT</w:t>
      </w:r>
      <w:r w:rsidRPr="00174170">
        <w:rPr>
          <w:rFonts w:ascii="Garamond" w:eastAsia="Times New Roman" w:hAnsi="Garamond" w:cs="Times New Roman"/>
          <w:b/>
          <w:sz w:val="24"/>
          <w:szCs w:val="24"/>
        </w:rPr>
        <w:t>É</w:t>
      </w:r>
    </w:p>
    <w:p w14:paraId="00000037" w14:textId="447AA647" w:rsidR="00C52645" w:rsidRPr="00174170"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16.</w:t>
      </w:r>
      <w:r w:rsidR="00000000" w:rsidRPr="00174170">
        <w:rPr>
          <w:rFonts w:ascii="Garamond" w:eastAsia="Times New Roman" w:hAnsi="Garamond" w:cs="Times New Roman"/>
          <w:sz w:val="24"/>
          <w:szCs w:val="24"/>
        </w:rPr>
        <w:t xml:space="preserve"> L’accès aux soins et à la prévention incombent à l’État. Le principe de non-discrimination, consacré dans la loi 92, s’appliquent à cet accès, sans qu’il ne cite explicitement l’accès universel. Bien que le droit à la santé soit également garanti par la Constitution tunisienne de 2022, qui le reconnaît comme un droit fondamental et universel de tout être humain, l'accès aux soins pour les migrants est souvent complexe. Divers obstacles à l'accès aux services sont signalés </w:t>
      </w:r>
      <w:hyperlink r:id="rId34">
        <w:r w:rsidR="00000000" w:rsidRPr="00174170">
          <w:rPr>
            <w:rFonts w:ascii="Garamond" w:eastAsia="Times New Roman" w:hAnsi="Garamond" w:cs="Times New Roman"/>
            <w:color w:val="1155CC"/>
            <w:sz w:val="24"/>
            <w:szCs w:val="24"/>
            <w:u w:val="single"/>
          </w:rPr>
          <w:t>par les acteurs de la société civile</w:t>
        </w:r>
      </w:hyperlink>
      <w:r w:rsidR="00000000" w:rsidRPr="00174170">
        <w:rPr>
          <w:rFonts w:ascii="Garamond" w:eastAsia="Times New Roman" w:hAnsi="Garamond" w:cs="Times New Roman"/>
          <w:sz w:val="24"/>
          <w:szCs w:val="24"/>
        </w:rPr>
        <w:t xml:space="preserve"> : obstacles financiers (par exemple, consultation ou traitement trop coûteux, pas d'assurance, pas de couverture maladie, etc.), obstacles culturels (par exemple, barrière de la langue), obstacles de transport (par exemple, manque de connaissance de la ville, manque de moyens de transport), discriminations à l'égard des étrangers.</w:t>
      </w:r>
    </w:p>
    <w:p w14:paraId="00000038" w14:textId="130B1BB3" w:rsidR="00C52645" w:rsidRPr="00174170"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17.</w:t>
      </w:r>
      <w:r w:rsidR="00000000" w:rsidRPr="00174170">
        <w:rPr>
          <w:rFonts w:ascii="Garamond" w:eastAsia="Times New Roman" w:hAnsi="Garamond" w:cs="Times New Roman"/>
          <w:sz w:val="24"/>
          <w:szCs w:val="24"/>
        </w:rPr>
        <w:t xml:space="preserve"> La loi n°32-2024 portant sur la responsabilité médicale publiée au JORT en </w:t>
      </w:r>
      <w:proofErr w:type="gramStart"/>
      <w:r w:rsidR="00000000" w:rsidRPr="00174170">
        <w:rPr>
          <w:rFonts w:ascii="Garamond" w:eastAsia="Times New Roman" w:hAnsi="Garamond" w:cs="Times New Roman"/>
          <w:sz w:val="24"/>
          <w:szCs w:val="24"/>
        </w:rPr>
        <w:t>Juin</w:t>
      </w:r>
      <w:proofErr w:type="gramEnd"/>
      <w:r w:rsidR="00000000" w:rsidRPr="00174170">
        <w:rPr>
          <w:rFonts w:ascii="Garamond" w:eastAsia="Times New Roman" w:hAnsi="Garamond" w:cs="Times New Roman"/>
          <w:sz w:val="24"/>
          <w:szCs w:val="24"/>
        </w:rPr>
        <w:t xml:space="preserve"> 2024, dans son article 10 stipule que les institutions et les structures de santé doivent mettre en place les mesures nécessaires pour faciliter l’accès aux personnes </w:t>
      </w:r>
      <w:r w:rsidR="00BE7916">
        <w:rPr>
          <w:rFonts w:ascii="Garamond" w:eastAsia="Times New Roman" w:hAnsi="Garamond" w:cs="Times New Roman"/>
          <w:sz w:val="24"/>
          <w:szCs w:val="24"/>
        </w:rPr>
        <w:t>en situation de handicap</w:t>
      </w:r>
      <w:r w:rsidR="00000000" w:rsidRPr="00174170">
        <w:rPr>
          <w:rFonts w:ascii="Garamond" w:eastAsia="Times New Roman" w:hAnsi="Garamond" w:cs="Times New Roman"/>
          <w:sz w:val="24"/>
          <w:szCs w:val="24"/>
        </w:rPr>
        <w:t xml:space="preserve">. </w:t>
      </w:r>
      <w:proofErr w:type="gramStart"/>
      <w:r w:rsidR="00000000" w:rsidRPr="00174170">
        <w:rPr>
          <w:rFonts w:ascii="Garamond" w:eastAsia="Times New Roman" w:hAnsi="Garamond" w:cs="Times New Roman"/>
          <w:sz w:val="24"/>
          <w:szCs w:val="24"/>
        </w:rPr>
        <w:t>Par contre</w:t>
      </w:r>
      <w:proofErr w:type="gramEnd"/>
      <w:r w:rsidR="00000000" w:rsidRPr="00174170">
        <w:rPr>
          <w:rFonts w:ascii="Garamond" w:eastAsia="Times New Roman" w:hAnsi="Garamond" w:cs="Times New Roman"/>
          <w:sz w:val="24"/>
          <w:szCs w:val="24"/>
        </w:rPr>
        <w:t xml:space="preserve">, l’absence de données officielles sur l’inclusion des personnes </w:t>
      </w:r>
      <w:r w:rsidR="00BE7916">
        <w:rPr>
          <w:rFonts w:ascii="Garamond" w:eastAsia="Times New Roman" w:hAnsi="Garamond" w:cs="Times New Roman"/>
          <w:sz w:val="24"/>
          <w:szCs w:val="24"/>
        </w:rPr>
        <w:t>en situation de handicap</w:t>
      </w:r>
      <w:r w:rsidR="00BE7916" w:rsidRPr="00174170">
        <w:rPr>
          <w:rFonts w:ascii="Garamond" w:eastAsia="Times New Roman" w:hAnsi="Garamond" w:cs="Times New Roman"/>
          <w:sz w:val="24"/>
          <w:szCs w:val="24"/>
        </w:rPr>
        <w:t xml:space="preserve"> </w:t>
      </w:r>
      <w:r w:rsidR="00000000" w:rsidRPr="00174170">
        <w:rPr>
          <w:rFonts w:ascii="Garamond" w:eastAsia="Times New Roman" w:hAnsi="Garamond" w:cs="Times New Roman"/>
          <w:sz w:val="24"/>
          <w:szCs w:val="24"/>
        </w:rPr>
        <w:t xml:space="preserve">notamment dans le domaine de l’emploi, l’éducation et la santé révèle une carence d’attention de la part de l’État Tunisien. Il est donc difficile d’évaluer les progrès réalisés et de proposer des ajustements nécessaires.  De plus, malgré l’existence de lois, qui restent générales protégeant les droits des personnes </w:t>
      </w:r>
      <w:r w:rsidR="00BE7916">
        <w:rPr>
          <w:rFonts w:ascii="Garamond" w:eastAsia="Times New Roman" w:hAnsi="Garamond" w:cs="Times New Roman"/>
          <w:sz w:val="24"/>
          <w:szCs w:val="24"/>
        </w:rPr>
        <w:t>en situation de handicap</w:t>
      </w:r>
      <w:r w:rsidR="00000000" w:rsidRPr="00174170">
        <w:rPr>
          <w:rFonts w:ascii="Garamond" w:eastAsia="Times New Roman" w:hAnsi="Garamond" w:cs="Times New Roman"/>
          <w:sz w:val="24"/>
          <w:szCs w:val="24"/>
        </w:rPr>
        <w:t xml:space="preserve">, peu de réformes structurelles ou spécifiques visent directement leur inclusion. </w:t>
      </w:r>
    </w:p>
    <w:p w14:paraId="0000003A" w14:textId="6F08CBFF" w:rsidR="00C52645" w:rsidRPr="00174170"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18.</w:t>
      </w:r>
      <w:r w:rsidR="00000000" w:rsidRPr="00174170">
        <w:rPr>
          <w:rFonts w:ascii="Garamond" w:eastAsia="Times New Roman" w:hAnsi="Garamond" w:cs="Times New Roman"/>
          <w:sz w:val="24"/>
          <w:szCs w:val="24"/>
        </w:rPr>
        <w:t xml:space="preserve"> Le droit à la confidentialité de ses données personnelles, y compris le statut séropositif, est protégé par la Loi n° 92-71 du 27 juillet 1992, relative aux maladies transmissibles, avec une dérogation concernant la déclaration obligatoire par les professionnels de santé, sauf si les personnes se font dépistées aux Centre de conseil et de dépistage anonyme et gratuit. Cependant, en pratique, les dépistages positifs provoquent dans certains cas, chez le personnel médical et paramédical, des réactions stigmatisantes qui atteignent la dignité des PVVIH et les découragent de revenir se procurer leur traitement, qui reste d’un prix exorbitant. Des cas de divulgation, d’isolation des patients, d’inscription du mot « VIH » de manière visible sur les dossiers des patients, de refus de procurer des soins, de toucher ou de s’approcher des patients, ont été rapportés et constituent des mauvais traitements physiques et psychologiques. Quant aux efforts </w:t>
      </w:r>
      <w:r w:rsidR="00000000" w:rsidRPr="00174170">
        <w:rPr>
          <w:rFonts w:ascii="Garamond" w:eastAsia="Times New Roman" w:hAnsi="Garamond" w:cs="Times New Roman"/>
          <w:sz w:val="24"/>
          <w:szCs w:val="24"/>
        </w:rPr>
        <w:lastRenderedPageBreak/>
        <w:t xml:space="preserve">de préventions, notamment entrepris par les organisations de la société civile actrices de la riposte au VIH, ils sont fréquemment entravés par les forces de l’ordre et le système judiciaire. Des éducateurs pairs et des travailleuses de sexe, retrouvés par des agents de la police en possession d’une grande quantité de préservatifs ou de seringues (destinés à être distribués aux PC) ont été détenus et condamnés sur base de prostitution et d’atteinte aux bonnes mœurs. </w:t>
      </w:r>
    </w:p>
    <w:p w14:paraId="0000003B" w14:textId="27221763" w:rsidR="00C52645" w:rsidRPr="00174170" w:rsidRDefault="00174170">
      <w:pPr>
        <w:numPr>
          <w:ilvl w:val="0"/>
          <w:numId w:val="3"/>
        </w:numPr>
        <w:spacing w:before="240" w:after="240"/>
        <w:jc w:val="both"/>
        <w:rPr>
          <w:rFonts w:ascii="Garamond" w:eastAsia="Times New Roman" w:hAnsi="Garamond" w:cs="Times New Roman"/>
          <w:b/>
          <w:sz w:val="24"/>
          <w:szCs w:val="24"/>
        </w:rPr>
      </w:pPr>
      <w:r>
        <w:rPr>
          <w:rFonts w:ascii="Garamond" w:eastAsia="Times New Roman" w:hAnsi="Garamond" w:cs="Times New Roman"/>
          <w:b/>
          <w:sz w:val="24"/>
          <w:szCs w:val="24"/>
        </w:rPr>
        <w:t>ARTICLE</w:t>
      </w:r>
      <w:r w:rsidR="00000000" w:rsidRPr="00174170">
        <w:rPr>
          <w:rFonts w:ascii="Garamond" w:eastAsia="Times New Roman" w:hAnsi="Garamond" w:cs="Times New Roman"/>
          <w:b/>
          <w:sz w:val="24"/>
          <w:szCs w:val="24"/>
        </w:rPr>
        <w:t xml:space="preserve"> 13 </w:t>
      </w:r>
      <w:r>
        <w:rPr>
          <w:rFonts w:ascii="Garamond" w:eastAsia="Times New Roman" w:hAnsi="Garamond" w:cs="Times New Roman"/>
          <w:b/>
          <w:sz w:val="24"/>
          <w:szCs w:val="24"/>
        </w:rPr>
        <w:t>–</w:t>
      </w:r>
      <w:r w:rsidR="00000000" w:rsidRPr="00174170">
        <w:rPr>
          <w:rFonts w:ascii="Garamond" w:eastAsia="Times New Roman" w:hAnsi="Garamond" w:cs="Times New Roman"/>
          <w:b/>
          <w:sz w:val="24"/>
          <w:szCs w:val="24"/>
        </w:rPr>
        <w:t xml:space="preserve"> </w:t>
      </w:r>
      <w:r>
        <w:rPr>
          <w:rFonts w:ascii="Garamond" w:eastAsia="Times New Roman" w:hAnsi="Garamond" w:cs="Times New Roman"/>
          <w:b/>
          <w:sz w:val="24"/>
          <w:szCs w:val="24"/>
        </w:rPr>
        <w:t>DROIT À L’</w:t>
      </w:r>
      <w:r w:rsidRPr="00174170">
        <w:rPr>
          <w:rFonts w:ascii="Garamond" w:eastAsia="Times New Roman" w:hAnsi="Garamond" w:cs="Times New Roman"/>
          <w:b/>
          <w:sz w:val="24"/>
          <w:szCs w:val="24"/>
        </w:rPr>
        <w:t>É</w:t>
      </w:r>
      <w:r>
        <w:rPr>
          <w:rFonts w:ascii="Garamond" w:eastAsia="Times New Roman" w:hAnsi="Garamond" w:cs="Times New Roman"/>
          <w:b/>
          <w:sz w:val="24"/>
          <w:szCs w:val="24"/>
        </w:rPr>
        <w:t>DUCATION</w:t>
      </w:r>
    </w:p>
    <w:p w14:paraId="0000003C" w14:textId="5DF7BEE4" w:rsidR="00C52645" w:rsidRPr="00174170"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19.</w:t>
      </w:r>
      <w:r w:rsidR="00000000" w:rsidRPr="00174170">
        <w:rPr>
          <w:rFonts w:ascii="Garamond" w:eastAsia="Times New Roman" w:hAnsi="Garamond" w:cs="Times New Roman"/>
          <w:sz w:val="24"/>
          <w:szCs w:val="24"/>
        </w:rPr>
        <w:t xml:space="preserve"> La mobilité ascendante des Tunisiens noirs est entravée par des défis structurels, notamment des obstacles économiques et un manque de représentation dans le système éducatif. Les Tunisiens noirs sont confrontés à d'importants défis économiques qui ont un impact direct sur leur accès à l'éducation, contribuant ainsi à une marginalisation persistante. De nombreuses familles noires vivent dans des conditions précaires, ce qui les empêche de se procurer les fournitures scolaires essentielles et d'assurer la scolarité de leurs enfants. Le manque de ressources financières oblige souvent les parents à faire des choix difficiles, les poussant à retirer leurs enfants de l'école et à rejoindre le marché du travail. Par exemple, il a été observé que les familles choisissent d'envoyer leurs enfants apprendre un métier manuel, plutôt que de poursuivre des études universitaires, afin de générer rapidement des revenus. Cette situation crée un cycle de pauvreté et de manque d'accès aux possibilités d'éducation, limitant ainsi le développement économique et social des jeunes Noirs. Les inégalités d'accès à l'éducation persistent, renforçant les stéréotypes associés à ces communautés. De plus, ce groupe est confronté à un manque de représentation dans les programmes éducatifs tunisiens. Les Noirs dans les manuels scolaires sont souvent représentés comme des étrangers plutôt que comme des citoyens tunisiens à part entière, comme on peut le voir dans les manuels scolaires de 3e année du primaire. Cette invisibilité et cette stigmatisation contribuent à la perpétuation des stéréotypes raciaux. Selon Saadia </w:t>
      </w:r>
      <w:proofErr w:type="spellStart"/>
      <w:r w:rsidR="00000000" w:rsidRPr="00174170">
        <w:rPr>
          <w:rFonts w:ascii="Garamond" w:eastAsia="Times New Roman" w:hAnsi="Garamond" w:cs="Times New Roman"/>
          <w:sz w:val="24"/>
          <w:szCs w:val="24"/>
        </w:rPr>
        <w:t>Mosbah</w:t>
      </w:r>
      <w:proofErr w:type="spellEnd"/>
      <w:r w:rsidR="00000000" w:rsidRPr="00174170">
        <w:rPr>
          <w:rFonts w:ascii="Garamond" w:eastAsia="Times New Roman" w:hAnsi="Garamond" w:cs="Times New Roman"/>
          <w:sz w:val="24"/>
          <w:szCs w:val="24"/>
        </w:rPr>
        <w:t>, présidente de l'association M'</w:t>
      </w:r>
      <w:proofErr w:type="spellStart"/>
      <w:r w:rsidR="00000000" w:rsidRPr="00174170">
        <w:rPr>
          <w:rFonts w:ascii="Garamond" w:eastAsia="Times New Roman" w:hAnsi="Garamond" w:cs="Times New Roman"/>
          <w:sz w:val="24"/>
          <w:szCs w:val="24"/>
        </w:rPr>
        <w:t>nemty</w:t>
      </w:r>
      <w:proofErr w:type="spellEnd"/>
      <w:r w:rsidR="00000000" w:rsidRPr="00174170">
        <w:rPr>
          <w:rFonts w:ascii="Garamond" w:eastAsia="Times New Roman" w:hAnsi="Garamond" w:cs="Times New Roman"/>
          <w:sz w:val="24"/>
          <w:szCs w:val="24"/>
        </w:rPr>
        <w:t xml:space="preserve"> et militante pour l'égalité raciale, « le système éducatif en Tunisie, en négligeant l'histoire et la culture des Tunisiens noirs, contribue à maintenir ces communautés en marge de la société ». Cette exclusion du contenu éducatif peut avoir de profondes conséquences sur l'identité et l'estime de soi des élèves noirs, qui ne se reconnaissent pas dans les récits historiques et culturels de leur propre pays.</w:t>
      </w:r>
    </w:p>
    <w:p w14:paraId="0000003D" w14:textId="3986DA03" w:rsidR="00C52645" w:rsidRPr="00174170" w:rsidRDefault="006B3A36">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t>20.</w:t>
      </w:r>
      <w:r w:rsidR="00000000" w:rsidRPr="00174170">
        <w:rPr>
          <w:rFonts w:ascii="Garamond" w:eastAsia="Times New Roman" w:hAnsi="Garamond" w:cs="Times New Roman"/>
          <w:sz w:val="24"/>
          <w:szCs w:val="24"/>
        </w:rPr>
        <w:t xml:space="preserve"> L'article 44 de la Constitution tunisienne de 2022 stipule que « L'enseignement est obligatoire jusqu'à l'âge de seize ans. L'État garantit le droit à l'enseignement public gratuit à tous les niveaux </w:t>
      </w:r>
      <w:r w:rsidR="00000000" w:rsidRPr="00174170">
        <w:rPr>
          <w:rFonts w:ascii="Garamond" w:hAnsi="Garamond"/>
          <w:color w:val="474747"/>
          <w:sz w:val="24"/>
          <w:szCs w:val="24"/>
          <w:highlight w:val="white"/>
        </w:rPr>
        <w:t>»</w:t>
      </w:r>
      <w:r w:rsidR="00000000" w:rsidRPr="00174170">
        <w:rPr>
          <w:rFonts w:ascii="Garamond" w:eastAsia="Times New Roman" w:hAnsi="Garamond" w:cs="Times New Roman"/>
          <w:sz w:val="24"/>
          <w:szCs w:val="24"/>
        </w:rPr>
        <w:t xml:space="preserve">. L'accès à l'éducation étant un droit universel, la Constitution ne fait pas de distinction entre les citoyens et les étrangers. De même, l'article 52 dispose que « Les droits de l'enfant sont garantis. Il est de la responsabilité de son père et de sa mère et de l'État de garantir sa dignité, sa santé, ses soins, son éducation et son enseignement. L'État doit également assurer à tous les enfants toutes les formes de protection sans discrimination et conformément à l'intérêt supérieur de l'enfant </w:t>
      </w:r>
      <w:r w:rsidR="00000000" w:rsidRPr="00174170">
        <w:rPr>
          <w:rFonts w:ascii="Garamond" w:hAnsi="Garamond"/>
          <w:color w:val="474747"/>
          <w:sz w:val="24"/>
          <w:szCs w:val="24"/>
          <w:highlight w:val="white"/>
        </w:rPr>
        <w:t>»</w:t>
      </w:r>
      <w:r w:rsidR="00000000" w:rsidRPr="00174170">
        <w:rPr>
          <w:rFonts w:ascii="Garamond" w:eastAsia="Times New Roman" w:hAnsi="Garamond" w:cs="Times New Roman"/>
          <w:sz w:val="24"/>
          <w:szCs w:val="24"/>
        </w:rPr>
        <w:t xml:space="preserve">. Cependant, étant donné que le cadre juridique régissant l'entrée et le séjour des étrangers en Tunisie rend la régularisation de leur statut particulièrement complexe et compte tenu des vagues de violence susmentionnées à l'encontre des personnes d'origine subsaharienne, l'accès à la scolarisation et à l'intégration en Tunisie pour les enfants étrangers reste extrêmement limité. Plusieurs </w:t>
      </w:r>
      <w:hyperlink r:id="rId35">
        <w:r w:rsidR="00000000" w:rsidRPr="00174170">
          <w:rPr>
            <w:rFonts w:ascii="Garamond" w:eastAsia="Times New Roman" w:hAnsi="Garamond" w:cs="Times New Roman"/>
            <w:color w:val="1155CC"/>
            <w:sz w:val="24"/>
            <w:szCs w:val="24"/>
            <w:u w:val="single"/>
          </w:rPr>
          <w:t>cas de comportement raciste</w:t>
        </w:r>
      </w:hyperlink>
      <w:r w:rsidR="00000000" w:rsidRPr="00174170">
        <w:rPr>
          <w:rFonts w:ascii="Garamond" w:eastAsia="Times New Roman" w:hAnsi="Garamond" w:cs="Times New Roman"/>
          <w:sz w:val="24"/>
          <w:szCs w:val="24"/>
        </w:rPr>
        <w:t xml:space="preserve"> ont été documentés dans des écoles en Tunisie, qui refusent d'accepter des enfants réfugiés et migrants.</w:t>
      </w:r>
    </w:p>
    <w:p w14:paraId="00000040" w14:textId="7A44EA3A" w:rsidR="00C52645" w:rsidRPr="00174170" w:rsidRDefault="006B3A36" w:rsidP="00174170">
      <w:pPr>
        <w:spacing w:before="240" w:after="240"/>
        <w:jc w:val="both"/>
        <w:rPr>
          <w:rFonts w:ascii="Garamond" w:eastAsia="Times New Roman" w:hAnsi="Garamond" w:cs="Times New Roman"/>
          <w:sz w:val="24"/>
          <w:szCs w:val="24"/>
        </w:rPr>
      </w:pPr>
      <w:r>
        <w:rPr>
          <w:rFonts w:ascii="Garamond" w:eastAsia="Times New Roman" w:hAnsi="Garamond" w:cs="Times New Roman"/>
          <w:sz w:val="24"/>
          <w:szCs w:val="24"/>
        </w:rPr>
        <w:lastRenderedPageBreak/>
        <w:t>21.</w:t>
      </w:r>
      <w:r w:rsidR="00000000" w:rsidRPr="00174170">
        <w:rPr>
          <w:rFonts w:ascii="Garamond" w:eastAsia="Times New Roman" w:hAnsi="Garamond" w:cs="Times New Roman"/>
          <w:sz w:val="24"/>
          <w:szCs w:val="24"/>
        </w:rPr>
        <w:t xml:space="preserve"> En ce qui concerne les Amazighs, il y a un manque total d'efforts et de politiques proactives pour promouvoir l'autonomisation économique dans les zones rurales où ils vivent et pour offrir des possibilités d'éducation dans leur propre langue maternelle, le tamazight. Le statut des Amazighs en Tunisie est passé d'une phase de marginalisation et d'assimilation culturelle systématique à un rejet juridique qui a consacré l'arabe comme la seule langue officielle reconnue dans la constitution. Historiquement, cela a conduit à l'exclusion de la langue amazighe de l'éducation, de l'école primaire à l'université, à l'absence de la langue dans les médias publics et à l'échec de l'enseignement de l'histoire amazighe aux jeunes générations. Les enfants amazighs souffrent d'un manque de reconnaissance de leur histoire, de leur langue, de leurs coutumes et de leurs traditions. Le tamazight de Tunisie est reconnu comme une </w:t>
      </w:r>
      <w:hyperlink r:id="rId36">
        <w:r w:rsidR="00000000" w:rsidRPr="00174170">
          <w:rPr>
            <w:rFonts w:ascii="Garamond" w:eastAsia="Times New Roman" w:hAnsi="Garamond" w:cs="Times New Roman"/>
            <w:color w:val="1155CC"/>
            <w:sz w:val="24"/>
            <w:szCs w:val="24"/>
            <w:u w:val="single"/>
          </w:rPr>
          <w:t>langue gravement menacée par l'UNESCO</w:t>
        </w:r>
      </w:hyperlink>
      <w:r w:rsidR="00000000" w:rsidRPr="00174170">
        <w:rPr>
          <w:rFonts w:ascii="Garamond" w:eastAsia="Times New Roman" w:hAnsi="Garamond" w:cs="Times New Roman"/>
          <w:sz w:val="24"/>
          <w:szCs w:val="24"/>
        </w:rPr>
        <w:t xml:space="preserve"> avec environ 10 000 locuteurs signalés dans six régions du sud de la Tunisie : </w:t>
      </w:r>
      <w:proofErr w:type="spellStart"/>
      <w:r w:rsidR="00000000" w:rsidRPr="00174170">
        <w:rPr>
          <w:rFonts w:ascii="Garamond" w:eastAsia="Times New Roman" w:hAnsi="Garamond" w:cs="Times New Roman"/>
          <w:sz w:val="24"/>
          <w:szCs w:val="24"/>
        </w:rPr>
        <w:t>Tamazret</w:t>
      </w:r>
      <w:proofErr w:type="spellEnd"/>
      <w:r w:rsidR="00000000" w:rsidRPr="00174170">
        <w:rPr>
          <w:rFonts w:ascii="Garamond" w:eastAsia="Times New Roman" w:hAnsi="Garamond" w:cs="Times New Roman"/>
          <w:sz w:val="24"/>
          <w:szCs w:val="24"/>
        </w:rPr>
        <w:t xml:space="preserve">, </w:t>
      </w:r>
      <w:proofErr w:type="spellStart"/>
      <w:r w:rsidR="00000000" w:rsidRPr="00174170">
        <w:rPr>
          <w:rFonts w:ascii="Garamond" w:eastAsia="Times New Roman" w:hAnsi="Garamond" w:cs="Times New Roman"/>
          <w:sz w:val="24"/>
          <w:szCs w:val="24"/>
        </w:rPr>
        <w:t>Taoujout</w:t>
      </w:r>
      <w:proofErr w:type="spellEnd"/>
      <w:r w:rsidR="00000000" w:rsidRPr="00174170">
        <w:rPr>
          <w:rFonts w:ascii="Garamond" w:eastAsia="Times New Roman" w:hAnsi="Garamond" w:cs="Times New Roman"/>
          <w:sz w:val="24"/>
          <w:szCs w:val="24"/>
        </w:rPr>
        <w:t xml:space="preserve">, Djerba, </w:t>
      </w:r>
      <w:proofErr w:type="spellStart"/>
      <w:r w:rsidR="00000000" w:rsidRPr="00174170">
        <w:rPr>
          <w:rFonts w:ascii="Garamond" w:eastAsia="Times New Roman" w:hAnsi="Garamond" w:cs="Times New Roman"/>
          <w:sz w:val="24"/>
          <w:szCs w:val="24"/>
        </w:rPr>
        <w:t>Zraoua</w:t>
      </w:r>
      <w:proofErr w:type="spellEnd"/>
      <w:r w:rsidR="00000000" w:rsidRPr="00174170">
        <w:rPr>
          <w:rFonts w:ascii="Garamond" w:eastAsia="Times New Roman" w:hAnsi="Garamond" w:cs="Times New Roman"/>
          <w:sz w:val="24"/>
          <w:szCs w:val="24"/>
        </w:rPr>
        <w:t xml:space="preserve">, </w:t>
      </w:r>
      <w:proofErr w:type="spellStart"/>
      <w:r w:rsidR="00000000" w:rsidRPr="00174170">
        <w:rPr>
          <w:rFonts w:ascii="Garamond" w:eastAsia="Times New Roman" w:hAnsi="Garamond" w:cs="Times New Roman"/>
          <w:sz w:val="24"/>
          <w:szCs w:val="24"/>
        </w:rPr>
        <w:t>Douiret</w:t>
      </w:r>
      <w:proofErr w:type="spellEnd"/>
      <w:r w:rsidR="00000000" w:rsidRPr="00174170">
        <w:rPr>
          <w:rFonts w:ascii="Garamond" w:eastAsia="Times New Roman" w:hAnsi="Garamond" w:cs="Times New Roman"/>
          <w:sz w:val="24"/>
          <w:szCs w:val="24"/>
        </w:rPr>
        <w:t xml:space="preserve"> et Chenini/Tataouine. </w:t>
      </w:r>
      <w:proofErr w:type="spellStart"/>
      <w:r w:rsidR="00000000" w:rsidRPr="00174170">
        <w:rPr>
          <w:rFonts w:ascii="Garamond" w:eastAsia="Times New Roman" w:hAnsi="Garamond" w:cs="Times New Roman"/>
          <w:sz w:val="24"/>
          <w:szCs w:val="24"/>
        </w:rPr>
        <w:t>Taoujout</w:t>
      </w:r>
      <w:proofErr w:type="spellEnd"/>
      <w:r w:rsidR="00000000" w:rsidRPr="00174170">
        <w:rPr>
          <w:rFonts w:ascii="Garamond" w:eastAsia="Times New Roman" w:hAnsi="Garamond" w:cs="Times New Roman"/>
          <w:sz w:val="24"/>
          <w:szCs w:val="24"/>
        </w:rPr>
        <w:t xml:space="preserve"> est le seul village où le tamazight est parlé par l'ensemble de la population. Les enfants de </w:t>
      </w:r>
      <w:proofErr w:type="spellStart"/>
      <w:r w:rsidR="00000000" w:rsidRPr="00174170">
        <w:rPr>
          <w:rFonts w:ascii="Garamond" w:eastAsia="Times New Roman" w:hAnsi="Garamond" w:cs="Times New Roman"/>
          <w:sz w:val="24"/>
          <w:szCs w:val="24"/>
        </w:rPr>
        <w:t>Taoujout</w:t>
      </w:r>
      <w:proofErr w:type="spellEnd"/>
      <w:r w:rsidR="00000000" w:rsidRPr="00174170">
        <w:rPr>
          <w:rFonts w:ascii="Garamond" w:eastAsia="Times New Roman" w:hAnsi="Garamond" w:cs="Times New Roman"/>
          <w:sz w:val="24"/>
          <w:szCs w:val="24"/>
        </w:rPr>
        <w:t xml:space="preserve"> ne parlent que le tamazight jusqu'à ce qu'ils entrent dans la seule école primaire disponible dans le village, qui utilise l'arabe, et dès le premier jour, ils sont confrontés à une langue qu'ils ne comprennent pas. Les cours privés de tamazight sont organisés par très peu d'organisations de la société civile et manquent de soutien institutionnel et financier. Cela conduit à </w:t>
      </w:r>
      <w:hyperlink r:id="rId37">
        <w:r w:rsidR="00000000" w:rsidRPr="00174170">
          <w:rPr>
            <w:rFonts w:ascii="Garamond" w:eastAsia="Times New Roman" w:hAnsi="Garamond" w:cs="Times New Roman"/>
            <w:color w:val="1155CC"/>
            <w:sz w:val="24"/>
            <w:szCs w:val="24"/>
            <w:u w:val="single"/>
          </w:rPr>
          <w:t>une menace de disparition de la langue</w:t>
        </w:r>
      </w:hyperlink>
      <w:r w:rsidR="00000000" w:rsidRPr="00174170">
        <w:rPr>
          <w:rFonts w:ascii="Garamond" w:eastAsia="Times New Roman" w:hAnsi="Garamond" w:cs="Times New Roman"/>
          <w:sz w:val="24"/>
          <w:szCs w:val="24"/>
        </w:rPr>
        <w:t xml:space="preserve"> qui n'est plus transmise par les parents amazighs à leurs enfants, qui sont empêchés d'apprendre la langue car l'enseignement du tamazight n'est pas offert dans les écoles publiques par l'État. Par conséquent, il est essentiel d'adapter les programmes scolaires pour être plus inclusifs et permettre aux enfants amazighs de recevoir une éducation qui leur permette de préserver leur identité linguistique et culturelle.</w:t>
      </w:r>
    </w:p>
    <w:sectPr w:rsidR="00C52645" w:rsidRPr="00174170" w:rsidSect="00BE7916">
      <w:footerReference w:type="even" r:id="rId38"/>
      <w:footerReference w:type="default" r:id="rId3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2F1DFD" w14:textId="77777777" w:rsidR="00974CD4" w:rsidRDefault="00974CD4">
      <w:pPr>
        <w:spacing w:line="240" w:lineRule="auto"/>
      </w:pPr>
      <w:r>
        <w:separator/>
      </w:r>
    </w:p>
  </w:endnote>
  <w:endnote w:type="continuationSeparator" w:id="0">
    <w:p w14:paraId="4524EAC6" w14:textId="77777777" w:rsidR="00974CD4" w:rsidRDefault="00974C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1964192530"/>
      <w:docPartObj>
        <w:docPartGallery w:val="Page Numbers (Bottom of Page)"/>
        <w:docPartUnique/>
      </w:docPartObj>
    </w:sdtPr>
    <w:sdtContent>
      <w:p w14:paraId="3C847C6D" w14:textId="201AF6AF" w:rsidR="00BE7916" w:rsidRDefault="00BE7916" w:rsidP="0076110B">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2E8AAEB1" w14:textId="77777777" w:rsidR="00BE7916" w:rsidRDefault="00BE7916" w:rsidP="00BE7916">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Fonts w:ascii="Garamond" w:hAnsi="Garamond"/>
        <w:sz w:val="26"/>
        <w:szCs w:val="26"/>
      </w:rPr>
      <w:id w:val="-861675263"/>
      <w:docPartObj>
        <w:docPartGallery w:val="Page Numbers (Bottom of Page)"/>
        <w:docPartUnique/>
      </w:docPartObj>
    </w:sdtPr>
    <w:sdtContent>
      <w:p w14:paraId="6CE25054" w14:textId="6FBCC587" w:rsidR="00BE7916" w:rsidRPr="00BE7916" w:rsidRDefault="00BE7916" w:rsidP="0076110B">
        <w:pPr>
          <w:pStyle w:val="Pieddepage"/>
          <w:framePr w:wrap="none" w:vAnchor="text" w:hAnchor="margin" w:xAlign="right" w:y="1"/>
          <w:rPr>
            <w:rStyle w:val="Numrodepage"/>
            <w:rFonts w:ascii="Garamond" w:hAnsi="Garamond"/>
            <w:sz w:val="26"/>
            <w:szCs w:val="26"/>
          </w:rPr>
        </w:pPr>
        <w:r w:rsidRPr="00BE7916">
          <w:rPr>
            <w:rStyle w:val="Numrodepage"/>
            <w:rFonts w:ascii="Garamond" w:hAnsi="Garamond"/>
            <w:sz w:val="26"/>
            <w:szCs w:val="26"/>
          </w:rPr>
          <w:fldChar w:fldCharType="begin"/>
        </w:r>
        <w:r w:rsidRPr="00BE7916">
          <w:rPr>
            <w:rStyle w:val="Numrodepage"/>
            <w:rFonts w:ascii="Garamond" w:hAnsi="Garamond"/>
            <w:sz w:val="26"/>
            <w:szCs w:val="26"/>
          </w:rPr>
          <w:instrText xml:space="preserve"> PAGE </w:instrText>
        </w:r>
        <w:r w:rsidRPr="00BE7916">
          <w:rPr>
            <w:rStyle w:val="Numrodepage"/>
            <w:rFonts w:ascii="Garamond" w:hAnsi="Garamond"/>
            <w:sz w:val="26"/>
            <w:szCs w:val="26"/>
          </w:rPr>
          <w:fldChar w:fldCharType="separate"/>
        </w:r>
        <w:r w:rsidRPr="00BE7916">
          <w:rPr>
            <w:rStyle w:val="Numrodepage"/>
            <w:rFonts w:ascii="Garamond" w:hAnsi="Garamond"/>
            <w:noProof/>
            <w:sz w:val="26"/>
            <w:szCs w:val="26"/>
          </w:rPr>
          <w:t>1</w:t>
        </w:r>
        <w:r w:rsidRPr="00BE7916">
          <w:rPr>
            <w:rStyle w:val="Numrodepage"/>
            <w:rFonts w:ascii="Garamond" w:hAnsi="Garamond"/>
            <w:sz w:val="26"/>
            <w:szCs w:val="26"/>
          </w:rPr>
          <w:fldChar w:fldCharType="end"/>
        </w:r>
      </w:p>
    </w:sdtContent>
  </w:sdt>
  <w:p w14:paraId="00000042" w14:textId="163E3E22" w:rsidR="00C52645" w:rsidRPr="00BE7916" w:rsidRDefault="00C52645" w:rsidP="00BE7916">
    <w:pPr>
      <w:ind w:right="360"/>
      <w:jc w:val="right"/>
      <w:rPr>
        <w:rFonts w:ascii="Garamond" w:hAnsi="Garamond"/>
        <w:lang w:val="fr-C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B0422" w14:textId="77777777" w:rsidR="00974CD4" w:rsidRDefault="00974CD4">
      <w:pPr>
        <w:spacing w:line="240" w:lineRule="auto"/>
      </w:pPr>
      <w:r>
        <w:separator/>
      </w:r>
    </w:p>
  </w:footnote>
  <w:footnote w:type="continuationSeparator" w:id="0">
    <w:p w14:paraId="3C5D779E" w14:textId="77777777" w:rsidR="00974CD4" w:rsidRDefault="00974CD4">
      <w:pPr>
        <w:spacing w:line="240" w:lineRule="auto"/>
      </w:pPr>
      <w:r>
        <w:continuationSeparator/>
      </w:r>
    </w:p>
  </w:footnote>
  <w:footnote w:id="1">
    <w:p w14:paraId="00000041" w14:textId="77777777" w:rsidR="00C52645" w:rsidRPr="00174170" w:rsidRDefault="00000000">
      <w:pPr>
        <w:spacing w:line="240" w:lineRule="auto"/>
        <w:rPr>
          <w:rFonts w:ascii="Garamond" w:eastAsia="Times New Roman" w:hAnsi="Garamond" w:cs="Times New Roman"/>
          <w:sz w:val="18"/>
          <w:szCs w:val="18"/>
        </w:rPr>
      </w:pPr>
      <w:r w:rsidRPr="00174170">
        <w:rPr>
          <w:rFonts w:ascii="Garamond" w:hAnsi="Garamond"/>
          <w:sz w:val="18"/>
          <w:szCs w:val="18"/>
          <w:vertAlign w:val="superscript"/>
        </w:rPr>
        <w:footnoteRef/>
      </w:r>
      <w:r w:rsidRPr="00174170">
        <w:rPr>
          <w:rFonts w:ascii="Garamond" w:eastAsia="Times New Roman" w:hAnsi="Garamond" w:cs="Times New Roman"/>
          <w:sz w:val="18"/>
          <w:szCs w:val="18"/>
        </w:rPr>
        <w:t xml:space="preserve"> La dernière réponse du gouvernement tunisien date de </w:t>
      </w:r>
      <w:hyperlink r:id="rId1">
        <w:r w:rsidRPr="00174170">
          <w:rPr>
            <w:rFonts w:ascii="Garamond" w:eastAsia="Times New Roman" w:hAnsi="Garamond" w:cs="Times New Roman"/>
            <w:color w:val="1155CC"/>
            <w:sz w:val="18"/>
            <w:szCs w:val="18"/>
            <w:u w:val="single"/>
          </w:rPr>
          <w:t>juin 2023</w:t>
        </w:r>
      </w:hyperlink>
      <w:r w:rsidRPr="00174170">
        <w:rPr>
          <w:rFonts w:ascii="Garamond" w:eastAsia="Times New Roman" w:hAnsi="Garamond" w:cs="Times New 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785E25"/>
    <w:multiLevelType w:val="multilevel"/>
    <w:tmpl w:val="588C7EDE"/>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3517487"/>
    <w:multiLevelType w:val="multilevel"/>
    <w:tmpl w:val="69C088C4"/>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BC56802"/>
    <w:multiLevelType w:val="multilevel"/>
    <w:tmpl w:val="D3561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C2E45EB"/>
    <w:multiLevelType w:val="multilevel"/>
    <w:tmpl w:val="FC063240"/>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79032444">
    <w:abstractNumId w:val="2"/>
  </w:num>
  <w:num w:numId="2" w16cid:durableId="1651864832">
    <w:abstractNumId w:val="0"/>
  </w:num>
  <w:num w:numId="3" w16cid:durableId="1714695560">
    <w:abstractNumId w:val="1"/>
  </w:num>
  <w:num w:numId="4" w16cid:durableId="19895538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645"/>
    <w:rsid w:val="00174170"/>
    <w:rsid w:val="00291FA8"/>
    <w:rsid w:val="006B3A36"/>
    <w:rsid w:val="00974CD4"/>
    <w:rsid w:val="00BE7916"/>
    <w:rsid w:val="00C526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4:docId w14:val="49721A9C"/>
  <w15:docId w15:val="{9642A408-BE76-DC4B-985E-3EEFC8410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fr-F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ous-titre">
    <w:name w:val="Subtitle"/>
    <w:basedOn w:val="Normal"/>
    <w:next w:val="Normal"/>
    <w:uiPriority w:val="11"/>
    <w:qFormat/>
    <w:pPr>
      <w:keepNext/>
      <w:keepLines/>
      <w:spacing w:after="320"/>
    </w:pPr>
    <w:rPr>
      <w:color w:val="666666"/>
      <w:sz w:val="30"/>
      <w:szCs w:val="30"/>
    </w:rPr>
  </w:style>
  <w:style w:type="paragraph" w:styleId="Commentaire">
    <w:name w:val="annotation text"/>
    <w:basedOn w:val="Normal"/>
    <w:link w:val="CommentaireCar"/>
    <w:uiPriority w:val="99"/>
    <w:unhideWhenUsed/>
    <w:pPr>
      <w:spacing w:line="240" w:lineRule="auto"/>
    </w:pPr>
    <w:rPr>
      <w:sz w:val="20"/>
      <w:szCs w:val="20"/>
    </w:rPr>
  </w:style>
  <w:style w:type="character" w:customStyle="1" w:styleId="CommentaireCar">
    <w:name w:val="Commentaire Car"/>
    <w:basedOn w:val="Policepardfaut"/>
    <w:link w:val="Commentaire"/>
    <w:uiPriority w:val="99"/>
    <w:rPr>
      <w:sz w:val="20"/>
      <w:szCs w:val="20"/>
    </w:rPr>
  </w:style>
  <w:style w:type="character" w:styleId="Marquedecommentaire">
    <w:name w:val="annotation reference"/>
    <w:basedOn w:val="Policepardfaut"/>
    <w:uiPriority w:val="99"/>
    <w:semiHidden/>
    <w:unhideWhenUsed/>
    <w:rPr>
      <w:sz w:val="16"/>
      <w:szCs w:val="16"/>
    </w:rPr>
  </w:style>
  <w:style w:type="paragraph" w:styleId="Rvision">
    <w:name w:val="Revision"/>
    <w:hidden/>
    <w:uiPriority w:val="99"/>
    <w:semiHidden/>
    <w:rsid w:val="00337DB6"/>
    <w:pPr>
      <w:spacing w:line="240" w:lineRule="auto"/>
    </w:pPr>
  </w:style>
  <w:style w:type="paragraph" w:styleId="Objetducommentaire">
    <w:name w:val="annotation subject"/>
    <w:basedOn w:val="Commentaire"/>
    <w:next w:val="Commentaire"/>
    <w:link w:val="ObjetducommentaireCar"/>
    <w:uiPriority w:val="99"/>
    <w:semiHidden/>
    <w:unhideWhenUsed/>
    <w:rsid w:val="006A07F2"/>
    <w:rPr>
      <w:b/>
      <w:bCs/>
    </w:rPr>
  </w:style>
  <w:style w:type="character" w:customStyle="1" w:styleId="ObjetducommentaireCar">
    <w:name w:val="Objet du commentaire Car"/>
    <w:basedOn w:val="CommentaireCar"/>
    <w:link w:val="Objetducommentaire"/>
    <w:uiPriority w:val="99"/>
    <w:semiHidden/>
    <w:rsid w:val="006A07F2"/>
    <w:rPr>
      <w:b/>
      <w:bCs/>
      <w:sz w:val="20"/>
      <w:szCs w:val="20"/>
    </w:rPr>
  </w:style>
  <w:style w:type="paragraph" w:styleId="Paragraphedeliste">
    <w:name w:val="List Paragraph"/>
    <w:basedOn w:val="Normal"/>
    <w:uiPriority w:val="34"/>
    <w:qFormat/>
    <w:rsid w:val="00174170"/>
    <w:pPr>
      <w:ind w:left="720"/>
      <w:contextualSpacing/>
    </w:pPr>
  </w:style>
  <w:style w:type="paragraph" w:styleId="En-tte">
    <w:name w:val="header"/>
    <w:basedOn w:val="Normal"/>
    <w:link w:val="En-tteCar"/>
    <w:uiPriority w:val="99"/>
    <w:unhideWhenUsed/>
    <w:rsid w:val="00BE7916"/>
    <w:pPr>
      <w:tabs>
        <w:tab w:val="center" w:pos="4536"/>
        <w:tab w:val="right" w:pos="9072"/>
      </w:tabs>
      <w:spacing w:line="240" w:lineRule="auto"/>
    </w:pPr>
  </w:style>
  <w:style w:type="character" w:customStyle="1" w:styleId="En-tteCar">
    <w:name w:val="En-tête Car"/>
    <w:basedOn w:val="Policepardfaut"/>
    <w:link w:val="En-tte"/>
    <w:uiPriority w:val="99"/>
    <w:rsid w:val="00BE7916"/>
  </w:style>
  <w:style w:type="paragraph" w:styleId="Pieddepage">
    <w:name w:val="footer"/>
    <w:basedOn w:val="Normal"/>
    <w:link w:val="PieddepageCar"/>
    <w:uiPriority w:val="99"/>
    <w:unhideWhenUsed/>
    <w:rsid w:val="00BE7916"/>
    <w:pPr>
      <w:tabs>
        <w:tab w:val="center" w:pos="4536"/>
        <w:tab w:val="right" w:pos="9072"/>
      </w:tabs>
      <w:spacing w:line="240" w:lineRule="auto"/>
    </w:pPr>
  </w:style>
  <w:style w:type="character" w:customStyle="1" w:styleId="PieddepageCar">
    <w:name w:val="Pied de page Car"/>
    <w:basedOn w:val="Policepardfaut"/>
    <w:link w:val="Pieddepage"/>
    <w:uiPriority w:val="99"/>
    <w:rsid w:val="00BE7916"/>
  </w:style>
  <w:style w:type="character" w:styleId="Numrodepage">
    <w:name w:val="page number"/>
    <w:basedOn w:val="Policepardfaut"/>
    <w:uiPriority w:val="99"/>
    <w:semiHidden/>
    <w:unhideWhenUsed/>
    <w:rsid w:val="00BE7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ohchr.org/en/press-releases/2024/10/tunisia-un-experts-concerned-over-safety-migrants-refugees-and-victims?fbclid=IwZXh0bgNhZW0CMTEAAR010h6r9STFay5yIx4Lo7E1KWRwqXNORwP2UUvHOSjiastl7C8KrNUZF0o_aem_uen7mraeCl5x-yq_CZrAtg" TargetMode="External"/><Relationship Id="rId18" Type="http://schemas.openxmlformats.org/officeDocument/2006/relationships/hyperlink" Target="https://minorityrights.org/abolition-of-the-legacy-of-slavery-atig-no-more/" TargetMode="External"/><Relationship Id="rId26" Type="http://schemas.openxmlformats.org/officeDocument/2006/relationships/hyperlink" Target="https://www.amnesty.org/en/latest/news/2024/05/tunisia-repressive-crackdown-on-civil-society-organizations-following-months-of-escalating-violence-against-migrants-and-refugees/" TargetMode="External"/><Relationship Id="rId39" Type="http://schemas.openxmlformats.org/officeDocument/2006/relationships/footer" Target="footer2.xml"/><Relationship Id="rId21" Type="http://schemas.openxmlformats.org/officeDocument/2006/relationships/hyperlink" Target="https://www.vertic.org/media/National%20Legislation/Tunisia/TN_Code_du_Travail.pdf" TargetMode="External"/><Relationship Id="rId34" Type="http://schemas.openxmlformats.org/officeDocument/2006/relationships/hyperlink" Target="https://medecinsdumonde.be/system/files/publications/downloads/MdM%20rapport_enquete%20Migrant_FA_JUIN_2019_DEF_LOWRES_FR.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inorityrights.org/minority-and-indigenous-trends-2022-focus-on-work/" TargetMode="External"/><Relationship Id="rId20" Type="http://schemas.openxmlformats.org/officeDocument/2006/relationships/hyperlink" Target="https://legislation-securite.tn/latest-laws/loi-n-68-7-du-8-mars-1968-relative-a-la-condition-des-etrangers-en-tunisie/" TargetMode="External"/><Relationship Id="rId29" Type="http://schemas.openxmlformats.org/officeDocument/2006/relationships/hyperlink" Target="https://nawaat.org/2023/02/14/parti-nationaliste-tunisien-racisme-autorise-par-leta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commreports.ohchr.org/TMResultsBase/DownLoadPublicCommunicationFile?gId=28291" TargetMode="External"/><Relationship Id="rId24" Type="http://schemas.openxmlformats.org/officeDocument/2006/relationships/hyperlink" Target="https://www.terre-asile-tunisie.org/images/Lacc%C3%A8s_au_travail_des_migrants_en_Tunisie_-_Terre_dAsile_Tunisie.pdf" TargetMode="External"/><Relationship Id="rId32" Type="http://schemas.openxmlformats.org/officeDocument/2006/relationships/hyperlink" Target="https://data.unhcr.org/en/documents/details/112225" TargetMode="External"/><Relationship Id="rId37" Type="http://schemas.openxmlformats.org/officeDocument/2006/relationships/hyperlink" Target="https://minorityrights.org/2021/08/10/amazigh-documentary-en/"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guardian.com/global-development/2024/sep/19/italy-migrant-reduction-investigation-rape-killing-tunisia-eu-money-keir-starmer-security-forces-smugglers" TargetMode="External"/><Relationship Id="rId23" Type="http://schemas.openxmlformats.org/officeDocument/2006/relationships/hyperlink" Target="https://minorityrights.org/fr/resources/cas-de-discriminations-collectes-par-les-points-anti-discrimination-et-lobservatoire-pour-la-defense-du-droit-a-la-difference/" TargetMode="External"/><Relationship Id="rId28" Type="http://schemas.openxmlformats.org/officeDocument/2006/relationships/hyperlink" Target="https://ftdes.net/resultats-preliminaires-dune-etude-de-terrain-sur-la-situation-des-migrants-en-tunisie/" TargetMode="External"/><Relationship Id="rId36" Type="http://schemas.openxmlformats.org/officeDocument/2006/relationships/hyperlink" Target="https://unesdoc.unesco.org/ark:/48223/pf0000187026" TargetMode="External"/><Relationship Id="rId10" Type="http://schemas.openxmlformats.org/officeDocument/2006/relationships/hyperlink" Target="https://spcommreports.ohchr.org/TMResultsBase/DownLoadPublicCommunicationFile?gId=27935" TargetMode="External"/><Relationship Id="rId19" Type="http://schemas.openxmlformats.org/officeDocument/2006/relationships/hyperlink" Target="https://minorityrights.org/abolition-of-the-legacy-of-slavery-atig-no-more/" TargetMode="External"/><Relationship Id="rId31" Type="http://schemas.openxmlformats.org/officeDocument/2006/relationships/hyperlink" Target="https://data.unhcr.org/en/documents/details/108991" TargetMode="External"/><Relationship Id="rId4" Type="http://schemas.openxmlformats.org/officeDocument/2006/relationships/settings" Target="settings.xml"/><Relationship Id="rId9" Type="http://schemas.openxmlformats.org/officeDocument/2006/relationships/hyperlink" Target="https://www.washingtonpost.com/world/2023/06/30/tunisia-migration-great-replacement/" TargetMode="External"/><Relationship Id="rId14" Type="http://schemas.openxmlformats.org/officeDocument/2006/relationships/hyperlink" Target="https://www.ohchr.org/en/press-releases/2024/10/turk-calls-tunisia-uphold-rule-law-and-democratic-freedoms" TargetMode="External"/><Relationship Id="rId22" Type="http://schemas.openxmlformats.org/officeDocument/2006/relationships/hyperlink" Target="https://www.aihr-iadh.org/ar/document/262/pour-une-reforme-du-cadre-juridique-de-l-emploi-des-travailleurs-migrants-en-tunisie" TargetMode="External"/><Relationship Id="rId27" Type="http://schemas.openxmlformats.org/officeDocument/2006/relationships/hyperlink" Target="https://www.hrw.org/world-report/2023/country-chapters/tunisia-0" TargetMode="External"/><Relationship Id="rId30" Type="http://schemas.openxmlformats.org/officeDocument/2006/relationships/hyperlink" Target="https://www.unhcr.org/fr/media/unhcr-tunisie-fact-sheet" TargetMode="External"/><Relationship Id="rId35" Type="http://schemas.openxmlformats.org/officeDocument/2006/relationships/hyperlink" Target="https://mixedmigration.org/wp-content/uploads/2021/07/MMC_Save-the-Children_Tunisia_FR.pdf" TargetMode="External"/><Relationship Id="rId8" Type="http://schemas.openxmlformats.org/officeDocument/2006/relationships/hyperlink" Target="https://www.slate.fr/story/242093/racisme-anti-noirs-afrique-tunisie-kais-saied-renoue-negrophobie-violences-migrants-histoire" TargetMode="External"/><Relationship Id="rId3" Type="http://schemas.openxmlformats.org/officeDocument/2006/relationships/styles" Target="styles.xml"/><Relationship Id="rId12" Type="http://schemas.openxmlformats.org/officeDocument/2006/relationships/hyperlink" Target="https://omct-tunisie.org/wp-content/uploads/2024/05/Migration-et-torture-Pages-FR-OMCT.pdf" TargetMode="External"/><Relationship Id="rId17" Type="http://schemas.openxmlformats.org/officeDocument/2006/relationships/hyperlink" Target="https://minorityrights.org/fr/resources/cas-de-discriminations-collectes-par-les-points-anti-discrimination-et-lobservatoire-pour-la-defense-du-droit-a-la-difference/" TargetMode="External"/><Relationship Id="rId25" Type="http://schemas.openxmlformats.org/officeDocument/2006/relationships/hyperlink" Target="https://legislation-securite.tn/latest-laws/loi-organique-n-2016-61-du-3-aout-2016-relative-a-la-prevention-et-la-lutte-contre-la-traite-des-personnes/" TargetMode="External"/><Relationship Id="rId33" Type="http://schemas.openxmlformats.org/officeDocument/2006/relationships/hyperlink" Target="https://news.un.org/fr/story/2024/10/1149361" TargetMode="External"/><Relationship Id="rId38"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spcommreports.ohchr.org/TMResultsBase/DownLoadFile?gId=375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ra6LbZ2cIXIIPGrCEtPt+wF53w==">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5814</Words>
  <Characters>31981</Characters>
  <Application>Microsoft Office Word</Application>
  <DocSecurity>0</DocSecurity>
  <Lines>266</Lines>
  <Paragraphs>75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Glenn Payot</cp:lastModifiedBy>
  <cp:revision>3</cp:revision>
  <dcterms:created xsi:type="dcterms:W3CDTF">2025-08-06T15:20:00Z</dcterms:created>
  <dcterms:modified xsi:type="dcterms:W3CDTF">2025-08-06T15:27:00Z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0x0101002B669865074D8B4FA0649CC721C5275D</vt:lpwstr>
  </property>
  <property fmtid="{D5CDD505-2E9C-101B-9397-08002B2CF9AE}" pid="3" name="GrammarlyDocumentId">
    <vt:lpwstr>840d54b26a1a53024ce7a507b89b166891ce3efa4f506c20822b0c58921f7dc7</vt:lpwstr>
  </property>
</Properties>
</file>