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Gitter"/>
        <w:tblW w:w="2894" w:type="dxa"/>
        <w:tblInd w:w="-1985" w:type="dxa"/>
        <w:tblLayout w:type="fixed"/>
        <w:tblCellMar>
          <w:left w:w="0" w:type="dxa"/>
          <w:right w:w="0" w:type="dxa"/>
        </w:tblCellMar>
        <w:tblLook w:val="04A0" w:firstRow="1" w:lastRow="0" w:firstColumn="1" w:lastColumn="0" w:noHBand="0" w:noVBand="1"/>
      </w:tblPr>
      <w:tblGrid>
        <w:gridCol w:w="2894"/>
      </w:tblGrid>
      <w:tr w:rsidR="00DE38C7" w14:paraId="76DA99D7" w14:textId="77777777" w:rsidTr="0053351C">
        <w:trPr>
          <w:trHeight w:val="2806"/>
        </w:trPr>
        <w:tc>
          <w:tcPr>
            <w:tcW w:w="2894" w:type="dxa"/>
            <w:tcBorders>
              <w:top w:val="nil"/>
              <w:left w:val="nil"/>
              <w:bottom w:val="nil"/>
              <w:right w:val="nil"/>
            </w:tcBorders>
            <w:tcMar>
              <w:bottom w:w="765" w:type="dxa"/>
              <w:right w:w="0" w:type="dxa"/>
            </w:tcMar>
          </w:tcPr>
          <w:p w14:paraId="33559FA7" w14:textId="77777777" w:rsidR="007423C7" w:rsidRDefault="007423C7" w:rsidP="00A71EDA"/>
        </w:tc>
      </w:tr>
    </w:tbl>
    <w:tbl>
      <w:tblPr>
        <w:tblpPr w:leftFromText="142" w:rightFromText="142" w:vertAnchor="page" w:horzAnchor="page" w:tblpX="1135" w:tblpY="5841"/>
        <w:tblW w:w="1560" w:type="dxa"/>
        <w:tblLayout w:type="fixed"/>
        <w:tblCellMar>
          <w:left w:w="0" w:type="dxa"/>
          <w:right w:w="0" w:type="dxa"/>
        </w:tblCellMar>
        <w:tblLook w:val="0000" w:firstRow="0" w:lastRow="0" w:firstColumn="0" w:lastColumn="0" w:noHBand="0" w:noVBand="0"/>
      </w:tblPr>
      <w:tblGrid>
        <w:gridCol w:w="1560"/>
      </w:tblGrid>
      <w:tr w:rsidR="00E55753" w:rsidRPr="008F41DD" w14:paraId="5B58FEBF" w14:textId="77777777" w:rsidTr="0053351C">
        <w:tc>
          <w:tcPr>
            <w:tcW w:w="1560" w:type="dxa"/>
          </w:tcPr>
          <w:p w14:paraId="3B4CB495" w14:textId="77777777" w:rsidR="00E55753" w:rsidRPr="00B40C12" w:rsidRDefault="008F41DD" w:rsidP="0053351C">
            <w:pPr>
              <w:pStyle w:val="Dokumentinfooverskrift"/>
              <w:framePr w:hSpace="0" w:wrap="auto" w:vAnchor="margin" w:hAnchor="text" w:xAlign="left" w:yAlign="inline"/>
              <w:rPr>
                <w:lang w:val="en-US"/>
              </w:rPr>
            </w:pPr>
            <w:proofErr w:type="spellStart"/>
            <w:r>
              <w:rPr>
                <w:lang w:val="en-US"/>
              </w:rPr>
              <w:t>Fileno</w:t>
            </w:r>
            <w:proofErr w:type="spellEnd"/>
            <w:r w:rsidR="00E55753" w:rsidRPr="00B40C12">
              <w:rPr>
                <w:lang w:val="en-US"/>
              </w:rPr>
              <w:t>.</w:t>
            </w:r>
          </w:p>
          <w:p w14:paraId="08B88C21" w14:textId="77777777" w:rsidR="00E55753" w:rsidRPr="00B40C12" w:rsidRDefault="00B40C12" w:rsidP="0053351C">
            <w:pPr>
              <w:pStyle w:val="Dokumentinfo"/>
              <w:framePr w:hSpace="0" w:wrap="auto" w:vAnchor="margin" w:hAnchor="text" w:xAlign="left" w:yAlign="inline"/>
              <w:rPr>
                <w:lang w:val="en-US"/>
              </w:rPr>
            </w:pPr>
            <w:r w:rsidRPr="00B40C12">
              <w:rPr>
                <w:rFonts w:cs="Arial"/>
                <w:lang w:val="en-US"/>
              </w:rPr>
              <w:t>2024 - 102</w:t>
            </w:r>
          </w:p>
          <w:p w14:paraId="2AE472DB" w14:textId="77777777" w:rsidR="00E55753" w:rsidRPr="00B40C12" w:rsidRDefault="00E55753" w:rsidP="0053351C">
            <w:pPr>
              <w:pStyle w:val="Dokumentinfo"/>
              <w:framePr w:hSpace="0" w:wrap="auto" w:vAnchor="margin" w:hAnchor="text" w:xAlign="left" w:yAlign="inline"/>
              <w:rPr>
                <w:lang w:val="en-US"/>
              </w:rPr>
            </w:pPr>
          </w:p>
          <w:p w14:paraId="1916FD20" w14:textId="77777777" w:rsidR="00E55753" w:rsidRPr="00B40C12" w:rsidRDefault="008F41DD" w:rsidP="0053351C">
            <w:pPr>
              <w:pStyle w:val="Dokumentinfooverskrift"/>
              <w:framePr w:hSpace="0" w:wrap="auto" w:vAnchor="margin" w:hAnchor="text" w:xAlign="left" w:yAlign="inline"/>
              <w:rPr>
                <w:lang w:val="en-US"/>
              </w:rPr>
            </w:pPr>
            <w:proofErr w:type="spellStart"/>
            <w:r>
              <w:rPr>
                <w:lang w:val="en-US"/>
              </w:rPr>
              <w:t>Docno</w:t>
            </w:r>
            <w:proofErr w:type="spellEnd"/>
            <w:r w:rsidR="00E55753" w:rsidRPr="00B40C12">
              <w:rPr>
                <w:lang w:val="en-US"/>
              </w:rPr>
              <w:t>.</w:t>
            </w:r>
          </w:p>
          <w:p w14:paraId="21F965A1" w14:textId="77777777" w:rsidR="00E55753" w:rsidRPr="00B40C12" w:rsidRDefault="00B40C12" w:rsidP="0053351C">
            <w:pPr>
              <w:pStyle w:val="Dokumentinfo"/>
              <w:framePr w:hSpace="0" w:wrap="auto" w:vAnchor="margin" w:hAnchor="text" w:xAlign="left" w:yAlign="inline"/>
              <w:rPr>
                <w:lang w:val="en-US"/>
              </w:rPr>
            </w:pPr>
            <w:r w:rsidRPr="00B40C12">
              <w:rPr>
                <w:rFonts w:cs="Arial"/>
                <w:lang w:val="en-US"/>
              </w:rPr>
              <w:t>902248</w:t>
            </w:r>
          </w:p>
          <w:p w14:paraId="77BCA362" w14:textId="77777777" w:rsidR="00E55753" w:rsidRPr="00B40C12" w:rsidRDefault="00E55753" w:rsidP="0053351C">
            <w:pPr>
              <w:pStyle w:val="Dokumentinfo"/>
              <w:framePr w:hSpace="0" w:wrap="auto" w:vAnchor="margin" w:hAnchor="text" w:xAlign="left" w:yAlign="inline"/>
              <w:rPr>
                <w:lang w:val="en-US"/>
              </w:rPr>
            </w:pPr>
          </w:p>
          <w:p w14:paraId="1AD4D4E6" w14:textId="77777777" w:rsidR="00E55753" w:rsidRPr="008F41DD" w:rsidRDefault="008F41DD" w:rsidP="0053351C">
            <w:pPr>
              <w:pStyle w:val="Dokumentinfooverskrift"/>
              <w:framePr w:hSpace="0" w:wrap="auto" w:vAnchor="margin" w:hAnchor="text" w:xAlign="left" w:yAlign="inline"/>
              <w:rPr>
                <w:lang w:val="en-US"/>
              </w:rPr>
            </w:pPr>
            <w:r>
              <w:rPr>
                <w:lang w:val="en-US"/>
              </w:rPr>
              <w:t>Date</w:t>
            </w:r>
          </w:p>
          <w:p w14:paraId="71F83D6A" w14:textId="77777777" w:rsidR="00E55753" w:rsidRPr="008F41DD" w:rsidRDefault="00EC50D0" w:rsidP="0053351C">
            <w:pPr>
              <w:pStyle w:val="Dokumentinfo"/>
              <w:framePr w:hSpace="0" w:wrap="auto" w:vAnchor="margin" w:hAnchor="text" w:xAlign="left" w:yAlign="inline"/>
              <w:rPr>
                <w:lang w:val="en-US"/>
              </w:rPr>
            </w:pPr>
            <w:r>
              <w:fldChar w:fldCharType="begin"/>
            </w:r>
            <w:r>
              <w:instrText xml:space="preserve"> CREATEDATE  \@ "dd-MM-yyyy"  \* MERGEFORMAT </w:instrText>
            </w:r>
            <w:r>
              <w:fldChar w:fldCharType="separate"/>
            </w:r>
            <w:r w:rsidR="00791EB3">
              <w:rPr>
                <w:noProof/>
              </w:rPr>
              <w:t>26-08-2024</w:t>
            </w:r>
            <w:r>
              <w:fldChar w:fldCharType="end"/>
            </w:r>
          </w:p>
        </w:tc>
      </w:tr>
    </w:tbl>
    <w:p w14:paraId="0031CD51" w14:textId="77777777" w:rsidR="00F47AA1" w:rsidRPr="008F41DD" w:rsidRDefault="00A71EDA" w:rsidP="00F47AA1">
      <w:pPr>
        <w:pStyle w:val="Brevoverskrift"/>
        <w:rPr>
          <w:szCs w:val="22"/>
          <w:lang w:val="en-US"/>
        </w:rPr>
      </w:pPr>
      <w:r>
        <w:rPr>
          <w:lang w:val="en-GB"/>
        </w:rPr>
        <w:t>Denmark’s written answers to t</w:t>
      </w:r>
      <w:r w:rsidRPr="00A71EDA">
        <w:rPr>
          <w:lang w:val="en-GB"/>
        </w:rPr>
        <w:t>he Committee on the Rights of Persons with Disabilities (CRPD)</w:t>
      </w:r>
    </w:p>
    <w:p w14:paraId="6A942E7D" w14:textId="10BE33C8" w:rsidR="006575AD" w:rsidRDefault="006575AD" w:rsidP="00DF2849">
      <w:pPr>
        <w:pStyle w:val="Overskrift1"/>
        <w:rPr>
          <w:lang w:val="en-US"/>
        </w:rPr>
      </w:pPr>
      <w:r>
        <w:rPr>
          <w:lang w:val="en-US"/>
        </w:rPr>
        <w:t>Article 4</w:t>
      </w:r>
    </w:p>
    <w:p w14:paraId="6BD53E5E" w14:textId="2F46CAE4" w:rsidR="006575AD" w:rsidRDefault="006575AD" w:rsidP="006575AD">
      <w:pPr>
        <w:pStyle w:val="Overskrift2"/>
        <w:rPr>
          <w:lang w:val="en-US"/>
        </w:rPr>
      </w:pPr>
      <w:r w:rsidRPr="006575AD">
        <w:rPr>
          <w:lang w:val="en-US"/>
        </w:rPr>
        <w:t>Retrogression in conditions for persons with disabilities</w:t>
      </w:r>
    </w:p>
    <w:p w14:paraId="4FB05B5D" w14:textId="55210B00" w:rsidR="006575AD" w:rsidRDefault="006E5C9A" w:rsidP="006575AD">
      <w:pPr>
        <w:rPr>
          <w:rFonts w:cs="Arial"/>
          <w:lang w:val="en-US"/>
        </w:rPr>
      </w:pPr>
      <w:r>
        <w:rPr>
          <w:rFonts w:cs="Arial"/>
          <w:lang w:val="en-US"/>
        </w:rPr>
        <w:t>The State Party takes it very seriously that persons with disabilities in the Disability Index from 2020 gave answers showing that they are generally worse off in different parts of society. The Danish Government is continually striving to improve conditions for persons with disabilities and ensure that persons with disabilities have the same opportunities and high quality of life as persons without disabilities, thus not retrogressing on rights and developments. The Danish Government has made an agreement with several parties in Parliament to ensure a long-term and sustainable development of the disability sector. The agreement contains 25 initiatives including an action plan with goals for more people with disabilities to enter the labor market and to create more flexible opportunities in education, new awareness raising initiatives in the form of a Disability week and a new campaign. The Ministry of Social Affairs, Housing and Senior Citizens has also started an evaluation of barriers for municipal support within the home.</w:t>
      </w:r>
    </w:p>
    <w:p w14:paraId="6FAFF456" w14:textId="77777777" w:rsidR="006E5C9A" w:rsidRPr="00B53C6B" w:rsidRDefault="006E5C9A" w:rsidP="006575AD">
      <w:pPr>
        <w:rPr>
          <w:lang w:val="en-US"/>
        </w:rPr>
      </w:pPr>
    </w:p>
    <w:p w14:paraId="738BB01A" w14:textId="3F6594A0" w:rsidR="006575AD" w:rsidRDefault="006575AD" w:rsidP="00DF2849">
      <w:pPr>
        <w:pStyle w:val="Overskrift1"/>
        <w:rPr>
          <w:lang w:val="en-US"/>
        </w:rPr>
      </w:pPr>
      <w:r>
        <w:rPr>
          <w:lang w:val="en-US"/>
        </w:rPr>
        <w:t>Article 7</w:t>
      </w:r>
    </w:p>
    <w:p w14:paraId="3703A620" w14:textId="0C0E5DF8" w:rsidR="006575AD" w:rsidRDefault="006575AD" w:rsidP="006575AD">
      <w:pPr>
        <w:pStyle w:val="Overskrift2"/>
        <w:rPr>
          <w:lang w:val="en-US"/>
        </w:rPr>
      </w:pPr>
      <w:r w:rsidRPr="006575AD">
        <w:rPr>
          <w:lang w:val="en-US"/>
        </w:rPr>
        <w:t>Rights of party in the Child’s Act</w:t>
      </w:r>
    </w:p>
    <w:p w14:paraId="3FBA434B" w14:textId="0401017F" w:rsidR="006575AD" w:rsidRDefault="006575AD" w:rsidP="007F4A48">
      <w:pPr>
        <w:rPr>
          <w:lang w:val="en-US"/>
        </w:rPr>
      </w:pPr>
      <w:r w:rsidRPr="006575AD">
        <w:rPr>
          <w:lang w:val="en-US"/>
        </w:rPr>
        <w:t xml:space="preserve">Under the Child’s Act, children gain the rights of a party at the age of 10 in cases involving supportive measures after section 32 of the Act and in cases regarding out-of-home placement. Several considerations have been made regarding the rights of party for disability-compensating provisions. Some provisions are aimed at small children where it would not be appropriate for the child to have rights of party. </w:t>
      </w:r>
      <w:r w:rsidR="00B80694">
        <w:rPr>
          <w:lang w:val="en-US"/>
        </w:rPr>
        <w:t>For example</w:t>
      </w:r>
      <w:r w:rsidR="00B53C6B">
        <w:rPr>
          <w:lang w:val="en-US"/>
        </w:rPr>
        <w:t>,</w:t>
      </w:r>
      <w:r w:rsidRPr="006575AD">
        <w:rPr>
          <w:lang w:val="en-US"/>
        </w:rPr>
        <w:t xml:space="preserve"> provisions </w:t>
      </w:r>
      <w:r w:rsidR="00B80694">
        <w:rPr>
          <w:lang w:val="en-US"/>
        </w:rPr>
        <w:t>regarding</w:t>
      </w:r>
      <w:r w:rsidRPr="006575AD">
        <w:rPr>
          <w:lang w:val="en-US"/>
        </w:rPr>
        <w:t xml:space="preserve"> cash-benefits for the parents, compensating for extra expenses or loss of earnings resulting from supporting the child in the home. </w:t>
      </w:r>
    </w:p>
    <w:p w14:paraId="35A32474" w14:textId="77777777" w:rsidR="007F4A48" w:rsidRDefault="007F4A48" w:rsidP="007F4A48">
      <w:pPr>
        <w:rPr>
          <w:lang w:val="en-US"/>
        </w:rPr>
      </w:pPr>
    </w:p>
    <w:p w14:paraId="67B46A09" w14:textId="1B790183" w:rsidR="006575AD" w:rsidRPr="00A872D9" w:rsidRDefault="006575AD" w:rsidP="006575AD">
      <w:pPr>
        <w:pStyle w:val="Overskrift2"/>
        <w:spacing w:line="240" w:lineRule="auto"/>
        <w:rPr>
          <w:lang w:val="en-US"/>
        </w:rPr>
      </w:pPr>
      <w:r>
        <w:rPr>
          <w:lang w:val="en-US"/>
        </w:rPr>
        <w:t xml:space="preserve">Children with </w:t>
      </w:r>
      <w:r w:rsidRPr="00A872D9">
        <w:rPr>
          <w:lang w:val="en-US"/>
        </w:rPr>
        <w:t xml:space="preserve">cochlear </w:t>
      </w:r>
      <w:r w:rsidR="007C4EA7">
        <w:rPr>
          <w:lang w:val="en-US"/>
        </w:rPr>
        <w:t xml:space="preserve">Implant </w:t>
      </w:r>
      <w:r w:rsidRPr="00A872D9">
        <w:rPr>
          <w:lang w:val="en-US"/>
        </w:rPr>
        <w:t>ear plant</w:t>
      </w:r>
      <w:r>
        <w:rPr>
          <w:lang w:val="en-US"/>
        </w:rPr>
        <w:t xml:space="preserve"> and sign language </w:t>
      </w:r>
    </w:p>
    <w:p w14:paraId="291AF53B" w14:textId="77777777" w:rsidR="00834683" w:rsidRPr="00834683" w:rsidRDefault="00834683" w:rsidP="00834683">
      <w:pPr>
        <w:rPr>
          <w:lang w:val="en-US"/>
        </w:rPr>
      </w:pPr>
      <w:r w:rsidRPr="00834683">
        <w:rPr>
          <w:lang w:val="en-US"/>
        </w:rPr>
        <w:t>According to the Primary Schools Act, sign language must be provided to all pupils with significant hearing loss who, despite using aids like hearing aids or cochlear implants, struggle to communicate effectively through speech. Municipalities are responsible for offering necessary support, including for children not yet in school. Parents can appeal decisions about special education to the Appeals Board for Special Education.</w:t>
      </w:r>
    </w:p>
    <w:p w14:paraId="0A3E997A" w14:textId="77777777" w:rsidR="00834683" w:rsidRPr="00834683" w:rsidRDefault="00834683" w:rsidP="00834683">
      <w:pPr>
        <w:rPr>
          <w:lang w:val="en-US"/>
        </w:rPr>
      </w:pPr>
    </w:p>
    <w:p w14:paraId="21DFF192" w14:textId="21E4372E" w:rsidR="00834683" w:rsidRDefault="00834683" w:rsidP="00834683">
      <w:pPr>
        <w:rPr>
          <w:lang w:val="en-US"/>
        </w:rPr>
      </w:pPr>
      <w:r w:rsidRPr="00834683">
        <w:rPr>
          <w:lang w:val="en-US"/>
        </w:rPr>
        <w:t>In 2023</w:t>
      </w:r>
      <w:r w:rsidR="007C4EA7">
        <w:rPr>
          <w:lang w:val="en-US"/>
        </w:rPr>
        <w:t xml:space="preserve"> </w:t>
      </w:r>
      <w:r w:rsidRPr="00834683">
        <w:rPr>
          <w:lang w:val="en-US"/>
        </w:rPr>
        <w:t xml:space="preserve">a project </w:t>
      </w:r>
      <w:r w:rsidR="007C4EA7">
        <w:rPr>
          <w:lang w:val="en-US"/>
        </w:rPr>
        <w:t xml:space="preserve">was launched </w:t>
      </w:r>
      <w:r w:rsidRPr="00834683">
        <w:rPr>
          <w:lang w:val="en-US"/>
        </w:rPr>
        <w:t>to develop tools for municipalities to support students with severe hearing loss, including sign language instruction. These tools will be evaluated in 2024, with findings shared to help municipalities better support these learners. The project also includes testing and developing educational activities for these students.</w:t>
      </w:r>
    </w:p>
    <w:p w14:paraId="5863545A" w14:textId="77777777" w:rsidR="00834683" w:rsidRDefault="00834683" w:rsidP="006575AD">
      <w:pPr>
        <w:rPr>
          <w:lang w:val="en-US"/>
        </w:rPr>
      </w:pPr>
    </w:p>
    <w:p w14:paraId="7C4C7795" w14:textId="77777777" w:rsidR="006575AD" w:rsidRPr="006575AD" w:rsidRDefault="006575AD" w:rsidP="006575AD">
      <w:pPr>
        <w:rPr>
          <w:lang w:val="en-US"/>
        </w:rPr>
      </w:pPr>
    </w:p>
    <w:p w14:paraId="07975FCA" w14:textId="345D1F6F" w:rsidR="006575AD" w:rsidRDefault="006575AD" w:rsidP="00DF2849">
      <w:pPr>
        <w:pStyle w:val="Overskrift1"/>
        <w:rPr>
          <w:lang w:val="en-US"/>
        </w:rPr>
      </w:pPr>
      <w:r>
        <w:rPr>
          <w:lang w:val="en-US"/>
        </w:rPr>
        <w:t>Article 9</w:t>
      </w:r>
    </w:p>
    <w:p w14:paraId="44259946" w14:textId="4566B2A0" w:rsidR="006575AD" w:rsidRDefault="006575AD" w:rsidP="006575AD">
      <w:pPr>
        <w:pStyle w:val="Overskrift2"/>
        <w:rPr>
          <w:lang w:val="en-US"/>
        </w:rPr>
      </w:pPr>
      <w:r w:rsidRPr="006575AD">
        <w:rPr>
          <w:lang w:val="en-US"/>
        </w:rPr>
        <w:t>The RESEARCH2025-catalogue</w:t>
      </w:r>
    </w:p>
    <w:p w14:paraId="6D1D07C3" w14:textId="38ED313F" w:rsidR="006575AD" w:rsidRDefault="006575AD" w:rsidP="006575AD">
      <w:pPr>
        <w:rPr>
          <w:lang w:val="en-US"/>
        </w:rPr>
      </w:pPr>
      <w:r w:rsidRPr="006575AD">
        <w:rPr>
          <w:lang w:val="en-US"/>
        </w:rPr>
        <w:t xml:space="preserve">The RESEARCH2025-catalogue highlighted research areas with a high potential, and has been used as an inspiration for both public and private research funding </w:t>
      </w:r>
      <w:r w:rsidR="00E32E6C" w:rsidRPr="006575AD">
        <w:rPr>
          <w:lang w:val="en-US"/>
        </w:rPr>
        <w:t>organizations</w:t>
      </w:r>
      <w:r w:rsidRPr="006575AD">
        <w:rPr>
          <w:lang w:val="en-US"/>
        </w:rPr>
        <w:t>. The public sector in Denmark (nationally, regionally and locally) continues to finance research and innovation within digitalization and the application of new and emerging technologies that benefit a wide range of societal sectors including health and social affairs. In 2023 and 2024, the Danish government has, together with the political parties, through the agreement on the so-called research reserve within the yearly financial act, allocated funds specifically for clinical and independent research with a focus on inequalities within health, including as a consequence of living with disabilities (410 million DKK in total 2023-2024). Also, the parties allocated more than 600 million DKK (2023-2024) to health and welfare technologies and 770 million DKK (2023-2024) to digital and new technologies.</w:t>
      </w:r>
    </w:p>
    <w:p w14:paraId="6AC85084" w14:textId="21C5B9D0" w:rsidR="00314BB2" w:rsidRDefault="00314BB2" w:rsidP="006575AD">
      <w:pPr>
        <w:rPr>
          <w:lang w:val="en-US"/>
        </w:rPr>
      </w:pPr>
    </w:p>
    <w:p w14:paraId="39761CBB" w14:textId="0CA83621" w:rsidR="00314BB2" w:rsidRDefault="00314BB2" w:rsidP="00314BB2">
      <w:pPr>
        <w:pStyle w:val="Overskrift2"/>
        <w:rPr>
          <w:lang w:val="en-US"/>
        </w:rPr>
      </w:pPr>
      <w:r>
        <w:rPr>
          <w:lang w:val="en-US"/>
        </w:rPr>
        <w:t xml:space="preserve">The number of people with disabilities using public transport </w:t>
      </w:r>
    </w:p>
    <w:p w14:paraId="3B27BB57" w14:textId="4EBA3C46" w:rsidR="001264F4" w:rsidRDefault="006A363F" w:rsidP="006575AD">
      <w:pPr>
        <w:rPr>
          <w:lang w:val="en-US"/>
        </w:rPr>
      </w:pPr>
      <w:r w:rsidRPr="006A363F">
        <w:rPr>
          <w:lang w:val="en-US"/>
        </w:rPr>
        <w:t xml:space="preserve">'Concerning the Committee’s remarks on the decline in numbers of persons with disability who can use public buses and trains without any difficulty, The Danish Ministry of Transport acknowledges the input. </w:t>
      </w:r>
      <w:r w:rsidR="00B53C6B" w:rsidRPr="006A363F">
        <w:rPr>
          <w:lang w:val="en-US"/>
        </w:rPr>
        <w:t>However,</w:t>
      </w:r>
      <w:r w:rsidRPr="006A363F">
        <w:rPr>
          <w:lang w:val="en-US"/>
        </w:rPr>
        <w:t xml:space="preserve"> The Danish Ministry of Transport is not in </w:t>
      </w:r>
      <w:r w:rsidR="00B53C6B" w:rsidRPr="006A363F">
        <w:rPr>
          <w:lang w:val="en-US"/>
        </w:rPr>
        <w:t>possession</w:t>
      </w:r>
      <w:r w:rsidRPr="006A363F">
        <w:rPr>
          <w:lang w:val="en-US"/>
        </w:rPr>
        <w:t xml:space="preserve"> of aggregated statistics on persons with disabilities’ actual use of public transportation (buses and trains). The Danish Ministry of Transport has access to statistics regarding individual disability service and DSB’s disability service schemes. As regards the period 2016-2019 (before COVD19) the usage of DSB’s disability service schemes is unchanged, whereas the usage of the individual disability service</w:t>
      </w:r>
      <w:r w:rsidR="00B53C6B">
        <w:rPr>
          <w:lang w:val="en-US"/>
        </w:rPr>
        <w:t>s</w:t>
      </w:r>
      <w:r w:rsidRPr="006A363F">
        <w:rPr>
          <w:lang w:val="en-US"/>
        </w:rPr>
        <w:t xml:space="preserve"> </w:t>
      </w:r>
      <w:proofErr w:type="gramStart"/>
      <w:r w:rsidRPr="006A363F">
        <w:rPr>
          <w:lang w:val="en-US"/>
        </w:rPr>
        <w:t>are</w:t>
      </w:r>
      <w:proofErr w:type="gramEnd"/>
      <w:r w:rsidRPr="006A363F">
        <w:rPr>
          <w:lang w:val="en-US"/>
        </w:rPr>
        <w:t xml:space="preserve"> increased by approx. 20 percent in the same period, which indicates an enhanced interest in using these specific services. DSB's disability service only covers train transportation where persons with disabilities requires scheduled assistance. The Danish Ministry of Transport takes these results into account'</w:t>
      </w:r>
    </w:p>
    <w:p w14:paraId="3BA8E306" w14:textId="77777777" w:rsidR="006A363F" w:rsidRDefault="006A363F" w:rsidP="006575AD">
      <w:pPr>
        <w:rPr>
          <w:lang w:val="en-US"/>
        </w:rPr>
      </w:pPr>
    </w:p>
    <w:p w14:paraId="16363F93" w14:textId="7D50875E" w:rsidR="001264F4" w:rsidRDefault="001264F4" w:rsidP="001264F4">
      <w:pPr>
        <w:pStyle w:val="Overskrift1"/>
        <w:rPr>
          <w:lang w:val="en-US"/>
        </w:rPr>
      </w:pPr>
      <w:r>
        <w:rPr>
          <w:lang w:val="en-US"/>
        </w:rPr>
        <w:t>Article 15</w:t>
      </w:r>
    </w:p>
    <w:p w14:paraId="156619B6" w14:textId="63A313B3" w:rsidR="001264F4" w:rsidRDefault="001264F4" w:rsidP="001264F4">
      <w:pPr>
        <w:pStyle w:val="Overskrift2"/>
        <w:rPr>
          <w:lang w:val="en-US"/>
        </w:rPr>
      </w:pPr>
      <w:r>
        <w:rPr>
          <w:lang w:val="en-US"/>
        </w:rPr>
        <w:t>Neuro experiments</w:t>
      </w:r>
    </w:p>
    <w:p w14:paraId="745548C4" w14:textId="20BCDFB3" w:rsidR="001264F4" w:rsidRPr="001264F4" w:rsidRDefault="001264F4" w:rsidP="001264F4">
      <w:pPr>
        <w:rPr>
          <w:lang w:val="en-US"/>
        </w:rPr>
      </w:pPr>
      <w:r w:rsidRPr="001264F4">
        <w:rPr>
          <w:lang w:val="en-US"/>
        </w:rPr>
        <w:t>As response to the question the Government refers to section 23 in the Mental Health Act which states that patients who are deprived of their liberty (patients who are submitted to involuntary hospitalization at a psychiatric hospital) must not be subjected to experimental treatment. Additionally, it follows from section 23 (2) in the Mental Health Act, that experimental treatment cannot be carried out towards patients who have given consent to being hospitalized in a psychiatric hospital, if the patients does not consent to such treatment.</w:t>
      </w:r>
    </w:p>
    <w:p w14:paraId="112CA79C" w14:textId="77777777" w:rsidR="006575AD" w:rsidRPr="006575AD" w:rsidRDefault="006575AD" w:rsidP="006575AD">
      <w:pPr>
        <w:rPr>
          <w:lang w:val="en-US"/>
        </w:rPr>
      </w:pPr>
    </w:p>
    <w:p w14:paraId="16D0CA51" w14:textId="5005BFAE" w:rsidR="006E1574" w:rsidRDefault="006E1574" w:rsidP="00DF2849">
      <w:pPr>
        <w:pStyle w:val="Overskrift1"/>
        <w:rPr>
          <w:lang w:val="en-US"/>
        </w:rPr>
      </w:pPr>
      <w:r>
        <w:rPr>
          <w:lang w:val="en-US"/>
        </w:rPr>
        <w:t>Article 16</w:t>
      </w:r>
    </w:p>
    <w:p w14:paraId="5E14864F" w14:textId="2ABA26AB" w:rsidR="006E1574" w:rsidRPr="007E00CC" w:rsidRDefault="007E00CC" w:rsidP="007E00CC">
      <w:pPr>
        <w:pStyle w:val="Overskrift2"/>
        <w:rPr>
          <w:lang w:val="en-US"/>
        </w:rPr>
      </w:pPr>
      <w:r w:rsidRPr="007E00CC">
        <w:rPr>
          <w:lang w:val="en-US"/>
        </w:rPr>
        <w:lastRenderedPageBreak/>
        <w:t>Women's shelter</w:t>
      </w:r>
    </w:p>
    <w:p w14:paraId="7E9C8A01" w14:textId="4BAE4E1D" w:rsidR="007E00CC" w:rsidRDefault="007E00CC" w:rsidP="007E00CC">
      <w:pPr>
        <w:rPr>
          <w:lang w:val="en-US"/>
        </w:rPr>
      </w:pPr>
      <w:r w:rsidRPr="007E00CC">
        <w:rPr>
          <w:lang w:val="en-US"/>
        </w:rPr>
        <w:t xml:space="preserve">According to </w:t>
      </w:r>
      <w:r w:rsidR="009265C6">
        <w:rPr>
          <w:lang w:val="en-US"/>
        </w:rPr>
        <w:t xml:space="preserve">section 109 in </w:t>
      </w:r>
      <w:r w:rsidRPr="007E00CC">
        <w:rPr>
          <w:lang w:val="en-US"/>
        </w:rPr>
        <w:t>the</w:t>
      </w:r>
      <w:r w:rsidR="009265C6">
        <w:rPr>
          <w:lang w:val="en-US"/>
        </w:rPr>
        <w:t xml:space="preserve"> Consolidation</w:t>
      </w:r>
      <w:r w:rsidRPr="007E00CC">
        <w:rPr>
          <w:lang w:val="en-US"/>
        </w:rPr>
        <w:t xml:space="preserve"> Act on Social Services, the municipalities are responsible for providing shelters for persons who are victims of violence in intimate relationships. The municipalities can fulfill their responsibility by using either municipal, regional or private shelters. The municipalities cannot refuse to provide shelters for women with a disability who are victims of domestic violence. If, upon request, a shelter does not have a place accessible to a woman </w:t>
      </w:r>
      <w:r w:rsidR="001C061E">
        <w:rPr>
          <w:lang w:val="en-US"/>
        </w:rPr>
        <w:t>with disabilities</w:t>
      </w:r>
      <w:r w:rsidRPr="007E00CC">
        <w:rPr>
          <w:lang w:val="en-US"/>
        </w:rPr>
        <w:t>, it is responsible for helping the citizen on to another shelter that can meet the citizen's need of protection.</w:t>
      </w:r>
    </w:p>
    <w:p w14:paraId="20B8949E" w14:textId="642A2878" w:rsidR="00896C7E" w:rsidRDefault="00896C7E" w:rsidP="007E00CC">
      <w:pPr>
        <w:rPr>
          <w:lang w:val="en-US"/>
        </w:rPr>
      </w:pPr>
    </w:p>
    <w:p w14:paraId="405F70D7" w14:textId="5D28293D" w:rsidR="00896C7E" w:rsidRDefault="00896C7E" w:rsidP="00896C7E">
      <w:pPr>
        <w:pStyle w:val="Overskrift2"/>
        <w:rPr>
          <w:lang w:val="en-US"/>
        </w:rPr>
      </w:pPr>
      <w:r>
        <w:rPr>
          <w:lang w:val="en-US"/>
        </w:rPr>
        <w:t>Violence and sexual abuse against women and children with disabilities in Greenland</w:t>
      </w:r>
    </w:p>
    <w:p w14:paraId="5930BD03" w14:textId="4B76D9B4" w:rsidR="00896C7E" w:rsidRPr="00896C7E" w:rsidRDefault="00896C7E" w:rsidP="00896C7E">
      <w:pPr>
        <w:rPr>
          <w:lang w:val="en-US"/>
        </w:rPr>
      </w:pPr>
      <w:r>
        <w:rPr>
          <w:lang w:val="en-US"/>
        </w:rPr>
        <w:t xml:space="preserve">Section 78 of the Greenlandic Criminal Code stipulates that any person who exploits the mental disorder or intellectual disability of another person to engage in sexual intercourse will be imposed a sanction. </w:t>
      </w:r>
      <w:r w:rsidRPr="00896C7E">
        <w:rPr>
          <w:lang w:val="en-US"/>
        </w:rPr>
        <w:t>The Greenlandic Criminal Code does not distinguish between gender-based violence and domestic violence but are directed towards violence in general, including violence against women with disabilities.</w:t>
      </w:r>
    </w:p>
    <w:p w14:paraId="433DECCB" w14:textId="77777777" w:rsidR="00896C7E" w:rsidRDefault="00896C7E" w:rsidP="00896C7E">
      <w:pPr>
        <w:rPr>
          <w:lang w:val="en-US"/>
        </w:rPr>
      </w:pPr>
    </w:p>
    <w:p w14:paraId="51386CF0" w14:textId="7C17DEB3" w:rsidR="007E00CC" w:rsidRDefault="00896C7E" w:rsidP="007E00CC">
      <w:pPr>
        <w:rPr>
          <w:lang w:val="en-US"/>
        </w:rPr>
      </w:pPr>
      <w:r w:rsidRPr="00896C7E">
        <w:rPr>
          <w:lang w:val="en-US"/>
        </w:rPr>
        <w:t xml:space="preserve">Greenland has taken several measures to prevent and protect persons with disabilities, including women and girls with disabilities, from all forms of exploitation, violence and abuse, as well as measures to ensure that persons with disabilities who are victims of violence have access to effective recovery, rehabilitation and social integration services and </w:t>
      </w:r>
      <w:r w:rsidR="00CA5EA7" w:rsidRPr="00896C7E">
        <w:rPr>
          <w:lang w:val="en-US"/>
        </w:rPr>
        <w:t>programs</w:t>
      </w:r>
      <w:r w:rsidRPr="00896C7E">
        <w:rPr>
          <w:lang w:val="en-US"/>
        </w:rPr>
        <w:t>. These measures include crises centers, preventive programs</w:t>
      </w:r>
      <w:r w:rsidR="00CA5EA7">
        <w:rPr>
          <w:lang w:val="en-US"/>
        </w:rPr>
        <w:t xml:space="preserve"> and</w:t>
      </w:r>
      <w:r w:rsidRPr="00896C7E">
        <w:rPr>
          <w:lang w:val="en-US"/>
        </w:rPr>
        <w:t xml:space="preserve"> new initiatives in the national action plan</w:t>
      </w:r>
      <w:r w:rsidR="00CA5EA7">
        <w:rPr>
          <w:lang w:val="en-US"/>
        </w:rPr>
        <w:t xml:space="preserve"> </w:t>
      </w:r>
      <w:r w:rsidRPr="00896C7E">
        <w:rPr>
          <w:lang w:val="en-US"/>
        </w:rPr>
        <w:t>published August 2024</w:t>
      </w:r>
      <w:r w:rsidR="00CA5EA7">
        <w:rPr>
          <w:lang w:val="en-US"/>
        </w:rPr>
        <w:t xml:space="preserve"> </w:t>
      </w:r>
      <w:r w:rsidR="00B53C6B">
        <w:rPr>
          <w:lang w:val="en-US"/>
        </w:rPr>
        <w:t xml:space="preserve">with </w:t>
      </w:r>
      <w:r w:rsidR="00B53C6B" w:rsidRPr="00CA5EA7">
        <w:rPr>
          <w:lang w:val="en-US"/>
        </w:rPr>
        <w:t>specific</w:t>
      </w:r>
      <w:r w:rsidR="00CA5EA7" w:rsidRPr="00896C7E">
        <w:rPr>
          <w:lang w:val="en-US"/>
        </w:rPr>
        <w:t xml:space="preserve"> paragraphs for preventive measures and policy to prevent as well as rehabilitation after sexual abuse.</w:t>
      </w:r>
      <w:r w:rsidRPr="00896C7E">
        <w:rPr>
          <w:lang w:val="en-US"/>
        </w:rPr>
        <w:t xml:space="preserve"> </w:t>
      </w:r>
    </w:p>
    <w:p w14:paraId="4A7ECD8C" w14:textId="4389B1FB" w:rsidR="006632A2" w:rsidRDefault="006632A2" w:rsidP="007E00CC">
      <w:pPr>
        <w:rPr>
          <w:lang w:val="en-US"/>
        </w:rPr>
      </w:pPr>
    </w:p>
    <w:p w14:paraId="147DB99C" w14:textId="1F836D2F" w:rsidR="006632A2" w:rsidRDefault="006632A2" w:rsidP="006632A2">
      <w:pPr>
        <w:pStyle w:val="Overskrift1"/>
        <w:rPr>
          <w:lang w:val="en-US"/>
        </w:rPr>
      </w:pPr>
      <w:r>
        <w:rPr>
          <w:lang w:val="en-US"/>
        </w:rPr>
        <w:t>Article 18</w:t>
      </w:r>
    </w:p>
    <w:p w14:paraId="100078BF" w14:textId="1ADC5CBD" w:rsidR="006632A2" w:rsidRDefault="006632A2" w:rsidP="006632A2">
      <w:pPr>
        <w:pStyle w:val="Overskrift2"/>
        <w:rPr>
          <w:lang w:val="en-US"/>
        </w:rPr>
      </w:pPr>
      <w:r>
        <w:rPr>
          <w:lang w:val="en-US"/>
        </w:rPr>
        <w:t>Detention center</w:t>
      </w:r>
      <w:r w:rsidR="00303025">
        <w:rPr>
          <w:lang w:val="en-US"/>
        </w:rPr>
        <w:t>s</w:t>
      </w:r>
      <w:r>
        <w:rPr>
          <w:lang w:val="en-US"/>
        </w:rPr>
        <w:t xml:space="preserve"> for refugees </w:t>
      </w:r>
    </w:p>
    <w:p w14:paraId="0619C66D" w14:textId="77777777" w:rsidR="006632A2" w:rsidRPr="006632A2" w:rsidRDefault="006632A2" w:rsidP="006632A2">
      <w:pPr>
        <w:rPr>
          <w:lang w:val="en-US"/>
        </w:rPr>
      </w:pPr>
      <w:r w:rsidRPr="006632A2">
        <w:rPr>
          <w:lang w:val="en-US"/>
        </w:rPr>
        <w:t xml:space="preserve">The </w:t>
      </w:r>
      <w:proofErr w:type="spellStart"/>
      <w:r w:rsidRPr="006632A2">
        <w:rPr>
          <w:lang w:val="en-US"/>
        </w:rPr>
        <w:t>Ellebæk</w:t>
      </w:r>
      <w:proofErr w:type="spellEnd"/>
      <w:r w:rsidRPr="006632A2">
        <w:rPr>
          <w:lang w:val="en-US"/>
        </w:rPr>
        <w:t xml:space="preserve"> Centre for Foreigners (hereinafter “</w:t>
      </w:r>
      <w:proofErr w:type="spellStart"/>
      <w:r w:rsidRPr="006632A2">
        <w:rPr>
          <w:lang w:val="en-US"/>
        </w:rPr>
        <w:t>Ellebæk</w:t>
      </w:r>
      <w:proofErr w:type="spellEnd"/>
      <w:r w:rsidRPr="006632A2">
        <w:rPr>
          <w:lang w:val="en-US"/>
        </w:rPr>
        <w:t>”) is used to detain foreign nationals pursuant to the rules of the Danish Alien Act and the Danish Return Act.</w:t>
      </w:r>
    </w:p>
    <w:p w14:paraId="25DDEB9C" w14:textId="77777777" w:rsidR="006632A2" w:rsidRPr="006632A2" w:rsidRDefault="006632A2" w:rsidP="006632A2">
      <w:pPr>
        <w:rPr>
          <w:lang w:val="en-US"/>
        </w:rPr>
      </w:pPr>
    </w:p>
    <w:p w14:paraId="4DA4995C" w14:textId="77777777" w:rsidR="006632A2" w:rsidRPr="006632A2" w:rsidRDefault="006632A2" w:rsidP="006632A2">
      <w:pPr>
        <w:rPr>
          <w:lang w:val="en-US"/>
        </w:rPr>
      </w:pPr>
      <w:r w:rsidRPr="006632A2">
        <w:rPr>
          <w:lang w:val="en-US"/>
        </w:rPr>
        <w:t xml:space="preserve">As a main rule, the detained migrants are subject to the same rules as per-sons in remand custody. </w:t>
      </w:r>
    </w:p>
    <w:p w14:paraId="3E9C4885" w14:textId="77777777" w:rsidR="006632A2" w:rsidRPr="006632A2" w:rsidRDefault="006632A2" w:rsidP="006632A2">
      <w:pPr>
        <w:rPr>
          <w:lang w:val="en-US"/>
        </w:rPr>
      </w:pPr>
    </w:p>
    <w:p w14:paraId="0C96F7F4" w14:textId="698A2965" w:rsidR="006632A2" w:rsidRPr="006632A2" w:rsidRDefault="006632A2" w:rsidP="006632A2">
      <w:pPr>
        <w:rPr>
          <w:lang w:val="en-US"/>
        </w:rPr>
      </w:pPr>
      <w:proofErr w:type="spellStart"/>
      <w:r w:rsidRPr="006632A2">
        <w:rPr>
          <w:lang w:val="en-US"/>
        </w:rPr>
        <w:t>Ellebæk</w:t>
      </w:r>
      <w:proofErr w:type="spellEnd"/>
      <w:r w:rsidRPr="006632A2">
        <w:rPr>
          <w:lang w:val="en-US"/>
        </w:rPr>
        <w:t xml:space="preserve"> is </w:t>
      </w:r>
      <w:r w:rsidR="00B53C6B" w:rsidRPr="006632A2">
        <w:rPr>
          <w:lang w:val="en-US"/>
        </w:rPr>
        <w:t>characterized</w:t>
      </w:r>
      <w:r w:rsidRPr="006632A2">
        <w:rPr>
          <w:lang w:val="en-US"/>
        </w:rPr>
        <w:t xml:space="preserve"> by special external security in the form of e.g. security fences, secured courtyard areas and camera surveillance of outdoor areas. This is in order to secure the detention, which means that the detainees are not allowed to leave the institution. In contrast to what applies to criminal prisoners, there are no similar restrictions on the detainees' access to community time with each other. </w:t>
      </w:r>
    </w:p>
    <w:p w14:paraId="16B2F2C2" w14:textId="77777777" w:rsidR="006632A2" w:rsidRPr="006632A2" w:rsidRDefault="006632A2" w:rsidP="006632A2">
      <w:pPr>
        <w:rPr>
          <w:lang w:val="en-US"/>
        </w:rPr>
      </w:pPr>
    </w:p>
    <w:p w14:paraId="2ED0D21E" w14:textId="28B7C179" w:rsidR="006632A2" w:rsidRDefault="006632A2" w:rsidP="006632A2">
      <w:pPr>
        <w:rPr>
          <w:lang w:val="en-US"/>
        </w:rPr>
      </w:pPr>
      <w:r w:rsidRPr="006632A2">
        <w:rPr>
          <w:lang w:val="en-US"/>
        </w:rPr>
        <w:t xml:space="preserve">With regards to access to medical care, two nurses are employed in </w:t>
      </w:r>
      <w:proofErr w:type="spellStart"/>
      <w:r w:rsidRPr="006632A2">
        <w:rPr>
          <w:lang w:val="en-US"/>
        </w:rPr>
        <w:t>Ellebæk</w:t>
      </w:r>
      <w:proofErr w:type="spellEnd"/>
      <w:r w:rsidRPr="006632A2">
        <w:rPr>
          <w:lang w:val="en-US"/>
        </w:rPr>
        <w:t>. The nurses are present during the day from Monday to Friday. There is also a medical doctor present once a week, as well as a specialist in psychiatry, who is made use of when needed. The detainees can request to be examined by health-care professionals, which will always result in a consultation with a nurse within a few days and often on the same day the request is made. It is then up to the nurse to assess whether there is a need for the detainee to be seen by a medical doctor.</w:t>
      </w:r>
    </w:p>
    <w:p w14:paraId="2C85F5BB" w14:textId="77777777" w:rsidR="006632A2" w:rsidRPr="006632A2" w:rsidRDefault="006632A2" w:rsidP="006632A2">
      <w:pPr>
        <w:rPr>
          <w:lang w:val="en-US"/>
        </w:rPr>
      </w:pPr>
    </w:p>
    <w:p w14:paraId="0ACBB274" w14:textId="77777777" w:rsidR="006632A2" w:rsidRPr="007E00CC" w:rsidRDefault="006632A2" w:rsidP="007E00CC">
      <w:pPr>
        <w:rPr>
          <w:lang w:val="en-US"/>
        </w:rPr>
      </w:pPr>
    </w:p>
    <w:p w14:paraId="1AA578D6" w14:textId="2CD5880B" w:rsidR="00DF2849" w:rsidRDefault="00DF2849" w:rsidP="00DF2849">
      <w:pPr>
        <w:pStyle w:val="Overskrift1"/>
        <w:rPr>
          <w:lang w:val="en-US"/>
        </w:rPr>
      </w:pPr>
      <w:r>
        <w:rPr>
          <w:lang w:val="en-US"/>
        </w:rPr>
        <w:lastRenderedPageBreak/>
        <w:t>Article 23</w:t>
      </w:r>
    </w:p>
    <w:p w14:paraId="08A88087" w14:textId="77777777" w:rsidR="00DF2849" w:rsidRDefault="00DF2849" w:rsidP="00DF2849">
      <w:pPr>
        <w:pStyle w:val="Overskrift2"/>
        <w:spacing w:line="240" w:lineRule="auto"/>
        <w:rPr>
          <w:lang w:val="en-US"/>
        </w:rPr>
      </w:pPr>
      <w:r>
        <w:rPr>
          <w:lang w:val="en-US"/>
        </w:rPr>
        <w:t>Custody</w:t>
      </w:r>
    </w:p>
    <w:p w14:paraId="0474D7CB" w14:textId="7648DD71" w:rsidR="00314BB2" w:rsidRPr="00B53C6B" w:rsidRDefault="00DF2849" w:rsidP="00F677C9">
      <w:pPr>
        <w:pStyle w:val="paragraphp-sc-67xmd0-0"/>
        <w:shd w:val="clear" w:color="auto" w:fill="FFFFFF"/>
        <w:spacing w:before="0" w:beforeAutospacing="0"/>
        <w:rPr>
          <w:rFonts w:ascii="Arial" w:hAnsi="Arial" w:cs="Arial"/>
          <w:sz w:val="20"/>
          <w:szCs w:val="20"/>
          <w:lang w:val="en-US"/>
        </w:rPr>
      </w:pPr>
      <w:r w:rsidRPr="00B53C6B">
        <w:rPr>
          <w:rFonts w:ascii="Arial" w:hAnsi="Arial" w:cs="Arial"/>
          <w:sz w:val="20"/>
          <w:szCs w:val="20"/>
          <w:lang w:val="en-US"/>
        </w:rPr>
        <w:t xml:space="preserve">According to the Danish Act on Parental Responsibility all decisions made pursuant to the Act shall be based on the child’s best interests and the authorities shall focus on measures to ensure that decisions contribute to safeguarding the wellbeing of the child and protecting the child from acts of violence or other treatment that exposes the child to harm or danger. As a main rule parents have joint custody, even when they separate or divorce or no longer live together. Joint custody can only be revoked if there are grounds for assuming that the parents cannot cooperate on the child in the best interests of the child. The fact that a parent has </w:t>
      </w:r>
      <w:r w:rsidR="00D9352A" w:rsidRPr="00B53C6B">
        <w:rPr>
          <w:rFonts w:ascii="Arial" w:hAnsi="Arial" w:cs="Arial"/>
          <w:sz w:val="20"/>
          <w:szCs w:val="20"/>
          <w:lang w:val="en-US"/>
        </w:rPr>
        <w:t xml:space="preserve">a </w:t>
      </w:r>
      <w:r w:rsidRPr="00B53C6B">
        <w:rPr>
          <w:rFonts w:ascii="Arial" w:hAnsi="Arial" w:cs="Arial"/>
          <w:sz w:val="20"/>
          <w:szCs w:val="20"/>
          <w:lang w:val="en-US"/>
        </w:rPr>
        <w:t>disabilit</w:t>
      </w:r>
      <w:r w:rsidR="00D9352A" w:rsidRPr="00B53C6B">
        <w:rPr>
          <w:rFonts w:ascii="Arial" w:hAnsi="Arial" w:cs="Arial"/>
          <w:sz w:val="20"/>
          <w:szCs w:val="20"/>
          <w:lang w:val="en-US"/>
        </w:rPr>
        <w:t>y</w:t>
      </w:r>
      <w:r w:rsidRPr="00B53C6B">
        <w:rPr>
          <w:rFonts w:ascii="Arial" w:hAnsi="Arial" w:cs="Arial"/>
          <w:sz w:val="20"/>
          <w:szCs w:val="20"/>
          <w:lang w:val="en-US"/>
        </w:rPr>
        <w:t xml:space="preserve"> will not in itself constitute </w:t>
      </w:r>
      <w:r w:rsidR="00D9352A" w:rsidRPr="00B53C6B">
        <w:rPr>
          <w:rFonts w:ascii="Arial" w:hAnsi="Arial" w:cs="Arial"/>
          <w:sz w:val="20"/>
          <w:szCs w:val="20"/>
          <w:lang w:val="en-US"/>
        </w:rPr>
        <w:t xml:space="preserve">a </w:t>
      </w:r>
      <w:r w:rsidRPr="00B53C6B">
        <w:rPr>
          <w:rFonts w:ascii="Arial" w:hAnsi="Arial" w:cs="Arial"/>
          <w:sz w:val="20"/>
          <w:szCs w:val="20"/>
          <w:lang w:val="en-US"/>
        </w:rPr>
        <w:t xml:space="preserve">reason to grant the other parent sole custody. </w:t>
      </w:r>
    </w:p>
    <w:p w14:paraId="0BC8CEC5" w14:textId="62A1609C" w:rsidR="00314BB2" w:rsidRDefault="00314BB2" w:rsidP="00314BB2">
      <w:pPr>
        <w:pStyle w:val="Overskrift2"/>
        <w:rPr>
          <w:lang w:val="en-US"/>
        </w:rPr>
      </w:pPr>
      <w:r>
        <w:rPr>
          <w:lang w:val="en-US"/>
        </w:rPr>
        <w:t>Adoption without consent</w:t>
      </w:r>
    </w:p>
    <w:p w14:paraId="64043E53" w14:textId="646437A7" w:rsidR="00314BB2" w:rsidRDefault="00314BB2" w:rsidP="00314BB2">
      <w:pPr>
        <w:rPr>
          <w:lang w:val="en-US"/>
        </w:rPr>
      </w:pPr>
      <w:r w:rsidRPr="00314BB2">
        <w:rPr>
          <w:lang w:val="en-US"/>
        </w:rPr>
        <w:t>In Denmark, the Adoption Act regulates the circumstances under which children or youths can be adopted without consent from their parents, guardians, or the child itself, if the child has turned 12 years old.  In 2023, the Danish authorities referred 45 children or youths to adoption without consent. In 2022, 37 children or youths were referred to adoption without consent. Following such a referral, the child is adopted when a suitable adoptive family have been found.</w:t>
      </w:r>
    </w:p>
    <w:p w14:paraId="22D6CC78" w14:textId="77777777" w:rsidR="00314BB2" w:rsidRPr="00314BB2" w:rsidRDefault="00314BB2" w:rsidP="00314BB2">
      <w:pPr>
        <w:rPr>
          <w:lang w:val="en-US"/>
        </w:rPr>
      </w:pPr>
    </w:p>
    <w:p w14:paraId="2D607C92" w14:textId="1A98B9D4" w:rsidR="001264F4" w:rsidRDefault="00822C48" w:rsidP="00822C48">
      <w:pPr>
        <w:pStyle w:val="Overskrift1"/>
        <w:rPr>
          <w:lang w:val="en-US"/>
        </w:rPr>
      </w:pPr>
      <w:r>
        <w:rPr>
          <w:lang w:val="en-US"/>
        </w:rPr>
        <w:t>Article 24</w:t>
      </w:r>
    </w:p>
    <w:p w14:paraId="701DAB2A" w14:textId="73B7E864" w:rsidR="00822C48" w:rsidRDefault="00812915" w:rsidP="00D32D5F">
      <w:pPr>
        <w:pStyle w:val="Overskrift2"/>
        <w:rPr>
          <w:lang w:val="en-US"/>
        </w:rPr>
      </w:pPr>
      <w:r>
        <w:rPr>
          <w:lang w:val="en-US"/>
        </w:rPr>
        <w:t>Data on m</w:t>
      </w:r>
      <w:r w:rsidR="00D32D5F">
        <w:rPr>
          <w:lang w:val="en-US"/>
        </w:rPr>
        <w:t xml:space="preserve">ainstream schools </w:t>
      </w:r>
    </w:p>
    <w:p w14:paraId="4B447470" w14:textId="77777777" w:rsidR="00D32D5F" w:rsidRPr="00D32D5F" w:rsidRDefault="00D32D5F" w:rsidP="00D32D5F">
      <w:pPr>
        <w:rPr>
          <w:lang w:val="en-US"/>
        </w:rPr>
      </w:pPr>
      <w:r w:rsidRPr="00D32D5F">
        <w:rPr>
          <w:lang w:val="en-US"/>
        </w:rPr>
        <w:t>In 2022, the Ministry of Children and Education investigated the educational outcomes of children and young people with functional impairments. The study aimed to develop a system for tracking their progress in the future, improving the knowledge base on education patterns and the impact of targeted efforts.</w:t>
      </w:r>
    </w:p>
    <w:p w14:paraId="1C33C841" w14:textId="77777777" w:rsidR="00D32D5F" w:rsidRPr="00D32D5F" w:rsidRDefault="00D32D5F" w:rsidP="00D32D5F">
      <w:pPr>
        <w:rPr>
          <w:lang w:val="en-US"/>
        </w:rPr>
      </w:pPr>
    </w:p>
    <w:p w14:paraId="1CC822AF" w14:textId="5E199B5B" w:rsidR="00D32D5F" w:rsidRDefault="00D32D5F" w:rsidP="00D32D5F">
      <w:pPr>
        <w:rPr>
          <w:lang w:val="en-US"/>
        </w:rPr>
      </w:pPr>
      <w:r w:rsidRPr="00D32D5F">
        <w:rPr>
          <w:lang w:val="en-US"/>
        </w:rPr>
        <w:t>Key findings show that 12% of young people with disabilities are exempt from the primary school leaving exam, compared to 1% of their non-disabled peers. They also have lower grades in Danish and math, higher absenteeism, more school changes, and report lower well-being. Those in segregated school settings perform worse on average than those in inclusive settings, though the study does not establish direct causality.</w:t>
      </w:r>
    </w:p>
    <w:p w14:paraId="1769C8E7" w14:textId="504D0D66" w:rsidR="00D32D5F" w:rsidRDefault="00D32D5F" w:rsidP="00D32D5F">
      <w:pPr>
        <w:rPr>
          <w:lang w:val="en-US"/>
        </w:rPr>
      </w:pPr>
    </w:p>
    <w:p w14:paraId="3707E6D6" w14:textId="2B690224" w:rsidR="00D32D5F" w:rsidRDefault="00D32D5F" w:rsidP="00D32D5F">
      <w:pPr>
        <w:pStyle w:val="Overskrift2"/>
        <w:rPr>
          <w:lang w:val="en-US"/>
        </w:rPr>
      </w:pPr>
      <w:r>
        <w:rPr>
          <w:lang w:val="en-US"/>
        </w:rPr>
        <w:t>S</w:t>
      </w:r>
      <w:r w:rsidRPr="00D32D5F">
        <w:rPr>
          <w:lang w:val="en-US"/>
        </w:rPr>
        <w:t>pecialized classes for young people with autism (ASF-classes)</w:t>
      </w:r>
    </w:p>
    <w:p w14:paraId="0E2163FA" w14:textId="77777777" w:rsidR="00D32D5F" w:rsidRPr="00D32D5F" w:rsidRDefault="00D32D5F" w:rsidP="00D32D5F">
      <w:pPr>
        <w:rPr>
          <w:lang w:val="en-US"/>
        </w:rPr>
      </w:pPr>
      <w:r w:rsidRPr="00D32D5F">
        <w:rPr>
          <w:lang w:val="en-US"/>
        </w:rPr>
        <w:t>The ASF-classes are special upper secondary school classes. They have a maximum capacity of 12 students and are designed to meet specific needs of young people with autism.</w:t>
      </w:r>
    </w:p>
    <w:p w14:paraId="320530CF" w14:textId="77777777" w:rsidR="00D32D5F" w:rsidRPr="00D32D5F" w:rsidRDefault="00D32D5F" w:rsidP="00D32D5F">
      <w:pPr>
        <w:rPr>
          <w:lang w:val="en-US"/>
        </w:rPr>
      </w:pPr>
    </w:p>
    <w:p w14:paraId="0C2E3784" w14:textId="77777777" w:rsidR="00D32D5F" w:rsidRPr="00D32D5F" w:rsidRDefault="00D32D5F" w:rsidP="00D32D5F">
      <w:pPr>
        <w:rPr>
          <w:lang w:val="en-US"/>
        </w:rPr>
      </w:pPr>
      <w:r w:rsidRPr="00D32D5F">
        <w:rPr>
          <w:lang w:val="en-US"/>
        </w:rPr>
        <w:t>In 2023, an evaluation conducted by the Danish Agency for Education and Quality found that teachers in the ASF-classes are well-qualified and that schools systematically prioritize professional development and knowledge sharing.</w:t>
      </w:r>
    </w:p>
    <w:p w14:paraId="64146CE9" w14:textId="77777777" w:rsidR="00D32D5F" w:rsidRPr="00D32D5F" w:rsidRDefault="00D32D5F" w:rsidP="00D32D5F">
      <w:pPr>
        <w:rPr>
          <w:lang w:val="en-US"/>
        </w:rPr>
      </w:pPr>
    </w:p>
    <w:p w14:paraId="7683E429" w14:textId="558C0549" w:rsidR="00D32D5F" w:rsidRDefault="00D32D5F" w:rsidP="00D32D5F">
      <w:pPr>
        <w:rPr>
          <w:lang w:val="en-US"/>
        </w:rPr>
      </w:pPr>
      <w:r w:rsidRPr="00D32D5F">
        <w:rPr>
          <w:lang w:val="en-US"/>
        </w:rPr>
        <w:t xml:space="preserve">In 2024, six additional ASF-classes have been established, raising the </w:t>
      </w:r>
      <w:r w:rsidR="00812915" w:rsidRPr="00D32D5F">
        <w:rPr>
          <w:lang w:val="en-US"/>
        </w:rPr>
        <w:t>number</w:t>
      </w:r>
      <w:r w:rsidRPr="00D32D5F">
        <w:rPr>
          <w:lang w:val="en-US"/>
        </w:rPr>
        <w:t xml:space="preserve"> of permanent ASF-classes from 13 to 19. In the process emphasis has been placed on diversity in terms of geography and types of upper secondary education (general, business, and technical).</w:t>
      </w:r>
    </w:p>
    <w:p w14:paraId="68E7B225" w14:textId="1BAA2862" w:rsidR="00D32D5F" w:rsidRDefault="00D32D5F" w:rsidP="00D32D5F">
      <w:pPr>
        <w:rPr>
          <w:lang w:val="en-US"/>
        </w:rPr>
      </w:pPr>
    </w:p>
    <w:p w14:paraId="69DC0380" w14:textId="18013E3F" w:rsidR="00D32D5F" w:rsidRDefault="00D32D5F" w:rsidP="00D32D5F">
      <w:pPr>
        <w:pStyle w:val="Overskrift2"/>
        <w:rPr>
          <w:lang w:val="en-US"/>
        </w:rPr>
      </w:pPr>
      <w:r>
        <w:rPr>
          <w:lang w:val="en-US"/>
        </w:rPr>
        <w:lastRenderedPageBreak/>
        <w:t>P</w:t>
      </w:r>
      <w:r w:rsidRPr="00D32D5F">
        <w:rPr>
          <w:lang w:val="en-US"/>
        </w:rPr>
        <w:t>articipation of organizations of persons with disabilities in monitoring the implementation of inclusion</w:t>
      </w:r>
    </w:p>
    <w:p w14:paraId="0D91B497" w14:textId="77777777" w:rsidR="00D32D5F" w:rsidRPr="00D32D5F" w:rsidRDefault="00D32D5F" w:rsidP="00D32D5F">
      <w:pPr>
        <w:rPr>
          <w:lang w:val="en-US"/>
        </w:rPr>
      </w:pPr>
      <w:r w:rsidRPr="00D32D5F">
        <w:rPr>
          <w:lang w:val="en-US"/>
        </w:rPr>
        <w:t xml:space="preserve">Disabled People's </w:t>
      </w:r>
      <w:proofErr w:type="spellStart"/>
      <w:r w:rsidRPr="00D32D5F">
        <w:rPr>
          <w:lang w:val="en-US"/>
        </w:rPr>
        <w:t>Organisations</w:t>
      </w:r>
      <w:proofErr w:type="spellEnd"/>
      <w:r w:rsidRPr="00D32D5F">
        <w:rPr>
          <w:lang w:val="en-US"/>
        </w:rPr>
        <w:t xml:space="preserve"> Denmark (DPOD) plays a key role in monitoring the inclusion of persons with disabilities, particularly in education. DPOD is represented in several important bodies, including Complaints Board for Special Education, Appeals Board for State Educational Support, Council for Children's Learning and Digitization Panel in the Agency for IT and Learning. </w:t>
      </w:r>
    </w:p>
    <w:p w14:paraId="48E9EF79" w14:textId="77777777" w:rsidR="00D32D5F" w:rsidRDefault="00D32D5F" w:rsidP="00D32D5F">
      <w:pPr>
        <w:rPr>
          <w:lang w:val="en-US"/>
        </w:rPr>
      </w:pPr>
    </w:p>
    <w:p w14:paraId="29C9B33D" w14:textId="77B3B7D4" w:rsidR="00D32D5F" w:rsidRPr="00D32D5F" w:rsidRDefault="00D32D5F" w:rsidP="00D32D5F">
      <w:pPr>
        <w:rPr>
          <w:lang w:val="en-US"/>
        </w:rPr>
      </w:pPr>
      <w:r w:rsidRPr="00D32D5F">
        <w:rPr>
          <w:lang w:val="en-US"/>
        </w:rPr>
        <w:t>Furthermore, DPOD participate in follow-up groups for development projects, e.g.  Knowledge Unit for Children and Youth with Special Needs (VIBUS), and they participate ad hoc in the national initiative “</w:t>
      </w:r>
      <w:proofErr w:type="spellStart"/>
      <w:r w:rsidRPr="00D32D5F">
        <w:rPr>
          <w:lang w:val="en-US"/>
        </w:rPr>
        <w:t>Sammen</w:t>
      </w:r>
      <w:proofErr w:type="spellEnd"/>
      <w:r w:rsidRPr="00D32D5F">
        <w:rPr>
          <w:lang w:val="en-US"/>
        </w:rPr>
        <w:t xml:space="preserve"> om </w:t>
      </w:r>
      <w:proofErr w:type="spellStart"/>
      <w:r w:rsidRPr="00D32D5F">
        <w:rPr>
          <w:lang w:val="en-US"/>
        </w:rPr>
        <w:t>skolen</w:t>
      </w:r>
      <w:proofErr w:type="spellEnd"/>
      <w:r w:rsidRPr="00D32D5F">
        <w:rPr>
          <w:lang w:val="en-US"/>
        </w:rPr>
        <w:t xml:space="preserve">”. </w:t>
      </w:r>
    </w:p>
    <w:p w14:paraId="5416420F" w14:textId="77777777" w:rsidR="00D32D5F" w:rsidRDefault="00D32D5F" w:rsidP="00D32D5F">
      <w:pPr>
        <w:rPr>
          <w:lang w:val="en-US"/>
        </w:rPr>
      </w:pPr>
    </w:p>
    <w:p w14:paraId="02BDADF7" w14:textId="402FF131" w:rsidR="00D32D5F" w:rsidRPr="00D32D5F" w:rsidRDefault="00D32D5F" w:rsidP="00D32D5F">
      <w:pPr>
        <w:rPr>
          <w:lang w:val="en-US"/>
        </w:rPr>
      </w:pPr>
      <w:r w:rsidRPr="00D32D5F">
        <w:rPr>
          <w:lang w:val="en-US"/>
        </w:rPr>
        <w:t>Additionally, as part of the implementation of the specially organized youth education (STU) agreement from 2022, a group consisting of organizations of persons with disabilities was established</w:t>
      </w:r>
      <w:r w:rsidR="00812915">
        <w:rPr>
          <w:lang w:val="en-US"/>
        </w:rPr>
        <w:t xml:space="preserve"> in 2022 with the responsibility of </w:t>
      </w:r>
      <w:r w:rsidRPr="00D32D5F">
        <w:rPr>
          <w:lang w:val="en-US"/>
        </w:rPr>
        <w:t>monitoring and providing input on the implementation of the agreement and meets as needed.</w:t>
      </w:r>
    </w:p>
    <w:p w14:paraId="1E959C03" w14:textId="77777777" w:rsidR="00D32D5F" w:rsidRPr="00D32D5F" w:rsidRDefault="00D32D5F" w:rsidP="00D32D5F">
      <w:pPr>
        <w:rPr>
          <w:lang w:val="en-US"/>
        </w:rPr>
      </w:pPr>
    </w:p>
    <w:p w14:paraId="7E147EA6" w14:textId="50B6BB16" w:rsidR="001264F4" w:rsidRDefault="001264F4" w:rsidP="001264F4">
      <w:pPr>
        <w:pStyle w:val="Overskrift1"/>
        <w:rPr>
          <w:lang w:val="en-US"/>
        </w:rPr>
      </w:pPr>
      <w:r>
        <w:rPr>
          <w:lang w:val="en-US"/>
        </w:rPr>
        <w:t>Article 25</w:t>
      </w:r>
    </w:p>
    <w:p w14:paraId="0D342060" w14:textId="06D98F6E" w:rsidR="001264F4" w:rsidRDefault="001264F4" w:rsidP="001264F4">
      <w:pPr>
        <w:pStyle w:val="Overskrift2"/>
        <w:rPr>
          <w:lang w:val="en-US"/>
        </w:rPr>
      </w:pPr>
      <w:bookmarkStart w:id="0" w:name="_Hlk175570781"/>
      <w:r>
        <w:rPr>
          <w:lang w:val="en-US"/>
        </w:rPr>
        <w:t>Access to hospitals and other healthcare services</w:t>
      </w:r>
      <w:r w:rsidR="00F326C3">
        <w:rPr>
          <w:lang w:val="en-US"/>
        </w:rPr>
        <w:t xml:space="preserve"> in Denmark</w:t>
      </w:r>
    </w:p>
    <w:bookmarkEnd w:id="0"/>
    <w:p w14:paraId="7ED10FB9" w14:textId="0A44ACCF" w:rsidR="001264F4" w:rsidRPr="001264F4" w:rsidRDefault="001264F4" w:rsidP="001264F4">
      <w:pPr>
        <w:rPr>
          <w:lang w:val="en-US"/>
        </w:rPr>
      </w:pPr>
      <w:r w:rsidRPr="001264F4">
        <w:rPr>
          <w:lang w:val="en-US"/>
        </w:rPr>
        <w:t xml:space="preserve">Denmark strives to make sure that all health services are accessible to all patients. All new health clinics, hospitals </w:t>
      </w:r>
      <w:proofErr w:type="spellStart"/>
      <w:r w:rsidRPr="001264F4">
        <w:rPr>
          <w:lang w:val="en-US"/>
        </w:rPr>
        <w:t>ect</w:t>
      </w:r>
      <w:proofErr w:type="spellEnd"/>
      <w:r w:rsidRPr="001264F4">
        <w:rPr>
          <w:lang w:val="en-US"/>
        </w:rPr>
        <w:t>. are constructed in accordance with the current accessibility standards in the Danish building regulations Also, the current agreement between the health authorities and the General Practitioners states that all clinics should have accessible consultation rooms and accessible toilet facilities for persons with disabilities.</w:t>
      </w:r>
    </w:p>
    <w:p w14:paraId="35552298" w14:textId="77777777" w:rsidR="001264F4" w:rsidRPr="001264F4" w:rsidRDefault="001264F4" w:rsidP="001264F4">
      <w:pPr>
        <w:rPr>
          <w:lang w:val="en-US"/>
        </w:rPr>
      </w:pPr>
    </w:p>
    <w:p w14:paraId="322CEBBD" w14:textId="555B215F" w:rsidR="001264F4" w:rsidRDefault="00621CD1" w:rsidP="001264F4">
      <w:pPr>
        <w:rPr>
          <w:lang w:val="en-US"/>
        </w:rPr>
      </w:pPr>
      <w:r>
        <w:rPr>
          <w:lang w:val="en-US"/>
        </w:rPr>
        <w:t xml:space="preserve">However, </w:t>
      </w:r>
      <w:r w:rsidR="001264F4" w:rsidRPr="001264F4">
        <w:rPr>
          <w:lang w:val="en-US"/>
        </w:rPr>
        <w:t xml:space="preserve">Denmark does face challenges with accessibility in the primary sector, in particular in bigger cities where many clinics are located in older multi-storied buildings. In 2018 and 2019 </w:t>
      </w:r>
      <w:proofErr w:type="spellStart"/>
      <w:r w:rsidR="001264F4" w:rsidRPr="001264F4">
        <w:rPr>
          <w:lang w:val="en-US"/>
        </w:rPr>
        <w:t>MoH</w:t>
      </w:r>
      <w:proofErr w:type="spellEnd"/>
      <w:r w:rsidR="001264F4" w:rsidRPr="001264F4">
        <w:rPr>
          <w:lang w:val="en-US"/>
        </w:rPr>
        <w:t xml:space="preserve"> gave subsidies to building and renovating medical </w:t>
      </w:r>
      <w:r w:rsidR="00812915" w:rsidRPr="001264F4">
        <w:rPr>
          <w:lang w:val="en-US"/>
        </w:rPr>
        <w:t>centers</w:t>
      </w:r>
      <w:r w:rsidR="001264F4" w:rsidRPr="001264F4">
        <w:rPr>
          <w:lang w:val="en-US"/>
        </w:rPr>
        <w:t xml:space="preserve"> and health clinics across Denmark. One of the criteria for receiving funding was that the facility</w:t>
      </w:r>
      <w:r w:rsidR="00812915">
        <w:rPr>
          <w:lang w:val="en-US"/>
        </w:rPr>
        <w:t xml:space="preserve"> </w:t>
      </w:r>
      <w:r w:rsidR="001264F4" w:rsidRPr="001264F4">
        <w:rPr>
          <w:lang w:val="en-US"/>
        </w:rPr>
        <w:t>would be accessible for persons with disabilities. A total of 66 projects received funding, including 34 projects for the establishment of new health care facilities and 32 projects for the expansion and renovation of existing facilities.</w:t>
      </w:r>
    </w:p>
    <w:p w14:paraId="0850A51B" w14:textId="18DAB994" w:rsidR="00F326C3" w:rsidRDefault="00F326C3" w:rsidP="001264F4">
      <w:pPr>
        <w:rPr>
          <w:lang w:val="en-US"/>
        </w:rPr>
      </w:pPr>
    </w:p>
    <w:p w14:paraId="1A0E2228" w14:textId="23798B5D" w:rsidR="00F326C3" w:rsidRDefault="00F326C3" w:rsidP="00F326C3">
      <w:pPr>
        <w:pStyle w:val="Overskrift2"/>
        <w:rPr>
          <w:lang w:val="en-US"/>
        </w:rPr>
      </w:pPr>
      <w:r w:rsidRPr="00F326C3">
        <w:rPr>
          <w:lang w:val="en-US"/>
        </w:rPr>
        <w:t xml:space="preserve">Access to hospitals and other healthcare services in </w:t>
      </w:r>
      <w:r>
        <w:rPr>
          <w:lang w:val="en-US"/>
        </w:rPr>
        <w:t>Greenland</w:t>
      </w:r>
    </w:p>
    <w:p w14:paraId="6573A49B" w14:textId="6413B5E2" w:rsidR="00F326C3" w:rsidRDefault="00F326C3" w:rsidP="00F326C3">
      <w:pPr>
        <w:rPr>
          <w:rFonts w:asciiTheme="minorHAnsi" w:hAnsiTheme="minorHAnsi"/>
          <w:szCs w:val="22"/>
          <w:lang w:val="en-US"/>
        </w:rPr>
      </w:pPr>
      <w:r>
        <w:rPr>
          <w:lang w:val="en-US"/>
        </w:rPr>
        <w:t xml:space="preserve">There is disability-friendly access to most hospitals and health clinics in Greenland. The transportation from a person’s home to the hospital or health clinic may be a challenge due to the geographical conditions. The health sector secures transportation for person with disabilities if necessary. </w:t>
      </w:r>
    </w:p>
    <w:p w14:paraId="42071717" w14:textId="250D9A16" w:rsidR="001264F4" w:rsidRDefault="001264F4" w:rsidP="001264F4">
      <w:pPr>
        <w:rPr>
          <w:lang w:val="en-US"/>
        </w:rPr>
      </w:pPr>
    </w:p>
    <w:p w14:paraId="15DCF179" w14:textId="023ECA8A" w:rsidR="001264F4" w:rsidRPr="001264F4" w:rsidRDefault="001264F4" w:rsidP="001264F4">
      <w:pPr>
        <w:pStyle w:val="Overskrift2"/>
        <w:rPr>
          <w:lang w:val="en-US"/>
        </w:rPr>
      </w:pPr>
      <w:r>
        <w:rPr>
          <w:lang w:val="en-US"/>
        </w:rPr>
        <w:t>Right to appeal</w:t>
      </w:r>
    </w:p>
    <w:p w14:paraId="7D41920B" w14:textId="608526C5" w:rsidR="001264F4" w:rsidRPr="001264F4" w:rsidRDefault="001264F4" w:rsidP="001264F4">
      <w:pPr>
        <w:rPr>
          <w:lang w:val="en-US"/>
        </w:rPr>
      </w:pPr>
      <w:r w:rsidRPr="001264F4">
        <w:rPr>
          <w:lang w:val="en-US"/>
        </w:rPr>
        <w:t xml:space="preserve">All medical professions must carry out their duties </w:t>
      </w:r>
      <w:r w:rsidR="00B53C6B" w:rsidRPr="001264F4">
        <w:rPr>
          <w:lang w:val="en-US"/>
        </w:rPr>
        <w:t xml:space="preserve">with </w:t>
      </w:r>
      <w:r w:rsidR="00B53C6B">
        <w:rPr>
          <w:lang w:val="en-US"/>
        </w:rPr>
        <w:t>“</w:t>
      </w:r>
      <w:r w:rsidR="00B53C6B" w:rsidRPr="001264F4">
        <w:rPr>
          <w:lang w:val="en-US"/>
        </w:rPr>
        <w:t>care</w:t>
      </w:r>
      <w:r w:rsidRPr="001264F4">
        <w:rPr>
          <w:lang w:val="en-US"/>
        </w:rPr>
        <w:t xml:space="preserve"> and conscientiousness” and according to the generally accepted professional standards or norms [</w:t>
      </w:r>
      <w:proofErr w:type="spellStart"/>
      <w:r w:rsidRPr="001264F4">
        <w:rPr>
          <w:lang w:val="en-US"/>
        </w:rPr>
        <w:t>Autorisationsloven</w:t>
      </w:r>
      <w:proofErr w:type="spellEnd"/>
      <w:r w:rsidRPr="001264F4">
        <w:rPr>
          <w:lang w:val="en-US"/>
        </w:rPr>
        <w:t xml:space="preserve"> §17]. All patients have the possibility to complain to The Danish Patient Complaints Agency about the treatment they have received or if they believe their patient rights have been violated. </w:t>
      </w:r>
    </w:p>
    <w:p w14:paraId="578C9958" w14:textId="77777777" w:rsidR="001264F4" w:rsidRPr="001264F4" w:rsidRDefault="001264F4" w:rsidP="001264F4">
      <w:pPr>
        <w:rPr>
          <w:lang w:val="en-US"/>
        </w:rPr>
      </w:pPr>
    </w:p>
    <w:p w14:paraId="240D7143" w14:textId="4922EBB3" w:rsidR="001264F4" w:rsidRPr="00B53C6B" w:rsidRDefault="001264F4" w:rsidP="001264F4">
      <w:pPr>
        <w:rPr>
          <w:lang w:val="en-US"/>
        </w:rPr>
      </w:pPr>
      <w:r w:rsidRPr="001264F4">
        <w:rPr>
          <w:lang w:val="en-US"/>
        </w:rPr>
        <w:t xml:space="preserve">There are OPD’s that offer advice and support for families including for </w:t>
      </w:r>
      <w:r w:rsidR="00621CD1" w:rsidRPr="001264F4">
        <w:rPr>
          <w:lang w:val="en-US"/>
        </w:rPr>
        <w:t>parents</w:t>
      </w:r>
      <w:r w:rsidRPr="001264F4">
        <w:rPr>
          <w:lang w:val="en-US"/>
        </w:rPr>
        <w:t xml:space="preserve"> that are expecting a child with downs syndrome</w:t>
      </w:r>
      <w:r w:rsidR="00621CD1">
        <w:rPr>
          <w:color w:val="FF0000"/>
          <w:lang w:val="en-US"/>
        </w:rPr>
        <w:t xml:space="preserve">. </w:t>
      </w:r>
    </w:p>
    <w:p w14:paraId="3D16807F" w14:textId="234C5AEF" w:rsidR="001264F4" w:rsidRPr="00B53C6B" w:rsidRDefault="001264F4" w:rsidP="001264F4">
      <w:pPr>
        <w:rPr>
          <w:lang w:val="en-US"/>
        </w:rPr>
      </w:pPr>
    </w:p>
    <w:p w14:paraId="5CE4C0AF" w14:textId="5BB90B6A" w:rsidR="001264F4" w:rsidRPr="001264F4" w:rsidRDefault="006137D0" w:rsidP="001264F4">
      <w:pPr>
        <w:pStyle w:val="Overskrift2"/>
        <w:rPr>
          <w:lang w:val="en-US"/>
        </w:rPr>
      </w:pPr>
      <w:r>
        <w:rPr>
          <w:lang w:val="en-US"/>
        </w:rPr>
        <w:lastRenderedPageBreak/>
        <w:t>T</w:t>
      </w:r>
      <w:r w:rsidR="001264F4" w:rsidRPr="001264F4">
        <w:rPr>
          <w:lang w:val="en-US"/>
        </w:rPr>
        <w:t>raining of healthcare personnel</w:t>
      </w:r>
    </w:p>
    <w:p w14:paraId="1A214442" w14:textId="77777777" w:rsidR="001264F4" w:rsidRDefault="001264F4" w:rsidP="001264F4">
      <w:pPr>
        <w:pStyle w:val="null"/>
        <w:rPr>
          <w:rFonts w:ascii="Arial" w:hAnsi="Arial" w:cs="Arial"/>
          <w:iCs/>
          <w:color w:val="0D0D0D" w:themeColor="text1" w:themeTint="F2"/>
          <w:sz w:val="20"/>
          <w:lang w:val="en-US"/>
        </w:rPr>
      </w:pPr>
      <w:r>
        <w:rPr>
          <w:rFonts w:ascii="Arial" w:hAnsi="Arial" w:cs="Arial"/>
          <w:iCs/>
          <w:color w:val="0D0D0D" w:themeColor="text1" w:themeTint="F2"/>
          <w:sz w:val="20"/>
          <w:lang w:val="en-US"/>
        </w:rPr>
        <w:t xml:space="preserve">The Government notes that the regions – who are responsible for the treatment of psychiatric patients - put a lot of effort into securing competent and well-educated staff in all positions in order to prevent the use of coercion in psychiatric hospitals. </w:t>
      </w:r>
    </w:p>
    <w:p w14:paraId="094465C1" w14:textId="77777777" w:rsidR="001264F4" w:rsidRPr="001264F4" w:rsidRDefault="001264F4" w:rsidP="001264F4">
      <w:pPr>
        <w:pStyle w:val="null"/>
        <w:rPr>
          <w:rFonts w:ascii="Arial" w:hAnsi="Arial" w:cs="Arial"/>
          <w:iCs/>
          <w:color w:val="0D0D0D" w:themeColor="text1" w:themeTint="F2"/>
          <w:sz w:val="20"/>
          <w:lang w:val="en-US"/>
        </w:rPr>
      </w:pPr>
      <w:r>
        <w:rPr>
          <w:rFonts w:ascii="Arial" w:hAnsi="Arial" w:cs="Arial"/>
          <w:iCs/>
          <w:color w:val="0D0D0D" w:themeColor="text1" w:themeTint="F2"/>
          <w:sz w:val="20"/>
          <w:lang w:val="en-US"/>
        </w:rPr>
        <w:t>Both new staff as well as staff with more seniority receive training and/or participate in seminars to improve and maintain the necessary knowledge and skills. There has also been an increasing awareness of the benefit from availability of social activities during long lasting psychiatric hospitalization, such as cooking, eating together, creative workshops and sports. It is also acknowledged that the physical surroundings and facilities play an important role in order to create e a relaxing atmosphere at the psychiatric hospitals. Additionally, the regions have informed the Government that a multitude of training programs and courses are offered to staff in psychiatric hospitals, including:</w:t>
      </w:r>
    </w:p>
    <w:p w14:paraId="2000656C" w14:textId="5ABBA1D3" w:rsidR="001264F4" w:rsidRDefault="001264F4" w:rsidP="001264F4">
      <w:pPr>
        <w:pStyle w:val="null"/>
        <w:numPr>
          <w:ilvl w:val="0"/>
          <w:numId w:val="11"/>
        </w:numPr>
        <w:rPr>
          <w:rFonts w:ascii="Arial" w:eastAsia="Times New Roman" w:hAnsi="Arial" w:cs="Arial"/>
          <w:iCs/>
          <w:color w:val="0D0D0D" w:themeColor="text1" w:themeTint="F2"/>
          <w:sz w:val="20"/>
          <w:lang w:val="en-US"/>
        </w:rPr>
      </w:pPr>
      <w:r>
        <w:rPr>
          <w:rFonts w:ascii="Arial" w:eastAsia="Times New Roman" w:hAnsi="Arial" w:cs="Arial"/>
          <w:iCs/>
          <w:color w:val="0D0D0D" w:themeColor="text1" w:themeTint="F2"/>
          <w:sz w:val="20"/>
          <w:lang w:val="en-US"/>
        </w:rPr>
        <w:t xml:space="preserve">Courses in </w:t>
      </w:r>
      <w:r w:rsidR="00371099">
        <w:rPr>
          <w:rFonts w:ascii="Arial" w:eastAsia="Times New Roman" w:hAnsi="Arial" w:cs="Arial"/>
          <w:iCs/>
          <w:color w:val="0D0D0D" w:themeColor="text1" w:themeTint="F2"/>
          <w:sz w:val="20"/>
          <w:lang w:val="en-US"/>
        </w:rPr>
        <w:t>de-escalation</w:t>
      </w:r>
      <w:r>
        <w:rPr>
          <w:rFonts w:ascii="Arial" w:eastAsia="Times New Roman" w:hAnsi="Arial" w:cs="Arial"/>
          <w:iCs/>
          <w:color w:val="0D0D0D" w:themeColor="text1" w:themeTint="F2"/>
          <w:sz w:val="20"/>
          <w:lang w:val="en-US"/>
        </w:rPr>
        <w:t xml:space="preserve"> and prevention of conflict</w:t>
      </w:r>
    </w:p>
    <w:p w14:paraId="4A3F9E93" w14:textId="77777777" w:rsidR="001264F4" w:rsidRDefault="001264F4" w:rsidP="001264F4">
      <w:pPr>
        <w:pStyle w:val="null"/>
        <w:numPr>
          <w:ilvl w:val="0"/>
          <w:numId w:val="11"/>
        </w:numPr>
        <w:rPr>
          <w:rFonts w:ascii="Arial" w:eastAsia="Times New Roman" w:hAnsi="Arial" w:cs="Arial"/>
          <w:iCs/>
          <w:color w:val="0D0D0D" w:themeColor="text1" w:themeTint="F2"/>
          <w:sz w:val="20"/>
          <w:lang w:val="en-US"/>
        </w:rPr>
      </w:pPr>
      <w:r>
        <w:rPr>
          <w:rFonts w:ascii="Arial" w:eastAsia="Times New Roman" w:hAnsi="Arial" w:cs="Arial"/>
          <w:iCs/>
          <w:color w:val="0D0D0D" w:themeColor="text1" w:themeTint="F2"/>
          <w:sz w:val="20"/>
          <w:lang w:val="en-US"/>
        </w:rPr>
        <w:t xml:space="preserve">Courses in the Mental Health Act and the rules regarding the use of coercion </w:t>
      </w:r>
    </w:p>
    <w:p w14:paraId="05B34C0A" w14:textId="77777777" w:rsidR="001264F4" w:rsidRDefault="001264F4" w:rsidP="001264F4">
      <w:pPr>
        <w:pStyle w:val="null"/>
        <w:numPr>
          <w:ilvl w:val="0"/>
          <w:numId w:val="11"/>
        </w:numPr>
        <w:rPr>
          <w:rFonts w:ascii="Arial" w:eastAsia="Times New Roman" w:hAnsi="Arial" w:cs="Arial"/>
          <w:iCs/>
          <w:color w:val="0D0D0D" w:themeColor="text1" w:themeTint="F2"/>
          <w:sz w:val="20"/>
          <w:lang w:val="en-US"/>
        </w:rPr>
      </w:pPr>
      <w:r>
        <w:rPr>
          <w:rFonts w:ascii="Arial" w:eastAsia="Times New Roman" w:hAnsi="Arial" w:cs="Arial"/>
          <w:iCs/>
          <w:color w:val="0D0D0D" w:themeColor="text1" w:themeTint="F2"/>
          <w:sz w:val="20"/>
          <w:lang w:val="en-US"/>
        </w:rPr>
        <w:t>Courses in mental illnesses and the challenges that may result from such illnesses</w:t>
      </w:r>
    </w:p>
    <w:p w14:paraId="4A78DEEB" w14:textId="77777777" w:rsidR="001264F4" w:rsidRDefault="001264F4" w:rsidP="001264F4">
      <w:pPr>
        <w:pStyle w:val="null"/>
        <w:numPr>
          <w:ilvl w:val="0"/>
          <w:numId w:val="11"/>
        </w:numPr>
        <w:rPr>
          <w:rFonts w:ascii="Arial" w:eastAsia="Times New Roman" w:hAnsi="Arial" w:cs="Arial"/>
          <w:iCs/>
          <w:color w:val="0D0D0D" w:themeColor="text1" w:themeTint="F2"/>
          <w:sz w:val="20"/>
          <w:lang w:val="en-US"/>
        </w:rPr>
      </w:pPr>
      <w:r>
        <w:rPr>
          <w:rFonts w:ascii="Arial" w:eastAsia="Times New Roman" w:hAnsi="Arial" w:cs="Arial"/>
          <w:iCs/>
          <w:color w:val="0D0D0D" w:themeColor="text1" w:themeTint="F2"/>
          <w:sz w:val="20"/>
          <w:lang w:val="en-US"/>
        </w:rPr>
        <w:t xml:space="preserve">Courses regarding new guidelines, procedures, legislation, cases from the Psychiatric Patient Complaint’s Board or judgements from the courts </w:t>
      </w:r>
    </w:p>
    <w:p w14:paraId="3A925DEC" w14:textId="57269BD2" w:rsidR="00F326C3" w:rsidRPr="007F4A48" w:rsidRDefault="001264F4" w:rsidP="00F326C3">
      <w:pPr>
        <w:pStyle w:val="null"/>
        <w:numPr>
          <w:ilvl w:val="0"/>
          <w:numId w:val="11"/>
        </w:numPr>
        <w:rPr>
          <w:rFonts w:ascii="Arial" w:eastAsia="Times New Roman" w:hAnsi="Arial" w:cs="Arial"/>
          <w:iCs/>
          <w:color w:val="0D0D0D" w:themeColor="text1" w:themeTint="F2"/>
          <w:sz w:val="20"/>
          <w:lang w:val="en-US"/>
        </w:rPr>
      </w:pPr>
      <w:r>
        <w:rPr>
          <w:rFonts w:ascii="Arial" w:eastAsia="Times New Roman" w:hAnsi="Arial" w:cs="Arial"/>
          <w:iCs/>
          <w:color w:val="0D0D0D" w:themeColor="text1" w:themeTint="F2"/>
          <w:sz w:val="20"/>
          <w:lang w:val="en-US"/>
        </w:rPr>
        <w:t xml:space="preserve">Courses in registration and documentation of the use of coercion </w:t>
      </w:r>
    </w:p>
    <w:p w14:paraId="505A223E" w14:textId="40ECD730" w:rsidR="00F326C3" w:rsidRDefault="00F326C3" w:rsidP="00F326C3">
      <w:pPr>
        <w:pStyle w:val="Overskrift2"/>
        <w:rPr>
          <w:lang w:val="en-US"/>
        </w:rPr>
      </w:pPr>
      <w:r>
        <w:rPr>
          <w:lang w:val="en-US"/>
        </w:rPr>
        <w:t>Cerebral palsy and death in Greenland</w:t>
      </w:r>
    </w:p>
    <w:p w14:paraId="1C106771" w14:textId="77777777" w:rsidR="006137D0" w:rsidRDefault="006137D0" w:rsidP="006137D0">
      <w:pPr>
        <w:rPr>
          <w:rFonts w:asciiTheme="minorHAnsi" w:hAnsiTheme="minorHAnsi"/>
          <w:szCs w:val="22"/>
          <w:lang w:val="en-US"/>
        </w:rPr>
      </w:pPr>
      <w:r>
        <w:rPr>
          <w:lang w:val="en-US"/>
        </w:rPr>
        <w:t>Cerebral palsy is a condition in many forms from very discrete symptoms to a very debilitating condition. It is not possible to produce data unless it is more specifically defined what conditions to include.  Besides cerebral palsy is often a bi-diagnosis in the register for causes of death. Unfortunately, it is not possible to inform on data within the deadline, as it will require major research with extracts from the EPR (a register) and the register for causes of death.</w:t>
      </w:r>
    </w:p>
    <w:p w14:paraId="591DAFC5" w14:textId="77777777" w:rsidR="00A872D9" w:rsidRPr="001264F4" w:rsidRDefault="00A872D9" w:rsidP="00F677C9">
      <w:pPr>
        <w:pStyle w:val="Template-Dato"/>
        <w:spacing w:line="240" w:lineRule="auto"/>
        <w:rPr>
          <w:rFonts w:ascii="Arial" w:hAnsi="Arial" w:cs="Arial"/>
          <w:lang w:val="en-US"/>
        </w:rPr>
      </w:pPr>
    </w:p>
    <w:p w14:paraId="5C1E36DF" w14:textId="43E4B49F" w:rsidR="00F677C9" w:rsidRPr="00B53C6B" w:rsidRDefault="00B53C6B" w:rsidP="00B53C6B">
      <w:pPr>
        <w:pStyle w:val="Overskrift1"/>
        <w:rPr>
          <w:lang w:val="en-US"/>
        </w:rPr>
      </w:pPr>
      <w:r>
        <w:rPr>
          <w:lang w:val="en-US"/>
        </w:rPr>
        <w:t>Article</w:t>
      </w:r>
      <w:r w:rsidR="00DF2849">
        <w:rPr>
          <w:lang w:val="en-US"/>
        </w:rPr>
        <w:t xml:space="preserve"> 27</w:t>
      </w:r>
    </w:p>
    <w:p w14:paraId="0E2BE0C2" w14:textId="77777777" w:rsidR="00A872D9" w:rsidRPr="00F677C9" w:rsidRDefault="00F677C9" w:rsidP="00F677C9">
      <w:pPr>
        <w:spacing w:line="240" w:lineRule="auto"/>
        <w:rPr>
          <w:rFonts w:cs="Arial"/>
          <w:b/>
          <w:lang w:val="en-US"/>
        </w:rPr>
      </w:pPr>
      <w:r w:rsidRPr="00F677C9">
        <w:rPr>
          <w:rFonts w:cs="Arial"/>
          <w:b/>
          <w:lang w:val="en-US"/>
        </w:rPr>
        <w:t>S</w:t>
      </w:r>
      <w:r w:rsidR="00A872D9" w:rsidRPr="00F677C9">
        <w:rPr>
          <w:rFonts w:cs="Arial"/>
          <w:b/>
          <w:lang w:val="en-US"/>
        </w:rPr>
        <w:t>trengthen</w:t>
      </w:r>
      <w:r w:rsidRPr="00F677C9">
        <w:rPr>
          <w:rFonts w:cs="Arial"/>
          <w:b/>
          <w:lang w:val="en-US"/>
        </w:rPr>
        <w:t>ing of</w:t>
      </w:r>
      <w:r w:rsidR="00A872D9" w:rsidRPr="00F677C9">
        <w:rPr>
          <w:rFonts w:cs="Arial"/>
          <w:b/>
          <w:lang w:val="en-US"/>
        </w:rPr>
        <w:t xml:space="preserve"> self-employment</w:t>
      </w:r>
      <w:r w:rsidRPr="00F677C9">
        <w:rPr>
          <w:rFonts w:cs="Arial"/>
          <w:b/>
          <w:lang w:val="en-US"/>
        </w:rPr>
        <w:t xml:space="preserve"> and </w:t>
      </w:r>
      <w:r w:rsidR="00A872D9" w:rsidRPr="00F677C9">
        <w:rPr>
          <w:rFonts w:cs="Arial"/>
          <w:b/>
          <w:lang w:val="en-US"/>
        </w:rPr>
        <w:t xml:space="preserve">budget for the initiatives. </w:t>
      </w:r>
    </w:p>
    <w:p w14:paraId="445A1A7D" w14:textId="77777777" w:rsidR="00A872D9" w:rsidRDefault="00A872D9" w:rsidP="00F677C9">
      <w:pPr>
        <w:spacing w:line="240" w:lineRule="auto"/>
        <w:rPr>
          <w:rFonts w:cs="Arial"/>
          <w:lang w:val="en-US"/>
        </w:rPr>
      </w:pPr>
      <w:r w:rsidRPr="00F677C9">
        <w:rPr>
          <w:rFonts w:cs="Arial"/>
          <w:lang w:val="en-US"/>
        </w:rPr>
        <w:t xml:space="preserve">People with disabilities working on ordinary terms have the same opportunities to work as a self-employee as people who do not have a disability. </w:t>
      </w:r>
    </w:p>
    <w:p w14:paraId="4FB70719" w14:textId="77777777" w:rsidR="00F677C9" w:rsidRPr="00F677C9" w:rsidRDefault="00F677C9" w:rsidP="00F677C9">
      <w:pPr>
        <w:spacing w:line="240" w:lineRule="auto"/>
        <w:rPr>
          <w:rFonts w:cs="Arial"/>
          <w:lang w:val="en-US"/>
        </w:rPr>
      </w:pPr>
    </w:p>
    <w:p w14:paraId="3B98342E" w14:textId="7468CCDA" w:rsidR="00A872D9" w:rsidRDefault="00A872D9" w:rsidP="00F677C9">
      <w:pPr>
        <w:spacing w:line="240" w:lineRule="auto"/>
        <w:rPr>
          <w:rFonts w:cs="Arial"/>
          <w:lang w:val="en-US"/>
        </w:rPr>
      </w:pPr>
      <w:r w:rsidRPr="00F677C9">
        <w:rPr>
          <w:rFonts w:cs="Arial"/>
          <w:lang w:val="en-US"/>
        </w:rPr>
        <w:t>For people employed in a flexi-job, it is not possible to receive flexi-job wage subsidy for starting a self-employed business. However, there is an opportunity to provide subsidies to individuals who are already operating a self-employed business as their main occupation at the time they are granted a flexi-job. The purpose of the rules is to allow self-employed individuals with ongoing businesses to continue operating and maintaining employment despite reduced work capacity.</w:t>
      </w:r>
    </w:p>
    <w:p w14:paraId="5916AA57" w14:textId="77777777" w:rsidR="00F677C9" w:rsidRPr="00F677C9" w:rsidRDefault="00F677C9" w:rsidP="00F677C9">
      <w:pPr>
        <w:spacing w:line="240" w:lineRule="auto"/>
        <w:rPr>
          <w:rFonts w:cs="Arial"/>
          <w:lang w:val="en-US"/>
        </w:rPr>
      </w:pPr>
    </w:p>
    <w:p w14:paraId="5591BF72" w14:textId="77777777" w:rsidR="00A872D9" w:rsidRDefault="00A872D9" w:rsidP="00F677C9">
      <w:pPr>
        <w:spacing w:line="240" w:lineRule="auto"/>
        <w:rPr>
          <w:rFonts w:cs="Arial"/>
          <w:lang w:val="en-US"/>
        </w:rPr>
      </w:pPr>
      <w:r w:rsidRPr="00F677C9">
        <w:rPr>
          <w:rFonts w:cs="Arial"/>
          <w:lang w:val="en-US"/>
        </w:rPr>
        <w:t xml:space="preserve">The rules regarding flexi jobs for employees does not prevent a person with reduced work capacity from operating a self-employed business as a secondary occupation while being employed in a flexi-job, or while receiving unemployment allowance. </w:t>
      </w:r>
    </w:p>
    <w:p w14:paraId="536A4B35" w14:textId="77777777" w:rsidR="00F677C9" w:rsidRPr="00F677C9" w:rsidRDefault="00F677C9" w:rsidP="00F677C9">
      <w:pPr>
        <w:spacing w:line="240" w:lineRule="auto"/>
        <w:rPr>
          <w:rFonts w:cs="Arial"/>
          <w:lang w:val="en-US"/>
        </w:rPr>
      </w:pPr>
    </w:p>
    <w:p w14:paraId="78AD3D2F" w14:textId="77777777" w:rsidR="00F677C9" w:rsidRPr="00F677C9" w:rsidRDefault="00F677C9" w:rsidP="00F677C9">
      <w:pPr>
        <w:spacing w:line="240" w:lineRule="auto"/>
        <w:rPr>
          <w:rFonts w:cs="Arial"/>
          <w:lang w:val="en-US"/>
        </w:rPr>
      </w:pPr>
    </w:p>
    <w:p w14:paraId="29112BD0" w14:textId="103439EC" w:rsidR="00A872D9" w:rsidRPr="00F677C9" w:rsidRDefault="00F677C9" w:rsidP="00DF2849">
      <w:pPr>
        <w:pStyle w:val="Overskrift2"/>
        <w:rPr>
          <w:lang w:val="en-US"/>
        </w:rPr>
      </w:pPr>
      <w:r>
        <w:rPr>
          <w:lang w:val="en-US"/>
        </w:rPr>
        <w:lastRenderedPageBreak/>
        <w:t xml:space="preserve">Budget and </w:t>
      </w:r>
      <w:r w:rsidRPr="00F677C9">
        <w:rPr>
          <w:lang w:val="en-US"/>
        </w:rPr>
        <w:t>financing</w:t>
      </w:r>
      <w:r>
        <w:rPr>
          <w:lang w:val="en-US"/>
        </w:rPr>
        <w:t xml:space="preserve"> of </w:t>
      </w:r>
      <w:r w:rsidR="00A872D9" w:rsidRPr="00F677C9">
        <w:rPr>
          <w:lang w:val="en-US"/>
        </w:rPr>
        <w:t>the adoption of workplace</w:t>
      </w:r>
    </w:p>
    <w:p w14:paraId="12CA883B" w14:textId="7D347A4D" w:rsidR="00A872D9" w:rsidRDefault="00A872D9" w:rsidP="00F677C9">
      <w:pPr>
        <w:spacing w:line="240" w:lineRule="auto"/>
        <w:rPr>
          <w:rFonts w:cs="Arial"/>
          <w:lang w:val="en-US"/>
        </w:rPr>
      </w:pPr>
      <w:r w:rsidRPr="00F677C9">
        <w:rPr>
          <w:rFonts w:cs="Arial"/>
          <w:lang w:val="en-US"/>
        </w:rPr>
        <w:t xml:space="preserve">All people with disabilities </w:t>
      </w:r>
      <w:proofErr w:type="gramStart"/>
      <w:r w:rsidRPr="00F677C9">
        <w:rPr>
          <w:rFonts w:cs="Arial"/>
          <w:lang w:val="en-US"/>
        </w:rPr>
        <w:t>need</w:t>
      </w:r>
      <w:proofErr w:type="gramEnd"/>
      <w:r w:rsidRPr="00F677C9">
        <w:rPr>
          <w:rFonts w:cs="Arial"/>
          <w:lang w:val="en-US"/>
        </w:rPr>
        <w:t xml:space="preserve"> to receive the ample and right help to get into job. A person with a disability can be granted subsidies for work tools, workplace design, software etc. to aid the person with a disability with specific functions in the job. The aid is granted through the Act on Compensation for persons with Disabilities in employment. Making sure that people get the right help in relation to employment through the Act on Compensation for persons with Disabilities is a municipal matter. There is no allocated budget, as the municipalities receives reimbursement on this scheme from the state, from a statutory appropriation. This means that persons with disabilities never pay for adoptions of the workplace. </w:t>
      </w:r>
    </w:p>
    <w:p w14:paraId="7ED905B6" w14:textId="6144E52A" w:rsidR="00F677C9" w:rsidRPr="00F677C9" w:rsidRDefault="00F677C9" w:rsidP="00F677C9">
      <w:pPr>
        <w:spacing w:line="240" w:lineRule="auto"/>
        <w:rPr>
          <w:rFonts w:cs="Arial"/>
          <w:lang w:val="en-US"/>
        </w:rPr>
      </w:pPr>
    </w:p>
    <w:p w14:paraId="2FE713F3" w14:textId="37F21054" w:rsidR="00F677C9" w:rsidRPr="00B53C6B" w:rsidRDefault="00A872D9">
      <w:pPr>
        <w:spacing w:line="240" w:lineRule="auto"/>
        <w:rPr>
          <w:rFonts w:eastAsia="Calibri" w:cs="Arial"/>
          <w:lang w:val="en-US"/>
        </w:rPr>
      </w:pPr>
      <w:r w:rsidRPr="00F677C9">
        <w:rPr>
          <w:rFonts w:cs="Arial"/>
          <w:lang w:val="en-US"/>
        </w:rPr>
        <w:t>According to the Working Environment Act it is also the duty of the employer to ensure safe and healthy working conditions. It applies to all employees including employees with disabilities. The employer must make sure both the performance of work and the design of the workplace ensure health and safety. When the employees have to carry out the work, the company must ensure that workplaces, equipment, technical aids and the choice of work and production methods suit the individual employees as far as possible.</w:t>
      </w:r>
      <w:r w:rsidRPr="00F677C9">
        <w:rPr>
          <w:rFonts w:eastAsia="Calibri" w:cs="Arial"/>
          <w:lang w:val="en-US"/>
        </w:rPr>
        <w:t xml:space="preserve"> </w:t>
      </w:r>
    </w:p>
    <w:p w14:paraId="758FC0C9" w14:textId="77777777" w:rsidR="00F326C3" w:rsidRDefault="00F326C3" w:rsidP="001264F4">
      <w:pPr>
        <w:rPr>
          <w:b/>
          <w:lang w:val="en-US"/>
        </w:rPr>
      </w:pPr>
    </w:p>
    <w:p w14:paraId="0319CFBB" w14:textId="7FFBAFAF" w:rsidR="00F326C3" w:rsidRPr="00F326C3" w:rsidRDefault="00F326C3" w:rsidP="001264F4">
      <w:pPr>
        <w:rPr>
          <w:b/>
          <w:lang w:val="en-US"/>
        </w:rPr>
      </w:pPr>
      <w:r>
        <w:rPr>
          <w:b/>
          <w:lang w:val="en-US"/>
        </w:rPr>
        <w:t>Work and employment in Greenland</w:t>
      </w:r>
    </w:p>
    <w:p w14:paraId="5F27BB24" w14:textId="5BE83D21" w:rsidR="00F326C3" w:rsidRPr="00F326C3" w:rsidRDefault="00F326C3" w:rsidP="00F326C3">
      <w:pPr>
        <w:spacing w:after="160" w:line="256" w:lineRule="auto"/>
        <w:contextualSpacing/>
        <w:rPr>
          <w:rFonts w:asciiTheme="minorHAnsi" w:hAnsiTheme="minorHAnsi"/>
          <w:szCs w:val="22"/>
          <w:lang w:val="en-US"/>
        </w:rPr>
      </w:pPr>
      <w:r w:rsidRPr="00F326C3">
        <w:rPr>
          <w:lang w:val="en-US"/>
        </w:rPr>
        <w:t xml:space="preserve">In 2023 the Government of Greenland decided to establish production school-like courses in municipalities, where young persons with disabilities are included. The courses are under development during 2024. </w:t>
      </w:r>
    </w:p>
    <w:p w14:paraId="7AD9DABE" w14:textId="77777777" w:rsidR="00F326C3" w:rsidRDefault="00F326C3" w:rsidP="00F326C3">
      <w:pPr>
        <w:spacing w:after="160" w:line="256" w:lineRule="auto"/>
        <w:contextualSpacing/>
        <w:rPr>
          <w:lang w:val="en-US"/>
        </w:rPr>
      </w:pPr>
    </w:p>
    <w:p w14:paraId="12434406" w14:textId="32AB90AC" w:rsidR="00F326C3" w:rsidRPr="00F326C3" w:rsidRDefault="00F326C3" w:rsidP="00F326C3">
      <w:pPr>
        <w:spacing w:after="160" w:line="256" w:lineRule="auto"/>
        <w:contextualSpacing/>
        <w:rPr>
          <w:lang w:val="en-US"/>
        </w:rPr>
      </w:pPr>
      <w:r w:rsidRPr="00F326C3">
        <w:rPr>
          <w:lang w:val="en-US"/>
        </w:rPr>
        <w:t xml:space="preserve">A new action plan for people with disabilities for 2023 and 2024 is on its way. One of the proposals for new initiatives in </w:t>
      </w:r>
      <w:proofErr w:type="spellStart"/>
      <w:r w:rsidRPr="00F326C3">
        <w:rPr>
          <w:lang w:val="en-US"/>
        </w:rPr>
        <w:t>Majoriaq</w:t>
      </w:r>
      <w:proofErr w:type="spellEnd"/>
      <w:r w:rsidRPr="00F326C3">
        <w:rPr>
          <w:lang w:val="en-US"/>
        </w:rPr>
        <w:t xml:space="preserve"> (the labor market office for guidance to jobs and training) is upskilling the </w:t>
      </w:r>
      <w:proofErr w:type="spellStart"/>
      <w:r w:rsidRPr="00F326C3">
        <w:rPr>
          <w:lang w:val="en-US"/>
        </w:rPr>
        <w:t>Majoriaq</w:t>
      </w:r>
      <w:proofErr w:type="spellEnd"/>
      <w:r w:rsidRPr="00F326C3">
        <w:rPr>
          <w:lang w:val="en-US"/>
        </w:rPr>
        <w:t xml:space="preserve"> staff to guide people with disabilities. </w:t>
      </w:r>
    </w:p>
    <w:p w14:paraId="42A47D2C" w14:textId="77777777" w:rsidR="00F326C3" w:rsidRDefault="00F326C3" w:rsidP="00F326C3">
      <w:pPr>
        <w:spacing w:after="160" w:line="256" w:lineRule="auto"/>
        <w:contextualSpacing/>
        <w:rPr>
          <w:lang w:val="en-US"/>
        </w:rPr>
      </w:pPr>
    </w:p>
    <w:p w14:paraId="39955BE4" w14:textId="5367729B" w:rsidR="00F326C3" w:rsidRPr="00F326C3" w:rsidRDefault="00F326C3" w:rsidP="00F326C3">
      <w:pPr>
        <w:spacing w:after="160" w:line="256" w:lineRule="auto"/>
        <w:contextualSpacing/>
        <w:rPr>
          <w:lang w:val="en-US"/>
        </w:rPr>
      </w:pPr>
      <w:r w:rsidRPr="00F326C3">
        <w:rPr>
          <w:lang w:val="en-US"/>
        </w:rPr>
        <w:t xml:space="preserve">Greenland’s business association, the </w:t>
      </w:r>
      <w:proofErr w:type="spellStart"/>
      <w:r w:rsidRPr="00F326C3">
        <w:rPr>
          <w:lang w:val="en-US"/>
        </w:rPr>
        <w:t>labour</w:t>
      </w:r>
      <w:proofErr w:type="spellEnd"/>
      <w:r w:rsidRPr="00F326C3">
        <w:rPr>
          <w:lang w:val="en-US"/>
        </w:rPr>
        <w:t xml:space="preserve"> organization for unskilled and skilled workers and municipalities has been encourage to include people with disabilities in employment. Furthermore, the Government of Greenland can encourage businesses to make flexible employments for people with disabilities.  The responsibility is divided between the business associations and labor organizations.</w:t>
      </w:r>
    </w:p>
    <w:p w14:paraId="7500EEFA" w14:textId="77777777" w:rsidR="00F326C3" w:rsidRDefault="00F326C3" w:rsidP="00F326C3">
      <w:pPr>
        <w:spacing w:after="160" w:line="256" w:lineRule="auto"/>
        <w:contextualSpacing/>
        <w:rPr>
          <w:lang w:val="en-US"/>
        </w:rPr>
      </w:pPr>
    </w:p>
    <w:p w14:paraId="56FE2501" w14:textId="660395D6" w:rsidR="00F326C3" w:rsidRPr="00F326C3" w:rsidRDefault="00F326C3" w:rsidP="00F326C3">
      <w:pPr>
        <w:spacing w:after="160" w:line="256" w:lineRule="auto"/>
        <w:contextualSpacing/>
        <w:rPr>
          <w:lang w:val="en-US"/>
        </w:rPr>
      </w:pPr>
      <w:r w:rsidRPr="00F326C3">
        <w:rPr>
          <w:lang w:val="en-US"/>
        </w:rPr>
        <w:t xml:space="preserve">The Board of </w:t>
      </w:r>
      <w:proofErr w:type="spellStart"/>
      <w:r w:rsidRPr="00F326C3">
        <w:rPr>
          <w:lang w:val="en-US"/>
        </w:rPr>
        <w:t>Lab</w:t>
      </w:r>
      <w:bookmarkStart w:id="1" w:name="_GoBack"/>
      <w:bookmarkEnd w:id="1"/>
      <w:r w:rsidRPr="00F326C3">
        <w:rPr>
          <w:lang w:val="en-US"/>
        </w:rPr>
        <w:t>our</w:t>
      </w:r>
      <w:proofErr w:type="spellEnd"/>
      <w:r w:rsidRPr="00F326C3">
        <w:rPr>
          <w:lang w:val="en-US"/>
        </w:rPr>
        <w:t xml:space="preserve"> meets twice a year to discuss how to create more/new jobs with a focus on mobility, the lack of labor force, the need for upskilling the labor force etc. </w:t>
      </w:r>
    </w:p>
    <w:p w14:paraId="48A83E30" w14:textId="77777777" w:rsidR="00F326C3" w:rsidRDefault="00F326C3" w:rsidP="00F326C3">
      <w:pPr>
        <w:spacing w:after="160" w:line="256" w:lineRule="auto"/>
        <w:contextualSpacing/>
        <w:rPr>
          <w:lang w:val="en-US"/>
        </w:rPr>
      </w:pPr>
    </w:p>
    <w:p w14:paraId="6EDE8668" w14:textId="4FCB632B" w:rsidR="00F326C3" w:rsidRPr="00F326C3" w:rsidRDefault="00F326C3" w:rsidP="00F326C3">
      <w:pPr>
        <w:spacing w:after="160" w:line="256" w:lineRule="auto"/>
        <w:contextualSpacing/>
        <w:rPr>
          <w:lang w:val="en-US"/>
        </w:rPr>
      </w:pPr>
      <w:r w:rsidRPr="00F326C3">
        <w:rPr>
          <w:lang w:val="en-US"/>
        </w:rPr>
        <w:t>In Autumn 2024 during the disability week a campaign will run regarding employment strategies for person with disabilities.</w:t>
      </w:r>
    </w:p>
    <w:p w14:paraId="2A0EDAAC" w14:textId="77777777" w:rsidR="00F326C3" w:rsidRDefault="00F326C3" w:rsidP="00F326C3">
      <w:pPr>
        <w:spacing w:after="160" w:line="256" w:lineRule="auto"/>
        <w:contextualSpacing/>
        <w:rPr>
          <w:lang w:val="en-US"/>
        </w:rPr>
      </w:pPr>
    </w:p>
    <w:p w14:paraId="455DCBD8" w14:textId="7F349C1B" w:rsidR="00F326C3" w:rsidRDefault="00F326C3" w:rsidP="007F4A48">
      <w:pPr>
        <w:spacing w:after="160" w:line="256" w:lineRule="auto"/>
        <w:contextualSpacing/>
        <w:rPr>
          <w:lang w:val="en-US"/>
        </w:rPr>
      </w:pPr>
      <w:r w:rsidRPr="00F326C3">
        <w:rPr>
          <w:lang w:val="en-US"/>
        </w:rPr>
        <w:t>Act on Early Retirement Pension adopted in 2015 focus on developing the individual's work abilities. The legislation allows the individual to supplement his/her salary income with an early retirement pension.</w:t>
      </w:r>
    </w:p>
    <w:p w14:paraId="2C848944" w14:textId="369F5368" w:rsidR="001264F4" w:rsidRDefault="001264F4" w:rsidP="00F677C9">
      <w:pPr>
        <w:spacing w:line="240" w:lineRule="auto"/>
        <w:rPr>
          <w:rFonts w:cs="Arial"/>
          <w:lang w:val="en-US"/>
        </w:rPr>
      </w:pPr>
    </w:p>
    <w:p w14:paraId="194F7D5F" w14:textId="3296EF7C" w:rsidR="001264F4" w:rsidRPr="00303025" w:rsidRDefault="001264F4" w:rsidP="001264F4">
      <w:pPr>
        <w:pStyle w:val="Overskrift1"/>
        <w:rPr>
          <w:lang w:val="en-US"/>
        </w:rPr>
      </w:pPr>
      <w:r w:rsidRPr="00303025">
        <w:rPr>
          <w:lang w:val="en-US"/>
        </w:rPr>
        <w:t>Article 29</w:t>
      </w:r>
    </w:p>
    <w:p w14:paraId="60EA218D" w14:textId="5F6D3940" w:rsidR="006632A2" w:rsidRDefault="006632A2" w:rsidP="001264F4">
      <w:pPr>
        <w:pStyle w:val="Overskrift2"/>
        <w:rPr>
          <w:lang w:val="en-US"/>
        </w:rPr>
      </w:pPr>
      <w:r w:rsidRPr="006632A2">
        <w:rPr>
          <w:lang w:val="en-US"/>
        </w:rPr>
        <w:t>Gu</w:t>
      </w:r>
      <w:r>
        <w:rPr>
          <w:lang w:val="en-US"/>
        </w:rPr>
        <w:t xml:space="preserve">ardianship and the right to vote </w:t>
      </w:r>
    </w:p>
    <w:p w14:paraId="7DBD4156" w14:textId="77777777" w:rsidR="006632A2" w:rsidRPr="006632A2" w:rsidRDefault="006632A2" w:rsidP="006632A2">
      <w:pPr>
        <w:rPr>
          <w:lang w:val="en-US"/>
        </w:rPr>
      </w:pPr>
      <w:r w:rsidRPr="006632A2">
        <w:rPr>
          <w:lang w:val="en-US"/>
        </w:rPr>
        <w:t xml:space="preserve">The rules on the right to vote in parliamentary elections are set out in Section 29 of the Danish Constitution. It follows from Subsection (1) that any Danish subject who is permanently domiciled in the Realm, and who has the age qualification for suffrage as provided for in subsection (2) shall have the right to vote </w:t>
      </w:r>
      <w:r w:rsidRPr="006632A2">
        <w:rPr>
          <w:lang w:val="en-US"/>
        </w:rPr>
        <w:lastRenderedPageBreak/>
        <w:t>in Folketing elections, provided that he has not been incapable of conducting his own affairs.</w:t>
      </w:r>
    </w:p>
    <w:p w14:paraId="6080823E" w14:textId="77777777" w:rsidR="006632A2" w:rsidRPr="006632A2" w:rsidRDefault="006632A2" w:rsidP="006632A2">
      <w:pPr>
        <w:rPr>
          <w:lang w:val="en-US"/>
        </w:rPr>
      </w:pPr>
    </w:p>
    <w:p w14:paraId="3D11640F" w14:textId="77777777" w:rsidR="006632A2" w:rsidRPr="006632A2" w:rsidRDefault="006632A2" w:rsidP="006632A2">
      <w:pPr>
        <w:rPr>
          <w:lang w:val="en-US"/>
        </w:rPr>
      </w:pPr>
      <w:r w:rsidRPr="006632A2">
        <w:rPr>
          <w:lang w:val="en-US"/>
        </w:rPr>
        <w:t>Persons subject to guardianship are legally competent unless also fully deprived of their legal capacity under Section 6 of the Guardianship Act.</w:t>
      </w:r>
    </w:p>
    <w:p w14:paraId="5F385DA0" w14:textId="77777777" w:rsidR="006632A2" w:rsidRPr="006632A2" w:rsidRDefault="006632A2" w:rsidP="006632A2">
      <w:pPr>
        <w:rPr>
          <w:lang w:val="en-US"/>
        </w:rPr>
      </w:pPr>
    </w:p>
    <w:p w14:paraId="106CBC96" w14:textId="77777777" w:rsidR="006632A2" w:rsidRPr="006632A2" w:rsidRDefault="006632A2" w:rsidP="006632A2">
      <w:pPr>
        <w:rPr>
          <w:lang w:val="en-US"/>
        </w:rPr>
      </w:pPr>
      <w:r w:rsidRPr="006632A2">
        <w:rPr>
          <w:lang w:val="en-US"/>
        </w:rPr>
        <w:t>As of 2016, persons under any type of guardianship have the right to vote and stand as candidates for election in European Parliament elections in Denmark and in local and regional council elections.</w:t>
      </w:r>
    </w:p>
    <w:p w14:paraId="368B8AD4" w14:textId="77777777" w:rsidR="006632A2" w:rsidRPr="006632A2" w:rsidRDefault="006632A2" w:rsidP="006632A2">
      <w:pPr>
        <w:rPr>
          <w:lang w:val="en-US"/>
        </w:rPr>
      </w:pPr>
    </w:p>
    <w:p w14:paraId="2259B3AB" w14:textId="77777777" w:rsidR="006632A2" w:rsidRPr="006632A2" w:rsidRDefault="006632A2" w:rsidP="006632A2">
      <w:pPr>
        <w:rPr>
          <w:lang w:val="en-US"/>
        </w:rPr>
      </w:pPr>
      <w:r w:rsidRPr="006632A2">
        <w:rPr>
          <w:lang w:val="en-US"/>
        </w:rPr>
        <w:t xml:space="preserve">In the Supreme Court decision of 18 January 2018, in case no. 159/2017 (enclosed in Danish), the Danish Supreme Court found that it did not constitute a violation of the Danish Constitution, the European Convention on Human Rights or the CRPD, including Articles 12 and 29, that people who have been deprived of legal capacity under Section 6 of the Guardianship Act cannot vote in parliamentary elections. </w:t>
      </w:r>
    </w:p>
    <w:p w14:paraId="664E79FD" w14:textId="77777777" w:rsidR="006632A2" w:rsidRPr="006632A2" w:rsidRDefault="006632A2" w:rsidP="006632A2">
      <w:pPr>
        <w:rPr>
          <w:lang w:val="en-US"/>
        </w:rPr>
      </w:pPr>
    </w:p>
    <w:p w14:paraId="7C3A47F4" w14:textId="6BAADB10" w:rsidR="006632A2" w:rsidRPr="006632A2" w:rsidRDefault="006632A2" w:rsidP="006632A2">
      <w:pPr>
        <w:rPr>
          <w:lang w:val="en-US"/>
        </w:rPr>
      </w:pPr>
      <w:r w:rsidRPr="006632A2">
        <w:rPr>
          <w:lang w:val="en-US"/>
        </w:rPr>
        <w:t>In 2019, an amendment to the Guardianship Act and the Parliamentary Elections Act, introduced the possibility of partial deprivation of a person’s legal capacity. Persons with a partial deprivation of legal capacity are still – in contrast to persons with a full deprivation of legal capacity – legally competent and entitled to vote and to stand for election in parliamentary elections. Persons with a partial deprivation of their legal capacity are also entitled to vote in referendums.</w:t>
      </w:r>
    </w:p>
    <w:p w14:paraId="15919942" w14:textId="77777777" w:rsidR="001264F4" w:rsidRPr="001264F4" w:rsidRDefault="001264F4" w:rsidP="001264F4">
      <w:pPr>
        <w:rPr>
          <w:lang w:val="en-US"/>
        </w:rPr>
      </w:pPr>
    </w:p>
    <w:p w14:paraId="6DABD53A" w14:textId="2055A954" w:rsidR="00DF2849" w:rsidRPr="007F4A48" w:rsidRDefault="001264F4" w:rsidP="007F4A48">
      <w:pPr>
        <w:rPr>
          <w:lang w:val="en-US"/>
        </w:rPr>
      </w:pPr>
      <w:r w:rsidRPr="001264F4">
        <w:rPr>
          <w:lang w:val="en-US"/>
        </w:rPr>
        <w:t>The Ministry of the Interior and Health has invited various OPDs to a meeting in September. Among other things, the ministry will use the meeting to discuss which initiatives could help increase the accessibility for persons with disabilities at elections</w:t>
      </w:r>
    </w:p>
    <w:p w14:paraId="0CAC21B7" w14:textId="77777777" w:rsidR="00DF2849" w:rsidRDefault="00DF2849" w:rsidP="00F677C9">
      <w:pPr>
        <w:spacing w:line="240" w:lineRule="auto"/>
        <w:rPr>
          <w:rFonts w:cs="Arial"/>
          <w:lang w:val="en-US"/>
        </w:rPr>
      </w:pPr>
    </w:p>
    <w:p w14:paraId="3AE6DC78" w14:textId="714EEC76" w:rsidR="00DF2849" w:rsidRDefault="00DF2849" w:rsidP="00DF2849">
      <w:pPr>
        <w:pStyle w:val="Overskrift1"/>
        <w:rPr>
          <w:lang w:val="en-US"/>
        </w:rPr>
      </w:pPr>
      <w:r>
        <w:rPr>
          <w:lang w:val="en-US"/>
        </w:rPr>
        <w:t>Article 30</w:t>
      </w:r>
    </w:p>
    <w:p w14:paraId="459AE265" w14:textId="77777777" w:rsidR="00DF2849" w:rsidRDefault="00DF2849" w:rsidP="00DF2849">
      <w:pPr>
        <w:pStyle w:val="Overskrift2"/>
        <w:spacing w:line="240" w:lineRule="auto"/>
        <w:rPr>
          <w:lang w:val="en-US"/>
        </w:rPr>
      </w:pPr>
      <w:r>
        <w:rPr>
          <w:lang w:val="en-US"/>
        </w:rPr>
        <w:t>A</w:t>
      </w:r>
      <w:r w:rsidRPr="00A872D9">
        <w:rPr>
          <w:lang w:val="en-US"/>
        </w:rPr>
        <w:t>ccess to cultural and sports venues</w:t>
      </w:r>
    </w:p>
    <w:p w14:paraId="61EC18B4" w14:textId="77777777" w:rsidR="00DF2849" w:rsidRPr="00A872D9" w:rsidRDefault="00DF2849" w:rsidP="00DF2849">
      <w:pPr>
        <w:pStyle w:val="Template-Dato"/>
        <w:spacing w:line="240" w:lineRule="auto"/>
        <w:rPr>
          <w:rFonts w:ascii="Arial" w:hAnsi="Arial" w:cs="Arial"/>
          <w:lang w:val="en-US"/>
        </w:rPr>
      </w:pPr>
      <w:r w:rsidRPr="00A872D9">
        <w:rPr>
          <w:rFonts w:ascii="Arial" w:hAnsi="Arial" w:cs="Arial"/>
          <w:lang w:val="en-US"/>
        </w:rPr>
        <w:t>Denmark does not have data concerning how many cultural and sportsvenues are accessible for persons with disablities. However, many cultural institutions and sportsvenues have websites which offer an overview of accessibilty conditions (wheelchair access, toilets, etc.).</w:t>
      </w:r>
    </w:p>
    <w:p w14:paraId="397C8D54" w14:textId="77777777" w:rsidR="00DF2849" w:rsidRPr="00A872D9" w:rsidRDefault="00DF2849" w:rsidP="00DF2849">
      <w:pPr>
        <w:pStyle w:val="Template-Dato"/>
        <w:spacing w:line="240" w:lineRule="auto"/>
        <w:rPr>
          <w:rFonts w:ascii="Arial" w:hAnsi="Arial" w:cs="Arial"/>
          <w:lang w:val="en-US"/>
        </w:rPr>
      </w:pPr>
    </w:p>
    <w:p w14:paraId="7A46A47B" w14:textId="77777777" w:rsidR="00DF2849" w:rsidRPr="00A872D9" w:rsidRDefault="00DF2849" w:rsidP="00DF2849">
      <w:pPr>
        <w:pStyle w:val="Template-Dato"/>
        <w:spacing w:line="240" w:lineRule="auto"/>
        <w:rPr>
          <w:rFonts w:ascii="Arial" w:hAnsi="Arial" w:cs="Arial"/>
          <w:lang w:val="en-US"/>
        </w:rPr>
      </w:pPr>
      <w:r w:rsidRPr="00A872D9">
        <w:rPr>
          <w:rFonts w:ascii="Arial" w:hAnsi="Arial" w:cs="Arial"/>
          <w:lang w:val="en-US"/>
        </w:rPr>
        <w:t xml:space="preserve">However all buildings (also cultural institutions) with public access have to follow the national building regulations which aim for equality in terms of access and layout. </w:t>
      </w:r>
    </w:p>
    <w:p w14:paraId="03210224" w14:textId="77777777" w:rsidR="00DF2849" w:rsidRPr="00A872D9" w:rsidRDefault="00DF2849" w:rsidP="00DF2849">
      <w:pPr>
        <w:pStyle w:val="Template-Dato"/>
        <w:spacing w:line="240" w:lineRule="auto"/>
        <w:rPr>
          <w:rFonts w:ascii="Arial" w:hAnsi="Arial" w:cs="Arial"/>
          <w:lang w:val="en-US"/>
        </w:rPr>
      </w:pPr>
    </w:p>
    <w:p w14:paraId="50C75DFB" w14:textId="77777777" w:rsidR="00DF2849" w:rsidRPr="00A872D9" w:rsidRDefault="00DF2849" w:rsidP="00DF2849">
      <w:pPr>
        <w:pStyle w:val="Template-Dato"/>
        <w:spacing w:line="240" w:lineRule="auto"/>
        <w:rPr>
          <w:rFonts w:ascii="Arial" w:hAnsi="Arial" w:cs="Arial"/>
          <w:lang w:val="en-US"/>
        </w:rPr>
      </w:pPr>
    </w:p>
    <w:p w14:paraId="0B6D4BA4" w14:textId="207A798B" w:rsidR="00DF2849" w:rsidRDefault="00DF2849" w:rsidP="00DF2849">
      <w:pPr>
        <w:pStyle w:val="Template-Dato"/>
        <w:spacing w:line="240" w:lineRule="auto"/>
        <w:rPr>
          <w:rFonts w:ascii="Arial" w:hAnsi="Arial" w:cs="Arial"/>
          <w:lang w:val="en-US"/>
        </w:rPr>
      </w:pPr>
      <w:r w:rsidRPr="00A872D9">
        <w:rPr>
          <w:rFonts w:ascii="Arial" w:hAnsi="Arial" w:cs="Arial"/>
          <w:lang w:val="en-US"/>
        </w:rPr>
        <w:t xml:space="preserve">Furthermore, football stadiums used by football clubs in the top four divisions are obliged by rules from Divisionsforeningen (the Danish League Association) which also includes requirements regardring access and facilities for people with disabilities. </w:t>
      </w:r>
    </w:p>
    <w:p w14:paraId="15957EFF" w14:textId="2335CAA4" w:rsidR="006575AD" w:rsidRDefault="006575AD" w:rsidP="00DF2849">
      <w:pPr>
        <w:pStyle w:val="Template-Dato"/>
        <w:spacing w:line="240" w:lineRule="auto"/>
        <w:rPr>
          <w:rFonts w:ascii="Arial" w:hAnsi="Arial" w:cs="Arial"/>
          <w:lang w:val="en-US"/>
        </w:rPr>
      </w:pPr>
    </w:p>
    <w:p w14:paraId="5ABAA6B9" w14:textId="77777777" w:rsidR="00DF2849" w:rsidRPr="00F677C9" w:rsidRDefault="00DF2849" w:rsidP="00F677C9">
      <w:pPr>
        <w:spacing w:line="240" w:lineRule="auto"/>
        <w:rPr>
          <w:rFonts w:cs="Arial"/>
          <w:lang w:val="en-US"/>
        </w:rPr>
      </w:pPr>
    </w:p>
    <w:p w14:paraId="7EE7AB44" w14:textId="77777777" w:rsidR="00A872D9" w:rsidRPr="00A872D9" w:rsidRDefault="00A872D9" w:rsidP="00A872D9">
      <w:pPr>
        <w:pStyle w:val="Template-Dato"/>
        <w:jc w:val="both"/>
        <w:rPr>
          <w:rFonts w:ascii="Arial" w:hAnsi="Arial" w:cs="Arial"/>
          <w:lang w:val="en-US"/>
        </w:rPr>
      </w:pPr>
    </w:p>
    <w:p w14:paraId="5BBD19FD" w14:textId="77777777" w:rsidR="002D2304" w:rsidRPr="008F41DD" w:rsidRDefault="002D2304" w:rsidP="00C4050A">
      <w:pPr>
        <w:rPr>
          <w:lang w:val="en-US"/>
        </w:rPr>
      </w:pPr>
    </w:p>
    <w:p w14:paraId="009AF035" w14:textId="77777777" w:rsidR="009F17C1" w:rsidRPr="00F47AA1" w:rsidRDefault="009F17C1" w:rsidP="00C05CDC">
      <w:pPr>
        <w:rPr>
          <w:lang w:val="en-GB"/>
        </w:rPr>
      </w:pPr>
    </w:p>
    <w:p w14:paraId="52FDC6F1" w14:textId="77777777" w:rsidR="009F17C1" w:rsidRPr="00A872D9" w:rsidRDefault="009F17C1" w:rsidP="0053351C">
      <w:pPr>
        <w:spacing w:line="240" w:lineRule="auto"/>
        <w:rPr>
          <w:sz w:val="2"/>
          <w:szCs w:val="2"/>
          <w:lang w:val="en-US"/>
        </w:rPr>
      </w:pPr>
    </w:p>
    <w:sectPr w:rsidR="009F17C1" w:rsidRPr="00A872D9" w:rsidSect="0053351C">
      <w:headerReference w:type="default" r:id="rId8"/>
      <w:footerReference w:type="default" r:id="rId9"/>
      <w:headerReference w:type="first" r:id="rId10"/>
      <w:footerReference w:type="first" r:id="rId11"/>
      <w:pgSz w:w="11906" w:h="16838" w:code="9"/>
      <w:pgMar w:top="2240" w:right="1758" w:bottom="964" w:left="3119" w:header="1049" w:footer="53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CA150" w14:textId="77777777" w:rsidR="00071CCA" w:rsidRDefault="00071CCA" w:rsidP="00354FC0">
      <w:r>
        <w:separator/>
      </w:r>
    </w:p>
  </w:endnote>
  <w:endnote w:type="continuationSeparator" w:id="0">
    <w:p w14:paraId="7E3E28B1" w14:textId="77777777" w:rsidR="00071CCA" w:rsidRDefault="00071CCA" w:rsidP="0035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asiver Light">
    <w:panose1 w:val="00000000000000000000"/>
    <w:charset w:val="00"/>
    <w:family w:val="modern"/>
    <w:notTrueType/>
    <w:pitch w:val="variable"/>
    <w:sig w:usb0="00000007" w:usb1="00000000" w:usb2="00000000" w:usb3="00000000" w:csb0="00000093" w:csb1="00000000"/>
  </w:font>
  <w:font w:name="Century Schoolbook">
    <w:panose1 w:val="02040604050505020304"/>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8AD6D" w14:textId="77777777" w:rsidR="00F3614C" w:rsidRPr="00F3614C" w:rsidRDefault="00F3614C" w:rsidP="00F3614C">
    <w:pPr>
      <w:pStyle w:val="Sidefod"/>
    </w:pPr>
    <w:r>
      <w:fldChar w:fldCharType="begin"/>
    </w:r>
    <w:r>
      <w:instrText xml:space="preserve"> page </w:instrText>
    </w:r>
    <w:r>
      <w:fldChar w:fldCharType="separate"/>
    </w:r>
    <w:r w:rsidR="001A21E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C6FEE" w14:textId="77777777" w:rsidR="002D2304" w:rsidRDefault="002D2304" w:rsidP="002D2304">
    <w:pPr>
      <w:pStyle w:val="Sidefod"/>
    </w:pPr>
    <w:r>
      <w:fldChar w:fldCharType="begin"/>
    </w:r>
    <w:r>
      <w:instrText xml:space="preserve"> page </w:instrText>
    </w:r>
    <w:r>
      <w:fldChar w:fldCharType="separate"/>
    </w:r>
    <w:r w:rsidR="00C3346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947B0" w14:textId="77777777" w:rsidR="00071CCA" w:rsidRDefault="00071CCA" w:rsidP="00354FC0">
      <w:r>
        <w:separator/>
      </w:r>
    </w:p>
  </w:footnote>
  <w:footnote w:type="continuationSeparator" w:id="0">
    <w:p w14:paraId="5C9E32DD" w14:textId="77777777" w:rsidR="00071CCA" w:rsidRDefault="00071CCA" w:rsidP="00354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EC47F" w14:textId="77777777" w:rsidR="00750378" w:rsidRPr="002D2304" w:rsidRDefault="00CD7502" w:rsidP="002D2304">
    <w:pPr>
      <w:pStyle w:val="Sidehoved"/>
    </w:pPr>
    <w:r>
      <w:rPr>
        <w:noProof/>
      </w:rPr>
      <w:drawing>
        <wp:anchor distT="0" distB="0" distL="114300" distR="114300" simplePos="0" relativeHeight="251659264" behindDoc="1" locked="0" layoutInCell="1" allowOverlap="1" wp14:anchorId="1774407C" wp14:editId="61DAA37F">
          <wp:simplePos x="0" y="0"/>
          <wp:positionH relativeFrom="page">
            <wp:posOffset>720090</wp:posOffset>
          </wp:positionH>
          <wp:positionV relativeFrom="page">
            <wp:posOffset>1440180</wp:posOffset>
          </wp:positionV>
          <wp:extent cx="457200" cy="457200"/>
          <wp:effectExtent l="0" t="0" r="0" b="0"/>
          <wp:wrapNone/>
          <wp:docPr id="2" name="Billede 2" descr="C:\Users\hn\AppData\Local\Microsoft\Windows\INetCache\Content.Word\BSM_LOGO_BOMAERKE_6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n\AppData\Local\Microsoft\Windows\INetCache\Content.Word\BSM_LOGO_BOMAERKE_600dp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FF5A2" w14:textId="77777777" w:rsidR="005844BA" w:rsidRDefault="00C3346C" w:rsidP="00E55753">
    <w:pPr>
      <w:pStyle w:val="Sidehoved"/>
      <w:jc w:val="right"/>
    </w:pPr>
    <w:r>
      <w:rPr>
        <w:noProof/>
      </w:rPr>
      <w:drawing>
        <wp:inline distT="0" distB="0" distL="0" distR="0" wp14:anchorId="1BBF1FCC" wp14:editId="0E3394BA">
          <wp:extent cx="2160000" cy="514257"/>
          <wp:effectExtent l="0" t="0" r="0" b="635"/>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BÆ_ENG_LOGO_FARVER.jpg"/>
                  <pic:cNvPicPr/>
                </pic:nvPicPr>
                <pic:blipFill rotWithShape="1">
                  <a:blip r:embed="rId1">
                    <a:extLst>
                      <a:ext uri="{28A0092B-C50C-407E-A947-70E740481C1C}">
                        <a14:useLocalDpi xmlns:a14="http://schemas.microsoft.com/office/drawing/2010/main" val="0"/>
                      </a:ext>
                    </a:extLst>
                  </a:blip>
                  <a:srcRect l="4012" t="15741" r="4391" b="22019"/>
                  <a:stretch/>
                </pic:blipFill>
                <pic:spPr bwMode="auto">
                  <a:xfrm>
                    <a:off x="0" y="0"/>
                    <a:ext cx="2160000" cy="514257"/>
                  </a:xfrm>
                  <a:prstGeom prst="rect">
                    <a:avLst/>
                  </a:prstGeom>
                  <a:ln>
                    <a:noFill/>
                  </a:ln>
                  <a:extLst>
                    <a:ext uri="{53640926-AAD7-44D8-BBD7-CCE9431645EC}">
                      <a14:shadowObscured xmlns:a14="http://schemas.microsoft.com/office/drawing/2010/main"/>
                    </a:ext>
                  </a:extLst>
                </pic:spPr>
              </pic:pic>
            </a:graphicData>
          </a:graphic>
        </wp:inline>
      </w:drawing>
    </w:r>
    <w:r w:rsidR="00E55753">
      <w:rPr>
        <w:noProof/>
      </w:rPr>
      <mc:AlternateContent>
        <mc:Choice Requires="wps">
          <w:drawing>
            <wp:anchor distT="0" distB="0" distL="114300" distR="114300" simplePos="0" relativeHeight="251657216" behindDoc="0" locked="1" layoutInCell="1" allowOverlap="1" wp14:anchorId="6BDD5F36" wp14:editId="269A8AF0">
              <wp:simplePos x="0" y="0"/>
              <wp:positionH relativeFrom="page">
                <wp:posOffset>5269230</wp:posOffset>
              </wp:positionH>
              <wp:positionV relativeFrom="page">
                <wp:posOffset>1422400</wp:posOffset>
              </wp:positionV>
              <wp:extent cx="1363980" cy="723265"/>
              <wp:effectExtent l="0" t="0" r="7620" b="635"/>
              <wp:wrapNone/>
              <wp:docPr id="3" name="Tekstfelt 3"/>
              <wp:cNvGraphicFramePr/>
              <a:graphic xmlns:a="http://schemas.openxmlformats.org/drawingml/2006/main">
                <a:graphicData uri="http://schemas.microsoft.com/office/word/2010/wordprocessingShape">
                  <wps:wsp>
                    <wps:cNvSpPr txBox="1"/>
                    <wps:spPr>
                      <a:xfrm>
                        <a:off x="0" y="0"/>
                        <a:ext cx="1363980" cy="72326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D0D775" w14:textId="77777777" w:rsidR="00E55753" w:rsidRDefault="00E55753" w:rsidP="00E55753">
                          <w:pPr>
                            <w:pStyle w:val="Afsenderadresse"/>
                            <w:rPr>
                              <w:sz w:val="16"/>
                              <w:szCs w:val="16"/>
                            </w:rPr>
                          </w:pPr>
                          <w:r>
                            <w:rPr>
                              <w:sz w:val="16"/>
                              <w:szCs w:val="16"/>
                            </w:rPr>
                            <w:t>Holmens Kanal 22</w:t>
                          </w:r>
                        </w:p>
                        <w:p w14:paraId="13E654CF" w14:textId="77777777" w:rsidR="00E55753" w:rsidRDefault="00E55753" w:rsidP="00E55753">
                          <w:pPr>
                            <w:pStyle w:val="Afsenderadresse"/>
                            <w:rPr>
                              <w:sz w:val="16"/>
                              <w:szCs w:val="16"/>
                            </w:rPr>
                          </w:pPr>
                          <w:r>
                            <w:rPr>
                              <w:sz w:val="16"/>
                              <w:szCs w:val="16"/>
                            </w:rPr>
                            <w:t xml:space="preserve">1060 </w:t>
                          </w:r>
                          <w:r w:rsidR="008F41DD">
                            <w:t xml:space="preserve">Copenhagen </w:t>
                          </w:r>
                          <w:r>
                            <w:rPr>
                              <w:sz w:val="16"/>
                              <w:szCs w:val="16"/>
                            </w:rPr>
                            <w:t>K</w:t>
                          </w:r>
                        </w:p>
                        <w:p w14:paraId="0650509C" w14:textId="77777777" w:rsidR="00E55753" w:rsidRDefault="00525002" w:rsidP="00E55753">
                          <w:pPr>
                            <w:pStyle w:val="Afsenderadresse"/>
                            <w:rPr>
                              <w:sz w:val="16"/>
                              <w:szCs w:val="16"/>
                            </w:rPr>
                          </w:pPr>
                          <w:r>
                            <w:rPr>
                              <w:sz w:val="16"/>
                              <w:szCs w:val="16"/>
                            </w:rPr>
                            <w:t>Phone</w:t>
                          </w:r>
                          <w:r w:rsidR="00E55753">
                            <w:rPr>
                              <w:sz w:val="16"/>
                              <w:szCs w:val="16"/>
                            </w:rPr>
                            <w:t xml:space="preserve"> </w:t>
                          </w:r>
                          <w:r w:rsidR="008F41DD">
                            <w:rPr>
                              <w:sz w:val="16"/>
                              <w:szCs w:val="16"/>
                            </w:rPr>
                            <w:t xml:space="preserve">+45 </w:t>
                          </w:r>
                          <w:r w:rsidR="00E55753">
                            <w:rPr>
                              <w:sz w:val="16"/>
                              <w:szCs w:val="16"/>
                            </w:rPr>
                            <w:t>33 92 93 00</w:t>
                          </w:r>
                        </w:p>
                        <w:p w14:paraId="5231281E" w14:textId="77777777" w:rsidR="00E55753" w:rsidRDefault="00C3346C" w:rsidP="00E55753">
                          <w:pPr>
                            <w:pStyle w:val="Afsenderadresse"/>
                            <w:rPr>
                              <w:sz w:val="16"/>
                              <w:szCs w:val="16"/>
                            </w:rPr>
                          </w:pPr>
                          <w:r>
                            <w:rPr>
                              <w:sz w:val="16"/>
                              <w:szCs w:val="16"/>
                            </w:rPr>
                            <w:t>post</w:t>
                          </w:r>
                          <w:r w:rsidR="00E55753">
                            <w:rPr>
                              <w:sz w:val="16"/>
                              <w:szCs w:val="16"/>
                            </w:rPr>
                            <w:t>@sm.dk</w:t>
                          </w:r>
                        </w:p>
                        <w:p w14:paraId="42DCF09F" w14:textId="77777777" w:rsidR="00E55753" w:rsidRDefault="00E55753" w:rsidP="00E55753">
                          <w:pPr>
                            <w:pStyle w:val="Afsenderadresse"/>
                          </w:pPr>
                          <w:r>
                            <w:rPr>
                              <w:sz w:val="16"/>
                              <w:szCs w:val="16"/>
                            </w:rPr>
                            <w:t>www.</w:t>
                          </w:r>
                          <w:r w:rsidR="00A34B1E">
                            <w:rPr>
                              <w:sz w:val="16"/>
                              <w:szCs w:val="16"/>
                            </w:rPr>
                            <w:t>sm</w:t>
                          </w:r>
                          <w:r>
                            <w:rPr>
                              <w:sz w:val="16"/>
                              <w:szCs w:val="16"/>
                            </w:rPr>
                            <w:t>.dk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DD5F36" id="_x0000_t202" coordsize="21600,21600" o:spt="202" path="m,l,21600r21600,l21600,xe">
              <v:stroke joinstyle="miter"/>
              <v:path gradientshapeok="t" o:connecttype="rect"/>
            </v:shapetype>
            <v:shape id="Tekstfelt 3" o:spid="_x0000_s1026" type="#_x0000_t202" style="position:absolute;left:0;text-align:left;margin-left:414.9pt;margin-top:112pt;width:107.4pt;height:5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" filled="f" stroked="f" strokeweight=".5pt">
              <v:textbox inset="0,0,0,0">
                <w:txbxContent>
                  <w:p w14:paraId="11D0D775" w14:textId="77777777" w:rsidR="00E55753" w:rsidRDefault="00E55753" w:rsidP="00E55753">
                    <w:pPr>
                      <w:pStyle w:val="Afsenderadresse"/>
                      <w:rPr>
                        <w:sz w:val="16"/>
                        <w:szCs w:val="16"/>
                      </w:rPr>
                    </w:pPr>
                    <w:r>
                      <w:rPr>
                        <w:sz w:val="16"/>
                        <w:szCs w:val="16"/>
                      </w:rPr>
                      <w:t>Holmens Kanal 22</w:t>
                    </w:r>
                  </w:p>
                  <w:p w14:paraId="13E654CF" w14:textId="77777777" w:rsidR="00E55753" w:rsidRDefault="00E55753" w:rsidP="00E55753">
                    <w:pPr>
                      <w:pStyle w:val="Afsenderadresse"/>
                      <w:rPr>
                        <w:sz w:val="16"/>
                        <w:szCs w:val="16"/>
                      </w:rPr>
                    </w:pPr>
                    <w:r>
                      <w:rPr>
                        <w:sz w:val="16"/>
                        <w:szCs w:val="16"/>
                      </w:rPr>
                      <w:t xml:space="preserve">1060 </w:t>
                    </w:r>
                    <w:r w:rsidR="008F41DD">
                      <w:t xml:space="preserve">Copenhagen </w:t>
                    </w:r>
                    <w:r>
                      <w:rPr>
                        <w:sz w:val="16"/>
                        <w:szCs w:val="16"/>
                      </w:rPr>
                      <w:t>K</w:t>
                    </w:r>
                  </w:p>
                  <w:p w14:paraId="0650509C" w14:textId="77777777" w:rsidR="00E55753" w:rsidRDefault="00525002" w:rsidP="00E55753">
                    <w:pPr>
                      <w:pStyle w:val="Afsenderadresse"/>
                      <w:rPr>
                        <w:sz w:val="16"/>
                        <w:szCs w:val="16"/>
                      </w:rPr>
                    </w:pPr>
                    <w:r>
                      <w:rPr>
                        <w:sz w:val="16"/>
                        <w:szCs w:val="16"/>
                      </w:rPr>
                      <w:t>Phone</w:t>
                    </w:r>
                    <w:r w:rsidR="00E55753">
                      <w:rPr>
                        <w:sz w:val="16"/>
                        <w:szCs w:val="16"/>
                      </w:rPr>
                      <w:t xml:space="preserve"> </w:t>
                    </w:r>
                    <w:r w:rsidR="008F41DD">
                      <w:rPr>
                        <w:sz w:val="16"/>
                        <w:szCs w:val="16"/>
                      </w:rPr>
                      <w:t xml:space="preserve">+45 </w:t>
                    </w:r>
                    <w:r w:rsidR="00E55753">
                      <w:rPr>
                        <w:sz w:val="16"/>
                        <w:szCs w:val="16"/>
                      </w:rPr>
                      <w:t>33 92 93 00</w:t>
                    </w:r>
                  </w:p>
                  <w:p w14:paraId="5231281E" w14:textId="77777777" w:rsidR="00E55753" w:rsidRDefault="00C3346C" w:rsidP="00E55753">
                    <w:pPr>
                      <w:pStyle w:val="Afsenderadresse"/>
                      <w:rPr>
                        <w:sz w:val="16"/>
                        <w:szCs w:val="16"/>
                      </w:rPr>
                    </w:pPr>
                    <w:r>
                      <w:rPr>
                        <w:sz w:val="16"/>
                        <w:szCs w:val="16"/>
                      </w:rPr>
                      <w:t>post</w:t>
                    </w:r>
                    <w:r w:rsidR="00E55753">
                      <w:rPr>
                        <w:sz w:val="16"/>
                        <w:szCs w:val="16"/>
                      </w:rPr>
                      <w:t>@sm.dk</w:t>
                    </w:r>
                  </w:p>
                  <w:p w14:paraId="42DCF09F" w14:textId="77777777" w:rsidR="00E55753" w:rsidRDefault="00E55753" w:rsidP="00E55753">
                    <w:pPr>
                      <w:pStyle w:val="Afsenderadresse"/>
                    </w:pPr>
                    <w:r>
                      <w:rPr>
                        <w:sz w:val="16"/>
                        <w:szCs w:val="16"/>
                      </w:rPr>
                      <w:t>www.</w:t>
                    </w:r>
                    <w:r w:rsidR="00A34B1E">
                      <w:rPr>
                        <w:sz w:val="16"/>
                        <w:szCs w:val="16"/>
                      </w:rPr>
                      <w:t>sm</w:t>
                    </w:r>
                    <w:r>
                      <w:rPr>
                        <w:sz w:val="16"/>
                        <w:szCs w:val="16"/>
                      </w:rPr>
                      <w:t>.dk</w:t>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A1465"/>
    <w:multiLevelType w:val="hybridMultilevel"/>
    <w:tmpl w:val="5322B3BE"/>
    <w:lvl w:ilvl="0" w:tplc="046F0001">
      <w:start w:val="1"/>
      <w:numFmt w:val="bullet"/>
      <w:lvlText w:val=""/>
      <w:lvlJc w:val="left"/>
      <w:pPr>
        <w:ind w:left="720" w:hanging="360"/>
      </w:pPr>
      <w:rPr>
        <w:rFonts w:ascii="Symbol" w:hAnsi="Symbol" w:hint="default"/>
      </w:rPr>
    </w:lvl>
    <w:lvl w:ilvl="1" w:tplc="046F0003">
      <w:start w:val="1"/>
      <w:numFmt w:val="bullet"/>
      <w:lvlText w:val="o"/>
      <w:lvlJc w:val="left"/>
      <w:pPr>
        <w:ind w:left="1440" w:hanging="360"/>
      </w:pPr>
      <w:rPr>
        <w:rFonts w:ascii="Courier New" w:hAnsi="Courier New" w:cs="Courier New" w:hint="default"/>
      </w:rPr>
    </w:lvl>
    <w:lvl w:ilvl="2" w:tplc="046F0005">
      <w:start w:val="1"/>
      <w:numFmt w:val="bullet"/>
      <w:lvlText w:val=""/>
      <w:lvlJc w:val="left"/>
      <w:pPr>
        <w:ind w:left="2160" w:hanging="360"/>
      </w:pPr>
      <w:rPr>
        <w:rFonts w:ascii="Wingdings" w:hAnsi="Wingdings" w:hint="default"/>
      </w:rPr>
    </w:lvl>
    <w:lvl w:ilvl="3" w:tplc="046F0001">
      <w:start w:val="1"/>
      <w:numFmt w:val="bullet"/>
      <w:lvlText w:val=""/>
      <w:lvlJc w:val="left"/>
      <w:pPr>
        <w:ind w:left="2880" w:hanging="360"/>
      </w:pPr>
      <w:rPr>
        <w:rFonts w:ascii="Symbol" w:hAnsi="Symbol" w:hint="default"/>
      </w:rPr>
    </w:lvl>
    <w:lvl w:ilvl="4" w:tplc="046F0003">
      <w:start w:val="1"/>
      <w:numFmt w:val="bullet"/>
      <w:lvlText w:val="o"/>
      <w:lvlJc w:val="left"/>
      <w:pPr>
        <w:ind w:left="3600" w:hanging="360"/>
      </w:pPr>
      <w:rPr>
        <w:rFonts w:ascii="Courier New" w:hAnsi="Courier New" w:cs="Courier New" w:hint="default"/>
      </w:rPr>
    </w:lvl>
    <w:lvl w:ilvl="5" w:tplc="046F0005">
      <w:start w:val="1"/>
      <w:numFmt w:val="bullet"/>
      <w:lvlText w:val=""/>
      <w:lvlJc w:val="left"/>
      <w:pPr>
        <w:ind w:left="4320" w:hanging="360"/>
      </w:pPr>
      <w:rPr>
        <w:rFonts w:ascii="Wingdings" w:hAnsi="Wingdings" w:hint="default"/>
      </w:rPr>
    </w:lvl>
    <w:lvl w:ilvl="6" w:tplc="046F0001">
      <w:start w:val="1"/>
      <w:numFmt w:val="bullet"/>
      <w:lvlText w:val=""/>
      <w:lvlJc w:val="left"/>
      <w:pPr>
        <w:ind w:left="5040" w:hanging="360"/>
      </w:pPr>
      <w:rPr>
        <w:rFonts w:ascii="Symbol" w:hAnsi="Symbol" w:hint="default"/>
      </w:rPr>
    </w:lvl>
    <w:lvl w:ilvl="7" w:tplc="046F0003">
      <w:start w:val="1"/>
      <w:numFmt w:val="bullet"/>
      <w:lvlText w:val="o"/>
      <w:lvlJc w:val="left"/>
      <w:pPr>
        <w:ind w:left="5760" w:hanging="360"/>
      </w:pPr>
      <w:rPr>
        <w:rFonts w:ascii="Courier New" w:hAnsi="Courier New" w:cs="Courier New" w:hint="default"/>
      </w:rPr>
    </w:lvl>
    <w:lvl w:ilvl="8" w:tplc="046F0005">
      <w:start w:val="1"/>
      <w:numFmt w:val="bullet"/>
      <w:lvlText w:val=""/>
      <w:lvlJc w:val="left"/>
      <w:pPr>
        <w:ind w:left="6480" w:hanging="360"/>
      </w:pPr>
      <w:rPr>
        <w:rFonts w:ascii="Wingdings" w:hAnsi="Wingdings" w:hint="default"/>
      </w:rPr>
    </w:lvl>
  </w:abstractNum>
  <w:abstractNum w:abstractNumId="1" w15:restartNumberingAfterBreak="0">
    <w:nsid w:val="36146349"/>
    <w:multiLevelType w:val="hybridMultilevel"/>
    <w:tmpl w:val="8BDA90EE"/>
    <w:lvl w:ilvl="0" w:tplc="04060001">
      <w:start w:val="1"/>
      <w:numFmt w:val="bullet"/>
      <w:lvlText w:val=""/>
      <w:lvlJc w:val="left"/>
      <w:pPr>
        <w:ind w:left="1494" w:hanging="360"/>
      </w:pPr>
      <w:rPr>
        <w:rFonts w:ascii="Symbol" w:hAnsi="Symbol" w:hint="default"/>
      </w:rPr>
    </w:lvl>
    <w:lvl w:ilvl="1" w:tplc="04060003">
      <w:start w:val="1"/>
      <w:numFmt w:val="bullet"/>
      <w:lvlText w:val="o"/>
      <w:lvlJc w:val="left"/>
      <w:pPr>
        <w:ind w:left="2214" w:hanging="360"/>
      </w:pPr>
      <w:rPr>
        <w:rFonts w:ascii="Courier New" w:hAnsi="Courier New" w:cs="Courier New" w:hint="default"/>
      </w:rPr>
    </w:lvl>
    <w:lvl w:ilvl="2" w:tplc="04060005">
      <w:start w:val="1"/>
      <w:numFmt w:val="bullet"/>
      <w:lvlText w:val=""/>
      <w:lvlJc w:val="left"/>
      <w:pPr>
        <w:ind w:left="2934" w:hanging="360"/>
      </w:pPr>
      <w:rPr>
        <w:rFonts w:ascii="Wingdings" w:hAnsi="Wingdings" w:hint="default"/>
      </w:rPr>
    </w:lvl>
    <w:lvl w:ilvl="3" w:tplc="04060001">
      <w:start w:val="1"/>
      <w:numFmt w:val="bullet"/>
      <w:lvlText w:val=""/>
      <w:lvlJc w:val="left"/>
      <w:pPr>
        <w:ind w:left="3654" w:hanging="360"/>
      </w:pPr>
      <w:rPr>
        <w:rFonts w:ascii="Symbol" w:hAnsi="Symbol" w:hint="default"/>
      </w:rPr>
    </w:lvl>
    <w:lvl w:ilvl="4" w:tplc="04060003">
      <w:start w:val="1"/>
      <w:numFmt w:val="bullet"/>
      <w:lvlText w:val="o"/>
      <w:lvlJc w:val="left"/>
      <w:pPr>
        <w:ind w:left="4374" w:hanging="360"/>
      </w:pPr>
      <w:rPr>
        <w:rFonts w:ascii="Courier New" w:hAnsi="Courier New" w:cs="Courier New" w:hint="default"/>
      </w:rPr>
    </w:lvl>
    <w:lvl w:ilvl="5" w:tplc="04060005">
      <w:start w:val="1"/>
      <w:numFmt w:val="bullet"/>
      <w:lvlText w:val=""/>
      <w:lvlJc w:val="left"/>
      <w:pPr>
        <w:ind w:left="5094" w:hanging="360"/>
      </w:pPr>
      <w:rPr>
        <w:rFonts w:ascii="Wingdings" w:hAnsi="Wingdings" w:hint="default"/>
      </w:rPr>
    </w:lvl>
    <w:lvl w:ilvl="6" w:tplc="04060001">
      <w:start w:val="1"/>
      <w:numFmt w:val="bullet"/>
      <w:lvlText w:val=""/>
      <w:lvlJc w:val="left"/>
      <w:pPr>
        <w:ind w:left="5814" w:hanging="360"/>
      </w:pPr>
      <w:rPr>
        <w:rFonts w:ascii="Symbol" w:hAnsi="Symbol" w:hint="default"/>
      </w:rPr>
    </w:lvl>
    <w:lvl w:ilvl="7" w:tplc="04060003">
      <w:start w:val="1"/>
      <w:numFmt w:val="bullet"/>
      <w:lvlText w:val="o"/>
      <w:lvlJc w:val="left"/>
      <w:pPr>
        <w:ind w:left="6534" w:hanging="360"/>
      </w:pPr>
      <w:rPr>
        <w:rFonts w:ascii="Courier New" w:hAnsi="Courier New" w:cs="Courier New" w:hint="default"/>
      </w:rPr>
    </w:lvl>
    <w:lvl w:ilvl="8" w:tplc="04060005">
      <w:start w:val="1"/>
      <w:numFmt w:val="bullet"/>
      <w:lvlText w:val=""/>
      <w:lvlJc w:val="left"/>
      <w:pPr>
        <w:ind w:left="7254" w:hanging="360"/>
      </w:pPr>
      <w:rPr>
        <w:rFonts w:ascii="Wingdings" w:hAnsi="Wingdings" w:hint="default"/>
      </w:rPr>
    </w:lvl>
  </w:abstractNum>
  <w:abstractNum w:abstractNumId="2" w15:restartNumberingAfterBreak="0">
    <w:nsid w:val="53455630"/>
    <w:multiLevelType w:val="hybridMultilevel"/>
    <w:tmpl w:val="B1EC43C4"/>
    <w:lvl w:ilvl="0" w:tplc="D6586F06">
      <w:start w:val="1"/>
      <w:numFmt w:val="decimal"/>
      <w:pStyle w:val="Talopstilling"/>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3" w15:restartNumberingAfterBreak="0">
    <w:nsid w:val="5B156D5B"/>
    <w:multiLevelType w:val="hybridMultilevel"/>
    <w:tmpl w:val="4D6C882A"/>
    <w:lvl w:ilvl="0" w:tplc="1BA634E8">
      <w:start w:val="1"/>
      <w:numFmt w:val="bullet"/>
      <w:pStyle w:val="Listeafsnit"/>
      <w:lvlText w:val=""/>
      <w:lvlJc w:val="left"/>
      <w:pPr>
        <w:tabs>
          <w:tab w:val="num" w:pos="340"/>
        </w:tabs>
        <w:ind w:left="340" w:hanging="340"/>
      </w:pPr>
      <w:rPr>
        <w:rFonts w:ascii="Symbol" w:hAnsi="Symbol" w:hint="default"/>
        <w:position w:val="2"/>
        <w:sz w:val="20"/>
        <w:szCs w:val="2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611B0D69"/>
    <w:multiLevelType w:val="hybridMultilevel"/>
    <w:tmpl w:val="E7F07A94"/>
    <w:lvl w:ilvl="0" w:tplc="1E367842">
      <w:start w:val="1"/>
      <w:numFmt w:val="bullet"/>
      <w:pStyle w:val="Punktliste"/>
      <w:lvlText w:val=""/>
      <w:lvlJc w:val="left"/>
      <w:pPr>
        <w:tabs>
          <w:tab w:val="num" w:pos="198"/>
        </w:tabs>
        <w:ind w:left="198" w:hanging="198"/>
      </w:pPr>
      <w:rPr>
        <w:rFonts w:ascii="Symbol" w:hAnsi="Symbol" w:hint="default"/>
        <w:sz w:val="15"/>
        <w:szCs w:val="15"/>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7124324B"/>
    <w:multiLevelType w:val="hybridMultilevel"/>
    <w:tmpl w:val="81CE3BEC"/>
    <w:lvl w:ilvl="0" w:tplc="5D4ECD68">
      <w:start w:val="1"/>
      <w:numFmt w:val="bullet"/>
      <w:pStyle w:val="BMBullets"/>
      <w:lvlText w:val=""/>
      <w:lvlJc w:val="left"/>
      <w:pPr>
        <w:tabs>
          <w:tab w:val="num" w:pos="284"/>
        </w:tabs>
        <w:ind w:left="284" w:hanging="284"/>
      </w:pPr>
      <w:rPr>
        <w:rFonts w:ascii="Symbol" w:hAnsi="Symbol" w:hint="default"/>
        <w:sz w:val="18"/>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836850"/>
    <w:multiLevelType w:val="hybridMultilevel"/>
    <w:tmpl w:val="20B6294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num>
  <w:num w:numId="3">
    <w:abstractNumId w:val="4"/>
    <w:lvlOverride w:ilvl="0">
      <w:startOverride w:val="1"/>
    </w:lvlOverride>
  </w:num>
  <w:num w:numId="4">
    <w:abstractNumId w:val="3"/>
  </w:num>
  <w:num w:numId="5">
    <w:abstractNumId w:val="2"/>
  </w:num>
  <w:num w:numId="6">
    <w:abstractNumId w:val="3"/>
  </w:num>
  <w:num w:numId="7">
    <w:abstractNumId w:val="3"/>
  </w:num>
  <w:num w:numId="8">
    <w:abstractNumId w:val="5"/>
  </w:num>
  <w:num w:numId="9">
    <w:abstractNumId w:val="1"/>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304"/>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EB3"/>
    <w:rsid w:val="00014D36"/>
    <w:rsid w:val="0001724F"/>
    <w:rsid w:val="00023BD0"/>
    <w:rsid w:val="000311C6"/>
    <w:rsid w:val="00054A97"/>
    <w:rsid w:val="000653AA"/>
    <w:rsid w:val="00070DCD"/>
    <w:rsid w:val="000716E6"/>
    <w:rsid w:val="00071CCA"/>
    <w:rsid w:val="0007511B"/>
    <w:rsid w:val="00075B36"/>
    <w:rsid w:val="000852A9"/>
    <w:rsid w:val="000911D1"/>
    <w:rsid w:val="00092E35"/>
    <w:rsid w:val="0009586B"/>
    <w:rsid w:val="00097CF9"/>
    <w:rsid w:val="000A07B9"/>
    <w:rsid w:val="000A52DA"/>
    <w:rsid w:val="000A7095"/>
    <w:rsid w:val="000C7153"/>
    <w:rsid w:val="000E1F9F"/>
    <w:rsid w:val="000E4C5F"/>
    <w:rsid w:val="000E6C03"/>
    <w:rsid w:val="00104A40"/>
    <w:rsid w:val="00107568"/>
    <w:rsid w:val="001078CB"/>
    <w:rsid w:val="00120342"/>
    <w:rsid w:val="001264F4"/>
    <w:rsid w:val="0012698A"/>
    <w:rsid w:val="00144A8F"/>
    <w:rsid w:val="00154E9A"/>
    <w:rsid w:val="00161AD3"/>
    <w:rsid w:val="00196407"/>
    <w:rsid w:val="001A21EE"/>
    <w:rsid w:val="001B18CC"/>
    <w:rsid w:val="001C061E"/>
    <w:rsid w:val="001C32A9"/>
    <w:rsid w:val="001C774A"/>
    <w:rsid w:val="001E1718"/>
    <w:rsid w:val="001E7AD4"/>
    <w:rsid w:val="001F6D13"/>
    <w:rsid w:val="002148BD"/>
    <w:rsid w:val="002411D4"/>
    <w:rsid w:val="00241547"/>
    <w:rsid w:val="00247D22"/>
    <w:rsid w:val="00253686"/>
    <w:rsid w:val="00253DF0"/>
    <w:rsid w:val="0027260D"/>
    <w:rsid w:val="00276D16"/>
    <w:rsid w:val="00292640"/>
    <w:rsid w:val="002B13F3"/>
    <w:rsid w:val="002B32A2"/>
    <w:rsid w:val="002C05EF"/>
    <w:rsid w:val="002C0F12"/>
    <w:rsid w:val="002D2304"/>
    <w:rsid w:val="002D6E9A"/>
    <w:rsid w:val="002E211A"/>
    <w:rsid w:val="002F2009"/>
    <w:rsid w:val="002F3E31"/>
    <w:rsid w:val="002F7058"/>
    <w:rsid w:val="003028F7"/>
    <w:rsid w:val="00303025"/>
    <w:rsid w:val="003061FA"/>
    <w:rsid w:val="00314BB2"/>
    <w:rsid w:val="00317C0A"/>
    <w:rsid w:val="00323310"/>
    <w:rsid w:val="003334EA"/>
    <w:rsid w:val="00342EA9"/>
    <w:rsid w:val="00354FC0"/>
    <w:rsid w:val="00371099"/>
    <w:rsid w:val="0037511E"/>
    <w:rsid w:val="00395046"/>
    <w:rsid w:val="003A41F5"/>
    <w:rsid w:val="003A5076"/>
    <w:rsid w:val="003B44D5"/>
    <w:rsid w:val="003B5C9E"/>
    <w:rsid w:val="004211F4"/>
    <w:rsid w:val="00421A2B"/>
    <w:rsid w:val="00425FAA"/>
    <w:rsid w:val="004412A9"/>
    <w:rsid w:val="00444286"/>
    <w:rsid w:val="004602B0"/>
    <w:rsid w:val="004608CC"/>
    <w:rsid w:val="0046235B"/>
    <w:rsid w:val="00470A96"/>
    <w:rsid w:val="004925A1"/>
    <w:rsid w:val="004A5891"/>
    <w:rsid w:val="004B1135"/>
    <w:rsid w:val="004C011F"/>
    <w:rsid w:val="004C0287"/>
    <w:rsid w:val="004C379B"/>
    <w:rsid w:val="004D468A"/>
    <w:rsid w:val="004E38B5"/>
    <w:rsid w:val="004E41DE"/>
    <w:rsid w:val="004F297B"/>
    <w:rsid w:val="004F4FF8"/>
    <w:rsid w:val="0051131F"/>
    <w:rsid w:val="00514DAD"/>
    <w:rsid w:val="00525002"/>
    <w:rsid w:val="0052603E"/>
    <w:rsid w:val="0053351C"/>
    <w:rsid w:val="0053674D"/>
    <w:rsid w:val="00546289"/>
    <w:rsid w:val="00551516"/>
    <w:rsid w:val="00563BCF"/>
    <w:rsid w:val="00565009"/>
    <w:rsid w:val="005844BA"/>
    <w:rsid w:val="0058727C"/>
    <w:rsid w:val="005A5BFA"/>
    <w:rsid w:val="005E1F18"/>
    <w:rsid w:val="005F09CA"/>
    <w:rsid w:val="005F4689"/>
    <w:rsid w:val="005F71DC"/>
    <w:rsid w:val="0060062F"/>
    <w:rsid w:val="006137D0"/>
    <w:rsid w:val="00621CD1"/>
    <w:rsid w:val="00634169"/>
    <w:rsid w:val="00641BE0"/>
    <w:rsid w:val="006427C0"/>
    <w:rsid w:val="00645DE2"/>
    <w:rsid w:val="0064686A"/>
    <w:rsid w:val="00646F5A"/>
    <w:rsid w:val="006575AD"/>
    <w:rsid w:val="006632A2"/>
    <w:rsid w:val="00680BCC"/>
    <w:rsid w:val="0068381B"/>
    <w:rsid w:val="00692ADC"/>
    <w:rsid w:val="006949A3"/>
    <w:rsid w:val="006A363F"/>
    <w:rsid w:val="006B61B9"/>
    <w:rsid w:val="006B691F"/>
    <w:rsid w:val="006C43F0"/>
    <w:rsid w:val="006C5035"/>
    <w:rsid w:val="006D49B6"/>
    <w:rsid w:val="006D6943"/>
    <w:rsid w:val="006E1574"/>
    <w:rsid w:val="006E26E2"/>
    <w:rsid w:val="006E5C9A"/>
    <w:rsid w:val="006E7488"/>
    <w:rsid w:val="006F7230"/>
    <w:rsid w:val="006F7898"/>
    <w:rsid w:val="007151BE"/>
    <w:rsid w:val="007423C7"/>
    <w:rsid w:val="00750378"/>
    <w:rsid w:val="00764AC9"/>
    <w:rsid w:val="00787F05"/>
    <w:rsid w:val="00791EB3"/>
    <w:rsid w:val="0079668A"/>
    <w:rsid w:val="007B1112"/>
    <w:rsid w:val="007C01B0"/>
    <w:rsid w:val="007C3F93"/>
    <w:rsid w:val="007C4EA7"/>
    <w:rsid w:val="007D54FD"/>
    <w:rsid w:val="007D6EB3"/>
    <w:rsid w:val="007E00CC"/>
    <w:rsid w:val="007F1627"/>
    <w:rsid w:val="007F4A48"/>
    <w:rsid w:val="007F57DB"/>
    <w:rsid w:val="00812915"/>
    <w:rsid w:val="00817B61"/>
    <w:rsid w:val="00822143"/>
    <w:rsid w:val="00822C48"/>
    <w:rsid w:val="008243EF"/>
    <w:rsid w:val="00834683"/>
    <w:rsid w:val="00852A6D"/>
    <w:rsid w:val="008643BF"/>
    <w:rsid w:val="00892C16"/>
    <w:rsid w:val="00896C7E"/>
    <w:rsid w:val="008A59E1"/>
    <w:rsid w:val="008B1F18"/>
    <w:rsid w:val="008C27BA"/>
    <w:rsid w:val="008D16C9"/>
    <w:rsid w:val="008D4C15"/>
    <w:rsid w:val="008E398D"/>
    <w:rsid w:val="008E7CAB"/>
    <w:rsid w:val="008F1D16"/>
    <w:rsid w:val="008F41DD"/>
    <w:rsid w:val="00900209"/>
    <w:rsid w:val="009037C6"/>
    <w:rsid w:val="00914943"/>
    <w:rsid w:val="00923934"/>
    <w:rsid w:val="009265C6"/>
    <w:rsid w:val="009411F1"/>
    <w:rsid w:val="00944F67"/>
    <w:rsid w:val="00950F4A"/>
    <w:rsid w:val="0097748B"/>
    <w:rsid w:val="00981568"/>
    <w:rsid w:val="009900F1"/>
    <w:rsid w:val="00992351"/>
    <w:rsid w:val="009935D1"/>
    <w:rsid w:val="009A0C11"/>
    <w:rsid w:val="009B0C91"/>
    <w:rsid w:val="009C0850"/>
    <w:rsid w:val="009C0992"/>
    <w:rsid w:val="009D4D52"/>
    <w:rsid w:val="009E0C98"/>
    <w:rsid w:val="009F17C1"/>
    <w:rsid w:val="009F2E88"/>
    <w:rsid w:val="009F5D00"/>
    <w:rsid w:val="009F7DD0"/>
    <w:rsid w:val="00A15070"/>
    <w:rsid w:val="00A157D0"/>
    <w:rsid w:val="00A23264"/>
    <w:rsid w:val="00A240B8"/>
    <w:rsid w:val="00A34B1E"/>
    <w:rsid w:val="00A607EA"/>
    <w:rsid w:val="00A61A3E"/>
    <w:rsid w:val="00A71EDA"/>
    <w:rsid w:val="00A872D9"/>
    <w:rsid w:val="00A87B17"/>
    <w:rsid w:val="00A90605"/>
    <w:rsid w:val="00A9097C"/>
    <w:rsid w:val="00AA21E8"/>
    <w:rsid w:val="00AA46A8"/>
    <w:rsid w:val="00AC03AA"/>
    <w:rsid w:val="00AC6101"/>
    <w:rsid w:val="00AD0A11"/>
    <w:rsid w:val="00AE5FC8"/>
    <w:rsid w:val="00AE6C3A"/>
    <w:rsid w:val="00AF318D"/>
    <w:rsid w:val="00B0564B"/>
    <w:rsid w:val="00B05A00"/>
    <w:rsid w:val="00B25911"/>
    <w:rsid w:val="00B25FF1"/>
    <w:rsid w:val="00B40C12"/>
    <w:rsid w:val="00B427C9"/>
    <w:rsid w:val="00B4789E"/>
    <w:rsid w:val="00B52433"/>
    <w:rsid w:val="00B53C6B"/>
    <w:rsid w:val="00B66D28"/>
    <w:rsid w:val="00B80694"/>
    <w:rsid w:val="00B8272B"/>
    <w:rsid w:val="00B83F84"/>
    <w:rsid w:val="00B87903"/>
    <w:rsid w:val="00BA2033"/>
    <w:rsid w:val="00BC0A3C"/>
    <w:rsid w:val="00BC2CF9"/>
    <w:rsid w:val="00BC4C50"/>
    <w:rsid w:val="00BD2956"/>
    <w:rsid w:val="00BE29E4"/>
    <w:rsid w:val="00BF088F"/>
    <w:rsid w:val="00C01CBD"/>
    <w:rsid w:val="00C05CDC"/>
    <w:rsid w:val="00C115A4"/>
    <w:rsid w:val="00C15EC2"/>
    <w:rsid w:val="00C2177C"/>
    <w:rsid w:val="00C26CAD"/>
    <w:rsid w:val="00C3346C"/>
    <w:rsid w:val="00C3609E"/>
    <w:rsid w:val="00C36301"/>
    <w:rsid w:val="00C374AD"/>
    <w:rsid w:val="00C4050A"/>
    <w:rsid w:val="00C45229"/>
    <w:rsid w:val="00C64DA6"/>
    <w:rsid w:val="00C66B81"/>
    <w:rsid w:val="00C7387A"/>
    <w:rsid w:val="00C92843"/>
    <w:rsid w:val="00CA37DE"/>
    <w:rsid w:val="00CA5EA7"/>
    <w:rsid w:val="00CB65EA"/>
    <w:rsid w:val="00CC1FA7"/>
    <w:rsid w:val="00CC3117"/>
    <w:rsid w:val="00CD7502"/>
    <w:rsid w:val="00CE01EF"/>
    <w:rsid w:val="00CF5DF3"/>
    <w:rsid w:val="00D01A96"/>
    <w:rsid w:val="00D12502"/>
    <w:rsid w:val="00D25CCC"/>
    <w:rsid w:val="00D32D5F"/>
    <w:rsid w:val="00D344D2"/>
    <w:rsid w:val="00D35420"/>
    <w:rsid w:val="00D35CC4"/>
    <w:rsid w:val="00D43152"/>
    <w:rsid w:val="00D45E1B"/>
    <w:rsid w:val="00D528A6"/>
    <w:rsid w:val="00D6575E"/>
    <w:rsid w:val="00D73A79"/>
    <w:rsid w:val="00D9112D"/>
    <w:rsid w:val="00D9352A"/>
    <w:rsid w:val="00DA1CFC"/>
    <w:rsid w:val="00DA4E05"/>
    <w:rsid w:val="00DB6672"/>
    <w:rsid w:val="00DC2324"/>
    <w:rsid w:val="00DC7D7D"/>
    <w:rsid w:val="00DE38C7"/>
    <w:rsid w:val="00DF2849"/>
    <w:rsid w:val="00DF7D8C"/>
    <w:rsid w:val="00E203DF"/>
    <w:rsid w:val="00E24C21"/>
    <w:rsid w:val="00E3108E"/>
    <w:rsid w:val="00E32E6C"/>
    <w:rsid w:val="00E3638D"/>
    <w:rsid w:val="00E3728E"/>
    <w:rsid w:val="00E43ED4"/>
    <w:rsid w:val="00E511EB"/>
    <w:rsid w:val="00E55753"/>
    <w:rsid w:val="00E869A6"/>
    <w:rsid w:val="00E95D29"/>
    <w:rsid w:val="00EB38A2"/>
    <w:rsid w:val="00EB4E97"/>
    <w:rsid w:val="00EC50D0"/>
    <w:rsid w:val="00EE02CE"/>
    <w:rsid w:val="00EE3253"/>
    <w:rsid w:val="00EE40B0"/>
    <w:rsid w:val="00EE7935"/>
    <w:rsid w:val="00EF6A79"/>
    <w:rsid w:val="00F04F86"/>
    <w:rsid w:val="00F06ED0"/>
    <w:rsid w:val="00F0703B"/>
    <w:rsid w:val="00F07F6F"/>
    <w:rsid w:val="00F14AD6"/>
    <w:rsid w:val="00F326C3"/>
    <w:rsid w:val="00F35B06"/>
    <w:rsid w:val="00F3614C"/>
    <w:rsid w:val="00F41248"/>
    <w:rsid w:val="00F41C4A"/>
    <w:rsid w:val="00F47AA1"/>
    <w:rsid w:val="00F677C9"/>
    <w:rsid w:val="00F74A87"/>
    <w:rsid w:val="00F814B4"/>
    <w:rsid w:val="00F959D3"/>
    <w:rsid w:val="00FB58AD"/>
    <w:rsid w:val="00FD39AC"/>
    <w:rsid w:val="00FD70C3"/>
    <w:rsid w:val="00FE2330"/>
    <w:rsid w:val="00FE24DE"/>
    <w:rsid w:val="00FE4FF9"/>
    <w:rsid w:val="00FF160A"/>
    <w:rsid w:val="00FF3BBE"/>
    <w:rsid w:val="00FF53F9"/>
    <w:rsid w:val="00FF5901"/>
    <w:rsid w:val="00FF7D1D"/>
  </w:rsids>
  <m:mathPr>
    <m:mathFont m:val="Cambria Math"/>
    <m:brkBin m:val="before"/>
    <m:brkBinSub m:val="--"/>
    <m:smallFrac m:val="0"/>
    <m:dispDef/>
    <m:lMargin m:val="0"/>
    <m:rMargin m:val="0"/>
    <m:defJc m:val="centerGroup"/>
    <m:wrapIndent m:val="1440"/>
    <m:intLim m:val="subSup"/>
    <m:naryLim m:val="undOvr"/>
  </m:mathPr>
  <w:themeFontLang w:val="da-DK"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D8C723"/>
  <w15:docId w15:val="{E5EAA5F2-BBFF-418F-B524-13A666119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5">
    <w:lsdException w:name="Normal" w:uiPriority="2" w:qFormat="1"/>
    <w:lsdException w:name="heading 1" w:qFormat="1"/>
    <w:lsdException w:name="heading 2" w:uiPriority="1" w:qFormat="1"/>
    <w:lsdException w:name="heading 3" w:uiPriority="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4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iPriority w:val="2"/>
    <w:qFormat/>
    <w:rsid w:val="00896C7E"/>
    <w:pPr>
      <w:spacing w:line="240" w:lineRule="atLeast"/>
    </w:pPr>
    <w:rPr>
      <w:rFonts w:ascii="Arial" w:hAnsi="Arial"/>
      <w:szCs w:val="24"/>
    </w:rPr>
  </w:style>
  <w:style w:type="paragraph" w:styleId="Overskrift1">
    <w:name w:val="heading 1"/>
    <w:basedOn w:val="Normal"/>
    <w:next w:val="Normal"/>
    <w:link w:val="Overskrift1Tegn"/>
    <w:uiPriority w:val="1"/>
    <w:qFormat/>
    <w:rsid w:val="00AE5FC8"/>
    <w:pPr>
      <w:spacing w:after="240"/>
      <w:outlineLvl w:val="0"/>
    </w:pPr>
    <w:rPr>
      <w:b/>
      <w:color w:val="000000"/>
      <w:sz w:val="26"/>
    </w:rPr>
  </w:style>
  <w:style w:type="paragraph" w:styleId="Overskrift2">
    <w:name w:val="heading 2"/>
    <w:basedOn w:val="Normal"/>
    <w:next w:val="Normal"/>
    <w:link w:val="Overskrift2Tegn"/>
    <w:uiPriority w:val="1"/>
    <w:qFormat/>
    <w:rsid w:val="00AE5FC8"/>
    <w:pPr>
      <w:keepNext/>
      <w:keepLines/>
      <w:spacing w:before="240"/>
      <w:outlineLvl w:val="1"/>
    </w:pPr>
    <w:rPr>
      <w:rFonts w:eastAsiaTheme="majorEastAsia" w:cstheme="majorBidi"/>
      <w:b/>
      <w:bCs/>
      <w:color w:val="000000" w:themeColor="text1"/>
      <w:szCs w:val="26"/>
    </w:rPr>
  </w:style>
  <w:style w:type="paragraph" w:styleId="Overskrift3">
    <w:name w:val="heading 3"/>
    <w:basedOn w:val="Normal"/>
    <w:next w:val="Normal"/>
    <w:link w:val="Overskrift3Tegn"/>
    <w:uiPriority w:val="1"/>
    <w:qFormat/>
    <w:rsid w:val="00AE5FC8"/>
    <w:pPr>
      <w:keepNext/>
      <w:keepLines/>
      <w:spacing w:before="240"/>
      <w:outlineLvl w:val="2"/>
    </w:pPr>
    <w:rPr>
      <w:rFonts w:eastAsiaTheme="majorEastAsia" w:cstheme="majorBidi"/>
      <w:i/>
      <w:color w:val="091D38" w:themeColor="accent1" w:themeShade="7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semiHidden/>
    <w:rsid w:val="00E869A6"/>
    <w:pPr>
      <w:tabs>
        <w:tab w:val="center" w:pos="4986"/>
        <w:tab w:val="right" w:pos="9972"/>
      </w:tabs>
    </w:pPr>
  </w:style>
  <w:style w:type="paragraph" w:styleId="Sidefod">
    <w:name w:val="footer"/>
    <w:basedOn w:val="Normal"/>
    <w:link w:val="SidefodTegn"/>
    <w:uiPriority w:val="99"/>
    <w:semiHidden/>
    <w:rsid w:val="002D2304"/>
    <w:pPr>
      <w:tabs>
        <w:tab w:val="center" w:pos="4986"/>
        <w:tab w:val="right" w:pos="9972"/>
      </w:tabs>
      <w:spacing w:line="240" w:lineRule="auto"/>
      <w:jc w:val="right"/>
    </w:pPr>
    <w:rPr>
      <w:sz w:val="16"/>
    </w:rPr>
  </w:style>
  <w:style w:type="paragraph" w:customStyle="1" w:styleId="Adresse">
    <w:name w:val="Adresse"/>
    <w:basedOn w:val="Normal"/>
    <w:semiHidden/>
    <w:rsid w:val="00425FAA"/>
    <w:pPr>
      <w:framePr w:hSpace="142" w:wrap="around" w:vAnchor="page" w:hAnchor="page" w:x="7967" w:y="11341"/>
      <w:autoSpaceDE w:val="0"/>
      <w:autoSpaceDN w:val="0"/>
      <w:adjustRightInd w:val="0"/>
      <w:spacing w:line="240" w:lineRule="auto"/>
      <w:suppressOverlap/>
      <w:jc w:val="right"/>
    </w:pPr>
    <w:rPr>
      <w:rFonts w:cs="Calibri"/>
      <w:color w:val="787878"/>
      <w:szCs w:val="18"/>
    </w:rPr>
  </w:style>
  <w:style w:type="paragraph" w:customStyle="1" w:styleId="TypografiAdresseMnsterMassiv100Hvid">
    <w:name w:val="Typografi Adresse + Mønster: Massiv (100%) (Hvid)"/>
    <w:basedOn w:val="Adresse"/>
    <w:semiHidden/>
    <w:rsid w:val="00B0564B"/>
    <w:pPr>
      <w:framePr w:wrap="around"/>
      <w:shd w:val="solid" w:color="FFFFFF" w:fill="FFFFFF"/>
      <w:spacing w:line="260" w:lineRule="exact"/>
    </w:pPr>
    <w:rPr>
      <w:szCs w:val="20"/>
    </w:rPr>
  </w:style>
  <w:style w:type="paragraph" w:customStyle="1" w:styleId="TypografiAdresseMnsterMassiv100Hvid1">
    <w:name w:val="Typografi Adresse + Mønster: Massiv (100%) (Hvid)1"/>
    <w:basedOn w:val="Adresse"/>
    <w:semiHidden/>
    <w:rsid w:val="00B0564B"/>
    <w:pPr>
      <w:framePr w:wrap="around"/>
      <w:shd w:val="solid" w:color="FFFFFF" w:fill="FFFFFF"/>
    </w:pPr>
    <w:rPr>
      <w:szCs w:val="20"/>
    </w:rPr>
  </w:style>
  <w:style w:type="paragraph" w:customStyle="1" w:styleId="Dato1">
    <w:name w:val="Dato1"/>
    <w:autoRedefine/>
    <w:semiHidden/>
    <w:rsid w:val="00342EA9"/>
    <w:pPr>
      <w:framePr w:w="2835" w:h="284" w:hRule="exact" w:wrap="around" w:vAnchor="page" w:hAnchor="page" w:x="5784" w:y="3970"/>
      <w:shd w:val="solid" w:color="FFFFFF" w:fill="FFFFFF"/>
      <w:spacing w:line="360" w:lineRule="auto"/>
    </w:pPr>
    <w:rPr>
      <w:rFonts w:ascii="Verdana" w:hAnsi="Verdana"/>
      <w:noProof/>
      <w:sz w:val="18"/>
      <w:szCs w:val="18"/>
    </w:rPr>
  </w:style>
  <w:style w:type="table" w:styleId="Tabel-Gitter">
    <w:name w:val="Table Grid"/>
    <w:basedOn w:val="Tabel-Normal"/>
    <w:rsid w:val="00354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skrift1Tegn">
    <w:name w:val="Overskrift 1 Tegn"/>
    <w:basedOn w:val="Standardskrifttypeiafsnit"/>
    <w:link w:val="Overskrift1"/>
    <w:uiPriority w:val="1"/>
    <w:rsid w:val="00AE5FC8"/>
    <w:rPr>
      <w:rFonts w:ascii="Arial" w:hAnsi="Arial"/>
      <w:b/>
      <w:color w:val="000000"/>
      <w:sz w:val="26"/>
      <w:szCs w:val="24"/>
    </w:rPr>
  </w:style>
  <w:style w:type="paragraph" w:styleId="Markeringsbobletekst">
    <w:name w:val="Balloon Text"/>
    <w:basedOn w:val="Normal"/>
    <w:link w:val="MarkeringsbobletekstTegn"/>
    <w:semiHidden/>
    <w:rsid w:val="00D9112D"/>
    <w:rPr>
      <w:rFonts w:ascii="Tahoma" w:hAnsi="Tahoma" w:cs="Tahoma"/>
      <w:sz w:val="16"/>
      <w:szCs w:val="16"/>
    </w:rPr>
  </w:style>
  <w:style w:type="character" w:customStyle="1" w:styleId="MarkeringsbobletekstTegn">
    <w:name w:val="Markeringsbobletekst Tegn"/>
    <w:basedOn w:val="Standardskrifttypeiafsnit"/>
    <w:link w:val="Markeringsbobletekst"/>
    <w:semiHidden/>
    <w:rsid w:val="00104A40"/>
    <w:rPr>
      <w:rFonts w:ascii="Tahoma" w:hAnsi="Tahoma" w:cs="Tahoma"/>
      <w:sz w:val="16"/>
      <w:szCs w:val="16"/>
    </w:rPr>
  </w:style>
  <w:style w:type="character" w:styleId="Hyperlink">
    <w:name w:val="Hyperlink"/>
    <w:basedOn w:val="Standardskrifttypeiafsnit"/>
    <w:uiPriority w:val="99"/>
    <w:rsid w:val="00107568"/>
    <w:rPr>
      <w:color w:val="133B71" w:themeColor="accent1"/>
      <w:u w:val="single"/>
    </w:rPr>
  </w:style>
  <w:style w:type="paragraph" w:customStyle="1" w:styleId="Hjlpetekst">
    <w:name w:val="Hjælpetekst"/>
    <w:basedOn w:val="Sidehoved"/>
    <w:semiHidden/>
    <w:qFormat/>
    <w:rsid w:val="00981568"/>
    <w:pPr>
      <w:ind w:right="2720"/>
    </w:pPr>
    <w:rPr>
      <w:i/>
      <w:vanish/>
      <w:color w:val="C00000"/>
    </w:rPr>
  </w:style>
  <w:style w:type="character" w:customStyle="1" w:styleId="Overskrift2Tegn">
    <w:name w:val="Overskrift 2 Tegn"/>
    <w:basedOn w:val="Standardskrifttypeiafsnit"/>
    <w:link w:val="Overskrift2"/>
    <w:uiPriority w:val="1"/>
    <w:rsid w:val="00AE5FC8"/>
    <w:rPr>
      <w:rFonts w:ascii="Arial" w:eastAsiaTheme="majorEastAsia" w:hAnsi="Arial" w:cstheme="majorBidi"/>
      <w:b/>
      <w:bCs/>
      <w:color w:val="000000" w:themeColor="text1"/>
      <w:szCs w:val="26"/>
    </w:rPr>
  </w:style>
  <w:style w:type="paragraph" w:styleId="Listeafsnit">
    <w:name w:val="List Paragraph"/>
    <w:basedOn w:val="Normal"/>
    <w:uiPriority w:val="34"/>
    <w:qFormat/>
    <w:rsid w:val="006427C0"/>
    <w:pPr>
      <w:numPr>
        <w:numId w:val="7"/>
      </w:numPr>
      <w:spacing w:before="120" w:after="120"/>
    </w:pPr>
  </w:style>
  <w:style w:type="character" w:customStyle="1" w:styleId="SidefodTegn">
    <w:name w:val="Sidefod Tegn"/>
    <w:basedOn w:val="Standardskrifttypeiafsnit"/>
    <w:link w:val="Sidefod"/>
    <w:uiPriority w:val="99"/>
    <w:semiHidden/>
    <w:rsid w:val="002D2304"/>
    <w:rPr>
      <w:rFonts w:ascii="Arial" w:hAnsi="Arial"/>
      <w:sz w:val="16"/>
      <w:szCs w:val="24"/>
    </w:rPr>
  </w:style>
  <w:style w:type="paragraph" w:customStyle="1" w:styleId="Punktliste">
    <w:name w:val="Punktliste"/>
    <w:basedOn w:val="Listeafsnit"/>
    <w:uiPriority w:val="2"/>
    <w:semiHidden/>
    <w:qFormat/>
    <w:rsid w:val="00C05CDC"/>
    <w:pPr>
      <w:keepNext/>
      <w:widowControl w:val="0"/>
      <w:numPr>
        <w:numId w:val="1"/>
      </w:numPr>
      <w:spacing w:after="240"/>
    </w:pPr>
  </w:style>
  <w:style w:type="paragraph" w:styleId="Afsenderadresse">
    <w:name w:val="envelope return"/>
    <w:basedOn w:val="Normal"/>
    <w:semiHidden/>
    <w:rsid w:val="003028F7"/>
    <w:pPr>
      <w:spacing w:line="200" w:lineRule="exact"/>
    </w:pPr>
    <w:rPr>
      <w:rFonts w:eastAsiaTheme="majorEastAsia" w:cstheme="majorBidi"/>
      <w:color w:val="90A3B2" w:themeColor="background2"/>
      <w:sz w:val="18"/>
      <w:szCs w:val="20"/>
    </w:rPr>
  </w:style>
  <w:style w:type="paragraph" w:customStyle="1" w:styleId="Sidenummerering">
    <w:name w:val="Sidenummerering"/>
    <w:basedOn w:val="Sidefod"/>
    <w:uiPriority w:val="3"/>
    <w:semiHidden/>
    <w:qFormat/>
    <w:rsid w:val="005844BA"/>
    <w:rPr>
      <w:color w:val="000000" w:themeColor="text1"/>
      <w:sz w:val="15"/>
    </w:rPr>
  </w:style>
  <w:style w:type="paragraph" w:customStyle="1" w:styleId="Dokumentdato">
    <w:name w:val="Dokumentdato"/>
    <w:basedOn w:val="Normal"/>
    <w:next w:val="Normal"/>
    <w:uiPriority w:val="1"/>
    <w:semiHidden/>
    <w:qFormat/>
    <w:rsid w:val="00852A6D"/>
    <w:pPr>
      <w:framePr w:hSpace="142" w:wrap="around" w:vAnchor="page" w:hAnchor="page" w:x="1367" w:y="6238"/>
      <w:spacing w:line="200" w:lineRule="atLeast"/>
    </w:pPr>
    <w:rPr>
      <w:rFonts w:ascii="Lasiver Light" w:hAnsi="Lasiver Light"/>
      <w:color w:val="162767"/>
      <w:sz w:val="14"/>
    </w:rPr>
  </w:style>
  <w:style w:type="paragraph" w:customStyle="1" w:styleId="Reference">
    <w:name w:val="Reference"/>
    <w:basedOn w:val="Afsenderadresse1"/>
    <w:next w:val="Normal"/>
    <w:uiPriority w:val="1"/>
    <w:semiHidden/>
    <w:qFormat/>
    <w:rsid w:val="00852A6D"/>
    <w:pPr>
      <w:framePr w:wrap="auto" w:vAnchor="margin" w:hAnchor="text" w:x="1702" w:y="9243"/>
    </w:pPr>
  </w:style>
  <w:style w:type="paragraph" w:customStyle="1" w:styleId="Emailadresse">
    <w:name w:val="Emailadresse"/>
    <w:basedOn w:val="Afsenderadresse1"/>
    <w:uiPriority w:val="1"/>
    <w:semiHidden/>
    <w:qFormat/>
    <w:rsid w:val="00852A6D"/>
    <w:pPr>
      <w:framePr w:wrap="auto" w:vAnchor="margin" w:hAnchor="text" w:x="1702" w:y="9243"/>
    </w:pPr>
  </w:style>
  <w:style w:type="paragraph" w:customStyle="1" w:styleId="Afsenderadresse1">
    <w:name w:val="Afsenderadresse1"/>
    <w:basedOn w:val="Dokumentdato"/>
    <w:uiPriority w:val="1"/>
    <w:semiHidden/>
    <w:qFormat/>
    <w:rsid w:val="00852A6D"/>
    <w:pPr>
      <w:framePr w:wrap="around"/>
    </w:pPr>
    <w:rPr>
      <w:noProof/>
      <w:lang w:val="en-US"/>
    </w:rPr>
  </w:style>
  <w:style w:type="paragraph" w:customStyle="1" w:styleId="Underskrivernavn">
    <w:name w:val="Underskrivernavn"/>
    <w:basedOn w:val="Normal"/>
    <w:next w:val="Normal"/>
    <w:uiPriority w:val="2"/>
    <w:semiHidden/>
    <w:qFormat/>
    <w:rsid w:val="00DE38C7"/>
    <w:pPr>
      <w:keepNext/>
      <w:widowControl w:val="0"/>
    </w:pPr>
  </w:style>
  <w:style w:type="paragraph" w:customStyle="1" w:styleId="Dokumentinfo">
    <w:name w:val="Dokumentinfo"/>
    <w:basedOn w:val="Normal"/>
    <w:uiPriority w:val="2"/>
    <w:semiHidden/>
    <w:qFormat/>
    <w:rsid w:val="00E55753"/>
    <w:pPr>
      <w:framePr w:hSpace="142" w:wrap="around" w:vAnchor="page" w:hAnchor="page" w:x="1135" w:y="5671"/>
      <w:spacing w:line="160" w:lineRule="exact"/>
    </w:pPr>
    <w:rPr>
      <w:sz w:val="16"/>
    </w:rPr>
  </w:style>
  <w:style w:type="paragraph" w:customStyle="1" w:styleId="Dokumentinfooverskrift">
    <w:name w:val="Dokumentinfo overskrift"/>
    <w:basedOn w:val="Dokumentinfo"/>
    <w:next w:val="Dokumentinfo"/>
    <w:uiPriority w:val="2"/>
    <w:semiHidden/>
    <w:qFormat/>
    <w:rsid w:val="00E55753"/>
    <w:pPr>
      <w:framePr w:wrap="around"/>
    </w:pPr>
    <w:rPr>
      <w:b/>
    </w:rPr>
  </w:style>
  <w:style w:type="paragraph" w:customStyle="1" w:styleId="Talopstilling">
    <w:name w:val="Talopstilling"/>
    <w:basedOn w:val="Listeafsnit"/>
    <w:uiPriority w:val="2"/>
    <w:qFormat/>
    <w:rsid w:val="00C4050A"/>
    <w:pPr>
      <w:numPr>
        <w:numId w:val="5"/>
      </w:numPr>
    </w:pPr>
  </w:style>
  <w:style w:type="character" w:customStyle="1" w:styleId="Overskrift3Tegn">
    <w:name w:val="Overskrift 3 Tegn"/>
    <w:basedOn w:val="Standardskrifttypeiafsnit"/>
    <w:link w:val="Overskrift3"/>
    <w:uiPriority w:val="1"/>
    <w:rsid w:val="00AE5FC8"/>
    <w:rPr>
      <w:rFonts w:ascii="Arial" w:eastAsiaTheme="majorEastAsia" w:hAnsi="Arial" w:cstheme="majorBidi"/>
      <w:i/>
      <w:color w:val="091D38" w:themeColor="accent1" w:themeShade="7F"/>
      <w:szCs w:val="24"/>
    </w:rPr>
  </w:style>
  <w:style w:type="paragraph" w:customStyle="1" w:styleId="Brevoverskrift">
    <w:name w:val="Brevoverskrift"/>
    <w:basedOn w:val="Overskrift2"/>
    <w:next w:val="Normal"/>
    <w:qFormat/>
    <w:rsid w:val="00AE5FC8"/>
    <w:pPr>
      <w:spacing w:before="0" w:after="240"/>
    </w:pPr>
  </w:style>
  <w:style w:type="paragraph" w:customStyle="1" w:styleId="Manchet">
    <w:name w:val="Manchet"/>
    <w:basedOn w:val="Normal"/>
    <w:next w:val="Normal"/>
    <w:uiPriority w:val="2"/>
    <w:qFormat/>
    <w:rsid w:val="00AE5FC8"/>
    <w:pPr>
      <w:spacing w:before="240" w:after="240"/>
    </w:pPr>
    <w:rPr>
      <w:b/>
      <w:color w:val="000000"/>
    </w:rPr>
  </w:style>
  <w:style w:type="paragraph" w:customStyle="1" w:styleId="Rubrik">
    <w:name w:val="Rubrik"/>
    <w:basedOn w:val="Manchet"/>
    <w:next w:val="Normal"/>
    <w:uiPriority w:val="1"/>
    <w:semiHidden/>
    <w:qFormat/>
    <w:rsid w:val="00AE5FC8"/>
  </w:style>
  <w:style w:type="paragraph" w:styleId="Fodnotetekst">
    <w:name w:val="footnote text"/>
    <w:basedOn w:val="Anmrkning"/>
    <w:link w:val="FodnotetekstTegn"/>
    <w:uiPriority w:val="41"/>
    <w:rsid w:val="00AA21E8"/>
    <w:pPr>
      <w:tabs>
        <w:tab w:val="left" w:pos="397"/>
      </w:tabs>
      <w:ind w:left="397" w:hanging="397"/>
    </w:pPr>
  </w:style>
  <w:style w:type="character" w:customStyle="1" w:styleId="FodnotetekstTegn">
    <w:name w:val="Fodnotetekst Tegn"/>
    <w:basedOn w:val="Standardskrifttypeiafsnit"/>
    <w:link w:val="Fodnotetekst"/>
    <w:uiPriority w:val="41"/>
    <w:rsid w:val="00AA21E8"/>
    <w:rPr>
      <w:rFonts w:ascii="Arial" w:hAnsi="Arial"/>
      <w:sz w:val="14"/>
      <w:szCs w:val="24"/>
    </w:rPr>
  </w:style>
  <w:style w:type="paragraph" w:customStyle="1" w:styleId="Kilde">
    <w:name w:val="Kilde"/>
    <w:basedOn w:val="Normal"/>
    <w:uiPriority w:val="37"/>
    <w:qFormat/>
    <w:rsid w:val="00AA21E8"/>
    <w:pPr>
      <w:spacing w:line="200" w:lineRule="atLeast"/>
    </w:pPr>
    <w:rPr>
      <w:sz w:val="14"/>
    </w:rPr>
  </w:style>
  <w:style w:type="paragraph" w:customStyle="1" w:styleId="Anmrkning">
    <w:name w:val="Anmærkning"/>
    <w:basedOn w:val="Kilde"/>
    <w:uiPriority w:val="38"/>
    <w:qFormat/>
    <w:rsid w:val="00AA21E8"/>
  </w:style>
  <w:style w:type="paragraph" w:styleId="Billedtekst">
    <w:name w:val="caption"/>
    <w:basedOn w:val="Normal"/>
    <w:next w:val="Normal"/>
    <w:uiPriority w:val="39"/>
    <w:qFormat/>
    <w:rsid w:val="00AA21E8"/>
    <w:pPr>
      <w:spacing w:line="210" w:lineRule="atLeast"/>
    </w:pPr>
    <w:rPr>
      <w:b/>
      <w:iCs/>
      <w:sz w:val="15"/>
      <w:szCs w:val="18"/>
    </w:rPr>
  </w:style>
  <w:style w:type="paragraph" w:customStyle="1" w:styleId="Figurtekst">
    <w:name w:val="Figurtekst"/>
    <w:basedOn w:val="Normal"/>
    <w:uiPriority w:val="39"/>
    <w:qFormat/>
    <w:rsid w:val="00AA21E8"/>
    <w:pPr>
      <w:spacing w:line="200" w:lineRule="atLeast"/>
    </w:pPr>
    <w:rPr>
      <w:sz w:val="14"/>
    </w:rPr>
  </w:style>
  <w:style w:type="paragraph" w:customStyle="1" w:styleId="Figuroverskrift">
    <w:name w:val="Figuroverskrift"/>
    <w:basedOn w:val="Figurtekst"/>
    <w:uiPriority w:val="40"/>
    <w:qFormat/>
    <w:rsid w:val="00AA21E8"/>
    <w:rPr>
      <w:b/>
    </w:rPr>
  </w:style>
  <w:style w:type="paragraph" w:customStyle="1" w:styleId="paragraphp-sc-67xmd0-0">
    <w:name w:val="paragraph__p-sc-67xmd0-0"/>
    <w:basedOn w:val="Normal"/>
    <w:rsid w:val="00A872D9"/>
    <w:pPr>
      <w:spacing w:before="100" w:beforeAutospacing="1" w:after="100" w:afterAutospacing="1" w:line="240" w:lineRule="auto"/>
    </w:pPr>
    <w:rPr>
      <w:rFonts w:ascii="Calibri" w:eastAsiaTheme="minorHAnsi" w:hAnsi="Calibri" w:cs="Calibri"/>
      <w:sz w:val="22"/>
      <w:szCs w:val="22"/>
    </w:rPr>
  </w:style>
  <w:style w:type="paragraph" w:styleId="Kommentartekst">
    <w:name w:val="annotation text"/>
    <w:basedOn w:val="Normal"/>
    <w:link w:val="KommentartekstTegn"/>
    <w:uiPriority w:val="99"/>
    <w:semiHidden/>
    <w:unhideWhenUsed/>
    <w:rsid w:val="00A872D9"/>
    <w:pPr>
      <w:spacing w:line="240" w:lineRule="auto"/>
    </w:pPr>
    <w:rPr>
      <w:rFonts w:ascii="Century Schoolbook" w:hAnsi="Century Schoolbook"/>
      <w:szCs w:val="20"/>
    </w:rPr>
  </w:style>
  <w:style w:type="character" w:customStyle="1" w:styleId="KommentartekstTegn">
    <w:name w:val="Kommentartekst Tegn"/>
    <w:basedOn w:val="Standardskrifttypeiafsnit"/>
    <w:link w:val="Kommentartekst"/>
    <w:uiPriority w:val="99"/>
    <w:semiHidden/>
    <w:rsid w:val="00A872D9"/>
    <w:rPr>
      <w:rFonts w:ascii="Century Schoolbook" w:hAnsi="Century Schoolbook"/>
    </w:rPr>
  </w:style>
  <w:style w:type="paragraph" w:customStyle="1" w:styleId="Template-Dato">
    <w:name w:val="Template - Dato"/>
    <w:basedOn w:val="Normal"/>
    <w:uiPriority w:val="99"/>
    <w:semiHidden/>
    <w:rsid w:val="00A872D9"/>
    <w:pPr>
      <w:tabs>
        <w:tab w:val="left" w:pos="601"/>
        <w:tab w:val="left" w:pos="782"/>
      </w:tabs>
      <w:spacing w:line="280" w:lineRule="atLeast"/>
    </w:pPr>
    <w:rPr>
      <w:rFonts w:ascii="Franklin Gothic Book" w:hAnsi="Franklin Gothic Book"/>
      <w:noProof/>
      <w:lang w:eastAsia="en-US"/>
    </w:rPr>
  </w:style>
  <w:style w:type="character" w:styleId="Kommentarhenvisning">
    <w:name w:val="annotation reference"/>
    <w:basedOn w:val="Standardskrifttypeiafsnit"/>
    <w:uiPriority w:val="99"/>
    <w:semiHidden/>
    <w:unhideWhenUsed/>
    <w:rsid w:val="00A872D9"/>
    <w:rPr>
      <w:sz w:val="16"/>
      <w:szCs w:val="16"/>
    </w:rPr>
  </w:style>
  <w:style w:type="paragraph" w:customStyle="1" w:styleId="BMBullets">
    <w:name w:val="BMBullets"/>
    <w:basedOn w:val="Normal"/>
    <w:qFormat/>
    <w:rsid w:val="00A872D9"/>
    <w:pPr>
      <w:numPr>
        <w:numId w:val="8"/>
      </w:numPr>
      <w:spacing w:line="260" w:lineRule="atLeast"/>
    </w:pPr>
    <w:rPr>
      <w:rFonts w:ascii="Times New Roman" w:hAnsi="Times New Roman"/>
      <w:sz w:val="22"/>
    </w:rPr>
  </w:style>
  <w:style w:type="paragraph" w:customStyle="1" w:styleId="null">
    <w:name w:val="null"/>
    <w:basedOn w:val="Normal"/>
    <w:rsid w:val="001264F4"/>
    <w:pPr>
      <w:spacing w:before="100" w:beforeAutospacing="1" w:after="100" w:afterAutospacing="1" w:line="240" w:lineRule="auto"/>
    </w:pPr>
    <w:rPr>
      <w:rFonts w:ascii="Calibri" w:eastAsiaTheme="minorHAnsi" w:hAnsi="Calibri" w:cs="Calibri"/>
      <w:sz w:val="22"/>
      <w:szCs w:val="22"/>
    </w:rPr>
  </w:style>
  <w:style w:type="paragraph" w:styleId="Kommentaremne">
    <w:name w:val="annotation subject"/>
    <w:basedOn w:val="Kommentartekst"/>
    <w:next w:val="Kommentartekst"/>
    <w:link w:val="KommentaremneTegn"/>
    <w:semiHidden/>
    <w:unhideWhenUsed/>
    <w:rsid w:val="0012698A"/>
    <w:rPr>
      <w:rFonts w:ascii="Arial" w:hAnsi="Arial"/>
      <w:b/>
      <w:bCs/>
    </w:rPr>
  </w:style>
  <w:style w:type="character" w:customStyle="1" w:styleId="KommentaremneTegn">
    <w:name w:val="Kommentaremne Tegn"/>
    <w:basedOn w:val="KommentartekstTegn"/>
    <w:link w:val="Kommentaremne"/>
    <w:semiHidden/>
    <w:rsid w:val="0012698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86091">
      <w:bodyDiv w:val="1"/>
      <w:marLeft w:val="0"/>
      <w:marRight w:val="0"/>
      <w:marTop w:val="0"/>
      <w:marBottom w:val="0"/>
      <w:divBdr>
        <w:top w:val="none" w:sz="0" w:space="0" w:color="auto"/>
        <w:left w:val="none" w:sz="0" w:space="0" w:color="auto"/>
        <w:bottom w:val="none" w:sz="0" w:space="0" w:color="auto"/>
        <w:right w:val="none" w:sz="0" w:space="0" w:color="auto"/>
      </w:divBdr>
    </w:div>
    <w:div w:id="892156422">
      <w:bodyDiv w:val="1"/>
      <w:marLeft w:val="0"/>
      <w:marRight w:val="0"/>
      <w:marTop w:val="0"/>
      <w:marBottom w:val="0"/>
      <w:divBdr>
        <w:top w:val="none" w:sz="0" w:space="0" w:color="auto"/>
        <w:left w:val="none" w:sz="0" w:space="0" w:color="auto"/>
        <w:bottom w:val="none" w:sz="0" w:space="0" w:color="auto"/>
        <w:right w:val="none" w:sz="0" w:space="0" w:color="auto"/>
      </w:divBdr>
    </w:div>
    <w:div w:id="1068303447">
      <w:bodyDiv w:val="1"/>
      <w:marLeft w:val="0"/>
      <w:marRight w:val="0"/>
      <w:marTop w:val="0"/>
      <w:marBottom w:val="0"/>
      <w:divBdr>
        <w:top w:val="none" w:sz="0" w:space="0" w:color="auto"/>
        <w:left w:val="none" w:sz="0" w:space="0" w:color="auto"/>
        <w:bottom w:val="none" w:sz="0" w:space="0" w:color="auto"/>
        <w:right w:val="none" w:sz="0" w:space="0" w:color="auto"/>
      </w:divBdr>
    </w:div>
    <w:div w:id="1464999099">
      <w:bodyDiv w:val="1"/>
      <w:marLeft w:val="0"/>
      <w:marRight w:val="0"/>
      <w:marTop w:val="0"/>
      <w:marBottom w:val="0"/>
      <w:divBdr>
        <w:top w:val="none" w:sz="0" w:space="0" w:color="auto"/>
        <w:left w:val="none" w:sz="0" w:space="0" w:color="auto"/>
        <w:bottom w:val="none" w:sz="0" w:space="0" w:color="auto"/>
        <w:right w:val="none" w:sz="0" w:space="0" w:color="auto"/>
      </w:divBdr>
    </w:div>
    <w:div w:id="1585919099">
      <w:bodyDiv w:val="1"/>
      <w:marLeft w:val="0"/>
      <w:marRight w:val="0"/>
      <w:marTop w:val="0"/>
      <w:marBottom w:val="0"/>
      <w:divBdr>
        <w:top w:val="none" w:sz="0" w:space="0" w:color="auto"/>
        <w:left w:val="none" w:sz="0" w:space="0" w:color="auto"/>
        <w:bottom w:val="none" w:sz="0" w:space="0" w:color="auto"/>
        <w:right w:val="none" w:sz="0" w:space="0" w:color="auto"/>
      </w:divBdr>
    </w:div>
    <w:div w:id="1759129623">
      <w:bodyDiv w:val="1"/>
      <w:marLeft w:val="0"/>
      <w:marRight w:val="0"/>
      <w:marTop w:val="0"/>
      <w:marBottom w:val="0"/>
      <w:divBdr>
        <w:top w:val="none" w:sz="0" w:space="0" w:color="auto"/>
        <w:left w:val="none" w:sz="0" w:space="0" w:color="auto"/>
        <w:bottom w:val="none" w:sz="0" w:space="0" w:color="auto"/>
        <w:right w:val="none" w:sz="0" w:space="0" w:color="auto"/>
      </w:divBdr>
    </w:div>
    <w:div w:id="1763456728">
      <w:bodyDiv w:val="1"/>
      <w:marLeft w:val="0"/>
      <w:marRight w:val="0"/>
      <w:marTop w:val="0"/>
      <w:marBottom w:val="0"/>
      <w:divBdr>
        <w:top w:val="none" w:sz="0" w:space="0" w:color="auto"/>
        <w:left w:val="none" w:sz="0" w:space="0" w:color="auto"/>
        <w:bottom w:val="none" w:sz="0" w:space="0" w:color="auto"/>
        <w:right w:val="none" w:sz="0" w:space="0" w:color="auto"/>
      </w:divBdr>
    </w:div>
    <w:div w:id="1986422891">
      <w:bodyDiv w:val="1"/>
      <w:marLeft w:val="0"/>
      <w:marRight w:val="0"/>
      <w:marTop w:val="0"/>
      <w:marBottom w:val="0"/>
      <w:divBdr>
        <w:top w:val="none" w:sz="0" w:space="0" w:color="auto"/>
        <w:left w:val="none" w:sz="0" w:space="0" w:color="auto"/>
        <w:bottom w:val="none" w:sz="0" w:space="0" w:color="auto"/>
        <w:right w:val="none" w:sz="0" w:space="0" w:color="auto"/>
      </w:divBdr>
    </w:div>
    <w:div w:id="20953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352147\AppData\Local\cBrain\F2\.tmp\ad3e6d53981f465bb988ca3e8e5a5853.dotm" TargetMode="External"/></Relationships>
</file>

<file path=word/theme/theme1.xml><?xml version="1.0" encoding="utf-8"?>
<a:theme xmlns:a="http://schemas.openxmlformats.org/drawingml/2006/main" name="Kontortema">
  <a:themeElements>
    <a:clrScheme name="Børne- og Socialministeriet">
      <a:dk1>
        <a:sysClr val="windowText" lastClr="000000"/>
      </a:dk1>
      <a:lt1>
        <a:sysClr val="window" lastClr="FFFFFF"/>
      </a:lt1>
      <a:dk2>
        <a:srgbClr val="F9F8EF"/>
      </a:dk2>
      <a:lt2>
        <a:srgbClr val="90A3B2"/>
      </a:lt2>
      <a:accent1>
        <a:srgbClr val="133B71"/>
      </a:accent1>
      <a:accent2>
        <a:srgbClr val="B8C7CA"/>
      </a:accent2>
      <a:accent3>
        <a:srgbClr val="C0CE2B"/>
      </a:accent3>
      <a:accent4>
        <a:srgbClr val="6D62A5"/>
      </a:accent4>
      <a:accent5>
        <a:srgbClr val="BBA700"/>
      </a:accent5>
      <a:accent6>
        <a:srgbClr val="D57B16"/>
      </a:accent6>
      <a:hlink>
        <a:srgbClr val="133B71"/>
      </a:hlink>
      <a:folHlink>
        <a:srgbClr val="B8C7CA"/>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2024-08-27T08:24:44+00:00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3C4B03F-B2AF-4C72-93A7-5161A8F356F0}">
  <ds:schemaRefs>
    <ds:schemaRef ds:uri="http://schemas.openxmlformats.org/officeDocument/2006/bibliography"/>
  </ds:schemaRefs>
</ds:datastoreItem>
</file>

<file path=customXml/itemProps2.xml><?xml version="1.0" encoding="utf-8"?>
<ds:datastoreItem xmlns:ds="http://schemas.openxmlformats.org/officeDocument/2006/customXml" ds:itemID="{3C7EEEBA-2D0D-4991-B036-0D1C862CF860}"/>
</file>

<file path=customXml/itemProps3.xml><?xml version="1.0" encoding="utf-8"?>
<ds:datastoreItem xmlns:ds="http://schemas.openxmlformats.org/officeDocument/2006/customXml" ds:itemID="{6EAC23FF-7E53-4E2A-87D2-C776740BD0FC}"/>
</file>

<file path=customXml/itemProps4.xml><?xml version="1.0" encoding="utf-8"?>
<ds:datastoreItem xmlns:ds="http://schemas.openxmlformats.org/officeDocument/2006/customXml" ds:itemID="{3712EFFE-F21F-49EC-AF12-C664BB4145F2}"/>
</file>

<file path=docProps/app.xml><?xml version="1.0" encoding="utf-8"?>
<Properties xmlns="http://schemas.openxmlformats.org/officeDocument/2006/extended-properties" xmlns:vt="http://schemas.openxmlformats.org/officeDocument/2006/docPropsVTypes">
  <Template>ad3e6d53981f465bb988ca3e8e5a5853.dotm</Template>
  <TotalTime>20</TotalTime>
  <Pages>8</Pages>
  <Words>3187</Words>
  <Characters>19446</Characters>
  <Application>Microsoft Office Word</Application>
  <DocSecurity>0</DocSecurity>
  <Lines>162</Lines>
  <Paragraphs>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Brev</vt:lpstr>
      <vt:lpstr>Hillerød Forsyning A/S</vt:lpstr>
    </vt:vector>
  </TitlesOfParts>
  <Company>Word Specialisten v/Helle Nielsen</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Sarah Lim Bertelsen</dc:creator>
  <cp:lastModifiedBy>Sarah Lim Bertelsen</cp:lastModifiedBy>
  <cp:revision>21</cp:revision>
  <dcterms:created xsi:type="dcterms:W3CDTF">2024-08-26T13:23:00Z</dcterms:created>
  <dcterms:modified xsi:type="dcterms:W3CDTF">2024-08-26T14:25:00Z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Format">
    <vt:i4>0</vt:i4>
  </property>
  <property fmtid="{D5CDD505-2E9C-101B-9397-08002B2CF9AE}" pid="3" name="ContentTypeId">
    <vt:lpwstr>0x0101001A3F5FACD05E93499D4EAF05403D4F75</vt:lpwstr>
  </property>
</Properties>
</file>