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D2BEF" w14:textId="77777777" w:rsidR="00E60E68" w:rsidRPr="000D46E3" w:rsidRDefault="00E60E68" w:rsidP="00E60E68">
      <w:pPr>
        <w:pBdr>
          <w:bottom w:val="single" w:sz="4" w:space="1" w:color="auto"/>
        </w:pBdr>
        <w:rPr>
          <w:rFonts w:ascii="Garamond" w:eastAsia="Garamond" w:hAnsi="Garamond" w:cs="Garamond"/>
          <w:b/>
          <w:bCs/>
          <w:caps/>
          <w:color w:val="002060"/>
          <w:sz w:val="22"/>
          <w:szCs w:val="22"/>
        </w:rPr>
      </w:pPr>
      <w:r w:rsidRPr="3F4C1012">
        <w:rPr>
          <w:rFonts w:ascii="Garamond" w:eastAsia="Garamond" w:hAnsi="Garamond" w:cs="Garamond"/>
          <w:b/>
          <w:bCs/>
          <w:caps/>
          <w:color w:val="002060"/>
          <w:sz w:val="22"/>
          <w:szCs w:val="22"/>
        </w:rPr>
        <w:t>SHADOW LETTER TO ADVANCE THE ADOPTION OF THE LIST OF ISSUES BY THE COMMITTEE ON THE RIGHTS OF THE CHILD FOR THE UNITED REPUBLIC OF TANZANIA DURING THE 101</w:t>
      </w:r>
      <w:r w:rsidRPr="3F4C1012">
        <w:rPr>
          <w:rFonts w:ascii="Garamond" w:eastAsia="Garamond" w:hAnsi="Garamond" w:cs="Garamond"/>
          <w:b/>
          <w:bCs/>
          <w:caps/>
          <w:color w:val="002060"/>
          <w:sz w:val="22"/>
          <w:szCs w:val="22"/>
          <w:vertAlign w:val="superscript"/>
        </w:rPr>
        <w:t>st</w:t>
      </w:r>
      <w:r w:rsidRPr="3F4C1012">
        <w:rPr>
          <w:rFonts w:ascii="Garamond" w:eastAsia="Garamond" w:hAnsi="Garamond" w:cs="Garamond"/>
          <w:b/>
          <w:bCs/>
          <w:caps/>
          <w:color w:val="002060"/>
          <w:sz w:val="22"/>
          <w:szCs w:val="22"/>
        </w:rPr>
        <w:t xml:space="preserve"> Session (26</w:t>
      </w:r>
      <w:r w:rsidRPr="3F4C1012">
        <w:rPr>
          <w:rFonts w:ascii="Garamond" w:eastAsia="Garamond" w:hAnsi="Garamond" w:cs="Garamond"/>
          <w:b/>
          <w:bCs/>
          <w:caps/>
          <w:color w:val="002060"/>
          <w:sz w:val="22"/>
          <w:szCs w:val="22"/>
          <w:vertAlign w:val="superscript"/>
        </w:rPr>
        <w:t>th</w:t>
      </w:r>
      <w:r w:rsidRPr="3F4C1012">
        <w:rPr>
          <w:rFonts w:ascii="Garamond" w:eastAsia="Garamond" w:hAnsi="Garamond" w:cs="Garamond"/>
          <w:b/>
          <w:bCs/>
          <w:caps/>
          <w:color w:val="002060"/>
          <w:sz w:val="22"/>
          <w:szCs w:val="22"/>
        </w:rPr>
        <w:t xml:space="preserve"> – 30</w:t>
      </w:r>
      <w:r w:rsidRPr="3F4C1012">
        <w:rPr>
          <w:rFonts w:ascii="Garamond" w:eastAsia="Garamond" w:hAnsi="Garamond" w:cs="Garamond"/>
          <w:b/>
          <w:bCs/>
          <w:caps/>
          <w:color w:val="002060"/>
          <w:sz w:val="22"/>
          <w:szCs w:val="22"/>
          <w:vertAlign w:val="superscript"/>
        </w:rPr>
        <w:t>th</w:t>
      </w:r>
      <w:r w:rsidRPr="3F4C1012">
        <w:rPr>
          <w:rFonts w:ascii="Garamond" w:eastAsia="Garamond" w:hAnsi="Garamond" w:cs="Garamond"/>
          <w:b/>
          <w:bCs/>
          <w:caps/>
          <w:color w:val="002060"/>
          <w:sz w:val="22"/>
          <w:szCs w:val="22"/>
        </w:rPr>
        <w:t xml:space="preserve"> May 2025)</w:t>
      </w:r>
    </w:p>
    <w:p w14:paraId="639B2B04" w14:textId="77777777" w:rsidR="00E60E68" w:rsidRPr="00E60E68" w:rsidRDefault="00E60E68" w:rsidP="00E60E68">
      <w:pPr>
        <w:spacing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Dear Honourable Members of the Committee,</w:t>
      </w:r>
    </w:p>
    <w:p w14:paraId="52CE2553" w14:textId="77777777" w:rsidR="00E60E68" w:rsidRPr="00E60E68" w:rsidRDefault="00E60E68" w:rsidP="00E60E68">
      <w:pPr>
        <w:pStyle w:val="ListParagraph"/>
        <w:numPr>
          <w:ilvl w:val="0"/>
          <w:numId w:val="2"/>
        </w:numPr>
        <w:spacing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The Center for Reproductive Rights (“</w:t>
      </w:r>
      <w:r w:rsidRPr="00E60E68">
        <w:rPr>
          <w:rFonts w:ascii="Times New Roman" w:eastAsia="Garamond" w:hAnsi="Times New Roman" w:cs="Times New Roman"/>
          <w:b/>
          <w:bCs/>
          <w:color w:val="000000" w:themeColor="text1"/>
        </w:rPr>
        <w:t>the Center”</w:t>
      </w:r>
      <w:r w:rsidRPr="00E60E68">
        <w:rPr>
          <w:rFonts w:ascii="Times New Roman" w:eastAsia="Garamond" w:hAnsi="Times New Roman" w:cs="Times New Roman"/>
          <w:color w:val="000000" w:themeColor="text1"/>
        </w:rPr>
        <w:t>) and the Legal and Human Rights Center (“</w:t>
      </w:r>
      <w:r w:rsidRPr="00E60E68">
        <w:rPr>
          <w:rFonts w:ascii="Times New Roman" w:eastAsia="Garamond" w:hAnsi="Times New Roman" w:cs="Times New Roman"/>
          <w:b/>
          <w:bCs/>
          <w:color w:val="000000" w:themeColor="text1"/>
        </w:rPr>
        <w:t>LHRC”</w:t>
      </w:r>
      <w:r w:rsidRPr="00E60E68">
        <w:rPr>
          <w:rFonts w:ascii="Times New Roman" w:eastAsia="Garamond" w:hAnsi="Times New Roman" w:cs="Times New Roman"/>
          <w:color w:val="000000" w:themeColor="text1"/>
        </w:rPr>
        <w:t>) submit this letter to provide the Committee on the Rights of the Child (“</w:t>
      </w:r>
      <w:r w:rsidRPr="00E60E68">
        <w:rPr>
          <w:rFonts w:ascii="Times New Roman" w:eastAsia="Garamond" w:hAnsi="Times New Roman" w:cs="Times New Roman"/>
          <w:b/>
          <w:bCs/>
          <w:color w:val="000000" w:themeColor="text1"/>
        </w:rPr>
        <w:t>the Committee”</w:t>
      </w:r>
      <w:r w:rsidRPr="00E60E68">
        <w:rPr>
          <w:rFonts w:ascii="Times New Roman" w:eastAsia="Garamond" w:hAnsi="Times New Roman" w:cs="Times New Roman"/>
          <w:color w:val="000000" w:themeColor="text1"/>
        </w:rPr>
        <w:t xml:space="preserve">) with relevant information about the status of compliance by the United Republic of Tanzania </w:t>
      </w:r>
      <w:r w:rsidRPr="00E60E68">
        <w:rPr>
          <w:rFonts w:ascii="Times New Roman" w:eastAsia="Garamond" w:hAnsi="Times New Roman" w:cs="Times New Roman"/>
          <w:b/>
          <w:bCs/>
          <w:color w:val="000000" w:themeColor="text1"/>
        </w:rPr>
        <w:t xml:space="preserve">(“Tanzania”) </w:t>
      </w:r>
      <w:r w:rsidRPr="00E60E68">
        <w:rPr>
          <w:rFonts w:ascii="Times New Roman" w:eastAsia="Garamond" w:hAnsi="Times New Roman" w:cs="Times New Roman"/>
          <w:color w:val="000000" w:themeColor="text1"/>
        </w:rPr>
        <w:t>with its obligations under the Convention on the Rights of the Child (“</w:t>
      </w:r>
      <w:r w:rsidRPr="00E60E68">
        <w:rPr>
          <w:rFonts w:ascii="Times New Roman" w:eastAsia="Garamond" w:hAnsi="Times New Roman" w:cs="Times New Roman"/>
          <w:b/>
          <w:bCs/>
          <w:color w:val="000000" w:themeColor="text1"/>
        </w:rPr>
        <w:t>CRC”</w:t>
      </w:r>
      <w:r w:rsidRPr="00E60E68">
        <w:rPr>
          <w:rFonts w:ascii="Times New Roman" w:eastAsia="Garamond" w:hAnsi="Times New Roman" w:cs="Times New Roman"/>
          <w:color w:val="000000" w:themeColor="text1"/>
        </w:rPr>
        <w:t>) in a bid to assist the Committee with the adoption of the list of issues in preparation for the Committee’s review of Tanzania.</w:t>
      </w:r>
    </w:p>
    <w:p w14:paraId="497AB812" w14:textId="77777777" w:rsidR="00E60E68" w:rsidRPr="00E60E68" w:rsidRDefault="00E60E68" w:rsidP="00E60E68">
      <w:pPr>
        <w:pStyle w:val="ListParagraph"/>
        <w:numPr>
          <w:ilvl w:val="0"/>
          <w:numId w:val="2"/>
        </w:numPr>
        <w:spacing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The Center is an international non-profit legal advocacy organization that uses the power of law to advance reproductive rights as fundamental human rights around the world. LHRC is a Tanzanian human rights advocacy organization that empowers citizens by promoting legal and human rights awareness across all 169 mainland districts and Zanzibar. </w:t>
      </w:r>
    </w:p>
    <w:p w14:paraId="03F458FE" w14:textId="77777777" w:rsidR="00E60E68" w:rsidRPr="00E60E68" w:rsidRDefault="00E60E68" w:rsidP="00E60E68">
      <w:pPr>
        <w:pStyle w:val="ListParagraph"/>
        <w:numPr>
          <w:ilvl w:val="0"/>
          <w:numId w:val="1"/>
        </w:numPr>
        <w:spacing w:line="276" w:lineRule="auto"/>
        <w:jc w:val="both"/>
        <w:rPr>
          <w:rFonts w:ascii="Times New Roman" w:eastAsia="Garamond" w:hAnsi="Times New Roman" w:cs="Times New Roman"/>
          <w:b/>
          <w:bCs/>
          <w:color w:val="002060"/>
        </w:rPr>
      </w:pPr>
      <w:r w:rsidRPr="00E60E68">
        <w:rPr>
          <w:rFonts w:ascii="Times New Roman" w:eastAsia="Garamond" w:hAnsi="Times New Roman" w:cs="Times New Roman"/>
          <w:b/>
          <w:bCs/>
          <w:color w:val="002060"/>
        </w:rPr>
        <w:t>Background</w:t>
      </w:r>
    </w:p>
    <w:p w14:paraId="5006C291" w14:textId="77777777" w:rsidR="00E60E68" w:rsidRPr="00E60E68" w:rsidRDefault="00E60E68" w:rsidP="00E60E68">
      <w:pPr>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Adolescents in Tanzania encounter significant challenges in accessing sexual and reproductive health (SRH) services such as contraception, safe abortion, maternal healthcare as well as comprehensive sexuality education (CSE). Due to restrictive laws, traditional customary practices, and inadequate healthcare infrastructure, particularly in rural areas reinforcing cycles of poverty, inequality and causing preventable health crisis.</w:t>
      </w:r>
    </w:p>
    <w:p w14:paraId="2E631AA8"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This letter provides an analysis of the current state of adolescent SRHR in Tanzania, and the State’s compliance with the CRC. It highlights critical gaps in practice, policy, legal frameworks, and service provision with an emphasis on the:  </w:t>
      </w:r>
    </w:p>
    <w:p w14:paraId="2B025AAD" w14:textId="77777777" w:rsidR="00E60E68" w:rsidRPr="00E60E68" w:rsidRDefault="00E60E68" w:rsidP="00E60E68">
      <w:pPr>
        <w:pStyle w:val="ListParagraph"/>
        <w:numPr>
          <w:ilvl w:val="1"/>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Right to the highest attainable standards of health (</w:t>
      </w:r>
      <w:r w:rsidRPr="00E60E68">
        <w:rPr>
          <w:rFonts w:ascii="Times New Roman" w:eastAsia="Garamond" w:hAnsi="Times New Roman" w:cs="Times New Roman"/>
          <w:b/>
          <w:bCs/>
          <w:color w:val="000000" w:themeColor="text1"/>
        </w:rPr>
        <w:t>Article 24</w:t>
      </w:r>
      <w:r w:rsidRPr="00E60E68">
        <w:rPr>
          <w:rFonts w:ascii="Times New Roman" w:eastAsia="Garamond" w:hAnsi="Times New Roman" w:cs="Times New Roman"/>
          <w:color w:val="000000" w:themeColor="text1"/>
        </w:rPr>
        <w:t>)</w:t>
      </w:r>
    </w:p>
    <w:p w14:paraId="145D68CE" w14:textId="77777777" w:rsidR="00E60E68" w:rsidRPr="00E60E68" w:rsidRDefault="00E60E68" w:rsidP="00E60E68">
      <w:pPr>
        <w:numPr>
          <w:ilvl w:val="1"/>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Right to Education (</w:t>
      </w:r>
      <w:r w:rsidRPr="00E60E68">
        <w:rPr>
          <w:rFonts w:ascii="Times New Roman" w:eastAsia="Garamond" w:hAnsi="Times New Roman" w:cs="Times New Roman"/>
          <w:b/>
          <w:bCs/>
          <w:color w:val="000000" w:themeColor="text1"/>
        </w:rPr>
        <w:t>Article 28)</w:t>
      </w:r>
    </w:p>
    <w:p w14:paraId="5E8A6506"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The letter also speaks to Tanzania’s compliance with other Articles connected to the rights to health and education for adolescent girls in Tanzania, including </w:t>
      </w:r>
      <w:r w:rsidRPr="00E60E68">
        <w:rPr>
          <w:rFonts w:ascii="Times New Roman" w:eastAsia="Garamond" w:hAnsi="Times New Roman" w:cs="Times New Roman"/>
          <w:b/>
          <w:bCs/>
          <w:color w:val="000000" w:themeColor="text1"/>
        </w:rPr>
        <w:t>Article 2</w:t>
      </w:r>
      <w:r w:rsidRPr="00E60E68">
        <w:rPr>
          <w:rFonts w:ascii="Times New Roman" w:eastAsia="Garamond" w:hAnsi="Times New Roman" w:cs="Times New Roman"/>
          <w:color w:val="000000" w:themeColor="text1"/>
        </w:rPr>
        <w:t xml:space="preserve"> (Non-Discrimination), </w:t>
      </w:r>
      <w:r w:rsidRPr="00E60E68">
        <w:rPr>
          <w:rFonts w:ascii="Times New Roman" w:eastAsia="Garamond" w:hAnsi="Times New Roman" w:cs="Times New Roman"/>
          <w:b/>
          <w:bCs/>
          <w:color w:val="000000" w:themeColor="text1"/>
        </w:rPr>
        <w:t>Article 3</w:t>
      </w:r>
      <w:r w:rsidRPr="00E60E68">
        <w:rPr>
          <w:rFonts w:ascii="Times New Roman" w:eastAsia="Garamond" w:hAnsi="Times New Roman" w:cs="Times New Roman"/>
          <w:color w:val="000000" w:themeColor="text1"/>
        </w:rPr>
        <w:t xml:space="preserve"> (Best Interest Principle), and </w:t>
      </w:r>
      <w:r w:rsidRPr="00E60E68">
        <w:rPr>
          <w:rFonts w:ascii="Times New Roman" w:eastAsia="Garamond" w:hAnsi="Times New Roman" w:cs="Times New Roman"/>
          <w:b/>
          <w:bCs/>
          <w:color w:val="000000" w:themeColor="text1"/>
        </w:rPr>
        <w:t>Article 17</w:t>
      </w:r>
      <w:r w:rsidRPr="00E60E68">
        <w:rPr>
          <w:rFonts w:ascii="Times New Roman" w:eastAsia="Garamond" w:hAnsi="Times New Roman" w:cs="Times New Roman"/>
          <w:color w:val="000000" w:themeColor="text1"/>
        </w:rPr>
        <w:t xml:space="preserve"> (Access to information).</w:t>
      </w:r>
    </w:p>
    <w:p w14:paraId="4CF43532" w14:textId="77777777" w:rsidR="0013752C" w:rsidRPr="00E60E68" w:rsidRDefault="0013752C" w:rsidP="00E60E68">
      <w:pPr>
        <w:spacing w:line="276" w:lineRule="auto"/>
        <w:jc w:val="both"/>
        <w:rPr>
          <w:rFonts w:ascii="Times New Roman" w:hAnsi="Times New Roman" w:cs="Times New Roman"/>
        </w:rPr>
      </w:pPr>
    </w:p>
    <w:p w14:paraId="13ECA07B" w14:textId="77777777" w:rsidR="00E60E68" w:rsidRPr="00E60E68" w:rsidRDefault="00E60E68" w:rsidP="00E60E68">
      <w:pPr>
        <w:spacing w:line="276" w:lineRule="auto"/>
        <w:jc w:val="both"/>
        <w:rPr>
          <w:rFonts w:ascii="Times New Roman" w:hAnsi="Times New Roman" w:cs="Times New Roman"/>
        </w:rPr>
      </w:pPr>
    </w:p>
    <w:p w14:paraId="4AB61FE6" w14:textId="77777777" w:rsidR="00E60E68" w:rsidRPr="00E60E68" w:rsidRDefault="00E60E68" w:rsidP="00E60E68">
      <w:pPr>
        <w:pStyle w:val="ListParagraph"/>
        <w:numPr>
          <w:ilvl w:val="0"/>
          <w:numId w:val="1"/>
        </w:numPr>
        <w:spacing w:before="120" w:after="0" w:line="276" w:lineRule="auto"/>
        <w:jc w:val="both"/>
        <w:rPr>
          <w:rFonts w:ascii="Times New Roman" w:eastAsia="Garamond" w:hAnsi="Times New Roman" w:cs="Times New Roman"/>
          <w:b/>
          <w:bCs/>
          <w:color w:val="002060"/>
        </w:rPr>
      </w:pPr>
      <w:r w:rsidRPr="00E60E68">
        <w:rPr>
          <w:rFonts w:ascii="Times New Roman" w:eastAsiaTheme="minorEastAsia" w:hAnsi="Times New Roman" w:cs="Times New Roman"/>
          <w:b/>
          <w:bCs/>
          <w:color w:val="002060"/>
        </w:rPr>
        <w:t xml:space="preserve">Right to the highest attainable standards of health (Article 24): Access to Reproductive Health Services and Information including Contraception and Safe Abortion </w:t>
      </w:r>
    </w:p>
    <w:p w14:paraId="47F2AA46"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lastRenderedPageBreak/>
        <w:t>Tanzania's adolescents aged 10-19 account for approximately 22.8% of the Country’s population.</w:t>
      </w:r>
      <w:r w:rsidRPr="00E60E68">
        <w:rPr>
          <w:rStyle w:val="FootnoteReference"/>
          <w:rFonts w:ascii="Times New Roman" w:eastAsia="Garamond" w:hAnsi="Times New Roman" w:cs="Times New Roman"/>
          <w:color w:val="000000" w:themeColor="text1"/>
        </w:rPr>
        <w:footnoteReference w:id="1"/>
      </w:r>
      <w:r w:rsidRPr="00E60E68">
        <w:rPr>
          <w:rFonts w:ascii="Times New Roman" w:eastAsia="Garamond" w:hAnsi="Times New Roman" w:cs="Times New Roman"/>
          <w:color w:val="000000" w:themeColor="text1"/>
        </w:rPr>
        <w:t xml:space="preserve"> In its 6</w:t>
      </w:r>
      <w:r w:rsidRPr="00E60E68">
        <w:rPr>
          <w:rFonts w:ascii="Times New Roman" w:eastAsia="Garamond" w:hAnsi="Times New Roman" w:cs="Times New Roman"/>
          <w:color w:val="000000" w:themeColor="text1"/>
          <w:vertAlign w:val="superscript"/>
        </w:rPr>
        <w:t>th</w:t>
      </w:r>
      <w:r w:rsidRPr="00E60E68">
        <w:rPr>
          <w:rFonts w:ascii="Times New Roman" w:eastAsia="Garamond" w:hAnsi="Times New Roman" w:cs="Times New Roman"/>
          <w:color w:val="000000" w:themeColor="text1"/>
        </w:rPr>
        <w:t xml:space="preserve"> Periodic report to the Committee, Tanzania submits that it has taken various legal and administrative measures </w:t>
      </w:r>
      <w:r w:rsidRPr="00E60E68">
        <w:rPr>
          <w:rFonts w:ascii="Times New Roman" w:eastAsia="Garamond" w:hAnsi="Times New Roman" w:cs="Times New Roman"/>
          <w:lang w:val="en-GB"/>
        </w:rPr>
        <w:t>to address SRH challenges among adolescents.</w:t>
      </w:r>
      <w:r w:rsidRPr="00E60E68">
        <w:rPr>
          <w:rStyle w:val="FootnoteReference"/>
          <w:rFonts w:ascii="Times New Roman" w:eastAsia="Garamond" w:hAnsi="Times New Roman" w:cs="Times New Roman"/>
          <w:lang w:val="en-GB"/>
        </w:rPr>
        <w:footnoteReference w:id="2"/>
      </w:r>
      <w:r w:rsidRPr="00E60E68">
        <w:rPr>
          <w:rFonts w:ascii="Times New Roman" w:eastAsia="Garamond" w:hAnsi="Times New Roman" w:cs="Times New Roman"/>
          <w:color w:val="000000" w:themeColor="text1"/>
        </w:rPr>
        <w:t xml:space="preserve"> Further, Tanzania</w:t>
      </w:r>
      <w:r w:rsidRPr="00E60E68">
        <w:rPr>
          <w:rFonts w:ascii="Times New Roman" w:eastAsia="Garamond" w:hAnsi="Times New Roman" w:cs="Times New Roman"/>
          <w:lang w:val="en-GB"/>
        </w:rPr>
        <w:t xml:space="preserve"> submits that it has ensured the provision of quality comprehensive sexuality and life skills education in at levels of education through the core curriculum, which has resulted in the reduction of teenage pregnancies and maternal deaths relating to teenage abortions.</w:t>
      </w:r>
      <w:r w:rsidRPr="00E60E68">
        <w:rPr>
          <w:rStyle w:val="FootnoteReference"/>
          <w:rFonts w:ascii="Times New Roman" w:eastAsia="Garamond" w:hAnsi="Times New Roman" w:cs="Times New Roman"/>
          <w:lang w:val="en-GB"/>
        </w:rPr>
        <w:footnoteReference w:id="3"/>
      </w:r>
      <w:r w:rsidRPr="00E60E68">
        <w:rPr>
          <w:rFonts w:ascii="Times New Roman" w:eastAsia="Garamond" w:hAnsi="Times New Roman" w:cs="Times New Roman"/>
          <w:lang w:val="en-GB"/>
        </w:rPr>
        <w:t xml:space="preserve"> While the actions taken by Tanzania are commendable, adolescents continue to face significant</w:t>
      </w:r>
      <w:r w:rsidRPr="00E60E68">
        <w:rPr>
          <w:rFonts w:ascii="Times New Roman" w:eastAsia="Garamond" w:hAnsi="Times New Roman" w:cs="Times New Roman"/>
          <w:color w:val="000000" w:themeColor="text1"/>
        </w:rPr>
        <w:t xml:space="preserve"> SRH challenges resulting in Tanzania having one of the highest adolescent birth rates globally. According to the Tanzania Demographic and Health Survey (TDHS) of 2022, 22% of adolescent girls aged 15-19 have been pregnant before, with higher rates amongst those from rural areas, those with no or little education and those from poorer economic backgrounds.</w:t>
      </w:r>
      <w:r w:rsidRPr="00E60E68">
        <w:rPr>
          <w:rStyle w:val="FootnoteReference"/>
          <w:rFonts w:ascii="Times New Roman" w:eastAsia="Garamond" w:hAnsi="Times New Roman" w:cs="Times New Roman"/>
          <w:color w:val="000000" w:themeColor="text1"/>
        </w:rPr>
        <w:footnoteReference w:id="4"/>
      </w:r>
    </w:p>
    <w:p w14:paraId="08982697"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ASRH therefore, remains a pressing public health and human rights issue, and adolescents continue to encounter significant obstacles that jeopardize their health, dignity and future.</w:t>
      </w:r>
    </w:p>
    <w:p w14:paraId="500D113F" w14:textId="77777777" w:rsidR="00E60E68" w:rsidRPr="00E60E68" w:rsidRDefault="00E60E68" w:rsidP="00E60E68">
      <w:pPr>
        <w:pStyle w:val="ListParagraph"/>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 </w:t>
      </w:r>
    </w:p>
    <w:p w14:paraId="205B860A" w14:textId="77777777" w:rsidR="00E60E68" w:rsidRPr="00E60E68" w:rsidRDefault="00E60E68" w:rsidP="00E60E68">
      <w:pPr>
        <w:pStyle w:val="ListParagraph"/>
        <w:numPr>
          <w:ilvl w:val="2"/>
          <w:numId w:val="1"/>
        </w:numPr>
        <w:spacing w:before="120" w:after="0" w:line="276" w:lineRule="auto"/>
        <w:ind w:left="1260" w:hanging="270"/>
        <w:jc w:val="both"/>
        <w:rPr>
          <w:rFonts w:ascii="Times New Roman" w:eastAsia="Garamond" w:hAnsi="Times New Roman" w:cs="Times New Roman"/>
          <w:color w:val="002060"/>
        </w:rPr>
      </w:pPr>
      <w:r w:rsidRPr="00E60E68">
        <w:rPr>
          <w:rFonts w:ascii="Times New Roman" w:eastAsia="Garamond" w:hAnsi="Times New Roman" w:cs="Times New Roman"/>
          <w:b/>
          <w:bCs/>
          <w:color w:val="002060"/>
        </w:rPr>
        <w:t xml:space="preserve">Access to Comprehensive Sexual and Reproductive Health Education </w:t>
      </w:r>
    </w:p>
    <w:p w14:paraId="7231F38A" w14:textId="77777777" w:rsidR="00E60E68" w:rsidRPr="00E60E68" w:rsidRDefault="00E60E68" w:rsidP="00E60E68">
      <w:pPr>
        <w:pStyle w:val="ListParagraph"/>
        <w:spacing w:before="120" w:after="0" w:line="276" w:lineRule="auto"/>
        <w:ind w:left="1260" w:hanging="270"/>
        <w:jc w:val="both"/>
        <w:rPr>
          <w:rFonts w:ascii="Times New Roman" w:eastAsia="Garamond" w:hAnsi="Times New Roman" w:cs="Times New Roman"/>
          <w:color w:val="002060"/>
        </w:rPr>
      </w:pPr>
    </w:p>
    <w:p w14:paraId="0158E109"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lang w:eastAsia="en-GB"/>
        </w:rPr>
      </w:pPr>
      <w:r w:rsidRPr="00E60E68">
        <w:rPr>
          <w:rFonts w:ascii="Times New Roman" w:eastAsia="Garamond" w:hAnsi="Times New Roman" w:cs="Times New Roman"/>
          <w:color w:val="000000" w:themeColor="text1"/>
        </w:rPr>
        <w:t>While Tanzania submits that it has laws and policies guiding the provision of SRH education,</w:t>
      </w:r>
      <w:r w:rsidRPr="00E60E68">
        <w:rPr>
          <w:rStyle w:val="FootnoteReference"/>
          <w:rFonts w:ascii="Times New Roman" w:eastAsia="Garamond" w:hAnsi="Times New Roman" w:cs="Times New Roman"/>
          <w:color w:val="000000" w:themeColor="text1"/>
        </w:rPr>
        <w:footnoteReference w:id="5"/>
      </w:r>
      <w:r w:rsidRPr="00E60E68">
        <w:rPr>
          <w:rFonts w:ascii="Times New Roman" w:eastAsia="Garamond" w:hAnsi="Times New Roman" w:cs="Times New Roman"/>
          <w:color w:val="000000" w:themeColor="text1"/>
        </w:rPr>
        <w:t xml:space="preserve"> it is yet to implement a national CSE curriculum. Sexual education content is integrated in the national curriculum for primary and secondary schools, but not as a stand-alone subject. Tanzania launched the National Accelerated Action and Investment Agenda for Adolescent Health and Wellbeing 2021/22-2024/25 which includes CSE as one of the priority interventions to address early pregnancies and HIV.</w:t>
      </w:r>
      <w:r w:rsidRPr="00E60E68">
        <w:rPr>
          <w:rFonts w:ascii="Times New Roman" w:eastAsia="Garamond" w:hAnsi="Times New Roman" w:cs="Times New Roman"/>
          <w:color w:val="000000" w:themeColor="text1"/>
          <w:vertAlign w:val="superscript"/>
        </w:rPr>
        <w:t>8</w:t>
      </w:r>
      <w:r w:rsidRPr="00E60E68">
        <w:rPr>
          <w:rFonts w:ascii="Times New Roman" w:eastAsia="Garamond" w:hAnsi="Times New Roman" w:cs="Times New Roman"/>
          <w:color w:val="000000" w:themeColor="text1"/>
        </w:rPr>
        <w:t xml:space="preserve"> </w:t>
      </w:r>
      <w:r w:rsidRPr="00E60E68">
        <w:rPr>
          <w:rFonts w:ascii="Times New Roman" w:eastAsia="Garamond" w:hAnsi="Times New Roman" w:cs="Times New Roman"/>
          <w:lang w:val="en-GB"/>
        </w:rPr>
        <w:t xml:space="preserve">While the actions taken by Tanzania are commendable, gaps still exist in the content and delivery of the sexuality education in schools which is integrated into various subjects in school. There is little focus </w:t>
      </w:r>
      <w:r w:rsidRPr="00E60E68">
        <w:rPr>
          <w:rFonts w:ascii="Times New Roman" w:eastAsia="Garamond" w:hAnsi="Times New Roman" w:cs="Times New Roman"/>
          <w:lang w:val="en-GB"/>
        </w:rPr>
        <w:lastRenderedPageBreak/>
        <w:t>for example in promoting the effective use of condoms and other contraceptives with abstinence being the primary focus of school-based sexuality education provided by the government.</w:t>
      </w:r>
      <w:r w:rsidRPr="00E60E68">
        <w:rPr>
          <w:rStyle w:val="FootnoteReference"/>
          <w:rFonts w:ascii="Times New Roman" w:eastAsia="Garamond" w:hAnsi="Times New Roman" w:cs="Times New Roman"/>
          <w:lang w:val="en-GB"/>
        </w:rPr>
        <w:footnoteReference w:id="6"/>
      </w:r>
      <w:r w:rsidRPr="00E60E68">
        <w:rPr>
          <w:rFonts w:ascii="Times New Roman" w:eastAsia="Garamond" w:hAnsi="Times New Roman" w:cs="Times New Roman"/>
          <w:lang w:val="en-GB"/>
        </w:rPr>
        <w:t xml:space="preserve"> A study conducted in Mwanza in 2020 found that the 56% of secondary school students had limited understanding of curriculum-based SRH education, which was limited to a few aspects of health. The students also expressed a need for additional delivery strategies to be used for a comprehensive understanding of SRH. Teachers of diﬀerent subjects also had diﬀerent perceptions about the relevance of curriculum-based SRH education.</w:t>
      </w:r>
      <w:r w:rsidRPr="00E60E68">
        <w:rPr>
          <w:rStyle w:val="FootnoteReference"/>
          <w:rFonts w:ascii="Times New Roman" w:eastAsia="Garamond" w:hAnsi="Times New Roman" w:cs="Times New Roman"/>
          <w:lang w:val="en-GB"/>
        </w:rPr>
        <w:footnoteReference w:id="7"/>
      </w:r>
      <w:r w:rsidRPr="00E60E68">
        <w:rPr>
          <w:rFonts w:ascii="Times New Roman" w:eastAsia="Garamond" w:hAnsi="Times New Roman" w:cs="Times New Roman"/>
          <w:color w:val="000000" w:themeColor="text1"/>
        </w:rPr>
        <w:t xml:space="preserve"> </w:t>
      </w:r>
      <w:r w:rsidRPr="00E60E68">
        <w:rPr>
          <w:rFonts w:ascii="Times New Roman" w:eastAsia="Garamond" w:hAnsi="Times New Roman" w:cs="Times New Roman"/>
          <w:color w:val="000000" w:themeColor="text1"/>
          <w:lang w:eastAsia="en-GB"/>
        </w:rPr>
        <w:t xml:space="preserve"> In the absence of accurate, age-appropriate information, adolescents are unable to make informed decisions about their SRH.</w:t>
      </w:r>
      <w:r w:rsidRPr="00E60E68">
        <w:rPr>
          <w:rStyle w:val="FootnoteReference"/>
          <w:rFonts w:ascii="Times New Roman" w:eastAsia="Garamond" w:hAnsi="Times New Roman" w:cs="Times New Roman"/>
          <w:color w:val="000000" w:themeColor="text1"/>
          <w:lang w:eastAsia="en-GB"/>
        </w:rPr>
        <w:footnoteReference w:id="8"/>
      </w:r>
    </w:p>
    <w:p w14:paraId="736FFCFD" w14:textId="77777777" w:rsidR="00E60E68" w:rsidRPr="00E60E68" w:rsidRDefault="00E60E68" w:rsidP="00E60E68">
      <w:pPr>
        <w:spacing w:line="276" w:lineRule="auto"/>
        <w:jc w:val="both"/>
        <w:rPr>
          <w:rFonts w:ascii="Times New Roman" w:hAnsi="Times New Roman" w:cs="Times New Roman"/>
        </w:rPr>
      </w:pPr>
    </w:p>
    <w:p w14:paraId="0837EF2D" w14:textId="77777777" w:rsidR="00E60E68" w:rsidRPr="00E60E68" w:rsidRDefault="00E60E68" w:rsidP="00E60E68">
      <w:pPr>
        <w:pStyle w:val="ListParagraph"/>
        <w:numPr>
          <w:ilvl w:val="2"/>
          <w:numId w:val="1"/>
        </w:numPr>
        <w:spacing w:before="120" w:after="0" w:line="276" w:lineRule="auto"/>
        <w:ind w:left="1710" w:hanging="270"/>
        <w:jc w:val="both"/>
        <w:rPr>
          <w:rFonts w:ascii="Times New Roman" w:eastAsia="Garamond" w:hAnsi="Times New Roman" w:cs="Times New Roman"/>
          <w:b/>
          <w:bCs/>
          <w:color w:val="002060"/>
        </w:rPr>
      </w:pPr>
      <w:r w:rsidRPr="00E60E68">
        <w:rPr>
          <w:rFonts w:ascii="Times New Roman" w:eastAsia="Garamond" w:hAnsi="Times New Roman" w:cs="Times New Roman"/>
          <w:b/>
          <w:bCs/>
          <w:color w:val="002060"/>
        </w:rPr>
        <w:t>Access to Sexual and Reproductive Health Services</w:t>
      </w:r>
    </w:p>
    <w:p w14:paraId="64DF33E3"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lang w:eastAsia="en-GB"/>
        </w:rPr>
      </w:pPr>
      <w:r w:rsidRPr="00E60E68">
        <w:rPr>
          <w:rFonts w:ascii="Times New Roman" w:eastAsia="Garamond" w:hAnsi="Times New Roman" w:cs="Times New Roman"/>
          <w:color w:val="000000" w:themeColor="text1"/>
          <w:lang w:eastAsia="en-GB"/>
        </w:rPr>
        <w:t>Tanzania submits that availability of contraceptives in public health facilities increased, and the percentage of Modern Contraceptives has reached 14% (TDHS-MIS 2015/16) from 12.4% (TDHS 2010).</w:t>
      </w:r>
      <w:r w:rsidRPr="00E60E68">
        <w:rPr>
          <w:rStyle w:val="FootnoteReference"/>
          <w:rFonts w:ascii="Times New Roman" w:eastAsia="Garamond" w:hAnsi="Times New Roman" w:cs="Times New Roman"/>
          <w:color w:val="000000" w:themeColor="text1"/>
          <w:lang w:eastAsia="en-GB"/>
        </w:rPr>
        <w:footnoteReference w:id="9"/>
      </w:r>
      <w:r w:rsidRPr="00E60E68">
        <w:rPr>
          <w:rFonts w:ascii="Times New Roman" w:eastAsia="Garamond" w:hAnsi="Times New Roman" w:cs="Times New Roman"/>
          <w:color w:val="000000" w:themeColor="text1"/>
          <w:lang w:eastAsia="en-GB"/>
        </w:rPr>
        <w:t xml:space="preserve"> </w:t>
      </w:r>
      <w:r w:rsidRPr="00E60E68">
        <w:rPr>
          <w:rFonts w:ascii="Times New Roman" w:eastAsia="Garamond" w:hAnsi="Times New Roman" w:cs="Times New Roman"/>
        </w:rPr>
        <w:t>This is commendable but tells an incomplete story on the unmet need for family planning which remains high among adolescents aged 15-19 years, with a modern contraceptive prevalence rate of only 15.2%,</w:t>
      </w:r>
      <w:r w:rsidRPr="00E60E68">
        <w:rPr>
          <w:rStyle w:val="FootnoteReference"/>
          <w:rFonts w:ascii="Times New Roman" w:eastAsia="Garamond" w:hAnsi="Times New Roman" w:cs="Times New Roman"/>
        </w:rPr>
        <w:footnoteReference w:id="10"/>
      </w:r>
      <w:r w:rsidRPr="00E60E68">
        <w:rPr>
          <w:rFonts w:ascii="Times New Roman" w:eastAsia="Garamond" w:hAnsi="Times New Roman" w:cs="Times New Roman"/>
        </w:rPr>
        <w:t xml:space="preserve"> and progress in expanding access for this age group remaining slow. </w:t>
      </w:r>
    </w:p>
    <w:p w14:paraId="61D6818D"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lang w:eastAsia="en-GB"/>
        </w:rPr>
      </w:pPr>
      <w:r w:rsidRPr="00E60E68">
        <w:rPr>
          <w:rFonts w:ascii="Times New Roman" w:eastAsia="Garamond" w:hAnsi="Times New Roman" w:cs="Times New Roman"/>
          <w:color w:val="000000" w:themeColor="text1"/>
          <w:lang w:eastAsia="en-GB"/>
        </w:rPr>
        <w:t>Tanzania further admits that teen pregnancy remains a great concern stating “</w:t>
      </w:r>
      <w:r w:rsidRPr="00E60E68">
        <w:rPr>
          <w:rFonts w:ascii="Times New Roman" w:eastAsia="Garamond" w:hAnsi="Times New Roman" w:cs="Times New Roman"/>
          <w:i/>
          <w:iCs/>
        </w:rPr>
        <w:t>Despite increased accessibility and knowledge of contraceptives (96.2 per cent aged 15–19) adolescent pregnancy remains one of the key reasons for dropout in both primary and secondary schools. Available data shows that the number of girls dropping out of primary due to pregnancy in 2017 (1,040) increased fourfold over 2013 (246)</w:t>
      </w:r>
      <w:r w:rsidRPr="00E60E68">
        <w:rPr>
          <w:rFonts w:ascii="Times New Roman" w:eastAsia="Garamond" w:hAnsi="Times New Roman" w:cs="Times New Roman"/>
        </w:rPr>
        <w:t>.”</w:t>
      </w:r>
      <w:r w:rsidRPr="00E60E68">
        <w:rPr>
          <w:rStyle w:val="FootnoteReference"/>
          <w:rFonts w:ascii="Times New Roman" w:eastAsia="Garamond" w:hAnsi="Times New Roman" w:cs="Times New Roman"/>
        </w:rPr>
        <w:footnoteReference w:id="11"/>
      </w:r>
    </w:p>
    <w:p w14:paraId="7D34E240"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lang w:eastAsia="en-GB"/>
        </w:rPr>
      </w:pPr>
      <w:r w:rsidRPr="00E60E68">
        <w:rPr>
          <w:rFonts w:ascii="Times New Roman" w:eastAsia="Garamond" w:hAnsi="Times New Roman" w:cs="Times New Roman"/>
          <w:color w:val="000000" w:themeColor="text1"/>
        </w:rPr>
        <w:lastRenderedPageBreak/>
        <w:t>The Tanzania Demographic and Health Survey and Malaria Indicator Survey (</w:t>
      </w:r>
      <w:r w:rsidRPr="00E60E68">
        <w:rPr>
          <w:rFonts w:ascii="Times New Roman" w:eastAsia="Garamond" w:hAnsi="Times New Roman" w:cs="Times New Roman"/>
          <w:color w:val="000000" w:themeColor="text1"/>
          <w:lang w:eastAsia="en-GB"/>
        </w:rPr>
        <w:t xml:space="preserve">TDHS-MIS) </w:t>
      </w:r>
      <w:r w:rsidRPr="00E60E68">
        <w:rPr>
          <w:rFonts w:ascii="Times New Roman" w:eastAsia="Garamond" w:hAnsi="Times New Roman" w:cs="Times New Roman"/>
          <w:color w:val="000000" w:themeColor="text1"/>
        </w:rPr>
        <w:t>(2022) revealed that of the 22% of women aged 15–19 who were reported had ever been pregnant, the incidence of teenage pregnancy was higher amongst girls in rural areas (24.9%)</w:t>
      </w:r>
      <w:r w:rsidRPr="00E60E68">
        <w:rPr>
          <w:rStyle w:val="FootnoteReference"/>
          <w:rFonts w:ascii="Times New Roman" w:eastAsia="Garamond" w:hAnsi="Times New Roman" w:cs="Times New Roman"/>
          <w:color w:val="000000" w:themeColor="text1"/>
          <w:lang w:eastAsia="en-GB"/>
        </w:rPr>
        <w:footnoteReference w:id="12"/>
      </w:r>
      <w:r w:rsidRPr="00E60E68">
        <w:rPr>
          <w:rFonts w:ascii="Times New Roman" w:eastAsia="Garamond" w:hAnsi="Times New Roman" w:cs="Times New Roman"/>
          <w:color w:val="000000" w:themeColor="text1"/>
        </w:rPr>
        <w:t xml:space="preserve"> as compared to those living in urban areas (16.4.%).</w:t>
      </w:r>
    </w:p>
    <w:p w14:paraId="70D89DE5" w14:textId="26189D8F"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lang w:eastAsia="en-GB"/>
        </w:rPr>
      </w:pPr>
      <w:r w:rsidRPr="00E60E68">
        <w:rPr>
          <w:rFonts w:ascii="Times New Roman" w:eastAsia="Garamond" w:hAnsi="Times New Roman" w:cs="Times New Roman"/>
          <w:color w:val="000000" w:themeColor="text1"/>
        </w:rPr>
        <w:t>High teen pregnancy rates in Tanzania are driven by barriers to SRH services, including misinformation, societal pressure, and healthcare provider bias. While no law explicitly requires parental consent for SRH services (except for HIV testing under age 15)</w:t>
      </w:r>
      <w:r w:rsidRPr="00E60E68">
        <w:rPr>
          <w:rStyle w:val="FootnoteReference"/>
          <w:rFonts w:ascii="Times New Roman" w:eastAsia="Garamond" w:hAnsi="Times New Roman" w:cs="Times New Roman"/>
          <w:color w:val="000000" w:themeColor="text1"/>
        </w:rPr>
        <w:footnoteReference w:id="13"/>
      </w:r>
      <w:r w:rsidRPr="00E60E68">
        <w:rPr>
          <w:rFonts w:ascii="Times New Roman" w:eastAsia="Garamond" w:hAnsi="Times New Roman" w:cs="Times New Roman"/>
          <w:color w:val="000000" w:themeColor="text1"/>
        </w:rPr>
        <w:t xml:space="preserve"> in practice, many healthcare providers require parental consent for services like contraception, antenatal care, even in cases of sexual </w:t>
      </w:r>
      <w:r w:rsidRPr="00E60E68">
        <w:rPr>
          <w:rStyle w:val="FootnoteReference"/>
          <w:rFonts w:ascii="Times New Roman" w:eastAsia="Garamond" w:hAnsi="Times New Roman" w:cs="Times New Roman"/>
          <w:color w:val="000000" w:themeColor="text1"/>
        </w:rPr>
        <w:footnoteReference w:id="14"/>
      </w:r>
      <w:r w:rsidRPr="00E60E68">
        <w:rPr>
          <w:rFonts w:ascii="Times New Roman" w:eastAsia="Garamond" w:hAnsi="Times New Roman" w:cs="Times New Roman"/>
          <w:color w:val="000000" w:themeColor="text1"/>
        </w:rPr>
        <w:t xml:space="preserve"> adolescents' rights to privacy and health under the CRC. This disproportionately affects adolescents who fear stigma, discrimination, or punishment, leading to limited access to essential care. Consequently, many face increased risks of unintended pregnancies and unsafe abortions.</w:t>
      </w:r>
      <w:r>
        <w:rPr>
          <w:rStyle w:val="FootnoteReference"/>
          <w:rFonts w:ascii="Times New Roman" w:eastAsia="Garamond" w:hAnsi="Times New Roman" w:cs="Times New Roman"/>
          <w:color w:val="000000" w:themeColor="text1"/>
        </w:rPr>
        <w:footnoteReference w:id="15"/>
      </w:r>
      <w:r w:rsidRPr="00E60E68">
        <w:rPr>
          <w:rFonts w:ascii="Times New Roman" w:eastAsia="Garamond" w:hAnsi="Times New Roman" w:cs="Times New Roman"/>
          <w:color w:val="000000" w:themeColor="text1"/>
          <w:lang w:eastAsia="en-GB"/>
        </w:rPr>
        <w:t xml:space="preserve"> Where laws and policies are silent on whether adolescents can access specific services, stigma surrounding adolescent sexuality may result in health care providers interpreting this to mean that minors are not permitted to</w:t>
      </w:r>
      <w:r w:rsidRPr="00E60E68">
        <w:t xml:space="preserve"> </w:t>
      </w:r>
      <w:r w:rsidRPr="00E60E68">
        <w:rPr>
          <w:rFonts w:ascii="Times New Roman" w:eastAsia="Garamond" w:hAnsi="Times New Roman" w:cs="Times New Roman"/>
          <w:color w:val="000000" w:themeColor="text1"/>
          <w:lang w:eastAsia="en-GB"/>
        </w:rPr>
        <w:t>receive such services.</w:t>
      </w:r>
      <w:r w:rsidRPr="00E60E68">
        <w:rPr>
          <w:rStyle w:val="FootnoteReference"/>
          <w:rFonts w:ascii="Times New Roman" w:eastAsia="Garamond" w:hAnsi="Times New Roman" w:cs="Times New Roman"/>
          <w:color w:val="000000" w:themeColor="text1"/>
          <w:lang w:eastAsia="en-GB"/>
        </w:rPr>
        <w:footnoteReference w:id="16"/>
      </w:r>
    </w:p>
    <w:p w14:paraId="412E42B7"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In many communities, discussing SRH is considered taboo, and adolescents who seek SRHR services are often stigmatized as being "promiscuous" or "immoral",</w:t>
      </w:r>
      <w:r w:rsidRPr="00E60E68">
        <w:rPr>
          <w:rStyle w:val="FootnoteReference"/>
          <w:rFonts w:ascii="Times New Roman" w:eastAsia="Garamond" w:hAnsi="Times New Roman" w:cs="Times New Roman"/>
          <w:color w:val="000000" w:themeColor="text1"/>
        </w:rPr>
        <w:footnoteReference w:id="17"/>
      </w:r>
      <w:r w:rsidRPr="00E60E68">
        <w:rPr>
          <w:rFonts w:ascii="Times New Roman" w:eastAsia="Garamond" w:hAnsi="Times New Roman" w:cs="Times New Roman"/>
          <w:color w:val="000000" w:themeColor="text1"/>
        </w:rPr>
        <w:t xml:space="preserve"> thus discouraging them from seeking care and creating a culture of silence around adolescent sexuality.</w:t>
      </w:r>
    </w:p>
    <w:p w14:paraId="26C24F4F"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Tanzania's health system struggles to provide adolescent-friendly SRH services due to insufficient provider training, contraceptive stockouts, and a lack of youth-friendly models. </w:t>
      </w:r>
      <w:r w:rsidRPr="00E60E68">
        <w:rPr>
          <w:rFonts w:ascii="Times New Roman" w:eastAsia="Garamond" w:hAnsi="Times New Roman" w:cs="Times New Roman"/>
          <w:color w:val="000000" w:themeColor="text1"/>
        </w:rPr>
        <w:lastRenderedPageBreak/>
        <w:t>A study in Kinondoni, Dar es Salaam, found that only 44% of health facilities offered adolescent SRH services.</w:t>
      </w:r>
      <w:r w:rsidRPr="00E60E68">
        <w:rPr>
          <w:rStyle w:val="FootnoteReference"/>
          <w:rFonts w:ascii="Times New Roman" w:eastAsia="Garamond" w:hAnsi="Times New Roman" w:cs="Times New Roman"/>
          <w:color w:val="000000" w:themeColor="text1"/>
        </w:rPr>
        <w:footnoteReference w:id="18"/>
      </w:r>
    </w:p>
    <w:p w14:paraId="07694199" w14:textId="77777777" w:rsidR="00E60E68" w:rsidRPr="00E60E68" w:rsidRDefault="00E60E68" w:rsidP="00E60E68">
      <w:pPr>
        <w:pStyle w:val="ListParagraph"/>
        <w:numPr>
          <w:ilvl w:val="2"/>
          <w:numId w:val="1"/>
        </w:numPr>
        <w:spacing w:before="120" w:after="0" w:line="276" w:lineRule="auto"/>
        <w:ind w:left="1710" w:hanging="450"/>
        <w:jc w:val="both"/>
        <w:rPr>
          <w:rFonts w:ascii="Times New Roman" w:eastAsia="Garamond" w:hAnsi="Times New Roman" w:cs="Times New Roman"/>
          <w:b/>
          <w:bCs/>
          <w:color w:val="002060"/>
        </w:rPr>
      </w:pPr>
      <w:r w:rsidRPr="00E60E68">
        <w:rPr>
          <w:rFonts w:ascii="Times New Roman" w:eastAsia="Garamond" w:hAnsi="Times New Roman" w:cs="Times New Roman"/>
          <w:b/>
          <w:bCs/>
          <w:color w:val="002060"/>
        </w:rPr>
        <w:t>Access to Safe Abortion Care</w:t>
      </w:r>
    </w:p>
    <w:p w14:paraId="6C065163"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 xml:space="preserve"> In Tanzania between 2015–2019, there were a total of 2,930,000 pregnancies annually. Of these, a total of 1,340,000 (46%) pregnancies were unintended and 482,000 (36%) ended in abortion.</w:t>
      </w:r>
      <w:r w:rsidRPr="00E60E68">
        <w:rPr>
          <w:rStyle w:val="FootnoteReference"/>
          <w:rFonts w:ascii="Times New Roman" w:eastAsia="Garamond" w:hAnsi="Times New Roman" w:cs="Times New Roman"/>
          <w:color w:val="000000" w:themeColor="text1"/>
        </w:rPr>
        <w:footnoteReference w:id="19"/>
      </w:r>
      <w:r w:rsidRPr="00E60E68">
        <w:rPr>
          <w:rFonts w:ascii="Times New Roman" w:eastAsia="Garamond" w:hAnsi="Times New Roman" w:cs="Times New Roman"/>
          <w:color w:val="000000" w:themeColor="text1"/>
        </w:rPr>
        <w:t xml:space="preserve"> </w:t>
      </w:r>
    </w:p>
    <w:p w14:paraId="496D35C1"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lang w:val="en-GB"/>
        </w:rPr>
        <w:t>Tanzania submits that there has been reduction in maternal death relating to teenage abortions which it credits to the provision of sexuality education.</w:t>
      </w:r>
      <w:r w:rsidRPr="00E60E68">
        <w:rPr>
          <w:rStyle w:val="FootnoteReference"/>
          <w:rFonts w:ascii="Times New Roman" w:eastAsia="Garamond" w:hAnsi="Times New Roman" w:cs="Times New Roman"/>
        </w:rPr>
        <w:footnoteReference w:id="20"/>
      </w:r>
      <w:r w:rsidRPr="00E60E68">
        <w:rPr>
          <w:rFonts w:ascii="Times New Roman" w:eastAsia="Garamond" w:hAnsi="Times New Roman" w:cs="Times New Roman"/>
          <w:lang w:val="en-GB"/>
        </w:rPr>
        <w:t xml:space="preserve"> Further, that measures have been undertaken to address maternal mortality including the development of the National Water, Sanitation and Hygiene in Healthcare Facility Guidelines, 2017 to curb hospital acquired infections in recognition of high incidences of sepsis, which contributes to the high maternal and neonatal morbidity and mortality.</w:t>
      </w:r>
      <w:r w:rsidRPr="00E60E68">
        <w:rPr>
          <w:rStyle w:val="FootnoteReference"/>
          <w:rFonts w:ascii="Times New Roman" w:eastAsia="Garamond" w:hAnsi="Times New Roman" w:cs="Times New Roman"/>
          <w:lang w:val="en-GB"/>
        </w:rPr>
        <w:footnoteReference w:id="21"/>
      </w:r>
      <w:r w:rsidRPr="00E60E68">
        <w:rPr>
          <w:rFonts w:ascii="Times New Roman" w:eastAsia="Garamond" w:hAnsi="Times New Roman" w:cs="Times New Roman"/>
          <w:lang w:val="en-GB"/>
        </w:rPr>
        <w:t xml:space="preserve"> Despite these, unsafe abortion remains a major driver of high levels of maternal mortality</w:t>
      </w:r>
      <w:r w:rsidRPr="00E60E68">
        <w:rPr>
          <w:rStyle w:val="FootnoteReference"/>
          <w:rFonts w:ascii="Times New Roman" w:eastAsia="Garamond" w:hAnsi="Times New Roman" w:cs="Times New Roman"/>
          <w:lang w:val="en-GB"/>
        </w:rPr>
        <w:footnoteReference w:id="22"/>
      </w:r>
      <w:r w:rsidRPr="00E60E68">
        <w:rPr>
          <w:rStyle w:val="FootnoteReference"/>
          <w:rFonts w:ascii="Times New Roman" w:eastAsia="Garamond" w:hAnsi="Times New Roman" w:cs="Times New Roman"/>
          <w:lang w:val="en-GB"/>
        </w:rPr>
        <w:footnoteReference w:id="23"/>
      </w:r>
      <w:r w:rsidRPr="00E60E68">
        <w:rPr>
          <w:rFonts w:ascii="Times New Roman" w:eastAsia="Garamond" w:hAnsi="Times New Roman" w:cs="Times New Roman"/>
          <w:color w:val="000000" w:themeColor="text1"/>
        </w:rPr>
        <w:t xml:space="preserve"> as Abortion is heavily restricted, permitted only to save a woman’s life,</w:t>
      </w:r>
      <w:r w:rsidRPr="00E60E68">
        <w:rPr>
          <w:rStyle w:val="FootnoteReference"/>
          <w:rFonts w:ascii="Times New Roman" w:eastAsia="Garamond" w:hAnsi="Times New Roman" w:cs="Times New Roman"/>
          <w:color w:val="000000" w:themeColor="text1"/>
        </w:rPr>
        <w:footnoteReference w:id="24"/>
      </w:r>
      <w:r w:rsidRPr="00E60E68">
        <w:rPr>
          <w:rFonts w:ascii="Times New Roman" w:eastAsia="Garamond" w:hAnsi="Times New Roman" w:cs="Times New Roman"/>
          <w:color w:val="000000" w:themeColor="text1"/>
        </w:rPr>
        <w:t xml:space="preserve"> leading many adolescent girls to resort to unsafe procedures that put their lives at risk.</w:t>
      </w:r>
    </w:p>
    <w:p w14:paraId="7DB41170"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Further, although Tanzania ratified the Maputo Protocol</w:t>
      </w:r>
      <w:r w:rsidRPr="00E60E68">
        <w:rPr>
          <w:rStyle w:val="FootnoteReference"/>
          <w:rFonts w:ascii="Times New Roman" w:eastAsia="Garamond" w:hAnsi="Times New Roman" w:cs="Times New Roman"/>
          <w:color w:val="000000" w:themeColor="text1"/>
        </w:rPr>
        <w:footnoteReference w:id="25"/>
      </w:r>
      <w:r w:rsidRPr="00E60E68">
        <w:rPr>
          <w:rFonts w:ascii="Times New Roman" w:eastAsia="Garamond" w:hAnsi="Times New Roman" w:cs="Times New Roman"/>
          <w:color w:val="000000" w:themeColor="text1"/>
        </w:rPr>
        <w:t xml:space="preserve"> which provides for expanded grounds to access to abortion including for survivors of sexual violence,</w:t>
      </w:r>
      <w:r w:rsidRPr="00E60E68">
        <w:rPr>
          <w:rStyle w:val="FootnoteReference"/>
          <w:rFonts w:ascii="Times New Roman" w:eastAsia="Garamond" w:hAnsi="Times New Roman" w:cs="Times New Roman"/>
          <w:color w:val="000000" w:themeColor="text1"/>
        </w:rPr>
        <w:footnoteReference w:id="26"/>
      </w:r>
      <w:r w:rsidRPr="00E60E68">
        <w:rPr>
          <w:rFonts w:ascii="Times New Roman" w:eastAsia="Garamond" w:hAnsi="Times New Roman" w:cs="Times New Roman"/>
          <w:color w:val="000000" w:themeColor="text1"/>
        </w:rPr>
        <w:t xml:space="preserve"> the government has not domesticated these provisions. This lack of clarity creates confusion amongst healthcare providers, women and girls, and fear of prosecution on both sides. </w:t>
      </w:r>
    </w:p>
    <w:p w14:paraId="000DFE36" w14:textId="77777777" w:rsidR="00E60E68" w:rsidRPr="00E60E68" w:rsidRDefault="00E60E68" w:rsidP="00E60E68">
      <w:pPr>
        <w:pStyle w:val="ListParagraph"/>
        <w:numPr>
          <w:ilvl w:val="0"/>
          <w:numId w:val="1"/>
        </w:numPr>
        <w:spacing w:before="120" w:after="0" w:line="276" w:lineRule="auto"/>
        <w:jc w:val="both"/>
        <w:rPr>
          <w:rFonts w:ascii="Times New Roman" w:eastAsia="Garamond" w:hAnsi="Times New Roman" w:cs="Times New Roman"/>
          <w:b/>
          <w:bCs/>
          <w:color w:val="002060"/>
        </w:rPr>
      </w:pPr>
      <w:r w:rsidRPr="00E60E68">
        <w:rPr>
          <w:rFonts w:ascii="Times New Roman" w:eastAsia="Garamond" w:hAnsi="Times New Roman" w:cs="Times New Roman"/>
          <w:b/>
          <w:bCs/>
          <w:color w:val="002060"/>
        </w:rPr>
        <w:t>Maternal Healthcare for Adolescent Girls</w:t>
      </w:r>
    </w:p>
    <w:p w14:paraId="33DE0F4C"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rPr>
      </w:pPr>
      <w:r w:rsidRPr="00E60E68">
        <w:rPr>
          <w:rFonts w:ascii="Times New Roman" w:eastAsia="Garamond" w:hAnsi="Times New Roman" w:cs="Times New Roman"/>
          <w:lang w:val="en-GB"/>
        </w:rPr>
        <w:t>Tanzania submits that it has made progress in improving access to maternal healthcare. The State party reports  “...</w:t>
      </w:r>
      <w:r w:rsidRPr="00E60E68">
        <w:rPr>
          <w:rFonts w:ascii="Times New Roman" w:eastAsia="Garamond" w:hAnsi="Times New Roman" w:cs="Times New Roman"/>
          <w:i/>
          <w:iCs/>
          <w:lang w:val="en-GB"/>
        </w:rPr>
        <w:t xml:space="preserve">with regard to the establishment of child and maternal health clinics, </w:t>
      </w:r>
      <w:r w:rsidRPr="00E60E68">
        <w:rPr>
          <w:rFonts w:ascii="Times New Roman" w:eastAsia="Garamond" w:hAnsi="Times New Roman" w:cs="Times New Roman"/>
          <w:i/>
          <w:iCs/>
          <w:lang w:val="en-GB"/>
        </w:rPr>
        <w:lastRenderedPageBreak/>
        <w:t>access to safe and trained delivery services and availability of trained health workers with the necessary equipment. To reduce distances for pregnant mothers, the number of health facilities in mainland Tanzania increased from 6,645 in 2013 to 8,119 in 2018...The increase has improved the availability of health services in rural areas</w:t>
      </w:r>
      <w:r w:rsidRPr="00E60E68">
        <w:rPr>
          <w:rFonts w:ascii="Times New Roman" w:eastAsia="Garamond" w:hAnsi="Times New Roman" w:cs="Times New Roman"/>
          <w:lang w:val="en-GB"/>
        </w:rPr>
        <w:t>.”</w:t>
      </w:r>
      <w:r w:rsidRPr="00E60E68">
        <w:rPr>
          <w:rStyle w:val="FootnoteReference"/>
          <w:rFonts w:ascii="Times New Roman" w:eastAsia="Garamond" w:hAnsi="Times New Roman" w:cs="Times New Roman"/>
        </w:rPr>
        <w:footnoteReference w:id="27"/>
      </w:r>
    </w:p>
    <w:p w14:paraId="68FD9A7E"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lang w:eastAsia="en-GB"/>
        </w:rPr>
      </w:pPr>
      <w:r w:rsidRPr="00E60E68">
        <w:rPr>
          <w:rFonts w:ascii="Times New Roman" w:eastAsia="Garamond" w:hAnsi="Times New Roman" w:cs="Times New Roman"/>
        </w:rPr>
        <w:t>Despite the progress made, m</w:t>
      </w:r>
      <w:r w:rsidRPr="00E60E68">
        <w:rPr>
          <w:rFonts w:ascii="Times New Roman" w:eastAsia="Garamond" w:hAnsi="Times New Roman" w:cs="Times New Roman"/>
          <w:color w:val="000000" w:themeColor="text1"/>
          <w:lang w:eastAsia="en-GB"/>
        </w:rPr>
        <w:t>any healthcare facilities in Tanzania, especially in rural areas lack infrastructure and resources for quality maternal healthcare, including skilled providers to support adolescent mothers' physical, psychological, and emotional well-being.</w:t>
      </w:r>
      <w:r w:rsidRPr="00E60E68">
        <w:rPr>
          <w:rStyle w:val="FootnoteReference"/>
          <w:rFonts w:ascii="Times New Roman" w:eastAsia="Garamond" w:hAnsi="Times New Roman" w:cs="Times New Roman"/>
          <w:color w:val="000000" w:themeColor="text1"/>
          <w:lang w:eastAsia="en-GB"/>
        </w:rPr>
        <w:footnoteReference w:id="28"/>
      </w:r>
    </w:p>
    <w:p w14:paraId="641CD0FA" w14:textId="77777777" w:rsidR="00E60E68" w:rsidRPr="00E60E68" w:rsidRDefault="00E60E68" w:rsidP="00E60E68">
      <w:pPr>
        <w:pStyle w:val="ListParagraph"/>
        <w:numPr>
          <w:ilvl w:val="0"/>
          <w:numId w:val="2"/>
        </w:numPr>
        <w:spacing w:before="120"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rPr>
        <w:t>Adolescent</w:t>
      </w:r>
      <w:r w:rsidRPr="00E60E68">
        <w:rPr>
          <w:rFonts w:ascii="Times New Roman" w:eastAsia="Garamond" w:hAnsi="Times New Roman" w:cs="Times New Roman"/>
          <w:color w:val="000000" w:themeColor="text1"/>
        </w:rPr>
        <w:t xml:space="preserve"> mothers also have inadequate knowledge and understanding of SRH and, many fail to attend antenatal and reproductive health programs.</w:t>
      </w:r>
      <w:r w:rsidRPr="00E60E68">
        <w:rPr>
          <w:rStyle w:val="FootnoteReference"/>
          <w:rFonts w:ascii="Times New Roman" w:eastAsia="Garamond" w:hAnsi="Times New Roman" w:cs="Times New Roman"/>
          <w:color w:val="000000" w:themeColor="text1"/>
        </w:rPr>
        <w:footnoteReference w:id="29"/>
      </w:r>
      <w:r w:rsidRPr="00E60E68">
        <w:rPr>
          <w:rFonts w:ascii="Times New Roman" w:eastAsia="Garamond" w:hAnsi="Times New Roman" w:cs="Times New Roman"/>
          <w:color w:val="000000" w:themeColor="text1"/>
        </w:rPr>
        <w:t xml:space="preserve"> While the World Health Organization recommends a </w:t>
      </w:r>
      <w:r w:rsidRPr="00E60E68">
        <w:rPr>
          <w:rFonts w:ascii="Times New Roman" w:eastAsia="Garamond" w:hAnsi="Times New Roman" w:cs="Times New Roman"/>
        </w:rPr>
        <w:t>minimum of 8 visits for a positive pregnancy experience, only 63.5 % of girls under the age of 20 are reported to attend a minimum of four antenatal visits.</w:t>
      </w:r>
      <w:r w:rsidRPr="00E60E68">
        <w:rPr>
          <w:rStyle w:val="FootnoteReference"/>
          <w:rFonts w:ascii="Times New Roman" w:eastAsia="Garamond" w:hAnsi="Times New Roman" w:cs="Times New Roman"/>
        </w:rPr>
        <w:footnoteReference w:id="30"/>
      </w:r>
      <w:r w:rsidRPr="00E60E68">
        <w:rPr>
          <w:rFonts w:ascii="Times New Roman" w:eastAsia="Garamond" w:hAnsi="Times New Roman" w:cs="Times New Roman"/>
        </w:rPr>
        <w:t xml:space="preserve"> T</w:t>
      </w:r>
      <w:r w:rsidRPr="00E60E68">
        <w:rPr>
          <w:rFonts w:ascii="Times New Roman" w:eastAsia="Garamond" w:hAnsi="Times New Roman" w:cs="Times New Roman"/>
          <w:color w:val="000000" w:themeColor="text1"/>
        </w:rPr>
        <w:t>he lack of knowledge impedes their ability to identify obstetric danger signs, such as excessive bleeding, prolonged labor and infections, which are leading causes of maternal mortality.</w:t>
      </w:r>
      <w:r w:rsidRPr="00E60E68">
        <w:rPr>
          <w:rStyle w:val="FootnoteReference"/>
          <w:rFonts w:ascii="Times New Roman" w:eastAsia="Garamond" w:hAnsi="Times New Roman" w:cs="Times New Roman"/>
          <w:color w:val="000000" w:themeColor="text1"/>
        </w:rPr>
        <w:footnoteReference w:id="31"/>
      </w:r>
      <w:r w:rsidRPr="00E60E68">
        <w:rPr>
          <w:rFonts w:ascii="Times New Roman" w:eastAsia="Garamond" w:hAnsi="Times New Roman" w:cs="Times New Roman"/>
          <w:color w:val="000000" w:themeColor="text1"/>
        </w:rPr>
        <w:t xml:space="preserve"> Cultural norms and societal attitudes further exacerbate the challenges adolescents face in accessing maternal healthcare. </w:t>
      </w:r>
    </w:p>
    <w:p w14:paraId="4089F4AA" w14:textId="77777777" w:rsidR="00E60E68" w:rsidRPr="00E60E68" w:rsidRDefault="00E60E68" w:rsidP="00E60E68">
      <w:pPr>
        <w:numPr>
          <w:ilvl w:val="0"/>
          <w:numId w:val="1"/>
        </w:numPr>
        <w:spacing w:before="120" w:after="0" w:line="276" w:lineRule="auto"/>
        <w:jc w:val="both"/>
        <w:rPr>
          <w:rFonts w:ascii="Times New Roman" w:eastAsia="Garamond" w:hAnsi="Times New Roman" w:cs="Times New Roman"/>
        </w:rPr>
      </w:pPr>
      <w:r w:rsidRPr="00E60E68">
        <w:rPr>
          <w:rFonts w:ascii="Times New Roman" w:eastAsia="Garamond" w:hAnsi="Times New Roman" w:cs="Times New Roman"/>
          <w:b/>
          <w:bCs/>
          <w:color w:val="0E2740"/>
        </w:rPr>
        <w:t>Right to Education (Article 28): Barriers to access including expulsion of pregnant learners and denial of school re-entry for teen mothers</w:t>
      </w:r>
      <w:r w:rsidRPr="00E60E68">
        <w:rPr>
          <w:rFonts w:ascii="Times New Roman" w:eastAsia="Garamond" w:hAnsi="Times New Roman" w:cs="Times New Roman"/>
          <w:color w:val="0E2740"/>
        </w:rPr>
        <w:t xml:space="preserve">. </w:t>
      </w:r>
      <w:r w:rsidRPr="00E60E68">
        <w:rPr>
          <w:rFonts w:ascii="Times New Roman" w:eastAsia="Garamond" w:hAnsi="Times New Roman" w:cs="Times New Roman"/>
        </w:rPr>
        <w:t xml:space="preserve"> </w:t>
      </w:r>
    </w:p>
    <w:p w14:paraId="077C028A" w14:textId="77777777" w:rsidR="00E60E68" w:rsidRPr="00E60E68" w:rsidRDefault="00E60E68" w:rsidP="00E60E68">
      <w:pPr>
        <w:pStyle w:val="ListParagraph"/>
        <w:numPr>
          <w:ilvl w:val="0"/>
          <w:numId w:val="2"/>
        </w:numPr>
        <w:spacing w:before="120" w:after="120" w:line="276" w:lineRule="auto"/>
        <w:jc w:val="both"/>
        <w:rPr>
          <w:rFonts w:ascii="Times New Roman" w:eastAsia="Garamond" w:hAnsi="Times New Roman" w:cs="Times New Roman"/>
        </w:rPr>
      </w:pPr>
      <w:r w:rsidRPr="00E60E68">
        <w:rPr>
          <w:rFonts w:ascii="Times New Roman" w:eastAsia="Garamond" w:hAnsi="Times New Roman" w:cs="Times New Roman"/>
          <w:lang w:val="en-GB"/>
        </w:rPr>
        <w:t>Tanzania reports that it has taken various legislative and policy interventions to address discrimination in the education sector including amending the Education Act in 2016 and adopting the Education and Training Policy of 2014 which the State submits enhanced non-discrimination of teenage pregnant girls and mothers.</w:t>
      </w:r>
      <w:r w:rsidRPr="00E60E68">
        <w:rPr>
          <w:rStyle w:val="FootnoteReference"/>
          <w:rFonts w:ascii="Times New Roman" w:eastAsia="Garamond" w:hAnsi="Times New Roman" w:cs="Times New Roman"/>
          <w:lang w:val="en-GB"/>
        </w:rPr>
        <w:footnoteReference w:id="32"/>
      </w:r>
      <w:r w:rsidRPr="00E60E68">
        <w:rPr>
          <w:rFonts w:ascii="Times New Roman" w:eastAsia="Garamond" w:hAnsi="Times New Roman" w:cs="Times New Roman"/>
          <w:lang w:val="en-GB"/>
        </w:rPr>
        <w:t xml:space="preserve"> While we laude the State’s efforts, </w:t>
      </w:r>
      <w:r w:rsidRPr="00E60E68">
        <w:rPr>
          <w:rFonts w:ascii="Times New Roman" w:eastAsia="Garamond" w:hAnsi="Times New Roman" w:cs="Times New Roman"/>
          <w:color w:val="000000" w:themeColor="text1"/>
        </w:rPr>
        <w:t xml:space="preserve">Tanzania’s mandatory pregnant testing and expulsion of pregnant learners denies many girls the opportunity to continue their formal education. The practice is inconsistent with Tanzania’s obligation under Article 28 of the CRC, which requires State parties </w:t>
      </w:r>
      <w:r w:rsidRPr="00E60E68">
        <w:rPr>
          <w:rFonts w:ascii="Times New Roman" w:eastAsia="Garamond" w:hAnsi="Times New Roman" w:cs="Times New Roman"/>
        </w:rPr>
        <w:t>to take measures to encourage regular attendance at schools and the reduce drop-out rates.</w:t>
      </w:r>
    </w:p>
    <w:p w14:paraId="3B7A275F" w14:textId="77777777" w:rsidR="00E60E68" w:rsidRPr="00E60E68" w:rsidRDefault="00E60E68" w:rsidP="00E60E68">
      <w:pPr>
        <w:pStyle w:val="ListParagraph"/>
        <w:numPr>
          <w:ilvl w:val="0"/>
          <w:numId w:val="2"/>
        </w:numPr>
        <w:spacing w:before="120" w:after="120" w:line="276" w:lineRule="auto"/>
        <w:jc w:val="both"/>
        <w:rPr>
          <w:rFonts w:ascii="Times New Roman" w:eastAsia="Garamond" w:hAnsi="Times New Roman" w:cs="Times New Roman"/>
          <w:color w:val="000000" w:themeColor="text1"/>
          <w:lang w:eastAsia="en-GB"/>
        </w:rPr>
      </w:pPr>
      <w:r w:rsidRPr="00E60E68">
        <w:rPr>
          <w:rFonts w:ascii="Times New Roman" w:eastAsia="Garamond" w:hAnsi="Times New Roman" w:cs="Times New Roman"/>
          <w:color w:val="000000" w:themeColor="text1"/>
        </w:rPr>
        <w:lastRenderedPageBreak/>
        <w:t>In June 2019, The Center and LHRC filed a case</w:t>
      </w:r>
      <w:r w:rsidRPr="00E60E68">
        <w:rPr>
          <w:rStyle w:val="FootnoteReference"/>
          <w:rFonts w:ascii="Times New Roman" w:eastAsia="Garamond" w:hAnsi="Times New Roman" w:cs="Times New Roman"/>
          <w:color w:val="000000" w:themeColor="text1"/>
        </w:rPr>
        <w:footnoteReference w:id="33"/>
      </w:r>
      <w:r w:rsidRPr="00E60E68">
        <w:rPr>
          <w:rFonts w:ascii="Times New Roman" w:eastAsia="Garamond" w:hAnsi="Times New Roman" w:cs="Times New Roman"/>
          <w:color w:val="000000" w:themeColor="text1"/>
        </w:rPr>
        <w:t xml:space="preserve"> before the African Committee of Experts on the Rights and Welfare of the Child (ACERWC) on behalf of six adolescent girls who were expelled from school for being pregnant, and in September 2022,  ACERWC issued its decision, finding that the practice of expelling pregnant students from school violated adolescent girls’ human rights, and recommended that Tanzania reform its </w:t>
      </w:r>
      <w:r w:rsidRPr="00E60E68">
        <w:rPr>
          <w:rFonts w:ascii="Times New Roman" w:eastAsia="Garamond" w:hAnsi="Times New Roman" w:cs="Times New Roman"/>
          <w:color w:val="000000" w:themeColor="text1"/>
          <w:lang w:eastAsia="en-GB"/>
        </w:rPr>
        <w:t>laws and policies.</w:t>
      </w:r>
      <w:r w:rsidRPr="00E60E68">
        <w:rPr>
          <w:rStyle w:val="FootnoteReference"/>
          <w:rFonts w:ascii="Times New Roman" w:eastAsia="Garamond" w:hAnsi="Times New Roman" w:cs="Times New Roman"/>
          <w:color w:val="000000" w:themeColor="text1"/>
          <w:lang w:eastAsia="en-GB"/>
        </w:rPr>
        <w:footnoteReference w:id="34"/>
      </w:r>
    </w:p>
    <w:p w14:paraId="58454D0A" w14:textId="77777777" w:rsidR="00E60E68" w:rsidRPr="00E60E68" w:rsidRDefault="00E60E68" w:rsidP="00E60E68">
      <w:pPr>
        <w:pStyle w:val="ListParagraph"/>
        <w:numPr>
          <w:ilvl w:val="0"/>
          <w:numId w:val="2"/>
        </w:numPr>
        <w:spacing w:before="120" w:after="120" w:line="276" w:lineRule="auto"/>
        <w:jc w:val="both"/>
        <w:rPr>
          <w:rStyle w:val="FootnoteReference"/>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While there have been efforts towards the implementation of the ACERWC decision, progress has been slow and inadequate,</w:t>
      </w:r>
      <w:r w:rsidRPr="00E60E68">
        <w:rPr>
          <w:rStyle w:val="FootnoteReference"/>
          <w:rFonts w:ascii="Times New Roman" w:eastAsia="Garamond" w:hAnsi="Times New Roman" w:cs="Times New Roman"/>
          <w:color w:val="000000" w:themeColor="text1"/>
        </w:rPr>
        <w:footnoteReference w:id="35"/>
      </w:r>
      <w:r w:rsidRPr="00E60E68">
        <w:rPr>
          <w:rFonts w:ascii="Times New Roman" w:eastAsia="Garamond" w:hAnsi="Times New Roman" w:cs="Times New Roman"/>
          <w:color w:val="000000" w:themeColor="text1"/>
        </w:rPr>
        <w:t xml:space="preserve"> in particular:</w:t>
      </w:r>
    </w:p>
    <w:p w14:paraId="75A95730" w14:textId="77777777" w:rsidR="00E60E68" w:rsidRPr="00E60E68" w:rsidRDefault="00E60E68" w:rsidP="00E60E68">
      <w:pPr>
        <w:pStyle w:val="ListParagraph"/>
        <w:numPr>
          <w:ilvl w:val="1"/>
          <w:numId w:val="2"/>
        </w:numPr>
        <w:spacing w:before="120" w:after="120" w:line="276" w:lineRule="auto"/>
        <w:jc w:val="both"/>
        <w:rPr>
          <w:rFonts w:ascii="Times New Roman" w:eastAsia="Garamond" w:hAnsi="Times New Roman" w:cs="Times New Roman"/>
        </w:rPr>
      </w:pPr>
      <w:r w:rsidRPr="00E60E68">
        <w:rPr>
          <w:rFonts w:ascii="Times New Roman" w:eastAsia="Garamond" w:hAnsi="Times New Roman" w:cs="Times New Roman"/>
          <w:color w:val="000000" w:themeColor="text1"/>
        </w:rPr>
        <w:t>Tanzania is yet to develop and publicize any policy or guidelines prohibiting mandatory pregnancy testing in schools and health facilities.</w:t>
      </w:r>
    </w:p>
    <w:p w14:paraId="7C82D57A" w14:textId="77777777" w:rsidR="00E60E68" w:rsidRPr="00E60E68" w:rsidRDefault="00E60E68" w:rsidP="00E60E68">
      <w:pPr>
        <w:pStyle w:val="ListParagraph"/>
        <w:numPr>
          <w:ilvl w:val="1"/>
          <w:numId w:val="2"/>
        </w:numPr>
        <w:spacing w:before="120" w:after="12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Tanzania is yet to finalize the amendment of the Education Act</w:t>
      </w:r>
      <w:r w:rsidRPr="00E60E68">
        <w:rPr>
          <w:rStyle w:val="FootnoteReference"/>
          <w:rFonts w:ascii="Times New Roman" w:eastAsia="Garamond" w:hAnsi="Times New Roman" w:cs="Times New Roman"/>
          <w:color w:val="000000" w:themeColor="text1"/>
        </w:rPr>
        <w:footnoteReference w:id="36"/>
      </w:r>
      <w:r w:rsidRPr="00E60E68">
        <w:rPr>
          <w:rFonts w:ascii="Times New Roman" w:eastAsia="Garamond" w:hAnsi="Times New Roman" w:cs="Times New Roman"/>
          <w:color w:val="000000" w:themeColor="text1"/>
        </w:rPr>
        <w:t xml:space="preserve"> and review the Education (Expulsion and Exclusion of Pupils from School) Regulations, 2002</w:t>
      </w:r>
      <w:r w:rsidRPr="00E60E68">
        <w:rPr>
          <w:rStyle w:val="FootnoteReference"/>
          <w:rFonts w:ascii="Times New Roman" w:eastAsia="Garamond" w:hAnsi="Times New Roman" w:cs="Times New Roman"/>
          <w:color w:val="000000" w:themeColor="text1"/>
        </w:rPr>
        <w:footnoteReference w:id="37"/>
      </w:r>
      <w:r w:rsidRPr="00E60E68">
        <w:rPr>
          <w:rFonts w:ascii="Times New Roman" w:eastAsia="Garamond" w:hAnsi="Times New Roman" w:cs="Times New Roman"/>
          <w:color w:val="000000" w:themeColor="text1"/>
        </w:rPr>
        <w:t xml:space="preserve">  to ensure a clear, binding and explicit prohibition mandatory pregnancy testing in schools and health facilities and explicitly provide </w:t>
      </w:r>
      <w:r w:rsidRPr="00E60E68">
        <w:rPr>
          <w:rFonts w:ascii="Times New Roman" w:eastAsia="Garamond" w:hAnsi="Times New Roman" w:cs="Times New Roman"/>
        </w:rPr>
        <w:t>that pregnant and married girls have the right to re-entry without restrictions or delays.</w:t>
      </w:r>
    </w:p>
    <w:p w14:paraId="4244B211" w14:textId="77777777" w:rsidR="00E60E68" w:rsidRPr="00E60E68" w:rsidRDefault="00E60E68" w:rsidP="00E60E68">
      <w:pPr>
        <w:pStyle w:val="ListParagraph"/>
        <w:numPr>
          <w:ilvl w:val="1"/>
          <w:numId w:val="2"/>
        </w:numPr>
        <w:spacing w:before="120" w:after="12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The re-entry guidelines, 2022 often restrict immediate return to school for pregnant girls, requiring a two-year waiting period post-delivery. Further the Re-entry Guidelines are inconsistently applied, with some girls unable to re-enroll due to stigma, lack of awareness, or misinterpretation of guidelines.</w:t>
      </w:r>
      <w:r w:rsidRPr="00E60E68">
        <w:rPr>
          <w:rStyle w:val="FootnoteReference"/>
          <w:rFonts w:ascii="Times New Roman" w:eastAsia="Garamond" w:hAnsi="Times New Roman" w:cs="Times New Roman"/>
          <w:color w:val="000000" w:themeColor="text1"/>
        </w:rPr>
        <w:footnoteReference w:id="38"/>
      </w:r>
      <w:r w:rsidRPr="00E60E68">
        <w:rPr>
          <w:rFonts w:ascii="Times New Roman" w:eastAsia="Garamond" w:hAnsi="Times New Roman" w:cs="Times New Roman"/>
          <w:color w:val="000000" w:themeColor="text1"/>
        </w:rPr>
        <w:t xml:space="preserve"> Tanzania is also yet to put in place adequate measures to address stigma and discrimination to support for re-entering students.</w:t>
      </w:r>
    </w:p>
    <w:p w14:paraId="606FFCAF" w14:textId="77777777" w:rsidR="00E60E68" w:rsidRPr="00E60E68" w:rsidRDefault="00E60E68" w:rsidP="00E60E68">
      <w:pPr>
        <w:spacing w:before="120" w:after="120" w:line="276" w:lineRule="auto"/>
        <w:jc w:val="both"/>
        <w:rPr>
          <w:rFonts w:ascii="Times New Roman" w:eastAsia="Garamond" w:hAnsi="Times New Roman" w:cs="Times New Roman"/>
          <w:b/>
          <w:bCs/>
          <w:color w:val="002060"/>
        </w:rPr>
      </w:pPr>
      <w:r w:rsidRPr="00E60E68">
        <w:rPr>
          <w:rFonts w:ascii="Times New Roman" w:eastAsia="Garamond" w:hAnsi="Times New Roman" w:cs="Times New Roman"/>
          <w:b/>
          <w:bCs/>
          <w:color w:val="002060"/>
        </w:rPr>
        <w:t>Proposed List of Issues</w:t>
      </w:r>
    </w:p>
    <w:p w14:paraId="433D9C7E" w14:textId="77777777" w:rsidR="00E60E68" w:rsidRPr="00E60E68" w:rsidRDefault="00E60E68" w:rsidP="00E60E68">
      <w:p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rPr>
        <w:t xml:space="preserve">The Center and LHRC respectfully urges the Committee to </w:t>
      </w:r>
      <w:r w:rsidRPr="00E60E68">
        <w:rPr>
          <w:rFonts w:ascii="Times New Roman" w:eastAsia="Garamond" w:hAnsi="Times New Roman" w:cs="Times New Roman"/>
          <w:color w:val="000000" w:themeColor="text1"/>
        </w:rPr>
        <w:t>consider asking the Government of Tanzania to provide further information on the following list of issues:</w:t>
      </w:r>
    </w:p>
    <w:p w14:paraId="2DA95C3A" w14:textId="77777777" w:rsidR="00E60E68" w:rsidRPr="00E60E68" w:rsidRDefault="00E60E68" w:rsidP="00E60E68">
      <w:pPr>
        <w:pStyle w:val="ListParagraph"/>
        <w:numPr>
          <w:ilvl w:val="0"/>
          <w:numId w:val="4"/>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The legislative, administrative, budgetary, programmatic and other measures being taken to ensure:</w:t>
      </w:r>
    </w:p>
    <w:p w14:paraId="5543D75D" w14:textId="77777777" w:rsidR="00E60E68" w:rsidRPr="00E60E68" w:rsidRDefault="00E60E68" w:rsidP="00E60E68">
      <w:pPr>
        <w:pStyle w:val="ListParagraph"/>
        <w:numPr>
          <w:ilvl w:val="0"/>
          <w:numId w:val="3"/>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lastRenderedPageBreak/>
        <w:t>That adolescents have access to accurate, timely CSE education and information and non-judgmental and adolescent friendly sexual and reproductive health services including contraception in line with the ACERWC decision.</w:t>
      </w:r>
      <w:r w:rsidRPr="00E60E68">
        <w:rPr>
          <w:rStyle w:val="FootnoteReference"/>
          <w:rFonts w:ascii="Times New Roman" w:eastAsia="Garamond" w:hAnsi="Times New Roman" w:cs="Times New Roman"/>
          <w:color w:val="000000" w:themeColor="text1"/>
        </w:rPr>
        <w:footnoteReference w:id="39"/>
      </w:r>
      <w:r w:rsidRPr="00E60E68">
        <w:rPr>
          <w:rFonts w:ascii="Times New Roman" w:eastAsia="Garamond" w:hAnsi="Times New Roman" w:cs="Times New Roman"/>
          <w:color w:val="000000" w:themeColor="text1"/>
        </w:rPr>
        <w:t xml:space="preserve"> </w:t>
      </w:r>
    </w:p>
    <w:p w14:paraId="26A9F0C4" w14:textId="77777777" w:rsidR="00E60E68" w:rsidRPr="00E60E68" w:rsidRDefault="00E60E68" w:rsidP="00E60E68">
      <w:pPr>
        <w:pStyle w:val="ListParagraph"/>
        <w:numPr>
          <w:ilvl w:val="0"/>
          <w:numId w:val="3"/>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Availability and accessibility of maternal health services including emergency obstetric care for adolescent girls, including adolescent girls from rural areas and low-income backgrounds</w:t>
      </w:r>
    </w:p>
    <w:p w14:paraId="60864AD8" w14:textId="77777777" w:rsidR="00E60E68" w:rsidRPr="00E60E68" w:rsidRDefault="00E60E68" w:rsidP="00E60E68">
      <w:pPr>
        <w:pStyle w:val="ListParagraph"/>
        <w:numPr>
          <w:ilvl w:val="0"/>
          <w:numId w:val="3"/>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Decriminalize access to safe abortion.</w:t>
      </w:r>
    </w:p>
    <w:p w14:paraId="1AF230CA" w14:textId="77777777" w:rsidR="00E60E68" w:rsidRPr="00E60E68" w:rsidRDefault="00E60E68" w:rsidP="00E60E68">
      <w:pPr>
        <w:pStyle w:val="ListParagraph"/>
        <w:numPr>
          <w:ilvl w:val="0"/>
          <w:numId w:val="3"/>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Ensure access to safe abortion care for adolescent girls to address deaths and injuries amongst adolescent girls arising out of unsafe abortion.</w:t>
      </w:r>
    </w:p>
    <w:p w14:paraId="58467392" w14:textId="77777777" w:rsidR="00E60E68" w:rsidRPr="00E60E68" w:rsidRDefault="00E60E68" w:rsidP="00E60E68">
      <w:pPr>
        <w:pStyle w:val="ListParagraph"/>
        <w:numPr>
          <w:ilvl w:val="0"/>
          <w:numId w:val="3"/>
        </w:numPr>
        <w:spacing w:after="0" w:line="276" w:lineRule="auto"/>
        <w:jc w:val="both"/>
        <w:rPr>
          <w:rFonts w:ascii="Times New Roman" w:eastAsia="Garamond" w:hAnsi="Times New Roman" w:cs="Times New Roman"/>
          <w:color w:val="000000" w:themeColor="text1"/>
        </w:rPr>
      </w:pPr>
      <w:r w:rsidRPr="00E60E68">
        <w:rPr>
          <w:rFonts w:ascii="Times New Roman" w:eastAsia="Garamond" w:hAnsi="Times New Roman" w:cs="Times New Roman"/>
          <w:color w:val="000000" w:themeColor="text1"/>
        </w:rPr>
        <w:t>To ensure that pregnant learners and teen mothers are adequality supported to continue with their education in line with the ACERWC decision.</w:t>
      </w:r>
      <w:r w:rsidRPr="00E60E68">
        <w:rPr>
          <w:rStyle w:val="FootnoteReference"/>
          <w:rFonts w:ascii="Times New Roman" w:eastAsia="Garamond" w:hAnsi="Times New Roman" w:cs="Times New Roman"/>
          <w:color w:val="000000" w:themeColor="text1"/>
        </w:rPr>
        <w:footnoteReference w:id="40"/>
      </w:r>
    </w:p>
    <w:p w14:paraId="682FAE20" w14:textId="77777777" w:rsidR="00E60E68" w:rsidRPr="00E60E68" w:rsidRDefault="00E60E68" w:rsidP="00E60E68">
      <w:pPr>
        <w:spacing w:line="276" w:lineRule="auto"/>
        <w:jc w:val="both"/>
        <w:rPr>
          <w:rFonts w:ascii="Times New Roman" w:hAnsi="Times New Roman" w:cs="Times New Roman"/>
        </w:rPr>
      </w:pPr>
    </w:p>
    <w:sectPr w:rsidR="00E60E68" w:rsidRPr="00E60E6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2379A" w14:textId="77777777" w:rsidR="00794226" w:rsidRDefault="00794226" w:rsidP="00E60E68">
      <w:pPr>
        <w:spacing w:after="0" w:line="240" w:lineRule="auto"/>
      </w:pPr>
      <w:r>
        <w:separator/>
      </w:r>
    </w:p>
  </w:endnote>
  <w:endnote w:type="continuationSeparator" w:id="0">
    <w:p w14:paraId="6988A8B6" w14:textId="77777777" w:rsidR="00794226" w:rsidRDefault="00794226" w:rsidP="00E6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94562" w14:textId="77777777" w:rsidR="00794226" w:rsidRDefault="00794226" w:rsidP="00E60E68">
      <w:pPr>
        <w:spacing w:after="0" w:line="240" w:lineRule="auto"/>
      </w:pPr>
      <w:r>
        <w:separator/>
      </w:r>
    </w:p>
  </w:footnote>
  <w:footnote w:type="continuationSeparator" w:id="0">
    <w:p w14:paraId="4C09D2DA" w14:textId="77777777" w:rsidR="00794226" w:rsidRDefault="00794226" w:rsidP="00E60E68">
      <w:pPr>
        <w:spacing w:after="0" w:line="240" w:lineRule="auto"/>
      </w:pPr>
      <w:r>
        <w:continuationSeparator/>
      </w:r>
    </w:p>
  </w:footnote>
  <w:footnote w:id="1">
    <w:p w14:paraId="437B129A"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Ministry of Health, Community Development, Gender, Elderly and Children, “National Adolescent Health and Development Strategy 2018 – 2022” </w:t>
      </w:r>
      <w:hyperlink r:id="rId1">
        <w:r w:rsidRPr="00E60E68">
          <w:rPr>
            <w:rStyle w:val="Hyperlink"/>
            <w:rFonts w:ascii="Times New Roman" w:hAnsi="Times New Roman" w:cs="Times New Roman"/>
            <w:sz w:val="22"/>
            <w:szCs w:val="22"/>
          </w:rPr>
          <w:t>https://scorecard.prb.org/wp-content/uploads/2019/06/020518_Adolescent-and-Development-Strategy-Tanzania_vF.pdf</w:t>
        </w:r>
      </w:hyperlink>
      <w:r w:rsidRPr="00E60E68">
        <w:rPr>
          <w:rFonts w:ascii="Times New Roman" w:hAnsi="Times New Roman" w:cs="Times New Roman"/>
          <w:sz w:val="22"/>
          <w:szCs w:val="22"/>
        </w:rPr>
        <w:t xml:space="preserve"> </w:t>
      </w:r>
    </w:p>
  </w:footnote>
  <w:footnote w:id="2">
    <w:p w14:paraId="6385693F"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w:t>
      </w:r>
      <w:r w:rsidRPr="00E60E68">
        <w:rPr>
          <w:rFonts w:ascii="Times New Roman" w:eastAsia="Aptos" w:hAnsi="Times New Roman" w:cs="Times New Roman"/>
          <w:sz w:val="22"/>
          <w:szCs w:val="22"/>
          <w:lang w:val="en-GB"/>
        </w:rPr>
        <w:t xml:space="preserve">Sixth periodic report submitted under article 44 of the Convention on the Rights of the Child on 6 September 2022. Paragraph 148. </w:t>
      </w:r>
    </w:p>
  </w:footnote>
  <w:footnote w:id="3">
    <w:p w14:paraId="102384C9" w14:textId="77777777" w:rsidR="00E60E68" w:rsidRPr="00E60E68" w:rsidRDefault="00E60E68" w:rsidP="00E60E68">
      <w:pPr>
        <w:pStyle w:val="FootnoteText"/>
        <w:jc w:val="both"/>
        <w:rPr>
          <w:rFonts w:ascii="Times New Roman" w:eastAsia="Aptos" w:hAnsi="Times New Roman" w:cs="Times New Roman"/>
          <w:sz w:val="22"/>
          <w:szCs w:val="22"/>
          <w:lang w:val="en-GB"/>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Ibid. </w:t>
      </w:r>
      <w:r w:rsidRPr="00E60E68">
        <w:rPr>
          <w:rFonts w:ascii="Times New Roman" w:eastAsia="Aptos" w:hAnsi="Times New Roman" w:cs="Times New Roman"/>
          <w:sz w:val="22"/>
          <w:szCs w:val="22"/>
          <w:lang w:val="en-GB"/>
        </w:rPr>
        <w:t>Paragraph 148.</w:t>
      </w:r>
    </w:p>
  </w:footnote>
  <w:footnote w:id="4">
    <w:p w14:paraId="3DA9BFE7"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Tanzania National Bureau of Statistics (NBS) and ICF, Tanzania Demographic and Health Survey and Malaria Indicator Survey (TDHS-MIS) 2022, Dar es Salaam, Tanzania: NBS and ICF, 2023 144-145 available at </w:t>
      </w:r>
      <w:hyperlink r:id="rId2" w:history="1">
        <w:r w:rsidRPr="00E60E68">
          <w:rPr>
            <w:rStyle w:val="Hyperlink"/>
            <w:rFonts w:ascii="Times New Roman" w:hAnsi="Times New Roman" w:cs="Times New Roman"/>
            <w:sz w:val="22"/>
            <w:szCs w:val="22"/>
          </w:rPr>
          <w:t>https://dhsprogram.com/pubs/pdf/FR382/FR382.pdf</w:t>
        </w:r>
      </w:hyperlink>
      <w:r w:rsidRPr="00E60E68">
        <w:rPr>
          <w:rFonts w:ascii="Times New Roman" w:hAnsi="Times New Roman" w:cs="Times New Roman"/>
          <w:sz w:val="22"/>
          <w:szCs w:val="22"/>
        </w:rPr>
        <w:t xml:space="preserve"> </w:t>
      </w:r>
    </w:p>
  </w:footnote>
  <w:footnote w:id="5">
    <w:p w14:paraId="49BDB8F6"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These include the National Policy on Disability (2004); Law of the Child Act (2009); National Strategy on Inclusive Education (2009-2017) and new National Strategy on Inclusive Education (2018-2021); Persons with Disability Act (2010); Education and Training Policy (2014); Education Sector Development Plan (2016/2017 - 2020/2021); second Five-Year Development Plan (2016/2017 - 2020/2025); and proposed revised capitation grant allocation formula by Ministry of Education, Science and Technology (MoEST ) and PO-RALG, Nov/Dec 2017.</w:t>
      </w:r>
    </w:p>
  </w:footnote>
  <w:footnote w:id="6">
    <w:p w14:paraId="0E6D9308" w14:textId="77777777" w:rsidR="00E60E68" w:rsidRPr="00E60E68" w:rsidRDefault="00E60E68" w:rsidP="00E60E68">
      <w:pPr>
        <w:pStyle w:val="ListParagraph"/>
        <w:spacing w:before="120" w:after="0" w:line="240" w:lineRule="auto"/>
        <w:ind w:left="180" w:hanging="180"/>
        <w:jc w:val="both"/>
        <w:rPr>
          <w:rFonts w:ascii="Times New Roman" w:eastAsia="Garamond" w:hAnsi="Times New Roman" w:cs="Times New Roman"/>
          <w:sz w:val="22"/>
          <w:szCs w:val="22"/>
        </w:rPr>
      </w:pPr>
      <w:r w:rsidRPr="00E60E68">
        <w:rPr>
          <w:rStyle w:val="FootnoteReference"/>
          <w:rFonts w:ascii="Times New Roman" w:eastAsia="Garamond" w:hAnsi="Times New Roman" w:cs="Times New Roman"/>
          <w:sz w:val="22"/>
          <w:szCs w:val="22"/>
        </w:rPr>
        <w:footnoteRef/>
      </w:r>
      <w:r w:rsidRPr="00E60E68">
        <w:rPr>
          <w:rFonts w:ascii="Times New Roman" w:eastAsia="Garamond" w:hAnsi="Times New Roman" w:cs="Times New Roman"/>
          <w:sz w:val="22"/>
          <w:szCs w:val="22"/>
        </w:rPr>
        <w:t xml:space="preserve"> UNESCO Comprehensive sexuality education (CSE) country profiles, Tanzania, 2023 available at </w:t>
      </w:r>
      <w:hyperlink r:id="rId3">
        <w:r w:rsidRPr="00E60E68">
          <w:rPr>
            <w:rStyle w:val="Hyperlink"/>
            <w:rFonts w:ascii="Times New Roman" w:eastAsia="Garamond" w:hAnsi="Times New Roman" w:cs="Times New Roman"/>
            <w:sz w:val="22"/>
            <w:szCs w:val="22"/>
          </w:rPr>
          <w:t>https://education-profiles.org/sub-saharan-africa/united-republic-of-tanzania/~comprehensive-sexuality-education</w:t>
        </w:r>
      </w:hyperlink>
    </w:p>
  </w:footnote>
  <w:footnote w:id="7">
    <w:p w14:paraId="1CAE5ACC" w14:textId="77777777" w:rsidR="00E60E68" w:rsidRPr="00E60E68" w:rsidRDefault="00E60E68" w:rsidP="00E60E68">
      <w:pPr>
        <w:pStyle w:val="ListParagraph"/>
        <w:spacing w:before="120" w:after="0" w:line="240" w:lineRule="auto"/>
        <w:ind w:left="180" w:hanging="180"/>
        <w:jc w:val="both"/>
        <w:rPr>
          <w:rFonts w:ascii="Times New Roman" w:eastAsia="Garamond" w:hAnsi="Times New Roman" w:cs="Times New Roman"/>
          <w:sz w:val="22"/>
          <w:szCs w:val="22"/>
        </w:rPr>
      </w:pPr>
      <w:r w:rsidRPr="00E60E68">
        <w:rPr>
          <w:rStyle w:val="FootnoteReference"/>
          <w:rFonts w:ascii="Times New Roman" w:eastAsia="Garamond" w:hAnsi="Times New Roman" w:cs="Times New Roman"/>
          <w:sz w:val="22"/>
          <w:szCs w:val="22"/>
        </w:rPr>
        <w:footnoteRef/>
      </w:r>
      <w:r w:rsidRPr="00E60E68">
        <w:rPr>
          <w:rFonts w:ascii="Times New Roman" w:eastAsia="Garamond" w:hAnsi="Times New Roman" w:cs="Times New Roman"/>
          <w:sz w:val="22"/>
          <w:szCs w:val="22"/>
          <w:lang w:val="es-ES"/>
        </w:rPr>
        <w:t xml:space="preserve"> Ngissa, Ng’wamba &amp; Sanga, Erica &amp; Nsanya, Mussa &amp; Kweka, Belinda &amp; Malindisa, Evangelista &amp; Mwaipopo, Rosemarie. </w:t>
      </w:r>
      <w:r w:rsidRPr="00E60E68">
        <w:rPr>
          <w:rFonts w:ascii="Times New Roman" w:eastAsia="Garamond" w:hAnsi="Times New Roman" w:cs="Times New Roman"/>
          <w:sz w:val="22"/>
          <w:szCs w:val="22"/>
        </w:rPr>
        <w:t xml:space="preserve">(2024). Curriculum-based sexual and reproductive health education: revealing its relevance for risky sexual behaviors among secondary school students in Mwanza, Tanzania. Reproductive Health. Available at </w:t>
      </w:r>
      <w:hyperlink r:id="rId4">
        <w:r w:rsidRPr="00E60E68">
          <w:rPr>
            <w:rStyle w:val="Hyperlink"/>
            <w:rFonts w:ascii="Times New Roman" w:eastAsia="Garamond" w:hAnsi="Times New Roman" w:cs="Times New Roman"/>
            <w:sz w:val="22"/>
            <w:szCs w:val="22"/>
          </w:rPr>
          <w:t>https://www.researchgate.net/publication/380182359_Curriculum-based_sexual_and_reproductive_health_education_revealing_its_relevance_for_risky_sexual_behaviors_among_secondary_school_students_in_Mwanza_Tanzania</w:t>
        </w:r>
      </w:hyperlink>
    </w:p>
  </w:footnote>
  <w:footnote w:id="8">
    <w:p w14:paraId="67DE031F" w14:textId="77777777" w:rsidR="00E60E68" w:rsidRPr="00E60E68" w:rsidRDefault="00E60E68" w:rsidP="00E60E68">
      <w:pPr>
        <w:pStyle w:val="FootnoteText"/>
        <w:jc w:val="both"/>
        <w:rPr>
          <w:rFonts w:ascii="Times New Roman" w:hAnsi="Times New Roman" w:cs="Times New Roman"/>
          <w:color w:val="000000" w:themeColor="text1"/>
          <w:sz w:val="22"/>
          <w:szCs w:val="22"/>
        </w:rPr>
      </w:pPr>
      <w:r w:rsidRPr="00E60E68">
        <w:rPr>
          <w:rStyle w:val="FootnoteReference"/>
          <w:rFonts w:ascii="Times New Roman" w:hAnsi="Times New Roman" w:cs="Times New Roman"/>
          <w:color w:val="000000" w:themeColor="text1"/>
          <w:sz w:val="22"/>
          <w:szCs w:val="22"/>
        </w:rPr>
        <w:footnoteRef/>
      </w:r>
      <w:r w:rsidRPr="00E60E68">
        <w:rPr>
          <w:rFonts w:ascii="Times New Roman" w:hAnsi="Times New Roman" w:cs="Times New Roman"/>
          <w:color w:val="000000" w:themeColor="text1"/>
          <w:sz w:val="22"/>
          <w:szCs w:val="22"/>
        </w:rPr>
        <w:t xml:space="preserve"> Testimony from Local NGO, Case Study: Lack of Access to Skilled Birth Attendance, Dar es Salaam: Local NGO, 2023.</w:t>
      </w:r>
    </w:p>
  </w:footnote>
  <w:footnote w:id="9">
    <w:p w14:paraId="21CC9F1A"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150</w:t>
      </w:r>
    </w:p>
  </w:footnote>
  <w:footnote w:id="10">
    <w:p w14:paraId="420073F9" w14:textId="77777777" w:rsidR="00E60E68" w:rsidRPr="00E60E68" w:rsidRDefault="00E60E68" w:rsidP="00E60E68">
      <w:pPr>
        <w:pStyle w:val="ListParagraph"/>
        <w:spacing w:before="120" w:after="0" w:line="240" w:lineRule="auto"/>
        <w:ind w:left="0"/>
        <w:jc w:val="both"/>
        <w:rPr>
          <w:rFonts w:ascii="Times New Roman" w:eastAsia="Garamond" w:hAnsi="Times New Roman" w:cs="Times New Roman"/>
          <w:sz w:val="22"/>
          <w:szCs w:val="22"/>
        </w:rPr>
      </w:pPr>
      <w:r w:rsidRPr="00E60E68">
        <w:rPr>
          <w:rStyle w:val="FootnoteReference"/>
          <w:rFonts w:ascii="Times New Roman" w:eastAsia="Garamond" w:hAnsi="Times New Roman" w:cs="Times New Roman"/>
          <w:sz w:val="22"/>
          <w:szCs w:val="22"/>
        </w:rPr>
        <w:footnoteRef/>
      </w:r>
      <w:r w:rsidRPr="00E60E68">
        <w:rPr>
          <w:rFonts w:ascii="Times New Roman" w:eastAsia="Garamond" w:hAnsi="Times New Roman" w:cs="Times New Roman"/>
          <w:sz w:val="22"/>
          <w:szCs w:val="22"/>
        </w:rPr>
        <w:t xml:space="preserve"> The United Republic of Tanzania, “Demographic and Health Survey and Malaria Indicator Survey 2022: Key Indicators Report” 2023. </w:t>
      </w:r>
      <w:hyperlink r:id="rId5">
        <w:r w:rsidRPr="00E60E68">
          <w:rPr>
            <w:rStyle w:val="Hyperlink"/>
            <w:rFonts w:ascii="Times New Roman" w:eastAsia="Garamond" w:hAnsi="Times New Roman" w:cs="Times New Roman"/>
            <w:sz w:val="22"/>
            <w:szCs w:val="22"/>
          </w:rPr>
          <w:t>https://dhsprogram.com/pubs/pdf/PR144/PPR144.pdf</w:t>
        </w:r>
      </w:hyperlink>
    </w:p>
  </w:footnote>
  <w:footnote w:id="11">
    <w:p w14:paraId="266DF4E5"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151.</w:t>
      </w:r>
    </w:p>
  </w:footnote>
  <w:footnote w:id="12">
    <w:p w14:paraId="5E33F84C" w14:textId="5BE3504B" w:rsidR="00E60E68" w:rsidRPr="00E60E68" w:rsidRDefault="00E60E68" w:rsidP="00E60E68">
      <w:pPr>
        <w:pStyle w:val="ListParagraph"/>
        <w:spacing w:before="120" w:after="0" w:line="240" w:lineRule="auto"/>
        <w:ind w:left="270" w:hanging="270"/>
        <w:jc w:val="both"/>
        <w:rPr>
          <w:rFonts w:ascii="Times New Roman" w:eastAsia="Garamond" w:hAnsi="Times New Roman" w:cs="Times New Roman"/>
          <w:color w:val="000000" w:themeColor="text1"/>
          <w:sz w:val="22"/>
          <w:szCs w:val="22"/>
          <w:vertAlign w:val="superscript"/>
          <w:lang w:eastAsia="en-GB"/>
        </w:rPr>
      </w:pPr>
      <w:r w:rsidRPr="00E60E68">
        <w:rPr>
          <w:rStyle w:val="FootnoteReference"/>
          <w:rFonts w:ascii="Times New Roman" w:eastAsia="Garamond" w:hAnsi="Times New Roman" w:cs="Times New Roman"/>
          <w:color w:val="000000" w:themeColor="text1"/>
          <w:sz w:val="22"/>
          <w:szCs w:val="22"/>
        </w:rPr>
        <w:footnoteRef/>
      </w:r>
      <w:r w:rsidRPr="00E60E68">
        <w:rPr>
          <w:rFonts w:ascii="Times New Roman" w:eastAsia="Garamond" w:hAnsi="Times New Roman" w:cs="Times New Roman"/>
          <w:color w:val="000000" w:themeColor="text1"/>
          <w:sz w:val="22"/>
          <w:szCs w:val="22"/>
        </w:rPr>
        <w:t xml:space="preserve"> Bwalya, K., et al., Geographic Barriers to Maternal Healthcare, Dar es Salaam: Tanzania Journal of Geography, 2018.</w:t>
      </w:r>
      <w:r w:rsidRPr="00E60E68">
        <w:rPr>
          <w:rFonts w:ascii="Times New Roman" w:eastAsia="Garamond" w:hAnsi="Times New Roman" w:cs="Times New Roman"/>
          <w:color w:val="000000" w:themeColor="text1"/>
          <w:sz w:val="22"/>
          <w:szCs w:val="22"/>
          <w:lang w:eastAsia="en-GB"/>
        </w:rPr>
        <w:t xml:space="preserve"> This study highlights factors such as poverty, long distances to healthcare</w:t>
      </w:r>
      <w:r w:rsidRPr="00E60E68">
        <w:rPr>
          <w:rFonts w:ascii="Times New Roman" w:eastAsia="Garamond" w:hAnsi="Times New Roman" w:cs="Times New Roman"/>
          <w:b/>
          <w:bCs/>
          <w:color w:val="000000" w:themeColor="text1"/>
          <w:sz w:val="22"/>
          <w:szCs w:val="22"/>
          <w:lang w:eastAsia="en-GB"/>
        </w:rPr>
        <w:t xml:space="preserve"> </w:t>
      </w:r>
      <w:r w:rsidRPr="00E60E68">
        <w:rPr>
          <w:rFonts w:ascii="Times New Roman" w:eastAsia="Garamond" w:hAnsi="Times New Roman" w:cs="Times New Roman"/>
          <w:color w:val="000000" w:themeColor="text1"/>
          <w:sz w:val="22"/>
          <w:szCs w:val="22"/>
          <w:lang w:eastAsia="en-GB"/>
        </w:rPr>
        <w:t>facilities and lack of transportation as significant barriers to accessing maternal healthcare for adolescent mothers.</w:t>
      </w:r>
      <w:r>
        <w:rPr>
          <w:rFonts w:ascii="Times New Roman" w:eastAsia="Garamond" w:hAnsi="Times New Roman" w:cs="Times New Roman"/>
          <w:color w:val="000000" w:themeColor="text1"/>
          <w:sz w:val="22"/>
          <w:szCs w:val="22"/>
          <w:lang w:eastAsia="en-GB"/>
        </w:rPr>
        <w:t xml:space="preserve"> </w:t>
      </w:r>
      <w:r w:rsidRPr="00E60E68">
        <w:rPr>
          <w:rFonts w:ascii="Times New Roman" w:eastAsia="Garamond" w:hAnsi="Times New Roman" w:cs="Times New Roman"/>
          <w:color w:val="000000" w:themeColor="text1"/>
          <w:sz w:val="22"/>
          <w:szCs w:val="22"/>
          <w:lang w:eastAsia="en-GB"/>
        </w:rPr>
        <w:t xml:space="preserve">See also </w:t>
      </w:r>
      <w:r w:rsidRPr="00E60E68">
        <w:rPr>
          <w:rFonts w:ascii="Times New Roman" w:eastAsia="Garamond" w:hAnsi="Times New Roman" w:cs="Times New Roman"/>
          <w:color w:val="000000" w:themeColor="text1"/>
          <w:sz w:val="22"/>
          <w:szCs w:val="22"/>
        </w:rPr>
        <w:t>World Health Organization (WHO), Healthcare Infrastructure in Tanzania, Geneva: WHO, 2020.</w:t>
      </w:r>
    </w:p>
  </w:footnote>
  <w:footnote w:id="13">
    <w:p w14:paraId="69D44374" w14:textId="3A8C3001"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See the HIV and AIDS (Prevention and Control) Regulations, 2020. </w:t>
      </w:r>
      <w:hyperlink r:id="rId6">
        <w:r w:rsidRPr="00E60E68">
          <w:rPr>
            <w:rStyle w:val="Hyperlink"/>
            <w:rFonts w:ascii="Times New Roman" w:hAnsi="Times New Roman" w:cs="Times New Roman"/>
            <w:sz w:val="22"/>
            <w:szCs w:val="22"/>
          </w:rPr>
          <w:t>https://media.tanzlii.org/media/legislation/331941/source_file/48f2cd84d8e38cc8/tz-act-gn-2020-770-publication-document.pdf</w:t>
        </w:r>
      </w:hyperlink>
      <w:r w:rsidRPr="00E60E68">
        <w:rPr>
          <w:rFonts w:ascii="Times New Roman" w:hAnsi="Times New Roman" w:cs="Times New Roman"/>
          <w:sz w:val="22"/>
          <w:szCs w:val="22"/>
        </w:rPr>
        <w:t xml:space="preserve"> </w:t>
      </w:r>
    </w:p>
  </w:footnote>
  <w:footnote w:id="14">
    <w:p w14:paraId="0F2CB3E0" w14:textId="77777777" w:rsidR="00E60E68" w:rsidRPr="00E60E68" w:rsidRDefault="00E60E68" w:rsidP="00E60E68">
      <w:pPr>
        <w:pStyle w:val="FootnoteText"/>
        <w:jc w:val="both"/>
        <w:rPr>
          <w:rFonts w:ascii="Times New Roman" w:hAnsi="Times New Roman" w:cs="Times New Roman"/>
          <w:color w:val="000000" w:themeColor="text1"/>
          <w:sz w:val="22"/>
          <w:szCs w:val="22"/>
        </w:rPr>
      </w:pPr>
      <w:r w:rsidRPr="00E60E68">
        <w:rPr>
          <w:rStyle w:val="FootnoteReference"/>
          <w:rFonts w:ascii="Times New Roman" w:hAnsi="Times New Roman" w:cs="Times New Roman"/>
          <w:color w:val="000000" w:themeColor="text1"/>
          <w:sz w:val="22"/>
          <w:szCs w:val="22"/>
        </w:rPr>
        <w:footnoteRef/>
      </w:r>
      <w:r w:rsidRPr="00E60E68">
        <w:rPr>
          <w:rFonts w:ascii="Times New Roman" w:hAnsi="Times New Roman" w:cs="Times New Roman"/>
          <w:color w:val="000000" w:themeColor="text1"/>
          <w:sz w:val="22"/>
          <w:szCs w:val="22"/>
        </w:rPr>
        <w:t xml:space="preserve"> Center for Reproductive Rights. (2020).</w:t>
      </w:r>
      <w:r w:rsidRPr="00E60E68">
        <w:rPr>
          <w:rStyle w:val="apple-converted-space"/>
          <w:rFonts w:ascii="Times New Roman" w:hAnsi="Times New Roman" w:cs="Times New Roman"/>
          <w:color w:val="000000" w:themeColor="text1"/>
          <w:sz w:val="22"/>
          <w:szCs w:val="22"/>
        </w:rPr>
        <w:t> </w:t>
      </w:r>
      <w:r w:rsidRPr="00E60E68">
        <w:rPr>
          <w:rStyle w:val="Emphasis"/>
          <w:rFonts w:ascii="Times New Roman" w:hAnsi="Times New Roman" w:cs="Times New Roman"/>
          <w:color w:val="000000" w:themeColor="text1"/>
          <w:sz w:val="22"/>
          <w:szCs w:val="22"/>
        </w:rPr>
        <w:t>Barriers to Accessing Sexual and Reproductive Health Services in Tanzania</w:t>
      </w:r>
    </w:p>
  </w:footnote>
  <w:footnote w:id="15">
    <w:p w14:paraId="43971E69" w14:textId="04C574A5" w:rsidR="00E60E68" w:rsidRDefault="00E60E68">
      <w:pPr>
        <w:pStyle w:val="FootnoteText"/>
      </w:pPr>
      <w:r>
        <w:rPr>
          <w:rStyle w:val="FootnoteReference"/>
        </w:rPr>
        <w:footnoteRef/>
      </w:r>
      <w:r>
        <w:t xml:space="preserve"> </w:t>
      </w:r>
      <w:r w:rsidRPr="00E60E68">
        <w:t>UNFPA Tanzania, Adolescent-Friendly Healthcare Services, Dar es Salaam: UNFPA, 2021.</w:t>
      </w:r>
    </w:p>
  </w:footnote>
  <w:footnote w:id="16">
    <w:p w14:paraId="059EBB85"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Center for Reproductive Rights, ”Capacity and Consent: Empowering Adolescents to Exercise their Reproductive Rights,” 2017. </w:t>
      </w:r>
      <w:hyperlink r:id="rId7">
        <w:r w:rsidRPr="00E60E68">
          <w:rPr>
            <w:rStyle w:val="Hyperlink"/>
            <w:rFonts w:ascii="Times New Roman" w:hAnsi="Times New Roman" w:cs="Times New Roman"/>
            <w:sz w:val="22"/>
            <w:szCs w:val="22"/>
          </w:rPr>
          <w:t>https://www.reproductiverights.org/sites/crr.civicactions.net/files/documents/GA-Adolescents-FINAL.pdf</w:t>
        </w:r>
      </w:hyperlink>
      <w:r w:rsidRPr="00E60E68">
        <w:rPr>
          <w:rFonts w:ascii="Times New Roman" w:hAnsi="Times New Roman" w:cs="Times New Roman"/>
          <w:sz w:val="22"/>
          <w:szCs w:val="22"/>
        </w:rPr>
        <w:t xml:space="preserve"> </w:t>
      </w:r>
    </w:p>
  </w:footnote>
  <w:footnote w:id="17">
    <w:p w14:paraId="358C9D9B" w14:textId="77777777" w:rsidR="00E60E68" w:rsidRPr="00E60E68" w:rsidRDefault="00E60E68" w:rsidP="00E60E68">
      <w:pPr>
        <w:pStyle w:val="ListParagraph"/>
        <w:spacing w:before="120" w:after="0" w:line="240" w:lineRule="auto"/>
        <w:ind w:left="0"/>
        <w:jc w:val="both"/>
        <w:rPr>
          <w:rFonts w:ascii="Times New Roman" w:eastAsia="Garamond" w:hAnsi="Times New Roman" w:cs="Times New Roman"/>
          <w:color w:val="000000" w:themeColor="text1"/>
          <w:sz w:val="22"/>
          <w:szCs w:val="22"/>
        </w:rPr>
      </w:pPr>
      <w:r w:rsidRPr="00E60E68">
        <w:rPr>
          <w:rStyle w:val="FootnoteReference"/>
          <w:rFonts w:ascii="Times New Roman" w:eastAsia="Garamond" w:hAnsi="Times New Roman" w:cs="Times New Roman"/>
          <w:color w:val="000000" w:themeColor="text1"/>
          <w:sz w:val="22"/>
          <w:szCs w:val="22"/>
        </w:rPr>
        <w:footnoteRef/>
      </w:r>
      <w:r w:rsidRPr="00E60E68">
        <w:rPr>
          <w:rFonts w:ascii="Times New Roman" w:eastAsia="Garamond" w:hAnsi="Times New Roman" w:cs="Times New Roman"/>
          <w:color w:val="000000" w:themeColor="text1"/>
          <w:sz w:val="22"/>
          <w:szCs w:val="22"/>
        </w:rPr>
        <w:t xml:space="preserve"> UNFPA Tanzania, Adolescent Sexual and Reproductive Health in Tanzania, Dar es Salaam: UNFPA, 2021. </w:t>
      </w:r>
    </w:p>
    <w:p w14:paraId="6E87174D" w14:textId="77777777" w:rsidR="00E60E68" w:rsidRPr="00E60E68" w:rsidRDefault="00E60E68" w:rsidP="00E60E68">
      <w:pPr>
        <w:pStyle w:val="ListParagraph"/>
        <w:spacing w:before="120" w:after="0" w:line="240" w:lineRule="auto"/>
        <w:ind w:left="0"/>
        <w:jc w:val="both"/>
        <w:rPr>
          <w:rFonts w:ascii="Times New Roman" w:eastAsia="Garamond" w:hAnsi="Times New Roman" w:cs="Times New Roman"/>
          <w:color w:val="000000" w:themeColor="text1"/>
          <w:sz w:val="22"/>
          <w:szCs w:val="22"/>
        </w:rPr>
      </w:pPr>
      <w:r w:rsidRPr="00E60E68">
        <w:rPr>
          <w:rFonts w:ascii="Times New Roman" w:eastAsia="Garamond" w:hAnsi="Times New Roman" w:cs="Times New Roman"/>
          <w:color w:val="000000" w:themeColor="text1"/>
          <w:sz w:val="22"/>
          <w:szCs w:val="22"/>
        </w:rPr>
        <w:t>See also Atuyambe, L., et al., Barriers to Maternal Healthcare for Adolescents in Uganda, BMC Pregnancy and Childbirth, vol. 8, no. 1, 2008, pp. 1-10.</w:t>
      </w:r>
    </w:p>
  </w:footnote>
  <w:footnote w:id="18">
    <w:p w14:paraId="4F95D690"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Availability, Range and Utilization of Sexual and Reproductive Health (SRH) Services for Adolescents at Kinondoni Municipality, Dar es Salaam—Tanzania" written by Bupe Khalison Mwandali, Sia Emmanueli Msuya, Adela Abel Mwakanyamale, published by Open Journal of Nursing, Vol.10 No.3, 2020 available at </w:t>
      </w:r>
      <w:hyperlink r:id="rId8">
        <w:r w:rsidRPr="00E60E68">
          <w:rPr>
            <w:rStyle w:val="Hyperlink"/>
            <w:rFonts w:ascii="Times New Roman" w:hAnsi="Times New Roman" w:cs="Times New Roman"/>
            <w:sz w:val="22"/>
            <w:szCs w:val="22"/>
          </w:rPr>
          <w:t>https://www.scirp.org/journal/paperinformation?paperid=99170</w:t>
        </w:r>
      </w:hyperlink>
      <w:r w:rsidRPr="00E60E68">
        <w:rPr>
          <w:rFonts w:ascii="Times New Roman" w:hAnsi="Times New Roman" w:cs="Times New Roman"/>
          <w:sz w:val="22"/>
          <w:szCs w:val="22"/>
        </w:rPr>
        <w:t xml:space="preserve"> </w:t>
      </w:r>
    </w:p>
  </w:footnote>
  <w:footnote w:id="19">
    <w:p w14:paraId="42553A3D" w14:textId="77777777" w:rsidR="00E60E68" w:rsidRPr="00E60E68" w:rsidRDefault="00E60E68" w:rsidP="00E60E68">
      <w:pPr>
        <w:pStyle w:val="ListParagraph"/>
        <w:spacing w:before="120" w:after="0" w:line="240" w:lineRule="auto"/>
        <w:ind w:left="0"/>
        <w:jc w:val="both"/>
        <w:rPr>
          <w:rFonts w:ascii="Times New Roman" w:eastAsia="Garamond" w:hAnsi="Times New Roman" w:cs="Times New Roman"/>
          <w:sz w:val="22"/>
          <w:szCs w:val="22"/>
        </w:rPr>
      </w:pPr>
      <w:r w:rsidRPr="00E60E68">
        <w:rPr>
          <w:rStyle w:val="FootnoteReference"/>
          <w:rFonts w:ascii="Times New Roman" w:eastAsia="Garamond" w:hAnsi="Times New Roman" w:cs="Times New Roman"/>
          <w:sz w:val="22"/>
          <w:szCs w:val="22"/>
        </w:rPr>
        <w:footnoteRef/>
      </w:r>
      <w:r w:rsidRPr="00E60E68">
        <w:rPr>
          <w:rFonts w:ascii="Times New Roman" w:eastAsia="Garamond" w:hAnsi="Times New Roman" w:cs="Times New Roman"/>
          <w:sz w:val="22"/>
          <w:szCs w:val="22"/>
        </w:rPr>
        <w:t xml:space="preserve"> Guttmacher Institute, Tanzania country profile, 2022, </w:t>
      </w:r>
      <w:hyperlink r:id="rId9">
        <w:r w:rsidRPr="00E60E68">
          <w:rPr>
            <w:rStyle w:val="Hyperlink"/>
            <w:rFonts w:ascii="Times New Roman" w:eastAsia="Garamond" w:hAnsi="Times New Roman" w:cs="Times New Roman"/>
            <w:sz w:val="22"/>
            <w:szCs w:val="22"/>
          </w:rPr>
          <w:t>https://www.guttmacher.org/regions/africa/united-republic-tanzania</w:t>
        </w:r>
      </w:hyperlink>
      <w:r w:rsidRPr="00E60E68">
        <w:rPr>
          <w:rFonts w:ascii="Times New Roman" w:eastAsia="Garamond" w:hAnsi="Times New Roman" w:cs="Times New Roman"/>
          <w:sz w:val="22"/>
          <w:szCs w:val="22"/>
        </w:rPr>
        <w:t xml:space="preserve">. </w:t>
      </w:r>
    </w:p>
  </w:footnote>
  <w:footnote w:id="20">
    <w:p w14:paraId="5AA80D86" w14:textId="77777777"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148.</w:t>
      </w:r>
    </w:p>
  </w:footnote>
  <w:footnote w:id="21">
    <w:p w14:paraId="7C1BC5F0" w14:textId="77777777"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141.</w:t>
      </w:r>
    </w:p>
  </w:footnote>
  <w:footnote w:id="22">
    <w:p w14:paraId="2B1F34E9" w14:textId="5CD5AAB9"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w:t>
      </w:r>
      <w:r w:rsidRPr="00E60E68">
        <w:rPr>
          <w:rFonts w:ascii="Times New Roman" w:eastAsia="Aptos" w:hAnsi="Times New Roman" w:cs="Times New Roman"/>
          <w:sz w:val="22"/>
          <w:szCs w:val="22"/>
        </w:rPr>
        <w:t xml:space="preserve">Keogh SC, Kimaro G, Muganyizi P, Philbin J, Kahwa A, Ngadaya E, et al. (2015) Incidence of Induced Abortion and Post-Abortion Care in Tanzania. available at  </w:t>
      </w:r>
      <w:hyperlink r:id="rId10">
        <w:r w:rsidRPr="00E60E68">
          <w:rPr>
            <w:rStyle w:val="Hyperlink"/>
            <w:rFonts w:ascii="Times New Roman" w:eastAsia="Aptos" w:hAnsi="Times New Roman" w:cs="Times New Roman"/>
            <w:sz w:val="22"/>
            <w:szCs w:val="22"/>
          </w:rPr>
          <w:t>https://doi.org/10.1371/journal.pone.0133933</w:t>
        </w:r>
      </w:hyperlink>
    </w:p>
  </w:footnote>
  <w:footnote w:id="23">
    <w:p w14:paraId="673D9B85"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Also see World Health Organization. "Preventing Unsafe Abortion." World Health Organization, 2020, </w:t>
      </w:r>
      <w:hyperlink r:id="rId11">
        <w:r w:rsidRPr="00E60E68">
          <w:rPr>
            <w:rStyle w:val="Hyperlink"/>
            <w:rFonts w:ascii="Times New Roman" w:hAnsi="Times New Roman" w:cs="Times New Roman"/>
            <w:sz w:val="22"/>
            <w:szCs w:val="22"/>
          </w:rPr>
          <w:t>https://www.who.int/news-room/fact-sheets/detail/preventing-unsafe-abortion</w:t>
        </w:r>
      </w:hyperlink>
      <w:r w:rsidRPr="00E60E68">
        <w:rPr>
          <w:rFonts w:ascii="Times New Roman" w:hAnsi="Times New Roman" w:cs="Times New Roman"/>
          <w:sz w:val="22"/>
          <w:szCs w:val="22"/>
        </w:rPr>
        <w:t>.</w:t>
      </w:r>
    </w:p>
  </w:footnote>
  <w:footnote w:id="24">
    <w:p w14:paraId="41842518"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Penal Code, Chapter 16 of the Laws Principal Legislation [Revised Edition of 2002], Sections 150-152, 219 and 230</w:t>
      </w:r>
    </w:p>
  </w:footnote>
  <w:footnote w:id="25">
    <w:p w14:paraId="058FD327"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Protocol to the African Charter on Human and Peoples' Rights on the Rights of Women in Africa, 2007</w:t>
      </w:r>
    </w:p>
  </w:footnote>
  <w:footnote w:id="26">
    <w:p w14:paraId="79A432F1"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Article 14 (2) ( c). Including in cases of rape, incest or if the pregnancy endangers the woman’s life, mental or physical health or the life of the fetus</w:t>
      </w:r>
    </w:p>
  </w:footnote>
  <w:footnote w:id="27">
    <w:p w14:paraId="2B433519" w14:textId="77777777"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129.</w:t>
      </w:r>
    </w:p>
  </w:footnote>
  <w:footnote w:id="28">
    <w:p w14:paraId="4C58C923" w14:textId="77777777" w:rsidR="00E60E68" w:rsidRPr="00E60E68" w:rsidRDefault="00E60E68" w:rsidP="00E60E68">
      <w:pPr>
        <w:pStyle w:val="ListParagraph"/>
        <w:tabs>
          <w:tab w:val="left" w:pos="0"/>
        </w:tabs>
        <w:spacing w:before="120" w:after="0" w:line="240" w:lineRule="auto"/>
        <w:ind w:left="0"/>
        <w:jc w:val="both"/>
        <w:rPr>
          <w:rFonts w:ascii="Times New Roman" w:eastAsia="Garamond" w:hAnsi="Times New Roman" w:cs="Times New Roman"/>
          <w:color w:val="000000" w:themeColor="text1"/>
          <w:sz w:val="22"/>
          <w:szCs w:val="22"/>
        </w:rPr>
      </w:pPr>
      <w:r w:rsidRPr="00E60E68">
        <w:rPr>
          <w:rStyle w:val="FootnoteReference"/>
          <w:rFonts w:ascii="Times New Roman" w:eastAsia="Garamond" w:hAnsi="Times New Roman" w:cs="Times New Roman"/>
          <w:color w:val="000000" w:themeColor="text1"/>
          <w:sz w:val="22"/>
          <w:szCs w:val="22"/>
        </w:rPr>
        <w:footnoteRef/>
      </w:r>
      <w:r w:rsidRPr="00E60E68">
        <w:rPr>
          <w:rFonts w:ascii="Times New Roman" w:eastAsia="Garamond" w:hAnsi="Times New Roman" w:cs="Times New Roman"/>
          <w:color w:val="000000" w:themeColor="text1"/>
          <w:sz w:val="22"/>
          <w:szCs w:val="22"/>
        </w:rPr>
        <w:t xml:space="preserve"> Center for Reproductive Rights, Adolescents’ Rights to SRHR Services in Tanzania, New York: CRR, 2020.</w:t>
      </w:r>
    </w:p>
  </w:footnote>
  <w:footnote w:id="29">
    <w:p w14:paraId="05292161" w14:textId="77777777" w:rsidR="00E60E68" w:rsidRPr="00E60E68" w:rsidRDefault="00E60E68" w:rsidP="00E60E68">
      <w:pPr>
        <w:pStyle w:val="FootnoteText"/>
        <w:jc w:val="both"/>
        <w:rPr>
          <w:rFonts w:ascii="Times New Roman" w:hAnsi="Times New Roman" w:cs="Times New Roman"/>
          <w:color w:val="000000" w:themeColor="text1"/>
          <w:sz w:val="22"/>
          <w:szCs w:val="22"/>
        </w:rPr>
      </w:pPr>
      <w:r w:rsidRPr="00E60E68">
        <w:rPr>
          <w:rStyle w:val="FootnoteReference"/>
          <w:rFonts w:ascii="Times New Roman" w:hAnsi="Times New Roman" w:cs="Times New Roman"/>
          <w:color w:val="000000" w:themeColor="text1"/>
          <w:sz w:val="22"/>
          <w:szCs w:val="22"/>
        </w:rPr>
        <w:footnoteRef/>
      </w:r>
      <w:r w:rsidRPr="00E60E68">
        <w:rPr>
          <w:rFonts w:ascii="Times New Roman" w:hAnsi="Times New Roman" w:cs="Times New Roman"/>
          <w:color w:val="000000" w:themeColor="text1"/>
          <w:sz w:val="22"/>
          <w:szCs w:val="22"/>
        </w:rPr>
        <w:t xml:space="preserve"> Bwalya, K., et al., Geographic Barriers to Maternal Healthcare, Dar es Salaam: Tanzania Journal of Geography, 2018.</w:t>
      </w:r>
    </w:p>
  </w:footnote>
  <w:footnote w:id="30">
    <w:p w14:paraId="15F23BAA"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“Demographic and Health Survey and Malaria Indicator Survey 2022: Key Indicators Report” 2023. p. 24 </w:t>
      </w:r>
      <w:hyperlink r:id="rId12">
        <w:r w:rsidRPr="00E60E68">
          <w:rPr>
            <w:rStyle w:val="Hyperlink"/>
            <w:rFonts w:ascii="Times New Roman" w:hAnsi="Times New Roman" w:cs="Times New Roman"/>
            <w:sz w:val="22"/>
            <w:szCs w:val="22"/>
          </w:rPr>
          <w:t>https://dhsprogram.com/pubs/pdf/PR144/PPR144.pdf</w:t>
        </w:r>
      </w:hyperlink>
    </w:p>
  </w:footnote>
  <w:footnote w:id="31">
    <w:p w14:paraId="08E7AFCB" w14:textId="77777777" w:rsidR="00E60E68" w:rsidRPr="00E60E68" w:rsidRDefault="00E60E68" w:rsidP="00E60E68">
      <w:pPr>
        <w:pStyle w:val="FootnoteText"/>
        <w:jc w:val="both"/>
        <w:rPr>
          <w:rFonts w:ascii="Times New Roman" w:hAnsi="Times New Roman" w:cs="Times New Roman"/>
          <w:color w:val="000000" w:themeColor="text1"/>
          <w:sz w:val="22"/>
          <w:szCs w:val="22"/>
        </w:rPr>
      </w:pPr>
      <w:r w:rsidRPr="00E60E68">
        <w:rPr>
          <w:rStyle w:val="FootnoteReference"/>
          <w:rFonts w:ascii="Times New Roman" w:hAnsi="Times New Roman" w:cs="Times New Roman"/>
          <w:color w:val="000000" w:themeColor="text1"/>
          <w:sz w:val="22"/>
          <w:szCs w:val="22"/>
        </w:rPr>
        <w:footnoteRef/>
      </w:r>
      <w:r w:rsidRPr="00E60E68">
        <w:rPr>
          <w:rFonts w:ascii="Times New Roman" w:hAnsi="Times New Roman" w:cs="Times New Roman"/>
          <w:color w:val="000000" w:themeColor="text1"/>
          <w:sz w:val="22"/>
          <w:szCs w:val="22"/>
        </w:rPr>
        <w:t xml:space="preserve"> Parvin, R., &amp; Rana, S., Knowledge of Obstetric Danger Signs Among Adolescent Mothers, Bangkok: Thai Journal of Public Health, 2022.</w:t>
      </w:r>
    </w:p>
  </w:footnote>
  <w:footnote w:id="32">
    <w:p w14:paraId="3B4FB9B7" w14:textId="77777777"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The United Republic of Tanzania, sixth periodic report submitted under article 44 of the Convention on the Rights of the Child on 6 September 2022. Paragraph 56</w:t>
      </w:r>
    </w:p>
  </w:footnote>
  <w:footnote w:id="33">
    <w:p w14:paraId="7C947971" w14:textId="77777777" w:rsidR="00E60E68" w:rsidRPr="00E60E68" w:rsidRDefault="00E60E68" w:rsidP="00E60E68">
      <w:pPr>
        <w:pStyle w:val="FootnoteText"/>
        <w:jc w:val="both"/>
        <w:rPr>
          <w:rFonts w:ascii="Times New Roman" w:eastAsia="Aptos"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Legal and Human Rights Centre and Centre for Reproductive Rights (on behalf of Tanzanian girls) v United Republic of Tanzania </w:t>
      </w:r>
      <w:r w:rsidRPr="00E60E68">
        <w:rPr>
          <w:rFonts w:ascii="Times New Roman" w:eastAsia="Aptos" w:hAnsi="Times New Roman" w:cs="Times New Roman"/>
          <w:sz w:val="22"/>
          <w:szCs w:val="22"/>
        </w:rPr>
        <w:t>(Communication No. 0012/Com/001/2019)</w:t>
      </w:r>
    </w:p>
  </w:footnote>
  <w:footnote w:id="34">
    <w:p w14:paraId="1CC29311" w14:textId="4101AEB1"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African Committee of Experts on the Rights and Welfare of the Child available at </w:t>
      </w:r>
      <w:hyperlink r:id="rId13">
        <w:r w:rsidRPr="00E60E68">
          <w:rPr>
            <w:rStyle w:val="Hyperlink"/>
            <w:rFonts w:ascii="Times New Roman" w:hAnsi="Times New Roman" w:cs="Times New Roman"/>
            <w:sz w:val="22"/>
            <w:szCs w:val="22"/>
          </w:rPr>
          <w:t>https://www.acerwc.africa/sites/default/files/2022-10/ACERWC%20Decision%20final%20Communication%20No-%200012Com0012019.Tanzania.pdf</w:t>
        </w:r>
      </w:hyperlink>
    </w:p>
  </w:footnote>
  <w:footnote w:id="35">
    <w:p w14:paraId="6F90BF00" w14:textId="77777777" w:rsidR="00E60E68" w:rsidRPr="00E60E68" w:rsidRDefault="00E60E68" w:rsidP="00E60E68">
      <w:pPr>
        <w:pStyle w:val="FootnoteText"/>
        <w:jc w:val="both"/>
        <w:rPr>
          <w:rFonts w:ascii="Times New Roman" w:hAnsi="Times New Roman" w:cs="Times New Roman"/>
          <w:color w:val="000000" w:themeColor="text1"/>
          <w:sz w:val="22"/>
          <w:szCs w:val="22"/>
        </w:rPr>
      </w:pPr>
      <w:r w:rsidRPr="00E60E68">
        <w:rPr>
          <w:rStyle w:val="FootnoteReference"/>
          <w:rFonts w:ascii="Times New Roman" w:hAnsi="Times New Roman" w:cs="Times New Roman"/>
          <w:color w:val="000000" w:themeColor="text1"/>
          <w:sz w:val="22"/>
          <w:szCs w:val="22"/>
        </w:rPr>
        <w:footnoteRef/>
      </w:r>
      <w:r w:rsidRPr="00E60E68">
        <w:rPr>
          <w:rFonts w:ascii="Times New Roman" w:hAnsi="Times New Roman" w:cs="Times New Roman"/>
          <w:color w:val="000000" w:themeColor="text1"/>
          <w:sz w:val="22"/>
          <w:szCs w:val="22"/>
        </w:rPr>
        <w:t xml:space="preserve"> Report of Implementation Hearing on Communication No 0012/ Com/001/2019 Legal and Human Rights Centre and Centre for Reproductive Rights (on behalf of Tanzanian girls) v United Republic of Tanzania</w:t>
      </w:r>
    </w:p>
  </w:footnote>
  <w:footnote w:id="36">
    <w:p w14:paraId="1EFC5C50"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Cap 353</w:t>
      </w:r>
    </w:p>
  </w:footnote>
  <w:footnote w:id="37">
    <w:p w14:paraId="526E1F89"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G.N. No. 295 of 2002</w:t>
      </w:r>
    </w:p>
  </w:footnote>
  <w:footnote w:id="38">
    <w:p w14:paraId="65BCA6A1"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Haki Elimu, EXPERIENCE AND PRACTICES: Reintegration of Teenage Mothers into Formal Secondary Schools in Tanzania, 2024 available at </w:t>
      </w:r>
      <w:hyperlink r:id="rId14">
        <w:r w:rsidRPr="00E60E68">
          <w:rPr>
            <w:rStyle w:val="Hyperlink"/>
            <w:rFonts w:ascii="Times New Roman" w:hAnsi="Times New Roman" w:cs="Times New Roman"/>
            <w:sz w:val="22"/>
            <w:szCs w:val="22"/>
          </w:rPr>
          <w:t>https://www.hakielimu.or.tz/publications/research-reports.html</w:t>
        </w:r>
      </w:hyperlink>
    </w:p>
  </w:footnote>
  <w:footnote w:id="39">
    <w:p w14:paraId="115162DB" w14:textId="77777777" w:rsidR="00E60E68" w:rsidRPr="00E60E68" w:rsidRDefault="00E60E68" w:rsidP="00E60E68">
      <w:pPr>
        <w:pStyle w:val="FootnoteText"/>
        <w:jc w:val="both"/>
        <w:rPr>
          <w:rFonts w:ascii="Times New Roman" w:hAnsi="Times New Roman" w:cs="Times New Roman"/>
          <w:sz w:val="22"/>
          <w:szCs w:val="22"/>
        </w:rPr>
      </w:pPr>
      <w:r w:rsidRPr="00E60E68">
        <w:rPr>
          <w:rStyle w:val="FootnoteReference"/>
          <w:rFonts w:ascii="Times New Roman" w:hAnsi="Times New Roman" w:cs="Times New Roman"/>
          <w:sz w:val="22"/>
          <w:szCs w:val="22"/>
        </w:rPr>
        <w:footnoteRef/>
      </w:r>
      <w:r w:rsidRPr="00E60E68">
        <w:rPr>
          <w:rFonts w:ascii="Times New Roman" w:hAnsi="Times New Roman" w:cs="Times New Roman"/>
          <w:sz w:val="22"/>
          <w:szCs w:val="22"/>
        </w:rPr>
        <w:t xml:space="preserve"> Decision No 002/2022 </w:t>
      </w:r>
      <w:hyperlink r:id="rId15">
        <w:r w:rsidRPr="00E60E68">
          <w:rPr>
            <w:rStyle w:val="Hyperlink"/>
            <w:rFonts w:ascii="Times New Roman" w:hAnsi="Times New Roman" w:cs="Times New Roman"/>
            <w:sz w:val="22"/>
            <w:szCs w:val="22"/>
          </w:rPr>
          <w:t>https://www.acerwc.africa/sites/default/files/2022-10/ACERWC%20Decision%20final%20Communication%20No-%200012Com0012019.Tanzania.pdf</w:t>
        </w:r>
      </w:hyperlink>
      <w:r w:rsidRPr="00E60E68">
        <w:rPr>
          <w:rFonts w:ascii="Times New Roman" w:hAnsi="Times New Roman" w:cs="Times New Roman"/>
          <w:sz w:val="22"/>
          <w:szCs w:val="22"/>
        </w:rPr>
        <w:t xml:space="preserve"> </w:t>
      </w:r>
    </w:p>
  </w:footnote>
  <w:footnote w:id="40">
    <w:p w14:paraId="7A4A2267" w14:textId="77777777" w:rsidR="00E60E68" w:rsidRDefault="00E60E68" w:rsidP="00E60E68">
      <w:pPr>
        <w:spacing w:after="0" w:line="240" w:lineRule="auto"/>
        <w:ind w:left="720"/>
        <w:jc w:val="both"/>
        <w:rPr>
          <w:rFonts w:ascii="Garamond" w:eastAsia="Garamond" w:hAnsi="Garamond" w:cs="Garamond"/>
        </w:rPr>
      </w:pPr>
      <w:r w:rsidRPr="00E60E68">
        <w:rPr>
          <w:rStyle w:val="FootnoteReference"/>
          <w:rFonts w:ascii="Times New Roman" w:eastAsia="Garamond" w:hAnsi="Times New Roman" w:cs="Times New Roman"/>
          <w:sz w:val="22"/>
          <w:szCs w:val="22"/>
        </w:rPr>
        <w:footnoteRef/>
      </w:r>
      <w:r w:rsidRPr="00E60E68">
        <w:rPr>
          <w:rStyle w:val="FootnoteReference"/>
          <w:rFonts w:ascii="Times New Roman" w:eastAsia="Garamond" w:hAnsi="Times New Roman" w:cs="Times New Roman"/>
          <w:sz w:val="22"/>
          <w:szCs w:val="22"/>
        </w:rPr>
        <w:t>Communication No: 0012/Com/001/2019 .</w:t>
      </w:r>
      <w:r w:rsidRPr="7C5C8D84">
        <w:rPr>
          <w:rFonts w:ascii="Garamond" w:eastAsia="Garamond" w:hAnsi="Garamond" w:cs="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E75FC" w14:textId="1BFA7F21" w:rsidR="008C7F54" w:rsidRDefault="008C7F54">
    <w:pPr>
      <w:pStyle w:val="Header"/>
    </w:pPr>
    <w:r>
      <w:rPr>
        <w:noProof/>
      </w:rPr>
      <w:drawing>
        <wp:inline distT="0" distB="0" distL="0" distR="0" wp14:anchorId="094CF2DC" wp14:editId="680D8A15">
          <wp:extent cx="1315316" cy="590550"/>
          <wp:effectExtent l="0" t="0" r="9525" b="0"/>
          <wp:docPr id="196833227" name="Picture 5"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315316" cy="590550"/>
                  </a:xfrm>
                  <a:prstGeom prst="rect">
                    <a:avLst/>
                  </a:prstGeom>
                </pic:spPr>
              </pic:pic>
            </a:graphicData>
          </a:graphic>
        </wp:inline>
      </w:drawing>
    </w:r>
    <w:r w:rsidR="00EA23C2">
      <w:t xml:space="preserve"> </w:t>
    </w:r>
    <w:r w:rsidR="00EA23C2">
      <w:tab/>
    </w:r>
    <w:r w:rsidR="00EA23C2">
      <w:tab/>
    </w:r>
    <w:r w:rsidR="00EA23C2">
      <w:rPr>
        <w:noProof/>
      </w:rPr>
      <w:drawing>
        <wp:inline distT="0" distB="0" distL="0" distR="0" wp14:anchorId="3F548F33" wp14:editId="1C6D361C">
          <wp:extent cx="857250" cy="857250"/>
          <wp:effectExtent l="0" t="0" r="0" b="0"/>
          <wp:docPr id="1229571364" name="Picture 1229571364" descr="A logo with blue text and a couple of people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71364" name="Picture 1229571364" descr="A logo with blue text and a couple of people and a chil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6AC95"/>
    <w:multiLevelType w:val="hybridMultilevel"/>
    <w:tmpl w:val="FFFFFFFF"/>
    <w:lvl w:ilvl="0" w:tplc="1B5E2AE4">
      <w:start w:val="1"/>
      <w:numFmt w:val="upperRoman"/>
      <w:lvlText w:val="%1."/>
      <w:lvlJc w:val="left"/>
      <w:pPr>
        <w:ind w:left="720" w:hanging="360"/>
      </w:pPr>
    </w:lvl>
    <w:lvl w:ilvl="1" w:tplc="F5F0923C">
      <w:start w:val="1"/>
      <w:numFmt w:val="lowerLetter"/>
      <w:lvlText w:val="%2."/>
      <w:lvlJc w:val="left"/>
      <w:pPr>
        <w:ind w:left="1440" w:hanging="360"/>
      </w:pPr>
    </w:lvl>
    <w:lvl w:ilvl="2" w:tplc="A0CC59C4">
      <w:start w:val="1"/>
      <w:numFmt w:val="lowerRoman"/>
      <w:lvlText w:val="%3."/>
      <w:lvlJc w:val="right"/>
      <w:pPr>
        <w:ind w:left="2160" w:hanging="180"/>
      </w:pPr>
    </w:lvl>
    <w:lvl w:ilvl="3" w:tplc="31EED692">
      <w:start w:val="1"/>
      <w:numFmt w:val="decimal"/>
      <w:lvlText w:val="%4."/>
      <w:lvlJc w:val="left"/>
      <w:pPr>
        <w:ind w:left="2880" w:hanging="360"/>
      </w:pPr>
    </w:lvl>
    <w:lvl w:ilvl="4" w:tplc="5C905852">
      <w:start w:val="1"/>
      <w:numFmt w:val="lowerLetter"/>
      <w:lvlText w:val="%5."/>
      <w:lvlJc w:val="left"/>
      <w:pPr>
        <w:ind w:left="3600" w:hanging="360"/>
      </w:pPr>
    </w:lvl>
    <w:lvl w:ilvl="5" w:tplc="D3C23A7E">
      <w:start w:val="1"/>
      <w:numFmt w:val="lowerRoman"/>
      <w:lvlText w:val="%6."/>
      <w:lvlJc w:val="right"/>
      <w:pPr>
        <w:ind w:left="4320" w:hanging="180"/>
      </w:pPr>
    </w:lvl>
    <w:lvl w:ilvl="6" w:tplc="6910F0A6">
      <w:start w:val="1"/>
      <w:numFmt w:val="decimal"/>
      <w:lvlText w:val="%7."/>
      <w:lvlJc w:val="left"/>
      <w:pPr>
        <w:ind w:left="5040" w:hanging="360"/>
      </w:pPr>
    </w:lvl>
    <w:lvl w:ilvl="7" w:tplc="AB32343E">
      <w:start w:val="1"/>
      <w:numFmt w:val="lowerLetter"/>
      <w:lvlText w:val="%8."/>
      <w:lvlJc w:val="left"/>
      <w:pPr>
        <w:ind w:left="5760" w:hanging="360"/>
      </w:pPr>
    </w:lvl>
    <w:lvl w:ilvl="8" w:tplc="9D72A56E">
      <w:start w:val="1"/>
      <w:numFmt w:val="lowerRoman"/>
      <w:lvlText w:val="%9."/>
      <w:lvlJc w:val="right"/>
      <w:pPr>
        <w:ind w:left="6480" w:hanging="180"/>
      </w:pPr>
    </w:lvl>
  </w:abstractNum>
  <w:abstractNum w:abstractNumId="1" w15:restartNumberingAfterBreak="0">
    <w:nsid w:val="340552DB"/>
    <w:multiLevelType w:val="hybridMultilevel"/>
    <w:tmpl w:val="8730E6AE"/>
    <w:lvl w:ilvl="0" w:tplc="F4BA2102">
      <w:start w:val="1"/>
      <w:numFmt w:val="decimal"/>
      <w:lvlText w:val="%1."/>
      <w:lvlJc w:val="left"/>
      <w:pPr>
        <w:ind w:left="720" w:hanging="360"/>
      </w:pPr>
    </w:lvl>
    <w:lvl w:ilvl="1" w:tplc="AD12F9A4">
      <w:start w:val="1"/>
      <w:numFmt w:val="lowerLetter"/>
      <w:lvlText w:val="%2."/>
      <w:lvlJc w:val="left"/>
      <w:pPr>
        <w:ind w:left="1440" w:hanging="360"/>
      </w:pPr>
    </w:lvl>
    <w:lvl w:ilvl="2" w:tplc="942615D4">
      <w:start w:val="1"/>
      <w:numFmt w:val="lowerRoman"/>
      <w:lvlText w:val="%3."/>
      <w:lvlJc w:val="right"/>
      <w:pPr>
        <w:ind w:left="2160" w:hanging="180"/>
      </w:pPr>
    </w:lvl>
    <w:lvl w:ilvl="3" w:tplc="C980A6C6">
      <w:start w:val="1"/>
      <w:numFmt w:val="decimal"/>
      <w:lvlText w:val="%4."/>
      <w:lvlJc w:val="left"/>
      <w:pPr>
        <w:ind w:left="2880" w:hanging="360"/>
      </w:pPr>
    </w:lvl>
    <w:lvl w:ilvl="4" w:tplc="6DC8FBF2">
      <w:start w:val="1"/>
      <w:numFmt w:val="lowerLetter"/>
      <w:lvlText w:val="%5."/>
      <w:lvlJc w:val="left"/>
      <w:pPr>
        <w:ind w:left="3600" w:hanging="360"/>
      </w:pPr>
    </w:lvl>
    <w:lvl w:ilvl="5" w:tplc="32DC8710">
      <w:start w:val="1"/>
      <w:numFmt w:val="lowerRoman"/>
      <w:lvlText w:val="%6."/>
      <w:lvlJc w:val="right"/>
      <w:pPr>
        <w:ind w:left="4320" w:hanging="180"/>
      </w:pPr>
    </w:lvl>
    <w:lvl w:ilvl="6" w:tplc="178EF462">
      <w:start w:val="1"/>
      <w:numFmt w:val="decimal"/>
      <w:lvlText w:val="%7."/>
      <w:lvlJc w:val="left"/>
      <w:pPr>
        <w:ind w:left="5040" w:hanging="360"/>
      </w:pPr>
    </w:lvl>
    <w:lvl w:ilvl="7" w:tplc="0D3866B2">
      <w:start w:val="1"/>
      <w:numFmt w:val="lowerLetter"/>
      <w:lvlText w:val="%8."/>
      <w:lvlJc w:val="left"/>
      <w:pPr>
        <w:ind w:left="5760" w:hanging="360"/>
      </w:pPr>
    </w:lvl>
    <w:lvl w:ilvl="8" w:tplc="229AD516">
      <w:start w:val="1"/>
      <w:numFmt w:val="lowerRoman"/>
      <w:lvlText w:val="%9."/>
      <w:lvlJc w:val="right"/>
      <w:pPr>
        <w:ind w:left="6480" w:hanging="180"/>
      </w:pPr>
    </w:lvl>
  </w:abstractNum>
  <w:abstractNum w:abstractNumId="2" w15:restartNumberingAfterBreak="0">
    <w:nsid w:val="3E0E0D70"/>
    <w:multiLevelType w:val="hybridMultilevel"/>
    <w:tmpl w:val="FFFFFFFF"/>
    <w:lvl w:ilvl="0" w:tplc="2FD44B22">
      <w:start w:val="1"/>
      <w:numFmt w:val="lowerRoman"/>
      <w:lvlText w:val="%1."/>
      <w:lvlJc w:val="left"/>
      <w:pPr>
        <w:ind w:left="1800" w:hanging="360"/>
      </w:pPr>
    </w:lvl>
    <w:lvl w:ilvl="1" w:tplc="AE687C7A">
      <w:start w:val="1"/>
      <w:numFmt w:val="lowerLetter"/>
      <w:lvlText w:val="%2."/>
      <w:lvlJc w:val="left"/>
      <w:pPr>
        <w:ind w:left="2520" w:hanging="360"/>
      </w:pPr>
    </w:lvl>
    <w:lvl w:ilvl="2" w:tplc="D5BC17CC">
      <w:start w:val="1"/>
      <w:numFmt w:val="lowerRoman"/>
      <w:lvlText w:val="%3."/>
      <w:lvlJc w:val="right"/>
      <w:pPr>
        <w:ind w:left="3240" w:hanging="180"/>
      </w:pPr>
    </w:lvl>
    <w:lvl w:ilvl="3" w:tplc="35F67BE4">
      <w:start w:val="1"/>
      <w:numFmt w:val="decimal"/>
      <w:lvlText w:val="%4."/>
      <w:lvlJc w:val="left"/>
      <w:pPr>
        <w:ind w:left="3960" w:hanging="360"/>
      </w:pPr>
    </w:lvl>
    <w:lvl w:ilvl="4" w:tplc="6356490C">
      <w:start w:val="1"/>
      <w:numFmt w:val="lowerLetter"/>
      <w:lvlText w:val="%5."/>
      <w:lvlJc w:val="left"/>
      <w:pPr>
        <w:ind w:left="4680" w:hanging="360"/>
      </w:pPr>
    </w:lvl>
    <w:lvl w:ilvl="5" w:tplc="DCB4921C">
      <w:start w:val="1"/>
      <w:numFmt w:val="lowerRoman"/>
      <w:lvlText w:val="%6."/>
      <w:lvlJc w:val="right"/>
      <w:pPr>
        <w:ind w:left="5400" w:hanging="180"/>
      </w:pPr>
    </w:lvl>
    <w:lvl w:ilvl="6" w:tplc="B4360F22">
      <w:start w:val="1"/>
      <w:numFmt w:val="decimal"/>
      <w:lvlText w:val="%7."/>
      <w:lvlJc w:val="left"/>
      <w:pPr>
        <w:ind w:left="6120" w:hanging="360"/>
      </w:pPr>
    </w:lvl>
    <w:lvl w:ilvl="7" w:tplc="C9F67DC2">
      <w:start w:val="1"/>
      <w:numFmt w:val="lowerLetter"/>
      <w:lvlText w:val="%8."/>
      <w:lvlJc w:val="left"/>
      <w:pPr>
        <w:ind w:left="6840" w:hanging="360"/>
      </w:pPr>
    </w:lvl>
    <w:lvl w:ilvl="8" w:tplc="22C2E894">
      <w:start w:val="1"/>
      <w:numFmt w:val="lowerRoman"/>
      <w:lvlText w:val="%9."/>
      <w:lvlJc w:val="right"/>
      <w:pPr>
        <w:ind w:left="7560" w:hanging="180"/>
      </w:pPr>
    </w:lvl>
  </w:abstractNum>
  <w:abstractNum w:abstractNumId="3" w15:restartNumberingAfterBreak="0">
    <w:nsid w:val="4E042E86"/>
    <w:multiLevelType w:val="hybridMultilevel"/>
    <w:tmpl w:val="FFFFFFFF"/>
    <w:lvl w:ilvl="0" w:tplc="7AAEE5B8">
      <w:start w:val="1"/>
      <w:numFmt w:val="lowerLetter"/>
      <w:lvlText w:val="%1."/>
      <w:lvlJc w:val="left"/>
      <w:pPr>
        <w:ind w:left="720" w:hanging="360"/>
      </w:pPr>
    </w:lvl>
    <w:lvl w:ilvl="1" w:tplc="7C52E612">
      <w:start w:val="1"/>
      <w:numFmt w:val="lowerLetter"/>
      <w:lvlText w:val="%2."/>
      <w:lvlJc w:val="left"/>
      <w:pPr>
        <w:ind w:left="1440" w:hanging="360"/>
      </w:pPr>
    </w:lvl>
    <w:lvl w:ilvl="2" w:tplc="D0C0D290">
      <w:start w:val="1"/>
      <w:numFmt w:val="lowerRoman"/>
      <w:lvlText w:val="%3."/>
      <w:lvlJc w:val="right"/>
      <w:pPr>
        <w:ind w:left="2160" w:hanging="180"/>
      </w:pPr>
    </w:lvl>
    <w:lvl w:ilvl="3" w:tplc="88D84A0E">
      <w:start w:val="1"/>
      <w:numFmt w:val="decimal"/>
      <w:lvlText w:val="%4."/>
      <w:lvlJc w:val="left"/>
      <w:pPr>
        <w:ind w:left="2880" w:hanging="360"/>
      </w:pPr>
    </w:lvl>
    <w:lvl w:ilvl="4" w:tplc="7CDEE5C8">
      <w:start w:val="1"/>
      <w:numFmt w:val="lowerLetter"/>
      <w:lvlText w:val="%5."/>
      <w:lvlJc w:val="left"/>
      <w:pPr>
        <w:ind w:left="3600" w:hanging="360"/>
      </w:pPr>
    </w:lvl>
    <w:lvl w:ilvl="5" w:tplc="B6B4A5B4">
      <w:start w:val="1"/>
      <w:numFmt w:val="lowerRoman"/>
      <w:lvlText w:val="%6."/>
      <w:lvlJc w:val="right"/>
      <w:pPr>
        <w:ind w:left="4320" w:hanging="180"/>
      </w:pPr>
    </w:lvl>
    <w:lvl w:ilvl="6" w:tplc="78E0CBC0">
      <w:start w:val="1"/>
      <w:numFmt w:val="decimal"/>
      <w:lvlText w:val="%7."/>
      <w:lvlJc w:val="left"/>
      <w:pPr>
        <w:ind w:left="5040" w:hanging="360"/>
      </w:pPr>
    </w:lvl>
    <w:lvl w:ilvl="7" w:tplc="36E8E554">
      <w:start w:val="1"/>
      <w:numFmt w:val="lowerLetter"/>
      <w:lvlText w:val="%8."/>
      <w:lvlJc w:val="left"/>
      <w:pPr>
        <w:ind w:left="5760" w:hanging="360"/>
      </w:pPr>
    </w:lvl>
    <w:lvl w:ilvl="8" w:tplc="57EEB55A">
      <w:start w:val="1"/>
      <w:numFmt w:val="lowerRoman"/>
      <w:lvlText w:val="%9."/>
      <w:lvlJc w:val="right"/>
      <w:pPr>
        <w:ind w:left="6480" w:hanging="180"/>
      </w:pPr>
    </w:lvl>
  </w:abstractNum>
  <w:num w:numId="1" w16cid:durableId="1802572750">
    <w:abstractNumId w:val="0"/>
  </w:num>
  <w:num w:numId="2" w16cid:durableId="1204443520">
    <w:abstractNumId w:val="1"/>
  </w:num>
  <w:num w:numId="3" w16cid:durableId="930043415">
    <w:abstractNumId w:val="2"/>
  </w:num>
  <w:num w:numId="4" w16cid:durableId="1947803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E68"/>
    <w:rsid w:val="0013752C"/>
    <w:rsid w:val="00794226"/>
    <w:rsid w:val="008C7F54"/>
    <w:rsid w:val="00A10A0E"/>
    <w:rsid w:val="00B22737"/>
    <w:rsid w:val="00D30BD0"/>
    <w:rsid w:val="00E60E68"/>
    <w:rsid w:val="00E85F40"/>
    <w:rsid w:val="00EA23C2"/>
    <w:rsid w:val="00F43A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37176"/>
  <w15:chartTrackingRefBased/>
  <w15:docId w15:val="{060895C4-5E2E-4CA5-81B8-19DA9573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E68"/>
    <w:pPr>
      <w:spacing w:line="278" w:lineRule="auto"/>
    </w:pPr>
    <w:rPr>
      <w:sz w:val="24"/>
      <w:szCs w:val="24"/>
    </w:rPr>
  </w:style>
  <w:style w:type="paragraph" w:styleId="Heading1">
    <w:name w:val="heading 1"/>
    <w:basedOn w:val="Normal"/>
    <w:next w:val="Normal"/>
    <w:link w:val="Heading1Char"/>
    <w:uiPriority w:val="9"/>
    <w:qFormat/>
    <w:rsid w:val="00E60E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E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E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E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E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E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E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E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E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E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E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E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E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E68"/>
    <w:rPr>
      <w:rFonts w:eastAsiaTheme="majorEastAsia" w:cstheme="majorBidi"/>
      <w:color w:val="272727" w:themeColor="text1" w:themeTint="D8"/>
    </w:rPr>
  </w:style>
  <w:style w:type="paragraph" w:styleId="Title">
    <w:name w:val="Title"/>
    <w:basedOn w:val="Normal"/>
    <w:next w:val="Normal"/>
    <w:link w:val="TitleChar"/>
    <w:uiPriority w:val="10"/>
    <w:qFormat/>
    <w:rsid w:val="00E60E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E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E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E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E68"/>
    <w:pPr>
      <w:spacing w:before="160"/>
      <w:jc w:val="center"/>
    </w:pPr>
    <w:rPr>
      <w:i/>
      <w:iCs/>
      <w:color w:val="404040" w:themeColor="text1" w:themeTint="BF"/>
    </w:rPr>
  </w:style>
  <w:style w:type="character" w:customStyle="1" w:styleId="QuoteChar">
    <w:name w:val="Quote Char"/>
    <w:basedOn w:val="DefaultParagraphFont"/>
    <w:link w:val="Quote"/>
    <w:uiPriority w:val="29"/>
    <w:rsid w:val="00E60E68"/>
    <w:rPr>
      <w:i/>
      <w:iCs/>
      <w:color w:val="404040" w:themeColor="text1" w:themeTint="BF"/>
    </w:rPr>
  </w:style>
  <w:style w:type="paragraph" w:styleId="ListParagraph">
    <w:name w:val="List Paragraph"/>
    <w:basedOn w:val="Normal"/>
    <w:uiPriority w:val="34"/>
    <w:qFormat/>
    <w:rsid w:val="00E60E68"/>
    <w:pPr>
      <w:ind w:left="720"/>
      <w:contextualSpacing/>
    </w:pPr>
  </w:style>
  <w:style w:type="character" w:styleId="IntenseEmphasis">
    <w:name w:val="Intense Emphasis"/>
    <w:basedOn w:val="DefaultParagraphFont"/>
    <w:uiPriority w:val="21"/>
    <w:qFormat/>
    <w:rsid w:val="00E60E68"/>
    <w:rPr>
      <w:i/>
      <w:iCs/>
      <w:color w:val="0F4761" w:themeColor="accent1" w:themeShade="BF"/>
    </w:rPr>
  </w:style>
  <w:style w:type="paragraph" w:styleId="IntenseQuote">
    <w:name w:val="Intense Quote"/>
    <w:basedOn w:val="Normal"/>
    <w:next w:val="Normal"/>
    <w:link w:val="IntenseQuoteChar"/>
    <w:uiPriority w:val="30"/>
    <w:qFormat/>
    <w:rsid w:val="00E60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E68"/>
    <w:rPr>
      <w:i/>
      <w:iCs/>
      <w:color w:val="0F4761" w:themeColor="accent1" w:themeShade="BF"/>
    </w:rPr>
  </w:style>
  <w:style w:type="character" w:styleId="IntenseReference">
    <w:name w:val="Intense Reference"/>
    <w:basedOn w:val="DefaultParagraphFont"/>
    <w:uiPriority w:val="32"/>
    <w:qFormat/>
    <w:rsid w:val="00E60E68"/>
    <w:rPr>
      <w:b/>
      <w:bCs/>
      <w:smallCaps/>
      <w:color w:val="0F4761" w:themeColor="accent1" w:themeShade="BF"/>
      <w:spacing w:val="5"/>
    </w:rPr>
  </w:style>
  <w:style w:type="character" w:styleId="Hyperlink">
    <w:name w:val="Hyperlink"/>
    <w:basedOn w:val="DefaultParagraphFont"/>
    <w:uiPriority w:val="99"/>
    <w:unhideWhenUsed/>
    <w:rsid w:val="00E60E68"/>
    <w:rPr>
      <w:color w:val="467886" w:themeColor="hyperlink"/>
      <w:u w:val="single"/>
    </w:rPr>
  </w:style>
  <w:style w:type="paragraph" w:styleId="FootnoteText">
    <w:name w:val="footnote text"/>
    <w:basedOn w:val="Normal"/>
    <w:link w:val="FootnoteTextChar"/>
    <w:uiPriority w:val="99"/>
    <w:semiHidden/>
    <w:unhideWhenUsed/>
    <w:rsid w:val="00E60E68"/>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E60E68"/>
    <w:rPr>
      <w:kern w:val="0"/>
      <w:sz w:val="20"/>
      <w:szCs w:val="20"/>
      <w14:ligatures w14:val="none"/>
    </w:rPr>
  </w:style>
  <w:style w:type="character" w:styleId="FootnoteReference">
    <w:name w:val="footnote reference"/>
    <w:basedOn w:val="DefaultParagraphFont"/>
    <w:uiPriority w:val="99"/>
    <w:semiHidden/>
    <w:unhideWhenUsed/>
    <w:rsid w:val="00E60E68"/>
    <w:rPr>
      <w:vertAlign w:val="superscript"/>
    </w:rPr>
  </w:style>
  <w:style w:type="character" w:customStyle="1" w:styleId="apple-converted-space">
    <w:name w:val="apple-converted-space"/>
    <w:basedOn w:val="DefaultParagraphFont"/>
    <w:rsid w:val="00E60E68"/>
  </w:style>
  <w:style w:type="character" w:styleId="Emphasis">
    <w:name w:val="Emphasis"/>
    <w:basedOn w:val="DefaultParagraphFont"/>
    <w:uiPriority w:val="20"/>
    <w:qFormat/>
    <w:rsid w:val="00E60E68"/>
    <w:rPr>
      <w:i/>
      <w:iCs/>
    </w:rPr>
  </w:style>
  <w:style w:type="paragraph" w:styleId="Header">
    <w:name w:val="header"/>
    <w:basedOn w:val="Normal"/>
    <w:link w:val="HeaderChar"/>
    <w:uiPriority w:val="99"/>
    <w:unhideWhenUsed/>
    <w:rsid w:val="008C7F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F54"/>
    <w:rPr>
      <w:sz w:val="24"/>
      <w:szCs w:val="24"/>
    </w:rPr>
  </w:style>
  <w:style w:type="paragraph" w:styleId="Footer">
    <w:name w:val="footer"/>
    <w:basedOn w:val="Normal"/>
    <w:link w:val="FooterChar"/>
    <w:uiPriority w:val="99"/>
    <w:unhideWhenUsed/>
    <w:rsid w:val="008C7F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F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irp.org/journal/paperinformation?paperid=99170" TargetMode="External"/><Relationship Id="rId13" Type="http://schemas.openxmlformats.org/officeDocument/2006/relationships/hyperlink" Target="https://www.acerwc.africa/sites/default/files/2022-10/ACERWC%20Decision%20final%20Communication%20No-%200012Com0012019.Tanzania.pdf" TargetMode="External"/><Relationship Id="rId3" Type="http://schemas.openxmlformats.org/officeDocument/2006/relationships/hyperlink" Target="https://education-profiles.org/sub-saharan-africa/united-republic-of-tanzania/~comprehensive-sexuality-education" TargetMode="External"/><Relationship Id="rId7" Type="http://schemas.openxmlformats.org/officeDocument/2006/relationships/hyperlink" Target="https://www.reproductiverights.org/sites/crr.civicactions.net/files/documents/GA-Adolescents-FINAL.pdf" TargetMode="External"/><Relationship Id="rId12" Type="http://schemas.openxmlformats.org/officeDocument/2006/relationships/hyperlink" Target="https://dhsprogram.com/pubs/pdf/PR144/PPR144.pdf" TargetMode="External"/><Relationship Id="rId2" Type="http://schemas.openxmlformats.org/officeDocument/2006/relationships/hyperlink" Target="https://dhsprogram.com/pubs/pdf/FR382/FR382.pdf" TargetMode="External"/><Relationship Id="rId1" Type="http://schemas.openxmlformats.org/officeDocument/2006/relationships/hyperlink" Target="https://scorecard.prb.org/wp-content/uploads/2019/06/020518_Adolescent-and-Development-Strategy-Tanzania_vF.pdf" TargetMode="External"/><Relationship Id="rId6" Type="http://schemas.openxmlformats.org/officeDocument/2006/relationships/hyperlink" Target="https://media.tanzlii.org/media/legislation/331941/source_file/48f2cd84d8e38cc8/tz-act-gn-2020-770-publication-document.pdf" TargetMode="External"/><Relationship Id="rId11" Type="http://schemas.openxmlformats.org/officeDocument/2006/relationships/hyperlink" Target="https://www.who.int/news-room/fact-sheets/detail/preventing-unsafe-abortion" TargetMode="External"/><Relationship Id="rId5" Type="http://schemas.openxmlformats.org/officeDocument/2006/relationships/hyperlink" Target="https://dhsprogram.com/pubs/pdf/PR144/PPR144.pdf" TargetMode="External"/><Relationship Id="rId15" Type="http://schemas.openxmlformats.org/officeDocument/2006/relationships/hyperlink" Target="https://www.acerwc.africa/sites/default/files/2022-10/ACERWC%20Decision%20final%20Communication%20No-%200012Com0012019.Tanzania.pdf" TargetMode="External"/><Relationship Id="rId10" Type="http://schemas.openxmlformats.org/officeDocument/2006/relationships/hyperlink" Target="https://doi.org/10.1371/journal.pone.0133933" TargetMode="External"/><Relationship Id="rId4" Type="http://schemas.openxmlformats.org/officeDocument/2006/relationships/hyperlink" Target="https://www.researchgate.net/publication/380182359_Curriculum-based_sexual_and_reproductive_health_education_revealing_its_relevance_for_risky_sexual_behaviors_among_secondary_school_students_in_Mwanza_Tanzania" TargetMode="External"/><Relationship Id="rId9" Type="http://schemas.openxmlformats.org/officeDocument/2006/relationships/hyperlink" Target="https://www.guttmacher.org/regions/africa/united-republic-tanzania" TargetMode="External"/><Relationship Id="rId14" Type="http://schemas.openxmlformats.org/officeDocument/2006/relationships/hyperlink" Target="https://www.hakielimu.or.tz/publications/research-report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DE4A2-B5E9-470C-9CD6-D06D9DEF9691}">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2083</Words>
  <Characters>11878</Characters>
  <Application>Microsoft Office Word</Application>
  <DocSecurity>0</DocSecurity>
  <Lines>98</Lines>
  <Paragraphs>27</Paragraphs>
  <ScaleCrop>false</ScaleCrop>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Ouko</dc:creator>
  <cp:keywords/>
  <dc:description/>
  <cp:lastModifiedBy>James Boit</cp:lastModifiedBy>
  <cp:revision>2</cp:revision>
  <dcterms:created xsi:type="dcterms:W3CDTF">2025-06-04T14:07:00Z</dcterms:created>
  <dcterms:modified xsi:type="dcterms:W3CDTF">2025-06-04T14:07:00Z</dcterms:modified>
</cp:coreProperties>
</file>