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C89D7" w14:textId="4B9D7D10" w:rsidR="002D48FE" w:rsidRPr="00010DDA" w:rsidRDefault="00935C71" w:rsidP="00010DDA">
      <w:pPr>
        <w:spacing w:after="0" w:line="360" w:lineRule="auto"/>
        <w:jc w:val="center"/>
        <w:rPr>
          <w:lang w:val="kk-KZ"/>
        </w:rPr>
      </w:pPr>
    </w:p>
    <w:p w14:paraId="73D3B769" w14:textId="5A1CD9B2" w:rsidR="00DE4109" w:rsidRDefault="00DE4109" w:rsidP="00010DDA">
      <w:pPr>
        <w:spacing w:after="0" w:line="360" w:lineRule="auto"/>
        <w:jc w:val="center"/>
      </w:pPr>
    </w:p>
    <w:p w14:paraId="1FD85D01" w14:textId="3B0DC4D6" w:rsidR="00DE4109" w:rsidRDefault="00010DDA" w:rsidP="00010DDA">
      <w:pPr>
        <w:spacing w:after="0" w:line="360" w:lineRule="auto"/>
        <w:jc w:val="center"/>
      </w:pPr>
      <w:r>
        <w:rPr>
          <w:noProof/>
        </w:rPr>
        <w:drawing>
          <wp:inline distT="0" distB="0" distL="0" distR="0" wp14:anchorId="1DFB0619" wp14:editId="08D1F58E">
            <wp:extent cx="1287582" cy="1314450"/>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2616" cy="1319589"/>
                    </a:xfrm>
                    <a:prstGeom prst="rect">
                      <a:avLst/>
                    </a:prstGeom>
                    <a:noFill/>
                    <a:ln>
                      <a:noFill/>
                    </a:ln>
                  </pic:spPr>
                </pic:pic>
              </a:graphicData>
            </a:graphic>
          </wp:inline>
        </w:drawing>
      </w:r>
    </w:p>
    <w:p w14:paraId="7A01E7F8" w14:textId="362D112D" w:rsidR="00DE4109" w:rsidRDefault="00DE4109" w:rsidP="00010DDA">
      <w:pPr>
        <w:spacing w:after="0" w:line="360" w:lineRule="auto"/>
        <w:jc w:val="center"/>
      </w:pPr>
    </w:p>
    <w:p w14:paraId="79F8BD64" w14:textId="77777777" w:rsidR="00DE4109" w:rsidRDefault="00DE4109" w:rsidP="00010DDA">
      <w:pPr>
        <w:spacing w:after="0" w:line="360" w:lineRule="auto"/>
        <w:jc w:val="center"/>
      </w:pPr>
    </w:p>
    <w:p w14:paraId="7E4FBF87" w14:textId="547396AD" w:rsidR="00DE4109" w:rsidRDefault="00DE4109" w:rsidP="00010DDA">
      <w:pPr>
        <w:spacing w:after="0" w:line="360" w:lineRule="auto"/>
        <w:jc w:val="center"/>
      </w:pPr>
    </w:p>
    <w:p w14:paraId="716855C5" w14:textId="4AAF481F" w:rsidR="00DE4109" w:rsidRDefault="00DE4109" w:rsidP="00010DDA">
      <w:pPr>
        <w:spacing w:after="0" w:line="360" w:lineRule="auto"/>
        <w:jc w:val="center"/>
      </w:pPr>
    </w:p>
    <w:p w14:paraId="2A139968" w14:textId="346DC7FD" w:rsidR="00DE4109" w:rsidRPr="00DE4109" w:rsidRDefault="00DE4109" w:rsidP="00010DDA">
      <w:pPr>
        <w:pStyle w:val="isselectedend"/>
        <w:spacing w:before="0" w:beforeAutospacing="0" w:after="0" w:afterAutospacing="0" w:line="360" w:lineRule="auto"/>
        <w:jc w:val="center"/>
        <w:rPr>
          <w:lang w:val="en-US"/>
        </w:rPr>
      </w:pPr>
      <w:r w:rsidRPr="00DE4109">
        <w:rPr>
          <w:rStyle w:val="a3"/>
          <w:lang w:val="en-US"/>
        </w:rPr>
        <w:t>Thematic Report by the</w:t>
      </w:r>
      <w:r w:rsidR="00005276">
        <w:rPr>
          <w:rStyle w:val="a3"/>
          <w:lang w:val="en-US"/>
        </w:rPr>
        <w:t xml:space="preserve"> </w:t>
      </w:r>
      <w:r w:rsidR="00005276">
        <w:rPr>
          <w:rStyle w:val="a3"/>
        </w:rPr>
        <w:t>«</w:t>
      </w:r>
      <w:r w:rsidR="00005276">
        <w:rPr>
          <w:rStyle w:val="a3"/>
          <w:lang w:val="en-US"/>
        </w:rPr>
        <w:t>BI-</w:t>
      </w:r>
      <w:r>
        <w:rPr>
          <w:rStyle w:val="a3"/>
          <w:lang w:val="en-US"/>
        </w:rPr>
        <w:t>J</w:t>
      </w:r>
      <w:r w:rsidRPr="00DE4109">
        <w:rPr>
          <w:rStyle w:val="a3"/>
          <w:lang w:val="en-US"/>
        </w:rPr>
        <w:t>uldyzai</w:t>
      </w:r>
      <w:r w:rsidR="00005276">
        <w:rPr>
          <w:rStyle w:val="a3"/>
        </w:rPr>
        <w:t>»</w:t>
      </w:r>
      <w:r w:rsidRPr="00DE4109">
        <w:rPr>
          <w:rStyle w:val="a3"/>
          <w:lang w:val="en-US"/>
        </w:rPr>
        <w:t xml:space="preserve"> Corporate F</w:t>
      </w:r>
      <w:r>
        <w:rPr>
          <w:rStyle w:val="a3"/>
          <w:lang w:val="en-US"/>
        </w:rPr>
        <w:t>und</w:t>
      </w:r>
    </w:p>
    <w:p w14:paraId="4CF0EFB7" w14:textId="77777777" w:rsidR="00DE4109" w:rsidRPr="00DE4109" w:rsidRDefault="00DE4109" w:rsidP="00010DDA">
      <w:pPr>
        <w:pStyle w:val="isselectedend"/>
        <w:spacing w:before="0" w:beforeAutospacing="0" w:after="0" w:afterAutospacing="0" w:line="360" w:lineRule="auto"/>
        <w:jc w:val="center"/>
        <w:rPr>
          <w:lang w:val="en-US"/>
        </w:rPr>
      </w:pPr>
      <w:r w:rsidRPr="00DE4109">
        <w:rPr>
          <w:rStyle w:val="a3"/>
          <w:lang w:val="en-US"/>
        </w:rPr>
        <w:t>Responses to the List of Issues of the United Nations Committee on the Rights of the Child in Relation to the Combined Fifth and Sixth Periodic Reports of the Republic of Kazakhstan</w:t>
      </w:r>
      <w:r w:rsidRPr="00DE4109">
        <w:rPr>
          <w:lang w:val="en-US"/>
        </w:rPr>
        <w:br/>
      </w:r>
      <w:r w:rsidRPr="00DE4109">
        <w:rPr>
          <w:rStyle w:val="a3"/>
          <w:lang w:val="en-US"/>
        </w:rPr>
        <w:t>(Special Focus: Children with Disabilities)</w:t>
      </w:r>
    </w:p>
    <w:p w14:paraId="790C0D9A" w14:textId="77777777" w:rsidR="00DE4109" w:rsidRDefault="00DE4109" w:rsidP="00010DDA">
      <w:pPr>
        <w:pStyle w:val="isselectedend"/>
        <w:spacing w:before="0" w:beforeAutospacing="0" w:after="0" w:afterAutospacing="0" w:line="360" w:lineRule="auto"/>
        <w:rPr>
          <w:rStyle w:val="a3"/>
          <w:lang w:val="en-US"/>
        </w:rPr>
      </w:pPr>
    </w:p>
    <w:p w14:paraId="72A2BA3D" w14:textId="77777777" w:rsidR="00DE4109" w:rsidRDefault="00DE4109" w:rsidP="00010DDA">
      <w:pPr>
        <w:pStyle w:val="isselectedend"/>
        <w:spacing w:before="0" w:beforeAutospacing="0" w:after="0" w:afterAutospacing="0" w:line="360" w:lineRule="auto"/>
        <w:rPr>
          <w:rStyle w:val="a3"/>
          <w:lang w:val="en-US"/>
        </w:rPr>
      </w:pPr>
    </w:p>
    <w:p w14:paraId="264C02D8" w14:textId="77777777" w:rsidR="00DE4109" w:rsidRDefault="00DE4109" w:rsidP="00010DDA">
      <w:pPr>
        <w:pStyle w:val="isselectedend"/>
        <w:spacing w:before="0" w:beforeAutospacing="0" w:after="0" w:afterAutospacing="0" w:line="360" w:lineRule="auto"/>
        <w:rPr>
          <w:rStyle w:val="a3"/>
          <w:lang w:val="en-US"/>
        </w:rPr>
      </w:pPr>
    </w:p>
    <w:p w14:paraId="58747221" w14:textId="77777777" w:rsidR="00DE4109" w:rsidRDefault="00DE4109" w:rsidP="00010DDA">
      <w:pPr>
        <w:pStyle w:val="isselectedend"/>
        <w:spacing w:before="0" w:beforeAutospacing="0" w:after="0" w:afterAutospacing="0" w:line="360" w:lineRule="auto"/>
        <w:rPr>
          <w:rStyle w:val="a3"/>
          <w:lang w:val="en-US"/>
        </w:rPr>
      </w:pPr>
    </w:p>
    <w:p w14:paraId="0E0F3B2F" w14:textId="77777777" w:rsidR="00DE4109" w:rsidRDefault="00DE4109" w:rsidP="00010DDA">
      <w:pPr>
        <w:pStyle w:val="isselectedend"/>
        <w:spacing w:before="0" w:beforeAutospacing="0" w:after="0" w:afterAutospacing="0" w:line="360" w:lineRule="auto"/>
        <w:rPr>
          <w:rStyle w:val="a3"/>
          <w:lang w:val="en-US"/>
        </w:rPr>
      </w:pPr>
    </w:p>
    <w:p w14:paraId="1A02A9EB" w14:textId="5686A18F" w:rsidR="00DE4109" w:rsidRDefault="00DE4109" w:rsidP="00010DDA">
      <w:pPr>
        <w:pStyle w:val="isselectedend"/>
        <w:spacing w:before="0" w:beforeAutospacing="0" w:after="0" w:afterAutospacing="0" w:line="360" w:lineRule="auto"/>
        <w:rPr>
          <w:rStyle w:val="a3"/>
          <w:lang w:val="en-US"/>
        </w:rPr>
      </w:pPr>
    </w:p>
    <w:p w14:paraId="05F0CB16" w14:textId="01ABC032" w:rsidR="00DE4109" w:rsidRDefault="00DE4109" w:rsidP="00010DDA">
      <w:pPr>
        <w:pStyle w:val="isselectedend"/>
        <w:spacing w:before="0" w:beforeAutospacing="0" w:after="0" w:afterAutospacing="0" w:line="360" w:lineRule="auto"/>
        <w:rPr>
          <w:rStyle w:val="a3"/>
          <w:lang w:val="en-US"/>
        </w:rPr>
      </w:pPr>
    </w:p>
    <w:p w14:paraId="34F8F04B" w14:textId="407E99FE" w:rsidR="00DE4109" w:rsidRDefault="00DE4109" w:rsidP="00010DDA">
      <w:pPr>
        <w:pStyle w:val="isselectedend"/>
        <w:spacing w:before="0" w:beforeAutospacing="0" w:after="0" w:afterAutospacing="0" w:line="360" w:lineRule="auto"/>
        <w:rPr>
          <w:rStyle w:val="a3"/>
          <w:lang w:val="en-US"/>
        </w:rPr>
      </w:pPr>
    </w:p>
    <w:p w14:paraId="53E67CDD" w14:textId="4C511116" w:rsidR="00010DDA" w:rsidRDefault="00010DDA" w:rsidP="00010DDA">
      <w:pPr>
        <w:pStyle w:val="isselectedend"/>
        <w:spacing w:before="0" w:beforeAutospacing="0" w:after="0" w:afterAutospacing="0" w:line="360" w:lineRule="auto"/>
        <w:rPr>
          <w:rStyle w:val="a3"/>
          <w:lang w:val="en-US"/>
        </w:rPr>
      </w:pPr>
    </w:p>
    <w:p w14:paraId="5D095AEC" w14:textId="4AF1F915" w:rsidR="00010DDA" w:rsidRDefault="00010DDA" w:rsidP="00010DDA">
      <w:pPr>
        <w:pStyle w:val="isselectedend"/>
        <w:spacing w:before="0" w:beforeAutospacing="0" w:after="0" w:afterAutospacing="0" w:line="360" w:lineRule="auto"/>
        <w:rPr>
          <w:rStyle w:val="a3"/>
          <w:lang w:val="en-US"/>
        </w:rPr>
      </w:pPr>
    </w:p>
    <w:p w14:paraId="3FED834E" w14:textId="15D317A9" w:rsidR="00010DDA" w:rsidRDefault="00010DDA" w:rsidP="00010DDA">
      <w:pPr>
        <w:pStyle w:val="isselectedend"/>
        <w:spacing w:before="0" w:beforeAutospacing="0" w:after="0" w:afterAutospacing="0" w:line="360" w:lineRule="auto"/>
        <w:rPr>
          <w:rStyle w:val="a3"/>
          <w:lang w:val="en-US"/>
        </w:rPr>
      </w:pPr>
    </w:p>
    <w:p w14:paraId="06733FBB" w14:textId="77777777" w:rsidR="00010DDA" w:rsidRDefault="00010DDA" w:rsidP="00010DDA">
      <w:pPr>
        <w:pStyle w:val="isselectedend"/>
        <w:spacing w:before="0" w:beforeAutospacing="0" w:after="0" w:afterAutospacing="0" w:line="360" w:lineRule="auto"/>
        <w:rPr>
          <w:rStyle w:val="a3"/>
          <w:lang w:val="en-US"/>
        </w:rPr>
      </w:pPr>
    </w:p>
    <w:p w14:paraId="16857775" w14:textId="77777777" w:rsidR="00DE4109" w:rsidRDefault="00DE4109" w:rsidP="00010DDA">
      <w:pPr>
        <w:pStyle w:val="isselectedend"/>
        <w:spacing w:before="0" w:beforeAutospacing="0" w:after="0" w:afterAutospacing="0" w:line="360" w:lineRule="auto"/>
        <w:rPr>
          <w:rStyle w:val="a3"/>
          <w:lang w:val="en-US"/>
        </w:rPr>
      </w:pPr>
    </w:p>
    <w:p w14:paraId="52291D84" w14:textId="7418FF9C" w:rsidR="00DE4109" w:rsidRPr="00DE4109" w:rsidRDefault="00DE4109" w:rsidP="00010DDA">
      <w:pPr>
        <w:pStyle w:val="isselectedend"/>
        <w:spacing w:before="0" w:beforeAutospacing="0" w:after="0" w:afterAutospacing="0" w:line="360" w:lineRule="auto"/>
        <w:rPr>
          <w:lang w:val="en-US"/>
        </w:rPr>
      </w:pPr>
      <w:r w:rsidRPr="00DE4109">
        <w:rPr>
          <w:rStyle w:val="a3"/>
          <w:lang w:val="en-US"/>
        </w:rPr>
        <w:t>Submitted on:</w:t>
      </w:r>
      <w:r w:rsidRPr="00DE4109">
        <w:rPr>
          <w:lang w:val="en-US"/>
        </w:rPr>
        <w:t xml:space="preserve"> 31</w:t>
      </w:r>
      <w:r>
        <w:rPr>
          <w:lang w:val="en-US"/>
        </w:rPr>
        <w:t>st</w:t>
      </w:r>
      <w:r w:rsidRPr="00DE4109">
        <w:rPr>
          <w:lang w:val="en-US"/>
        </w:rPr>
        <w:t xml:space="preserve"> July 2026</w:t>
      </w:r>
    </w:p>
    <w:p w14:paraId="0E5E2939" w14:textId="77777777" w:rsidR="00DE4109" w:rsidRPr="00DE4109" w:rsidRDefault="00DE4109" w:rsidP="00010DDA">
      <w:pPr>
        <w:pStyle w:val="isselectedend"/>
        <w:spacing w:before="0" w:beforeAutospacing="0" w:after="0" w:afterAutospacing="0" w:line="360" w:lineRule="auto"/>
        <w:rPr>
          <w:lang w:val="en-US"/>
        </w:rPr>
      </w:pPr>
      <w:r w:rsidRPr="00DE4109">
        <w:rPr>
          <w:rStyle w:val="a3"/>
          <w:lang w:val="en-US"/>
        </w:rPr>
        <w:t>Republic of Kazakhstan</w:t>
      </w:r>
    </w:p>
    <w:p w14:paraId="7ECEBBFE" w14:textId="25BC6995" w:rsidR="00DE4109" w:rsidRPr="00010DDA" w:rsidRDefault="00DE4109" w:rsidP="00010DDA">
      <w:pPr>
        <w:pStyle w:val="isselectedend"/>
        <w:spacing w:before="0" w:beforeAutospacing="0" w:after="0" w:afterAutospacing="0" w:line="360" w:lineRule="auto"/>
        <w:rPr>
          <w:lang w:val="en-US"/>
        </w:rPr>
      </w:pPr>
      <w:r w:rsidRPr="00DE4109">
        <w:rPr>
          <w:rStyle w:val="a3"/>
          <w:lang w:val="en-US"/>
        </w:rPr>
        <w:t>Prepared by:</w:t>
      </w:r>
      <w:r w:rsidRPr="00DE4109">
        <w:rPr>
          <w:lang w:val="en-US"/>
        </w:rPr>
        <w:br/>
        <w:t>Aigul Shakibayeva</w:t>
      </w:r>
      <w:r w:rsidRPr="00DE4109">
        <w:rPr>
          <w:lang w:val="en-US"/>
        </w:rPr>
        <w:br/>
        <w:t xml:space="preserve">Email: </w:t>
      </w:r>
      <w:hyperlink r:id="rId9" w:history="1">
        <w:r w:rsidRPr="00DE4109">
          <w:rPr>
            <w:rStyle w:val="a4"/>
            <w:lang w:val="en-US"/>
          </w:rPr>
          <w:t>shakibaevaaigul83@gmail.com</w:t>
        </w:r>
      </w:hyperlink>
      <w:r w:rsidRPr="00DE4109">
        <w:rPr>
          <w:lang w:val="en-US"/>
        </w:rPr>
        <w:br/>
        <w:t>Phone: +7 747 432 6270 (GMT+5)</w:t>
      </w:r>
      <w:r w:rsidR="00010DDA" w:rsidRPr="00010DDA">
        <w:rPr>
          <w:lang w:val="en-US"/>
        </w:rPr>
        <w:t xml:space="preserve">, </w:t>
      </w:r>
      <w:r w:rsidRPr="00010DDA">
        <w:rPr>
          <w:lang w:val="en-US"/>
        </w:rPr>
        <w:t>Ai</w:t>
      </w:r>
      <w:r>
        <w:rPr>
          <w:lang w:val="en-US"/>
        </w:rPr>
        <w:t>k</w:t>
      </w:r>
      <w:r w:rsidRPr="00010DDA">
        <w:rPr>
          <w:lang w:val="en-US"/>
        </w:rPr>
        <w:t>erim Kuderinova</w:t>
      </w:r>
      <w:r w:rsidR="00010DDA" w:rsidRPr="00010DDA">
        <w:rPr>
          <w:lang w:val="en-US"/>
        </w:rPr>
        <w:t xml:space="preserve">, </w:t>
      </w:r>
      <w:r w:rsidRPr="00010DDA">
        <w:rPr>
          <w:lang w:val="en-US"/>
        </w:rPr>
        <w:t>In</w:t>
      </w:r>
      <w:r>
        <w:rPr>
          <w:lang w:val="en-US"/>
        </w:rPr>
        <w:t>g</w:t>
      </w:r>
      <w:r w:rsidRPr="00010DDA">
        <w:rPr>
          <w:lang w:val="en-US"/>
        </w:rPr>
        <w:t>kar Bayakhmet</w:t>
      </w:r>
      <w:r w:rsidR="00010DDA" w:rsidRPr="00010DDA">
        <w:rPr>
          <w:lang w:val="en-US"/>
        </w:rPr>
        <w:t>.</w:t>
      </w:r>
    </w:p>
    <w:p w14:paraId="416EBA48" w14:textId="3EB16E38" w:rsidR="00DE4109" w:rsidRDefault="00DE4109" w:rsidP="00010DDA">
      <w:pPr>
        <w:spacing w:after="0" w:line="360" w:lineRule="auto"/>
        <w:ind w:firstLine="708"/>
        <w:jc w:val="both"/>
        <w:rPr>
          <w:rFonts w:ascii="Times New Roman" w:hAnsi="Times New Roman" w:cs="Times New Roman"/>
          <w:sz w:val="24"/>
          <w:lang w:val="en-US"/>
        </w:rPr>
      </w:pPr>
      <w:r w:rsidRPr="00DE4109">
        <w:rPr>
          <w:rFonts w:ascii="Times New Roman" w:hAnsi="Times New Roman" w:cs="Times New Roman"/>
          <w:sz w:val="24"/>
          <w:lang w:val="en-US"/>
        </w:rPr>
        <w:lastRenderedPageBreak/>
        <w:t>This document presents an analysis of the systemic challenges in the implementation of the rights of children with disabilities in the areas of healthcare, rehabilitation, and inclusive education. It also provides information on the role of corporate social responsibility (CSR) and public-private partnerships (PPPs) in ensuring the rights of children. The document is based on the practical experience of the Foundation and includes recommendations for improving public policy and legislation.</w:t>
      </w:r>
    </w:p>
    <w:p w14:paraId="5BC01FEC" w14:textId="77777777" w:rsidR="00DE4109" w:rsidRPr="00DE4109" w:rsidRDefault="00DE4109" w:rsidP="00010DDA">
      <w:pPr>
        <w:pStyle w:val="isselectedend"/>
        <w:spacing w:before="0" w:beforeAutospacing="0" w:after="0" w:afterAutospacing="0" w:line="360" w:lineRule="auto"/>
        <w:jc w:val="both"/>
        <w:rPr>
          <w:lang w:val="en-US"/>
        </w:rPr>
      </w:pPr>
      <w:r w:rsidRPr="00DE4109">
        <w:rPr>
          <w:rStyle w:val="a3"/>
          <w:lang w:val="en-US"/>
        </w:rPr>
        <w:t>1. Response to Question 2(c): Provide updated information on the application of a child rights-based approach to budgeting and the allocation of budgetary resources for children, particularly those living in remote areas or in vulnerable situations.</w:t>
      </w:r>
    </w:p>
    <w:p w14:paraId="74957FBE" w14:textId="77777777" w:rsidR="00DE4109" w:rsidRPr="00DE4109" w:rsidRDefault="00DE4109" w:rsidP="00010DDA">
      <w:pPr>
        <w:pStyle w:val="isselectedend"/>
        <w:spacing w:before="0" w:beforeAutospacing="0" w:after="0" w:afterAutospacing="0" w:line="360" w:lineRule="auto"/>
        <w:ind w:firstLine="708"/>
        <w:jc w:val="both"/>
        <w:rPr>
          <w:lang w:val="en-US"/>
        </w:rPr>
      </w:pPr>
      <w:r w:rsidRPr="00DE4109">
        <w:rPr>
          <w:lang w:val="en-US"/>
        </w:rPr>
        <w:t>Despite the implementation of public policies in the areas of healthcare, rehabilitation, and inclusive education for children with disabilities, the availability and accessibility of these services vary significantly across regions. In practice, the scope and quality of support largely depend on the budgetary priorities of local executive authorities. In a number of regions, funding for early intervention services, medical rehabilitation, special education teachers, teacher assistants, and other support measures remains insufficient or is not provided in full, resulting in territorial disparities in the realization of children's rights.</w:t>
      </w:r>
    </w:p>
    <w:p w14:paraId="26528227" w14:textId="0E60A794" w:rsidR="00DE4109" w:rsidRDefault="00DE4109" w:rsidP="00010DDA">
      <w:pPr>
        <w:pStyle w:val="isselectedend"/>
        <w:spacing w:before="0" w:beforeAutospacing="0" w:after="0" w:afterAutospacing="0" w:line="360" w:lineRule="auto"/>
        <w:ind w:firstLine="708"/>
        <w:jc w:val="both"/>
        <w:rPr>
          <w:lang w:val="en-US"/>
        </w:rPr>
      </w:pPr>
      <w:r w:rsidRPr="00DE4109">
        <w:rPr>
          <w:lang w:val="en-US"/>
        </w:rPr>
        <w:t xml:space="preserve">The practical experience of the </w:t>
      </w:r>
      <w:r w:rsidRPr="00F45EAA">
        <w:rPr>
          <w:rStyle w:val="a3"/>
          <w:b w:val="0"/>
          <w:lang w:val="en-US"/>
        </w:rPr>
        <w:t>BI-Juldyzai Corporate Fund</w:t>
      </w:r>
      <w:r w:rsidRPr="00DE4109">
        <w:rPr>
          <w:lang w:val="en-US"/>
        </w:rPr>
        <w:t xml:space="preserve"> confirms the existence of this gap. In 2016, an early rehabilitation center was established in the Zhanaozen city to improve access to healthcare services for young children and to support the local community. However, the lack of sustainable financial and organizational support from local executive authorities resulted in the suspension of the project. Similar situations can be observed in other regions, where charitable organizations and public-private partnership initiatives effectively compensate for insufficient public funding for medical rehabilitation, specialized services, and inclusive education. This has led to significant regional disparities in the realization of children's rights to health, rehabilitation, and education.</w:t>
      </w:r>
    </w:p>
    <w:p w14:paraId="2D09868C" w14:textId="77777777" w:rsidR="00010DDA" w:rsidRPr="00DE4109" w:rsidRDefault="00010DDA" w:rsidP="00010DDA">
      <w:pPr>
        <w:pStyle w:val="isselectedend"/>
        <w:spacing w:before="0" w:beforeAutospacing="0" w:after="0" w:afterAutospacing="0" w:line="360" w:lineRule="auto"/>
        <w:ind w:firstLine="708"/>
        <w:jc w:val="both"/>
        <w:rPr>
          <w:lang w:val="en-US"/>
        </w:rPr>
      </w:pPr>
    </w:p>
    <w:p w14:paraId="4657DBD3" w14:textId="56D7A648" w:rsidR="00DE4109" w:rsidRDefault="00DE4109" w:rsidP="00010DDA">
      <w:pPr>
        <w:pStyle w:val="a5"/>
        <w:spacing w:before="0" w:beforeAutospacing="0" w:after="0" w:afterAutospacing="0" w:line="360" w:lineRule="auto"/>
        <w:jc w:val="both"/>
        <w:rPr>
          <w:rStyle w:val="a3"/>
          <w:lang w:val="en-US"/>
        </w:rPr>
      </w:pPr>
      <w:r w:rsidRPr="00DE4109">
        <w:rPr>
          <w:rStyle w:val="a3"/>
          <w:lang w:val="en-US"/>
        </w:rPr>
        <w:t>2. Response to Question 4(b): Progress achieved in establishing a regulatory framework for the business sector, as recommended by the Committee, particularly with regard to corporate social responsibility (CSR).</w:t>
      </w:r>
    </w:p>
    <w:p w14:paraId="787FF7DF" w14:textId="77777777" w:rsidR="00083CC1" w:rsidRPr="00083CC1" w:rsidRDefault="00083CC1" w:rsidP="00010DDA">
      <w:pPr>
        <w:pStyle w:val="isselectedend"/>
        <w:spacing w:before="0" w:beforeAutospacing="0" w:after="0" w:afterAutospacing="0" w:line="360" w:lineRule="auto"/>
        <w:jc w:val="both"/>
        <w:rPr>
          <w:lang w:val="en-US"/>
        </w:rPr>
      </w:pPr>
      <w:r w:rsidRPr="00083CC1">
        <w:rPr>
          <w:rStyle w:val="a3"/>
          <w:lang w:val="en-US"/>
        </w:rPr>
        <w:t>The Role of Public-Private Partnerships and the Contribution of the Business Sector</w:t>
      </w:r>
    </w:p>
    <w:p w14:paraId="60551C8C" w14:textId="3D7A4F8A" w:rsidR="00083CC1" w:rsidRPr="00083CC1" w:rsidRDefault="00083CC1" w:rsidP="00010DDA">
      <w:pPr>
        <w:pStyle w:val="isselectedend"/>
        <w:spacing w:before="0" w:beforeAutospacing="0" w:after="0" w:afterAutospacing="0" w:line="360" w:lineRule="auto"/>
        <w:ind w:firstLine="708"/>
        <w:jc w:val="both"/>
        <w:rPr>
          <w:lang w:val="en-US"/>
        </w:rPr>
      </w:pPr>
      <w:r w:rsidRPr="00083CC1">
        <w:rPr>
          <w:lang w:val="en-US"/>
        </w:rPr>
        <w:t>In recent years, Kazakhstan has not established a comprehensive regulatory framework governing corporate social responsibility (CSR) in line with the recommendations of the Committee on the Rights of the Child. Corporate social investments remain largely voluntary and have not been integrated into the system of State guarantees for the realization of children's rights.</w:t>
      </w:r>
    </w:p>
    <w:p w14:paraId="3C350E7C" w14:textId="0A425666" w:rsidR="00083CC1" w:rsidRDefault="00083CC1" w:rsidP="00010DDA">
      <w:pPr>
        <w:pStyle w:val="a5"/>
        <w:spacing w:before="0" w:beforeAutospacing="0" w:after="0" w:afterAutospacing="0" w:line="360" w:lineRule="auto"/>
        <w:ind w:firstLine="708"/>
        <w:jc w:val="both"/>
        <w:rPr>
          <w:lang w:val="en-US"/>
        </w:rPr>
      </w:pPr>
      <w:r w:rsidRPr="00083CC1">
        <w:rPr>
          <w:lang w:val="en-US"/>
        </w:rPr>
        <w:lastRenderedPageBreak/>
        <w:t xml:space="preserve">At the same time, practice demonstrates the significant institutional contribution of the private sector to the promotion and protection of children's rights. For example, over the past 13 years, the </w:t>
      </w:r>
      <w:r w:rsidRPr="00F45EAA">
        <w:rPr>
          <w:rStyle w:val="a3"/>
          <w:b w:val="0"/>
          <w:lang w:val="en-US"/>
        </w:rPr>
        <w:t>BI-Juldyzai Corporate F</w:t>
      </w:r>
      <w:r w:rsidR="00F45EAA">
        <w:rPr>
          <w:rStyle w:val="a3"/>
          <w:b w:val="0"/>
          <w:lang w:val="en-US"/>
        </w:rPr>
        <w:t>und</w:t>
      </w:r>
      <w:r w:rsidRPr="00083CC1">
        <w:rPr>
          <w:lang w:val="en-US"/>
        </w:rPr>
        <w:t xml:space="preserve"> has invested approximately KZT 5 billion (around 10 million</w:t>
      </w:r>
      <w:r w:rsidR="00F45EAA" w:rsidRPr="00F45EAA">
        <w:rPr>
          <w:lang w:val="en-US"/>
        </w:rPr>
        <w:t xml:space="preserve"> </w:t>
      </w:r>
      <w:r w:rsidR="00F45EAA" w:rsidRPr="00083CC1">
        <w:rPr>
          <w:lang w:val="en-US"/>
        </w:rPr>
        <w:t>USD</w:t>
      </w:r>
      <w:r w:rsidRPr="00083CC1">
        <w:rPr>
          <w:lang w:val="en-US"/>
        </w:rPr>
        <w:t xml:space="preserve">) in the development of a network of medical rehabilitation </w:t>
      </w:r>
      <w:r w:rsidR="00ED0721" w:rsidRPr="00083CC1">
        <w:rPr>
          <w:lang w:val="en-US"/>
        </w:rPr>
        <w:t>centers</w:t>
      </w:r>
      <w:r w:rsidRPr="00083CC1">
        <w:rPr>
          <w:lang w:val="en-US"/>
        </w:rPr>
        <w:t xml:space="preserve">. Through these </w:t>
      </w:r>
      <w:r w:rsidR="00ED0721" w:rsidRPr="00083CC1">
        <w:rPr>
          <w:lang w:val="en-US"/>
        </w:rPr>
        <w:t>centers</w:t>
      </w:r>
      <w:r w:rsidRPr="00083CC1">
        <w:rPr>
          <w:lang w:val="en-US"/>
        </w:rPr>
        <w:t xml:space="preserve">, more than 17,600 rehabilitation </w:t>
      </w:r>
      <w:r w:rsidR="00ED0721" w:rsidRPr="00083CC1">
        <w:rPr>
          <w:lang w:val="en-US"/>
        </w:rPr>
        <w:t>programs</w:t>
      </w:r>
      <w:r w:rsidRPr="00083CC1">
        <w:rPr>
          <w:lang w:val="en-US"/>
        </w:rPr>
        <w:t xml:space="preserve"> have been provided for children with disabilities.</w:t>
      </w:r>
    </w:p>
    <w:p w14:paraId="15EF9F51" w14:textId="4F388EB4" w:rsidR="00083CC1" w:rsidRPr="00083CC1" w:rsidRDefault="00083CC1" w:rsidP="00010DDA">
      <w:pPr>
        <w:pStyle w:val="isselectedend"/>
        <w:spacing w:before="0" w:beforeAutospacing="0" w:after="0" w:afterAutospacing="0" w:line="360" w:lineRule="auto"/>
        <w:ind w:firstLine="708"/>
        <w:jc w:val="both"/>
        <w:rPr>
          <w:lang w:val="en-US"/>
        </w:rPr>
      </w:pPr>
      <w:r w:rsidRPr="00083CC1">
        <w:rPr>
          <w:lang w:val="en-US"/>
        </w:rPr>
        <w:t>Another key area of the F</w:t>
      </w:r>
      <w:r>
        <w:rPr>
          <w:lang w:val="en-US"/>
        </w:rPr>
        <w:t>und</w:t>
      </w:r>
      <w:r w:rsidRPr="00083CC1">
        <w:rPr>
          <w:lang w:val="en-US"/>
        </w:rPr>
        <w:t xml:space="preserve">'s work is the </w:t>
      </w:r>
      <w:r w:rsidRPr="00F45EAA">
        <w:rPr>
          <w:b/>
          <w:lang w:val="en-US"/>
        </w:rPr>
        <w:t>“</w:t>
      </w:r>
      <w:r w:rsidRPr="00F45EAA">
        <w:rPr>
          <w:rStyle w:val="a3"/>
          <w:b w:val="0"/>
          <w:lang w:val="en-US"/>
        </w:rPr>
        <w:t>M</w:t>
      </w:r>
      <w:r w:rsidR="00F45EAA">
        <w:rPr>
          <w:rStyle w:val="a3"/>
          <w:b w:val="0"/>
          <w:lang w:val="en-US"/>
        </w:rPr>
        <w:t>u</w:t>
      </w:r>
      <w:r w:rsidRPr="00F45EAA">
        <w:rPr>
          <w:rStyle w:val="a3"/>
          <w:b w:val="0"/>
          <w:lang w:val="en-US"/>
        </w:rPr>
        <w:t>mkindik”</w:t>
      </w:r>
      <w:r w:rsidRPr="00083CC1">
        <w:rPr>
          <w:lang w:val="en-US"/>
        </w:rPr>
        <w:t xml:space="preserve"> Project, which aims to improve access to high-technology surgical care for children with rare congenital anomalies. The project provides children from across the country with access to complex surgical procedures and organizes master classes and clinical mentoring involving leading international surgeons, thereby promoting the introduction of advanced medical technologies and strengthening the national capacity of the </w:t>
      </w:r>
      <w:r w:rsidR="00ED0721" w:rsidRPr="00083CC1">
        <w:rPr>
          <w:lang w:val="en-US"/>
        </w:rPr>
        <w:t>pediatric</w:t>
      </w:r>
      <w:r w:rsidRPr="00083CC1">
        <w:rPr>
          <w:lang w:val="en-US"/>
        </w:rPr>
        <w:t xml:space="preserve"> surgical workforce.</w:t>
      </w:r>
    </w:p>
    <w:p w14:paraId="24BFA990" w14:textId="6E620E5F" w:rsidR="00083CC1" w:rsidRDefault="00083CC1" w:rsidP="00010DDA">
      <w:pPr>
        <w:pStyle w:val="a5"/>
        <w:spacing w:before="0" w:beforeAutospacing="0" w:after="0" w:afterAutospacing="0" w:line="360" w:lineRule="auto"/>
        <w:ind w:firstLine="708"/>
        <w:jc w:val="both"/>
        <w:rPr>
          <w:lang w:val="en-US"/>
        </w:rPr>
      </w:pPr>
      <w:r w:rsidRPr="00083CC1">
        <w:rPr>
          <w:lang w:val="en-US"/>
        </w:rPr>
        <w:t>Despite the positive contribution of the business sector, the current model remains institutionally unsustainable. In many cases, children's access to rehabilitation, specialized surgical care, and certain inclusive education services depends on charitable initiatives, corporate social responsibility (CSR), and public-private partnership (PPP) projects. This creates risks of unequal access to services based on the child's region of residence, the availability of private-sector partners, and the sustainability of funding.</w:t>
      </w:r>
    </w:p>
    <w:p w14:paraId="3A1C1B52" w14:textId="77777777" w:rsidR="00083CC1" w:rsidRPr="00083CC1" w:rsidRDefault="00083CC1" w:rsidP="00010DDA">
      <w:pPr>
        <w:spacing w:after="0" w:line="360" w:lineRule="auto"/>
        <w:ind w:firstLine="360"/>
        <w:jc w:val="both"/>
        <w:rPr>
          <w:rFonts w:ascii="Times New Roman" w:eastAsia="Times New Roman" w:hAnsi="Times New Roman" w:cs="Times New Roman"/>
          <w:sz w:val="24"/>
          <w:szCs w:val="24"/>
          <w:lang w:val="en-US" w:eastAsia="ru-RU"/>
        </w:rPr>
      </w:pPr>
      <w:r w:rsidRPr="00083CC1">
        <w:rPr>
          <w:rFonts w:ascii="Times New Roman" w:eastAsia="Times New Roman" w:hAnsi="Times New Roman" w:cs="Times New Roman"/>
          <w:sz w:val="24"/>
          <w:szCs w:val="24"/>
          <w:lang w:val="en-US" w:eastAsia="ru-RU"/>
        </w:rPr>
        <w:t>In this regard, there is a need to move from a charity-based model to an institutionalized public-private partnership framework that provides for:</w:t>
      </w:r>
    </w:p>
    <w:p w14:paraId="6350E19E" w14:textId="77777777" w:rsidR="00083CC1" w:rsidRPr="00083CC1" w:rsidRDefault="00083CC1" w:rsidP="00010DDA">
      <w:pPr>
        <w:numPr>
          <w:ilvl w:val="0"/>
          <w:numId w:val="1"/>
        </w:numPr>
        <w:spacing w:after="0" w:line="360" w:lineRule="auto"/>
        <w:jc w:val="both"/>
        <w:rPr>
          <w:rFonts w:ascii="Times New Roman" w:eastAsia="Times New Roman" w:hAnsi="Times New Roman" w:cs="Times New Roman"/>
          <w:sz w:val="24"/>
          <w:szCs w:val="24"/>
          <w:lang w:val="en-US" w:eastAsia="ru-RU"/>
        </w:rPr>
      </w:pPr>
      <w:r w:rsidRPr="00083CC1">
        <w:rPr>
          <w:rFonts w:ascii="Times New Roman" w:eastAsia="Times New Roman" w:hAnsi="Times New Roman" w:cs="Times New Roman"/>
          <w:sz w:val="24"/>
          <w:szCs w:val="24"/>
          <w:lang w:val="en-US" w:eastAsia="ru-RU"/>
        </w:rPr>
        <w:t>the introduction of sustainable financing mechanisms for social, rehabilitation, and inclusive services;</w:t>
      </w:r>
    </w:p>
    <w:p w14:paraId="30EC5985" w14:textId="77777777" w:rsidR="00083CC1" w:rsidRPr="00083CC1" w:rsidRDefault="00083CC1" w:rsidP="00010DDA">
      <w:pPr>
        <w:numPr>
          <w:ilvl w:val="0"/>
          <w:numId w:val="1"/>
        </w:numPr>
        <w:spacing w:after="0" w:line="360" w:lineRule="auto"/>
        <w:jc w:val="both"/>
        <w:rPr>
          <w:rFonts w:ascii="Times New Roman" w:eastAsia="Times New Roman" w:hAnsi="Times New Roman" w:cs="Times New Roman"/>
          <w:sz w:val="24"/>
          <w:szCs w:val="24"/>
          <w:lang w:val="en-US" w:eastAsia="ru-RU"/>
        </w:rPr>
      </w:pPr>
      <w:r w:rsidRPr="00083CC1">
        <w:rPr>
          <w:rFonts w:ascii="Times New Roman" w:eastAsia="Times New Roman" w:hAnsi="Times New Roman" w:cs="Times New Roman"/>
          <w:sz w:val="24"/>
          <w:szCs w:val="24"/>
          <w:lang w:val="en-US" w:eastAsia="ru-RU"/>
        </w:rPr>
        <w:t>the expansion of public social procurement and public procurement (outsourcing) mechanisms for the delivery of rehabilitation and other social services by non-governmental organizations, while ensuring effective State quality oversight;</w:t>
      </w:r>
    </w:p>
    <w:p w14:paraId="7633051A" w14:textId="350462F1" w:rsidR="00083CC1" w:rsidRPr="00083CC1" w:rsidRDefault="00083CC1" w:rsidP="00010DDA">
      <w:pPr>
        <w:numPr>
          <w:ilvl w:val="0"/>
          <w:numId w:val="1"/>
        </w:numPr>
        <w:spacing w:after="0" w:line="360" w:lineRule="auto"/>
        <w:jc w:val="both"/>
        <w:rPr>
          <w:rFonts w:ascii="Times New Roman" w:eastAsia="Times New Roman" w:hAnsi="Times New Roman" w:cs="Times New Roman"/>
          <w:sz w:val="24"/>
          <w:szCs w:val="24"/>
          <w:lang w:val="en-US" w:eastAsia="ru-RU"/>
        </w:rPr>
      </w:pPr>
      <w:r w:rsidRPr="00083CC1">
        <w:rPr>
          <w:rFonts w:ascii="Times New Roman" w:eastAsia="Times New Roman" w:hAnsi="Times New Roman" w:cs="Times New Roman"/>
          <w:sz w:val="24"/>
          <w:szCs w:val="24"/>
          <w:lang w:val="en-US" w:eastAsia="ru-RU"/>
        </w:rPr>
        <w:t>the establishment of mechanisms for scaling up and providing State support to innovative models of assistance for children developed by non-governmental organizations and corporate f</w:t>
      </w:r>
      <w:r>
        <w:rPr>
          <w:rFonts w:ascii="Times New Roman" w:eastAsia="Times New Roman" w:hAnsi="Times New Roman" w:cs="Times New Roman"/>
          <w:sz w:val="24"/>
          <w:szCs w:val="24"/>
          <w:lang w:val="en-US" w:eastAsia="ru-RU"/>
        </w:rPr>
        <w:t>und</w:t>
      </w:r>
      <w:r w:rsidRPr="00083CC1">
        <w:rPr>
          <w:rFonts w:ascii="Times New Roman" w:eastAsia="Times New Roman" w:hAnsi="Times New Roman" w:cs="Times New Roman"/>
          <w:sz w:val="24"/>
          <w:szCs w:val="24"/>
          <w:lang w:val="en-US" w:eastAsia="ru-RU"/>
        </w:rPr>
        <w:t xml:space="preserve">s; </w:t>
      </w:r>
    </w:p>
    <w:p w14:paraId="1E57A2B8" w14:textId="21744AFE" w:rsidR="00083CC1" w:rsidRDefault="00083CC1" w:rsidP="00010DDA">
      <w:pPr>
        <w:numPr>
          <w:ilvl w:val="0"/>
          <w:numId w:val="1"/>
        </w:numPr>
        <w:spacing w:after="0" w:line="360" w:lineRule="auto"/>
        <w:jc w:val="both"/>
        <w:rPr>
          <w:rFonts w:ascii="Times New Roman" w:eastAsia="Times New Roman" w:hAnsi="Times New Roman" w:cs="Times New Roman"/>
          <w:sz w:val="24"/>
          <w:szCs w:val="24"/>
          <w:lang w:val="en-US" w:eastAsia="ru-RU"/>
        </w:rPr>
      </w:pPr>
      <w:r w:rsidRPr="00083CC1">
        <w:rPr>
          <w:rFonts w:ascii="Times New Roman" w:eastAsia="Times New Roman" w:hAnsi="Times New Roman" w:cs="Times New Roman"/>
          <w:sz w:val="24"/>
          <w:szCs w:val="24"/>
          <w:lang w:val="en-US" w:eastAsia="ru-RU"/>
        </w:rPr>
        <w:t>the further development of a regulatory framework that promotes the responsible engagement of the business sector in the realization of children's rights, in accordance with international standards on business and human rights.</w:t>
      </w:r>
    </w:p>
    <w:p w14:paraId="056DA587" w14:textId="77777777" w:rsidR="00010DDA" w:rsidRPr="00083CC1" w:rsidRDefault="00010DDA" w:rsidP="00010DDA">
      <w:pPr>
        <w:spacing w:after="0" w:line="360" w:lineRule="auto"/>
        <w:ind w:left="720"/>
        <w:jc w:val="both"/>
        <w:rPr>
          <w:rFonts w:ascii="Times New Roman" w:eastAsia="Times New Roman" w:hAnsi="Times New Roman" w:cs="Times New Roman"/>
          <w:sz w:val="24"/>
          <w:szCs w:val="24"/>
          <w:lang w:val="en-US" w:eastAsia="ru-RU"/>
        </w:rPr>
      </w:pPr>
    </w:p>
    <w:p w14:paraId="230A3274" w14:textId="315F9967" w:rsidR="00083CC1" w:rsidRPr="00083CC1" w:rsidRDefault="00010DDA" w:rsidP="00010DDA">
      <w:pPr>
        <w:spacing w:after="0" w:line="360" w:lineRule="auto"/>
        <w:jc w:val="both"/>
        <w:rPr>
          <w:rFonts w:ascii="Times New Roman" w:eastAsia="Times New Roman" w:hAnsi="Times New Roman" w:cs="Times New Roman"/>
          <w:sz w:val="24"/>
          <w:szCs w:val="24"/>
          <w:lang w:val="en-US" w:eastAsia="ru-RU"/>
        </w:rPr>
      </w:pPr>
      <w:r w:rsidRPr="00010DDA">
        <w:rPr>
          <w:rFonts w:ascii="Times New Roman" w:eastAsia="Times New Roman" w:hAnsi="Times New Roman" w:cs="Times New Roman"/>
          <w:b/>
          <w:bCs/>
          <w:sz w:val="24"/>
          <w:szCs w:val="24"/>
          <w:lang w:val="en-US" w:eastAsia="ru-RU"/>
        </w:rPr>
        <w:t xml:space="preserve">3. </w:t>
      </w:r>
      <w:r w:rsidR="00083CC1" w:rsidRPr="00083CC1">
        <w:rPr>
          <w:rFonts w:ascii="Times New Roman" w:eastAsia="Times New Roman" w:hAnsi="Times New Roman" w:cs="Times New Roman"/>
          <w:b/>
          <w:bCs/>
          <w:sz w:val="24"/>
          <w:szCs w:val="24"/>
          <w:lang w:val="en-US" w:eastAsia="ru-RU"/>
        </w:rPr>
        <w:t xml:space="preserve">Response to Question 9(b): Ensuring access to information, support systems, and essential services that meet the needs of the child, including early identification, early intervention, </w:t>
      </w:r>
      <w:r w:rsidR="00083CC1" w:rsidRPr="00083CC1">
        <w:rPr>
          <w:rFonts w:ascii="Times New Roman" w:eastAsia="Times New Roman" w:hAnsi="Times New Roman" w:cs="Times New Roman"/>
          <w:b/>
          <w:bCs/>
          <w:sz w:val="24"/>
          <w:szCs w:val="24"/>
          <w:lang w:val="en-US" w:eastAsia="ru-RU"/>
        </w:rPr>
        <w:lastRenderedPageBreak/>
        <w:t>and rehabilitation, as well as quality inclusive education for children with disabilities in mainstream school classes and preschool groups.</w:t>
      </w:r>
    </w:p>
    <w:p w14:paraId="593E5C2A" w14:textId="77777777" w:rsidR="00083CC1" w:rsidRPr="00083CC1" w:rsidRDefault="00083CC1" w:rsidP="00010DDA">
      <w:pPr>
        <w:spacing w:after="0" w:line="360" w:lineRule="auto"/>
        <w:jc w:val="both"/>
        <w:rPr>
          <w:rFonts w:ascii="Times New Roman" w:eastAsia="Times New Roman" w:hAnsi="Times New Roman" w:cs="Times New Roman"/>
          <w:sz w:val="24"/>
          <w:szCs w:val="24"/>
          <w:lang w:val="en-US" w:eastAsia="ru-RU"/>
        </w:rPr>
      </w:pPr>
      <w:r w:rsidRPr="00083CC1">
        <w:rPr>
          <w:rFonts w:ascii="Times New Roman" w:eastAsia="Times New Roman" w:hAnsi="Times New Roman" w:cs="Times New Roman"/>
          <w:sz w:val="24"/>
          <w:szCs w:val="24"/>
          <w:lang w:val="en-US" w:eastAsia="ru-RU"/>
        </w:rPr>
        <w:t>Kazakhstan monitors the overall participation of children with special educational needs in the education system. However, the existing indicators do not make it possible to assess the actual accessibility of inclusive education. In particular, there is no systematic monitoring of the proportion of children with disabilities attending preschool institutions and mainstream schools, the coverage of early intervention services, or the proportion of children receiving the individualized support measures they require, including services provided by special education teachers, teacher assistants, and other specialized professionals.</w:t>
      </w:r>
    </w:p>
    <w:p w14:paraId="2D7612C6" w14:textId="77777777" w:rsidR="00083CC1" w:rsidRPr="00083CC1" w:rsidRDefault="00083CC1" w:rsidP="00010DDA">
      <w:pPr>
        <w:spacing w:after="0" w:line="360" w:lineRule="auto"/>
        <w:jc w:val="both"/>
        <w:rPr>
          <w:rFonts w:ascii="Times New Roman" w:eastAsia="Times New Roman" w:hAnsi="Times New Roman" w:cs="Times New Roman"/>
          <w:sz w:val="24"/>
          <w:szCs w:val="24"/>
          <w:lang w:val="en-US" w:eastAsia="ru-RU"/>
        </w:rPr>
      </w:pPr>
      <w:r w:rsidRPr="00083CC1">
        <w:rPr>
          <w:rFonts w:ascii="Times New Roman" w:eastAsia="Times New Roman" w:hAnsi="Times New Roman" w:cs="Times New Roman"/>
          <w:sz w:val="24"/>
          <w:szCs w:val="24"/>
          <w:lang w:val="en-US" w:eastAsia="ru-RU"/>
        </w:rPr>
        <w:t xml:space="preserve">One of the reasons for the limited access to support services is the current system for determining eligibility. In practice, access to special educational services in preschools and schools depends on an assessment and recommendation issued by the </w:t>
      </w:r>
      <w:r w:rsidRPr="00F45EAA">
        <w:rPr>
          <w:rFonts w:ascii="Times New Roman" w:eastAsia="Times New Roman" w:hAnsi="Times New Roman" w:cs="Times New Roman"/>
          <w:bCs/>
          <w:sz w:val="24"/>
          <w:szCs w:val="24"/>
          <w:lang w:val="en-US" w:eastAsia="ru-RU"/>
        </w:rPr>
        <w:t>Psychological-Medical-Pedagogical Consultation (PMPC)</w:t>
      </w:r>
      <w:r w:rsidRPr="00083CC1">
        <w:rPr>
          <w:rFonts w:ascii="Times New Roman" w:eastAsia="Times New Roman" w:hAnsi="Times New Roman" w:cs="Times New Roman"/>
          <w:sz w:val="24"/>
          <w:szCs w:val="24"/>
          <w:lang w:val="en-US" w:eastAsia="ru-RU"/>
        </w:rPr>
        <w:t>. For certain groups of children, including children with autism spectrum disorder (ASD), PMPC recommendations can only be obtained after a medical diagnosis has been established by a psychiatrist. The high level of social stigma associated with mental health conditions discourages some parents from seeking psychiatric assessment and obtaining an official diagnosis. As a result, children are often unable to access teacher assistants, special education teachers, and other support services within the education system in a timely manner. Consequently, many of these children remain invisible in official statistics.</w:t>
      </w:r>
    </w:p>
    <w:p w14:paraId="25BAF6BF" w14:textId="77777777" w:rsidR="00083CC1" w:rsidRPr="00083CC1" w:rsidRDefault="00083CC1" w:rsidP="00010DDA">
      <w:pPr>
        <w:spacing w:after="0" w:line="360" w:lineRule="auto"/>
        <w:jc w:val="both"/>
        <w:rPr>
          <w:rFonts w:ascii="Times New Roman" w:eastAsia="Times New Roman" w:hAnsi="Times New Roman" w:cs="Times New Roman"/>
          <w:sz w:val="24"/>
          <w:szCs w:val="24"/>
          <w:lang w:val="en-US" w:eastAsia="ru-RU"/>
        </w:rPr>
      </w:pPr>
      <w:r w:rsidRPr="00083CC1">
        <w:rPr>
          <w:rFonts w:ascii="Times New Roman" w:eastAsia="Times New Roman" w:hAnsi="Times New Roman" w:cs="Times New Roman"/>
          <w:sz w:val="24"/>
          <w:szCs w:val="24"/>
          <w:lang w:val="en-US" w:eastAsia="ru-RU"/>
        </w:rPr>
        <w:t>An additional barrier is the insufficient availability of support services in preschool institutions. Most public preschools do not have multidisciplinary support specialists or support service teams, which significantly limits the inclusion of children with more intensive support needs in mainstream preschool groups. As a result, effective access to inclusive early childhood education depends not only on the individual needs of the child but also on the completion of complex administrative and bureaucratic procedures, the availability of a formal medical diagnosis, and access to qualified specialists in the child's place of residence.</w:t>
      </w:r>
    </w:p>
    <w:p w14:paraId="16FE9E17" w14:textId="2F680314" w:rsidR="00F45EAA" w:rsidRPr="00F45EAA" w:rsidRDefault="00F45EAA" w:rsidP="00010DDA">
      <w:pPr>
        <w:pStyle w:val="a5"/>
        <w:spacing w:before="0" w:beforeAutospacing="0" w:after="0" w:afterAutospacing="0" w:line="360" w:lineRule="auto"/>
        <w:jc w:val="both"/>
        <w:rPr>
          <w:lang w:val="en-US"/>
        </w:rPr>
      </w:pPr>
      <w:r w:rsidRPr="00F45EAA">
        <w:rPr>
          <w:lang w:val="en-US"/>
        </w:rPr>
        <w:t>In 2025, the F</w:t>
      </w:r>
      <w:r>
        <w:rPr>
          <w:lang w:val="en-US"/>
        </w:rPr>
        <w:t>und</w:t>
      </w:r>
      <w:r w:rsidRPr="00F45EAA">
        <w:rPr>
          <w:lang w:val="en-US"/>
        </w:rPr>
        <w:t xml:space="preserve"> established </w:t>
      </w:r>
      <w:r w:rsidRPr="00F45EAA">
        <w:rPr>
          <w:bCs/>
          <w:lang w:val="en-US"/>
        </w:rPr>
        <w:t>Inclusive Support Units</w:t>
      </w:r>
      <w:r w:rsidRPr="00F45EAA">
        <w:rPr>
          <w:lang w:val="en-US"/>
        </w:rPr>
        <w:t xml:space="preserve"> in four public preschool institutions in the city of Atyrau. The practical implementation of these units has demonstrated the effectiveness of a model of early, comprehensive psychological and educational support provided directly within preschool settings. A key advantage of the project is its simplified access mechanism: children are able to receive support services without first obtaining a mandatory assessment and recommendation from the </w:t>
      </w:r>
      <w:r w:rsidRPr="00F45EAA">
        <w:rPr>
          <w:bCs/>
          <w:lang w:val="en-US"/>
        </w:rPr>
        <w:t>Psychological-Medical-Pedagogical Consultation (PMPC)</w:t>
      </w:r>
      <w:r w:rsidRPr="00F45EAA">
        <w:rPr>
          <w:lang w:val="en-US"/>
        </w:rPr>
        <w:t>. This enables them to benefit from timely intervention during the critical period of early childhood development and reduces administrative barriers for families.</w:t>
      </w:r>
    </w:p>
    <w:p w14:paraId="410399D8" w14:textId="3F0B5A91" w:rsidR="00F45EAA" w:rsidRPr="00F45EAA" w:rsidRDefault="00F45EAA" w:rsidP="00010DDA">
      <w:pPr>
        <w:pStyle w:val="a5"/>
        <w:spacing w:before="0" w:beforeAutospacing="0" w:after="0" w:afterAutospacing="0" w:line="360" w:lineRule="auto"/>
        <w:jc w:val="both"/>
        <w:rPr>
          <w:lang w:val="en-US"/>
        </w:rPr>
      </w:pPr>
      <w:r w:rsidRPr="00F45EAA">
        <w:rPr>
          <w:lang w:val="en-US"/>
        </w:rPr>
        <w:lastRenderedPageBreak/>
        <w:t>At the same time, the current system for organizing support for young children remains excessively bureaucratic. In practice, the PMPC process often functions less as a mechanism for identifying the individual educational needs of the child than as a mandatory administrative requirement for securing public funding and allocating services. A further challenge is the insufficient coordination among the health, social protection, and education sectors, which hinders the timely identification of children requiring early intervention and the establishment of a continuous, family-</w:t>
      </w:r>
      <w:r w:rsidR="00ED0721" w:rsidRPr="00F45EAA">
        <w:rPr>
          <w:lang w:val="en-US"/>
        </w:rPr>
        <w:t>centered</w:t>
      </w:r>
      <w:r w:rsidRPr="00F45EAA">
        <w:rPr>
          <w:lang w:val="en-US"/>
        </w:rPr>
        <w:t xml:space="preserve"> pathway of support. The practical experience of the </w:t>
      </w:r>
      <w:r w:rsidRPr="00F45EAA">
        <w:rPr>
          <w:bCs/>
          <w:lang w:val="en-US"/>
        </w:rPr>
        <w:t>Juldyzai Project</w:t>
      </w:r>
      <w:r w:rsidRPr="00F45EAA">
        <w:rPr>
          <w:lang w:val="en-US"/>
        </w:rPr>
        <w:t xml:space="preserve"> demonstrates that shifting the focus from administrative procedures to the timely provision of support services can significantly improve access to inclusive early childhood education.</w:t>
      </w:r>
    </w:p>
    <w:p w14:paraId="23F87584" w14:textId="77777777" w:rsidR="00010DDA" w:rsidRDefault="00010DDA" w:rsidP="00010DDA">
      <w:pPr>
        <w:spacing w:after="0" w:line="360" w:lineRule="auto"/>
        <w:jc w:val="both"/>
        <w:rPr>
          <w:rFonts w:ascii="Times New Roman" w:eastAsia="Times New Roman" w:hAnsi="Times New Roman" w:cs="Times New Roman"/>
          <w:b/>
          <w:bCs/>
          <w:sz w:val="24"/>
          <w:szCs w:val="24"/>
          <w:lang w:val="en-US" w:eastAsia="ru-RU"/>
        </w:rPr>
      </w:pPr>
    </w:p>
    <w:p w14:paraId="34E1D8C0" w14:textId="419F906C" w:rsidR="00F45EAA" w:rsidRPr="00010DDA" w:rsidRDefault="00010DDA" w:rsidP="00010DDA">
      <w:pPr>
        <w:spacing w:after="0" w:line="360" w:lineRule="auto"/>
        <w:jc w:val="both"/>
        <w:rPr>
          <w:rFonts w:ascii="Times New Roman" w:eastAsia="Times New Roman" w:hAnsi="Times New Roman" w:cs="Times New Roman"/>
          <w:sz w:val="24"/>
          <w:szCs w:val="24"/>
          <w:lang w:val="en-US" w:eastAsia="ru-RU"/>
        </w:rPr>
      </w:pPr>
      <w:r w:rsidRPr="00010DDA">
        <w:rPr>
          <w:rFonts w:ascii="Times New Roman" w:eastAsia="Times New Roman" w:hAnsi="Times New Roman" w:cs="Times New Roman"/>
          <w:b/>
          <w:bCs/>
          <w:sz w:val="24"/>
          <w:szCs w:val="24"/>
          <w:lang w:val="en-US" w:eastAsia="ru-RU"/>
        </w:rPr>
        <w:t>4.</w:t>
      </w:r>
      <w:r w:rsidR="00F45EAA" w:rsidRPr="00010DDA">
        <w:rPr>
          <w:rFonts w:ascii="Times New Roman" w:eastAsia="Times New Roman" w:hAnsi="Times New Roman" w:cs="Times New Roman"/>
          <w:b/>
          <w:bCs/>
          <w:sz w:val="24"/>
          <w:szCs w:val="24"/>
          <w:lang w:val="en-US" w:eastAsia="ru-RU"/>
        </w:rPr>
        <w:t>Response to Question 10(e): Ensuring access to free medical services for children with disabilities.</w:t>
      </w:r>
    </w:p>
    <w:p w14:paraId="5744FB7D" w14:textId="00D483DA" w:rsidR="00F45EAA" w:rsidRPr="00F45EAA" w:rsidRDefault="00F45EAA" w:rsidP="00010DDA">
      <w:pPr>
        <w:spacing w:after="0" w:line="360" w:lineRule="auto"/>
        <w:jc w:val="both"/>
        <w:rPr>
          <w:rFonts w:ascii="Times New Roman" w:eastAsia="Times New Roman" w:hAnsi="Times New Roman" w:cs="Times New Roman"/>
          <w:sz w:val="24"/>
          <w:szCs w:val="24"/>
          <w:lang w:val="en-US" w:eastAsia="ru-RU"/>
        </w:rPr>
      </w:pPr>
      <w:r w:rsidRPr="00F45EAA">
        <w:rPr>
          <w:rFonts w:ascii="Times New Roman" w:eastAsia="Times New Roman" w:hAnsi="Times New Roman" w:cs="Times New Roman"/>
          <w:sz w:val="24"/>
          <w:szCs w:val="24"/>
          <w:lang w:val="en-US" w:eastAsia="ru-RU"/>
        </w:rPr>
        <w:t xml:space="preserve">According to national statistics, </w:t>
      </w:r>
      <w:r w:rsidRPr="00F45EAA">
        <w:rPr>
          <w:rFonts w:ascii="Times New Roman" w:eastAsia="Times New Roman" w:hAnsi="Times New Roman" w:cs="Times New Roman"/>
          <w:b/>
          <w:sz w:val="24"/>
          <w:szCs w:val="24"/>
          <w:lang w:val="en-US" w:eastAsia="ru-RU"/>
        </w:rPr>
        <w:t>congenital malformations rank first among the causes of childhood disability in Kazakhstan</w:t>
      </w:r>
      <w:r w:rsidRPr="00F45EAA">
        <w:rPr>
          <w:rFonts w:ascii="Times New Roman" w:eastAsia="Times New Roman" w:hAnsi="Times New Roman" w:cs="Times New Roman"/>
          <w:sz w:val="24"/>
          <w:szCs w:val="24"/>
          <w:lang w:val="en-US" w:eastAsia="ru-RU"/>
        </w:rPr>
        <w:t>. Children living in different regions do not have equal access to specialized medical services in pediatric cardiac surgery, orthopedics, surgery for congenital internal organ anomalies, early patient referral pathways, and other forms of specialized care.</w:t>
      </w:r>
    </w:p>
    <w:p w14:paraId="0C70DE07" w14:textId="5CFED69A" w:rsidR="00F45EAA" w:rsidRPr="00F45EAA" w:rsidRDefault="00F45EAA" w:rsidP="00010DDA">
      <w:pPr>
        <w:spacing w:after="0" w:line="360" w:lineRule="auto"/>
        <w:jc w:val="both"/>
        <w:rPr>
          <w:rFonts w:ascii="Times New Roman" w:eastAsia="Times New Roman" w:hAnsi="Times New Roman" w:cs="Times New Roman"/>
          <w:sz w:val="24"/>
          <w:szCs w:val="24"/>
          <w:lang w:val="en-US" w:eastAsia="ru-RU"/>
        </w:rPr>
      </w:pPr>
      <w:r w:rsidRPr="00F45EAA">
        <w:rPr>
          <w:rFonts w:ascii="Times New Roman" w:eastAsia="Times New Roman" w:hAnsi="Times New Roman" w:cs="Times New Roman"/>
          <w:sz w:val="24"/>
          <w:szCs w:val="24"/>
          <w:lang w:val="en-US" w:eastAsia="ru-RU"/>
        </w:rPr>
        <w:t xml:space="preserve">At the same time, the experience of the </w:t>
      </w:r>
      <w:r w:rsidRPr="00F45EAA">
        <w:rPr>
          <w:rFonts w:ascii="Times New Roman" w:eastAsia="Times New Roman" w:hAnsi="Times New Roman" w:cs="Times New Roman"/>
          <w:bCs/>
          <w:sz w:val="24"/>
          <w:szCs w:val="24"/>
          <w:lang w:val="en-US" w:eastAsia="ru-RU"/>
        </w:rPr>
        <w:t>Mumkindik Project</w:t>
      </w:r>
      <w:r w:rsidRPr="00F45EAA">
        <w:rPr>
          <w:rFonts w:ascii="Times New Roman" w:eastAsia="Times New Roman" w:hAnsi="Times New Roman" w:cs="Times New Roman"/>
          <w:sz w:val="24"/>
          <w:szCs w:val="24"/>
          <w:lang w:val="en-US" w:eastAsia="ru-RU"/>
        </w:rPr>
        <w:t xml:space="preserve"> demonstrates that a significant number of children with complex congenital conditions are still required to seek assistance from the charitable sector. During the implementation period of the project, support was provided to more than 1,000 children from almost all regions of the country.</w:t>
      </w:r>
    </w:p>
    <w:p w14:paraId="6102706F" w14:textId="77777777" w:rsidR="00F45EAA" w:rsidRPr="00F45EAA" w:rsidRDefault="00F45EAA" w:rsidP="00010DDA">
      <w:pPr>
        <w:spacing w:after="0" w:line="360" w:lineRule="auto"/>
        <w:jc w:val="both"/>
        <w:rPr>
          <w:rFonts w:ascii="Times New Roman" w:eastAsia="Times New Roman" w:hAnsi="Times New Roman" w:cs="Times New Roman"/>
          <w:sz w:val="24"/>
          <w:szCs w:val="24"/>
          <w:lang w:val="en-US" w:eastAsia="ru-RU"/>
        </w:rPr>
      </w:pPr>
      <w:r w:rsidRPr="00F45EAA">
        <w:rPr>
          <w:rFonts w:ascii="Times New Roman" w:eastAsia="Times New Roman" w:hAnsi="Times New Roman" w:cs="Times New Roman"/>
          <w:sz w:val="24"/>
          <w:szCs w:val="24"/>
          <w:lang w:val="en-US" w:eastAsia="ru-RU"/>
        </w:rPr>
        <w:t>Within the framework of the project, cases were repeatedly identified where children had initially been denied surgical treatment or informed that there were no indications for surgery. Following consultations with international experts, complex reconstructive surgical interventions were performed, preventing the development of severe complications and disability. This highlights existing disparities in the level of clinical expertise, access to modern surgical technologies, and the timeliness of medical decision-making.</w:t>
      </w:r>
    </w:p>
    <w:p w14:paraId="5471DCCB" w14:textId="4E9984F4" w:rsidR="00F45EAA" w:rsidRPr="00F45EAA" w:rsidRDefault="00F45EAA" w:rsidP="00010DDA">
      <w:pPr>
        <w:pStyle w:val="a5"/>
        <w:spacing w:before="0" w:beforeAutospacing="0" w:after="0" w:afterAutospacing="0" w:line="360" w:lineRule="auto"/>
        <w:jc w:val="both"/>
        <w:rPr>
          <w:lang w:val="en-US"/>
        </w:rPr>
      </w:pPr>
      <w:r w:rsidRPr="00F45EAA">
        <w:rPr>
          <w:lang w:val="en-US"/>
        </w:rPr>
        <w:t>The existing State system for financing treatment abroad also has limited coverage. According to national regulations</w:t>
      </w:r>
      <w:r w:rsidR="00ED0721">
        <w:rPr>
          <w:rStyle w:val="a9"/>
          <w:lang w:val="en-US"/>
        </w:rPr>
        <w:footnoteReference w:id="1"/>
      </w:r>
      <w:r w:rsidRPr="00F45EAA">
        <w:rPr>
          <w:lang w:val="en-US"/>
        </w:rPr>
        <w:t>, funding for medical treatment outside Kazakhstan is provided only for a limited list of diseases, while many children with rare or complex congenital conditions do not meet these eligibility criteria. As a result, families are often required to raise funds independently for treatment abroad over many years or rely on charitable assistance.</w:t>
      </w:r>
    </w:p>
    <w:p w14:paraId="2F30407F" w14:textId="1F208D60" w:rsidR="00F45EAA" w:rsidRPr="00F45EAA" w:rsidRDefault="00F45EAA" w:rsidP="00010DDA">
      <w:pPr>
        <w:pStyle w:val="a5"/>
        <w:spacing w:before="0" w:beforeAutospacing="0" w:after="0" w:afterAutospacing="0" w:line="360" w:lineRule="auto"/>
        <w:jc w:val="both"/>
        <w:rPr>
          <w:lang w:val="en-US"/>
        </w:rPr>
      </w:pPr>
      <w:r w:rsidRPr="00F45EAA">
        <w:rPr>
          <w:lang w:val="en-US"/>
        </w:rPr>
        <w:lastRenderedPageBreak/>
        <w:t xml:space="preserve">Another significant challenge is the insufficient development of human resource capacity. The </w:t>
      </w:r>
      <w:r w:rsidRPr="00F45EAA">
        <w:rPr>
          <w:bCs/>
          <w:lang w:val="en-US"/>
        </w:rPr>
        <w:t>Mumkindik Project</w:t>
      </w:r>
      <w:r w:rsidRPr="00F45EAA">
        <w:rPr>
          <w:lang w:val="en-US"/>
        </w:rPr>
        <w:t xml:space="preserve"> addresses this gap by inviting leading international surgeons, conducting joint surgical procedures, organizing master classes, and providing mentorship for Kazakh medical specialists. However, the integration of new surgical technologies into routine clinical practice continues to be hindered by administrative barriers, the lack of sustainable mechanisms to support young specialists, and the insufficient institutionalization of mentorship programs.</w:t>
      </w:r>
    </w:p>
    <w:p w14:paraId="69271F6D" w14:textId="77777777" w:rsidR="00F45EAA" w:rsidRPr="00F45EAA" w:rsidRDefault="00F45EAA" w:rsidP="00010DDA">
      <w:pPr>
        <w:pStyle w:val="a5"/>
        <w:spacing w:before="0" w:beforeAutospacing="0" w:after="0" w:afterAutospacing="0" w:line="360" w:lineRule="auto"/>
        <w:jc w:val="both"/>
        <w:rPr>
          <w:lang w:val="en-US"/>
        </w:rPr>
      </w:pPr>
      <w:r w:rsidRPr="00F45EAA">
        <w:rPr>
          <w:lang w:val="en-US"/>
        </w:rPr>
        <w:t>Particular concern is raised by the situation regarding the prevention of disability. Specifically, certain medical devices, including intramedullary implants used for the treatment of non-union fractures, are financed by the State for adult patients, while similar guarantees are not available for children. This limits children's access to necessary treatment and increases the risk of irreversible disability.</w:t>
      </w:r>
    </w:p>
    <w:p w14:paraId="1CED89E4" w14:textId="5A73E8CF" w:rsidR="00F45EAA" w:rsidRDefault="00F45EAA" w:rsidP="00010DDA">
      <w:pPr>
        <w:pStyle w:val="a5"/>
        <w:spacing w:before="0" w:beforeAutospacing="0" w:after="0" w:afterAutospacing="0" w:line="360" w:lineRule="auto"/>
        <w:jc w:val="both"/>
        <w:rPr>
          <w:lang w:val="en-US"/>
        </w:rPr>
      </w:pPr>
      <w:r w:rsidRPr="00F45EAA">
        <w:rPr>
          <w:lang w:val="en-US"/>
        </w:rPr>
        <w:t>A crisis of public trust in the national healthcare system is emerging due to reported cases of mortality associated with surgical procedures and shortages of highly specialized medical professionals. The involvement of international experts is hindered by complex administrative barriers, depriving young doctors of opportunities for on-site training and professional development.</w:t>
      </w:r>
    </w:p>
    <w:p w14:paraId="2BB732F4" w14:textId="77777777" w:rsidR="00010DDA" w:rsidRDefault="00010DDA" w:rsidP="00010DDA">
      <w:pPr>
        <w:pStyle w:val="a5"/>
        <w:spacing w:before="0" w:beforeAutospacing="0" w:after="0" w:afterAutospacing="0" w:line="360" w:lineRule="auto"/>
        <w:jc w:val="both"/>
        <w:rPr>
          <w:lang w:val="en-US"/>
        </w:rPr>
      </w:pPr>
    </w:p>
    <w:p w14:paraId="63E658C8" w14:textId="77777777" w:rsidR="00F45EAA" w:rsidRPr="00F45EAA" w:rsidRDefault="00F45EAA" w:rsidP="00010DDA">
      <w:pPr>
        <w:pStyle w:val="a5"/>
        <w:spacing w:before="0" w:beforeAutospacing="0" w:after="0" w:afterAutospacing="0" w:line="360" w:lineRule="auto"/>
        <w:jc w:val="both"/>
        <w:rPr>
          <w:lang w:val="en-US"/>
        </w:rPr>
      </w:pPr>
      <w:r w:rsidRPr="00F45EAA">
        <w:rPr>
          <w:b/>
          <w:bCs/>
          <w:lang w:val="en-US"/>
        </w:rPr>
        <w:t>Recommendations to the Government of the Republic of Kazakhstan:</w:t>
      </w:r>
    </w:p>
    <w:p w14:paraId="16E8EAF1" w14:textId="77777777" w:rsidR="00F45EAA" w:rsidRPr="00F45EAA" w:rsidRDefault="00F45EAA" w:rsidP="00010DDA">
      <w:pPr>
        <w:pStyle w:val="a5"/>
        <w:numPr>
          <w:ilvl w:val="0"/>
          <w:numId w:val="2"/>
        </w:numPr>
        <w:spacing w:before="0" w:beforeAutospacing="0" w:after="0" w:afterAutospacing="0" w:line="360" w:lineRule="auto"/>
        <w:jc w:val="both"/>
        <w:rPr>
          <w:lang w:val="en-US"/>
        </w:rPr>
      </w:pPr>
      <w:r w:rsidRPr="00F45EAA">
        <w:rPr>
          <w:lang w:val="en-US"/>
        </w:rPr>
        <w:t>Ensure access for children to early intervention and inclusive education based on their individual needs; eliminate administrative barriers; expand support services; and ensure effective intersectoral coordination and monitoring of children's access to inclusive preschool education.</w:t>
      </w:r>
    </w:p>
    <w:p w14:paraId="0089E3D1" w14:textId="77777777" w:rsidR="00F45EAA" w:rsidRPr="00F45EAA" w:rsidRDefault="00F45EAA" w:rsidP="00010DDA">
      <w:pPr>
        <w:pStyle w:val="a5"/>
        <w:numPr>
          <w:ilvl w:val="0"/>
          <w:numId w:val="2"/>
        </w:numPr>
        <w:spacing w:before="0" w:beforeAutospacing="0" w:after="0" w:afterAutospacing="0" w:line="360" w:lineRule="auto"/>
        <w:jc w:val="both"/>
        <w:rPr>
          <w:lang w:val="en-US"/>
        </w:rPr>
      </w:pPr>
      <w:r w:rsidRPr="00F45EAA">
        <w:rPr>
          <w:lang w:val="en-US"/>
        </w:rPr>
        <w:t>Ensure equal access for children, regardless of their region of residence, to specialized and high-technology surgical care, including timely diagnosis, treatment, and post-operative rehabilitation.</w:t>
      </w:r>
    </w:p>
    <w:p w14:paraId="44F5683F" w14:textId="77777777" w:rsidR="00F45EAA" w:rsidRPr="00F45EAA" w:rsidRDefault="00F45EAA" w:rsidP="00010DDA">
      <w:pPr>
        <w:pStyle w:val="a5"/>
        <w:numPr>
          <w:ilvl w:val="0"/>
          <w:numId w:val="2"/>
        </w:numPr>
        <w:spacing w:before="0" w:beforeAutospacing="0" w:after="0" w:afterAutospacing="0" w:line="360" w:lineRule="auto"/>
        <w:jc w:val="both"/>
        <w:rPr>
          <w:lang w:val="en-US"/>
        </w:rPr>
      </w:pPr>
      <w:r w:rsidRPr="00F45EAA">
        <w:rPr>
          <w:lang w:val="en-US"/>
        </w:rPr>
        <w:t>Review the regulatory criteria for financing treatment abroad to ensure that children with rare, complex, and life-threatening conditions can be referred for treatment in cases where the necessary technologies or clinical expertise are unavailable within the country.</w:t>
      </w:r>
    </w:p>
    <w:p w14:paraId="15AD0FE2" w14:textId="1E661A40" w:rsidR="00F45EAA" w:rsidRPr="00F45EAA" w:rsidRDefault="00F45EAA" w:rsidP="00010DDA">
      <w:pPr>
        <w:pStyle w:val="a5"/>
        <w:numPr>
          <w:ilvl w:val="0"/>
          <w:numId w:val="2"/>
        </w:numPr>
        <w:spacing w:before="0" w:beforeAutospacing="0" w:after="0" w:afterAutospacing="0" w:line="360" w:lineRule="auto"/>
        <w:jc w:val="both"/>
        <w:rPr>
          <w:lang w:val="en-US"/>
        </w:rPr>
      </w:pPr>
      <w:r w:rsidRPr="00F45EAA">
        <w:rPr>
          <w:lang w:val="en-US"/>
        </w:rPr>
        <w:t xml:space="preserve">Ensure that children have access to necessary medical devices and implants regardless of age, including for the treatment of severe </w:t>
      </w:r>
      <w:r w:rsidR="00ED0721" w:rsidRPr="00F45EAA">
        <w:rPr>
          <w:lang w:val="en-US"/>
        </w:rPr>
        <w:t>orthopedic</w:t>
      </w:r>
      <w:r w:rsidRPr="00F45EAA">
        <w:rPr>
          <w:lang w:val="en-US"/>
        </w:rPr>
        <w:t xml:space="preserve"> conditions, with the aim of preventing disability.</w:t>
      </w:r>
    </w:p>
    <w:p w14:paraId="24F6EBB5" w14:textId="77777777" w:rsidR="00F45EAA" w:rsidRPr="00F45EAA" w:rsidRDefault="00F45EAA" w:rsidP="00010DDA">
      <w:pPr>
        <w:pStyle w:val="a5"/>
        <w:spacing w:before="0" w:beforeAutospacing="0" w:after="0" w:afterAutospacing="0" w:line="360" w:lineRule="auto"/>
        <w:jc w:val="both"/>
        <w:rPr>
          <w:lang w:val="en-US"/>
        </w:rPr>
      </w:pPr>
    </w:p>
    <w:p w14:paraId="42CE4647" w14:textId="77777777" w:rsidR="00083CC1" w:rsidRPr="00083CC1" w:rsidRDefault="00083CC1" w:rsidP="00010DDA">
      <w:pPr>
        <w:pStyle w:val="a5"/>
        <w:spacing w:before="0" w:beforeAutospacing="0" w:after="0" w:afterAutospacing="0" w:line="360" w:lineRule="auto"/>
        <w:jc w:val="both"/>
        <w:rPr>
          <w:lang w:val="en-US"/>
        </w:rPr>
      </w:pPr>
    </w:p>
    <w:p w14:paraId="2A12FD16" w14:textId="77777777" w:rsidR="00083CC1" w:rsidRPr="00DE4109" w:rsidRDefault="00083CC1" w:rsidP="00010DDA">
      <w:pPr>
        <w:pStyle w:val="a5"/>
        <w:spacing w:before="0" w:beforeAutospacing="0" w:after="0" w:afterAutospacing="0" w:line="360" w:lineRule="auto"/>
        <w:jc w:val="both"/>
        <w:rPr>
          <w:lang w:val="en-US"/>
        </w:rPr>
      </w:pPr>
    </w:p>
    <w:p w14:paraId="198275C6" w14:textId="77777777" w:rsidR="00DE4109" w:rsidRPr="00DE4109" w:rsidRDefault="00DE4109" w:rsidP="00010DDA">
      <w:pPr>
        <w:spacing w:after="0" w:line="360" w:lineRule="auto"/>
        <w:jc w:val="both"/>
        <w:rPr>
          <w:rFonts w:ascii="Times New Roman" w:hAnsi="Times New Roman" w:cs="Times New Roman"/>
          <w:sz w:val="24"/>
          <w:lang w:val="en-US"/>
        </w:rPr>
      </w:pPr>
    </w:p>
    <w:sectPr w:rsidR="00DE4109" w:rsidRPr="00DE41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728EA" w14:textId="77777777" w:rsidR="00935C71" w:rsidRDefault="00935C71" w:rsidP="00ED0721">
      <w:pPr>
        <w:spacing w:after="0" w:line="240" w:lineRule="auto"/>
      </w:pPr>
      <w:r>
        <w:separator/>
      </w:r>
    </w:p>
  </w:endnote>
  <w:endnote w:type="continuationSeparator" w:id="0">
    <w:p w14:paraId="78710E27" w14:textId="77777777" w:rsidR="00935C71" w:rsidRDefault="00935C71" w:rsidP="00ED0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714E3" w14:textId="77777777" w:rsidR="00935C71" w:rsidRDefault="00935C71" w:rsidP="00ED0721">
      <w:pPr>
        <w:spacing w:after="0" w:line="240" w:lineRule="auto"/>
      </w:pPr>
      <w:r>
        <w:separator/>
      </w:r>
    </w:p>
  </w:footnote>
  <w:footnote w:type="continuationSeparator" w:id="0">
    <w:p w14:paraId="26B98F47" w14:textId="77777777" w:rsidR="00935C71" w:rsidRDefault="00935C71" w:rsidP="00ED0721">
      <w:pPr>
        <w:spacing w:after="0" w:line="240" w:lineRule="auto"/>
      </w:pPr>
      <w:r>
        <w:continuationSeparator/>
      </w:r>
    </w:p>
  </w:footnote>
  <w:footnote w:id="1">
    <w:p w14:paraId="728E6A2A" w14:textId="4DB42755" w:rsidR="00ED0721" w:rsidRPr="00ED0721" w:rsidRDefault="00ED0721" w:rsidP="00ED0721">
      <w:pPr>
        <w:pStyle w:val="a7"/>
        <w:jc w:val="both"/>
        <w:rPr>
          <w:lang w:val="en-US"/>
        </w:rPr>
      </w:pPr>
      <w:r>
        <w:rPr>
          <w:rStyle w:val="a9"/>
        </w:rPr>
        <w:footnoteRef/>
      </w:r>
      <w:r w:rsidRPr="00ED0721">
        <w:rPr>
          <w:lang w:val="en-US"/>
        </w:rPr>
        <w:t xml:space="preserve"> </w:t>
      </w:r>
      <w:r w:rsidRPr="00ED0721">
        <w:rPr>
          <w:rFonts w:ascii="Times New Roman" w:hAnsi="Times New Roman" w:cs="Times New Roman"/>
          <w:lang w:val="en-US"/>
        </w:rPr>
        <w:t xml:space="preserve">Order of the Minister of Healthcare of the Republic of Kazakhstan No. </w:t>
      </w:r>
      <w:r w:rsidRPr="00ED0721">
        <w:rPr>
          <w:rFonts w:ascii="Times New Roman" w:hAnsi="Times New Roman" w:cs="Times New Roman"/>
        </w:rPr>
        <w:t>ҚР</w:t>
      </w:r>
      <w:r w:rsidRPr="00ED0721">
        <w:rPr>
          <w:rFonts w:ascii="Times New Roman" w:hAnsi="Times New Roman" w:cs="Times New Roman"/>
          <w:lang w:val="en-US"/>
        </w:rPr>
        <w:t xml:space="preserve"> </w:t>
      </w:r>
      <w:r w:rsidRPr="00ED0721">
        <w:rPr>
          <w:rFonts w:ascii="Times New Roman" w:hAnsi="Times New Roman" w:cs="Times New Roman"/>
        </w:rPr>
        <w:t>ДСМ</w:t>
      </w:r>
      <w:r w:rsidRPr="00ED0721">
        <w:rPr>
          <w:rFonts w:ascii="Times New Roman" w:hAnsi="Times New Roman" w:cs="Times New Roman"/>
          <w:lang w:val="en-US"/>
        </w:rPr>
        <w:t>-45 dated 26 May 2021 “On Approval of the Rules for Referring Citizens of the Republic of Kazakhstan for Treatment Abroad and/or Engaging Foreign Specialists to Provide Treatment in Domestic Healthcare Organizations within the Framework of the Guaranteed Volume of Free Medical Care.”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44B99"/>
    <w:multiLevelType w:val="multilevel"/>
    <w:tmpl w:val="C876E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21687B"/>
    <w:multiLevelType w:val="multilevel"/>
    <w:tmpl w:val="108E5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435"/>
    <w:rsid w:val="00005276"/>
    <w:rsid w:val="00010DDA"/>
    <w:rsid w:val="00083CC1"/>
    <w:rsid w:val="00906435"/>
    <w:rsid w:val="00935C71"/>
    <w:rsid w:val="00BE5CF9"/>
    <w:rsid w:val="00DE4109"/>
    <w:rsid w:val="00ED0721"/>
    <w:rsid w:val="00F45EAA"/>
    <w:rsid w:val="00F85E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F6834"/>
  <w15:chartTrackingRefBased/>
  <w15:docId w15:val="{1EE1870E-A0BF-484B-B8A1-8D73406F2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sselectedend">
    <w:name w:val="isselectedend"/>
    <w:basedOn w:val="a"/>
    <w:rsid w:val="00DE41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DE4109"/>
    <w:rPr>
      <w:b/>
      <w:bCs/>
    </w:rPr>
  </w:style>
  <w:style w:type="character" w:styleId="a4">
    <w:name w:val="Hyperlink"/>
    <w:basedOn w:val="a0"/>
    <w:uiPriority w:val="99"/>
    <w:unhideWhenUsed/>
    <w:rsid w:val="00DE4109"/>
    <w:rPr>
      <w:color w:val="0000FF"/>
      <w:u w:val="single"/>
    </w:rPr>
  </w:style>
  <w:style w:type="paragraph" w:styleId="a5">
    <w:name w:val="Normal (Web)"/>
    <w:basedOn w:val="a"/>
    <w:uiPriority w:val="99"/>
    <w:semiHidden/>
    <w:unhideWhenUsed/>
    <w:rsid w:val="00DE41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Unresolved Mention"/>
    <w:basedOn w:val="a0"/>
    <w:uiPriority w:val="99"/>
    <w:semiHidden/>
    <w:unhideWhenUsed/>
    <w:rsid w:val="00DE4109"/>
    <w:rPr>
      <w:color w:val="605E5C"/>
      <w:shd w:val="clear" w:color="auto" w:fill="E1DFDD"/>
    </w:rPr>
  </w:style>
  <w:style w:type="paragraph" w:styleId="a7">
    <w:name w:val="footnote text"/>
    <w:basedOn w:val="a"/>
    <w:link w:val="a8"/>
    <w:uiPriority w:val="99"/>
    <w:semiHidden/>
    <w:unhideWhenUsed/>
    <w:rsid w:val="00ED0721"/>
    <w:pPr>
      <w:spacing w:after="0" w:line="240" w:lineRule="auto"/>
    </w:pPr>
    <w:rPr>
      <w:sz w:val="20"/>
      <w:szCs w:val="20"/>
    </w:rPr>
  </w:style>
  <w:style w:type="character" w:customStyle="1" w:styleId="a8">
    <w:name w:val="Текст сноски Знак"/>
    <w:basedOn w:val="a0"/>
    <w:link w:val="a7"/>
    <w:uiPriority w:val="99"/>
    <w:semiHidden/>
    <w:rsid w:val="00ED0721"/>
    <w:rPr>
      <w:sz w:val="20"/>
      <w:szCs w:val="20"/>
    </w:rPr>
  </w:style>
  <w:style w:type="character" w:styleId="a9">
    <w:name w:val="footnote reference"/>
    <w:basedOn w:val="a0"/>
    <w:uiPriority w:val="99"/>
    <w:semiHidden/>
    <w:unhideWhenUsed/>
    <w:rsid w:val="00ED0721"/>
    <w:rPr>
      <w:vertAlign w:val="superscript"/>
    </w:rPr>
  </w:style>
  <w:style w:type="paragraph" w:styleId="aa">
    <w:name w:val="List Paragraph"/>
    <w:basedOn w:val="a"/>
    <w:uiPriority w:val="34"/>
    <w:qFormat/>
    <w:rsid w:val="00010D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561633">
      <w:bodyDiv w:val="1"/>
      <w:marLeft w:val="0"/>
      <w:marRight w:val="0"/>
      <w:marTop w:val="0"/>
      <w:marBottom w:val="0"/>
      <w:divBdr>
        <w:top w:val="none" w:sz="0" w:space="0" w:color="auto"/>
        <w:left w:val="none" w:sz="0" w:space="0" w:color="auto"/>
        <w:bottom w:val="none" w:sz="0" w:space="0" w:color="auto"/>
        <w:right w:val="none" w:sz="0" w:space="0" w:color="auto"/>
      </w:divBdr>
    </w:div>
    <w:div w:id="377124512">
      <w:bodyDiv w:val="1"/>
      <w:marLeft w:val="0"/>
      <w:marRight w:val="0"/>
      <w:marTop w:val="0"/>
      <w:marBottom w:val="0"/>
      <w:divBdr>
        <w:top w:val="none" w:sz="0" w:space="0" w:color="auto"/>
        <w:left w:val="none" w:sz="0" w:space="0" w:color="auto"/>
        <w:bottom w:val="none" w:sz="0" w:space="0" w:color="auto"/>
        <w:right w:val="none" w:sz="0" w:space="0" w:color="auto"/>
      </w:divBdr>
    </w:div>
    <w:div w:id="410544583">
      <w:bodyDiv w:val="1"/>
      <w:marLeft w:val="0"/>
      <w:marRight w:val="0"/>
      <w:marTop w:val="0"/>
      <w:marBottom w:val="0"/>
      <w:divBdr>
        <w:top w:val="none" w:sz="0" w:space="0" w:color="auto"/>
        <w:left w:val="none" w:sz="0" w:space="0" w:color="auto"/>
        <w:bottom w:val="none" w:sz="0" w:space="0" w:color="auto"/>
        <w:right w:val="none" w:sz="0" w:space="0" w:color="auto"/>
      </w:divBdr>
    </w:div>
    <w:div w:id="1126847830">
      <w:bodyDiv w:val="1"/>
      <w:marLeft w:val="0"/>
      <w:marRight w:val="0"/>
      <w:marTop w:val="0"/>
      <w:marBottom w:val="0"/>
      <w:divBdr>
        <w:top w:val="none" w:sz="0" w:space="0" w:color="auto"/>
        <w:left w:val="none" w:sz="0" w:space="0" w:color="auto"/>
        <w:bottom w:val="none" w:sz="0" w:space="0" w:color="auto"/>
        <w:right w:val="none" w:sz="0" w:space="0" w:color="auto"/>
      </w:divBdr>
    </w:div>
    <w:div w:id="1189418374">
      <w:bodyDiv w:val="1"/>
      <w:marLeft w:val="0"/>
      <w:marRight w:val="0"/>
      <w:marTop w:val="0"/>
      <w:marBottom w:val="0"/>
      <w:divBdr>
        <w:top w:val="none" w:sz="0" w:space="0" w:color="auto"/>
        <w:left w:val="none" w:sz="0" w:space="0" w:color="auto"/>
        <w:bottom w:val="none" w:sz="0" w:space="0" w:color="auto"/>
        <w:right w:val="none" w:sz="0" w:space="0" w:color="auto"/>
      </w:divBdr>
    </w:div>
    <w:div w:id="1319113214">
      <w:bodyDiv w:val="1"/>
      <w:marLeft w:val="0"/>
      <w:marRight w:val="0"/>
      <w:marTop w:val="0"/>
      <w:marBottom w:val="0"/>
      <w:divBdr>
        <w:top w:val="none" w:sz="0" w:space="0" w:color="auto"/>
        <w:left w:val="none" w:sz="0" w:space="0" w:color="auto"/>
        <w:bottom w:val="none" w:sz="0" w:space="0" w:color="auto"/>
        <w:right w:val="none" w:sz="0" w:space="0" w:color="auto"/>
      </w:divBdr>
    </w:div>
    <w:div w:id="1837459072">
      <w:bodyDiv w:val="1"/>
      <w:marLeft w:val="0"/>
      <w:marRight w:val="0"/>
      <w:marTop w:val="0"/>
      <w:marBottom w:val="0"/>
      <w:divBdr>
        <w:top w:val="none" w:sz="0" w:space="0" w:color="auto"/>
        <w:left w:val="none" w:sz="0" w:space="0" w:color="auto"/>
        <w:bottom w:val="none" w:sz="0" w:space="0" w:color="auto"/>
        <w:right w:val="none" w:sz="0" w:space="0" w:color="auto"/>
      </w:divBdr>
    </w:div>
    <w:div w:id="1861967888">
      <w:bodyDiv w:val="1"/>
      <w:marLeft w:val="0"/>
      <w:marRight w:val="0"/>
      <w:marTop w:val="0"/>
      <w:marBottom w:val="0"/>
      <w:divBdr>
        <w:top w:val="none" w:sz="0" w:space="0" w:color="auto"/>
        <w:left w:val="none" w:sz="0" w:space="0" w:color="auto"/>
        <w:bottom w:val="none" w:sz="0" w:space="0" w:color="auto"/>
        <w:right w:val="none" w:sz="0" w:space="0" w:color="auto"/>
      </w:divBdr>
    </w:div>
    <w:div w:id="1953121827">
      <w:bodyDiv w:val="1"/>
      <w:marLeft w:val="0"/>
      <w:marRight w:val="0"/>
      <w:marTop w:val="0"/>
      <w:marBottom w:val="0"/>
      <w:divBdr>
        <w:top w:val="none" w:sz="0" w:space="0" w:color="auto"/>
        <w:left w:val="none" w:sz="0" w:space="0" w:color="auto"/>
        <w:bottom w:val="none" w:sz="0" w:space="0" w:color="auto"/>
        <w:right w:val="none" w:sz="0" w:space="0" w:color="auto"/>
      </w:divBdr>
    </w:div>
    <w:div w:id="212102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kibaevaaigul83@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9511A-87B6-4A30-A5E9-B770250CA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2105</Words>
  <Characters>12001</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BI GROUP</Company>
  <LinksUpToDate>false</LinksUpToDate>
  <CharactersWithSpaces>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Баяхмет Іңкәр</dc:creator>
  <cp:keywords/>
  <dc:description/>
  <cp:lastModifiedBy>Шакибаева Айгуль</cp:lastModifiedBy>
  <cp:revision>4</cp:revision>
  <dcterms:created xsi:type="dcterms:W3CDTF">2026-07-31T09:21:00Z</dcterms:created>
  <dcterms:modified xsi:type="dcterms:W3CDTF">2026-07-31T09:22:00Z</dcterms:modified>
</cp:coreProperties>
</file>